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02" w:rsidRDefault="002E2EB5" w:rsidP="003F2F66">
      <w:pPr>
        <w:snapToGrid w:val="0"/>
        <w:spacing w:after="0" w:line="240" w:lineRule="auto"/>
        <w:jc w:val="center"/>
        <w:rPr>
          <w:rFonts w:ascii="Times New Roman" w:hAnsi="Times New Roman" w:cs="Times New Roman"/>
          <w:b/>
          <w:bCs/>
          <w:sz w:val="20"/>
          <w:szCs w:val="20"/>
          <w:lang w:eastAsia="zh-CN"/>
        </w:rPr>
      </w:pPr>
      <w:r w:rsidRPr="003F2F66">
        <w:rPr>
          <w:rFonts w:ascii="Times New Roman" w:hAnsi="Times New Roman" w:cs="Times New Roman"/>
          <w:b/>
          <w:bCs/>
          <w:sz w:val="20"/>
          <w:szCs w:val="20"/>
        </w:rPr>
        <w:t>Development of a rapid and cost effective molecular diagnostic assay for species identification of MOTT culture isolates</w:t>
      </w:r>
    </w:p>
    <w:p w:rsidR="003F2F66" w:rsidRPr="003F2F66" w:rsidRDefault="003F2F66" w:rsidP="003F2F66">
      <w:pPr>
        <w:snapToGrid w:val="0"/>
        <w:spacing w:after="0" w:line="240" w:lineRule="auto"/>
        <w:jc w:val="center"/>
        <w:rPr>
          <w:rFonts w:ascii="Times New Roman" w:hAnsi="Times New Roman" w:cs="Times New Roman"/>
          <w:b/>
          <w:bCs/>
          <w:sz w:val="20"/>
          <w:szCs w:val="20"/>
          <w:lang w:eastAsia="zh-CN"/>
        </w:rPr>
      </w:pPr>
    </w:p>
    <w:p w:rsidR="001360D4" w:rsidRDefault="005B5889" w:rsidP="003F2F66">
      <w:pPr>
        <w:autoSpaceDE w:val="0"/>
        <w:snapToGrid w:val="0"/>
        <w:spacing w:after="0" w:line="240" w:lineRule="auto"/>
        <w:jc w:val="center"/>
        <w:rPr>
          <w:rFonts w:ascii="Times New Roman" w:hAnsi="Times New Roman" w:cs="Times New Roman"/>
          <w:sz w:val="20"/>
          <w:szCs w:val="20"/>
          <w:vertAlign w:val="superscript"/>
          <w:lang w:eastAsia="zh-CN"/>
        </w:rPr>
      </w:pPr>
      <w:r w:rsidRPr="003F2F66">
        <w:rPr>
          <w:rFonts w:ascii="Times New Roman" w:eastAsia="Calibri" w:hAnsi="Times New Roman" w:cs="Times New Roman"/>
          <w:sz w:val="20"/>
          <w:szCs w:val="20"/>
        </w:rPr>
        <w:t>Singh P</w:t>
      </w:r>
      <w:r w:rsidRPr="003F2F66">
        <w:rPr>
          <w:rFonts w:ascii="Times New Roman" w:eastAsia="Calibri" w:hAnsi="Times New Roman" w:cs="Times New Roman"/>
          <w:sz w:val="20"/>
          <w:szCs w:val="20"/>
          <w:vertAlign w:val="superscript"/>
        </w:rPr>
        <w:t>1</w:t>
      </w:r>
      <w:r w:rsidRPr="003F2F66">
        <w:rPr>
          <w:rFonts w:ascii="Times New Roman" w:eastAsia="Calibri" w:hAnsi="Times New Roman" w:cs="Times New Roman"/>
          <w:sz w:val="20"/>
          <w:szCs w:val="20"/>
        </w:rPr>
        <w:t xml:space="preserve">, Kumar </w:t>
      </w:r>
      <w:proofErr w:type="spellStart"/>
      <w:r w:rsidRPr="003F2F66">
        <w:rPr>
          <w:rFonts w:ascii="Times New Roman" w:eastAsia="Calibri" w:hAnsi="Times New Roman" w:cs="Times New Roman"/>
          <w:sz w:val="20"/>
          <w:szCs w:val="20"/>
        </w:rPr>
        <w:t>Nishant</w:t>
      </w:r>
      <w:proofErr w:type="spellEnd"/>
      <w:r w:rsidRPr="003F2F66">
        <w:rPr>
          <w:rFonts w:ascii="Times New Roman" w:eastAsia="Calibri" w:hAnsi="Times New Roman" w:cs="Times New Roman"/>
          <w:sz w:val="20"/>
          <w:szCs w:val="20"/>
        </w:rPr>
        <w:t xml:space="preserve"> </w:t>
      </w:r>
      <w:r w:rsidRPr="003F2F66">
        <w:rPr>
          <w:rFonts w:ascii="Times New Roman" w:eastAsia="Calibri" w:hAnsi="Times New Roman" w:cs="Times New Roman"/>
          <w:sz w:val="20"/>
          <w:szCs w:val="20"/>
          <w:vertAlign w:val="superscript"/>
        </w:rPr>
        <w:t>2</w:t>
      </w:r>
      <w:r w:rsidRPr="003F2F66">
        <w:rPr>
          <w:rFonts w:ascii="Times New Roman" w:eastAsia="Calibri" w:hAnsi="Times New Roman" w:cs="Times New Roman"/>
          <w:sz w:val="20"/>
          <w:szCs w:val="20"/>
        </w:rPr>
        <w:t>, Singh YK</w:t>
      </w:r>
      <w:r w:rsidRPr="003F2F66">
        <w:rPr>
          <w:rFonts w:ascii="Times New Roman" w:eastAsia="Calibri" w:hAnsi="Times New Roman" w:cs="Times New Roman"/>
          <w:sz w:val="20"/>
          <w:szCs w:val="20"/>
          <w:vertAlign w:val="superscript"/>
        </w:rPr>
        <w:t>2*</w:t>
      </w:r>
    </w:p>
    <w:p w:rsidR="003F2F66" w:rsidRPr="003F2F66" w:rsidRDefault="003F2F66" w:rsidP="003F2F66">
      <w:pPr>
        <w:autoSpaceDE w:val="0"/>
        <w:snapToGrid w:val="0"/>
        <w:spacing w:after="0" w:line="240" w:lineRule="auto"/>
        <w:jc w:val="center"/>
        <w:rPr>
          <w:rFonts w:ascii="Times New Roman" w:hAnsi="Times New Roman" w:cs="Times New Roman"/>
          <w:sz w:val="20"/>
          <w:szCs w:val="20"/>
          <w:vertAlign w:val="superscript"/>
          <w:lang w:eastAsia="zh-CN"/>
        </w:rPr>
      </w:pPr>
    </w:p>
    <w:p w:rsidR="00A867F7" w:rsidRDefault="001360D4" w:rsidP="003F2F66">
      <w:pPr>
        <w:autoSpaceDE w:val="0"/>
        <w:snapToGrid w:val="0"/>
        <w:spacing w:after="0" w:line="240" w:lineRule="auto"/>
        <w:jc w:val="center"/>
        <w:rPr>
          <w:rFonts w:ascii="Times New Roman" w:eastAsia="Calibri" w:hAnsi="Times New Roman" w:cs="Times New Roman"/>
          <w:sz w:val="20"/>
          <w:szCs w:val="20"/>
        </w:rPr>
      </w:pPr>
      <w:r w:rsidRPr="003F2F66">
        <w:rPr>
          <w:rFonts w:ascii="Times New Roman" w:eastAsia="Calibri" w:hAnsi="Times New Roman" w:cs="Times New Roman"/>
          <w:sz w:val="20"/>
          <w:szCs w:val="20"/>
          <w:vertAlign w:val="superscript"/>
        </w:rPr>
        <w:t>1</w:t>
      </w:r>
      <w:r w:rsidR="005B5889" w:rsidRPr="003F2F66">
        <w:rPr>
          <w:rFonts w:ascii="Times New Roman" w:eastAsia="Calibri" w:hAnsi="Times New Roman" w:cs="Times New Roman"/>
          <w:sz w:val="20"/>
          <w:szCs w:val="20"/>
        </w:rPr>
        <w:t xml:space="preserve">Department of Bioscience and Biotechnology, </w:t>
      </w:r>
      <w:proofErr w:type="spellStart"/>
      <w:r w:rsidR="005B5889" w:rsidRPr="003F2F66">
        <w:rPr>
          <w:rFonts w:ascii="Times New Roman" w:eastAsia="Calibri" w:hAnsi="Times New Roman" w:cs="Times New Roman"/>
          <w:sz w:val="20"/>
          <w:szCs w:val="20"/>
        </w:rPr>
        <w:t>Banasthali</w:t>
      </w:r>
      <w:proofErr w:type="spellEnd"/>
      <w:r w:rsidR="005B5889" w:rsidRPr="003F2F66">
        <w:rPr>
          <w:rFonts w:ascii="Times New Roman" w:eastAsia="Calibri" w:hAnsi="Times New Roman" w:cs="Times New Roman"/>
          <w:sz w:val="20"/>
          <w:szCs w:val="20"/>
        </w:rPr>
        <w:t xml:space="preserve"> University, </w:t>
      </w:r>
      <w:proofErr w:type="spellStart"/>
      <w:r w:rsidR="005B5889" w:rsidRPr="003F2F66">
        <w:rPr>
          <w:rFonts w:ascii="Times New Roman" w:eastAsia="Calibri" w:hAnsi="Times New Roman" w:cs="Times New Roman"/>
          <w:sz w:val="20"/>
          <w:szCs w:val="20"/>
        </w:rPr>
        <w:t>Banasthali</w:t>
      </w:r>
      <w:proofErr w:type="spellEnd"/>
      <w:r w:rsidR="005B5889" w:rsidRPr="003F2F66">
        <w:rPr>
          <w:rFonts w:ascii="Times New Roman" w:eastAsia="Calibri" w:hAnsi="Times New Roman" w:cs="Times New Roman"/>
          <w:sz w:val="20"/>
          <w:szCs w:val="20"/>
        </w:rPr>
        <w:t>,</w:t>
      </w:r>
      <w:r w:rsidR="0000133C">
        <w:rPr>
          <w:rFonts w:ascii="Times New Roman" w:eastAsia="Calibri" w:hAnsi="Times New Roman" w:cs="Times New Roman"/>
          <w:sz w:val="20"/>
          <w:szCs w:val="20"/>
        </w:rPr>
        <w:t xml:space="preserve"> </w:t>
      </w:r>
      <w:r w:rsidR="005B5889" w:rsidRPr="003F2F66">
        <w:rPr>
          <w:rFonts w:ascii="Times New Roman" w:eastAsia="Calibri" w:hAnsi="Times New Roman" w:cs="Times New Roman"/>
          <w:sz w:val="20"/>
          <w:szCs w:val="20"/>
        </w:rPr>
        <w:t>Rajasthan,</w:t>
      </w:r>
      <w:r w:rsidR="0000133C">
        <w:rPr>
          <w:rFonts w:ascii="Times New Roman" w:eastAsia="Calibri" w:hAnsi="Times New Roman" w:cs="Times New Roman"/>
          <w:sz w:val="20"/>
          <w:szCs w:val="20"/>
        </w:rPr>
        <w:t xml:space="preserve"> </w:t>
      </w:r>
      <w:r w:rsidR="005B5889" w:rsidRPr="003F2F66">
        <w:rPr>
          <w:rFonts w:ascii="Times New Roman" w:eastAsia="Calibri" w:hAnsi="Times New Roman" w:cs="Times New Roman"/>
          <w:sz w:val="20"/>
          <w:szCs w:val="20"/>
        </w:rPr>
        <w:t>India.</w:t>
      </w:r>
    </w:p>
    <w:p w:rsidR="00A867F7" w:rsidRDefault="0000133C" w:rsidP="003F2F66">
      <w:pPr>
        <w:autoSpaceDE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1360D4" w:rsidRPr="003F2F66">
        <w:rPr>
          <w:rFonts w:ascii="Times New Roman" w:eastAsia="Calibri" w:hAnsi="Times New Roman" w:cs="Times New Roman"/>
          <w:sz w:val="20"/>
          <w:szCs w:val="20"/>
          <w:vertAlign w:val="superscript"/>
        </w:rPr>
        <w:t>2</w:t>
      </w:r>
      <w:r w:rsidR="005B5889" w:rsidRPr="003F2F66">
        <w:rPr>
          <w:rFonts w:ascii="Times New Roman" w:eastAsia="Calibri" w:hAnsi="Times New Roman" w:cs="Times New Roman"/>
          <w:sz w:val="20"/>
          <w:szCs w:val="20"/>
        </w:rPr>
        <w:t>Auroprobe</w:t>
      </w:r>
      <w:r>
        <w:rPr>
          <w:rFonts w:ascii="Times New Roman" w:eastAsia="Calibri" w:hAnsi="Times New Roman" w:cs="Times New Roman"/>
          <w:sz w:val="20"/>
          <w:szCs w:val="20"/>
        </w:rPr>
        <w:t xml:space="preserve"> </w:t>
      </w:r>
      <w:r w:rsidR="005B5889" w:rsidRPr="003F2F66">
        <w:rPr>
          <w:rFonts w:ascii="Times New Roman" w:eastAsia="Calibri" w:hAnsi="Times New Roman" w:cs="Times New Roman"/>
          <w:sz w:val="20"/>
          <w:szCs w:val="20"/>
        </w:rPr>
        <w:t>Laboratories,</w:t>
      </w:r>
      <w:r>
        <w:rPr>
          <w:rFonts w:ascii="Times New Roman" w:eastAsia="Calibri" w:hAnsi="Times New Roman" w:cs="Times New Roman"/>
          <w:sz w:val="20"/>
          <w:szCs w:val="20"/>
        </w:rPr>
        <w:t xml:space="preserve"> </w:t>
      </w:r>
      <w:proofErr w:type="spellStart"/>
      <w:r w:rsidR="005B5889" w:rsidRPr="003F2F66">
        <w:rPr>
          <w:rFonts w:ascii="Times New Roman" w:eastAsia="Calibri" w:hAnsi="Times New Roman" w:cs="Times New Roman"/>
          <w:sz w:val="20"/>
          <w:szCs w:val="20"/>
        </w:rPr>
        <w:t>Muradnagar</w:t>
      </w:r>
      <w:proofErr w:type="spellEnd"/>
      <w:r w:rsidR="005B5889" w:rsidRPr="003F2F66">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005B5889" w:rsidRPr="003F2F66">
        <w:rPr>
          <w:rFonts w:ascii="Times New Roman" w:eastAsia="Calibri" w:hAnsi="Times New Roman" w:cs="Times New Roman"/>
          <w:sz w:val="20"/>
          <w:szCs w:val="20"/>
        </w:rPr>
        <w:t>Ghaziabad</w:t>
      </w:r>
      <w:r>
        <w:rPr>
          <w:rFonts w:ascii="Times New Roman" w:eastAsia="Calibri" w:hAnsi="Times New Roman" w:cs="Times New Roman"/>
          <w:sz w:val="20"/>
          <w:szCs w:val="20"/>
        </w:rPr>
        <w:t xml:space="preserve"> </w:t>
      </w:r>
      <w:r w:rsidR="005B5889" w:rsidRPr="003F2F66">
        <w:rPr>
          <w:rFonts w:ascii="Times New Roman" w:eastAsia="Calibri" w:hAnsi="Times New Roman" w:cs="Times New Roman"/>
          <w:sz w:val="20"/>
          <w:szCs w:val="20"/>
        </w:rPr>
        <w:t>(U.P),</w:t>
      </w:r>
      <w:r>
        <w:rPr>
          <w:rFonts w:ascii="Times New Roman" w:eastAsia="Calibri" w:hAnsi="Times New Roman" w:cs="Times New Roman"/>
          <w:sz w:val="20"/>
          <w:szCs w:val="20"/>
        </w:rPr>
        <w:t xml:space="preserve"> </w:t>
      </w:r>
      <w:r w:rsidR="005B5889" w:rsidRPr="003F2F66">
        <w:rPr>
          <w:rFonts w:ascii="Times New Roman" w:eastAsia="Calibri" w:hAnsi="Times New Roman" w:cs="Times New Roman"/>
          <w:sz w:val="20"/>
          <w:szCs w:val="20"/>
        </w:rPr>
        <w:t>India</w:t>
      </w:r>
      <w:r w:rsidR="001360D4" w:rsidRPr="003F2F66">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p>
    <w:p w:rsidR="001360D4" w:rsidRDefault="00B33133" w:rsidP="003F2F66">
      <w:pPr>
        <w:autoSpaceDE w:val="0"/>
        <w:snapToGrid w:val="0"/>
        <w:spacing w:after="0" w:line="240" w:lineRule="auto"/>
        <w:jc w:val="center"/>
        <w:rPr>
          <w:rFonts w:ascii="Times New Roman" w:hAnsi="Times New Roman" w:cs="Times New Roman"/>
          <w:sz w:val="20"/>
          <w:lang w:eastAsia="zh-CN"/>
        </w:rPr>
      </w:pPr>
      <w:hyperlink r:id="rId7" w:history="1">
        <w:r w:rsidR="001360D4" w:rsidRPr="00A867F7">
          <w:rPr>
            <w:rStyle w:val="Hyperlink"/>
            <w:rFonts w:ascii="Times New Roman" w:eastAsia="Calibri" w:hAnsi="Times New Roman" w:cs="Times New Roman"/>
            <w:sz w:val="20"/>
            <w:szCs w:val="20"/>
            <w:u w:val="none"/>
          </w:rPr>
          <w:t>*</w:t>
        </w:r>
        <w:r w:rsidR="001360D4" w:rsidRPr="003F2F66">
          <w:rPr>
            <w:rStyle w:val="Hyperlink"/>
            <w:rFonts w:ascii="Times New Roman" w:eastAsia="Calibri" w:hAnsi="Times New Roman" w:cs="Times New Roman"/>
            <w:sz w:val="20"/>
            <w:szCs w:val="20"/>
          </w:rPr>
          <w:t>dsyogesh6@gmail.com</w:t>
        </w:r>
      </w:hyperlink>
    </w:p>
    <w:p w:rsidR="003F2F66" w:rsidRPr="003F2F66" w:rsidRDefault="003F2F66" w:rsidP="003F2F66">
      <w:pPr>
        <w:autoSpaceDE w:val="0"/>
        <w:snapToGrid w:val="0"/>
        <w:spacing w:after="0" w:line="240" w:lineRule="auto"/>
        <w:jc w:val="center"/>
        <w:rPr>
          <w:rFonts w:ascii="Times New Roman" w:eastAsia="Calibri" w:hAnsi="Times New Roman" w:cs="Times New Roman"/>
          <w:sz w:val="20"/>
          <w:szCs w:val="20"/>
          <w:lang w:eastAsia="zh-CN"/>
        </w:rPr>
      </w:pPr>
    </w:p>
    <w:p w:rsidR="00DF1BF2" w:rsidRDefault="005B5889" w:rsidP="003F2F66">
      <w:pPr>
        <w:snapToGrid w:val="0"/>
        <w:spacing w:after="0" w:line="240" w:lineRule="auto"/>
        <w:jc w:val="both"/>
        <w:rPr>
          <w:rFonts w:ascii="Times New Roman" w:hAnsi="Times New Roman" w:cs="Times New Roman"/>
          <w:color w:val="000000"/>
          <w:sz w:val="20"/>
          <w:szCs w:val="20"/>
          <w:lang w:eastAsia="zh-CN"/>
        </w:rPr>
      </w:pPr>
      <w:r w:rsidRPr="003F2F66">
        <w:rPr>
          <w:rFonts w:ascii="Times New Roman" w:eastAsia="Calibri" w:hAnsi="Times New Roman" w:cs="Times New Roman"/>
          <w:b/>
          <w:color w:val="000000"/>
          <w:sz w:val="20"/>
          <w:szCs w:val="20"/>
        </w:rPr>
        <w:t>A</w:t>
      </w:r>
      <w:r w:rsidR="008A0747" w:rsidRPr="003F2F66">
        <w:rPr>
          <w:rFonts w:ascii="Times New Roman" w:eastAsia="Calibri" w:hAnsi="Times New Roman" w:cs="Times New Roman"/>
          <w:b/>
          <w:color w:val="000000"/>
          <w:sz w:val="20"/>
          <w:szCs w:val="20"/>
        </w:rPr>
        <w:t>bstract:</w:t>
      </w:r>
      <w:r w:rsidR="00A867F7">
        <w:rPr>
          <w:rFonts w:ascii="Times New Roman" w:eastAsia="Calibri" w:hAnsi="Times New Roman" w:cs="Times New Roman"/>
          <w:b/>
          <w:color w:val="000000"/>
          <w:sz w:val="20"/>
          <w:szCs w:val="20"/>
        </w:rPr>
        <w:t xml:space="preserve"> </w:t>
      </w:r>
      <w:r w:rsidR="008121EB" w:rsidRPr="003F2F66">
        <w:rPr>
          <w:rFonts w:ascii="Times New Roman" w:hAnsi="Times New Roman" w:cs="Times New Roman"/>
          <w:color w:val="000000"/>
          <w:sz w:val="20"/>
          <w:szCs w:val="20"/>
        </w:rPr>
        <w:t xml:space="preserve">Disease caused by </w:t>
      </w:r>
      <w:proofErr w:type="spellStart"/>
      <w:r w:rsidR="009517AB" w:rsidRPr="003F2F66">
        <w:rPr>
          <w:rFonts w:ascii="Times New Roman" w:hAnsi="Times New Roman" w:cs="Times New Roman"/>
          <w:color w:val="000000"/>
          <w:sz w:val="20"/>
          <w:szCs w:val="20"/>
        </w:rPr>
        <w:t>M</w:t>
      </w:r>
      <w:r w:rsidR="008121EB" w:rsidRPr="003F2F66">
        <w:rPr>
          <w:rFonts w:ascii="Times New Roman" w:hAnsi="Times New Roman" w:cs="Times New Roman"/>
          <w:color w:val="000000"/>
          <w:sz w:val="20"/>
          <w:szCs w:val="20"/>
        </w:rPr>
        <w:t>ycobacteria</w:t>
      </w:r>
      <w:proofErr w:type="spellEnd"/>
      <w:r w:rsidR="008121EB" w:rsidRPr="003F2F66">
        <w:rPr>
          <w:rFonts w:ascii="Times New Roman" w:hAnsi="Times New Roman" w:cs="Times New Roman"/>
          <w:color w:val="000000"/>
          <w:sz w:val="20"/>
          <w:szCs w:val="20"/>
        </w:rPr>
        <w:t xml:space="preserve"> other than tuberculosis (MOTT) frequently causes sickness and death. These bacteria are found in water sources and soil and are particularly concentrated in </w:t>
      </w:r>
      <w:proofErr w:type="spellStart"/>
      <w:r w:rsidR="008121EB" w:rsidRPr="003F2F66">
        <w:rPr>
          <w:rFonts w:ascii="Times New Roman" w:hAnsi="Times New Roman" w:cs="Times New Roman"/>
          <w:color w:val="000000"/>
          <w:sz w:val="20"/>
          <w:szCs w:val="20"/>
        </w:rPr>
        <w:t>biofilms</w:t>
      </w:r>
      <w:proofErr w:type="spellEnd"/>
      <w:r w:rsidR="008121EB" w:rsidRPr="003F2F66">
        <w:rPr>
          <w:rFonts w:ascii="Times New Roman" w:hAnsi="Times New Roman" w:cs="Times New Roman"/>
          <w:sz w:val="20"/>
          <w:szCs w:val="20"/>
        </w:rPr>
        <w:t>.</w:t>
      </w:r>
      <w:r w:rsidR="008121EB" w:rsidRPr="003F2F66">
        <w:rPr>
          <w:rFonts w:ascii="Times New Roman" w:hAnsi="Times New Roman" w:cs="Times New Roman"/>
          <w:color w:val="000000"/>
          <w:sz w:val="20"/>
          <w:szCs w:val="20"/>
        </w:rPr>
        <w:t xml:space="preserve"> Species id</w:t>
      </w:r>
      <w:r w:rsidR="00E23A0D" w:rsidRPr="003F2F66">
        <w:rPr>
          <w:rFonts w:ascii="Times New Roman" w:hAnsi="Times New Roman" w:cs="Times New Roman"/>
          <w:color w:val="000000"/>
          <w:sz w:val="20"/>
          <w:szCs w:val="20"/>
        </w:rPr>
        <w:t>entification is important in those</w:t>
      </w:r>
      <w:r w:rsidR="008121EB" w:rsidRPr="003F2F66">
        <w:rPr>
          <w:rFonts w:ascii="Times New Roman" w:hAnsi="Times New Roman" w:cs="Times New Roman"/>
          <w:color w:val="000000"/>
          <w:sz w:val="20"/>
          <w:szCs w:val="20"/>
        </w:rPr>
        <w:t xml:space="preserve"> cases</w:t>
      </w:r>
      <w:r w:rsidR="00E23A0D" w:rsidRPr="003F2F66">
        <w:rPr>
          <w:rFonts w:ascii="Times New Roman" w:hAnsi="Times New Roman" w:cs="Times New Roman"/>
          <w:color w:val="000000"/>
          <w:sz w:val="20"/>
          <w:szCs w:val="20"/>
        </w:rPr>
        <w:t>,</w:t>
      </w:r>
      <w:r w:rsidR="001B60B9" w:rsidRPr="003F2F66">
        <w:rPr>
          <w:rFonts w:ascii="Times New Roman" w:hAnsi="Times New Roman" w:cs="Times New Roman"/>
          <w:color w:val="000000"/>
          <w:sz w:val="20"/>
          <w:szCs w:val="20"/>
        </w:rPr>
        <w:t xml:space="preserve"> of</w:t>
      </w:r>
      <w:r w:rsidR="008121EB" w:rsidRPr="003F2F66">
        <w:rPr>
          <w:rFonts w:ascii="Times New Roman" w:hAnsi="Times New Roman" w:cs="Times New Roman"/>
          <w:color w:val="000000"/>
          <w:sz w:val="20"/>
          <w:szCs w:val="20"/>
        </w:rPr>
        <w:t xml:space="preserve"> patients positive for AFB and do not improve clinically.</w:t>
      </w:r>
      <w:r w:rsidR="00A867F7">
        <w:rPr>
          <w:rFonts w:ascii="Times New Roman" w:hAnsi="Times New Roman" w:cs="Times New Roman"/>
          <w:color w:val="000000"/>
          <w:sz w:val="20"/>
          <w:szCs w:val="20"/>
        </w:rPr>
        <w:t xml:space="preserve"> </w:t>
      </w:r>
      <w:r w:rsidR="008121EB" w:rsidRPr="003F2F66">
        <w:rPr>
          <w:rFonts w:ascii="Times New Roman" w:hAnsi="Times New Roman" w:cs="Times New Roman"/>
          <w:sz w:val="20"/>
          <w:szCs w:val="20"/>
        </w:rPr>
        <w:t>Present study includes development of High Resolution Melt Curve Analysis to characteriz</w:t>
      </w:r>
      <w:r w:rsidR="009213AF" w:rsidRPr="003F2F66">
        <w:rPr>
          <w:rFonts w:ascii="Times New Roman" w:hAnsi="Times New Roman" w:cs="Times New Roman"/>
          <w:sz w:val="20"/>
          <w:szCs w:val="20"/>
        </w:rPr>
        <w:t>e</w:t>
      </w:r>
      <w:r w:rsidR="008121EB" w:rsidRPr="003F2F66">
        <w:rPr>
          <w:rFonts w:ascii="Times New Roman" w:hAnsi="Times New Roman" w:cs="Times New Roman"/>
          <w:sz w:val="20"/>
          <w:szCs w:val="20"/>
        </w:rPr>
        <w:t xml:space="preserve"> the mycobacterium species. Six thousand nine hundred thirty three samples were processed </w:t>
      </w:r>
      <w:r w:rsidR="001B60B9" w:rsidRPr="003F2F66">
        <w:rPr>
          <w:rFonts w:ascii="Times New Roman" w:hAnsi="Times New Roman" w:cs="Times New Roman"/>
          <w:sz w:val="20"/>
          <w:szCs w:val="20"/>
        </w:rPr>
        <w:t xml:space="preserve">and </w:t>
      </w:r>
      <w:r w:rsidR="008121EB" w:rsidRPr="003F2F66">
        <w:rPr>
          <w:rFonts w:ascii="Times New Roman" w:hAnsi="Times New Roman" w:cs="Times New Roman"/>
          <w:sz w:val="20"/>
          <w:szCs w:val="20"/>
        </w:rPr>
        <w:t>1386 isolates were used for the development of H</w:t>
      </w:r>
      <w:r w:rsidR="00E23A0D" w:rsidRPr="003F2F66">
        <w:rPr>
          <w:rFonts w:ascii="Times New Roman" w:hAnsi="Times New Roman" w:cs="Times New Roman"/>
          <w:sz w:val="20"/>
          <w:szCs w:val="20"/>
        </w:rPr>
        <w:t>RM curve</w:t>
      </w:r>
      <w:r w:rsidR="008121EB" w:rsidRPr="003F2F66">
        <w:rPr>
          <w:rFonts w:ascii="Times New Roman" w:hAnsi="Times New Roman" w:cs="Times New Roman"/>
          <w:sz w:val="20"/>
          <w:szCs w:val="20"/>
        </w:rPr>
        <w:t xml:space="preserve"> analysis for differentiating MOTT. </w:t>
      </w:r>
      <w:r w:rsidR="008121EB" w:rsidRPr="003F2F66">
        <w:rPr>
          <w:rFonts w:ascii="Times New Roman" w:hAnsi="Times New Roman" w:cs="Times New Roman"/>
          <w:color w:val="000000"/>
          <w:sz w:val="20"/>
          <w:szCs w:val="20"/>
        </w:rPr>
        <w:t>An</w:t>
      </w:r>
      <w:r w:rsidR="001B60B9" w:rsidRPr="003F2F66">
        <w:rPr>
          <w:rFonts w:ascii="Times New Roman" w:hAnsi="Times New Roman" w:cs="Times New Roman"/>
          <w:color w:val="000000"/>
          <w:sz w:val="20"/>
          <w:szCs w:val="20"/>
        </w:rPr>
        <w:t xml:space="preserve"> HRM </w:t>
      </w:r>
      <w:r w:rsidR="008121EB" w:rsidRPr="003F2F66">
        <w:rPr>
          <w:rFonts w:ascii="Times New Roman" w:hAnsi="Times New Roman" w:cs="Times New Roman"/>
          <w:color w:val="000000"/>
          <w:sz w:val="20"/>
          <w:szCs w:val="20"/>
        </w:rPr>
        <w:t>curve was generated for each isolate to identify the MOTT species. Most specific technique for species identification is sequencing. The sequencing of the strains was also evaluated using the same isolates. The results of both techniques were compared to the gold standard proportional method. With the use of this assay we</w:t>
      </w:r>
      <w:r w:rsidR="008121EB" w:rsidRPr="003F2F66">
        <w:rPr>
          <w:rFonts w:ascii="Times New Roman" w:hAnsi="Times New Roman" w:cs="Times New Roman"/>
          <w:sz w:val="20"/>
          <w:szCs w:val="20"/>
        </w:rPr>
        <w:t xml:space="preserve"> can identify 27 clinically relevant </w:t>
      </w:r>
      <w:proofErr w:type="spellStart"/>
      <w:r w:rsidR="008121EB" w:rsidRPr="003F2F66">
        <w:rPr>
          <w:rFonts w:ascii="Times New Roman" w:hAnsi="Times New Roman" w:cs="Times New Roman"/>
          <w:sz w:val="20"/>
          <w:szCs w:val="20"/>
        </w:rPr>
        <w:t>Mycobacterial</w:t>
      </w:r>
      <w:proofErr w:type="spellEnd"/>
      <w:r w:rsidR="008121EB" w:rsidRPr="003F2F66">
        <w:rPr>
          <w:rFonts w:ascii="Times New Roman" w:hAnsi="Times New Roman" w:cs="Times New Roman"/>
          <w:sz w:val="20"/>
          <w:szCs w:val="20"/>
        </w:rPr>
        <w:t xml:space="preserve"> species. </w:t>
      </w:r>
      <w:r w:rsidR="008121EB" w:rsidRPr="003F2F66">
        <w:rPr>
          <w:rFonts w:ascii="Times New Roman" w:hAnsi="Times New Roman" w:cs="Times New Roman"/>
          <w:color w:val="000000"/>
          <w:sz w:val="20"/>
          <w:szCs w:val="20"/>
        </w:rPr>
        <w:t>Sequencing is good technique but it is an expensive for resource limited settings and need</w:t>
      </w:r>
      <w:r w:rsidR="009213AF" w:rsidRPr="003F2F66">
        <w:rPr>
          <w:rFonts w:ascii="Times New Roman" w:hAnsi="Times New Roman" w:cs="Times New Roman"/>
          <w:color w:val="000000"/>
          <w:sz w:val="20"/>
          <w:szCs w:val="20"/>
        </w:rPr>
        <w:t>s</w:t>
      </w:r>
      <w:r w:rsidR="008121EB" w:rsidRPr="003F2F66">
        <w:rPr>
          <w:rFonts w:ascii="Times New Roman" w:hAnsi="Times New Roman" w:cs="Times New Roman"/>
          <w:color w:val="000000"/>
          <w:sz w:val="20"/>
          <w:szCs w:val="20"/>
        </w:rPr>
        <w:t xml:space="preserve"> expertise for analysis, while the </w:t>
      </w:r>
      <w:r w:rsidR="009213AF" w:rsidRPr="003F2F66">
        <w:rPr>
          <w:rFonts w:ascii="Times New Roman" w:hAnsi="Times New Roman" w:cs="Times New Roman"/>
          <w:color w:val="000000"/>
          <w:sz w:val="20"/>
          <w:szCs w:val="20"/>
        </w:rPr>
        <w:t>HRM</w:t>
      </w:r>
      <w:r w:rsidR="008121EB" w:rsidRPr="003F2F66">
        <w:rPr>
          <w:rStyle w:val="apple-converted-space"/>
          <w:rFonts w:ascii="Times New Roman" w:hAnsi="Times New Roman" w:cs="Times New Roman"/>
          <w:color w:val="000000"/>
          <w:sz w:val="20"/>
          <w:szCs w:val="20"/>
        </w:rPr>
        <w:t> </w:t>
      </w:r>
      <w:r w:rsidR="008121EB" w:rsidRPr="003F2F66">
        <w:rPr>
          <w:rFonts w:ascii="Times New Roman" w:hAnsi="Times New Roman" w:cs="Times New Roman"/>
          <w:color w:val="000000"/>
          <w:sz w:val="20"/>
          <w:szCs w:val="20"/>
        </w:rPr>
        <w:t>curve make</w:t>
      </w:r>
      <w:r w:rsidR="009213AF" w:rsidRPr="003F2F66">
        <w:rPr>
          <w:rFonts w:ascii="Times New Roman" w:hAnsi="Times New Roman" w:cs="Times New Roman"/>
          <w:color w:val="000000"/>
          <w:sz w:val="20"/>
          <w:szCs w:val="20"/>
        </w:rPr>
        <w:t>s</w:t>
      </w:r>
      <w:r w:rsidR="008121EB" w:rsidRPr="003F2F66">
        <w:rPr>
          <w:rFonts w:ascii="Times New Roman" w:hAnsi="Times New Roman" w:cs="Times New Roman"/>
          <w:color w:val="000000"/>
          <w:sz w:val="20"/>
          <w:szCs w:val="20"/>
        </w:rPr>
        <w:t xml:space="preserve"> this assay an ideal identification method for the TB laboratory.</w:t>
      </w:r>
      <w:r w:rsidR="00A867F7">
        <w:rPr>
          <w:rFonts w:ascii="Times New Roman" w:hAnsi="Times New Roman" w:cs="Times New Roman"/>
          <w:color w:val="000000"/>
          <w:sz w:val="20"/>
          <w:szCs w:val="20"/>
        </w:rPr>
        <w:t xml:space="preserve"> </w:t>
      </w:r>
    </w:p>
    <w:p w:rsidR="00457A23" w:rsidRDefault="008A0747" w:rsidP="00DF1BF2">
      <w:pPr>
        <w:snapToGrid w:val="0"/>
        <w:spacing w:after="0" w:line="240" w:lineRule="auto"/>
        <w:jc w:val="both"/>
        <w:rPr>
          <w:rFonts w:ascii="Times New Roman" w:hAnsi="Times New Roman" w:cs="Times New Roman"/>
          <w:sz w:val="20"/>
          <w:szCs w:val="20"/>
          <w:lang w:eastAsia="zh-CN"/>
        </w:rPr>
      </w:pPr>
      <w:r w:rsidRPr="003F2F66">
        <w:rPr>
          <w:rFonts w:ascii="Times New Roman" w:hAnsi="Times New Roman" w:cs="Times New Roman"/>
          <w:color w:val="000000"/>
          <w:sz w:val="20"/>
          <w:szCs w:val="20"/>
        </w:rPr>
        <w:t>[</w:t>
      </w:r>
      <w:r w:rsidRPr="003F2F66">
        <w:rPr>
          <w:rFonts w:ascii="Times New Roman" w:eastAsia="Calibri" w:hAnsi="Times New Roman" w:cs="Times New Roman"/>
          <w:sz w:val="20"/>
          <w:szCs w:val="20"/>
        </w:rPr>
        <w:t xml:space="preserve">Singh P, Kumar </w:t>
      </w:r>
      <w:proofErr w:type="spellStart"/>
      <w:r w:rsidRPr="003F2F66">
        <w:rPr>
          <w:rFonts w:ascii="Times New Roman" w:eastAsia="Calibri" w:hAnsi="Times New Roman" w:cs="Times New Roman"/>
          <w:sz w:val="20"/>
          <w:szCs w:val="20"/>
        </w:rPr>
        <w:t>Nishant</w:t>
      </w:r>
      <w:proofErr w:type="spellEnd"/>
      <w:r w:rsidRPr="003F2F66">
        <w:rPr>
          <w:rFonts w:ascii="Times New Roman" w:eastAsia="Calibri" w:hAnsi="Times New Roman" w:cs="Times New Roman"/>
          <w:sz w:val="20"/>
          <w:szCs w:val="20"/>
        </w:rPr>
        <w:t>, Singh YK</w:t>
      </w:r>
      <w:r w:rsidRPr="003F2F66">
        <w:rPr>
          <w:rFonts w:ascii="Times New Roman" w:hAnsi="Times New Roman" w:cs="Times New Roman"/>
          <w:sz w:val="20"/>
          <w:szCs w:val="20"/>
        </w:rPr>
        <w:t xml:space="preserve">. </w:t>
      </w:r>
      <w:r w:rsidRPr="003F2F66">
        <w:rPr>
          <w:rFonts w:ascii="Times New Roman" w:hAnsi="Times New Roman" w:cs="Times New Roman"/>
          <w:b/>
          <w:bCs/>
          <w:sz w:val="20"/>
          <w:szCs w:val="20"/>
        </w:rPr>
        <w:t>Development of a rapid and cost effective molecular diagnostic assay for species identification of MOTT culture isolates</w:t>
      </w:r>
      <w:r w:rsidR="00457A23" w:rsidRPr="003F2F66">
        <w:rPr>
          <w:rFonts w:ascii="Times New Roman" w:eastAsia="Times New Roman" w:hAnsi="Times New Roman" w:cs="Times New Roman"/>
          <w:b/>
          <w:bCs/>
          <w:sz w:val="20"/>
          <w:szCs w:val="20"/>
          <w:lang w:bidi="fa-IR"/>
        </w:rPr>
        <w:t>.</w:t>
      </w:r>
      <w:r w:rsidR="00457A23" w:rsidRPr="003F2F66">
        <w:rPr>
          <w:rFonts w:ascii="Times New Roman" w:hAnsi="Times New Roman" w:cs="Times New Roman" w:hint="eastAsia"/>
          <w:b/>
          <w:bCs/>
          <w:sz w:val="20"/>
          <w:szCs w:val="20"/>
        </w:rPr>
        <w:t xml:space="preserve"> </w:t>
      </w:r>
      <w:r w:rsidR="00457A23" w:rsidRPr="003F2F66">
        <w:rPr>
          <w:rFonts w:ascii="Times New Roman" w:eastAsia="Times New Roman" w:hAnsi="Times New Roman" w:cs="Times New Roman"/>
          <w:bCs/>
          <w:i/>
          <w:sz w:val="20"/>
          <w:szCs w:val="20"/>
        </w:rPr>
        <w:t xml:space="preserve">Nat </w:t>
      </w:r>
      <w:proofErr w:type="spellStart"/>
      <w:r w:rsidR="00457A23" w:rsidRPr="003F2F66">
        <w:rPr>
          <w:rFonts w:ascii="Times New Roman" w:eastAsia="Times New Roman" w:hAnsi="Times New Roman" w:cs="Times New Roman"/>
          <w:bCs/>
          <w:i/>
          <w:sz w:val="20"/>
          <w:szCs w:val="20"/>
        </w:rPr>
        <w:t>Sci</w:t>
      </w:r>
      <w:proofErr w:type="spellEnd"/>
      <w:r w:rsidR="00457A23" w:rsidRPr="003F2F66">
        <w:rPr>
          <w:rFonts w:ascii="Times New Roman" w:hAnsi="Times New Roman" w:cs="Times New Roman" w:hint="eastAsia"/>
          <w:bCs/>
          <w:i/>
          <w:sz w:val="20"/>
          <w:szCs w:val="20"/>
        </w:rPr>
        <w:t xml:space="preserve"> </w:t>
      </w:r>
      <w:r w:rsidR="00457A23" w:rsidRPr="003F2F66">
        <w:rPr>
          <w:rFonts w:ascii="Times New Roman" w:hAnsi="Times New Roman" w:cs="Times New Roman"/>
          <w:sz w:val="20"/>
          <w:szCs w:val="20"/>
        </w:rPr>
        <w:t>201</w:t>
      </w:r>
      <w:r w:rsidR="00457A23" w:rsidRPr="003F2F66">
        <w:rPr>
          <w:rFonts w:ascii="Times New Roman" w:hAnsi="Times New Roman" w:cs="Times New Roman" w:hint="eastAsia"/>
          <w:sz w:val="20"/>
          <w:szCs w:val="20"/>
        </w:rPr>
        <w:t>4</w:t>
      </w:r>
      <w:r w:rsidR="00457A23" w:rsidRPr="003F2F66">
        <w:rPr>
          <w:rFonts w:ascii="Times New Roman" w:hAnsi="Times New Roman" w:cs="Times New Roman"/>
          <w:sz w:val="20"/>
          <w:szCs w:val="20"/>
        </w:rPr>
        <w:t>;1</w:t>
      </w:r>
      <w:r w:rsidR="00457A23" w:rsidRPr="003F2F66">
        <w:rPr>
          <w:rFonts w:ascii="Times New Roman" w:hAnsi="Times New Roman" w:cs="Times New Roman" w:hint="eastAsia"/>
          <w:sz w:val="20"/>
          <w:szCs w:val="20"/>
        </w:rPr>
        <w:t>2</w:t>
      </w:r>
      <w:r w:rsidR="00457A23" w:rsidRPr="003F2F66">
        <w:rPr>
          <w:rFonts w:ascii="Times New Roman" w:hAnsi="Times New Roman" w:cs="Times New Roman"/>
          <w:sz w:val="20"/>
          <w:szCs w:val="20"/>
        </w:rPr>
        <w:t>(</w:t>
      </w:r>
      <w:r w:rsidR="00457A23" w:rsidRPr="003F2F66">
        <w:rPr>
          <w:rFonts w:ascii="Times New Roman" w:hAnsi="Times New Roman" w:cs="Times New Roman" w:hint="eastAsia"/>
          <w:sz w:val="20"/>
          <w:szCs w:val="20"/>
        </w:rPr>
        <w:t>5</w:t>
      </w:r>
      <w:r w:rsidR="00457A23" w:rsidRPr="003F2F66">
        <w:rPr>
          <w:rFonts w:ascii="Times New Roman" w:hAnsi="Times New Roman" w:cs="Times New Roman"/>
          <w:sz w:val="20"/>
          <w:szCs w:val="20"/>
        </w:rPr>
        <w:t>):</w:t>
      </w:r>
      <w:r w:rsidR="003A660D">
        <w:rPr>
          <w:rFonts w:ascii="Times New Roman" w:hAnsi="Times New Roman" w:cs="Times New Roman"/>
          <w:noProof/>
          <w:color w:val="000000"/>
          <w:sz w:val="20"/>
          <w:szCs w:val="20"/>
        </w:rPr>
        <w:t>40</w:t>
      </w:r>
      <w:r w:rsidR="00457A23" w:rsidRPr="003F2F66">
        <w:rPr>
          <w:rFonts w:ascii="Times New Roman" w:hAnsi="Times New Roman" w:cs="Times New Roman"/>
          <w:color w:val="000000"/>
          <w:sz w:val="20"/>
          <w:szCs w:val="20"/>
        </w:rPr>
        <w:t>-</w:t>
      </w:r>
      <w:r w:rsidR="003A660D">
        <w:rPr>
          <w:rFonts w:ascii="Times New Roman" w:hAnsi="Times New Roman" w:cs="Times New Roman"/>
          <w:noProof/>
          <w:color w:val="000000"/>
          <w:sz w:val="20"/>
          <w:szCs w:val="20"/>
        </w:rPr>
        <w:t>42</w:t>
      </w:r>
      <w:r w:rsidR="00457A23" w:rsidRPr="003F2F66">
        <w:rPr>
          <w:rFonts w:ascii="Times New Roman" w:hAnsi="Times New Roman" w:cs="Times New Roman"/>
          <w:sz w:val="20"/>
          <w:szCs w:val="20"/>
        </w:rPr>
        <w:t>]</w:t>
      </w:r>
      <w:r w:rsidR="00457A23" w:rsidRPr="003F2F66">
        <w:rPr>
          <w:rFonts w:ascii="Times New Roman" w:hAnsi="Times New Roman" w:cs="Times New Roman" w:hint="eastAsia"/>
          <w:sz w:val="20"/>
          <w:szCs w:val="20"/>
        </w:rPr>
        <w:t>.</w:t>
      </w:r>
      <w:r w:rsidR="00457A23" w:rsidRPr="003F2F66">
        <w:rPr>
          <w:rFonts w:ascii="Times New Roman" w:hAnsi="Times New Roman" w:cs="Times New Roman"/>
          <w:sz w:val="20"/>
          <w:szCs w:val="20"/>
        </w:rPr>
        <w:t xml:space="preserve"> (ISSN: 1545-0740).</w:t>
      </w:r>
      <w:r w:rsidR="00457A23" w:rsidRPr="003F2F66">
        <w:rPr>
          <w:rFonts w:ascii="Times New Roman" w:hAnsi="Times New Roman" w:cs="Times New Roman"/>
          <w:color w:val="0000FF"/>
          <w:sz w:val="20"/>
          <w:szCs w:val="20"/>
        </w:rPr>
        <w:t xml:space="preserve"> </w:t>
      </w:r>
      <w:hyperlink r:id="rId8" w:history="1">
        <w:r w:rsidR="00457A23" w:rsidRPr="003F2F66">
          <w:rPr>
            <w:rStyle w:val="Hyperlink"/>
            <w:rFonts w:ascii="Times New Roman" w:hAnsi="Times New Roman" w:cs="Times New Roman"/>
            <w:sz w:val="20"/>
            <w:szCs w:val="20"/>
          </w:rPr>
          <w:t>http://www.sciencepub.net/nature</w:t>
        </w:r>
      </w:hyperlink>
      <w:r w:rsidR="00457A23" w:rsidRPr="003F2F66">
        <w:rPr>
          <w:rFonts w:ascii="Times New Roman" w:hAnsi="Times New Roman" w:cs="Times New Roman"/>
          <w:sz w:val="20"/>
          <w:szCs w:val="20"/>
        </w:rPr>
        <w:t>.</w:t>
      </w:r>
      <w:r w:rsidR="00457A23" w:rsidRPr="003F2F66">
        <w:rPr>
          <w:rFonts w:ascii="Times New Roman" w:hAnsi="Times New Roman" w:cs="Times New Roman" w:hint="eastAsia"/>
          <w:sz w:val="20"/>
          <w:szCs w:val="20"/>
        </w:rPr>
        <w:t xml:space="preserve"> </w:t>
      </w:r>
      <w:r w:rsidR="00DF1BF2">
        <w:rPr>
          <w:rFonts w:ascii="Times New Roman" w:hAnsi="Times New Roman" w:cs="Times New Roman" w:hint="eastAsia"/>
          <w:sz w:val="20"/>
          <w:szCs w:val="20"/>
          <w:lang w:eastAsia="zh-CN"/>
        </w:rPr>
        <w:t>6</w:t>
      </w:r>
    </w:p>
    <w:p w:rsidR="00DF1BF2" w:rsidRPr="003F2F66" w:rsidRDefault="00DF1BF2" w:rsidP="00DF1BF2">
      <w:pPr>
        <w:snapToGrid w:val="0"/>
        <w:spacing w:after="0" w:line="240" w:lineRule="auto"/>
        <w:jc w:val="both"/>
        <w:rPr>
          <w:rFonts w:ascii="Times New Roman" w:hAnsi="Times New Roman" w:cs="Times New Roman"/>
          <w:sz w:val="20"/>
          <w:szCs w:val="20"/>
          <w:lang w:eastAsia="zh-CN"/>
        </w:rPr>
      </w:pPr>
    </w:p>
    <w:p w:rsidR="008121EB" w:rsidRPr="003F2F66" w:rsidRDefault="008121EB" w:rsidP="003F2F66">
      <w:pPr>
        <w:snapToGrid w:val="0"/>
        <w:spacing w:after="0" w:line="240" w:lineRule="auto"/>
        <w:jc w:val="both"/>
        <w:rPr>
          <w:rFonts w:ascii="Times New Roman" w:hAnsi="Times New Roman" w:cs="Times New Roman"/>
          <w:sz w:val="20"/>
          <w:szCs w:val="20"/>
        </w:rPr>
      </w:pPr>
      <w:r w:rsidRPr="003F2F66">
        <w:rPr>
          <w:rFonts w:ascii="Times New Roman" w:hAnsi="Times New Roman" w:cs="Times New Roman"/>
          <w:b/>
          <w:sz w:val="20"/>
          <w:szCs w:val="20"/>
        </w:rPr>
        <w:t>Key Words</w:t>
      </w:r>
      <w:r w:rsidRPr="003F2F66">
        <w:rPr>
          <w:rFonts w:ascii="Times New Roman" w:hAnsi="Times New Roman" w:cs="Times New Roman"/>
          <w:sz w:val="20"/>
          <w:szCs w:val="20"/>
        </w:rPr>
        <w:t>: Mycobacterium, AFB, MOTT, Polymerase Chain Reaction, High Resolution Melt Curve Analysis.</w:t>
      </w:r>
    </w:p>
    <w:p w:rsidR="003F2F66" w:rsidRDefault="003F2F66" w:rsidP="003F2F66">
      <w:pPr>
        <w:snapToGrid w:val="0"/>
        <w:spacing w:after="0" w:line="240" w:lineRule="auto"/>
        <w:jc w:val="both"/>
        <w:rPr>
          <w:rFonts w:ascii="Times New Roman" w:hAnsi="Times New Roman" w:cs="Times New Roman"/>
          <w:sz w:val="20"/>
          <w:szCs w:val="20"/>
        </w:rPr>
      </w:pPr>
    </w:p>
    <w:p w:rsidR="003F2F66" w:rsidRPr="003F2F66" w:rsidRDefault="003F2F66" w:rsidP="003F2F66">
      <w:pPr>
        <w:snapToGrid w:val="0"/>
        <w:spacing w:after="0" w:line="240" w:lineRule="auto"/>
        <w:jc w:val="both"/>
        <w:rPr>
          <w:rFonts w:ascii="Times New Roman" w:hAnsi="Times New Roman" w:cs="Times New Roman"/>
          <w:sz w:val="20"/>
          <w:szCs w:val="20"/>
        </w:rPr>
        <w:sectPr w:rsidR="003F2F66" w:rsidRPr="003F2F66" w:rsidSect="003A660D">
          <w:headerReference w:type="default" r:id="rId9"/>
          <w:footerReference w:type="default" r:id="rId10"/>
          <w:type w:val="continuous"/>
          <w:pgSz w:w="12240" w:h="15840" w:code="1"/>
          <w:pgMar w:top="1440" w:right="1440" w:bottom="1440" w:left="1440" w:header="720" w:footer="720" w:gutter="0"/>
          <w:pgNumType w:start="40"/>
          <w:cols w:space="720"/>
          <w:docGrid w:linePitch="360"/>
        </w:sectPr>
      </w:pPr>
    </w:p>
    <w:p w:rsidR="00CD5AF8" w:rsidRPr="003F2F66" w:rsidRDefault="008A0747" w:rsidP="003F2F66">
      <w:pPr>
        <w:snapToGrid w:val="0"/>
        <w:spacing w:after="0" w:line="240" w:lineRule="auto"/>
        <w:jc w:val="both"/>
        <w:rPr>
          <w:rFonts w:ascii="Times New Roman" w:hAnsi="Times New Roman" w:cs="Times New Roman"/>
          <w:b/>
          <w:bCs/>
          <w:sz w:val="20"/>
          <w:szCs w:val="20"/>
        </w:rPr>
      </w:pPr>
      <w:r w:rsidRPr="003F2F66">
        <w:rPr>
          <w:rFonts w:ascii="Times New Roman" w:hAnsi="Times New Roman" w:cs="Times New Roman"/>
          <w:b/>
          <w:bCs/>
          <w:sz w:val="20"/>
          <w:szCs w:val="20"/>
        </w:rPr>
        <w:lastRenderedPageBreak/>
        <w:t xml:space="preserve">1. </w:t>
      </w:r>
      <w:r w:rsidR="008121EB" w:rsidRPr="003F2F66">
        <w:rPr>
          <w:rFonts w:ascii="Times New Roman" w:hAnsi="Times New Roman" w:cs="Times New Roman"/>
          <w:b/>
          <w:bCs/>
          <w:sz w:val="20"/>
          <w:szCs w:val="20"/>
        </w:rPr>
        <w:t>Introduction</w:t>
      </w:r>
    </w:p>
    <w:p w:rsidR="008A7D7F" w:rsidRPr="003F2F66" w:rsidRDefault="008A7D7F" w:rsidP="003F2F66">
      <w:pPr>
        <w:snapToGrid w:val="0"/>
        <w:spacing w:after="0" w:line="240" w:lineRule="auto"/>
        <w:ind w:firstLine="425"/>
        <w:jc w:val="both"/>
        <w:rPr>
          <w:rFonts w:ascii="Times New Roman" w:hAnsi="Times New Roman" w:cs="Times New Roman"/>
          <w:sz w:val="20"/>
          <w:szCs w:val="20"/>
        </w:rPr>
      </w:pPr>
      <w:r w:rsidRPr="003F2F66">
        <w:rPr>
          <w:rFonts w:ascii="Times New Roman" w:hAnsi="Times New Roman" w:cs="Times New Roman"/>
          <w:sz w:val="20"/>
          <w:szCs w:val="20"/>
        </w:rPr>
        <w:t xml:space="preserve">Mycobacterium tuberculosis infection is an important health concern for developing countries. Other species of </w:t>
      </w:r>
      <w:proofErr w:type="spellStart"/>
      <w:r w:rsidRPr="003F2F66">
        <w:rPr>
          <w:rFonts w:ascii="Times New Roman" w:hAnsi="Times New Roman" w:cs="Times New Roman"/>
          <w:sz w:val="20"/>
          <w:szCs w:val="20"/>
        </w:rPr>
        <w:t>Mycobacteria</w:t>
      </w:r>
      <w:proofErr w:type="spellEnd"/>
      <w:r w:rsidRPr="003F2F66">
        <w:rPr>
          <w:rFonts w:ascii="Times New Roman" w:hAnsi="Times New Roman" w:cs="Times New Roman"/>
          <w:sz w:val="20"/>
          <w:szCs w:val="20"/>
        </w:rPr>
        <w:t xml:space="preserve"> are usually saprophytes, but can be opportunistic and at times deadly pathogens. These other </w:t>
      </w:r>
      <w:proofErr w:type="spellStart"/>
      <w:r w:rsidRPr="003F2F66">
        <w:rPr>
          <w:rFonts w:ascii="Times New Roman" w:hAnsi="Times New Roman" w:cs="Times New Roman"/>
          <w:sz w:val="20"/>
          <w:szCs w:val="20"/>
        </w:rPr>
        <w:t>Mycobacteria</w:t>
      </w:r>
      <w:proofErr w:type="spellEnd"/>
      <w:r w:rsidRPr="003F2F66">
        <w:rPr>
          <w:rFonts w:ascii="Times New Roman" w:hAnsi="Times New Roman" w:cs="Times New Roman"/>
          <w:sz w:val="20"/>
          <w:szCs w:val="20"/>
        </w:rPr>
        <w:t xml:space="preserve"> are referred to as </w:t>
      </w:r>
      <w:proofErr w:type="spellStart"/>
      <w:r w:rsidRPr="003F2F66">
        <w:rPr>
          <w:rFonts w:ascii="Times New Roman" w:hAnsi="Times New Roman" w:cs="Times New Roman"/>
          <w:sz w:val="20"/>
          <w:szCs w:val="20"/>
        </w:rPr>
        <w:t>Mycobacteria</w:t>
      </w:r>
      <w:proofErr w:type="spellEnd"/>
      <w:r w:rsidRPr="003F2F66">
        <w:rPr>
          <w:rFonts w:ascii="Times New Roman" w:hAnsi="Times New Roman" w:cs="Times New Roman"/>
          <w:sz w:val="20"/>
          <w:szCs w:val="20"/>
        </w:rPr>
        <w:t xml:space="preserve"> other than tuberc</w:t>
      </w:r>
      <w:r w:rsidR="00E23A0D" w:rsidRPr="003F2F66">
        <w:rPr>
          <w:rFonts w:ascii="Times New Roman" w:hAnsi="Times New Roman" w:cs="Times New Roman"/>
          <w:sz w:val="20"/>
          <w:szCs w:val="20"/>
        </w:rPr>
        <w:t xml:space="preserve">ulosis </w:t>
      </w:r>
      <w:r w:rsidRPr="003F2F66">
        <w:rPr>
          <w:rFonts w:ascii="Times New Roman" w:hAnsi="Times New Roman" w:cs="Times New Roman"/>
          <w:sz w:val="20"/>
          <w:szCs w:val="20"/>
        </w:rPr>
        <w:t>(MOTT)</w:t>
      </w:r>
      <w:r w:rsidR="00F51F55" w:rsidRPr="003F2F66">
        <w:rPr>
          <w:rFonts w:ascii="Times New Roman" w:hAnsi="Times New Roman" w:cs="Times New Roman"/>
          <w:sz w:val="20"/>
          <w:szCs w:val="20"/>
        </w:rPr>
        <w:t xml:space="preserve">. </w:t>
      </w:r>
      <w:r w:rsidR="00852621" w:rsidRPr="003F2F66">
        <w:rPr>
          <w:rFonts w:ascii="Times New Roman" w:hAnsi="Times New Roman" w:cs="Times New Roman"/>
          <w:sz w:val="20"/>
          <w:szCs w:val="20"/>
        </w:rPr>
        <w:t>(</w:t>
      </w:r>
      <w:proofErr w:type="spellStart"/>
      <w:r w:rsidR="00852621" w:rsidRPr="003F2F66">
        <w:rPr>
          <w:rFonts w:ascii="Times New Roman" w:hAnsi="Times New Roman" w:cs="Times New Roman"/>
          <w:color w:val="000000"/>
          <w:sz w:val="20"/>
          <w:szCs w:val="20"/>
        </w:rPr>
        <w:t>Katoch</w:t>
      </w:r>
      <w:proofErr w:type="spellEnd"/>
      <w:r w:rsidR="00852621" w:rsidRPr="003F2F66">
        <w:rPr>
          <w:rFonts w:ascii="Times New Roman" w:hAnsi="Times New Roman" w:cs="Times New Roman"/>
          <w:color w:val="000000"/>
          <w:sz w:val="20"/>
          <w:szCs w:val="20"/>
        </w:rPr>
        <w:t xml:space="preserve"> VM</w:t>
      </w:r>
      <w:r w:rsidR="001D24AC" w:rsidRPr="003F2F66">
        <w:rPr>
          <w:rFonts w:ascii="Times New Roman" w:hAnsi="Times New Roman" w:cs="Times New Roman"/>
          <w:color w:val="000000"/>
          <w:sz w:val="20"/>
          <w:szCs w:val="20"/>
        </w:rPr>
        <w:t>,</w:t>
      </w:r>
      <w:r w:rsidR="00852621" w:rsidRPr="003F2F66">
        <w:rPr>
          <w:rFonts w:ascii="Times New Roman" w:hAnsi="Times New Roman" w:cs="Times New Roman"/>
          <w:color w:val="000000"/>
          <w:sz w:val="20"/>
          <w:szCs w:val="20"/>
        </w:rPr>
        <w:t xml:space="preserve"> 2004</w:t>
      </w:r>
      <w:r w:rsidR="002820C8" w:rsidRPr="003F2F66">
        <w:rPr>
          <w:rFonts w:ascii="Times New Roman" w:hAnsi="Times New Roman" w:cs="Times New Roman"/>
          <w:sz w:val="20"/>
          <w:szCs w:val="20"/>
        </w:rPr>
        <w:t xml:space="preserve"> and </w:t>
      </w:r>
      <w:proofErr w:type="spellStart"/>
      <w:r w:rsidR="00852621" w:rsidRPr="003F2F66">
        <w:rPr>
          <w:rFonts w:ascii="Times New Roman" w:hAnsi="Times New Roman" w:cs="Times New Roman"/>
          <w:color w:val="000000"/>
          <w:sz w:val="20"/>
          <w:szCs w:val="20"/>
        </w:rPr>
        <w:t>Portaels</w:t>
      </w:r>
      <w:proofErr w:type="spellEnd"/>
      <w:r w:rsidR="00852621" w:rsidRPr="003F2F66">
        <w:rPr>
          <w:rFonts w:ascii="Times New Roman" w:hAnsi="Times New Roman" w:cs="Times New Roman"/>
          <w:color w:val="000000"/>
          <w:sz w:val="20"/>
          <w:szCs w:val="20"/>
        </w:rPr>
        <w:t xml:space="preserve"> </w:t>
      </w:r>
      <w:r w:rsidR="002820C8" w:rsidRPr="003F2F66">
        <w:rPr>
          <w:rFonts w:ascii="Times New Roman" w:hAnsi="Times New Roman" w:cs="Times New Roman"/>
          <w:color w:val="000000"/>
          <w:sz w:val="20"/>
          <w:szCs w:val="20"/>
        </w:rPr>
        <w:t>F</w:t>
      </w:r>
      <w:r w:rsidR="001D24AC" w:rsidRPr="003F2F66">
        <w:rPr>
          <w:rFonts w:ascii="Times New Roman" w:hAnsi="Times New Roman" w:cs="Times New Roman"/>
          <w:color w:val="000000"/>
          <w:sz w:val="20"/>
          <w:szCs w:val="20"/>
        </w:rPr>
        <w:t>,</w:t>
      </w:r>
      <w:r w:rsidR="002820C8" w:rsidRPr="003F2F66">
        <w:rPr>
          <w:rFonts w:ascii="Times New Roman" w:hAnsi="Times New Roman" w:cs="Times New Roman"/>
          <w:color w:val="000000"/>
          <w:sz w:val="20"/>
          <w:szCs w:val="20"/>
        </w:rPr>
        <w:t xml:space="preserve"> 1995</w:t>
      </w:r>
      <w:r w:rsidR="00852621" w:rsidRPr="003F2F66">
        <w:rPr>
          <w:rFonts w:ascii="Times New Roman" w:hAnsi="Times New Roman" w:cs="Times New Roman"/>
          <w:color w:val="000000"/>
          <w:sz w:val="20"/>
          <w:szCs w:val="20"/>
        </w:rPr>
        <w:t>)</w:t>
      </w:r>
    </w:p>
    <w:p w:rsidR="0082437F" w:rsidRPr="003F2F66" w:rsidRDefault="0082437F" w:rsidP="003F2F6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F2F66">
        <w:rPr>
          <w:rFonts w:ascii="Times New Roman" w:hAnsi="Times New Roman" w:cs="Times New Roman"/>
          <w:color w:val="000000"/>
          <w:sz w:val="20"/>
          <w:szCs w:val="20"/>
        </w:rPr>
        <w:t>Different MOTT species have different antibiotic susceptibility patterns, and their resistance to anti-tuberculosis drugs is of particular importance. For these reasons, the accurate and early differential diagnosis of MOTT is required for optimal outcomes.</w:t>
      </w:r>
      <w:r w:rsidR="009517AB" w:rsidRPr="003F2F66">
        <w:rPr>
          <w:rFonts w:ascii="Times New Roman" w:hAnsi="Times New Roman" w:cs="Times New Roman"/>
          <w:color w:val="000000"/>
          <w:sz w:val="20"/>
          <w:szCs w:val="20"/>
        </w:rPr>
        <w:t xml:space="preserve"> </w:t>
      </w:r>
      <w:r w:rsidRPr="003F2F66">
        <w:rPr>
          <w:rFonts w:ascii="Times New Roman" w:hAnsi="Times New Roman" w:cs="Times New Roman"/>
          <w:color w:val="000000"/>
          <w:sz w:val="20"/>
          <w:szCs w:val="20"/>
        </w:rPr>
        <w:t xml:space="preserve">Currently, the identification of clinical isolates of </w:t>
      </w:r>
      <w:proofErr w:type="spellStart"/>
      <w:r w:rsidR="009517AB" w:rsidRPr="003F2F66">
        <w:rPr>
          <w:rFonts w:ascii="Times New Roman" w:hAnsi="Times New Roman" w:cs="Times New Roman"/>
          <w:color w:val="000000"/>
          <w:sz w:val="20"/>
          <w:szCs w:val="20"/>
        </w:rPr>
        <w:t>M</w:t>
      </w:r>
      <w:r w:rsidRPr="003F2F66">
        <w:rPr>
          <w:rFonts w:ascii="Times New Roman" w:hAnsi="Times New Roman" w:cs="Times New Roman"/>
          <w:color w:val="000000"/>
          <w:sz w:val="20"/>
          <w:szCs w:val="20"/>
        </w:rPr>
        <w:t>ycobacteria</w:t>
      </w:r>
      <w:proofErr w:type="spellEnd"/>
      <w:r w:rsidRPr="003F2F66">
        <w:rPr>
          <w:rFonts w:ascii="Times New Roman" w:hAnsi="Times New Roman" w:cs="Times New Roman"/>
          <w:color w:val="000000"/>
          <w:sz w:val="20"/>
          <w:szCs w:val="20"/>
        </w:rPr>
        <w:t xml:space="preserve"> at the species level is primarily based on the characteristics of the cultured bacteria and the bio-chemical test results. These conventional tests can take several weeks to perform and cannot always precisely identify the species</w:t>
      </w:r>
      <w:r w:rsidR="00F51F55" w:rsidRPr="003F2F66">
        <w:rPr>
          <w:rFonts w:ascii="Times New Roman" w:hAnsi="Times New Roman" w:cs="Times New Roman"/>
          <w:color w:val="000000"/>
          <w:sz w:val="20"/>
          <w:szCs w:val="20"/>
        </w:rPr>
        <w:t xml:space="preserve"> </w:t>
      </w:r>
      <w:r w:rsidR="007125A5" w:rsidRPr="003F2F66">
        <w:rPr>
          <w:rFonts w:ascii="Times New Roman" w:hAnsi="Times New Roman" w:cs="Times New Roman"/>
          <w:color w:val="000000"/>
          <w:sz w:val="20"/>
          <w:szCs w:val="20"/>
        </w:rPr>
        <w:t>(Bang HI, 2011).</w:t>
      </w:r>
      <w:r w:rsidRPr="003F2F66">
        <w:rPr>
          <w:rFonts w:ascii="Times New Roman" w:hAnsi="Times New Roman" w:cs="Times New Roman"/>
          <w:color w:val="000000"/>
          <w:sz w:val="20"/>
          <w:szCs w:val="20"/>
        </w:rPr>
        <w:t xml:space="preserve"> Furthermore, these testing procedures are complex and laborious, and they are usually impeded by the slow growth of </w:t>
      </w:r>
      <w:proofErr w:type="spellStart"/>
      <w:r w:rsidR="009517AB" w:rsidRPr="003F2F66">
        <w:rPr>
          <w:rFonts w:ascii="Times New Roman" w:hAnsi="Times New Roman" w:cs="Times New Roman"/>
          <w:color w:val="000000"/>
          <w:sz w:val="20"/>
          <w:szCs w:val="20"/>
        </w:rPr>
        <w:t>M</w:t>
      </w:r>
      <w:r w:rsidRPr="003F2F66">
        <w:rPr>
          <w:rFonts w:ascii="Times New Roman" w:hAnsi="Times New Roman" w:cs="Times New Roman"/>
          <w:color w:val="000000"/>
          <w:sz w:val="20"/>
          <w:szCs w:val="20"/>
        </w:rPr>
        <w:t>ycobacteria</w:t>
      </w:r>
      <w:proofErr w:type="spellEnd"/>
      <w:r w:rsidRPr="003F2F66">
        <w:rPr>
          <w:rFonts w:ascii="Times New Roman" w:hAnsi="Times New Roman" w:cs="Times New Roman"/>
          <w:color w:val="000000"/>
          <w:sz w:val="20"/>
          <w:szCs w:val="20"/>
        </w:rPr>
        <w:t xml:space="preserve"> in culture. There are numerous species of MOTT, and recently developed molecular methods have enabled the recognition of many of these species</w:t>
      </w:r>
      <w:r w:rsidR="00F51F55" w:rsidRPr="003F2F66">
        <w:rPr>
          <w:rFonts w:ascii="Times New Roman" w:hAnsi="Times New Roman" w:cs="Times New Roman"/>
          <w:color w:val="000000"/>
          <w:sz w:val="20"/>
          <w:szCs w:val="20"/>
        </w:rPr>
        <w:t xml:space="preserve"> </w:t>
      </w:r>
      <w:r w:rsidR="007125A5" w:rsidRPr="003F2F66">
        <w:rPr>
          <w:rFonts w:ascii="Times New Roman" w:hAnsi="Times New Roman" w:cs="Times New Roman"/>
          <w:color w:val="000000"/>
          <w:sz w:val="20"/>
          <w:szCs w:val="20"/>
        </w:rPr>
        <w:t>(</w:t>
      </w:r>
      <w:proofErr w:type="spellStart"/>
      <w:r w:rsidR="007125A5" w:rsidRPr="003F2F66">
        <w:rPr>
          <w:rFonts w:ascii="Times New Roman" w:hAnsi="Times New Roman" w:cs="Times New Roman"/>
          <w:color w:val="000000"/>
          <w:sz w:val="20"/>
          <w:szCs w:val="20"/>
        </w:rPr>
        <w:t>Koh</w:t>
      </w:r>
      <w:proofErr w:type="spellEnd"/>
      <w:r w:rsidR="007125A5" w:rsidRPr="003F2F66">
        <w:rPr>
          <w:rFonts w:ascii="Times New Roman" w:hAnsi="Times New Roman" w:cs="Times New Roman"/>
          <w:color w:val="000000"/>
          <w:sz w:val="20"/>
          <w:szCs w:val="20"/>
        </w:rPr>
        <w:t xml:space="preserve"> WJ et al., 2003)</w:t>
      </w:r>
      <w:r w:rsidRPr="003F2F66">
        <w:rPr>
          <w:rFonts w:ascii="Times New Roman" w:hAnsi="Times New Roman" w:cs="Times New Roman"/>
          <w:color w:val="000000"/>
          <w:sz w:val="20"/>
          <w:szCs w:val="20"/>
        </w:rPr>
        <w:t>. In this study, polymerase chain reaction (PCR</w:t>
      </w:r>
      <w:r w:rsidR="002820C8" w:rsidRPr="003F2F66">
        <w:rPr>
          <w:rFonts w:ascii="Times New Roman" w:hAnsi="Times New Roman" w:cs="Times New Roman"/>
          <w:color w:val="000000"/>
          <w:sz w:val="20"/>
          <w:szCs w:val="20"/>
        </w:rPr>
        <w:t>) -</w:t>
      </w:r>
      <w:r w:rsidRPr="003F2F66">
        <w:rPr>
          <w:rFonts w:ascii="Times New Roman" w:hAnsi="Times New Roman" w:cs="Times New Roman"/>
          <w:color w:val="000000"/>
          <w:sz w:val="20"/>
          <w:szCs w:val="20"/>
        </w:rPr>
        <w:t xml:space="preserve"> High resolution Melt curve analysis</w:t>
      </w:r>
      <w:r w:rsidR="00FD05D6" w:rsidRPr="003F2F66">
        <w:rPr>
          <w:rFonts w:ascii="Times New Roman" w:hAnsi="Times New Roman" w:cs="Times New Roman"/>
          <w:color w:val="000000"/>
          <w:sz w:val="20"/>
          <w:szCs w:val="20"/>
        </w:rPr>
        <w:t xml:space="preserve"> was used for MOTT species identification.</w:t>
      </w:r>
    </w:p>
    <w:p w:rsidR="001360D4" w:rsidRDefault="001360D4" w:rsidP="003F2F66">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A867F7" w:rsidRPr="003F2F66" w:rsidRDefault="00A867F7" w:rsidP="003F2F66">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D57BAC" w:rsidRPr="003F2F66" w:rsidRDefault="00D57BAC" w:rsidP="003F2F6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F2F66">
        <w:rPr>
          <w:rFonts w:ascii="Times New Roman" w:hAnsi="Times New Roman" w:cs="Times New Roman"/>
          <w:b/>
          <w:bCs/>
          <w:color w:val="000000"/>
          <w:sz w:val="20"/>
          <w:szCs w:val="20"/>
        </w:rPr>
        <w:lastRenderedPageBreak/>
        <w:t>2.</w:t>
      </w:r>
      <w:r w:rsidR="009678A7" w:rsidRPr="003F2F66">
        <w:rPr>
          <w:rFonts w:ascii="Times New Roman" w:hAnsi="Times New Roman" w:cs="Times New Roman"/>
          <w:b/>
          <w:bCs/>
          <w:color w:val="000000"/>
          <w:sz w:val="20"/>
          <w:szCs w:val="20"/>
        </w:rPr>
        <w:t>M</w:t>
      </w:r>
      <w:r w:rsidRPr="003F2F66">
        <w:rPr>
          <w:rFonts w:ascii="Times New Roman" w:hAnsi="Times New Roman" w:cs="Times New Roman"/>
          <w:b/>
          <w:bCs/>
          <w:color w:val="000000"/>
          <w:sz w:val="20"/>
          <w:szCs w:val="20"/>
        </w:rPr>
        <w:t>aterials and Methods</w:t>
      </w:r>
    </w:p>
    <w:p w:rsidR="009D280A" w:rsidRPr="003F2F66" w:rsidRDefault="009D280A" w:rsidP="003F2F6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F2F66">
        <w:rPr>
          <w:rFonts w:ascii="Times New Roman" w:hAnsi="Times New Roman" w:cs="Times New Roman"/>
          <w:sz w:val="20"/>
          <w:szCs w:val="20"/>
        </w:rPr>
        <w:t xml:space="preserve">Six thousand nine hundred thirty three samples were received from various hospitals in Delhi NCR for Mycobacterium spp. culture during </w:t>
      </w:r>
      <w:r w:rsidR="002820C8" w:rsidRPr="003F2F66">
        <w:rPr>
          <w:rFonts w:ascii="Times New Roman" w:hAnsi="Times New Roman" w:cs="Times New Roman"/>
          <w:sz w:val="20"/>
          <w:szCs w:val="20"/>
        </w:rPr>
        <w:t xml:space="preserve">the month of </w:t>
      </w:r>
      <w:r w:rsidRPr="003F2F66">
        <w:rPr>
          <w:rFonts w:ascii="Times New Roman" w:eastAsia="Calibri" w:hAnsi="Times New Roman" w:cs="Times New Roman"/>
          <w:sz w:val="20"/>
          <w:szCs w:val="20"/>
        </w:rPr>
        <w:t xml:space="preserve">January 2009 to December 2012. </w:t>
      </w:r>
      <w:r w:rsidR="002820C8" w:rsidRPr="003F2F66">
        <w:rPr>
          <w:rFonts w:ascii="Times New Roman" w:eastAsia="Calibri" w:hAnsi="Times New Roman" w:cs="Times New Roman"/>
          <w:sz w:val="20"/>
          <w:szCs w:val="20"/>
        </w:rPr>
        <w:t xml:space="preserve">From </w:t>
      </w:r>
      <w:r w:rsidRPr="003F2F66">
        <w:rPr>
          <w:rFonts w:ascii="Times New Roman" w:hAnsi="Times New Roman" w:cs="Times New Roman"/>
          <w:sz w:val="20"/>
          <w:szCs w:val="20"/>
        </w:rPr>
        <w:t>these</w:t>
      </w:r>
      <w:r w:rsidR="002820C8" w:rsidRPr="003F2F66">
        <w:rPr>
          <w:rFonts w:ascii="Times New Roman" w:hAnsi="Times New Roman" w:cs="Times New Roman"/>
          <w:sz w:val="20"/>
          <w:szCs w:val="20"/>
        </w:rPr>
        <w:t xml:space="preserve"> samples </w:t>
      </w:r>
      <w:r w:rsidRPr="003F2F66">
        <w:rPr>
          <w:rFonts w:ascii="Times New Roman" w:hAnsi="Times New Roman" w:cs="Times New Roman"/>
          <w:sz w:val="20"/>
          <w:szCs w:val="20"/>
        </w:rPr>
        <w:t>1386 strains were isolated. These isolates were tested by BACTEC 460 NAP TB Differentiation Test to differentiate MTB complex from MOTT strains. Speciation of MOTT isolates was done by PCR-HRM assay using universal PCR primers</w:t>
      </w:r>
      <w:r w:rsidR="00FD05D6" w:rsidRPr="003F2F66">
        <w:rPr>
          <w:rFonts w:ascii="Times New Roman" w:hAnsi="Times New Roman" w:cs="Times New Roman"/>
          <w:sz w:val="20"/>
          <w:szCs w:val="20"/>
        </w:rPr>
        <w:t>,</w:t>
      </w:r>
      <w:r w:rsidRPr="003F2F66">
        <w:rPr>
          <w:rFonts w:ascii="Times New Roman" w:hAnsi="Times New Roman" w:cs="Times New Roman"/>
          <w:sz w:val="20"/>
          <w:szCs w:val="20"/>
        </w:rPr>
        <w:t xml:space="preserve"> targeting 16S </w:t>
      </w:r>
      <w:proofErr w:type="spellStart"/>
      <w:r w:rsidRPr="003F2F66">
        <w:rPr>
          <w:rFonts w:ascii="Times New Roman" w:hAnsi="Times New Roman" w:cs="Times New Roman"/>
          <w:sz w:val="20"/>
          <w:szCs w:val="20"/>
        </w:rPr>
        <w:t>rRNA</w:t>
      </w:r>
      <w:proofErr w:type="spellEnd"/>
      <w:r w:rsidRPr="003F2F66">
        <w:rPr>
          <w:rFonts w:ascii="Times New Roman" w:hAnsi="Times New Roman" w:cs="Times New Roman"/>
          <w:sz w:val="20"/>
          <w:szCs w:val="20"/>
        </w:rPr>
        <w:t xml:space="preserve"> gene hyper variable region and compared with conventional identification and PCR- gene sequencing methods.</w:t>
      </w:r>
    </w:p>
    <w:p w:rsidR="005B5CA1" w:rsidRPr="003F2F66" w:rsidRDefault="005B5CA1" w:rsidP="003F2F66">
      <w:pPr>
        <w:autoSpaceDE w:val="0"/>
        <w:autoSpaceDN w:val="0"/>
        <w:adjustRightInd w:val="0"/>
        <w:snapToGrid w:val="0"/>
        <w:spacing w:after="0" w:line="240" w:lineRule="auto"/>
        <w:ind w:firstLine="425"/>
        <w:jc w:val="both"/>
        <w:rPr>
          <w:rFonts w:ascii="Times New Roman" w:hAnsi="Times New Roman" w:cs="Times New Roman"/>
          <w:bCs/>
          <w:color w:val="000000"/>
          <w:sz w:val="20"/>
          <w:szCs w:val="20"/>
        </w:rPr>
      </w:pPr>
      <w:r w:rsidRPr="003F2F66">
        <w:rPr>
          <w:rFonts w:ascii="Times New Roman" w:hAnsi="Times New Roman" w:cs="Times New Roman"/>
          <w:bCs/>
          <w:color w:val="000000"/>
          <w:sz w:val="20"/>
          <w:szCs w:val="20"/>
        </w:rPr>
        <w:t>Microbiological analysis</w:t>
      </w:r>
      <w:r w:rsidR="009517AB" w:rsidRPr="003F2F66">
        <w:rPr>
          <w:rFonts w:ascii="Times New Roman" w:hAnsi="Times New Roman" w:cs="Times New Roman"/>
          <w:bCs/>
          <w:color w:val="000000"/>
          <w:sz w:val="20"/>
          <w:szCs w:val="20"/>
        </w:rPr>
        <w:t>:</w:t>
      </w:r>
      <w:r w:rsidRPr="003F2F66">
        <w:rPr>
          <w:rFonts w:ascii="Times New Roman" w:hAnsi="Times New Roman" w:cs="Times New Roman"/>
          <w:bCs/>
          <w:color w:val="000000"/>
          <w:sz w:val="20"/>
          <w:szCs w:val="20"/>
        </w:rPr>
        <w:t xml:space="preserve"> For decontamination of specimens from normal bacterial flora, specimens were treated by N-acetyl- L- </w:t>
      </w:r>
      <w:proofErr w:type="spellStart"/>
      <w:r w:rsidRPr="003F2F66">
        <w:rPr>
          <w:rFonts w:ascii="Times New Roman" w:hAnsi="Times New Roman" w:cs="Times New Roman"/>
          <w:bCs/>
          <w:color w:val="000000"/>
          <w:sz w:val="20"/>
          <w:szCs w:val="20"/>
        </w:rPr>
        <w:t>cysteine-NaOH</w:t>
      </w:r>
      <w:proofErr w:type="spellEnd"/>
      <w:r w:rsidRPr="003F2F66">
        <w:rPr>
          <w:rFonts w:ascii="Times New Roman" w:hAnsi="Times New Roman" w:cs="Times New Roman"/>
          <w:bCs/>
          <w:color w:val="000000"/>
          <w:sz w:val="20"/>
          <w:szCs w:val="20"/>
        </w:rPr>
        <w:t xml:space="preserve"> Method</w:t>
      </w:r>
      <w:r w:rsidR="002B0B61" w:rsidRPr="003F2F66">
        <w:rPr>
          <w:rFonts w:ascii="Times New Roman" w:hAnsi="Times New Roman" w:cs="Times New Roman"/>
          <w:bCs/>
          <w:color w:val="000000"/>
          <w:sz w:val="20"/>
          <w:szCs w:val="20"/>
        </w:rPr>
        <w:t>.</w:t>
      </w:r>
      <w:r w:rsidR="00BD4062" w:rsidRPr="003F2F66">
        <w:rPr>
          <w:rFonts w:ascii="Times New Roman" w:hAnsi="Times New Roman" w:cs="Times New Roman"/>
          <w:bCs/>
          <w:color w:val="000000"/>
          <w:sz w:val="20"/>
          <w:szCs w:val="20"/>
        </w:rPr>
        <w:t>(</w:t>
      </w:r>
      <w:r w:rsidR="00BD4062" w:rsidRPr="003F2F66">
        <w:rPr>
          <w:rFonts w:ascii="Times New Roman" w:hAnsi="Times New Roman" w:cs="Times New Roman"/>
          <w:color w:val="000000"/>
          <w:sz w:val="20"/>
          <w:szCs w:val="20"/>
        </w:rPr>
        <w:t xml:space="preserve"> Scott CP et al</w:t>
      </w:r>
      <w:r w:rsidR="001D24AC" w:rsidRPr="003F2F66">
        <w:rPr>
          <w:rFonts w:ascii="Times New Roman" w:hAnsi="Times New Roman" w:cs="Times New Roman"/>
          <w:color w:val="000000"/>
          <w:sz w:val="20"/>
          <w:szCs w:val="20"/>
        </w:rPr>
        <w:t>.,</w:t>
      </w:r>
      <w:r w:rsidR="00BD4062" w:rsidRPr="003F2F66">
        <w:rPr>
          <w:rFonts w:ascii="Times New Roman" w:hAnsi="Times New Roman" w:cs="Times New Roman"/>
          <w:color w:val="000000"/>
          <w:sz w:val="20"/>
          <w:szCs w:val="20"/>
        </w:rPr>
        <w:t xml:space="preserve"> 2002</w:t>
      </w:r>
      <w:r w:rsidR="00BD4062" w:rsidRPr="003F2F66">
        <w:rPr>
          <w:rFonts w:ascii="Times New Roman" w:hAnsi="Times New Roman" w:cs="Times New Roman"/>
          <w:bCs/>
          <w:color w:val="000000"/>
          <w:sz w:val="20"/>
          <w:szCs w:val="20"/>
        </w:rPr>
        <w:t>)</w:t>
      </w:r>
      <w:r w:rsidRPr="003F2F66">
        <w:rPr>
          <w:rFonts w:ascii="Times New Roman" w:hAnsi="Times New Roman" w:cs="Times New Roman"/>
          <w:bCs/>
          <w:color w:val="000000"/>
          <w:sz w:val="20"/>
          <w:szCs w:val="20"/>
        </w:rPr>
        <w:t xml:space="preserve"> Smears were stained with </w:t>
      </w:r>
      <w:proofErr w:type="spellStart"/>
      <w:r w:rsidRPr="003F2F66">
        <w:rPr>
          <w:rFonts w:ascii="Times New Roman" w:hAnsi="Times New Roman" w:cs="Times New Roman"/>
          <w:bCs/>
          <w:color w:val="000000"/>
          <w:sz w:val="20"/>
          <w:szCs w:val="20"/>
        </w:rPr>
        <w:t>Ziehl-Neelsen</w:t>
      </w:r>
      <w:proofErr w:type="spellEnd"/>
      <w:r w:rsidRPr="003F2F66">
        <w:rPr>
          <w:rFonts w:ascii="Times New Roman" w:hAnsi="Times New Roman" w:cs="Times New Roman"/>
          <w:bCs/>
          <w:color w:val="000000"/>
          <w:sz w:val="20"/>
          <w:szCs w:val="20"/>
        </w:rPr>
        <w:t xml:space="preserve"> (ZN) for detection of acid-fast bacilli (AFB). For the BACTEC method (Becton Dickinson, Cockeysville, MD, USA), 0.5 ml of processed specimen was inoculated into the BACTEC 12B vial supplemented with PANTA (a mixture of five different antibiotics: </w:t>
      </w:r>
      <w:proofErr w:type="spellStart"/>
      <w:r w:rsidRPr="003F2F66">
        <w:rPr>
          <w:rFonts w:ascii="Times New Roman" w:hAnsi="Times New Roman" w:cs="Times New Roman"/>
          <w:bCs/>
          <w:color w:val="000000"/>
          <w:sz w:val="20"/>
          <w:szCs w:val="20"/>
        </w:rPr>
        <w:t>polymyxin</w:t>
      </w:r>
      <w:proofErr w:type="spellEnd"/>
      <w:r w:rsidRPr="003F2F66">
        <w:rPr>
          <w:rFonts w:ascii="Times New Roman" w:hAnsi="Times New Roman" w:cs="Times New Roman"/>
          <w:bCs/>
          <w:color w:val="000000"/>
          <w:sz w:val="20"/>
          <w:szCs w:val="20"/>
        </w:rPr>
        <w:t xml:space="preserve"> B, </w:t>
      </w:r>
      <w:proofErr w:type="spellStart"/>
      <w:r w:rsidRPr="003F2F66">
        <w:rPr>
          <w:rFonts w:ascii="Times New Roman" w:hAnsi="Times New Roman" w:cs="Times New Roman"/>
          <w:bCs/>
          <w:color w:val="000000"/>
          <w:sz w:val="20"/>
          <w:szCs w:val="20"/>
        </w:rPr>
        <w:t>amphotericin</w:t>
      </w:r>
      <w:proofErr w:type="spellEnd"/>
      <w:r w:rsidRPr="003F2F66">
        <w:rPr>
          <w:rFonts w:ascii="Times New Roman" w:hAnsi="Times New Roman" w:cs="Times New Roman"/>
          <w:bCs/>
          <w:color w:val="000000"/>
          <w:sz w:val="20"/>
          <w:szCs w:val="20"/>
        </w:rPr>
        <w:t xml:space="preserve"> B, </w:t>
      </w:r>
      <w:proofErr w:type="spellStart"/>
      <w:r w:rsidRPr="003F2F66">
        <w:rPr>
          <w:rFonts w:ascii="Times New Roman" w:hAnsi="Times New Roman" w:cs="Times New Roman"/>
          <w:bCs/>
          <w:color w:val="000000"/>
          <w:sz w:val="20"/>
          <w:szCs w:val="20"/>
        </w:rPr>
        <w:t>nalidixic</w:t>
      </w:r>
      <w:proofErr w:type="spellEnd"/>
      <w:r w:rsidRPr="003F2F66">
        <w:rPr>
          <w:rFonts w:ascii="Times New Roman" w:hAnsi="Times New Roman" w:cs="Times New Roman"/>
          <w:bCs/>
          <w:color w:val="000000"/>
          <w:sz w:val="20"/>
          <w:szCs w:val="20"/>
        </w:rPr>
        <w:t xml:space="preserve"> acid, </w:t>
      </w:r>
      <w:proofErr w:type="spellStart"/>
      <w:r w:rsidRPr="003F2F66">
        <w:rPr>
          <w:rFonts w:ascii="Times New Roman" w:hAnsi="Times New Roman" w:cs="Times New Roman"/>
          <w:bCs/>
          <w:color w:val="000000"/>
          <w:sz w:val="20"/>
          <w:szCs w:val="20"/>
        </w:rPr>
        <w:t>trimethoprim</w:t>
      </w:r>
      <w:proofErr w:type="spellEnd"/>
      <w:r w:rsidRPr="003F2F66">
        <w:rPr>
          <w:rFonts w:ascii="Times New Roman" w:hAnsi="Times New Roman" w:cs="Times New Roman"/>
          <w:bCs/>
          <w:color w:val="000000"/>
          <w:sz w:val="20"/>
          <w:szCs w:val="20"/>
        </w:rPr>
        <w:t xml:space="preserve"> and </w:t>
      </w:r>
      <w:proofErr w:type="spellStart"/>
      <w:r w:rsidRPr="003F2F66">
        <w:rPr>
          <w:rFonts w:ascii="Times New Roman" w:hAnsi="Times New Roman" w:cs="Times New Roman"/>
          <w:bCs/>
          <w:color w:val="000000"/>
          <w:sz w:val="20"/>
          <w:szCs w:val="20"/>
        </w:rPr>
        <w:t>azlocillin</w:t>
      </w:r>
      <w:proofErr w:type="spellEnd"/>
      <w:r w:rsidRPr="003F2F66">
        <w:rPr>
          <w:rFonts w:ascii="Times New Roman" w:hAnsi="Times New Roman" w:cs="Times New Roman"/>
          <w:bCs/>
          <w:color w:val="000000"/>
          <w:sz w:val="20"/>
          <w:szCs w:val="20"/>
        </w:rPr>
        <w:t xml:space="preserve">) and incubated at </w:t>
      </w:r>
      <w:r w:rsidR="002B0B61" w:rsidRPr="003F2F66">
        <w:rPr>
          <w:rFonts w:ascii="Times New Roman" w:hAnsi="Times New Roman" w:cs="Times New Roman"/>
          <w:bCs/>
          <w:color w:val="000000"/>
          <w:sz w:val="20"/>
          <w:szCs w:val="20"/>
        </w:rPr>
        <w:t>37</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Pr="003F2F66">
        <w:rPr>
          <w:rFonts w:ascii="Times New Roman" w:hAnsi="Times New Roman" w:cs="Times New Roman"/>
          <w:bCs/>
          <w:color w:val="000000"/>
          <w:sz w:val="20"/>
          <w:szCs w:val="20"/>
        </w:rPr>
        <w:t xml:space="preserve">. Readings were taken twice a week for the first two </w:t>
      </w:r>
      <w:r w:rsidR="002820C8" w:rsidRPr="003F2F66">
        <w:rPr>
          <w:rFonts w:ascii="Times New Roman" w:hAnsi="Times New Roman" w:cs="Times New Roman"/>
          <w:bCs/>
          <w:color w:val="000000"/>
          <w:sz w:val="20"/>
          <w:szCs w:val="20"/>
        </w:rPr>
        <w:t>week</w:t>
      </w:r>
      <w:r w:rsidRPr="003F2F66">
        <w:rPr>
          <w:rFonts w:ascii="Times New Roman" w:hAnsi="Times New Roman" w:cs="Times New Roman"/>
          <w:bCs/>
          <w:color w:val="000000"/>
          <w:sz w:val="20"/>
          <w:szCs w:val="20"/>
        </w:rPr>
        <w:t xml:space="preserve"> and once a w</w:t>
      </w:r>
      <w:r w:rsidR="002820C8" w:rsidRPr="003F2F66">
        <w:rPr>
          <w:rFonts w:ascii="Times New Roman" w:hAnsi="Times New Roman" w:cs="Times New Roman"/>
          <w:bCs/>
          <w:color w:val="000000"/>
          <w:sz w:val="20"/>
          <w:szCs w:val="20"/>
        </w:rPr>
        <w:t>ee</w:t>
      </w:r>
      <w:r w:rsidRPr="003F2F66">
        <w:rPr>
          <w:rFonts w:ascii="Times New Roman" w:hAnsi="Times New Roman" w:cs="Times New Roman"/>
          <w:bCs/>
          <w:color w:val="000000"/>
          <w:sz w:val="20"/>
          <w:szCs w:val="20"/>
        </w:rPr>
        <w:t xml:space="preserve">k thereafter for culture positivity for 8 </w:t>
      </w:r>
      <w:r w:rsidR="002820C8" w:rsidRPr="003F2F66">
        <w:rPr>
          <w:rFonts w:ascii="Times New Roman" w:hAnsi="Times New Roman" w:cs="Times New Roman"/>
          <w:bCs/>
          <w:color w:val="000000"/>
          <w:sz w:val="20"/>
          <w:szCs w:val="20"/>
        </w:rPr>
        <w:t>week</w:t>
      </w:r>
      <w:r w:rsidRPr="003F2F66">
        <w:rPr>
          <w:rFonts w:ascii="Times New Roman" w:hAnsi="Times New Roman" w:cs="Times New Roman"/>
          <w:bCs/>
          <w:color w:val="000000"/>
          <w:sz w:val="20"/>
          <w:szCs w:val="20"/>
        </w:rPr>
        <w:t xml:space="preserve">. After 8 </w:t>
      </w:r>
      <w:r w:rsidR="002820C8" w:rsidRPr="003F2F66">
        <w:rPr>
          <w:rFonts w:ascii="Times New Roman" w:hAnsi="Times New Roman" w:cs="Times New Roman"/>
          <w:bCs/>
          <w:color w:val="000000"/>
          <w:sz w:val="20"/>
          <w:szCs w:val="20"/>
        </w:rPr>
        <w:t>week</w:t>
      </w:r>
      <w:r w:rsidRPr="003F2F66">
        <w:rPr>
          <w:rFonts w:ascii="Times New Roman" w:hAnsi="Times New Roman" w:cs="Times New Roman"/>
          <w:bCs/>
          <w:color w:val="000000"/>
          <w:sz w:val="20"/>
          <w:szCs w:val="20"/>
        </w:rPr>
        <w:t xml:space="preserve"> if the growth index (GI) was</w:t>
      </w:r>
      <w:r w:rsidR="001B60B9" w:rsidRPr="003F2F66">
        <w:rPr>
          <w:rFonts w:ascii="Times New Roman" w:hAnsi="Times New Roman" w:cs="Times New Roman"/>
          <w:bCs/>
          <w:color w:val="000000"/>
          <w:sz w:val="20"/>
          <w:szCs w:val="20"/>
        </w:rPr>
        <w:t xml:space="preserve"> </w:t>
      </w:r>
      <w:r w:rsidRPr="003F2F66">
        <w:rPr>
          <w:rFonts w:ascii="Times New Roman" w:hAnsi="Times New Roman" w:cs="Times New Roman"/>
          <w:bCs/>
          <w:color w:val="000000"/>
          <w:sz w:val="20"/>
          <w:szCs w:val="20"/>
        </w:rPr>
        <w:t>zero, the specimens were considered as negative.</w:t>
      </w:r>
    </w:p>
    <w:p w:rsidR="005B5CA1" w:rsidRPr="003F2F66" w:rsidRDefault="005B5CA1" w:rsidP="003F2F66">
      <w:pPr>
        <w:autoSpaceDE w:val="0"/>
        <w:autoSpaceDN w:val="0"/>
        <w:adjustRightInd w:val="0"/>
        <w:snapToGrid w:val="0"/>
        <w:spacing w:after="0" w:line="240" w:lineRule="auto"/>
        <w:ind w:firstLine="425"/>
        <w:jc w:val="both"/>
        <w:rPr>
          <w:rFonts w:ascii="Times New Roman" w:hAnsi="Times New Roman" w:cs="Times New Roman"/>
          <w:b/>
          <w:bCs/>
          <w:color w:val="000000"/>
          <w:sz w:val="20"/>
          <w:szCs w:val="20"/>
        </w:rPr>
      </w:pPr>
      <w:r w:rsidRPr="003F2F66">
        <w:rPr>
          <w:rFonts w:ascii="Times New Roman" w:hAnsi="Times New Roman" w:cs="Times New Roman"/>
          <w:bCs/>
          <w:color w:val="000000"/>
          <w:sz w:val="20"/>
          <w:szCs w:val="20"/>
        </w:rPr>
        <w:lastRenderedPageBreak/>
        <w:t>AFB smears were made from vials with a GI of 50-100, and further identification of MTBC was done by the BACTEC NAP (p-nitro-α-</w:t>
      </w:r>
      <w:proofErr w:type="spellStart"/>
      <w:r w:rsidRPr="003F2F66">
        <w:rPr>
          <w:rFonts w:ascii="Times New Roman" w:hAnsi="Times New Roman" w:cs="Times New Roman"/>
          <w:bCs/>
          <w:color w:val="000000"/>
          <w:sz w:val="20"/>
          <w:szCs w:val="20"/>
        </w:rPr>
        <w:t>acetylamino-β-hydroxy</w:t>
      </w:r>
      <w:proofErr w:type="spellEnd"/>
      <w:r w:rsidRPr="003F2F66">
        <w:rPr>
          <w:rFonts w:ascii="Times New Roman" w:hAnsi="Times New Roman" w:cs="Times New Roman"/>
          <w:bCs/>
          <w:color w:val="000000"/>
          <w:sz w:val="20"/>
          <w:szCs w:val="20"/>
        </w:rPr>
        <w:t xml:space="preserve"> </w:t>
      </w:r>
      <w:proofErr w:type="spellStart"/>
      <w:r w:rsidRPr="003F2F66">
        <w:rPr>
          <w:rFonts w:ascii="Times New Roman" w:hAnsi="Times New Roman" w:cs="Times New Roman"/>
          <w:bCs/>
          <w:color w:val="000000"/>
          <w:sz w:val="20"/>
          <w:szCs w:val="20"/>
        </w:rPr>
        <w:t>propiophenone</w:t>
      </w:r>
      <w:proofErr w:type="spellEnd"/>
      <w:r w:rsidRPr="003F2F66">
        <w:rPr>
          <w:rFonts w:ascii="Times New Roman" w:hAnsi="Times New Roman" w:cs="Times New Roman"/>
          <w:bCs/>
          <w:color w:val="000000"/>
          <w:sz w:val="20"/>
          <w:szCs w:val="20"/>
        </w:rPr>
        <w:t xml:space="preserve">) differentiation test (Becton </w:t>
      </w:r>
      <w:proofErr w:type="spellStart"/>
      <w:r w:rsidRPr="003F2F66">
        <w:rPr>
          <w:rFonts w:ascii="Times New Roman" w:hAnsi="Times New Roman" w:cs="Times New Roman"/>
          <w:bCs/>
          <w:color w:val="000000"/>
          <w:sz w:val="20"/>
          <w:szCs w:val="20"/>
        </w:rPr>
        <w:t>Dickinson,Sparks</w:t>
      </w:r>
      <w:proofErr w:type="spellEnd"/>
      <w:r w:rsidRPr="003F2F66">
        <w:rPr>
          <w:rFonts w:ascii="Times New Roman" w:hAnsi="Times New Roman" w:cs="Times New Roman"/>
          <w:bCs/>
          <w:color w:val="000000"/>
          <w:sz w:val="20"/>
          <w:szCs w:val="20"/>
        </w:rPr>
        <w:t>, MD, USA)</w:t>
      </w:r>
      <w:r w:rsidR="00BD4062" w:rsidRPr="003F2F66">
        <w:rPr>
          <w:rFonts w:ascii="Times New Roman" w:hAnsi="Times New Roman" w:cs="Times New Roman"/>
          <w:bCs/>
          <w:color w:val="000000"/>
          <w:sz w:val="20"/>
          <w:szCs w:val="20"/>
        </w:rPr>
        <w:t xml:space="preserve"> (</w:t>
      </w:r>
      <w:proofErr w:type="spellStart"/>
      <w:r w:rsidR="00BD4062" w:rsidRPr="003F2F66">
        <w:rPr>
          <w:rFonts w:ascii="Times New Roman" w:hAnsi="Times New Roman" w:cs="Times New Roman"/>
          <w:color w:val="000000"/>
          <w:sz w:val="20"/>
          <w:szCs w:val="20"/>
        </w:rPr>
        <w:t>Siddiqi</w:t>
      </w:r>
      <w:proofErr w:type="spellEnd"/>
      <w:r w:rsidR="00BD4062" w:rsidRPr="003F2F66">
        <w:rPr>
          <w:rFonts w:ascii="Times New Roman" w:hAnsi="Times New Roman" w:cs="Times New Roman"/>
          <w:color w:val="000000"/>
          <w:sz w:val="20"/>
          <w:szCs w:val="20"/>
        </w:rPr>
        <w:t xml:space="preserve"> SH</w:t>
      </w:r>
      <w:r w:rsidR="001D24AC" w:rsidRPr="003F2F66">
        <w:rPr>
          <w:rFonts w:ascii="Times New Roman" w:hAnsi="Times New Roman" w:cs="Times New Roman"/>
          <w:color w:val="000000"/>
          <w:sz w:val="20"/>
          <w:szCs w:val="20"/>
        </w:rPr>
        <w:t>,</w:t>
      </w:r>
      <w:r w:rsidR="00BD4062" w:rsidRPr="003F2F66">
        <w:rPr>
          <w:rFonts w:ascii="Times New Roman" w:hAnsi="Times New Roman" w:cs="Times New Roman"/>
          <w:color w:val="000000"/>
          <w:sz w:val="20"/>
          <w:szCs w:val="20"/>
        </w:rPr>
        <w:t xml:space="preserve"> 1996</w:t>
      </w:r>
      <w:r w:rsidR="00BD4062" w:rsidRPr="003F2F66">
        <w:rPr>
          <w:rFonts w:ascii="Times New Roman" w:hAnsi="Times New Roman" w:cs="Times New Roman"/>
          <w:bCs/>
          <w:color w:val="000000"/>
          <w:sz w:val="20"/>
          <w:szCs w:val="20"/>
        </w:rPr>
        <w:t>)</w:t>
      </w:r>
    </w:p>
    <w:p w:rsidR="009D280A" w:rsidRPr="003F2F66" w:rsidRDefault="009678A7" w:rsidP="003F2F6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F2F66">
        <w:rPr>
          <w:rFonts w:ascii="Times New Roman" w:hAnsi="Times New Roman" w:cs="Times New Roman"/>
          <w:bCs/>
          <w:color w:val="000000"/>
          <w:sz w:val="20"/>
          <w:szCs w:val="20"/>
        </w:rPr>
        <w:t>DNA Extraction:</w:t>
      </w:r>
      <w:r w:rsidRPr="003F2F66">
        <w:rPr>
          <w:rFonts w:ascii="Times New Roman" w:hAnsi="Times New Roman" w:cs="Times New Roman"/>
          <w:b/>
          <w:bCs/>
          <w:color w:val="000000"/>
          <w:sz w:val="20"/>
          <w:szCs w:val="20"/>
        </w:rPr>
        <w:t xml:space="preserve"> </w:t>
      </w:r>
      <w:r w:rsidR="009D280A" w:rsidRPr="003F2F66">
        <w:rPr>
          <w:rFonts w:ascii="Times New Roman" w:hAnsi="Times New Roman" w:cs="Times New Roman"/>
          <w:sz w:val="20"/>
          <w:szCs w:val="20"/>
        </w:rPr>
        <w:t>Total genomic DNA was extracted by following protocol</w:t>
      </w:r>
      <w:r w:rsidR="00FB287F" w:rsidRPr="003F2F66">
        <w:rPr>
          <w:rFonts w:ascii="Times New Roman" w:hAnsi="Times New Roman" w:cs="Times New Roman"/>
          <w:sz w:val="20"/>
          <w:szCs w:val="20"/>
        </w:rPr>
        <w:t xml:space="preserve"> of Life Tech, India </w:t>
      </w:r>
      <w:proofErr w:type="spellStart"/>
      <w:r w:rsidR="00FB287F" w:rsidRPr="003F2F66">
        <w:rPr>
          <w:rFonts w:ascii="Times New Roman" w:hAnsi="Times New Roman" w:cs="Times New Roman"/>
          <w:sz w:val="20"/>
          <w:szCs w:val="20"/>
        </w:rPr>
        <w:t>Pvt</w:t>
      </w:r>
      <w:proofErr w:type="spellEnd"/>
      <w:r w:rsidR="00FB287F" w:rsidRPr="003F2F66">
        <w:rPr>
          <w:rFonts w:ascii="Times New Roman" w:hAnsi="Times New Roman" w:cs="Times New Roman"/>
          <w:sz w:val="20"/>
          <w:szCs w:val="20"/>
        </w:rPr>
        <w:t xml:space="preserve"> Ltd. DNA Isolation kit </w:t>
      </w:r>
      <w:r w:rsidR="009D280A" w:rsidRPr="003F2F66">
        <w:rPr>
          <w:rFonts w:ascii="Times New Roman" w:hAnsi="Times New Roman" w:cs="Times New Roman"/>
          <w:sz w:val="20"/>
          <w:szCs w:val="20"/>
        </w:rPr>
        <w:t xml:space="preserve">and DNA was stored at </w:t>
      </w:r>
      <w:r w:rsidR="00FB287F" w:rsidRPr="003F2F66">
        <w:rPr>
          <w:rFonts w:ascii="Times New Roman" w:hAnsi="Times New Roman" w:cs="Times New Roman"/>
          <w:sz w:val="20"/>
          <w:szCs w:val="20"/>
        </w:rPr>
        <w:t>-</w:t>
      </w:r>
      <w:r w:rsidR="009D280A" w:rsidRPr="003F2F66">
        <w:rPr>
          <w:rFonts w:ascii="Times New Roman" w:hAnsi="Times New Roman" w:cs="Times New Roman"/>
          <w:sz w:val="20"/>
          <w:szCs w:val="20"/>
        </w:rPr>
        <w:t>20</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002B0B61" w:rsidRPr="003F2F66">
        <w:rPr>
          <w:rFonts w:ascii="Times New Roman" w:hAnsi="Times New Roman" w:cs="Times New Roman"/>
          <w:sz w:val="20"/>
          <w:szCs w:val="20"/>
        </w:rPr>
        <w:t xml:space="preserve"> </w:t>
      </w:r>
      <w:r w:rsidR="009D280A" w:rsidRPr="003F2F66">
        <w:rPr>
          <w:rFonts w:ascii="Times New Roman" w:hAnsi="Times New Roman" w:cs="Times New Roman"/>
          <w:sz w:val="20"/>
          <w:szCs w:val="20"/>
        </w:rPr>
        <w:t>for further processing.</w:t>
      </w:r>
    </w:p>
    <w:p w:rsidR="00253F5F" w:rsidRPr="003F2F66" w:rsidRDefault="009678A7" w:rsidP="003F2F66">
      <w:pPr>
        <w:autoSpaceDE w:val="0"/>
        <w:autoSpaceDN w:val="0"/>
        <w:adjustRightInd w:val="0"/>
        <w:snapToGrid w:val="0"/>
        <w:spacing w:after="0" w:line="240" w:lineRule="auto"/>
        <w:ind w:firstLine="425"/>
        <w:jc w:val="both"/>
        <w:rPr>
          <w:rFonts w:ascii="Times New Roman" w:hAnsi="Times New Roman" w:cs="Times New Roman"/>
          <w:b/>
          <w:bCs/>
          <w:color w:val="000000"/>
          <w:sz w:val="20"/>
          <w:szCs w:val="20"/>
        </w:rPr>
      </w:pPr>
      <w:r w:rsidRPr="003F2F66">
        <w:rPr>
          <w:rFonts w:ascii="Times New Roman" w:hAnsi="Times New Roman" w:cs="Times New Roman"/>
          <w:bCs/>
          <w:color w:val="000000"/>
          <w:sz w:val="20"/>
          <w:szCs w:val="20"/>
        </w:rPr>
        <w:t xml:space="preserve">Amplification of </w:t>
      </w:r>
      <w:r w:rsidR="009D280A" w:rsidRPr="003F2F66">
        <w:rPr>
          <w:rFonts w:ascii="Times New Roman" w:hAnsi="Times New Roman" w:cs="Times New Roman"/>
          <w:sz w:val="20"/>
          <w:szCs w:val="20"/>
        </w:rPr>
        <w:t xml:space="preserve">16S </w:t>
      </w:r>
      <w:proofErr w:type="spellStart"/>
      <w:r w:rsidR="009D280A" w:rsidRPr="003F2F66">
        <w:rPr>
          <w:rFonts w:ascii="Times New Roman" w:hAnsi="Times New Roman" w:cs="Times New Roman"/>
          <w:sz w:val="20"/>
          <w:szCs w:val="20"/>
        </w:rPr>
        <w:t>rRNA</w:t>
      </w:r>
      <w:proofErr w:type="spellEnd"/>
      <w:r w:rsidR="009D280A" w:rsidRPr="003F2F66">
        <w:rPr>
          <w:rFonts w:ascii="Times New Roman" w:hAnsi="Times New Roman" w:cs="Times New Roman"/>
          <w:sz w:val="20"/>
          <w:szCs w:val="20"/>
        </w:rPr>
        <w:t xml:space="preserve"> gene</w:t>
      </w:r>
      <w:r w:rsidRPr="003F2F66">
        <w:rPr>
          <w:rFonts w:ascii="Times New Roman" w:hAnsi="Times New Roman" w:cs="Times New Roman"/>
          <w:bCs/>
          <w:color w:val="000000"/>
          <w:sz w:val="20"/>
          <w:szCs w:val="20"/>
        </w:rPr>
        <w:t>:</w:t>
      </w:r>
      <w:r w:rsidR="00A867F7">
        <w:rPr>
          <w:rFonts w:ascii="Times New Roman" w:hAnsi="Times New Roman" w:cs="Times New Roman"/>
          <w:color w:val="000000"/>
          <w:sz w:val="20"/>
          <w:szCs w:val="20"/>
        </w:rPr>
        <w:t xml:space="preserve"> </w:t>
      </w:r>
      <w:r w:rsidRPr="003F2F66">
        <w:rPr>
          <w:rFonts w:ascii="Times New Roman" w:hAnsi="Times New Roman" w:cs="Times New Roman"/>
          <w:color w:val="000000"/>
          <w:sz w:val="20"/>
          <w:szCs w:val="20"/>
        </w:rPr>
        <w:t xml:space="preserve">The </w:t>
      </w:r>
      <w:r w:rsidR="009517AB" w:rsidRPr="003F2F66">
        <w:rPr>
          <w:rFonts w:ascii="Times New Roman" w:hAnsi="Times New Roman" w:cs="Times New Roman"/>
          <w:color w:val="000000"/>
          <w:sz w:val="20"/>
          <w:szCs w:val="20"/>
        </w:rPr>
        <w:t>target was</w:t>
      </w:r>
      <w:r w:rsidR="001B60B9" w:rsidRPr="003F2F66">
        <w:rPr>
          <w:rFonts w:ascii="Times New Roman" w:hAnsi="Times New Roman" w:cs="Times New Roman"/>
          <w:color w:val="000000"/>
          <w:sz w:val="20"/>
          <w:szCs w:val="20"/>
        </w:rPr>
        <w:t xml:space="preserve"> </w:t>
      </w:r>
      <w:r w:rsidRPr="003F2F66">
        <w:rPr>
          <w:rFonts w:ascii="Times New Roman" w:hAnsi="Times New Roman" w:cs="Times New Roman"/>
          <w:color w:val="000000"/>
          <w:sz w:val="20"/>
          <w:szCs w:val="20"/>
        </w:rPr>
        <w:t>amplification</w:t>
      </w:r>
      <w:r w:rsidR="001B60B9" w:rsidRPr="003F2F66">
        <w:rPr>
          <w:rFonts w:ascii="Times New Roman" w:hAnsi="Times New Roman" w:cs="Times New Roman"/>
          <w:color w:val="000000"/>
          <w:sz w:val="20"/>
          <w:szCs w:val="20"/>
        </w:rPr>
        <w:t xml:space="preserve"> by c</w:t>
      </w:r>
      <w:r w:rsidRPr="003F2F66">
        <w:rPr>
          <w:rFonts w:ascii="Times New Roman" w:hAnsi="Times New Roman" w:cs="Times New Roman"/>
          <w:color w:val="000000"/>
          <w:sz w:val="20"/>
          <w:szCs w:val="20"/>
        </w:rPr>
        <w:t>onventional PCR</w:t>
      </w:r>
      <w:r w:rsidR="001B60B9" w:rsidRPr="003F2F66">
        <w:rPr>
          <w:rFonts w:ascii="Times New Roman" w:hAnsi="Times New Roman" w:cs="Times New Roman"/>
          <w:color w:val="000000"/>
          <w:sz w:val="20"/>
          <w:szCs w:val="20"/>
        </w:rPr>
        <w:t>.</w:t>
      </w:r>
      <w:r w:rsidRPr="003F2F66">
        <w:rPr>
          <w:rFonts w:ascii="Times New Roman" w:hAnsi="Times New Roman" w:cs="Times New Roman"/>
          <w:color w:val="000000"/>
          <w:sz w:val="20"/>
          <w:szCs w:val="20"/>
        </w:rPr>
        <w:t xml:space="preserve"> A reaction mixture of 50 µl contain</w:t>
      </w:r>
      <w:r w:rsidR="00ED2539" w:rsidRPr="003F2F66">
        <w:rPr>
          <w:rFonts w:ascii="Times New Roman" w:hAnsi="Times New Roman" w:cs="Times New Roman"/>
          <w:color w:val="000000"/>
          <w:sz w:val="20"/>
          <w:szCs w:val="20"/>
        </w:rPr>
        <w:t xml:space="preserve">s, </w:t>
      </w:r>
      <w:r w:rsidRPr="003F2F66">
        <w:rPr>
          <w:rFonts w:ascii="Times New Roman" w:hAnsi="Times New Roman" w:cs="Times New Roman"/>
          <w:color w:val="000000"/>
          <w:sz w:val="20"/>
          <w:szCs w:val="20"/>
        </w:rPr>
        <w:t>5µ</w:t>
      </w:r>
      <w:r w:rsidR="00FD05D6" w:rsidRPr="003F2F66">
        <w:rPr>
          <w:rFonts w:ascii="Times New Roman" w:hAnsi="Times New Roman" w:cs="Times New Roman"/>
          <w:color w:val="000000"/>
          <w:sz w:val="20"/>
          <w:szCs w:val="20"/>
        </w:rPr>
        <w:t>l</w:t>
      </w:r>
      <w:r w:rsidR="00ED2539" w:rsidRPr="003F2F66">
        <w:rPr>
          <w:rFonts w:ascii="Times New Roman" w:hAnsi="Times New Roman" w:cs="Times New Roman"/>
          <w:color w:val="000000"/>
          <w:sz w:val="20"/>
          <w:szCs w:val="20"/>
        </w:rPr>
        <w:t xml:space="preserve"> of </w:t>
      </w:r>
      <w:r w:rsidRPr="003F2F66">
        <w:rPr>
          <w:rFonts w:ascii="Times New Roman" w:hAnsi="Times New Roman" w:cs="Times New Roman"/>
          <w:color w:val="000000"/>
          <w:sz w:val="20"/>
          <w:szCs w:val="20"/>
        </w:rPr>
        <w:t xml:space="preserve">10X PCR buffer (250 </w:t>
      </w:r>
      <w:proofErr w:type="spellStart"/>
      <w:r w:rsidRPr="003F2F66">
        <w:rPr>
          <w:rFonts w:ascii="Times New Roman" w:hAnsi="Times New Roman" w:cs="Times New Roman"/>
          <w:color w:val="000000"/>
          <w:sz w:val="20"/>
          <w:szCs w:val="20"/>
        </w:rPr>
        <w:t>mM</w:t>
      </w:r>
      <w:proofErr w:type="spellEnd"/>
      <w:r w:rsidRPr="003F2F66">
        <w:rPr>
          <w:rFonts w:ascii="Times New Roman" w:hAnsi="Times New Roman" w:cs="Times New Roman"/>
          <w:color w:val="000000"/>
          <w:sz w:val="20"/>
          <w:szCs w:val="20"/>
        </w:rPr>
        <w:t xml:space="preserve"> </w:t>
      </w:r>
      <w:proofErr w:type="spellStart"/>
      <w:r w:rsidRPr="003F2F66">
        <w:rPr>
          <w:rFonts w:ascii="Times New Roman" w:hAnsi="Times New Roman" w:cs="Times New Roman"/>
          <w:color w:val="000000"/>
          <w:sz w:val="20"/>
          <w:szCs w:val="20"/>
        </w:rPr>
        <w:t>Tris</w:t>
      </w:r>
      <w:proofErr w:type="spellEnd"/>
      <w:r w:rsidRPr="003F2F66">
        <w:rPr>
          <w:rFonts w:ascii="Times New Roman" w:hAnsi="Times New Roman" w:cs="Times New Roman"/>
          <w:color w:val="000000"/>
          <w:sz w:val="20"/>
          <w:szCs w:val="20"/>
        </w:rPr>
        <w:t xml:space="preserve"> </w:t>
      </w:r>
      <w:proofErr w:type="spellStart"/>
      <w:r w:rsidRPr="003F2F66">
        <w:rPr>
          <w:rFonts w:ascii="Times New Roman" w:hAnsi="Times New Roman" w:cs="Times New Roman"/>
          <w:color w:val="000000"/>
          <w:sz w:val="20"/>
          <w:szCs w:val="20"/>
        </w:rPr>
        <w:t>Hcl</w:t>
      </w:r>
      <w:proofErr w:type="spellEnd"/>
      <w:r w:rsidRPr="003F2F66">
        <w:rPr>
          <w:rFonts w:ascii="Times New Roman" w:hAnsi="Times New Roman" w:cs="Times New Roman"/>
          <w:color w:val="000000"/>
          <w:sz w:val="20"/>
          <w:szCs w:val="20"/>
        </w:rPr>
        <w:t xml:space="preserve">, 500 </w:t>
      </w:r>
      <w:proofErr w:type="spellStart"/>
      <w:r w:rsidRPr="003F2F66">
        <w:rPr>
          <w:rFonts w:ascii="Times New Roman" w:hAnsi="Times New Roman" w:cs="Times New Roman"/>
          <w:color w:val="000000"/>
          <w:sz w:val="20"/>
          <w:szCs w:val="20"/>
        </w:rPr>
        <w:t>mM</w:t>
      </w:r>
      <w:proofErr w:type="spellEnd"/>
      <w:r w:rsidRPr="003F2F66">
        <w:rPr>
          <w:rFonts w:ascii="Times New Roman" w:hAnsi="Times New Roman" w:cs="Times New Roman"/>
          <w:color w:val="000000"/>
          <w:sz w:val="20"/>
          <w:szCs w:val="20"/>
        </w:rPr>
        <w:t xml:space="preserve"> </w:t>
      </w:r>
      <w:proofErr w:type="spellStart"/>
      <w:r w:rsidRPr="003F2F66">
        <w:rPr>
          <w:rFonts w:ascii="Times New Roman" w:hAnsi="Times New Roman" w:cs="Times New Roman"/>
          <w:color w:val="000000"/>
          <w:sz w:val="20"/>
          <w:szCs w:val="20"/>
        </w:rPr>
        <w:t>KCl</w:t>
      </w:r>
      <w:proofErr w:type="spellEnd"/>
      <w:r w:rsidRPr="003F2F66">
        <w:rPr>
          <w:rFonts w:ascii="Times New Roman" w:hAnsi="Times New Roman" w:cs="Times New Roman"/>
          <w:color w:val="000000"/>
          <w:sz w:val="20"/>
          <w:szCs w:val="20"/>
        </w:rPr>
        <w:t>), 5µ</w:t>
      </w:r>
      <w:r w:rsidR="00FD05D6" w:rsidRPr="003F2F66">
        <w:rPr>
          <w:rFonts w:ascii="Times New Roman" w:hAnsi="Times New Roman" w:cs="Times New Roman"/>
          <w:color w:val="000000"/>
          <w:sz w:val="20"/>
          <w:szCs w:val="20"/>
        </w:rPr>
        <w:t>l</w:t>
      </w:r>
      <w:r w:rsidRPr="003F2F66">
        <w:rPr>
          <w:rFonts w:ascii="Times New Roman" w:hAnsi="Times New Roman" w:cs="Times New Roman"/>
          <w:color w:val="000000"/>
          <w:sz w:val="20"/>
          <w:szCs w:val="20"/>
        </w:rPr>
        <w:t xml:space="preserve"> of 2 </w:t>
      </w:r>
      <w:proofErr w:type="spellStart"/>
      <w:r w:rsidRPr="003F2F66">
        <w:rPr>
          <w:rFonts w:ascii="Times New Roman" w:hAnsi="Times New Roman" w:cs="Times New Roman"/>
          <w:color w:val="000000"/>
          <w:sz w:val="20"/>
          <w:szCs w:val="20"/>
        </w:rPr>
        <w:t>mM</w:t>
      </w:r>
      <w:proofErr w:type="spellEnd"/>
      <w:r w:rsidRPr="003F2F66">
        <w:rPr>
          <w:rFonts w:ascii="Times New Roman" w:hAnsi="Times New Roman" w:cs="Times New Roman"/>
          <w:color w:val="000000"/>
          <w:sz w:val="20"/>
          <w:szCs w:val="20"/>
        </w:rPr>
        <w:t xml:space="preserve"> </w:t>
      </w:r>
      <w:proofErr w:type="spellStart"/>
      <w:r w:rsidRPr="003F2F66">
        <w:rPr>
          <w:rFonts w:ascii="Times New Roman" w:hAnsi="Times New Roman" w:cs="Times New Roman"/>
          <w:color w:val="000000"/>
          <w:sz w:val="20"/>
          <w:szCs w:val="20"/>
        </w:rPr>
        <w:t>dNTPs</w:t>
      </w:r>
      <w:proofErr w:type="spellEnd"/>
      <w:r w:rsidRPr="003F2F66">
        <w:rPr>
          <w:rFonts w:ascii="Times New Roman" w:hAnsi="Times New Roman" w:cs="Times New Roman"/>
          <w:color w:val="000000"/>
          <w:sz w:val="20"/>
          <w:szCs w:val="20"/>
        </w:rPr>
        <w:t>, 1 µ</w:t>
      </w:r>
      <w:r w:rsidR="00FD05D6" w:rsidRPr="003F2F66">
        <w:rPr>
          <w:rFonts w:ascii="Times New Roman" w:hAnsi="Times New Roman" w:cs="Times New Roman"/>
          <w:color w:val="000000"/>
          <w:sz w:val="20"/>
          <w:szCs w:val="20"/>
        </w:rPr>
        <w:t xml:space="preserve">l </w:t>
      </w:r>
      <w:r w:rsidRPr="003F2F66">
        <w:rPr>
          <w:rFonts w:ascii="Times New Roman" w:hAnsi="Times New Roman" w:cs="Times New Roman"/>
          <w:color w:val="000000"/>
          <w:sz w:val="20"/>
          <w:szCs w:val="20"/>
        </w:rPr>
        <w:t>each of forward and reverse primers (25µM primers), 0.5 µ</w:t>
      </w:r>
      <w:r w:rsidR="00FD05D6" w:rsidRPr="003F2F66">
        <w:rPr>
          <w:rFonts w:ascii="Times New Roman" w:hAnsi="Times New Roman" w:cs="Times New Roman"/>
          <w:color w:val="000000"/>
          <w:sz w:val="20"/>
          <w:szCs w:val="20"/>
        </w:rPr>
        <w:t>l</w:t>
      </w:r>
      <w:r w:rsidRPr="003F2F66">
        <w:rPr>
          <w:rFonts w:ascii="Times New Roman" w:hAnsi="Times New Roman" w:cs="Times New Roman"/>
          <w:i/>
          <w:iCs/>
          <w:color w:val="000000"/>
          <w:sz w:val="20"/>
          <w:szCs w:val="20"/>
        </w:rPr>
        <w:t xml:space="preserve"> of </w:t>
      </w:r>
      <w:proofErr w:type="spellStart"/>
      <w:r w:rsidRPr="003F2F66">
        <w:rPr>
          <w:rFonts w:ascii="Times New Roman" w:hAnsi="Times New Roman" w:cs="Times New Roman"/>
          <w:i/>
          <w:iCs/>
          <w:color w:val="000000"/>
          <w:sz w:val="20"/>
          <w:szCs w:val="20"/>
        </w:rPr>
        <w:t>Taq</w:t>
      </w:r>
      <w:proofErr w:type="spellEnd"/>
      <w:r w:rsidRPr="003F2F66">
        <w:rPr>
          <w:rFonts w:ascii="Times New Roman" w:hAnsi="Times New Roman" w:cs="Times New Roman"/>
          <w:i/>
          <w:iCs/>
          <w:color w:val="000000"/>
          <w:sz w:val="20"/>
          <w:szCs w:val="20"/>
        </w:rPr>
        <w:t xml:space="preserve"> polymerase</w:t>
      </w:r>
      <w:r w:rsidRPr="003F2F66">
        <w:rPr>
          <w:rFonts w:ascii="Times New Roman" w:hAnsi="Times New Roman" w:cs="Times New Roman"/>
          <w:color w:val="000000"/>
          <w:sz w:val="20"/>
          <w:szCs w:val="20"/>
        </w:rPr>
        <w:t xml:space="preserve"> (5 units/µ</w:t>
      </w:r>
      <w:r w:rsidR="00FD05D6" w:rsidRPr="003F2F66">
        <w:rPr>
          <w:rFonts w:ascii="Times New Roman" w:hAnsi="Times New Roman" w:cs="Times New Roman"/>
          <w:color w:val="000000"/>
          <w:sz w:val="20"/>
          <w:szCs w:val="20"/>
        </w:rPr>
        <w:t>l</w:t>
      </w:r>
      <w:r w:rsidRPr="003F2F66">
        <w:rPr>
          <w:rFonts w:ascii="Times New Roman" w:hAnsi="Times New Roman" w:cs="Times New Roman"/>
          <w:color w:val="000000"/>
          <w:sz w:val="20"/>
          <w:szCs w:val="20"/>
        </w:rPr>
        <w:t>)</w:t>
      </w:r>
      <w:r w:rsidR="00A867F7">
        <w:rPr>
          <w:rFonts w:ascii="Times New Roman" w:hAnsi="Times New Roman" w:cs="Times New Roman"/>
          <w:color w:val="000000"/>
          <w:sz w:val="20"/>
          <w:szCs w:val="20"/>
        </w:rPr>
        <w:t xml:space="preserve"> </w:t>
      </w:r>
      <w:r w:rsidRPr="003F2F66">
        <w:rPr>
          <w:rFonts w:ascii="Times New Roman" w:hAnsi="Times New Roman" w:cs="Times New Roman"/>
          <w:color w:val="000000"/>
          <w:sz w:val="20"/>
          <w:szCs w:val="20"/>
        </w:rPr>
        <w:t xml:space="preserve">4µL of 25mM </w:t>
      </w:r>
      <w:proofErr w:type="spellStart"/>
      <w:r w:rsidRPr="003F2F66">
        <w:rPr>
          <w:rFonts w:ascii="Times New Roman" w:hAnsi="Times New Roman" w:cs="Times New Roman"/>
          <w:color w:val="000000"/>
          <w:sz w:val="20"/>
          <w:szCs w:val="20"/>
        </w:rPr>
        <w:t>MgCl</w:t>
      </w:r>
      <w:proofErr w:type="spellEnd"/>
      <w:r w:rsidR="009D280A" w:rsidRPr="003F2F66">
        <w:rPr>
          <w:rFonts w:ascii="Times New Roman" w:hAnsi="Times New Roman" w:cs="Times New Roman"/>
          <w:color w:val="000000"/>
          <w:sz w:val="20"/>
          <w:szCs w:val="20"/>
        </w:rPr>
        <w:t xml:space="preserve"> </w:t>
      </w:r>
      <w:r w:rsidRPr="003F2F66">
        <w:rPr>
          <w:rFonts w:ascii="Times New Roman" w:hAnsi="Times New Roman" w:cs="Times New Roman"/>
          <w:color w:val="000000"/>
          <w:sz w:val="20"/>
          <w:szCs w:val="20"/>
        </w:rPr>
        <w:t>and 8.5µ</w:t>
      </w:r>
      <w:r w:rsidR="00FD05D6" w:rsidRPr="003F2F66">
        <w:rPr>
          <w:rFonts w:ascii="Times New Roman" w:hAnsi="Times New Roman" w:cs="Times New Roman"/>
          <w:color w:val="000000"/>
          <w:sz w:val="20"/>
          <w:szCs w:val="20"/>
        </w:rPr>
        <w:t>l</w:t>
      </w:r>
      <w:r w:rsidRPr="003F2F66">
        <w:rPr>
          <w:rFonts w:ascii="Times New Roman" w:hAnsi="Times New Roman" w:cs="Times New Roman"/>
          <w:color w:val="000000"/>
          <w:sz w:val="20"/>
          <w:szCs w:val="20"/>
        </w:rPr>
        <w:t xml:space="preserve"> of nuclease free water. 25µ</w:t>
      </w:r>
      <w:r w:rsidR="00FD05D6" w:rsidRPr="003F2F66">
        <w:rPr>
          <w:rFonts w:ascii="Times New Roman" w:hAnsi="Times New Roman" w:cs="Times New Roman"/>
          <w:color w:val="000000"/>
          <w:sz w:val="20"/>
          <w:szCs w:val="20"/>
        </w:rPr>
        <w:t>l</w:t>
      </w:r>
      <w:r w:rsidRPr="003F2F66">
        <w:rPr>
          <w:rFonts w:ascii="Times New Roman" w:hAnsi="Times New Roman" w:cs="Times New Roman"/>
          <w:color w:val="000000"/>
          <w:sz w:val="20"/>
          <w:szCs w:val="20"/>
        </w:rPr>
        <w:t xml:space="preserve"> of DNA template was added in the master mix. Cyclic conditions used were, initial </w:t>
      </w:r>
      <w:proofErr w:type="spellStart"/>
      <w:r w:rsidRPr="003F2F66">
        <w:rPr>
          <w:rFonts w:ascii="Times New Roman" w:hAnsi="Times New Roman" w:cs="Times New Roman"/>
          <w:color w:val="000000"/>
          <w:sz w:val="20"/>
          <w:szCs w:val="20"/>
        </w:rPr>
        <w:t>denaturation</w:t>
      </w:r>
      <w:proofErr w:type="spellEnd"/>
      <w:r w:rsidRPr="003F2F66">
        <w:rPr>
          <w:rFonts w:ascii="Times New Roman" w:hAnsi="Times New Roman" w:cs="Times New Roman"/>
          <w:color w:val="000000"/>
          <w:sz w:val="20"/>
          <w:szCs w:val="20"/>
        </w:rPr>
        <w:t xml:space="preserve"> at 94</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Pr="003F2F66">
        <w:rPr>
          <w:rFonts w:ascii="Times New Roman" w:hAnsi="Times New Roman" w:cs="Times New Roman"/>
          <w:color w:val="000000"/>
          <w:sz w:val="20"/>
          <w:szCs w:val="20"/>
        </w:rPr>
        <w:t xml:space="preserve"> for 6m</w:t>
      </w:r>
      <w:r w:rsidR="00E23A0D" w:rsidRPr="003F2F66">
        <w:rPr>
          <w:rFonts w:ascii="Times New Roman" w:hAnsi="Times New Roman" w:cs="Times New Roman"/>
          <w:color w:val="000000"/>
          <w:sz w:val="20"/>
          <w:szCs w:val="20"/>
        </w:rPr>
        <w:t>,</w:t>
      </w:r>
      <w:r w:rsidRPr="003F2F66">
        <w:rPr>
          <w:rFonts w:ascii="Times New Roman" w:hAnsi="Times New Roman" w:cs="Times New Roman"/>
          <w:color w:val="000000"/>
          <w:sz w:val="20"/>
          <w:szCs w:val="20"/>
        </w:rPr>
        <w:t xml:space="preserve"> followed by 35 repetitive cycles of </w:t>
      </w:r>
      <w:proofErr w:type="spellStart"/>
      <w:r w:rsidRPr="003F2F66">
        <w:rPr>
          <w:rFonts w:ascii="Times New Roman" w:hAnsi="Times New Roman" w:cs="Times New Roman"/>
          <w:color w:val="000000"/>
          <w:sz w:val="20"/>
          <w:szCs w:val="20"/>
        </w:rPr>
        <w:t>denaturation</w:t>
      </w:r>
      <w:proofErr w:type="spellEnd"/>
      <w:r w:rsidRPr="003F2F66">
        <w:rPr>
          <w:rFonts w:ascii="Times New Roman" w:hAnsi="Times New Roman" w:cs="Times New Roman"/>
          <w:color w:val="000000"/>
          <w:sz w:val="20"/>
          <w:szCs w:val="20"/>
        </w:rPr>
        <w:t xml:space="preserve"> at </w:t>
      </w:r>
      <w:r w:rsidR="009D280A" w:rsidRPr="003F2F66">
        <w:rPr>
          <w:rFonts w:ascii="Times New Roman" w:hAnsi="Times New Roman" w:cs="Times New Roman"/>
          <w:color w:val="000000"/>
          <w:sz w:val="20"/>
          <w:szCs w:val="20"/>
        </w:rPr>
        <w:t>94</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Pr="003F2F66">
        <w:rPr>
          <w:rFonts w:ascii="Times New Roman" w:hAnsi="Times New Roman" w:cs="Times New Roman"/>
          <w:color w:val="000000"/>
          <w:sz w:val="20"/>
          <w:szCs w:val="20"/>
        </w:rPr>
        <w:t xml:space="preserve"> for 1 minute, annealing at 58</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Pr="003F2F66">
        <w:rPr>
          <w:rFonts w:ascii="Times New Roman" w:hAnsi="Times New Roman" w:cs="Times New Roman"/>
          <w:color w:val="000000"/>
          <w:sz w:val="20"/>
          <w:szCs w:val="20"/>
        </w:rPr>
        <w:t xml:space="preserve"> for 1minute and primer extension at 72</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Pr="003F2F66">
        <w:rPr>
          <w:rFonts w:ascii="Times New Roman" w:hAnsi="Times New Roman" w:cs="Times New Roman"/>
          <w:color w:val="000000"/>
          <w:sz w:val="20"/>
          <w:szCs w:val="20"/>
        </w:rPr>
        <w:t xml:space="preserve"> for 1 minute. </w:t>
      </w:r>
      <w:r w:rsidR="002820C8" w:rsidRPr="003F2F66">
        <w:rPr>
          <w:rFonts w:ascii="Times New Roman" w:hAnsi="Times New Roman" w:cs="Times New Roman"/>
          <w:color w:val="000000"/>
          <w:sz w:val="20"/>
          <w:szCs w:val="20"/>
        </w:rPr>
        <w:t>F</w:t>
      </w:r>
      <w:r w:rsidRPr="003F2F66">
        <w:rPr>
          <w:rFonts w:ascii="Times New Roman" w:hAnsi="Times New Roman" w:cs="Times New Roman"/>
          <w:color w:val="000000"/>
          <w:sz w:val="20"/>
          <w:szCs w:val="20"/>
        </w:rPr>
        <w:t>inal extension at 72</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Pr="003F2F66">
        <w:rPr>
          <w:rFonts w:ascii="Times New Roman" w:hAnsi="Times New Roman" w:cs="Times New Roman"/>
          <w:color w:val="000000"/>
          <w:sz w:val="20"/>
          <w:szCs w:val="20"/>
        </w:rPr>
        <w:t xml:space="preserve"> for 7 minutes with final storage of </w:t>
      </w:r>
      <w:proofErr w:type="spellStart"/>
      <w:r w:rsidRPr="003F2F66">
        <w:rPr>
          <w:rFonts w:ascii="Times New Roman" w:hAnsi="Times New Roman" w:cs="Times New Roman"/>
          <w:color w:val="000000"/>
          <w:sz w:val="20"/>
          <w:szCs w:val="20"/>
        </w:rPr>
        <w:t>amplicons</w:t>
      </w:r>
      <w:proofErr w:type="spellEnd"/>
      <w:r w:rsidRPr="003F2F66">
        <w:rPr>
          <w:rFonts w:ascii="Times New Roman" w:hAnsi="Times New Roman" w:cs="Times New Roman"/>
          <w:color w:val="000000"/>
          <w:sz w:val="20"/>
          <w:szCs w:val="20"/>
        </w:rPr>
        <w:t xml:space="preserve"> at 4</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008E3EB9" w:rsidRPr="003F2F66">
        <w:rPr>
          <w:rFonts w:ascii="Times New Roman" w:hAnsi="Times New Roman" w:cs="Times New Roman"/>
          <w:bCs/>
          <w:color w:val="000000"/>
          <w:sz w:val="20"/>
          <w:szCs w:val="20"/>
        </w:rPr>
        <w:t>,</w:t>
      </w:r>
      <w:r w:rsidRPr="003F2F66">
        <w:rPr>
          <w:rFonts w:ascii="Times New Roman" w:hAnsi="Times New Roman" w:cs="Times New Roman"/>
          <w:color w:val="000000"/>
          <w:sz w:val="20"/>
          <w:szCs w:val="20"/>
        </w:rPr>
        <w:t xml:space="preserve"> which </w:t>
      </w:r>
      <w:r w:rsidR="00ED2539" w:rsidRPr="003F2F66">
        <w:rPr>
          <w:rFonts w:ascii="Times New Roman" w:hAnsi="Times New Roman" w:cs="Times New Roman"/>
          <w:color w:val="000000"/>
          <w:sz w:val="20"/>
          <w:szCs w:val="20"/>
        </w:rPr>
        <w:t>was</w:t>
      </w:r>
      <w:r w:rsidRPr="003F2F66">
        <w:rPr>
          <w:rFonts w:ascii="Times New Roman" w:hAnsi="Times New Roman" w:cs="Times New Roman"/>
          <w:color w:val="000000"/>
          <w:sz w:val="20"/>
          <w:szCs w:val="20"/>
        </w:rPr>
        <w:t xml:space="preserve"> later resolved on 2% </w:t>
      </w:r>
      <w:proofErr w:type="spellStart"/>
      <w:r w:rsidRPr="003F2F66">
        <w:rPr>
          <w:rFonts w:ascii="Times New Roman" w:hAnsi="Times New Roman" w:cs="Times New Roman"/>
          <w:color w:val="000000"/>
          <w:sz w:val="20"/>
          <w:szCs w:val="20"/>
        </w:rPr>
        <w:t>ag</w:t>
      </w:r>
      <w:r w:rsidR="00B60389" w:rsidRPr="003F2F66">
        <w:rPr>
          <w:rFonts w:ascii="Times New Roman" w:hAnsi="Times New Roman" w:cs="Times New Roman"/>
          <w:color w:val="000000"/>
          <w:sz w:val="20"/>
          <w:szCs w:val="20"/>
        </w:rPr>
        <w:t>arose</w:t>
      </w:r>
      <w:proofErr w:type="spellEnd"/>
      <w:r w:rsidR="00B60389" w:rsidRPr="003F2F66">
        <w:rPr>
          <w:rFonts w:ascii="Times New Roman" w:hAnsi="Times New Roman" w:cs="Times New Roman"/>
          <w:color w:val="000000"/>
          <w:sz w:val="20"/>
          <w:szCs w:val="20"/>
        </w:rPr>
        <w:t xml:space="preserve"> to check the size o</w:t>
      </w:r>
      <w:r w:rsidR="002820C8" w:rsidRPr="003F2F66">
        <w:rPr>
          <w:rFonts w:ascii="Times New Roman" w:hAnsi="Times New Roman" w:cs="Times New Roman"/>
          <w:color w:val="000000"/>
          <w:sz w:val="20"/>
          <w:szCs w:val="20"/>
        </w:rPr>
        <w:t>f</w:t>
      </w:r>
      <w:r w:rsidR="00B60389" w:rsidRPr="003F2F66">
        <w:rPr>
          <w:rFonts w:ascii="Times New Roman" w:hAnsi="Times New Roman" w:cs="Times New Roman"/>
          <w:color w:val="000000"/>
          <w:sz w:val="20"/>
          <w:szCs w:val="20"/>
        </w:rPr>
        <w:t xml:space="preserve"> amplified product.</w:t>
      </w:r>
    </w:p>
    <w:p w:rsidR="00FB287F" w:rsidRPr="003F2F66" w:rsidRDefault="009517AB" w:rsidP="003F2F6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F2F66">
        <w:rPr>
          <w:rFonts w:ascii="Times New Roman" w:hAnsi="Times New Roman" w:cs="Times New Roman"/>
          <w:bCs/>
          <w:color w:val="000000"/>
          <w:sz w:val="20"/>
          <w:szCs w:val="20"/>
        </w:rPr>
        <w:t>Sequencing:</w:t>
      </w:r>
      <w:r w:rsidR="009678A7" w:rsidRPr="003F2F66">
        <w:rPr>
          <w:rFonts w:ascii="Times New Roman" w:hAnsi="Times New Roman" w:cs="Times New Roman"/>
          <w:b/>
          <w:bCs/>
          <w:color w:val="000000"/>
          <w:sz w:val="20"/>
          <w:szCs w:val="20"/>
        </w:rPr>
        <w:t xml:space="preserve"> </w:t>
      </w:r>
      <w:r w:rsidR="009678A7" w:rsidRPr="003F2F66">
        <w:rPr>
          <w:rFonts w:ascii="Times New Roman" w:hAnsi="Times New Roman" w:cs="Times New Roman"/>
          <w:color w:val="000000"/>
          <w:sz w:val="20"/>
          <w:szCs w:val="20"/>
        </w:rPr>
        <w:t xml:space="preserve">PCR amplified product for </w:t>
      </w:r>
      <w:r w:rsidR="00B60389" w:rsidRPr="003F2F66">
        <w:rPr>
          <w:rFonts w:ascii="Times New Roman" w:hAnsi="Times New Roman" w:cs="Times New Roman"/>
          <w:sz w:val="20"/>
          <w:szCs w:val="20"/>
        </w:rPr>
        <w:t xml:space="preserve">16S </w:t>
      </w:r>
      <w:proofErr w:type="spellStart"/>
      <w:r w:rsidR="00B60389" w:rsidRPr="003F2F66">
        <w:rPr>
          <w:rFonts w:ascii="Times New Roman" w:hAnsi="Times New Roman" w:cs="Times New Roman"/>
          <w:sz w:val="20"/>
          <w:szCs w:val="20"/>
        </w:rPr>
        <w:t>rRNA</w:t>
      </w:r>
      <w:proofErr w:type="spellEnd"/>
      <w:r w:rsidR="00B60389" w:rsidRPr="003F2F66">
        <w:rPr>
          <w:rFonts w:ascii="Times New Roman" w:hAnsi="Times New Roman" w:cs="Times New Roman"/>
          <w:sz w:val="20"/>
          <w:szCs w:val="20"/>
        </w:rPr>
        <w:t xml:space="preserve"> gene</w:t>
      </w:r>
      <w:r w:rsidR="00B60389" w:rsidRPr="003F2F66">
        <w:rPr>
          <w:rFonts w:ascii="Times New Roman" w:hAnsi="Times New Roman" w:cs="Times New Roman"/>
          <w:color w:val="000000"/>
          <w:sz w:val="20"/>
          <w:szCs w:val="20"/>
        </w:rPr>
        <w:t xml:space="preserve"> of mycobacterium</w:t>
      </w:r>
      <w:r w:rsidR="009678A7" w:rsidRPr="003F2F66">
        <w:rPr>
          <w:rFonts w:ascii="Times New Roman" w:hAnsi="Times New Roman" w:cs="Times New Roman"/>
          <w:color w:val="000000"/>
          <w:sz w:val="20"/>
          <w:szCs w:val="20"/>
        </w:rPr>
        <w:t xml:space="preserve"> w</w:t>
      </w:r>
      <w:r w:rsidR="00B60389" w:rsidRPr="003F2F66">
        <w:rPr>
          <w:rFonts w:ascii="Times New Roman" w:hAnsi="Times New Roman" w:cs="Times New Roman"/>
          <w:color w:val="000000"/>
          <w:sz w:val="20"/>
          <w:szCs w:val="20"/>
        </w:rPr>
        <w:t>as</w:t>
      </w:r>
      <w:r w:rsidR="009678A7" w:rsidRPr="003F2F66">
        <w:rPr>
          <w:rFonts w:ascii="Times New Roman" w:hAnsi="Times New Roman" w:cs="Times New Roman"/>
          <w:color w:val="000000"/>
          <w:sz w:val="20"/>
          <w:szCs w:val="20"/>
        </w:rPr>
        <w:t xml:space="preserve"> sent to </w:t>
      </w:r>
      <w:proofErr w:type="spellStart"/>
      <w:r w:rsidR="009678A7" w:rsidRPr="003F2F66">
        <w:rPr>
          <w:rFonts w:ascii="Times New Roman" w:hAnsi="Times New Roman" w:cs="Times New Roman"/>
          <w:color w:val="000000"/>
          <w:sz w:val="20"/>
          <w:szCs w:val="20"/>
        </w:rPr>
        <w:t>Ocimum</w:t>
      </w:r>
      <w:proofErr w:type="spellEnd"/>
      <w:r w:rsidR="009678A7" w:rsidRPr="003F2F66">
        <w:rPr>
          <w:rFonts w:ascii="Times New Roman" w:hAnsi="Times New Roman" w:cs="Times New Roman"/>
          <w:color w:val="000000"/>
          <w:sz w:val="20"/>
          <w:szCs w:val="20"/>
        </w:rPr>
        <w:t xml:space="preserve"> </w:t>
      </w:r>
      <w:proofErr w:type="spellStart"/>
      <w:r w:rsidR="009678A7" w:rsidRPr="003F2F66">
        <w:rPr>
          <w:rFonts w:ascii="Times New Roman" w:hAnsi="Times New Roman" w:cs="Times New Roman"/>
          <w:color w:val="000000"/>
          <w:sz w:val="20"/>
          <w:szCs w:val="20"/>
        </w:rPr>
        <w:t>Biosolutions</w:t>
      </w:r>
      <w:proofErr w:type="spellEnd"/>
      <w:r w:rsidR="009678A7" w:rsidRPr="003F2F66">
        <w:rPr>
          <w:rFonts w:ascii="Times New Roman" w:hAnsi="Times New Roman" w:cs="Times New Roman"/>
          <w:color w:val="000000"/>
          <w:sz w:val="20"/>
          <w:szCs w:val="20"/>
        </w:rPr>
        <w:t xml:space="preserve"> </w:t>
      </w:r>
      <w:proofErr w:type="spellStart"/>
      <w:r w:rsidR="009678A7" w:rsidRPr="003F2F66">
        <w:rPr>
          <w:rFonts w:ascii="Times New Roman" w:hAnsi="Times New Roman" w:cs="Times New Roman"/>
          <w:color w:val="000000"/>
          <w:sz w:val="20"/>
          <w:szCs w:val="20"/>
        </w:rPr>
        <w:t>Pvt</w:t>
      </w:r>
      <w:proofErr w:type="spellEnd"/>
      <w:r w:rsidR="009678A7" w:rsidRPr="003F2F66">
        <w:rPr>
          <w:rFonts w:ascii="Times New Roman" w:hAnsi="Times New Roman" w:cs="Times New Roman"/>
          <w:color w:val="000000"/>
          <w:sz w:val="20"/>
          <w:szCs w:val="20"/>
        </w:rPr>
        <w:t xml:space="preserve"> Ltd, Bangalore for sequencing.</w:t>
      </w:r>
    </w:p>
    <w:p w:rsidR="00B22726" w:rsidRDefault="00B60389" w:rsidP="003F2F66">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r w:rsidRPr="003F2F66">
        <w:rPr>
          <w:rFonts w:ascii="Times New Roman" w:hAnsi="Times New Roman" w:cs="Times New Roman"/>
          <w:bCs/>
          <w:color w:val="000000"/>
          <w:sz w:val="20"/>
          <w:szCs w:val="20"/>
        </w:rPr>
        <w:t>PCR-</w:t>
      </w:r>
      <w:r w:rsidR="009517AB" w:rsidRPr="003F2F66">
        <w:rPr>
          <w:rFonts w:ascii="Times New Roman" w:hAnsi="Times New Roman" w:cs="Times New Roman"/>
          <w:bCs/>
          <w:color w:val="000000"/>
          <w:sz w:val="20"/>
          <w:szCs w:val="20"/>
        </w:rPr>
        <w:t>HRM:</w:t>
      </w:r>
      <w:r w:rsidR="009517AB" w:rsidRPr="003F2F66">
        <w:rPr>
          <w:rFonts w:ascii="Times New Roman" w:hAnsi="Times New Roman" w:cs="Times New Roman"/>
          <w:b/>
          <w:bCs/>
          <w:color w:val="000000"/>
          <w:sz w:val="20"/>
          <w:szCs w:val="20"/>
        </w:rPr>
        <w:t xml:space="preserve"> </w:t>
      </w:r>
      <w:r w:rsidR="009D280A" w:rsidRPr="003F2F66">
        <w:rPr>
          <w:rFonts w:ascii="Times New Roman" w:hAnsi="Times New Roman" w:cs="Times New Roman"/>
          <w:color w:val="000000"/>
          <w:sz w:val="20"/>
          <w:szCs w:val="20"/>
        </w:rPr>
        <w:t>High Resolution Melt (HRM) is a closed</w:t>
      </w:r>
      <w:r w:rsidR="00DA137C" w:rsidRPr="003F2F66">
        <w:rPr>
          <w:rFonts w:ascii="Times New Roman" w:hAnsi="Times New Roman" w:cs="Times New Roman"/>
          <w:color w:val="000000"/>
          <w:sz w:val="20"/>
          <w:szCs w:val="20"/>
        </w:rPr>
        <w:t xml:space="preserve"> </w:t>
      </w:r>
      <w:r w:rsidR="009D280A" w:rsidRPr="003F2F66">
        <w:rPr>
          <w:rFonts w:ascii="Times New Roman" w:hAnsi="Times New Roman" w:cs="Times New Roman"/>
          <w:color w:val="000000"/>
          <w:sz w:val="20"/>
          <w:szCs w:val="20"/>
        </w:rPr>
        <w:t>tube, post-PCR analysis method</w:t>
      </w:r>
      <w:r w:rsidR="008E3EB9" w:rsidRPr="003F2F66">
        <w:rPr>
          <w:rFonts w:ascii="Times New Roman" w:hAnsi="Times New Roman" w:cs="Times New Roman"/>
          <w:color w:val="000000"/>
          <w:sz w:val="20"/>
          <w:szCs w:val="20"/>
        </w:rPr>
        <w:t>.</w:t>
      </w:r>
      <w:r w:rsidR="009D280A" w:rsidRPr="003F2F66">
        <w:rPr>
          <w:rFonts w:ascii="Times New Roman" w:hAnsi="Times New Roman" w:cs="Times New Roman"/>
          <w:color w:val="000000"/>
          <w:sz w:val="20"/>
          <w:szCs w:val="20"/>
        </w:rPr>
        <w:t xml:space="preserve"> PCR products can be discriminated according to sequence, length, GC conten</w:t>
      </w:r>
      <w:r w:rsidRPr="003F2F66">
        <w:rPr>
          <w:rFonts w:ascii="Times New Roman" w:hAnsi="Times New Roman" w:cs="Times New Roman"/>
          <w:color w:val="000000"/>
          <w:sz w:val="20"/>
          <w:szCs w:val="20"/>
        </w:rPr>
        <w:t>t, and</w:t>
      </w:r>
      <w:r w:rsidR="009D280A" w:rsidRPr="003F2F66">
        <w:rPr>
          <w:rFonts w:ascii="Times New Roman" w:hAnsi="Times New Roman" w:cs="Times New Roman"/>
          <w:color w:val="000000"/>
          <w:sz w:val="20"/>
          <w:szCs w:val="20"/>
        </w:rPr>
        <w:t xml:space="preserve"> single base pair change </w:t>
      </w:r>
      <w:r w:rsidR="00BD4062" w:rsidRPr="003F2F66">
        <w:rPr>
          <w:rFonts w:ascii="Times New Roman" w:hAnsi="Times New Roman" w:cs="Times New Roman"/>
          <w:color w:val="000000"/>
          <w:sz w:val="20"/>
          <w:szCs w:val="20"/>
        </w:rPr>
        <w:t>(</w:t>
      </w:r>
      <w:proofErr w:type="spellStart"/>
      <w:r w:rsidR="00BD4062" w:rsidRPr="003F2F66">
        <w:rPr>
          <w:rFonts w:ascii="Times New Roman" w:hAnsi="Times New Roman" w:cs="Times New Roman"/>
          <w:color w:val="000000"/>
          <w:sz w:val="20"/>
          <w:szCs w:val="20"/>
        </w:rPr>
        <w:t>Herrman</w:t>
      </w:r>
      <w:proofErr w:type="spellEnd"/>
      <w:r w:rsidR="00BD4062" w:rsidRPr="003F2F66">
        <w:rPr>
          <w:rFonts w:ascii="Times New Roman" w:hAnsi="Times New Roman" w:cs="Times New Roman"/>
          <w:color w:val="000000"/>
          <w:sz w:val="20"/>
          <w:szCs w:val="20"/>
        </w:rPr>
        <w:t xml:space="preserve"> MG et al</w:t>
      </w:r>
      <w:r w:rsidR="001D24AC" w:rsidRPr="003F2F66">
        <w:rPr>
          <w:rFonts w:ascii="Times New Roman" w:hAnsi="Times New Roman" w:cs="Times New Roman"/>
          <w:color w:val="000000"/>
          <w:sz w:val="20"/>
          <w:szCs w:val="20"/>
        </w:rPr>
        <w:t>.,</w:t>
      </w:r>
      <w:r w:rsidR="00BD4062" w:rsidRPr="003F2F66">
        <w:rPr>
          <w:rFonts w:ascii="Times New Roman" w:hAnsi="Times New Roman" w:cs="Times New Roman"/>
          <w:color w:val="000000"/>
          <w:sz w:val="20"/>
          <w:szCs w:val="20"/>
        </w:rPr>
        <w:t xml:space="preserve"> 2006 and </w:t>
      </w:r>
      <w:proofErr w:type="spellStart"/>
      <w:r w:rsidR="00BD4062" w:rsidRPr="003F2F66">
        <w:rPr>
          <w:rFonts w:ascii="Times New Roman" w:hAnsi="Times New Roman" w:cs="Times New Roman"/>
          <w:color w:val="000000"/>
          <w:sz w:val="20"/>
          <w:szCs w:val="20"/>
        </w:rPr>
        <w:t>Wojdacz</w:t>
      </w:r>
      <w:proofErr w:type="spellEnd"/>
      <w:r w:rsidR="00BD4062" w:rsidRPr="003F2F66">
        <w:rPr>
          <w:rFonts w:ascii="Times New Roman" w:hAnsi="Times New Roman" w:cs="Times New Roman"/>
          <w:color w:val="000000"/>
          <w:sz w:val="20"/>
          <w:szCs w:val="20"/>
        </w:rPr>
        <w:t xml:space="preserve"> TK et al</w:t>
      </w:r>
      <w:r w:rsidR="001D24AC" w:rsidRPr="003F2F66">
        <w:rPr>
          <w:rFonts w:ascii="Times New Roman" w:hAnsi="Times New Roman" w:cs="Times New Roman"/>
          <w:color w:val="000000"/>
          <w:sz w:val="20"/>
          <w:szCs w:val="20"/>
        </w:rPr>
        <w:t>.,</w:t>
      </w:r>
      <w:r w:rsidR="00BD4062" w:rsidRPr="003F2F66">
        <w:rPr>
          <w:rFonts w:ascii="Times New Roman" w:hAnsi="Times New Roman" w:cs="Times New Roman"/>
          <w:color w:val="000000"/>
          <w:sz w:val="20"/>
          <w:szCs w:val="20"/>
        </w:rPr>
        <w:t xml:space="preserve"> 2007)</w:t>
      </w:r>
      <w:r w:rsidR="009D280A" w:rsidRPr="003F2F66">
        <w:rPr>
          <w:rFonts w:ascii="Times New Roman" w:hAnsi="Times New Roman" w:cs="Times New Roman"/>
          <w:color w:val="000000"/>
          <w:sz w:val="20"/>
          <w:szCs w:val="20"/>
        </w:rPr>
        <w:t xml:space="preserve">. For the present study Applied </w:t>
      </w:r>
      <w:proofErr w:type="spellStart"/>
      <w:r w:rsidR="009D280A" w:rsidRPr="003F2F66">
        <w:rPr>
          <w:rFonts w:ascii="Times New Roman" w:hAnsi="Times New Roman" w:cs="Times New Roman"/>
          <w:color w:val="000000"/>
          <w:sz w:val="20"/>
          <w:szCs w:val="20"/>
        </w:rPr>
        <w:t>Biosystem</w:t>
      </w:r>
      <w:proofErr w:type="spellEnd"/>
      <w:r w:rsidR="009D280A" w:rsidRPr="003F2F66">
        <w:rPr>
          <w:rFonts w:ascii="Times New Roman" w:hAnsi="Times New Roman" w:cs="Times New Roman"/>
          <w:color w:val="000000"/>
          <w:sz w:val="20"/>
          <w:szCs w:val="20"/>
        </w:rPr>
        <w:t xml:space="preserve"> 7500 Fast Real Time PCR machine with HRM Analysis software v2.0</w:t>
      </w:r>
      <w:r w:rsidR="008E3EB9" w:rsidRPr="003F2F66">
        <w:rPr>
          <w:rFonts w:ascii="Times New Roman" w:hAnsi="Times New Roman" w:cs="Times New Roman"/>
          <w:color w:val="000000"/>
          <w:sz w:val="20"/>
          <w:szCs w:val="20"/>
        </w:rPr>
        <w:t>,</w:t>
      </w:r>
      <w:r w:rsidR="009D280A" w:rsidRPr="003F2F66">
        <w:rPr>
          <w:rFonts w:ascii="Times New Roman" w:hAnsi="Times New Roman" w:cs="Times New Roman"/>
          <w:color w:val="000000"/>
          <w:sz w:val="20"/>
          <w:szCs w:val="20"/>
        </w:rPr>
        <w:t xml:space="preserve"> and Melt Doctor HRM reagents were used </w:t>
      </w:r>
      <w:r w:rsidR="00BD4062" w:rsidRPr="003F2F66">
        <w:rPr>
          <w:rFonts w:ascii="Times New Roman" w:hAnsi="Times New Roman" w:cs="Times New Roman"/>
          <w:color w:val="000000"/>
          <w:sz w:val="20"/>
          <w:szCs w:val="20"/>
        </w:rPr>
        <w:t>(Zhou L et al</w:t>
      </w:r>
      <w:r w:rsidR="001D24AC" w:rsidRPr="003F2F66">
        <w:rPr>
          <w:rFonts w:ascii="Times New Roman" w:hAnsi="Times New Roman" w:cs="Times New Roman"/>
          <w:color w:val="000000"/>
          <w:sz w:val="20"/>
          <w:szCs w:val="20"/>
        </w:rPr>
        <w:t>.,</w:t>
      </w:r>
      <w:r w:rsidR="00BD4062" w:rsidRPr="003F2F66">
        <w:rPr>
          <w:rFonts w:ascii="Times New Roman" w:hAnsi="Times New Roman" w:cs="Times New Roman"/>
          <w:color w:val="000000"/>
          <w:sz w:val="20"/>
          <w:szCs w:val="20"/>
        </w:rPr>
        <w:t xml:space="preserve"> 2008)</w:t>
      </w:r>
      <w:r w:rsidR="009D280A" w:rsidRPr="003F2F66">
        <w:rPr>
          <w:rFonts w:ascii="Times New Roman" w:hAnsi="Times New Roman" w:cs="Times New Roman"/>
          <w:color w:val="000000"/>
          <w:sz w:val="20"/>
          <w:szCs w:val="20"/>
        </w:rPr>
        <w:t xml:space="preserve">. </w:t>
      </w:r>
      <w:r w:rsidR="00ED2539" w:rsidRPr="003F2F66">
        <w:rPr>
          <w:rFonts w:ascii="Times New Roman" w:hAnsi="Times New Roman" w:cs="Times New Roman"/>
          <w:color w:val="000000"/>
          <w:sz w:val="20"/>
          <w:szCs w:val="20"/>
        </w:rPr>
        <w:t>Pair of primers was</w:t>
      </w:r>
      <w:r w:rsidR="009D280A" w:rsidRPr="003F2F66">
        <w:rPr>
          <w:rFonts w:ascii="Times New Roman" w:hAnsi="Times New Roman" w:cs="Times New Roman"/>
          <w:color w:val="000000"/>
          <w:sz w:val="20"/>
          <w:szCs w:val="20"/>
        </w:rPr>
        <w:t xml:space="preserve"> designed to amplify </w:t>
      </w:r>
      <w:r w:rsidRPr="003F2F66">
        <w:rPr>
          <w:rFonts w:ascii="Times New Roman" w:hAnsi="Times New Roman" w:cs="Times New Roman"/>
          <w:color w:val="000000"/>
          <w:sz w:val="20"/>
          <w:szCs w:val="20"/>
        </w:rPr>
        <w:t>5</w:t>
      </w:r>
      <w:r w:rsidR="009D280A" w:rsidRPr="003F2F66">
        <w:rPr>
          <w:rFonts w:ascii="Times New Roman" w:hAnsi="Times New Roman" w:cs="Times New Roman"/>
          <w:color w:val="000000"/>
          <w:sz w:val="20"/>
          <w:szCs w:val="20"/>
        </w:rPr>
        <w:t xml:space="preserve">00 </w:t>
      </w:r>
      <w:proofErr w:type="spellStart"/>
      <w:r w:rsidR="009D280A" w:rsidRPr="003F2F66">
        <w:rPr>
          <w:rFonts w:ascii="Times New Roman" w:hAnsi="Times New Roman" w:cs="Times New Roman"/>
          <w:color w:val="000000"/>
          <w:sz w:val="20"/>
          <w:szCs w:val="20"/>
        </w:rPr>
        <w:t>bp</w:t>
      </w:r>
      <w:proofErr w:type="spellEnd"/>
      <w:r w:rsidR="009D280A" w:rsidRPr="003F2F66">
        <w:rPr>
          <w:rFonts w:ascii="Times New Roman" w:hAnsi="Times New Roman" w:cs="Times New Roman"/>
          <w:color w:val="000000"/>
          <w:sz w:val="20"/>
          <w:szCs w:val="20"/>
        </w:rPr>
        <w:t xml:space="preserve"> </w:t>
      </w:r>
      <w:r w:rsidR="00ED2539" w:rsidRPr="003F2F66">
        <w:rPr>
          <w:rFonts w:ascii="Times New Roman" w:hAnsi="Times New Roman" w:cs="Times New Roman"/>
          <w:color w:val="000000"/>
          <w:sz w:val="20"/>
          <w:szCs w:val="20"/>
        </w:rPr>
        <w:t>products</w:t>
      </w:r>
      <w:r w:rsidRPr="003F2F66">
        <w:rPr>
          <w:rFonts w:ascii="Times New Roman" w:hAnsi="Times New Roman" w:cs="Times New Roman"/>
          <w:color w:val="000000"/>
          <w:sz w:val="20"/>
          <w:szCs w:val="20"/>
        </w:rPr>
        <w:t xml:space="preserve">. </w:t>
      </w:r>
      <w:r w:rsidR="008E3EB9" w:rsidRPr="003F2F66">
        <w:rPr>
          <w:rFonts w:ascii="Times New Roman" w:hAnsi="Times New Roman" w:cs="Times New Roman"/>
          <w:color w:val="000000"/>
          <w:sz w:val="20"/>
          <w:szCs w:val="20"/>
        </w:rPr>
        <w:t>Reference</w:t>
      </w:r>
      <w:r w:rsidRPr="003F2F66">
        <w:rPr>
          <w:rFonts w:ascii="Times New Roman" w:hAnsi="Times New Roman" w:cs="Times New Roman"/>
          <w:color w:val="000000"/>
          <w:sz w:val="20"/>
          <w:szCs w:val="20"/>
        </w:rPr>
        <w:t xml:space="preserve"> </w:t>
      </w:r>
      <w:r w:rsidR="008E3EB9" w:rsidRPr="003F2F66">
        <w:rPr>
          <w:rFonts w:ascii="Times New Roman" w:hAnsi="Times New Roman" w:cs="Times New Roman"/>
          <w:color w:val="000000"/>
          <w:sz w:val="20"/>
          <w:szCs w:val="20"/>
        </w:rPr>
        <w:t>strain</w:t>
      </w:r>
      <w:r w:rsidR="00DA137C" w:rsidRPr="003F2F66">
        <w:rPr>
          <w:rFonts w:ascii="Times New Roman" w:hAnsi="Times New Roman" w:cs="Times New Roman"/>
          <w:color w:val="000000"/>
          <w:sz w:val="20"/>
          <w:szCs w:val="20"/>
        </w:rPr>
        <w:t xml:space="preserve"> (</w:t>
      </w:r>
      <w:r w:rsidR="00DA137C" w:rsidRPr="003F2F66">
        <w:rPr>
          <w:rFonts w:ascii="Times New Roman" w:hAnsi="Times New Roman" w:cs="Times New Roman"/>
          <w:sz w:val="20"/>
          <w:szCs w:val="20"/>
        </w:rPr>
        <w:t xml:space="preserve">from </w:t>
      </w:r>
      <w:r w:rsidR="00DA137C" w:rsidRPr="003F2F66">
        <w:rPr>
          <w:rFonts w:ascii="Times New Roman" w:hAnsi="Times New Roman" w:cs="Times New Roman"/>
          <w:i/>
          <w:iCs/>
          <w:sz w:val="20"/>
          <w:szCs w:val="20"/>
        </w:rPr>
        <w:t xml:space="preserve">Mycobacterium tuberculosis </w:t>
      </w:r>
      <w:r w:rsidR="00DA137C" w:rsidRPr="003F2F66">
        <w:rPr>
          <w:rFonts w:ascii="Times New Roman" w:hAnsi="Times New Roman" w:cs="Times New Roman"/>
          <w:sz w:val="20"/>
          <w:szCs w:val="20"/>
        </w:rPr>
        <w:t>H37Rv)</w:t>
      </w:r>
      <w:r w:rsidRPr="003F2F66">
        <w:rPr>
          <w:rFonts w:ascii="Times New Roman" w:hAnsi="Times New Roman" w:cs="Times New Roman"/>
          <w:color w:val="000000"/>
          <w:sz w:val="20"/>
          <w:szCs w:val="20"/>
        </w:rPr>
        <w:t xml:space="preserve"> w</w:t>
      </w:r>
      <w:r w:rsidR="00ED2539" w:rsidRPr="003F2F66">
        <w:rPr>
          <w:rFonts w:ascii="Times New Roman" w:hAnsi="Times New Roman" w:cs="Times New Roman"/>
          <w:color w:val="000000"/>
          <w:sz w:val="20"/>
          <w:szCs w:val="20"/>
        </w:rPr>
        <w:t>as</w:t>
      </w:r>
      <w:r w:rsidRPr="003F2F66">
        <w:rPr>
          <w:rFonts w:ascii="Times New Roman" w:hAnsi="Times New Roman" w:cs="Times New Roman"/>
          <w:color w:val="000000"/>
          <w:sz w:val="20"/>
          <w:szCs w:val="20"/>
        </w:rPr>
        <w:t xml:space="preserve"> used as positive </w:t>
      </w:r>
      <w:r w:rsidR="00ED2539" w:rsidRPr="003F2F66">
        <w:rPr>
          <w:rFonts w:ascii="Times New Roman" w:hAnsi="Times New Roman" w:cs="Times New Roman"/>
          <w:color w:val="000000"/>
          <w:sz w:val="20"/>
          <w:szCs w:val="20"/>
        </w:rPr>
        <w:t>control</w:t>
      </w:r>
      <w:r w:rsidR="008E3EB9" w:rsidRPr="003F2F66">
        <w:rPr>
          <w:rFonts w:ascii="Times New Roman" w:hAnsi="Times New Roman" w:cs="Times New Roman"/>
          <w:color w:val="000000"/>
          <w:sz w:val="20"/>
          <w:szCs w:val="20"/>
        </w:rPr>
        <w:t>,</w:t>
      </w:r>
      <w:r w:rsidRPr="003F2F66">
        <w:rPr>
          <w:rFonts w:ascii="Times New Roman" w:hAnsi="Times New Roman" w:cs="Times New Roman"/>
          <w:color w:val="000000"/>
          <w:sz w:val="20"/>
          <w:szCs w:val="20"/>
        </w:rPr>
        <w:t xml:space="preserve"> and </w:t>
      </w:r>
      <w:r w:rsidR="00253F5F" w:rsidRPr="003F2F66">
        <w:rPr>
          <w:rFonts w:ascii="Times New Roman" w:hAnsi="Times New Roman" w:cs="Times New Roman"/>
          <w:color w:val="000000"/>
          <w:sz w:val="20"/>
          <w:szCs w:val="20"/>
        </w:rPr>
        <w:t xml:space="preserve">a </w:t>
      </w:r>
      <w:r w:rsidR="009D280A" w:rsidRPr="003F2F66">
        <w:rPr>
          <w:rFonts w:ascii="Times New Roman" w:hAnsi="Times New Roman" w:cs="Times New Roman"/>
          <w:color w:val="000000"/>
          <w:sz w:val="20"/>
          <w:szCs w:val="20"/>
        </w:rPr>
        <w:t>sample without template DNA was used as a negative control</w:t>
      </w:r>
      <w:r w:rsidR="008E3EB9" w:rsidRPr="003F2F66">
        <w:rPr>
          <w:rFonts w:ascii="Times New Roman" w:hAnsi="Times New Roman" w:cs="Times New Roman"/>
          <w:color w:val="000000"/>
          <w:sz w:val="20"/>
          <w:szCs w:val="20"/>
        </w:rPr>
        <w:t>,</w:t>
      </w:r>
      <w:r w:rsidR="009D280A" w:rsidRPr="003F2F66">
        <w:rPr>
          <w:rFonts w:ascii="Times New Roman" w:hAnsi="Times New Roman" w:cs="Times New Roman"/>
          <w:color w:val="000000"/>
          <w:sz w:val="20"/>
          <w:szCs w:val="20"/>
        </w:rPr>
        <w:t xml:space="preserve"> which is significant for measuring any false positive signal caused by contamination. In a sterile micro centrifuge tube</w:t>
      </w:r>
      <w:r w:rsidR="00ED2539" w:rsidRPr="003F2F66">
        <w:rPr>
          <w:rFonts w:ascii="Times New Roman" w:hAnsi="Times New Roman" w:cs="Times New Roman"/>
          <w:color w:val="000000"/>
          <w:sz w:val="20"/>
          <w:szCs w:val="20"/>
        </w:rPr>
        <w:t>,</w:t>
      </w:r>
      <w:r w:rsidR="009D280A" w:rsidRPr="003F2F66">
        <w:rPr>
          <w:rFonts w:ascii="Times New Roman" w:hAnsi="Times New Roman" w:cs="Times New Roman"/>
          <w:color w:val="000000"/>
          <w:sz w:val="20"/>
          <w:szCs w:val="20"/>
        </w:rPr>
        <w:t xml:space="preserve"> 10 µl of Melt doctor HRM Master Mix (from Applied </w:t>
      </w:r>
      <w:proofErr w:type="spellStart"/>
      <w:r w:rsidR="009D280A" w:rsidRPr="003F2F66">
        <w:rPr>
          <w:rFonts w:ascii="Times New Roman" w:hAnsi="Times New Roman" w:cs="Times New Roman"/>
          <w:color w:val="000000"/>
          <w:sz w:val="20"/>
          <w:szCs w:val="20"/>
        </w:rPr>
        <w:t>Biosystem</w:t>
      </w:r>
      <w:proofErr w:type="spellEnd"/>
      <w:r w:rsidR="009D280A" w:rsidRPr="003F2F66">
        <w:rPr>
          <w:rFonts w:ascii="Times New Roman" w:hAnsi="Times New Roman" w:cs="Times New Roman"/>
          <w:color w:val="000000"/>
          <w:sz w:val="20"/>
          <w:szCs w:val="20"/>
        </w:rPr>
        <w:t xml:space="preserve">) </w:t>
      </w:r>
      <w:r w:rsidR="008E3EB9" w:rsidRPr="003F2F66">
        <w:rPr>
          <w:rFonts w:ascii="Times New Roman" w:hAnsi="Times New Roman" w:cs="Times New Roman"/>
          <w:color w:val="000000"/>
          <w:sz w:val="20"/>
          <w:szCs w:val="20"/>
        </w:rPr>
        <w:t>,</w:t>
      </w:r>
      <w:r w:rsidR="009D280A" w:rsidRPr="003F2F66">
        <w:rPr>
          <w:rFonts w:ascii="Times New Roman" w:hAnsi="Times New Roman" w:cs="Times New Roman"/>
          <w:color w:val="000000"/>
          <w:sz w:val="20"/>
          <w:szCs w:val="20"/>
        </w:rPr>
        <w:t>1µl each of forward and reverse primers, 8 µl nuclease free water</w:t>
      </w:r>
      <w:r w:rsidR="008E3EB9" w:rsidRPr="003F2F66">
        <w:rPr>
          <w:rFonts w:ascii="Times New Roman" w:hAnsi="Times New Roman" w:cs="Times New Roman"/>
          <w:color w:val="000000"/>
          <w:sz w:val="20"/>
          <w:szCs w:val="20"/>
        </w:rPr>
        <w:t>, and</w:t>
      </w:r>
      <w:r w:rsidR="009D280A" w:rsidRPr="003F2F66">
        <w:rPr>
          <w:rFonts w:ascii="Times New Roman" w:hAnsi="Times New Roman" w:cs="Times New Roman"/>
          <w:color w:val="000000"/>
          <w:sz w:val="20"/>
          <w:szCs w:val="20"/>
        </w:rPr>
        <w:t xml:space="preserve"> </w:t>
      </w:r>
      <w:r w:rsidR="00ED2539" w:rsidRPr="003F2F66">
        <w:rPr>
          <w:rFonts w:ascii="Times New Roman" w:hAnsi="Times New Roman" w:cs="Times New Roman"/>
          <w:color w:val="000000"/>
          <w:sz w:val="20"/>
          <w:szCs w:val="20"/>
        </w:rPr>
        <w:t>5</w:t>
      </w:r>
      <w:r w:rsidR="009D280A" w:rsidRPr="003F2F66">
        <w:rPr>
          <w:rFonts w:ascii="Times New Roman" w:hAnsi="Times New Roman" w:cs="Times New Roman"/>
          <w:color w:val="000000"/>
          <w:sz w:val="20"/>
          <w:szCs w:val="20"/>
        </w:rPr>
        <w:t>µl of the template DNA</w:t>
      </w:r>
      <w:r w:rsidR="008E3EB9" w:rsidRPr="003F2F66">
        <w:rPr>
          <w:rFonts w:ascii="Times New Roman" w:hAnsi="Times New Roman" w:cs="Times New Roman"/>
          <w:color w:val="000000"/>
          <w:sz w:val="20"/>
          <w:szCs w:val="20"/>
        </w:rPr>
        <w:t xml:space="preserve"> were added</w:t>
      </w:r>
      <w:r w:rsidR="009D280A" w:rsidRPr="003F2F66">
        <w:rPr>
          <w:rFonts w:ascii="Times New Roman" w:hAnsi="Times New Roman" w:cs="Times New Roman"/>
          <w:color w:val="000000"/>
          <w:sz w:val="20"/>
          <w:szCs w:val="20"/>
        </w:rPr>
        <w:t xml:space="preserve"> </w:t>
      </w:r>
      <w:r w:rsidR="008E3EB9" w:rsidRPr="003F2F66">
        <w:rPr>
          <w:rFonts w:ascii="Times New Roman" w:hAnsi="Times New Roman" w:cs="Times New Roman"/>
          <w:color w:val="000000"/>
          <w:sz w:val="20"/>
          <w:szCs w:val="20"/>
        </w:rPr>
        <w:t xml:space="preserve">to </w:t>
      </w:r>
      <w:r w:rsidR="009D280A" w:rsidRPr="003F2F66">
        <w:rPr>
          <w:rFonts w:ascii="Times New Roman" w:hAnsi="Times New Roman" w:cs="Times New Roman"/>
          <w:color w:val="000000"/>
          <w:sz w:val="20"/>
          <w:szCs w:val="20"/>
        </w:rPr>
        <w:t xml:space="preserve">make the total reaction volume 25µl. </w:t>
      </w:r>
      <w:r w:rsidR="00253F5F" w:rsidRPr="003F2F66">
        <w:rPr>
          <w:rFonts w:ascii="Times New Roman" w:hAnsi="Times New Roman" w:cs="Times New Roman"/>
          <w:color w:val="000000"/>
          <w:sz w:val="20"/>
          <w:szCs w:val="20"/>
        </w:rPr>
        <w:t xml:space="preserve">Reaction conditions for </w:t>
      </w:r>
      <w:r w:rsidR="009D280A" w:rsidRPr="003F2F66">
        <w:rPr>
          <w:rFonts w:ascii="Times New Roman" w:hAnsi="Times New Roman" w:cs="Times New Roman"/>
          <w:color w:val="000000"/>
          <w:sz w:val="20"/>
          <w:szCs w:val="20"/>
        </w:rPr>
        <w:t xml:space="preserve">HRM, Holding Stage, the first step for the enzyme deactivation carried out </w:t>
      </w:r>
      <w:r w:rsidR="008E3EB9" w:rsidRPr="003F2F66">
        <w:rPr>
          <w:rFonts w:ascii="Times New Roman" w:hAnsi="Times New Roman" w:cs="Times New Roman"/>
          <w:color w:val="000000"/>
          <w:sz w:val="20"/>
          <w:szCs w:val="20"/>
        </w:rPr>
        <w:t xml:space="preserve">was </w:t>
      </w:r>
      <w:r w:rsidR="009D280A" w:rsidRPr="003F2F66">
        <w:rPr>
          <w:rFonts w:ascii="Times New Roman" w:hAnsi="Times New Roman" w:cs="Times New Roman"/>
          <w:color w:val="000000"/>
          <w:sz w:val="20"/>
          <w:szCs w:val="20"/>
        </w:rPr>
        <w:t>at 95</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009D280A" w:rsidRPr="003F2F66">
        <w:rPr>
          <w:rFonts w:ascii="Times New Roman" w:hAnsi="Times New Roman" w:cs="Times New Roman"/>
          <w:color w:val="000000"/>
          <w:sz w:val="20"/>
          <w:szCs w:val="20"/>
        </w:rPr>
        <w:t xml:space="preserve"> for 10 min followed by forty cycles</w:t>
      </w:r>
      <w:r w:rsidR="008E3EB9" w:rsidRPr="003F2F66">
        <w:rPr>
          <w:rFonts w:ascii="Times New Roman" w:hAnsi="Times New Roman" w:cs="Times New Roman"/>
          <w:color w:val="000000"/>
          <w:sz w:val="20"/>
          <w:szCs w:val="20"/>
        </w:rPr>
        <w:t>,</w:t>
      </w:r>
      <w:r w:rsidR="009D280A" w:rsidRPr="003F2F66">
        <w:rPr>
          <w:rFonts w:ascii="Times New Roman" w:hAnsi="Times New Roman" w:cs="Times New Roman"/>
          <w:color w:val="000000"/>
          <w:sz w:val="20"/>
          <w:szCs w:val="20"/>
        </w:rPr>
        <w:t xml:space="preserve"> each of </w:t>
      </w:r>
      <w:proofErr w:type="spellStart"/>
      <w:r w:rsidR="009D280A" w:rsidRPr="003F2F66">
        <w:rPr>
          <w:rFonts w:ascii="Times New Roman" w:hAnsi="Times New Roman" w:cs="Times New Roman"/>
          <w:color w:val="000000"/>
          <w:sz w:val="20"/>
          <w:szCs w:val="20"/>
        </w:rPr>
        <w:t>denaturation</w:t>
      </w:r>
      <w:proofErr w:type="spellEnd"/>
      <w:r w:rsidR="009D280A" w:rsidRPr="003F2F66">
        <w:rPr>
          <w:rFonts w:ascii="Times New Roman" w:hAnsi="Times New Roman" w:cs="Times New Roman"/>
          <w:color w:val="000000"/>
          <w:sz w:val="20"/>
          <w:szCs w:val="20"/>
        </w:rPr>
        <w:t>, extension and annealing at 95</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009D280A" w:rsidRPr="003F2F66">
        <w:rPr>
          <w:rFonts w:ascii="Times New Roman" w:hAnsi="Times New Roman" w:cs="Times New Roman"/>
          <w:color w:val="000000"/>
          <w:sz w:val="20"/>
          <w:szCs w:val="20"/>
        </w:rPr>
        <w:t xml:space="preserve"> for 15 sec, 60</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009D280A" w:rsidRPr="003F2F66">
        <w:rPr>
          <w:rFonts w:ascii="Times New Roman" w:hAnsi="Times New Roman" w:cs="Times New Roman"/>
          <w:color w:val="000000"/>
          <w:sz w:val="20"/>
          <w:szCs w:val="20"/>
        </w:rPr>
        <w:t xml:space="preserve"> for 1 min and 60</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009D280A" w:rsidRPr="003F2F66">
        <w:rPr>
          <w:rFonts w:ascii="Times New Roman" w:hAnsi="Times New Roman" w:cs="Times New Roman"/>
          <w:color w:val="000000"/>
          <w:sz w:val="20"/>
          <w:szCs w:val="20"/>
        </w:rPr>
        <w:t xml:space="preserve"> for 1 min respectively. Further for dissociation steps </w:t>
      </w:r>
      <w:r w:rsidR="009867CF" w:rsidRPr="003F2F66">
        <w:rPr>
          <w:rFonts w:ascii="Times New Roman" w:hAnsi="Times New Roman" w:cs="Times New Roman"/>
          <w:color w:val="000000"/>
          <w:sz w:val="20"/>
          <w:szCs w:val="20"/>
        </w:rPr>
        <w:t xml:space="preserve">cycling conditions </w:t>
      </w:r>
      <w:r w:rsidR="009517AB" w:rsidRPr="003F2F66">
        <w:rPr>
          <w:rFonts w:ascii="Times New Roman" w:hAnsi="Times New Roman" w:cs="Times New Roman"/>
          <w:color w:val="000000"/>
          <w:sz w:val="20"/>
          <w:szCs w:val="20"/>
        </w:rPr>
        <w:t>were,</w:t>
      </w:r>
      <w:r w:rsidR="009D280A" w:rsidRPr="003F2F66">
        <w:rPr>
          <w:rFonts w:ascii="Times New Roman" w:hAnsi="Times New Roman" w:cs="Times New Roman"/>
          <w:color w:val="000000"/>
          <w:sz w:val="20"/>
          <w:szCs w:val="20"/>
        </w:rPr>
        <w:t xml:space="preserve"> </w:t>
      </w:r>
      <w:proofErr w:type="spellStart"/>
      <w:r w:rsidR="009D280A" w:rsidRPr="003F2F66">
        <w:rPr>
          <w:rFonts w:ascii="Times New Roman" w:hAnsi="Times New Roman" w:cs="Times New Roman"/>
          <w:color w:val="000000"/>
          <w:sz w:val="20"/>
          <w:szCs w:val="20"/>
        </w:rPr>
        <w:t>denaturation</w:t>
      </w:r>
      <w:proofErr w:type="spellEnd"/>
      <w:r w:rsidR="009D280A" w:rsidRPr="003F2F66">
        <w:rPr>
          <w:rFonts w:ascii="Times New Roman" w:hAnsi="Times New Roman" w:cs="Times New Roman"/>
          <w:color w:val="000000"/>
          <w:sz w:val="20"/>
          <w:szCs w:val="20"/>
        </w:rPr>
        <w:t xml:space="preserve"> at 95</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009D280A" w:rsidRPr="003F2F66">
        <w:rPr>
          <w:rFonts w:ascii="Times New Roman" w:hAnsi="Times New Roman" w:cs="Times New Roman"/>
          <w:color w:val="000000"/>
          <w:sz w:val="20"/>
          <w:szCs w:val="20"/>
        </w:rPr>
        <w:t xml:space="preserve"> for 10 sec, </w:t>
      </w:r>
      <w:r w:rsidR="009517AB" w:rsidRPr="003F2F66">
        <w:rPr>
          <w:rFonts w:ascii="Times New Roman" w:hAnsi="Times New Roman" w:cs="Times New Roman"/>
          <w:color w:val="000000"/>
          <w:sz w:val="20"/>
          <w:szCs w:val="20"/>
        </w:rPr>
        <w:t>annealing at</w:t>
      </w:r>
      <w:r w:rsidR="009D280A" w:rsidRPr="003F2F66">
        <w:rPr>
          <w:rFonts w:ascii="Times New Roman" w:hAnsi="Times New Roman" w:cs="Times New Roman"/>
          <w:color w:val="000000"/>
          <w:sz w:val="20"/>
          <w:szCs w:val="20"/>
        </w:rPr>
        <w:t xml:space="preserve"> 60</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009D280A" w:rsidRPr="003F2F66">
        <w:rPr>
          <w:rFonts w:ascii="Times New Roman" w:hAnsi="Times New Roman" w:cs="Times New Roman"/>
          <w:color w:val="000000"/>
          <w:sz w:val="20"/>
          <w:szCs w:val="20"/>
        </w:rPr>
        <w:t xml:space="preserve"> for 1 min, </w:t>
      </w:r>
      <w:r w:rsidR="009867CF" w:rsidRPr="003F2F66">
        <w:rPr>
          <w:rFonts w:ascii="Times New Roman" w:hAnsi="Times New Roman" w:cs="Times New Roman"/>
          <w:color w:val="000000"/>
          <w:sz w:val="20"/>
          <w:szCs w:val="20"/>
        </w:rPr>
        <w:t xml:space="preserve">and </w:t>
      </w:r>
      <w:r w:rsidR="009D280A" w:rsidRPr="003F2F66">
        <w:rPr>
          <w:rFonts w:ascii="Times New Roman" w:hAnsi="Times New Roman" w:cs="Times New Roman"/>
          <w:color w:val="000000"/>
          <w:sz w:val="20"/>
          <w:szCs w:val="20"/>
        </w:rPr>
        <w:t>high resolution melting at 95</w:t>
      </w:r>
      <w:r w:rsidR="002B0B61" w:rsidRPr="003F2F66">
        <w:rPr>
          <w:rFonts w:ascii="Times New Roman" w:hAnsi="Times New Roman" w:cs="Times New Roman"/>
          <w:bCs/>
          <w:color w:val="000000"/>
          <w:sz w:val="20"/>
          <w:szCs w:val="20"/>
          <w:vertAlign w:val="superscript"/>
        </w:rPr>
        <w:t>0</w:t>
      </w:r>
      <w:r w:rsidR="002B0B61" w:rsidRPr="003F2F66">
        <w:rPr>
          <w:rFonts w:ascii="Times New Roman" w:hAnsi="Times New Roman" w:cs="Times New Roman"/>
          <w:bCs/>
          <w:color w:val="000000"/>
          <w:sz w:val="20"/>
          <w:szCs w:val="20"/>
        </w:rPr>
        <w:t>C</w:t>
      </w:r>
      <w:r w:rsidR="009D280A" w:rsidRPr="003F2F66">
        <w:rPr>
          <w:rFonts w:ascii="Times New Roman" w:hAnsi="Times New Roman" w:cs="Times New Roman"/>
          <w:color w:val="000000"/>
          <w:sz w:val="20"/>
          <w:szCs w:val="20"/>
        </w:rPr>
        <w:t xml:space="preserve"> for 15 sec. High resolution melting </w:t>
      </w:r>
      <w:r w:rsidR="009D280A" w:rsidRPr="003F2F66">
        <w:rPr>
          <w:rFonts w:ascii="Times New Roman" w:hAnsi="Times New Roman" w:cs="Times New Roman"/>
          <w:color w:val="000000"/>
          <w:sz w:val="20"/>
          <w:szCs w:val="20"/>
        </w:rPr>
        <w:lastRenderedPageBreak/>
        <w:t>step should be done with 1 % ramp rate of thermal cycler. Results are interoperated by reviewing High R</w:t>
      </w:r>
      <w:r w:rsidR="009867CF" w:rsidRPr="003F2F66">
        <w:rPr>
          <w:rFonts w:ascii="Times New Roman" w:hAnsi="Times New Roman" w:cs="Times New Roman"/>
          <w:color w:val="000000"/>
          <w:sz w:val="20"/>
          <w:szCs w:val="20"/>
        </w:rPr>
        <w:t xml:space="preserve">esolution melting data. </w:t>
      </w:r>
      <w:r w:rsidR="009D280A" w:rsidRPr="003F2F66">
        <w:rPr>
          <w:rFonts w:ascii="Times New Roman" w:hAnsi="Times New Roman" w:cs="Times New Roman"/>
          <w:color w:val="000000"/>
          <w:sz w:val="20"/>
          <w:szCs w:val="20"/>
        </w:rPr>
        <w:t>HRM Analysis software v2.0. (</w:t>
      </w:r>
      <w:r w:rsidR="009517AB" w:rsidRPr="003F2F66">
        <w:rPr>
          <w:rFonts w:ascii="Times New Roman" w:hAnsi="Times New Roman" w:cs="Times New Roman"/>
          <w:color w:val="000000"/>
          <w:sz w:val="20"/>
          <w:szCs w:val="20"/>
        </w:rPr>
        <w:t>Available</w:t>
      </w:r>
      <w:r w:rsidR="009D280A" w:rsidRPr="003F2F66">
        <w:rPr>
          <w:rFonts w:ascii="Times New Roman" w:hAnsi="Times New Roman" w:cs="Times New Roman"/>
          <w:color w:val="000000"/>
          <w:sz w:val="20"/>
          <w:szCs w:val="20"/>
        </w:rPr>
        <w:t xml:space="preserve"> in Applied </w:t>
      </w:r>
      <w:proofErr w:type="spellStart"/>
      <w:r w:rsidR="009D280A" w:rsidRPr="003F2F66">
        <w:rPr>
          <w:rFonts w:ascii="Times New Roman" w:hAnsi="Times New Roman" w:cs="Times New Roman"/>
          <w:color w:val="000000"/>
          <w:sz w:val="20"/>
          <w:szCs w:val="20"/>
        </w:rPr>
        <w:t>Biosystem</w:t>
      </w:r>
      <w:proofErr w:type="spellEnd"/>
      <w:r w:rsidR="009D280A" w:rsidRPr="003F2F66">
        <w:rPr>
          <w:rFonts w:ascii="Times New Roman" w:hAnsi="Times New Roman" w:cs="Times New Roman"/>
          <w:color w:val="000000"/>
          <w:sz w:val="20"/>
          <w:szCs w:val="20"/>
        </w:rPr>
        <w:t xml:space="preserve"> 7500 Fast Real-Time PCR System) </w:t>
      </w:r>
      <w:r w:rsidR="00BD4062" w:rsidRPr="003F2F66">
        <w:rPr>
          <w:rFonts w:ascii="Times New Roman" w:hAnsi="Times New Roman" w:cs="Times New Roman"/>
          <w:color w:val="000000"/>
          <w:sz w:val="20"/>
          <w:szCs w:val="20"/>
        </w:rPr>
        <w:t>(</w:t>
      </w:r>
      <w:proofErr w:type="spellStart"/>
      <w:r w:rsidR="00BD4062" w:rsidRPr="003F2F66">
        <w:rPr>
          <w:rFonts w:ascii="Times New Roman" w:hAnsi="Times New Roman" w:cs="Times New Roman"/>
          <w:color w:val="000000"/>
          <w:sz w:val="20"/>
          <w:szCs w:val="20"/>
        </w:rPr>
        <w:t>Wittwer</w:t>
      </w:r>
      <w:proofErr w:type="spellEnd"/>
      <w:r w:rsidR="00BD4062" w:rsidRPr="003F2F66">
        <w:rPr>
          <w:rFonts w:ascii="Times New Roman" w:hAnsi="Times New Roman" w:cs="Times New Roman"/>
          <w:color w:val="000000"/>
          <w:sz w:val="20"/>
          <w:szCs w:val="20"/>
        </w:rPr>
        <w:t xml:space="preserve"> CT et al</w:t>
      </w:r>
      <w:r w:rsidR="001D24AC" w:rsidRPr="003F2F66">
        <w:rPr>
          <w:rFonts w:ascii="Times New Roman" w:hAnsi="Times New Roman" w:cs="Times New Roman"/>
          <w:color w:val="000000"/>
          <w:sz w:val="20"/>
          <w:szCs w:val="20"/>
        </w:rPr>
        <w:t>.,</w:t>
      </w:r>
      <w:r w:rsidR="00BD4062" w:rsidRPr="003F2F66">
        <w:rPr>
          <w:rFonts w:ascii="Times New Roman" w:hAnsi="Times New Roman" w:cs="Times New Roman"/>
          <w:color w:val="000000"/>
          <w:sz w:val="20"/>
          <w:szCs w:val="20"/>
        </w:rPr>
        <w:t xml:space="preserve"> 2003)</w:t>
      </w:r>
      <w:r w:rsidR="009867CF" w:rsidRPr="003F2F66">
        <w:rPr>
          <w:rFonts w:ascii="Times New Roman" w:hAnsi="Times New Roman" w:cs="Times New Roman"/>
          <w:color w:val="000000"/>
          <w:sz w:val="20"/>
          <w:szCs w:val="20"/>
        </w:rPr>
        <w:t xml:space="preserve"> was employ</w:t>
      </w:r>
      <w:r w:rsidR="009517AB" w:rsidRPr="003F2F66">
        <w:rPr>
          <w:rFonts w:ascii="Times New Roman" w:hAnsi="Times New Roman" w:cs="Times New Roman"/>
          <w:color w:val="000000"/>
          <w:sz w:val="20"/>
          <w:szCs w:val="20"/>
        </w:rPr>
        <w:t xml:space="preserve">ed </w:t>
      </w:r>
      <w:r w:rsidR="009867CF" w:rsidRPr="003F2F66">
        <w:rPr>
          <w:rFonts w:ascii="Times New Roman" w:hAnsi="Times New Roman" w:cs="Times New Roman"/>
          <w:color w:val="000000"/>
          <w:sz w:val="20"/>
          <w:szCs w:val="20"/>
        </w:rPr>
        <w:t>a three-step analysis.</w:t>
      </w:r>
      <w:r w:rsidR="009D280A" w:rsidRPr="003F2F66">
        <w:rPr>
          <w:rFonts w:ascii="Times New Roman" w:hAnsi="Times New Roman" w:cs="Times New Roman"/>
          <w:color w:val="000000"/>
          <w:sz w:val="20"/>
          <w:szCs w:val="20"/>
        </w:rPr>
        <w:t xml:space="preserve"> The first step </w:t>
      </w:r>
      <w:r w:rsidR="009867CF" w:rsidRPr="003F2F66">
        <w:rPr>
          <w:rFonts w:ascii="Times New Roman" w:hAnsi="Times New Roman" w:cs="Times New Roman"/>
          <w:color w:val="000000"/>
          <w:sz w:val="20"/>
          <w:szCs w:val="20"/>
        </w:rPr>
        <w:t xml:space="preserve">was </w:t>
      </w:r>
      <w:r w:rsidR="009D280A" w:rsidRPr="003F2F66">
        <w:rPr>
          <w:rFonts w:ascii="Times New Roman" w:hAnsi="Times New Roman" w:cs="Times New Roman"/>
          <w:color w:val="000000"/>
          <w:sz w:val="20"/>
          <w:szCs w:val="20"/>
        </w:rPr>
        <w:t xml:space="preserve">to normalize the raw melting-curve data by setting the pre-melt (initial fluorescence) and post melt (final fluorescence) signals of all samples to uniform values. The second step </w:t>
      </w:r>
      <w:r w:rsidR="009867CF" w:rsidRPr="003F2F66">
        <w:rPr>
          <w:rFonts w:ascii="Times New Roman" w:hAnsi="Times New Roman" w:cs="Times New Roman"/>
          <w:color w:val="000000"/>
          <w:sz w:val="20"/>
          <w:szCs w:val="20"/>
        </w:rPr>
        <w:t>was</w:t>
      </w:r>
      <w:r w:rsidR="009D280A" w:rsidRPr="003F2F66">
        <w:rPr>
          <w:rFonts w:ascii="Times New Roman" w:hAnsi="Times New Roman" w:cs="Times New Roman"/>
          <w:color w:val="000000"/>
          <w:sz w:val="20"/>
          <w:szCs w:val="20"/>
        </w:rPr>
        <w:t xml:space="preserve"> to shift the temperature along the </w:t>
      </w:r>
      <w:r w:rsidR="009D280A" w:rsidRPr="003F2F66">
        <w:rPr>
          <w:rFonts w:ascii="Times New Roman" w:hAnsi="Times New Roman" w:cs="Times New Roman"/>
          <w:iCs/>
          <w:color w:val="000000"/>
          <w:sz w:val="20"/>
          <w:szCs w:val="20"/>
        </w:rPr>
        <w:t>x</w:t>
      </w:r>
      <w:r w:rsidR="009867CF" w:rsidRPr="003F2F66">
        <w:rPr>
          <w:rFonts w:ascii="Times New Roman" w:hAnsi="Times New Roman" w:cs="Times New Roman"/>
          <w:iCs/>
          <w:color w:val="000000"/>
          <w:sz w:val="20"/>
          <w:szCs w:val="20"/>
        </w:rPr>
        <w:t>-</w:t>
      </w:r>
      <w:r w:rsidR="009D280A" w:rsidRPr="003F2F66">
        <w:rPr>
          <w:rFonts w:ascii="Times New Roman" w:hAnsi="Times New Roman" w:cs="Times New Roman"/>
          <w:color w:val="000000"/>
          <w:sz w:val="20"/>
          <w:szCs w:val="20"/>
        </w:rPr>
        <w:t xml:space="preserve">axis of the normalized melting curves at the point where the entire double-stranded DNA is completely denatured. The final step </w:t>
      </w:r>
      <w:r w:rsidR="009867CF" w:rsidRPr="003F2F66">
        <w:rPr>
          <w:rFonts w:ascii="Times New Roman" w:hAnsi="Times New Roman" w:cs="Times New Roman"/>
          <w:color w:val="000000"/>
          <w:sz w:val="20"/>
          <w:szCs w:val="20"/>
        </w:rPr>
        <w:t>was</w:t>
      </w:r>
      <w:r w:rsidR="009D280A" w:rsidRPr="003F2F66">
        <w:rPr>
          <w:rFonts w:ascii="Times New Roman" w:hAnsi="Times New Roman" w:cs="Times New Roman"/>
          <w:color w:val="000000"/>
          <w:sz w:val="20"/>
          <w:szCs w:val="20"/>
        </w:rPr>
        <w:t xml:space="preserve"> to further analyze the differences in melting-curve shape by subtracting the curves from a reference curve (also called the “base curve”), thus generating a difference plot curve, which helps to cluster samples into groups that have similar melting curves </w:t>
      </w:r>
      <w:r w:rsidR="00BD4062" w:rsidRPr="003F2F66">
        <w:rPr>
          <w:rFonts w:ascii="Times New Roman" w:hAnsi="Times New Roman" w:cs="Times New Roman"/>
          <w:color w:val="000000"/>
          <w:sz w:val="20"/>
          <w:szCs w:val="20"/>
        </w:rPr>
        <w:t>(</w:t>
      </w:r>
      <w:proofErr w:type="spellStart"/>
      <w:r w:rsidR="00BD4062" w:rsidRPr="003F2F66">
        <w:rPr>
          <w:rFonts w:ascii="Times New Roman" w:hAnsi="Times New Roman" w:cs="Times New Roman"/>
          <w:color w:val="000000"/>
          <w:sz w:val="20"/>
          <w:szCs w:val="20"/>
        </w:rPr>
        <w:t>Liew</w:t>
      </w:r>
      <w:proofErr w:type="spellEnd"/>
      <w:r w:rsidR="00BD4062" w:rsidRPr="003F2F66">
        <w:rPr>
          <w:rFonts w:ascii="Times New Roman" w:hAnsi="Times New Roman" w:cs="Times New Roman"/>
          <w:color w:val="000000"/>
          <w:sz w:val="20"/>
          <w:szCs w:val="20"/>
        </w:rPr>
        <w:t xml:space="preserve"> M et al</w:t>
      </w:r>
      <w:r w:rsidR="001D24AC" w:rsidRPr="003F2F66">
        <w:rPr>
          <w:rFonts w:ascii="Times New Roman" w:hAnsi="Times New Roman" w:cs="Times New Roman"/>
          <w:color w:val="000000"/>
          <w:sz w:val="20"/>
          <w:szCs w:val="20"/>
        </w:rPr>
        <w:t>.,</w:t>
      </w:r>
      <w:r w:rsidR="00BD4062" w:rsidRPr="003F2F66">
        <w:rPr>
          <w:rFonts w:ascii="Times New Roman" w:hAnsi="Times New Roman" w:cs="Times New Roman"/>
          <w:color w:val="000000"/>
          <w:sz w:val="20"/>
          <w:szCs w:val="20"/>
        </w:rPr>
        <w:t xml:space="preserve"> 2004)</w:t>
      </w:r>
      <w:r w:rsidR="009D280A" w:rsidRPr="003F2F66">
        <w:rPr>
          <w:rFonts w:ascii="Times New Roman" w:hAnsi="Times New Roman" w:cs="Times New Roman"/>
          <w:color w:val="000000"/>
          <w:sz w:val="20"/>
          <w:szCs w:val="20"/>
        </w:rPr>
        <w:t xml:space="preserve">. Each sample was visually verified by analyzing the generated PCR curves </w:t>
      </w:r>
      <w:r w:rsidR="00BD4062" w:rsidRPr="003F2F66">
        <w:rPr>
          <w:rFonts w:ascii="Times New Roman" w:hAnsi="Times New Roman" w:cs="Times New Roman"/>
          <w:color w:val="000000"/>
          <w:sz w:val="20"/>
          <w:szCs w:val="20"/>
        </w:rPr>
        <w:t>(Herrmann MG et al</w:t>
      </w:r>
      <w:r w:rsidR="001D24AC" w:rsidRPr="003F2F66">
        <w:rPr>
          <w:rFonts w:ascii="Times New Roman" w:hAnsi="Times New Roman" w:cs="Times New Roman"/>
          <w:color w:val="000000"/>
          <w:sz w:val="20"/>
          <w:szCs w:val="20"/>
        </w:rPr>
        <w:t>.,</w:t>
      </w:r>
      <w:r w:rsidR="00BD4062" w:rsidRPr="003F2F66">
        <w:rPr>
          <w:rFonts w:ascii="Times New Roman" w:hAnsi="Times New Roman" w:cs="Times New Roman"/>
          <w:color w:val="000000"/>
          <w:sz w:val="20"/>
          <w:szCs w:val="20"/>
        </w:rPr>
        <w:t xml:space="preserve"> 2006)</w:t>
      </w:r>
      <w:r w:rsidR="009D280A" w:rsidRPr="003F2F66">
        <w:rPr>
          <w:rFonts w:ascii="Times New Roman" w:hAnsi="Times New Roman" w:cs="Times New Roman"/>
          <w:color w:val="000000"/>
          <w:sz w:val="20"/>
          <w:szCs w:val="20"/>
        </w:rPr>
        <w:t xml:space="preserve">. Software analyzes the HRM curve data to spot changes in the shape of the curve that indicate </w:t>
      </w:r>
      <w:r w:rsidR="00E23A0D" w:rsidRPr="003F2F66">
        <w:rPr>
          <w:rFonts w:ascii="Times New Roman" w:hAnsi="Times New Roman" w:cs="Times New Roman"/>
          <w:color w:val="000000"/>
          <w:sz w:val="20"/>
          <w:szCs w:val="20"/>
        </w:rPr>
        <w:t>different species</w:t>
      </w:r>
      <w:r w:rsidR="00BD4062" w:rsidRPr="003F2F66">
        <w:rPr>
          <w:rFonts w:ascii="Times New Roman" w:hAnsi="Times New Roman" w:cs="Times New Roman"/>
          <w:color w:val="000000"/>
          <w:sz w:val="20"/>
          <w:szCs w:val="20"/>
        </w:rPr>
        <w:t>. (Fig-1)</w:t>
      </w:r>
      <w:r w:rsidR="009D280A" w:rsidRPr="003F2F66">
        <w:rPr>
          <w:rFonts w:ascii="Times New Roman" w:hAnsi="Times New Roman" w:cs="Times New Roman"/>
          <w:color w:val="000000"/>
          <w:sz w:val="20"/>
          <w:szCs w:val="20"/>
        </w:rPr>
        <w:t>.</w:t>
      </w:r>
    </w:p>
    <w:p w:rsidR="0000133C" w:rsidRDefault="0000133C" w:rsidP="003F2F66">
      <w:pPr>
        <w:autoSpaceDE w:val="0"/>
        <w:autoSpaceDN w:val="0"/>
        <w:adjustRightInd w:val="0"/>
        <w:snapToGrid w:val="0"/>
        <w:spacing w:after="0" w:line="240" w:lineRule="auto"/>
        <w:ind w:firstLine="425"/>
        <w:jc w:val="both"/>
        <w:rPr>
          <w:rFonts w:ascii="Times New Roman" w:hAnsi="Times New Roman" w:cs="Times New Roman"/>
          <w:b/>
          <w:bCs/>
          <w:sz w:val="20"/>
          <w:szCs w:val="24"/>
          <w:lang w:eastAsia="zh-CN"/>
        </w:rPr>
      </w:pPr>
    </w:p>
    <w:p w:rsidR="00A867F7" w:rsidRPr="003F2F66" w:rsidRDefault="00A867F7" w:rsidP="003F2F66">
      <w:pPr>
        <w:autoSpaceDE w:val="0"/>
        <w:autoSpaceDN w:val="0"/>
        <w:adjustRightInd w:val="0"/>
        <w:snapToGrid w:val="0"/>
        <w:spacing w:after="0" w:line="240" w:lineRule="auto"/>
        <w:ind w:firstLine="425"/>
        <w:jc w:val="both"/>
        <w:rPr>
          <w:rFonts w:ascii="Times New Roman" w:hAnsi="Times New Roman" w:cs="Times New Roman"/>
          <w:b/>
          <w:bCs/>
          <w:sz w:val="20"/>
          <w:szCs w:val="24"/>
          <w:lang w:eastAsia="zh-CN"/>
        </w:rPr>
      </w:pPr>
    </w:p>
    <w:p w:rsidR="00C032FC" w:rsidRPr="003F2F66" w:rsidRDefault="00C032FC" w:rsidP="003F2F66">
      <w:pPr>
        <w:autoSpaceDE w:val="0"/>
        <w:autoSpaceDN w:val="0"/>
        <w:adjustRightInd w:val="0"/>
        <w:snapToGrid w:val="0"/>
        <w:spacing w:after="0" w:line="240" w:lineRule="auto"/>
        <w:jc w:val="both"/>
        <w:rPr>
          <w:rFonts w:ascii="Times New Roman" w:hAnsi="Times New Roman" w:cs="Times New Roman"/>
          <w:b/>
          <w:bCs/>
          <w:sz w:val="20"/>
          <w:szCs w:val="24"/>
        </w:rPr>
      </w:pPr>
    </w:p>
    <w:p w:rsidR="002E2EB5" w:rsidRDefault="00606DAF" w:rsidP="003F2F66">
      <w:pPr>
        <w:snapToGrid w:val="0"/>
        <w:spacing w:after="0" w:line="240" w:lineRule="auto"/>
        <w:jc w:val="center"/>
        <w:rPr>
          <w:rFonts w:ascii="Times New Roman" w:hAnsi="Times New Roman" w:cs="Times New Roman"/>
          <w:sz w:val="20"/>
          <w:szCs w:val="24"/>
        </w:rPr>
      </w:pPr>
      <w:r w:rsidRPr="003F2F66">
        <w:rPr>
          <w:rFonts w:ascii="Times New Roman" w:hAnsi="Times New Roman" w:cs="Times New Roman"/>
          <w:noProof/>
          <w:sz w:val="20"/>
          <w:szCs w:val="24"/>
          <w:lang w:eastAsia="zh-CN"/>
        </w:rPr>
        <w:drawing>
          <wp:inline distT="0" distB="0" distL="0" distR="0">
            <wp:extent cx="2795711" cy="2385391"/>
            <wp:effectExtent l="19050" t="0" r="4639" b="0"/>
            <wp:docPr id="1" name="Picture 1"/>
            <wp:cNvGraphicFramePr/>
            <a:graphic xmlns:a="http://schemas.openxmlformats.org/drawingml/2006/main">
              <a:graphicData uri="http://schemas.openxmlformats.org/drawingml/2006/picture">
                <pic:pic xmlns:pic="http://schemas.openxmlformats.org/drawingml/2006/picture">
                  <pic:nvPicPr>
                    <pic:cNvPr id="4101" name="Picture 4"/>
                    <pic:cNvPicPr>
                      <a:picLocks noChangeAspect="1" noChangeArrowheads="1"/>
                    </pic:cNvPicPr>
                  </pic:nvPicPr>
                  <pic:blipFill>
                    <a:blip r:embed="rId11" cstate="print"/>
                    <a:srcRect/>
                    <a:stretch>
                      <a:fillRect/>
                    </a:stretch>
                  </pic:blipFill>
                  <pic:spPr bwMode="auto">
                    <a:xfrm>
                      <a:off x="0" y="0"/>
                      <a:ext cx="2797014" cy="2386503"/>
                    </a:xfrm>
                    <a:prstGeom prst="rect">
                      <a:avLst/>
                    </a:prstGeom>
                    <a:noFill/>
                    <a:ln w="9525">
                      <a:noFill/>
                      <a:miter lim="800000"/>
                      <a:headEnd/>
                      <a:tailEnd/>
                    </a:ln>
                  </pic:spPr>
                </pic:pic>
              </a:graphicData>
            </a:graphic>
          </wp:inline>
        </w:drawing>
      </w:r>
    </w:p>
    <w:p w:rsidR="00A867F7" w:rsidRPr="003F2F66" w:rsidRDefault="00A867F7" w:rsidP="003F2F66">
      <w:pPr>
        <w:snapToGrid w:val="0"/>
        <w:spacing w:after="0" w:line="240" w:lineRule="auto"/>
        <w:jc w:val="center"/>
        <w:rPr>
          <w:rFonts w:ascii="Times New Roman" w:hAnsi="Times New Roman" w:cs="Times New Roman"/>
          <w:sz w:val="20"/>
          <w:szCs w:val="24"/>
        </w:rPr>
      </w:pPr>
    </w:p>
    <w:p w:rsidR="00DF1BF2" w:rsidRDefault="00DF1BF2" w:rsidP="00DF1BF2">
      <w:pPr>
        <w:snapToGrid w:val="0"/>
        <w:spacing w:after="0" w:line="240" w:lineRule="auto"/>
        <w:rPr>
          <w:rFonts w:ascii="Times New Roman" w:hAnsi="Times New Roman" w:cs="Times New Roman"/>
          <w:sz w:val="20"/>
          <w:szCs w:val="20"/>
          <w:lang w:eastAsia="zh-CN"/>
        </w:rPr>
      </w:pPr>
      <w:r w:rsidRPr="00CD5AF8">
        <w:rPr>
          <w:rFonts w:ascii="Times New Roman" w:hAnsi="Times New Roman" w:cs="Times New Roman"/>
          <w:b/>
          <w:sz w:val="20"/>
          <w:szCs w:val="20"/>
        </w:rPr>
        <w:t>Normalized high</w:t>
      </w:r>
      <w:r w:rsidRPr="00DF1BF2">
        <w:rPr>
          <w:rFonts w:ascii="Times New Roman" w:hAnsi="Times New Roman" w:cs="Times New Roman"/>
          <w:b/>
          <w:sz w:val="20"/>
          <w:szCs w:val="20"/>
        </w:rPr>
        <w:t xml:space="preserve"> resolution melt curve of 16S </w:t>
      </w:r>
      <w:proofErr w:type="spellStart"/>
      <w:r w:rsidRPr="00DF1BF2">
        <w:rPr>
          <w:rFonts w:ascii="Times New Roman" w:hAnsi="Times New Roman" w:cs="Times New Roman"/>
          <w:b/>
          <w:sz w:val="20"/>
          <w:szCs w:val="20"/>
        </w:rPr>
        <w:t>rRNA</w:t>
      </w:r>
      <w:proofErr w:type="spellEnd"/>
      <w:r w:rsidRPr="00DF1BF2">
        <w:rPr>
          <w:rFonts w:ascii="Times New Roman" w:hAnsi="Times New Roman" w:cs="Times New Roman"/>
          <w:b/>
          <w:sz w:val="20"/>
          <w:szCs w:val="20"/>
        </w:rPr>
        <w:t xml:space="preserve"> </w:t>
      </w:r>
      <w:proofErr w:type="spellStart"/>
      <w:r w:rsidRPr="00DF1BF2">
        <w:rPr>
          <w:rFonts w:ascii="Times New Roman" w:hAnsi="Times New Roman" w:cs="Times New Roman"/>
          <w:b/>
          <w:sz w:val="20"/>
          <w:szCs w:val="20"/>
        </w:rPr>
        <w:t>amplicons</w:t>
      </w:r>
      <w:proofErr w:type="spellEnd"/>
      <w:r w:rsidR="00A867F7">
        <w:rPr>
          <w:rFonts w:ascii="Times New Roman" w:hAnsi="Times New Roman" w:cs="Times New Roman"/>
          <w:b/>
          <w:sz w:val="20"/>
          <w:szCs w:val="20"/>
        </w:rPr>
        <w:t xml:space="preserve"> </w:t>
      </w:r>
      <w:r w:rsidRPr="00DF1BF2">
        <w:rPr>
          <w:rFonts w:ascii="Times New Roman" w:hAnsi="Times New Roman" w:cs="Times New Roman"/>
          <w:b/>
          <w:sz w:val="20"/>
          <w:szCs w:val="20"/>
        </w:rPr>
        <w:t xml:space="preserve">generated from mycobacterium </w:t>
      </w:r>
      <w:proofErr w:type="spellStart"/>
      <w:r w:rsidRPr="00DF1BF2">
        <w:rPr>
          <w:rFonts w:ascii="Times New Roman" w:hAnsi="Times New Roman" w:cs="Times New Roman"/>
          <w:b/>
          <w:sz w:val="20"/>
          <w:szCs w:val="20"/>
        </w:rPr>
        <w:t>spp</w:t>
      </w:r>
      <w:proofErr w:type="spellEnd"/>
      <w:r w:rsidRPr="00DF1BF2">
        <w:rPr>
          <w:rFonts w:ascii="Times New Roman" w:hAnsi="Times New Roman" w:cs="Times New Roman"/>
          <w:b/>
          <w:sz w:val="20"/>
          <w:szCs w:val="20"/>
        </w:rPr>
        <w:t>;</w:t>
      </w:r>
      <w:r w:rsidRPr="00DF1BF2">
        <w:rPr>
          <w:rFonts w:ascii="Times New Roman" w:hAnsi="Times New Roman" w:cs="Times New Roman"/>
          <w:sz w:val="20"/>
          <w:szCs w:val="20"/>
        </w:rPr>
        <w:t xml:space="preserve"> (</w:t>
      </w:r>
      <w:r w:rsidRPr="00DF1BF2">
        <w:rPr>
          <w:rFonts w:ascii="Times New Roman" w:hAnsi="Times New Roman" w:cs="Times New Roman"/>
          <w:noProof/>
          <w:sz w:val="20"/>
          <w:szCs w:val="20"/>
          <w:lang w:eastAsia="zh-CN"/>
        </w:rPr>
        <w:drawing>
          <wp:inline distT="0" distB="0" distL="0" distR="0">
            <wp:extent cx="238760" cy="79375"/>
            <wp:effectExtent l="19050" t="0" r="889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38760" cy="79375"/>
                    </a:xfrm>
                    <a:prstGeom prst="rect">
                      <a:avLst/>
                    </a:prstGeom>
                    <a:noFill/>
                    <a:ln w="9525">
                      <a:noFill/>
                      <a:miter lim="800000"/>
                      <a:headEnd/>
                      <a:tailEnd/>
                    </a:ln>
                  </pic:spPr>
                </pic:pic>
              </a:graphicData>
            </a:graphic>
          </wp:inline>
        </w:drawing>
      </w:r>
      <w:r w:rsidRPr="00DF1BF2">
        <w:rPr>
          <w:rFonts w:ascii="Times New Roman" w:hAnsi="Times New Roman" w:cs="Times New Roman"/>
          <w:sz w:val="20"/>
          <w:szCs w:val="20"/>
        </w:rPr>
        <w:t xml:space="preserve">) M. </w:t>
      </w:r>
      <w:r w:rsidRPr="00DF1BF2">
        <w:rPr>
          <w:rFonts w:ascii="Times New Roman" w:hAnsi="Times New Roman" w:cs="Times New Roman"/>
          <w:i/>
          <w:sz w:val="20"/>
          <w:szCs w:val="20"/>
        </w:rPr>
        <w:t>tuberculosis</w:t>
      </w:r>
      <w:r w:rsidRPr="00DF1BF2">
        <w:rPr>
          <w:rFonts w:ascii="Times New Roman" w:hAnsi="Times New Roman" w:cs="Times New Roman"/>
          <w:sz w:val="20"/>
          <w:szCs w:val="20"/>
        </w:rPr>
        <w:t>, (</w:t>
      </w:r>
      <w:r w:rsidRPr="00DF1BF2">
        <w:rPr>
          <w:rFonts w:ascii="Times New Roman" w:hAnsi="Times New Roman" w:cs="Times New Roman"/>
          <w:noProof/>
          <w:sz w:val="20"/>
          <w:szCs w:val="20"/>
          <w:lang w:eastAsia="zh-CN"/>
        </w:rPr>
        <w:drawing>
          <wp:inline distT="0" distB="0" distL="0" distR="0">
            <wp:extent cx="207010" cy="127000"/>
            <wp:effectExtent l="19050" t="0" r="254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07010" cy="127000"/>
                    </a:xfrm>
                    <a:prstGeom prst="rect">
                      <a:avLst/>
                    </a:prstGeom>
                    <a:noFill/>
                    <a:ln w="9525">
                      <a:noFill/>
                      <a:miter lim="800000"/>
                      <a:headEnd/>
                      <a:tailEnd/>
                    </a:ln>
                  </pic:spPr>
                </pic:pic>
              </a:graphicData>
            </a:graphic>
          </wp:inline>
        </w:drawing>
      </w:r>
      <w:r w:rsidRPr="00DF1BF2">
        <w:rPr>
          <w:rFonts w:ascii="Times New Roman" w:hAnsi="Times New Roman" w:cs="Times New Roman"/>
          <w:sz w:val="20"/>
          <w:szCs w:val="20"/>
        </w:rPr>
        <w:t>)</w:t>
      </w:r>
      <w:r w:rsidR="00A867F7">
        <w:rPr>
          <w:rFonts w:ascii="Times New Roman" w:hAnsi="Times New Roman" w:cs="Times New Roman"/>
          <w:sz w:val="20"/>
          <w:szCs w:val="20"/>
        </w:rPr>
        <w:t xml:space="preserve"> </w:t>
      </w:r>
      <w:proofErr w:type="spellStart"/>
      <w:r w:rsidRPr="00DF1BF2">
        <w:rPr>
          <w:rFonts w:ascii="Times New Roman" w:hAnsi="Times New Roman" w:cs="Times New Roman"/>
          <w:sz w:val="20"/>
          <w:szCs w:val="20"/>
        </w:rPr>
        <w:t>M.</w:t>
      </w:r>
      <w:r w:rsidRPr="00DF1BF2">
        <w:rPr>
          <w:rFonts w:ascii="Times New Roman" w:hAnsi="Times New Roman" w:cs="Times New Roman"/>
          <w:i/>
          <w:sz w:val="20"/>
          <w:szCs w:val="20"/>
        </w:rPr>
        <w:t>avium</w:t>
      </w:r>
      <w:proofErr w:type="spellEnd"/>
      <w:r w:rsidRPr="00DF1BF2">
        <w:rPr>
          <w:rFonts w:ascii="Times New Roman" w:hAnsi="Times New Roman" w:cs="Times New Roman"/>
          <w:sz w:val="20"/>
          <w:szCs w:val="20"/>
        </w:rPr>
        <w:t>, (</w:t>
      </w:r>
      <w:r w:rsidRPr="00DF1BF2">
        <w:rPr>
          <w:rFonts w:ascii="Times New Roman" w:hAnsi="Times New Roman" w:cs="Times New Roman"/>
          <w:noProof/>
          <w:sz w:val="20"/>
          <w:szCs w:val="20"/>
          <w:lang w:eastAsia="zh-CN"/>
        </w:rPr>
        <w:drawing>
          <wp:inline distT="0" distB="0" distL="0" distR="0">
            <wp:extent cx="207010" cy="103505"/>
            <wp:effectExtent l="19050" t="0" r="254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07010" cy="103505"/>
                    </a:xfrm>
                    <a:prstGeom prst="rect">
                      <a:avLst/>
                    </a:prstGeom>
                    <a:noFill/>
                    <a:ln w="9525">
                      <a:noFill/>
                      <a:miter lim="800000"/>
                      <a:headEnd/>
                      <a:tailEnd/>
                    </a:ln>
                  </pic:spPr>
                </pic:pic>
              </a:graphicData>
            </a:graphic>
          </wp:inline>
        </w:drawing>
      </w:r>
      <w:r w:rsidRPr="00DF1BF2">
        <w:rPr>
          <w:rFonts w:ascii="Times New Roman" w:hAnsi="Times New Roman" w:cs="Times New Roman"/>
          <w:sz w:val="20"/>
          <w:szCs w:val="20"/>
        </w:rPr>
        <w:t xml:space="preserve">) M. </w:t>
      </w:r>
      <w:r w:rsidRPr="00DF1BF2">
        <w:rPr>
          <w:rFonts w:ascii="Times New Roman" w:hAnsi="Times New Roman" w:cs="Times New Roman"/>
          <w:i/>
          <w:sz w:val="20"/>
          <w:szCs w:val="20"/>
        </w:rPr>
        <w:t>triples</w:t>
      </w:r>
      <w:r w:rsidRPr="00DF1BF2">
        <w:rPr>
          <w:rFonts w:ascii="Times New Roman" w:hAnsi="Times New Roman" w:cs="Times New Roman"/>
          <w:sz w:val="20"/>
          <w:szCs w:val="20"/>
        </w:rPr>
        <w:t>, (</w:t>
      </w:r>
      <w:r w:rsidRPr="00DF1BF2">
        <w:rPr>
          <w:rFonts w:ascii="Times New Roman" w:hAnsi="Times New Roman" w:cs="Times New Roman"/>
          <w:noProof/>
          <w:sz w:val="20"/>
          <w:szCs w:val="20"/>
          <w:lang w:eastAsia="zh-CN"/>
        </w:rPr>
        <w:drawing>
          <wp:inline distT="0" distB="0" distL="0" distR="0">
            <wp:extent cx="222885" cy="79375"/>
            <wp:effectExtent l="19050" t="0" r="5715"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22885" cy="79375"/>
                    </a:xfrm>
                    <a:prstGeom prst="rect">
                      <a:avLst/>
                    </a:prstGeom>
                    <a:noFill/>
                    <a:ln w="9525">
                      <a:noFill/>
                      <a:miter lim="800000"/>
                      <a:headEnd/>
                      <a:tailEnd/>
                    </a:ln>
                  </pic:spPr>
                </pic:pic>
              </a:graphicData>
            </a:graphic>
          </wp:inline>
        </w:drawing>
      </w:r>
      <w:r w:rsidRPr="00DF1BF2">
        <w:rPr>
          <w:rFonts w:ascii="Times New Roman" w:hAnsi="Times New Roman" w:cs="Times New Roman"/>
          <w:sz w:val="20"/>
          <w:szCs w:val="20"/>
        </w:rPr>
        <w:t xml:space="preserve">) M. </w:t>
      </w:r>
      <w:proofErr w:type="spellStart"/>
      <w:r w:rsidRPr="00DF1BF2">
        <w:rPr>
          <w:rFonts w:ascii="Times New Roman" w:hAnsi="Times New Roman" w:cs="Times New Roman"/>
          <w:i/>
          <w:sz w:val="20"/>
          <w:szCs w:val="20"/>
        </w:rPr>
        <w:t>kansasii</w:t>
      </w:r>
      <w:proofErr w:type="spellEnd"/>
      <w:r w:rsidRPr="00DF1BF2">
        <w:rPr>
          <w:rFonts w:ascii="Times New Roman" w:hAnsi="Times New Roman" w:cs="Times New Roman"/>
          <w:sz w:val="20"/>
          <w:szCs w:val="20"/>
        </w:rPr>
        <w:t>, (</w:t>
      </w:r>
      <w:r w:rsidRPr="00DF1BF2">
        <w:rPr>
          <w:rFonts w:ascii="Times New Roman" w:hAnsi="Times New Roman" w:cs="Times New Roman"/>
          <w:noProof/>
          <w:sz w:val="20"/>
          <w:szCs w:val="20"/>
          <w:lang w:eastAsia="zh-CN"/>
        </w:rPr>
        <w:drawing>
          <wp:inline distT="0" distB="0" distL="0" distR="0">
            <wp:extent cx="230505" cy="111125"/>
            <wp:effectExtent l="1905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30505" cy="111125"/>
                    </a:xfrm>
                    <a:prstGeom prst="rect">
                      <a:avLst/>
                    </a:prstGeom>
                    <a:noFill/>
                    <a:ln w="9525">
                      <a:noFill/>
                      <a:miter lim="800000"/>
                      <a:headEnd/>
                      <a:tailEnd/>
                    </a:ln>
                  </pic:spPr>
                </pic:pic>
              </a:graphicData>
            </a:graphic>
          </wp:inline>
        </w:drawing>
      </w:r>
      <w:r w:rsidRPr="00DF1BF2">
        <w:rPr>
          <w:rFonts w:ascii="Times New Roman" w:hAnsi="Times New Roman" w:cs="Times New Roman"/>
          <w:sz w:val="20"/>
          <w:szCs w:val="20"/>
        </w:rPr>
        <w:t xml:space="preserve">) M. </w:t>
      </w:r>
      <w:proofErr w:type="spellStart"/>
      <w:r w:rsidRPr="00DF1BF2">
        <w:rPr>
          <w:rFonts w:ascii="Times New Roman" w:hAnsi="Times New Roman" w:cs="Times New Roman"/>
          <w:i/>
          <w:sz w:val="20"/>
          <w:szCs w:val="20"/>
        </w:rPr>
        <w:t>fortuitum</w:t>
      </w:r>
      <w:proofErr w:type="spellEnd"/>
      <w:r w:rsidRPr="00DF1BF2">
        <w:rPr>
          <w:rFonts w:ascii="Times New Roman" w:hAnsi="Times New Roman" w:cs="Times New Roman"/>
          <w:sz w:val="20"/>
          <w:szCs w:val="20"/>
        </w:rPr>
        <w:t>,</w:t>
      </w:r>
      <w:r w:rsidR="00A867F7">
        <w:rPr>
          <w:rFonts w:ascii="Times New Roman" w:hAnsi="Times New Roman" w:cs="Times New Roman"/>
          <w:sz w:val="20"/>
          <w:szCs w:val="20"/>
        </w:rPr>
        <w:t xml:space="preserve"> </w:t>
      </w:r>
      <w:r w:rsidRPr="00DF1BF2">
        <w:rPr>
          <w:rFonts w:ascii="Times New Roman" w:hAnsi="Times New Roman" w:cs="Times New Roman"/>
          <w:sz w:val="20"/>
          <w:szCs w:val="20"/>
        </w:rPr>
        <w:t>(</w:t>
      </w:r>
      <w:r w:rsidRPr="00DF1BF2">
        <w:rPr>
          <w:rFonts w:ascii="Times New Roman" w:hAnsi="Times New Roman" w:cs="Times New Roman"/>
          <w:noProof/>
          <w:sz w:val="20"/>
          <w:szCs w:val="20"/>
          <w:lang w:eastAsia="zh-CN"/>
        </w:rPr>
        <w:drawing>
          <wp:inline distT="0" distB="0" distL="0" distR="0">
            <wp:extent cx="222885" cy="79375"/>
            <wp:effectExtent l="19050" t="0" r="5715" b="0"/>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22885" cy="79375"/>
                    </a:xfrm>
                    <a:prstGeom prst="rect">
                      <a:avLst/>
                    </a:prstGeom>
                    <a:noFill/>
                    <a:ln w="9525">
                      <a:noFill/>
                      <a:miter lim="800000"/>
                      <a:headEnd/>
                      <a:tailEnd/>
                    </a:ln>
                  </pic:spPr>
                </pic:pic>
              </a:graphicData>
            </a:graphic>
          </wp:inline>
        </w:drawing>
      </w:r>
      <w:r w:rsidRPr="00DF1BF2">
        <w:rPr>
          <w:rFonts w:ascii="Times New Roman" w:hAnsi="Times New Roman" w:cs="Times New Roman"/>
          <w:sz w:val="20"/>
          <w:szCs w:val="20"/>
        </w:rPr>
        <w:t xml:space="preserve">) M. </w:t>
      </w:r>
      <w:proofErr w:type="spellStart"/>
      <w:r w:rsidRPr="00DF1BF2">
        <w:rPr>
          <w:rFonts w:ascii="Times New Roman" w:hAnsi="Times New Roman" w:cs="Times New Roman"/>
          <w:i/>
          <w:sz w:val="20"/>
          <w:szCs w:val="20"/>
        </w:rPr>
        <w:t>intracellulare</w:t>
      </w:r>
      <w:proofErr w:type="spellEnd"/>
      <w:r w:rsidRPr="00DF1BF2">
        <w:rPr>
          <w:rFonts w:ascii="Times New Roman" w:hAnsi="Times New Roman" w:cs="Times New Roman"/>
          <w:sz w:val="20"/>
          <w:szCs w:val="20"/>
        </w:rPr>
        <w:t>.</w:t>
      </w:r>
    </w:p>
    <w:p w:rsidR="0000133C" w:rsidRPr="003F2F66" w:rsidRDefault="0000133C" w:rsidP="0000133C">
      <w:pPr>
        <w:autoSpaceDE w:val="0"/>
        <w:autoSpaceDN w:val="0"/>
        <w:adjustRightInd w:val="0"/>
        <w:snapToGrid w:val="0"/>
        <w:spacing w:after="0" w:line="240" w:lineRule="auto"/>
        <w:jc w:val="both"/>
        <w:rPr>
          <w:rFonts w:ascii="Times New Roman" w:hAnsi="Times New Roman" w:cs="Times New Roman"/>
          <w:b/>
          <w:bCs/>
          <w:sz w:val="20"/>
          <w:szCs w:val="20"/>
        </w:rPr>
      </w:pPr>
      <w:r w:rsidRPr="003F2F66">
        <w:rPr>
          <w:rFonts w:ascii="Times New Roman" w:hAnsi="Times New Roman" w:cs="Times New Roman"/>
          <w:b/>
          <w:bCs/>
          <w:sz w:val="20"/>
          <w:szCs w:val="20"/>
        </w:rPr>
        <w:t>Fig-1.</w:t>
      </w:r>
      <w:r w:rsidRPr="003F2F66">
        <w:rPr>
          <w:rFonts w:ascii="Times New Roman" w:hAnsi="Times New Roman" w:cs="Times New Roman"/>
          <w:b/>
          <w:color w:val="000000"/>
          <w:sz w:val="20"/>
          <w:szCs w:val="20"/>
        </w:rPr>
        <w:t xml:space="preserve"> Normalized HRM curves of 16S </w:t>
      </w:r>
      <w:proofErr w:type="spellStart"/>
      <w:r w:rsidRPr="003F2F66">
        <w:rPr>
          <w:rFonts w:ascii="Times New Roman" w:hAnsi="Times New Roman" w:cs="Times New Roman"/>
          <w:b/>
          <w:color w:val="000000"/>
          <w:sz w:val="20"/>
          <w:szCs w:val="20"/>
        </w:rPr>
        <w:t>rRNA</w:t>
      </w:r>
      <w:proofErr w:type="spellEnd"/>
      <w:r w:rsidRPr="003F2F66">
        <w:rPr>
          <w:rFonts w:ascii="Times New Roman" w:hAnsi="Times New Roman" w:cs="Times New Roman"/>
          <w:b/>
          <w:color w:val="000000"/>
          <w:sz w:val="20"/>
          <w:szCs w:val="20"/>
        </w:rPr>
        <w:t xml:space="preserve"> </w:t>
      </w:r>
      <w:proofErr w:type="spellStart"/>
      <w:r w:rsidRPr="003F2F66">
        <w:rPr>
          <w:rFonts w:ascii="Times New Roman" w:hAnsi="Times New Roman" w:cs="Times New Roman"/>
          <w:b/>
          <w:color w:val="000000"/>
          <w:sz w:val="20"/>
          <w:szCs w:val="20"/>
        </w:rPr>
        <w:t>amplicons</w:t>
      </w:r>
      <w:proofErr w:type="spellEnd"/>
      <w:r w:rsidRPr="003F2F66">
        <w:rPr>
          <w:rFonts w:ascii="Times New Roman" w:hAnsi="Times New Roman" w:cs="Times New Roman"/>
          <w:b/>
          <w:color w:val="000000"/>
          <w:sz w:val="20"/>
          <w:szCs w:val="20"/>
        </w:rPr>
        <w:t xml:space="preserve"> generated from Mycobacterium spp.</w:t>
      </w:r>
    </w:p>
    <w:p w:rsidR="0000133C" w:rsidRPr="00DF1BF2" w:rsidRDefault="0000133C" w:rsidP="00DF1BF2">
      <w:pPr>
        <w:snapToGrid w:val="0"/>
        <w:spacing w:after="0" w:line="240" w:lineRule="auto"/>
        <w:rPr>
          <w:rFonts w:ascii="Times New Roman" w:hAnsi="Times New Roman" w:cs="Times New Roman"/>
          <w:sz w:val="20"/>
          <w:szCs w:val="20"/>
          <w:lang w:eastAsia="zh-CN"/>
        </w:rPr>
      </w:pPr>
    </w:p>
    <w:p w:rsidR="00C032FC" w:rsidRPr="003F2F66" w:rsidRDefault="00C032FC" w:rsidP="003F2F66">
      <w:pPr>
        <w:snapToGrid w:val="0"/>
        <w:spacing w:after="0" w:line="240" w:lineRule="auto"/>
        <w:jc w:val="center"/>
        <w:rPr>
          <w:rFonts w:ascii="Times New Roman" w:hAnsi="Times New Roman" w:cs="Times New Roman"/>
          <w:b/>
          <w:bCs/>
          <w:sz w:val="20"/>
          <w:szCs w:val="24"/>
        </w:rPr>
      </w:pPr>
      <w:r w:rsidRPr="003F2F66">
        <w:rPr>
          <w:rFonts w:ascii="Times New Roman" w:hAnsi="Times New Roman" w:cs="Times New Roman"/>
          <w:b/>
          <w:bCs/>
          <w:noProof/>
          <w:sz w:val="20"/>
          <w:szCs w:val="24"/>
          <w:lang w:eastAsia="zh-CN"/>
        </w:rPr>
        <w:lastRenderedPageBreak/>
        <w:drawing>
          <wp:inline distT="0" distB="0" distL="0" distR="0">
            <wp:extent cx="3002446" cy="1987826"/>
            <wp:effectExtent l="19050" t="0" r="7454"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133C" w:rsidRPr="00DF1BF2" w:rsidRDefault="0000133C" w:rsidP="0000133C">
      <w:pPr>
        <w:snapToGrid w:val="0"/>
        <w:spacing w:after="0" w:line="240" w:lineRule="auto"/>
        <w:jc w:val="both"/>
        <w:rPr>
          <w:rFonts w:ascii="Times New Roman" w:hAnsi="Times New Roman" w:cs="Times New Roman"/>
          <w:b/>
          <w:bCs/>
          <w:sz w:val="20"/>
          <w:szCs w:val="20"/>
        </w:rPr>
      </w:pPr>
      <w:r w:rsidRPr="00DF1BF2">
        <w:rPr>
          <w:rFonts w:ascii="Times New Roman" w:hAnsi="Times New Roman" w:cs="Times New Roman"/>
          <w:b/>
          <w:bCs/>
          <w:sz w:val="20"/>
          <w:szCs w:val="20"/>
        </w:rPr>
        <w:t>Fig-2. NAP differentiation result of Clinical Isolates</w:t>
      </w:r>
    </w:p>
    <w:p w:rsidR="0000133C" w:rsidRPr="0000133C" w:rsidRDefault="0000133C" w:rsidP="003F2F66">
      <w:pPr>
        <w:snapToGrid w:val="0"/>
        <w:spacing w:after="0" w:line="240" w:lineRule="auto"/>
        <w:jc w:val="both"/>
        <w:rPr>
          <w:rFonts w:ascii="Times New Roman" w:hAnsi="Times New Roman" w:cs="Times New Roman"/>
          <w:b/>
          <w:bCs/>
          <w:sz w:val="20"/>
          <w:szCs w:val="20"/>
          <w:lang w:eastAsia="zh-CN"/>
        </w:rPr>
      </w:pPr>
    </w:p>
    <w:p w:rsidR="00FB287F" w:rsidRPr="003F2F66" w:rsidRDefault="00D57BAC" w:rsidP="003F2F66">
      <w:pPr>
        <w:snapToGrid w:val="0"/>
        <w:spacing w:after="0" w:line="240" w:lineRule="auto"/>
        <w:jc w:val="both"/>
        <w:rPr>
          <w:rFonts w:ascii="Times New Roman" w:hAnsi="Times New Roman" w:cs="Times New Roman"/>
          <w:sz w:val="20"/>
          <w:szCs w:val="20"/>
        </w:rPr>
      </w:pPr>
      <w:r w:rsidRPr="003F2F66">
        <w:rPr>
          <w:rFonts w:ascii="Times New Roman" w:hAnsi="Times New Roman" w:cs="Times New Roman"/>
          <w:b/>
          <w:bCs/>
          <w:sz w:val="20"/>
          <w:szCs w:val="20"/>
        </w:rPr>
        <w:t>3.</w:t>
      </w:r>
      <w:r w:rsidR="00C0169A" w:rsidRPr="003F2F66">
        <w:rPr>
          <w:rFonts w:ascii="Times New Roman" w:hAnsi="Times New Roman" w:cs="Times New Roman"/>
          <w:b/>
          <w:bCs/>
          <w:sz w:val="20"/>
          <w:szCs w:val="20"/>
        </w:rPr>
        <w:t>Results</w:t>
      </w:r>
    </w:p>
    <w:p w:rsidR="00FB287F" w:rsidRDefault="00FB287F" w:rsidP="003F2F66">
      <w:pPr>
        <w:snapToGrid w:val="0"/>
        <w:spacing w:after="0" w:line="240" w:lineRule="auto"/>
        <w:ind w:firstLine="425"/>
        <w:jc w:val="both"/>
        <w:rPr>
          <w:rFonts w:ascii="Times New Roman" w:hAnsi="Times New Roman" w:cs="Times New Roman"/>
          <w:sz w:val="20"/>
          <w:szCs w:val="20"/>
          <w:lang w:eastAsia="zh-CN"/>
        </w:rPr>
      </w:pPr>
      <w:r w:rsidRPr="003F2F66">
        <w:rPr>
          <w:rFonts w:ascii="Times New Roman" w:hAnsi="Times New Roman" w:cs="Times New Roman"/>
          <w:sz w:val="20"/>
          <w:szCs w:val="20"/>
        </w:rPr>
        <w:t xml:space="preserve">Among the 1386 </w:t>
      </w:r>
      <w:proofErr w:type="spellStart"/>
      <w:r w:rsidR="009517AB" w:rsidRPr="003F2F66">
        <w:rPr>
          <w:rFonts w:ascii="Times New Roman" w:hAnsi="Times New Roman" w:cs="Times New Roman"/>
          <w:sz w:val="20"/>
          <w:szCs w:val="20"/>
        </w:rPr>
        <w:t>M</w:t>
      </w:r>
      <w:r w:rsidRPr="003F2F66">
        <w:rPr>
          <w:rFonts w:ascii="Times New Roman" w:hAnsi="Times New Roman" w:cs="Times New Roman"/>
          <w:sz w:val="20"/>
          <w:szCs w:val="20"/>
        </w:rPr>
        <w:t>ycobacterial</w:t>
      </w:r>
      <w:proofErr w:type="spellEnd"/>
      <w:r w:rsidRPr="003F2F66">
        <w:rPr>
          <w:rFonts w:ascii="Times New Roman" w:hAnsi="Times New Roman" w:cs="Times New Roman"/>
          <w:sz w:val="20"/>
          <w:szCs w:val="20"/>
        </w:rPr>
        <w:t xml:space="preserve"> isolates tested 803 (58%) were </w:t>
      </w:r>
      <w:r w:rsidRPr="003F2F66">
        <w:rPr>
          <w:rFonts w:ascii="Times New Roman" w:hAnsi="Times New Roman" w:cs="Times New Roman"/>
          <w:i/>
          <w:iCs/>
          <w:sz w:val="20"/>
          <w:szCs w:val="20"/>
        </w:rPr>
        <w:t>M. tuberculosis</w:t>
      </w:r>
      <w:r w:rsidRPr="003F2F66">
        <w:rPr>
          <w:rFonts w:ascii="Times New Roman" w:hAnsi="Times New Roman" w:cs="Times New Roman"/>
          <w:sz w:val="20"/>
          <w:szCs w:val="20"/>
        </w:rPr>
        <w:t xml:space="preserve"> and 583 (42%) were MOTT. MOTT includes </w:t>
      </w:r>
      <w:proofErr w:type="spellStart"/>
      <w:r w:rsidRPr="003F2F66">
        <w:rPr>
          <w:rFonts w:ascii="Times New Roman" w:hAnsi="Times New Roman" w:cs="Times New Roman"/>
          <w:sz w:val="20"/>
          <w:szCs w:val="20"/>
        </w:rPr>
        <w:t>commensal</w:t>
      </w:r>
      <w:proofErr w:type="spellEnd"/>
      <w:r w:rsidRPr="003F2F66">
        <w:rPr>
          <w:rFonts w:ascii="Times New Roman" w:hAnsi="Times New Roman" w:cs="Times New Roman"/>
          <w:sz w:val="20"/>
          <w:szCs w:val="20"/>
        </w:rPr>
        <w:t xml:space="preserve"> organisms and pathogeni</w:t>
      </w:r>
      <w:r w:rsidR="00C0169A" w:rsidRPr="003F2F66">
        <w:rPr>
          <w:rFonts w:ascii="Times New Roman" w:hAnsi="Times New Roman" w:cs="Times New Roman"/>
          <w:sz w:val="20"/>
          <w:szCs w:val="20"/>
        </w:rPr>
        <w:t xml:space="preserve">c species. Currently available </w:t>
      </w:r>
      <w:proofErr w:type="spellStart"/>
      <w:r w:rsidRPr="003F2F66">
        <w:rPr>
          <w:rFonts w:ascii="Times New Roman" w:hAnsi="Times New Roman" w:cs="Times New Roman"/>
          <w:sz w:val="20"/>
          <w:szCs w:val="20"/>
        </w:rPr>
        <w:t>Mycobacterial</w:t>
      </w:r>
      <w:proofErr w:type="spellEnd"/>
      <w:r w:rsidRPr="003F2F66">
        <w:rPr>
          <w:rFonts w:ascii="Times New Roman" w:hAnsi="Times New Roman" w:cs="Times New Roman"/>
          <w:sz w:val="20"/>
          <w:szCs w:val="20"/>
        </w:rPr>
        <w:t xml:space="preserve"> species identification assays are time consuming, expensive and numerous MOTT strains well known to cause disease in humans are not included in these assays. Thus there is a need for a rapid, comprehensive</w:t>
      </w:r>
      <w:r w:rsidR="009867CF" w:rsidRPr="003F2F66">
        <w:rPr>
          <w:rFonts w:ascii="Times New Roman" w:hAnsi="Times New Roman" w:cs="Times New Roman"/>
          <w:sz w:val="20"/>
          <w:szCs w:val="20"/>
        </w:rPr>
        <w:t xml:space="preserve"> and</w:t>
      </w:r>
      <w:r w:rsidRPr="003F2F66">
        <w:rPr>
          <w:rFonts w:ascii="Times New Roman" w:hAnsi="Times New Roman" w:cs="Times New Roman"/>
          <w:sz w:val="20"/>
          <w:szCs w:val="20"/>
        </w:rPr>
        <w:t xml:space="preserve"> cost effective </w:t>
      </w:r>
      <w:proofErr w:type="spellStart"/>
      <w:r w:rsidRPr="003F2F66">
        <w:rPr>
          <w:rFonts w:ascii="Times New Roman" w:hAnsi="Times New Roman" w:cs="Times New Roman"/>
          <w:sz w:val="20"/>
          <w:szCs w:val="20"/>
        </w:rPr>
        <w:t>Mycobacterial</w:t>
      </w:r>
      <w:proofErr w:type="spellEnd"/>
      <w:r w:rsidRPr="003F2F66">
        <w:rPr>
          <w:rFonts w:ascii="Times New Roman" w:hAnsi="Times New Roman" w:cs="Times New Roman"/>
          <w:sz w:val="20"/>
          <w:szCs w:val="20"/>
        </w:rPr>
        <w:t xml:space="preserve"> species identification assay like the PCR-HRM </w:t>
      </w:r>
      <w:proofErr w:type="spellStart"/>
      <w:r w:rsidRPr="003F2F66">
        <w:rPr>
          <w:rFonts w:ascii="Times New Roman" w:hAnsi="Times New Roman" w:cs="Times New Roman"/>
          <w:sz w:val="20"/>
          <w:szCs w:val="20"/>
        </w:rPr>
        <w:t>Mycobacterial</w:t>
      </w:r>
      <w:proofErr w:type="spellEnd"/>
      <w:r w:rsidRPr="003F2F66">
        <w:rPr>
          <w:rFonts w:ascii="Times New Roman" w:hAnsi="Times New Roman" w:cs="Times New Roman"/>
          <w:sz w:val="20"/>
          <w:szCs w:val="20"/>
        </w:rPr>
        <w:t xml:space="preserve"> species identification assay, which can identify 27 clinically relevant </w:t>
      </w:r>
      <w:proofErr w:type="spellStart"/>
      <w:r w:rsidRPr="003F2F66">
        <w:rPr>
          <w:rFonts w:ascii="Times New Roman" w:hAnsi="Times New Roman" w:cs="Times New Roman"/>
          <w:sz w:val="20"/>
          <w:szCs w:val="20"/>
        </w:rPr>
        <w:t>Mycobacterial</w:t>
      </w:r>
      <w:proofErr w:type="spellEnd"/>
      <w:r w:rsidRPr="003F2F66">
        <w:rPr>
          <w:rFonts w:ascii="Times New Roman" w:hAnsi="Times New Roman" w:cs="Times New Roman"/>
          <w:sz w:val="20"/>
          <w:szCs w:val="20"/>
        </w:rPr>
        <w:t xml:space="preserve"> species.</w:t>
      </w:r>
    </w:p>
    <w:p w:rsidR="00DF1BF2" w:rsidRPr="003F2F66" w:rsidRDefault="00DF1BF2" w:rsidP="003F2F66">
      <w:pPr>
        <w:snapToGrid w:val="0"/>
        <w:spacing w:after="0" w:line="240" w:lineRule="auto"/>
        <w:ind w:firstLine="425"/>
        <w:jc w:val="both"/>
        <w:rPr>
          <w:rFonts w:ascii="Times New Roman" w:hAnsi="Times New Roman" w:cs="Times New Roman"/>
          <w:sz w:val="20"/>
          <w:szCs w:val="20"/>
          <w:lang w:eastAsia="zh-CN"/>
        </w:rPr>
      </w:pPr>
    </w:p>
    <w:p w:rsidR="00137E53" w:rsidRPr="003F2F66" w:rsidRDefault="00D57BAC" w:rsidP="003F2F66">
      <w:pPr>
        <w:snapToGrid w:val="0"/>
        <w:spacing w:after="0" w:line="240" w:lineRule="auto"/>
        <w:jc w:val="both"/>
        <w:rPr>
          <w:rFonts w:ascii="Times New Roman" w:hAnsi="Times New Roman" w:cs="Times New Roman"/>
          <w:b/>
          <w:sz w:val="20"/>
          <w:szCs w:val="20"/>
        </w:rPr>
      </w:pPr>
      <w:r w:rsidRPr="003F2F66">
        <w:rPr>
          <w:rFonts w:ascii="Times New Roman" w:hAnsi="Times New Roman" w:cs="Times New Roman"/>
          <w:b/>
          <w:sz w:val="20"/>
          <w:szCs w:val="20"/>
        </w:rPr>
        <w:t>4.</w:t>
      </w:r>
      <w:r w:rsidR="005B5889" w:rsidRPr="003F2F66">
        <w:rPr>
          <w:rFonts w:ascii="Times New Roman" w:hAnsi="Times New Roman" w:cs="Times New Roman"/>
          <w:b/>
          <w:sz w:val="20"/>
          <w:szCs w:val="20"/>
        </w:rPr>
        <w:t>Discussion</w:t>
      </w:r>
    </w:p>
    <w:p w:rsidR="00137E53" w:rsidRDefault="00C347C3" w:rsidP="003F2F66">
      <w:pPr>
        <w:snapToGrid w:val="0"/>
        <w:spacing w:after="0" w:line="240" w:lineRule="auto"/>
        <w:ind w:firstLine="425"/>
        <w:jc w:val="both"/>
        <w:rPr>
          <w:rFonts w:ascii="Times New Roman" w:hAnsi="Times New Roman" w:cs="Times New Roman"/>
          <w:color w:val="000000"/>
          <w:sz w:val="20"/>
          <w:szCs w:val="24"/>
          <w:lang w:eastAsia="zh-CN"/>
        </w:rPr>
      </w:pPr>
      <w:r w:rsidRPr="003F2F66">
        <w:rPr>
          <w:rFonts w:ascii="Times New Roman" w:hAnsi="Times New Roman" w:cs="Times New Roman"/>
          <w:sz w:val="20"/>
          <w:szCs w:val="20"/>
        </w:rPr>
        <w:t xml:space="preserve">PCR–HRM curve analysis using the 16S </w:t>
      </w:r>
      <w:proofErr w:type="spellStart"/>
      <w:r w:rsidRPr="003F2F66">
        <w:rPr>
          <w:rFonts w:ascii="Times New Roman" w:hAnsi="Times New Roman" w:cs="Times New Roman"/>
          <w:sz w:val="20"/>
          <w:szCs w:val="20"/>
        </w:rPr>
        <w:t>rRNA</w:t>
      </w:r>
      <w:proofErr w:type="spellEnd"/>
      <w:r w:rsidRPr="003F2F66">
        <w:rPr>
          <w:rFonts w:ascii="Times New Roman" w:hAnsi="Times New Roman" w:cs="Times New Roman"/>
          <w:sz w:val="20"/>
          <w:szCs w:val="20"/>
        </w:rPr>
        <w:t xml:space="preserve"> gene produces a rapid, cost effective</w:t>
      </w:r>
      <w:r w:rsidR="009867CF" w:rsidRPr="003F2F66">
        <w:rPr>
          <w:rFonts w:ascii="Times New Roman" w:hAnsi="Times New Roman" w:cs="Times New Roman"/>
          <w:sz w:val="20"/>
          <w:szCs w:val="20"/>
        </w:rPr>
        <w:t xml:space="preserve"> and </w:t>
      </w:r>
      <w:r w:rsidRPr="003F2F66">
        <w:rPr>
          <w:rFonts w:ascii="Times New Roman" w:hAnsi="Times New Roman" w:cs="Times New Roman"/>
          <w:sz w:val="20"/>
          <w:szCs w:val="20"/>
        </w:rPr>
        <w:t xml:space="preserve">reliable diagnostic technique to detect and differentiate at least 27 species of the </w:t>
      </w:r>
      <w:proofErr w:type="spellStart"/>
      <w:r w:rsidRPr="003F2F66">
        <w:rPr>
          <w:rFonts w:ascii="Times New Roman" w:hAnsi="Times New Roman" w:cs="Times New Roman"/>
          <w:sz w:val="20"/>
          <w:szCs w:val="20"/>
        </w:rPr>
        <w:t>Mycobacteriaceae</w:t>
      </w:r>
      <w:proofErr w:type="spellEnd"/>
      <w:r w:rsidRPr="003F2F66">
        <w:rPr>
          <w:rFonts w:ascii="Times New Roman" w:hAnsi="Times New Roman" w:cs="Times New Roman"/>
          <w:sz w:val="20"/>
          <w:szCs w:val="20"/>
        </w:rPr>
        <w:t xml:space="preserve"> family. In addition, the technique may be useful in detection of unknown </w:t>
      </w:r>
      <w:proofErr w:type="spellStart"/>
      <w:r w:rsidRPr="003F2F66">
        <w:rPr>
          <w:rFonts w:ascii="Times New Roman" w:hAnsi="Times New Roman" w:cs="Times New Roman"/>
          <w:sz w:val="20"/>
          <w:szCs w:val="20"/>
        </w:rPr>
        <w:t>Mycobacteriaceae</w:t>
      </w:r>
      <w:proofErr w:type="spellEnd"/>
      <w:r w:rsidRPr="003F2F66">
        <w:rPr>
          <w:rFonts w:ascii="Times New Roman" w:hAnsi="Times New Roman" w:cs="Times New Roman"/>
          <w:sz w:val="20"/>
          <w:szCs w:val="20"/>
        </w:rPr>
        <w:t xml:space="preserve"> species and identification of them to the closest species used as reference.</w:t>
      </w:r>
      <w:r w:rsidR="005B5889" w:rsidRPr="003F2F66">
        <w:rPr>
          <w:rFonts w:ascii="Times New Roman" w:hAnsi="Times New Roman" w:cs="Times New Roman"/>
          <w:color w:val="000000"/>
          <w:sz w:val="20"/>
          <w:szCs w:val="20"/>
        </w:rPr>
        <w:t xml:space="preserve"> Unlike </w:t>
      </w:r>
      <w:r w:rsidRPr="003F2F66">
        <w:rPr>
          <w:rFonts w:ascii="Times New Roman" w:hAnsi="Times New Roman" w:cs="Times New Roman"/>
          <w:color w:val="000000"/>
          <w:sz w:val="20"/>
          <w:szCs w:val="20"/>
        </w:rPr>
        <w:t xml:space="preserve">other </w:t>
      </w:r>
      <w:r w:rsidR="005B5889" w:rsidRPr="003F2F66">
        <w:rPr>
          <w:rFonts w:ascii="Times New Roman" w:hAnsi="Times New Roman" w:cs="Times New Roman"/>
          <w:color w:val="000000"/>
          <w:sz w:val="20"/>
          <w:szCs w:val="20"/>
        </w:rPr>
        <w:t xml:space="preserve">methods, it prevents carry-over contamination of PCR products as opening of the PCR tube is avoided or any post amplification procedures are not required in this method. To the best of our knowledge no such data has been published, involving development of high throughput genotype screening technology to distinguish </w:t>
      </w:r>
      <w:r w:rsidRPr="003F2F66">
        <w:rPr>
          <w:rFonts w:ascii="Times New Roman" w:hAnsi="Times New Roman" w:cs="Times New Roman"/>
          <w:color w:val="000000"/>
          <w:sz w:val="20"/>
          <w:szCs w:val="20"/>
        </w:rPr>
        <w:t>mycobacterium other than tuberculosis species</w:t>
      </w:r>
      <w:r w:rsidR="005B5889" w:rsidRPr="003F2F66">
        <w:rPr>
          <w:rFonts w:ascii="Times New Roman" w:hAnsi="Times New Roman" w:cs="Times New Roman"/>
          <w:color w:val="000000"/>
          <w:sz w:val="20"/>
          <w:szCs w:val="20"/>
        </w:rPr>
        <w:t>. Thus, in India, this technology can be utilized for the</w:t>
      </w:r>
      <w:r w:rsidR="005B5889" w:rsidRPr="003F2F66">
        <w:rPr>
          <w:rFonts w:ascii="Times New Roman" w:hAnsi="Times New Roman" w:cs="Times New Roman"/>
          <w:color w:val="000000"/>
          <w:sz w:val="20"/>
          <w:szCs w:val="24"/>
        </w:rPr>
        <w:t xml:space="preserve"> screening of government as well as private </w:t>
      </w:r>
      <w:r w:rsidRPr="003F2F66">
        <w:rPr>
          <w:rFonts w:ascii="Times New Roman" w:hAnsi="Times New Roman" w:cs="Times New Roman"/>
          <w:color w:val="000000"/>
          <w:sz w:val="20"/>
          <w:szCs w:val="24"/>
        </w:rPr>
        <w:t>TB laboratories.</w:t>
      </w:r>
    </w:p>
    <w:p w:rsidR="00DF1BF2" w:rsidRPr="003F2F66" w:rsidRDefault="00DF1BF2" w:rsidP="003F2F66">
      <w:pPr>
        <w:snapToGrid w:val="0"/>
        <w:spacing w:after="0" w:line="240" w:lineRule="auto"/>
        <w:ind w:firstLine="425"/>
        <w:jc w:val="both"/>
        <w:rPr>
          <w:rFonts w:ascii="Times New Roman" w:hAnsi="Times New Roman" w:cs="Times New Roman"/>
          <w:color w:val="000000"/>
          <w:sz w:val="20"/>
          <w:szCs w:val="24"/>
          <w:lang w:eastAsia="zh-CN"/>
        </w:rPr>
      </w:pPr>
    </w:p>
    <w:p w:rsidR="00EE5654" w:rsidRPr="003F2F66" w:rsidRDefault="00EE5654" w:rsidP="00DF1BF2">
      <w:pPr>
        <w:snapToGrid w:val="0"/>
        <w:spacing w:after="0" w:line="240" w:lineRule="auto"/>
        <w:jc w:val="both"/>
        <w:rPr>
          <w:rFonts w:ascii="Times New Roman" w:hAnsi="Times New Roman" w:cs="Times New Roman"/>
          <w:b/>
          <w:sz w:val="20"/>
          <w:szCs w:val="20"/>
        </w:rPr>
      </w:pPr>
      <w:r w:rsidRPr="003F2F66">
        <w:rPr>
          <w:rFonts w:ascii="Times New Roman" w:hAnsi="Times New Roman" w:cs="Times New Roman"/>
          <w:b/>
          <w:sz w:val="20"/>
          <w:szCs w:val="20"/>
        </w:rPr>
        <w:lastRenderedPageBreak/>
        <w:t>Corresponding Author:</w:t>
      </w:r>
    </w:p>
    <w:p w:rsidR="00EE5654" w:rsidRPr="003F2F66" w:rsidRDefault="00EE5654" w:rsidP="00DF1BF2">
      <w:pPr>
        <w:snapToGrid w:val="0"/>
        <w:spacing w:after="0" w:line="240" w:lineRule="auto"/>
        <w:jc w:val="both"/>
        <w:rPr>
          <w:rFonts w:ascii="Times New Roman" w:hAnsi="Times New Roman" w:cs="Times New Roman"/>
          <w:sz w:val="20"/>
          <w:szCs w:val="20"/>
        </w:rPr>
      </w:pPr>
      <w:r w:rsidRPr="003F2F66">
        <w:rPr>
          <w:rFonts w:ascii="Times New Roman" w:hAnsi="Times New Roman" w:cs="Times New Roman"/>
          <w:sz w:val="20"/>
          <w:szCs w:val="20"/>
        </w:rPr>
        <w:t xml:space="preserve">Dr. </w:t>
      </w:r>
      <w:proofErr w:type="spellStart"/>
      <w:r w:rsidRPr="003F2F66">
        <w:rPr>
          <w:rFonts w:ascii="Times New Roman" w:hAnsi="Times New Roman" w:cs="Times New Roman"/>
          <w:sz w:val="20"/>
          <w:szCs w:val="20"/>
        </w:rPr>
        <w:t>Yogesh</w:t>
      </w:r>
      <w:proofErr w:type="spellEnd"/>
      <w:r w:rsidRPr="003F2F66">
        <w:rPr>
          <w:rFonts w:ascii="Times New Roman" w:hAnsi="Times New Roman" w:cs="Times New Roman"/>
          <w:sz w:val="20"/>
          <w:szCs w:val="20"/>
        </w:rPr>
        <w:t xml:space="preserve"> Kumar Singh</w:t>
      </w:r>
    </w:p>
    <w:p w:rsidR="00EE5654" w:rsidRPr="003F2F66" w:rsidRDefault="00EE5654" w:rsidP="00DF1BF2">
      <w:pPr>
        <w:snapToGrid w:val="0"/>
        <w:spacing w:after="0" w:line="240" w:lineRule="auto"/>
        <w:jc w:val="both"/>
        <w:rPr>
          <w:rFonts w:ascii="Times New Roman" w:hAnsi="Times New Roman" w:cs="Times New Roman"/>
          <w:sz w:val="20"/>
          <w:szCs w:val="20"/>
        </w:rPr>
      </w:pPr>
      <w:proofErr w:type="spellStart"/>
      <w:r w:rsidRPr="003F2F66">
        <w:rPr>
          <w:rFonts w:ascii="Times New Roman" w:hAnsi="Times New Roman" w:cs="Times New Roman"/>
          <w:sz w:val="20"/>
          <w:szCs w:val="20"/>
        </w:rPr>
        <w:t>Auroprobe</w:t>
      </w:r>
      <w:proofErr w:type="spellEnd"/>
      <w:r w:rsidRPr="003F2F66">
        <w:rPr>
          <w:rFonts w:ascii="Times New Roman" w:hAnsi="Times New Roman" w:cs="Times New Roman"/>
          <w:sz w:val="20"/>
          <w:szCs w:val="20"/>
        </w:rPr>
        <w:t xml:space="preserve"> Laboratories,</w:t>
      </w:r>
    </w:p>
    <w:p w:rsidR="00EE5654" w:rsidRPr="003F2F66" w:rsidRDefault="00EE5654" w:rsidP="00DF1BF2">
      <w:pPr>
        <w:snapToGrid w:val="0"/>
        <w:spacing w:after="0" w:line="240" w:lineRule="auto"/>
        <w:jc w:val="both"/>
        <w:rPr>
          <w:rFonts w:ascii="Times New Roman" w:hAnsi="Times New Roman" w:cs="Times New Roman"/>
          <w:sz w:val="20"/>
          <w:szCs w:val="20"/>
        </w:rPr>
      </w:pPr>
      <w:proofErr w:type="spellStart"/>
      <w:r w:rsidRPr="003F2F66">
        <w:rPr>
          <w:rFonts w:ascii="Times New Roman" w:hAnsi="Times New Roman" w:cs="Times New Roman"/>
          <w:sz w:val="20"/>
          <w:szCs w:val="20"/>
        </w:rPr>
        <w:t>Muradnagar,Ghaziabad,U.P</w:t>
      </w:r>
      <w:proofErr w:type="spellEnd"/>
      <w:r w:rsidRPr="003F2F66">
        <w:rPr>
          <w:rFonts w:ascii="Times New Roman" w:hAnsi="Times New Roman" w:cs="Times New Roman"/>
          <w:sz w:val="20"/>
          <w:szCs w:val="20"/>
        </w:rPr>
        <w:t>. India</w:t>
      </w:r>
    </w:p>
    <w:p w:rsidR="00EE5654" w:rsidRPr="003F2F66" w:rsidRDefault="00EE5654" w:rsidP="00DF1BF2">
      <w:pPr>
        <w:snapToGrid w:val="0"/>
        <w:spacing w:after="0" w:line="240" w:lineRule="auto"/>
        <w:jc w:val="both"/>
        <w:rPr>
          <w:rFonts w:ascii="Times New Roman" w:hAnsi="Times New Roman" w:cs="Times New Roman"/>
          <w:sz w:val="20"/>
          <w:szCs w:val="20"/>
        </w:rPr>
      </w:pPr>
      <w:r w:rsidRPr="003F2F66">
        <w:rPr>
          <w:rFonts w:ascii="Times New Roman" w:hAnsi="Times New Roman" w:cs="Times New Roman"/>
          <w:sz w:val="20"/>
          <w:szCs w:val="20"/>
        </w:rPr>
        <w:t xml:space="preserve">E-mail: </w:t>
      </w:r>
      <w:hyperlink r:id="rId19" w:history="1">
        <w:r w:rsidRPr="003F2F66">
          <w:rPr>
            <w:rStyle w:val="Hyperlink"/>
            <w:rFonts w:ascii="Times New Roman" w:hAnsi="Times New Roman" w:cs="Times New Roman"/>
            <w:sz w:val="20"/>
            <w:szCs w:val="20"/>
          </w:rPr>
          <w:t>dsyogesh6@gmail.com</w:t>
        </w:r>
      </w:hyperlink>
    </w:p>
    <w:p w:rsidR="00DF1BF2" w:rsidRDefault="00DF1BF2" w:rsidP="003F2F66">
      <w:pPr>
        <w:tabs>
          <w:tab w:val="left" w:pos="1620"/>
        </w:tabs>
        <w:snapToGrid w:val="0"/>
        <w:spacing w:after="0" w:line="240" w:lineRule="auto"/>
        <w:jc w:val="both"/>
        <w:rPr>
          <w:rFonts w:ascii="Times New Roman" w:hAnsi="Times New Roman" w:cs="Times New Roman"/>
          <w:b/>
          <w:color w:val="000000"/>
          <w:sz w:val="20"/>
          <w:szCs w:val="20"/>
          <w:lang w:eastAsia="zh-CN"/>
        </w:rPr>
      </w:pPr>
    </w:p>
    <w:p w:rsidR="00DF1BF2" w:rsidRPr="0000133C" w:rsidRDefault="00852621" w:rsidP="003F2F66">
      <w:pPr>
        <w:tabs>
          <w:tab w:val="left" w:pos="1620"/>
        </w:tabs>
        <w:snapToGrid w:val="0"/>
        <w:spacing w:after="0" w:line="240" w:lineRule="auto"/>
        <w:jc w:val="both"/>
        <w:rPr>
          <w:rFonts w:ascii="Times New Roman" w:hAnsi="Times New Roman" w:cs="Times New Roman"/>
          <w:b/>
          <w:color w:val="000000"/>
          <w:sz w:val="18"/>
          <w:szCs w:val="18"/>
        </w:rPr>
      </w:pPr>
      <w:r w:rsidRPr="003F2F66">
        <w:rPr>
          <w:rFonts w:ascii="Times New Roman" w:hAnsi="Times New Roman" w:cs="Times New Roman"/>
          <w:b/>
          <w:color w:val="000000"/>
          <w:sz w:val="20"/>
          <w:szCs w:val="20"/>
        </w:rPr>
        <w:t>References</w:t>
      </w:r>
    </w:p>
    <w:p w:rsidR="00DF1BF2" w:rsidRPr="0000133C" w:rsidRDefault="00DF1BF2" w:rsidP="00DF1BF2">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00133C">
        <w:rPr>
          <w:rFonts w:ascii="Times New Roman" w:hAnsi="Times New Roman" w:cs="Times New Roman"/>
          <w:color w:val="000000"/>
          <w:sz w:val="18"/>
          <w:szCs w:val="18"/>
        </w:rPr>
        <w:t>K</w:t>
      </w:r>
      <w:r w:rsidR="00852621" w:rsidRPr="0000133C">
        <w:rPr>
          <w:rFonts w:ascii="Times New Roman" w:hAnsi="Times New Roman" w:cs="Times New Roman"/>
          <w:color w:val="000000"/>
          <w:sz w:val="18"/>
          <w:szCs w:val="18"/>
        </w:rPr>
        <w:t>atoch</w:t>
      </w:r>
      <w:proofErr w:type="spellEnd"/>
      <w:r w:rsidR="00852621" w:rsidRPr="0000133C">
        <w:rPr>
          <w:rFonts w:ascii="Times New Roman" w:hAnsi="Times New Roman" w:cs="Times New Roman"/>
          <w:color w:val="000000"/>
          <w:sz w:val="18"/>
          <w:szCs w:val="18"/>
        </w:rPr>
        <w:t xml:space="preserve"> VM. Infections due to non-</w:t>
      </w:r>
      <w:proofErr w:type="spellStart"/>
      <w:r w:rsidR="00852621" w:rsidRPr="0000133C">
        <w:rPr>
          <w:rFonts w:ascii="Times New Roman" w:hAnsi="Times New Roman" w:cs="Times New Roman"/>
          <w:color w:val="000000"/>
          <w:sz w:val="18"/>
          <w:szCs w:val="18"/>
        </w:rPr>
        <w:t>tuberculous</w:t>
      </w:r>
      <w:proofErr w:type="spellEnd"/>
      <w:r w:rsidR="00852621" w:rsidRPr="0000133C">
        <w:rPr>
          <w:rFonts w:ascii="Times New Roman" w:hAnsi="Times New Roman" w:cs="Times New Roman"/>
          <w:color w:val="000000"/>
          <w:sz w:val="18"/>
          <w:szCs w:val="18"/>
        </w:rPr>
        <w:t xml:space="preserve"> </w:t>
      </w:r>
      <w:proofErr w:type="spellStart"/>
      <w:r w:rsidR="00852621" w:rsidRPr="0000133C">
        <w:rPr>
          <w:rFonts w:ascii="Times New Roman" w:hAnsi="Times New Roman" w:cs="Times New Roman"/>
          <w:color w:val="000000"/>
          <w:sz w:val="18"/>
          <w:szCs w:val="18"/>
        </w:rPr>
        <w:t>mycobacteria</w:t>
      </w:r>
      <w:proofErr w:type="spellEnd"/>
      <w:r w:rsidR="00852621" w:rsidRPr="0000133C">
        <w:rPr>
          <w:rFonts w:ascii="Times New Roman" w:hAnsi="Times New Roman" w:cs="Times New Roman"/>
          <w:color w:val="000000"/>
          <w:sz w:val="18"/>
          <w:szCs w:val="18"/>
        </w:rPr>
        <w:t xml:space="preserve"> (NTM). Indian J Med Res 2004;120: 290-304.</w:t>
      </w:r>
    </w:p>
    <w:p w:rsidR="00DF1BF2" w:rsidRPr="0000133C" w:rsidRDefault="00DF1BF2" w:rsidP="00DF1BF2">
      <w:pPr>
        <w:pStyle w:val="ListParagraph"/>
        <w:numPr>
          <w:ilvl w:val="0"/>
          <w:numId w:val="2"/>
        </w:numPr>
        <w:snapToGrid w:val="0"/>
        <w:spacing w:after="0" w:line="240" w:lineRule="auto"/>
        <w:jc w:val="both"/>
        <w:rPr>
          <w:rFonts w:ascii="Times New Roman" w:hAnsi="Times New Roman" w:cs="Times New Roman"/>
          <w:sz w:val="18"/>
          <w:szCs w:val="18"/>
        </w:rPr>
      </w:pPr>
      <w:proofErr w:type="spellStart"/>
      <w:r w:rsidRPr="0000133C">
        <w:rPr>
          <w:rFonts w:ascii="Times New Roman" w:hAnsi="Times New Roman" w:cs="Times New Roman"/>
          <w:color w:val="000000"/>
          <w:sz w:val="18"/>
          <w:szCs w:val="18"/>
        </w:rPr>
        <w:t>P</w:t>
      </w:r>
      <w:r w:rsidR="00852621" w:rsidRPr="0000133C">
        <w:rPr>
          <w:rFonts w:ascii="Times New Roman" w:hAnsi="Times New Roman" w:cs="Times New Roman"/>
          <w:color w:val="000000"/>
          <w:sz w:val="18"/>
          <w:szCs w:val="18"/>
        </w:rPr>
        <w:t>ortaels</w:t>
      </w:r>
      <w:proofErr w:type="spellEnd"/>
      <w:r w:rsidR="00852621" w:rsidRPr="0000133C">
        <w:rPr>
          <w:rFonts w:ascii="Times New Roman" w:hAnsi="Times New Roman" w:cs="Times New Roman"/>
          <w:color w:val="000000"/>
          <w:sz w:val="18"/>
          <w:szCs w:val="18"/>
        </w:rPr>
        <w:t xml:space="preserve"> F. Epidemiology of </w:t>
      </w:r>
      <w:proofErr w:type="spellStart"/>
      <w:r w:rsidR="00852621" w:rsidRPr="0000133C">
        <w:rPr>
          <w:rFonts w:ascii="Times New Roman" w:hAnsi="Times New Roman" w:cs="Times New Roman"/>
          <w:color w:val="000000"/>
          <w:sz w:val="18"/>
          <w:szCs w:val="18"/>
        </w:rPr>
        <w:t>mycobacterial</w:t>
      </w:r>
      <w:proofErr w:type="spellEnd"/>
      <w:r w:rsidR="00852621" w:rsidRPr="0000133C">
        <w:rPr>
          <w:rFonts w:ascii="Times New Roman" w:hAnsi="Times New Roman" w:cs="Times New Roman"/>
          <w:color w:val="000000"/>
          <w:sz w:val="18"/>
          <w:szCs w:val="18"/>
        </w:rPr>
        <w:t xml:space="preserve"> diseases. </w:t>
      </w:r>
      <w:proofErr w:type="spellStart"/>
      <w:r w:rsidR="00852621" w:rsidRPr="0000133C">
        <w:rPr>
          <w:rFonts w:ascii="Times New Roman" w:hAnsi="Times New Roman" w:cs="Times New Roman"/>
          <w:color w:val="000000"/>
          <w:sz w:val="18"/>
          <w:szCs w:val="18"/>
        </w:rPr>
        <w:t>Clin</w:t>
      </w:r>
      <w:proofErr w:type="spellEnd"/>
      <w:r w:rsidR="00852621" w:rsidRPr="0000133C">
        <w:rPr>
          <w:rFonts w:ascii="Times New Roman" w:hAnsi="Times New Roman" w:cs="Times New Roman"/>
          <w:color w:val="000000"/>
          <w:sz w:val="18"/>
          <w:szCs w:val="18"/>
        </w:rPr>
        <w:t xml:space="preserve"> </w:t>
      </w:r>
      <w:proofErr w:type="spellStart"/>
      <w:r w:rsidR="00852621" w:rsidRPr="0000133C">
        <w:rPr>
          <w:rFonts w:ascii="Times New Roman" w:hAnsi="Times New Roman" w:cs="Times New Roman"/>
          <w:color w:val="000000"/>
          <w:sz w:val="18"/>
          <w:szCs w:val="18"/>
        </w:rPr>
        <w:t>Dermatol</w:t>
      </w:r>
      <w:proofErr w:type="spellEnd"/>
      <w:r w:rsidR="00852621" w:rsidRPr="0000133C">
        <w:rPr>
          <w:rFonts w:ascii="Times New Roman" w:hAnsi="Times New Roman" w:cs="Times New Roman"/>
          <w:color w:val="000000"/>
          <w:sz w:val="18"/>
          <w:szCs w:val="18"/>
        </w:rPr>
        <w:t xml:space="preserve"> 1995</w:t>
      </w:r>
      <w:r w:rsidR="009867CF" w:rsidRPr="0000133C">
        <w:rPr>
          <w:rFonts w:ascii="Times New Roman" w:hAnsi="Times New Roman" w:cs="Times New Roman"/>
          <w:color w:val="000000"/>
          <w:sz w:val="18"/>
          <w:szCs w:val="18"/>
        </w:rPr>
        <w:t>;13:207</w:t>
      </w:r>
      <w:r w:rsidR="00852621" w:rsidRPr="0000133C">
        <w:rPr>
          <w:rFonts w:ascii="Times New Roman" w:hAnsi="Times New Roman" w:cs="Times New Roman"/>
          <w:color w:val="000000"/>
          <w:sz w:val="18"/>
          <w:szCs w:val="18"/>
        </w:rPr>
        <w:t>-22.</w:t>
      </w:r>
    </w:p>
    <w:p w:rsidR="00DF1BF2" w:rsidRPr="0000133C" w:rsidRDefault="00DF1BF2" w:rsidP="00DF1BF2">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sz w:val="18"/>
          <w:szCs w:val="18"/>
        </w:rPr>
      </w:pPr>
      <w:r w:rsidRPr="0000133C">
        <w:rPr>
          <w:rFonts w:ascii="Times New Roman" w:hAnsi="Times New Roman" w:cs="Times New Roman"/>
          <w:color w:val="000000"/>
          <w:sz w:val="18"/>
          <w:szCs w:val="18"/>
        </w:rPr>
        <w:t>B</w:t>
      </w:r>
      <w:r w:rsidR="00852621" w:rsidRPr="0000133C">
        <w:rPr>
          <w:rFonts w:ascii="Times New Roman" w:hAnsi="Times New Roman" w:cs="Times New Roman"/>
          <w:color w:val="000000"/>
          <w:sz w:val="18"/>
          <w:szCs w:val="18"/>
        </w:rPr>
        <w:t xml:space="preserve">ang HI, </w:t>
      </w:r>
      <w:proofErr w:type="spellStart"/>
      <w:r w:rsidR="00852621" w:rsidRPr="0000133C">
        <w:rPr>
          <w:rFonts w:ascii="Times New Roman" w:hAnsi="Times New Roman" w:cs="Times New Roman"/>
          <w:color w:val="000000"/>
          <w:sz w:val="18"/>
          <w:szCs w:val="18"/>
        </w:rPr>
        <w:t>Choi</w:t>
      </w:r>
      <w:proofErr w:type="spellEnd"/>
      <w:r w:rsidR="00852621" w:rsidRPr="0000133C">
        <w:rPr>
          <w:rFonts w:ascii="Times New Roman" w:hAnsi="Times New Roman" w:cs="Times New Roman"/>
          <w:color w:val="000000"/>
          <w:sz w:val="18"/>
          <w:szCs w:val="18"/>
        </w:rPr>
        <w:t xml:space="preserve"> TY, Shin JW. Comparison of </w:t>
      </w:r>
      <w:proofErr w:type="spellStart"/>
      <w:r w:rsidR="00852621" w:rsidRPr="0000133C">
        <w:rPr>
          <w:rFonts w:ascii="Times New Roman" w:hAnsi="Times New Roman" w:cs="Times New Roman"/>
          <w:color w:val="000000"/>
          <w:sz w:val="18"/>
          <w:szCs w:val="18"/>
        </w:rPr>
        <w:t>Ogdia</w:t>
      </w:r>
      <w:proofErr w:type="spellEnd"/>
      <w:r w:rsidR="00852621" w:rsidRPr="0000133C">
        <w:rPr>
          <w:rFonts w:ascii="Times New Roman" w:hAnsi="Times New Roman" w:cs="Times New Roman"/>
          <w:color w:val="000000"/>
          <w:sz w:val="18"/>
          <w:szCs w:val="18"/>
        </w:rPr>
        <w:t xml:space="preserve">, BACTEC MGIT 960 system and TB/NTM real-time PCR for detecting Mycobacterium species. </w:t>
      </w:r>
      <w:proofErr w:type="spellStart"/>
      <w:r w:rsidR="00852621" w:rsidRPr="0000133C">
        <w:rPr>
          <w:rFonts w:ascii="Times New Roman" w:hAnsi="Times New Roman" w:cs="Times New Roman"/>
          <w:color w:val="000000"/>
          <w:sz w:val="18"/>
          <w:szCs w:val="18"/>
        </w:rPr>
        <w:t>Tuberc</w:t>
      </w:r>
      <w:proofErr w:type="spellEnd"/>
      <w:r w:rsidR="00852621" w:rsidRPr="0000133C">
        <w:rPr>
          <w:rFonts w:ascii="Times New Roman" w:hAnsi="Times New Roman" w:cs="Times New Roman"/>
          <w:color w:val="000000"/>
          <w:sz w:val="18"/>
          <w:szCs w:val="18"/>
        </w:rPr>
        <w:t xml:space="preserve"> </w:t>
      </w:r>
      <w:proofErr w:type="spellStart"/>
      <w:r w:rsidR="00852621" w:rsidRPr="0000133C">
        <w:rPr>
          <w:rFonts w:ascii="Times New Roman" w:hAnsi="Times New Roman" w:cs="Times New Roman"/>
          <w:color w:val="000000"/>
          <w:sz w:val="18"/>
          <w:szCs w:val="18"/>
        </w:rPr>
        <w:t>Respir</w:t>
      </w:r>
      <w:proofErr w:type="spellEnd"/>
      <w:r w:rsidR="00852621" w:rsidRPr="0000133C">
        <w:rPr>
          <w:rFonts w:ascii="Times New Roman" w:hAnsi="Times New Roman" w:cs="Times New Roman"/>
          <w:color w:val="000000"/>
          <w:sz w:val="18"/>
          <w:szCs w:val="18"/>
        </w:rPr>
        <w:t xml:space="preserve"> </w:t>
      </w:r>
      <w:proofErr w:type="spellStart"/>
      <w:r w:rsidR="00852621" w:rsidRPr="0000133C">
        <w:rPr>
          <w:rFonts w:ascii="Times New Roman" w:hAnsi="Times New Roman" w:cs="Times New Roman"/>
          <w:color w:val="000000"/>
          <w:sz w:val="18"/>
          <w:szCs w:val="18"/>
        </w:rPr>
        <w:t>Dis</w:t>
      </w:r>
      <w:proofErr w:type="spellEnd"/>
      <w:r w:rsidR="00852621" w:rsidRPr="0000133C">
        <w:rPr>
          <w:rFonts w:ascii="Times New Roman" w:hAnsi="Times New Roman" w:cs="Times New Roman"/>
          <w:color w:val="000000"/>
          <w:sz w:val="18"/>
          <w:szCs w:val="18"/>
        </w:rPr>
        <w:t xml:space="preserve"> 2011;71:249-53.</w:t>
      </w:r>
    </w:p>
    <w:p w:rsidR="00DF1BF2" w:rsidRPr="0000133C" w:rsidRDefault="00DF1BF2" w:rsidP="00DF1BF2">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sz w:val="18"/>
          <w:szCs w:val="18"/>
        </w:rPr>
      </w:pPr>
      <w:proofErr w:type="spellStart"/>
      <w:r w:rsidRPr="0000133C">
        <w:rPr>
          <w:rFonts w:ascii="Times New Roman" w:hAnsi="Times New Roman" w:cs="Times New Roman"/>
          <w:color w:val="000000"/>
          <w:sz w:val="18"/>
          <w:szCs w:val="18"/>
        </w:rPr>
        <w:t>K</w:t>
      </w:r>
      <w:r w:rsidR="00852621" w:rsidRPr="0000133C">
        <w:rPr>
          <w:rFonts w:ascii="Times New Roman" w:hAnsi="Times New Roman" w:cs="Times New Roman"/>
          <w:color w:val="000000"/>
          <w:sz w:val="18"/>
          <w:szCs w:val="18"/>
        </w:rPr>
        <w:t>oh</w:t>
      </w:r>
      <w:proofErr w:type="spellEnd"/>
      <w:r w:rsidR="00852621" w:rsidRPr="0000133C">
        <w:rPr>
          <w:rFonts w:ascii="Times New Roman" w:hAnsi="Times New Roman" w:cs="Times New Roman"/>
          <w:color w:val="000000"/>
          <w:sz w:val="18"/>
          <w:szCs w:val="18"/>
        </w:rPr>
        <w:t xml:space="preserve"> WJ, Kwon OJ, Ham HS, </w:t>
      </w:r>
      <w:proofErr w:type="spellStart"/>
      <w:r w:rsidR="00852621" w:rsidRPr="0000133C">
        <w:rPr>
          <w:rFonts w:ascii="Times New Roman" w:hAnsi="Times New Roman" w:cs="Times New Roman"/>
          <w:color w:val="000000"/>
          <w:sz w:val="18"/>
          <w:szCs w:val="18"/>
        </w:rPr>
        <w:t>Suh</w:t>
      </w:r>
      <w:proofErr w:type="spellEnd"/>
      <w:r w:rsidR="00852621" w:rsidRPr="0000133C">
        <w:rPr>
          <w:rFonts w:ascii="Times New Roman" w:hAnsi="Times New Roman" w:cs="Times New Roman"/>
          <w:color w:val="000000"/>
          <w:sz w:val="18"/>
          <w:szCs w:val="18"/>
        </w:rPr>
        <w:t xml:space="preserve"> GY, Chung MP, Kim HJ, et al. Clinical significance of </w:t>
      </w:r>
      <w:proofErr w:type="spellStart"/>
      <w:r w:rsidR="00852621" w:rsidRPr="0000133C">
        <w:rPr>
          <w:rFonts w:ascii="Times New Roman" w:hAnsi="Times New Roman" w:cs="Times New Roman"/>
          <w:color w:val="000000"/>
          <w:sz w:val="18"/>
          <w:szCs w:val="18"/>
        </w:rPr>
        <w:t>nontuberculous</w:t>
      </w:r>
      <w:proofErr w:type="spellEnd"/>
      <w:r w:rsidR="00852621" w:rsidRPr="0000133C">
        <w:rPr>
          <w:rFonts w:ascii="Times New Roman" w:hAnsi="Times New Roman" w:cs="Times New Roman"/>
          <w:color w:val="000000"/>
          <w:sz w:val="18"/>
          <w:szCs w:val="18"/>
        </w:rPr>
        <w:t xml:space="preserve"> </w:t>
      </w:r>
      <w:proofErr w:type="spellStart"/>
      <w:r w:rsidR="00852621" w:rsidRPr="0000133C">
        <w:rPr>
          <w:rFonts w:ascii="Times New Roman" w:hAnsi="Times New Roman" w:cs="Times New Roman"/>
          <w:color w:val="000000"/>
          <w:sz w:val="18"/>
          <w:szCs w:val="18"/>
        </w:rPr>
        <w:t>mycobacteria</w:t>
      </w:r>
      <w:proofErr w:type="spellEnd"/>
      <w:r w:rsidR="00852621" w:rsidRPr="0000133C">
        <w:rPr>
          <w:rFonts w:ascii="Times New Roman" w:hAnsi="Times New Roman" w:cs="Times New Roman"/>
          <w:color w:val="000000"/>
          <w:sz w:val="18"/>
          <w:szCs w:val="18"/>
        </w:rPr>
        <w:t xml:space="preserve"> isolated from respiratory specimens. Korean J Med 2003;65:10-21.</w:t>
      </w:r>
    </w:p>
    <w:p w:rsidR="00DF1BF2" w:rsidRPr="0000133C" w:rsidRDefault="00DF1BF2" w:rsidP="00DF1BF2">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000000"/>
          <w:sz w:val="18"/>
          <w:szCs w:val="18"/>
        </w:rPr>
      </w:pPr>
      <w:r w:rsidRPr="0000133C">
        <w:rPr>
          <w:rFonts w:ascii="Times New Roman" w:hAnsi="Times New Roman" w:cs="Times New Roman"/>
          <w:color w:val="000000"/>
          <w:sz w:val="18"/>
          <w:szCs w:val="18"/>
        </w:rPr>
        <w:t>S</w:t>
      </w:r>
      <w:r w:rsidR="00C5210E" w:rsidRPr="0000133C">
        <w:rPr>
          <w:rFonts w:ascii="Times New Roman" w:hAnsi="Times New Roman" w:cs="Times New Roman"/>
          <w:color w:val="000000"/>
          <w:sz w:val="18"/>
          <w:szCs w:val="18"/>
        </w:rPr>
        <w:t xml:space="preserve">cott CP, Dos </w:t>
      </w:r>
      <w:proofErr w:type="spellStart"/>
      <w:r w:rsidR="00C5210E" w:rsidRPr="0000133C">
        <w:rPr>
          <w:rFonts w:ascii="Times New Roman" w:hAnsi="Times New Roman" w:cs="Times New Roman"/>
          <w:color w:val="000000"/>
          <w:sz w:val="18"/>
          <w:szCs w:val="18"/>
        </w:rPr>
        <w:t>Anjos</w:t>
      </w:r>
      <w:proofErr w:type="spellEnd"/>
      <w:r w:rsidR="00C5210E" w:rsidRPr="0000133C">
        <w:rPr>
          <w:rFonts w:ascii="Times New Roman" w:hAnsi="Times New Roman" w:cs="Times New Roman"/>
          <w:color w:val="000000"/>
          <w:sz w:val="18"/>
          <w:szCs w:val="18"/>
        </w:rPr>
        <w:t xml:space="preserve"> </w:t>
      </w:r>
      <w:proofErr w:type="spellStart"/>
      <w:r w:rsidR="00C5210E" w:rsidRPr="0000133C">
        <w:rPr>
          <w:rFonts w:ascii="Times New Roman" w:hAnsi="Times New Roman" w:cs="Times New Roman"/>
          <w:color w:val="000000"/>
          <w:sz w:val="18"/>
          <w:szCs w:val="18"/>
        </w:rPr>
        <w:t>Filho</w:t>
      </w:r>
      <w:proofErr w:type="spellEnd"/>
      <w:r w:rsidR="00C5210E" w:rsidRPr="0000133C">
        <w:rPr>
          <w:rFonts w:ascii="Times New Roman" w:hAnsi="Times New Roman" w:cs="Times New Roman"/>
          <w:color w:val="000000"/>
          <w:sz w:val="18"/>
          <w:szCs w:val="18"/>
        </w:rPr>
        <w:t xml:space="preserve"> L, De </w:t>
      </w:r>
      <w:proofErr w:type="spellStart"/>
      <w:r w:rsidR="00C5210E" w:rsidRPr="0000133C">
        <w:rPr>
          <w:rFonts w:ascii="Times New Roman" w:hAnsi="Times New Roman" w:cs="Times New Roman"/>
          <w:color w:val="000000"/>
          <w:sz w:val="18"/>
          <w:szCs w:val="18"/>
        </w:rPr>
        <w:t>Queiroz</w:t>
      </w:r>
      <w:proofErr w:type="spellEnd"/>
      <w:r w:rsidR="00C5210E" w:rsidRPr="0000133C">
        <w:rPr>
          <w:rFonts w:ascii="Times New Roman" w:hAnsi="Times New Roman" w:cs="Times New Roman"/>
          <w:color w:val="000000"/>
          <w:sz w:val="18"/>
          <w:szCs w:val="18"/>
        </w:rPr>
        <w:t xml:space="preserve"> Mello FC, Thornton CG, </w:t>
      </w:r>
      <w:proofErr w:type="spellStart"/>
      <w:r w:rsidR="00C5210E" w:rsidRPr="0000133C">
        <w:rPr>
          <w:rFonts w:ascii="Times New Roman" w:hAnsi="Times New Roman" w:cs="Times New Roman"/>
          <w:color w:val="000000"/>
          <w:sz w:val="18"/>
          <w:szCs w:val="18"/>
        </w:rPr>
        <w:t>Bishai</w:t>
      </w:r>
      <w:proofErr w:type="spellEnd"/>
      <w:r w:rsidR="00C5210E" w:rsidRPr="0000133C">
        <w:rPr>
          <w:rFonts w:ascii="Times New Roman" w:hAnsi="Times New Roman" w:cs="Times New Roman"/>
          <w:color w:val="000000"/>
          <w:sz w:val="18"/>
          <w:szCs w:val="18"/>
        </w:rPr>
        <w:t xml:space="preserve"> </w:t>
      </w:r>
      <w:proofErr w:type="spellStart"/>
      <w:r w:rsidR="00C5210E" w:rsidRPr="0000133C">
        <w:rPr>
          <w:rFonts w:ascii="Times New Roman" w:hAnsi="Times New Roman" w:cs="Times New Roman"/>
          <w:color w:val="000000"/>
          <w:sz w:val="18"/>
          <w:szCs w:val="18"/>
        </w:rPr>
        <w:t>WR,Fonseca</w:t>
      </w:r>
      <w:proofErr w:type="spellEnd"/>
      <w:r w:rsidR="00C5210E" w:rsidRPr="0000133C">
        <w:rPr>
          <w:rFonts w:ascii="Times New Roman" w:hAnsi="Times New Roman" w:cs="Times New Roman"/>
          <w:color w:val="000000"/>
          <w:sz w:val="18"/>
          <w:szCs w:val="18"/>
        </w:rPr>
        <w:t xml:space="preserve"> LS, </w:t>
      </w:r>
      <w:proofErr w:type="spellStart"/>
      <w:r w:rsidR="00C5210E" w:rsidRPr="0000133C">
        <w:rPr>
          <w:rFonts w:ascii="Times New Roman" w:hAnsi="Times New Roman" w:cs="Times New Roman"/>
          <w:color w:val="000000"/>
          <w:sz w:val="18"/>
          <w:szCs w:val="18"/>
        </w:rPr>
        <w:t>Kritski</w:t>
      </w:r>
      <w:proofErr w:type="spellEnd"/>
      <w:r w:rsidR="00C5210E" w:rsidRPr="0000133C">
        <w:rPr>
          <w:rFonts w:ascii="Times New Roman" w:hAnsi="Times New Roman" w:cs="Times New Roman"/>
          <w:color w:val="000000"/>
          <w:sz w:val="18"/>
          <w:szCs w:val="18"/>
        </w:rPr>
        <w:t xml:space="preserve"> AL, </w:t>
      </w:r>
      <w:proofErr w:type="spellStart"/>
      <w:r w:rsidR="00C5210E" w:rsidRPr="0000133C">
        <w:rPr>
          <w:rFonts w:ascii="Times New Roman" w:hAnsi="Times New Roman" w:cs="Times New Roman"/>
          <w:color w:val="000000"/>
          <w:sz w:val="18"/>
          <w:szCs w:val="18"/>
        </w:rPr>
        <w:t>Chaisson</w:t>
      </w:r>
      <w:proofErr w:type="spellEnd"/>
      <w:r w:rsidR="00C5210E" w:rsidRPr="0000133C">
        <w:rPr>
          <w:rFonts w:ascii="Times New Roman" w:hAnsi="Times New Roman" w:cs="Times New Roman"/>
          <w:color w:val="000000"/>
          <w:sz w:val="18"/>
          <w:szCs w:val="18"/>
        </w:rPr>
        <w:t xml:space="preserve"> RE, </w:t>
      </w:r>
      <w:proofErr w:type="spellStart"/>
      <w:r w:rsidR="00C5210E" w:rsidRPr="0000133C">
        <w:rPr>
          <w:rFonts w:ascii="Times New Roman" w:hAnsi="Times New Roman" w:cs="Times New Roman"/>
          <w:color w:val="000000"/>
          <w:sz w:val="18"/>
          <w:szCs w:val="18"/>
        </w:rPr>
        <w:t>Manabe</w:t>
      </w:r>
      <w:proofErr w:type="spellEnd"/>
      <w:r w:rsidR="00C5210E" w:rsidRPr="0000133C">
        <w:rPr>
          <w:rFonts w:ascii="Times New Roman" w:hAnsi="Times New Roman" w:cs="Times New Roman"/>
          <w:color w:val="000000"/>
          <w:sz w:val="18"/>
          <w:szCs w:val="18"/>
        </w:rPr>
        <w:t xml:space="preserve"> YC. Comparison of C(18)-</w:t>
      </w:r>
      <w:proofErr w:type="spellStart"/>
      <w:r w:rsidR="00C5210E" w:rsidRPr="0000133C">
        <w:rPr>
          <w:rFonts w:ascii="Times New Roman" w:hAnsi="Times New Roman" w:cs="Times New Roman"/>
          <w:color w:val="000000"/>
          <w:sz w:val="18"/>
          <w:szCs w:val="18"/>
        </w:rPr>
        <w:t>carboxypropylbetaine</w:t>
      </w:r>
      <w:proofErr w:type="spellEnd"/>
      <w:r w:rsidR="00C5210E" w:rsidRPr="0000133C">
        <w:rPr>
          <w:rFonts w:ascii="Times New Roman" w:hAnsi="Times New Roman" w:cs="Times New Roman"/>
          <w:color w:val="000000"/>
          <w:sz w:val="18"/>
          <w:szCs w:val="18"/>
        </w:rPr>
        <w:t xml:space="preserve"> and standard N-acetyl-L-</w:t>
      </w:r>
      <w:proofErr w:type="spellStart"/>
      <w:r w:rsidR="00C5210E" w:rsidRPr="0000133C">
        <w:rPr>
          <w:rFonts w:ascii="Times New Roman" w:hAnsi="Times New Roman" w:cs="Times New Roman"/>
          <w:color w:val="000000"/>
          <w:sz w:val="18"/>
          <w:szCs w:val="18"/>
        </w:rPr>
        <w:t>cysteine-NaOH</w:t>
      </w:r>
      <w:proofErr w:type="spellEnd"/>
      <w:r w:rsidR="00C5210E" w:rsidRPr="0000133C">
        <w:rPr>
          <w:rFonts w:ascii="Times New Roman" w:hAnsi="Times New Roman" w:cs="Times New Roman"/>
          <w:color w:val="000000"/>
          <w:sz w:val="18"/>
          <w:szCs w:val="18"/>
        </w:rPr>
        <w:t xml:space="preserve"> processing of respiratory specimens for increasing tuberculosis smear sensitivity in Brazil. J </w:t>
      </w:r>
      <w:proofErr w:type="spellStart"/>
      <w:r w:rsidR="00C5210E" w:rsidRPr="0000133C">
        <w:rPr>
          <w:rFonts w:ascii="Times New Roman" w:hAnsi="Times New Roman" w:cs="Times New Roman"/>
          <w:color w:val="000000"/>
          <w:sz w:val="18"/>
          <w:szCs w:val="18"/>
        </w:rPr>
        <w:t>Clin</w:t>
      </w:r>
      <w:proofErr w:type="spellEnd"/>
      <w:r w:rsidR="00C5210E" w:rsidRPr="0000133C">
        <w:rPr>
          <w:rFonts w:ascii="Times New Roman" w:hAnsi="Times New Roman" w:cs="Times New Roman"/>
          <w:color w:val="000000"/>
          <w:sz w:val="18"/>
          <w:szCs w:val="18"/>
        </w:rPr>
        <w:t xml:space="preserve"> </w:t>
      </w:r>
      <w:proofErr w:type="spellStart"/>
      <w:r w:rsidR="00C5210E" w:rsidRPr="0000133C">
        <w:rPr>
          <w:rFonts w:ascii="Times New Roman" w:hAnsi="Times New Roman" w:cs="Times New Roman"/>
          <w:color w:val="000000"/>
          <w:sz w:val="18"/>
          <w:szCs w:val="18"/>
        </w:rPr>
        <w:t>Microbiol</w:t>
      </w:r>
      <w:proofErr w:type="spellEnd"/>
      <w:r w:rsidR="00C5210E" w:rsidRPr="0000133C">
        <w:rPr>
          <w:rFonts w:ascii="Times New Roman" w:hAnsi="Times New Roman" w:cs="Times New Roman"/>
          <w:color w:val="000000"/>
          <w:sz w:val="18"/>
          <w:szCs w:val="18"/>
        </w:rPr>
        <w:t>. 2002;40(9):3219-22.</w:t>
      </w:r>
    </w:p>
    <w:p w:rsidR="00DF1BF2" w:rsidRPr="0000133C" w:rsidRDefault="00DF1BF2" w:rsidP="00DF1BF2">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sz w:val="18"/>
          <w:szCs w:val="18"/>
        </w:rPr>
      </w:pPr>
      <w:proofErr w:type="spellStart"/>
      <w:r w:rsidRPr="0000133C">
        <w:rPr>
          <w:rFonts w:ascii="Times New Roman" w:hAnsi="Times New Roman" w:cs="Times New Roman"/>
          <w:color w:val="000000"/>
          <w:sz w:val="18"/>
          <w:szCs w:val="18"/>
        </w:rPr>
        <w:t>S</w:t>
      </w:r>
      <w:r w:rsidR="00852621" w:rsidRPr="0000133C">
        <w:rPr>
          <w:rFonts w:ascii="Times New Roman" w:hAnsi="Times New Roman" w:cs="Times New Roman"/>
          <w:color w:val="000000"/>
          <w:sz w:val="18"/>
          <w:szCs w:val="18"/>
        </w:rPr>
        <w:t>iddiqi</w:t>
      </w:r>
      <w:proofErr w:type="spellEnd"/>
      <w:r w:rsidR="00852621" w:rsidRPr="0000133C">
        <w:rPr>
          <w:rFonts w:ascii="Times New Roman" w:hAnsi="Times New Roman" w:cs="Times New Roman"/>
          <w:color w:val="000000"/>
          <w:sz w:val="18"/>
          <w:szCs w:val="18"/>
        </w:rPr>
        <w:t xml:space="preserve"> SH. </w:t>
      </w:r>
      <w:r w:rsidR="00852621" w:rsidRPr="0000133C">
        <w:rPr>
          <w:rFonts w:ascii="Times New Roman" w:hAnsi="Times New Roman" w:cs="Times New Roman"/>
          <w:i/>
          <w:iCs/>
          <w:color w:val="000000"/>
          <w:sz w:val="18"/>
          <w:szCs w:val="18"/>
        </w:rPr>
        <w:t>BACTEC 460 TB system. Products and procedure manual</w:t>
      </w:r>
      <w:r w:rsidR="00852621" w:rsidRPr="0000133C">
        <w:rPr>
          <w:rFonts w:ascii="Times New Roman" w:hAnsi="Times New Roman" w:cs="Times New Roman"/>
          <w:color w:val="000000"/>
          <w:sz w:val="18"/>
          <w:szCs w:val="18"/>
        </w:rPr>
        <w:t>. Becton Dickinson Microbiology System, Sparks, MD, USA; 1996.</w:t>
      </w:r>
    </w:p>
    <w:p w:rsidR="00DF1BF2" w:rsidRPr="0000133C" w:rsidRDefault="00DF1BF2" w:rsidP="00DF1BF2">
      <w:pPr>
        <w:pStyle w:val="ListParagraph"/>
        <w:numPr>
          <w:ilvl w:val="0"/>
          <w:numId w:val="2"/>
        </w:numPr>
        <w:snapToGrid w:val="0"/>
        <w:spacing w:after="0" w:line="240" w:lineRule="auto"/>
        <w:jc w:val="both"/>
        <w:rPr>
          <w:rFonts w:ascii="Times New Roman" w:hAnsi="Times New Roman" w:cs="Times New Roman"/>
          <w:color w:val="000000"/>
          <w:sz w:val="18"/>
          <w:szCs w:val="18"/>
        </w:rPr>
      </w:pPr>
      <w:proofErr w:type="spellStart"/>
      <w:r w:rsidRPr="0000133C">
        <w:rPr>
          <w:rFonts w:ascii="Times New Roman" w:hAnsi="Times New Roman" w:cs="Times New Roman"/>
          <w:color w:val="000000"/>
          <w:sz w:val="18"/>
          <w:szCs w:val="18"/>
        </w:rPr>
        <w:t>H</w:t>
      </w:r>
      <w:r w:rsidR="00852621" w:rsidRPr="0000133C">
        <w:rPr>
          <w:rFonts w:ascii="Times New Roman" w:hAnsi="Times New Roman" w:cs="Times New Roman"/>
          <w:color w:val="000000"/>
          <w:sz w:val="18"/>
          <w:szCs w:val="18"/>
        </w:rPr>
        <w:t>errman</w:t>
      </w:r>
      <w:proofErr w:type="spellEnd"/>
      <w:r w:rsidR="00852621" w:rsidRPr="0000133C">
        <w:rPr>
          <w:rFonts w:ascii="Times New Roman" w:hAnsi="Times New Roman" w:cs="Times New Roman"/>
          <w:color w:val="000000"/>
          <w:sz w:val="18"/>
          <w:szCs w:val="18"/>
        </w:rPr>
        <w:t xml:space="preserve"> MG, </w:t>
      </w:r>
      <w:proofErr w:type="spellStart"/>
      <w:r w:rsidR="00852621" w:rsidRPr="0000133C">
        <w:rPr>
          <w:rFonts w:ascii="Times New Roman" w:hAnsi="Times New Roman" w:cs="Times New Roman"/>
          <w:color w:val="000000"/>
          <w:sz w:val="18"/>
          <w:szCs w:val="18"/>
        </w:rPr>
        <w:t>Durtschi</w:t>
      </w:r>
      <w:proofErr w:type="spellEnd"/>
      <w:r w:rsidR="00852621" w:rsidRPr="0000133C">
        <w:rPr>
          <w:rFonts w:ascii="Times New Roman" w:hAnsi="Times New Roman" w:cs="Times New Roman"/>
          <w:color w:val="000000"/>
          <w:sz w:val="18"/>
          <w:szCs w:val="18"/>
        </w:rPr>
        <w:t xml:space="preserve"> JD, Bromley KL, </w:t>
      </w:r>
      <w:proofErr w:type="spellStart"/>
      <w:r w:rsidR="00852621" w:rsidRPr="0000133C">
        <w:rPr>
          <w:rFonts w:ascii="Times New Roman" w:hAnsi="Times New Roman" w:cs="Times New Roman"/>
          <w:color w:val="000000"/>
          <w:sz w:val="18"/>
          <w:szCs w:val="18"/>
        </w:rPr>
        <w:t>Wittwer</w:t>
      </w:r>
      <w:proofErr w:type="spellEnd"/>
      <w:r w:rsidR="00852621" w:rsidRPr="0000133C">
        <w:rPr>
          <w:rFonts w:ascii="Times New Roman" w:hAnsi="Times New Roman" w:cs="Times New Roman"/>
          <w:color w:val="000000"/>
          <w:sz w:val="18"/>
          <w:szCs w:val="18"/>
        </w:rPr>
        <w:t xml:space="preserve"> CT, </w:t>
      </w:r>
      <w:proofErr w:type="spellStart"/>
      <w:r w:rsidR="00852621" w:rsidRPr="0000133C">
        <w:rPr>
          <w:rFonts w:ascii="Times New Roman" w:hAnsi="Times New Roman" w:cs="Times New Roman"/>
          <w:color w:val="000000"/>
          <w:sz w:val="18"/>
          <w:szCs w:val="18"/>
        </w:rPr>
        <w:t>Voelkerding</w:t>
      </w:r>
      <w:proofErr w:type="spellEnd"/>
      <w:r w:rsidR="00852621" w:rsidRPr="0000133C">
        <w:rPr>
          <w:rFonts w:ascii="Times New Roman" w:hAnsi="Times New Roman" w:cs="Times New Roman"/>
          <w:color w:val="000000"/>
          <w:sz w:val="18"/>
          <w:szCs w:val="18"/>
        </w:rPr>
        <w:t xml:space="preserve"> KV. Clinical Chemistry, 2006</w:t>
      </w:r>
      <w:r w:rsidR="00C5210E" w:rsidRPr="0000133C">
        <w:rPr>
          <w:rFonts w:ascii="Times New Roman" w:hAnsi="Times New Roman" w:cs="Times New Roman"/>
          <w:color w:val="000000"/>
          <w:sz w:val="18"/>
          <w:szCs w:val="18"/>
        </w:rPr>
        <w:t>;</w:t>
      </w:r>
      <w:r w:rsidR="00852621" w:rsidRPr="0000133C">
        <w:rPr>
          <w:rFonts w:ascii="Times New Roman" w:hAnsi="Times New Roman" w:cs="Times New Roman"/>
          <w:color w:val="000000"/>
          <w:sz w:val="18"/>
          <w:szCs w:val="18"/>
        </w:rPr>
        <w:t>52</w:t>
      </w:r>
      <w:r w:rsidR="00C5210E" w:rsidRPr="0000133C">
        <w:rPr>
          <w:rFonts w:ascii="Times New Roman" w:hAnsi="Times New Roman" w:cs="Times New Roman"/>
          <w:color w:val="000000"/>
          <w:sz w:val="18"/>
          <w:szCs w:val="18"/>
        </w:rPr>
        <w:t>:</w:t>
      </w:r>
      <w:r w:rsidR="00852621" w:rsidRPr="0000133C">
        <w:rPr>
          <w:rFonts w:ascii="Times New Roman" w:hAnsi="Times New Roman" w:cs="Times New Roman"/>
          <w:color w:val="000000"/>
          <w:sz w:val="18"/>
          <w:szCs w:val="18"/>
        </w:rPr>
        <w:t>494–503.</w:t>
      </w:r>
    </w:p>
    <w:p w:rsidR="00DF1BF2" w:rsidRPr="0000133C" w:rsidRDefault="00DF1BF2" w:rsidP="00DF1BF2">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000000"/>
          <w:sz w:val="18"/>
          <w:szCs w:val="18"/>
        </w:rPr>
      </w:pPr>
      <w:proofErr w:type="spellStart"/>
      <w:r w:rsidRPr="0000133C">
        <w:rPr>
          <w:rFonts w:ascii="Times New Roman" w:hAnsi="Times New Roman" w:cs="Times New Roman"/>
          <w:color w:val="000000"/>
          <w:sz w:val="18"/>
          <w:szCs w:val="18"/>
        </w:rPr>
        <w:t>W</w:t>
      </w:r>
      <w:r w:rsidR="00852621" w:rsidRPr="0000133C">
        <w:rPr>
          <w:rFonts w:ascii="Times New Roman" w:hAnsi="Times New Roman" w:cs="Times New Roman"/>
          <w:color w:val="000000"/>
          <w:sz w:val="18"/>
          <w:szCs w:val="18"/>
        </w:rPr>
        <w:t>ojdacz</w:t>
      </w:r>
      <w:proofErr w:type="spellEnd"/>
      <w:r w:rsidR="00852621" w:rsidRPr="0000133C">
        <w:rPr>
          <w:rFonts w:ascii="Times New Roman" w:hAnsi="Times New Roman" w:cs="Times New Roman"/>
          <w:color w:val="000000"/>
          <w:sz w:val="18"/>
          <w:szCs w:val="18"/>
        </w:rPr>
        <w:t xml:space="preserve"> TK, </w:t>
      </w:r>
      <w:proofErr w:type="spellStart"/>
      <w:r w:rsidR="00852621" w:rsidRPr="0000133C">
        <w:rPr>
          <w:rFonts w:ascii="Times New Roman" w:hAnsi="Times New Roman" w:cs="Times New Roman"/>
          <w:color w:val="000000"/>
          <w:sz w:val="18"/>
          <w:szCs w:val="18"/>
        </w:rPr>
        <w:t>Dobrovic</w:t>
      </w:r>
      <w:proofErr w:type="spellEnd"/>
      <w:r w:rsidR="00852621" w:rsidRPr="0000133C">
        <w:rPr>
          <w:rFonts w:ascii="Times New Roman" w:hAnsi="Times New Roman" w:cs="Times New Roman"/>
          <w:color w:val="000000"/>
          <w:sz w:val="18"/>
          <w:szCs w:val="18"/>
        </w:rPr>
        <w:t xml:space="preserve"> A. </w:t>
      </w:r>
      <w:proofErr w:type="spellStart"/>
      <w:r w:rsidR="00852621" w:rsidRPr="0000133C">
        <w:rPr>
          <w:rFonts w:ascii="Times New Roman" w:hAnsi="Times New Roman" w:cs="Times New Roman"/>
          <w:color w:val="000000"/>
          <w:sz w:val="18"/>
          <w:szCs w:val="18"/>
        </w:rPr>
        <w:t>Methylation</w:t>
      </w:r>
      <w:proofErr w:type="spellEnd"/>
      <w:r w:rsidR="00852621" w:rsidRPr="0000133C">
        <w:rPr>
          <w:rFonts w:ascii="Times New Roman" w:hAnsi="Times New Roman" w:cs="Times New Roman"/>
          <w:color w:val="000000"/>
          <w:sz w:val="18"/>
          <w:szCs w:val="18"/>
        </w:rPr>
        <w:t xml:space="preserve">-sensitive high resolution melting (MS-HRM): a new approach for sensitive and high-throughput assessment of </w:t>
      </w:r>
      <w:proofErr w:type="spellStart"/>
      <w:r w:rsidR="00852621" w:rsidRPr="0000133C">
        <w:rPr>
          <w:rFonts w:ascii="Times New Roman" w:hAnsi="Times New Roman" w:cs="Times New Roman"/>
          <w:color w:val="000000"/>
          <w:sz w:val="18"/>
          <w:szCs w:val="18"/>
        </w:rPr>
        <w:t>methylation</w:t>
      </w:r>
      <w:proofErr w:type="spellEnd"/>
      <w:r w:rsidR="00852621" w:rsidRPr="0000133C">
        <w:rPr>
          <w:rFonts w:ascii="Times New Roman" w:hAnsi="Times New Roman" w:cs="Times New Roman"/>
          <w:color w:val="000000"/>
          <w:sz w:val="18"/>
          <w:szCs w:val="18"/>
        </w:rPr>
        <w:t>. Nucleic Acids Res. 2007;35(6):e41.</w:t>
      </w:r>
    </w:p>
    <w:p w:rsidR="00DF1BF2" w:rsidRPr="0000133C" w:rsidRDefault="00DF1BF2" w:rsidP="00DF1BF2">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000000"/>
          <w:sz w:val="18"/>
          <w:szCs w:val="18"/>
        </w:rPr>
      </w:pPr>
      <w:r w:rsidRPr="0000133C">
        <w:rPr>
          <w:rFonts w:ascii="Times New Roman" w:hAnsi="Times New Roman" w:cs="Times New Roman"/>
          <w:color w:val="000000"/>
          <w:sz w:val="18"/>
          <w:szCs w:val="18"/>
        </w:rPr>
        <w:t>Z</w:t>
      </w:r>
      <w:r w:rsidR="00852621" w:rsidRPr="0000133C">
        <w:rPr>
          <w:rFonts w:ascii="Times New Roman" w:hAnsi="Times New Roman" w:cs="Times New Roman"/>
          <w:color w:val="000000"/>
          <w:sz w:val="18"/>
          <w:szCs w:val="18"/>
        </w:rPr>
        <w:t xml:space="preserve">hou L, </w:t>
      </w:r>
      <w:proofErr w:type="spellStart"/>
      <w:r w:rsidR="00852621" w:rsidRPr="0000133C">
        <w:rPr>
          <w:rFonts w:ascii="Times New Roman" w:hAnsi="Times New Roman" w:cs="Times New Roman"/>
          <w:color w:val="000000"/>
          <w:sz w:val="18"/>
          <w:szCs w:val="18"/>
        </w:rPr>
        <w:t>Errigo</w:t>
      </w:r>
      <w:proofErr w:type="spellEnd"/>
      <w:r w:rsidR="00852621" w:rsidRPr="0000133C">
        <w:rPr>
          <w:rFonts w:ascii="Times New Roman" w:hAnsi="Times New Roman" w:cs="Times New Roman"/>
          <w:color w:val="000000"/>
          <w:sz w:val="18"/>
          <w:szCs w:val="18"/>
        </w:rPr>
        <w:t xml:space="preserve"> RJ, Lu H, </w:t>
      </w:r>
      <w:proofErr w:type="spellStart"/>
      <w:r w:rsidR="00852621" w:rsidRPr="0000133C">
        <w:rPr>
          <w:rFonts w:ascii="Times New Roman" w:hAnsi="Times New Roman" w:cs="Times New Roman"/>
          <w:color w:val="000000"/>
          <w:sz w:val="18"/>
          <w:szCs w:val="18"/>
        </w:rPr>
        <w:t>Poritz</w:t>
      </w:r>
      <w:proofErr w:type="spellEnd"/>
      <w:r w:rsidR="00852621" w:rsidRPr="0000133C">
        <w:rPr>
          <w:rFonts w:ascii="Times New Roman" w:hAnsi="Times New Roman" w:cs="Times New Roman"/>
          <w:color w:val="000000"/>
          <w:sz w:val="18"/>
          <w:szCs w:val="18"/>
        </w:rPr>
        <w:t xml:space="preserve"> MA, </w:t>
      </w:r>
      <w:proofErr w:type="spellStart"/>
      <w:r w:rsidR="00852621" w:rsidRPr="0000133C">
        <w:rPr>
          <w:rFonts w:ascii="Times New Roman" w:hAnsi="Times New Roman" w:cs="Times New Roman"/>
          <w:color w:val="000000"/>
          <w:sz w:val="18"/>
          <w:szCs w:val="18"/>
        </w:rPr>
        <w:t>Seipp</w:t>
      </w:r>
      <w:proofErr w:type="spellEnd"/>
      <w:r w:rsidR="00852621" w:rsidRPr="0000133C">
        <w:rPr>
          <w:rFonts w:ascii="Times New Roman" w:hAnsi="Times New Roman" w:cs="Times New Roman"/>
          <w:color w:val="000000"/>
          <w:sz w:val="18"/>
          <w:szCs w:val="18"/>
        </w:rPr>
        <w:t xml:space="preserve"> MT, </w:t>
      </w:r>
      <w:proofErr w:type="spellStart"/>
      <w:r w:rsidR="00852621" w:rsidRPr="0000133C">
        <w:rPr>
          <w:rFonts w:ascii="Times New Roman" w:hAnsi="Times New Roman" w:cs="Times New Roman"/>
          <w:color w:val="000000"/>
          <w:sz w:val="18"/>
          <w:szCs w:val="18"/>
        </w:rPr>
        <w:t>Wittwer</w:t>
      </w:r>
      <w:proofErr w:type="spellEnd"/>
      <w:r w:rsidR="00852621" w:rsidRPr="0000133C">
        <w:rPr>
          <w:rFonts w:ascii="Times New Roman" w:hAnsi="Times New Roman" w:cs="Times New Roman"/>
          <w:color w:val="000000"/>
          <w:sz w:val="18"/>
          <w:szCs w:val="18"/>
        </w:rPr>
        <w:t xml:space="preserve"> CT. Snapback primer genotyping</w:t>
      </w:r>
      <w:r w:rsidR="00A867F7">
        <w:rPr>
          <w:rFonts w:ascii="Times New Roman" w:hAnsi="Times New Roman" w:cs="Times New Roman"/>
          <w:color w:val="000000"/>
          <w:sz w:val="18"/>
          <w:szCs w:val="18"/>
        </w:rPr>
        <w:t xml:space="preserve"> </w:t>
      </w:r>
      <w:r w:rsidR="00852621" w:rsidRPr="0000133C">
        <w:rPr>
          <w:rFonts w:ascii="Times New Roman" w:hAnsi="Times New Roman" w:cs="Times New Roman"/>
          <w:color w:val="000000"/>
          <w:sz w:val="18"/>
          <w:szCs w:val="18"/>
        </w:rPr>
        <w:t xml:space="preserve">with saturating DNA dye and melting analysis. </w:t>
      </w:r>
      <w:proofErr w:type="spellStart"/>
      <w:r w:rsidR="00852621" w:rsidRPr="0000133C">
        <w:rPr>
          <w:rFonts w:ascii="Times New Roman" w:hAnsi="Times New Roman" w:cs="Times New Roman"/>
          <w:color w:val="000000"/>
          <w:sz w:val="18"/>
          <w:szCs w:val="18"/>
        </w:rPr>
        <w:t>Clin</w:t>
      </w:r>
      <w:proofErr w:type="spellEnd"/>
      <w:r w:rsidR="00852621" w:rsidRPr="0000133C">
        <w:rPr>
          <w:rFonts w:ascii="Times New Roman" w:hAnsi="Times New Roman" w:cs="Times New Roman"/>
          <w:color w:val="000000"/>
          <w:sz w:val="18"/>
          <w:szCs w:val="18"/>
        </w:rPr>
        <w:t xml:space="preserve"> Chem. 2008;54(10):1648-56.</w:t>
      </w:r>
    </w:p>
    <w:p w:rsidR="00DF1BF2" w:rsidRPr="0000133C" w:rsidRDefault="00DF1BF2" w:rsidP="00DF1BF2">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000000"/>
          <w:sz w:val="18"/>
          <w:szCs w:val="18"/>
        </w:rPr>
      </w:pPr>
      <w:proofErr w:type="spellStart"/>
      <w:r w:rsidRPr="0000133C">
        <w:rPr>
          <w:rFonts w:ascii="Times New Roman" w:hAnsi="Times New Roman" w:cs="Times New Roman"/>
          <w:color w:val="000000"/>
          <w:sz w:val="18"/>
          <w:szCs w:val="18"/>
        </w:rPr>
        <w:t>W</w:t>
      </w:r>
      <w:r w:rsidR="00852621" w:rsidRPr="0000133C">
        <w:rPr>
          <w:rFonts w:ascii="Times New Roman" w:hAnsi="Times New Roman" w:cs="Times New Roman"/>
          <w:color w:val="000000"/>
          <w:sz w:val="18"/>
          <w:szCs w:val="18"/>
        </w:rPr>
        <w:t>ittwer</w:t>
      </w:r>
      <w:proofErr w:type="spellEnd"/>
      <w:r w:rsidR="00852621" w:rsidRPr="0000133C">
        <w:rPr>
          <w:rFonts w:ascii="Times New Roman" w:hAnsi="Times New Roman" w:cs="Times New Roman"/>
          <w:color w:val="000000"/>
          <w:sz w:val="18"/>
          <w:szCs w:val="18"/>
        </w:rPr>
        <w:t xml:space="preserve"> CT, Reed GH, Gundry CN, </w:t>
      </w:r>
      <w:proofErr w:type="spellStart"/>
      <w:r w:rsidR="00852621" w:rsidRPr="0000133C">
        <w:rPr>
          <w:rFonts w:ascii="Times New Roman" w:hAnsi="Times New Roman" w:cs="Times New Roman"/>
          <w:color w:val="000000"/>
          <w:sz w:val="18"/>
          <w:szCs w:val="18"/>
        </w:rPr>
        <w:t>Vandersteen</w:t>
      </w:r>
      <w:proofErr w:type="spellEnd"/>
      <w:r w:rsidR="00852621" w:rsidRPr="0000133C">
        <w:rPr>
          <w:rFonts w:ascii="Times New Roman" w:hAnsi="Times New Roman" w:cs="Times New Roman"/>
          <w:color w:val="000000"/>
          <w:sz w:val="18"/>
          <w:szCs w:val="18"/>
        </w:rPr>
        <w:t xml:space="preserve"> JG, Pryor RJ. High-resolution genotyping by </w:t>
      </w:r>
      <w:proofErr w:type="spellStart"/>
      <w:r w:rsidR="00852621" w:rsidRPr="0000133C">
        <w:rPr>
          <w:rFonts w:ascii="Times New Roman" w:hAnsi="Times New Roman" w:cs="Times New Roman"/>
          <w:color w:val="000000"/>
          <w:sz w:val="18"/>
          <w:szCs w:val="18"/>
        </w:rPr>
        <w:t>amplicon</w:t>
      </w:r>
      <w:proofErr w:type="spellEnd"/>
      <w:r w:rsidR="00852621" w:rsidRPr="0000133C">
        <w:rPr>
          <w:rFonts w:ascii="Times New Roman" w:hAnsi="Times New Roman" w:cs="Times New Roman"/>
          <w:color w:val="000000"/>
          <w:sz w:val="18"/>
          <w:szCs w:val="18"/>
        </w:rPr>
        <w:t xml:space="preserve"> melting analysis using </w:t>
      </w:r>
      <w:proofErr w:type="spellStart"/>
      <w:r w:rsidR="00852621" w:rsidRPr="0000133C">
        <w:rPr>
          <w:rFonts w:ascii="Times New Roman" w:hAnsi="Times New Roman" w:cs="Times New Roman"/>
          <w:color w:val="000000"/>
          <w:sz w:val="18"/>
          <w:szCs w:val="18"/>
        </w:rPr>
        <w:t>LCGreen</w:t>
      </w:r>
      <w:proofErr w:type="spellEnd"/>
      <w:r w:rsidR="00852621" w:rsidRPr="0000133C">
        <w:rPr>
          <w:rFonts w:ascii="Times New Roman" w:hAnsi="Times New Roman" w:cs="Times New Roman"/>
          <w:color w:val="000000"/>
          <w:sz w:val="18"/>
          <w:szCs w:val="18"/>
        </w:rPr>
        <w:t xml:space="preserve">. </w:t>
      </w:r>
      <w:proofErr w:type="spellStart"/>
      <w:r w:rsidR="00852621" w:rsidRPr="0000133C">
        <w:rPr>
          <w:rFonts w:ascii="Times New Roman" w:hAnsi="Times New Roman" w:cs="Times New Roman"/>
          <w:color w:val="000000"/>
          <w:sz w:val="18"/>
          <w:szCs w:val="18"/>
        </w:rPr>
        <w:t>Clin</w:t>
      </w:r>
      <w:proofErr w:type="spellEnd"/>
      <w:r w:rsidR="00852621" w:rsidRPr="0000133C">
        <w:rPr>
          <w:rFonts w:ascii="Times New Roman" w:hAnsi="Times New Roman" w:cs="Times New Roman"/>
          <w:color w:val="000000"/>
          <w:sz w:val="18"/>
          <w:szCs w:val="18"/>
        </w:rPr>
        <w:t xml:space="preserve"> Chem. 2003;49(6Pt 1):853-60.</w:t>
      </w:r>
    </w:p>
    <w:p w:rsidR="00DF1BF2" w:rsidRPr="0000133C" w:rsidRDefault="00DF1BF2" w:rsidP="00DF1BF2">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sz w:val="18"/>
          <w:szCs w:val="18"/>
        </w:rPr>
      </w:pPr>
      <w:proofErr w:type="spellStart"/>
      <w:r w:rsidRPr="0000133C">
        <w:rPr>
          <w:rFonts w:ascii="Times New Roman" w:hAnsi="Times New Roman" w:cs="Times New Roman"/>
          <w:color w:val="000000"/>
          <w:sz w:val="18"/>
          <w:szCs w:val="18"/>
        </w:rPr>
        <w:t>L</w:t>
      </w:r>
      <w:r w:rsidR="00852621" w:rsidRPr="0000133C">
        <w:rPr>
          <w:rFonts w:ascii="Times New Roman" w:hAnsi="Times New Roman" w:cs="Times New Roman"/>
          <w:color w:val="000000"/>
          <w:sz w:val="18"/>
          <w:szCs w:val="18"/>
        </w:rPr>
        <w:t>iew</w:t>
      </w:r>
      <w:proofErr w:type="spellEnd"/>
      <w:r w:rsidR="00852621" w:rsidRPr="0000133C">
        <w:rPr>
          <w:rFonts w:ascii="Times New Roman" w:hAnsi="Times New Roman" w:cs="Times New Roman"/>
          <w:color w:val="000000"/>
          <w:sz w:val="18"/>
          <w:szCs w:val="18"/>
        </w:rPr>
        <w:t xml:space="preserve"> M, Pryor R, </w:t>
      </w:r>
      <w:proofErr w:type="spellStart"/>
      <w:r w:rsidR="00852621" w:rsidRPr="0000133C">
        <w:rPr>
          <w:rFonts w:ascii="Times New Roman" w:hAnsi="Times New Roman" w:cs="Times New Roman"/>
          <w:color w:val="000000"/>
          <w:sz w:val="18"/>
          <w:szCs w:val="18"/>
        </w:rPr>
        <w:t>Palais</w:t>
      </w:r>
      <w:proofErr w:type="spellEnd"/>
      <w:r w:rsidR="00852621" w:rsidRPr="0000133C">
        <w:rPr>
          <w:rFonts w:ascii="Times New Roman" w:hAnsi="Times New Roman" w:cs="Times New Roman"/>
          <w:color w:val="000000"/>
          <w:sz w:val="18"/>
          <w:szCs w:val="18"/>
        </w:rPr>
        <w:t xml:space="preserve"> R, Meadows C, </w:t>
      </w:r>
      <w:proofErr w:type="spellStart"/>
      <w:r w:rsidR="00852621" w:rsidRPr="0000133C">
        <w:rPr>
          <w:rFonts w:ascii="Times New Roman" w:hAnsi="Times New Roman" w:cs="Times New Roman"/>
          <w:color w:val="000000"/>
          <w:sz w:val="18"/>
          <w:szCs w:val="18"/>
        </w:rPr>
        <w:t>Erali</w:t>
      </w:r>
      <w:proofErr w:type="spellEnd"/>
      <w:r w:rsidR="00852621" w:rsidRPr="0000133C">
        <w:rPr>
          <w:rFonts w:ascii="Times New Roman" w:hAnsi="Times New Roman" w:cs="Times New Roman"/>
          <w:color w:val="000000"/>
          <w:sz w:val="18"/>
          <w:szCs w:val="18"/>
        </w:rPr>
        <w:t xml:space="preserve"> M, Lyon E, </w:t>
      </w:r>
      <w:proofErr w:type="spellStart"/>
      <w:r w:rsidR="00852621" w:rsidRPr="0000133C">
        <w:rPr>
          <w:rFonts w:ascii="Times New Roman" w:hAnsi="Times New Roman" w:cs="Times New Roman"/>
          <w:color w:val="000000"/>
          <w:sz w:val="18"/>
          <w:szCs w:val="18"/>
        </w:rPr>
        <w:t>Wittwer</w:t>
      </w:r>
      <w:proofErr w:type="spellEnd"/>
      <w:r w:rsidR="00852621" w:rsidRPr="0000133C">
        <w:rPr>
          <w:rFonts w:ascii="Times New Roman" w:hAnsi="Times New Roman" w:cs="Times New Roman"/>
          <w:color w:val="000000"/>
          <w:sz w:val="18"/>
          <w:szCs w:val="18"/>
        </w:rPr>
        <w:t xml:space="preserve"> C. Genotyping of single-nucleotide polymorphisms by high-resolution melting of small </w:t>
      </w:r>
      <w:proofErr w:type="spellStart"/>
      <w:r w:rsidR="00852621" w:rsidRPr="0000133C">
        <w:rPr>
          <w:rFonts w:ascii="Times New Roman" w:hAnsi="Times New Roman" w:cs="Times New Roman"/>
          <w:color w:val="000000"/>
          <w:sz w:val="18"/>
          <w:szCs w:val="18"/>
        </w:rPr>
        <w:t>amplicons.Clin</w:t>
      </w:r>
      <w:proofErr w:type="spellEnd"/>
      <w:r w:rsidR="00852621" w:rsidRPr="0000133C">
        <w:rPr>
          <w:rFonts w:ascii="Times New Roman" w:hAnsi="Times New Roman" w:cs="Times New Roman"/>
          <w:color w:val="000000"/>
          <w:sz w:val="18"/>
          <w:szCs w:val="18"/>
        </w:rPr>
        <w:t xml:space="preserve"> Chem. 2004;50(7):1156-64.</w:t>
      </w:r>
    </w:p>
    <w:p w:rsidR="00C73EBE" w:rsidRPr="0000133C" w:rsidRDefault="00DF1BF2" w:rsidP="00DF1BF2">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000000"/>
          <w:sz w:val="18"/>
          <w:szCs w:val="18"/>
        </w:rPr>
      </w:pPr>
      <w:r w:rsidRPr="0000133C">
        <w:rPr>
          <w:rFonts w:ascii="Times New Roman" w:hAnsi="Times New Roman" w:cs="Times New Roman"/>
          <w:color w:val="000000"/>
          <w:sz w:val="18"/>
          <w:szCs w:val="18"/>
        </w:rPr>
        <w:t>H</w:t>
      </w:r>
      <w:r w:rsidR="00C73EBE" w:rsidRPr="0000133C">
        <w:rPr>
          <w:rFonts w:ascii="Times New Roman" w:hAnsi="Times New Roman" w:cs="Times New Roman"/>
          <w:color w:val="000000"/>
          <w:sz w:val="18"/>
          <w:szCs w:val="18"/>
        </w:rPr>
        <w:t xml:space="preserve">errmann MG, </w:t>
      </w:r>
      <w:proofErr w:type="spellStart"/>
      <w:r w:rsidR="00C73EBE" w:rsidRPr="0000133C">
        <w:rPr>
          <w:rFonts w:ascii="Times New Roman" w:hAnsi="Times New Roman" w:cs="Times New Roman"/>
          <w:color w:val="000000"/>
          <w:sz w:val="18"/>
          <w:szCs w:val="18"/>
        </w:rPr>
        <w:t>Durtschi</w:t>
      </w:r>
      <w:proofErr w:type="spellEnd"/>
      <w:r w:rsidR="00C73EBE" w:rsidRPr="0000133C">
        <w:rPr>
          <w:rFonts w:ascii="Times New Roman" w:hAnsi="Times New Roman" w:cs="Times New Roman"/>
          <w:color w:val="000000"/>
          <w:sz w:val="18"/>
          <w:szCs w:val="18"/>
        </w:rPr>
        <w:t xml:space="preserve"> JD, Bromley LK, </w:t>
      </w:r>
      <w:proofErr w:type="spellStart"/>
      <w:r w:rsidR="00C73EBE" w:rsidRPr="0000133C">
        <w:rPr>
          <w:rFonts w:ascii="Times New Roman" w:hAnsi="Times New Roman" w:cs="Times New Roman"/>
          <w:color w:val="000000"/>
          <w:sz w:val="18"/>
          <w:szCs w:val="18"/>
        </w:rPr>
        <w:t>Wittwer</w:t>
      </w:r>
      <w:proofErr w:type="spellEnd"/>
      <w:r w:rsidR="00C73EBE" w:rsidRPr="0000133C">
        <w:rPr>
          <w:rFonts w:ascii="Times New Roman" w:hAnsi="Times New Roman" w:cs="Times New Roman"/>
          <w:color w:val="000000"/>
          <w:sz w:val="18"/>
          <w:szCs w:val="18"/>
        </w:rPr>
        <w:t xml:space="preserve"> CT, </w:t>
      </w:r>
      <w:proofErr w:type="spellStart"/>
      <w:r w:rsidR="00C73EBE" w:rsidRPr="0000133C">
        <w:rPr>
          <w:rFonts w:ascii="Times New Roman" w:hAnsi="Times New Roman" w:cs="Times New Roman"/>
          <w:color w:val="000000"/>
          <w:sz w:val="18"/>
          <w:szCs w:val="18"/>
        </w:rPr>
        <w:t>Voelkerding</w:t>
      </w:r>
      <w:proofErr w:type="spellEnd"/>
      <w:r w:rsidR="00C73EBE" w:rsidRPr="0000133C">
        <w:rPr>
          <w:rFonts w:ascii="Times New Roman" w:hAnsi="Times New Roman" w:cs="Times New Roman"/>
          <w:color w:val="000000"/>
          <w:sz w:val="18"/>
          <w:szCs w:val="18"/>
        </w:rPr>
        <w:t xml:space="preserve"> KV. </w:t>
      </w:r>
      <w:proofErr w:type="spellStart"/>
      <w:r w:rsidR="00C73EBE" w:rsidRPr="0000133C">
        <w:rPr>
          <w:rFonts w:ascii="Times New Roman" w:hAnsi="Times New Roman" w:cs="Times New Roman"/>
          <w:color w:val="000000"/>
          <w:sz w:val="18"/>
          <w:szCs w:val="18"/>
        </w:rPr>
        <w:t>Amplicon</w:t>
      </w:r>
      <w:proofErr w:type="spellEnd"/>
      <w:r w:rsidR="00C73EBE" w:rsidRPr="0000133C">
        <w:rPr>
          <w:rFonts w:ascii="Times New Roman" w:hAnsi="Times New Roman" w:cs="Times New Roman"/>
          <w:color w:val="000000"/>
          <w:sz w:val="18"/>
          <w:szCs w:val="18"/>
        </w:rPr>
        <w:t xml:space="preserve"> DNA</w:t>
      </w:r>
      <w:r w:rsidR="00EE5654" w:rsidRPr="0000133C">
        <w:rPr>
          <w:rFonts w:ascii="Times New Roman" w:hAnsi="Times New Roman" w:cs="Times New Roman"/>
          <w:color w:val="000000"/>
          <w:sz w:val="18"/>
          <w:szCs w:val="18"/>
        </w:rPr>
        <w:t xml:space="preserve"> </w:t>
      </w:r>
      <w:r w:rsidR="00C73EBE" w:rsidRPr="0000133C">
        <w:rPr>
          <w:rFonts w:ascii="Times New Roman" w:hAnsi="Times New Roman" w:cs="Times New Roman"/>
          <w:color w:val="000000"/>
          <w:sz w:val="18"/>
          <w:szCs w:val="18"/>
        </w:rPr>
        <w:t xml:space="preserve">melting analysis for mutation scanning and genotyping: cross-platform comparison of instruments and dyes. </w:t>
      </w:r>
      <w:proofErr w:type="spellStart"/>
      <w:r w:rsidR="00C73EBE" w:rsidRPr="0000133C">
        <w:rPr>
          <w:rFonts w:ascii="Times New Roman" w:hAnsi="Times New Roman" w:cs="Times New Roman"/>
          <w:color w:val="000000"/>
          <w:sz w:val="18"/>
          <w:szCs w:val="18"/>
        </w:rPr>
        <w:t>Clin</w:t>
      </w:r>
      <w:proofErr w:type="spellEnd"/>
      <w:r w:rsidR="00C73EBE" w:rsidRPr="0000133C">
        <w:rPr>
          <w:rFonts w:ascii="Times New Roman" w:hAnsi="Times New Roman" w:cs="Times New Roman"/>
          <w:color w:val="000000"/>
          <w:sz w:val="18"/>
          <w:szCs w:val="18"/>
        </w:rPr>
        <w:t xml:space="preserve"> Chem. 2006;52(3):494-503.</w:t>
      </w:r>
    </w:p>
    <w:p w:rsidR="003F2F66" w:rsidRPr="0000133C" w:rsidRDefault="003F2F66" w:rsidP="003F2F66">
      <w:pPr>
        <w:pStyle w:val="HTMLPreformatted"/>
        <w:snapToGrid w:val="0"/>
        <w:ind w:left="425" w:hanging="425"/>
        <w:jc w:val="both"/>
        <w:rPr>
          <w:rFonts w:ascii="Times New Roman" w:hAnsi="Times New Roman" w:cs="Times New Roman"/>
          <w:b/>
          <w:color w:val="000000"/>
          <w:sz w:val="18"/>
          <w:szCs w:val="18"/>
        </w:rPr>
      </w:pPr>
    </w:p>
    <w:p w:rsidR="003F2F66" w:rsidRPr="0000133C" w:rsidRDefault="003F2F66" w:rsidP="003F2F66">
      <w:pPr>
        <w:pStyle w:val="HTMLPreformatted"/>
        <w:snapToGrid w:val="0"/>
        <w:ind w:left="425" w:hanging="425"/>
        <w:jc w:val="both"/>
        <w:rPr>
          <w:rFonts w:ascii="Times New Roman" w:hAnsi="Times New Roman" w:cs="Times New Roman"/>
          <w:b/>
          <w:color w:val="000000"/>
          <w:sz w:val="18"/>
          <w:szCs w:val="18"/>
        </w:rPr>
        <w:sectPr w:rsidR="003F2F66" w:rsidRPr="0000133C" w:rsidSect="00E14AB3">
          <w:headerReference w:type="default" r:id="rId20"/>
          <w:footerReference w:type="default" r:id="rId21"/>
          <w:type w:val="continuous"/>
          <w:pgSz w:w="12240" w:h="15840" w:code="1"/>
          <w:pgMar w:top="1440" w:right="1440" w:bottom="1440" w:left="1440" w:header="720" w:footer="720" w:gutter="0"/>
          <w:cols w:num="2" w:space="720"/>
          <w:docGrid w:linePitch="360"/>
        </w:sectPr>
      </w:pPr>
    </w:p>
    <w:p w:rsidR="0000133C" w:rsidRDefault="0000133C" w:rsidP="003F2F66">
      <w:pPr>
        <w:pStyle w:val="HTMLPreformatted"/>
        <w:snapToGrid w:val="0"/>
        <w:ind w:left="425" w:hanging="425"/>
        <w:jc w:val="both"/>
        <w:rPr>
          <w:rFonts w:ascii="Times New Roman" w:eastAsiaTheme="minorEastAsia" w:hAnsi="Times New Roman" w:cs="Times New Roman"/>
          <w:b/>
          <w:color w:val="000000"/>
          <w:sz w:val="18"/>
          <w:szCs w:val="18"/>
          <w:lang w:eastAsia="zh-CN"/>
        </w:rPr>
      </w:pPr>
    </w:p>
    <w:p w:rsidR="00852621" w:rsidRPr="0000133C" w:rsidRDefault="00457A23" w:rsidP="003F2F66">
      <w:pPr>
        <w:pStyle w:val="HTMLPreformatted"/>
        <w:snapToGrid w:val="0"/>
        <w:ind w:left="425" w:hanging="425"/>
        <w:jc w:val="both"/>
        <w:rPr>
          <w:rFonts w:ascii="Times New Roman" w:hAnsi="Times New Roman" w:cs="Times New Roman"/>
          <w:color w:val="000000"/>
          <w:szCs w:val="24"/>
        </w:rPr>
      </w:pPr>
      <w:r w:rsidRPr="0000133C">
        <w:rPr>
          <w:rFonts w:ascii="Times New Roman" w:hAnsi="Times New Roman" w:cs="Times New Roman"/>
          <w:color w:val="000000"/>
          <w:szCs w:val="24"/>
        </w:rPr>
        <w:t>3/30/2014</w:t>
      </w:r>
    </w:p>
    <w:sectPr w:rsidR="00852621" w:rsidRPr="0000133C" w:rsidSect="00E14AB3">
      <w:headerReference w:type="default" r:id="rId22"/>
      <w:footerReference w:type="default" r:id="rId2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CC0" w:rsidRDefault="002D7CC0" w:rsidP="008A0747">
      <w:pPr>
        <w:spacing w:after="0" w:line="240" w:lineRule="auto"/>
      </w:pPr>
      <w:r>
        <w:separator/>
      </w:r>
    </w:p>
  </w:endnote>
  <w:endnote w:type="continuationSeparator" w:id="0">
    <w:p w:rsidR="002D7CC0" w:rsidRDefault="002D7CC0" w:rsidP="008A07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F66" w:rsidRPr="00457A23" w:rsidRDefault="00B33133" w:rsidP="00457A23">
    <w:pPr>
      <w:spacing w:after="0" w:line="240" w:lineRule="auto"/>
      <w:jc w:val="center"/>
      <w:rPr>
        <w:rFonts w:ascii="Times New Roman" w:hAnsi="Times New Roman" w:cs="Times New Roman"/>
        <w:sz w:val="20"/>
      </w:rPr>
    </w:pPr>
    <w:r w:rsidRPr="00457A23">
      <w:rPr>
        <w:rFonts w:ascii="Times New Roman" w:hAnsi="Times New Roman" w:cs="Times New Roman"/>
        <w:sz w:val="20"/>
      </w:rPr>
      <w:fldChar w:fldCharType="begin"/>
    </w:r>
    <w:r w:rsidR="003F2F66" w:rsidRPr="00457A23">
      <w:rPr>
        <w:rFonts w:ascii="Times New Roman" w:hAnsi="Times New Roman" w:cs="Times New Roman"/>
        <w:sz w:val="20"/>
      </w:rPr>
      <w:instrText xml:space="preserve"> page </w:instrText>
    </w:r>
    <w:r w:rsidRPr="00457A23">
      <w:rPr>
        <w:rFonts w:ascii="Times New Roman" w:hAnsi="Times New Roman" w:cs="Times New Roman"/>
        <w:sz w:val="20"/>
      </w:rPr>
      <w:fldChar w:fldCharType="separate"/>
    </w:r>
    <w:r w:rsidR="00B36B16">
      <w:rPr>
        <w:rFonts w:ascii="Times New Roman" w:hAnsi="Times New Roman" w:cs="Times New Roman"/>
        <w:noProof/>
        <w:sz w:val="20"/>
      </w:rPr>
      <w:t>40</w:t>
    </w:r>
    <w:r w:rsidRPr="00457A2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F66" w:rsidRPr="00457A23" w:rsidRDefault="00B33133" w:rsidP="00457A23">
    <w:pPr>
      <w:spacing w:after="0" w:line="240" w:lineRule="auto"/>
      <w:jc w:val="center"/>
      <w:rPr>
        <w:rFonts w:ascii="Times New Roman" w:hAnsi="Times New Roman" w:cs="Times New Roman"/>
        <w:sz w:val="20"/>
      </w:rPr>
    </w:pPr>
    <w:r w:rsidRPr="00457A23">
      <w:rPr>
        <w:rFonts w:ascii="Times New Roman" w:hAnsi="Times New Roman" w:cs="Times New Roman"/>
        <w:sz w:val="20"/>
      </w:rPr>
      <w:fldChar w:fldCharType="begin"/>
    </w:r>
    <w:r w:rsidR="003F2F66" w:rsidRPr="00457A23">
      <w:rPr>
        <w:rFonts w:ascii="Times New Roman" w:hAnsi="Times New Roman" w:cs="Times New Roman"/>
        <w:sz w:val="20"/>
      </w:rPr>
      <w:instrText xml:space="preserve"> page </w:instrText>
    </w:r>
    <w:r w:rsidRPr="00457A23">
      <w:rPr>
        <w:rFonts w:ascii="Times New Roman" w:hAnsi="Times New Roman" w:cs="Times New Roman"/>
        <w:sz w:val="20"/>
      </w:rPr>
      <w:fldChar w:fldCharType="separate"/>
    </w:r>
    <w:r w:rsidR="00B36B16">
      <w:rPr>
        <w:rFonts w:ascii="Times New Roman" w:hAnsi="Times New Roman" w:cs="Times New Roman"/>
        <w:noProof/>
        <w:sz w:val="20"/>
      </w:rPr>
      <w:t>42</w:t>
    </w:r>
    <w:r w:rsidRPr="00457A2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23" w:rsidRPr="00457A23" w:rsidRDefault="00B33133" w:rsidP="00457A23">
    <w:pPr>
      <w:spacing w:after="0" w:line="240" w:lineRule="auto"/>
      <w:jc w:val="center"/>
      <w:rPr>
        <w:rFonts w:ascii="Times New Roman" w:hAnsi="Times New Roman" w:cs="Times New Roman"/>
        <w:sz w:val="20"/>
      </w:rPr>
    </w:pPr>
    <w:r w:rsidRPr="00457A23">
      <w:rPr>
        <w:rFonts w:ascii="Times New Roman" w:hAnsi="Times New Roman" w:cs="Times New Roman"/>
        <w:sz w:val="20"/>
      </w:rPr>
      <w:fldChar w:fldCharType="begin"/>
    </w:r>
    <w:r w:rsidR="00457A23" w:rsidRPr="00457A23">
      <w:rPr>
        <w:rFonts w:ascii="Times New Roman" w:hAnsi="Times New Roman" w:cs="Times New Roman"/>
        <w:sz w:val="20"/>
      </w:rPr>
      <w:instrText xml:space="preserve"> page </w:instrText>
    </w:r>
    <w:r w:rsidRPr="00457A23">
      <w:rPr>
        <w:rFonts w:ascii="Times New Roman" w:hAnsi="Times New Roman" w:cs="Times New Roman"/>
        <w:sz w:val="20"/>
      </w:rPr>
      <w:fldChar w:fldCharType="separate"/>
    </w:r>
    <w:r w:rsidR="0000133C">
      <w:rPr>
        <w:rFonts w:ascii="Times New Roman" w:hAnsi="Times New Roman" w:cs="Times New Roman"/>
        <w:noProof/>
        <w:sz w:val="20"/>
      </w:rPr>
      <w:t>4</w:t>
    </w:r>
    <w:r w:rsidRPr="00457A2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CC0" w:rsidRDefault="002D7CC0" w:rsidP="008A0747">
      <w:pPr>
        <w:spacing w:after="0" w:line="240" w:lineRule="auto"/>
      </w:pPr>
      <w:r>
        <w:separator/>
      </w:r>
    </w:p>
  </w:footnote>
  <w:footnote w:type="continuationSeparator" w:id="0">
    <w:p w:rsidR="002D7CC0" w:rsidRDefault="002D7CC0" w:rsidP="008A07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F66" w:rsidRPr="00457A23" w:rsidRDefault="003F2F66" w:rsidP="00457A2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457A23">
      <w:rPr>
        <w:rFonts w:ascii="Times New Roman" w:hAnsi="Times New Roman" w:cs="Times New Roman" w:hint="eastAsia"/>
        <w:iCs/>
        <w:color w:val="000000"/>
        <w:sz w:val="20"/>
        <w:szCs w:val="20"/>
      </w:rPr>
      <w:tab/>
    </w:r>
    <w:r w:rsidRPr="00457A23">
      <w:rPr>
        <w:rFonts w:ascii="Times New Roman" w:hAnsi="Times New Roman" w:cs="Times New Roman"/>
        <w:sz w:val="20"/>
        <w:szCs w:val="20"/>
      </w:rPr>
      <w:t>Nature and Science 201</w:t>
    </w:r>
    <w:r w:rsidRPr="00457A23">
      <w:rPr>
        <w:rFonts w:ascii="Times New Roman" w:hAnsi="Times New Roman" w:cs="Times New Roman" w:hint="eastAsia"/>
        <w:sz w:val="20"/>
        <w:szCs w:val="20"/>
      </w:rPr>
      <w:t>4</w:t>
    </w:r>
    <w:r w:rsidRPr="00457A23">
      <w:rPr>
        <w:rFonts w:ascii="Times New Roman" w:hAnsi="Times New Roman" w:cs="Times New Roman"/>
        <w:sz w:val="20"/>
        <w:szCs w:val="20"/>
      </w:rPr>
      <w:t>;1</w:t>
    </w:r>
    <w:r w:rsidRPr="00457A23">
      <w:rPr>
        <w:rFonts w:ascii="Times New Roman" w:hAnsi="Times New Roman" w:cs="Times New Roman" w:hint="eastAsia"/>
        <w:sz w:val="20"/>
        <w:szCs w:val="20"/>
      </w:rPr>
      <w:t>2</w:t>
    </w:r>
    <w:r w:rsidRPr="00457A23">
      <w:rPr>
        <w:rFonts w:ascii="Times New Roman" w:hAnsi="Times New Roman" w:cs="Times New Roman"/>
        <w:sz w:val="20"/>
        <w:szCs w:val="20"/>
      </w:rPr>
      <w:t>(</w:t>
    </w:r>
    <w:r w:rsidRPr="00457A23">
      <w:rPr>
        <w:rFonts w:ascii="Times New Roman" w:hAnsi="Times New Roman" w:cs="Times New Roman" w:hint="eastAsia"/>
        <w:sz w:val="20"/>
        <w:szCs w:val="20"/>
      </w:rPr>
      <w:t>5</w:t>
    </w:r>
    <w:r w:rsidRPr="00457A23">
      <w:rPr>
        <w:rFonts w:ascii="Times New Roman" w:hAnsi="Times New Roman" w:cs="Times New Roman"/>
        <w:sz w:val="20"/>
        <w:szCs w:val="20"/>
      </w:rPr>
      <w:t xml:space="preserve">) </w:t>
    </w:r>
    <w:r w:rsidRPr="00457A23">
      <w:rPr>
        <w:rFonts w:ascii="Times New Roman" w:hAnsi="Times New Roman" w:cs="Times New Roman"/>
        <w:color w:val="000000"/>
        <w:sz w:val="20"/>
        <w:szCs w:val="20"/>
      </w:rPr>
      <w:t xml:space="preserve"> </w:t>
    </w:r>
    <w:r w:rsidRPr="00457A23">
      <w:rPr>
        <w:rFonts w:ascii="Times New Roman" w:hAnsi="Times New Roman" w:cs="Times New Roman" w:hint="eastAsia"/>
        <w:color w:val="000000"/>
        <w:sz w:val="20"/>
        <w:szCs w:val="20"/>
      </w:rPr>
      <w:tab/>
    </w:r>
    <w:r w:rsidRPr="00457A23">
      <w:rPr>
        <w:rFonts w:ascii="Times New Roman" w:hAnsi="Times New Roman" w:cs="Times New Roman"/>
        <w:color w:val="000000"/>
        <w:sz w:val="20"/>
        <w:szCs w:val="20"/>
      </w:rPr>
      <w:t xml:space="preserve"> </w:t>
    </w:r>
    <w:hyperlink r:id="rId1" w:history="1">
      <w:r w:rsidRPr="00457A23">
        <w:rPr>
          <w:rStyle w:val="Hyperlink"/>
          <w:rFonts w:ascii="Times New Roman" w:hAnsi="Times New Roman" w:cs="Times New Roman"/>
          <w:sz w:val="20"/>
          <w:szCs w:val="20"/>
        </w:rPr>
        <w:t>http://www.sciencepub.net/nature</w:t>
      </w:r>
    </w:hyperlink>
  </w:p>
  <w:p w:rsidR="003F2F66" w:rsidRPr="00457A23" w:rsidRDefault="003F2F66" w:rsidP="00457A2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F66" w:rsidRPr="00457A23" w:rsidRDefault="003F2F66" w:rsidP="00457A2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457A23">
      <w:rPr>
        <w:rFonts w:ascii="Times New Roman" w:hAnsi="Times New Roman" w:cs="Times New Roman" w:hint="eastAsia"/>
        <w:iCs/>
        <w:color w:val="000000"/>
        <w:sz w:val="20"/>
        <w:szCs w:val="20"/>
      </w:rPr>
      <w:tab/>
    </w:r>
    <w:r w:rsidRPr="00457A23">
      <w:rPr>
        <w:rFonts w:ascii="Times New Roman" w:hAnsi="Times New Roman" w:cs="Times New Roman"/>
        <w:sz w:val="20"/>
        <w:szCs w:val="20"/>
      </w:rPr>
      <w:t>Nature and Science 201</w:t>
    </w:r>
    <w:r w:rsidRPr="00457A23">
      <w:rPr>
        <w:rFonts w:ascii="Times New Roman" w:hAnsi="Times New Roman" w:cs="Times New Roman" w:hint="eastAsia"/>
        <w:sz w:val="20"/>
        <w:szCs w:val="20"/>
      </w:rPr>
      <w:t>4</w:t>
    </w:r>
    <w:r w:rsidRPr="00457A23">
      <w:rPr>
        <w:rFonts w:ascii="Times New Roman" w:hAnsi="Times New Roman" w:cs="Times New Roman"/>
        <w:sz w:val="20"/>
        <w:szCs w:val="20"/>
      </w:rPr>
      <w:t>;1</w:t>
    </w:r>
    <w:r w:rsidRPr="00457A23">
      <w:rPr>
        <w:rFonts w:ascii="Times New Roman" w:hAnsi="Times New Roman" w:cs="Times New Roman" w:hint="eastAsia"/>
        <w:sz w:val="20"/>
        <w:szCs w:val="20"/>
      </w:rPr>
      <w:t>2</w:t>
    </w:r>
    <w:r w:rsidRPr="00457A23">
      <w:rPr>
        <w:rFonts w:ascii="Times New Roman" w:hAnsi="Times New Roman" w:cs="Times New Roman"/>
        <w:sz w:val="20"/>
        <w:szCs w:val="20"/>
      </w:rPr>
      <w:t>(</w:t>
    </w:r>
    <w:r w:rsidRPr="00457A23">
      <w:rPr>
        <w:rFonts w:ascii="Times New Roman" w:hAnsi="Times New Roman" w:cs="Times New Roman" w:hint="eastAsia"/>
        <w:sz w:val="20"/>
        <w:szCs w:val="20"/>
      </w:rPr>
      <w:t>5</w:t>
    </w:r>
    <w:r w:rsidRPr="00457A23">
      <w:rPr>
        <w:rFonts w:ascii="Times New Roman" w:hAnsi="Times New Roman" w:cs="Times New Roman"/>
        <w:sz w:val="20"/>
        <w:szCs w:val="20"/>
      </w:rPr>
      <w:t xml:space="preserve">) </w:t>
    </w:r>
    <w:r w:rsidRPr="00457A23">
      <w:rPr>
        <w:rFonts w:ascii="Times New Roman" w:hAnsi="Times New Roman" w:cs="Times New Roman"/>
        <w:color w:val="000000"/>
        <w:sz w:val="20"/>
        <w:szCs w:val="20"/>
      </w:rPr>
      <w:t xml:space="preserve"> </w:t>
    </w:r>
    <w:r w:rsidRPr="00457A23">
      <w:rPr>
        <w:rFonts w:ascii="Times New Roman" w:hAnsi="Times New Roman" w:cs="Times New Roman" w:hint="eastAsia"/>
        <w:color w:val="000000"/>
        <w:sz w:val="20"/>
        <w:szCs w:val="20"/>
      </w:rPr>
      <w:tab/>
    </w:r>
    <w:r w:rsidRPr="00457A23">
      <w:rPr>
        <w:rFonts w:ascii="Times New Roman" w:hAnsi="Times New Roman" w:cs="Times New Roman"/>
        <w:color w:val="000000"/>
        <w:sz w:val="20"/>
        <w:szCs w:val="20"/>
      </w:rPr>
      <w:t xml:space="preserve"> </w:t>
    </w:r>
    <w:hyperlink r:id="rId1" w:history="1">
      <w:r w:rsidRPr="00457A23">
        <w:rPr>
          <w:rStyle w:val="Hyperlink"/>
          <w:rFonts w:ascii="Times New Roman" w:hAnsi="Times New Roman" w:cs="Times New Roman"/>
          <w:sz w:val="20"/>
          <w:szCs w:val="20"/>
        </w:rPr>
        <w:t>http://www.sciencepub.net/nature</w:t>
      </w:r>
    </w:hyperlink>
  </w:p>
  <w:p w:rsidR="003F2F66" w:rsidRPr="00457A23" w:rsidRDefault="003F2F66" w:rsidP="00457A2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23" w:rsidRPr="00457A23" w:rsidRDefault="00457A23" w:rsidP="00457A2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457A23">
      <w:rPr>
        <w:rFonts w:ascii="Times New Roman" w:hAnsi="Times New Roman" w:cs="Times New Roman" w:hint="eastAsia"/>
        <w:iCs/>
        <w:color w:val="000000"/>
        <w:sz w:val="20"/>
        <w:szCs w:val="20"/>
      </w:rPr>
      <w:tab/>
    </w:r>
    <w:r w:rsidRPr="00457A23">
      <w:rPr>
        <w:rFonts w:ascii="Times New Roman" w:hAnsi="Times New Roman" w:cs="Times New Roman"/>
        <w:sz w:val="20"/>
        <w:szCs w:val="20"/>
      </w:rPr>
      <w:t>Nature and Science 201</w:t>
    </w:r>
    <w:r w:rsidRPr="00457A23">
      <w:rPr>
        <w:rFonts w:ascii="Times New Roman" w:hAnsi="Times New Roman" w:cs="Times New Roman" w:hint="eastAsia"/>
        <w:sz w:val="20"/>
        <w:szCs w:val="20"/>
      </w:rPr>
      <w:t>4</w:t>
    </w:r>
    <w:r w:rsidRPr="00457A23">
      <w:rPr>
        <w:rFonts w:ascii="Times New Roman" w:hAnsi="Times New Roman" w:cs="Times New Roman"/>
        <w:sz w:val="20"/>
        <w:szCs w:val="20"/>
      </w:rPr>
      <w:t>;1</w:t>
    </w:r>
    <w:r w:rsidRPr="00457A23">
      <w:rPr>
        <w:rFonts w:ascii="Times New Roman" w:hAnsi="Times New Roman" w:cs="Times New Roman" w:hint="eastAsia"/>
        <w:sz w:val="20"/>
        <w:szCs w:val="20"/>
      </w:rPr>
      <w:t>2</w:t>
    </w:r>
    <w:r w:rsidRPr="00457A23">
      <w:rPr>
        <w:rFonts w:ascii="Times New Roman" w:hAnsi="Times New Roman" w:cs="Times New Roman"/>
        <w:sz w:val="20"/>
        <w:szCs w:val="20"/>
      </w:rPr>
      <w:t>(</w:t>
    </w:r>
    <w:r w:rsidRPr="00457A23">
      <w:rPr>
        <w:rFonts w:ascii="Times New Roman" w:hAnsi="Times New Roman" w:cs="Times New Roman" w:hint="eastAsia"/>
        <w:sz w:val="20"/>
        <w:szCs w:val="20"/>
      </w:rPr>
      <w:t>5</w:t>
    </w:r>
    <w:r w:rsidRPr="00457A23">
      <w:rPr>
        <w:rFonts w:ascii="Times New Roman" w:hAnsi="Times New Roman" w:cs="Times New Roman"/>
        <w:sz w:val="20"/>
        <w:szCs w:val="20"/>
      </w:rPr>
      <w:t xml:space="preserve">) </w:t>
    </w:r>
    <w:r w:rsidRPr="00457A23">
      <w:rPr>
        <w:rFonts w:ascii="Times New Roman" w:hAnsi="Times New Roman" w:cs="Times New Roman"/>
        <w:color w:val="000000"/>
        <w:sz w:val="20"/>
        <w:szCs w:val="20"/>
      </w:rPr>
      <w:t xml:space="preserve"> </w:t>
    </w:r>
    <w:r w:rsidRPr="00457A23">
      <w:rPr>
        <w:rFonts w:ascii="Times New Roman" w:hAnsi="Times New Roman" w:cs="Times New Roman" w:hint="eastAsia"/>
        <w:color w:val="000000"/>
        <w:sz w:val="20"/>
        <w:szCs w:val="20"/>
      </w:rPr>
      <w:tab/>
    </w:r>
    <w:r w:rsidRPr="00457A23">
      <w:rPr>
        <w:rFonts w:ascii="Times New Roman" w:hAnsi="Times New Roman" w:cs="Times New Roman"/>
        <w:color w:val="000000"/>
        <w:sz w:val="20"/>
        <w:szCs w:val="20"/>
      </w:rPr>
      <w:t xml:space="preserve"> </w:t>
    </w:r>
    <w:hyperlink r:id="rId1" w:history="1">
      <w:r w:rsidRPr="00457A23">
        <w:rPr>
          <w:rStyle w:val="Hyperlink"/>
          <w:rFonts w:ascii="Times New Roman" w:hAnsi="Times New Roman" w:cs="Times New Roman"/>
          <w:sz w:val="20"/>
          <w:szCs w:val="20"/>
        </w:rPr>
        <w:t>http://www.sciencepub.net/nature</w:t>
      </w:r>
    </w:hyperlink>
  </w:p>
  <w:p w:rsidR="00457A23" w:rsidRPr="00457A23" w:rsidRDefault="00457A23" w:rsidP="00457A2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43B0"/>
    <w:multiLevelType w:val="hybridMultilevel"/>
    <w:tmpl w:val="D2905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B63949"/>
    <w:multiLevelType w:val="hybridMultilevel"/>
    <w:tmpl w:val="ED461C8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
  <w:rsids>
    <w:rsidRoot w:val="002E2EB5"/>
    <w:rsid w:val="0000133C"/>
    <w:rsid w:val="00014E28"/>
    <w:rsid w:val="001113B3"/>
    <w:rsid w:val="001217F1"/>
    <w:rsid w:val="001360D4"/>
    <w:rsid w:val="00137E53"/>
    <w:rsid w:val="00180C45"/>
    <w:rsid w:val="001B60B9"/>
    <w:rsid w:val="001D24AC"/>
    <w:rsid w:val="001E5975"/>
    <w:rsid w:val="0021350C"/>
    <w:rsid w:val="00253F5F"/>
    <w:rsid w:val="002820C8"/>
    <w:rsid w:val="002B0142"/>
    <w:rsid w:val="002B0B61"/>
    <w:rsid w:val="002C4433"/>
    <w:rsid w:val="002D7CC0"/>
    <w:rsid w:val="002E2EB5"/>
    <w:rsid w:val="00301970"/>
    <w:rsid w:val="003A660D"/>
    <w:rsid w:val="003F2F66"/>
    <w:rsid w:val="00416892"/>
    <w:rsid w:val="00454909"/>
    <w:rsid w:val="0045672E"/>
    <w:rsid w:val="00457A23"/>
    <w:rsid w:val="005A2647"/>
    <w:rsid w:val="005B5889"/>
    <w:rsid w:val="005B5CA1"/>
    <w:rsid w:val="00606DAF"/>
    <w:rsid w:val="00627C03"/>
    <w:rsid w:val="00665C63"/>
    <w:rsid w:val="006F1D02"/>
    <w:rsid w:val="006F3F04"/>
    <w:rsid w:val="00710D80"/>
    <w:rsid w:val="007125A5"/>
    <w:rsid w:val="00770140"/>
    <w:rsid w:val="008121EB"/>
    <w:rsid w:val="0082437F"/>
    <w:rsid w:val="0084459B"/>
    <w:rsid w:val="00852621"/>
    <w:rsid w:val="0087713B"/>
    <w:rsid w:val="008A0747"/>
    <w:rsid w:val="008A7D7F"/>
    <w:rsid w:val="008E3EB9"/>
    <w:rsid w:val="009213AF"/>
    <w:rsid w:val="009254FE"/>
    <w:rsid w:val="009517AB"/>
    <w:rsid w:val="009678A7"/>
    <w:rsid w:val="009867CF"/>
    <w:rsid w:val="009D280A"/>
    <w:rsid w:val="00A867F7"/>
    <w:rsid w:val="00AB3C5F"/>
    <w:rsid w:val="00AD1A89"/>
    <w:rsid w:val="00B22726"/>
    <w:rsid w:val="00B33133"/>
    <w:rsid w:val="00B36B16"/>
    <w:rsid w:val="00B51A72"/>
    <w:rsid w:val="00B60389"/>
    <w:rsid w:val="00B7716C"/>
    <w:rsid w:val="00BD4062"/>
    <w:rsid w:val="00C0169A"/>
    <w:rsid w:val="00C032A6"/>
    <w:rsid w:val="00C032FC"/>
    <w:rsid w:val="00C347C3"/>
    <w:rsid w:val="00C5210E"/>
    <w:rsid w:val="00C53749"/>
    <w:rsid w:val="00C73EBE"/>
    <w:rsid w:val="00CD5AF8"/>
    <w:rsid w:val="00D57BAC"/>
    <w:rsid w:val="00DA137C"/>
    <w:rsid w:val="00DC6F90"/>
    <w:rsid w:val="00DD1A80"/>
    <w:rsid w:val="00DD54C1"/>
    <w:rsid w:val="00DF1BF2"/>
    <w:rsid w:val="00E14AB3"/>
    <w:rsid w:val="00E23A0D"/>
    <w:rsid w:val="00E42551"/>
    <w:rsid w:val="00EB626D"/>
    <w:rsid w:val="00ED2539"/>
    <w:rsid w:val="00EE5654"/>
    <w:rsid w:val="00EE75B5"/>
    <w:rsid w:val="00F407A9"/>
    <w:rsid w:val="00F51F55"/>
    <w:rsid w:val="00F87043"/>
    <w:rsid w:val="00FB287F"/>
    <w:rsid w:val="00FD0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D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DAF"/>
    <w:rPr>
      <w:rFonts w:ascii="Tahoma" w:hAnsi="Tahoma" w:cs="Tahoma"/>
      <w:sz w:val="16"/>
      <w:szCs w:val="16"/>
    </w:rPr>
  </w:style>
  <w:style w:type="character" w:customStyle="1" w:styleId="highlight">
    <w:name w:val="highlight"/>
    <w:basedOn w:val="DefaultParagraphFont"/>
    <w:rsid w:val="00137E53"/>
  </w:style>
  <w:style w:type="character" w:customStyle="1" w:styleId="apple-converted-space">
    <w:name w:val="apple-converted-space"/>
    <w:basedOn w:val="DefaultParagraphFont"/>
    <w:rsid w:val="00137E53"/>
  </w:style>
  <w:style w:type="character" w:styleId="Hyperlink">
    <w:name w:val="Hyperlink"/>
    <w:basedOn w:val="DefaultParagraphFont"/>
    <w:unhideWhenUsed/>
    <w:rsid w:val="005B5889"/>
    <w:rPr>
      <w:color w:val="0000FF"/>
      <w:u w:val="single"/>
    </w:rPr>
  </w:style>
  <w:style w:type="paragraph" w:styleId="HTMLPreformatted">
    <w:name w:val="HTML Preformatted"/>
    <w:basedOn w:val="Normal"/>
    <w:link w:val="HTMLPreformattedChar"/>
    <w:uiPriority w:val="99"/>
    <w:unhideWhenUsed/>
    <w:rsid w:val="00852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2621"/>
    <w:rPr>
      <w:rFonts w:ascii="Courier New" w:eastAsia="Times New Roman" w:hAnsi="Courier New" w:cs="Courier New"/>
      <w:sz w:val="20"/>
      <w:szCs w:val="20"/>
    </w:rPr>
  </w:style>
  <w:style w:type="paragraph" w:styleId="Header">
    <w:name w:val="header"/>
    <w:basedOn w:val="Normal"/>
    <w:link w:val="HeaderChar"/>
    <w:unhideWhenUsed/>
    <w:rsid w:val="008A0747"/>
    <w:pPr>
      <w:tabs>
        <w:tab w:val="center" w:pos="4680"/>
        <w:tab w:val="right" w:pos="9360"/>
      </w:tabs>
      <w:spacing w:after="0" w:line="240" w:lineRule="auto"/>
    </w:pPr>
  </w:style>
  <w:style w:type="character" w:customStyle="1" w:styleId="HeaderChar">
    <w:name w:val="Header Char"/>
    <w:basedOn w:val="DefaultParagraphFont"/>
    <w:link w:val="Header"/>
    <w:rsid w:val="008A0747"/>
  </w:style>
  <w:style w:type="paragraph" w:styleId="Footer">
    <w:name w:val="footer"/>
    <w:basedOn w:val="Normal"/>
    <w:link w:val="FooterChar"/>
    <w:uiPriority w:val="99"/>
    <w:semiHidden/>
    <w:unhideWhenUsed/>
    <w:rsid w:val="008A07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747"/>
  </w:style>
  <w:style w:type="paragraph" w:styleId="ListParagraph">
    <w:name w:val="List Paragraph"/>
    <w:basedOn w:val="Normal"/>
    <w:uiPriority w:val="34"/>
    <w:qFormat/>
    <w:rsid w:val="008A0747"/>
    <w:pPr>
      <w:ind w:left="720"/>
      <w:contextualSpacing/>
    </w:pPr>
  </w:style>
</w:styles>
</file>

<file path=word/webSettings.xml><?xml version="1.0" encoding="utf-8"?>
<w:webSettings xmlns:r="http://schemas.openxmlformats.org/officeDocument/2006/relationships" xmlns:w="http://schemas.openxmlformats.org/wordprocessingml/2006/main">
  <w:divs>
    <w:div w:id="382683575">
      <w:bodyDiv w:val="1"/>
      <w:marLeft w:val="0"/>
      <w:marRight w:val="0"/>
      <w:marTop w:val="0"/>
      <w:marBottom w:val="0"/>
      <w:divBdr>
        <w:top w:val="none" w:sz="0" w:space="0" w:color="auto"/>
        <w:left w:val="none" w:sz="0" w:space="0" w:color="auto"/>
        <w:bottom w:val="none" w:sz="0" w:space="0" w:color="auto"/>
        <w:right w:val="none" w:sz="0" w:space="0" w:color="auto"/>
      </w:divBdr>
    </w:div>
    <w:div w:id="423915746">
      <w:bodyDiv w:val="1"/>
      <w:marLeft w:val="0"/>
      <w:marRight w:val="0"/>
      <w:marTop w:val="0"/>
      <w:marBottom w:val="0"/>
      <w:divBdr>
        <w:top w:val="none" w:sz="0" w:space="0" w:color="auto"/>
        <w:left w:val="none" w:sz="0" w:space="0" w:color="auto"/>
        <w:bottom w:val="none" w:sz="0" w:space="0" w:color="auto"/>
        <w:right w:val="none" w:sz="0" w:space="0" w:color="auto"/>
      </w:divBdr>
    </w:div>
    <w:div w:id="437258429">
      <w:bodyDiv w:val="1"/>
      <w:marLeft w:val="0"/>
      <w:marRight w:val="0"/>
      <w:marTop w:val="0"/>
      <w:marBottom w:val="0"/>
      <w:divBdr>
        <w:top w:val="none" w:sz="0" w:space="0" w:color="auto"/>
        <w:left w:val="none" w:sz="0" w:space="0" w:color="auto"/>
        <w:bottom w:val="none" w:sz="0" w:space="0" w:color="auto"/>
        <w:right w:val="none" w:sz="0" w:space="0" w:color="auto"/>
      </w:divBdr>
    </w:div>
    <w:div w:id="905410982">
      <w:bodyDiv w:val="1"/>
      <w:marLeft w:val="0"/>
      <w:marRight w:val="0"/>
      <w:marTop w:val="0"/>
      <w:marBottom w:val="0"/>
      <w:divBdr>
        <w:top w:val="none" w:sz="0" w:space="0" w:color="auto"/>
        <w:left w:val="none" w:sz="0" w:space="0" w:color="auto"/>
        <w:bottom w:val="none" w:sz="0" w:space="0" w:color="auto"/>
        <w:right w:val="none" w:sz="0" w:space="0" w:color="auto"/>
      </w:divBdr>
    </w:div>
    <w:div w:id="1249576964">
      <w:bodyDiv w:val="1"/>
      <w:marLeft w:val="0"/>
      <w:marRight w:val="0"/>
      <w:marTop w:val="0"/>
      <w:marBottom w:val="0"/>
      <w:divBdr>
        <w:top w:val="none" w:sz="0" w:space="0" w:color="auto"/>
        <w:left w:val="none" w:sz="0" w:space="0" w:color="auto"/>
        <w:bottom w:val="none" w:sz="0" w:space="0" w:color="auto"/>
        <w:right w:val="none" w:sz="0" w:space="0" w:color="auto"/>
      </w:divBdr>
    </w:div>
    <w:div w:id="1518153395">
      <w:bodyDiv w:val="1"/>
      <w:marLeft w:val="0"/>
      <w:marRight w:val="0"/>
      <w:marTop w:val="0"/>
      <w:marBottom w:val="0"/>
      <w:divBdr>
        <w:top w:val="none" w:sz="0" w:space="0" w:color="auto"/>
        <w:left w:val="none" w:sz="0" w:space="0" w:color="auto"/>
        <w:bottom w:val="none" w:sz="0" w:space="0" w:color="auto"/>
        <w:right w:val="none" w:sz="0" w:space="0" w:color="auto"/>
      </w:divBdr>
    </w:div>
    <w:div w:id="17791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png"/><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syogesh6@gmail.com"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dsyogesh6@gmail.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20Yogesh\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floor>
      <c:spPr>
        <a:noFill/>
        <a:ln>
          <a:noFill/>
        </a:ln>
      </c:spPr>
    </c:floor>
    <c:plotArea>
      <c:layout/>
      <c:bar3DChart>
        <c:barDir val="col"/>
        <c:grouping val="stacked"/>
        <c:ser>
          <c:idx val="0"/>
          <c:order val="0"/>
          <c:spPr>
            <a:solidFill>
              <a:schemeClr val="bg2">
                <a:lumMod val="50000"/>
              </a:schemeClr>
            </a:solidFill>
          </c:spPr>
          <c:cat>
            <c:strRef>
              <c:f>Sheet3!$D$2:$D$4</c:f>
              <c:strCache>
                <c:ptCount val="3"/>
                <c:pt idx="0">
                  <c:v>Total No. of Isolates</c:v>
                </c:pt>
                <c:pt idx="1">
                  <c:v>MOTT Isolates</c:v>
                </c:pt>
                <c:pt idx="2">
                  <c:v>Mycobacterium Isolates</c:v>
                </c:pt>
              </c:strCache>
            </c:strRef>
          </c:cat>
          <c:val>
            <c:numRef>
              <c:f>Sheet3!$E$2:$E$4</c:f>
              <c:numCache>
                <c:formatCode>General</c:formatCode>
                <c:ptCount val="3"/>
                <c:pt idx="0">
                  <c:v>1386</c:v>
                </c:pt>
                <c:pt idx="1">
                  <c:v>803</c:v>
                </c:pt>
                <c:pt idx="2">
                  <c:v>583</c:v>
                </c:pt>
              </c:numCache>
            </c:numRef>
          </c:val>
        </c:ser>
        <c:shape val="cylinder"/>
        <c:axId val="69376640"/>
        <c:axId val="69403008"/>
        <c:axId val="0"/>
      </c:bar3DChart>
      <c:catAx>
        <c:axId val="69376640"/>
        <c:scaling>
          <c:orientation val="minMax"/>
        </c:scaling>
        <c:axPos val="b"/>
        <c:tickLblPos val="nextTo"/>
        <c:txPr>
          <a:bodyPr/>
          <a:lstStyle/>
          <a:p>
            <a:pPr>
              <a:defRPr lang="en-US" b="1" i="0" baseline="0"/>
            </a:pPr>
            <a:endParaRPr lang="en-US"/>
          </a:p>
        </c:txPr>
        <c:crossAx val="69403008"/>
        <c:crosses val="autoZero"/>
        <c:auto val="1"/>
        <c:lblAlgn val="ctr"/>
        <c:lblOffset val="100"/>
      </c:catAx>
      <c:valAx>
        <c:axId val="69403008"/>
        <c:scaling>
          <c:orientation val="minMax"/>
        </c:scaling>
        <c:axPos val="l"/>
        <c:majorGridlines>
          <c:spPr>
            <a:ln>
              <a:solidFill>
                <a:schemeClr val="bg1"/>
              </a:solidFill>
            </a:ln>
            <a:effectLst/>
          </c:spPr>
        </c:majorGridlines>
        <c:numFmt formatCode="General" sourceLinked="1"/>
        <c:tickLblPos val="nextTo"/>
        <c:txPr>
          <a:bodyPr/>
          <a:lstStyle/>
          <a:p>
            <a:pPr>
              <a:defRPr lang="en-US" b="1" i="0" baseline="0"/>
            </a:pPr>
            <a:endParaRPr lang="en-US"/>
          </a:p>
        </c:txPr>
        <c:crossAx val="69376640"/>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Yogesh</dc:creator>
  <cp:lastModifiedBy>Administrator</cp:lastModifiedBy>
  <cp:revision>4</cp:revision>
  <cp:lastPrinted>2014-04-06T06:30:00Z</cp:lastPrinted>
  <dcterms:created xsi:type="dcterms:W3CDTF">2014-04-05T10:46:00Z</dcterms:created>
  <dcterms:modified xsi:type="dcterms:W3CDTF">2014-04-06T06:31:00Z</dcterms:modified>
</cp:coreProperties>
</file>