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29" w:rsidRDefault="004E1829" w:rsidP="00707B16">
      <w:pPr>
        <w:adjustRightInd w:val="0"/>
        <w:snapToGrid w:val="0"/>
        <w:spacing w:after="0" w:line="240" w:lineRule="auto"/>
        <w:ind w:right="6"/>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 xml:space="preserve">Narrow Band Imaging: A New Tool for Diagnosis of Portal Hypertensive </w:t>
      </w:r>
      <w:proofErr w:type="spellStart"/>
      <w:r w:rsidRPr="001A392E">
        <w:rPr>
          <w:rFonts w:ascii="Times New Roman" w:eastAsia="Times New Roman" w:hAnsi="Times New Roman" w:cs="Times New Roman"/>
          <w:b/>
          <w:bCs/>
          <w:sz w:val="20"/>
          <w:szCs w:val="20"/>
        </w:rPr>
        <w:t>Gastropathy</w:t>
      </w:r>
      <w:proofErr w:type="spellEnd"/>
    </w:p>
    <w:p w:rsidR="001A392E" w:rsidRPr="001A392E" w:rsidRDefault="001A392E" w:rsidP="00707B16">
      <w:pPr>
        <w:adjustRightInd w:val="0"/>
        <w:snapToGrid w:val="0"/>
        <w:spacing w:after="0" w:line="240" w:lineRule="auto"/>
        <w:ind w:right="6"/>
        <w:jc w:val="center"/>
        <w:rPr>
          <w:rFonts w:ascii="Times New Roman" w:eastAsia="Times New Roman" w:hAnsi="Times New Roman" w:cs="Times New Roman"/>
          <w:b/>
          <w:bCs/>
          <w:sz w:val="20"/>
          <w:szCs w:val="20"/>
        </w:rPr>
      </w:pPr>
    </w:p>
    <w:p w:rsidR="004E1829" w:rsidRPr="001A392E" w:rsidRDefault="004E1829" w:rsidP="00707B16">
      <w:pPr>
        <w:tabs>
          <w:tab w:val="left" w:pos="6116"/>
        </w:tabs>
        <w:adjustRightInd w:val="0"/>
        <w:snapToGrid w:val="0"/>
        <w:spacing w:after="0" w:line="240" w:lineRule="auto"/>
        <w:ind w:right="6"/>
        <w:jc w:val="center"/>
        <w:rPr>
          <w:rFonts w:ascii="Times New Roman" w:hAnsi="Times New Roman" w:cs="Times New Roman"/>
          <w:sz w:val="20"/>
          <w:szCs w:val="20"/>
        </w:rPr>
      </w:pPr>
      <w:proofErr w:type="spellStart"/>
      <w:r w:rsidRPr="001A392E">
        <w:rPr>
          <w:rFonts w:ascii="Times New Roman" w:hAnsi="Times New Roman" w:cs="Times New Roman"/>
          <w:sz w:val="20"/>
          <w:szCs w:val="20"/>
        </w:rPr>
        <w:t>Yehia</w:t>
      </w:r>
      <w:proofErr w:type="spellEnd"/>
      <w:r w:rsidRPr="001A392E">
        <w:rPr>
          <w:rFonts w:ascii="Times New Roman" w:hAnsi="Times New Roman" w:cs="Times New Roman"/>
          <w:sz w:val="20"/>
          <w:szCs w:val="20"/>
        </w:rPr>
        <w:t xml:space="preserve"> Mohamed El </w:t>
      </w:r>
      <w:proofErr w:type="spellStart"/>
      <w:r w:rsidRPr="001A392E">
        <w:rPr>
          <w:rFonts w:ascii="Times New Roman" w:hAnsi="Times New Roman" w:cs="Times New Roman"/>
          <w:sz w:val="20"/>
          <w:szCs w:val="20"/>
        </w:rPr>
        <w:t>Shazly</w:t>
      </w:r>
      <w:proofErr w:type="spellEnd"/>
      <w:r w:rsidRPr="001A392E">
        <w:rPr>
          <w:rFonts w:ascii="Times New Roman" w:hAnsi="Times New Roman" w:cs="Times New Roman"/>
          <w:sz w:val="20"/>
          <w:szCs w:val="20"/>
        </w:rPr>
        <w:t xml:space="preserve"> </w:t>
      </w:r>
      <w:r w:rsidRPr="001A392E">
        <w:rPr>
          <w:rFonts w:asciiTheme="majorBidi" w:eastAsia="Times New Roman" w:hAnsiTheme="majorBidi" w:cstheme="majorBidi"/>
          <w:sz w:val="20"/>
          <w:szCs w:val="20"/>
        </w:rPr>
        <w:t>*</w:t>
      </w:r>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Hesham</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Ezz</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Eldin</w:t>
      </w:r>
      <w:proofErr w:type="spellEnd"/>
      <w:r w:rsidRPr="001A392E">
        <w:rPr>
          <w:rFonts w:ascii="Times New Roman" w:hAnsi="Times New Roman" w:cs="Times New Roman"/>
          <w:sz w:val="20"/>
          <w:szCs w:val="20"/>
        </w:rPr>
        <w:t xml:space="preserve"> Said *, Mona Mohamed </w:t>
      </w:r>
      <w:proofErr w:type="spellStart"/>
      <w:r w:rsidRPr="001A392E">
        <w:rPr>
          <w:rFonts w:ascii="Times New Roman" w:hAnsi="Times New Roman" w:cs="Times New Roman"/>
          <w:sz w:val="20"/>
          <w:szCs w:val="20"/>
        </w:rPr>
        <w:t>Rafik</w:t>
      </w:r>
      <w:proofErr w:type="spellEnd"/>
      <w:r w:rsidRPr="001A392E">
        <w:rPr>
          <w:rFonts w:ascii="Times New Roman" w:hAnsi="Times New Roman" w:cs="Times New Roman"/>
          <w:sz w:val="20"/>
          <w:szCs w:val="20"/>
        </w:rPr>
        <w:t xml:space="preserve"> **, Marcel William </w:t>
      </w:r>
      <w:proofErr w:type="spellStart"/>
      <w:r w:rsidRPr="001A392E">
        <w:rPr>
          <w:rFonts w:ascii="Times New Roman" w:hAnsi="Times New Roman" w:cs="Times New Roman"/>
          <w:sz w:val="20"/>
          <w:szCs w:val="20"/>
        </w:rPr>
        <w:t>Keddeas</w:t>
      </w:r>
      <w:proofErr w:type="spellEnd"/>
      <w:r w:rsidRPr="001A392E">
        <w:rPr>
          <w:rFonts w:ascii="Times New Roman" w:hAnsi="Times New Roman" w:cs="Times New Roman"/>
          <w:sz w:val="20"/>
          <w:szCs w:val="20"/>
        </w:rPr>
        <w:t xml:space="preserve"> </w:t>
      </w:r>
      <w:r w:rsidRPr="001A392E">
        <w:rPr>
          <w:rFonts w:asciiTheme="majorBidi" w:eastAsia="Times New Roman" w:hAnsiTheme="majorBidi" w:cstheme="majorBidi"/>
          <w:sz w:val="20"/>
          <w:szCs w:val="20"/>
        </w:rPr>
        <w:t>*</w:t>
      </w:r>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Engy</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Yousry</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Elsayed</w:t>
      </w:r>
      <w:proofErr w:type="spellEnd"/>
      <w:r w:rsidRPr="001A392E">
        <w:rPr>
          <w:rFonts w:ascii="Times New Roman" w:hAnsi="Times New Roman" w:cs="Times New Roman"/>
          <w:sz w:val="20"/>
          <w:szCs w:val="20"/>
        </w:rPr>
        <w:t xml:space="preserve"> *,  </w:t>
      </w:r>
      <w:proofErr w:type="spellStart"/>
      <w:r w:rsidRPr="001A392E">
        <w:rPr>
          <w:rFonts w:ascii="Times New Roman" w:hAnsi="Times New Roman" w:cs="Times New Roman"/>
          <w:sz w:val="20"/>
          <w:szCs w:val="20"/>
        </w:rPr>
        <w:t>Hany</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Samir</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Rasmy</w:t>
      </w:r>
      <w:proofErr w:type="spellEnd"/>
      <w:r w:rsidRPr="001A392E">
        <w:rPr>
          <w:rFonts w:ascii="Times New Roman" w:hAnsi="Times New Roman" w:cs="Times New Roman"/>
          <w:sz w:val="20"/>
          <w:szCs w:val="20"/>
        </w:rPr>
        <w:t xml:space="preserve"> *</w:t>
      </w:r>
    </w:p>
    <w:p w:rsidR="00E75205" w:rsidRPr="001A392E" w:rsidRDefault="00E75205" w:rsidP="00707B16">
      <w:pPr>
        <w:tabs>
          <w:tab w:val="left" w:pos="6116"/>
        </w:tabs>
        <w:adjustRightInd w:val="0"/>
        <w:snapToGrid w:val="0"/>
        <w:spacing w:after="0" w:line="240" w:lineRule="auto"/>
        <w:ind w:right="6"/>
        <w:jc w:val="center"/>
        <w:rPr>
          <w:rFonts w:ascii="Times New Roman" w:hAnsi="Times New Roman" w:cs="Times New Roman"/>
          <w:sz w:val="20"/>
          <w:szCs w:val="20"/>
        </w:rPr>
      </w:pPr>
    </w:p>
    <w:p w:rsidR="004E1829" w:rsidRPr="001A392E" w:rsidRDefault="004E1829" w:rsidP="00707B16">
      <w:pPr>
        <w:autoSpaceDE w:val="0"/>
        <w:autoSpaceDN w:val="0"/>
        <w:adjustRightInd w:val="0"/>
        <w:snapToGrid w:val="0"/>
        <w:spacing w:after="0" w:line="240" w:lineRule="auto"/>
        <w:ind w:right="6"/>
        <w:jc w:val="center"/>
        <w:rPr>
          <w:rFonts w:ascii="Times New Roman" w:hAnsi="Times New Roman" w:cs="Times New Roman"/>
          <w:iCs/>
          <w:sz w:val="20"/>
          <w:szCs w:val="20"/>
        </w:rPr>
      </w:pPr>
      <w:r w:rsidRPr="001A392E">
        <w:rPr>
          <w:rFonts w:ascii="Times New Roman" w:hAnsi="Times New Roman" w:cs="Times New Roman"/>
          <w:iCs/>
          <w:sz w:val="20"/>
          <w:szCs w:val="20"/>
        </w:rPr>
        <w:t>*From Internal Medicine Department (</w:t>
      </w:r>
      <w:proofErr w:type="spellStart"/>
      <w:r w:rsidRPr="001A392E">
        <w:rPr>
          <w:rFonts w:ascii="Times New Roman" w:hAnsi="Times New Roman" w:cs="Times New Roman"/>
          <w:iCs/>
          <w:sz w:val="20"/>
          <w:szCs w:val="20"/>
        </w:rPr>
        <w:t>Hepatology</w:t>
      </w:r>
      <w:proofErr w:type="spellEnd"/>
      <w:r w:rsidRPr="001A392E">
        <w:rPr>
          <w:rFonts w:ascii="Times New Roman" w:hAnsi="Times New Roman" w:cs="Times New Roman"/>
          <w:iCs/>
          <w:sz w:val="20"/>
          <w:szCs w:val="20"/>
        </w:rPr>
        <w:t xml:space="preserve"> and gastroenterology unit), **Clinical Pathology Department, </w:t>
      </w:r>
      <w:proofErr w:type="spellStart"/>
      <w:r w:rsidRPr="001A392E">
        <w:rPr>
          <w:rFonts w:ascii="Times New Roman" w:hAnsi="Times New Roman" w:cs="Times New Roman"/>
          <w:iCs/>
          <w:sz w:val="20"/>
          <w:szCs w:val="20"/>
        </w:rPr>
        <w:t>Ain</w:t>
      </w:r>
      <w:proofErr w:type="spellEnd"/>
      <w:r w:rsidRPr="001A392E">
        <w:rPr>
          <w:rFonts w:ascii="Times New Roman" w:hAnsi="Times New Roman" w:cs="Times New Roman"/>
          <w:iCs/>
          <w:sz w:val="20"/>
          <w:szCs w:val="20"/>
        </w:rPr>
        <w:t xml:space="preserve"> Shams University</w:t>
      </w:r>
    </w:p>
    <w:p w:rsidR="004E1829" w:rsidRPr="001A392E" w:rsidRDefault="004E1829" w:rsidP="00707B16">
      <w:pPr>
        <w:adjustRightInd w:val="0"/>
        <w:snapToGrid w:val="0"/>
        <w:spacing w:after="0" w:line="240" w:lineRule="auto"/>
        <w:ind w:right="6"/>
        <w:jc w:val="center"/>
        <w:rPr>
          <w:rFonts w:ascii="Times New Roman" w:eastAsia="Times New Roman" w:hAnsi="Times New Roman" w:cs="Times New Roman"/>
          <w:bCs/>
          <w:color w:val="0000FF" w:themeColor="hyperlink"/>
          <w:sz w:val="20"/>
          <w:szCs w:val="20"/>
          <w:u w:val="single"/>
        </w:rPr>
      </w:pPr>
      <w:r w:rsidRPr="001A392E">
        <w:rPr>
          <w:rFonts w:ascii="Times New Roman" w:eastAsia="Times New Roman" w:hAnsi="Times New Roman" w:cs="Times New Roman"/>
          <w:bCs/>
          <w:color w:val="0000FF" w:themeColor="hyperlink"/>
          <w:sz w:val="20"/>
          <w:szCs w:val="20"/>
          <w:u w:val="single"/>
        </w:rPr>
        <w:t>ashorengy@yahoo.com</w:t>
      </w:r>
    </w:p>
    <w:p w:rsidR="004E1829" w:rsidRPr="001A392E" w:rsidRDefault="004E1829" w:rsidP="00707B16">
      <w:pPr>
        <w:autoSpaceDE w:val="0"/>
        <w:autoSpaceDN w:val="0"/>
        <w:adjustRightInd w:val="0"/>
        <w:snapToGrid w:val="0"/>
        <w:spacing w:after="0" w:line="240" w:lineRule="auto"/>
        <w:ind w:right="6"/>
        <w:jc w:val="both"/>
        <w:rPr>
          <w:rFonts w:ascii="Times New Roman" w:eastAsia="Times New Roman" w:hAnsi="Times New Roman" w:cs="Times New Roman"/>
          <w:color w:val="0000FF" w:themeColor="hyperlink"/>
          <w:sz w:val="20"/>
          <w:szCs w:val="20"/>
          <w:u w:val="single"/>
        </w:rPr>
      </w:pPr>
    </w:p>
    <w:p w:rsidR="004E1829" w:rsidRDefault="004E1829" w:rsidP="00707B16">
      <w:pPr>
        <w:autoSpaceDE w:val="0"/>
        <w:autoSpaceDN w:val="0"/>
        <w:adjustRightInd w:val="0"/>
        <w:snapToGrid w:val="0"/>
        <w:spacing w:after="0" w:line="240" w:lineRule="auto"/>
        <w:ind w:right="6"/>
        <w:jc w:val="both"/>
        <w:rPr>
          <w:rFonts w:ascii="Times New Roman" w:hAnsi="Times New Roman" w:cs="Times New Roman"/>
          <w:sz w:val="20"/>
          <w:szCs w:val="20"/>
        </w:rPr>
      </w:pPr>
      <w:r w:rsidRPr="001A392E">
        <w:rPr>
          <w:rFonts w:asciiTheme="majorBidi" w:hAnsiTheme="majorBidi" w:cstheme="majorBidi"/>
          <w:b/>
          <w:bCs/>
          <w:sz w:val="20"/>
          <w:szCs w:val="20"/>
        </w:rPr>
        <w:t xml:space="preserve">Background: </w:t>
      </w:r>
      <w:r w:rsidRPr="001A392E">
        <w:rPr>
          <w:rFonts w:asciiTheme="majorBidi" w:eastAsia="Times New Roman" w:hAnsiTheme="majorBidi" w:cstheme="majorBidi"/>
          <w:spacing w:val="-6"/>
          <w:sz w:val="20"/>
          <w:szCs w:val="20"/>
          <w:lang w:bidi="ar-EG"/>
        </w:rPr>
        <w:t xml:space="preserve">Patients with cirrhosis are at an increased risk of gastrointestinal hemorrhage, with the most common source being </w:t>
      </w:r>
      <w:proofErr w:type="spellStart"/>
      <w:r w:rsidRPr="001A392E">
        <w:rPr>
          <w:rFonts w:asciiTheme="majorBidi" w:eastAsia="Times New Roman" w:hAnsiTheme="majorBidi" w:cstheme="majorBidi"/>
          <w:spacing w:val="-6"/>
          <w:sz w:val="20"/>
          <w:szCs w:val="20"/>
          <w:lang w:bidi="ar-EG"/>
        </w:rPr>
        <w:t>gastroesophageal</w:t>
      </w:r>
      <w:proofErr w:type="spellEnd"/>
      <w:r w:rsidRPr="001A392E">
        <w:rPr>
          <w:rFonts w:asciiTheme="majorBidi" w:eastAsia="Times New Roman" w:hAnsiTheme="majorBidi" w:cstheme="majorBidi"/>
          <w:spacing w:val="-6"/>
          <w:sz w:val="20"/>
          <w:szCs w:val="20"/>
          <w:lang w:bidi="ar-EG"/>
        </w:rPr>
        <w:t xml:space="preserve"> </w:t>
      </w:r>
      <w:proofErr w:type="spellStart"/>
      <w:r w:rsidRPr="001A392E">
        <w:rPr>
          <w:rFonts w:asciiTheme="majorBidi" w:eastAsia="Times New Roman" w:hAnsiTheme="majorBidi" w:cstheme="majorBidi"/>
          <w:spacing w:val="-6"/>
          <w:sz w:val="20"/>
          <w:szCs w:val="20"/>
          <w:lang w:bidi="ar-EG"/>
        </w:rPr>
        <w:t>varices</w:t>
      </w:r>
      <w:proofErr w:type="spellEnd"/>
      <w:r w:rsidRPr="001A392E">
        <w:rPr>
          <w:rFonts w:asciiTheme="majorBidi" w:eastAsia="Times New Roman" w:hAnsiTheme="majorBidi" w:cstheme="majorBidi"/>
          <w:spacing w:val="-6"/>
          <w:sz w:val="20"/>
          <w:szCs w:val="20"/>
          <w:lang w:bidi="ar-EG"/>
        </w:rPr>
        <w:t xml:space="preserve">. However, there are gastrointestinal mucosal lesions typical of cirrhosis that may also bleed in these patients, namely portal hypertensive </w:t>
      </w:r>
      <w:proofErr w:type="spellStart"/>
      <w:r w:rsidRPr="001A392E">
        <w:rPr>
          <w:rFonts w:asciiTheme="majorBidi" w:eastAsia="Times New Roman" w:hAnsiTheme="majorBidi" w:cstheme="majorBidi"/>
          <w:spacing w:val="-6"/>
          <w:sz w:val="20"/>
          <w:szCs w:val="20"/>
          <w:lang w:bidi="ar-EG"/>
        </w:rPr>
        <w:t>gastropathy</w:t>
      </w:r>
      <w:proofErr w:type="spellEnd"/>
      <w:r w:rsidRPr="001A392E">
        <w:rPr>
          <w:rFonts w:asciiTheme="majorBidi" w:eastAsia="Times New Roman" w:hAnsiTheme="majorBidi" w:cstheme="majorBidi"/>
          <w:spacing w:val="-6"/>
          <w:sz w:val="20"/>
          <w:szCs w:val="20"/>
          <w:lang w:bidi="ar-EG"/>
        </w:rPr>
        <w:t xml:space="preserve"> (PHG).</w:t>
      </w:r>
      <w:r w:rsidRPr="001A392E">
        <w:rPr>
          <w:rFonts w:asciiTheme="majorBidi" w:eastAsia="Times New Roman" w:hAnsiTheme="majorBidi" w:cstheme="majorBidi"/>
          <w:sz w:val="20"/>
          <w:szCs w:val="20"/>
        </w:rPr>
        <w:t xml:space="preserve"> </w:t>
      </w:r>
      <w:r w:rsidRPr="001A392E">
        <w:rPr>
          <w:rFonts w:asciiTheme="majorBidi" w:hAnsiTheme="majorBidi" w:cstheme="majorBidi"/>
          <w:b/>
          <w:bCs/>
          <w:sz w:val="20"/>
          <w:szCs w:val="20"/>
        </w:rPr>
        <w:t>The aim of this study</w:t>
      </w:r>
      <w:r w:rsidRPr="001A392E">
        <w:rPr>
          <w:rFonts w:asciiTheme="majorBidi" w:eastAsia="Times New Roman" w:hAnsiTheme="majorBidi" w:cstheme="majorBidi"/>
          <w:b/>
          <w:bCs/>
          <w:spacing w:val="-6"/>
          <w:sz w:val="20"/>
          <w:szCs w:val="20"/>
          <w:lang w:bidi="ar-EG"/>
        </w:rPr>
        <w:t xml:space="preserve"> </w:t>
      </w:r>
      <w:r w:rsidRPr="001A392E">
        <w:rPr>
          <w:rFonts w:asciiTheme="majorBidi" w:eastAsia="Times New Roman" w:hAnsiTheme="majorBidi" w:cstheme="majorBidi"/>
          <w:spacing w:val="-6"/>
          <w:sz w:val="20"/>
          <w:szCs w:val="20"/>
          <w:lang w:bidi="ar-EG"/>
        </w:rPr>
        <w:t>was to evaluate the endoscopic micro-vascular architecture of the gastric mucosa in patients with liver cirrhosis by using the magnifying narrow band imaging system (NBI) and to evaluate the different non invasive markers for prediction of PHG.</w:t>
      </w:r>
      <w:r w:rsidRPr="001A392E">
        <w:rPr>
          <w:rFonts w:asciiTheme="majorBidi" w:hAnsiTheme="majorBidi" w:cstheme="majorBidi"/>
          <w:b/>
          <w:bCs/>
          <w:sz w:val="20"/>
          <w:szCs w:val="20"/>
        </w:rPr>
        <w:t xml:space="preserve"> Material and Methods;</w:t>
      </w:r>
      <w:r w:rsidRPr="001A392E">
        <w:rPr>
          <w:rFonts w:asciiTheme="majorBidi" w:hAnsiTheme="majorBidi" w:cstheme="majorBidi"/>
          <w:sz w:val="20"/>
          <w:szCs w:val="20"/>
        </w:rPr>
        <w:t xml:space="preserve"> 100 Helicobacter pylori-negative cirrhotic patients; 50 with clinical or radiological evidence of portal hypertension (</w:t>
      </w:r>
      <w:proofErr w:type="spellStart"/>
      <w:r w:rsidRPr="001A392E">
        <w:rPr>
          <w:rFonts w:asciiTheme="majorBidi" w:hAnsiTheme="majorBidi" w:cstheme="majorBidi"/>
          <w:sz w:val="20"/>
          <w:szCs w:val="20"/>
        </w:rPr>
        <w:t>groupA</w:t>
      </w:r>
      <w:proofErr w:type="spellEnd"/>
      <w:r w:rsidRPr="001A392E">
        <w:rPr>
          <w:rFonts w:asciiTheme="majorBidi" w:hAnsiTheme="majorBidi" w:cstheme="majorBidi"/>
          <w:sz w:val="20"/>
          <w:szCs w:val="20"/>
        </w:rPr>
        <w:t>), 50 without portal hypertension (</w:t>
      </w:r>
      <w:proofErr w:type="spellStart"/>
      <w:r w:rsidRPr="001A392E">
        <w:rPr>
          <w:rFonts w:asciiTheme="majorBidi" w:hAnsiTheme="majorBidi" w:cstheme="majorBidi"/>
          <w:sz w:val="20"/>
          <w:szCs w:val="20"/>
        </w:rPr>
        <w:t>groupB</w:t>
      </w:r>
      <w:proofErr w:type="spellEnd"/>
      <w:r w:rsidRPr="001A392E">
        <w:rPr>
          <w:rFonts w:asciiTheme="majorBidi" w:hAnsiTheme="majorBidi" w:cstheme="majorBidi"/>
          <w:sz w:val="20"/>
          <w:szCs w:val="20"/>
        </w:rPr>
        <w:t>)</w:t>
      </w:r>
      <w:r w:rsidRPr="001A392E">
        <w:rPr>
          <w:rFonts w:ascii="Times New Roman" w:hAnsi="Times New Roman" w:cs="Times New Roman"/>
          <w:sz w:val="20"/>
          <w:szCs w:val="20"/>
        </w:rPr>
        <w:t xml:space="preserve"> were enrolled in this study. Relevant clinical parameters assessed included </w:t>
      </w:r>
      <w:proofErr w:type="spellStart"/>
      <w:r w:rsidRPr="001A392E">
        <w:rPr>
          <w:rFonts w:ascii="Times New Roman" w:hAnsi="Times New Roman" w:cs="Times New Roman"/>
          <w:sz w:val="20"/>
          <w:szCs w:val="20"/>
        </w:rPr>
        <w:t>ascites</w:t>
      </w:r>
      <w:proofErr w:type="spellEnd"/>
      <w:r w:rsidRPr="001A392E">
        <w:rPr>
          <w:rFonts w:ascii="Times New Roman" w:hAnsi="Times New Roman" w:cs="Times New Roman"/>
          <w:sz w:val="20"/>
          <w:szCs w:val="20"/>
        </w:rPr>
        <w:t xml:space="preserve"> and </w:t>
      </w:r>
      <w:proofErr w:type="spellStart"/>
      <w:r w:rsidRPr="001A392E">
        <w:rPr>
          <w:rFonts w:ascii="Times New Roman" w:hAnsi="Times New Roman" w:cs="Times New Roman"/>
          <w:sz w:val="20"/>
          <w:szCs w:val="20"/>
        </w:rPr>
        <w:t>splenomegaly</w:t>
      </w:r>
      <w:proofErr w:type="spellEnd"/>
      <w:r w:rsidRPr="001A392E">
        <w:rPr>
          <w:rFonts w:ascii="Times New Roman" w:hAnsi="Times New Roman" w:cs="Times New Roman"/>
          <w:sz w:val="20"/>
          <w:szCs w:val="20"/>
        </w:rPr>
        <w:t xml:space="preserve">. Laboratory parameters like hemoglobin level, platelet </w:t>
      </w:r>
      <w:proofErr w:type="spellStart"/>
      <w:r w:rsidRPr="001A392E">
        <w:rPr>
          <w:rFonts w:ascii="Times New Roman" w:hAnsi="Times New Roman" w:cs="Times New Roman"/>
          <w:sz w:val="20"/>
          <w:szCs w:val="20"/>
        </w:rPr>
        <w:t>count,WBC</w:t>
      </w:r>
      <w:proofErr w:type="spellEnd"/>
      <w:r w:rsidRPr="001A392E">
        <w:rPr>
          <w:rFonts w:ascii="Times New Roman" w:hAnsi="Times New Roman" w:cs="Times New Roman"/>
          <w:sz w:val="20"/>
          <w:szCs w:val="20"/>
        </w:rPr>
        <w:t xml:space="preserve"> count, </w:t>
      </w:r>
      <w:proofErr w:type="spellStart"/>
      <w:r w:rsidRPr="001A392E">
        <w:rPr>
          <w:rFonts w:ascii="Times New Roman" w:hAnsi="Times New Roman" w:cs="Times New Roman"/>
          <w:sz w:val="20"/>
          <w:szCs w:val="20"/>
        </w:rPr>
        <w:t>prothrombin</w:t>
      </w:r>
      <w:proofErr w:type="spellEnd"/>
      <w:r w:rsidRPr="001A392E">
        <w:rPr>
          <w:rFonts w:ascii="Times New Roman" w:hAnsi="Times New Roman" w:cs="Times New Roman"/>
          <w:sz w:val="20"/>
          <w:szCs w:val="20"/>
        </w:rPr>
        <w:t xml:space="preserve"> time, serum </w:t>
      </w:r>
      <w:proofErr w:type="spellStart"/>
      <w:r w:rsidRPr="001A392E">
        <w:rPr>
          <w:rFonts w:ascii="Times New Roman" w:hAnsi="Times New Roman" w:cs="Times New Roman"/>
          <w:sz w:val="20"/>
          <w:szCs w:val="20"/>
        </w:rPr>
        <w:t>bilirubin</w:t>
      </w:r>
      <w:proofErr w:type="spellEnd"/>
      <w:r w:rsidRPr="001A392E">
        <w:rPr>
          <w:rFonts w:ascii="Times New Roman" w:hAnsi="Times New Roman" w:cs="Times New Roman"/>
          <w:sz w:val="20"/>
          <w:szCs w:val="20"/>
        </w:rPr>
        <w:t xml:space="preserve">, albumin and </w:t>
      </w:r>
      <w:proofErr w:type="spellStart"/>
      <w:r w:rsidRPr="001A392E">
        <w:rPr>
          <w:rFonts w:ascii="Times New Roman" w:hAnsi="Times New Roman" w:cs="Times New Roman"/>
          <w:sz w:val="20"/>
          <w:szCs w:val="20"/>
        </w:rPr>
        <w:t>ultrasonographic</w:t>
      </w:r>
      <w:proofErr w:type="spellEnd"/>
      <w:r w:rsidRPr="001A392E">
        <w:rPr>
          <w:rFonts w:ascii="Times New Roman" w:hAnsi="Times New Roman" w:cs="Times New Roman"/>
          <w:sz w:val="20"/>
          <w:szCs w:val="20"/>
        </w:rPr>
        <w:t xml:space="preserve"> characteristics like </w:t>
      </w:r>
      <w:proofErr w:type="spellStart"/>
      <w:r w:rsidRPr="001A392E">
        <w:rPr>
          <w:rFonts w:ascii="Times New Roman" w:hAnsi="Times New Roman" w:cs="Times New Roman"/>
          <w:sz w:val="20"/>
          <w:szCs w:val="20"/>
        </w:rPr>
        <w:t>splenic</w:t>
      </w:r>
      <w:proofErr w:type="spellEnd"/>
      <w:r w:rsidRPr="001A392E">
        <w:rPr>
          <w:rFonts w:ascii="Times New Roman" w:hAnsi="Times New Roman" w:cs="Times New Roman"/>
          <w:sz w:val="20"/>
          <w:szCs w:val="20"/>
        </w:rPr>
        <w:t xml:space="preserve"> size, portal vein diameter were assessed,</w:t>
      </w:r>
      <w:r w:rsidRPr="001A392E">
        <w:rPr>
          <w:rFonts w:ascii="Times New Roman" w:eastAsia="Times New Roman" w:hAnsi="Times New Roman" w:cs="Times New Roman"/>
          <w:sz w:val="20"/>
          <w:szCs w:val="20"/>
        </w:rPr>
        <w:t xml:space="preserve"> </w:t>
      </w:r>
      <w:r w:rsidRPr="001A392E">
        <w:rPr>
          <w:rFonts w:ascii="Times New Roman" w:hAnsi="Times New Roman" w:cs="Times New Roman"/>
          <w:sz w:val="20"/>
          <w:szCs w:val="20"/>
        </w:rPr>
        <w:t>as well as upper gastrointestinal endoscopy using white light endoscopy (WLE) and Narrow band imaging technique</w:t>
      </w:r>
      <w:r w:rsidRPr="001A392E">
        <w:rPr>
          <w:rFonts w:ascii="Times New Roman" w:eastAsia="Times New Roman" w:hAnsi="Times New Roman" w:cs="Times New Roman"/>
          <w:sz w:val="20"/>
          <w:szCs w:val="20"/>
        </w:rPr>
        <w:t xml:space="preserve"> </w:t>
      </w:r>
      <w:r w:rsidRPr="001A392E">
        <w:rPr>
          <w:rFonts w:ascii="Times New Roman" w:hAnsi="Times New Roman" w:cs="Times New Roman"/>
          <w:sz w:val="20"/>
          <w:szCs w:val="20"/>
        </w:rPr>
        <w:t xml:space="preserve">for assessment of esophageal </w:t>
      </w:r>
      <w:proofErr w:type="spellStart"/>
      <w:r w:rsidRPr="001A392E">
        <w:rPr>
          <w:rFonts w:ascii="Times New Roman" w:hAnsi="Times New Roman" w:cs="Times New Roman"/>
          <w:sz w:val="20"/>
          <w:szCs w:val="20"/>
        </w:rPr>
        <w:t>varices</w:t>
      </w:r>
      <w:proofErr w:type="spellEnd"/>
      <w:r w:rsidRPr="001A392E">
        <w:rPr>
          <w:rFonts w:ascii="Times New Roman" w:hAnsi="Times New Roman" w:cs="Times New Roman"/>
          <w:sz w:val="20"/>
          <w:szCs w:val="20"/>
        </w:rPr>
        <w:t xml:space="preserve"> and PHG.</w:t>
      </w:r>
      <w:r w:rsidRPr="001A392E">
        <w:rPr>
          <w:rFonts w:ascii="Times New Roman" w:hAnsi="Times New Roman" w:cs="Times New Roman"/>
          <w:b/>
          <w:bCs/>
          <w:sz w:val="20"/>
          <w:szCs w:val="20"/>
        </w:rPr>
        <w:t xml:space="preserve"> Results:</w:t>
      </w:r>
      <w:r w:rsidRPr="001A392E">
        <w:rPr>
          <w:rFonts w:ascii="Times New Roman" w:hAnsi="Times New Roman" w:cs="Times New Roman"/>
          <w:sz w:val="20"/>
          <w:szCs w:val="20"/>
        </w:rPr>
        <w:t xml:space="preserve"> </w:t>
      </w:r>
      <w:r w:rsidRPr="001A392E">
        <w:rPr>
          <w:rFonts w:asciiTheme="majorBidi" w:hAnsiTheme="majorBidi" w:cstheme="majorBidi"/>
          <w:sz w:val="20"/>
          <w:szCs w:val="20"/>
        </w:rPr>
        <w:t>(</w:t>
      </w:r>
      <w:proofErr w:type="spellStart"/>
      <w:r w:rsidRPr="001A392E">
        <w:rPr>
          <w:rFonts w:asciiTheme="majorBidi" w:hAnsiTheme="majorBidi" w:cstheme="majorBidi"/>
          <w:sz w:val="20"/>
          <w:szCs w:val="20"/>
        </w:rPr>
        <w:t>i</w:t>
      </w:r>
      <w:proofErr w:type="spellEnd"/>
      <w:r w:rsidRPr="001A392E">
        <w:rPr>
          <w:rFonts w:asciiTheme="majorBidi" w:hAnsiTheme="majorBidi" w:cstheme="majorBidi"/>
          <w:sz w:val="20"/>
          <w:szCs w:val="20"/>
        </w:rPr>
        <w:t xml:space="preserve">) Abnormality of reddening mucosa (mild PHG), red spots (severe PHG) and mosaic-like pattern were observed on the gastric mucosa. By WLE, mild PHG was observed in 24 patients (48%) of group A and also group B patients.  Severe PHG (24 patients (48%) </w:t>
      </w:r>
      <w:proofErr w:type="spellStart"/>
      <w:r w:rsidRPr="001A392E">
        <w:rPr>
          <w:rFonts w:asciiTheme="majorBidi" w:hAnsiTheme="majorBidi" w:cstheme="majorBidi"/>
          <w:i/>
          <w:iCs/>
          <w:sz w:val="20"/>
          <w:szCs w:val="20"/>
        </w:rPr>
        <w:t>vs</w:t>
      </w:r>
      <w:proofErr w:type="spellEnd"/>
      <w:r w:rsidRPr="001A392E">
        <w:rPr>
          <w:rFonts w:asciiTheme="majorBidi" w:hAnsiTheme="majorBidi" w:cstheme="majorBidi"/>
          <w:sz w:val="20"/>
          <w:szCs w:val="20"/>
        </w:rPr>
        <w:t xml:space="preserve"> 8 patients (16%)) and normal gastric mucosa (2 patients(4%)</w:t>
      </w:r>
      <w:r w:rsidRPr="001A392E">
        <w:rPr>
          <w:rFonts w:asciiTheme="majorBidi" w:hAnsiTheme="majorBidi" w:cstheme="majorBidi"/>
          <w:i/>
          <w:iCs/>
          <w:sz w:val="20"/>
          <w:szCs w:val="20"/>
        </w:rPr>
        <w:t xml:space="preserve"> </w:t>
      </w:r>
      <w:proofErr w:type="spellStart"/>
      <w:r w:rsidRPr="001A392E">
        <w:rPr>
          <w:rFonts w:asciiTheme="majorBidi" w:hAnsiTheme="majorBidi" w:cstheme="majorBidi"/>
          <w:i/>
          <w:iCs/>
          <w:sz w:val="20"/>
          <w:szCs w:val="20"/>
        </w:rPr>
        <w:t>vs</w:t>
      </w:r>
      <w:proofErr w:type="spellEnd"/>
      <w:r w:rsidRPr="001A392E">
        <w:rPr>
          <w:rFonts w:asciiTheme="majorBidi" w:hAnsiTheme="majorBidi" w:cstheme="majorBidi"/>
          <w:sz w:val="20"/>
          <w:szCs w:val="20"/>
        </w:rPr>
        <w:t xml:space="preserve"> 18 patients (36%)) were observed in group A and group B respectively. (ii) On magnifying endoscopy with NBI, reddening mucosa was observed as extended and swollen gastric pits and various degrees of dilated and convoluted capillaries surrounding the gastric pits. Red spots were demonstrated as extended and swollen gastric pits, dilated and convoluted capillaries surrounding the gastric pits, and </w:t>
      </w:r>
      <w:proofErr w:type="spellStart"/>
      <w:r w:rsidRPr="001A392E">
        <w:rPr>
          <w:rFonts w:asciiTheme="majorBidi" w:hAnsiTheme="majorBidi" w:cstheme="majorBidi"/>
          <w:sz w:val="20"/>
          <w:szCs w:val="20"/>
        </w:rPr>
        <w:t>intramucosal</w:t>
      </w:r>
      <w:proofErr w:type="spellEnd"/>
      <w:r w:rsidRPr="001A392E">
        <w:rPr>
          <w:rFonts w:asciiTheme="majorBidi" w:hAnsiTheme="majorBidi" w:cstheme="majorBidi"/>
          <w:sz w:val="20"/>
          <w:szCs w:val="20"/>
        </w:rPr>
        <w:t xml:space="preserve"> hemorrhage around these capillaries. (iii</w:t>
      </w:r>
      <w:r w:rsidRPr="001A392E">
        <w:rPr>
          <w:rFonts w:ascii="Times New Roman" w:hAnsi="Times New Roman" w:cs="Times New Roman"/>
          <w:b/>
          <w:bCs/>
          <w:sz w:val="20"/>
          <w:szCs w:val="20"/>
        </w:rPr>
        <w:t>)</w:t>
      </w:r>
      <w:r w:rsidRPr="001A392E">
        <w:rPr>
          <w:rFonts w:ascii="Times New Roman" w:hAnsi="Times New Roman" w:cs="Times New Roman"/>
          <w:sz w:val="20"/>
          <w:szCs w:val="20"/>
        </w:rPr>
        <w:t xml:space="preserve"> 10 patients with normal gastric mucosa by WLE showed mild PHG by NBI (2 patients from group A and 8 patients from group B).</w:t>
      </w:r>
      <w:r w:rsidRPr="001A392E">
        <w:rPr>
          <w:rFonts w:ascii="Times New Roman" w:hAnsi="Times New Roman" w:cs="Times New Roman"/>
          <w:b/>
          <w:bCs/>
          <w:sz w:val="20"/>
          <w:szCs w:val="20"/>
        </w:rPr>
        <w:t xml:space="preserve">Conclusion: </w:t>
      </w:r>
      <w:r w:rsidRPr="001A392E">
        <w:rPr>
          <w:rFonts w:ascii="Times New Roman" w:hAnsi="Times New Roman" w:cs="Times New Roman"/>
          <w:sz w:val="20"/>
          <w:szCs w:val="20"/>
        </w:rPr>
        <w:t xml:space="preserve">NBI is more sensitive than conventional WLE for detection of mild </w:t>
      </w:r>
      <w:proofErr w:type="spellStart"/>
      <w:r w:rsidRPr="001A392E">
        <w:rPr>
          <w:rFonts w:ascii="Times New Roman" w:hAnsi="Times New Roman" w:cs="Times New Roman"/>
          <w:sz w:val="20"/>
          <w:szCs w:val="20"/>
        </w:rPr>
        <w:t>PHG.Thrombocytopenia</w:t>
      </w:r>
      <w:proofErr w:type="spellEnd"/>
      <w:r w:rsidRPr="001A392E">
        <w:rPr>
          <w:rFonts w:ascii="Times New Roman" w:hAnsi="Times New Roman" w:cs="Times New Roman"/>
          <w:sz w:val="20"/>
          <w:szCs w:val="20"/>
        </w:rPr>
        <w:t xml:space="preserve"> and platelet count/</w:t>
      </w:r>
      <w:proofErr w:type="spellStart"/>
      <w:r w:rsidRPr="001A392E">
        <w:rPr>
          <w:rFonts w:ascii="Times New Roman" w:hAnsi="Times New Roman" w:cs="Times New Roman"/>
          <w:sz w:val="20"/>
          <w:szCs w:val="20"/>
        </w:rPr>
        <w:t>splenic</w:t>
      </w:r>
      <w:proofErr w:type="spellEnd"/>
      <w:r w:rsidRPr="001A392E">
        <w:rPr>
          <w:rFonts w:ascii="Times New Roman" w:hAnsi="Times New Roman" w:cs="Times New Roman"/>
          <w:sz w:val="20"/>
          <w:szCs w:val="20"/>
        </w:rPr>
        <w:t xml:space="preserve"> diameter are considered to be good non invasive predictors for presence of PHG rather than other parameters like WBC's count, portal vein diameter and </w:t>
      </w:r>
      <w:proofErr w:type="spellStart"/>
      <w:r w:rsidRPr="001A392E">
        <w:rPr>
          <w:rFonts w:ascii="Times New Roman" w:hAnsi="Times New Roman" w:cs="Times New Roman"/>
          <w:sz w:val="20"/>
          <w:szCs w:val="20"/>
        </w:rPr>
        <w:t>splenic</w:t>
      </w:r>
      <w:proofErr w:type="spellEnd"/>
      <w:r w:rsidRPr="001A392E">
        <w:rPr>
          <w:rFonts w:ascii="Times New Roman" w:hAnsi="Times New Roman" w:cs="Times New Roman"/>
          <w:sz w:val="20"/>
          <w:szCs w:val="20"/>
        </w:rPr>
        <w:t xml:space="preserve"> diameter. </w:t>
      </w:r>
    </w:p>
    <w:p w:rsidR="00707B16" w:rsidRPr="00707B16" w:rsidRDefault="00707B16" w:rsidP="00707B16">
      <w:pPr>
        <w:autoSpaceDE w:val="0"/>
        <w:autoSpaceDN w:val="0"/>
        <w:adjustRightInd w:val="0"/>
        <w:snapToGrid w:val="0"/>
        <w:spacing w:after="0" w:line="240" w:lineRule="auto"/>
        <w:ind w:right="6"/>
        <w:jc w:val="both"/>
        <w:rPr>
          <w:rFonts w:ascii="Times New Roman" w:hAnsi="Times New Roman" w:cs="Times New Roman"/>
          <w:sz w:val="20"/>
          <w:szCs w:val="20"/>
        </w:rPr>
      </w:pPr>
      <w:r w:rsidRPr="00707B16">
        <w:rPr>
          <w:rFonts w:ascii="Times New Roman" w:hAnsi="Times New Roman" w:cs="Times New Roman"/>
          <w:sz w:val="20"/>
          <w:szCs w:val="20"/>
        </w:rPr>
        <w:t>[</w:t>
      </w:r>
      <w:proofErr w:type="spellStart"/>
      <w:r w:rsidRPr="00707B16">
        <w:rPr>
          <w:rFonts w:ascii="Times New Roman" w:hAnsi="Times New Roman" w:cs="Times New Roman"/>
          <w:sz w:val="20"/>
          <w:szCs w:val="20"/>
        </w:rPr>
        <w:t>Yehia</w:t>
      </w:r>
      <w:proofErr w:type="spellEnd"/>
      <w:r w:rsidRPr="00707B16">
        <w:rPr>
          <w:rFonts w:ascii="Times New Roman" w:hAnsi="Times New Roman" w:cs="Times New Roman"/>
          <w:sz w:val="20"/>
          <w:szCs w:val="20"/>
        </w:rPr>
        <w:t xml:space="preserve"> Mohamed El </w:t>
      </w:r>
      <w:proofErr w:type="spellStart"/>
      <w:r w:rsidRPr="00707B16">
        <w:rPr>
          <w:rFonts w:ascii="Times New Roman" w:hAnsi="Times New Roman" w:cs="Times New Roman"/>
          <w:sz w:val="20"/>
          <w:szCs w:val="20"/>
        </w:rPr>
        <w:t>Shazly</w:t>
      </w:r>
      <w:proofErr w:type="spellEnd"/>
      <w:r w:rsidRPr="00707B16">
        <w:rPr>
          <w:rFonts w:ascii="Times New Roman" w:hAnsi="Times New Roman" w:cs="Times New Roman"/>
          <w:sz w:val="20"/>
          <w:szCs w:val="20"/>
        </w:rPr>
        <w:t xml:space="preserve">, </w:t>
      </w:r>
      <w:proofErr w:type="spellStart"/>
      <w:r w:rsidRPr="00707B16">
        <w:rPr>
          <w:rFonts w:ascii="Times New Roman" w:hAnsi="Times New Roman" w:cs="Times New Roman"/>
          <w:sz w:val="20"/>
          <w:szCs w:val="20"/>
        </w:rPr>
        <w:t>Hesham</w:t>
      </w:r>
      <w:proofErr w:type="spellEnd"/>
      <w:r w:rsidRPr="00707B16">
        <w:rPr>
          <w:rFonts w:ascii="Times New Roman" w:hAnsi="Times New Roman" w:cs="Times New Roman"/>
          <w:sz w:val="20"/>
          <w:szCs w:val="20"/>
        </w:rPr>
        <w:t xml:space="preserve"> </w:t>
      </w:r>
      <w:proofErr w:type="spellStart"/>
      <w:r w:rsidRPr="00707B16">
        <w:rPr>
          <w:rFonts w:ascii="Times New Roman" w:hAnsi="Times New Roman" w:cs="Times New Roman"/>
          <w:sz w:val="20"/>
          <w:szCs w:val="20"/>
        </w:rPr>
        <w:t>Ezz</w:t>
      </w:r>
      <w:proofErr w:type="spellEnd"/>
      <w:r w:rsidRPr="00707B16">
        <w:rPr>
          <w:rFonts w:ascii="Times New Roman" w:hAnsi="Times New Roman" w:cs="Times New Roman"/>
          <w:sz w:val="20"/>
          <w:szCs w:val="20"/>
        </w:rPr>
        <w:t xml:space="preserve"> </w:t>
      </w:r>
      <w:proofErr w:type="spellStart"/>
      <w:r w:rsidRPr="00707B16">
        <w:rPr>
          <w:rFonts w:ascii="Times New Roman" w:hAnsi="Times New Roman" w:cs="Times New Roman"/>
          <w:sz w:val="20"/>
          <w:szCs w:val="20"/>
        </w:rPr>
        <w:t>Eldin</w:t>
      </w:r>
      <w:proofErr w:type="spellEnd"/>
      <w:r w:rsidRPr="00707B16">
        <w:rPr>
          <w:rFonts w:ascii="Times New Roman" w:hAnsi="Times New Roman" w:cs="Times New Roman"/>
          <w:sz w:val="20"/>
          <w:szCs w:val="20"/>
        </w:rPr>
        <w:t xml:space="preserve"> Said, Mona Mohamed </w:t>
      </w:r>
      <w:proofErr w:type="spellStart"/>
      <w:r w:rsidRPr="00707B16">
        <w:rPr>
          <w:rFonts w:ascii="Times New Roman" w:hAnsi="Times New Roman" w:cs="Times New Roman"/>
          <w:sz w:val="20"/>
          <w:szCs w:val="20"/>
        </w:rPr>
        <w:t>Rafik</w:t>
      </w:r>
      <w:proofErr w:type="spellEnd"/>
      <w:r w:rsidRPr="00707B16">
        <w:rPr>
          <w:rFonts w:ascii="Times New Roman" w:hAnsi="Times New Roman" w:cs="Times New Roman"/>
          <w:sz w:val="20"/>
          <w:szCs w:val="20"/>
        </w:rPr>
        <w:t xml:space="preserve">, Marcel William </w:t>
      </w:r>
      <w:proofErr w:type="spellStart"/>
      <w:r w:rsidRPr="00707B16">
        <w:rPr>
          <w:rFonts w:ascii="Times New Roman" w:hAnsi="Times New Roman" w:cs="Times New Roman"/>
          <w:sz w:val="20"/>
          <w:szCs w:val="20"/>
        </w:rPr>
        <w:t>Keddeas</w:t>
      </w:r>
      <w:proofErr w:type="spellEnd"/>
      <w:r w:rsidRPr="00707B16">
        <w:rPr>
          <w:rFonts w:ascii="Times New Roman" w:hAnsi="Times New Roman" w:cs="Times New Roman"/>
          <w:sz w:val="20"/>
          <w:szCs w:val="20"/>
        </w:rPr>
        <w:t xml:space="preserve">, </w:t>
      </w:r>
      <w:proofErr w:type="spellStart"/>
      <w:r w:rsidRPr="00707B16">
        <w:rPr>
          <w:rFonts w:ascii="Times New Roman" w:hAnsi="Times New Roman" w:cs="Times New Roman"/>
          <w:sz w:val="20"/>
          <w:szCs w:val="20"/>
        </w:rPr>
        <w:t>Engy</w:t>
      </w:r>
      <w:proofErr w:type="spellEnd"/>
      <w:r w:rsidRPr="00707B16">
        <w:rPr>
          <w:rFonts w:ascii="Times New Roman" w:hAnsi="Times New Roman" w:cs="Times New Roman"/>
          <w:sz w:val="20"/>
          <w:szCs w:val="20"/>
        </w:rPr>
        <w:t xml:space="preserve"> </w:t>
      </w:r>
      <w:proofErr w:type="spellStart"/>
      <w:r w:rsidRPr="00707B16">
        <w:rPr>
          <w:rFonts w:ascii="Times New Roman" w:hAnsi="Times New Roman" w:cs="Times New Roman"/>
          <w:sz w:val="20"/>
          <w:szCs w:val="20"/>
        </w:rPr>
        <w:t>Yousry</w:t>
      </w:r>
      <w:proofErr w:type="spellEnd"/>
      <w:r w:rsidRPr="00707B16">
        <w:rPr>
          <w:rFonts w:ascii="Times New Roman" w:hAnsi="Times New Roman" w:cs="Times New Roman"/>
          <w:sz w:val="20"/>
          <w:szCs w:val="20"/>
        </w:rPr>
        <w:t xml:space="preserve"> </w:t>
      </w:r>
      <w:proofErr w:type="spellStart"/>
      <w:r w:rsidRPr="00707B16">
        <w:rPr>
          <w:rFonts w:ascii="Times New Roman" w:hAnsi="Times New Roman" w:cs="Times New Roman"/>
          <w:sz w:val="20"/>
          <w:szCs w:val="20"/>
        </w:rPr>
        <w:t>Elsayed</w:t>
      </w:r>
      <w:proofErr w:type="spellEnd"/>
      <w:r w:rsidRPr="00707B16">
        <w:rPr>
          <w:rFonts w:ascii="Times New Roman" w:hAnsi="Times New Roman" w:cs="Times New Roman"/>
          <w:sz w:val="20"/>
          <w:szCs w:val="20"/>
        </w:rPr>
        <w:t xml:space="preserve">, </w:t>
      </w:r>
      <w:proofErr w:type="spellStart"/>
      <w:r w:rsidRPr="00707B16">
        <w:rPr>
          <w:rFonts w:ascii="Times New Roman" w:hAnsi="Times New Roman" w:cs="Times New Roman"/>
          <w:sz w:val="20"/>
          <w:szCs w:val="20"/>
        </w:rPr>
        <w:t>Hany</w:t>
      </w:r>
      <w:proofErr w:type="spellEnd"/>
      <w:r w:rsidRPr="00707B16">
        <w:rPr>
          <w:rFonts w:ascii="Times New Roman" w:hAnsi="Times New Roman" w:cs="Times New Roman"/>
          <w:sz w:val="20"/>
          <w:szCs w:val="20"/>
        </w:rPr>
        <w:t xml:space="preserve"> </w:t>
      </w:r>
      <w:proofErr w:type="spellStart"/>
      <w:r w:rsidRPr="00707B16">
        <w:rPr>
          <w:rFonts w:ascii="Times New Roman" w:hAnsi="Times New Roman" w:cs="Times New Roman"/>
          <w:sz w:val="20"/>
          <w:szCs w:val="20"/>
        </w:rPr>
        <w:t>Samir</w:t>
      </w:r>
      <w:proofErr w:type="spellEnd"/>
      <w:r w:rsidRPr="00707B16">
        <w:rPr>
          <w:rFonts w:ascii="Times New Roman" w:hAnsi="Times New Roman" w:cs="Times New Roman"/>
          <w:sz w:val="20"/>
          <w:szCs w:val="20"/>
        </w:rPr>
        <w:t xml:space="preserve"> </w:t>
      </w:r>
      <w:proofErr w:type="spellStart"/>
      <w:r w:rsidRPr="00707B16">
        <w:rPr>
          <w:rFonts w:ascii="Times New Roman" w:hAnsi="Times New Roman" w:cs="Times New Roman"/>
          <w:sz w:val="20"/>
          <w:szCs w:val="20"/>
        </w:rPr>
        <w:t>Rasmy</w:t>
      </w:r>
      <w:proofErr w:type="spellEnd"/>
      <w:r w:rsidRPr="00707B16">
        <w:rPr>
          <w:rFonts w:ascii="Times New Roman" w:hAnsi="Times New Roman" w:cs="Times New Roman"/>
          <w:sz w:val="20"/>
          <w:szCs w:val="20"/>
        </w:rPr>
        <w:t>.</w:t>
      </w:r>
      <w:r w:rsidRPr="00707B16">
        <w:rPr>
          <w:rFonts w:ascii="Times New Roman" w:eastAsia="Times New Roman" w:hAnsi="Times New Roman" w:cs="Times New Roman"/>
          <w:b/>
          <w:bCs/>
          <w:sz w:val="20"/>
          <w:szCs w:val="20"/>
        </w:rPr>
        <w:t xml:space="preserve"> Narrow Band Imaging: A New Tool for Diagnosis of Portal Hypertensive </w:t>
      </w:r>
      <w:proofErr w:type="spellStart"/>
      <w:r w:rsidRPr="00707B16">
        <w:rPr>
          <w:rFonts w:ascii="Times New Roman" w:eastAsia="Times New Roman" w:hAnsi="Times New Roman" w:cs="Times New Roman"/>
          <w:b/>
          <w:bCs/>
          <w:sz w:val="20"/>
          <w:szCs w:val="20"/>
        </w:rPr>
        <w:t>Gastropathy</w:t>
      </w:r>
      <w:proofErr w:type="spellEnd"/>
      <w:r w:rsidRPr="00707B16">
        <w:rPr>
          <w:rFonts w:ascii="Times New Roman" w:eastAsia="Times New Roman" w:hAnsi="Times New Roman" w:cs="Times New Roman"/>
          <w:b/>
          <w:bCs/>
          <w:sz w:val="20"/>
          <w:szCs w:val="20"/>
        </w:rPr>
        <w:t>.</w:t>
      </w:r>
      <w:r w:rsidRPr="00707B16">
        <w:rPr>
          <w:rFonts w:ascii="Times New Roman" w:hAnsi="Times New Roman" w:cs="Times New Roman"/>
          <w:bCs/>
          <w:i/>
          <w:sz w:val="20"/>
          <w:szCs w:val="20"/>
        </w:rPr>
        <w:t xml:space="preserve"> Nat </w:t>
      </w:r>
      <w:proofErr w:type="spellStart"/>
      <w:r w:rsidRPr="00707B16">
        <w:rPr>
          <w:rFonts w:ascii="Times New Roman" w:hAnsi="Times New Roman" w:cs="Times New Roman"/>
          <w:bCs/>
          <w:i/>
          <w:sz w:val="20"/>
          <w:szCs w:val="20"/>
        </w:rPr>
        <w:t>Sci</w:t>
      </w:r>
      <w:proofErr w:type="spellEnd"/>
      <w:r w:rsidRPr="00707B16">
        <w:rPr>
          <w:rFonts w:ascii="Times New Roman" w:eastAsiaTheme="minorEastAsia" w:hAnsi="Times New Roman" w:cs="Times New Roman"/>
          <w:bCs/>
          <w:i/>
          <w:sz w:val="20"/>
          <w:szCs w:val="20"/>
        </w:rPr>
        <w:t xml:space="preserve"> </w:t>
      </w:r>
      <w:r w:rsidRPr="00707B16">
        <w:rPr>
          <w:rFonts w:ascii="Times New Roman" w:hAnsi="Times New Roman" w:cs="Times New Roman"/>
          <w:sz w:val="20"/>
          <w:szCs w:val="20"/>
        </w:rPr>
        <w:t>2014;12(6):</w:t>
      </w:r>
      <w:r>
        <w:rPr>
          <w:rFonts w:ascii="Times New Roman" w:hAnsi="Times New Roman" w:cs="Times New Roman"/>
          <w:sz w:val="20"/>
          <w:szCs w:val="20"/>
        </w:rPr>
        <w:t>40</w:t>
      </w:r>
      <w:r w:rsidRPr="00707B16">
        <w:rPr>
          <w:rFonts w:ascii="Times New Roman" w:hAnsi="Times New Roman" w:cs="Times New Roman"/>
          <w:color w:val="000000"/>
          <w:sz w:val="20"/>
          <w:szCs w:val="20"/>
        </w:rPr>
        <w:t>-</w:t>
      </w:r>
      <w:r>
        <w:rPr>
          <w:rFonts w:ascii="Times New Roman" w:hAnsi="Times New Roman" w:cs="Times New Roman"/>
          <w:color w:val="000000"/>
          <w:sz w:val="20"/>
          <w:szCs w:val="20"/>
        </w:rPr>
        <w:t>47</w:t>
      </w:r>
      <w:r w:rsidRPr="00707B16">
        <w:rPr>
          <w:rFonts w:ascii="Times New Roman" w:hAnsi="Times New Roman" w:cs="Times New Roman"/>
          <w:sz w:val="20"/>
          <w:szCs w:val="20"/>
        </w:rPr>
        <w:t>]. (ISSN: 1545-0740).</w:t>
      </w:r>
      <w:r w:rsidRPr="00707B16">
        <w:rPr>
          <w:rFonts w:ascii="Times New Roman" w:hAnsi="Times New Roman" w:cs="Times New Roman"/>
          <w:color w:val="0000FF"/>
          <w:sz w:val="20"/>
          <w:szCs w:val="20"/>
        </w:rPr>
        <w:t xml:space="preserve"> </w:t>
      </w:r>
      <w:hyperlink r:id="rId7" w:history="1">
        <w:r w:rsidRPr="00707B16">
          <w:rPr>
            <w:rStyle w:val="Hyperlink"/>
            <w:rFonts w:ascii="Times New Roman" w:hAnsi="Times New Roman" w:cs="Times New Roman"/>
            <w:sz w:val="20"/>
            <w:szCs w:val="20"/>
          </w:rPr>
          <w:t>http://www.sciencepub.net/nature</w:t>
        </w:r>
      </w:hyperlink>
      <w:r w:rsidRPr="00707B16">
        <w:rPr>
          <w:rFonts w:ascii="Times New Roman" w:hAnsi="Times New Roman" w:cs="Times New Roman"/>
          <w:sz w:val="20"/>
          <w:szCs w:val="20"/>
        </w:rPr>
        <w:t>. 7</w:t>
      </w:r>
    </w:p>
    <w:p w:rsidR="004E1829" w:rsidRPr="00707B16" w:rsidRDefault="004E1829" w:rsidP="00707B16">
      <w:pPr>
        <w:autoSpaceDE w:val="0"/>
        <w:autoSpaceDN w:val="0"/>
        <w:adjustRightInd w:val="0"/>
        <w:snapToGrid w:val="0"/>
        <w:spacing w:after="0" w:line="240" w:lineRule="auto"/>
        <w:ind w:right="6"/>
        <w:jc w:val="both"/>
        <w:rPr>
          <w:rFonts w:ascii="Times New Roman" w:hAnsi="Times New Roman" w:cs="Times New Roman"/>
          <w:sz w:val="20"/>
          <w:szCs w:val="20"/>
        </w:rPr>
      </w:pPr>
    </w:p>
    <w:p w:rsidR="004E1829" w:rsidRPr="00707B16" w:rsidRDefault="004E1829" w:rsidP="00707B16">
      <w:pPr>
        <w:autoSpaceDE w:val="0"/>
        <w:autoSpaceDN w:val="0"/>
        <w:adjustRightInd w:val="0"/>
        <w:snapToGrid w:val="0"/>
        <w:spacing w:after="0" w:line="240" w:lineRule="auto"/>
        <w:ind w:right="6"/>
        <w:jc w:val="both"/>
        <w:rPr>
          <w:rFonts w:ascii="Times New Roman" w:eastAsia="SimSun" w:hAnsi="Times New Roman" w:cs="Times New Roman"/>
          <w:b/>
          <w:bCs/>
          <w:kern w:val="2"/>
          <w:sz w:val="20"/>
          <w:szCs w:val="20"/>
          <w:lang w:eastAsia="zh-CN"/>
        </w:rPr>
      </w:pPr>
      <w:r w:rsidRPr="00707B16">
        <w:rPr>
          <w:rFonts w:ascii="Times New Roman" w:hAnsi="Times New Roman" w:cs="Times New Roman"/>
          <w:b/>
          <w:bCs/>
          <w:color w:val="000025"/>
          <w:sz w:val="20"/>
          <w:szCs w:val="20"/>
        </w:rPr>
        <w:t>Key words</w:t>
      </w:r>
      <w:r w:rsidRPr="00707B16">
        <w:rPr>
          <w:rFonts w:ascii="Times New Roman" w:hAnsi="Times New Roman" w:cs="Times New Roman"/>
          <w:color w:val="000025"/>
          <w:sz w:val="20"/>
          <w:szCs w:val="20"/>
        </w:rPr>
        <w:t>:</w:t>
      </w:r>
      <w:r w:rsidRPr="00707B16">
        <w:rPr>
          <w:rFonts w:ascii="Times New Roman" w:hAnsi="Times New Roman" w:cs="Times New Roman"/>
          <w:sz w:val="20"/>
          <w:szCs w:val="20"/>
        </w:rPr>
        <w:t xml:space="preserve"> Narrow band imaging,</w:t>
      </w:r>
      <w:r w:rsidRPr="00707B16">
        <w:rPr>
          <w:rFonts w:ascii="Times New Roman" w:eastAsia="Times New Roman" w:hAnsi="Times New Roman" w:cs="Times New Roman"/>
          <w:spacing w:val="-6"/>
          <w:sz w:val="20"/>
          <w:szCs w:val="20"/>
          <w:lang w:bidi="ar-EG"/>
        </w:rPr>
        <w:t xml:space="preserve"> portal hypertensive </w:t>
      </w:r>
      <w:proofErr w:type="spellStart"/>
      <w:r w:rsidRPr="00707B16">
        <w:rPr>
          <w:rFonts w:ascii="Times New Roman" w:eastAsia="Times New Roman" w:hAnsi="Times New Roman" w:cs="Times New Roman"/>
          <w:spacing w:val="-6"/>
          <w:sz w:val="20"/>
          <w:szCs w:val="20"/>
          <w:lang w:bidi="ar-EG"/>
        </w:rPr>
        <w:t>gastropathy</w:t>
      </w:r>
      <w:proofErr w:type="spellEnd"/>
      <w:r w:rsidRPr="00707B16">
        <w:rPr>
          <w:rFonts w:ascii="Times New Roman" w:hAnsi="Times New Roman" w:cs="Times New Roman"/>
          <w:sz w:val="20"/>
          <w:szCs w:val="20"/>
        </w:rPr>
        <w:t>.</w:t>
      </w:r>
    </w:p>
    <w:p w:rsidR="004E1829" w:rsidRPr="001A392E" w:rsidRDefault="004E1829" w:rsidP="001A392E">
      <w:pPr>
        <w:widowControl w:val="0"/>
        <w:adjustRightInd w:val="0"/>
        <w:snapToGrid w:val="0"/>
        <w:spacing w:after="0" w:line="240" w:lineRule="auto"/>
        <w:jc w:val="both"/>
        <w:rPr>
          <w:rFonts w:ascii="Times New Roman" w:eastAsia="SimSun" w:hAnsi="Times New Roman" w:cs="Times New Roman"/>
          <w:b/>
          <w:bCs/>
          <w:kern w:val="2"/>
          <w:sz w:val="20"/>
          <w:szCs w:val="20"/>
          <w:lang w:eastAsia="zh-CN"/>
        </w:rPr>
      </w:pPr>
    </w:p>
    <w:p w:rsidR="004E1829" w:rsidRPr="001A392E" w:rsidRDefault="004E1829" w:rsidP="001A392E">
      <w:pPr>
        <w:widowControl w:val="0"/>
        <w:adjustRightInd w:val="0"/>
        <w:snapToGrid w:val="0"/>
        <w:spacing w:after="0" w:line="240" w:lineRule="auto"/>
        <w:jc w:val="both"/>
        <w:rPr>
          <w:rFonts w:ascii="Times New Roman" w:eastAsia="SimSun" w:hAnsi="Times New Roman" w:cs="Times New Roman"/>
          <w:b/>
          <w:bCs/>
          <w:kern w:val="2"/>
          <w:sz w:val="20"/>
          <w:szCs w:val="20"/>
          <w:lang w:eastAsia="zh-CN"/>
        </w:rPr>
        <w:sectPr w:rsidR="004E1829" w:rsidRPr="001A392E" w:rsidSect="00707B16">
          <w:headerReference w:type="default" r:id="rId8"/>
          <w:footerReference w:type="even" r:id="rId9"/>
          <w:footerReference w:type="default" r:id="rId10"/>
          <w:pgSz w:w="12242" w:h="15842" w:code="1"/>
          <w:pgMar w:top="1440" w:right="1440" w:bottom="1440" w:left="1440" w:header="720" w:footer="720" w:gutter="0"/>
          <w:pgNumType w:start="40"/>
          <w:cols w:space="425"/>
          <w:docGrid w:linePitch="312"/>
        </w:sectPr>
      </w:pPr>
    </w:p>
    <w:p w:rsidR="004E1829" w:rsidRPr="001A392E" w:rsidRDefault="004E1829" w:rsidP="001A392E">
      <w:pPr>
        <w:adjustRightInd w:val="0"/>
        <w:snapToGrid w:val="0"/>
        <w:spacing w:after="0" w:line="240" w:lineRule="auto"/>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lastRenderedPageBreak/>
        <w:t>Introduction:</w:t>
      </w:r>
    </w:p>
    <w:p w:rsidR="004E1829" w:rsidRPr="001A392E" w:rsidRDefault="004E1829" w:rsidP="001A392E">
      <w:pPr>
        <w:adjustRightInd w:val="0"/>
        <w:snapToGrid w:val="0"/>
        <w:spacing w:after="0" w:line="240" w:lineRule="auto"/>
        <w:ind w:firstLineChars="213" w:firstLine="426"/>
        <w:jc w:val="both"/>
        <w:rPr>
          <w:rFonts w:ascii="Times New Roman" w:eastAsia="Times New Roman" w:hAnsi="Times New Roman" w:cs="Times New Roman"/>
          <w:b/>
          <w:bCs/>
          <w:sz w:val="20"/>
          <w:szCs w:val="20"/>
        </w:rPr>
      </w:pPr>
      <w:r w:rsidRPr="001A392E">
        <w:rPr>
          <w:rFonts w:ascii="Times New Roman" w:hAnsi="Times New Roman" w:cs="Times New Roman"/>
          <w:sz w:val="20"/>
          <w:szCs w:val="20"/>
        </w:rPr>
        <w:t xml:space="preserve">Portal hypertension is one of the main consequences of cirrhosis. It can result in severe complications, including bleeding of </w:t>
      </w:r>
      <w:proofErr w:type="spellStart"/>
      <w:r w:rsidRPr="001A392E">
        <w:rPr>
          <w:rFonts w:ascii="Times New Roman" w:hAnsi="Times New Roman" w:cs="Times New Roman"/>
          <w:sz w:val="20"/>
          <w:szCs w:val="20"/>
        </w:rPr>
        <w:t>esophagogastric</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varices</w:t>
      </w:r>
      <w:proofErr w:type="spellEnd"/>
      <w:r w:rsidRPr="001A392E">
        <w:rPr>
          <w:rFonts w:ascii="Times New Roman" w:hAnsi="Times New Roman" w:cs="Times New Roman"/>
          <w:sz w:val="20"/>
          <w:szCs w:val="20"/>
        </w:rPr>
        <w:t xml:space="preserve"> as well as spontaneous bacterial peritonitis or </w:t>
      </w:r>
      <w:proofErr w:type="spellStart"/>
      <w:r w:rsidRPr="001A392E">
        <w:rPr>
          <w:rFonts w:ascii="Times New Roman" w:hAnsi="Times New Roman" w:cs="Times New Roman"/>
          <w:sz w:val="20"/>
          <w:szCs w:val="20"/>
        </w:rPr>
        <w:t>hepatorenal</w:t>
      </w:r>
      <w:proofErr w:type="spellEnd"/>
      <w:r w:rsidRPr="001A392E">
        <w:rPr>
          <w:rFonts w:ascii="Times New Roman" w:hAnsi="Times New Roman" w:cs="Times New Roman"/>
          <w:sz w:val="20"/>
          <w:szCs w:val="20"/>
        </w:rPr>
        <w:t xml:space="preserve"> syndrome as complication of </w:t>
      </w:r>
      <w:proofErr w:type="spellStart"/>
      <w:r w:rsidRPr="001A392E">
        <w:rPr>
          <w:rFonts w:ascii="Times New Roman" w:hAnsi="Times New Roman" w:cs="Times New Roman"/>
          <w:sz w:val="20"/>
          <w:szCs w:val="20"/>
        </w:rPr>
        <w:t>ascites</w:t>
      </w:r>
      <w:proofErr w:type="spellEnd"/>
      <w:r w:rsidRPr="001A392E">
        <w:rPr>
          <w:rFonts w:ascii="Times New Roman" w:hAnsi="Times New Roman" w:cs="Times New Roman"/>
          <w:sz w:val="20"/>
          <w:szCs w:val="20"/>
        </w:rPr>
        <w:t xml:space="preserve"> </w:t>
      </w:r>
      <w:r w:rsidRPr="001A392E">
        <w:rPr>
          <w:rFonts w:ascii="Times New Roman" w:hAnsi="Times New Roman" w:cs="Times New Roman"/>
          <w:b/>
          <w:bCs/>
          <w:i/>
          <w:iCs/>
          <w:sz w:val="20"/>
          <w:szCs w:val="20"/>
        </w:rPr>
        <w:t>(Dib et al., 2006).</w:t>
      </w:r>
    </w:p>
    <w:p w:rsidR="004E1829" w:rsidRPr="001A392E" w:rsidRDefault="004E1829" w:rsidP="001A392E">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1A392E">
        <w:rPr>
          <w:rFonts w:ascii="Times New Roman" w:hAnsi="Times New Roman" w:cs="Times New Roman"/>
          <w:sz w:val="20"/>
          <w:szCs w:val="20"/>
        </w:rPr>
        <w:t xml:space="preserve">The gastric mucosa of patients with portal hypertension is frequently subjected to many endoscopic alterations, including portal hypertensive </w:t>
      </w:r>
      <w:proofErr w:type="spellStart"/>
      <w:r w:rsidRPr="001A392E">
        <w:rPr>
          <w:rFonts w:ascii="Times New Roman" w:hAnsi="Times New Roman" w:cs="Times New Roman"/>
          <w:sz w:val="20"/>
          <w:szCs w:val="20"/>
        </w:rPr>
        <w:t>gastropathy</w:t>
      </w:r>
      <w:proofErr w:type="spellEnd"/>
      <w:r w:rsidRPr="001A392E">
        <w:rPr>
          <w:rFonts w:ascii="Times New Roman" w:hAnsi="Times New Roman" w:cs="Times New Roman"/>
          <w:sz w:val="20"/>
          <w:szCs w:val="20"/>
        </w:rPr>
        <w:t xml:space="preserve"> (PHG) and gastric </w:t>
      </w:r>
      <w:proofErr w:type="spellStart"/>
      <w:r w:rsidRPr="001A392E">
        <w:rPr>
          <w:rFonts w:ascii="Times New Roman" w:hAnsi="Times New Roman" w:cs="Times New Roman"/>
          <w:sz w:val="20"/>
          <w:szCs w:val="20"/>
        </w:rPr>
        <w:t>antral</w:t>
      </w:r>
      <w:proofErr w:type="spellEnd"/>
      <w:r w:rsidRPr="001A392E">
        <w:rPr>
          <w:rFonts w:ascii="Times New Roman" w:hAnsi="Times New Roman" w:cs="Times New Roman"/>
          <w:sz w:val="20"/>
          <w:szCs w:val="20"/>
        </w:rPr>
        <w:t xml:space="preserve"> vascular </w:t>
      </w:r>
      <w:proofErr w:type="spellStart"/>
      <w:r w:rsidRPr="001A392E">
        <w:rPr>
          <w:rFonts w:ascii="Times New Roman" w:hAnsi="Times New Roman" w:cs="Times New Roman"/>
          <w:sz w:val="20"/>
          <w:szCs w:val="20"/>
        </w:rPr>
        <w:t>ectasia</w:t>
      </w:r>
      <w:proofErr w:type="spellEnd"/>
      <w:r w:rsidRPr="001A392E">
        <w:rPr>
          <w:rFonts w:ascii="Times New Roman" w:hAnsi="Times New Roman" w:cs="Times New Roman"/>
          <w:sz w:val="20"/>
          <w:szCs w:val="20"/>
        </w:rPr>
        <w:t xml:space="preserve"> (GAVE), and these findings may cause gastrointestinal bleeding in those patients </w:t>
      </w:r>
      <w:r w:rsidRPr="001A392E">
        <w:rPr>
          <w:rFonts w:ascii="Times New Roman" w:hAnsi="Times New Roman" w:cs="Times New Roman"/>
          <w:b/>
          <w:bCs/>
          <w:i/>
          <w:iCs/>
          <w:sz w:val="20"/>
          <w:szCs w:val="20"/>
        </w:rPr>
        <w:t>(Hayashi and Saeki, 2007).</w:t>
      </w:r>
    </w:p>
    <w:p w:rsidR="004E1829" w:rsidRPr="001A392E" w:rsidRDefault="004E1829" w:rsidP="001A392E">
      <w:pPr>
        <w:autoSpaceDE w:val="0"/>
        <w:autoSpaceDN w:val="0"/>
        <w:adjustRightInd w:val="0"/>
        <w:snapToGrid w:val="0"/>
        <w:spacing w:after="0" w:line="240" w:lineRule="auto"/>
        <w:ind w:firstLineChars="213" w:firstLine="426"/>
        <w:jc w:val="both"/>
        <w:rPr>
          <w:rFonts w:ascii="Times New Roman" w:hAnsi="Times New Roman" w:cs="Times New Roman"/>
          <w:b/>
          <w:bCs/>
          <w:i/>
          <w:iCs/>
          <w:sz w:val="20"/>
          <w:szCs w:val="20"/>
        </w:rPr>
      </w:pPr>
      <w:r w:rsidRPr="001A392E">
        <w:rPr>
          <w:rFonts w:ascii="Times New Roman" w:hAnsi="Times New Roman" w:cs="Times New Roman"/>
          <w:sz w:val="20"/>
          <w:szCs w:val="20"/>
        </w:rPr>
        <w:t xml:space="preserve">PHG is the term used to describe the endoscopic appearance of gastric mucosa with characteristic mosaic-like pattern with or without red spots; and the pathogenesis of PHG was proven to involve venous congestion with gastric mucosal capillary dilation and </w:t>
      </w:r>
      <w:r w:rsidRPr="001A392E">
        <w:rPr>
          <w:rFonts w:ascii="Times New Roman" w:hAnsi="Times New Roman" w:cs="Times New Roman"/>
          <w:sz w:val="20"/>
          <w:szCs w:val="20"/>
        </w:rPr>
        <w:lastRenderedPageBreak/>
        <w:t xml:space="preserve">these findings was difficult to be seen by conventional endoscopy </w:t>
      </w:r>
      <w:r w:rsidRPr="001A392E">
        <w:rPr>
          <w:rFonts w:ascii="Times New Roman" w:hAnsi="Times New Roman" w:cs="Times New Roman"/>
          <w:b/>
          <w:bCs/>
          <w:i/>
          <w:iCs/>
          <w:sz w:val="20"/>
          <w:szCs w:val="20"/>
        </w:rPr>
        <w:t>(Hayashi and Saeki, 2007).</w:t>
      </w:r>
    </w:p>
    <w:p w:rsidR="004E1829" w:rsidRPr="001A392E" w:rsidRDefault="004E1829" w:rsidP="001A392E">
      <w:pPr>
        <w:autoSpaceDE w:val="0"/>
        <w:autoSpaceDN w:val="0"/>
        <w:adjustRightInd w:val="0"/>
        <w:snapToGrid w:val="0"/>
        <w:spacing w:after="0" w:line="240" w:lineRule="auto"/>
        <w:ind w:firstLineChars="213" w:firstLine="426"/>
        <w:jc w:val="both"/>
        <w:rPr>
          <w:rFonts w:ascii="Times New Roman" w:hAnsi="Times New Roman" w:cs="Times New Roman"/>
          <w:b/>
          <w:bCs/>
          <w:i/>
          <w:iCs/>
          <w:sz w:val="20"/>
          <w:szCs w:val="20"/>
        </w:rPr>
      </w:pPr>
      <w:r w:rsidRPr="001A392E">
        <w:rPr>
          <w:rFonts w:ascii="Times New Roman" w:hAnsi="Times New Roman" w:cs="Times New Roman"/>
          <w:sz w:val="20"/>
          <w:szCs w:val="20"/>
        </w:rPr>
        <w:t xml:space="preserve">The narrow band imaging system is an endoscopic imaging technique for the enhanced visualization of mucosal microscopic structure and capillaries of the superficial mucosal layer, by changing the spectral features of the illumination used in the video endoscope </w:t>
      </w:r>
      <w:proofErr w:type="spellStart"/>
      <w:r w:rsidRPr="001A392E">
        <w:rPr>
          <w:rFonts w:ascii="Times New Roman" w:hAnsi="Times New Roman" w:cs="Times New Roman"/>
          <w:sz w:val="20"/>
          <w:szCs w:val="20"/>
        </w:rPr>
        <w:t>system.The</w:t>
      </w:r>
      <w:proofErr w:type="spellEnd"/>
      <w:r w:rsidRPr="001A392E">
        <w:rPr>
          <w:rFonts w:ascii="Times New Roman" w:hAnsi="Times New Roman" w:cs="Times New Roman"/>
          <w:sz w:val="20"/>
          <w:szCs w:val="20"/>
        </w:rPr>
        <w:t xml:space="preserve"> narrow band imaging system obtain its images by using narrower bands of red, blue and green filters (R/B/G), which are different from conventional red, blue and green filters </w:t>
      </w:r>
      <w:r w:rsidRPr="001A392E">
        <w:rPr>
          <w:rFonts w:ascii="Times New Roman" w:hAnsi="Times New Roman" w:cs="Times New Roman"/>
          <w:b/>
          <w:bCs/>
          <w:i/>
          <w:iCs/>
          <w:sz w:val="20"/>
          <w:szCs w:val="20"/>
        </w:rPr>
        <w:t>(</w:t>
      </w:r>
      <w:proofErr w:type="spellStart"/>
      <w:r w:rsidRPr="001A392E">
        <w:rPr>
          <w:rFonts w:ascii="Times New Roman" w:hAnsi="Times New Roman" w:cs="Times New Roman"/>
          <w:b/>
          <w:bCs/>
          <w:i/>
          <w:iCs/>
          <w:sz w:val="20"/>
          <w:szCs w:val="20"/>
        </w:rPr>
        <w:t>Tahara</w:t>
      </w:r>
      <w:proofErr w:type="spellEnd"/>
      <w:r w:rsidRPr="001A392E">
        <w:rPr>
          <w:rFonts w:ascii="Times New Roman" w:hAnsi="Times New Roman" w:cs="Times New Roman"/>
          <w:b/>
          <w:bCs/>
          <w:i/>
          <w:iCs/>
          <w:sz w:val="20"/>
          <w:szCs w:val="20"/>
        </w:rPr>
        <w:t xml:space="preserve"> et al., 2009).</w:t>
      </w:r>
      <w:r w:rsidRPr="001A392E">
        <w:rPr>
          <w:rFonts w:ascii="Times New Roman" w:hAnsi="Times New Roman" w:cs="Times New Roman"/>
          <w:sz w:val="20"/>
          <w:szCs w:val="20"/>
        </w:rPr>
        <w:t xml:space="preserve"> The depth of penetration into the mucosa depends on the wave length used superficial for blue band and deep for red band and intermediate for green band </w:t>
      </w:r>
      <w:bookmarkStart w:id="0" w:name="_GoBack"/>
      <w:bookmarkEnd w:id="0"/>
      <w:r w:rsidRPr="001A392E">
        <w:rPr>
          <w:rFonts w:ascii="Times New Roman" w:hAnsi="Times New Roman" w:cs="Times New Roman"/>
          <w:b/>
          <w:bCs/>
          <w:i/>
          <w:iCs/>
          <w:sz w:val="20"/>
          <w:szCs w:val="20"/>
        </w:rPr>
        <w:t>(</w:t>
      </w:r>
      <w:proofErr w:type="spellStart"/>
      <w:r w:rsidRPr="001A392E">
        <w:rPr>
          <w:rFonts w:ascii="Times New Roman" w:hAnsi="Times New Roman" w:cs="Times New Roman"/>
          <w:b/>
          <w:bCs/>
          <w:i/>
          <w:iCs/>
          <w:sz w:val="20"/>
          <w:szCs w:val="20"/>
        </w:rPr>
        <w:t>Sambougi</w:t>
      </w:r>
      <w:proofErr w:type="spellEnd"/>
      <w:r w:rsidRPr="001A392E">
        <w:rPr>
          <w:rFonts w:ascii="Times New Roman" w:hAnsi="Times New Roman" w:cs="Times New Roman"/>
          <w:b/>
          <w:bCs/>
          <w:i/>
          <w:iCs/>
          <w:sz w:val="20"/>
          <w:szCs w:val="20"/>
        </w:rPr>
        <w:t xml:space="preserve"> et al., 2000). </w:t>
      </w:r>
      <w:r w:rsidRPr="001A392E">
        <w:rPr>
          <w:rFonts w:ascii="Times New Roman" w:hAnsi="Times New Roman" w:cs="Times New Roman"/>
          <w:sz w:val="20"/>
          <w:szCs w:val="20"/>
        </w:rPr>
        <w:t xml:space="preserve">In endoscopic examination, lesions are identified by changes in color and irregularity of mucosal surface </w:t>
      </w:r>
      <w:r w:rsidRPr="001A392E">
        <w:rPr>
          <w:rFonts w:ascii="Times New Roman" w:hAnsi="Times New Roman" w:cs="Times New Roman"/>
          <w:b/>
          <w:bCs/>
          <w:i/>
          <w:iCs/>
          <w:sz w:val="20"/>
          <w:szCs w:val="20"/>
        </w:rPr>
        <w:t>(</w:t>
      </w:r>
      <w:proofErr w:type="spellStart"/>
      <w:r w:rsidRPr="001A392E">
        <w:rPr>
          <w:rFonts w:ascii="Times New Roman" w:hAnsi="Times New Roman" w:cs="Times New Roman"/>
          <w:b/>
          <w:bCs/>
          <w:i/>
          <w:iCs/>
          <w:sz w:val="20"/>
          <w:szCs w:val="20"/>
        </w:rPr>
        <w:t>Tajiri</w:t>
      </w:r>
      <w:proofErr w:type="spellEnd"/>
      <w:r w:rsidRPr="001A392E">
        <w:rPr>
          <w:rFonts w:ascii="Times New Roman" w:hAnsi="Times New Roman" w:cs="Times New Roman"/>
          <w:b/>
          <w:bCs/>
          <w:i/>
          <w:iCs/>
          <w:sz w:val="20"/>
          <w:szCs w:val="20"/>
        </w:rPr>
        <w:t xml:space="preserve"> et al., 2002).</w:t>
      </w:r>
    </w:p>
    <w:p w:rsidR="004E1829" w:rsidRPr="001A392E" w:rsidRDefault="004E1829" w:rsidP="001A392E">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1A392E">
        <w:rPr>
          <w:rFonts w:ascii="Times New Roman" w:hAnsi="Times New Roman" w:cs="Times New Roman"/>
          <w:sz w:val="20"/>
          <w:szCs w:val="20"/>
        </w:rPr>
        <w:lastRenderedPageBreak/>
        <w:t xml:space="preserve">Combining narrow band imaging with magnifying system allow very clear images of the capillaries of the mucosal surface and </w:t>
      </w:r>
      <w:proofErr w:type="spellStart"/>
      <w:r w:rsidRPr="001A392E">
        <w:rPr>
          <w:rFonts w:ascii="Times New Roman" w:hAnsi="Times New Roman" w:cs="Times New Roman"/>
          <w:sz w:val="20"/>
          <w:szCs w:val="20"/>
        </w:rPr>
        <w:t>microvascular</w:t>
      </w:r>
      <w:proofErr w:type="spellEnd"/>
      <w:r w:rsidRPr="001A392E">
        <w:rPr>
          <w:rFonts w:ascii="Times New Roman" w:hAnsi="Times New Roman" w:cs="Times New Roman"/>
          <w:sz w:val="20"/>
          <w:szCs w:val="20"/>
        </w:rPr>
        <w:t xml:space="preserve"> architecture of the gastric mucosa in patients with liver cirrhosis </w:t>
      </w:r>
      <w:r w:rsidRPr="001A392E">
        <w:rPr>
          <w:rFonts w:ascii="Times New Roman" w:hAnsi="Times New Roman" w:cs="Times New Roman"/>
          <w:b/>
          <w:bCs/>
          <w:i/>
          <w:iCs/>
          <w:sz w:val="20"/>
          <w:szCs w:val="20"/>
        </w:rPr>
        <w:t>(Sano et al., 2004).</w:t>
      </w:r>
    </w:p>
    <w:p w:rsidR="004E1829" w:rsidRPr="001A392E" w:rsidRDefault="004E1829" w:rsidP="001A392E">
      <w:pPr>
        <w:autoSpaceDE w:val="0"/>
        <w:autoSpaceDN w:val="0"/>
        <w:adjustRightInd w:val="0"/>
        <w:snapToGrid w:val="0"/>
        <w:spacing w:after="0" w:line="240" w:lineRule="auto"/>
        <w:ind w:firstLine="426"/>
        <w:jc w:val="both"/>
        <w:rPr>
          <w:rFonts w:ascii="Times New Roman" w:hAnsi="Times New Roman" w:cs="Times New Roman"/>
          <w:b/>
          <w:bCs/>
          <w:sz w:val="20"/>
          <w:szCs w:val="20"/>
        </w:rPr>
      </w:pPr>
      <w:r w:rsidRPr="001A392E">
        <w:rPr>
          <w:rFonts w:ascii="Times New Roman" w:hAnsi="Times New Roman" w:cs="Times New Roman"/>
          <w:b/>
          <w:bCs/>
          <w:sz w:val="20"/>
          <w:szCs w:val="20"/>
        </w:rPr>
        <w:t>Aim of the Work</w:t>
      </w:r>
      <w:r w:rsidRPr="001A392E">
        <w:rPr>
          <w:rFonts w:ascii="Times New Roman" w:hAnsi="Times New Roman" w:cs="Times New Roman"/>
          <w:sz w:val="20"/>
          <w:szCs w:val="20"/>
        </w:rPr>
        <w:t xml:space="preserve"> was to evaluate the endoscopic </w:t>
      </w:r>
      <w:proofErr w:type="spellStart"/>
      <w:r w:rsidRPr="001A392E">
        <w:rPr>
          <w:rFonts w:ascii="Times New Roman" w:hAnsi="Times New Roman" w:cs="Times New Roman"/>
          <w:sz w:val="20"/>
          <w:szCs w:val="20"/>
        </w:rPr>
        <w:t>microvascular</w:t>
      </w:r>
      <w:proofErr w:type="spellEnd"/>
      <w:r w:rsidRPr="001A392E">
        <w:rPr>
          <w:rFonts w:ascii="Times New Roman" w:hAnsi="Times New Roman" w:cs="Times New Roman"/>
          <w:sz w:val="20"/>
          <w:szCs w:val="20"/>
        </w:rPr>
        <w:t xml:space="preserve"> architecture of the gastric mucosa in patients with liver cirrhosis by using the magnifying narrow band imaging system</w:t>
      </w:r>
      <w:r w:rsidRPr="001A392E">
        <w:rPr>
          <w:rFonts w:asciiTheme="majorBidi" w:eastAsia="Times New Roman" w:hAnsiTheme="majorBidi" w:cstheme="majorBidi"/>
          <w:spacing w:val="-6"/>
          <w:sz w:val="20"/>
          <w:szCs w:val="20"/>
          <w:lang w:bidi="ar-EG"/>
        </w:rPr>
        <w:t xml:space="preserve"> and to evaluate the different non invasive markers for prediction of PHG.</w:t>
      </w:r>
    </w:p>
    <w:p w:rsidR="001A392E" w:rsidRDefault="004E1829" w:rsidP="001A392E">
      <w:pPr>
        <w:autoSpaceDE w:val="0"/>
        <w:autoSpaceDN w:val="0"/>
        <w:adjustRightInd w:val="0"/>
        <w:snapToGrid w:val="0"/>
        <w:spacing w:after="0" w:line="240" w:lineRule="auto"/>
        <w:jc w:val="both"/>
        <w:rPr>
          <w:rFonts w:ascii="Times New Roman" w:hAnsi="Times New Roman" w:cs="Times New Roman"/>
          <w:sz w:val="20"/>
          <w:szCs w:val="20"/>
        </w:rPr>
      </w:pPr>
      <w:r w:rsidRPr="001A392E">
        <w:rPr>
          <w:rFonts w:ascii="Times New Roman" w:hAnsi="Times New Roman" w:cs="Times New Roman"/>
          <w:b/>
          <w:bCs/>
          <w:sz w:val="20"/>
          <w:szCs w:val="20"/>
        </w:rPr>
        <w:t>Subjects &amp; methods:</w:t>
      </w:r>
      <w:r w:rsidRPr="001A392E">
        <w:rPr>
          <w:rFonts w:ascii="Times New Roman" w:hAnsi="Times New Roman" w:cs="Times New Roman"/>
          <w:sz w:val="20"/>
          <w:szCs w:val="20"/>
        </w:rPr>
        <w:t xml:space="preserve"> </w:t>
      </w:r>
    </w:p>
    <w:p w:rsidR="004E1829" w:rsidRPr="001A392E" w:rsidRDefault="004E1829" w:rsidP="001A392E">
      <w:pPr>
        <w:autoSpaceDE w:val="0"/>
        <w:autoSpaceDN w:val="0"/>
        <w:adjustRightInd w:val="0"/>
        <w:snapToGrid w:val="0"/>
        <w:spacing w:after="0" w:line="240" w:lineRule="auto"/>
        <w:ind w:firstLine="426"/>
        <w:jc w:val="both"/>
        <w:rPr>
          <w:rFonts w:ascii="Times New Roman" w:hAnsi="Times New Roman" w:cs="Times New Roman"/>
          <w:sz w:val="20"/>
          <w:szCs w:val="20"/>
        </w:rPr>
      </w:pPr>
      <w:r w:rsidRPr="001A392E">
        <w:rPr>
          <w:rFonts w:ascii="Times New Roman" w:hAnsi="Times New Roman" w:cs="Times New Roman"/>
          <w:sz w:val="20"/>
          <w:szCs w:val="20"/>
        </w:rPr>
        <w:t xml:space="preserve">100 patients with liver cirrhosis recruited from the endoscopy unit of </w:t>
      </w:r>
      <w:proofErr w:type="spellStart"/>
      <w:r w:rsidRPr="001A392E">
        <w:rPr>
          <w:rFonts w:ascii="Times New Roman" w:hAnsi="Times New Roman" w:cs="Times New Roman"/>
          <w:sz w:val="20"/>
          <w:szCs w:val="20"/>
        </w:rPr>
        <w:t>Ain</w:t>
      </w:r>
      <w:proofErr w:type="spellEnd"/>
      <w:r w:rsidRPr="001A392E">
        <w:rPr>
          <w:rFonts w:ascii="Times New Roman" w:hAnsi="Times New Roman" w:cs="Times New Roman"/>
          <w:sz w:val="20"/>
          <w:szCs w:val="20"/>
        </w:rPr>
        <w:t xml:space="preserve"> Shams University Hospital from December 2010 to September 2012 were enrolled in this study. Diagnosis of cirrhosis was based on clinical, biochemical, and </w:t>
      </w:r>
      <w:proofErr w:type="spellStart"/>
      <w:r w:rsidRPr="001A392E">
        <w:rPr>
          <w:rFonts w:ascii="Times New Roman" w:hAnsi="Times New Roman" w:cs="Times New Roman"/>
          <w:sz w:val="20"/>
          <w:szCs w:val="20"/>
        </w:rPr>
        <w:t>ultrasonographic</w:t>
      </w:r>
      <w:proofErr w:type="spellEnd"/>
      <w:r w:rsidRPr="001A392E">
        <w:rPr>
          <w:rFonts w:ascii="Times New Roman" w:hAnsi="Times New Roman" w:cs="Times New Roman"/>
          <w:sz w:val="20"/>
          <w:szCs w:val="20"/>
        </w:rPr>
        <w:t xml:space="preserve"> findings. All patients with Helicobacter Pylori infection and gastrointestinal tract bleeding were excluded from the study. Patients were divided into two groups: Group A,</w:t>
      </w:r>
      <w:r w:rsidRPr="001A392E">
        <w:rPr>
          <w:rFonts w:ascii="Times New Roman" w:eastAsia="Times New Roman" w:hAnsi="Times New Roman" w:cs="Times New Roman"/>
          <w:sz w:val="20"/>
          <w:szCs w:val="20"/>
        </w:rPr>
        <w:t xml:space="preserve"> </w:t>
      </w:r>
      <w:r w:rsidRPr="001A392E">
        <w:rPr>
          <w:rFonts w:ascii="Times New Roman" w:hAnsi="Times New Roman" w:cs="Times New Roman"/>
          <w:sz w:val="20"/>
          <w:szCs w:val="20"/>
        </w:rPr>
        <w:t xml:space="preserve">50 cirrhotic patients with clinical or radiological evidence of portal hypertension like </w:t>
      </w:r>
      <w:proofErr w:type="spellStart"/>
      <w:r w:rsidRPr="001A392E">
        <w:rPr>
          <w:rFonts w:ascii="Times New Roman" w:hAnsi="Times New Roman" w:cs="Times New Roman"/>
          <w:sz w:val="20"/>
          <w:szCs w:val="20"/>
        </w:rPr>
        <w:t>splenomegly</w:t>
      </w:r>
      <w:proofErr w:type="spellEnd"/>
      <w:r w:rsidRPr="001A392E">
        <w:rPr>
          <w:rFonts w:ascii="Times New Roman" w:hAnsi="Times New Roman" w:cs="Times New Roman"/>
          <w:sz w:val="20"/>
          <w:szCs w:val="20"/>
        </w:rPr>
        <w:t xml:space="preserve">, dilated portal vein, and low platelet count of less than 100.000 or </w:t>
      </w:r>
      <w:proofErr w:type="spellStart"/>
      <w:r w:rsidRPr="001A392E">
        <w:rPr>
          <w:rFonts w:ascii="Times New Roman" w:hAnsi="Times New Roman" w:cs="Times New Roman"/>
          <w:sz w:val="20"/>
          <w:szCs w:val="20"/>
        </w:rPr>
        <w:t>ascites</w:t>
      </w:r>
      <w:proofErr w:type="spellEnd"/>
      <w:r w:rsidRPr="001A392E">
        <w:rPr>
          <w:rFonts w:ascii="Times New Roman" w:hAnsi="Times New Roman" w:cs="Times New Roman"/>
          <w:sz w:val="20"/>
          <w:szCs w:val="20"/>
        </w:rPr>
        <w:t>. And group B, 50 cirrhotic patients without clinical or radiological evidence of portal hypertension.</w:t>
      </w:r>
    </w:p>
    <w:p w:rsidR="004E1829" w:rsidRPr="001A392E" w:rsidRDefault="004E1829" w:rsidP="00707B16">
      <w:pPr>
        <w:autoSpaceDE w:val="0"/>
        <w:autoSpaceDN w:val="0"/>
        <w:adjustRightInd w:val="0"/>
        <w:snapToGrid w:val="0"/>
        <w:spacing w:after="0" w:line="240" w:lineRule="auto"/>
        <w:ind w:firstLine="360"/>
        <w:jc w:val="both"/>
        <w:rPr>
          <w:rFonts w:ascii="Times New Roman" w:hAnsi="Times New Roman" w:cs="Times New Roman"/>
          <w:sz w:val="20"/>
          <w:szCs w:val="20"/>
        </w:rPr>
      </w:pPr>
      <w:r w:rsidRPr="001A392E">
        <w:rPr>
          <w:rFonts w:ascii="Times New Roman" w:hAnsi="Times New Roman" w:cs="Times New Roman"/>
          <w:sz w:val="20"/>
          <w:szCs w:val="20"/>
        </w:rPr>
        <w:t>Informed consent was obtained from all participants before enrollment in the study and they were subjected to the following:</w:t>
      </w:r>
    </w:p>
    <w:p w:rsidR="004E1829" w:rsidRPr="001A392E" w:rsidRDefault="004E1829" w:rsidP="001A392E">
      <w:pPr>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1A392E">
        <w:rPr>
          <w:rFonts w:ascii="Times New Roman" w:hAnsi="Times New Roman" w:cs="Times New Roman"/>
          <w:sz w:val="20"/>
          <w:szCs w:val="20"/>
        </w:rPr>
        <w:t xml:space="preserve">Relevant history and physical characteristics including symptoms and signs of liver failure (spider </w:t>
      </w:r>
      <w:proofErr w:type="spellStart"/>
      <w:r w:rsidRPr="001A392E">
        <w:rPr>
          <w:rFonts w:ascii="Times New Roman" w:hAnsi="Times New Roman" w:cs="Times New Roman"/>
          <w:sz w:val="20"/>
          <w:szCs w:val="20"/>
        </w:rPr>
        <w:t>angioma</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palmar</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erythema</w:t>
      </w:r>
      <w:proofErr w:type="spellEnd"/>
      <w:r w:rsidRPr="001A392E">
        <w:rPr>
          <w:rFonts w:ascii="Times New Roman" w:hAnsi="Times New Roman" w:cs="Times New Roman"/>
          <w:sz w:val="20"/>
          <w:szCs w:val="20"/>
        </w:rPr>
        <w:t xml:space="preserve"> etc.), </w:t>
      </w:r>
      <w:proofErr w:type="spellStart"/>
      <w:r w:rsidRPr="001A392E">
        <w:rPr>
          <w:rFonts w:ascii="Times New Roman" w:hAnsi="Times New Roman" w:cs="Times New Roman"/>
          <w:sz w:val="20"/>
          <w:szCs w:val="20"/>
        </w:rPr>
        <w:t>hepatomegaly</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spleenomegaly</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ascites</w:t>
      </w:r>
      <w:proofErr w:type="spellEnd"/>
      <w:r w:rsidRPr="001A392E">
        <w:rPr>
          <w:rFonts w:ascii="Times New Roman" w:hAnsi="Times New Roman" w:cs="Times New Roman"/>
          <w:sz w:val="20"/>
          <w:szCs w:val="20"/>
        </w:rPr>
        <w:t xml:space="preserve"> and abdominal vein collaterals were recorded. </w:t>
      </w:r>
    </w:p>
    <w:p w:rsidR="004E1829" w:rsidRPr="001A392E" w:rsidRDefault="004E1829" w:rsidP="001A392E">
      <w:pPr>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1A392E">
        <w:rPr>
          <w:rFonts w:ascii="Times New Roman" w:hAnsi="Times New Roman" w:cs="Times New Roman"/>
          <w:sz w:val="20"/>
          <w:szCs w:val="20"/>
        </w:rPr>
        <w:t xml:space="preserve">Blood tests: Hematological and biochemical workup included measurement of hemoglobin, total leukocyte count, platelet count, </w:t>
      </w:r>
      <w:proofErr w:type="spellStart"/>
      <w:r w:rsidRPr="001A392E">
        <w:rPr>
          <w:rFonts w:ascii="Times New Roman" w:hAnsi="Times New Roman" w:cs="Times New Roman"/>
          <w:sz w:val="20"/>
          <w:szCs w:val="20"/>
        </w:rPr>
        <w:t>prothrombin</w:t>
      </w:r>
      <w:proofErr w:type="spellEnd"/>
      <w:r w:rsidRPr="001A392E">
        <w:rPr>
          <w:rFonts w:ascii="Times New Roman" w:hAnsi="Times New Roman" w:cs="Times New Roman"/>
          <w:sz w:val="20"/>
          <w:szCs w:val="20"/>
        </w:rPr>
        <w:t xml:space="preserve"> time, and serum concentrations of </w:t>
      </w:r>
      <w:proofErr w:type="spellStart"/>
      <w:r w:rsidRPr="001A392E">
        <w:rPr>
          <w:rFonts w:ascii="Times New Roman" w:hAnsi="Times New Roman" w:cs="Times New Roman"/>
          <w:sz w:val="20"/>
          <w:szCs w:val="20"/>
        </w:rPr>
        <w:t>bilirubin</w:t>
      </w:r>
      <w:proofErr w:type="spellEnd"/>
      <w:r w:rsidRPr="001A392E">
        <w:rPr>
          <w:rFonts w:ascii="Times New Roman" w:hAnsi="Times New Roman" w:cs="Times New Roman"/>
          <w:sz w:val="20"/>
          <w:szCs w:val="20"/>
        </w:rPr>
        <w:t xml:space="preserve"> (total and conjugated), protein, albumin, </w:t>
      </w:r>
      <w:proofErr w:type="spellStart"/>
      <w:r w:rsidRPr="001A392E">
        <w:rPr>
          <w:rFonts w:ascii="Times New Roman" w:hAnsi="Times New Roman" w:cs="Times New Roman"/>
          <w:sz w:val="20"/>
          <w:szCs w:val="20"/>
        </w:rPr>
        <w:t>alanine</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aminotransferase</w:t>
      </w:r>
      <w:proofErr w:type="spellEnd"/>
      <w:r w:rsidRPr="001A392E">
        <w:rPr>
          <w:rFonts w:ascii="Times New Roman" w:hAnsi="Times New Roman" w:cs="Times New Roman"/>
          <w:sz w:val="20"/>
          <w:szCs w:val="20"/>
        </w:rPr>
        <w:t xml:space="preserve"> and </w:t>
      </w:r>
      <w:proofErr w:type="spellStart"/>
      <w:r w:rsidRPr="001A392E">
        <w:rPr>
          <w:rFonts w:ascii="Times New Roman" w:hAnsi="Times New Roman" w:cs="Times New Roman"/>
          <w:sz w:val="20"/>
          <w:szCs w:val="20"/>
        </w:rPr>
        <w:t>aspartate</w:t>
      </w:r>
      <w:proofErr w:type="spellEnd"/>
      <w:r w:rsidRPr="001A392E">
        <w:rPr>
          <w:rFonts w:ascii="Times New Roman" w:hAnsi="Times New Roman" w:cs="Times New Roman"/>
          <w:sz w:val="20"/>
          <w:szCs w:val="20"/>
        </w:rPr>
        <w:t xml:space="preserve"> </w:t>
      </w:r>
      <w:proofErr w:type="spellStart"/>
      <w:r w:rsidRPr="001A392E">
        <w:rPr>
          <w:rFonts w:ascii="Times New Roman" w:hAnsi="Times New Roman" w:cs="Times New Roman"/>
          <w:sz w:val="20"/>
          <w:szCs w:val="20"/>
        </w:rPr>
        <w:t>aminotransferase</w:t>
      </w:r>
      <w:proofErr w:type="spellEnd"/>
      <w:r w:rsidRPr="001A392E">
        <w:rPr>
          <w:rFonts w:ascii="Times New Roman" w:hAnsi="Times New Roman" w:cs="Times New Roman"/>
          <w:sz w:val="20"/>
          <w:szCs w:val="20"/>
        </w:rPr>
        <w:t xml:space="preserve">. </w:t>
      </w:r>
    </w:p>
    <w:p w:rsidR="004E1829" w:rsidRPr="001A392E" w:rsidRDefault="004E1829" w:rsidP="001A392E">
      <w:pPr>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1A392E">
        <w:rPr>
          <w:rFonts w:ascii="Times New Roman" w:hAnsi="Times New Roman" w:cs="Times New Roman"/>
          <w:sz w:val="20"/>
          <w:szCs w:val="20"/>
        </w:rPr>
        <w:t xml:space="preserve">Ultrasound Doppler: All patients underwent </w:t>
      </w:r>
      <w:proofErr w:type="spellStart"/>
      <w:r w:rsidRPr="001A392E">
        <w:rPr>
          <w:rFonts w:ascii="Times New Roman" w:hAnsi="Times New Roman" w:cs="Times New Roman"/>
          <w:sz w:val="20"/>
          <w:szCs w:val="20"/>
        </w:rPr>
        <w:t>ultrasonography</w:t>
      </w:r>
      <w:proofErr w:type="spellEnd"/>
      <w:r w:rsidRPr="001A392E">
        <w:rPr>
          <w:rFonts w:ascii="Times New Roman" w:hAnsi="Times New Roman" w:cs="Times New Roman"/>
          <w:sz w:val="20"/>
          <w:szCs w:val="20"/>
        </w:rPr>
        <w:t xml:space="preserve"> after overnight fast and the following details were recorded: liver size, </w:t>
      </w:r>
      <w:proofErr w:type="spellStart"/>
      <w:r w:rsidRPr="001A392E">
        <w:rPr>
          <w:rFonts w:ascii="Times New Roman" w:hAnsi="Times New Roman" w:cs="Times New Roman"/>
          <w:sz w:val="20"/>
          <w:szCs w:val="20"/>
        </w:rPr>
        <w:t>echogenicity</w:t>
      </w:r>
      <w:proofErr w:type="spellEnd"/>
      <w:r w:rsidRPr="001A392E">
        <w:rPr>
          <w:rFonts w:ascii="Times New Roman" w:hAnsi="Times New Roman" w:cs="Times New Roman"/>
          <w:sz w:val="20"/>
          <w:szCs w:val="20"/>
        </w:rPr>
        <w:t xml:space="preserve">, portal vein (PV) diameter &amp; patency, </w:t>
      </w:r>
      <w:proofErr w:type="spellStart"/>
      <w:r w:rsidRPr="001A392E">
        <w:rPr>
          <w:rFonts w:ascii="Times New Roman" w:hAnsi="Times New Roman" w:cs="Times New Roman"/>
          <w:sz w:val="20"/>
          <w:szCs w:val="20"/>
        </w:rPr>
        <w:t>splenic</w:t>
      </w:r>
      <w:proofErr w:type="spellEnd"/>
      <w:r w:rsidRPr="001A392E">
        <w:rPr>
          <w:rFonts w:ascii="Times New Roman" w:hAnsi="Times New Roman" w:cs="Times New Roman"/>
          <w:sz w:val="20"/>
          <w:szCs w:val="20"/>
        </w:rPr>
        <w:t xml:space="preserve"> size and presence of </w:t>
      </w:r>
      <w:proofErr w:type="spellStart"/>
      <w:r w:rsidRPr="001A392E">
        <w:rPr>
          <w:rFonts w:ascii="Times New Roman" w:hAnsi="Times New Roman" w:cs="Times New Roman"/>
          <w:sz w:val="20"/>
          <w:szCs w:val="20"/>
        </w:rPr>
        <w:t>ascites</w:t>
      </w:r>
      <w:proofErr w:type="spellEnd"/>
      <w:r w:rsidRPr="001A392E">
        <w:rPr>
          <w:rFonts w:ascii="Times New Roman" w:hAnsi="Times New Roman" w:cs="Times New Roman"/>
          <w:sz w:val="20"/>
          <w:szCs w:val="20"/>
        </w:rPr>
        <w:t>.</w:t>
      </w:r>
    </w:p>
    <w:p w:rsidR="004E1829" w:rsidRPr="001A392E" w:rsidRDefault="004E1829" w:rsidP="001A392E">
      <w:pPr>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1A392E">
        <w:rPr>
          <w:rFonts w:ascii="Times New Roman" w:hAnsi="Times New Roman" w:cs="Times New Roman"/>
          <w:sz w:val="20"/>
          <w:szCs w:val="20"/>
        </w:rPr>
        <w:t>Endoscopic evaluation: All patients underwent conventional white light endoscopy</w:t>
      </w:r>
      <w:r w:rsidRPr="001A392E">
        <w:rPr>
          <w:rFonts w:ascii="Times New Roman" w:eastAsia="Times New Roman" w:hAnsi="Times New Roman" w:cs="Times New Roman"/>
          <w:spacing w:val="-2"/>
          <w:sz w:val="20"/>
          <w:szCs w:val="20"/>
        </w:rPr>
        <w:t xml:space="preserve"> </w:t>
      </w:r>
      <w:r w:rsidRPr="001A392E">
        <w:rPr>
          <w:rFonts w:ascii="Times New Roman" w:hAnsi="Times New Roman" w:cs="Times New Roman"/>
          <w:sz w:val="20"/>
          <w:szCs w:val="20"/>
        </w:rPr>
        <w:t xml:space="preserve">using </w:t>
      </w:r>
      <w:proofErr w:type="spellStart"/>
      <w:r w:rsidRPr="001A392E">
        <w:rPr>
          <w:rFonts w:ascii="Times New Roman" w:hAnsi="Times New Roman" w:cs="Times New Roman"/>
          <w:sz w:val="20"/>
          <w:szCs w:val="20"/>
        </w:rPr>
        <w:t>Pentax</w:t>
      </w:r>
      <w:proofErr w:type="spellEnd"/>
      <w:r w:rsidRPr="001A392E">
        <w:rPr>
          <w:rFonts w:ascii="Times New Roman" w:hAnsi="Times New Roman" w:cs="Times New Roman"/>
          <w:sz w:val="20"/>
          <w:szCs w:val="20"/>
        </w:rPr>
        <w:t xml:space="preserve"> EPM-3500 </w:t>
      </w:r>
      <w:proofErr w:type="spellStart"/>
      <w:r w:rsidRPr="001A392E">
        <w:rPr>
          <w:rFonts w:ascii="Times New Roman" w:hAnsi="Times New Roman" w:cs="Times New Roman"/>
          <w:sz w:val="20"/>
          <w:szCs w:val="20"/>
        </w:rPr>
        <w:t>videoscope</w:t>
      </w:r>
      <w:proofErr w:type="spellEnd"/>
      <w:r w:rsidRPr="001A392E">
        <w:rPr>
          <w:rFonts w:ascii="Times New Roman" w:hAnsi="Times New Roman" w:cs="Times New Roman"/>
          <w:sz w:val="20"/>
          <w:szCs w:val="20"/>
        </w:rPr>
        <w:t xml:space="preserve"> system whereas esophageal </w:t>
      </w:r>
      <w:proofErr w:type="spellStart"/>
      <w:r w:rsidRPr="001A392E">
        <w:rPr>
          <w:rFonts w:ascii="Times New Roman" w:hAnsi="Times New Roman" w:cs="Times New Roman"/>
          <w:sz w:val="20"/>
          <w:szCs w:val="20"/>
        </w:rPr>
        <w:t>varices</w:t>
      </w:r>
      <w:proofErr w:type="spellEnd"/>
      <w:r w:rsidRPr="001A392E">
        <w:rPr>
          <w:rFonts w:ascii="Times New Roman" w:hAnsi="Times New Roman" w:cs="Times New Roman"/>
          <w:sz w:val="20"/>
          <w:szCs w:val="20"/>
        </w:rPr>
        <w:t xml:space="preserve"> were classified into </w:t>
      </w:r>
      <w:r w:rsidRPr="001A392E">
        <w:rPr>
          <w:rFonts w:ascii="Times New Roman" w:hAnsi="Times New Roman" w:cs="Times New Roman"/>
          <w:b/>
          <w:bCs/>
          <w:sz w:val="20"/>
          <w:szCs w:val="20"/>
        </w:rPr>
        <w:t xml:space="preserve">Small </w:t>
      </w:r>
      <w:proofErr w:type="spellStart"/>
      <w:r w:rsidRPr="001A392E">
        <w:rPr>
          <w:rFonts w:ascii="Times New Roman" w:hAnsi="Times New Roman" w:cs="Times New Roman"/>
          <w:b/>
          <w:bCs/>
          <w:sz w:val="20"/>
          <w:szCs w:val="20"/>
        </w:rPr>
        <w:t>varices</w:t>
      </w:r>
      <w:proofErr w:type="spellEnd"/>
      <w:r w:rsidRPr="001A392E">
        <w:rPr>
          <w:rFonts w:ascii="Times New Roman" w:hAnsi="Times New Roman" w:cs="Times New Roman"/>
          <w:sz w:val="20"/>
          <w:szCs w:val="20"/>
        </w:rPr>
        <w:t xml:space="preserve">: &lt; 5mm, minimally elevated veins above the esophageal mucosal surface, </w:t>
      </w:r>
      <w:r w:rsidRPr="001A392E">
        <w:rPr>
          <w:rFonts w:ascii="Times New Roman" w:hAnsi="Times New Roman" w:cs="Times New Roman"/>
          <w:b/>
          <w:bCs/>
          <w:sz w:val="20"/>
          <w:szCs w:val="20"/>
        </w:rPr>
        <w:t xml:space="preserve">Large </w:t>
      </w:r>
      <w:proofErr w:type="spellStart"/>
      <w:r w:rsidRPr="001A392E">
        <w:rPr>
          <w:rFonts w:ascii="Times New Roman" w:hAnsi="Times New Roman" w:cs="Times New Roman"/>
          <w:b/>
          <w:bCs/>
          <w:sz w:val="20"/>
          <w:szCs w:val="20"/>
        </w:rPr>
        <w:t>varices</w:t>
      </w:r>
      <w:proofErr w:type="spellEnd"/>
      <w:r w:rsidRPr="001A392E">
        <w:rPr>
          <w:rFonts w:ascii="Times New Roman" w:hAnsi="Times New Roman" w:cs="Times New Roman"/>
          <w:sz w:val="20"/>
          <w:szCs w:val="20"/>
        </w:rPr>
        <w:t>:</w:t>
      </w:r>
      <w:r w:rsidRPr="001A392E">
        <w:rPr>
          <w:rFonts w:ascii="Times New Roman" w:hAnsi="Times New Roman" w:cs="Times New Roman"/>
          <w:b/>
          <w:bCs/>
          <w:sz w:val="20"/>
          <w:szCs w:val="20"/>
        </w:rPr>
        <w:t xml:space="preserve"> </w:t>
      </w:r>
      <w:r w:rsidRPr="001A392E">
        <w:rPr>
          <w:rFonts w:ascii="Times New Roman" w:hAnsi="Times New Roman" w:cs="Times New Roman"/>
          <w:sz w:val="20"/>
          <w:szCs w:val="20"/>
        </w:rPr>
        <w:t xml:space="preserve">&gt; 5mm, tortuous veins occupying more than one-third of the esophageal lumen and it encompassing medium sized </w:t>
      </w:r>
      <w:proofErr w:type="spellStart"/>
      <w:r w:rsidRPr="001A392E">
        <w:rPr>
          <w:rFonts w:ascii="Times New Roman" w:hAnsi="Times New Roman" w:cs="Times New Roman"/>
          <w:sz w:val="20"/>
          <w:szCs w:val="20"/>
        </w:rPr>
        <w:t>varices</w:t>
      </w:r>
      <w:proofErr w:type="spellEnd"/>
      <w:r w:rsidRPr="001A392E">
        <w:rPr>
          <w:rFonts w:ascii="Times New Roman" w:hAnsi="Times New Roman" w:cs="Times New Roman"/>
          <w:sz w:val="20"/>
          <w:szCs w:val="20"/>
        </w:rPr>
        <w:t xml:space="preserve"> </w:t>
      </w:r>
      <w:r w:rsidRPr="001A392E">
        <w:rPr>
          <w:rFonts w:ascii="Times New Roman" w:hAnsi="Times New Roman" w:cs="Times New Roman"/>
          <w:b/>
          <w:bCs/>
          <w:i/>
          <w:iCs/>
          <w:sz w:val="20"/>
          <w:szCs w:val="20"/>
        </w:rPr>
        <w:t>(Garcia-</w:t>
      </w:r>
      <w:proofErr w:type="spellStart"/>
      <w:r w:rsidRPr="001A392E">
        <w:rPr>
          <w:rFonts w:ascii="Times New Roman" w:hAnsi="Times New Roman" w:cs="Times New Roman"/>
          <w:b/>
          <w:bCs/>
          <w:i/>
          <w:iCs/>
          <w:sz w:val="20"/>
          <w:szCs w:val="20"/>
        </w:rPr>
        <w:lastRenderedPageBreak/>
        <w:t>Tsao</w:t>
      </w:r>
      <w:proofErr w:type="spellEnd"/>
      <w:r w:rsidRPr="001A392E">
        <w:rPr>
          <w:rFonts w:ascii="Times New Roman" w:hAnsi="Times New Roman" w:cs="Times New Roman"/>
          <w:b/>
          <w:bCs/>
          <w:i/>
          <w:iCs/>
          <w:sz w:val="20"/>
          <w:szCs w:val="20"/>
        </w:rPr>
        <w:t xml:space="preserve"> et al., 2007)</w:t>
      </w:r>
      <w:r w:rsidRPr="001A392E">
        <w:rPr>
          <w:rFonts w:ascii="Times New Roman" w:hAnsi="Times New Roman" w:cs="Times New Roman"/>
          <w:sz w:val="20"/>
          <w:szCs w:val="20"/>
        </w:rPr>
        <w:t xml:space="preserve">. Also, the finding of gastric mucosa was classified according to </w:t>
      </w:r>
      <w:r w:rsidRPr="001A392E">
        <w:rPr>
          <w:rFonts w:ascii="Times New Roman" w:hAnsi="Times New Roman" w:cs="Times New Roman"/>
          <w:b/>
          <w:bCs/>
          <w:i/>
          <w:iCs/>
          <w:sz w:val="20"/>
          <w:szCs w:val="20"/>
        </w:rPr>
        <w:t>(Perini et al., 2009)</w:t>
      </w:r>
      <w:r w:rsidRPr="001A392E">
        <w:rPr>
          <w:rFonts w:ascii="Times New Roman" w:hAnsi="Times New Roman" w:cs="Times New Roman"/>
          <w:sz w:val="20"/>
          <w:szCs w:val="20"/>
        </w:rPr>
        <w:t xml:space="preserve"> into </w:t>
      </w:r>
      <w:r w:rsidRPr="001A392E">
        <w:rPr>
          <w:rFonts w:ascii="Times New Roman" w:hAnsi="Times New Roman" w:cs="Times New Roman"/>
          <w:b/>
          <w:bCs/>
          <w:sz w:val="20"/>
          <w:szCs w:val="20"/>
        </w:rPr>
        <w:t>Normal mucosa</w:t>
      </w:r>
      <w:r w:rsidRPr="001A392E">
        <w:rPr>
          <w:rFonts w:ascii="Times New Roman" w:eastAsia="Times New Roman" w:hAnsi="Times New Roman" w:cs="Times New Roman"/>
          <w:sz w:val="20"/>
          <w:szCs w:val="20"/>
        </w:rPr>
        <w:t xml:space="preserve"> orange to light red colored mucosa with some small sub-mucosal veins in fornix and gastric body</w:t>
      </w:r>
      <w:r w:rsidRPr="001A392E">
        <w:rPr>
          <w:rFonts w:ascii="Times New Roman" w:hAnsi="Times New Roman" w:cs="Times New Roman"/>
          <w:sz w:val="20"/>
          <w:szCs w:val="20"/>
        </w:rPr>
        <w:t xml:space="preserve">, </w:t>
      </w:r>
      <w:r w:rsidRPr="001A392E">
        <w:rPr>
          <w:rFonts w:ascii="Times New Roman" w:hAnsi="Times New Roman" w:cs="Times New Roman"/>
          <w:b/>
          <w:bCs/>
          <w:sz w:val="20"/>
          <w:szCs w:val="20"/>
        </w:rPr>
        <w:t>Mild PHG</w:t>
      </w:r>
      <w:r w:rsidRPr="001A392E">
        <w:rPr>
          <w:rFonts w:ascii="Times New Roman" w:hAnsi="Times New Roman" w:cs="Times New Roman"/>
          <w:sz w:val="20"/>
          <w:szCs w:val="20"/>
        </w:rPr>
        <w:t xml:space="preserve"> mosaic-like pattern which appear as Small, polygonal areas surrounded by a whitish-yellow depressed border ''snake-skin appearance'', </w:t>
      </w:r>
      <w:r w:rsidRPr="001A392E">
        <w:rPr>
          <w:rFonts w:ascii="Times New Roman" w:hAnsi="Times New Roman" w:cs="Times New Roman"/>
          <w:b/>
          <w:bCs/>
          <w:sz w:val="20"/>
          <w:szCs w:val="20"/>
        </w:rPr>
        <w:t>Severe PHG</w:t>
      </w:r>
      <w:r w:rsidRPr="001A392E">
        <w:rPr>
          <w:rFonts w:ascii="Times New Roman" w:hAnsi="Times New Roman" w:cs="Times New Roman"/>
          <w:sz w:val="20"/>
          <w:szCs w:val="20"/>
        </w:rPr>
        <w:t xml:space="preserve"> mosaic-like pattern is superimposed by red signs or if any other red sings are present.</w:t>
      </w:r>
    </w:p>
    <w:p w:rsidR="004E1829" w:rsidRPr="001A392E" w:rsidRDefault="004E1829" w:rsidP="001A392E">
      <w:pPr>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1A392E">
        <w:rPr>
          <w:rFonts w:ascii="Times New Roman" w:hAnsi="Times New Roman" w:cs="Times New Roman"/>
          <w:sz w:val="20"/>
          <w:szCs w:val="20"/>
        </w:rPr>
        <w:t xml:space="preserve">Those patients were re-evaluated by using the NBI technique using </w:t>
      </w:r>
      <w:proofErr w:type="spellStart"/>
      <w:r w:rsidRPr="001A392E">
        <w:rPr>
          <w:rFonts w:ascii="Times New Roman" w:hAnsi="Times New Roman" w:cs="Times New Roman"/>
          <w:sz w:val="20"/>
          <w:szCs w:val="20"/>
        </w:rPr>
        <w:t>Pentax</w:t>
      </w:r>
      <w:proofErr w:type="spellEnd"/>
      <w:r w:rsidRPr="001A392E">
        <w:rPr>
          <w:rFonts w:ascii="Times New Roman" w:hAnsi="Times New Roman" w:cs="Times New Roman"/>
          <w:sz w:val="20"/>
          <w:szCs w:val="20"/>
        </w:rPr>
        <w:t xml:space="preserve"> EPK-</w:t>
      </w:r>
      <w:proofErr w:type="spellStart"/>
      <w:r w:rsidRPr="001A392E">
        <w:rPr>
          <w:rFonts w:ascii="Times New Roman" w:hAnsi="Times New Roman" w:cs="Times New Roman"/>
          <w:sz w:val="20"/>
          <w:szCs w:val="20"/>
        </w:rPr>
        <w:t>i</w:t>
      </w:r>
      <w:proofErr w:type="spellEnd"/>
      <w:r w:rsidRPr="001A392E">
        <w:rPr>
          <w:rFonts w:ascii="Times New Roman" w:hAnsi="Times New Roman" w:cs="Times New Roman"/>
          <w:sz w:val="20"/>
          <w:szCs w:val="20"/>
        </w:rPr>
        <w:t xml:space="preserve"> video processor which is a computer controlled processor that provides a spectacular image with an unrivaled of 1.25 megapixels which is approximately 50% higher than any other endoscopy using a sophisticated soft ware that enhances and </w:t>
      </w:r>
      <w:proofErr w:type="spellStart"/>
      <w:r w:rsidRPr="001A392E">
        <w:rPr>
          <w:rFonts w:ascii="Times New Roman" w:hAnsi="Times New Roman" w:cs="Times New Roman"/>
          <w:sz w:val="20"/>
          <w:szCs w:val="20"/>
        </w:rPr>
        <w:t>analyse</w:t>
      </w:r>
      <w:proofErr w:type="spellEnd"/>
      <w:r w:rsidRPr="001A392E">
        <w:rPr>
          <w:rFonts w:ascii="Times New Roman" w:hAnsi="Times New Roman" w:cs="Times New Roman"/>
          <w:sz w:val="20"/>
          <w:szCs w:val="20"/>
        </w:rPr>
        <w:t xml:space="preserve"> the image area providing detailed imaging of mucosa topography and </w:t>
      </w:r>
      <w:proofErr w:type="spellStart"/>
      <w:r w:rsidRPr="001A392E">
        <w:rPr>
          <w:rFonts w:ascii="Times New Roman" w:hAnsi="Times New Roman" w:cs="Times New Roman"/>
          <w:sz w:val="20"/>
          <w:szCs w:val="20"/>
        </w:rPr>
        <w:t>vascularity</w:t>
      </w:r>
      <w:proofErr w:type="spellEnd"/>
      <w:r w:rsidRPr="001A392E">
        <w:rPr>
          <w:rFonts w:ascii="Times New Roman" w:hAnsi="Times New Roman" w:cs="Times New Roman"/>
          <w:sz w:val="20"/>
          <w:szCs w:val="20"/>
        </w:rPr>
        <w:t xml:space="preserve">.   </w:t>
      </w:r>
    </w:p>
    <w:p w:rsidR="004E1829" w:rsidRPr="001A392E" w:rsidRDefault="004E1829" w:rsidP="001A392E">
      <w:pPr>
        <w:autoSpaceDE w:val="0"/>
        <w:autoSpaceDN w:val="0"/>
        <w:adjustRightInd w:val="0"/>
        <w:snapToGrid w:val="0"/>
        <w:spacing w:after="0" w:line="240" w:lineRule="auto"/>
        <w:ind w:left="360"/>
        <w:jc w:val="both"/>
        <w:rPr>
          <w:rFonts w:ascii="Times New Roman" w:hAnsi="Times New Roman" w:cs="Times New Roman"/>
          <w:b/>
          <w:bCs/>
          <w:sz w:val="20"/>
          <w:szCs w:val="20"/>
        </w:rPr>
      </w:pPr>
    </w:p>
    <w:p w:rsidR="001A392E" w:rsidRDefault="004E1829" w:rsidP="001A392E">
      <w:pPr>
        <w:autoSpaceDE w:val="0"/>
        <w:autoSpaceDN w:val="0"/>
        <w:adjustRightInd w:val="0"/>
        <w:snapToGrid w:val="0"/>
        <w:spacing w:after="0" w:line="240" w:lineRule="auto"/>
        <w:jc w:val="both"/>
        <w:rPr>
          <w:rFonts w:ascii="Times New Roman" w:hAnsi="Times New Roman" w:cs="Times New Roman"/>
          <w:b/>
          <w:bCs/>
          <w:sz w:val="20"/>
          <w:szCs w:val="20"/>
        </w:rPr>
      </w:pPr>
      <w:r w:rsidRPr="001A392E">
        <w:rPr>
          <w:rFonts w:ascii="Times New Roman" w:hAnsi="Times New Roman" w:cs="Times New Roman"/>
          <w:b/>
          <w:bCs/>
          <w:sz w:val="20"/>
          <w:szCs w:val="20"/>
        </w:rPr>
        <w:t xml:space="preserve">Statistical Analysis: </w:t>
      </w:r>
    </w:p>
    <w:p w:rsidR="004E1829" w:rsidRPr="001A392E" w:rsidRDefault="004E1829" w:rsidP="001A392E">
      <w:pPr>
        <w:autoSpaceDE w:val="0"/>
        <w:autoSpaceDN w:val="0"/>
        <w:adjustRightInd w:val="0"/>
        <w:snapToGrid w:val="0"/>
        <w:spacing w:after="0" w:line="240" w:lineRule="auto"/>
        <w:ind w:firstLine="720"/>
        <w:jc w:val="both"/>
        <w:rPr>
          <w:rFonts w:ascii="Times New Roman" w:hAnsi="Times New Roman" w:cs="Times New Roman"/>
          <w:sz w:val="20"/>
          <w:szCs w:val="20"/>
        </w:rPr>
      </w:pPr>
      <w:r w:rsidRPr="001A392E">
        <w:rPr>
          <w:rFonts w:ascii="Times New Roman" w:hAnsi="Times New Roman" w:cs="Times New Roman"/>
          <w:sz w:val="20"/>
          <w:szCs w:val="20"/>
        </w:rPr>
        <w:t>All collected data were expressed as mean± SD and analyzed by using SPSS version 12 using the following tests: Student t test, Chi-square test, Fisher test, Receiver operating curve (ROC) to detect area under curve (AUC), cut off value (COV) for best sensitivity, specificity, positive predictive value (PPV), negative predictive value (NPV) and efficacy. P&lt;0.05 was considered significant and at P&lt;0.001 was considered highly significant, while at P&gt;0.05 was considered not significant.</w:t>
      </w:r>
    </w:p>
    <w:p w:rsidR="004E1829" w:rsidRPr="001A392E" w:rsidRDefault="004E1829" w:rsidP="001A392E">
      <w:pPr>
        <w:autoSpaceDE w:val="0"/>
        <w:autoSpaceDN w:val="0"/>
        <w:adjustRightInd w:val="0"/>
        <w:snapToGrid w:val="0"/>
        <w:spacing w:after="0" w:line="240" w:lineRule="auto"/>
        <w:jc w:val="both"/>
        <w:rPr>
          <w:rFonts w:ascii="Times New Roman" w:hAnsi="Times New Roman" w:cs="Times New Roman"/>
          <w:sz w:val="20"/>
          <w:szCs w:val="20"/>
        </w:rPr>
      </w:pPr>
    </w:p>
    <w:p w:rsidR="001A392E" w:rsidRDefault="004E1829" w:rsidP="001A392E">
      <w:pPr>
        <w:autoSpaceDE w:val="0"/>
        <w:autoSpaceDN w:val="0"/>
        <w:adjustRightInd w:val="0"/>
        <w:snapToGrid w:val="0"/>
        <w:spacing w:after="0" w:line="240" w:lineRule="auto"/>
        <w:jc w:val="both"/>
        <w:rPr>
          <w:rFonts w:ascii="Times New Roman" w:hAnsi="Times New Roman" w:cs="Times New Roman"/>
          <w:b/>
          <w:bCs/>
          <w:sz w:val="20"/>
          <w:szCs w:val="20"/>
        </w:rPr>
      </w:pPr>
      <w:r w:rsidRPr="001A392E">
        <w:rPr>
          <w:rFonts w:ascii="Times New Roman" w:hAnsi="Times New Roman" w:cs="Times New Roman"/>
          <w:b/>
          <w:bCs/>
          <w:sz w:val="20"/>
          <w:szCs w:val="20"/>
        </w:rPr>
        <w:t xml:space="preserve">Results: </w:t>
      </w:r>
    </w:p>
    <w:p w:rsidR="004E1829" w:rsidRPr="001A392E" w:rsidRDefault="004E1829" w:rsidP="001A392E">
      <w:pPr>
        <w:autoSpaceDE w:val="0"/>
        <w:autoSpaceDN w:val="0"/>
        <w:adjustRightInd w:val="0"/>
        <w:snapToGrid w:val="0"/>
        <w:spacing w:after="0" w:line="240" w:lineRule="auto"/>
        <w:ind w:firstLine="720"/>
        <w:jc w:val="both"/>
        <w:rPr>
          <w:rFonts w:ascii="Times New Roman" w:hAnsi="Times New Roman" w:cs="Times New Roman"/>
          <w:sz w:val="20"/>
          <w:szCs w:val="20"/>
        </w:rPr>
      </w:pPr>
      <w:r w:rsidRPr="001A392E">
        <w:rPr>
          <w:rFonts w:ascii="Times New Roman" w:hAnsi="Times New Roman" w:cs="Times New Roman"/>
          <w:sz w:val="20"/>
          <w:szCs w:val="20"/>
        </w:rPr>
        <w:t>Of the 100 cirrhotic patients included in the study; group A, 31(62%) were males and 19(38%) were females, with a mean age of 55.6± 8 years, WBC's count of (3.2 ±  1.4 x103/mm3), platelet count of (66.5± 23 x103/mm3), serum albumin level of (2.7 ±  0.5 g/</w:t>
      </w:r>
      <w:proofErr w:type="spellStart"/>
      <w:r w:rsidRPr="001A392E">
        <w:rPr>
          <w:rFonts w:ascii="Times New Roman" w:hAnsi="Times New Roman" w:cs="Times New Roman"/>
          <w:sz w:val="20"/>
          <w:szCs w:val="20"/>
        </w:rPr>
        <w:t>dL</w:t>
      </w:r>
      <w:proofErr w:type="spellEnd"/>
      <w:r w:rsidRPr="001A392E">
        <w:rPr>
          <w:rFonts w:ascii="Times New Roman" w:hAnsi="Times New Roman" w:cs="Times New Roman"/>
          <w:sz w:val="20"/>
          <w:szCs w:val="20"/>
        </w:rPr>
        <w:t xml:space="preserve">), INR was 1.5 ±  0.2, mean </w:t>
      </w:r>
      <w:proofErr w:type="spellStart"/>
      <w:r w:rsidRPr="001A392E">
        <w:rPr>
          <w:rFonts w:ascii="Times New Roman" w:hAnsi="Times New Roman" w:cs="Times New Roman"/>
          <w:sz w:val="20"/>
          <w:szCs w:val="20"/>
        </w:rPr>
        <w:t>splenic</w:t>
      </w:r>
      <w:proofErr w:type="spellEnd"/>
      <w:r w:rsidRPr="001A392E">
        <w:rPr>
          <w:rFonts w:ascii="Times New Roman" w:hAnsi="Times New Roman" w:cs="Times New Roman"/>
          <w:sz w:val="20"/>
          <w:szCs w:val="20"/>
        </w:rPr>
        <w:t xml:space="preserve"> diameter was (169.6 ±  15 mm), portal vein diameter was (15.3 ± 1.2 mm), </w:t>
      </w:r>
      <w:proofErr w:type="spellStart"/>
      <w:r w:rsidRPr="001A392E">
        <w:rPr>
          <w:rFonts w:ascii="Times New Roman" w:hAnsi="Times New Roman" w:cs="Times New Roman"/>
          <w:sz w:val="20"/>
          <w:szCs w:val="20"/>
        </w:rPr>
        <w:t>ascites</w:t>
      </w:r>
      <w:proofErr w:type="spellEnd"/>
      <w:r w:rsidRPr="001A392E">
        <w:rPr>
          <w:rFonts w:ascii="Times New Roman" w:hAnsi="Times New Roman" w:cs="Times New Roman"/>
          <w:sz w:val="20"/>
          <w:szCs w:val="20"/>
        </w:rPr>
        <w:t xml:space="preserve"> was present in 37 patients (74%).</w:t>
      </w:r>
    </w:p>
    <w:p w:rsidR="004E1829" w:rsidRPr="001A392E" w:rsidRDefault="004E1829" w:rsidP="001A392E">
      <w:pPr>
        <w:autoSpaceDE w:val="0"/>
        <w:autoSpaceDN w:val="0"/>
        <w:adjustRightInd w:val="0"/>
        <w:snapToGrid w:val="0"/>
        <w:spacing w:after="0" w:line="240" w:lineRule="auto"/>
        <w:ind w:firstLine="720"/>
        <w:jc w:val="both"/>
        <w:rPr>
          <w:rFonts w:ascii="Times New Roman" w:hAnsi="Times New Roman" w:cs="Times New Roman"/>
          <w:sz w:val="20"/>
          <w:szCs w:val="20"/>
        </w:rPr>
      </w:pPr>
      <w:r w:rsidRPr="001A392E">
        <w:rPr>
          <w:rFonts w:ascii="Times New Roman" w:hAnsi="Times New Roman" w:cs="Times New Roman"/>
          <w:sz w:val="20"/>
          <w:szCs w:val="20"/>
        </w:rPr>
        <w:t>Group B included 28 (56%) males and 22 (44%) females. Their mean age was (52 ±  8 years), WBC's count was (3.9 ±  0.6 x103/mm3), platelet count was (156.8 ±  32 x103/mm3), serum albumin level was (3.5 ±  0.4 g/</w:t>
      </w:r>
      <w:proofErr w:type="spellStart"/>
      <w:r w:rsidRPr="001A392E">
        <w:rPr>
          <w:rFonts w:ascii="Times New Roman" w:hAnsi="Times New Roman" w:cs="Times New Roman"/>
          <w:sz w:val="20"/>
          <w:szCs w:val="20"/>
        </w:rPr>
        <w:t>dL</w:t>
      </w:r>
      <w:proofErr w:type="spellEnd"/>
      <w:r w:rsidRPr="001A392E">
        <w:rPr>
          <w:rFonts w:ascii="Times New Roman" w:hAnsi="Times New Roman" w:cs="Times New Roman"/>
          <w:sz w:val="20"/>
          <w:szCs w:val="20"/>
        </w:rPr>
        <w:t xml:space="preserve">), INR was 1.1 ±  0.08, mean </w:t>
      </w:r>
      <w:proofErr w:type="spellStart"/>
      <w:r w:rsidRPr="001A392E">
        <w:rPr>
          <w:rFonts w:ascii="Times New Roman" w:hAnsi="Times New Roman" w:cs="Times New Roman"/>
          <w:sz w:val="20"/>
          <w:szCs w:val="20"/>
        </w:rPr>
        <w:t>splenic</w:t>
      </w:r>
      <w:proofErr w:type="spellEnd"/>
      <w:r w:rsidRPr="001A392E">
        <w:rPr>
          <w:rFonts w:ascii="Times New Roman" w:hAnsi="Times New Roman" w:cs="Times New Roman"/>
          <w:sz w:val="20"/>
          <w:szCs w:val="20"/>
        </w:rPr>
        <w:t xml:space="preserve"> diameter was (141.4 ±  14 mm), portal vein diameter was (11.1± 1.3 mm) with absence of </w:t>
      </w:r>
      <w:proofErr w:type="spellStart"/>
      <w:r w:rsidRPr="001A392E">
        <w:rPr>
          <w:rFonts w:ascii="Times New Roman" w:hAnsi="Times New Roman" w:cs="Times New Roman"/>
          <w:sz w:val="20"/>
          <w:szCs w:val="20"/>
        </w:rPr>
        <w:t>ascites</w:t>
      </w:r>
      <w:proofErr w:type="spellEnd"/>
      <w:r w:rsidRPr="001A392E">
        <w:rPr>
          <w:rFonts w:ascii="Times New Roman" w:hAnsi="Times New Roman" w:cs="Times New Roman"/>
          <w:sz w:val="20"/>
          <w:szCs w:val="20"/>
        </w:rPr>
        <w:t xml:space="preserve">. Presence of PHG and its severity was significantly higher in group (A) patients. </w:t>
      </w:r>
    </w:p>
    <w:p w:rsidR="001A392E" w:rsidRPr="001A392E" w:rsidRDefault="001A392E" w:rsidP="00707B16">
      <w:pPr>
        <w:widowControl w:val="0"/>
        <w:adjustRightInd w:val="0"/>
        <w:snapToGrid w:val="0"/>
        <w:spacing w:after="0" w:line="240" w:lineRule="auto"/>
        <w:ind w:firstLine="720"/>
        <w:jc w:val="both"/>
        <w:rPr>
          <w:rFonts w:ascii="Times New Roman" w:eastAsia="SimSun" w:hAnsi="Times New Roman" w:cs="Times New Roman"/>
          <w:kern w:val="2"/>
          <w:sz w:val="20"/>
          <w:szCs w:val="20"/>
          <w:lang w:eastAsia="zh-CN"/>
        </w:rPr>
      </w:pPr>
      <w:r>
        <w:rPr>
          <w:rFonts w:ascii="Times New Roman" w:eastAsia="SimSun" w:hAnsi="Times New Roman" w:cs="Times New Roman"/>
          <w:color w:val="000000"/>
          <w:kern w:val="2"/>
          <w:sz w:val="20"/>
          <w:szCs w:val="20"/>
          <w:lang w:eastAsia="zh-CN"/>
        </w:rPr>
        <w:t>The e</w:t>
      </w:r>
      <w:r w:rsidRPr="001A392E">
        <w:rPr>
          <w:rFonts w:ascii="Times New Roman" w:hAnsi="Times New Roman" w:cs="Times New Roman"/>
          <w:sz w:val="20"/>
          <w:szCs w:val="20"/>
        </w:rPr>
        <w:t>ndoscopic examination findings of both groups are shown in table (1)</w:t>
      </w:r>
      <w:r>
        <w:rPr>
          <w:rFonts w:ascii="Times New Roman" w:hAnsi="Times New Roman" w:cs="Times New Roman"/>
          <w:sz w:val="20"/>
          <w:szCs w:val="20"/>
        </w:rPr>
        <w:t xml:space="preserve">. </w:t>
      </w:r>
    </w:p>
    <w:p w:rsidR="004E1829" w:rsidRPr="001A392E" w:rsidRDefault="004E1829" w:rsidP="001A392E">
      <w:pPr>
        <w:widowControl w:val="0"/>
        <w:adjustRightInd w:val="0"/>
        <w:snapToGrid w:val="0"/>
        <w:spacing w:after="0" w:line="240" w:lineRule="auto"/>
        <w:jc w:val="both"/>
        <w:rPr>
          <w:rFonts w:ascii="Times New Roman" w:eastAsia="SimSun" w:hAnsi="Times New Roman" w:cs="Times New Roman"/>
          <w:kern w:val="2"/>
          <w:sz w:val="20"/>
          <w:szCs w:val="20"/>
          <w:lang w:eastAsia="zh-CN"/>
        </w:rPr>
        <w:sectPr w:rsidR="004E1829" w:rsidRPr="001A392E" w:rsidSect="001A392E">
          <w:type w:val="continuous"/>
          <w:pgSz w:w="12242" w:h="15842" w:code="1"/>
          <w:pgMar w:top="1440" w:right="1440" w:bottom="1440" w:left="1440" w:header="720" w:footer="720" w:gutter="0"/>
          <w:cols w:num="2" w:space="550"/>
          <w:docGrid w:linePitch="312"/>
        </w:sectPr>
      </w:pPr>
    </w:p>
    <w:p w:rsidR="001A392E" w:rsidRDefault="001A392E" w:rsidP="001A392E">
      <w:pPr>
        <w:autoSpaceDE w:val="0"/>
        <w:autoSpaceDN w:val="0"/>
        <w:adjustRightInd w:val="0"/>
        <w:snapToGrid w:val="0"/>
        <w:spacing w:after="0" w:line="240" w:lineRule="auto"/>
        <w:jc w:val="both"/>
        <w:rPr>
          <w:rFonts w:ascii="Times New Roman" w:eastAsia="SimSun" w:hAnsi="Times New Roman" w:cs="Times New Roman"/>
          <w:color w:val="000000"/>
          <w:kern w:val="2"/>
          <w:sz w:val="20"/>
          <w:szCs w:val="20"/>
          <w:lang w:eastAsia="zh-CN"/>
        </w:rPr>
      </w:pPr>
    </w:p>
    <w:p w:rsidR="004E1829" w:rsidRPr="001A392E" w:rsidRDefault="004E1829" w:rsidP="001A392E">
      <w:pPr>
        <w:autoSpaceDE w:val="0"/>
        <w:autoSpaceDN w:val="0"/>
        <w:adjustRightInd w:val="0"/>
        <w:snapToGrid w:val="0"/>
        <w:spacing w:after="0" w:line="240" w:lineRule="auto"/>
        <w:jc w:val="both"/>
        <w:rPr>
          <w:rFonts w:ascii="Times New Roman" w:hAnsi="Times New Roman" w:cs="Times New Roman"/>
          <w:sz w:val="20"/>
          <w:szCs w:val="20"/>
        </w:rPr>
      </w:pPr>
    </w:p>
    <w:p w:rsidR="004E1829" w:rsidRDefault="004E1829" w:rsidP="001A392E">
      <w:pPr>
        <w:tabs>
          <w:tab w:val="center" w:pos="2323"/>
        </w:tabs>
        <w:autoSpaceDE w:val="0"/>
        <w:autoSpaceDN w:val="0"/>
        <w:adjustRightInd w:val="0"/>
        <w:snapToGrid w:val="0"/>
        <w:spacing w:after="0" w:line="240" w:lineRule="auto"/>
        <w:jc w:val="center"/>
        <w:rPr>
          <w:rFonts w:ascii="Times New Roman" w:hAnsi="Times New Roman" w:cs="Times New Roman"/>
          <w:sz w:val="20"/>
          <w:szCs w:val="20"/>
        </w:rPr>
      </w:pPr>
      <w:r w:rsidRPr="001A392E">
        <w:rPr>
          <w:rFonts w:ascii="Times New Roman" w:eastAsia="Times New Roman" w:hAnsi="Times New Roman" w:cs="Times New Roman"/>
          <w:noProof/>
          <w:sz w:val="20"/>
          <w:szCs w:val="20"/>
          <w:lang w:eastAsia="zh-CN"/>
        </w:rPr>
        <w:drawing>
          <wp:anchor distT="0" distB="0" distL="114300" distR="114300" simplePos="0" relativeHeight="251661312" behindDoc="0" locked="0" layoutInCell="1" allowOverlap="1">
            <wp:simplePos x="0" y="0"/>
            <wp:positionH relativeFrom="column">
              <wp:posOffset>323850</wp:posOffset>
            </wp:positionH>
            <wp:positionV relativeFrom="paragraph">
              <wp:posOffset>15875</wp:posOffset>
            </wp:positionV>
            <wp:extent cx="1955800" cy="1438910"/>
            <wp:effectExtent l="19050" t="19050" r="25400" b="27940"/>
            <wp:wrapSquare wrapText="bothSides"/>
            <wp:docPr id="2" name="Picture 2" descr="IMG_0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792"/>
                    <pic:cNvPicPr>
                      <a:picLocks noChangeAspect="1" noChangeArrowheads="1"/>
                    </pic:cNvPicPr>
                  </pic:nvPicPr>
                  <pic:blipFill>
                    <a:blip r:embed="rId11" cstate="print"/>
                    <a:srcRect/>
                    <a:stretch>
                      <a:fillRect/>
                    </a:stretch>
                  </pic:blipFill>
                  <pic:spPr bwMode="auto">
                    <a:xfrm>
                      <a:off x="0" y="0"/>
                      <a:ext cx="1955800" cy="1438910"/>
                    </a:xfrm>
                    <a:prstGeom prst="rect">
                      <a:avLst/>
                    </a:prstGeom>
                    <a:noFill/>
                    <a:ln w="6350" cmpd="sng">
                      <a:solidFill>
                        <a:srgbClr val="000000"/>
                      </a:solidFill>
                      <a:miter lim="800000"/>
                      <a:headEnd/>
                      <a:tailEnd/>
                    </a:ln>
                    <a:effectLst/>
                  </pic:spPr>
                </pic:pic>
              </a:graphicData>
            </a:graphic>
          </wp:anchor>
        </w:drawing>
      </w:r>
      <w:r w:rsidRPr="001A392E">
        <w:rPr>
          <w:rFonts w:ascii="Times New Roman" w:eastAsia="Times New Roman" w:hAnsi="Times New Roman" w:cs="Times New Roman"/>
          <w:noProof/>
          <w:sz w:val="20"/>
          <w:szCs w:val="20"/>
          <w:lang w:eastAsia="zh-CN"/>
        </w:rPr>
        <w:drawing>
          <wp:inline distT="0" distB="0" distL="0" distR="0">
            <wp:extent cx="2110866" cy="1425078"/>
            <wp:effectExtent l="19050" t="19050" r="22734" b="22722"/>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4422" cy="1420727"/>
                    </a:xfrm>
                    <a:prstGeom prst="rect">
                      <a:avLst/>
                    </a:prstGeom>
                    <a:noFill/>
                    <a:ln w="6350" cmpd="sng">
                      <a:solidFill>
                        <a:srgbClr val="000000"/>
                      </a:solidFill>
                      <a:miter lim="800000"/>
                      <a:headEnd/>
                      <a:tailEnd/>
                    </a:ln>
                    <a:effectLst/>
                  </pic:spPr>
                </pic:pic>
              </a:graphicData>
            </a:graphic>
          </wp:inline>
        </w:drawing>
      </w:r>
    </w:p>
    <w:p w:rsidR="001A392E" w:rsidRPr="001A392E" w:rsidRDefault="001A392E" w:rsidP="001A392E">
      <w:pPr>
        <w:tabs>
          <w:tab w:val="center" w:pos="2323"/>
        </w:tabs>
        <w:autoSpaceDE w:val="0"/>
        <w:autoSpaceDN w:val="0"/>
        <w:adjustRightInd w:val="0"/>
        <w:snapToGrid w:val="0"/>
        <w:spacing w:after="0" w:line="240" w:lineRule="auto"/>
        <w:jc w:val="center"/>
        <w:rPr>
          <w:rFonts w:ascii="Times New Roman" w:hAnsi="Times New Roman" w:cs="Times New Roman"/>
          <w:sz w:val="20"/>
          <w:szCs w:val="20"/>
        </w:rPr>
      </w:pPr>
    </w:p>
    <w:p w:rsidR="004E1829" w:rsidRPr="001A392E" w:rsidRDefault="004E1829" w:rsidP="001A392E">
      <w:pPr>
        <w:autoSpaceDE w:val="0"/>
        <w:autoSpaceDN w:val="0"/>
        <w:adjustRightInd w:val="0"/>
        <w:snapToGrid w:val="0"/>
        <w:spacing w:after="0" w:line="240" w:lineRule="auto"/>
        <w:jc w:val="center"/>
        <w:rPr>
          <w:rFonts w:ascii="Times New Roman" w:hAnsi="Times New Roman" w:cs="Times New Roman"/>
          <w:sz w:val="20"/>
          <w:szCs w:val="20"/>
        </w:rPr>
      </w:pPr>
      <w:r w:rsidRPr="001A392E">
        <w:rPr>
          <w:rFonts w:ascii="Times New Roman" w:hAnsi="Times New Roman" w:cs="Times New Roman"/>
          <w:b/>
          <w:bCs/>
          <w:sz w:val="20"/>
          <w:szCs w:val="20"/>
        </w:rPr>
        <w:t>Figure (1):</w:t>
      </w:r>
      <w:r w:rsidRPr="001A392E">
        <w:rPr>
          <w:rFonts w:ascii="Times New Roman" w:hAnsi="Times New Roman" w:cs="Times New Roman"/>
          <w:sz w:val="20"/>
          <w:szCs w:val="20"/>
        </w:rPr>
        <w:t xml:space="preserve"> Normal gastric mucosa (a) NBI. (b) Magnified view.</w:t>
      </w:r>
    </w:p>
    <w:p w:rsidR="004E1829" w:rsidRPr="001A392E" w:rsidRDefault="004E1829" w:rsidP="001A392E">
      <w:pPr>
        <w:autoSpaceDE w:val="0"/>
        <w:autoSpaceDN w:val="0"/>
        <w:adjustRightInd w:val="0"/>
        <w:snapToGrid w:val="0"/>
        <w:spacing w:after="0" w:line="240" w:lineRule="auto"/>
        <w:jc w:val="both"/>
        <w:rPr>
          <w:rFonts w:ascii="Times New Roman" w:hAnsi="Times New Roman" w:cs="Times New Roman"/>
          <w:sz w:val="20"/>
          <w:szCs w:val="20"/>
        </w:rPr>
      </w:pPr>
    </w:p>
    <w:p w:rsidR="004E1829" w:rsidRPr="001A392E" w:rsidRDefault="004E1829" w:rsidP="001A392E">
      <w:pPr>
        <w:autoSpaceDE w:val="0"/>
        <w:autoSpaceDN w:val="0"/>
        <w:adjustRightInd w:val="0"/>
        <w:snapToGrid w:val="0"/>
        <w:spacing w:after="0" w:line="240" w:lineRule="auto"/>
        <w:jc w:val="both"/>
        <w:rPr>
          <w:rFonts w:ascii="Times New Roman" w:hAnsi="Times New Roman" w:cs="Times New Roman"/>
          <w:sz w:val="20"/>
          <w:szCs w:val="20"/>
        </w:rPr>
      </w:pPr>
      <w:r w:rsidRPr="001A392E">
        <w:rPr>
          <w:rFonts w:ascii="Times New Roman" w:hAnsi="Times New Roman" w:cs="Times New Roman"/>
          <w:b/>
          <w:bCs/>
          <w:sz w:val="20"/>
          <w:szCs w:val="20"/>
        </w:rPr>
        <w:t>Table (1):</w:t>
      </w:r>
      <w:r w:rsidRPr="001A392E">
        <w:rPr>
          <w:rFonts w:ascii="Times New Roman" w:hAnsi="Times New Roman" w:cs="Times New Roman"/>
          <w:sz w:val="20"/>
          <w:szCs w:val="20"/>
        </w:rPr>
        <w:t xml:space="preserve"> Comparison between both studied groups as regard UGI finding and PHG.</w:t>
      </w:r>
    </w:p>
    <w:p w:rsidR="004E1829" w:rsidRPr="001A392E" w:rsidRDefault="004E1829" w:rsidP="001A392E">
      <w:pPr>
        <w:autoSpaceDE w:val="0"/>
        <w:autoSpaceDN w:val="0"/>
        <w:adjustRightInd w:val="0"/>
        <w:snapToGrid w:val="0"/>
        <w:spacing w:after="0" w:line="240" w:lineRule="auto"/>
        <w:jc w:val="both"/>
        <w:rPr>
          <w:rFonts w:ascii="Times New Roman" w:hAnsi="Times New Roman" w:cs="Times New Roman"/>
          <w:sz w:val="20"/>
          <w:szCs w:val="2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990"/>
        <w:gridCol w:w="1988"/>
        <w:gridCol w:w="1984"/>
        <w:gridCol w:w="2410"/>
      </w:tblGrid>
      <w:tr w:rsidR="004E1829" w:rsidRPr="001A392E" w:rsidTr="001A392E">
        <w:trPr>
          <w:cantSplit/>
          <w:jc w:val="center"/>
        </w:trPr>
        <w:tc>
          <w:tcPr>
            <w:tcW w:w="900" w:type="dxa"/>
            <w:tcBorders>
              <w:top w:val="thinThickSmallGap" w:sz="24" w:space="0" w:color="auto"/>
              <w:left w:val="thinThickSmallGap" w:sz="2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 xml:space="preserve">P </w:t>
            </w:r>
          </w:p>
        </w:tc>
        <w:tc>
          <w:tcPr>
            <w:tcW w:w="990" w:type="dxa"/>
            <w:tcBorders>
              <w:top w:val="thinThickSmallGap" w:sz="24" w:space="0" w:color="auto"/>
              <w:left w:val="single" w:sz="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X</w:t>
            </w:r>
            <w:r w:rsidRPr="001A392E">
              <w:rPr>
                <w:rFonts w:ascii="Times New Roman" w:eastAsia="Times New Roman" w:hAnsi="Times New Roman" w:cs="Times New Roman"/>
                <w:b/>
                <w:bCs/>
                <w:sz w:val="20"/>
                <w:szCs w:val="20"/>
                <w:vertAlign w:val="superscript"/>
              </w:rPr>
              <w:t>2</w:t>
            </w:r>
          </w:p>
        </w:tc>
        <w:tc>
          <w:tcPr>
            <w:tcW w:w="1988" w:type="dxa"/>
            <w:tcBorders>
              <w:top w:val="thinThickSmallGap" w:sz="24" w:space="0" w:color="auto"/>
              <w:left w:val="single" w:sz="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Group B</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N=50</w:t>
            </w:r>
          </w:p>
        </w:tc>
        <w:tc>
          <w:tcPr>
            <w:tcW w:w="1984" w:type="dxa"/>
            <w:tcBorders>
              <w:top w:val="thinThickSmallGap" w:sz="24" w:space="0" w:color="auto"/>
              <w:left w:val="single" w:sz="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Group A</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lang w:bidi="ar-EG"/>
              </w:rPr>
            </w:pPr>
            <w:r w:rsidRPr="001A392E">
              <w:rPr>
                <w:rFonts w:ascii="Times New Roman" w:eastAsia="Times New Roman" w:hAnsi="Times New Roman" w:cs="Times New Roman"/>
                <w:sz w:val="20"/>
                <w:szCs w:val="20"/>
              </w:rPr>
              <w:t>N=50</w:t>
            </w:r>
          </w:p>
        </w:tc>
        <w:tc>
          <w:tcPr>
            <w:tcW w:w="2410" w:type="dxa"/>
            <w:tcBorders>
              <w:top w:val="thinThickSmallGap" w:sz="24" w:space="0" w:color="auto"/>
              <w:left w:val="single" w:sz="4" w:space="0" w:color="auto"/>
              <w:bottom w:val="thinThickThinSmallGap" w:sz="24" w:space="0" w:color="auto"/>
              <w:right w:val="thickThinSmallGap" w:sz="24" w:space="0" w:color="auto"/>
            </w:tcBorders>
          </w:tcPr>
          <w:p w:rsidR="004E1829" w:rsidRPr="001A392E" w:rsidRDefault="004E1829" w:rsidP="001A392E">
            <w:pPr>
              <w:keepNext/>
              <w:bidi/>
              <w:adjustRightInd w:val="0"/>
              <w:snapToGrid w:val="0"/>
              <w:spacing w:after="0" w:line="240" w:lineRule="auto"/>
              <w:jc w:val="right"/>
              <w:outlineLvl w:val="1"/>
              <w:rPr>
                <w:rFonts w:ascii="Times New Roman" w:eastAsia="Calibri" w:hAnsi="Times New Roman" w:cs="Times New Roman"/>
                <w:b/>
                <w:bCs/>
                <w:sz w:val="20"/>
                <w:szCs w:val="20"/>
                <w:lang w:eastAsia="ar-SA" w:bidi="ar-EG"/>
              </w:rPr>
            </w:pPr>
            <w:r w:rsidRPr="001A392E">
              <w:rPr>
                <w:rFonts w:ascii="Times New Roman" w:eastAsia="Calibri" w:hAnsi="Times New Roman" w:cs="Times New Roman"/>
                <w:b/>
                <w:bCs/>
                <w:sz w:val="20"/>
                <w:szCs w:val="20"/>
                <w:lang w:eastAsia="ar-SA" w:bidi="ar-EG"/>
              </w:rPr>
              <w:t xml:space="preserve">Variables </w:t>
            </w:r>
          </w:p>
        </w:tc>
      </w:tr>
      <w:tr w:rsidR="004E1829" w:rsidRPr="001A392E" w:rsidTr="001A392E">
        <w:trPr>
          <w:cantSplit/>
          <w:jc w:val="center"/>
        </w:trPr>
        <w:tc>
          <w:tcPr>
            <w:tcW w:w="900" w:type="dxa"/>
            <w:tcBorders>
              <w:top w:val="thinThickThinSmallGap" w:sz="2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990" w:type="dxa"/>
            <w:tcBorders>
              <w:top w:val="thinThickThinSmallGap"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1988" w:type="dxa"/>
            <w:tcBorders>
              <w:top w:val="thinThickThinSmallGap"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p>
        </w:tc>
        <w:tc>
          <w:tcPr>
            <w:tcW w:w="1984" w:type="dxa"/>
            <w:tcBorders>
              <w:top w:val="thinThickThinSmallGap"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p>
        </w:tc>
        <w:tc>
          <w:tcPr>
            <w:tcW w:w="2410" w:type="dxa"/>
            <w:tcBorders>
              <w:top w:val="thinThickThinSmallGap" w:sz="2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b/>
                <w:bCs/>
                <w:sz w:val="20"/>
                <w:szCs w:val="20"/>
              </w:rPr>
              <w:t>PHG by WLE</w:t>
            </w:r>
          </w:p>
        </w:tc>
      </w:tr>
      <w:tr w:rsidR="004E1829" w:rsidRPr="001A392E" w:rsidTr="001A392E">
        <w:trPr>
          <w:cantSplit/>
          <w:jc w:val="center"/>
        </w:trPr>
        <w:tc>
          <w:tcPr>
            <w:tcW w:w="900" w:type="dxa"/>
            <w:vMerge w:val="restart"/>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&lt;0.001</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HS</w:t>
            </w:r>
          </w:p>
        </w:tc>
        <w:tc>
          <w:tcPr>
            <w:tcW w:w="990" w:type="dxa"/>
            <w:vMerge w:val="restart"/>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20</w:t>
            </w:r>
          </w:p>
        </w:tc>
        <w:tc>
          <w:tcPr>
            <w:tcW w:w="1988"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18(36%)</w:t>
            </w:r>
          </w:p>
        </w:tc>
        <w:tc>
          <w:tcPr>
            <w:tcW w:w="1984"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2(4%)</w:t>
            </w:r>
          </w:p>
        </w:tc>
        <w:tc>
          <w:tcPr>
            <w:tcW w:w="2410"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No PHG</w:t>
            </w:r>
          </w:p>
        </w:tc>
      </w:tr>
      <w:tr w:rsidR="004E1829" w:rsidRPr="001A392E" w:rsidTr="001A392E">
        <w:trPr>
          <w:cantSplit/>
          <w:jc w:val="center"/>
        </w:trPr>
        <w:tc>
          <w:tcPr>
            <w:tcW w:w="900" w:type="dxa"/>
            <w:vMerge/>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990" w:type="dxa"/>
            <w:vMerge/>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1988"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24(48%)</w:t>
            </w:r>
          </w:p>
        </w:tc>
        <w:tc>
          <w:tcPr>
            <w:tcW w:w="1984"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24(48%)</w:t>
            </w:r>
          </w:p>
        </w:tc>
        <w:tc>
          <w:tcPr>
            <w:tcW w:w="2410"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Mild PHG</w:t>
            </w:r>
          </w:p>
        </w:tc>
      </w:tr>
      <w:tr w:rsidR="004E1829" w:rsidRPr="001A392E" w:rsidTr="001A392E">
        <w:trPr>
          <w:cantSplit/>
          <w:jc w:val="center"/>
        </w:trPr>
        <w:tc>
          <w:tcPr>
            <w:tcW w:w="900" w:type="dxa"/>
            <w:vMerge/>
            <w:tcBorders>
              <w:top w:val="single" w:sz="4" w:space="0" w:color="auto"/>
              <w:left w:val="thinThickSmallGap" w:sz="24" w:space="0" w:color="auto"/>
              <w:bottom w:val="dashDotStroked"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990" w:type="dxa"/>
            <w:vMerge/>
            <w:tcBorders>
              <w:top w:val="single" w:sz="4" w:space="0" w:color="auto"/>
              <w:left w:val="single" w:sz="4" w:space="0" w:color="auto"/>
              <w:bottom w:val="dashDotStroked"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1988" w:type="dxa"/>
            <w:tcBorders>
              <w:top w:val="single" w:sz="4" w:space="0" w:color="auto"/>
              <w:left w:val="single" w:sz="4" w:space="0" w:color="auto"/>
              <w:bottom w:val="dashDotStroked"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8(16%)</w:t>
            </w:r>
          </w:p>
        </w:tc>
        <w:tc>
          <w:tcPr>
            <w:tcW w:w="1984" w:type="dxa"/>
            <w:tcBorders>
              <w:top w:val="single" w:sz="4" w:space="0" w:color="auto"/>
              <w:left w:val="single" w:sz="4" w:space="0" w:color="auto"/>
              <w:bottom w:val="dashDotStroked"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rPr>
            </w:pPr>
            <w:r w:rsidRPr="001A392E">
              <w:rPr>
                <w:rFonts w:ascii="Times New Roman" w:eastAsia="Times New Roman" w:hAnsi="Times New Roman" w:cs="Times New Roman"/>
                <w:sz w:val="20"/>
                <w:szCs w:val="20"/>
              </w:rPr>
              <w:t>24(48%)</w:t>
            </w:r>
          </w:p>
        </w:tc>
        <w:tc>
          <w:tcPr>
            <w:tcW w:w="2410" w:type="dxa"/>
            <w:tcBorders>
              <w:top w:val="single" w:sz="4" w:space="0" w:color="auto"/>
              <w:left w:val="single" w:sz="4" w:space="0" w:color="auto"/>
              <w:bottom w:val="dashDotStroked" w:sz="2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Severe PHG</w:t>
            </w:r>
          </w:p>
        </w:tc>
      </w:tr>
      <w:tr w:rsidR="004E1829" w:rsidRPr="001A392E" w:rsidTr="001A392E">
        <w:trPr>
          <w:cantSplit/>
          <w:jc w:val="center"/>
        </w:trPr>
        <w:tc>
          <w:tcPr>
            <w:tcW w:w="900" w:type="dxa"/>
            <w:tcBorders>
              <w:top w:val="dashDotStroked" w:sz="2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990" w:type="dxa"/>
            <w:tcBorders>
              <w:top w:val="dashDotStroked"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1988" w:type="dxa"/>
            <w:tcBorders>
              <w:top w:val="dashDotStroked"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p>
        </w:tc>
        <w:tc>
          <w:tcPr>
            <w:tcW w:w="1984" w:type="dxa"/>
            <w:tcBorders>
              <w:top w:val="dashDotStroked"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p>
        </w:tc>
        <w:tc>
          <w:tcPr>
            <w:tcW w:w="2410" w:type="dxa"/>
            <w:tcBorders>
              <w:top w:val="dashDotStroked" w:sz="2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b/>
                <w:bCs/>
                <w:sz w:val="20"/>
                <w:szCs w:val="20"/>
              </w:rPr>
              <w:t>PHG by NBI</w:t>
            </w:r>
          </w:p>
        </w:tc>
      </w:tr>
      <w:tr w:rsidR="004E1829" w:rsidRPr="001A392E" w:rsidTr="001A392E">
        <w:trPr>
          <w:cantSplit/>
          <w:jc w:val="center"/>
        </w:trPr>
        <w:tc>
          <w:tcPr>
            <w:tcW w:w="900" w:type="dxa"/>
            <w:vMerge w:val="restart"/>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&lt;0.001</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HS</w:t>
            </w:r>
          </w:p>
        </w:tc>
        <w:tc>
          <w:tcPr>
            <w:tcW w:w="990" w:type="dxa"/>
            <w:vMerge w:val="restart"/>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18</w:t>
            </w:r>
          </w:p>
        </w:tc>
        <w:tc>
          <w:tcPr>
            <w:tcW w:w="1988"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10(20%)</w:t>
            </w:r>
          </w:p>
        </w:tc>
        <w:tc>
          <w:tcPr>
            <w:tcW w:w="1984"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0</w:t>
            </w:r>
          </w:p>
        </w:tc>
        <w:tc>
          <w:tcPr>
            <w:tcW w:w="2410"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No PHG</w:t>
            </w:r>
          </w:p>
        </w:tc>
      </w:tr>
      <w:tr w:rsidR="004E1829" w:rsidRPr="001A392E" w:rsidTr="001A392E">
        <w:trPr>
          <w:cantSplit/>
          <w:jc w:val="center"/>
        </w:trPr>
        <w:tc>
          <w:tcPr>
            <w:tcW w:w="900" w:type="dxa"/>
            <w:vMerge/>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990" w:type="dxa"/>
            <w:vMerge/>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1988"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32(64%)</w:t>
            </w:r>
          </w:p>
        </w:tc>
        <w:tc>
          <w:tcPr>
            <w:tcW w:w="1984"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26(52%)</w:t>
            </w:r>
          </w:p>
        </w:tc>
        <w:tc>
          <w:tcPr>
            <w:tcW w:w="2410"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Mild PHG</w:t>
            </w:r>
          </w:p>
        </w:tc>
      </w:tr>
      <w:tr w:rsidR="004E1829" w:rsidRPr="001A392E" w:rsidTr="001A392E">
        <w:trPr>
          <w:cantSplit/>
          <w:jc w:val="center"/>
        </w:trPr>
        <w:tc>
          <w:tcPr>
            <w:tcW w:w="900" w:type="dxa"/>
            <w:vMerge/>
            <w:tcBorders>
              <w:top w:val="single" w:sz="4" w:space="0" w:color="auto"/>
              <w:left w:val="thinThickSmallGap" w:sz="24" w:space="0" w:color="auto"/>
              <w:bottom w:val="dashDotStroked"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990" w:type="dxa"/>
            <w:vMerge/>
            <w:tcBorders>
              <w:top w:val="single" w:sz="4" w:space="0" w:color="auto"/>
              <w:left w:val="single" w:sz="4" w:space="0" w:color="auto"/>
              <w:bottom w:val="dashDotStroked"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1988" w:type="dxa"/>
            <w:tcBorders>
              <w:top w:val="single" w:sz="4" w:space="0" w:color="auto"/>
              <w:left w:val="single" w:sz="4" w:space="0" w:color="auto"/>
              <w:bottom w:val="dashDotStroked"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8(16%)</w:t>
            </w:r>
          </w:p>
        </w:tc>
        <w:tc>
          <w:tcPr>
            <w:tcW w:w="1984" w:type="dxa"/>
            <w:tcBorders>
              <w:top w:val="single" w:sz="4" w:space="0" w:color="auto"/>
              <w:left w:val="single" w:sz="4" w:space="0" w:color="auto"/>
              <w:bottom w:val="dashDotStroked"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24(48%)</w:t>
            </w:r>
          </w:p>
        </w:tc>
        <w:tc>
          <w:tcPr>
            <w:tcW w:w="2410" w:type="dxa"/>
            <w:tcBorders>
              <w:top w:val="single" w:sz="4" w:space="0" w:color="auto"/>
              <w:left w:val="single" w:sz="4" w:space="0" w:color="auto"/>
              <w:bottom w:val="dashDotStroked" w:sz="2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Severe PHG</w:t>
            </w:r>
          </w:p>
        </w:tc>
      </w:tr>
      <w:tr w:rsidR="004E1829" w:rsidRPr="001A392E" w:rsidTr="001A392E">
        <w:trPr>
          <w:cantSplit/>
          <w:jc w:val="center"/>
        </w:trPr>
        <w:tc>
          <w:tcPr>
            <w:tcW w:w="900" w:type="dxa"/>
            <w:tcBorders>
              <w:top w:val="dashDotStroked" w:sz="2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990" w:type="dxa"/>
            <w:tcBorders>
              <w:top w:val="dashDotStroked"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1988" w:type="dxa"/>
            <w:tcBorders>
              <w:top w:val="dashDotStroked"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p>
        </w:tc>
        <w:tc>
          <w:tcPr>
            <w:tcW w:w="1984" w:type="dxa"/>
            <w:tcBorders>
              <w:top w:val="dashDotStroked"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p>
        </w:tc>
        <w:tc>
          <w:tcPr>
            <w:tcW w:w="2410" w:type="dxa"/>
            <w:tcBorders>
              <w:top w:val="dashDotStroked" w:sz="2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proofErr w:type="spellStart"/>
            <w:r w:rsidRPr="001A392E">
              <w:rPr>
                <w:rFonts w:ascii="Times New Roman" w:eastAsia="Times New Roman" w:hAnsi="Times New Roman" w:cs="Times New Roman"/>
                <w:b/>
                <w:bCs/>
                <w:sz w:val="20"/>
                <w:szCs w:val="20"/>
              </w:rPr>
              <w:t>Oesophageal</w:t>
            </w:r>
            <w:proofErr w:type="spellEnd"/>
            <w:r w:rsidRPr="001A392E">
              <w:rPr>
                <w:rFonts w:ascii="Times New Roman" w:eastAsia="Times New Roman" w:hAnsi="Times New Roman" w:cs="Times New Roman"/>
                <w:b/>
                <w:bCs/>
                <w:sz w:val="20"/>
                <w:szCs w:val="20"/>
              </w:rPr>
              <w:t xml:space="preserve"> </w:t>
            </w:r>
            <w:proofErr w:type="spellStart"/>
            <w:r w:rsidRPr="001A392E">
              <w:rPr>
                <w:rFonts w:ascii="Times New Roman" w:eastAsia="Times New Roman" w:hAnsi="Times New Roman" w:cs="Times New Roman"/>
                <w:b/>
                <w:bCs/>
                <w:sz w:val="20"/>
                <w:szCs w:val="20"/>
              </w:rPr>
              <w:t>varices</w:t>
            </w:r>
            <w:proofErr w:type="spellEnd"/>
          </w:p>
        </w:tc>
      </w:tr>
      <w:tr w:rsidR="004E1829" w:rsidRPr="001A392E" w:rsidTr="001A392E">
        <w:trPr>
          <w:cantSplit/>
          <w:jc w:val="center"/>
        </w:trPr>
        <w:tc>
          <w:tcPr>
            <w:tcW w:w="900" w:type="dxa"/>
            <w:vMerge w:val="restart"/>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&lt;0.001</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HS</w:t>
            </w:r>
          </w:p>
        </w:tc>
        <w:tc>
          <w:tcPr>
            <w:tcW w:w="990" w:type="dxa"/>
            <w:vMerge w:val="restart"/>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41</w:t>
            </w:r>
          </w:p>
        </w:tc>
        <w:tc>
          <w:tcPr>
            <w:tcW w:w="1988"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23(46%)</w:t>
            </w:r>
          </w:p>
        </w:tc>
        <w:tc>
          <w:tcPr>
            <w:tcW w:w="1984"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rPr>
            </w:pPr>
            <w:r w:rsidRPr="001A392E">
              <w:rPr>
                <w:rFonts w:ascii="Times New Roman" w:eastAsia="Times New Roman" w:hAnsi="Times New Roman" w:cs="Times New Roman"/>
                <w:sz w:val="20"/>
                <w:szCs w:val="20"/>
              </w:rPr>
              <w:t>4(8%)</w:t>
            </w:r>
          </w:p>
        </w:tc>
        <w:tc>
          <w:tcPr>
            <w:tcW w:w="2410"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No </w:t>
            </w:r>
            <w:proofErr w:type="spellStart"/>
            <w:r w:rsidRPr="001A392E">
              <w:rPr>
                <w:rFonts w:ascii="Times New Roman" w:eastAsia="Times New Roman" w:hAnsi="Times New Roman" w:cs="Times New Roman"/>
                <w:sz w:val="20"/>
                <w:szCs w:val="20"/>
              </w:rPr>
              <w:t>varices</w:t>
            </w:r>
            <w:proofErr w:type="spellEnd"/>
            <w:r w:rsidRPr="001A392E">
              <w:rPr>
                <w:rFonts w:ascii="Times New Roman" w:eastAsia="Times New Roman" w:hAnsi="Times New Roman" w:cs="Times New Roman"/>
                <w:sz w:val="20"/>
                <w:szCs w:val="20"/>
              </w:rPr>
              <w:t xml:space="preserve"> </w:t>
            </w:r>
          </w:p>
        </w:tc>
      </w:tr>
      <w:tr w:rsidR="004E1829" w:rsidRPr="001A392E" w:rsidTr="001A392E">
        <w:trPr>
          <w:cantSplit/>
          <w:jc w:val="center"/>
        </w:trPr>
        <w:tc>
          <w:tcPr>
            <w:tcW w:w="900" w:type="dxa"/>
            <w:vMerge/>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990" w:type="dxa"/>
            <w:vMerge/>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1988"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27(54%)</w:t>
            </w:r>
          </w:p>
        </w:tc>
        <w:tc>
          <w:tcPr>
            <w:tcW w:w="1984"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19(38%)</w:t>
            </w:r>
          </w:p>
        </w:tc>
        <w:tc>
          <w:tcPr>
            <w:tcW w:w="2410"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Small </w:t>
            </w:r>
            <w:proofErr w:type="spellStart"/>
            <w:r w:rsidRPr="001A392E">
              <w:rPr>
                <w:rFonts w:ascii="Times New Roman" w:eastAsia="Times New Roman" w:hAnsi="Times New Roman" w:cs="Times New Roman"/>
                <w:sz w:val="20"/>
                <w:szCs w:val="20"/>
              </w:rPr>
              <w:t>varices</w:t>
            </w:r>
            <w:proofErr w:type="spellEnd"/>
            <w:r w:rsidRPr="001A392E">
              <w:rPr>
                <w:rFonts w:ascii="Times New Roman" w:eastAsia="Times New Roman" w:hAnsi="Times New Roman" w:cs="Times New Roman"/>
                <w:sz w:val="20"/>
                <w:szCs w:val="20"/>
              </w:rPr>
              <w:t xml:space="preserve"> </w:t>
            </w:r>
          </w:p>
        </w:tc>
      </w:tr>
      <w:tr w:rsidR="004E1829" w:rsidRPr="001A392E" w:rsidTr="001A392E">
        <w:trPr>
          <w:cantSplit/>
          <w:jc w:val="center"/>
        </w:trPr>
        <w:tc>
          <w:tcPr>
            <w:tcW w:w="900" w:type="dxa"/>
            <w:vMerge/>
            <w:tcBorders>
              <w:top w:val="single" w:sz="4" w:space="0" w:color="auto"/>
              <w:left w:val="thinThickSmallGap" w:sz="2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990" w:type="dxa"/>
            <w:vMerge/>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1988" w:type="dxa"/>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0</w:t>
            </w:r>
          </w:p>
        </w:tc>
        <w:tc>
          <w:tcPr>
            <w:tcW w:w="1984" w:type="dxa"/>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27(54%)</w:t>
            </w:r>
          </w:p>
        </w:tc>
        <w:tc>
          <w:tcPr>
            <w:tcW w:w="2410" w:type="dxa"/>
            <w:tcBorders>
              <w:top w:val="single" w:sz="4" w:space="0" w:color="auto"/>
              <w:left w:val="single" w:sz="4" w:space="0" w:color="auto"/>
              <w:bottom w:val="thickThinSmallGap" w:sz="2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Large </w:t>
            </w:r>
            <w:proofErr w:type="spellStart"/>
            <w:r w:rsidRPr="001A392E">
              <w:rPr>
                <w:rFonts w:ascii="Times New Roman" w:eastAsia="Times New Roman" w:hAnsi="Times New Roman" w:cs="Times New Roman"/>
                <w:sz w:val="20"/>
                <w:szCs w:val="20"/>
              </w:rPr>
              <w:t>varices</w:t>
            </w:r>
            <w:proofErr w:type="spellEnd"/>
            <w:r w:rsidRPr="001A392E">
              <w:rPr>
                <w:rFonts w:ascii="Times New Roman" w:eastAsia="Times New Roman" w:hAnsi="Times New Roman" w:cs="Times New Roman"/>
                <w:sz w:val="20"/>
                <w:szCs w:val="20"/>
              </w:rPr>
              <w:t xml:space="preserve"> </w:t>
            </w:r>
          </w:p>
        </w:tc>
      </w:tr>
    </w:tbl>
    <w:p w:rsidR="004E1829" w:rsidRPr="001A392E" w:rsidRDefault="004E1829" w:rsidP="001A392E">
      <w:pPr>
        <w:adjustRightInd w:val="0"/>
        <w:snapToGrid w:val="0"/>
        <w:spacing w:after="0" w:line="240" w:lineRule="auto"/>
        <w:ind w:left="360"/>
        <w:jc w:val="lowKashida"/>
        <w:rPr>
          <w:rFonts w:ascii="Times New Roman" w:eastAsia="Times New Roman" w:hAnsi="Times New Roman" w:cs="Times New Roman"/>
          <w:b/>
          <w:bCs/>
          <w:sz w:val="20"/>
          <w:szCs w:val="20"/>
        </w:rPr>
      </w:pPr>
    </w:p>
    <w:p w:rsidR="00707B16" w:rsidRDefault="00707B16" w:rsidP="00707B16">
      <w:pPr>
        <w:adjustRightInd w:val="0"/>
        <w:snapToGrid w:val="0"/>
        <w:spacing w:after="0" w:line="240" w:lineRule="auto"/>
        <w:jc w:val="lowKashida"/>
        <w:rPr>
          <w:rFonts w:ascii="Times New Roman" w:eastAsia="Times New Roman" w:hAnsi="Times New Roman" w:cs="Times New Roman"/>
          <w:b/>
          <w:bCs/>
          <w:sz w:val="20"/>
          <w:szCs w:val="20"/>
        </w:rPr>
      </w:pPr>
    </w:p>
    <w:p w:rsidR="004E1829" w:rsidRPr="001A392E" w:rsidRDefault="004E1829" w:rsidP="00707B16">
      <w:pPr>
        <w:adjustRightInd w:val="0"/>
        <w:snapToGrid w:val="0"/>
        <w:spacing w:after="0" w:line="240" w:lineRule="auto"/>
        <w:jc w:val="lowKashida"/>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Examination of liver cirrhosis patients with NBI revealed:</w:t>
      </w:r>
    </w:p>
    <w:p w:rsidR="004E1829" w:rsidRPr="001A392E" w:rsidRDefault="004E1829" w:rsidP="001A392E">
      <w:pPr>
        <w:numPr>
          <w:ilvl w:val="0"/>
          <w:numId w:val="5"/>
        </w:numPr>
        <w:adjustRightInd w:val="0"/>
        <w:snapToGrid w:val="0"/>
        <w:spacing w:after="0" w:line="240" w:lineRule="auto"/>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Normal mucosa by WLE appeared as rounded gastric pits with honey comb like capillaries surrounding the pits (figure 1).</w:t>
      </w:r>
    </w:p>
    <w:p w:rsidR="004E1829" w:rsidRPr="001A392E" w:rsidRDefault="004E1829" w:rsidP="001A392E">
      <w:pPr>
        <w:numPr>
          <w:ilvl w:val="0"/>
          <w:numId w:val="5"/>
        </w:numPr>
        <w:adjustRightInd w:val="0"/>
        <w:snapToGrid w:val="0"/>
        <w:spacing w:after="0" w:line="240" w:lineRule="auto"/>
        <w:jc w:val="lowKashida"/>
        <w:rPr>
          <w:rFonts w:ascii="Times New Roman" w:eastAsia="Times New Roman" w:hAnsi="Times New Roman" w:cs="Times New Roman"/>
          <w:b/>
          <w:bCs/>
          <w:sz w:val="20"/>
          <w:szCs w:val="20"/>
          <w:u w:val="single"/>
        </w:rPr>
      </w:pPr>
      <w:r w:rsidRPr="001A392E">
        <w:rPr>
          <w:rFonts w:ascii="Times New Roman" w:eastAsia="Times New Roman" w:hAnsi="Times New Roman" w:cs="Times New Roman"/>
          <w:sz w:val="20"/>
          <w:szCs w:val="20"/>
        </w:rPr>
        <w:t>Mosaic like pattern appeared as extended and swollen gastric pits, with various degrees of dilated and convoluted capillaries surrounding the gastric pits.</w:t>
      </w:r>
    </w:p>
    <w:p w:rsidR="004E1829" w:rsidRPr="001A392E" w:rsidRDefault="004E1829" w:rsidP="001A392E">
      <w:pPr>
        <w:numPr>
          <w:ilvl w:val="0"/>
          <w:numId w:val="5"/>
        </w:numPr>
        <w:adjustRightInd w:val="0"/>
        <w:snapToGrid w:val="0"/>
        <w:spacing w:after="0" w:line="240" w:lineRule="auto"/>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Reddening mucosa appeared as extended and swollen gastric pits, with various degrees of dilated and convoluted capillaries surrounding the gastric pits(figure 2).</w:t>
      </w:r>
    </w:p>
    <w:p w:rsidR="004E1829" w:rsidRPr="001A392E" w:rsidRDefault="004E1829" w:rsidP="001A392E">
      <w:pPr>
        <w:numPr>
          <w:ilvl w:val="0"/>
          <w:numId w:val="5"/>
        </w:numPr>
        <w:adjustRightInd w:val="0"/>
        <w:snapToGrid w:val="0"/>
        <w:spacing w:after="0" w:line="240" w:lineRule="auto"/>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Red spots appeared as extended and swollen gastric pits, dilated and convoluted capillaries surrounding the gastric pits</w:t>
      </w:r>
      <w:r w:rsidRPr="001A392E">
        <w:rPr>
          <w:rFonts w:ascii="Times New Roman" w:eastAsia="Times New Roman" w:hAnsi="Times New Roman" w:cs="Times New Roman"/>
          <w:spacing w:val="-2"/>
          <w:sz w:val="20"/>
          <w:szCs w:val="20"/>
        </w:rPr>
        <w:t xml:space="preserve"> plus intra-mucosal hemorrhage around capillaries</w:t>
      </w:r>
      <w:r w:rsidRPr="001A392E">
        <w:rPr>
          <w:rFonts w:ascii="Times New Roman" w:eastAsia="Times New Roman" w:hAnsi="Times New Roman" w:cs="Times New Roman"/>
          <w:b/>
          <w:bCs/>
          <w:sz w:val="20"/>
          <w:szCs w:val="20"/>
        </w:rPr>
        <w:t>.</w:t>
      </w:r>
    </w:p>
    <w:p w:rsidR="004E1829" w:rsidRPr="001A392E" w:rsidRDefault="004E1829" w:rsidP="001A392E">
      <w:pPr>
        <w:numPr>
          <w:ilvl w:val="0"/>
          <w:numId w:val="5"/>
        </w:numPr>
        <w:adjustRightInd w:val="0"/>
        <w:snapToGrid w:val="0"/>
        <w:spacing w:after="0" w:line="240" w:lineRule="auto"/>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2 patients in group A and 8 patients in group B had normal gastric mucosa by WLE and on</w:t>
      </w:r>
      <w:r w:rsidRPr="001A392E">
        <w:rPr>
          <w:rFonts w:ascii="Times New Roman" w:eastAsia="Times New Roman" w:hAnsi="Times New Roman" w:cs="Times New Roman"/>
          <w:b/>
          <w:bCs/>
          <w:sz w:val="20"/>
          <w:szCs w:val="20"/>
        </w:rPr>
        <w:t xml:space="preserve"> </w:t>
      </w:r>
      <w:r w:rsidRPr="001A392E">
        <w:rPr>
          <w:rFonts w:ascii="Times New Roman" w:eastAsia="Times New Roman" w:hAnsi="Times New Roman" w:cs="Times New Roman"/>
          <w:b/>
          <w:bCs/>
          <w:i/>
          <w:iCs/>
          <w:sz w:val="20"/>
          <w:szCs w:val="20"/>
        </w:rPr>
        <w:t>switching to NBI technique</w:t>
      </w:r>
      <w:r w:rsidRPr="001A392E">
        <w:rPr>
          <w:rFonts w:ascii="Times New Roman" w:eastAsia="Times New Roman" w:hAnsi="Times New Roman" w:cs="Times New Roman"/>
          <w:sz w:val="20"/>
          <w:szCs w:val="20"/>
        </w:rPr>
        <w:t xml:space="preserve"> the capillaries surrounding gastric pits on the </w:t>
      </w:r>
      <w:proofErr w:type="spellStart"/>
      <w:r w:rsidRPr="001A392E">
        <w:rPr>
          <w:rFonts w:ascii="Times New Roman" w:eastAsia="Times New Roman" w:hAnsi="Times New Roman" w:cs="Times New Roman"/>
          <w:sz w:val="20"/>
          <w:szCs w:val="20"/>
        </w:rPr>
        <w:t>antral</w:t>
      </w:r>
      <w:proofErr w:type="spellEnd"/>
      <w:r w:rsidRPr="001A392E">
        <w:rPr>
          <w:rFonts w:ascii="Times New Roman" w:eastAsia="Times New Roman" w:hAnsi="Times New Roman" w:cs="Times New Roman"/>
          <w:sz w:val="20"/>
          <w:szCs w:val="20"/>
        </w:rPr>
        <w:t xml:space="preserve"> mucosa were dilated and convoluted which classify them as mild PH (table 1).</w:t>
      </w:r>
    </w:p>
    <w:p w:rsidR="004E1829" w:rsidRPr="001A392E" w:rsidRDefault="004E1829" w:rsidP="001A392E">
      <w:pPr>
        <w:numPr>
          <w:ilvl w:val="0"/>
          <w:numId w:val="5"/>
        </w:numPr>
        <w:adjustRightInd w:val="0"/>
        <w:snapToGrid w:val="0"/>
        <w:spacing w:after="0" w:line="240" w:lineRule="auto"/>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NBI detects more cases of mild PHG</w:t>
      </w:r>
    </w:p>
    <w:p w:rsidR="004E1829" w:rsidRPr="001A392E" w:rsidRDefault="004E1829" w:rsidP="001A392E">
      <w:pPr>
        <w:adjustRightInd w:val="0"/>
        <w:snapToGrid w:val="0"/>
        <w:spacing w:after="0" w:line="240" w:lineRule="auto"/>
        <w:ind w:left="360"/>
        <w:jc w:val="lowKashida"/>
        <w:rPr>
          <w:rFonts w:ascii="Times New Roman" w:eastAsia="Times New Roman" w:hAnsi="Times New Roman" w:cs="Times New Roman"/>
          <w:sz w:val="20"/>
          <w:szCs w:val="20"/>
        </w:rPr>
      </w:pPr>
      <w:r w:rsidRPr="001A392E">
        <w:rPr>
          <w:rFonts w:ascii="Times New Roman" w:eastAsia="Times New Roman" w:hAnsi="Times New Roman" w:cs="Times New Roman"/>
          <w:noProof/>
          <w:sz w:val="20"/>
          <w:szCs w:val="20"/>
          <w:lang w:eastAsia="zh-CN"/>
        </w:rPr>
        <w:lastRenderedPageBreak/>
        <w:drawing>
          <wp:inline distT="0" distB="0" distL="0" distR="0">
            <wp:extent cx="2048289" cy="1441175"/>
            <wp:effectExtent l="19050" t="19050" r="28161" b="25675"/>
            <wp:docPr id="4" name="Picture 4" descr="0905201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9052012267"/>
                    <pic:cNvPicPr>
                      <a:picLocks noChangeAspect="1" noChangeArrowheads="1"/>
                    </pic:cNvPicPr>
                  </pic:nvPicPr>
                  <pic:blipFill>
                    <a:blip r:embed="rId13" cstate="print"/>
                    <a:srcRect t="25000"/>
                    <a:stretch>
                      <a:fillRect/>
                    </a:stretch>
                  </pic:blipFill>
                  <pic:spPr bwMode="auto">
                    <a:xfrm>
                      <a:off x="0" y="0"/>
                      <a:ext cx="2050998" cy="1443081"/>
                    </a:xfrm>
                    <a:prstGeom prst="rect">
                      <a:avLst/>
                    </a:prstGeom>
                    <a:noFill/>
                    <a:ln w="6350" cmpd="sng">
                      <a:solidFill>
                        <a:srgbClr val="000000"/>
                      </a:solidFill>
                      <a:miter lim="800000"/>
                      <a:headEnd/>
                      <a:tailEnd/>
                    </a:ln>
                    <a:effectLst/>
                  </pic:spPr>
                </pic:pic>
              </a:graphicData>
            </a:graphic>
          </wp:inline>
        </w:drawing>
      </w:r>
      <w:r w:rsidRPr="001A392E">
        <w:rPr>
          <w:rFonts w:ascii="Times New Roman" w:eastAsia="Times New Roman" w:hAnsi="Times New Roman" w:cs="Times New Roman"/>
          <w:sz w:val="20"/>
          <w:szCs w:val="20"/>
        </w:rPr>
        <w:t xml:space="preserve">           </w:t>
      </w:r>
      <w:r w:rsidRPr="001A392E">
        <w:rPr>
          <w:rFonts w:ascii="TimesTen-Roman" w:eastAsia="Times New Roman" w:hAnsi="TimesTen-Roman" w:cs="TimesTen-Roman"/>
          <w:noProof/>
          <w:sz w:val="20"/>
          <w:szCs w:val="20"/>
          <w:lang w:eastAsia="zh-CN"/>
        </w:rPr>
        <w:drawing>
          <wp:inline distT="0" distB="0" distL="0" distR="0">
            <wp:extent cx="2097985" cy="147004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rot="-10800000">
                      <a:off x="0" y="0"/>
                      <a:ext cx="2106039" cy="1475684"/>
                    </a:xfrm>
                    <a:prstGeom prst="rect">
                      <a:avLst/>
                    </a:prstGeom>
                    <a:noFill/>
                    <a:ln w="9525">
                      <a:noFill/>
                      <a:miter lim="800000"/>
                      <a:headEnd/>
                      <a:tailEnd/>
                    </a:ln>
                  </pic:spPr>
                </pic:pic>
              </a:graphicData>
            </a:graphic>
          </wp:inline>
        </w:drawing>
      </w:r>
    </w:p>
    <w:p w:rsidR="004E1829" w:rsidRPr="001A392E" w:rsidRDefault="004E1829" w:rsidP="001A392E">
      <w:pPr>
        <w:adjustRightInd w:val="0"/>
        <w:snapToGrid w:val="0"/>
        <w:spacing w:after="0" w:line="240" w:lineRule="auto"/>
        <w:jc w:val="lowKashida"/>
        <w:rPr>
          <w:rFonts w:ascii="Times New Roman" w:eastAsia="Times New Roman" w:hAnsi="Times New Roman" w:cs="Times New Roman"/>
          <w:sz w:val="20"/>
          <w:szCs w:val="20"/>
        </w:rPr>
      </w:pPr>
      <w:r w:rsidRPr="001A392E">
        <w:rPr>
          <w:rFonts w:ascii="Times New Roman" w:eastAsia="Times New Roman" w:hAnsi="Times New Roman" w:cs="Times New Roman"/>
          <w:b/>
          <w:bCs/>
          <w:sz w:val="20"/>
          <w:szCs w:val="20"/>
        </w:rPr>
        <w:t>Figure (2):</w:t>
      </w:r>
      <w:r w:rsidRPr="001A392E">
        <w:rPr>
          <w:rFonts w:ascii="Times New Roman" w:eastAsia="Times New Roman" w:hAnsi="Times New Roman" w:cs="Times New Roman"/>
          <w:sz w:val="20"/>
          <w:szCs w:val="20"/>
        </w:rPr>
        <w:t xml:space="preserve"> Mild PHG (a) NBI. (b) Magnified view. </w:t>
      </w:r>
    </w:p>
    <w:p w:rsidR="004E1829" w:rsidRPr="001A392E" w:rsidRDefault="004E1829" w:rsidP="001A392E">
      <w:pPr>
        <w:adjustRightInd w:val="0"/>
        <w:snapToGrid w:val="0"/>
        <w:spacing w:after="0" w:line="240" w:lineRule="auto"/>
        <w:ind w:left="360"/>
        <w:jc w:val="lowKashida"/>
        <w:rPr>
          <w:rFonts w:ascii="Times New Roman" w:eastAsia="Times New Roman" w:hAnsi="Times New Roman" w:cs="Times New Roman"/>
          <w:sz w:val="20"/>
          <w:szCs w:val="20"/>
        </w:rPr>
      </w:pPr>
      <w:r w:rsidRPr="001A392E">
        <w:rPr>
          <w:rFonts w:ascii="Times New Roman" w:eastAsia="Calibri" w:hAnsi="Times New Roman" w:cs="Times New Roman"/>
          <w:noProof/>
          <w:sz w:val="20"/>
          <w:szCs w:val="20"/>
          <w:lang w:eastAsia="zh-CN"/>
        </w:rPr>
        <w:drawing>
          <wp:inline distT="0" distB="0" distL="0" distR="0">
            <wp:extent cx="2157095" cy="1630045"/>
            <wp:effectExtent l="19050" t="0" r="0" b="0"/>
            <wp:docPr id="6" name="Picture 6" descr="0905201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9052012265"/>
                    <pic:cNvPicPr>
                      <a:picLocks noChangeAspect="1" noChangeArrowheads="1"/>
                    </pic:cNvPicPr>
                  </pic:nvPicPr>
                  <pic:blipFill>
                    <a:blip r:embed="rId15" cstate="print"/>
                    <a:srcRect/>
                    <a:stretch>
                      <a:fillRect/>
                    </a:stretch>
                  </pic:blipFill>
                  <pic:spPr bwMode="auto">
                    <a:xfrm>
                      <a:off x="0" y="0"/>
                      <a:ext cx="2157095" cy="1630045"/>
                    </a:xfrm>
                    <a:prstGeom prst="rect">
                      <a:avLst/>
                    </a:prstGeom>
                    <a:noFill/>
                    <a:ln w="9525">
                      <a:noFill/>
                      <a:miter lim="800000"/>
                      <a:headEnd/>
                      <a:tailEnd/>
                    </a:ln>
                  </pic:spPr>
                </pic:pic>
              </a:graphicData>
            </a:graphic>
          </wp:inline>
        </w:drawing>
      </w:r>
      <w:r w:rsidRPr="001A392E">
        <w:rPr>
          <w:rFonts w:ascii="Times New Roman" w:eastAsia="Times New Roman" w:hAnsi="Times New Roman" w:cs="Times New Roman"/>
          <w:sz w:val="20"/>
          <w:szCs w:val="20"/>
        </w:rPr>
        <w:t xml:space="preserve">             </w:t>
      </w:r>
      <w:r w:rsidRPr="001A392E">
        <w:rPr>
          <w:rFonts w:ascii="Times New Roman" w:eastAsia="Calibri" w:hAnsi="Times New Roman" w:cs="Times New Roman"/>
          <w:noProof/>
          <w:sz w:val="20"/>
          <w:szCs w:val="20"/>
          <w:lang w:eastAsia="zh-CN"/>
        </w:rPr>
        <w:drawing>
          <wp:inline distT="0" distB="0" distL="0" distR="0">
            <wp:extent cx="2204140" cy="1628203"/>
            <wp:effectExtent l="19050" t="0" r="56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206625" cy="1630039"/>
                    </a:xfrm>
                    <a:prstGeom prst="rect">
                      <a:avLst/>
                    </a:prstGeom>
                    <a:noFill/>
                    <a:ln w="9525">
                      <a:noFill/>
                      <a:miter lim="800000"/>
                      <a:headEnd/>
                      <a:tailEnd/>
                    </a:ln>
                  </pic:spPr>
                </pic:pic>
              </a:graphicData>
            </a:graphic>
          </wp:inline>
        </w:drawing>
      </w:r>
    </w:p>
    <w:p w:rsidR="004E1829" w:rsidRPr="001A392E" w:rsidRDefault="004E1829" w:rsidP="001A392E">
      <w:pPr>
        <w:adjustRightInd w:val="0"/>
        <w:snapToGrid w:val="0"/>
        <w:spacing w:after="0" w:line="240" w:lineRule="auto"/>
        <w:ind w:left="360"/>
        <w:jc w:val="lowKashida"/>
        <w:rPr>
          <w:rFonts w:ascii="Times New Roman" w:eastAsia="Times New Roman" w:hAnsi="Times New Roman" w:cs="Times New Roman"/>
          <w:sz w:val="20"/>
          <w:szCs w:val="20"/>
        </w:rPr>
      </w:pPr>
      <w:r w:rsidRPr="001A392E">
        <w:rPr>
          <w:rFonts w:ascii="Times New Roman" w:eastAsia="Times New Roman" w:hAnsi="Times New Roman" w:cs="Times New Roman"/>
          <w:b/>
          <w:bCs/>
          <w:sz w:val="20"/>
          <w:szCs w:val="20"/>
        </w:rPr>
        <w:t>Figure (3):</w:t>
      </w:r>
      <w:r w:rsidRPr="001A392E">
        <w:rPr>
          <w:rFonts w:ascii="Times New Roman" w:eastAsia="Times New Roman" w:hAnsi="Times New Roman" w:cs="Times New Roman"/>
          <w:sz w:val="20"/>
          <w:szCs w:val="20"/>
        </w:rPr>
        <w:t xml:space="preserve"> Severe PHG (a) NBI. (b) Magnified view.</w:t>
      </w:r>
    </w:p>
    <w:p w:rsidR="001A392E" w:rsidRDefault="001A392E" w:rsidP="001A392E">
      <w:pPr>
        <w:adjustRightInd w:val="0"/>
        <w:snapToGrid w:val="0"/>
        <w:spacing w:after="0" w:line="240" w:lineRule="auto"/>
        <w:jc w:val="both"/>
        <w:rPr>
          <w:rFonts w:ascii="Times New Roman" w:eastAsia="Times New Roman" w:hAnsi="Times New Roman" w:cs="Times New Roman"/>
          <w:sz w:val="20"/>
          <w:szCs w:val="20"/>
        </w:rPr>
      </w:pPr>
    </w:p>
    <w:p w:rsidR="004E1829" w:rsidRPr="001A392E" w:rsidRDefault="004E1829" w:rsidP="001A392E">
      <w:pPr>
        <w:adjustRightInd w:val="0"/>
        <w:snapToGrid w:val="0"/>
        <w:spacing w:after="0" w:line="240" w:lineRule="auto"/>
        <w:ind w:firstLine="360"/>
        <w:jc w:val="both"/>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Comparing patients with and without PHG, it was found that patients with PHG had lower hemoglobin, albumin, platelet count, PC/SD and higher PT, INR, spleen diameter than patients without PHG and these differences were statistically significant</w:t>
      </w:r>
      <w:r w:rsidR="00707B16">
        <w:rPr>
          <w:rFonts w:ascii="Times New Roman" w:eastAsia="Times New Roman" w:hAnsi="Times New Roman" w:cs="Times New Roman"/>
          <w:sz w:val="20"/>
          <w:szCs w:val="20"/>
        </w:rPr>
        <w:t xml:space="preserve"> </w:t>
      </w:r>
      <w:r w:rsidRPr="001A392E">
        <w:rPr>
          <w:rFonts w:ascii="Times New Roman" w:eastAsia="Times New Roman" w:hAnsi="Times New Roman" w:cs="Times New Roman"/>
          <w:sz w:val="20"/>
          <w:szCs w:val="20"/>
        </w:rPr>
        <w:t>(table 2).</w:t>
      </w:r>
    </w:p>
    <w:p w:rsidR="004E1829" w:rsidRPr="001A392E" w:rsidRDefault="004E1829" w:rsidP="001A392E">
      <w:pPr>
        <w:adjustRightInd w:val="0"/>
        <w:snapToGrid w:val="0"/>
        <w:spacing w:after="0" w:line="240" w:lineRule="auto"/>
        <w:jc w:val="both"/>
        <w:rPr>
          <w:rFonts w:ascii="Times New Roman" w:eastAsia="Times New Roman" w:hAnsi="Times New Roman" w:cs="Times New Roman"/>
          <w:sz w:val="20"/>
          <w:szCs w:val="20"/>
        </w:rPr>
      </w:pPr>
    </w:p>
    <w:p w:rsidR="004E1829" w:rsidRPr="001A392E" w:rsidRDefault="004E1829" w:rsidP="001A392E">
      <w:pPr>
        <w:bidi/>
        <w:adjustRightInd w:val="0"/>
        <w:snapToGrid w:val="0"/>
        <w:spacing w:after="0" w:line="240" w:lineRule="auto"/>
        <w:jc w:val="right"/>
        <w:rPr>
          <w:rFonts w:ascii="Times New Roman" w:eastAsia="Calibri" w:hAnsi="Times New Roman" w:cs="Times New Roman"/>
          <w:sz w:val="20"/>
          <w:szCs w:val="20"/>
          <w:lang w:eastAsia="ar-SA"/>
        </w:rPr>
      </w:pPr>
      <w:r w:rsidRPr="001A392E">
        <w:rPr>
          <w:rFonts w:ascii="Times New Roman" w:eastAsia="Calibri" w:hAnsi="Times New Roman" w:cs="Times New Roman"/>
          <w:b/>
          <w:bCs/>
          <w:sz w:val="20"/>
          <w:szCs w:val="20"/>
          <w:lang w:eastAsia="ar-SA"/>
        </w:rPr>
        <w:t xml:space="preserve">Table (2): </w:t>
      </w:r>
      <w:r w:rsidRPr="001A392E">
        <w:rPr>
          <w:rFonts w:ascii="Times New Roman" w:eastAsia="Calibri" w:hAnsi="Times New Roman" w:cs="Times New Roman"/>
          <w:sz w:val="20"/>
          <w:szCs w:val="20"/>
          <w:lang w:eastAsia="ar-SA"/>
        </w:rPr>
        <w:t xml:space="preserve">Comparison between cases with and without PHG by NBI as regard  laboratory and </w:t>
      </w:r>
      <w:proofErr w:type="spellStart"/>
      <w:r w:rsidRPr="001A392E">
        <w:rPr>
          <w:rFonts w:ascii="Times New Roman" w:eastAsia="Calibri" w:hAnsi="Times New Roman" w:cs="Times New Roman"/>
          <w:sz w:val="20"/>
          <w:szCs w:val="20"/>
          <w:lang w:eastAsia="ar-SA"/>
        </w:rPr>
        <w:t>sonographic</w:t>
      </w:r>
      <w:proofErr w:type="spellEnd"/>
      <w:r w:rsidRPr="001A392E">
        <w:rPr>
          <w:rFonts w:ascii="Times New Roman" w:eastAsia="Calibri" w:hAnsi="Times New Roman" w:cs="Times New Roman"/>
          <w:sz w:val="20"/>
          <w:szCs w:val="20"/>
          <w:lang w:eastAsia="ar-SA"/>
        </w:rPr>
        <w:t xml:space="preserve"> data.</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993"/>
        <w:gridCol w:w="1559"/>
        <w:gridCol w:w="1559"/>
        <w:gridCol w:w="2552"/>
      </w:tblGrid>
      <w:tr w:rsidR="004E1829" w:rsidRPr="001A392E" w:rsidTr="001A392E">
        <w:trPr>
          <w:cantSplit/>
          <w:jc w:val="center"/>
        </w:trPr>
        <w:tc>
          <w:tcPr>
            <w:tcW w:w="1275" w:type="dxa"/>
            <w:tcBorders>
              <w:top w:val="thinThickSmallGap" w:sz="24" w:space="0" w:color="auto"/>
              <w:left w:val="thinThickSmallGap" w:sz="2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 xml:space="preserve">P </w:t>
            </w:r>
          </w:p>
        </w:tc>
        <w:tc>
          <w:tcPr>
            <w:tcW w:w="993" w:type="dxa"/>
            <w:tcBorders>
              <w:top w:val="thinThickSmallGap" w:sz="24" w:space="0" w:color="auto"/>
              <w:left w:val="single" w:sz="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t- test</w:t>
            </w:r>
          </w:p>
        </w:tc>
        <w:tc>
          <w:tcPr>
            <w:tcW w:w="3118" w:type="dxa"/>
            <w:gridSpan w:val="2"/>
            <w:tcBorders>
              <w:top w:val="thinThickSmallGap" w:sz="24" w:space="0" w:color="auto"/>
              <w:left w:val="single" w:sz="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 xml:space="preserve">PHG by NBI </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No (10)                      Yes (90) </w:t>
            </w:r>
          </w:p>
        </w:tc>
        <w:tc>
          <w:tcPr>
            <w:tcW w:w="2552" w:type="dxa"/>
            <w:tcBorders>
              <w:top w:val="thinThickSmallGap" w:sz="24" w:space="0" w:color="auto"/>
              <w:left w:val="single" w:sz="4" w:space="0" w:color="auto"/>
              <w:bottom w:val="thinThickThinSmallGap" w:sz="24" w:space="0" w:color="auto"/>
              <w:right w:val="thickThinSmallGap" w:sz="24" w:space="0" w:color="auto"/>
            </w:tcBorders>
          </w:tcPr>
          <w:p w:rsidR="004E1829" w:rsidRPr="001A392E" w:rsidRDefault="004E1829" w:rsidP="001A392E">
            <w:pPr>
              <w:keepNext/>
              <w:bidi/>
              <w:adjustRightInd w:val="0"/>
              <w:snapToGrid w:val="0"/>
              <w:spacing w:after="0" w:line="240" w:lineRule="auto"/>
              <w:jc w:val="right"/>
              <w:outlineLvl w:val="1"/>
              <w:rPr>
                <w:rFonts w:ascii="Times New Roman" w:eastAsia="Calibri" w:hAnsi="Times New Roman" w:cs="Times New Roman"/>
                <w:b/>
                <w:bCs/>
                <w:sz w:val="20"/>
                <w:szCs w:val="20"/>
                <w:lang w:eastAsia="ar-SA" w:bidi="ar-EG"/>
              </w:rPr>
            </w:pPr>
            <w:r w:rsidRPr="001A392E">
              <w:rPr>
                <w:rFonts w:ascii="Times New Roman" w:eastAsia="Calibri" w:hAnsi="Times New Roman" w:cs="Times New Roman"/>
                <w:b/>
                <w:bCs/>
                <w:sz w:val="20"/>
                <w:szCs w:val="20"/>
                <w:lang w:eastAsia="ar-SA" w:bidi="ar-EG"/>
              </w:rPr>
              <w:t xml:space="preserve">Variables </w:t>
            </w:r>
          </w:p>
        </w:tc>
      </w:tr>
      <w:tr w:rsidR="004E1829" w:rsidRPr="001A392E" w:rsidTr="001A392E">
        <w:trPr>
          <w:cantSplit/>
          <w:jc w:val="center"/>
        </w:trPr>
        <w:tc>
          <w:tcPr>
            <w:tcW w:w="1275"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&gt;0.05</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NS</w:t>
            </w:r>
          </w:p>
        </w:tc>
        <w:tc>
          <w:tcPr>
            <w:tcW w:w="993"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0.9</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3.6</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3.9</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0.2</w:t>
            </w:r>
          </w:p>
        </w:tc>
        <w:tc>
          <w:tcPr>
            <w:tcW w:w="2552"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proofErr w:type="spellStart"/>
            <w:r w:rsidRPr="001A392E">
              <w:rPr>
                <w:rFonts w:ascii="Times New Roman" w:eastAsia="Times New Roman" w:hAnsi="Times New Roman" w:cs="Times New Roman"/>
                <w:b/>
                <w:bCs/>
                <w:sz w:val="20"/>
                <w:szCs w:val="20"/>
              </w:rPr>
              <w:t>WBCs</w:t>
            </w:r>
            <w:proofErr w:type="spellEnd"/>
            <w:r w:rsidRPr="001A392E">
              <w:rPr>
                <w:rFonts w:ascii="Times New Roman" w:eastAsia="Times New Roman" w:hAnsi="Times New Roman" w:cs="Times New Roman"/>
                <w:b/>
                <w:bCs/>
                <w:sz w:val="20"/>
                <w:szCs w:val="20"/>
              </w:rPr>
              <w:t xml:space="preserve"> </w:t>
            </w:r>
            <w:r w:rsidRPr="001A392E">
              <w:rPr>
                <w:rFonts w:ascii="Times New Roman" w:eastAsia="Times New Roman" w:hAnsi="Times New Roman" w:cs="Times New Roman"/>
                <w:b/>
                <w:bCs/>
                <w:spacing w:val="-6"/>
                <w:sz w:val="20"/>
                <w:szCs w:val="20"/>
              </w:rPr>
              <w:t>(x10</w:t>
            </w:r>
            <w:r w:rsidRPr="001A392E">
              <w:rPr>
                <w:rFonts w:ascii="Times New Roman" w:eastAsia="Times New Roman" w:hAnsi="Times New Roman" w:cs="Times New Roman"/>
                <w:b/>
                <w:bCs/>
                <w:spacing w:val="-6"/>
                <w:sz w:val="20"/>
                <w:szCs w:val="20"/>
                <w:vertAlign w:val="superscript"/>
              </w:rPr>
              <w:t>3</w:t>
            </w:r>
            <w:r w:rsidRPr="001A392E">
              <w:rPr>
                <w:rFonts w:ascii="Times New Roman" w:eastAsia="Times New Roman" w:hAnsi="Times New Roman" w:cs="Times New Roman"/>
                <w:b/>
                <w:bCs/>
                <w:spacing w:val="-6"/>
                <w:sz w:val="20"/>
                <w:szCs w:val="20"/>
              </w:rPr>
              <w:t>/mm</w:t>
            </w:r>
            <w:r w:rsidRPr="001A392E">
              <w:rPr>
                <w:rFonts w:ascii="Times New Roman" w:eastAsia="Times New Roman" w:hAnsi="Times New Roman" w:cs="Times New Roman"/>
                <w:b/>
                <w:bCs/>
                <w:spacing w:val="-6"/>
                <w:sz w:val="20"/>
                <w:szCs w:val="20"/>
                <w:vertAlign w:val="superscript"/>
              </w:rPr>
              <w:t>3</w:t>
            </w:r>
            <w:r w:rsidRPr="001A392E">
              <w:rPr>
                <w:rFonts w:ascii="Times New Roman" w:eastAsia="Times New Roman" w:hAnsi="Times New Roman" w:cs="Times New Roman"/>
                <w:b/>
                <w:bCs/>
                <w:spacing w:val="-6"/>
                <w:sz w:val="20"/>
                <w:szCs w:val="20"/>
              </w:rPr>
              <w:t>)</w:t>
            </w:r>
          </w:p>
        </w:tc>
      </w:tr>
      <w:tr w:rsidR="004E1829" w:rsidRPr="001A392E" w:rsidTr="001A392E">
        <w:trPr>
          <w:cantSplit/>
          <w:jc w:val="center"/>
        </w:trPr>
        <w:tc>
          <w:tcPr>
            <w:tcW w:w="1275"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&lt;0.05</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S</w:t>
            </w:r>
          </w:p>
        </w:tc>
        <w:tc>
          <w:tcPr>
            <w:tcW w:w="993"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2.2</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lang w:bidi="ar-EG"/>
              </w:rPr>
            </w:pPr>
            <w:r w:rsidRPr="001A392E">
              <w:rPr>
                <w:rFonts w:ascii="Times New Roman" w:eastAsia="Times New Roman" w:hAnsi="Times New Roman" w:cs="Times New Roman"/>
                <w:sz w:val="20"/>
                <w:szCs w:val="20"/>
              </w:rPr>
              <w:t>10.2</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11.6</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2</w:t>
            </w:r>
          </w:p>
        </w:tc>
        <w:tc>
          <w:tcPr>
            <w:tcW w:w="2552"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HB</w:t>
            </w:r>
            <w:r w:rsidRPr="001A392E">
              <w:rPr>
                <w:rFonts w:ascii="Times New Roman" w:eastAsia="Times New Roman" w:hAnsi="Times New Roman" w:cs="Times New Roman"/>
                <w:b/>
                <w:bCs/>
                <w:spacing w:val="-6"/>
                <w:sz w:val="20"/>
                <w:szCs w:val="20"/>
              </w:rPr>
              <w:t xml:space="preserve"> (g/dl)</w:t>
            </w:r>
          </w:p>
        </w:tc>
      </w:tr>
      <w:tr w:rsidR="004E1829" w:rsidRPr="001A392E" w:rsidTr="001A392E">
        <w:trPr>
          <w:cantSplit/>
          <w:jc w:val="center"/>
        </w:trPr>
        <w:tc>
          <w:tcPr>
            <w:tcW w:w="1275"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&lt;0.001</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HS</w:t>
            </w:r>
          </w:p>
        </w:tc>
        <w:tc>
          <w:tcPr>
            <w:tcW w:w="993"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5.2</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102</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49</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194.6</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34</w:t>
            </w:r>
          </w:p>
        </w:tc>
        <w:tc>
          <w:tcPr>
            <w:tcW w:w="2552"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tl/>
              </w:rPr>
            </w:pPr>
            <w:r w:rsidRPr="001A392E">
              <w:rPr>
                <w:rFonts w:ascii="Times New Roman" w:eastAsia="Times New Roman" w:hAnsi="Times New Roman" w:cs="Times New Roman"/>
                <w:b/>
                <w:bCs/>
                <w:sz w:val="20"/>
                <w:szCs w:val="20"/>
              </w:rPr>
              <w:t xml:space="preserve">Platelets </w:t>
            </w:r>
            <w:r w:rsidRPr="001A392E">
              <w:rPr>
                <w:rFonts w:ascii="Times New Roman" w:eastAsia="Times New Roman" w:hAnsi="Times New Roman" w:cs="Times New Roman"/>
                <w:b/>
                <w:bCs/>
                <w:spacing w:val="-6"/>
                <w:sz w:val="20"/>
                <w:szCs w:val="20"/>
              </w:rPr>
              <w:t>(x10</w:t>
            </w:r>
            <w:r w:rsidRPr="001A392E">
              <w:rPr>
                <w:rFonts w:ascii="Times New Roman" w:eastAsia="Times New Roman" w:hAnsi="Times New Roman" w:cs="Times New Roman"/>
                <w:b/>
                <w:bCs/>
                <w:spacing w:val="-6"/>
                <w:sz w:val="20"/>
                <w:szCs w:val="20"/>
                <w:vertAlign w:val="superscript"/>
              </w:rPr>
              <w:t>3</w:t>
            </w:r>
            <w:r w:rsidRPr="001A392E">
              <w:rPr>
                <w:rFonts w:ascii="Times New Roman" w:eastAsia="Times New Roman" w:hAnsi="Times New Roman" w:cs="Times New Roman"/>
                <w:b/>
                <w:bCs/>
                <w:spacing w:val="-6"/>
                <w:sz w:val="20"/>
                <w:szCs w:val="20"/>
              </w:rPr>
              <w:t>/mm</w:t>
            </w:r>
            <w:r w:rsidRPr="001A392E">
              <w:rPr>
                <w:rFonts w:ascii="Times New Roman" w:eastAsia="Times New Roman" w:hAnsi="Times New Roman" w:cs="Times New Roman"/>
                <w:b/>
                <w:bCs/>
                <w:spacing w:val="-6"/>
                <w:sz w:val="20"/>
                <w:szCs w:val="20"/>
                <w:vertAlign w:val="superscript"/>
              </w:rPr>
              <w:t>3</w:t>
            </w:r>
            <w:r w:rsidRPr="001A392E">
              <w:rPr>
                <w:rFonts w:ascii="Times New Roman" w:eastAsia="Times New Roman" w:hAnsi="Times New Roman" w:cs="Times New Roman"/>
                <w:b/>
                <w:bCs/>
                <w:spacing w:val="-6"/>
                <w:sz w:val="20"/>
                <w:szCs w:val="20"/>
              </w:rPr>
              <w:t>)</w:t>
            </w:r>
          </w:p>
        </w:tc>
      </w:tr>
      <w:tr w:rsidR="004E1829" w:rsidRPr="001A392E" w:rsidTr="001A392E">
        <w:trPr>
          <w:cantSplit/>
          <w:jc w:val="center"/>
        </w:trPr>
        <w:tc>
          <w:tcPr>
            <w:tcW w:w="1275"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&lt;0.05</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S</w:t>
            </w:r>
          </w:p>
        </w:tc>
        <w:tc>
          <w:tcPr>
            <w:tcW w:w="993"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2.2</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3</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0.6</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3.4</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0.3</w:t>
            </w:r>
          </w:p>
        </w:tc>
        <w:tc>
          <w:tcPr>
            <w:tcW w:w="2552"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tl/>
              </w:rPr>
            </w:pPr>
            <w:r w:rsidRPr="001A392E">
              <w:rPr>
                <w:rFonts w:ascii="Times New Roman" w:eastAsia="Times New Roman" w:hAnsi="Times New Roman" w:cs="Times New Roman"/>
                <w:b/>
                <w:bCs/>
                <w:sz w:val="20"/>
                <w:szCs w:val="20"/>
              </w:rPr>
              <w:t>Albumin (g/</w:t>
            </w:r>
            <w:proofErr w:type="spellStart"/>
            <w:r w:rsidRPr="001A392E">
              <w:rPr>
                <w:rFonts w:ascii="Times New Roman" w:eastAsia="Times New Roman" w:hAnsi="Times New Roman" w:cs="Times New Roman"/>
                <w:b/>
                <w:bCs/>
                <w:sz w:val="20"/>
                <w:szCs w:val="20"/>
              </w:rPr>
              <w:t>dL</w:t>
            </w:r>
            <w:proofErr w:type="spellEnd"/>
            <w:r w:rsidRPr="001A392E">
              <w:rPr>
                <w:rFonts w:ascii="Times New Roman" w:eastAsia="Times New Roman" w:hAnsi="Times New Roman" w:cs="Times New Roman"/>
                <w:b/>
                <w:bCs/>
                <w:sz w:val="20"/>
                <w:szCs w:val="20"/>
              </w:rPr>
              <w:t>)</w:t>
            </w:r>
          </w:p>
        </w:tc>
      </w:tr>
      <w:tr w:rsidR="004E1829" w:rsidRPr="001A392E" w:rsidTr="001A392E">
        <w:trPr>
          <w:cantSplit/>
          <w:jc w:val="center"/>
        </w:trPr>
        <w:tc>
          <w:tcPr>
            <w:tcW w:w="1275"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&lt;0.05</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S</w:t>
            </w:r>
          </w:p>
        </w:tc>
        <w:tc>
          <w:tcPr>
            <w:tcW w:w="993"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2.7</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15.5</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13.1</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3</w:t>
            </w:r>
          </w:p>
        </w:tc>
        <w:tc>
          <w:tcPr>
            <w:tcW w:w="2552"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PT(second)</w:t>
            </w:r>
          </w:p>
        </w:tc>
      </w:tr>
      <w:tr w:rsidR="004E1829" w:rsidRPr="001A392E" w:rsidTr="001A392E">
        <w:trPr>
          <w:cantSplit/>
          <w:jc w:val="center"/>
        </w:trPr>
        <w:tc>
          <w:tcPr>
            <w:tcW w:w="1275"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&gt;0.05</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NS</w:t>
            </w:r>
          </w:p>
        </w:tc>
        <w:tc>
          <w:tcPr>
            <w:tcW w:w="993"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1.9</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1.3</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0.4</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1.1</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0.2</w:t>
            </w:r>
          </w:p>
        </w:tc>
        <w:tc>
          <w:tcPr>
            <w:tcW w:w="2552"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INR</w:t>
            </w:r>
          </w:p>
        </w:tc>
      </w:tr>
      <w:tr w:rsidR="004E1829" w:rsidRPr="001A392E" w:rsidTr="001A392E">
        <w:trPr>
          <w:cantSplit/>
          <w:jc w:val="center"/>
        </w:trPr>
        <w:tc>
          <w:tcPr>
            <w:tcW w:w="1275"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&lt;0.001</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HS</w:t>
            </w:r>
          </w:p>
        </w:tc>
        <w:tc>
          <w:tcPr>
            <w:tcW w:w="993"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158</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130</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18</w:t>
            </w:r>
          </w:p>
        </w:tc>
        <w:tc>
          <w:tcPr>
            <w:tcW w:w="2552" w:type="dxa"/>
            <w:tcBorders>
              <w:top w:val="single" w:sz="4" w:space="0" w:color="auto"/>
              <w:left w:val="single" w:sz="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Spleen diameter (mm)</w:t>
            </w:r>
          </w:p>
        </w:tc>
      </w:tr>
      <w:tr w:rsidR="004E1829" w:rsidRPr="001A392E" w:rsidTr="001A392E">
        <w:trPr>
          <w:cantSplit/>
          <w:jc w:val="center"/>
        </w:trPr>
        <w:tc>
          <w:tcPr>
            <w:tcW w:w="1275" w:type="dxa"/>
            <w:tcBorders>
              <w:top w:val="single" w:sz="4" w:space="0" w:color="auto"/>
              <w:left w:val="thinThickSmallGap" w:sz="2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&lt;0.001</w:t>
            </w:r>
          </w:p>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HS</w:t>
            </w:r>
          </w:p>
        </w:tc>
        <w:tc>
          <w:tcPr>
            <w:tcW w:w="993" w:type="dxa"/>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5.1</w:t>
            </w:r>
          </w:p>
        </w:tc>
        <w:tc>
          <w:tcPr>
            <w:tcW w:w="1559" w:type="dxa"/>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698</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320</w:t>
            </w:r>
          </w:p>
        </w:tc>
        <w:tc>
          <w:tcPr>
            <w:tcW w:w="1559" w:type="dxa"/>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rPr>
            </w:pPr>
            <w:r w:rsidRPr="001A392E">
              <w:rPr>
                <w:rFonts w:ascii="Times New Roman" w:eastAsia="Times New Roman" w:hAnsi="Times New Roman" w:cs="Times New Roman"/>
                <w:sz w:val="20"/>
                <w:szCs w:val="20"/>
              </w:rPr>
              <w:t>1501</w:t>
            </w:r>
            <w:r w:rsidRPr="001A392E">
              <w:rPr>
                <w:rFonts w:ascii="Times New Roman" w:eastAsia="Times New Roman" w:hAnsi="Times New Roman" w:cs="Times New Roman"/>
                <w:sz w:val="20"/>
                <w:szCs w:val="20"/>
                <w:u w:val="single"/>
              </w:rPr>
              <w:t>+</w:t>
            </w:r>
            <w:r w:rsidRPr="001A392E">
              <w:rPr>
                <w:rFonts w:ascii="Times New Roman" w:eastAsia="Times New Roman" w:hAnsi="Times New Roman" w:cs="Times New Roman"/>
                <w:sz w:val="20"/>
                <w:szCs w:val="20"/>
              </w:rPr>
              <w:t>650</w:t>
            </w:r>
          </w:p>
        </w:tc>
        <w:tc>
          <w:tcPr>
            <w:tcW w:w="2552" w:type="dxa"/>
            <w:tcBorders>
              <w:top w:val="single" w:sz="4" w:space="0" w:color="auto"/>
              <w:left w:val="single" w:sz="4" w:space="0" w:color="auto"/>
              <w:bottom w:val="thickThinSmallGap" w:sz="2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tl/>
              </w:rPr>
            </w:pPr>
            <w:r w:rsidRPr="001A392E">
              <w:rPr>
                <w:rFonts w:ascii="Times New Roman" w:eastAsia="Times New Roman" w:hAnsi="Times New Roman" w:cs="Times New Roman"/>
                <w:b/>
                <w:bCs/>
                <w:sz w:val="20"/>
                <w:szCs w:val="20"/>
              </w:rPr>
              <w:t>PC/SD</w:t>
            </w:r>
          </w:p>
        </w:tc>
      </w:tr>
    </w:tbl>
    <w:p w:rsidR="004E1829" w:rsidRPr="001A392E" w:rsidRDefault="004E1829" w:rsidP="001A392E">
      <w:pPr>
        <w:adjustRightInd w:val="0"/>
        <w:snapToGrid w:val="0"/>
        <w:spacing w:after="0" w:line="240" w:lineRule="auto"/>
        <w:jc w:val="both"/>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  </w:t>
      </w:r>
    </w:p>
    <w:p w:rsidR="004E1829" w:rsidRPr="001A392E" w:rsidRDefault="004E1829" w:rsidP="001A392E">
      <w:pPr>
        <w:adjustRightInd w:val="0"/>
        <w:snapToGrid w:val="0"/>
        <w:spacing w:after="0" w:line="240" w:lineRule="auto"/>
        <w:ind w:firstLine="720"/>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The best cut off value of platelet count for prediction of PHG was 135</w:t>
      </w:r>
      <w:r w:rsidRPr="001A392E">
        <w:rPr>
          <w:rFonts w:ascii="Times New Roman" w:eastAsia="Times New Roman" w:hAnsi="Times New Roman" w:cs="Times New Roman"/>
          <w:b/>
          <w:bCs/>
          <w:spacing w:val="-6"/>
          <w:sz w:val="20"/>
          <w:szCs w:val="20"/>
        </w:rPr>
        <w:t xml:space="preserve"> </w:t>
      </w:r>
      <w:r w:rsidRPr="001A392E">
        <w:rPr>
          <w:rFonts w:ascii="Times New Roman" w:eastAsia="Times New Roman" w:hAnsi="Times New Roman" w:cs="Times New Roman"/>
          <w:spacing w:val="-6"/>
          <w:sz w:val="20"/>
          <w:szCs w:val="20"/>
        </w:rPr>
        <w:t>x10</w:t>
      </w:r>
      <w:r w:rsidRPr="001A392E">
        <w:rPr>
          <w:rFonts w:ascii="Times New Roman" w:eastAsia="Times New Roman" w:hAnsi="Times New Roman" w:cs="Times New Roman"/>
          <w:spacing w:val="-6"/>
          <w:sz w:val="20"/>
          <w:szCs w:val="20"/>
          <w:vertAlign w:val="superscript"/>
        </w:rPr>
        <w:t>3</w:t>
      </w:r>
      <w:r w:rsidRPr="001A392E">
        <w:rPr>
          <w:rFonts w:ascii="Times New Roman" w:eastAsia="Times New Roman" w:hAnsi="Times New Roman" w:cs="Times New Roman"/>
          <w:spacing w:val="-6"/>
          <w:sz w:val="20"/>
          <w:szCs w:val="20"/>
        </w:rPr>
        <w:t xml:space="preserve"> when NBI was the detection method of PHG with better sensitivity and specificity than that of WLE  (table 3)(figure 4, 5).  </w:t>
      </w:r>
    </w:p>
    <w:p w:rsidR="004E1829" w:rsidRPr="001A392E" w:rsidRDefault="004E1829" w:rsidP="001A392E">
      <w:pPr>
        <w:adjustRightInd w:val="0"/>
        <w:snapToGrid w:val="0"/>
        <w:spacing w:after="0" w:line="240" w:lineRule="auto"/>
        <w:ind w:firstLine="720"/>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 xml:space="preserve">Also, when NBI is used to diagnose PHG, the best cut off value of platelet count / </w:t>
      </w:r>
      <w:proofErr w:type="spellStart"/>
      <w:r w:rsidRPr="001A392E">
        <w:rPr>
          <w:rFonts w:ascii="Times New Roman" w:eastAsia="Times New Roman" w:hAnsi="Times New Roman" w:cs="Times New Roman"/>
          <w:spacing w:val="-6"/>
          <w:sz w:val="20"/>
          <w:szCs w:val="20"/>
        </w:rPr>
        <w:t>splenic</w:t>
      </w:r>
      <w:proofErr w:type="spellEnd"/>
      <w:r w:rsidRPr="001A392E">
        <w:rPr>
          <w:rFonts w:ascii="Times New Roman" w:eastAsia="Times New Roman" w:hAnsi="Times New Roman" w:cs="Times New Roman"/>
          <w:spacing w:val="-6"/>
          <w:sz w:val="20"/>
          <w:szCs w:val="20"/>
        </w:rPr>
        <w:t xml:space="preserve"> diameter for prediction of PHG was 960, while on using WLE (the cut off value was 640) with higher specificity and overall diagnostic accuracy than WLE (table 3)</w:t>
      </w:r>
      <w:r w:rsidR="001A392E">
        <w:rPr>
          <w:rFonts w:ascii="Times New Roman" w:eastAsia="Times New Roman" w:hAnsi="Times New Roman" w:cs="Times New Roman"/>
          <w:spacing w:val="-6"/>
          <w:sz w:val="20"/>
          <w:szCs w:val="20"/>
        </w:rPr>
        <w:t xml:space="preserve"> </w:t>
      </w:r>
      <w:r w:rsidRPr="001A392E">
        <w:rPr>
          <w:rFonts w:ascii="Times New Roman" w:eastAsia="Times New Roman" w:hAnsi="Times New Roman" w:cs="Times New Roman"/>
          <w:spacing w:val="-6"/>
          <w:sz w:val="20"/>
          <w:szCs w:val="20"/>
        </w:rPr>
        <w:t>(figure 4, 5).</w:t>
      </w:r>
    </w:p>
    <w:p w:rsidR="004E1829" w:rsidRPr="001A392E" w:rsidRDefault="004E1829" w:rsidP="001A392E">
      <w:pPr>
        <w:adjustRightInd w:val="0"/>
        <w:snapToGrid w:val="0"/>
        <w:spacing w:after="0" w:line="240" w:lineRule="auto"/>
        <w:jc w:val="lowKashida"/>
        <w:rPr>
          <w:rFonts w:ascii="Times New Roman" w:eastAsia="Times New Roman" w:hAnsi="Times New Roman" w:cs="Times New Roman"/>
          <w:b/>
          <w:bCs/>
          <w:spacing w:val="-6"/>
          <w:sz w:val="20"/>
          <w:szCs w:val="20"/>
        </w:rPr>
      </w:pPr>
    </w:p>
    <w:p w:rsidR="004E1829" w:rsidRPr="001A392E" w:rsidRDefault="004E1829" w:rsidP="001A392E">
      <w:pPr>
        <w:adjustRightInd w:val="0"/>
        <w:snapToGrid w:val="0"/>
        <w:spacing w:after="0" w:line="240" w:lineRule="auto"/>
        <w:jc w:val="lowKashida"/>
        <w:rPr>
          <w:rFonts w:ascii="Times New Roman" w:eastAsia="Times New Roman" w:hAnsi="Times New Roman" w:cs="Times New Roman"/>
          <w:sz w:val="20"/>
          <w:szCs w:val="20"/>
          <w:lang w:eastAsia="ar-SA"/>
        </w:rPr>
      </w:pPr>
      <w:r w:rsidRPr="001A392E">
        <w:rPr>
          <w:rFonts w:ascii="Times New Roman" w:eastAsia="Times New Roman" w:hAnsi="Times New Roman" w:cs="Times New Roman"/>
          <w:b/>
          <w:bCs/>
          <w:spacing w:val="-6"/>
          <w:sz w:val="20"/>
          <w:szCs w:val="20"/>
        </w:rPr>
        <w:lastRenderedPageBreak/>
        <w:t>Table (3):</w:t>
      </w:r>
      <w:r w:rsidRPr="001A392E">
        <w:rPr>
          <w:rFonts w:ascii="Times New Roman" w:eastAsia="Times New Roman" w:hAnsi="Times New Roman" w:cs="Times New Roman"/>
          <w:spacing w:val="-6"/>
          <w:sz w:val="20"/>
          <w:szCs w:val="20"/>
        </w:rPr>
        <w:t xml:space="preserve"> Validity of different laboratory markers in prediction of PHG with WLE and NBI.</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11"/>
        <w:gridCol w:w="1260"/>
        <w:gridCol w:w="1260"/>
        <w:gridCol w:w="1080"/>
        <w:gridCol w:w="1080"/>
        <w:gridCol w:w="2357"/>
      </w:tblGrid>
      <w:tr w:rsidR="004E1829" w:rsidRPr="001A392E" w:rsidTr="001A392E">
        <w:trPr>
          <w:cantSplit/>
          <w:jc w:val="center"/>
        </w:trPr>
        <w:tc>
          <w:tcPr>
            <w:tcW w:w="3171" w:type="dxa"/>
            <w:gridSpan w:val="3"/>
            <w:tcBorders>
              <w:top w:val="thinThickSmallGap" w:sz="24" w:space="0" w:color="auto"/>
              <w:left w:val="thinThickSmallGap" w:sz="2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WLE</w:t>
            </w:r>
          </w:p>
        </w:tc>
        <w:tc>
          <w:tcPr>
            <w:tcW w:w="3420" w:type="dxa"/>
            <w:gridSpan w:val="3"/>
            <w:tcBorders>
              <w:top w:val="thinThickSmallGap" w:sz="24" w:space="0" w:color="auto"/>
              <w:left w:val="thinThickThinSmallGap" w:sz="2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NBI</w:t>
            </w:r>
          </w:p>
        </w:tc>
        <w:tc>
          <w:tcPr>
            <w:tcW w:w="2357" w:type="dxa"/>
            <w:vMerge w:val="restart"/>
            <w:tcBorders>
              <w:top w:val="thinThickSmallGap" w:sz="24" w:space="0" w:color="auto"/>
              <w:left w:val="thinThickThinSmallGap" w:sz="24" w:space="0" w:color="auto"/>
              <w:right w:val="thickThinSmallGap" w:sz="24" w:space="0" w:color="auto"/>
            </w:tcBorders>
          </w:tcPr>
          <w:p w:rsidR="004E1829" w:rsidRPr="001A392E" w:rsidRDefault="004E1829" w:rsidP="001A392E">
            <w:pPr>
              <w:keepNext/>
              <w:bidi/>
              <w:adjustRightInd w:val="0"/>
              <w:snapToGrid w:val="0"/>
              <w:spacing w:after="0" w:line="240" w:lineRule="auto"/>
              <w:jc w:val="right"/>
              <w:outlineLvl w:val="1"/>
              <w:rPr>
                <w:rFonts w:ascii="Times New Roman" w:eastAsia="Calibri" w:hAnsi="Times New Roman" w:cs="Times New Roman"/>
                <w:b/>
                <w:bCs/>
                <w:sz w:val="20"/>
                <w:szCs w:val="20"/>
                <w:lang w:eastAsia="ar-SA" w:bidi="ar-EG"/>
              </w:rPr>
            </w:pPr>
            <w:r w:rsidRPr="001A392E">
              <w:rPr>
                <w:rFonts w:ascii="Times New Roman" w:eastAsia="Calibri" w:hAnsi="Times New Roman" w:cs="Times New Roman"/>
                <w:b/>
                <w:bCs/>
                <w:sz w:val="20"/>
                <w:szCs w:val="20"/>
                <w:lang w:eastAsia="ar-SA" w:bidi="ar-EG"/>
              </w:rPr>
              <w:t xml:space="preserve">Variables </w:t>
            </w:r>
          </w:p>
        </w:tc>
      </w:tr>
      <w:tr w:rsidR="004E1829" w:rsidRPr="001A392E" w:rsidTr="001A392E">
        <w:trPr>
          <w:cantSplit/>
          <w:jc w:val="center"/>
        </w:trPr>
        <w:tc>
          <w:tcPr>
            <w:tcW w:w="900" w:type="dxa"/>
            <w:tcBorders>
              <w:top w:val="single" w:sz="4" w:space="0" w:color="auto"/>
              <w:left w:val="thinThickSmallGap" w:sz="2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PC/SD</w:t>
            </w:r>
          </w:p>
        </w:tc>
        <w:tc>
          <w:tcPr>
            <w:tcW w:w="1011" w:type="dxa"/>
            <w:tcBorders>
              <w:top w:val="single" w:sz="4" w:space="0" w:color="auto"/>
              <w:left w:val="single" w:sz="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platelets</w:t>
            </w:r>
          </w:p>
        </w:tc>
        <w:tc>
          <w:tcPr>
            <w:tcW w:w="1260" w:type="dxa"/>
            <w:tcBorders>
              <w:top w:val="single" w:sz="4" w:space="0" w:color="auto"/>
              <w:left w:val="single" w:sz="4" w:space="0" w:color="auto"/>
              <w:bottom w:val="thinThickThinSmallGap" w:sz="2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tl/>
              </w:rPr>
            </w:pPr>
            <w:proofErr w:type="spellStart"/>
            <w:r w:rsidRPr="001A392E">
              <w:rPr>
                <w:rFonts w:ascii="Times New Roman" w:eastAsia="Times New Roman" w:hAnsi="Times New Roman" w:cs="Times New Roman"/>
                <w:b/>
                <w:bCs/>
                <w:sz w:val="20"/>
                <w:szCs w:val="20"/>
              </w:rPr>
              <w:t>WBCs</w:t>
            </w:r>
            <w:proofErr w:type="spellEnd"/>
          </w:p>
        </w:tc>
        <w:tc>
          <w:tcPr>
            <w:tcW w:w="1260" w:type="dxa"/>
            <w:tcBorders>
              <w:top w:val="single" w:sz="4" w:space="0" w:color="auto"/>
              <w:left w:val="thinThickThinSmallGap" w:sz="2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PC/SD</w:t>
            </w:r>
          </w:p>
        </w:tc>
        <w:tc>
          <w:tcPr>
            <w:tcW w:w="1080" w:type="dxa"/>
            <w:tcBorders>
              <w:top w:val="single" w:sz="4" w:space="0" w:color="auto"/>
              <w:left w:val="single" w:sz="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platelets</w:t>
            </w:r>
          </w:p>
        </w:tc>
        <w:tc>
          <w:tcPr>
            <w:tcW w:w="1080" w:type="dxa"/>
            <w:tcBorders>
              <w:top w:val="single" w:sz="4" w:space="0" w:color="auto"/>
              <w:left w:val="single" w:sz="4" w:space="0" w:color="auto"/>
              <w:bottom w:val="thinThickThinSmallGap" w:sz="2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roofErr w:type="spellStart"/>
            <w:r w:rsidRPr="001A392E">
              <w:rPr>
                <w:rFonts w:ascii="Times New Roman" w:eastAsia="Times New Roman" w:hAnsi="Times New Roman" w:cs="Times New Roman"/>
                <w:b/>
                <w:bCs/>
                <w:sz w:val="20"/>
                <w:szCs w:val="20"/>
              </w:rPr>
              <w:t>WBCs</w:t>
            </w:r>
            <w:proofErr w:type="spellEnd"/>
          </w:p>
        </w:tc>
        <w:tc>
          <w:tcPr>
            <w:tcW w:w="2357" w:type="dxa"/>
            <w:vMerge/>
            <w:tcBorders>
              <w:left w:val="thinThickThinSmallGap" w:sz="24" w:space="0" w:color="auto"/>
              <w:bottom w:val="thinThickThinSmallGap" w:sz="24" w:space="0" w:color="auto"/>
              <w:right w:val="thickThinSmallGap" w:sz="24" w:space="0" w:color="auto"/>
            </w:tcBorders>
          </w:tcPr>
          <w:p w:rsidR="004E1829" w:rsidRPr="001A392E" w:rsidRDefault="004E1829" w:rsidP="001A392E">
            <w:pPr>
              <w:keepNext/>
              <w:bidi/>
              <w:adjustRightInd w:val="0"/>
              <w:snapToGrid w:val="0"/>
              <w:spacing w:after="0" w:line="240" w:lineRule="auto"/>
              <w:jc w:val="right"/>
              <w:outlineLvl w:val="1"/>
              <w:rPr>
                <w:rFonts w:ascii="Times New Roman" w:eastAsia="Calibri" w:hAnsi="Times New Roman" w:cs="Times New Roman"/>
                <w:b/>
                <w:bCs/>
                <w:sz w:val="20"/>
                <w:szCs w:val="20"/>
                <w:lang w:eastAsia="ar-SA" w:bidi="ar-EG"/>
              </w:rPr>
            </w:pPr>
          </w:p>
        </w:tc>
      </w:tr>
      <w:tr w:rsidR="004E1829" w:rsidRPr="001A392E" w:rsidTr="001A392E">
        <w:trPr>
          <w:cantSplit/>
          <w:jc w:val="center"/>
        </w:trPr>
        <w:tc>
          <w:tcPr>
            <w:tcW w:w="900" w:type="dxa"/>
            <w:tcBorders>
              <w:top w:val="thinThickThinSmallGap" w:sz="2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tl/>
                <w:lang w:bidi="ar-EG"/>
              </w:rPr>
            </w:pPr>
            <w:r w:rsidRPr="001A392E">
              <w:rPr>
                <w:rFonts w:ascii="Times New Roman" w:eastAsia="Times New Roman" w:hAnsi="Times New Roman" w:cs="Times New Roman"/>
                <w:b/>
                <w:bCs/>
                <w:sz w:val="20"/>
                <w:szCs w:val="20"/>
              </w:rPr>
              <w:t>640</w:t>
            </w:r>
          </w:p>
        </w:tc>
        <w:tc>
          <w:tcPr>
            <w:tcW w:w="1011" w:type="dxa"/>
            <w:tcBorders>
              <w:top w:val="thinThickThinSmallGap"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b/>
                <w:bCs/>
                <w:sz w:val="20"/>
                <w:szCs w:val="20"/>
              </w:rPr>
              <w:t>100</w:t>
            </w:r>
            <w:r w:rsidRPr="001A392E">
              <w:rPr>
                <w:rFonts w:ascii="Times New Roman" w:eastAsia="Times New Roman" w:hAnsi="Times New Roman" w:cs="Times New Roman"/>
                <w:b/>
                <w:bCs/>
                <w:spacing w:val="-6"/>
                <w:sz w:val="20"/>
                <w:szCs w:val="20"/>
              </w:rPr>
              <w:t xml:space="preserve"> x10</w:t>
            </w:r>
            <w:r w:rsidRPr="001A392E">
              <w:rPr>
                <w:rFonts w:ascii="Times New Roman" w:eastAsia="Times New Roman" w:hAnsi="Times New Roman" w:cs="Times New Roman"/>
                <w:b/>
                <w:bCs/>
                <w:spacing w:val="-6"/>
                <w:sz w:val="20"/>
                <w:szCs w:val="20"/>
                <w:vertAlign w:val="superscript"/>
              </w:rPr>
              <w:t>3</w:t>
            </w:r>
          </w:p>
        </w:tc>
        <w:tc>
          <w:tcPr>
            <w:tcW w:w="1260" w:type="dxa"/>
            <w:tcBorders>
              <w:top w:val="thinThickThinSmallGap" w:sz="2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3.5</w:t>
            </w:r>
            <w:r w:rsidRPr="001A392E">
              <w:rPr>
                <w:rFonts w:ascii="Times New Roman" w:eastAsia="Times New Roman" w:hAnsi="Times New Roman" w:cs="Times New Roman"/>
                <w:b/>
                <w:bCs/>
                <w:spacing w:val="-6"/>
                <w:sz w:val="20"/>
                <w:szCs w:val="20"/>
              </w:rPr>
              <w:t xml:space="preserve"> </w:t>
            </w:r>
            <w:r w:rsidRPr="001A392E">
              <w:rPr>
                <w:rFonts w:ascii="Times New Roman" w:eastAsia="Times New Roman" w:hAnsi="Times New Roman" w:cs="Times New Roman"/>
                <w:spacing w:val="-6"/>
                <w:sz w:val="20"/>
                <w:szCs w:val="20"/>
              </w:rPr>
              <w:t>x10</w:t>
            </w:r>
            <w:r w:rsidRPr="001A392E">
              <w:rPr>
                <w:rFonts w:ascii="Times New Roman" w:eastAsia="Times New Roman" w:hAnsi="Times New Roman" w:cs="Times New Roman"/>
                <w:spacing w:val="-6"/>
                <w:sz w:val="20"/>
                <w:szCs w:val="20"/>
                <w:vertAlign w:val="superscript"/>
              </w:rPr>
              <w:t>3</w:t>
            </w:r>
          </w:p>
        </w:tc>
        <w:tc>
          <w:tcPr>
            <w:tcW w:w="1260" w:type="dxa"/>
            <w:tcBorders>
              <w:top w:val="thinThickThinSmallGap" w:sz="2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960</w:t>
            </w:r>
          </w:p>
        </w:tc>
        <w:tc>
          <w:tcPr>
            <w:tcW w:w="1080" w:type="dxa"/>
            <w:tcBorders>
              <w:top w:val="thinThickThinSmallGap"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rPr>
            </w:pPr>
            <w:r w:rsidRPr="001A392E">
              <w:rPr>
                <w:rFonts w:ascii="Times New Roman" w:eastAsia="Times New Roman" w:hAnsi="Times New Roman" w:cs="Times New Roman"/>
                <w:b/>
                <w:bCs/>
                <w:sz w:val="20"/>
                <w:szCs w:val="20"/>
              </w:rPr>
              <w:t>135</w:t>
            </w:r>
            <w:r w:rsidRPr="001A392E">
              <w:rPr>
                <w:rFonts w:ascii="Times New Roman" w:eastAsia="Times New Roman" w:hAnsi="Times New Roman" w:cs="Times New Roman"/>
                <w:b/>
                <w:bCs/>
                <w:spacing w:val="-6"/>
                <w:sz w:val="20"/>
                <w:szCs w:val="20"/>
              </w:rPr>
              <w:t xml:space="preserve"> x10</w:t>
            </w:r>
            <w:r w:rsidRPr="001A392E">
              <w:rPr>
                <w:rFonts w:ascii="Times New Roman" w:eastAsia="Times New Roman" w:hAnsi="Times New Roman" w:cs="Times New Roman"/>
                <w:b/>
                <w:bCs/>
                <w:spacing w:val="-6"/>
                <w:sz w:val="20"/>
                <w:szCs w:val="20"/>
                <w:vertAlign w:val="superscript"/>
              </w:rPr>
              <w:t>3</w:t>
            </w:r>
          </w:p>
        </w:tc>
        <w:tc>
          <w:tcPr>
            <w:tcW w:w="1080" w:type="dxa"/>
            <w:tcBorders>
              <w:top w:val="thinThickThinSmallGap" w:sz="2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3.6</w:t>
            </w:r>
            <w:r w:rsidRPr="001A392E">
              <w:rPr>
                <w:rFonts w:ascii="Times New Roman" w:eastAsia="Times New Roman" w:hAnsi="Times New Roman" w:cs="Times New Roman"/>
                <w:spacing w:val="-6"/>
                <w:sz w:val="20"/>
                <w:szCs w:val="20"/>
              </w:rPr>
              <w:t>x10</w:t>
            </w:r>
            <w:r w:rsidRPr="001A392E">
              <w:rPr>
                <w:rFonts w:ascii="Times New Roman" w:eastAsia="Times New Roman" w:hAnsi="Times New Roman" w:cs="Times New Roman"/>
                <w:spacing w:val="-6"/>
                <w:sz w:val="20"/>
                <w:szCs w:val="20"/>
                <w:vertAlign w:val="superscript"/>
              </w:rPr>
              <w:t>3</w:t>
            </w:r>
          </w:p>
        </w:tc>
        <w:tc>
          <w:tcPr>
            <w:tcW w:w="2357" w:type="dxa"/>
            <w:tcBorders>
              <w:top w:val="thinThickThinSmallGap" w:sz="2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Best cut off</w:t>
            </w:r>
          </w:p>
        </w:tc>
      </w:tr>
      <w:tr w:rsidR="004E1829" w:rsidRPr="001A392E" w:rsidTr="001A392E">
        <w:trPr>
          <w:cantSplit/>
          <w:jc w:val="center"/>
        </w:trPr>
        <w:tc>
          <w:tcPr>
            <w:tcW w:w="90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tl/>
              </w:rPr>
            </w:pPr>
            <w:r w:rsidRPr="001A392E">
              <w:rPr>
                <w:rFonts w:ascii="Times New Roman" w:eastAsia="Times New Roman" w:hAnsi="Times New Roman" w:cs="Times New Roman"/>
                <w:b/>
                <w:bCs/>
                <w:sz w:val="20"/>
                <w:szCs w:val="20"/>
              </w:rPr>
              <w:t>0.84</w:t>
            </w:r>
          </w:p>
        </w:tc>
        <w:tc>
          <w:tcPr>
            <w:tcW w:w="101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0.82</w:t>
            </w:r>
          </w:p>
        </w:tc>
        <w:tc>
          <w:tcPr>
            <w:tcW w:w="126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sz w:val="20"/>
                <w:szCs w:val="20"/>
              </w:rPr>
              <w:t>0.61</w:t>
            </w:r>
          </w:p>
        </w:tc>
        <w:tc>
          <w:tcPr>
            <w:tcW w:w="1260"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0.92</w:t>
            </w:r>
          </w:p>
        </w:tc>
        <w:tc>
          <w:tcPr>
            <w:tcW w:w="108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0.91</w:t>
            </w:r>
          </w:p>
        </w:tc>
        <w:tc>
          <w:tcPr>
            <w:tcW w:w="108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0.68</w:t>
            </w:r>
          </w:p>
        </w:tc>
        <w:tc>
          <w:tcPr>
            <w:tcW w:w="2357"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AUC</w:t>
            </w:r>
          </w:p>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(area under curve)</w:t>
            </w:r>
          </w:p>
        </w:tc>
      </w:tr>
      <w:tr w:rsidR="004E1829" w:rsidRPr="001A392E" w:rsidTr="001A392E">
        <w:trPr>
          <w:cantSplit/>
          <w:jc w:val="center"/>
        </w:trPr>
        <w:tc>
          <w:tcPr>
            <w:tcW w:w="90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90%</w:t>
            </w:r>
          </w:p>
        </w:tc>
        <w:tc>
          <w:tcPr>
            <w:tcW w:w="101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90%</w:t>
            </w:r>
          </w:p>
        </w:tc>
        <w:tc>
          <w:tcPr>
            <w:tcW w:w="126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sz w:val="20"/>
                <w:szCs w:val="20"/>
              </w:rPr>
              <w:t>80%</w:t>
            </w:r>
          </w:p>
        </w:tc>
        <w:tc>
          <w:tcPr>
            <w:tcW w:w="1260"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90%</w:t>
            </w:r>
          </w:p>
        </w:tc>
        <w:tc>
          <w:tcPr>
            <w:tcW w:w="108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92%</w:t>
            </w:r>
          </w:p>
        </w:tc>
        <w:tc>
          <w:tcPr>
            <w:tcW w:w="108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80%</w:t>
            </w:r>
          </w:p>
        </w:tc>
        <w:tc>
          <w:tcPr>
            <w:tcW w:w="2357"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707B16">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 xml:space="preserve">Sensitivity </w:t>
            </w:r>
          </w:p>
        </w:tc>
      </w:tr>
      <w:tr w:rsidR="004E1829" w:rsidRPr="001A392E" w:rsidTr="001A392E">
        <w:trPr>
          <w:cantSplit/>
          <w:jc w:val="center"/>
        </w:trPr>
        <w:tc>
          <w:tcPr>
            <w:tcW w:w="90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67%</w:t>
            </w:r>
          </w:p>
        </w:tc>
        <w:tc>
          <w:tcPr>
            <w:tcW w:w="101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tl/>
              </w:rPr>
            </w:pPr>
            <w:r w:rsidRPr="001A392E">
              <w:rPr>
                <w:rFonts w:ascii="Times New Roman" w:eastAsia="Times New Roman" w:hAnsi="Times New Roman" w:cs="Times New Roman"/>
                <w:b/>
                <w:bCs/>
                <w:sz w:val="20"/>
                <w:szCs w:val="20"/>
              </w:rPr>
              <w:t>72%</w:t>
            </w:r>
          </w:p>
        </w:tc>
        <w:tc>
          <w:tcPr>
            <w:tcW w:w="126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47%</w:t>
            </w:r>
          </w:p>
        </w:tc>
        <w:tc>
          <w:tcPr>
            <w:tcW w:w="1260"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80%</w:t>
            </w:r>
          </w:p>
        </w:tc>
        <w:tc>
          <w:tcPr>
            <w:tcW w:w="108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87%</w:t>
            </w:r>
          </w:p>
        </w:tc>
        <w:tc>
          <w:tcPr>
            <w:tcW w:w="108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50%</w:t>
            </w:r>
          </w:p>
        </w:tc>
        <w:tc>
          <w:tcPr>
            <w:tcW w:w="2357"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tl/>
              </w:rPr>
            </w:pPr>
            <w:r w:rsidRPr="001A392E">
              <w:rPr>
                <w:rFonts w:ascii="Times New Roman" w:eastAsia="Times New Roman" w:hAnsi="Times New Roman" w:cs="Times New Roman"/>
                <w:b/>
                <w:bCs/>
                <w:sz w:val="20"/>
                <w:szCs w:val="20"/>
              </w:rPr>
              <w:t xml:space="preserve">Specificity </w:t>
            </w:r>
          </w:p>
        </w:tc>
      </w:tr>
      <w:tr w:rsidR="004E1829" w:rsidRPr="001A392E" w:rsidTr="001A392E">
        <w:trPr>
          <w:cantSplit/>
          <w:jc w:val="center"/>
        </w:trPr>
        <w:tc>
          <w:tcPr>
            <w:tcW w:w="90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92%</w:t>
            </w:r>
          </w:p>
        </w:tc>
        <w:tc>
          <w:tcPr>
            <w:tcW w:w="101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93%</w:t>
            </w:r>
          </w:p>
        </w:tc>
        <w:tc>
          <w:tcPr>
            <w:tcW w:w="126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78%</w:t>
            </w:r>
          </w:p>
        </w:tc>
        <w:tc>
          <w:tcPr>
            <w:tcW w:w="1260"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93%</w:t>
            </w:r>
          </w:p>
        </w:tc>
        <w:tc>
          <w:tcPr>
            <w:tcW w:w="108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96%</w:t>
            </w:r>
          </w:p>
        </w:tc>
        <w:tc>
          <w:tcPr>
            <w:tcW w:w="108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72%</w:t>
            </w:r>
          </w:p>
        </w:tc>
        <w:tc>
          <w:tcPr>
            <w:tcW w:w="2357"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 xml:space="preserve">PPV </w:t>
            </w:r>
          </w:p>
        </w:tc>
      </w:tr>
      <w:tr w:rsidR="004E1829" w:rsidRPr="001A392E" w:rsidTr="001A392E">
        <w:trPr>
          <w:cantSplit/>
          <w:jc w:val="center"/>
        </w:trPr>
        <w:tc>
          <w:tcPr>
            <w:tcW w:w="90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70%</w:t>
            </w:r>
          </w:p>
        </w:tc>
        <w:tc>
          <w:tcPr>
            <w:tcW w:w="101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75%</w:t>
            </w:r>
          </w:p>
        </w:tc>
        <w:tc>
          <w:tcPr>
            <w:tcW w:w="126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56%</w:t>
            </w:r>
          </w:p>
        </w:tc>
        <w:tc>
          <w:tcPr>
            <w:tcW w:w="1260"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83%</w:t>
            </w:r>
          </w:p>
        </w:tc>
        <w:tc>
          <w:tcPr>
            <w:tcW w:w="108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85%</w:t>
            </w:r>
          </w:p>
        </w:tc>
        <w:tc>
          <w:tcPr>
            <w:tcW w:w="1080"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rPr>
            </w:pPr>
            <w:r w:rsidRPr="001A392E">
              <w:rPr>
                <w:rFonts w:ascii="Times New Roman" w:eastAsia="Times New Roman" w:hAnsi="Times New Roman" w:cs="Times New Roman"/>
                <w:sz w:val="20"/>
                <w:szCs w:val="20"/>
              </w:rPr>
              <w:t>51%</w:t>
            </w:r>
          </w:p>
        </w:tc>
        <w:tc>
          <w:tcPr>
            <w:tcW w:w="2357"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NPV</w:t>
            </w:r>
          </w:p>
        </w:tc>
      </w:tr>
      <w:tr w:rsidR="004E1829" w:rsidRPr="001A392E" w:rsidTr="001A392E">
        <w:trPr>
          <w:cantSplit/>
          <w:jc w:val="center"/>
        </w:trPr>
        <w:tc>
          <w:tcPr>
            <w:tcW w:w="900" w:type="dxa"/>
            <w:tcBorders>
              <w:top w:val="single" w:sz="4" w:space="0" w:color="auto"/>
              <w:left w:val="thinThickSmallGap" w:sz="2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72%</w:t>
            </w:r>
          </w:p>
        </w:tc>
        <w:tc>
          <w:tcPr>
            <w:tcW w:w="1011" w:type="dxa"/>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76%</w:t>
            </w:r>
          </w:p>
        </w:tc>
        <w:tc>
          <w:tcPr>
            <w:tcW w:w="1260" w:type="dxa"/>
            <w:tcBorders>
              <w:top w:val="single" w:sz="4" w:space="0" w:color="auto"/>
              <w:left w:val="single" w:sz="4" w:space="0" w:color="auto"/>
              <w:bottom w:val="thickThinSmallGap" w:sz="2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62%</w:t>
            </w:r>
          </w:p>
        </w:tc>
        <w:tc>
          <w:tcPr>
            <w:tcW w:w="1260" w:type="dxa"/>
            <w:tcBorders>
              <w:top w:val="single" w:sz="4" w:space="0" w:color="auto"/>
              <w:left w:val="thinThickThinSmallGap" w:sz="2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80%</w:t>
            </w:r>
          </w:p>
        </w:tc>
        <w:tc>
          <w:tcPr>
            <w:tcW w:w="1080" w:type="dxa"/>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84%</w:t>
            </w:r>
          </w:p>
        </w:tc>
        <w:tc>
          <w:tcPr>
            <w:tcW w:w="1080" w:type="dxa"/>
            <w:tcBorders>
              <w:top w:val="single" w:sz="4" w:space="0" w:color="auto"/>
              <w:left w:val="single" w:sz="4" w:space="0" w:color="auto"/>
              <w:bottom w:val="thickThinSmallGap" w:sz="2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60%</w:t>
            </w:r>
          </w:p>
        </w:tc>
        <w:tc>
          <w:tcPr>
            <w:tcW w:w="2357" w:type="dxa"/>
            <w:tcBorders>
              <w:top w:val="single" w:sz="4" w:space="0" w:color="auto"/>
              <w:left w:val="thinThickThinSmallGap" w:sz="24" w:space="0" w:color="auto"/>
              <w:bottom w:val="thickThinSmallGap" w:sz="2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Accuracy</w:t>
            </w:r>
          </w:p>
        </w:tc>
      </w:tr>
    </w:tbl>
    <w:p w:rsidR="001A392E" w:rsidRDefault="001A392E" w:rsidP="001A392E">
      <w:pPr>
        <w:adjustRightInd w:val="0"/>
        <w:snapToGrid w:val="0"/>
        <w:spacing w:after="0" w:line="240" w:lineRule="auto"/>
        <w:jc w:val="lowKashida"/>
        <w:rPr>
          <w:rFonts w:ascii="Times New Roman" w:eastAsia="Times New Roman" w:hAnsi="Times New Roman" w:cs="Times New Roman"/>
          <w:spacing w:val="-6"/>
          <w:sz w:val="20"/>
          <w:szCs w:val="20"/>
        </w:rPr>
      </w:pPr>
    </w:p>
    <w:p w:rsidR="004E1829" w:rsidRDefault="004E1829" w:rsidP="001A392E">
      <w:pPr>
        <w:adjustRightInd w:val="0"/>
        <w:snapToGrid w:val="0"/>
        <w:spacing w:after="0" w:line="240" w:lineRule="auto"/>
        <w:jc w:val="lowKashida"/>
        <w:rPr>
          <w:rFonts w:ascii="Times New Roman" w:eastAsia="Times New Roman" w:hAnsi="Times New Roman" w:cs="Times New Roman"/>
          <w:spacing w:val="-6"/>
          <w:sz w:val="20"/>
          <w:szCs w:val="20"/>
        </w:rPr>
      </w:pPr>
      <w:proofErr w:type="spellStart"/>
      <w:r w:rsidRPr="001A392E">
        <w:rPr>
          <w:rFonts w:ascii="Times New Roman" w:eastAsia="Times New Roman" w:hAnsi="Times New Roman" w:cs="Times New Roman"/>
          <w:spacing w:val="-6"/>
          <w:sz w:val="20"/>
          <w:szCs w:val="20"/>
        </w:rPr>
        <w:t>Splenic</w:t>
      </w:r>
      <w:proofErr w:type="spellEnd"/>
      <w:r w:rsidRPr="001A392E">
        <w:rPr>
          <w:rFonts w:ascii="Times New Roman" w:eastAsia="Times New Roman" w:hAnsi="Times New Roman" w:cs="Times New Roman"/>
          <w:spacing w:val="-6"/>
          <w:sz w:val="20"/>
          <w:szCs w:val="20"/>
        </w:rPr>
        <w:t xml:space="preserve"> diameter and portal vein diameter were poor predictors of PHG as shown in table (4) &amp; (figure 4, 5).</w:t>
      </w:r>
    </w:p>
    <w:p w:rsidR="001A392E" w:rsidRPr="001A392E" w:rsidRDefault="001A392E" w:rsidP="001A392E">
      <w:pPr>
        <w:adjustRightInd w:val="0"/>
        <w:snapToGrid w:val="0"/>
        <w:spacing w:after="0" w:line="240" w:lineRule="auto"/>
        <w:jc w:val="lowKashida"/>
        <w:rPr>
          <w:rFonts w:ascii="Times New Roman" w:eastAsia="Times New Roman" w:hAnsi="Times New Roman" w:cs="Times New Roman"/>
          <w:spacing w:val="-6"/>
          <w:sz w:val="20"/>
          <w:szCs w:val="20"/>
          <w:rtl/>
          <w:lang w:bidi="ar-EG"/>
        </w:rPr>
      </w:pPr>
    </w:p>
    <w:p w:rsidR="004E1829" w:rsidRPr="001A392E" w:rsidRDefault="004E1829" w:rsidP="001A392E">
      <w:pPr>
        <w:adjustRightInd w:val="0"/>
        <w:snapToGrid w:val="0"/>
        <w:spacing w:after="0" w:line="240" w:lineRule="auto"/>
        <w:jc w:val="lowKashida"/>
        <w:rPr>
          <w:rFonts w:ascii="Times New Roman" w:eastAsia="Times New Roman" w:hAnsi="Times New Roman" w:cs="Times New Roman"/>
          <w:spacing w:val="-6"/>
          <w:sz w:val="20"/>
          <w:szCs w:val="20"/>
          <w:rtl/>
        </w:rPr>
      </w:pPr>
      <w:r w:rsidRPr="001A392E">
        <w:rPr>
          <w:rFonts w:ascii="Times New Roman" w:eastAsia="Times New Roman" w:hAnsi="Times New Roman" w:cs="Times New Roman"/>
          <w:b/>
          <w:bCs/>
          <w:spacing w:val="-6"/>
          <w:sz w:val="20"/>
          <w:szCs w:val="20"/>
        </w:rPr>
        <w:t>Table (4):</w:t>
      </w:r>
      <w:r w:rsidRPr="001A392E">
        <w:rPr>
          <w:rFonts w:ascii="Times New Roman" w:eastAsia="Times New Roman" w:hAnsi="Times New Roman" w:cs="Times New Roman"/>
          <w:spacing w:val="-6"/>
          <w:sz w:val="20"/>
          <w:szCs w:val="20"/>
        </w:rPr>
        <w:t xml:space="preserve"> Validity of radiological and endoscopic markers in prediction of PHG with WLE and NBI.</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20"/>
        <w:gridCol w:w="1191"/>
        <w:gridCol w:w="1509"/>
        <w:gridCol w:w="831"/>
        <w:gridCol w:w="1324"/>
        <w:gridCol w:w="2113"/>
      </w:tblGrid>
      <w:tr w:rsidR="004E1829" w:rsidRPr="001A392E" w:rsidTr="001A392E">
        <w:trPr>
          <w:cantSplit/>
          <w:jc w:val="center"/>
        </w:trPr>
        <w:tc>
          <w:tcPr>
            <w:tcW w:w="3351" w:type="dxa"/>
            <w:gridSpan w:val="3"/>
            <w:tcBorders>
              <w:top w:val="thinThickSmallGap" w:sz="24" w:space="0" w:color="auto"/>
              <w:left w:val="thinThickSmallGap" w:sz="2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WLE</w:t>
            </w:r>
          </w:p>
        </w:tc>
        <w:tc>
          <w:tcPr>
            <w:tcW w:w="3664" w:type="dxa"/>
            <w:gridSpan w:val="3"/>
            <w:tcBorders>
              <w:top w:val="thinThickSmallGap" w:sz="24" w:space="0" w:color="auto"/>
              <w:left w:val="thinThickThinSmallGap" w:sz="2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NBI</w:t>
            </w:r>
          </w:p>
        </w:tc>
        <w:tc>
          <w:tcPr>
            <w:tcW w:w="2113" w:type="dxa"/>
            <w:vMerge w:val="restart"/>
            <w:tcBorders>
              <w:top w:val="thinThickSmallGap" w:sz="24" w:space="0" w:color="auto"/>
              <w:left w:val="thinThickThinSmallGap" w:sz="24" w:space="0" w:color="auto"/>
              <w:right w:val="thickThinSmallGap" w:sz="24" w:space="0" w:color="auto"/>
            </w:tcBorders>
          </w:tcPr>
          <w:p w:rsidR="004E1829" w:rsidRPr="001A392E" w:rsidRDefault="004E1829" w:rsidP="001A392E">
            <w:pPr>
              <w:keepNext/>
              <w:bidi/>
              <w:adjustRightInd w:val="0"/>
              <w:snapToGrid w:val="0"/>
              <w:spacing w:after="0" w:line="240" w:lineRule="auto"/>
              <w:jc w:val="right"/>
              <w:outlineLvl w:val="1"/>
              <w:rPr>
                <w:rFonts w:ascii="Times New Roman" w:eastAsia="Calibri" w:hAnsi="Times New Roman" w:cs="Times New Roman"/>
                <w:b/>
                <w:bCs/>
                <w:sz w:val="20"/>
                <w:szCs w:val="20"/>
                <w:lang w:eastAsia="ar-SA" w:bidi="ar-EG"/>
              </w:rPr>
            </w:pPr>
            <w:r w:rsidRPr="001A392E">
              <w:rPr>
                <w:rFonts w:ascii="Times New Roman" w:eastAsia="Calibri" w:hAnsi="Times New Roman" w:cs="Times New Roman"/>
                <w:b/>
                <w:bCs/>
                <w:sz w:val="20"/>
                <w:szCs w:val="20"/>
                <w:lang w:eastAsia="ar-SA" w:bidi="ar-EG"/>
              </w:rPr>
              <w:t xml:space="preserve">Variables </w:t>
            </w:r>
          </w:p>
        </w:tc>
      </w:tr>
      <w:tr w:rsidR="004E1829" w:rsidRPr="001A392E" w:rsidTr="001A392E">
        <w:trPr>
          <w:cantSplit/>
          <w:jc w:val="center"/>
        </w:trPr>
        <w:tc>
          <w:tcPr>
            <w:tcW w:w="1440" w:type="dxa"/>
            <w:tcBorders>
              <w:top w:val="single" w:sz="4" w:space="0" w:color="auto"/>
              <w:left w:val="thinThickSmallGap" w:sz="2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roofErr w:type="spellStart"/>
            <w:r w:rsidRPr="001A392E">
              <w:rPr>
                <w:rFonts w:ascii="Times New Roman" w:eastAsia="Times New Roman" w:hAnsi="Times New Roman" w:cs="Times New Roman"/>
                <w:b/>
                <w:bCs/>
                <w:sz w:val="20"/>
                <w:szCs w:val="20"/>
              </w:rPr>
              <w:t>Eosophageal</w:t>
            </w:r>
            <w:proofErr w:type="spellEnd"/>
            <w:r w:rsidRPr="001A392E">
              <w:rPr>
                <w:rFonts w:ascii="Times New Roman" w:eastAsia="Times New Roman" w:hAnsi="Times New Roman" w:cs="Times New Roman"/>
                <w:b/>
                <w:bCs/>
                <w:sz w:val="20"/>
                <w:szCs w:val="20"/>
              </w:rPr>
              <w:t xml:space="preserve"> </w:t>
            </w:r>
            <w:proofErr w:type="spellStart"/>
            <w:r w:rsidRPr="001A392E">
              <w:rPr>
                <w:rFonts w:ascii="Times New Roman" w:eastAsia="Times New Roman" w:hAnsi="Times New Roman" w:cs="Times New Roman"/>
                <w:b/>
                <w:bCs/>
                <w:sz w:val="20"/>
                <w:szCs w:val="20"/>
              </w:rPr>
              <w:t>varices</w:t>
            </w:r>
            <w:proofErr w:type="spellEnd"/>
          </w:p>
        </w:tc>
        <w:tc>
          <w:tcPr>
            <w:tcW w:w="720" w:type="dxa"/>
            <w:tcBorders>
              <w:top w:val="single" w:sz="4" w:space="0" w:color="auto"/>
              <w:left w:val="single" w:sz="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tl/>
              </w:rPr>
            </w:pPr>
            <w:r w:rsidRPr="001A392E">
              <w:rPr>
                <w:rFonts w:ascii="Times New Roman" w:eastAsia="Times New Roman" w:hAnsi="Times New Roman" w:cs="Times New Roman"/>
                <w:b/>
                <w:bCs/>
                <w:sz w:val="20"/>
                <w:szCs w:val="20"/>
              </w:rPr>
              <w:t>PVD</w:t>
            </w:r>
          </w:p>
        </w:tc>
        <w:tc>
          <w:tcPr>
            <w:tcW w:w="1191" w:type="dxa"/>
            <w:tcBorders>
              <w:top w:val="single" w:sz="4" w:space="0" w:color="auto"/>
              <w:left w:val="single" w:sz="4" w:space="0" w:color="auto"/>
              <w:bottom w:val="thinThickThinSmallGap" w:sz="2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tl/>
              </w:rPr>
            </w:pPr>
            <w:proofErr w:type="spellStart"/>
            <w:r w:rsidRPr="001A392E">
              <w:rPr>
                <w:rFonts w:ascii="Times New Roman" w:eastAsia="Times New Roman" w:hAnsi="Times New Roman" w:cs="Times New Roman"/>
                <w:b/>
                <w:bCs/>
                <w:sz w:val="20"/>
                <w:szCs w:val="20"/>
              </w:rPr>
              <w:t>Splenic</w:t>
            </w:r>
            <w:proofErr w:type="spellEnd"/>
            <w:r w:rsidRPr="001A392E">
              <w:rPr>
                <w:rFonts w:ascii="Times New Roman" w:eastAsia="Times New Roman" w:hAnsi="Times New Roman" w:cs="Times New Roman"/>
                <w:b/>
                <w:bCs/>
                <w:sz w:val="20"/>
                <w:szCs w:val="20"/>
              </w:rPr>
              <w:t xml:space="preserve"> diameter</w:t>
            </w:r>
          </w:p>
        </w:tc>
        <w:tc>
          <w:tcPr>
            <w:tcW w:w="1509" w:type="dxa"/>
            <w:tcBorders>
              <w:top w:val="single" w:sz="4" w:space="0" w:color="auto"/>
              <w:left w:val="thinThickThinSmallGap" w:sz="2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roofErr w:type="spellStart"/>
            <w:r w:rsidRPr="001A392E">
              <w:rPr>
                <w:rFonts w:ascii="Times New Roman" w:eastAsia="Times New Roman" w:hAnsi="Times New Roman" w:cs="Times New Roman"/>
                <w:b/>
                <w:bCs/>
                <w:sz w:val="20"/>
                <w:szCs w:val="20"/>
              </w:rPr>
              <w:t>Eosophageal</w:t>
            </w:r>
            <w:proofErr w:type="spellEnd"/>
            <w:r w:rsidRPr="001A392E">
              <w:rPr>
                <w:rFonts w:ascii="Times New Roman" w:eastAsia="Times New Roman" w:hAnsi="Times New Roman" w:cs="Times New Roman"/>
                <w:b/>
                <w:bCs/>
                <w:sz w:val="20"/>
                <w:szCs w:val="20"/>
              </w:rPr>
              <w:t xml:space="preserve"> </w:t>
            </w:r>
            <w:proofErr w:type="spellStart"/>
            <w:r w:rsidRPr="001A392E">
              <w:rPr>
                <w:rFonts w:ascii="Times New Roman" w:eastAsia="Times New Roman" w:hAnsi="Times New Roman" w:cs="Times New Roman"/>
                <w:b/>
                <w:bCs/>
                <w:sz w:val="20"/>
                <w:szCs w:val="20"/>
              </w:rPr>
              <w:t>varices</w:t>
            </w:r>
            <w:proofErr w:type="spellEnd"/>
          </w:p>
        </w:tc>
        <w:tc>
          <w:tcPr>
            <w:tcW w:w="831" w:type="dxa"/>
            <w:tcBorders>
              <w:top w:val="single" w:sz="4" w:space="0" w:color="auto"/>
              <w:left w:val="single" w:sz="4" w:space="0" w:color="auto"/>
              <w:bottom w:val="thin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PVD</w:t>
            </w:r>
          </w:p>
        </w:tc>
        <w:tc>
          <w:tcPr>
            <w:tcW w:w="1324" w:type="dxa"/>
            <w:tcBorders>
              <w:top w:val="single" w:sz="4" w:space="0" w:color="auto"/>
              <w:left w:val="single" w:sz="4" w:space="0" w:color="auto"/>
              <w:bottom w:val="thinThickThinSmallGap" w:sz="2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roofErr w:type="spellStart"/>
            <w:r w:rsidRPr="001A392E">
              <w:rPr>
                <w:rFonts w:ascii="Times New Roman" w:eastAsia="Times New Roman" w:hAnsi="Times New Roman" w:cs="Times New Roman"/>
                <w:b/>
                <w:bCs/>
                <w:sz w:val="20"/>
                <w:szCs w:val="20"/>
              </w:rPr>
              <w:t>Splenic</w:t>
            </w:r>
            <w:proofErr w:type="spellEnd"/>
            <w:r w:rsidRPr="001A392E">
              <w:rPr>
                <w:rFonts w:ascii="Times New Roman" w:eastAsia="Times New Roman" w:hAnsi="Times New Roman" w:cs="Times New Roman"/>
                <w:b/>
                <w:bCs/>
                <w:sz w:val="20"/>
                <w:szCs w:val="20"/>
              </w:rPr>
              <w:t xml:space="preserve"> diameter</w:t>
            </w:r>
          </w:p>
        </w:tc>
        <w:tc>
          <w:tcPr>
            <w:tcW w:w="2113" w:type="dxa"/>
            <w:vMerge/>
            <w:tcBorders>
              <w:left w:val="thinThickThinSmallGap" w:sz="24" w:space="0" w:color="auto"/>
              <w:bottom w:val="thinThickThinSmallGap" w:sz="24" w:space="0" w:color="auto"/>
              <w:right w:val="thickThinSmallGap" w:sz="24" w:space="0" w:color="auto"/>
            </w:tcBorders>
          </w:tcPr>
          <w:p w:rsidR="004E1829" w:rsidRPr="001A392E" w:rsidRDefault="004E1829" w:rsidP="001A392E">
            <w:pPr>
              <w:keepNext/>
              <w:bidi/>
              <w:adjustRightInd w:val="0"/>
              <w:snapToGrid w:val="0"/>
              <w:spacing w:after="0" w:line="240" w:lineRule="auto"/>
              <w:jc w:val="right"/>
              <w:outlineLvl w:val="1"/>
              <w:rPr>
                <w:rFonts w:ascii="Times New Roman" w:eastAsia="Calibri" w:hAnsi="Times New Roman" w:cs="Times New Roman"/>
                <w:b/>
                <w:bCs/>
                <w:sz w:val="20"/>
                <w:szCs w:val="20"/>
                <w:lang w:eastAsia="ar-SA" w:bidi="ar-EG"/>
              </w:rPr>
            </w:pPr>
          </w:p>
        </w:tc>
      </w:tr>
      <w:tr w:rsidR="004E1829" w:rsidRPr="001A392E" w:rsidTr="001A392E">
        <w:trPr>
          <w:cantSplit/>
          <w:jc w:val="center"/>
        </w:trPr>
        <w:tc>
          <w:tcPr>
            <w:tcW w:w="1440" w:type="dxa"/>
            <w:tcBorders>
              <w:top w:val="thinThickThinSmallGap" w:sz="2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p>
        </w:tc>
        <w:tc>
          <w:tcPr>
            <w:tcW w:w="720" w:type="dxa"/>
            <w:tcBorders>
              <w:top w:val="thinThickThinSmallGap"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12</w:t>
            </w:r>
          </w:p>
        </w:tc>
        <w:tc>
          <w:tcPr>
            <w:tcW w:w="1191" w:type="dxa"/>
            <w:tcBorders>
              <w:top w:val="thinThickThinSmallGap" w:sz="2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140</w:t>
            </w:r>
          </w:p>
        </w:tc>
        <w:tc>
          <w:tcPr>
            <w:tcW w:w="1509" w:type="dxa"/>
            <w:tcBorders>
              <w:top w:val="thinThickThinSmallGap" w:sz="2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rPr>
            </w:pPr>
          </w:p>
        </w:tc>
        <w:tc>
          <w:tcPr>
            <w:tcW w:w="831" w:type="dxa"/>
            <w:tcBorders>
              <w:top w:val="thinThickThinSmallGap" w:sz="2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rPr>
            </w:pPr>
            <w:r w:rsidRPr="001A392E">
              <w:rPr>
                <w:rFonts w:ascii="Times New Roman" w:eastAsia="Times New Roman" w:hAnsi="Times New Roman" w:cs="Times New Roman"/>
                <w:sz w:val="20"/>
                <w:szCs w:val="20"/>
              </w:rPr>
              <w:t>11</w:t>
            </w:r>
          </w:p>
        </w:tc>
        <w:tc>
          <w:tcPr>
            <w:tcW w:w="1324" w:type="dxa"/>
            <w:tcBorders>
              <w:top w:val="thinThickThinSmallGap" w:sz="2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130</w:t>
            </w:r>
          </w:p>
        </w:tc>
        <w:tc>
          <w:tcPr>
            <w:tcW w:w="2113" w:type="dxa"/>
            <w:tcBorders>
              <w:top w:val="thinThickThinSmallGap" w:sz="2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Best cut off</w:t>
            </w:r>
          </w:p>
        </w:tc>
      </w:tr>
      <w:tr w:rsidR="004E1829" w:rsidRPr="001A392E" w:rsidTr="001A392E">
        <w:trPr>
          <w:cantSplit/>
          <w:jc w:val="center"/>
        </w:trPr>
        <w:tc>
          <w:tcPr>
            <w:tcW w:w="144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tl/>
              </w:rPr>
            </w:pPr>
          </w:p>
        </w:tc>
        <w:tc>
          <w:tcPr>
            <w:tcW w:w="72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0.19</w:t>
            </w:r>
          </w:p>
        </w:tc>
        <w:tc>
          <w:tcPr>
            <w:tcW w:w="1191"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sz w:val="20"/>
                <w:szCs w:val="20"/>
              </w:rPr>
              <w:t>0.19</w:t>
            </w:r>
          </w:p>
        </w:tc>
        <w:tc>
          <w:tcPr>
            <w:tcW w:w="1509"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lang w:bidi="ar-EG"/>
              </w:rPr>
            </w:pPr>
          </w:p>
        </w:tc>
        <w:tc>
          <w:tcPr>
            <w:tcW w:w="83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0.18</w:t>
            </w:r>
          </w:p>
        </w:tc>
        <w:tc>
          <w:tcPr>
            <w:tcW w:w="1324"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0.11</w:t>
            </w:r>
          </w:p>
        </w:tc>
        <w:tc>
          <w:tcPr>
            <w:tcW w:w="2113"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tl/>
              </w:rPr>
            </w:pPr>
            <w:r w:rsidRPr="001A392E">
              <w:rPr>
                <w:rFonts w:ascii="Times New Roman" w:eastAsia="Times New Roman" w:hAnsi="Times New Roman" w:cs="Times New Roman"/>
                <w:b/>
                <w:bCs/>
                <w:sz w:val="20"/>
                <w:szCs w:val="20"/>
              </w:rPr>
              <w:t>AUC</w:t>
            </w:r>
          </w:p>
        </w:tc>
      </w:tr>
      <w:tr w:rsidR="004E1829" w:rsidRPr="001A392E" w:rsidTr="001A392E">
        <w:trPr>
          <w:cantSplit/>
          <w:jc w:val="center"/>
        </w:trPr>
        <w:tc>
          <w:tcPr>
            <w:tcW w:w="144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47%</w:t>
            </w:r>
          </w:p>
        </w:tc>
        <w:tc>
          <w:tcPr>
            <w:tcW w:w="1191"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b/>
                <w:bCs/>
                <w:sz w:val="20"/>
                <w:szCs w:val="20"/>
              </w:rPr>
            </w:pPr>
            <w:r w:rsidRPr="001A392E">
              <w:rPr>
                <w:rFonts w:ascii="Times New Roman" w:eastAsia="Times New Roman" w:hAnsi="Times New Roman" w:cs="Times New Roman"/>
                <w:sz w:val="20"/>
                <w:szCs w:val="20"/>
              </w:rPr>
              <w:t>50%</w:t>
            </w:r>
          </w:p>
        </w:tc>
        <w:tc>
          <w:tcPr>
            <w:tcW w:w="1509"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85%</w:t>
            </w:r>
          </w:p>
        </w:tc>
        <w:tc>
          <w:tcPr>
            <w:tcW w:w="83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42%</w:t>
            </w:r>
          </w:p>
        </w:tc>
        <w:tc>
          <w:tcPr>
            <w:tcW w:w="1324"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44%</w:t>
            </w:r>
          </w:p>
        </w:tc>
        <w:tc>
          <w:tcPr>
            <w:tcW w:w="2113"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 xml:space="preserve">Sensitivity </w:t>
            </w:r>
          </w:p>
        </w:tc>
      </w:tr>
      <w:tr w:rsidR="004E1829" w:rsidRPr="001A392E" w:rsidTr="001A392E">
        <w:trPr>
          <w:cantSplit/>
          <w:jc w:val="center"/>
        </w:trPr>
        <w:tc>
          <w:tcPr>
            <w:tcW w:w="144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65%</w:t>
            </w:r>
          </w:p>
        </w:tc>
        <w:tc>
          <w:tcPr>
            <w:tcW w:w="72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rPr>
            </w:pPr>
            <w:r w:rsidRPr="001A392E">
              <w:rPr>
                <w:rFonts w:ascii="Times New Roman" w:eastAsia="Times New Roman" w:hAnsi="Times New Roman" w:cs="Times New Roman"/>
                <w:sz w:val="20"/>
                <w:szCs w:val="20"/>
              </w:rPr>
              <w:t>54%</w:t>
            </w:r>
          </w:p>
        </w:tc>
        <w:tc>
          <w:tcPr>
            <w:tcW w:w="1191"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40%</w:t>
            </w:r>
          </w:p>
        </w:tc>
        <w:tc>
          <w:tcPr>
            <w:tcW w:w="1509"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60%</w:t>
            </w:r>
          </w:p>
        </w:tc>
        <w:tc>
          <w:tcPr>
            <w:tcW w:w="83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52%</w:t>
            </w:r>
          </w:p>
        </w:tc>
        <w:tc>
          <w:tcPr>
            <w:tcW w:w="1324"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49%</w:t>
            </w:r>
          </w:p>
        </w:tc>
        <w:tc>
          <w:tcPr>
            <w:tcW w:w="2113"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tl/>
              </w:rPr>
            </w:pPr>
            <w:r w:rsidRPr="001A392E">
              <w:rPr>
                <w:rFonts w:ascii="Times New Roman" w:eastAsia="Times New Roman" w:hAnsi="Times New Roman" w:cs="Times New Roman"/>
                <w:b/>
                <w:bCs/>
                <w:sz w:val="20"/>
                <w:szCs w:val="20"/>
              </w:rPr>
              <w:t xml:space="preserve">Specificity </w:t>
            </w:r>
          </w:p>
        </w:tc>
      </w:tr>
      <w:tr w:rsidR="004E1829" w:rsidRPr="001A392E" w:rsidTr="001A392E">
        <w:trPr>
          <w:cantSplit/>
          <w:jc w:val="center"/>
        </w:trPr>
        <w:tc>
          <w:tcPr>
            <w:tcW w:w="144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49%</w:t>
            </w:r>
          </w:p>
        </w:tc>
        <w:tc>
          <w:tcPr>
            <w:tcW w:w="1191"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45%</w:t>
            </w:r>
          </w:p>
        </w:tc>
        <w:tc>
          <w:tcPr>
            <w:tcW w:w="1509"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83%</w:t>
            </w:r>
          </w:p>
        </w:tc>
        <w:tc>
          <w:tcPr>
            <w:tcW w:w="83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50%</w:t>
            </w:r>
          </w:p>
        </w:tc>
        <w:tc>
          <w:tcPr>
            <w:tcW w:w="1324"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46%</w:t>
            </w:r>
          </w:p>
        </w:tc>
        <w:tc>
          <w:tcPr>
            <w:tcW w:w="2113"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 xml:space="preserve">PPV </w:t>
            </w:r>
          </w:p>
        </w:tc>
      </w:tr>
      <w:tr w:rsidR="004E1829" w:rsidRPr="001A392E" w:rsidTr="001A392E">
        <w:trPr>
          <w:cantSplit/>
          <w:jc w:val="center"/>
        </w:trPr>
        <w:tc>
          <w:tcPr>
            <w:tcW w:w="1440" w:type="dxa"/>
            <w:tcBorders>
              <w:top w:val="single" w:sz="4" w:space="0" w:color="auto"/>
              <w:left w:val="thinThick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69%</w:t>
            </w:r>
          </w:p>
        </w:tc>
        <w:tc>
          <w:tcPr>
            <w:tcW w:w="720"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56%</w:t>
            </w:r>
          </w:p>
        </w:tc>
        <w:tc>
          <w:tcPr>
            <w:tcW w:w="1191"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51%</w:t>
            </w:r>
          </w:p>
        </w:tc>
        <w:tc>
          <w:tcPr>
            <w:tcW w:w="1509" w:type="dxa"/>
            <w:tcBorders>
              <w:top w:val="single" w:sz="4" w:space="0" w:color="auto"/>
              <w:left w:val="thinThickThinSmallGap" w:sz="2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64%</w:t>
            </w:r>
          </w:p>
        </w:tc>
        <w:tc>
          <w:tcPr>
            <w:tcW w:w="831" w:type="dxa"/>
            <w:tcBorders>
              <w:top w:val="single" w:sz="4" w:space="0" w:color="auto"/>
              <w:left w:val="single" w:sz="4" w:space="0" w:color="auto"/>
              <w:bottom w:val="single" w:sz="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53%</w:t>
            </w:r>
          </w:p>
        </w:tc>
        <w:tc>
          <w:tcPr>
            <w:tcW w:w="1324" w:type="dxa"/>
            <w:tcBorders>
              <w:top w:val="single" w:sz="4" w:space="0" w:color="auto"/>
              <w:left w:val="single" w:sz="4" w:space="0" w:color="auto"/>
              <w:bottom w:val="single" w:sz="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tl/>
              </w:rPr>
            </w:pPr>
            <w:r w:rsidRPr="001A392E">
              <w:rPr>
                <w:rFonts w:ascii="Times New Roman" w:eastAsia="Times New Roman" w:hAnsi="Times New Roman" w:cs="Times New Roman"/>
                <w:sz w:val="20"/>
                <w:szCs w:val="20"/>
              </w:rPr>
              <w:t>50%</w:t>
            </w:r>
          </w:p>
        </w:tc>
        <w:tc>
          <w:tcPr>
            <w:tcW w:w="2113" w:type="dxa"/>
            <w:tcBorders>
              <w:top w:val="single" w:sz="4" w:space="0" w:color="auto"/>
              <w:left w:val="thinThickThinSmallGap" w:sz="24" w:space="0" w:color="auto"/>
              <w:bottom w:val="single" w:sz="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NPV</w:t>
            </w:r>
          </w:p>
        </w:tc>
      </w:tr>
      <w:tr w:rsidR="004E1829" w:rsidRPr="001A392E" w:rsidTr="001A392E">
        <w:trPr>
          <w:cantSplit/>
          <w:jc w:val="center"/>
        </w:trPr>
        <w:tc>
          <w:tcPr>
            <w:tcW w:w="1440" w:type="dxa"/>
            <w:tcBorders>
              <w:top w:val="single" w:sz="4" w:space="0" w:color="auto"/>
              <w:left w:val="thinThickSmallGap" w:sz="2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73%</w:t>
            </w:r>
          </w:p>
        </w:tc>
        <w:tc>
          <w:tcPr>
            <w:tcW w:w="720" w:type="dxa"/>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50%</w:t>
            </w:r>
          </w:p>
        </w:tc>
        <w:tc>
          <w:tcPr>
            <w:tcW w:w="1191" w:type="dxa"/>
            <w:tcBorders>
              <w:top w:val="single" w:sz="4" w:space="0" w:color="auto"/>
              <w:left w:val="single" w:sz="4" w:space="0" w:color="auto"/>
              <w:bottom w:val="thickThinSmallGap" w:sz="2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55%</w:t>
            </w:r>
          </w:p>
        </w:tc>
        <w:tc>
          <w:tcPr>
            <w:tcW w:w="1509" w:type="dxa"/>
            <w:tcBorders>
              <w:top w:val="single" w:sz="4" w:space="0" w:color="auto"/>
              <w:left w:val="thinThickThinSmallGap" w:sz="2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75%</w:t>
            </w:r>
          </w:p>
        </w:tc>
        <w:tc>
          <w:tcPr>
            <w:tcW w:w="831" w:type="dxa"/>
            <w:tcBorders>
              <w:top w:val="single" w:sz="4" w:space="0" w:color="auto"/>
              <w:left w:val="single" w:sz="4" w:space="0" w:color="auto"/>
              <w:bottom w:val="thickThinSmallGap" w:sz="24" w:space="0" w:color="auto"/>
              <w:right w:val="single" w:sz="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49%</w:t>
            </w:r>
          </w:p>
        </w:tc>
        <w:tc>
          <w:tcPr>
            <w:tcW w:w="1324" w:type="dxa"/>
            <w:tcBorders>
              <w:top w:val="single" w:sz="4" w:space="0" w:color="auto"/>
              <w:left w:val="single" w:sz="4" w:space="0" w:color="auto"/>
              <w:bottom w:val="thickThinSmallGap" w:sz="24" w:space="0" w:color="auto"/>
              <w:right w:val="thinThickThinSmallGap" w:sz="24" w:space="0" w:color="auto"/>
            </w:tcBorders>
          </w:tcPr>
          <w:p w:rsidR="004E1829" w:rsidRPr="001A392E" w:rsidRDefault="004E1829" w:rsidP="001A392E">
            <w:pPr>
              <w:bidi/>
              <w:adjustRightInd w:val="0"/>
              <w:snapToGrid w:val="0"/>
              <w:spacing w:after="0" w:line="240" w:lineRule="auto"/>
              <w:jc w:val="center"/>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52%</w:t>
            </w:r>
          </w:p>
        </w:tc>
        <w:tc>
          <w:tcPr>
            <w:tcW w:w="2113" w:type="dxa"/>
            <w:tcBorders>
              <w:top w:val="single" w:sz="4" w:space="0" w:color="auto"/>
              <w:left w:val="thinThickThinSmallGap" w:sz="24" w:space="0" w:color="auto"/>
              <w:bottom w:val="thickThinSmallGap" w:sz="24" w:space="0" w:color="auto"/>
              <w:right w:val="thickThinSmallGap" w:sz="24" w:space="0" w:color="auto"/>
            </w:tcBorders>
          </w:tcPr>
          <w:p w:rsidR="004E1829" w:rsidRPr="001A392E" w:rsidRDefault="004E1829" w:rsidP="001A392E">
            <w:pPr>
              <w:bidi/>
              <w:adjustRightInd w:val="0"/>
              <w:snapToGrid w:val="0"/>
              <w:spacing w:after="0" w:line="240" w:lineRule="auto"/>
              <w:jc w:val="right"/>
              <w:rPr>
                <w:rFonts w:ascii="Times New Roman" w:eastAsia="Times New Roman" w:hAnsi="Times New Roman" w:cs="Times New Roman"/>
                <w:b/>
                <w:bCs/>
                <w:sz w:val="20"/>
                <w:szCs w:val="20"/>
              </w:rPr>
            </w:pPr>
            <w:r w:rsidRPr="001A392E">
              <w:rPr>
                <w:rFonts w:ascii="Times New Roman" w:eastAsia="Times New Roman" w:hAnsi="Times New Roman" w:cs="Times New Roman"/>
                <w:b/>
                <w:bCs/>
                <w:sz w:val="20"/>
                <w:szCs w:val="20"/>
              </w:rPr>
              <w:t>Accuracy</w:t>
            </w:r>
          </w:p>
        </w:tc>
      </w:tr>
    </w:tbl>
    <w:p w:rsidR="001A392E" w:rsidRDefault="001A392E" w:rsidP="001A392E">
      <w:pPr>
        <w:bidi/>
        <w:adjustRightInd w:val="0"/>
        <w:snapToGrid w:val="0"/>
        <w:spacing w:after="0" w:line="240" w:lineRule="auto"/>
        <w:jc w:val="right"/>
        <w:rPr>
          <w:rFonts w:ascii="Times New Roman" w:eastAsia="Calibri" w:hAnsi="Times New Roman" w:cs="Times New Roman"/>
          <w:b/>
          <w:bCs/>
          <w:sz w:val="20"/>
          <w:szCs w:val="20"/>
          <w:rtl/>
        </w:rPr>
      </w:pPr>
    </w:p>
    <w:p w:rsidR="004E1829" w:rsidRPr="001A392E" w:rsidRDefault="004E1829" w:rsidP="001A392E">
      <w:pPr>
        <w:adjustRightInd w:val="0"/>
        <w:snapToGrid w:val="0"/>
        <w:spacing w:after="0" w:line="240" w:lineRule="auto"/>
        <w:jc w:val="lowKashida"/>
        <w:rPr>
          <w:rFonts w:ascii="Times New Roman" w:eastAsia="Calibri" w:hAnsi="Times New Roman" w:cs="Traditional Arabic"/>
          <w:spacing w:val="-6"/>
          <w:sz w:val="20"/>
          <w:szCs w:val="20"/>
        </w:rPr>
      </w:pPr>
    </w:p>
    <w:p w:rsidR="004E1829" w:rsidRPr="001A392E" w:rsidRDefault="004E1829" w:rsidP="001A392E">
      <w:pPr>
        <w:adjustRightInd w:val="0"/>
        <w:snapToGrid w:val="0"/>
        <w:spacing w:after="0" w:line="240" w:lineRule="auto"/>
        <w:jc w:val="center"/>
        <w:rPr>
          <w:rFonts w:ascii="Times New Roman" w:eastAsia="Times New Roman" w:hAnsi="Times New Roman" w:cs="Times New Roman"/>
          <w:sz w:val="20"/>
          <w:szCs w:val="20"/>
          <w:rtl/>
          <w:lang w:eastAsia="ar-SA" w:bidi="ar-EG"/>
        </w:rPr>
      </w:pPr>
      <w:r w:rsidRPr="001A392E">
        <w:rPr>
          <w:rFonts w:ascii="Times New Roman" w:eastAsia="Times New Roman" w:hAnsi="Times New Roman" w:cs="Times New Roman"/>
          <w:sz w:val="20"/>
          <w:szCs w:val="20"/>
        </w:rPr>
        <w:object w:dxaOrig="7200" w:dyaOrig="5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11.25pt;height:219.75pt" o:ole="">
            <v:imagedata r:id="rId17" o:title=""/>
          </v:shape>
          <o:OLEObject Type="Embed" ProgID="StaticEnhancedMetafile" ShapeID="_x0000_i1039" DrawAspect="Content" ObjectID="_1460678820" r:id="rId18"/>
        </w:object>
      </w:r>
    </w:p>
    <w:p w:rsidR="00707B16" w:rsidRDefault="00707B16" w:rsidP="001A392E">
      <w:pPr>
        <w:bidi/>
        <w:adjustRightInd w:val="0"/>
        <w:snapToGrid w:val="0"/>
        <w:spacing w:after="0" w:line="240" w:lineRule="auto"/>
        <w:jc w:val="right"/>
        <w:rPr>
          <w:rFonts w:ascii="Times New Roman" w:eastAsia="Calibri" w:hAnsi="Times New Roman" w:cs="Times New Roman"/>
          <w:b/>
          <w:bCs/>
          <w:sz w:val="20"/>
          <w:szCs w:val="20"/>
        </w:rPr>
      </w:pPr>
    </w:p>
    <w:p w:rsidR="00707B16" w:rsidRDefault="00707B16" w:rsidP="00707B16">
      <w:pPr>
        <w:adjustRightInd w:val="0"/>
        <w:snapToGrid w:val="0"/>
        <w:spacing w:after="0" w:line="240" w:lineRule="auto"/>
        <w:jc w:val="lowKashida"/>
        <w:rPr>
          <w:rFonts w:ascii="Times New Roman" w:eastAsia="Calibri" w:hAnsi="Times New Roman" w:cs="Times New Roman"/>
          <w:b/>
          <w:bCs/>
          <w:sz w:val="20"/>
          <w:szCs w:val="20"/>
        </w:rPr>
      </w:pPr>
      <w:r w:rsidRPr="001A392E">
        <w:rPr>
          <w:rFonts w:ascii="Times New Roman" w:eastAsia="Calibri" w:hAnsi="Times New Roman" w:cs="Times New Roman"/>
          <w:b/>
          <w:bCs/>
          <w:sz w:val="20"/>
          <w:szCs w:val="20"/>
        </w:rPr>
        <w:t>Figure (4)</w:t>
      </w:r>
      <w:r w:rsidRPr="001A392E">
        <w:rPr>
          <w:rFonts w:ascii="Times New Roman" w:eastAsia="Calibri" w:hAnsi="Times New Roman" w:cs="Traditional Arabic"/>
          <w:b/>
          <w:bCs/>
          <w:spacing w:val="-6"/>
          <w:sz w:val="20"/>
          <w:szCs w:val="20"/>
        </w:rPr>
        <w:t xml:space="preserve">: </w:t>
      </w:r>
      <w:r w:rsidRPr="001A392E">
        <w:rPr>
          <w:rFonts w:ascii="Times New Roman" w:eastAsia="Calibri" w:hAnsi="Times New Roman" w:cs="Traditional Arabic"/>
          <w:spacing w:val="-6"/>
          <w:sz w:val="20"/>
          <w:szCs w:val="20"/>
        </w:rPr>
        <w:t>ROC curve to determine cut off value for best sensitivity and specificity of different markers in differentiation between patients with and without PHG when WLE is used to diagnose PHG.</w:t>
      </w:r>
    </w:p>
    <w:p w:rsidR="00707B16" w:rsidRDefault="00707B16" w:rsidP="00707B16">
      <w:pPr>
        <w:adjustRightInd w:val="0"/>
        <w:snapToGrid w:val="0"/>
        <w:spacing w:after="0" w:line="240" w:lineRule="auto"/>
        <w:jc w:val="lowKashida"/>
        <w:rPr>
          <w:rFonts w:ascii="Times New Roman" w:eastAsia="Calibri" w:hAnsi="Times New Roman" w:cs="Times New Roman"/>
          <w:b/>
          <w:bCs/>
          <w:sz w:val="20"/>
          <w:szCs w:val="20"/>
        </w:rPr>
      </w:pPr>
    </w:p>
    <w:p w:rsidR="00707B16" w:rsidRDefault="00707B16" w:rsidP="00707B16">
      <w:pPr>
        <w:adjustRightInd w:val="0"/>
        <w:snapToGrid w:val="0"/>
        <w:spacing w:after="0" w:line="240" w:lineRule="auto"/>
        <w:jc w:val="lowKashida"/>
        <w:rPr>
          <w:rFonts w:ascii="Times New Roman" w:eastAsia="Calibri" w:hAnsi="Times New Roman" w:cs="Traditional Arabic"/>
          <w:sz w:val="20"/>
          <w:szCs w:val="20"/>
        </w:rPr>
      </w:pPr>
    </w:p>
    <w:p w:rsidR="004E1829" w:rsidRPr="001A392E" w:rsidRDefault="004E1829" w:rsidP="00707B16">
      <w:pPr>
        <w:bidi/>
        <w:adjustRightInd w:val="0"/>
        <w:snapToGrid w:val="0"/>
        <w:spacing w:after="0" w:line="240" w:lineRule="auto"/>
        <w:jc w:val="center"/>
        <w:rPr>
          <w:rFonts w:ascii="Times New Roman" w:eastAsia="Calibri" w:hAnsi="Times New Roman" w:cs="Traditional Arabic"/>
          <w:b/>
          <w:bCs/>
          <w:sz w:val="20"/>
          <w:szCs w:val="20"/>
          <w:lang w:bidi="ar-EG"/>
        </w:rPr>
      </w:pPr>
      <w:r w:rsidRPr="001A392E">
        <w:rPr>
          <w:rFonts w:ascii="Times New Roman" w:eastAsia="Calibri" w:hAnsi="Times New Roman" w:cs="Traditional Arabic"/>
          <w:sz w:val="20"/>
          <w:szCs w:val="20"/>
        </w:rPr>
        <w:object w:dxaOrig="7200" w:dyaOrig="5875">
          <v:shape id="_x0000_i1044" type="#_x0000_t75" style="width:330pt;height:206.25pt" o:ole="">
            <v:imagedata r:id="rId19" o:title=""/>
          </v:shape>
          <o:OLEObject Type="Embed" ProgID="StaticEnhancedMetafile" ShapeID="_x0000_i1044" DrawAspect="Content" ObjectID="_1460678821" r:id="rId20"/>
        </w:object>
      </w:r>
    </w:p>
    <w:p w:rsidR="00707B16" w:rsidRDefault="00707B16" w:rsidP="00707B16">
      <w:pPr>
        <w:adjustRightInd w:val="0"/>
        <w:snapToGrid w:val="0"/>
        <w:spacing w:after="0" w:line="240" w:lineRule="auto"/>
        <w:jc w:val="lowKashida"/>
        <w:rPr>
          <w:rFonts w:ascii="Times New Roman" w:eastAsia="Calibri" w:hAnsi="Times New Roman" w:cs="Traditional Arabic"/>
          <w:sz w:val="20"/>
          <w:szCs w:val="20"/>
        </w:rPr>
      </w:pPr>
      <w:r w:rsidRPr="001A392E">
        <w:rPr>
          <w:rFonts w:ascii="Times New Roman" w:eastAsia="Calibri" w:hAnsi="Times New Roman" w:cs="Times New Roman"/>
          <w:b/>
          <w:bCs/>
          <w:sz w:val="20"/>
          <w:szCs w:val="20"/>
        </w:rPr>
        <w:t>Figure (5)</w:t>
      </w:r>
      <w:r w:rsidRPr="001A392E">
        <w:rPr>
          <w:rFonts w:ascii="Times New Roman" w:eastAsia="Calibri" w:hAnsi="Times New Roman" w:cs="Traditional Arabic"/>
          <w:b/>
          <w:bCs/>
          <w:spacing w:val="-6"/>
          <w:sz w:val="20"/>
          <w:szCs w:val="20"/>
        </w:rPr>
        <w:t xml:space="preserve">: </w:t>
      </w:r>
      <w:r w:rsidRPr="001A392E">
        <w:rPr>
          <w:rFonts w:ascii="Times New Roman" w:eastAsia="Calibri" w:hAnsi="Times New Roman" w:cs="Traditional Arabic"/>
          <w:spacing w:val="-6"/>
          <w:sz w:val="20"/>
          <w:szCs w:val="20"/>
        </w:rPr>
        <w:t>ROC curve to determine cut off value for best sensitivity and specificity of different markers in differentiation between patients with and without PHG when NBI is used to diagnose PHG.</w:t>
      </w:r>
      <w:r w:rsidRPr="001A392E">
        <w:rPr>
          <w:rFonts w:ascii="Times New Roman" w:eastAsia="Calibri" w:hAnsi="Times New Roman" w:cs="Traditional Arabic"/>
          <w:sz w:val="20"/>
          <w:szCs w:val="20"/>
        </w:rPr>
        <w:t xml:space="preserve"> </w:t>
      </w:r>
    </w:p>
    <w:p w:rsidR="004E1829" w:rsidRDefault="002F5035" w:rsidP="001A392E">
      <w:pPr>
        <w:widowControl w:val="0"/>
        <w:adjustRightInd w:val="0"/>
        <w:snapToGrid w:val="0"/>
        <w:spacing w:after="0" w:line="240" w:lineRule="auto"/>
        <w:jc w:val="both"/>
        <w:rPr>
          <w:rFonts w:ascii="Times New Roman" w:eastAsia="SimSun" w:hAnsi="Times New Roman" w:cs="Times New Roman"/>
          <w:b/>
          <w:kern w:val="2"/>
          <w:sz w:val="20"/>
          <w:szCs w:val="20"/>
          <w:lang w:eastAsia="zh-CN"/>
        </w:rPr>
      </w:pPr>
      <w:r w:rsidRPr="001A392E">
        <w:rPr>
          <w:rFonts w:ascii="Times New Roman" w:eastAsia="SimSun" w:hAnsi="Times New Roman" w:cs="Times New Roman"/>
          <w:b/>
          <w:noProof/>
          <w:kern w:val="2"/>
          <w:sz w:val="20"/>
          <w:szCs w:val="20"/>
        </w:rPr>
        <w:pict>
          <v:shapetype id="_x0000_t202" coordsize="21600,21600" o:spt="202" path="m,l,21600r21600,l21600,xe">
            <v:stroke joinstyle="miter"/>
            <v:path gradientshapeok="t" o:connecttype="rect"/>
          </v:shapetype>
          <v:shape id="Text Box 1" o:spid="_x0000_s1026" type="#_x0000_t202" style="position:absolute;left:0;text-align:left;margin-left:25.4pt;margin-top:4.2pt;width:434.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" stroked="f">
            <v:textbox>
              <w:txbxContent>
                <w:p w:rsidR="004E1829" w:rsidRDefault="004E1829" w:rsidP="004E1829">
                  <w:pPr>
                    <w:spacing w:line="240" w:lineRule="exact"/>
                    <w:jc w:val="center"/>
                    <w:rPr>
                      <w:sz w:val="20"/>
                      <w:szCs w:val="16"/>
                    </w:rPr>
                  </w:pPr>
                </w:p>
                <w:p w:rsidR="004E1829" w:rsidRDefault="004E1829" w:rsidP="004E1829">
                  <w:pPr>
                    <w:spacing w:line="240" w:lineRule="exact"/>
                    <w:jc w:val="center"/>
                    <w:rPr>
                      <w:sz w:val="20"/>
                      <w:szCs w:val="16"/>
                    </w:rPr>
                  </w:pPr>
                </w:p>
                <w:p w:rsidR="004E1829" w:rsidRDefault="004E1829" w:rsidP="004E1829">
                  <w:pPr>
                    <w:spacing w:line="240" w:lineRule="exact"/>
                    <w:jc w:val="center"/>
                    <w:rPr>
                      <w:sz w:val="20"/>
                      <w:szCs w:val="16"/>
                    </w:rPr>
                  </w:pPr>
                </w:p>
                <w:p w:rsidR="004E1829" w:rsidRDefault="004E1829" w:rsidP="004E1829">
                  <w:pPr>
                    <w:spacing w:line="240" w:lineRule="exact"/>
                    <w:jc w:val="center"/>
                    <w:rPr>
                      <w:sz w:val="20"/>
                      <w:szCs w:val="16"/>
                    </w:rPr>
                  </w:pPr>
                </w:p>
                <w:p w:rsidR="004E1829" w:rsidRPr="006F2E6F" w:rsidRDefault="004E1829" w:rsidP="004E1829">
                  <w:pPr>
                    <w:spacing w:line="240" w:lineRule="exact"/>
                    <w:jc w:val="center"/>
                    <w:rPr>
                      <w:sz w:val="20"/>
                      <w:szCs w:val="16"/>
                    </w:rPr>
                  </w:pPr>
                  <w:r w:rsidRPr="006F2E6F">
                    <w:rPr>
                      <w:rFonts w:hint="eastAsia"/>
                      <w:sz w:val="20"/>
                      <w:szCs w:val="16"/>
                    </w:rPr>
                    <w:t>Fig</w:t>
                  </w:r>
                  <w:r w:rsidRPr="006F2E6F">
                    <w:rPr>
                      <w:sz w:val="20"/>
                      <w:szCs w:val="16"/>
                    </w:rPr>
                    <w:t xml:space="preserve">ure </w:t>
                  </w:r>
                  <w:r w:rsidRPr="006F2E6F">
                    <w:rPr>
                      <w:rFonts w:hint="eastAsia"/>
                      <w:sz w:val="20"/>
                      <w:szCs w:val="16"/>
                    </w:rPr>
                    <w:t>1</w:t>
                  </w:r>
                  <w:r w:rsidRPr="006F2E6F">
                    <w:rPr>
                      <w:sz w:val="20"/>
                      <w:szCs w:val="16"/>
                    </w:rPr>
                    <w:t>.</w:t>
                  </w:r>
                  <w:r w:rsidRPr="006F2E6F">
                    <w:rPr>
                      <w:rFonts w:hint="eastAsia"/>
                      <w:sz w:val="20"/>
                      <w:szCs w:val="16"/>
                    </w:rPr>
                    <w:t xml:space="preserve"> The process of developing simulation model for </w:t>
                  </w:r>
                  <w:smartTag w:uri="urn:schemas-microsoft-com:office:smarttags" w:element="stockticker">
                    <w:r w:rsidRPr="006F2E6F">
                      <w:rPr>
                        <w:rFonts w:hint="eastAsia"/>
                        <w:sz w:val="20"/>
                        <w:szCs w:val="16"/>
                      </w:rPr>
                      <w:t>MSW</w:t>
                    </w:r>
                  </w:smartTag>
                  <w:r w:rsidRPr="006F2E6F">
                    <w:rPr>
                      <w:rFonts w:hint="eastAsia"/>
                      <w:sz w:val="20"/>
                      <w:szCs w:val="16"/>
                    </w:rPr>
                    <w:t xml:space="preserve"> composting</w:t>
                  </w:r>
                </w:p>
              </w:txbxContent>
            </v:textbox>
          </v:shape>
        </w:pict>
      </w:r>
    </w:p>
    <w:p w:rsidR="00707B16" w:rsidRPr="001A392E" w:rsidRDefault="00707B16" w:rsidP="001A392E">
      <w:pPr>
        <w:widowControl w:val="0"/>
        <w:adjustRightInd w:val="0"/>
        <w:snapToGrid w:val="0"/>
        <w:spacing w:after="0" w:line="240" w:lineRule="auto"/>
        <w:jc w:val="both"/>
        <w:rPr>
          <w:rFonts w:ascii="Times New Roman" w:eastAsia="SimSun" w:hAnsi="Times New Roman" w:cs="Times New Roman"/>
          <w:b/>
          <w:kern w:val="2"/>
          <w:sz w:val="20"/>
          <w:szCs w:val="20"/>
          <w:lang w:eastAsia="zh-CN"/>
        </w:rPr>
      </w:pPr>
    </w:p>
    <w:p w:rsidR="004E1829" w:rsidRDefault="004E1829" w:rsidP="001A392E">
      <w:pPr>
        <w:widowControl w:val="0"/>
        <w:adjustRightInd w:val="0"/>
        <w:snapToGrid w:val="0"/>
        <w:spacing w:after="0" w:line="240" w:lineRule="auto"/>
        <w:jc w:val="both"/>
        <w:rPr>
          <w:rFonts w:ascii="Times New Roman" w:eastAsia="SimSun" w:hAnsi="Times New Roman" w:cs="Times New Roman"/>
          <w:b/>
          <w:kern w:val="2"/>
          <w:sz w:val="20"/>
          <w:szCs w:val="20"/>
          <w:lang w:eastAsia="zh-CN"/>
        </w:rPr>
      </w:pPr>
    </w:p>
    <w:p w:rsidR="00707B16" w:rsidRPr="001A392E" w:rsidRDefault="00707B16" w:rsidP="001A392E">
      <w:pPr>
        <w:widowControl w:val="0"/>
        <w:adjustRightInd w:val="0"/>
        <w:snapToGrid w:val="0"/>
        <w:spacing w:after="0" w:line="240" w:lineRule="auto"/>
        <w:jc w:val="both"/>
        <w:rPr>
          <w:rFonts w:ascii="Times New Roman" w:eastAsia="SimSun" w:hAnsi="Times New Roman" w:cs="Times New Roman"/>
          <w:b/>
          <w:kern w:val="2"/>
          <w:sz w:val="20"/>
          <w:szCs w:val="20"/>
          <w:lang w:eastAsia="zh-CN"/>
        </w:rPr>
        <w:sectPr w:rsidR="00707B16" w:rsidRPr="001A392E" w:rsidSect="005B1D46">
          <w:type w:val="continuous"/>
          <w:pgSz w:w="12242" w:h="15842" w:code="1"/>
          <w:pgMar w:top="1440" w:right="1440" w:bottom="1440" w:left="1440" w:header="720" w:footer="720" w:gutter="0"/>
          <w:cols w:space="425"/>
          <w:docGrid w:linePitch="312"/>
        </w:sectPr>
      </w:pPr>
    </w:p>
    <w:p w:rsidR="004E1829" w:rsidRPr="001A392E" w:rsidRDefault="004E1829" w:rsidP="001A392E">
      <w:pPr>
        <w:adjustRightInd w:val="0"/>
        <w:snapToGrid w:val="0"/>
        <w:spacing w:after="0" w:line="240" w:lineRule="auto"/>
        <w:rPr>
          <w:rFonts w:ascii="Times New Roman" w:eastAsia="Calibri" w:hAnsi="Times New Roman" w:cs="Traditional Arabic"/>
          <w:sz w:val="20"/>
          <w:szCs w:val="20"/>
          <w:rtl/>
          <w:lang w:bidi="ar-EG"/>
        </w:rPr>
      </w:pPr>
      <w:r w:rsidRPr="001A392E">
        <w:rPr>
          <w:rFonts w:ascii="Times New Roman" w:eastAsia="Calibri" w:hAnsi="Times New Roman" w:cs="Traditional Arabic"/>
          <w:b/>
          <w:bCs/>
          <w:sz w:val="20"/>
          <w:szCs w:val="20"/>
          <w:lang w:bidi="ar-EG"/>
        </w:rPr>
        <w:lastRenderedPageBreak/>
        <w:t>Discussion:</w:t>
      </w:r>
    </w:p>
    <w:p w:rsidR="004E1829" w:rsidRPr="001A392E" w:rsidRDefault="004E1829" w:rsidP="00707B16">
      <w:pPr>
        <w:adjustRightInd w:val="0"/>
        <w:snapToGrid w:val="0"/>
        <w:spacing w:after="0" w:line="240" w:lineRule="auto"/>
        <w:ind w:firstLineChars="213" w:firstLine="426"/>
        <w:jc w:val="lowKashida"/>
        <w:rPr>
          <w:rFonts w:ascii="Times New Roman" w:eastAsia="Times New Roman" w:hAnsi="Times New Roman" w:cs="Times New Roman"/>
          <w:b/>
          <w:bCs/>
          <w:i/>
          <w:iCs/>
          <w:sz w:val="20"/>
          <w:szCs w:val="20"/>
        </w:rPr>
      </w:pPr>
      <w:r w:rsidRPr="001A392E">
        <w:rPr>
          <w:rFonts w:ascii="Times New Roman" w:eastAsia="Times New Roman" w:hAnsi="Times New Roman" w:cs="Times New Roman"/>
          <w:sz w:val="20"/>
          <w:szCs w:val="20"/>
        </w:rPr>
        <w:t xml:space="preserve">Portal hypertensive gastropathy (PHG) occurs as a complication of cirrhotic or non-cirrhotic portal hypertension. PHG is clinically important because it may cause acute (and even) massive, or insidious, blood loss. It is characterized by an endoscopic abnormality of the gastric mucosa that is classically described as a mosaic-like pattern that resembles the skin of a snake, with or without red spots </w:t>
      </w:r>
      <w:r w:rsidRPr="001A392E">
        <w:rPr>
          <w:rFonts w:ascii="Times New Roman" w:eastAsia="Times New Roman" w:hAnsi="Times New Roman" w:cs="Times New Roman"/>
          <w:b/>
          <w:bCs/>
          <w:i/>
          <w:iCs/>
          <w:sz w:val="20"/>
          <w:szCs w:val="20"/>
        </w:rPr>
        <w:t>(Cubillas and Rockey, 2010).</w:t>
      </w:r>
    </w:p>
    <w:p w:rsidR="004E1829" w:rsidRPr="001A392E" w:rsidRDefault="004E1829" w:rsidP="00707B16">
      <w:pPr>
        <w:adjustRightInd w:val="0"/>
        <w:snapToGrid w:val="0"/>
        <w:spacing w:after="0" w:line="240" w:lineRule="auto"/>
        <w:ind w:firstLineChars="213" w:firstLine="426"/>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Abnormalities in the gastric microcirculation seem to be responsible for the congestion seen in PHG. However, some controversy remains as to whether this congestion is active or passive. Some data suggest that gastric mucosal blood flow might be decreased, but the total blood flow (blood flow in mucosa and submucosa of the stomach) may in fact be increased in PHG suggesting that PHG develops because of congestion caused by blockade of gastric blood drainage rather than by hyperemia </w:t>
      </w:r>
      <w:r w:rsidRPr="001A392E">
        <w:rPr>
          <w:rFonts w:ascii="Times New Roman" w:eastAsia="Times New Roman" w:hAnsi="Times New Roman" w:cs="Times New Roman"/>
          <w:b/>
          <w:bCs/>
          <w:i/>
          <w:iCs/>
          <w:sz w:val="20"/>
          <w:szCs w:val="20"/>
        </w:rPr>
        <w:t>(Cubillas and Rockey, 2010).</w:t>
      </w:r>
    </w:p>
    <w:p w:rsidR="004E1829" w:rsidRPr="001A392E" w:rsidRDefault="004E1829" w:rsidP="00707B16">
      <w:pPr>
        <w:adjustRightInd w:val="0"/>
        <w:snapToGrid w:val="0"/>
        <w:spacing w:after="0" w:line="240" w:lineRule="auto"/>
        <w:ind w:firstLineChars="213" w:firstLine="426"/>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This study revealed that magnifying NBI technique by enhancing examination of microvascular architecture of gastric mucosa allow detection of more cases of PHG especially mild PHG </w:t>
      </w:r>
    </w:p>
    <w:p w:rsidR="004E1829" w:rsidRPr="001A392E" w:rsidRDefault="004E1829" w:rsidP="00707B16">
      <w:pPr>
        <w:adjustRightInd w:val="0"/>
        <w:snapToGrid w:val="0"/>
        <w:spacing w:after="0" w:line="240" w:lineRule="auto"/>
        <w:ind w:firstLineChars="213" w:firstLine="426"/>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Regarding endoscopic NBI picture of PHG our results were in agreement with </w:t>
      </w:r>
      <w:r w:rsidRPr="001A392E">
        <w:rPr>
          <w:rFonts w:ascii="Times New Roman" w:eastAsia="Times New Roman" w:hAnsi="Times New Roman" w:cs="Times New Roman"/>
          <w:b/>
          <w:bCs/>
          <w:sz w:val="20"/>
          <w:szCs w:val="20"/>
        </w:rPr>
        <w:t>Hayashi and Saeki. (2007)</w:t>
      </w:r>
      <w:r w:rsidRPr="001A392E">
        <w:rPr>
          <w:rFonts w:ascii="Times New Roman" w:eastAsia="Times New Roman" w:hAnsi="Times New Roman" w:cs="Times New Roman"/>
          <w:sz w:val="20"/>
          <w:szCs w:val="20"/>
        </w:rPr>
        <w:t xml:space="preserve"> who found that reddening mucosa was observed in 49% of cirrhotic patients with clinical or radiological evidence of portal hypertension, and on switching to NBI the gastric mucosa showed extended and swollen gastric pits, with various degrees of </w:t>
      </w:r>
      <w:r w:rsidRPr="001A392E">
        <w:rPr>
          <w:rFonts w:ascii="Times New Roman" w:eastAsia="Times New Roman" w:hAnsi="Times New Roman" w:cs="Times New Roman"/>
          <w:sz w:val="20"/>
          <w:szCs w:val="20"/>
        </w:rPr>
        <w:lastRenderedPageBreak/>
        <w:t>dilated and convoluted capillaries surrounding the gastric pits.</w:t>
      </w:r>
    </w:p>
    <w:p w:rsidR="004E1829" w:rsidRPr="001A392E" w:rsidRDefault="004E1829" w:rsidP="00707B16">
      <w:pPr>
        <w:adjustRightInd w:val="0"/>
        <w:snapToGrid w:val="0"/>
        <w:spacing w:after="0" w:line="240" w:lineRule="auto"/>
        <w:ind w:firstLineChars="213" w:firstLine="426"/>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Also Red spots, especially on the corpus mucosa and fornix mucosa, were observed by them in 36% of cirrhotic patients with clinical or radiological evidence of portal hypertension, and on switching to NBI the gastric mucosa showed extended and swollen gastric pits, dilated and convoluted capillaries surrounding the gastric pits plus intra-mucosal hemorrhage around capillaries </w:t>
      </w:r>
      <w:r w:rsidRPr="001A392E">
        <w:rPr>
          <w:rFonts w:ascii="Times New Roman" w:eastAsia="Times New Roman" w:hAnsi="Times New Roman" w:cs="Times New Roman"/>
          <w:b/>
          <w:bCs/>
          <w:i/>
          <w:iCs/>
          <w:sz w:val="20"/>
          <w:szCs w:val="20"/>
        </w:rPr>
        <w:t>(Hayashi and Saeki, 2007).</w:t>
      </w:r>
    </w:p>
    <w:p w:rsidR="004E1829" w:rsidRPr="001A392E" w:rsidRDefault="004E1829" w:rsidP="00707B16">
      <w:pPr>
        <w:adjustRightInd w:val="0"/>
        <w:snapToGrid w:val="0"/>
        <w:spacing w:after="0" w:line="240" w:lineRule="auto"/>
        <w:ind w:firstLineChars="213" w:firstLine="426"/>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 xml:space="preserve">While the present study was in contradiction with </w:t>
      </w:r>
      <w:r w:rsidRPr="001A392E">
        <w:rPr>
          <w:rFonts w:ascii="Times New Roman" w:eastAsia="Times New Roman" w:hAnsi="Times New Roman" w:cs="Times New Roman"/>
          <w:b/>
          <w:bCs/>
          <w:sz w:val="20"/>
          <w:szCs w:val="20"/>
        </w:rPr>
        <w:t>Hayashi and Saeki. (2007)</w:t>
      </w:r>
      <w:r w:rsidRPr="001A392E">
        <w:rPr>
          <w:rFonts w:ascii="Times New Roman" w:eastAsia="Times New Roman" w:hAnsi="Times New Roman" w:cs="Times New Roman"/>
          <w:sz w:val="20"/>
          <w:szCs w:val="20"/>
        </w:rPr>
        <w:t xml:space="preserve"> among group B patients as they found lower percentage of mild PHG (5%) and also lower percentage of severe PHG (5%) among cirrhotic patients without clinical or radiological evidence of portal hypertension and this could be attributed to the lower number of patients included in their study (22 patients) versus 50 patients in the present study and also to the difference in cirrhosis etiologies. </w:t>
      </w:r>
    </w:p>
    <w:p w:rsidR="004E1829" w:rsidRPr="001A392E" w:rsidRDefault="004E1829" w:rsidP="00707B16">
      <w:pPr>
        <w:adjustRightInd w:val="0"/>
        <w:snapToGrid w:val="0"/>
        <w:spacing w:after="0" w:line="240" w:lineRule="auto"/>
        <w:ind w:firstLineChars="213" w:firstLine="426"/>
        <w:jc w:val="lowKashida"/>
        <w:rPr>
          <w:rFonts w:ascii="Times New Roman" w:eastAsia="Times New Roman" w:hAnsi="Times New Roman" w:cs="Times New Roman"/>
          <w:sz w:val="20"/>
          <w:szCs w:val="20"/>
        </w:rPr>
      </w:pPr>
      <w:r w:rsidRPr="001A392E">
        <w:rPr>
          <w:rFonts w:ascii="Times New Roman" w:eastAsia="Times New Roman" w:hAnsi="Times New Roman" w:cs="Times New Roman"/>
          <w:sz w:val="20"/>
          <w:szCs w:val="20"/>
        </w:rPr>
        <w:t>In the present study, the presence of PHG in cirrhotic patients without evidence of portal hypertension could be explained by the methods of diagnosis of portal hypertension based on clinical and radiological evidences only (like splenomegaly, dilated portal vein, thrombocytopenia less than 100,000 and presence of ascites) not on more invasive methods of diagnosis as measurement of hepatic venous pressure gradiant.From this, the clinical and radiological parameters should be revised and more studies are needed to evaluate their accuracy and reliability in prediction of PHG.</w:t>
      </w:r>
    </w:p>
    <w:p w:rsidR="004E1829" w:rsidRPr="001A392E" w:rsidRDefault="004E1829" w:rsidP="00707B16">
      <w:pPr>
        <w:adjustRightInd w:val="0"/>
        <w:snapToGrid w:val="0"/>
        <w:spacing w:after="0" w:line="240" w:lineRule="auto"/>
        <w:ind w:firstLineChars="213" w:firstLine="426"/>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z w:val="20"/>
          <w:szCs w:val="20"/>
        </w:rPr>
        <w:lastRenderedPageBreak/>
        <w:t>In the present study, with NBI cirrhotic patients with PHG (90 patients) had lower platelet count than cirrhotic patients without PHG (10 patients) (102 ± 49 x103 versus 194.6 ± 34x103 with p value &lt; 0.001).</w:t>
      </w:r>
      <w:r w:rsidRPr="001A392E">
        <w:rPr>
          <w:rFonts w:ascii="Times New Roman" w:eastAsia="Times New Roman" w:hAnsi="Times New Roman" w:cs="Times New Roman"/>
          <w:spacing w:val="-6"/>
          <w:sz w:val="20"/>
          <w:szCs w:val="20"/>
        </w:rPr>
        <w:t xml:space="preserve"> </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z w:val="20"/>
          <w:szCs w:val="20"/>
        </w:rPr>
      </w:pPr>
      <w:r w:rsidRPr="001A392E">
        <w:rPr>
          <w:rFonts w:ascii="Times New Roman" w:eastAsia="Times New Roman" w:hAnsi="Times New Roman" w:cs="Times New Roman"/>
          <w:spacing w:val="-6"/>
          <w:sz w:val="20"/>
          <w:szCs w:val="20"/>
        </w:rPr>
        <w:t>When NBI is used to detect PHG, the best cut off value of platelet count for prediction of PHG was (135.000) with sensitivity 92%, specificity 87%, PPV 96%, NPV 85% and efficacy 84%, while on using WLE the cut off value was (100.000)with sensitivity 90%, Specificity 72%, PPV 93%, NPV 75% and efficacy 76%</w:t>
      </w:r>
      <w:r w:rsidRPr="001A392E">
        <w:rPr>
          <w:rFonts w:ascii="Times New Roman" w:eastAsia="Times New Roman" w:hAnsi="Times New Roman" w:cs="Times New Roman"/>
          <w:sz w:val="20"/>
          <w:szCs w:val="20"/>
        </w:rPr>
        <w:t>.</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 xml:space="preserve">Moreover, </w:t>
      </w:r>
      <w:r w:rsidRPr="001A392E">
        <w:rPr>
          <w:rFonts w:ascii="Times New Roman" w:eastAsia="Times New Roman" w:hAnsi="Times New Roman" w:cs="Times New Roman"/>
          <w:b/>
          <w:bCs/>
          <w:spacing w:val="-6"/>
          <w:sz w:val="20"/>
          <w:szCs w:val="20"/>
        </w:rPr>
        <w:t>Esmat and Omran, (2011)</w:t>
      </w:r>
      <w:r w:rsidRPr="001A392E">
        <w:rPr>
          <w:rFonts w:ascii="Times New Roman" w:eastAsia="Times New Roman" w:hAnsi="Times New Roman" w:cs="Times New Roman"/>
          <w:spacing w:val="-6"/>
          <w:sz w:val="20"/>
          <w:szCs w:val="20"/>
        </w:rPr>
        <w:t xml:space="preserve"> put cut off value for platelet count (131 x 103) in prediction of portal hypertension, whereas sensitivity 84.15%, specificity 83.33 %. While </w:t>
      </w:r>
      <w:r w:rsidRPr="001A392E">
        <w:rPr>
          <w:rFonts w:ascii="Times New Roman" w:eastAsia="Times New Roman" w:hAnsi="Times New Roman" w:cs="Times New Roman"/>
          <w:b/>
          <w:bCs/>
          <w:spacing w:val="-6"/>
          <w:sz w:val="20"/>
          <w:szCs w:val="20"/>
        </w:rPr>
        <w:t>Mahassadi et al. (2012)</w:t>
      </w:r>
      <w:r w:rsidRPr="001A392E">
        <w:rPr>
          <w:rFonts w:ascii="Times New Roman" w:eastAsia="Times New Roman" w:hAnsi="Times New Roman" w:cs="Times New Roman"/>
          <w:spacing w:val="-6"/>
          <w:sz w:val="20"/>
          <w:szCs w:val="20"/>
        </w:rPr>
        <w:t xml:space="preserve"> found that the best cut off value for platelet count in prediction of portal hypertension and oesophageal varices was (110.500)with sensitivity 80%, Specificity 69%, PPV 89.5%, NPV 51% and efficacy 77.5%.</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 xml:space="preserve">The difference in values of platelet count between the present study and other studies could be explained by the difference in liver cirrhosis etiologies among the studied groups as noted by </w:t>
      </w:r>
      <w:r w:rsidRPr="001A392E">
        <w:rPr>
          <w:rFonts w:ascii="Times New Roman" w:eastAsia="Times New Roman" w:hAnsi="Times New Roman" w:cs="Times New Roman"/>
          <w:b/>
          <w:bCs/>
          <w:spacing w:val="-6"/>
          <w:sz w:val="20"/>
          <w:szCs w:val="20"/>
        </w:rPr>
        <w:t xml:space="preserve">Alempijevic et al, (2012) </w:t>
      </w:r>
      <w:r w:rsidRPr="001A392E">
        <w:rPr>
          <w:rFonts w:ascii="Times New Roman" w:eastAsia="Times New Roman" w:hAnsi="Times New Roman" w:cs="Times New Roman"/>
          <w:spacing w:val="-6"/>
          <w:sz w:val="20"/>
          <w:szCs w:val="20"/>
        </w:rPr>
        <w:t>who noted different platelet counts in alcoholic patients explained by the toxic effect of ethanol on bone marrow.</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b/>
          <w:bCs/>
          <w:i/>
          <w:iCs/>
          <w:sz w:val="20"/>
          <w:szCs w:val="20"/>
        </w:rPr>
      </w:pPr>
      <w:r w:rsidRPr="001A392E">
        <w:rPr>
          <w:rFonts w:ascii="Times New Roman" w:eastAsia="Times New Roman" w:hAnsi="Times New Roman" w:cs="Times New Roman"/>
          <w:spacing w:val="-6"/>
          <w:sz w:val="20"/>
          <w:szCs w:val="20"/>
        </w:rPr>
        <w:t xml:space="preserve">Thrombocytopenia is a common and highly specific manifestation of hypersplenism. It is suggested that the main mechanism of thrombocytopenia is splenic sequestration and pooling. Other mechanisms might be explained by insufficient synthesis of thrombopiotin </w:t>
      </w:r>
      <w:r w:rsidRPr="001A392E">
        <w:rPr>
          <w:rFonts w:ascii="Times New Roman" w:eastAsia="Times New Roman" w:hAnsi="Times New Roman" w:cs="Times New Roman"/>
          <w:b/>
          <w:bCs/>
          <w:i/>
          <w:iCs/>
          <w:spacing w:val="-6"/>
          <w:sz w:val="20"/>
          <w:szCs w:val="20"/>
        </w:rPr>
        <w:t>(Alempijevic et al., 2007, Sharma &amp; Aggarwal</w:t>
      </w:r>
      <w:r w:rsidRPr="001A392E">
        <w:rPr>
          <w:rFonts w:ascii="Times New Roman" w:eastAsia="Times New Roman" w:hAnsi="Times New Roman" w:cs="Times New Roman"/>
          <w:b/>
          <w:bCs/>
          <w:i/>
          <w:iCs/>
          <w:sz w:val="20"/>
          <w:szCs w:val="20"/>
        </w:rPr>
        <w:t>, 2007).</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Moreover, cirrhotic patients with PHG had a statistically highly significant lower PC/SD than cirrhotic patients without PHG (698 ± 320 versus 1501 ± 650 with p value &lt; 0.001).</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Also, When NBI is used, the best cut off value of platelet count/ splenic diameter for prediction of PHG was (960) with sensitivity of 90%, specificity 80%, PPV 93%, NPV 83% and efficacy 80%, while on using WLE the cut off value was (640) with sensitivity 90%, Specificity 67%, PPV 92%, NPV 70% and efficacy 72%.</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 xml:space="preserve">In a multicenter study using platelet count/spleen diameter ratio in the prediction of oesophageal varices, the cut-off value of 909 had sensitivity of 92% and specificity of 67% </w:t>
      </w:r>
      <w:r w:rsidRPr="001A392E">
        <w:rPr>
          <w:rFonts w:ascii="Times New Roman" w:eastAsia="Times New Roman" w:hAnsi="Times New Roman" w:cs="Times New Roman"/>
          <w:b/>
          <w:bCs/>
          <w:i/>
          <w:iCs/>
          <w:spacing w:val="-6"/>
          <w:sz w:val="20"/>
          <w:szCs w:val="20"/>
        </w:rPr>
        <w:t>( Giannini et al., 2006).</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Both portal vein diameter and splenic diameter were poor predictors of PHG.</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 xml:space="preserve">The low sensitivity and specificity of the PVD in prediction of PHG could be explained by that the doppler haemodynamic parameters are affected by other factors such as the development of portosystemic collateral circulation </w:t>
      </w:r>
      <w:r w:rsidRPr="001A392E">
        <w:rPr>
          <w:rFonts w:ascii="Times New Roman" w:eastAsia="Times New Roman" w:hAnsi="Times New Roman" w:cs="Times New Roman"/>
          <w:b/>
          <w:bCs/>
          <w:i/>
          <w:iCs/>
          <w:spacing w:val="-6"/>
          <w:sz w:val="20"/>
          <w:szCs w:val="20"/>
        </w:rPr>
        <w:t>(Pozniak, 2002).</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Moreover, portal vein dilatation may occur in the absence of portal hypertension e.g. in response to huge splenomegaly or acute PV thrombosis</w:t>
      </w:r>
      <w:r w:rsidRPr="001A392E">
        <w:rPr>
          <w:rFonts w:ascii="Times New Roman" w:eastAsia="Times New Roman" w:hAnsi="Times New Roman" w:cs="Times New Roman"/>
          <w:b/>
          <w:bCs/>
          <w:spacing w:val="-6"/>
          <w:sz w:val="20"/>
          <w:szCs w:val="20"/>
        </w:rPr>
        <w:t xml:space="preserve"> </w:t>
      </w:r>
      <w:r w:rsidRPr="001A392E">
        <w:rPr>
          <w:rFonts w:ascii="Times New Roman" w:eastAsia="Times New Roman" w:hAnsi="Times New Roman" w:cs="Times New Roman"/>
          <w:b/>
          <w:bCs/>
          <w:i/>
          <w:iCs/>
          <w:spacing w:val="-6"/>
          <w:sz w:val="20"/>
          <w:szCs w:val="20"/>
        </w:rPr>
        <w:t>(Sabb</w:t>
      </w:r>
      <w:r w:rsidRPr="001A392E">
        <w:rPr>
          <w:rFonts w:ascii="Times New Roman" w:eastAsia="Times New Roman" w:hAnsi="Times New Roman" w:cs="Times New Roman" w:hint="cs"/>
          <w:b/>
          <w:bCs/>
          <w:i/>
          <w:iCs/>
          <w:spacing w:val="-6"/>
          <w:sz w:val="20"/>
          <w:szCs w:val="20"/>
        </w:rPr>
        <w:t>á</w:t>
      </w:r>
      <w:r w:rsidRPr="001A392E">
        <w:rPr>
          <w:rFonts w:ascii="Times New Roman" w:eastAsia="Times New Roman" w:hAnsi="Times New Roman" w:cs="Times New Roman"/>
          <w:b/>
          <w:bCs/>
          <w:i/>
          <w:iCs/>
          <w:spacing w:val="-6"/>
          <w:sz w:val="20"/>
          <w:szCs w:val="20"/>
        </w:rPr>
        <w:t xml:space="preserve"> et al., 1992)</w:t>
      </w:r>
      <w:r w:rsidRPr="001A392E">
        <w:rPr>
          <w:rFonts w:ascii="Times New Roman" w:eastAsia="Times New Roman" w:hAnsi="Times New Roman" w:cs="Times New Roman"/>
          <w:i/>
          <w:iCs/>
          <w:spacing w:val="-6"/>
          <w:sz w:val="20"/>
          <w:szCs w:val="20"/>
        </w:rPr>
        <w:t>.</w:t>
      </w:r>
    </w:p>
    <w:p w:rsidR="004E1829" w:rsidRPr="001A392E"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lastRenderedPageBreak/>
        <w:t>Accordingly, the NBI with its higher accuracy than WLE in detection of PHG changed the cut off value of different non invasive markers in prediction of PHG.</w:t>
      </w:r>
    </w:p>
    <w:p w:rsidR="004E1829" w:rsidRDefault="004E1829"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r w:rsidRPr="001A392E">
        <w:rPr>
          <w:rFonts w:ascii="Times New Roman" w:eastAsia="Times New Roman" w:hAnsi="Times New Roman" w:cs="Times New Roman"/>
          <w:spacing w:val="-6"/>
          <w:sz w:val="20"/>
          <w:szCs w:val="20"/>
        </w:rPr>
        <w:t>By NBI, swelling of gastric pits with dilatation of capillaries surrounding the gastric pits and intra-mucosal hemorrhage were observed on the gastric mucosa in portal hypertension patients and so we concluded that NBI is considered as a novel technique that may enhance the accuracy of diagnosis of PHG in cirrhotic patients with portal hypertension and especially mild PHG and it changed the cut off value of different non invasive predictors of PHG so we recommend that  not only cirrhotic patients with platelet count lower than 100x103 but also those with platelet count lower than 135x103 should undergo screening upper gastro-intestinal endoscopy so as not to miss early PHG changes.</w:t>
      </w:r>
    </w:p>
    <w:p w:rsidR="00707B16" w:rsidRPr="001A392E" w:rsidRDefault="00707B16" w:rsidP="00707B16">
      <w:pPr>
        <w:adjustRightInd w:val="0"/>
        <w:snapToGrid w:val="0"/>
        <w:spacing w:after="0" w:line="240" w:lineRule="auto"/>
        <w:ind w:firstLineChars="213" w:firstLine="413"/>
        <w:jc w:val="lowKashida"/>
        <w:rPr>
          <w:rFonts w:ascii="Times New Roman" w:eastAsia="Times New Roman" w:hAnsi="Times New Roman" w:cs="Times New Roman"/>
          <w:spacing w:val="-6"/>
          <w:sz w:val="20"/>
          <w:szCs w:val="20"/>
        </w:rPr>
      </w:pPr>
    </w:p>
    <w:p w:rsidR="004E1829" w:rsidRPr="001A392E" w:rsidRDefault="004E1829" w:rsidP="001A392E">
      <w:pPr>
        <w:adjustRightInd w:val="0"/>
        <w:snapToGrid w:val="0"/>
        <w:spacing w:after="0" w:line="240" w:lineRule="auto"/>
        <w:jc w:val="lowKashida"/>
        <w:rPr>
          <w:rFonts w:ascii="Times New Roman" w:eastAsia="Times New Roman" w:hAnsi="Times New Roman" w:cs="Times New Roman"/>
          <w:spacing w:val="-6"/>
          <w:sz w:val="20"/>
          <w:szCs w:val="20"/>
        </w:rPr>
      </w:pPr>
      <w:r w:rsidRPr="001A392E">
        <w:rPr>
          <w:rFonts w:ascii="Times New Roman" w:hAnsi="Times New Roman" w:cs="Times New Roman"/>
          <w:b/>
          <w:bCs/>
          <w:sz w:val="20"/>
          <w:szCs w:val="20"/>
        </w:rPr>
        <w:t>Correspondence:</w:t>
      </w:r>
    </w:p>
    <w:p w:rsidR="004E1829" w:rsidRPr="001A392E" w:rsidRDefault="004E1829" w:rsidP="001A392E">
      <w:pPr>
        <w:autoSpaceDE w:val="0"/>
        <w:autoSpaceDN w:val="0"/>
        <w:adjustRightInd w:val="0"/>
        <w:snapToGrid w:val="0"/>
        <w:spacing w:after="0" w:line="240" w:lineRule="auto"/>
        <w:rPr>
          <w:rFonts w:ascii="Times New Roman" w:hAnsi="Times New Roman" w:cs="Times New Roman"/>
          <w:sz w:val="20"/>
          <w:szCs w:val="20"/>
        </w:rPr>
      </w:pPr>
      <w:r w:rsidRPr="001A392E">
        <w:rPr>
          <w:rFonts w:ascii="Times New Roman" w:hAnsi="Times New Roman" w:cs="Times New Roman"/>
          <w:sz w:val="20"/>
          <w:szCs w:val="20"/>
        </w:rPr>
        <w:t>Engy Yousry Elsayed, internal medicine department,Ain Shams University</w:t>
      </w:r>
    </w:p>
    <w:p w:rsidR="004E1829" w:rsidRPr="00707B16" w:rsidRDefault="004E1829" w:rsidP="001A392E">
      <w:pPr>
        <w:autoSpaceDE w:val="0"/>
        <w:autoSpaceDN w:val="0"/>
        <w:adjustRightInd w:val="0"/>
        <w:snapToGrid w:val="0"/>
        <w:spacing w:after="0" w:line="240" w:lineRule="auto"/>
        <w:rPr>
          <w:rFonts w:ascii="Times New Roman" w:hAnsi="Times New Roman" w:cs="Times New Roman"/>
          <w:bCs/>
          <w:sz w:val="20"/>
          <w:szCs w:val="20"/>
        </w:rPr>
      </w:pPr>
      <w:r w:rsidRPr="00707B16">
        <w:rPr>
          <w:rFonts w:ascii="Times New Roman" w:hAnsi="Times New Roman" w:cs="Times New Roman"/>
          <w:bCs/>
          <w:sz w:val="20"/>
          <w:szCs w:val="20"/>
        </w:rPr>
        <w:t>Telephone: 01006905243</w:t>
      </w:r>
    </w:p>
    <w:p w:rsidR="004E1829" w:rsidRPr="00707B16" w:rsidRDefault="004E1829" w:rsidP="001A392E">
      <w:pPr>
        <w:adjustRightInd w:val="0"/>
        <w:snapToGrid w:val="0"/>
        <w:spacing w:after="0" w:line="240" w:lineRule="auto"/>
        <w:jc w:val="lowKashida"/>
        <w:rPr>
          <w:rFonts w:ascii="Times New Roman" w:eastAsia="Times New Roman" w:hAnsi="Times New Roman" w:cs="Times New Roman"/>
          <w:spacing w:val="-6"/>
          <w:sz w:val="20"/>
          <w:szCs w:val="20"/>
        </w:rPr>
      </w:pPr>
      <w:r w:rsidRPr="00707B16">
        <w:rPr>
          <w:rFonts w:ascii="Times New Roman" w:hAnsi="Times New Roman" w:cs="Times New Roman"/>
          <w:bCs/>
          <w:sz w:val="20"/>
          <w:szCs w:val="20"/>
        </w:rPr>
        <w:t xml:space="preserve">E mail: </w:t>
      </w:r>
      <w:hyperlink r:id="rId21" w:history="1">
        <w:r w:rsidR="00707B16" w:rsidRPr="008B4253">
          <w:rPr>
            <w:rStyle w:val="Hyperlink"/>
            <w:rFonts w:ascii="Times New Roman" w:hAnsi="Times New Roman" w:cs="Times New Roman"/>
            <w:bCs/>
            <w:sz w:val="20"/>
            <w:szCs w:val="20"/>
          </w:rPr>
          <w:t>ashorengy@yahoo.com</w:t>
        </w:r>
      </w:hyperlink>
      <w:r w:rsidR="00707B16">
        <w:rPr>
          <w:rFonts w:ascii="Times New Roman" w:hAnsi="Times New Roman" w:cs="Times New Roman"/>
          <w:bCs/>
          <w:sz w:val="20"/>
          <w:szCs w:val="20"/>
        </w:rPr>
        <w:t xml:space="preserve"> </w:t>
      </w:r>
    </w:p>
    <w:p w:rsidR="00707B16" w:rsidRDefault="00707B16" w:rsidP="001A392E">
      <w:pPr>
        <w:autoSpaceDE w:val="0"/>
        <w:autoSpaceDN w:val="0"/>
        <w:adjustRightInd w:val="0"/>
        <w:snapToGrid w:val="0"/>
        <w:spacing w:after="0" w:line="240" w:lineRule="auto"/>
        <w:jc w:val="both"/>
        <w:rPr>
          <w:rFonts w:ascii="Times New Roman" w:hAnsi="Times New Roman" w:cs="Times New Roman"/>
          <w:b/>
          <w:bCs/>
          <w:sz w:val="20"/>
          <w:szCs w:val="20"/>
        </w:rPr>
      </w:pPr>
    </w:p>
    <w:p w:rsidR="004E1829" w:rsidRPr="001A392E" w:rsidRDefault="004E1829" w:rsidP="001A392E">
      <w:pPr>
        <w:autoSpaceDE w:val="0"/>
        <w:autoSpaceDN w:val="0"/>
        <w:adjustRightInd w:val="0"/>
        <w:snapToGrid w:val="0"/>
        <w:spacing w:after="0" w:line="240" w:lineRule="auto"/>
        <w:jc w:val="both"/>
        <w:rPr>
          <w:rFonts w:ascii="Times New Roman" w:hAnsi="Times New Roman" w:cs="Times New Roman"/>
          <w:b/>
          <w:bCs/>
          <w:sz w:val="20"/>
          <w:szCs w:val="20"/>
        </w:rPr>
      </w:pPr>
      <w:r w:rsidRPr="001A392E">
        <w:rPr>
          <w:rFonts w:ascii="Times New Roman" w:hAnsi="Times New Roman" w:cs="Times New Roman"/>
          <w:b/>
          <w:bCs/>
          <w:sz w:val="20"/>
          <w:szCs w:val="20"/>
        </w:rPr>
        <w:t>References:</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Alempijevic T, Bulat V, Djuranovic S, Kovacevic N, Jesic R, Tomic D, Krstic S, Krstic M. (2007</w:t>
      </w:r>
      <w:r w:rsidRPr="00707B16">
        <w:rPr>
          <w:rFonts w:ascii="Times New Roman" w:eastAsia="Times New Roman" w:hAnsi="Times New Roman" w:cs="Times New Roman"/>
          <w:spacing w:val="-6"/>
          <w:sz w:val="20"/>
          <w:szCs w:val="20"/>
        </w:rPr>
        <w:t xml:space="preserve">): Right liver lobe/albumin ratio: Contribution to non-invasive assessment of portal hypertension. </w:t>
      </w:r>
      <w:r w:rsidRPr="00707B16">
        <w:rPr>
          <w:rFonts w:ascii="Times New Roman" w:eastAsia="Times New Roman" w:hAnsi="Times New Roman" w:cs="Times New Roman"/>
          <w:i/>
          <w:iCs/>
          <w:spacing w:val="-6"/>
          <w:sz w:val="20"/>
          <w:szCs w:val="20"/>
        </w:rPr>
        <w:t>World J Gastroenterol</w:t>
      </w:r>
      <w:r w:rsidRPr="00707B16">
        <w:rPr>
          <w:rFonts w:ascii="Times New Roman" w:eastAsia="Times New Roman" w:hAnsi="Times New Roman" w:cs="Times New Roman"/>
          <w:spacing w:val="-6"/>
          <w:sz w:val="20"/>
          <w:szCs w:val="20"/>
        </w:rPr>
        <w:t>; 13 (40): 5331-5335.</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b/>
          <w:bCs/>
          <w:spacing w:val="-6"/>
          <w:sz w:val="20"/>
          <w:szCs w:val="20"/>
        </w:rPr>
      </w:pPr>
      <w:r w:rsidRPr="00707B16">
        <w:rPr>
          <w:rFonts w:ascii="Times New Roman" w:eastAsia="Times New Roman" w:hAnsi="Times New Roman" w:cs="Times New Roman"/>
          <w:b/>
          <w:bCs/>
          <w:spacing w:val="-6"/>
          <w:sz w:val="20"/>
          <w:szCs w:val="20"/>
        </w:rPr>
        <w:t xml:space="preserve">Alempijevic T, Sokic-Milutinovic A, Milicic B, Jesic R, Balovic A, Popovic D, Krstic M. (2012): </w:t>
      </w:r>
      <w:r w:rsidRPr="00707B16">
        <w:rPr>
          <w:rFonts w:ascii="Times New Roman" w:eastAsia="Times New Roman" w:hAnsi="Times New Roman" w:cs="Times New Roman"/>
          <w:spacing w:val="-6"/>
          <w:sz w:val="20"/>
          <w:szCs w:val="20"/>
        </w:rPr>
        <w:t xml:space="preserve">Noninvasive assessment of portal hypertension in patients with alcoholic cirrhosis. </w:t>
      </w:r>
      <w:r w:rsidRPr="00707B16">
        <w:rPr>
          <w:rFonts w:ascii="Times New Roman" w:eastAsia="Times New Roman" w:hAnsi="Times New Roman" w:cs="Times New Roman"/>
          <w:i/>
          <w:iCs/>
          <w:spacing w:val="-6"/>
          <w:sz w:val="20"/>
          <w:szCs w:val="20"/>
        </w:rPr>
        <w:t>Turk J Gastroenterol</w:t>
      </w:r>
      <w:r w:rsidRPr="00707B16">
        <w:rPr>
          <w:rFonts w:ascii="Times New Roman" w:eastAsia="Times New Roman" w:hAnsi="Times New Roman" w:cs="Times New Roman"/>
          <w:spacing w:val="-6"/>
          <w:sz w:val="20"/>
          <w:szCs w:val="20"/>
        </w:rPr>
        <w:t>; 23 (3): 239-246</w:t>
      </w:r>
      <w:r w:rsidRPr="00707B16">
        <w:rPr>
          <w:rFonts w:ascii="Times New Roman" w:eastAsia="Times New Roman" w:hAnsi="Times New Roman" w:cs="Times New Roman"/>
          <w:b/>
          <w:bCs/>
          <w:spacing w:val="-6"/>
          <w:sz w:val="20"/>
          <w:szCs w:val="20"/>
        </w:rPr>
        <w:t>.</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 xml:space="preserve">Cubillas R and Rockey C. (2010): </w:t>
      </w:r>
      <w:r w:rsidRPr="00707B16">
        <w:rPr>
          <w:rFonts w:ascii="Times New Roman" w:eastAsia="Times New Roman" w:hAnsi="Times New Roman" w:cs="Times New Roman"/>
          <w:spacing w:val="-6"/>
          <w:sz w:val="20"/>
          <w:szCs w:val="20"/>
        </w:rPr>
        <w:t>Portal hypertensive gastropathy: a review</w:t>
      </w:r>
      <w:r w:rsidRPr="00707B16">
        <w:rPr>
          <w:rFonts w:ascii="Times New Roman" w:eastAsia="Times New Roman" w:hAnsi="Times New Roman" w:cs="Times New Roman"/>
          <w:i/>
          <w:iCs/>
          <w:spacing w:val="-6"/>
          <w:sz w:val="20"/>
          <w:szCs w:val="20"/>
        </w:rPr>
        <w:t>. Liver International</w:t>
      </w:r>
      <w:r w:rsidRPr="00707B16">
        <w:rPr>
          <w:rFonts w:ascii="Times New Roman" w:eastAsia="Times New Roman" w:hAnsi="Times New Roman" w:cs="Times New Roman"/>
          <w:spacing w:val="-6"/>
          <w:sz w:val="20"/>
          <w:szCs w:val="20"/>
        </w:rPr>
        <w:t>; 1094-1102.</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Dib N, Oberti F, Cales P. (2006):</w:t>
      </w:r>
      <w:r w:rsidRPr="00707B16">
        <w:rPr>
          <w:rFonts w:ascii="Times New Roman" w:eastAsia="Times New Roman" w:hAnsi="Times New Roman" w:cs="Times New Roman"/>
          <w:spacing w:val="-6"/>
          <w:sz w:val="20"/>
          <w:szCs w:val="20"/>
        </w:rPr>
        <w:t xml:space="preserve"> Current management of the complication of portal hypertension: Variceal bleeding and ascites. </w:t>
      </w:r>
      <w:r w:rsidRPr="00707B16">
        <w:rPr>
          <w:rFonts w:ascii="Times New Roman" w:eastAsia="Times New Roman" w:hAnsi="Times New Roman" w:cs="Times New Roman"/>
          <w:i/>
          <w:iCs/>
          <w:spacing w:val="-6"/>
          <w:sz w:val="20"/>
          <w:szCs w:val="20"/>
        </w:rPr>
        <w:t>Canadian Medical Association J</w:t>
      </w:r>
      <w:r w:rsidRPr="00707B16">
        <w:rPr>
          <w:rFonts w:ascii="Times New Roman" w:eastAsia="Times New Roman" w:hAnsi="Times New Roman" w:cs="Times New Roman"/>
          <w:spacing w:val="-6"/>
          <w:sz w:val="20"/>
          <w:szCs w:val="20"/>
        </w:rPr>
        <w:t>; 174 (10): 1433 – 1443.</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 xml:space="preserve">Esmat S and Omran D. (2011): </w:t>
      </w:r>
      <w:r w:rsidRPr="00707B16">
        <w:rPr>
          <w:rFonts w:ascii="Times New Roman" w:eastAsia="Times New Roman" w:hAnsi="Times New Roman" w:cs="Times New Roman"/>
          <w:spacing w:val="-6"/>
          <w:sz w:val="20"/>
          <w:szCs w:val="20"/>
        </w:rPr>
        <w:t xml:space="preserve">Study of Noninvasive Predictors of Portal Hypertension in Liver Cirrhotic Egyptian Patients. </w:t>
      </w:r>
      <w:r w:rsidRPr="00707B16">
        <w:rPr>
          <w:rFonts w:ascii="Times New Roman" w:eastAsia="Times New Roman" w:hAnsi="Times New Roman" w:cs="Times New Roman"/>
          <w:i/>
          <w:iCs/>
          <w:spacing w:val="-6"/>
          <w:sz w:val="20"/>
          <w:szCs w:val="20"/>
        </w:rPr>
        <w:t>Journal of American Science</w:t>
      </w:r>
      <w:r w:rsidRPr="00707B16">
        <w:rPr>
          <w:rFonts w:ascii="Times New Roman" w:eastAsia="Times New Roman" w:hAnsi="Times New Roman" w:cs="Times New Roman"/>
          <w:spacing w:val="-6"/>
          <w:sz w:val="20"/>
          <w:szCs w:val="20"/>
        </w:rPr>
        <w:t>; 7(1): 962-968.</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Garcia-Tsao G, Sanyal AJ, Grace ND, Carey W. (2007</w:t>
      </w:r>
      <w:r w:rsidRPr="00707B16">
        <w:rPr>
          <w:rFonts w:ascii="Times New Roman" w:eastAsia="Times New Roman" w:hAnsi="Times New Roman" w:cs="Times New Roman"/>
          <w:spacing w:val="-6"/>
          <w:sz w:val="20"/>
          <w:szCs w:val="20"/>
        </w:rPr>
        <w:t xml:space="preserve">): Prevention and management of gastro-esophageal varices and variceal hemorrhage in cirrhosis. </w:t>
      </w:r>
      <w:r w:rsidRPr="00707B16">
        <w:rPr>
          <w:rFonts w:ascii="Times New Roman" w:eastAsia="Times New Roman" w:hAnsi="Times New Roman" w:cs="Times New Roman"/>
          <w:i/>
          <w:iCs/>
          <w:spacing w:val="-6"/>
          <w:sz w:val="20"/>
          <w:szCs w:val="20"/>
        </w:rPr>
        <w:t>American journal of Gastroenterol</w:t>
      </w:r>
      <w:r w:rsidRPr="00707B16">
        <w:rPr>
          <w:rFonts w:ascii="Times New Roman" w:eastAsia="Times New Roman" w:hAnsi="Times New Roman" w:cs="Times New Roman"/>
          <w:spacing w:val="-6"/>
          <w:sz w:val="20"/>
          <w:szCs w:val="20"/>
        </w:rPr>
        <w:t>; 102 (12): 922-938.</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 xml:space="preserve">Giannini EG, Zaman A, Kreil A, Floreani A, Dulbecco P, Testa E, Sohaey R, Verhey P, Peck-Radosavljevic M, Mansi C, Savarino V, Testa R. (2006): </w:t>
      </w:r>
      <w:r w:rsidRPr="00707B16">
        <w:rPr>
          <w:rFonts w:ascii="Times New Roman" w:eastAsia="Times New Roman" w:hAnsi="Times New Roman" w:cs="Times New Roman"/>
          <w:spacing w:val="-6"/>
          <w:sz w:val="20"/>
          <w:szCs w:val="20"/>
        </w:rPr>
        <w:t xml:space="preserve">Platelet count/spleen diameter ratio for the non invasive diagnosis of oesophageal varices. </w:t>
      </w:r>
      <w:r w:rsidRPr="00707B16">
        <w:rPr>
          <w:rFonts w:ascii="Times New Roman" w:eastAsia="Times New Roman" w:hAnsi="Times New Roman" w:cs="Times New Roman"/>
          <w:spacing w:val="-6"/>
          <w:sz w:val="20"/>
          <w:szCs w:val="20"/>
        </w:rPr>
        <w:lastRenderedPageBreak/>
        <w:t xml:space="preserve">Results of a multicenter, prospective, validation study. </w:t>
      </w:r>
      <w:r w:rsidRPr="00707B16">
        <w:rPr>
          <w:rFonts w:ascii="Times New Roman" w:eastAsia="Times New Roman" w:hAnsi="Times New Roman" w:cs="Times New Roman"/>
          <w:i/>
          <w:iCs/>
          <w:spacing w:val="-6"/>
          <w:sz w:val="20"/>
          <w:szCs w:val="20"/>
        </w:rPr>
        <w:t>Am J Gastroenterol</w:t>
      </w:r>
      <w:r w:rsidRPr="00707B16">
        <w:rPr>
          <w:rFonts w:ascii="Times New Roman" w:eastAsia="Times New Roman" w:hAnsi="Times New Roman" w:cs="Times New Roman"/>
          <w:spacing w:val="-6"/>
          <w:sz w:val="20"/>
          <w:szCs w:val="20"/>
        </w:rPr>
        <w:t>; 101: 2511-2519.</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Hayashi S and Saeki S (2007</w:t>
      </w:r>
      <w:r w:rsidRPr="00707B16">
        <w:rPr>
          <w:rFonts w:ascii="Times New Roman" w:eastAsia="Times New Roman" w:hAnsi="Times New Roman" w:cs="Times New Roman"/>
          <w:spacing w:val="-6"/>
          <w:sz w:val="20"/>
          <w:szCs w:val="20"/>
        </w:rPr>
        <w:t xml:space="preserve">): Endoscopic microvascular architecture of the portal hypertensive gastric mucosa on narrow band imaging. </w:t>
      </w:r>
      <w:r w:rsidRPr="00707B16">
        <w:rPr>
          <w:rFonts w:ascii="Times New Roman" w:eastAsia="Times New Roman" w:hAnsi="Times New Roman" w:cs="Times New Roman"/>
          <w:i/>
          <w:iCs/>
          <w:spacing w:val="-6"/>
          <w:sz w:val="20"/>
          <w:szCs w:val="20"/>
        </w:rPr>
        <w:t>Digestive Endoscopy</w:t>
      </w:r>
      <w:r w:rsidRPr="00707B16">
        <w:rPr>
          <w:rFonts w:ascii="Times New Roman" w:eastAsia="Times New Roman" w:hAnsi="Times New Roman" w:cs="Times New Roman"/>
          <w:spacing w:val="-6"/>
          <w:sz w:val="20"/>
          <w:szCs w:val="20"/>
        </w:rPr>
        <w:t>; 19: 116-123.</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b/>
          <w:bCs/>
          <w:spacing w:val="-6"/>
          <w:sz w:val="20"/>
          <w:szCs w:val="20"/>
        </w:rPr>
      </w:pPr>
      <w:r w:rsidRPr="00707B16">
        <w:rPr>
          <w:rFonts w:ascii="Times New Roman" w:eastAsia="Times New Roman" w:hAnsi="Times New Roman" w:cs="Times New Roman"/>
          <w:b/>
          <w:bCs/>
          <w:spacing w:val="-6"/>
          <w:sz w:val="20"/>
          <w:szCs w:val="20"/>
        </w:rPr>
        <w:t xml:space="preserve">Mahassadi AK, Bathaix FY, Assi C, Bangoura AD, Allah-KouadioE, Kissi HY, Toure A, Doffou S, Konate I, Attia AK, Camara MB, Ndri-Yoman TA. (2012): </w:t>
      </w:r>
      <w:r w:rsidRPr="00707B16">
        <w:rPr>
          <w:rFonts w:ascii="Times New Roman" w:eastAsia="Times New Roman" w:hAnsi="Times New Roman" w:cs="Times New Roman"/>
          <w:spacing w:val="-6"/>
          <w:sz w:val="20"/>
          <w:szCs w:val="20"/>
        </w:rPr>
        <w:t xml:space="preserve">Usefulness of Noninvasive Predictors of Oesophageal Varices in Black African Cirrhotic Patients in Côte d’Ivoire. Clinical Study. </w:t>
      </w:r>
      <w:r w:rsidRPr="00707B16">
        <w:rPr>
          <w:rFonts w:ascii="Times New Roman" w:eastAsia="Times New Roman" w:hAnsi="Times New Roman" w:cs="Times New Roman"/>
          <w:i/>
          <w:iCs/>
          <w:spacing w:val="-6"/>
          <w:sz w:val="20"/>
          <w:szCs w:val="20"/>
        </w:rPr>
        <w:t>Gastroenterology Research and Practice</w:t>
      </w:r>
      <w:r w:rsidRPr="00707B16">
        <w:rPr>
          <w:rFonts w:ascii="Times New Roman" w:eastAsia="Times New Roman" w:hAnsi="Times New Roman" w:cs="Times New Roman"/>
          <w:spacing w:val="-6"/>
          <w:sz w:val="20"/>
          <w:szCs w:val="20"/>
        </w:rPr>
        <w:t>; 2012: 216390.</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 xml:space="preserve">Perini R, Camara P, Ferraz JG. (2009): </w:t>
      </w:r>
      <w:r w:rsidRPr="00707B16">
        <w:rPr>
          <w:rFonts w:ascii="Times New Roman" w:eastAsia="Times New Roman" w:hAnsi="Times New Roman" w:cs="Times New Roman"/>
          <w:spacing w:val="-6"/>
          <w:sz w:val="20"/>
          <w:szCs w:val="20"/>
        </w:rPr>
        <w:t xml:space="preserve">Pathogenesis of portal hypertensive gastropathy: translating basic research into clinical practice. </w:t>
      </w:r>
      <w:r w:rsidRPr="00707B16">
        <w:rPr>
          <w:rFonts w:ascii="Times New Roman" w:eastAsia="Times New Roman" w:hAnsi="Times New Roman" w:cs="Times New Roman"/>
          <w:i/>
          <w:iCs/>
          <w:spacing w:val="-6"/>
          <w:sz w:val="20"/>
          <w:szCs w:val="20"/>
        </w:rPr>
        <w:t>Nat Clin Pract Gastroenterol Hepatol</w:t>
      </w:r>
      <w:r w:rsidRPr="00707B16">
        <w:rPr>
          <w:rFonts w:ascii="Times New Roman" w:eastAsia="Times New Roman" w:hAnsi="Times New Roman" w:cs="Times New Roman"/>
          <w:spacing w:val="-6"/>
          <w:sz w:val="20"/>
          <w:szCs w:val="20"/>
        </w:rPr>
        <w:t>; 6: 150-158.</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 xml:space="preserve">Pozniak MA. (2002): </w:t>
      </w:r>
      <w:r w:rsidRPr="00707B16">
        <w:rPr>
          <w:rFonts w:ascii="Times New Roman" w:eastAsia="Times New Roman" w:hAnsi="Times New Roman" w:cs="Times New Roman"/>
          <w:spacing w:val="-6"/>
          <w:sz w:val="20"/>
          <w:szCs w:val="20"/>
        </w:rPr>
        <w:t>Doppler ultrasound of the liver. In: Allan PL, Dubbins PA, Pozniak MA, et al.,editors, Clinical Doppler Ultrasound. Churchill Livingstone, London, Edinburgh, New York, Philadelphia; 123-168.</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Sabb</w:t>
      </w:r>
      <w:r w:rsidRPr="00707B16">
        <w:rPr>
          <w:rFonts w:ascii="Times New Roman" w:eastAsia="Times New Roman" w:hAnsi="Times New Roman" w:cs="Times New Roman" w:hint="eastAsia"/>
          <w:b/>
          <w:bCs/>
          <w:spacing w:val="-6"/>
          <w:sz w:val="20"/>
          <w:szCs w:val="20"/>
        </w:rPr>
        <w:t>à</w:t>
      </w:r>
      <w:r w:rsidRPr="00707B16">
        <w:rPr>
          <w:rFonts w:ascii="Times New Roman" w:eastAsia="Times New Roman" w:hAnsi="Times New Roman" w:cs="Times New Roman"/>
          <w:b/>
          <w:bCs/>
          <w:spacing w:val="-6"/>
          <w:sz w:val="20"/>
          <w:szCs w:val="20"/>
        </w:rPr>
        <w:t xml:space="preserve"> C, Ferraioli G, Buonamico P, Berardi E, Antonica G, Taylor KJ, Albano O. (1992): </w:t>
      </w:r>
      <w:r w:rsidRPr="00707B16">
        <w:rPr>
          <w:rFonts w:ascii="Times New Roman" w:eastAsia="Times New Roman" w:hAnsi="Times New Roman" w:cs="Times New Roman"/>
          <w:spacing w:val="-6"/>
          <w:sz w:val="20"/>
          <w:szCs w:val="20"/>
        </w:rPr>
        <w:t xml:space="preserve">Echo-Doppler evaluation of acute flow changes in portal </w:t>
      </w:r>
      <w:r w:rsidRPr="00707B16">
        <w:rPr>
          <w:rFonts w:ascii="Times New Roman" w:eastAsia="Times New Roman" w:hAnsi="Times New Roman" w:cs="Times New Roman"/>
          <w:spacing w:val="-6"/>
          <w:sz w:val="20"/>
          <w:szCs w:val="20"/>
        </w:rPr>
        <w:lastRenderedPageBreak/>
        <w:t xml:space="preserve">hypertensive patients: flow velocity as a reliable parameter. </w:t>
      </w:r>
      <w:r w:rsidRPr="00707B16">
        <w:rPr>
          <w:rFonts w:ascii="Times New Roman" w:eastAsia="Times New Roman" w:hAnsi="Times New Roman" w:cs="Times New Roman"/>
          <w:i/>
          <w:iCs/>
          <w:spacing w:val="-6"/>
          <w:sz w:val="20"/>
          <w:szCs w:val="20"/>
        </w:rPr>
        <w:t>J Hepatol</w:t>
      </w:r>
      <w:r w:rsidRPr="00707B16">
        <w:rPr>
          <w:rFonts w:ascii="Times New Roman" w:eastAsia="Times New Roman" w:hAnsi="Times New Roman" w:cs="Times New Roman"/>
          <w:spacing w:val="-6"/>
          <w:sz w:val="20"/>
          <w:szCs w:val="20"/>
        </w:rPr>
        <w:t>; 15(3): 356-360.</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 xml:space="preserve">Sambongi M, Igarashi M, Obi T, Yamaguchi M, Oyama N, Kobayashi M, Sano Y, Yoshida S, Gono K. (2000): </w:t>
      </w:r>
      <w:r w:rsidRPr="00707B16">
        <w:rPr>
          <w:rFonts w:ascii="Times New Roman" w:eastAsia="Times New Roman" w:hAnsi="Times New Roman" w:cs="Times New Roman"/>
          <w:spacing w:val="-6"/>
          <w:sz w:val="20"/>
          <w:szCs w:val="20"/>
        </w:rPr>
        <w:t xml:space="preserve">Analysis of spectral reflectance of mucous membrane for endoscopic diagnosis. </w:t>
      </w:r>
      <w:r w:rsidRPr="00707B16">
        <w:rPr>
          <w:rFonts w:ascii="Times New Roman" w:eastAsia="Times New Roman" w:hAnsi="Times New Roman" w:cs="Times New Roman"/>
          <w:i/>
          <w:iCs/>
          <w:spacing w:val="-6"/>
          <w:sz w:val="20"/>
          <w:szCs w:val="20"/>
        </w:rPr>
        <w:t>Med Phys</w:t>
      </w:r>
      <w:r w:rsidRPr="00707B16">
        <w:rPr>
          <w:rFonts w:ascii="Times New Roman" w:eastAsia="Times New Roman" w:hAnsi="Times New Roman" w:cs="Times New Roman"/>
          <w:spacing w:val="-6"/>
          <w:sz w:val="20"/>
          <w:szCs w:val="20"/>
        </w:rPr>
        <w:t>; 27: 1396-1398.</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 xml:space="preserve">Sano Y, Kobayashi M, Hamamoto Y.(2001): </w:t>
      </w:r>
      <w:r w:rsidRPr="00707B16">
        <w:rPr>
          <w:rFonts w:ascii="Times New Roman" w:eastAsia="Times New Roman" w:hAnsi="Times New Roman" w:cs="Times New Roman"/>
          <w:spacing w:val="-6"/>
          <w:sz w:val="20"/>
          <w:szCs w:val="20"/>
        </w:rPr>
        <w:t xml:space="preserve">New diagnostic method based on color imaging using narrow band imaging system for gastrointestinal tract. </w:t>
      </w:r>
      <w:r w:rsidRPr="00707B16">
        <w:rPr>
          <w:rFonts w:ascii="Times New Roman" w:eastAsia="Times New Roman" w:hAnsi="Times New Roman" w:cs="Times New Roman"/>
          <w:i/>
          <w:iCs/>
          <w:spacing w:val="-6"/>
          <w:sz w:val="20"/>
          <w:szCs w:val="20"/>
        </w:rPr>
        <w:t>Gastrointestinal endoscopy J</w:t>
      </w:r>
      <w:r w:rsidRPr="00707B16">
        <w:rPr>
          <w:rFonts w:ascii="Times New Roman" w:eastAsia="Times New Roman" w:hAnsi="Times New Roman" w:cs="Times New Roman"/>
          <w:spacing w:val="-6"/>
          <w:sz w:val="20"/>
          <w:szCs w:val="20"/>
        </w:rPr>
        <w:t>; 53: AB125.</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b/>
          <w:bCs/>
          <w:spacing w:val="-6"/>
          <w:sz w:val="20"/>
          <w:szCs w:val="20"/>
        </w:rPr>
      </w:pPr>
      <w:r w:rsidRPr="00707B16">
        <w:rPr>
          <w:rFonts w:ascii="Times New Roman" w:eastAsia="Times New Roman" w:hAnsi="Times New Roman" w:cs="Times New Roman"/>
          <w:b/>
          <w:bCs/>
          <w:spacing w:val="-6"/>
          <w:sz w:val="20"/>
          <w:szCs w:val="20"/>
        </w:rPr>
        <w:t xml:space="preserve">Sharma SK and Aggarwal R (2007): </w:t>
      </w:r>
      <w:r w:rsidRPr="00707B16">
        <w:rPr>
          <w:rFonts w:ascii="Times New Roman" w:eastAsia="Times New Roman" w:hAnsi="Times New Roman" w:cs="Times New Roman"/>
          <w:spacing w:val="-6"/>
          <w:sz w:val="20"/>
          <w:szCs w:val="20"/>
        </w:rPr>
        <w:t xml:space="preserve">Prediction of large esophageal varices in patients with cirrhosis of the liver using clinical, laboratory and imaging parameters. </w:t>
      </w:r>
      <w:r w:rsidRPr="00707B16">
        <w:rPr>
          <w:rFonts w:ascii="Times New Roman" w:eastAsia="Times New Roman" w:hAnsi="Times New Roman" w:cs="Times New Roman"/>
          <w:i/>
          <w:iCs/>
          <w:spacing w:val="-6"/>
          <w:sz w:val="20"/>
          <w:szCs w:val="20"/>
        </w:rPr>
        <w:t>J Gastroenterol Hepatol</w:t>
      </w:r>
      <w:r w:rsidRPr="00707B16">
        <w:rPr>
          <w:rFonts w:ascii="Times New Roman" w:eastAsia="Times New Roman" w:hAnsi="Times New Roman" w:cs="Times New Roman"/>
          <w:spacing w:val="-6"/>
          <w:sz w:val="20"/>
          <w:szCs w:val="20"/>
        </w:rPr>
        <w:t>; 22(11): 1909-1915.</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b/>
          <w:bCs/>
          <w:spacing w:val="-6"/>
          <w:sz w:val="20"/>
          <w:szCs w:val="20"/>
        </w:rPr>
      </w:pPr>
      <w:r w:rsidRPr="00707B16">
        <w:rPr>
          <w:rFonts w:ascii="Times New Roman" w:eastAsia="Times New Roman" w:hAnsi="Times New Roman" w:cs="Times New Roman"/>
          <w:b/>
          <w:bCs/>
          <w:spacing w:val="-6"/>
          <w:sz w:val="20"/>
          <w:szCs w:val="20"/>
        </w:rPr>
        <w:t xml:space="preserve">Tahara T, Shibata T, Nakamura M, Yoshioka D, Okubo M, Arisawa T, Hirata I. (2009): </w:t>
      </w:r>
      <w:r w:rsidRPr="00707B16">
        <w:rPr>
          <w:rFonts w:ascii="Times New Roman" w:eastAsia="Times New Roman" w:hAnsi="Times New Roman" w:cs="Times New Roman"/>
          <w:spacing w:val="-6"/>
          <w:sz w:val="20"/>
          <w:szCs w:val="20"/>
        </w:rPr>
        <w:t xml:space="preserve">Gastric mucosal pattern by using magnifying narrow band imaging endoscopy clearly distinguishes histological and serological severity of chronic gastritis. </w:t>
      </w:r>
      <w:r w:rsidRPr="00707B16">
        <w:rPr>
          <w:rFonts w:ascii="Times New Roman" w:eastAsia="Times New Roman" w:hAnsi="Times New Roman" w:cs="Times New Roman"/>
          <w:i/>
          <w:iCs/>
          <w:spacing w:val="-6"/>
          <w:sz w:val="20"/>
          <w:szCs w:val="20"/>
        </w:rPr>
        <w:t>Gastrointestinal endoscopy J</w:t>
      </w:r>
      <w:r w:rsidRPr="00707B16">
        <w:rPr>
          <w:rFonts w:ascii="Times New Roman" w:eastAsia="Times New Roman" w:hAnsi="Times New Roman" w:cs="Times New Roman"/>
          <w:spacing w:val="-6"/>
          <w:sz w:val="20"/>
          <w:szCs w:val="20"/>
        </w:rPr>
        <w:t>; 70(2): 246-253.</w:t>
      </w:r>
    </w:p>
    <w:p w:rsidR="004E1829" w:rsidRPr="00707B16" w:rsidRDefault="004E1829" w:rsidP="00707B16">
      <w:pPr>
        <w:pStyle w:val="ListParagraph"/>
        <w:numPr>
          <w:ilvl w:val="0"/>
          <w:numId w:val="6"/>
        </w:numPr>
        <w:adjustRightInd w:val="0"/>
        <w:snapToGrid w:val="0"/>
        <w:spacing w:after="0" w:line="240" w:lineRule="auto"/>
        <w:ind w:left="426"/>
        <w:jc w:val="lowKashida"/>
        <w:rPr>
          <w:rFonts w:ascii="Times New Roman" w:eastAsia="Times New Roman" w:hAnsi="Times New Roman" w:cs="Times New Roman"/>
          <w:spacing w:val="-6"/>
          <w:sz w:val="20"/>
          <w:szCs w:val="20"/>
        </w:rPr>
      </w:pPr>
      <w:r w:rsidRPr="00707B16">
        <w:rPr>
          <w:rFonts w:ascii="Times New Roman" w:eastAsia="Times New Roman" w:hAnsi="Times New Roman" w:cs="Times New Roman"/>
          <w:b/>
          <w:bCs/>
          <w:spacing w:val="-6"/>
          <w:sz w:val="20"/>
          <w:szCs w:val="20"/>
        </w:rPr>
        <w:t xml:space="preserve">Tajiri H, Matsuda K, Fujisaki J. (2002): </w:t>
      </w:r>
      <w:r w:rsidRPr="00707B16">
        <w:rPr>
          <w:rFonts w:ascii="Times New Roman" w:eastAsia="Times New Roman" w:hAnsi="Times New Roman" w:cs="Times New Roman"/>
          <w:spacing w:val="-6"/>
          <w:sz w:val="20"/>
          <w:szCs w:val="20"/>
        </w:rPr>
        <w:t xml:space="preserve">What can we see with the endoscope? Present status and future perspectives. </w:t>
      </w:r>
      <w:r w:rsidRPr="00707B16">
        <w:rPr>
          <w:rFonts w:ascii="Times New Roman" w:eastAsia="Times New Roman" w:hAnsi="Times New Roman" w:cs="Times New Roman"/>
          <w:i/>
          <w:iCs/>
          <w:spacing w:val="-6"/>
          <w:sz w:val="20"/>
          <w:szCs w:val="20"/>
        </w:rPr>
        <w:t xml:space="preserve">Dig </w:t>
      </w:r>
      <w:proofErr w:type="spellStart"/>
      <w:r w:rsidRPr="00707B16">
        <w:rPr>
          <w:rFonts w:ascii="Times New Roman" w:eastAsia="Times New Roman" w:hAnsi="Times New Roman" w:cs="Times New Roman"/>
          <w:i/>
          <w:iCs/>
          <w:spacing w:val="-6"/>
          <w:sz w:val="20"/>
          <w:szCs w:val="20"/>
        </w:rPr>
        <w:t>Endosc</w:t>
      </w:r>
      <w:proofErr w:type="spellEnd"/>
      <w:r w:rsidR="00707B16">
        <w:rPr>
          <w:rFonts w:ascii="Times New Roman" w:eastAsia="Times New Roman" w:hAnsi="Times New Roman" w:cs="Times New Roman"/>
          <w:spacing w:val="-6"/>
          <w:sz w:val="20"/>
          <w:szCs w:val="20"/>
        </w:rPr>
        <w:t>;</w:t>
      </w:r>
      <w:r w:rsidRPr="00707B16">
        <w:rPr>
          <w:rFonts w:ascii="Times New Roman" w:eastAsia="Times New Roman" w:hAnsi="Times New Roman" w:cs="Times New Roman"/>
          <w:spacing w:val="-6"/>
          <w:sz w:val="20"/>
          <w:szCs w:val="20"/>
        </w:rPr>
        <w:t xml:space="preserve"> 14: 131-137.</w:t>
      </w:r>
    </w:p>
    <w:p w:rsidR="00707B16" w:rsidRDefault="00707B16" w:rsidP="001A392E">
      <w:pPr>
        <w:widowControl w:val="0"/>
        <w:adjustRightInd w:val="0"/>
        <w:snapToGrid w:val="0"/>
        <w:spacing w:after="0" w:line="240" w:lineRule="auto"/>
        <w:ind w:rightChars="35" w:right="77"/>
        <w:jc w:val="both"/>
        <w:rPr>
          <w:rFonts w:ascii="Times New Roman" w:eastAsia="SimSun" w:hAnsi="Times New Roman" w:cs="Times New Roman"/>
          <w:b/>
          <w:kern w:val="2"/>
          <w:sz w:val="20"/>
          <w:szCs w:val="20"/>
          <w:lang w:eastAsia="zh-CN"/>
        </w:rPr>
        <w:sectPr w:rsidR="00707B16" w:rsidSect="00707B16">
          <w:footerReference w:type="default" r:id="rId22"/>
          <w:type w:val="continuous"/>
          <w:pgSz w:w="12242" w:h="15842" w:code="1"/>
          <w:pgMar w:top="1440" w:right="1440" w:bottom="1440" w:left="1440" w:header="720" w:footer="720" w:gutter="0"/>
          <w:cols w:num="2" w:space="550"/>
          <w:docGrid w:linePitch="312"/>
        </w:sectPr>
      </w:pPr>
    </w:p>
    <w:p w:rsidR="004E1829" w:rsidRPr="001A392E" w:rsidRDefault="004E1829" w:rsidP="001A392E">
      <w:pPr>
        <w:widowControl w:val="0"/>
        <w:adjustRightInd w:val="0"/>
        <w:snapToGrid w:val="0"/>
        <w:spacing w:after="0" w:line="240" w:lineRule="auto"/>
        <w:ind w:rightChars="35" w:right="77"/>
        <w:jc w:val="both"/>
        <w:rPr>
          <w:rFonts w:ascii="Times New Roman" w:eastAsia="SimSun" w:hAnsi="Times New Roman" w:cs="Times New Roman"/>
          <w:b/>
          <w:kern w:val="2"/>
          <w:sz w:val="20"/>
          <w:szCs w:val="20"/>
          <w:lang w:eastAsia="zh-CN"/>
        </w:rPr>
      </w:pPr>
    </w:p>
    <w:p w:rsidR="004E1829" w:rsidRPr="001A392E" w:rsidRDefault="004E1829" w:rsidP="001A392E">
      <w:pPr>
        <w:widowControl w:val="0"/>
        <w:adjustRightInd w:val="0"/>
        <w:snapToGrid w:val="0"/>
        <w:spacing w:after="0" w:line="240" w:lineRule="auto"/>
        <w:ind w:rightChars="35" w:right="77"/>
        <w:jc w:val="both"/>
        <w:rPr>
          <w:rFonts w:ascii="Times New Roman" w:eastAsia="SimSun" w:hAnsi="Times New Roman" w:cs="Times New Roman"/>
          <w:b/>
          <w:kern w:val="2"/>
          <w:sz w:val="20"/>
          <w:szCs w:val="20"/>
          <w:lang w:eastAsia="zh-CN"/>
        </w:rPr>
      </w:pPr>
    </w:p>
    <w:p w:rsidR="004E1829" w:rsidRPr="001A392E" w:rsidRDefault="004E1829" w:rsidP="001A392E">
      <w:pPr>
        <w:widowControl w:val="0"/>
        <w:adjustRightInd w:val="0"/>
        <w:snapToGrid w:val="0"/>
        <w:spacing w:after="0" w:line="240" w:lineRule="auto"/>
        <w:ind w:rightChars="35" w:right="77"/>
        <w:jc w:val="both"/>
        <w:rPr>
          <w:rFonts w:ascii="Times New Roman" w:eastAsia="SimSun" w:hAnsi="Times New Roman" w:cs="Times New Roman"/>
          <w:b/>
          <w:kern w:val="2"/>
          <w:sz w:val="20"/>
          <w:szCs w:val="20"/>
          <w:lang w:eastAsia="zh-CN"/>
        </w:rPr>
      </w:pPr>
    </w:p>
    <w:p w:rsidR="004E1829" w:rsidRPr="00707B16" w:rsidRDefault="00707B16" w:rsidP="001A392E">
      <w:pPr>
        <w:widowControl w:val="0"/>
        <w:adjustRightInd w:val="0"/>
        <w:snapToGrid w:val="0"/>
        <w:spacing w:after="0" w:line="240" w:lineRule="auto"/>
        <w:ind w:rightChars="35" w:right="77"/>
        <w:jc w:val="both"/>
        <w:rPr>
          <w:rFonts w:ascii="Times New Roman" w:eastAsia="SimSun" w:hAnsi="Times New Roman" w:cs="Times New Roman"/>
          <w:kern w:val="2"/>
          <w:sz w:val="20"/>
          <w:szCs w:val="20"/>
          <w:lang w:eastAsia="zh-CN"/>
        </w:rPr>
      </w:pPr>
      <w:r w:rsidRPr="00707B16">
        <w:rPr>
          <w:rFonts w:ascii="Times New Roman" w:eastAsia="SimSun" w:hAnsi="Times New Roman" w:cs="Times New Roman"/>
          <w:kern w:val="2"/>
          <w:sz w:val="20"/>
          <w:szCs w:val="20"/>
          <w:lang w:eastAsia="zh-CN"/>
        </w:rPr>
        <w:t>4/26/2014</w:t>
      </w:r>
    </w:p>
    <w:sectPr w:rsidR="004E1829" w:rsidRPr="00707B16" w:rsidSect="00707B16">
      <w:type w:val="continuous"/>
      <w:pgSz w:w="12242" w:h="15842" w:code="1"/>
      <w:pgMar w:top="1440" w:right="1440" w:bottom="1440" w:left="1440" w:header="720" w:footer="720" w:gutter="0"/>
      <w:cols w:space="55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58B" w:rsidRDefault="0057258B" w:rsidP="0057258B">
      <w:pPr>
        <w:spacing w:after="0" w:line="240" w:lineRule="auto"/>
      </w:pPr>
      <w:r>
        <w:separator/>
      </w:r>
    </w:p>
  </w:endnote>
  <w:endnote w:type="continuationSeparator" w:id="0">
    <w:p w:rsidR="0057258B" w:rsidRDefault="0057258B" w:rsidP="0057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29" w:rsidRDefault="002F5035" w:rsidP="004E1829">
    <w:pPr>
      <w:pStyle w:val="Footer"/>
      <w:framePr w:wrap="around" w:vAnchor="text" w:hAnchor="margin" w:xAlign="center" w:y="1"/>
      <w:rPr>
        <w:rStyle w:val="PageNumber"/>
      </w:rPr>
    </w:pPr>
    <w:r>
      <w:rPr>
        <w:rStyle w:val="PageNumber"/>
      </w:rPr>
      <w:fldChar w:fldCharType="begin"/>
    </w:r>
    <w:r w:rsidR="004E1829">
      <w:rPr>
        <w:rStyle w:val="PageNumber"/>
      </w:rPr>
      <w:instrText xml:space="preserve">PAGE  </w:instrText>
    </w:r>
    <w:r>
      <w:rPr>
        <w:rStyle w:val="PageNumber"/>
      </w:rPr>
      <w:fldChar w:fldCharType="end"/>
    </w:r>
  </w:p>
  <w:p w:rsidR="004E1829" w:rsidRDefault="004E18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29" w:rsidRDefault="002F5035">
    <w:pPr>
      <w:pStyle w:val="Footer"/>
      <w:framePr w:wrap="around" w:vAnchor="text" w:hAnchor="margin" w:xAlign="center" w:y="1"/>
      <w:rPr>
        <w:rStyle w:val="PageNumber"/>
      </w:rPr>
    </w:pPr>
    <w:r>
      <w:rPr>
        <w:rStyle w:val="PageNumber"/>
      </w:rPr>
      <w:fldChar w:fldCharType="begin"/>
    </w:r>
    <w:r w:rsidR="004E1829">
      <w:rPr>
        <w:rStyle w:val="PageNumber"/>
      </w:rPr>
      <w:instrText xml:space="preserve">PAGE  </w:instrText>
    </w:r>
    <w:r>
      <w:rPr>
        <w:rStyle w:val="PageNumber"/>
      </w:rPr>
      <w:fldChar w:fldCharType="separate"/>
    </w:r>
    <w:r w:rsidR="001965CE">
      <w:rPr>
        <w:rStyle w:val="PageNumber"/>
        <w:noProof/>
      </w:rPr>
      <w:t>41</w:t>
    </w:r>
    <w:r>
      <w:rPr>
        <w:rStyle w:val="PageNumber"/>
      </w:rPr>
      <w:fldChar w:fldCharType="end"/>
    </w:r>
  </w:p>
  <w:p w:rsidR="004E1829" w:rsidRPr="00740157" w:rsidRDefault="002F5035" w:rsidP="00707B16">
    <w:pPr>
      <w:pStyle w:val="Footer"/>
      <w:rPr>
        <w:bCs/>
        <w:sz w:val="20"/>
      </w:rPr>
    </w:pPr>
    <w:hyperlink r:id="rId1" w:history="1">
      <w:r w:rsidR="004E1829" w:rsidRPr="006B1AD2">
        <w:rPr>
          <w:rStyle w:val="Hyperlink"/>
          <w:sz w:val="20"/>
          <w:szCs w:val="20"/>
        </w:rPr>
        <w:t>http://www.sciencepub.net/natrure</w:t>
      </w:r>
    </w:hyperlink>
    <w:r w:rsidR="004E1829">
      <w:rPr>
        <w:bCs/>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29" w:rsidRDefault="002F5035" w:rsidP="004E1829">
    <w:pPr>
      <w:pStyle w:val="Footer"/>
      <w:framePr w:wrap="around" w:vAnchor="text" w:hAnchor="margin" w:xAlign="center" w:y="1"/>
      <w:rPr>
        <w:rStyle w:val="PageNumber"/>
      </w:rPr>
    </w:pPr>
    <w:r>
      <w:rPr>
        <w:rStyle w:val="PageNumber"/>
      </w:rPr>
      <w:fldChar w:fldCharType="begin"/>
    </w:r>
    <w:r w:rsidR="004E1829">
      <w:rPr>
        <w:rStyle w:val="PageNumber"/>
      </w:rPr>
      <w:instrText xml:space="preserve">PAGE  </w:instrText>
    </w:r>
    <w:r>
      <w:rPr>
        <w:rStyle w:val="PageNumber"/>
      </w:rPr>
      <w:fldChar w:fldCharType="separate"/>
    </w:r>
    <w:r w:rsidR="00707B16">
      <w:rPr>
        <w:rStyle w:val="PageNumber"/>
        <w:noProof/>
      </w:rPr>
      <w:t>47</w:t>
    </w:r>
    <w:r>
      <w:rPr>
        <w:rStyle w:val="PageNumber"/>
      </w:rPr>
      <w:fldChar w:fldCharType="end"/>
    </w:r>
  </w:p>
  <w:p w:rsidR="004E1829" w:rsidRDefault="002F5035" w:rsidP="00707B16">
    <w:pPr>
      <w:pStyle w:val="Footer"/>
    </w:pPr>
    <w:hyperlink r:id="rId1" w:history="1">
      <w:r w:rsidR="004E1829" w:rsidRPr="006B1AD2">
        <w:rPr>
          <w:rStyle w:val="Hyperlink"/>
          <w:sz w:val="20"/>
          <w:szCs w:val="20"/>
        </w:rPr>
        <w:t>http://www.sciencepub.net/natrure</w:t>
      </w:r>
    </w:hyperlink>
    <w:r w:rsidR="004E1829">
      <w:rPr>
        <w:bCs/>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58B" w:rsidRDefault="0057258B" w:rsidP="0057258B">
      <w:pPr>
        <w:spacing w:after="0" w:line="240" w:lineRule="auto"/>
      </w:pPr>
      <w:r>
        <w:separator/>
      </w:r>
    </w:p>
  </w:footnote>
  <w:footnote w:type="continuationSeparator" w:id="0">
    <w:p w:rsidR="0057258B" w:rsidRDefault="0057258B" w:rsidP="00572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2E" w:rsidRPr="001A392E" w:rsidRDefault="001A392E" w:rsidP="001A392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A392E">
      <w:rPr>
        <w:rFonts w:ascii="Times New Roman" w:hAnsi="Times New Roman" w:cs="Times New Roman"/>
        <w:iCs/>
        <w:color w:val="000000"/>
        <w:sz w:val="20"/>
        <w:szCs w:val="20"/>
      </w:rPr>
      <w:tab/>
    </w:r>
    <w:r w:rsidRPr="001A392E">
      <w:rPr>
        <w:rFonts w:ascii="Times New Roman" w:hAnsi="Times New Roman" w:cs="Times New Roman"/>
        <w:sz w:val="20"/>
        <w:szCs w:val="20"/>
      </w:rPr>
      <w:t xml:space="preserve">Nature and Science 2014;12(6) </w:t>
    </w:r>
    <w:r w:rsidRPr="001A392E">
      <w:rPr>
        <w:rFonts w:ascii="Times New Roman" w:hAnsi="Times New Roman" w:cs="Times New Roman"/>
        <w:color w:val="000000"/>
        <w:sz w:val="20"/>
        <w:szCs w:val="20"/>
      </w:rPr>
      <w:t xml:space="preserve"> </w:t>
    </w:r>
    <w:r w:rsidRPr="001A392E">
      <w:rPr>
        <w:rFonts w:ascii="Times New Roman" w:hAnsi="Times New Roman" w:cs="Times New Roman"/>
        <w:color w:val="000000"/>
        <w:sz w:val="20"/>
        <w:szCs w:val="20"/>
      </w:rPr>
      <w:tab/>
      <w:t xml:space="preserve"> </w:t>
    </w:r>
    <w:hyperlink r:id="rId1" w:history="1">
      <w:r w:rsidRPr="001A392E">
        <w:rPr>
          <w:rStyle w:val="Hyperlink"/>
          <w:rFonts w:ascii="Times New Roman" w:hAnsi="Times New Roman" w:cs="Times New Roman"/>
          <w:sz w:val="20"/>
          <w:szCs w:val="20"/>
        </w:rPr>
        <w:t>http://www.sciencepub.net/nature</w:t>
      </w:r>
    </w:hyperlink>
  </w:p>
  <w:p w:rsidR="001A392E" w:rsidRPr="001A392E" w:rsidRDefault="001A392E" w:rsidP="001A392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384B5EF3"/>
    <w:multiLevelType w:val="hybridMultilevel"/>
    <w:tmpl w:val="D522F0F2"/>
    <w:lvl w:ilvl="0" w:tplc="71BCB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52487"/>
    <w:multiLevelType w:val="hybridMultilevel"/>
    <w:tmpl w:val="24342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4">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5">
    <w:nsid w:val="70360F5D"/>
    <w:multiLevelType w:val="hybridMultilevel"/>
    <w:tmpl w:val="5754AC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4E1829"/>
    <w:rsid w:val="001965CE"/>
    <w:rsid w:val="001A392E"/>
    <w:rsid w:val="0025724C"/>
    <w:rsid w:val="002F5035"/>
    <w:rsid w:val="003672EF"/>
    <w:rsid w:val="004E1829"/>
    <w:rsid w:val="0057258B"/>
    <w:rsid w:val="005B1D46"/>
    <w:rsid w:val="00707B16"/>
    <w:rsid w:val="007E030E"/>
    <w:rsid w:val="00C81E5A"/>
    <w:rsid w:val="00D53FB2"/>
    <w:rsid w:val="00E7520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8B"/>
  </w:style>
  <w:style w:type="paragraph" w:styleId="Heading1">
    <w:name w:val="heading 1"/>
    <w:basedOn w:val="Normal"/>
    <w:next w:val="Normal"/>
    <w:link w:val="Heading1Char"/>
    <w:qFormat/>
    <w:rsid w:val="004E1829"/>
    <w:pPr>
      <w:keepNext/>
      <w:keepLines/>
      <w:widowControl w:val="0"/>
      <w:snapToGrid w:val="0"/>
      <w:spacing w:before="340" w:after="330" w:line="578" w:lineRule="auto"/>
      <w:jc w:val="both"/>
      <w:outlineLvl w:val="0"/>
    </w:pPr>
    <w:rPr>
      <w:rFonts w:ascii="Times New Roman" w:eastAsia="SimSun" w:hAnsi="Times New Roman" w:cs="Times New Roman"/>
      <w:b/>
      <w:kern w:val="44"/>
      <w:sz w:val="44"/>
      <w:szCs w:val="20"/>
      <w:lang w:eastAsia="zh-CN"/>
    </w:rPr>
  </w:style>
  <w:style w:type="paragraph" w:styleId="Heading5">
    <w:name w:val="heading 5"/>
    <w:basedOn w:val="Normal"/>
    <w:next w:val="Normal"/>
    <w:link w:val="Heading5Char"/>
    <w:qFormat/>
    <w:rsid w:val="004E1829"/>
    <w:pPr>
      <w:keepNext/>
      <w:keepLines/>
      <w:widowControl w:val="0"/>
      <w:spacing w:before="280" w:after="290" w:line="376" w:lineRule="auto"/>
      <w:jc w:val="both"/>
      <w:outlineLvl w:val="4"/>
    </w:pPr>
    <w:rPr>
      <w:rFonts w:ascii="Times New Roman" w:eastAsia="SimSun" w:hAnsi="Times New Roman" w:cs="Times New Roman"/>
      <w:b/>
      <w:bCs/>
      <w:kern w:val="2"/>
      <w:sz w:val="28"/>
      <w:szCs w:val="28"/>
      <w:lang w:eastAsia="zh-CN"/>
    </w:rPr>
  </w:style>
  <w:style w:type="paragraph" w:styleId="Heading8">
    <w:name w:val="heading 8"/>
    <w:basedOn w:val="Normal"/>
    <w:next w:val="Normal"/>
    <w:link w:val="Heading8Char"/>
    <w:qFormat/>
    <w:rsid w:val="004E1829"/>
    <w:pPr>
      <w:keepNext/>
      <w:keepLines/>
      <w:widowControl w:val="0"/>
      <w:spacing w:before="240" w:after="64" w:line="320" w:lineRule="auto"/>
      <w:jc w:val="both"/>
      <w:outlineLvl w:val="7"/>
    </w:pPr>
    <w:rPr>
      <w:rFonts w:ascii="Arial" w:eastAsia="SimHei" w:hAnsi="Arial" w:cs="Times New Roman"/>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4E1829"/>
    <w:pPr>
      <w:spacing w:after="120"/>
    </w:pPr>
    <w:rPr>
      <w:sz w:val="16"/>
      <w:szCs w:val="16"/>
    </w:rPr>
  </w:style>
  <w:style w:type="character" w:customStyle="1" w:styleId="BodyText3Char">
    <w:name w:val="Body Text 3 Char"/>
    <w:basedOn w:val="DefaultParagraphFont"/>
    <w:link w:val="BodyText3"/>
    <w:uiPriority w:val="99"/>
    <w:semiHidden/>
    <w:rsid w:val="004E1829"/>
    <w:rPr>
      <w:sz w:val="16"/>
      <w:szCs w:val="16"/>
    </w:rPr>
  </w:style>
  <w:style w:type="character" w:customStyle="1" w:styleId="Heading1Char">
    <w:name w:val="Heading 1 Char"/>
    <w:basedOn w:val="DefaultParagraphFont"/>
    <w:link w:val="Heading1"/>
    <w:rsid w:val="004E1829"/>
    <w:rPr>
      <w:rFonts w:ascii="Times New Roman" w:eastAsia="SimSun" w:hAnsi="Times New Roman" w:cs="Times New Roman"/>
      <w:b/>
      <w:kern w:val="44"/>
      <w:sz w:val="44"/>
      <w:szCs w:val="20"/>
      <w:lang w:eastAsia="zh-CN"/>
    </w:rPr>
  </w:style>
  <w:style w:type="character" w:customStyle="1" w:styleId="Heading5Char">
    <w:name w:val="Heading 5 Char"/>
    <w:basedOn w:val="DefaultParagraphFont"/>
    <w:link w:val="Heading5"/>
    <w:rsid w:val="004E1829"/>
    <w:rPr>
      <w:rFonts w:ascii="Times New Roman" w:eastAsia="SimSun" w:hAnsi="Times New Roman" w:cs="Times New Roman"/>
      <w:b/>
      <w:bCs/>
      <w:kern w:val="2"/>
      <w:sz w:val="28"/>
      <w:szCs w:val="28"/>
      <w:lang w:eastAsia="zh-CN"/>
    </w:rPr>
  </w:style>
  <w:style w:type="character" w:customStyle="1" w:styleId="Heading8Char">
    <w:name w:val="Heading 8 Char"/>
    <w:basedOn w:val="DefaultParagraphFont"/>
    <w:link w:val="Heading8"/>
    <w:rsid w:val="004E1829"/>
    <w:rPr>
      <w:rFonts w:ascii="Arial" w:eastAsia="SimHei" w:hAnsi="Arial" w:cs="Times New Roman"/>
      <w:kern w:val="2"/>
      <w:sz w:val="24"/>
      <w:szCs w:val="24"/>
      <w:lang w:eastAsia="zh-CN"/>
    </w:rPr>
  </w:style>
  <w:style w:type="numbering" w:customStyle="1" w:styleId="NoList1">
    <w:name w:val="No List1"/>
    <w:next w:val="NoList"/>
    <w:semiHidden/>
    <w:rsid w:val="004E1829"/>
  </w:style>
  <w:style w:type="paragraph" w:styleId="Footer">
    <w:name w:val="footer"/>
    <w:basedOn w:val="Normal"/>
    <w:link w:val="FooterChar"/>
    <w:rsid w:val="004E1829"/>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FooterChar">
    <w:name w:val="Footer Char"/>
    <w:basedOn w:val="DefaultParagraphFont"/>
    <w:link w:val="Footer"/>
    <w:rsid w:val="004E1829"/>
    <w:rPr>
      <w:rFonts w:ascii="Times New Roman" w:eastAsia="SimSun" w:hAnsi="Times New Roman" w:cs="Times New Roman"/>
      <w:kern w:val="2"/>
      <w:sz w:val="18"/>
      <w:szCs w:val="18"/>
      <w:lang w:eastAsia="zh-CN"/>
    </w:rPr>
  </w:style>
  <w:style w:type="character" w:styleId="PageNumber">
    <w:name w:val="page number"/>
    <w:basedOn w:val="DefaultParagraphFont"/>
    <w:rsid w:val="004E1829"/>
  </w:style>
  <w:style w:type="paragraph" w:styleId="Header">
    <w:name w:val="header"/>
    <w:basedOn w:val="Normal"/>
    <w:link w:val="HeaderChar"/>
    <w:rsid w:val="004E1829"/>
    <w:pPr>
      <w:widowControl w:val="0"/>
      <w:pBdr>
        <w:bottom w:val="single" w:sz="6" w:space="1" w:color="auto"/>
      </w:pBdr>
      <w:tabs>
        <w:tab w:val="center" w:pos="4153"/>
        <w:tab w:val="right" w:pos="8306"/>
      </w:tabs>
      <w:snapToGrid w:val="0"/>
      <w:spacing w:after="0" w:line="240" w:lineRule="auto"/>
      <w:jc w:val="center"/>
    </w:pPr>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rsid w:val="004E1829"/>
    <w:rPr>
      <w:rFonts w:ascii="Times New Roman" w:eastAsia="SimSun" w:hAnsi="Times New Roman" w:cs="Times New Roman"/>
      <w:kern w:val="2"/>
      <w:sz w:val="18"/>
      <w:szCs w:val="18"/>
      <w:lang w:eastAsia="zh-CN"/>
    </w:rPr>
  </w:style>
  <w:style w:type="paragraph" w:styleId="BodyText">
    <w:name w:val="Body Text"/>
    <w:basedOn w:val="Normal"/>
    <w:link w:val="BodyTextChar"/>
    <w:rsid w:val="004E1829"/>
    <w:pPr>
      <w:widowControl w:val="0"/>
      <w:spacing w:after="0" w:line="240" w:lineRule="auto"/>
      <w:jc w:val="both"/>
    </w:pPr>
    <w:rPr>
      <w:rFonts w:ascii="Times New Roman" w:eastAsia="SimSun" w:hAnsi="Times New Roman" w:cs="Times New Roman"/>
      <w:kern w:val="2"/>
      <w:sz w:val="24"/>
      <w:szCs w:val="24"/>
      <w:lang w:eastAsia="zh-CN"/>
    </w:rPr>
  </w:style>
  <w:style w:type="character" w:customStyle="1" w:styleId="BodyTextChar">
    <w:name w:val="Body Text Char"/>
    <w:basedOn w:val="DefaultParagraphFont"/>
    <w:link w:val="BodyText"/>
    <w:rsid w:val="004E1829"/>
    <w:rPr>
      <w:rFonts w:ascii="Times New Roman" w:eastAsia="SimSun" w:hAnsi="Times New Roman" w:cs="Times New Roman"/>
      <w:kern w:val="2"/>
      <w:sz w:val="24"/>
      <w:szCs w:val="24"/>
      <w:lang w:eastAsia="zh-CN"/>
    </w:rPr>
  </w:style>
  <w:style w:type="paragraph" w:styleId="NormalIndent">
    <w:name w:val="Normal Indent"/>
    <w:basedOn w:val="Normal"/>
    <w:rsid w:val="004E1829"/>
    <w:pPr>
      <w:widowControl w:val="0"/>
      <w:snapToGrid w:val="0"/>
      <w:spacing w:after="0" w:line="300" w:lineRule="auto"/>
      <w:ind w:firstLine="420"/>
      <w:jc w:val="both"/>
    </w:pPr>
    <w:rPr>
      <w:rFonts w:ascii="Times New Roman" w:eastAsia="SimSun" w:hAnsi="Times New Roman" w:cs="Times New Roman"/>
      <w:kern w:val="2"/>
      <w:sz w:val="24"/>
      <w:szCs w:val="20"/>
      <w:lang w:eastAsia="zh-CN"/>
    </w:rPr>
  </w:style>
  <w:style w:type="paragraph" w:styleId="Caption">
    <w:name w:val="caption"/>
    <w:basedOn w:val="Normal"/>
    <w:next w:val="Normal"/>
    <w:qFormat/>
    <w:rsid w:val="004E1829"/>
    <w:pPr>
      <w:widowControl w:val="0"/>
      <w:spacing w:after="0" w:line="240" w:lineRule="auto"/>
      <w:jc w:val="both"/>
    </w:pPr>
    <w:rPr>
      <w:rFonts w:ascii="Times New Roman" w:eastAsia="SimSun" w:hAnsi="Times New Roman" w:cs="Times New Roman"/>
      <w:b/>
      <w:bCs/>
      <w:noProof/>
      <w:kern w:val="2"/>
      <w:sz w:val="20"/>
      <w:szCs w:val="24"/>
      <w:lang w:eastAsia="zh-CN"/>
    </w:rPr>
  </w:style>
  <w:style w:type="paragraph" w:customStyle="1" w:styleId="Preformatted">
    <w:name w:val="Preformatted"/>
    <w:basedOn w:val="Normal"/>
    <w:rsid w:val="004E18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SimSun" w:hAnsi="Courier New" w:cs="Times New Roman"/>
      <w:sz w:val="20"/>
      <w:szCs w:val="20"/>
      <w:lang w:eastAsia="zh-CN"/>
    </w:rPr>
  </w:style>
  <w:style w:type="paragraph" w:styleId="BodyTextIndent">
    <w:name w:val="Body Text Indent"/>
    <w:basedOn w:val="Normal"/>
    <w:link w:val="BodyTextIndentChar"/>
    <w:rsid w:val="004E1829"/>
    <w:pPr>
      <w:widowControl w:val="0"/>
      <w:spacing w:after="120" w:line="240" w:lineRule="auto"/>
      <w:ind w:leftChars="200" w:left="420"/>
      <w:jc w:val="both"/>
    </w:pPr>
    <w:rPr>
      <w:rFonts w:ascii="Times New Roman" w:eastAsia="SimSun" w:hAnsi="Times New Roman" w:cs="Times New Roman"/>
      <w:kern w:val="2"/>
      <w:sz w:val="21"/>
      <w:szCs w:val="24"/>
      <w:lang w:eastAsia="zh-CN"/>
    </w:rPr>
  </w:style>
  <w:style w:type="character" w:customStyle="1" w:styleId="BodyTextIndentChar">
    <w:name w:val="Body Text Indent Char"/>
    <w:basedOn w:val="DefaultParagraphFont"/>
    <w:link w:val="BodyTextIndent"/>
    <w:rsid w:val="004E1829"/>
    <w:rPr>
      <w:rFonts w:ascii="Times New Roman" w:eastAsia="SimSun" w:hAnsi="Times New Roman" w:cs="Times New Roman"/>
      <w:kern w:val="2"/>
      <w:sz w:val="21"/>
      <w:szCs w:val="24"/>
      <w:lang w:eastAsia="zh-CN"/>
    </w:rPr>
  </w:style>
  <w:style w:type="paragraph" w:styleId="BodyTextIndent2">
    <w:name w:val="Body Text Indent 2"/>
    <w:basedOn w:val="Normal"/>
    <w:link w:val="BodyTextIndent2Char"/>
    <w:rsid w:val="004E1829"/>
    <w:pPr>
      <w:widowControl w:val="0"/>
      <w:spacing w:after="120" w:line="480" w:lineRule="auto"/>
      <w:ind w:leftChars="200" w:left="420"/>
      <w:jc w:val="both"/>
    </w:pPr>
    <w:rPr>
      <w:rFonts w:ascii="Times New Roman" w:eastAsia="SimSun" w:hAnsi="Times New Roman" w:cs="Times New Roman"/>
      <w:kern w:val="2"/>
      <w:sz w:val="21"/>
      <w:szCs w:val="24"/>
      <w:lang w:eastAsia="zh-CN"/>
    </w:rPr>
  </w:style>
  <w:style w:type="character" w:customStyle="1" w:styleId="BodyTextIndent2Char">
    <w:name w:val="Body Text Indent 2 Char"/>
    <w:basedOn w:val="DefaultParagraphFont"/>
    <w:link w:val="BodyTextIndent2"/>
    <w:rsid w:val="004E1829"/>
    <w:rPr>
      <w:rFonts w:ascii="Times New Roman" w:eastAsia="SimSun" w:hAnsi="Times New Roman" w:cs="Times New Roman"/>
      <w:kern w:val="2"/>
      <w:sz w:val="21"/>
      <w:szCs w:val="24"/>
      <w:lang w:eastAsia="zh-CN"/>
    </w:rPr>
  </w:style>
  <w:style w:type="paragraph" w:styleId="BodyTextIndent3">
    <w:name w:val="Body Text Indent 3"/>
    <w:basedOn w:val="Normal"/>
    <w:link w:val="BodyTextIndent3Char"/>
    <w:rsid w:val="004E1829"/>
    <w:pPr>
      <w:widowControl w:val="0"/>
      <w:spacing w:after="120" w:line="240" w:lineRule="auto"/>
      <w:ind w:leftChars="200" w:left="420"/>
      <w:jc w:val="both"/>
    </w:pPr>
    <w:rPr>
      <w:rFonts w:ascii="Times New Roman" w:eastAsia="SimSun" w:hAnsi="Times New Roman" w:cs="Times New Roman"/>
      <w:kern w:val="2"/>
      <w:sz w:val="16"/>
      <w:szCs w:val="16"/>
      <w:lang w:eastAsia="zh-CN"/>
    </w:rPr>
  </w:style>
  <w:style w:type="character" w:customStyle="1" w:styleId="BodyTextIndent3Char">
    <w:name w:val="Body Text Indent 3 Char"/>
    <w:basedOn w:val="DefaultParagraphFont"/>
    <w:link w:val="BodyTextIndent3"/>
    <w:rsid w:val="004E1829"/>
    <w:rPr>
      <w:rFonts w:ascii="Times New Roman" w:eastAsia="SimSun" w:hAnsi="Times New Roman" w:cs="Times New Roman"/>
      <w:kern w:val="2"/>
      <w:sz w:val="16"/>
      <w:szCs w:val="16"/>
      <w:lang w:eastAsia="zh-CN"/>
    </w:rPr>
  </w:style>
  <w:style w:type="paragraph" w:styleId="BodyText2">
    <w:name w:val="Body Text 2"/>
    <w:basedOn w:val="Normal"/>
    <w:link w:val="BodyText2Char"/>
    <w:rsid w:val="004E1829"/>
    <w:pPr>
      <w:widowControl w:val="0"/>
      <w:spacing w:after="0" w:line="240" w:lineRule="auto"/>
      <w:jc w:val="center"/>
    </w:pPr>
    <w:rPr>
      <w:rFonts w:ascii="Times New Roman" w:eastAsia="SimSun" w:hAnsi="Times New Roman" w:cs="Times New Roman"/>
      <w:b/>
      <w:bCs/>
      <w:kern w:val="2"/>
      <w:sz w:val="32"/>
      <w:szCs w:val="24"/>
      <w:lang w:eastAsia="zh-CN"/>
    </w:rPr>
  </w:style>
  <w:style w:type="character" w:customStyle="1" w:styleId="BodyText2Char">
    <w:name w:val="Body Text 2 Char"/>
    <w:basedOn w:val="DefaultParagraphFont"/>
    <w:link w:val="BodyText2"/>
    <w:rsid w:val="004E1829"/>
    <w:rPr>
      <w:rFonts w:ascii="Times New Roman" w:eastAsia="SimSun" w:hAnsi="Times New Roman" w:cs="Times New Roman"/>
      <w:b/>
      <w:bCs/>
      <w:kern w:val="2"/>
      <w:sz w:val="32"/>
      <w:szCs w:val="24"/>
      <w:lang w:eastAsia="zh-CN"/>
    </w:rPr>
  </w:style>
  <w:style w:type="character" w:styleId="Hyperlink">
    <w:name w:val="Hyperlink"/>
    <w:basedOn w:val="DefaultParagraphFont"/>
    <w:uiPriority w:val="99"/>
    <w:rsid w:val="004E1829"/>
    <w:rPr>
      <w:color w:val="0000FF"/>
      <w:u w:val="single"/>
    </w:rPr>
  </w:style>
  <w:style w:type="paragraph" w:customStyle="1" w:styleId="Text">
    <w:name w:val="Text"/>
    <w:basedOn w:val="Normal"/>
    <w:rsid w:val="004E1829"/>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character" w:customStyle="1" w:styleId="lg1">
    <w:name w:val="lg1"/>
    <w:basedOn w:val="DefaultParagraphFont"/>
    <w:rsid w:val="004E1829"/>
    <w:rPr>
      <w:color w:val="888888"/>
    </w:rPr>
  </w:style>
  <w:style w:type="paragraph" w:styleId="NormalWeb">
    <w:name w:val="Normal (Web)"/>
    <w:basedOn w:val="Normal"/>
    <w:rsid w:val="004E18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4E1829"/>
    <w:rPr>
      <w:i/>
      <w:iCs/>
    </w:rPr>
  </w:style>
  <w:style w:type="character" w:customStyle="1" w:styleId="ti2">
    <w:name w:val="ti2"/>
    <w:basedOn w:val="DefaultParagraphFont"/>
    <w:rsid w:val="004E1829"/>
    <w:rPr>
      <w:sz w:val="22"/>
      <w:szCs w:val="22"/>
    </w:rPr>
  </w:style>
  <w:style w:type="character" w:customStyle="1" w:styleId="ti">
    <w:name w:val="ti"/>
    <w:basedOn w:val="DefaultParagraphFont"/>
    <w:rsid w:val="004E1829"/>
  </w:style>
  <w:style w:type="character" w:customStyle="1" w:styleId="maintextbldleft1">
    <w:name w:val="maintextbldleft1"/>
    <w:basedOn w:val="DefaultParagraphFont"/>
    <w:rsid w:val="004E1829"/>
    <w:rPr>
      <w:rFonts w:ascii="Arial" w:hAnsi="Arial" w:cs="Arial" w:hint="default"/>
      <w:b/>
      <w:bCs/>
      <w:strike w:val="0"/>
      <w:dstrike w:val="0"/>
      <w:color w:val="000000"/>
      <w:sz w:val="18"/>
      <w:szCs w:val="18"/>
      <w:u w:val="none"/>
      <w:effect w:val="none"/>
    </w:rPr>
  </w:style>
  <w:style w:type="paragraph" w:styleId="BalloonText">
    <w:name w:val="Balloon Text"/>
    <w:basedOn w:val="Normal"/>
    <w:link w:val="BalloonTextChar"/>
    <w:uiPriority w:val="99"/>
    <w:semiHidden/>
    <w:unhideWhenUsed/>
    <w:rsid w:val="004E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29"/>
    <w:rPr>
      <w:rFonts w:ascii="Tahoma" w:hAnsi="Tahoma" w:cs="Tahoma"/>
      <w:sz w:val="16"/>
      <w:szCs w:val="16"/>
    </w:rPr>
  </w:style>
  <w:style w:type="paragraph" w:styleId="ListParagraph">
    <w:name w:val="List Paragraph"/>
    <w:basedOn w:val="Normal"/>
    <w:uiPriority w:val="34"/>
    <w:qFormat/>
    <w:rsid w:val="00707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1829"/>
    <w:pPr>
      <w:keepNext/>
      <w:keepLines/>
      <w:widowControl w:val="0"/>
      <w:snapToGrid w:val="0"/>
      <w:spacing w:before="340" w:after="330" w:line="578" w:lineRule="auto"/>
      <w:jc w:val="both"/>
      <w:outlineLvl w:val="0"/>
    </w:pPr>
    <w:rPr>
      <w:rFonts w:ascii="Times New Roman" w:eastAsia="SimSun" w:hAnsi="Times New Roman" w:cs="Times New Roman"/>
      <w:b/>
      <w:kern w:val="44"/>
      <w:sz w:val="44"/>
      <w:szCs w:val="20"/>
      <w:lang w:eastAsia="zh-CN"/>
    </w:rPr>
  </w:style>
  <w:style w:type="paragraph" w:styleId="Heading5">
    <w:name w:val="heading 5"/>
    <w:basedOn w:val="Normal"/>
    <w:next w:val="Normal"/>
    <w:link w:val="Heading5Char"/>
    <w:qFormat/>
    <w:rsid w:val="004E1829"/>
    <w:pPr>
      <w:keepNext/>
      <w:keepLines/>
      <w:widowControl w:val="0"/>
      <w:spacing w:before="280" w:after="290" w:line="376" w:lineRule="auto"/>
      <w:jc w:val="both"/>
      <w:outlineLvl w:val="4"/>
    </w:pPr>
    <w:rPr>
      <w:rFonts w:ascii="Times New Roman" w:eastAsia="SimSun" w:hAnsi="Times New Roman" w:cs="Times New Roman"/>
      <w:b/>
      <w:bCs/>
      <w:kern w:val="2"/>
      <w:sz w:val="28"/>
      <w:szCs w:val="28"/>
      <w:lang w:eastAsia="zh-CN"/>
    </w:rPr>
  </w:style>
  <w:style w:type="paragraph" w:styleId="Heading8">
    <w:name w:val="heading 8"/>
    <w:basedOn w:val="Normal"/>
    <w:next w:val="Normal"/>
    <w:link w:val="Heading8Char"/>
    <w:qFormat/>
    <w:rsid w:val="004E1829"/>
    <w:pPr>
      <w:keepNext/>
      <w:keepLines/>
      <w:widowControl w:val="0"/>
      <w:spacing w:before="240" w:after="64" w:line="320" w:lineRule="auto"/>
      <w:jc w:val="both"/>
      <w:outlineLvl w:val="7"/>
    </w:pPr>
    <w:rPr>
      <w:rFonts w:ascii="Arial" w:eastAsia="SimHei" w:hAnsi="Arial" w:cs="Times New Roman"/>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4E1829"/>
    <w:pPr>
      <w:spacing w:after="120"/>
    </w:pPr>
    <w:rPr>
      <w:sz w:val="16"/>
      <w:szCs w:val="16"/>
    </w:rPr>
  </w:style>
  <w:style w:type="character" w:customStyle="1" w:styleId="BodyText3Char">
    <w:name w:val="Body Text 3 Char"/>
    <w:basedOn w:val="DefaultParagraphFont"/>
    <w:link w:val="BodyText3"/>
    <w:uiPriority w:val="99"/>
    <w:semiHidden/>
    <w:rsid w:val="004E1829"/>
    <w:rPr>
      <w:sz w:val="16"/>
      <w:szCs w:val="16"/>
    </w:rPr>
  </w:style>
  <w:style w:type="character" w:customStyle="1" w:styleId="Heading1Char">
    <w:name w:val="Heading 1 Char"/>
    <w:basedOn w:val="DefaultParagraphFont"/>
    <w:link w:val="Heading1"/>
    <w:rsid w:val="004E1829"/>
    <w:rPr>
      <w:rFonts w:ascii="Times New Roman" w:eastAsia="SimSun" w:hAnsi="Times New Roman" w:cs="Times New Roman"/>
      <w:b/>
      <w:kern w:val="44"/>
      <w:sz w:val="44"/>
      <w:szCs w:val="20"/>
      <w:lang w:eastAsia="zh-CN"/>
    </w:rPr>
  </w:style>
  <w:style w:type="character" w:customStyle="1" w:styleId="Heading5Char">
    <w:name w:val="Heading 5 Char"/>
    <w:basedOn w:val="DefaultParagraphFont"/>
    <w:link w:val="Heading5"/>
    <w:rsid w:val="004E1829"/>
    <w:rPr>
      <w:rFonts w:ascii="Times New Roman" w:eastAsia="SimSun" w:hAnsi="Times New Roman" w:cs="Times New Roman"/>
      <w:b/>
      <w:bCs/>
      <w:kern w:val="2"/>
      <w:sz w:val="28"/>
      <w:szCs w:val="28"/>
      <w:lang w:eastAsia="zh-CN"/>
    </w:rPr>
  </w:style>
  <w:style w:type="character" w:customStyle="1" w:styleId="Heading8Char">
    <w:name w:val="Heading 8 Char"/>
    <w:basedOn w:val="DefaultParagraphFont"/>
    <w:link w:val="Heading8"/>
    <w:rsid w:val="004E1829"/>
    <w:rPr>
      <w:rFonts w:ascii="Arial" w:eastAsia="SimHei" w:hAnsi="Arial" w:cs="Times New Roman"/>
      <w:kern w:val="2"/>
      <w:sz w:val="24"/>
      <w:szCs w:val="24"/>
      <w:lang w:eastAsia="zh-CN"/>
    </w:rPr>
  </w:style>
  <w:style w:type="numbering" w:customStyle="1" w:styleId="NoList1">
    <w:name w:val="No List1"/>
    <w:next w:val="NoList"/>
    <w:semiHidden/>
    <w:rsid w:val="004E1829"/>
  </w:style>
  <w:style w:type="paragraph" w:styleId="Footer">
    <w:name w:val="footer"/>
    <w:basedOn w:val="Normal"/>
    <w:link w:val="FooterChar"/>
    <w:rsid w:val="004E1829"/>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FooterChar">
    <w:name w:val="Footer Char"/>
    <w:basedOn w:val="DefaultParagraphFont"/>
    <w:link w:val="Footer"/>
    <w:rsid w:val="004E1829"/>
    <w:rPr>
      <w:rFonts w:ascii="Times New Roman" w:eastAsia="SimSun" w:hAnsi="Times New Roman" w:cs="Times New Roman"/>
      <w:kern w:val="2"/>
      <w:sz w:val="18"/>
      <w:szCs w:val="18"/>
      <w:lang w:eastAsia="zh-CN"/>
    </w:rPr>
  </w:style>
  <w:style w:type="character" w:styleId="PageNumber">
    <w:name w:val="page number"/>
    <w:basedOn w:val="DefaultParagraphFont"/>
    <w:rsid w:val="004E1829"/>
  </w:style>
  <w:style w:type="paragraph" w:styleId="Header">
    <w:name w:val="header"/>
    <w:basedOn w:val="Normal"/>
    <w:link w:val="HeaderChar"/>
    <w:rsid w:val="004E1829"/>
    <w:pPr>
      <w:widowControl w:val="0"/>
      <w:pBdr>
        <w:bottom w:val="single" w:sz="6" w:space="1" w:color="auto"/>
      </w:pBdr>
      <w:tabs>
        <w:tab w:val="center" w:pos="4153"/>
        <w:tab w:val="right" w:pos="8306"/>
      </w:tabs>
      <w:snapToGrid w:val="0"/>
      <w:spacing w:after="0" w:line="240" w:lineRule="auto"/>
      <w:jc w:val="center"/>
    </w:pPr>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rsid w:val="004E1829"/>
    <w:rPr>
      <w:rFonts w:ascii="Times New Roman" w:eastAsia="SimSun" w:hAnsi="Times New Roman" w:cs="Times New Roman"/>
      <w:kern w:val="2"/>
      <w:sz w:val="18"/>
      <w:szCs w:val="18"/>
      <w:lang w:eastAsia="zh-CN"/>
    </w:rPr>
  </w:style>
  <w:style w:type="paragraph" w:styleId="BodyText">
    <w:name w:val="Body Text"/>
    <w:basedOn w:val="Normal"/>
    <w:link w:val="BodyTextChar"/>
    <w:rsid w:val="004E1829"/>
    <w:pPr>
      <w:widowControl w:val="0"/>
      <w:spacing w:after="0" w:line="240" w:lineRule="auto"/>
      <w:jc w:val="both"/>
    </w:pPr>
    <w:rPr>
      <w:rFonts w:ascii="Times New Roman" w:eastAsia="SimSun" w:hAnsi="Times New Roman" w:cs="Times New Roman"/>
      <w:kern w:val="2"/>
      <w:sz w:val="24"/>
      <w:szCs w:val="24"/>
      <w:lang w:eastAsia="zh-CN"/>
    </w:rPr>
  </w:style>
  <w:style w:type="character" w:customStyle="1" w:styleId="BodyTextChar">
    <w:name w:val="Body Text Char"/>
    <w:basedOn w:val="DefaultParagraphFont"/>
    <w:link w:val="BodyText"/>
    <w:rsid w:val="004E1829"/>
    <w:rPr>
      <w:rFonts w:ascii="Times New Roman" w:eastAsia="SimSun" w:hAnsi="Times New Roman" w:cs="Times New Roman"/>
      <w:kern w:val="2"/>
      <w:sz w:val="24"/>
      <w:szCs w:val="24"/>
      <w:lang w:eastAsia="zh-CN"/>
    </w:rPr>
  </w:style>
  <w:style w:type="paragraph" w:styleId="NormalIndent">
    <w:name w:val="Normal Indent"/>
    <w:basedOn w:val="Normal"/>
    <w:rsid w:val="004E1829"/>
    <w:pPr>
      <w:widowControl w:val="0"/>
      <w:snapToGrid w:val="0"/>
      <w:spacing w:after="0" w:line="300" w:lineRule="auto"/>
      <w:ind w:firstLine="420"/>
      <w:jc w:val="both"/>
    </w:pPr>
    <w:rPr>
      <w:rFonts w:ascii="Times New Roman" w:eastAsia="SimSun" w:hAnsi="Times New Roman" w:cs="Times New Roman"/>
      <w:kern w:val="2"/>
      <w:sz w:val="24"/>
      <w:szCs w:val="20"/>
      <w:lang w:eastAsia="zh-CN"/>
    </w:rPr>
  </w:style>
  <w:style w:type="paragraph" w:styleId="Caption">
    <w:name w:val="caption"/>
    <w:basedOn w:val="Normal"/>
    <w:next w:val="Normal"/>
    <w:qFormat/>
    <w:rsid w:val="004E1829"/>
    <w:pPr>
      <w:widowControl w:val="0"/>
      <w:spacing w:after="0" w:line="240" w:lineRule="auto"/>
      <w:jc w:val="both"/>
    </w:pPr>
    <w:rPr>
      <w:rFonts w:ascii="Times New Roman" w:eastAsia="SimSun" w:hAnsi="Times New Roman" w:cs="Times New Roman"/>
      <w:b/>
      <w:bCs/>
      <w:noProof/>
      <w:kern w:val="2"/>
      <w:sz w:val="20"/>
      <w:szCs w:val="24"/>
      <w:lang w:eastAsia="zh-CN"/>
    </w:rPr>
  </w:style>
  <w:style w:type="paragraph" w:customStyle="1" w:styleId="Preformatted">
    <w:name w:val="Preformatted"/>
    <w:basedOn w:val="Normal"/>
    <w:rsid w:val="004E18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SimSun" w:hAnsi="Courier New" w:cs="Times New Roman"/>
      <w:sz w:val="20"/>
      <w:szCs w:val="20"/>
      <w:lang w:eastAsia="zh-CN"/>
    </w:rPr>
  </w:style>
  <w:style w:type="paragraph" w:styleId="BodyTextIndent">
    <w:name w:val="Body Text Indent"/>
    <w:basedOn w:val="Normal"/>
    <w:link w:val="BodyTextIndentChar"/>
    <w:rsid w:val="004E1829"/>
    <w:pPr>
      <w:widowControl w:val="0"/>
      <w:spacing w:after="120" w:line="240" w:lineRule="auto"/>
      <w:ind w:leftChars="200" w:left="420"/>
      <w:jc w:val="both"/>
    </w:pPr>
    <w:rPr>
      <w:rFonts w:ascii="Times New Roman" w:eastAsia="SimSun" w:hAnsi="Times New Roman" w:cs="Times New Roman"/>
      <w:kern w:val="2"/>
      <w:sz w:val="21"/>
      <w:szCs w:val="24"/>
      <w:lang w:eastAsia="zh-CN"/>
    </w:rPr>
  </w:style>
  <w:style w:type="character" w:customStyle="1" w:styleId="BodyTextIndentChar">
    <w:name w:val="Body Text Indent Char"/>
    <w:basedOn w:val="DefaultParagraphFont"/>
    <w:link w:val="BodyTextIndent"/>
    <w:rsid w:val="004E1829"/>
    <w:rPr>
      <w:rFonts w:ascii="Times New Roman" w:eastAsia="SimSun" w:hAnsi="Times New Roman" w:cs="Times New Roman"/>
      <w:kern w:val="2"/>
      <w:sz w:val="21"/>
      <w:szCs w:val="24"/>
      <w:lang w:eastAsia="zh-CN"/>
    </w:rPr>
  </w:style>
  <w:style w:type="paragraph" w:styleId="BodyTextIndent2">
    <w:name w:val="Body Text Indent 2"/>
    <w:basedOn w:val="Normal"/>
    <w:link w:val="BodyTextIndent2Char"/>
    <w:rsid w:val="004E1829"/>
    <w:pPr>
      <w:widowControl w:val="0"/>
      <w:spacing w:after="120" w:line="480" w:lineRule="auto"/>
      <w:ind w:leftChars="200" w:left="420"/>
      <w:jc w:val="both"/>
    </w:pPr>
    <w:rPr>
      <w:rFonts w:ascii="Times New Roman" w:eastAsia="SimSun" w:hAnsi="Times New Roman" w:cs="Times New Roman"/>
      <w:kern w:val="2"/>
      <w:sz w:val="21"/>
      <w:szCs w:val="24"/>
      <w:lang w:eastAsia="zh-CN"/>
    </w:rPr>
  </w:style>
  <w:style w:type="character" w:customStyle="1" w:styleId="BodyTextIndent2Char">
    <w:name w:val="Body Text Indent 2 Char"/>
    <w:basedOn w:val="DefaultParagraphFont"/>
    <w:link w:val="BodyTextIndent2"/>
    <w:rsid w:val="004E1829"/>
    <w:rPr>
      <w:rFonts w:ascii="Times New Roman" w:eastAsia="SimSun" w:hAnsi="Times New Roman" w:cs="Times New Roman"/>
      <w:kern w:val="2"/>
      <w:sz w:val="21"/>
      <w:szCs w:val="24"/>
      <w:lang w:eastAsia="zh-CN"/>
    </w:rPr>
  </w:style>
  <w:style w:type="paragraph" w:styleId="BodyTextIndent3">
    <w:name w:val="Body Text Indent 3"/>
    <w:basedOn w:val="Normal"/>
    <w:link w:val="BodyTextIndent3Char"/>
    <w:rsid w:val="004E1829"/>
    <w:pPr>
      <w:widowControl w:val="0"/>
      <w:spacing w:after="120" w:line="240" w:lineRule="auto"/>
      <w:ind w:leftChars="200" w:left="420"/>
      <w:jc w:val="both"/>
    </w:pPr>
    <w:rPr>
      <w:rFonts w:ascii="Times New Roman" w:eastAsia="SimSun" w:hAnsi="Times New Roman" w:cs="Times New Roman"/>
      <w:kern w:val="2"/>
      <w:sz w:val="16"/>
      <w:szCs w:val="16"/>
      <w:lang w:eastAsia="zh-CN"/>
    </w:rPr>
  </w:style>
  <w:style w:type="character" w:customStyle="1" w:styleId="BodyTextIndent3Char">
    <w:name w:val="Body Text Indent 3 Char"/>
    <w:basedOn w:val="DefaultParagraphFont"/>
    <w:link w:val="BodyTextIndent3"/>
    <w:rsid w:val="004E1829"/>
    <w:rPr>
      <w:rFonts w:ascii="Times New Roman" w:eastAsia="SimSun" w:hAnsi="Times New Roman" w:cs="Times New Roman"/>
      <w:kern w:val="2"/>
      <w:sz w:val="16"/>
      <w:szCs w:val="16"/>
      <w:lang w:eastAsia="zh-CN"/>
    </w:rPr>
  </w:style>
  <w:style w:type="paragraph" w:styleId="BodyText2">
    <w:name w:val="Body Text 2"/>
    <w:basedOn w:val="Normal"/>
    <w:link w:val="BodyText2Char"/>
    <w:rsid w:val="004E1829"/>
    <w:pPr>
      <w:widowControl w:val="0"/>
      <w:spacing w:after="0" w:line="240" w:lineRule="auto"/>
      <w:jc w:val="center"/>
    </w:pPr>
    <w:rPr>
      <w:rFonts w:ascii="Times New Roman" w:eastAsia="SimSun" w:hAnsi="Times New Roman" w:cs="Times New Roman"/>
      <w:b/>
      <w:bCs/>
      <w:kern w:val="2"/>
      <w:sz w:val="32"/>
      <w:szCs w:val="24"/>
      <w:lang w:eastAsia="zh-CN"/>
    </w:rPr>
  </w:style>
  <w:style w:type="character" w:customStyle="1" w:styleId="BodyText2Char">
    <w:name w:val="Body Text 2 Char"/>
    <w:basedOn w:val="DefaultParagraphFont"/>
    <w:link w:val="BodyText2"/>
    <w:rsid w:val="004E1829"/>
    <w:rPr>
      <w:rFonts w:ascii="Times New Roman" w:eastAsia="SimSun" w:hAnsi="Times New Roman" w:cs="Times New Roman"/>
      <w:b/>
      <w:bCs/>
      <w:kern w:val="2"/>
      <w:sz w:val="32"/>
      <w:szCs w:val="24"/>
      <w:lang w:eastAsia="zh-CN"/>
    </w:rPr>
  </w:style>
  <w:style w:type="character" w:styleId="Hyperlink">
    <w:name w:val="Hyperlink"/>
    <w:basedOn w:val="DefaultParagraphFont"/>
    <w:rsid w:val="004E1829"/>
    <w:rPr>
      <w:color w:val="0000FF"/>
      <w:u w:val="single"/>
    </w:rPr>
  </w:style>
  <w:style w:type="paragraph" w:customStyle="1" w:styleId="Text">
    <w:name w:val="Text"/>
    <w:basedOn w:val="Normal"/>
    <w:rsid w:val="004E1829"/>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character" w:customStyle="1" w:styleId="lg1">
    <w:name w:val="lg1"/>
    <w:basedOn w:val="DefaultParagraphFont"/>
    <w:rsid w:val="004E1829"/>
    <w:rPr>
      <w:color w:val="888888"/>
    </w:rPr>
  </w:style>
  <w:style w:type="paragraph" w:styleId="NormalWeb">
    <w:name w:val="Normal (Web)"/>
    <w:basedOn w:val="Normal"/>
    <w:rsid w:val="004E18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4E1829"/>
    <w:rPr>
      <w:i/>
      <w:iCs/>
    </w:rPr>
  </w:style>
  <w:style w:type="character" w:customStyle="1" w:styleId="ti2">
    <w:name w:val="ti2"/>
    <w:basedOn w:val="DefaultParagraphFont"/>
    <w:rsid w:val="004E1829"/>
    <w:rPr>
      <w:sz w:val="22"/>
      <w:szCs w:val="22"/>
    </w:rPr>
  </w:style>
  <w:style w:type="character" w:customStyle="1" w:styleId="ti">
    <w:name w:val="ti"/>
    <w:basedOn w:val="DefaultParagraphFont"/>
    <w:rsid w:val="004E1829"/>
  </w:style>
  <w:style w:type="character" w:customStyle="1" w:styleId="maintextbldleft1">
    <w:name w:val="maintextbldleft1"/>
    <w:basedOn w:val="DefaultParagraphFont"/>
    <w:rsid w:val="004E1829"/>
    <w:rPr>
      <w:rFonts w:ascii="Arial" w:hAnsi="Arial" w:cs="Arial" w:hint="default"/>
      <w:b/>
      <w:bCs/>
      <w:strike w:val="0"/>
      <w:dstrike w:val="0"/>
      <w:color w:val="000000"/>
      <w:sz w:val="18"/>
      <w:szCs w:val="18"/>
      <w:u w:val="none"/>
      <w:effect w:val="none"/>
    </w:rPr>
  </w:style>
  <w:style w:type="paragraph" w:styleId="BalloonText">
    <w:name w:val="Balloon Text"/>
    <w:basedOn w:val="Normal"/>
    <w:link w:val="BalloonTextChar"/>
    <w:uiPriority w:val="99"/>
    <w:semiHidden/>
    <w:unhideWhenUsed/>
    <w:rsid w:val="004E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mailto:ashorengy@yahoo.com" TargetMode="External"/><Relationship Id="rId7" Type="http://schemas.openxmlformats.org/officeDocument/2006/relationships/hyperlink" Target="http://www.sciencepub.net/nature" TargetMode="External"/><Relationship Id="rId12" Type="http://schemas.openxmlformats.org/officeDocument/2006/relationships/image" Target="media/image2.emf"/><Relationship Id="rId17" Type="http://schemas.openxmlformats.org/officeDocument/2006/relationships/image" Target="media/image7.emf"/><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atrur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ciencepub.net/natr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Administrator</cp:lastModifiedBy>
  <cp:revision>5</cp:revision>
  <dcterms:created xsi:type="dcterms:W3CDTF">2014-04-29T05:14:00Z</dcterms:created>
  <dcterms:modified xsi:type="dcterms:W3CDTF">2014-05-04T07:20:00Z</dcterms:modified>
</cp:coreProperties>
</file>