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26" w:rsidRDefault="00A53188" w:rsidP="00A53188">
      <w:pPr>
        <w:snapToGrid w:val="0"/>
        <w:jc w:val="center"/>
        <w:rPr>
          <w:rFonts w:eastAsiaTheme="minorEastAsia"/>
          <w:b/>
          <w:sz w:val="20"/>
          <w:szCs w:val="32"/>
          <w:lang w:eastAsia="zh-CN"/>
        </w:rPr>
      </w:pPr>
      <w:r w:rsidRPr="00A53188">
        <w:rPr>
          <w:b/>
          <w:sz w:val="20"/>
          <w:szCs w:val="32"/>
        </w:rPr>
        <w:t>Incidence Of</w:t>
      </w:r>
      <w:r w:rsidR="00264383">
        <w:rPr>
          <w:b/>
          <w:sz w:val="20"/>
          <w:szCs w:val="32"/>
        </w:rPr>
        <w:t xml:space="preserve"> </w:t>
      </w:r>
      <w:r w:rsidRPr="00A53188">
        <w:rPr>
          <w:b/>
          <w:sz w:val="20"/>
          <w:szCs w:val="32"/>
        </w:rPr>
        <w:t xml:space="preserve">Hepatitis A Virus </w:t>
      </w:r>
      <w:proofErr w:type="spellStart"/>
      <w:r w:rsidRPr="00A53188">
        <w:rPr>
          <w:b/>
          <w:sz w:val="20"/>
          <w:szCs w:val="32"/>
        </w:rPr>
        <w:t>Igm</w:t>
      </w:r>
      <w:proofErr w:type="spellEnd"/>
      <w:r w:rsidRPr="00A53188">
        <w:rPr>
          <w:b/>
          <w:sz w:val="20"/>
          <w:szCs w:val="32"/>
        </w:rPr>
        <w:t xml:space="preserve"> Among Residents Of </w:t>
      </w:r>
      <w:proofErr w:type="spellStart"/>
      <w:r w:rsidRPr="00A53188">
        <w:rPr>
          <w:b/>
          <w:sz w:val="20"/>
          <w:szCs w:val="32"/>
        </w:rPr>
        <w:t>Konduga</w:t>
      </w:r>
      <w:proofErr w:type="spellEnd"/>
      <w:r w:rsidRPr="00A53188">
        <w:rPr>
          <w:b/>
          <w:sz w:val="20"/>
          <w:szCs w:val="32"/>
        </w:rPr>
        <w:t xml:space="preserve"> Local Government Area, </w:t>
      </w:r>
      <w:proofErr w:type="spellStart"/>
      <w:r w:rsidRPr="00A53188">
        <w:rPr>
          <w:b/>
          <w:sz w:val="20"/>
          <w:szCs w:val="32"/>
        </w:rPr>
        <w:t>Borno</w:t>
      </w:r>
      <w:proofErr w:type="spellEnd"/>
      <w:r w:rsidRPr="00A53188">
        <w:rPr>
          <w:b/>
          <w:sz w:val="20"/>
          <w:szCs w:val="32"/>
        </w:rPr>
        <w:t xml:space="preserve"> State, Nigeria</w:t>
      </w:r>
    </w:p>
    <w:p w:rsidR="00A53188" w:rsidRPr="00A53188" w:rsidRDefault="00A53188" w:rsidP="00A53188">
      <w:pPr>
        <w:snapToGrid w:val="0"/>
        <w:jc w:val="center"/>
        <w:rPr>
          <w:rFonts w:eastAsiaTheme="minorEastAsia"/>
          <w:b/>
          <w:sz w:val="20"/>
          <w:szCs w:val="32"/>
          <w:lang w:eastAsia="zh-CN"/>
        </w:rPr>
      </w:pPr>
    </w:p>
    <w:p w:rsidR="00DE5C26" w:rsidRPr="00A53188" w:rsidRDefault="00DE5C26" w:rsidP="00A53188">
      <w:pPr>
        <w:snapToGrid w:val="0"/>
        <w:jc w:val="center"/>
        <w:rPr>
          <w:rFonts w:eastAsiaTheme="minorEastAsia"/>
          <w:sz w:val="20"/>
          <w:szCs w:val="28"/>
          <w:lang w:eastAsia="zh-CN"/>
        </w:rPr>
      </w:pPr>
      <w:r w:rsidRPr="00A53188">
        <w:rPr>
          <w:sz w:val="20"/>
          <w:szCs w:val="28"/>
          <w:vertAlign w:val="superscript"/>
        </w:rPr>
        <w:t>1</w:t>
      </w:r>
      <w:r w:rsidRPr="00A53188">
        <w:rPr>
          <w:sz w:val="20"/>
          <w:szCs w:val="28"/>
        </w:rPr>
        <w:t xml:space="preserve">Dawurung J.S., </w:t>
      </w:r>
      <w:r w:rsidRPr="00A53188">
        <w:rPr>
          <w:sz w:val="20"/>
          <w:szCs w:val="28"/>
          <w:vertAlign w:val="superscript"/>
        </w:rPr>
        <w:t>2</w:t>
      </w:r>
      <w:r w:rsidRPr="00A53188">
        <w:rPr>
          <w:sz w:val="20"/>
          <w:szCs w:val="28"/>
        </w:rPr>
        <w:t>Gwa E.,</w:t>
      </w:r>
      <w:r w:rsidR="00305C09" w:rsidRPr="00A53188">
        <w:rPr>
          <w:sz w:val="20"/>
          <w:szCs w:val="28"/>
          <w:vertAlign w:val="superscript"/>
        </w:rPr>
        <w:t>3</w:t>
      </w:r>
      <w:r w:rsidR="00305C09" w:rsidRPr="00A53188">
        <w:rPr>
          <w:sz w:val="20"/>
          <w:szCs w:val="28"/>
        </w:rPr>
        <w:t>Ballah A.D.,</w:t>
      </w:r>
      <w:r w:rsidRPr="00A53188">
        <w:rPr>
          <w:sz w:val="20"/>
          <w:szCs w:val="28"/>
        </w:rPr>
        <w:t xml:space="preserve"> </w:t>
      </w:r>
      <w:r w:rsidR="00305C09" w:rsidRPr="00A53188">
        <w:rPr>
          <w:sz w:val="20"/>
          <w:szCs w:val="28"/>
          <w:vertAlign w:val="superscript"/>
        </w:rPr>
        <w:t>4</w:t>
      </w:r>
      <w:r w:rsidR="00B742BE" w:rsidRPr="00A53188">
        <w:rPr>
          <w:sz w:val="20"/>
          <w:szCs w:val="28"/>
        </w:rPr>
        <w:t>Jauro S.,</w:t>
      </w:r>
      <w:r w:rsidR="00B742BE" w:rsidRPr="00A53188">
        <w:rPr>
          <w:sz w:val="20"/>
          <w:szCs w:val="28"/>
          <w:vertAlign w:val="superscript"/>
        </w:rPr>
        <w:t xml:space="preserve"> 5</w:t>
      </w:r>
      <w:r w:rsidRPr="00A53188">
        <w:rPr>
          <w:sz w:val="20"/>
          <w:szCs w:val="28"/>
        </w:rPr>
        <w:t>Kida A.,</w:t>
      </w:r>
      <w:r w:rsidR="00264383">
        <w:rPr>
          <w:sz w:val="20"/>
          <w:szCs w:val="28"/>
        </w:rPr>
        <w:t xml:space="preserve"> </w:t>
      </w:r>
      <w:r w:rsidRPr="00A53188">
        <w:rPr>
          <w:sz w:val="20"/>
          <w:szCs w:val="28"/>
          <w:vertAlign w:val="superscript"/>
        </w:rPr>
        <w:t>1,</w:t>
      </w:r>
      <w:r w:rsidR="00C7769A" w:rsidRPr="00A53188">
        <w:rPr>
          <w:sz w:val="20"/>
          <w:szCs w:val="28"/>
          <w:vertAlign w:val="superscript"/>
        </w:rPr>
        <w:t>5</w:t>
      </w:r>
      <w:r w:rsidRPr="00A53188">
        <w:rPr>
          <w:sz w:val="20"/>
          <w:szCs w:val="28"/>
        </w:rPr>
        <w:t>Bukbuk N.D</w:t>
      </w:r>
      <w:r w:rsidR="00305C09" w:rsidRPr="00A53188">
        <w:rPr>
          <w:sz w:val="20"/>
          <w:szCs w:val="28"/>
        </w:rPr>
        <w:t>.</w:t>
      </w:r>
    </w:p>
    <w:p w:rsidR="00A53188" w:rsidRPr="00A53188" w:rsidRDefault="00A53188" w:rsidP="00A53188">
      <w:pPr>
        <w:snapToGrid w:val="0"/>
        <w:jc w:val="center"/>
        <w:rPr>
          <w:rFonts w:eastAsiaTheme="minorEastAsia"/>
          <w:b/>
          <w:sz w:val="20"/>
          <w:szCs w:val="28"/>
          <w:lang w:eastAsia="zh-CN"/>
        </w:rPr>
      </w:pPr>
    </w:p>
    <w:p w:rsidR="00DE5C26" w:rsidRPr="00A53188" w:rsidRDefault="00DE5C26" w:rsidP="00A53188">
      <w:pPr>
        <w:autoSpaceDE w:val="0"/>
        <w:autoSpaceDN w:val="0"/>
        <w:adjustRightInd w:val="0"/>
        <w:snapToGrid w:val="0"/>
        <w:jc w:val="center"/>
        <w:rPr>
          <w:rFonts w:eastAsia="Calibri"/>
          <w:iCs/>
          <w:sz w:val="20"/>
          <w:lang w:val="en-US" w:eastAsia="en-US"/>
        </w:rPr>
      </w:pPr>
      <w:r w:rsidRPr="00A53188">
        <w:rPr>
          <w:rFonts w:eastAsia="Calibri"/>
          <w:iCs/>
          <w:sz w:val="20"/>
          <w:vertAlign w:val="superscript"/>
          <w:lang w:val="en-US" w:eastAsia="en-US"/>
        </w:rPr>
        <w:t>1</w:t>
      </w:r>
      <w:r w:rsidRPr="00A53188">
        <w:rPr>
          <w:rFonts w:eastAsia="Calibri"/>
          <w:iCs/>
          <w:sz w:val="20"/>
          <w:lang w:val="en-US" w:eastAsia="en-US"/>
        </w:rPr>
        <w:t>World Health Organization National Polio / ITD laboratory, University of Maiduguri</w:t>
      </w:r>
      <w:r w:rsidR="007D147D">
        <w:rPr>
          <w:rFonts w:eastAsia="Calibri"/>
          <w:iCs/>
          <w:sz w:val="20"/>
          <w:lang w:val="en-US" w:eastAsia="en-US"/>
        </w:rPr>
        <w:t xml:space="preserve">, </w:t>
      </w:r>
      <w:r w:rsidRPr="00A53188">
        <w:rPr>
          <w:rFonts w:eastAsia="Calibri"/>
          <w:iCs/>
          <w:sz w:val="20"/>
          <w:lang w:val="en-US" w:eastAsia="en-US"/>
        </w:rPr>
        <w:t xml:space="preserve">Teaching Hospital, P.M.B 1414 Maiduguri, </w:t>
      </w:r>
      <w:proofErr w:type="spellStart"/>
      <w:r w:rsidRPr="00A53188">
        <w:rPr>
          <w:rFonts w:eastAsia="Calibri"/>
          <w:iCs/>
          <w:sz w:val="20"/>
          <w:lang w:val="en-US" w:eastAsia="en-US"/>
        </w:rPr>
        <w:t>Borno</w:t>
      </w:r>
      <w:proofErr w:type="spellEnd"/>
      <w:r w:rsidRPr="00A53188">
        <w:rPr>
          <w:rFonts w:eastAsia="Calibri"/>
          <w:iCs/>
          <w:sz w:val="20"/>
          <w:lang w:val="en-US" w:eastAsia="en-US"/>
        </w:rPr>
        <w:t xml:space="preserve"> State. Nigeria</w:t>
      </w:r>
    </w:p>
    <w:p w:rsidR="00DE5C26" w:rsidRDefault="00DE5C26" w:rsidP="00A53188">
      <w:pPr>
        <w:autoSpaceDE w:val="0"/>
        <w:autoSpaceDN w:val="0"/>
        <w:adjustRightInd w:val="0"/>
        <w:snapToGrid w:val="0"/>
        <w:jc w:val="center"/>
        <w:rPr>
          <w:rFonts w:eastAsiaTheme="minorEastAsia"/>
          <w:iCs/>
          <w:sz w:val="20"/>
          <w:lang w:val="en-US" w:eastAsia="zh-CN"/>
        </w:rPr>
      </w:pPr>
      <w:r w:rsidRPr="00A53188">
        <w:rPr>
          <w:rFonts w:eastAsia="Calibri"/>
          <w:iCs/>
          <w:sz w:val="20"/>
          <w:vertAlign w:val="superscript"/>
          <w:lang w:val="en-US" w:eastAsia="en-US"/>
        </w:rPr>
        <w:t>2</w:t>
      </w:r>
      <w:r w:rsidR="005F6AF3" w:rsidRPr="00A53188">
        <w:rPr>
          <w:rFonts w:eastAsia="Calibri"/>
          <w:iCs/>
          <w:sz w:val="20"/>
          <w:lang w:val="en-US" w:eastAsia="en-US"/>
        </w:rPr>
        <w:t>Pharmacy</w:t>
      </w:r>
      <w:r w:rsidRPr="00A53188">
        <w:rPr>
          <w:rFonts w:eastAsia="Calibri"/>
          <w:iCs/>
          <w:sz w:val="20"/>
          <w:lang w:val="en-US" w:eastAsia="en-US"/>
        </w:rPr>
        <w:t xml:space="preserve"> counsel of Nigeria, Maiduguri office</w:t>
      </w:r>
      <w:r w:rsidR="00305C09" w:rsidRPr="00A53188">
        <w:rPr>
          <w:rFonts w:eastAsia="Calibri"/>
          <w:iCs/>
          <w:sz w:val="20"/>
          <w:lang w:val="en-US" w:eastAsia="en-US"/>
        </w:rPr>
        <w:t>.</w:t>
      </w:r>
    </w:p>
    <w:p w:rsidR="00C7769A" w:rsidRPr="00A53188" w:rsidRDefault="00881B97" w:rsidP="00A53188">
      <w:pPr>
        <w:autoSpaceDE w:val="0"/>
        <w:autoSpaceDN w:val="0"/>
        <w:adjustRightInd w:val="0"/>
        <w:snapToGrid w:val="0"/>
        <w:jc w:val="center"/>
        <w:rPr>
          <w:rFonts w:eastAsia="Calibri"/>
          <w:iCs/>
          <w:sz w:val="20"/>
          <w:lang w:val="en-US" w:eastAsia="en-US"/>
        </w:rPr>
      </w:pPr>
      <w:r w:rsidRPr="00A53188">
        <w:rPr>
          <w:rFonts w:eastAsia="Calibri"/>
          <w:iCs/>
          <w:sz w:val="20"/>
          <w:vertAlign w:val="superscript"/>
          <w:lang w:val="en-US" w:eastAsia="en-US"/>
        </w:rPr>
        <w:t>3</w:t>
      </w:r>
      <w:r w:rsidRPr="00A53188">
        <w:rPr>
          <w:rFonts w:eastAsia="Calibri"/>
          <w:iCs/>
          <w:sz w:val="20"/>
          <w:lang w:val="en-US" w:eastAsia="en-US"/>
        </w:rPr>
        <w:t xml:space="preserve"> Department of Medicine, University of Maiduguri Teaching Hospital,</w:t>
      </w:r>
      <w:r w:rsidR="007D147D">
        <w:rPr>
          <w:rFonts w:eastAsia="Calibri"/>
          <w:iCs/>
          <w:sz w:val="20"/>
          <w:lang w:val="en-US" w:eastAsia="en-US"/>
        </w:rPr>
        <w:t xml:space="preserve"> </w:t>
      </w:r>
      <w:proofErr w:type="spellStart"/>
      <w:r w:rsidRPr="00A53188">
        <w:rPr>
          <w:rFonts w:eastAsia="Calibri"/>
          <w:iCs/>
          <w:sz w:val="20"/>
          <w:lang w:val="en-US" w:eastAsia="en-US"/>
        </w:rPr>
        <w:t>pmb</w:t>
      </w:r>
      <w:proofErr w:type="spellEnd"/>
      <w:r w:rsidRPr="00A53188">
        <w:rPr>
          <w:rFonts w:eastAsia="Calibri"/>
          <w:iCs/>
          <w:sz w:val="20"/>
          <w:lang w:val="en-US" w:eastAsia="en-US"/>
        </w:rPr>
        <w:t xml:space="preserve"> 1414,Maiduguri </w:t>
      </w:r>
      <w:proofErr w:type="spellStart"/>
      <w:r w:rsidRPr="00A53188">
        <w:rPr>
          <w:rFonts w:eastAsia="Calibri"/>
          <w:iCs/>
          <w:sz w:val="20"/>
          <w:lang w:val="en-US" w:eastAsia="en-US"/>
        </w:rPr>
        <w:t>Borno</w:t>
      </w:r>
      <w:proofErr w:type="spellEnd"/>
      <w:r w:rsidRPr="00A53188">
        <w:rPr>
          <w:rFonts w:eastAsia="Calibri"/>
          <w:iCs/>
          <w:sz w:val="20"/>
          <w:lang w:val="en-US" w:eastAsia="en-US"/>
        </w:rPr>
        <w:t xml:space="preserve"> State, Nigeria</w:t>
      </w:r>
    </w:p>
    <w:p w:rsidR="00C7769A" w:rsidRPr="00A53188" w:rsidRDefault="00C7769A" w:rsidP="00A53188">
      <w:pPr>
        <w:autoSpaceDE w:val="0"/>
        <w:autoSpaceDN w:val="0"/>
        <w:adjustRightInd w:val="0"/>
        <w:snapToGrid w:val="0"/>
        <w:jc w:val="center"/>
        <w:rPr>
          <w:rFonts w:eastAsia="Calibri"/>
          <w:iCs/>
          <w:sz w:val="20"/>
          <w:lang w:val="en-US" w:eastAsia="en-US"/>
        </w:rPr>
      </w:pPr>
      <w:r w:rsidRPr="00A53188">
        <w:rPr>
          <w:rFonts w:eastAsia="Calibri"/>
          <w:iCs/>
          <w:sz w:val="20"/>
          <w:vertAlign w:val="superscript"/>
          <w:lang w:val="en-US" w:eastAsia="en-US"/>
        </w:rPr>
        <w:t>4</w:t>
      </w:r>
      <w:r w:rsidRPr="00A53188">
        <w:rPr>
          <w:rFonts w:eastAsia="Calibri"/>
          <w:iCs/>
          <w:sz w:val="20"/>
          <w:lang w:val="en-US" w:eastAsia="en-US"/>
        </w:rPr>
        <w:t xml:space="preserve">Department Veterinary microbiology and </w:t>
      </w:r>
      <w:proofErr w:type="spellStart"/>
      <w:r w:rsidRPr="00A53188">
        <w:rPr>
          <w:rFonts w:eastAsia="Calibri"/>
          <w:iCs/>
          <w:sz w:val="20"/>
          <w:lang w:val="en-US" w:eastAsia="en-US"/>
        </w:rPr>
        <w:t>Parasitology</w:t>
      </w:r>
      <w:proofErr w:type="spellEnd"/>
      <w:r w:rsidRPr="00A53188">
        <w:rPr>
          <w:rFonts w:eastAsia="Calibri"/>
          <w:iCs/>
          <w:sz w:val="20"/>
          <w:lang w:val="en-US" w:eastAsia="en-US"/>
        </w:rPr>
        <w:t>, Faculty of Veterinary Medicine, University of Maiduguri</w:t>
      </w:r>
    </w:p>
    <w:p w:rsidR="00AE7950" w:rsidRPr="00A53188" w:rsidRDefault="00C7769A" w:rsidP="00A53188">
      <w:pPr>
        <w:autoSpaceDE w:val="0"/>
        <w:autoSpaceDN w:val="0"/>
        <w:adjustRightInd w:val="0"/>
        <w:snapToGrid w:val="0"/>
        <w:jc w:val="center"/>
        <w:rPr>
          <w:rFonts w:eastAsia="Calibri"/>
          <w:iCs/>
          <w:sz w:val="20"/>
          <w:lang w:val="en-US" w:eastAsia="en-US"/>
        </w:rPr>
      </w:pPr>
      <w:r w:rsidRPr="00A53188">
        <w:rPr>
          <w:rFonts w:eastAsia="Calibri"/>
          <w:iCs/>
          <w:sz w:val="20"/>
          <w:vertAlign w:val="superscript"/>
          <w:lang w:val="en-US" w:eastAsia="en-US"/>
        </w:rPr>
        <w:t>5</w:t>
      </w:r>
      <w:r w:rsidR="00DE5C26" w:rsidRPr="00A53188">
        <w:rPr>
          <w:rFonts w:eastAsia="Calibri"/>
          <w:iCs/>
          <w:sz w:val="20"/>
          <w:lang w:val="en-US" w:eastAsia="en-US"/>
        </w:rPr>
        <w:t>Department of Microbiology, Faculty of</w:t>
      </w:r>
      <w:r w:rsidR="00264383">
        <w:rPr>
          <w:rFonts w:eastAsia="Calibri"/>
          <w:iCs/>
          <w:sz w:val="20"/>
          <w:lang w:val="en-US" w:eastAsia="en-US"/>
        </w:rPr>
        <w:t xml:space="preserve"> </w:t>
      </w:r>
      <w:r w:rsidR="00DE5C26" w:rsidRPr="00A53188">
        <w:rPr>
          <w:rFonts w:eastAsia="Calibri"/>
          <w:iCs/>
          <w:sz w:val="20"/>
          <w:lang w:val="en-US" w:eastAsia="en-US"/>
        </w:rPr>
        <w:t xml:space="preserve">Sciences. University of Maiduguri, P.M.B 1069 Maiduguri, </w:t>
      </w:r>
      <w:proofErr w:type="spellStart"/>
      <w:r w:rsidR="00DE5C26" w:rsidRPr="00A53188">
        <w:rPr>
          <w:rFonts w:eastAsia="Calibri"/>
          <w:iCs/>
          <w:sz w:val="20"/>
          <w:lang w:val="en-US" w:eastAsia="en-US"/>
        </w:rPr>
        <w:t>Borno</w:t>
      </w:r>
      <w:proofErr w:type="spellEnd"/>
      <w:r w:rsidR="00DE5C26" w:rsidRPr="00A53188">
        <w:rPr>
          <w:rFonts w:eastAsia="Calibri"/>
          <w:iCs/>
          <w:sz w:val="20"/>
          <w:lang w:val="en-US" w:eastAsia="en-US"/>
        </w:rPr>
        <w:t xml:space="preserve"> State. Nigeria</w:t>
      </w:r>
    </w:p>
    <w:p w:rsidR="00AE7950" w:rsidRDefault="00D92696" w:rsidP="00A53188">
      <w:pPr>
        <w:autoSpaceDE w:val="0"/>
        <w:autoSpaceDN w:val="0"/>
        <w:adjustRightInd w:val="0"/>
        <w:snapToGrid w:val="0"/>
        <w:jc w:val="center"/>
        <w:rPr>
          <w:rFonts w:eastAsiaTheme="minorEastAsia"/>
          <w:iCs/>
          <w:sz w:val="20"/>
          <w:lang w:val="en-US" w:eastAsia="zh-CN"/>
        </w:rPr>
      </w:pPr>
      <w:hyperlink r:id="rId7" w:history="1">
        <w:r w:rsidR="007D147D" w:rsidRPr="00322473">
          <w:rPr>
            <w:rStyle w:val="Hyperlink"/>
            <w:rFonts w:eastAsia="Calibri"/>
            <w:iCs/>
            <w:sz w:val="20"/>
            <w:lang w:val="en-US" w:eastAsia="en-US"/>
          </w:rPr>
          <w:t>dawurungj@gmail.com</w:t>
        </w:r>
      </w:hyperlink>
      <w:r w:rsidR="007D147D">
        <w:rPr>
          <w:rFonts w:eastAsia="Calibri"/>
          <w:iCs/>
          <w:sz w:val="20"/>
          <w:lang w:val="en-US" w:eastAsia="en-US"/>
        </w:rPr>
        <w:t xml:space="preserve"> </w:t>
      </w:r>
    </w:p>
    <w:p w:rsidR="00A53188" w:rsidRPr="00A53188" w:rsidRDefault="00A53188" w:rsidP="00A53188">
      <w:pPr>
        <w:autoSpaceDE w:val="0"/>
        <w:autoSpaceDN w:val="0"/>
        <w:adjustRightInd w:val="0"/>
        <w:snapToGrid w:val="0"/>
        <w:jc w:val="center"/>
        <w:rPr>
          <w:rFonts w:eastAsiaTheme="minorEastAsia"/>
          <w:sz w:val="20"/>
          <w:lang w:val="en-US" w:eastAsia="zh-CN"/>
        </w:rPr>
      </w:pPr>
    </w:p>
    <w:p w:rsidR="00DE5C26" w:rsidRPr="00A53188" w:rsidRDefault="00A53188" w:rsidP="00A53188">
      <w:pPr>
        <w:snapToGrid w:val="0"/>
        <w:jc w:val="both"/>
        <w:rPr>
          <w:b/>
          <w:sz w:val="20"/>
        </w:rPr>
      </w:pPr>
      <w:r w:rsidRPr="00A53188">
        <w:rPr>
          <w:b/>
          <w:sz w:val="20"/>
          <w:szCs w:val="28"/>
        </w:rPr>
        <w:t>Abstract</w:t>
      </w:r>
      <w:r>
        <w:rPr>
          <w:rFonts w:eastAsiaTheme="minorEastAsia" w:hint="eastAsia"/>
          <w:b/>
          <w:sz w:val="20"/>
          <w:szCs w:val="28"/>
          <w:lang w:eastAsia="zh-CN"/>
        </w:rPr>
        <w:t xml:space="preserve">: </w:t>
      </w:r>
      <w:r w:rsidR="00DE5C26" w:rsidRPr="00A53188">
        <w:rPr>
          <w:sz w:val="20"/>
        </w:rPr>
        <w:t>The incidence of HAV infection was assessed in 100 sera of male 44 (43.6%) and female 56 (56.4</w:t>
      </w:r>
      <w:r w:rsidR="00A06BEA" w:rsidRPr="00A53188">
        <w:rPr>
          <w:sz w:val="20"/>
        </w:rPr>
        <w:t>).</w:t>
      </w:r>
      <w:r w:rsidR="00DE5C26" w:rsidRPr="00A53188">
        <w:rPr>
          <w:sz w:val="20"/>
        </w:rPr>
        <w:t xml:space="preserve">The age range of subjects in the study is 3-80 years, with mean (±SD) age </w:t>
      </w:r>
      <w:r w:rsidR="00146ED4" w:rsidRPr="00A53188">
        <w:rPr>
          <w:sz w:val="20"/>
        </w:rPr>
        <w:t>of 22.7±12.7 years. A total of 2</w:t>
      </w:r>
      <w:r w:rsidR="00DE5C26" w:rsidRPr="00A53188">
        <w:rPr>
          <w:sz w:val="20"/>
        </w:rPr>
        <w:t xml:space="preserve"> </w:t>
      </w:r>
      <w:r w:rsidR="00A06BEA" w:rsidRPr="00A53188">
        <w:rPr>
          <w:sz w:val="20"/>
        </w:rPr>
        <w:t>subjects</w:t>
      </w:r>
      <w:r w:rsidR="00DE5C26" w:rsidRPr="00A53188">
        <w:rPr>
          <w:sz w:val="20"/>
        </w:rPr>
        <w:t xml:space="preserve"> were positive for HAV giving a prevalence rate of 3.5%. Two females were positive, 2(2.0%) and</w:t>
      </w:r>
      <w:r w:rsidR="00264383">
        <w:rPr>
          <w:sz w:val="20"/>
        </w:rPr>
        <w:t xml:space="preserve"> </w:t>
      </w:r>
      <w:r w:rsidR="00DE5C26" w:rsidRPr="00A53188">
        <w:rPr>
          <w:sz w:val="20"/>
        </w:rPr>
        <w:t xml:space="preserve">0(0.0%) male , despite this there was no significant difference according to gender, meaning that HAV infection is not gender bias. All the two of </w:t>
      </w:r>
      <w:r w:rsidR="00146ED4" w:rsidRPr="00A53188">
        <w:rPr>
          <w:sz w:val="20"/>
        </w:rPr>
        <w:t>the positive</w:t>
      </w:r>
      <w:r w:rsidR="00DE5C26" w:rsidRPr="00A53188">
        <w:rPr>
          <w:sz w:val="20"/>
        </w:rPr>
        <w:t xml:space="preserve"> cases were also positive for fever only, indicating that when looking for </w:t>
      </w:r>
      <w:r w:rsidR="00146ED4" w:rsidRPr="00A53188">
        <w:rPr>
          <w:sz w:val="20"/>
        </w:rPr>
        <w:t>HAV infection</w:t>
      </w:r>
      <w:r w:rsidR="00DE5C26" w:rsidRPr="00A53188">
        <w:rPr>
          <w:sz w:val="20"/>
        </w:rPr>
        <w:t>, patients with fever are the mostly likely suspects to be considered. The age group 0-10 and 11-20 with 1(4.2%) and 1 (3.7%) positive cases respectively were the age groups having positive cases, though there was no significant difference indicating that HAV virus can infect any age group.</w:t>
      </w:r>
    </w:p>
    <w:p w:rsidR="009213BE" w:rsidRPr="00A53188" w:rsidRDefault="004135B5" w:rsidP="00A53188">
      <w:pPr>
        <w:snapToGrid w:val="0"/>
        <w:jc w:val="both"/>
        <w:rPr>
          <w:rFonts w:eastAsiaTheme="minorEastAsia"/>
          <w:sz w:val="20"/>
          <w:szCs w:val="20"/>
          <w:lang w:eastAsia="zh-CN"/>
        </w:rPr>
      </w:pPr>
      <w:r w:rsidRPr="00A53188">
        <w:rPr>
          <w:rFonts w:hint="eastAsia"/>
          <w:b/>
          <w:bCs/>
          <w:sz w:val="20"/>
          <w:szCs w:val="20"/>
        </w:rPr>
        <w:t>[</w:t>
      </w:r>
      <w:r w:rsidR="00A53188">
        <w:rPr>
          <w:sz w:val="20"/>
          <w:szCs w:val="28"/>
          <w:vertAlign w:val="superscript"/>
        </w:rPr>
        <w:t xml:space="preserve"> </w:t>
      </w:r>
      <w:proofErr w:type="spellStart"/>
      <w:r w:rsidR="00A53188" w:rsidRPr="00A53188">
        <w:rPr>
          <w:sz w:val="20"/>
          <w:szCs w:val="28"/>
        </w:rPr>
        <w:t>Dawurung</w:t>
      </w:r>
      <w:proofErr w:type="spellEnd"/>
      <w:r w:rsidR="00A53188" w:rsidRPr="00A53188">
        <w:rPr>
          <w:sz w:val="20"/>
          <w:szCs w:val="28"/>
        </w:rPr>
        <w:t xml:space="preserve"> J.S.,</w:t>
      </w:r>
      <w:r w:rsidR="00264383">
        <w:rPr>
          <w:sz w:val="20"/>
          <w:szCs w:val="28"/>
        </w:rPr>
        <w:t xml:space="preserve"> </w:t>
      </w:r>
      <w:proofErr w:type="spellStart"/>
      <w:r w:rsidR="00A53188" w:rsidRPr="00A53188">
        <w:rPr>
          <w:sz w:val="20"/>
          <w:szCs w:val="28"/>
        </w:rPr>
        <w:t>Gwa</w:t>
      </w:r>
      <w:proofErr w:type="spellEnd"/>
      <w:r w:rsidR="00A53188" w:rsidRPr="00A53188">
        <w:rPr>
          <w:sz w:val="20"/>
          <w:szCs w:val="28"/>
        </w:rPr>
        <w:t xml:space="preserve"> E.,</w:t>
      </w:r>
      <w:r w:rsidR="00A53188">
        <w:rPr>
          <w:sz w:val="20"/>
          <w:szCs w:val="28"/>
          <w:vertAlign w:val="superscript"/>
        </w:rPr>
        <w:t xml:space="preserve"> </w:t>
      </w:r>
      <w:proofErr w:type="spellStart"/>
      <w:r w:rsidR="00A53188" w:rsidRPr="00A53188">
        <w:rPr>
          <w:sz w:val="20"/>
          <w:szCs w:val="28"/>
        </w:rPr>
        <w:t>Ballah</w:t>
      </w:r>
      <w:proofErr w:type="spellEnd"/>
      <w:r w:rsidR="00A53188" w:rsidRPr="00A53188">
        <w:rPr>
          <w:sz w:val="20"/>
          <w:szCs w:val="28"/>
        </w:rPr>
        <w:t xml:space="preserve"> A.D.,</w:t>
      </w:r>
      <w:r w:rsidR="00264383">
        <w:rPr>
          <w:sz w:val="20"/>
          <w:szCs w:val="28"/>
        </w:rPr>
        <w:t xml:space="preserve"> </w:t>
      </w:r>
      <w:proofErr w:type="spellStart"/>
      <w:r w:rsidR="00A53188" w:rsidRPr="00A53188">
        <w:rPr>
          <w:sz w:val="20"/>
          <w:szCs w:val="28"/>
        </w:rPr>
        <w:t>Jauro</w:t>
      </w:r>
      <w:proofErr w:type="spellEnd"/>
      <w:r w:rsidR="00A53188" w:rsidRPr="00A53188">
        <w:rPr>
          <w:sz w:val="20"/>
          <w:szCs w:val="28"/>
        </w:rPr>
        <w:t xml:space="preserve"> S.,</w:t>
      </w:r>
      <w:r w:rsidR="00A53188">
        <w:rPr>
          <w:sz w:val="20"/>
          <w:szCs w:val="28"/>
          <w:vertAlign w:val="superscript"/>
        </w:rPr>
        <w:t xml:space="preserve"> </w:t>
      </w:r>
      <w:r w:rsidR="00A53188" w:rsidRPr="00A53188">
        <w:rPr>
          <w:sz w:val="20"/>
          <w:szCs w:val="28"/>
        </w:rPr>
        <w:t>Kida A.,</w:t>
      </w:r>
      <w:r w:rsidR="00264383">
        <w:rPr>
          <w:sz w:val="20"/>
          <w:szCs w:val="28"/>
        </w:rPr>
        <w:t xml:space="preserve"> </w:t>
      </w:r>
      <w:proofErr w:type="spellStart"/>
      <w:r w:rsidR="00A53188" w:rsidRPr="00A53188">
        <w:rPr>
          <w:sz w:val="20"/>
          <w:szCs w:val="28"/>
        </w:rPr>
        <w:t>Bukbuk</w:t>
      </w:r>
      <w:proofErr w:type="spellEnd"/>
      <w:r w:rsidR="00A53188" w:rsidRPr="00A53188">
        <w:rPr>
          <w:sz w:val="20"/>
          <w:szCs w:val="28"/>
        </w:rPr>
        <w:t xml:space="preserve"> N.D.</w:t>
      </w:r>
      <w:r w:rsidRPr="00A53188">
        <w:rPr>
          <w:rFonts w:eastAsiaTheme="minorEastAsia" w:hint="eastAsia"/>
          <w:b/>
          <w:bCs/>
          <w:sz w:val="20"/>
          <w:szCs w:val="20"/>
          <w:lang w:bidi="fa-IR"/>
        </w:rPr>
        <w:t xml:space="preserve"> </w:t>
      </w:r>
      <w:r w:rsidR="00A53188" w:rsidRPr="00A53188">
        <w:rPr>
          <w:b/>
          <w:sz w:val="20"/>
          <w:szCs w:val="32"/>
        </w:rPr>
        <w:t>Incidence Of</w:t>
      </w:r>
      <w:r w:rsidR="00264383">
        <w:rPr>
          <w:b/>
          <w:sz w:val="20"/>
          <w:szCs w:val="32"/>
        </w:rPr>
        <w:t xml:space="preserve"> </w:t>
      </w:r>
      <w:r w:rsidR="00A53188" w:rsidRPr="00A53188">
        <w:rPr>
          <w:b/>
          <w:sz w:val="20"/>
          <w:szCs w:val="32"/>
        </w:rPr>
        <w:t xml:space="preserve">Hepatitis A Virus </w:t>
      </w:r>
      <w:proofErr w:type="spellStart"/>
      <w:r w:rsidR="00A53188" w:rsidRPr="00A53188">
        <w:rPr>
          <w:b/>
          <w:sz w:val="20"/>
          <w:szCs w:val="32"/>
        </w:rPr>
        <w:t>Igm</w:t>
      </w:r>
      <w:proofErr w:type="spellEnd"/>
      <w:r w:rsidR="00A53188" w:rsidRPr="00A53188">
        <w:rPr>
          <w:b/>
          <w:sz w:val="20"/>
          <w:szCs w:val="32"/>
        </w:rPr>
        <w:t xml:space="preserve"> Among Residents Of </w:t>
      </w:r>
      <w:proofErr w:type="spellStart"/>
      <w:r w:rsidR="00A53188" w:rsidRPr="00A53188">
        <w:rPr>
          <w:b/>
          <w:sz w:val="20"/>
          <w:szCs w:val="32"/>
        </w:rPr>
        <w:t>Konduga</w:t>
      </w:r>
      <w:proofErr w:type="spellEnd"/>
      <w:r w:rsidR="00A53188" w:rsidRPr="00A53188">
        <w:rPr>
          <w:b/>
          <w:sz w:val="20"/>
          <w:szCs w:val="32"/>
        </w:rPr>
        <w:t xml:space="preserve"> Local Government Area, </w:t>
      </w:r>
      <w:proofErr w:type="spellStart"/>
      <w:r w:rsidR="00A53188" w:rsidRPr="00A53188">
        <w:rPr>
          <w:b/>
          <w:sz w:val="20"/>
          <w:szCs w:val="32"/>
        </w:rPr>
        <w:t>Borno</w:t>
      </w:r>
      <w:proofErr w:type="spellEnd"/>
      <w:r w:rsidR="00A53188" w:rsidRPr="00A53188">
        <w:rPr>
          <w:b/>
          <w:sz w:val="20"/>
          <w:szCs w:val="32"/>
        </w:rPr>
        <w:t xml:space="preserve"> State, Nigeria</w:t>
      </w:r>
      <w:r w:rsidRPr="00A53188">
        <w:rPr>
          <w:b/>
          <w:bCs/>
          <w:sz w:val="20"/>
          <w:szCs w:val="20"/>
          <w:lang w:bidi="fa-IR"/>
        </w:rPr>
        <w:t>.</w:t>
      </w:r>
      <w:r w:rsidRPr="00A53188">
        <w:rPr>
          <w:rFonts w:hint="eastAsia"/>
          <w:b/>
          <w:bCs/>
          <w:sz w:val="20"/>
          <w:szCs w:val="20"/>
        </w:rPr>
        <w:t xml:space="preserve"> </w:t>
      </w:r>
      <w:r w:rsidRPr="00A53188">
        <w:rPr>
          <w:bCs/>
          <w:i/>
          <w:sz w:val="20"/>
          <w:szCs w:val="20"/>
        </w:rPr>
        <w:t xml:space="preserve">Nat </w:t>
      </w:r>
      <w:proofErr w:type="spellStart"/>
      <w:r w:rsidRPr="00A53188">
        <w:rPr>
          <w:bCs/>
          <w:i/>
          <w:sz w:val="20"/>
          <w:szCs w:val="20"/>
        </w:rPr>
        <w:t>Sci</w:t>
      </w:r>
      <w:proofErr w:type="spellEnd"/>
      <w:r w:rsidRPr="00A53188">
        <w:rPr>
          <w:rFonts w:eastAsiaTheme="minorEastAsia" w:hint="eastAsia"/>
          <w:bCs/>
          <w:i/>
          <w:sz w:val="20"/>
          <w:szCs w:val="20"/>
        </w:rPr>
        <w:t xml:space="preserve"> </w:t>
      </w:r>
      <w:r w:rsidRPr="00A53188">
        <w:rPr>
          <w:sz w:val="20"/>
          <w:szCs w:val="20"/>
        </w:rPr>
        <w:t>201</w:t>
      </w:r>
      <w:r w:rsidRPr="00A53188">
        <w:rPr>
          <w:rFonts w:hint="eastAsia"/>
          <w:sz w:val="20"/>
          <w:szCs w:val="20"/>
        </w:rPr>
        <w:t>4</w:t>
      </w:r>
      <w:r w:rsidRPr="00A53188">
        <w:rPr>
          <w:sz w:val="20"/>
          <w:szCs w:val="20"/>
        </w:rPr>
        <w:t>;1</w:t>
      </w:r>
      <w:r w:rsidRPr="00A53188">
        <w:rPr>
          <w:rFonts w:hint="eastAsia"/>
          <w:sz w:val="20"/>
          <w:szCs w:val="20"/>
        </w:rPr>
        <w:t>2</w:t>
      </w:r>
      <w:r w:rsidRPr="00A53188">
        <w:rPr>
          <w:sz w:val="20"/>
          <w:szCs w:val="20"/>
        </w:rPr>
        <w:t>(</w:t>
      </w:r>
      <w:r w:rsidRPr="00A53188">
        <w:rPr>
          <w:rFonts w:hint="eastAsia"/>
          <w:sz w:val="20"/>
          <w:szCs w:val="20"/>
        </w:rPr>
        <w:t>8</w:t>
      </w:r>
      <w:r w:rsidRPr="00A53188">
        <w:rPr>
          <w:sz w:val="20"/>
          <w:szCs w:val="20"/>
        </w:rPr>
        <w:t>):</w:t>
      </w:r>
      <w:r w:rsidR="00AF514F">
        <w:rPr>
          <w:sz w:val="20"/>
          <w:szCs w:val="20"/>
        </w:rPr>
        <w:t>32</w:t>
      </w:r>
      <w:r w:rsidRPr="00A53188">
        <w:rPr>
          <w:color w:val="000000"/>
          <w:sz w:val="20"/>
          <w:szCs w:val="20"/>
        </w:rPr>
        <w:t>-</w:t>
      </w:r>
      <w:r w:rsidR="009A0FCE">
        <w:rPr>
          <w:noProof/>
          <w:color w:val="000000"/>
          <w:sz w:val="20"/>
          <w:szCs w:val="20"/>
        </w:rPr>
        <w:t>3</w:t>
      </w:r>
      <w:r w:rsidR="00AF514F">
        <w:rPr>
          <w:noProof/>
          <w:color w:val="000000"/>
          <w:sz w:val="20"/>
          <w:szCs w:val="20"/>
        </w:rPr>
        <w:t>5</w:t>
      </w:r>
      <w:r w:rsidRPr="00A53188">
        <w:rPr>
          <w:sz w:val="20"/>
          <w:szCs w:val="20"/>
        </w:rPr>
        <w:t>]</w:t>
      </w:r>
      <w:r w:rsidRPr="00A53188">
        <w:rPr>
          <w:rFonts w:hint="eastAsia"/>
          <w:sz w:val="20"/>
          <w:szCs w:val="20"/>
        </w:rPr>
        <w:t>.</w:t>
      </w:r>
      <w:r w:rsidRPr="00A53188">
        <w:rPr>
          <w:sz w:val="20"/>
          <w:szCs w:val="20"/>
        </w:rPr>
        <w:t xml:space="preserve"> (ISSN: 1545-0740).</w:t>
      </w:r>
      <w:r w:rsidRPr="00A53188">
        <w:rPr>
          <w:color w:val="0000FF"/>
          <w:sz w:val="20"/>
          <w:szCs w:val="20"/>
        </w:rPr>
        <w:t xml:space="preserve"> </w:t>
      </w:r>
      <w:hyperlink r:id="rId8" w:history="1">
        <w:r w:rsidRPr="00A53188">
          <w:rPr>
            <w:rStyle w:val="Hyperlink"/>
            <w:sz w:val="20"/>
            <w:szCs w:val="20"/>
          </w:rPr>
          <w:t>http://www.sciencepub.net/nature</w:t>
        </w:r>
      </w:hyperlink>
      <w:r w:rsidRPr="00A53188">
        <w:rPr>
          <w:sz w:val="20"/>
          <w:szCs w:val="20"/>
        </w:rPr>
        <w:t>.</w:t>
      </w:r>
      <w:r w:rsidRPr="00A53188">
        <w:rPr>
          <w:rFonts w:hint="eastAsia"/>
          <w:sz w:val="20"/>
          <w:szCs w:val="20"/>
        </w:rPr>
        <w:t xml:space="preserve"> </w:t>
      </w:r>
      <w:r w:rsidR="00A53188">
        <w:rPr>
          <w:rFonts w:eastAsiaTheme="minorEastAsia" w:hint="eastAsia"/>
          <w:sz w:val="20"/>
          <w:szCs w:val="20"/>
          <w:lang w:eastAsia="zh-CN"/>
        </w:rPr>
        <w:t>5</w:t>
      </w:r>
    </w:p>
    <w:p w:rsidR="00A53188" w:rsidRPr="00A53188" w:rsidRDefault="00A53188" w:rsidP="00A53188">
      <w:pPr>
        <w:snapToGrid w:val="0"/>
        <w:jc w:val="both"/>
        <w:rPr>
          <w:rFonts w:eastAsiaTheme="minorEastAsia"/>
          <w:sz w:val="20"/>
          <w:lang w:eastAsia="zh-CN"/>
        </w:rPr>
      </w:pPr>
    </w:p>
    <w:p w:rsidR="00AB18B2" w:rsidRPr="00A53188" w:rsidRDefault="00AE7950" w:rsidP="00A53188">
      <w:pPr>
        <w:snapToGrid w:val="0"/>
        <w:jc w:val="both"/>
        <w:rPr>
          <w:sz w:val="20"/>
        </w:rPr>
      </w:pPr>
      <w:r w:rsidRPr="00A53188">
        <w:rPr>
          <w:b/>
          <w:sz w:val="20"/>
        </w:rPr>
        <w:t>Keywords</w:t>
      </w:r>
      <w:r w:rsidRPr="00A53188">
        <w:rPr>
          <w:sz w:val="20"/>
        </w:rPr>
        <w:t xml:space="preserve">: </w:t>
      </w:r>
      <w:proofErr w:type="spellStart"/>
      <w:r w:rsidRPr="00A53188">
        <w:rPr>
          <w:sz w:val="20"/>
        </w:rPr>
        <w:t>Incidence,HAV</w:t>
      </w:r>
      <w:proofErr w:type="spellEnd"/>
      <w:r w:rsidRPr="00A53188">
        <w:rPr>
          <w:sz w:val="20"/>
        </w:rPr>
        <w:t xml:space="preserve">, </w:t>
      </w:r>
      <w:proofErr w:type="spellStart"/>
      <w:r w:rsidRPr="00A53188">
        <w:rPr>
          <w:sz w:val="20"/>
        </w:rPr>
        <w:t>Konduga,Borno</w:t>
      </w:r>
      <w:proofErr w:type="spellEnd"/>
      <w:r w:rsidRPr="00A53188">
        <w:rPr>
          <w:sz w:val="20"/>
        </w:rPr>
        <w:t xml:space="preserve"> State, Nigeria</w:t>
      </w:r>
    </w:p>
    <w:p w:rsidR="00A53188" w:rsidRDefault="00A53188" w:rsidP="00A53188">
      <w:pPr>
        <w:snapToGrid w:val="0"/>
        <w:jc w:val="both"/>
        <w:rPr>
          <w:b/>
          <w:sz w:val="20"/>
        </w:rPr>
      </w:pPr>
    </w:p>
    <w:p w:rsidR="00A53188" w:rsidRPr="00A53188" w:rsidRDefault="00A53188" w:rsidP="00A53188">
      <w:pPr>
        <w:snapToGrid w:val="0"/>
        <w:jc w:val="both"/>
        <w:rPr>
          <w:b/>
          <w:sz w:val="20"/>
        </w:rPr>
        <w:sectPr w:rsidR="00A53188" w:rsidRPr="00A53188" w:rsidSect="00AF514F">
          <w:headerReference w:type="default" r:id="rId9"/>
          <w:footerReference w:type="default" r:id="rId10"/>
          <w:type w:val="continuous"/>
          <w:pgSz w:w="12240" w:h="15840" w:code="1"/>
          <w:pgMar w:top="1440" w:right="1440" w:bottom="1440" w:left="1440" w:header="720" w:footer="720" w:gutter="0"/>
          <w:pgNumType w:start="32"/>
          <w:cols w:space="720"/>
          <w:docGrid w:linePitch="360"/>
        </w:sectPr>
      </w:pPr>
    </w:p>
    <w:p w:rsidR="00AB18B2" w:rsidRPr="00A53188" w:rsidRDefault="00A53188" w:rsidP="00A53188">
      <w:pPr>
        <w:snapToGrid w:val="0"/>
        <w:jc w:val="both"/>
        <w:rPr>
          <w:b/>
          <w:sz w:val="20"/>
        </w:rPr>
      </w:pPr>
      <w:r w:rsidRPr="00A53188">
        <w:rPr>
          <w:b/>
          <w:sz w:val="20"/>
        </w:rPr>
        <w:lastRenderedPageBreak/>
        <w:t>Introduction</w:t>
      </w:r>
    </w:p>
    <w:p w:rsidR="00AB18B2" w:rsidRPr="00A53188" w:rsidRDefault="00AB18B2" w:rsidP="00A53188">
      <w:pPr>
        <w:snapToGrid w:val="0"/>
        <w:ind w:firstLine="425"/>
        <w:jc w:val="both"/>
        <w:rPr>
          <w:sz w:val="20"/>
        </w:rPr>
      </w:pPr>
      <w:r w:rsidRPr="00A53188">
        <w:rPr>
          <w:sz w:val="20"/>
        </w:rPr>
        <w:t>Hepatitis is a general term that means inflammation (irritation and swelling) of the liver, inflammation of the liver can result from infection, exposure to alcohol, certain medication, chemicals, poisons, or from a disorder of the immune system (McGraw et al</w:t>
      </w:r>
      <w:r w:rsidR="00F91272" w:rsidRPr="00A53188">
        <w:rPr>
          <w:sz w:val="20"/>
        </w:rPr>
        <w:t>,</w:t>
      </w:r>
      <w:r w:rsidRPr="00A53188">
        <w:rPr>
          <w:sz w:val="20"/>
        </w:rPr>
        <w:t xml:space="preserve"> 2006).</w:t>
      </w:r>
    </w:p>
    <w:p w:rsidR="00AB18B2" w:rsidRPr="00A53188" w:rsidRDefault="00AB18B2" w:rsidP="00A53188">
      <w:pPr>
        <w:snapToGrid w:val="0"/>
        <w:ind w:firstLine="425"/>
        <w:jc w:val="both"/>
        <w:rPr>
          <w:sz w:val="20"/>
        </w:rPr>
      </w:pPr>
      <w:r w:rsidRPr="00A53188">
        <w:rPr>
          <w:sz w:val="20"/>
        </w:rPr>
        <w:t>This refers to liver inflammation caused by infection with the hepatitis A virus (HAV). HAV is one of the several viruses that can cause hepatitis, and is one of the three most common hepatitis viruses in the united state (Ryan et al; 2004).</w:t>
      </w:r>
    </w:p>
    <w:p w:rsidR="00AB18B2" w:rsidRPr="00A53188" w:rsidRDefault="00AB18B2" w:rsidP="00A53188">
      <w:pPr>
        <w:snapToGrid w:val="0"/>
        <w:ind w:firstLine="425"/>
        <w:jc w:val="both"/>
        <w:rPr>
          <w:sz w:val="20"/>
        </w:rPr>
      </w:pPr>
      <w:r w:rsidRPr="00A53188">
        <w:rPr>
          <w:sz w:val="20"/>
        </w:rPr>
        <w:t>The other two common types are hepatitis B and hepatitis C; however, there are other named types such as D,E,F and G, their infections are same, however</w:t>
      </w:r>
      <w:r w:rsidR="00264383">
        <w:rPr>
          <w:sz w:val="20"/>
        </w:rPr>
        <w:t xml:space="preserve"> </w:t>
      </w:r>
      <w:r w:rsidRPr="00A53188">
        <w:rPr>
          <w:sz w:val="20"/>
        </w:rPr>
        <w:t xml:space="preserve">unlike hepatitis B and hepatitis C, HAV does not cause chronic (ongoing, long term) disease. Although the liver becomes inflamed and swollen, it heals completely in most people without any long term damage once a person contacts hepatitis A, they </w:t>
      </w:r>
      <w:r w:rsidR="00117153" w:rsidRPr="00A53188">
        <w:rPr>
          <w:sz w:val="20"/>
        </w:rPr>
        <w:t>develop lifelong immunity and the</w:t>
      </w:r>
      <w:r w:rsidRPr="00A53188">
        <w:rPr>
          <w:sz w:val="20"/>
        </w:rPr>
        <w:t xml:space="preserve"> virus tends to occur in epidemics and </w:t>
      </w:r>
      <w:r w:rsidR="00117153" w:rsidRPr="00A53188">
        <w:rPr>
          <w:sz w:val="20"/>
        </w:rPr>
        <w:t>outbreaks,</w:t>
      </w:r>
      <w:r w:rsidRPr="00A53188">
        <w:rPr>
          <w:sz w:val="20"/>
        </w:rPr>
        <w:t xml:space="preserve"> as many as 1 in 3 adult (&gt;age 19) in the united state have antibody to HAV, meaning they have been exposed to the virus, but most do not become ill</w:t>
      </w:r>
      <w:r w:rsidR="004D5FD5" w:rsidRPr="00A53188">
        <w:rPr>
          <w:sz w:val="20"/>
        </w:rPr>
        <w:t xml:space="preserve"> (Ryan et al,</w:t>
      </w:r>
      <w:r w:rsidRPr="00A53188">
        <w:rPr>
          <w:sz w:val="20"/>
        </w:rPr>
        <w:t xml:space="preserve"> 2004)</w:t>
      </w:r>
    </w:p>
    <w:p w:rsidR="00117153" w:rsidRPr="00A53188" w:rsidRDefault="00117153" w:rsidP="00A53188">
      <w:pPr>
        <w:snapToGrid w:val="0"/>
        <w:ind w:firstLine="425"/>
        <w:jc w:val="both"/>
        <w:rPr>
          <w:sz w:val="20"/>
        </w:rPr>
      </w:pPr>
      <w:r w:rsidRPr="00A53188">
        <w:rPr>
          <w:sz w:val="20"/>
        </w:rPr>
        <w:t>Hepatitis A(formerly known as infectious hepatitis and epidemical virus ) is an acute infectious disease of the liver caused by the hepat</w:t>
      </w:r>
      <w:r w:rsidR="00033A5A" w:rsidRPr="00A53188">
        <w:rPr>
          <w:sz w:val="20"/>
        </w:rPr>
        <w:t xml:space="preserve">itis A virus </w:t>
      </w:r>
      <w:r w:rsidR="00033A5A" w:rsidRPr="00A53188">
        <w:rPr>
          <w:sz w:val="20"/>
        </w:rPr>
        <w:lastRenderedPageBreak/>
        <w:t>(HVA)” (Ryan et al,</w:t>
      </w:r>
      <w:r w:rsidRPr="00A53188">
        <w:rPr>
          <w:sz w:val="20"/>
        </w:rPr>
        <w:t xml:space="preserve"> 2004),it is</w:t>
      </w:r>
      <w:r w:rsidR="00264383">
        <w:rPr>
          <w:sz w:val="20"/>
        </w:rPr>
        <w:t xml:space="preserve"> </w:t>
      </w:r>
      <w:r w:rsidRPr="00A53188">
        <w:rPr>
          <w:sz w:val="20"/>
        </w:rPr>
        <w:t xml:space="preserve">an RNA virus, usually spread via the </w:t>
      </w:r>
      <w:r w:rsidR="00033A5A" w:rsidRPr="00A53188">
        <w:rPr>
          <w:sz w:val="20"/>
        </w:rPr>
        <w:t>faecal</w:t>
      </w:r>
      <w:r w:rsidRPr="00A53188">
        <w:rPr>
          <w:sz w:val="20"/>
        </w:rPr>
        <w:softHyphen/>
        <w:t xml:space="preserve"> oral route, transmitted person to person by ingestion of contaminated food or water or through direct contact with an infection person. Tens of millions of people become infected with Hepatitis A each year (Wesley et al, 2006). The time between infection and the appearance of the symptoms (the incubation period) is between two to six weeks and the average incubation period is 28days,” (Connor</w:t>
      </w:r>
      <w:r w:rsidR="00033A5A" w:rsidRPr="00A53188">
        <w:rPr>
          <w:sz w:val="20"/>
        </w:rPr>
        <w:t>,</w:t>
      </w:r>
      <w:r w:rsidRPr="00A53188">
        <w:rPr>
          <w:sz w:val="20"/>
        </w:rPr>
        <w:t xml:space="preserve"> 2005).</w:t>
      </w:r>
    </w:p>
    <w:p w:rsidR="00554321" w:rsidRPr="00A53188" w:rsidRDefault="00554321" w:rsidP="00A53188">
      <w:pPr>
        <w:snapToGrid w:val="0"/>
        <w:jc w:val="both"/>
        <w:rPr>
          <w:sz w:val="20"/>
        </w:rPr>
      </w:pPr>
    </w:p>
    <w:p w:rsidR="00554321" w:rsidRPr="00A53188" w:rsidRDefault="00A53188" w:rsidP="00A53188">
      <w:pPr>
        <w:snapToGrid w:val="0"/>
        <w:jc w:val="both"/>
        <w:rPr>
          <w:b/>
          <w:sz w:val="20"/>
        </w:rPr>
      </w:pPr>
      <w:r w:rsidRPr="00A53188">
        <w:rPr>
          <w:b/>
          <w:sz w:val="20"/>
        </w:rPr>
        <w:t>Materials And Methods</w:t>
      </w:r>
    </w:p>
    <w:p w:rsidR="00AF514F" w:rsidRDefault="00A53188" w:rsidP="00A53188">
      <w:pPr>
        <w:snapToGrid w:val="0"/>
        <w:jc w:val="both"/>
        <w:rPr>
          <w:b/>
          <w:bCs/>
          <w:sz w:val="20"/>
        </w:rPr>
      </w:pPr>
      <w:r w:rsidRPr="00A53188">
        <w:rPr>
          <w:b/>
          <w:bCs/>
          <w:sz w:val="20"/>
        </w:rPr>
        <w:t>Study Area.</w:t>
      </w:r>
      <w:r w:rsidR="00AF514F">
        <w:rPr>
          <w:b/>
          <w:bCs/>
          <w:sz w:val="20"/>
        </w:rPr>
        <w:t xml:space="preserve"> </w:t>
      </w:r>
    </w:p>
    <w:p w:rsidR="00554321" w:rsidRPr="00A53188" w:rsidRDefault="00554321" w:rsidP="00AF514F">
      <w:pPr>
        <w:snapToGrid w:val="0"/>
        <w:ind w:firstLine="425"/>
        <w:jc w:val="both"/>
        <w:rPr>
          <w:sz w:val="20"/>
        </w:rPr>
      </w:pPr>
      <w:r w:rsidRPr="00A53188">
        <w:rPr>
          <w:sz w:val="20"/>
        </w:rPr>
        <w:t xml:space="preserve">The area of coverage during this investigation is </w:t>
      </w:r>
      <w:proofErr w:type="spellStart"/>
      <w:r w:rsidRPr="00A53188">
        <w:rPr>
          <w:sz w:val="20"/>
        </w:rPr>
        <w:t>Konduga</w:t>
      </w:r>
      <w:proofErr w:type="spellEnd"/>
      <w:r w:rsidRPr="00A53188">
        <w:rPr>
          <w:sz w:val="20"/>
        </w:rPr>
        <w:t xml:space="preserve"> Local Government Area. It has it headquarter at </w:t>
      </w:r>
      <w:proofErr w:type="spellStart"/>
      <w:r w:rsidRPr="00A53188">
        <w:rPr>
          <w:sz w:val="20"/>
        </w:rPr>
        <w:t>konduga</w:t>
      </w:r>
      <w:proofErr w:type="spellEnd"/>
      <w:r w:rsidRPr="00A53188">
        <w:rPr>
          <w:sz w:val="20"/>
        </w:rPr>
        <w:t xml:space="preserve"> town which is located 30kms away from Maiduguri the </w:t>
      </w:r>
      <w:proofErr w:type="spellStart"/>
      <w:r w:rsidRPr="00A53188">
        <w:rPr>
          <w:sz w:val="20"/>
        </w:rPr>
        <w:t>Borno</w:t>
      </w:r>
      <w:proofErr w:type="spellEnd"/>
      <w:r w:rsidRPr="00A53188">
        <w:rPr>
          <w:sz w:val="20"/>
        </w:rPr>
        <w:t xml:space="preserve"> state capital and also Midway between Maiduguri metropolitan and </w:t>
      </w:r>
      <w:proofErr w:type="spellStart"/>
      <w:r w:rsidRPr="00A53188">
        <w:rPr>
          <w:sz w:val="20"/>
        </w:rPr>
        <w:t>Bama</w:t>
      </w:r>
      <w:proofErr w:type="spellEnd"/>
      <w:r w:rsidRPr="00A53188">
        <w:rPr>
          <w:sz w:val="20"/>
        </w:rPr>
        <w:t xml:space="preserve"> Local Government ,on trunk </w:t>
      </w:r>
      <w:r w:rsidRPr="00A53188">
        <w:rPr>
          <w:b/>
          <w:bCs/>
          <w:sz w:val="20"/>
        </w:rPr>
        <w:t>A</w:t>
      </w:r>
      <w:r w:rsidRPr="00A53188">
        <w:rPr>
          <w:sz w:val="20"/>
        </w:rPr>
        <w:t xml:space="preserve"> road which lead to </w:t>
      </w:r>
      <w:proofErr w:type="spellStart"/>
      <w:r w:rsidRPr="00A53188">
        <w:rPr>
          <w:sz w:val="20"/>
        </w:rPr>
        <w:t>Yola</w:t>
      </w:r>
      <w:proofErr w:type="spellEnd"/>
      <w:r w:rsidRPr="00A53188">
        <w:rPr>
          <w:sz w:val="20"/>
        </w:rPr>
        <w:t xml:space="preserve"> and </w:t>
      </w:r>
      <w:proofErr w:type="spellStart"/>
      <w:r w:rsidRPr="00A53188">
        <w:rPr>
          <w:sz w:val="20"/>
        </w:rPr>
        <w:t>Jalingo</w:t>
      </w:r>
      <w:proofErr w:type="spellEnd"/>
      <w:r w:rsidRPr="00A53188">
        <w:rPr>
          <w:sz w:val="20"/>
        </w:rPr>
        <w:t xml:space="preserve"> the Adamawa and </w:t>
      </w:r>
      <w:proofErr w:type="spellStart"/>
      <w:r w:rsidRPr="00A53188">
        <w:rPr>
          <w:sz w:val="20"/>
        </w:rPr>
        <w:t>Taraba</w:t>
      </w:r>
      <w:proofErr w:type="spellEnd"/>
      <w:r w:rsidRPr="00A53188">
        <w:rPr>
          <w:sz w:val="20"/>
        </w:rPr>
        <w:t xml:space="preserve"> state respectively, and down South east of Nigeria. </w:t>
      </w:r>
      <w:proofErr w:type="spellStart"/>
      <w:r w:rsidRPr="00A53188">
        <w:rPr>
          <w:sz w:val="20"/>
        </w:rPr>
        <w:t>Konduga</w:t>
      </w:r>
      <w:proofErr w:type="spellEnd"/>
      <w:r w:rsidRPr="00A53188">
        <w:rPr>
          <w:sz w:val="20"/>
        </w:rPr>
        <w:t xml:space="preserve"> belong to the First class generation of Local Government reform in Nigeria in the year 1976. The local government is made of four districts namely, </w:t>
      </w:r>
      <w:proofErr w:type="spellStart"/>
      <w:r w:rsidRPr="00A53188">
        <w:rPr>
          <w:sz w:val="20"/>
        </w:rPr>
        <w:t>Konduga</w:t>
      </w:r>
      <w:proofErr w:type="spellEnd"/>
      <w:r w:rsidRPr="00A53188">
        <w:rPr>
          <w:sz w:val="20"/>
        </w:rPr>
        <w:t xml:space="preserve">, </w:t>
      </w:r>
      <w:proofErr w:type="spellStart"/>
      <w:r w:rsidRPr="00A53188">
        <w:rPr>
          <w:sz w:val="20"/>
        </w:rPr>
        <w:t>Dalari</w:t>
      </w:r>
      <w:proofErr w:type="spellEnd"/>
      <w:r w:rsidRPr="00A53188">
        <w:rPr>
          <w:sz w:val="20"/>
        </w:rPr>
        <w:t xml:space="preserve">, </w:t>
      </w:r>
      <w:proofErr w:type="spellStart"/>
      <w:r w:rsidRPr="00A53188">
        <w:rPr>
          <w:sz w:val="20"/>
        </w:rPr>
        <w:t>Auno</w:t>
      </w:r>
      <w:proofErr w:type="spellEnd"/>
      <w:r w:rsidRPr="00A53188">
        <w:rPr>
          <w:sz w:val="20"/>
        </w:rPr>
        <w:t xml:space="preserve">, and </w:t>
      </w:r>
      <w:proofErr w:type="spellStart"/>
      <w:r w:rsidRPr="00A53188">
        <w:rPr>
          <w:sz w:val="20"/>
        </w:rPr>
        <w:t>Masba</w:t>
      </w:r>
      <w:proofErr w:type="spellEnd"/>
      <w:r w:rsidRPr="00A53188">
        <w:rPr>
          <w:sz w:val="20"/>
        </w:rPr>
        <w:t xml:space="preserve"> districts. All together the local Government has eleven political wards.</w:t>
      </w:r>
    </w:p>
    <w:p w:rsidR="00554321" w:rsidRPr="00A53188" w:rsidRDefault="00554321" w:rsidP="00A53188">
      <w:pPr>
        <w:tabs>
          <w:tab w:val="left" w:pos="720"/>
        </w:tabs>
        <w:snapToGrid w:val="0"/>
        <w:ind w:firstLine="425"/>
        <w:jc w:val="both"/>
        <w:rPr>
          <w:sz w:val="20"/>
        </w:rPr>
      </w:pPr>
      <w:r w:rsidRPr="00A53188">
        <w:rPr>
          <w:sz w:val="20"/>
        </w:rPr>
        <w:t xml:space="preserve">Archeologically, study has indicated that </w:t>
      </w:r>
      <w:proofErr w:type="spellStart"/>
      <w:r w:rsidRPr="00A53188">
        <w:rPr>
          <w:sz w:val="20"/>
        </w:rPr>
        <w:t>Konduga</w:t>
      </w:r>
      <w:proofErr w:type="spellEnd"/>
      <w:r w:rsidRPr="00A53188">
        <w:rPr>
          <w:sz w:val="20"/>
        </w:rPr>
        <w:t xml:space="preserve"> as a settlement exist for thousands of years </w:t>
      </w:r>
      <w:r w:rsidRPr="00A53188">
        <w:rPr>
          <w:sz w:val="20"/>
        </w:rPr>
        <w:lastRenderedPageBreak/>
        <w:t>and it has been Famous as a centre of Islamic Scholar headquarters since the adjunct of EL-</w:t>
      </w:r>
      <w:proofErr w:type="spellStart"/>
      <w:r w:rsidRPr="00A53188">
        <w:rPr>
          <w:sz w:val="20"/>
        </w:rPr>
        <w:t>Kanemi</w:t>
      </w:r>
      <w:proofErr w:type="spellEnd"/>
      <w:r w:rsidRPr="00A53188">
        <w:rPr>
          <w:sz w:val="20"/>
        </w:rPr>
        <w:t xml:space="preserve"> dynasty.</w:t>
      </w:r>
    </w:p>
    <w:p w:rsidR="00554321" w:rsidRPr="00A53188" w:rsidRDefault="00554321" w:rsidP="00A53188">
      <w:pPr>
        <w:tabs>
          <w:tab w:val="left" w:pos="720"/>
        </w:tabs>
        <w:snapToGrid w:val="0"/>
        <w:ind w:firstLine="425"/>
        <w:jc w:val="both"/>
        <w:rPr>
          <w:sz w:val="20"/>
        </w:rPr>
      </w:pPr>
      <w:proofErr w:type="spellStart"/>
      <w:r w:rsidRPr="00A53188">
        <w:rPr>
          <w:sz w:val="20"/>
        </w:rPr>
        <w:t>Konduga</w:t>
      </w:r>
      <w:proofErr w:type="spellEnd"/>
      <w:r w:rsidRPr="00A53188">
        <w:rPr>
          <w:sz w:val="20"/>
        </w:rPr>
        <w:t xml:space="preserve"> Local Government has an area of </w:t>
      </w:r>
      <w:r w:rsidRPr="00A53188">
        <w:rPr>
          <w:bCs/>
          <w:sz w:val="20"/>
        </w:rPr>
        <w:t>5825</w:t>
      </w:r>
      <w:r w:rsidRPr="00A53188">
        <w:rPr>
          <w:sz w:val="20"/>
        </w:rPr>
        <w:t xml:space="preserve"> Square </w:t>
      </w:r>
      <w:proofErr w:type="spellStart"/>
      <w:r w:rsidRPr="00A53188">
        <w:rPr>
          <w:sz w:val="20"/>
        </w:rPr>
        <w:t>Kilometers</w:t>
      </w:r>
      <w:proofErr w:type="spellEnd"/>
      <w:r w:rsidRPr="00A53188">
        <w:rPr>
          <w:sz w:val="20"/>
        </w:rPr>
        <w:t>. It is coordinated between 11</w:t>
      </w:r>
      <w:r w:rsidRPr="00A53188">
        <w:rPr>
          <w:sz w:val="20"/>
          <w:vertAlign w:val="superscript"/>
        </w:rPr>
        <w:t>0</w:t>
      </w:r>
      <w:r w:rsidRPr="00A53188">
        <w:rPr>
          <w:sz w:val="20"/>
        </w:rPr>
        <w:t>39’6N and 13</w:t>
      </w:r>
      <w:r w:rsidRPr="00A53188">
        <w:rPr>
          <w:sz w:val="20"/>
          <w:vertAlign w:val="superscript"/>
        </w:rPr>
        <w:t>0</w:t>
      </w:r>
      <w:r w:rsidRPr="00A53188">
        <w:rPr>
          <w:sz w:val="20"/>
        </w:rPr>
        <w:t xml:space="preserve">25’10E, located in the North eastern part </w:t>
      </w:r>
      <w:r w:rsidR="00146ED4" w:rsidRPr="00A53188">
        <w:rPr>
          <w:sz w:val="20"/>
        </w:rPr>
        <w:t>of Nigeria</w:t>
      </w:r>
      <w:r w:rsidRPr="00A53188">
        <w:rPr>
          <w:sz w:val="20"/>
        </w:rPr>
        <w:t>. The climate is tropica</w:t>
      </w:r>
      <w:r w:rsidR="00033A5A" w:rsidRPr="00A53188">
        <w:rPr>
          <w:sz w:val="20"/>
        </w:rPr>
        <w:t>l temperature ranges between 29</w:t>
      </w:r>
      <w:r w:rsidR="00033A5A" w:rsidRPr="00A53188">
        <w:rPr>
          <w:sz w:val="20"/>
          <w:vertAlign w:val="superscript"/>
        </w:rPr>
        <w:t>o</w:t>
      </w:r>
      <w:r w:rsidR="00033A5A" w:rsidRPr="00A53188">
        <w:rPr>
          <w:sz w:val="20"/>
        </w:rPr>
        <w:t>C</w:t>
      </w:r>
      <w:r w:rsidRPr="00A53188">
        <w:rPr>
          <w:sz w:val="20"/>
        </w:rPr>
        <w:t xml:space="preserve"> and 38</w:t>
      </w:r>
      <w:r w:rsidR="00033A5A" w:rsidRPr="00A53188">
        <w:rPr>
          <w:sz w:val="20"/>
          <w:vertAlign w:val="superscript"/>
        </w:rPr>
        <w:t xml:space="preserve"> </w:t>
      </w:r>
      <w:proofErr w:type="spellStart"/>
      <w:r w:rsidR="00033A5A" w:rsidRPr="00A53188">
        <w:rPr>
          <w:sz w:val="20"/>
          <w:vertAlign w:val="superscript"/>
        </w:rPr>
        <w:t>o</w:t>
      </w:r>
      <w:r w:rsidR="00033A5A" w:rsidRPr="00A53188">
        <w:rPr>
          <w:sz w:val="20"/>
        </w:rPr>
        <w:t>C</w:t>
      </w:r>
      <w:proofErr w:type="spellEnd"/>
      <w:r w:rsidR="00033A5A" w:rsidRPr="00A53188">
        <w:rPr>
          <w:sz w:val="20"/>
        </w:rPr>
        <w:t xml:space="preserve">. </w:t>
      </w:r>
      <w:r w:rsidRPr="00A53188">
        <w:rPr>
          <w:sz w:val="20"/>
        </w:rPr>
        <w:t>Most of the sampled population are Nomads, Fishermen, Hunters and</w:t>
      </w:r>
      <w:r w:rsidR="00264383">
        <w:rPr>
          <w:sz w:val="20"/>
        </w:rPr>
        <w:t xml:space="preserve"> </w:t>
      </w:r>
      <w:r w:rsidRPr="00A53188">
        <w:rPr>
          <w:sz w:val="20"/>
        </w:rPr>
        <w:t>subsistence Farmers.</w:t>
      </w:r>
    </w:p>
    <w:p w:rsidR="00554321" w:rsidRPr="00A53188" w:rsidRDefault="00554321" w:rsidP="00A53188">
      <w:pPr>
        <w:snapToGrid w:val="0"/>
        <w:ind w:firstLine="425"/>
        <w:jc w:val="both"/>
        <w:rPr>
          <w:sz w:val="20"/>
        </w:rPr>
      </w:pPr>
      <w:proofErr w:type="spellStart"/>
      <w:r w:rsidRPr="00A53188">
        <w:rPr>
          <w:sz w:val="20"/>
        </w:rPr>
        <w:t>Konduga</w:t>
      </w:r>
      <w:proofErr w:type="spellEnd"/>
      <w:r w:rsidRPr="00A53188">
        <w:rPr>
          <w:sz w:val="20"/>
        </w:rPr>
        <w:t xml:space="preserve"> Local Government is bounded with Maiduguri metropolitan council. </w:t>
      </w:r>
      <w:proofErr w:type="spellStart"/>
      <w:r w:rsidRPr="00A53188">
        <w:rPr>
          <w:sz w:val="20"/>
        </w:rPr>
        <w:t>Bama</w:t>
      </w:r>
      <w:proofErr w:type="spellEnd"/>
      <w:r w:rsidRPr="00A53188">
        <w:rPr>
          <w:sz w:val="20"/>
        </w:rPr>
        <w:t xml:space="preserve"> Local Government to the south, </w:t>
      </w:r>
      <w:proofErr w:type="spellStart"/>
      <w:r w:rsidRPr="00A53188">
        <w:rPr>
          <w:sz w:val="20"/>
        </w:rPr>
        <w:t>Ma</w:t>
      </w:r>
      <w:r w:rsidR="00146ED4" w:rsidRPr="00A53188">
        <w:rPr>
          <w:sz w:val="20"/>
        </w:rPr>
        <w:t>r</w:t>
      </w:r>
      <w:r w:rsidRPr="00A53188">
        <w:rPr>
          <w:sz w:val="20"/>
        </w:rPr>
        <w:t>t</w:t>
      </w:r>
      <w:r w:rsidR="00146ED4" w:rsidRPr="00A53188">
        <w:rPr>
          <w:sz w:val="20"/>
        </w:rPr>
        <w:t>e</w:t>
      </w:r>
      <w:proofErr w:type="spellEnd"/>
      <w:r w:rsidRPr="00A53188">
        <w:rPr>
          <w:sz w:val="20"/>
        </w:rPr>
        <w:t xml:space="preserve"> Local Governme</w:t>
      </w:r>
      <w:r w:rsidR="00146ED4" w:rsidRPr="00A53188">
        <w:rPr>
          <w:sz w:val="20"/>
        </w:rPr>
        <w:t xml:space="preserve">nt to the east Maiduguri </w:t>
      </w:r>
      <w:r w:rsidRPr="00A53188">
        <w:rPr>
          <w:sz w:val="20"/>
        </w:rPr>
        <w:t xml:space="preserve">Local Government in the North as well as </w:t>
      </w:r>
      <w:proofErr w:type="spellStart"/>
      <w:r w:rsidRPr="00A53188">
        <w:rPr>
          <w:sz w:val="20"/>
        </w:rPr>
        <w:t>Kaga</w:t>
      </w:r>
      <w:proofErr w:type="spellEnd"/>
      <w:r w:rsidRPr="00A53188">
        <w:rPr>
          <w:sz w:val="20"/>
        </w:rPr>
        <w:t xml:space="preserve"> and </w:t>
      </w:r>
      <w:proofErr w:type="spellStart"/>
      <w:r w:rsidRPr="00A53188">
        <w:rPr>
          <w:sz w:val="20"/>
        </w:rPr>
        <w:t>Damboa</w:t>
      </w:r>
      <w:proofErr w:type="spellEnd"/>
      <w:r w:rsidRPr="00A53188">
        <w:rPr>
          <w:sz w:val="20"/>
        </w:rPr>
        <w:t xml:space="preserve"> respectively</w:t>
      </w:r>
    </w:p>
    <w:p w:rsidR="00554321" w:rsidRPr="00A53188" w:rsidRDefault="00554321" w:rsidP="00A53188">
      <w:pPr>
        <w:snapToGrid w:val="0"/>
        <w:ind w:firstLine="425"/>
        <w:jc w:val="both"/>
        <w:rPr>
          <w:sz w:val="20"/>
        </w:rPr>
      </w:pPr>
      <w:r w:rsidRPr="00A53188">
        <w:rPr>
          <w:sz w:val="20"/>
        </w:rPr>
        <w:t xml:space="preserve">It </w:t>
      </w:r>
      <w:r w:rsidR="00146ED4" w:rsidRPr="00A53188">
        <w:rPr>
          <w:sz w:val="20"/>
        </w:rPr>
        <w:t>has projected</w:t>
      </w:r>
      <w:r w:rsidRPr="00A53188">
        <w:rPr>
          <w:sz w:val="20"/>
        </w:rPr>
        <w:t xml:space="preserve"> population of 134</w:t>
      </w:r>
      <w:r w:rsidR="00033A5A" w:rsidRPr="00A53188">
        <w:rPr>
          <w:sz w:val="20"/>
        </w:rPr>
        <w:t>,</w:t>
      </w:r>
      <w:r w:rsidRPr="00A53188">
        <w:rPr>
          <w:sz w:val="20"/>
        </w:rPr>
        <w:t>000</w:t>
      </w:r>
      <w:r w:rsidR="00033A5A" w:rsidRPr="00A53188">
        <w:rPr>
          <w:sz w:val="20"/>
        </w:rPr>
        <w:t xml:space="preserve"> in 2006</w:t>
      </w:r>
      <w:r w:rsidRPr="00A53188">
        <w:rPr>
          <w:sz w:val="20"/>
        </w:rPr>
        <w:t xml:space="preserve">. The people of </w:t>
      </w:r>
      <w:proofErr w:type="spellStart"/>
      <w:r w:rsidRPr="00A53188">
        <w:rPr>
          <w:sz w:val="20"/>
        </w:rPr>
        <w:t>Konduga</w:t>
      </w:r>
      <w:proofErr w:type="spellEnd"/>
      <w:r w:rsidRPr="00A53188">
        <w:rPr>
          <w:sz w:val="20"/>
        </w:rPr>
        <w:t xml:space="preserve"> are predominantly Kanuri speaking tribe, along with other ethnic group like </w:t>
      </w:r>
      <w:proofErr w:type="spellStart"/>
      <w:r w:rsidRPr="00A53188">
        <w:rPr>
          <w:sz w:val="20"/>
        </w:rPr>
        <w:t>Shuwa</w:t>
      </w:r>
      <w:proofErr w:type="spellEnd"/>
      <w:r w:rsidRPr="00A53188">
        <w:rPr>
          <w:sz w:val="20"/>
        </w:rPr>
        <w:t xml:space="preserve"> Arab, Fulani, Hausa, </w:t>
      </w:r>
      <w:proofErr w:type="spellStart"/>
      <w:r w:rsidRPr="00A53188">
        <w:rPr>
          <w:sz w:val="20"/>
        </w:rPr>
        <w:t>Marghi</w:t>
      </w:r>
      <w:proofErr w:type="spellEnd"/>
      <w:r w:rsidRPr="00A53188">
        <w:rPr>
          <w:sz w:val="20"/>
        </w:rPr>
        <w:t xml:space="preserve">, </w:t>
      </w:r>
      <w:proofErr w:type="spellStart"/>
      <w:r w:rsidRPr="00A53188">
        <w:rPr>
          <w:sz w:val="20"/>
        </w:rPr>
        <w:t>Mulgwai</w:t>
      </w:r>
      <w:proofErr w:type="spellEnd"/>
      <w:r w:rsidRPr="00A53188">
        <w:rPr>
          <w:sz w:val="20"/>
        </w:rPr>
        <w:t xml:space="preserve"> and </w:t>
      </w:r>
      <w:proofErr w:type="spellStart"/>
      <w:r w:rsidRPr="00A53188">
        <w:rPr>
          <w:sz w:val="20"/>
        </w:rPr>
        <w:t>Gamargu</w:t>
      </w:r>
      <w:proofErr w:type="spellEnd"/>
      <w:r w:rsidRPr="00A53188">
        <w:rPr>
          <w:sz w:val="20"/>
        </w:rPr>
        <w:t>, some Igbo base and Chadian’s origin.</w:t>
      </w:r>
    </w:p>
    <w:p w:rsidR="00A53188" w:rsidRDefault="00554321" w:rsidP="00A53188">
      <w:pPr>
        <w:snapToGrid w:val="0"/>
        <w:ind w:firstLine="425"/>
        <w:jc w:val="both"/>
        <w:rPr>
          <w:sz w:val="20"/>
        </w:rPr>
      </w:pPr>
      <w:r w:rsidRPr="00A53188">
        <w:rPr>
          <w:sz w:val="20"/>
        </w:rPr>
        <w:t xml:space="preserve">The </w:t>
      </w:r>
      <w:proofErr w:type="spellStart"/>
      <w:r w:rsidRPr="00A53188">
        <w:rPr>
          <w:sz w:val="20"/>
        </w:rPr>
        <w:t>Sambisa</w:t>
      </w:r>
      <w:proofErr w:type="spellEnd"/>
      <w:r w:rsidRPr="00A53188">
        <w:rPr>
          <w:sz w:val="20"/>
        </w:rPr>
        <w:t xml:space="preserve"> game reserve which is of the Chad basin National park is also situated in </w:t>
      </w:r>
      <w:proofErr w:type="spellStart"/>
      <w:r w:rsidRPr="00A53188">
        <w:rPr>
          <w:sz w:val="20"/>
        </w:rPr>
        <w:t>Konduga</w:t>
      </w:r>
      <w:proofErr w:type="spellEnd"/>
      <w:r w:rsidRPr="00A53188">
        <w:rPr>
          <w:sz w:val="20"/>
        </w:rPr>
        <w:t xml:space="preserve">. The game reserve is one of the tourist attractions in </w:t>
      </w:r>
      <w:proofErr w:type="spellStart"/>
      <w:r w:rsidRPr="00A53188">
        <w:rPr>
          <w:sz w:val="20"/>
        </w:rPr>
        <w:t>Borno</w:t>
      </w:r>
      <w:proofErr w:type="spellEnd"/>
      <w:r w:rsidRPr="00A53188">
        <w:rPr>
          <w:sz w:val="20"/>
        </w:rPr>
        <w:t xml:space="preserve"> State inhabited by numerous species of </w:t>
      </w:r>
      <w:proofErr w:type="spellStart"/>
      <w:r w:rsidRPr="00A53188">
        <w:rPr>
          <w:sz w:val="20"/>
        </w:rPr>
        <w:t>Yankari</w:t>
      </w:r>
      <w:proofErr w:type="spellEnd"/>
      <w:r w:rsidRPr="00A53188">
        <w:rPr>
          <w:sz w:val="20"/>
        </w:rPr>
        <w:t xml:space="preserve"> game reserve to the south, and Cameron national park to the east.</w:t>
      </w:r>
    </w:p>
    <w:p w:rsidR="00AF514F" w:rsidRDefault="00A53188" w:rsidP="00A53188">
      <w:pPr>
        <w:tabs>
          <w:tab w:val="left" w:pos="1323"/>
          <w:tab w:val="left" w:pos="5960"/>
        </w:tabs>
        <w:snapToGrid w:val="0"/>
        <w:jc w:val="both"/>
        <w:rPr>
          <w:b/>
          <w:bCs/>
          <w:sz w:val="20"/>
        </w:rPr>
      </w:pPr>
      <w:r w:rsidRPr="00A53188">
        <w:rPr>
          <w:b/>
          <w:bCs/>
          <w:sz w:val="20"/>
        </w:rPr>
        <w:t>Study Population</w:t>
      </w:r>
      <w:r w:rsidR="00554321" w:rsidRPr="00A53188">
        <w:rPr>
          <w:b/>
          <w:bCs/>
          <w:sz w:val="20"/>
        </w:rPr>
        <w:t>;</w:t>
      </w:r>
    </w:p>
    <w:p w:rsidR="00A53188" w:rsidRDefault="00554321" w:rsidP="00AF514F">
      <w:pPr>
        <w:tabs>
          <w:tab w:val="left" w:pos="1323"/>
          <w:tab w:val="left" w:pos="5960"/>
        </w:tabs>
        <w:snapToGrid w:val="0"/>
        <w:ind w:firstLineChars="213" w:firstLine="426"/>
        <w:jc w:val="both"/>
        <w:rPr>
          <w:b/>
          <w:bCs/>
          <w:sz w:val="20"/>
        </w:rPr>
      </w:pPr>
      <w:r w:rsidRPr="00A53188">
        <w:rPr>
          <w:sz w:val="20"/>
        </w:rPr>
        <w:t>The sampled population investigate</w:t>
      </w:r>
      <w:r w:rsidR="00EF33C0" w:rsidRPr="00A53188">
        <w:rPr>
          <w:sz w:val="20"/>
        </w:rPr>
        <w:t>d were 1</w:t>
      </w:r>
      <w:r w:rsidRPr="00A53188">
        <w:rPr>
          <w:sz w:val="20"/>
        </w:rPr>
        <w:t xml:space="preserve">00 and were within range of 5 months to 85years. They were studied because of the prevalence of Hepatitis A virus </w:t>
      </w:r>
      <w:proofErr w:type="spellStart"/>
      <w:r w:rsidRPr="00A53188">
        <w:rPr>
          <w:sz w:val="20"/>
        </w:rPr>
        <w:t>IgM</w:t>
      </w:r>
      <w:proofErr w:type="spellEnd"/>
      <w:r w:rsidRPr="00A53188">
        <w:rPr>
          <w:sz w:val="20"/>
        </w:rPr>
        <w:t xml:space="preserve"> among their ages.</w:t>
      </w:r>
    </w:p>
    <w:p w:rsidR="00554321" w:rsidRPr="00A53188" w:rsidRDefault="00A53188" w:rsidP="00A53188">
      <w:pPr>
        <w:tabs>
          <w:tab w:val="left" w:pos="1323"/>
        </w:tabs>
        <w:snapToGrid w:val="0"/>
        <w:jc w:val="both"/>
        <w:rPr>
          <w:b/>
          <w:bCs/>
          <w:sz w:val="20"/>
        </w:rPr>
      </w:pPr>
      <w:r w:rsidRPr="00A53188">
        <w:rPr>
          <w:b/>
          <w:bCs/>
          <w:sz w:val="20"/>
        </w:rPr>
        <w:t>Method Of Sample Collection And Processing</w:t>
      </w:r>
    </w:p>
    <w:p w:rsidR="00554321" w:rsidRPr="00A53188" w:rsidRDefault="00554321" w:rsidP="00A53188">
      <w:pPr>
        <w:tabs>
          <w:tab w:val="left" w:pos="720"/>
        </w:tabs>
        <w:snapToGrid w:val="0"/>
        <w:ind w:firstLine="425"/>
        <w:jc w:val="both"/>
        <w:rPr>
          <w:sz w:val="20"/>
        </w:rPr>
      </w:pPr>
      <w:r w:rsidRPr="00A53188">
        <w:rPr>
          <w:sz w:val="20"/>
        </w:rPr>
        <w:t xml:space="preserve">FIVE (5) ml of blood were drawn from each person through </w:t>
      </w:r>
      <w:proofErr w:type="spellStart"/>
      <w:r w:rsidRPr="00A53188">
        <w:rPr>
          <w:sz w:val="20"/>
        </w:rPr>
        <w:t>venupuncture</w:t>
      </w:r>
      <w:proofErr w:type="spellEnd"/>
      <w:r w:rsidRPr="00A53188">
        <w:rPr>
          <w:sz w:val="20"/>
        </w:rPr>
        <w:t xml:space="preserve"> into sterile clean containers, it was allowed to settle and the sera separated into labelled </w:t>
      </w:r>
      <w:proofErr w:type="spellStart"/>
      <w:r w:rsidRPr="00A53188">
        <w:rPr>
          <w:sz w:val="20"/>
        </w:rPr>
        <w:t>microvials</w:t>
      </w:r>
      <w:proofErr w:type="spellEnd"/>
      <w:r w:rsidRPr="00A53188">
        <w:rPr>
          <w:sz w:val="20"/>
        </w:rPr>
        <w:t>. The vials were stored frozen at -20</w:t>
      </w:r>
      <w:r w:rsidRPr="00A53188">
        <w:rPr>
          <w:sz w:val="20"/>
          <w:vertAlign w:val="superscript"/>
        </w:rPr>
        <w:t>o</w:t>
      </w:r>
      <w:r w:rsidRPr="00A53188">
        <w:rPr>
          <w:sz w:val="20"/>
        </w:rPr>
        <w:t xml:space="preserve">C until </w:t>
      </w:r>
      <w:proofErr w:type="spellStart"/>
      <w:r w:rsidRPr="00A53188">
        <w:rPr>
          <w:sz w:val="20"/>
        </w:rPr>
        <w:t>tested.A</w:t>
      </w:r>
      <w:proofErr w:type="spellEnd"/>
      <w:r w:rsidRPr="00A53188">
        <w:rPr>
          <w:sz w:val="20"/>
        </w:rPr>
        <w:t xml:space="preserve"> total of 100 samples were collected</w:t>
      </w:r>
    </w:p>
    <w:p w:rsidR="00554321" w:rsidRPr="00A53188" w:rsidRDefault="00A53188" w:rsidP="00A53188">
      <w:pPr>
        <w:snapToGrid w:val="0"/>
        <w:jc w:val="both"/>
        <w:rPr>
          <w:sz w:val="20"/>
        </w:rPr>
      </w:pPr>
      <w:r w:rsidRPr="00A53188">
        <w:rPr>
          <w:rStyle w:val="Strong"/>
          <w:sz w:val="20"/>
        </w:rPr>
        <w:lastRenderedPageBreak/>
        <w:t>Principles Of The Test</w:t>
      </w:r>
    </w:p>
    <w:p w:rsidR="00554321" w:rsidRPr="00A53188" w:rsidRDefault="00554321" w:rsidP="00A53188">
      <w:pPr>
        <w:snapToGrid w:val="0"/>
        <w:ind w:firstLine="425"/>
        <w:jc w:val="both"/>
        <w:rPr>
          <w:sz w:val="20"/>
        </w:rPr>
      </w:pPr>
      <w:r w:rsidRPr="00A53188">
        <w:rPr>
          <w:sz w:val="20"/>
        </w:rPr>
        <w:t xml:space="preserve">The quick one-step test utilizes a sandwich immunoassay system and the </w:t>
      </w:r>
      <w:proofErr w:type="spellStart"/>
      <w:r w:rsidRPr="00A53188">
        <w:rPr>
          <w:sz w:val="20"/>
        </w:rPr>
        <w:t>immunochromatographic</w:t>
      </w:r>
      <w:proofErr w:type="spellEnd"/>
      <w:r w:rsidRPr="00A53188">
        <w:rPr>
          <w:sz w:val="20"/>
        </w:rPr>
        <w:t xml:space="preserve"> detection assay, to be performed in one assay. If HAV antibody is present in the sample in concentration above the detection, a </w:t>
      </w:r>
      <w:proofErr w:type="spellStart"/>
      <w:r w:rsidRPr="00A53188">
        <w:rPr>
          <w:sz w:val="20"/>
        </w:rPr>
        <w:t>labeled</w:t>
      </w:r>
      <w:proofErr w:type="spellEnd"/>
      <w:r w:rsidRPr="00A53188">
        <w:rPr>
          <w:sz w:val="20"/>
        </w:rPr>
        <w:t xml:space="preserve"> antigen-dye complex will be formed. This complex is then captured by antibody immobilized in the Test Zone of the membrane, producing a visible pink-rose </w:t>
      </w:r>
      <w:proofErr w:type="spellStart"/>
      <w:r w:rsidRPr="00A53188">
        <w:rPr>
          <w:sz w:val="20"/>
        </w:rPr>
        <w:t>color</w:t>
      </w:r>
      <w:proofErr w:type="spellEnd"/>
      <w:r w:rsidRPr="00A53188">
        <w:rPr>
          <w:sz w:val="20"/>
        </w:rPr>
        <w:t xml:space="preserve"> band on the membrane. The </w:t>
      </w:r>
      <w:proofErr w:type="spellStart"/>
      <w:r w:rsidRPr="00A53188">
        <w:rPr>
          <w:sz w:val="20"/>
        </w:rPr>
        <w:t>color</w:t>
      </w:r>
      <w:proofErr w:type="spellEnd"/>
      <w:r w:rsidRPr="00A53188">
        <w:rPr>
          <w:sz w:val="20"/>
        </w:rPr>
        <w:t xml:space="preserve"> intensity will depend on the concentration of HAV antibody in the sample.</w:t>
      </w:r>
    </w:p>
    <w:p w:rsidR="00554321" w:rsidRPr="00A53188" w:rsidRDefault="00A53188" w:rsidP="00A53188">
      <w:pPr>
        <w:tabs>
          <w:tab w:val="left" w:pos="1232"/>
        </w:tabs>
        <w:snapToGrid w:val="0"/>
        <w:jc w:val="both"/>
        <w:rPr>
          <w:b/>
          <w:bCs/>
          <w:sz w:val="20"/>
        </w:rPr>
      </w:pPr>
      <w:r w:rsidRPr="00A53188">
        <w:rPr>
          <w:b/>
          <w:bCs/>
          <w:sz w:val="20"/>
        </w:rPr>
        <w:t>Interpretation Of Results</w:t>
      </w:r>
    </w:p>
    <w:p w:rsidR="00554321" w:rsidRPr="00A53188" w:rsidRDefault="00554321" w:rsidP="00A53188">
      <w:pPr>
        <w:tabs>
          <w:tab w:val="left" w:pos="1232"/>
        </w:tabs>
        <w:snapToGrid w:val="0"/>
        <w:ind w:firstLine="425"/>
        <w:jc w:val="both"/>
        <w:rPr>
          <w:sz w:val="20"/>
        </w:rPr>
      </w:pPr>
      <w:r w:rsidRPr="00A53188">
        <w:rPr>
          <w:sz w:val="20"/>
        </w:rPr>
        <w:t xml:space="preserve">Negative: Only one pink band appears on test region of the cassette. This indicates that there is no detectable anti-HAV </w:t>
      </w:r>
      <w:proofErr w:type="spellStart"/>
      <w:r w:rsidRPr="00A53188">
        <w:rPr>
          <w:sz w:val="20"/>
        </w:rPr>
        <w:t>IgM</w:t>
      </w:r>
      <w:proofErr w:type="spellEnd"/>
      <w:r w:rsidRPr="00A53188">
        <w:rPr>
          <w:sz w:val="20"/>
        </w:rPr>
        <w:t xml:space="preserve"> in the serum.</w:t>
      </w:r>
    </w:p>
    <w:p w:rsidR="00554321" w:rsidRPr="00A53188" w:rsidRDefault="00554321" w:rsidP="00A53188">
      <w:pPr>
        <w:tabs>
          <w:tab w:val="left" w:pos="1232"/>
        </w:tabs>
        <w:snapToGrid w:val="0"/>
        <w:ind w:firstLine="425"/>
        <w:jc w:val="both"/>
        <w:rPr>
          <w:sz w:val="20"/>
        </w:rPr>
      </w:pPr>
      <w:r w:rsidRPr="00A53188">
        <w:rPr>
          <w:sz w:val="20"/>
        </w:rPr>
        <w:t xml:space="preserve">POSITIVE: Two pink bands appear on test region of the cassette. This indicates that the specimen contains detectable amount of anti-HAV </w:t>
      </w:r>
      <w:proofErr w:type="spellStart"/>
      <w:r w:rsidRPr="00A53188">
        <w:rPr>
          <w:sz w:val="20"/>
        </w:rPr>
        <w:t>IgM</w:t>
      </w:r>
      <w:proofErr w:type="spellEnd"/>
      <w:r w:rsidRPr="00A53188">
        <w:rPr>
          <w:sz w:val="20"/>
        </w:rPr>
        <w:t>.</w:t>
      </w:r>
    </w:p>
    <w:p w:rsidR="00554321" w:rsidRPr="00A53188" w:rsidRDefault="00554321" w:rsidP="00A53188">
      <w:pPr>
        <w:tabs>
          <w:tab w:val="left" w:pos="1232"/>
        </w:tabs>
        <w:snapToGrid w:val="0"/>
        <w:ind w:firstLine="425"/>
        <w:jc w:val="both"/>
        <w:rPr>
          <w:sz w:val="20"/>
        </w:rPr>
      </w:pPr>
      <w:r w:rsidRPr="00A53188">
        <w:rPr>
          <w:sz w:val="20"/>
        </w:rPr>
        <w:t>INVALID: If without coloured bands appear on the test region, this is an indication of a possible error in performing the test. The test should be repeated using a new device.</w:t>
      </w:r>
    </w:p>
    <w:p w:rsidR="00554321" w:rsidRPr="00A53188" w:rsidRDefault="00A53188" w:rsidP="00A53188">
      <w:pPr>
        <w:tabs>
          <w:tab w:val="left" w:pos="1232"/>
        </w:tabs>
        <w:snapToGrid w:val="0"/>
        <w:jc w:val="both"/>
        <w:rPr>
          <w:b/>
          <w:bCs/>
          <w:sz w:val="20"/>
        </w:rPr>
      </w:pPr>
      <w:r w:rsidRPr="00A53188">
        <w:rPr>
          <w:b/>
          <w:bCs/>
          <w:sz w:val="20"/>
        </w:rPr>
        <w:t>Storage And Stability</w:t>
      </w:r>
    </w:p>
    <w:p w:rsidR="00A53188" w:rsidRDefault="00554321" w:rsidP="00A53188">
      <w:pPr>
        <w:tabs>
          <w:tab w:val="left" w:pos="1232"/>
        </w:tabs>
        <w:snapToGrid w:val="0"/>
        <w:ind w:firstLine="425"/>
        <w:jc w:val="both"/>
        <w:rPr>
          <w:sz w:val="20"/>
        </w:rPr>
      </w:pPr>
      <w:r w:rsidRPr="00A53188">
        <w:rPr>
          <w:sz w:val="20"/>
        </w:rPr>
        <w:t>The test kit can be stored at room temperature (18 to 30</w:t>
      </w:r>
      <w:r w:rsidRPr="00A53188">
        <w:rPr>
          <w:sz w:val="20"/>
          <w:vertAlign w:val="superscript"/>
        </w:rPr>
        <w:t>o</w:t>
      </w:r>
      <w:r w:rsidRPr="00A53188">
        <w:rPr>
          <w:sz w:val="20"/>
        </w:rPr>
        <w:t>c) in the sealed pouch in the date of the expiration. The test kit should be kept away from direct sunlight, moisture and heat.</w:t>
      </w:r>
    </w:p>
    <w:p w:rsidR="00A53188" w:rsidRDefault="00A53188" w:rsidP="00A53188">
      <w:pPr>
        <w:tabs>
          <w:tab w:val="left" w:pos="1323"/>
        </w:tabs>
        <w:snapToGrid w:val="0"/>
        <w:jc w:val="both"/>
        <w:rPr>
          <w:rFonts w:eastAsiaTheme="minorEastAsia"/>
          <w:b/>
          <w:bCs/>
          <w:sz w:val="20"/>
          <w:lang w:eastAsia="zh-CN"/>
        </w:rPr>
      </w:pPr>
    </w:p>
    <w:p w:rsidR="00554321" w:rsidRPr="00A53188" w:rsidRDefault="00A53188" w:rsidP="00A53188">
      <w:pPr>
        <w:tabs>
          <w:tab w:val="left" w:pos="1323"/>
        </w:tabs>
        <w:snapToGrid w:val="0"/>
        <w:jc w:val="both"/>
        <w:rPr>
          <w:b/>
          <w:bCs/>
          <w:sz w:val="20"/>
        </w:rPr>
      </w:pPr>
      <w:r w:rsidRPr="00A53188">
        <w:rPr>
          <w:b/>
          <w:bCs/>
          <w:sz w:val="20"/>
        </w:rPr>
        <w:t>Results</w:t>
      </w:r>
    </w:p>
    <w:p w:rsidR="00554321" w:rsidRPr="00A53188" w:rsidRDefault="00554321" w:rsidP="00A53188">
      <w:pPr>
        <w:snapToGrid w:val="0"/>
        <w:ind w:firstLine="425"/>
        <w:jc w:val="both"/>
        <w:rPr>
          <w:sz w:val="20"/>
        </w:rPr>
      </w:pPr>
      <w:r w:rsidRPr="00A53188">
        <w:rPr>
          <w:sz w:val="20"/>
        </w:rPr>
        <w:t>The demographic representation of the study population is as shown in Table1. The study involved both children and adults. A total of 100 consisting of 44 (43.6%) males and 56 (56.4%) females were studied. They were in the age range of 3 – 80 years with mean (±SD) age of 22.7±12.7 years.</w:t>
      </w:r>
    </w:p>
    <w:p w:rsidR="00A53188" w:rsidRPr="00A53188" w:rsidRDefault="00A53188" w:rsidP="00A53188">
      <w:pPr>
        <w:snapToGrid w:val="0"/>
        <w:jc w:val="both"/>
        <w:rPr>
          <w:b/>
          <w:sz w:val="20"/>
        </w:rPr>
        <w:sectPr w:rsidR="00A53188" w:rsidRPr="00A53188" w:rsidSect="0033655F">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112A3C" w:rsidRPr="00A53188" w:rsidRDefault="00112A3C" w:rsidP="00A53188">
      <w:pPr>
        <w:snapToGrid w:val="0"/>
        <w:jc w:val="both"/>
        <w:rPr>
          <w:b/>
          <w:sz w:val="20"/>
        </w:rPr>
      </w:pPr>
    </w:p>
    <w:p w:rsidR="00554321" w:rsidRPr="00A53188" w:rsidRDefault="00554321" w:rsidP="00A53188">
      <w:pPr>
        <w:snapToGrid w:val="0"/>
        <w:jc w:val="center"/>
        <w:rPr>
          <w:sz w:val="20"/>
        </w:rPr>
      </w:pPr>
      <w:r w:rsidRPr="00A53188">
        <w:rPr>
          <w:sz w:val="20"/>
        </w:rPr>
        <w:t>Table 1. Demographic representation of the study population</w:t>
      </w:r>
    </w:p>
    <w:tbl>
      <w:tblPr>
        <w:tblW w:w="0" w:type="auto"/>
        <w:jc w:val="center"/>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8"/>
      </w:tblGrid>
      <w:tr w:rsidR="00554321" w:rsidRPr="00A53188" w:rsidTr="00AF514F">
        <w:trPr>
          <w:jc w:val="center"/>
        </w:trPr>
        <w:tc>
          <w:tcPr>
            <w:tcW w:w="7458" w:type="dxa"/>
            <w:vAlign w:val="center"/>
            <w:hideMark/>
          </w:tcPr>
          <w:p w:rsidR="00554321" w:rsidRPr="00A53188" w:rsidRDefault="00554321" w:rsidP="00E11CF9">
            <w:pPr>
              <w:tabs>
                <w:tab w:val="right" w:pos="2202"/>
                <w:tab w:val="right" w:pos="3761"/>
                <w:tab w:val="right" w:pos="5320"/>
                <w:tab w:val="right" w:pos="6454"/>
              </w:tabs>
              <w:snapToGrid w:val="0"/>
              <w:jc w:val="both"/>
              <w:rPr>
                <w:color w:val="000000"/>
                <w:sz w:val="20"/>
              </w:rPr>
            </w:pPr>
            <w:r w:rsidRPr="00A53188">
              <w:rPr>
                <w:color w:val="000000"/>
                <w:sz w:val="20"/>
              </w:rPr>
              <w:t>Variables</w:t>
            </w:r>
            <w:r w:rsidR="00A53188">
              <w:rPr>
                <w:color w:val="000000"/>
                <w:sz w:val="20"/>
              </w:rPr>
              <w:t xml:space="preserve"> </w:t>
            </w:r>
            <w:r w:rsidR="00A53188">
              <w:rPr>
                <w:color w:val="000000"/>
                <w:sz w:val="20"/>
              </w:rPr>
              <w:tab/>
            </w:r>
            <w:r w:rsidR="00A53188" w:rsidRPr="00A53188">
              <w:rPr>
                <w:color w:val="000000"/>
                <w:sz w:val="20"/>
              </w:rPr>
              <w:t>f</w:t>
            </w:r>
            <w:r w:rsidRPr="00A53188">
              <w:rPr>
                <w:color w:val="000000"/>
                <w:sz w:val="20"/>
              </w:rPr>
              <w:t>requency</w:t>
            </w:r>
            <w:r w:rsidR="00A53188">
              <w:rPr>
                <w:color w:val="000000"/>
                <w:sz w:val="20"/>
              </w:rPr>
              <w:t xml:space="preserve"> </w:t>
            </w:r>
            <w:r w:rsidR="00A53188">
              <w:rPr>
                <w:color w:val="000000"/>
                <w:sz w:val="20"/>
              </w:rPr>
              <w:tab/>
            </w:r>
            <w:r w:rsidR="00A53188" w:rsidRPr="00A53188">
              <w:rPr>
                <w:color w:val="000000"/>
                <w:sz w:val="20"/>
              </w:rPr>
              <w:t>p</w:t>
            </w:r>
            <w:r w:rsidRPr="00A53188">
              <w:rPr>
                <w:color w:val="000000"/>
                <w:sz w:val="20"/>
              </w:rPr>
              <w:t>ercentage</w:t>
            </w:r>
            <w:r w:rsidR="00A53188">
              <w:rPr>
                <w:color w:val="000000"/>
                <w:sz w:val="20"/>
              </w:rPr>
              <w:t xml:space="preserve"> </w:t>
            </w:r>
            <w:r w:rsidR="00A53188">
              <w:rPr>
                <w:color w:val="000000"/>
                <w:sz w:val="20"/>
              </w:rPr>
              <w:tab/>
            </w:r>
            <w:r w:rsidR="00A53188" w:rsidRPr="00A53188">
              <w:rPr>
                <w:color w:val="000000"/>
                <w:sz w:val="20"/>
              </w:rPr>
              <w:t>m</w:t>
            </w:r>
            <w:r w:rsidRPr="00A53188">
              <w:rPr>
                <w:color w:val="000000"/>
                <w:sz w:val="20"/>
              </w:rPr>
              <w:t>ean</w:t>
            </w:r>
            <w:r w:rsidR="00A53188">
              <w:rPr>
                <w:color w:val="000000"/>
                <w:sz w:val="20"/>
              </w:rPr>
              <w:t xml:space="preserve"> </w:t>
            </w:r>
            <w:r w:rsidRPr="00A53188">
              <w:rPr>
                <w:color w:val="000000"/>
                <w:sz w:val="20"/>
              </w:rPr>
              <w:t>±</w:t>
            </w:r>
            <w:r w:rsidR="00A53188">
              <w:rPr>
                <w:color w:val="000000"/>
                <w:sz w:val="20"/>
              </w:rPr>
              <w:t xml:space="preserve"> </w:t>
            </w:r>
            <w:r w:rsidRPr="00A53188">
              <w:rPr>
                <w:color w:val="000000"/>
                <w:sz w:val="20"/>
              </w:rPr>
              <w:t>SD</w:t>
            </w:r>
            <w:r w:rsidR="00A53188">
              <w:rPr>
                <w:color w:val="000000"/>
                <w:sz w:val="20"/>
              </w:rPr>
              <w:t xml:space="preserve"> </w:t>
            </w:r>
            <w:r w:rsidR="00A53188">
              <w:rPr>
                <w:color w:val="000000"/>
                <w:sz w:val="20"/>
              </w:rPr>
              <w:tab/>
            </w:r>
            <w:r w:rsidR="00A53188" w:rsidRPr="00A53188">
              <w:rPr>
                <w:color w:val="000000"/>
                <w:sz w:val="20"/>
              </w:rPr>
              <w:t>R</w:t>
            </w:r>
            <w:r w:rsidRPr="00A53188">
              <w:rPr>
                <w:color w:val="000000"/>
                <w:sz w:val="20"/>
              </w:rPr>
              <w:t>ange</w:t>
            </w:r>
          </w:p>
        </w:tc>
      </w:tr>
      <w:tr w:rsidR="00554321" w:rsidRPr="00A53188" w:rsidTr="00AF514F">
        <w:trPr>
          <w:jc w:val="center"/>
        </w:trPr>
        <w:tc>
          <w:tcPr>
            <w:tcW w:w="7458" w:type="dxa"/>
            <w:vAlign w:val="center"/>
          </w:tcPr>
          <w:p w:rsidR="00554321" w:rsidRPr="00A53188" w:rsidRDefault="00554321" w:rsidP="00E11CF9">
            <w:pPr>
              <w:tabs>
                <w:tab w:val="right" w:pos="2202"/>
                <w:tab w:val="right" w:pos="3761"/>
                <w:tab w:val="right" w:pos="5320"/>
                <w:tab w:val="right" w:pos="6454"/>
              </w:tabs>
              <w:snapToGrid w:val="0"/>
              <w:jc w:val="both"/>
              <w:rPr>
                <w:color w:val="000000"/>
                <w:sz w:val="20"/>
              </w:rPr>
            </w:pPr>
            <w:r w:rsidRPr="00A53188">
              <w:rPr>
                <w:color w:val="000000"/>
                <w:sz w:val="20"/>
              </w:rPr>
              <w:t>Age</w:t>
            </w:r>
            <w:r w:rsidR="00A53188">
              <w:rPr>
                <w:color w:val="000000"/>
                <w:sz w:val="20"/>
              </w:rPr>
              <w:t xml:space="preserve"> </w:t>
            </w:r>
            <w:r w:rsidRPr="00A53188">
              <w:rPr>
                <w:color w:val="000000"/>
                <w:sz w:val="20"/>
              </w:rPr>
              <w:t>(years)</w:t>
            </w:r>
            <w:r w:rsidR="00A53188">
              <w:rPr>
                <w:color w:val="000000"/>
                <w:sz w:val="20"/>
              </w:rPr>
              <w:t xml:space="preserve"> </w:t>
            </w:r>
            <w:r w:rsidR="00A53188">
              <w:rPr>
                <w:color w:val="000000"/>
                <w:sz w:val="20"/>
              </w:rPr>
              <w:tab/>
            </w:r>
            <w:r w:rsidR="00A53188" w:rsidRPr="00A53188">
              <w:rPr>
                <w:color w:val="000000"/>
                <w:sz w:val="20"/>
              </w:rPr>
              <w:t>-</w:t>
            </w:r>
            <w:r w:rsidR="00A53188">
              <w:rPr>
                <w:color w:val="000000"/>
                <w:sz w:val="20"/>
              </w:rPr>
              <w:t xml:space="preserve"> </w:t>
            </w:r>
            <w:r w:rsidR="00A53188">
              <w:rPr>
                <w:color w:val="000000"/>
                <w:sz w:val="20"/>
              </w:rPr>
              <w:tab/>
            </w:r>
            <w:r w:rsidR="00A53188" w:rsidRPr="00A53188">
              <w:rPr>
                <w:color w:val="000000"/>
                <w:sz w:val="20"/>
              </w:rPr>
              <w:t>-</w:t>
            </w:r>
            <w:r w:rsidR="00A53188">
              <w:rPr>
                <w:color w:val="000000"/>
                <w:sz w:val="20"/>
              </w:rPr>
              <w:t xml:space="preserve"> </w:t>
            </w:r>
            <w:r w:rsidR="00A53188">
              <w:rPr>
                <w:color w:val="000000"/>
                <w:sz w:val="20"/>
              </w:rPr>
              <w:tab/>
            </w:r>
            <w:r w:rsidR="00A53188" w:rsidRPr="00A53188">
              <w:rPr>
                <w:color w:val="000000"/>
                <w:sz w:val="20"/>
              </w:rPr>
              <w:t>2</w:t>
            </w:r>
            <w:r w:rsidRPr="00A53188">
              <w:rPr>
                <w:color w:val="000000"/>
                <w:sz w:val="20"/>
              </w:rPr>
              <w:t>2.7±12.7</w:t>
            </w:r>
            <w:r w:rsidR="00A53188">
              <w:rPr>
                <w:color w:val="000000"/>
                <w:sz w:val="20"/>
              </w:rPr>
              <w:t xml:space="preserve"> </w:t>
            </w:r>
            <w:r w:rsidR="00A53188">
              <w:rPr>
                <w:color w:val="000000"/>
                <w:sz w:val="20"/>
              </w:rPr>
              <w:tab/>
            </w:r>
            <w:r w:rsidR="00A53188" w:rsidRPr="00A53188">
              <w:rPr>
                <w:color w:val="000000"/>
                <w:sz w:val="20"/>
              </w:rPr>
              <w:t>3</w:t>
            </w:r>
            <w:r w:rsidRPr="00A53188">
              <w:rPr>
                <w:color w:val="000000"/>
                <w:sz w:val="20"/>
              </w:rPr>
              <w:t>-80</w:t>
            </w:r>
          </w:p>
          <w:p w:rsidR="00554321" w:rsidRPr="00A53188" w:rsidRDefault="00554321" w:rsidP="00E11CF9">
            <w:pPr>
              <w:tabs>
                <w:tab w:val="right" w:pos="2202"/>
                <w:tab w:val="right" w:pos="3761"/>
                <w:tab w:val="right" w:pos="5320"/>
                <w:tab w:val="right" w:pos="6454"/>
              </w:tabs>
              <w:snapToGrid w:val="0"/>
              <w:jc w:val="both"/>
              <w:rPr>
                <w:color w:val="000000"/>
                <w:sz w:val="20"/>
              </w:rPr>
            </w:pPr>
          </w:p>
        </w:tc>
      </w:tr>
      <w:tr w:rsidR="00554321" w:rsidRPr="00A53188" w:rsidTr="00AF514F">
        <w:trPr>
          <w:jc w:val="center"/>
        </w:trPr>
        <w:tc>
          <w:tcPr>
            <w:tcW w:w="7458" w:type="dxa"/>
            <w:vAlign w:val="center"/>
          </w:tcPr>
          <w:p w:rsidR="00554321" w:rsidRPr="00A53188" w:rsidRDefault="00554321" w:rsidP="00E11CF9">
            <w:pPr>
              <w:tabs>
                <w:tab w:val="right" w:pos="2202"/>
                <w:tab w:val="right" w:pos="3761"/>
                <w:tab w:val="right" w:pos="5320"/>
                <w:tab w:val="right" w:pos="6454"/>
              </w:tabs>
              <w:snapToGrid w:val="0"/>
              <w:jc w:val="both"/>
              <w:rPr>
                <w:color w:val="000000"/>
                <w:sz w:val="20"/>
              </w:rPr>
            </w:pPr>
            <w:r w:rsidRPr="00A53188">
              <w:rPr>
                <w:color w:val="000000"/>
                <w:sz w:val="20"/>
              </w:rPr>
              <w:t>Sex</w:t>
            </w:r>
            <w:r w:rsidR="00A53188">
              <w:rPr>
                <w:color w:val="000000"/>
                <w:sz w:val="20"/>
              </w:rPr>
              <w:t xml:space="preserve"> </w:t>
            </w:r>
            <w:r w:rsidRPr="00A53188">
              <w:rPr>
                <w:color w:val="000000"/>
                <w:sz w:val="20"/>
              </w:rPr>
              <w:t>(Males)</w:t>
            </w:r>
            <w:r w:rsidR="00A53188">
              <w:rPr>
                <w:color w:val="000000"/>
                <w:sz w:val="20"/>
              </w:rPr>
              <w:t xml:space="preserve"> </w:t>
            </w:r>
            <w:r w:rsidR="00A53188">
              <w:rPr>
                <w:color w:val="000000"/>
                <w:sz w:val="20"/>
              </w:rPr>
              <w:tab/>
            </w:r>
            <w:r w:rsidR="00A53188" w:rsidRPr="00A53188">
              <w:rPr>
                <w:color w:val="000000"/>
                <w:sz w:val="20"/>
              </w:rPr>
              <w:t>4</w:t>
            </w:r>
            <w:r w:rsidRPr="00A53188">
              <w:rPr>
                <w:color w:val="000000"/>
                <w:sz w:val="20"/>
              </w:rPr>
              <w:t>4</w:t>
            </w:r>
            <w:r w:rsidR="00A53188">
              <w:rPr>
                <w:color w:val="000000"/>
                <w:sz w:val="20"/>
              </w:rPr>
              <w:t xml:space="preserve"> </w:t>
            </w:r>
            <w:r w:rsidR="00A53188">
              <w:rPr>
                <w:color w:val="000000"/>
                <w:sz w:val="20"/>
              </w:rPr>
              <w:tab/>
            </w:r>
            <w:r w:rsidR="00A53188" w:rsidRPr="00A53188">
              <w:rPr>
                <w:color w:val="000000"/>
                <w:sz w:val="20"/>
              </w:rPr>
              <w:t>4</w:t>
            </w:r>
            <w:r w:rsidRPr="00A53188">
              <w:rPr>
                <w:color w:val="000000"/>
                <w:sz w:val="20"/>
              </w:rPr>
              <w:t>3.6</w:t>
            </w:r>
            <w:r w:rsidR="00A53188">
              <w:rPr>
                <w:color w:val="000000"/>
                <w:sz w:val="20"/>
              </w:rPr>
              <w:t xml:space="preserve"> </w:t>
            </w:r>
            <w:r w:rsidR="00A53188">
              <w:rPr>
                <w:color w:val="000000"/>
                <w:sz w:val="20"/>
              </w:rPr>
              <w:tab/>
            </w:r>
            <w:r w:rsidR="00A53188" w:rsidRPr="00A53188">
              <w:rPr>
                <w:color w:val="000000"/>
                <w:sz w:val="20"/>
              </w:rPr>
              <w:t>-</w:t>
            </w:r>
            <w:r w:rsidR="00A53188">
              <w:rPr>
                <w:color w:val="000000"/>
                <w:sz w:val="20"/>
              </w:rPr>
              <w:t xml:space="preserve"> </w:t>
            </w:r>
            <w:r w:rsidR="00A53188">
              <w:rPr>
                <w:color w:val="000000"/>
                <w:sz w:val="20"/>
              </w:rPr>
              <w:tab/>
            </w:r>
            <w:r w:rsidR="00A53188" w:rsidRPr="00A53188">
              <w:rPr>
                <w:color w:val="000000"/>
                <w:sz w:val="20"/>
              </w:rPr>
              <w:t>-</w:t>
            </w:r>
          </w:p>
          <w:p w:rsidR="00554321" w:rsidRPr="00A53188" w:rsidRDefault="00554321" w:rsidP="00E11CF9">
            <w:pPr>
              <w:tabs>
                <w:tab w:val="right" w:pos="2202"/>
                <w:tab w:val="right" w:pos="3761"/>
                <w:tab w:val="right" w:pos="5320"/>
                <w:tab w:val="right" w:pos="6454"/>
              </w:tabs>
              <w:snapToGrid w:val="0"/>
              <w:jc w:val="both"/>
              <w:rPr>
                <w:color w:val="000000"/>
                <w:sz w:val="20"/>
              </w:rPr>
            </w:pPr>
            <w:r w:rsidRPr="00A53188">
              <w:rPr>
                <w:color w:val="000000"/>
                <w:sz w:val="20"/>
              </w:rPr>
              <w:t>(Females)</w:t>
            </w:r>
            <w:r w:rsidR="00A53188">
              <w:rPr>
                <w:color w:val="000000"/>
                <w:sz w:val="20"/>
              </w:rPr>
              <w:t xml:space="preserve"> </w:t>
            </w:r>
            <w:r w:rsidR="00A53188">
              <w:rPr>
                <w:color w:val="000000"/>
                <w:sz w:val="20"/>
              </w:rPr>
              <w:tab/>
            </w:r>
            <w:r w:rsidR="00A53188" w:rsidRPr="00A53188">
              <w:rPr>
                <w:color w:val="000000"/>
                <w:sz w:val="20"/>
              </w:rPr>
              <w:t>5</w:t>
            </w:r>
            <w:r w:rsidRPr="00A53188">
              <w:rPr>
                <w:color w:val="000000"/>
                <w:sz w:val="20"/>
              </w:rPr>
              <w:t>6</w:t>
            </w:r>
            <w:r w:rsidR="00A53188">
              <w:rPr>
                <w:color w:val="000000"/>
                <w:sz w:val="20"/>
              </w:rPr>
              <w:t xml:space="preserve"> </w:t>
            </w:r>
            <w:r w:rsidR="00A53188">
              <w:rPr>
                <w:color w:val="000000"/>
                <w:sz w:val="20"/>
              </w:rPr>
              <w:tab/>
            </w:r>
            <w:r w:rsidR="00A53188" w:rsidRPr="00A53188">
              <w:rPr>
                <w:color w:val="000000"/>
                <w:sz w:val="20"/>
              </w:rPr>
              <w:t>5</w:t>
            </w:r>
            <w:r w:rsidRPr="00A53188">
              <w:rPr>
                <w:color w:val="000000"/>
                <w:sz w:val="20"/>
              </w:rPr>
              <w:t>6.4</w:t>
            </w:r>
            <w:r w:rsidR="00A53188">
              <w:rPr>
                <w:color w:val="000000"/>
                <w:sz w:val="20"/>
              </w:rPr>
              <w:t xml:space="preserve"> </w:t>
            </w:r>
            <w:r w:rsidR="00A53188">
              <w:rPr>
                <w:color w:val="000000"/>
                <w:sz w:val="20"/>
              </w:rPr>
              <w:tab/>
            </w:r>
            <w:r w:rsidR="00A53188" w:rsidRPr="00A53188">
              <w:rPr>
                <w:color w:val="000000"/>
                <w:sz w:val="20"/>
              </w:rPr>
              <w:t>-</w:t>
            </w:r>
            <w:r w:rsidR="00A53188">
              <w:rPr>
                <w:color w:val="000000"/>
                <w:sz w:val="20"/>
              </w:rPr>
              <w:t xml:space="preserve"> </w:t>
            </w:r>
            <w:r w:rsidR="00A53188">
              <w:rPr>
                <w:color w:val="000000"/>
                <w:sz w:val="20"/>
              </w:rPr>
              <w:tab/>
            </w:r>
            <w:r w:rsidR="00A53188" w:rsidRPr="00A53188">
              <w:rPr>
                <w:color w:val="000000"/>
                <w:sz w:val="20"/>
              </w:rPr>
              <w:t>-</w:t>
            </w:r>
          </w:p>
          <w:p w:rsidR="00554321" w:rsidRPr="00A53188" w:rsidRDefault="00554321" w:rsidP="00E11CF9">
            <w:pPr>
              <w:tabs>
                <w:tab w:val="right" w:pos="2202"/>
                <w:tab w:val="right" w:pos="3761"/>
                <w:tab w:val="right" w:pos="5320"/>
                <w:tab w:val="right" w:pos="6454"/>
              </w:tabs>
              <w:snapToGrid w:val="0"/>
              <w:jc w:val="both"/>
              <w:rPr>
                <w:color w:val="000000"/>
                <w:sz w:val="20"/>
              </w:rPr>
            </w:pPr>
          </w:p>
        </w:tc>
      </w:tr>
      <w:tr w:rsidR="00554321" w:rsidRPr="00A53188" w:rsidTr="00AF514F">
        <w:trPr>
          <w:jc w:val="center"/>
        </w:trPr>
        <w:tc>
          <w:tcPr>
            <w:tcW w:w="7458" w:type="dxa"/>
            <w:vAlign w:val="center"/>
            <w:hideMark/>
          </w:tcPr>
          <w:p w:rsidR="00554321" w:rsidRPr="00A53188" w:rsidRDefault="00554321" w:rsidP="00E11CF9">
            <w:pPr>
              <w:tabs>
                <w:tab w:val="right" w:pos="2202"/>
                <w:tab w:val="right" w:pos="3761"/>
                <w:tab w:val="right" w:pos="5320"/>
                <w:tab w:val="right" w:pos="6454"/>
              </w:tabs>
              <w:snapToGrid w:val="0"/>
              <w:jc w:val="both"/>
              <w:rPr>
                <w:color w:val="000000"/>
                <w:sz w:val="20"/>
              </w:rPr>
            </w:pPr>
            <w:r w:rsidRPr="00A53188">
              <w:rPr>
                <w:color w:val="000000"/>
                <w:sz w:val="20"/>
              </w:rPr>
              <w:t>TOTAL</w:t>
            </w:r>
            <w:r w:rsidR="00A53188">
              <w:rPr>
                <w:color w:val="000000"/>
                <w:sz w:val="20"/>
              </w:rPr>
              <w:t xml:space="preserve"> </w:t>
            </w:r>
            <w:r w:rsidR="00A53188">
              <w:rPr>
                <w:color w:val="000000"/>
                <w:sz w:val="20"/>
              </w:rPr>
              <w:tab/>
            </w:r>
            <w:r w:rsidR="00A53188" w:rsidRPr="00A53188">
              <w:rPr>
                <w:color w:val="000000"/>
                <w:sz w:val="20"/>
              </w:rPr>
              <w:t>1</w:t>
            </w:r>
            <w:r w:rsidRPr="00A53188">
              <w:rPr>
                <w:color w:val="000000"/>
                <w:sz w:val="20"/>
              </w:rPr>
              <w:t>00</w:t>
            </w:r>
            <w:r w:rsidR="00A53188">
              <w:rPr>
                <w:color w:val="000000"/>
                <w:sz w:val="20"/>
              </w:rPr>
              <w:t xml:space="preserve"> </w:t>
            </w:r>
            <w:r w:rsidR="00A53188">
              <w:rPr>
                <w:color w:val="000000"/>
                <w:sz w:val="20"/>
              </w:rPr>
              <w:tab/>
            </w:r>
            <w:r w:rsidR="00A53188" w:rsidRPr="00A53188">
              <w:rPr>
                <w:color w:val="000000"/>
                <w:sz w:val="20"/>
              </w:rPr>
              <w:t>1</w:t>
            </w:r>
            <w:r w:rsidRPr="00A53188">
              <w:rPr>
                <w:color w:val="000000"/>
                <w:sz w:val="20"/>
              </w:rPr>
              <w:t>00</w:t>
            </w:r>
          </w:p>
        </w:tc>
      </w:tr>
    </w:tbl>
    <w:p w:rsidR="00554321" w:rsidRPr="00A53188" w:rsidRDefault="00554321" w:rsidP="00A53188">
      <w:pPr>
        <w:snapToGrid w:val="0"/>
        <w:ind w:firstLine="425"/>
        <w:jc w:val="both"/>
        <w:rPr>
          <w:sz w:val="20"/>
        </w:rPr>
      </w:pPr>
    </w:p>
    <w:p w:rsidR="00FB4F70" w:rsidRDefault="00FB4F70" w:rsidP="00E11CF9">
      <w:pPr>
        <w:snapToGrid w:val="0"/>
        <w:ind w:firstLine="425"/>
        <w:jc w:val="both"/>
        <w:rPr>
          <w:sz w:val="20"/>
        </w:rPr>
        <w:sectPr w:rsidR="00FB4F70" w:rsidSect="0033655F">
          <w:headerReference w:type="default" r:id="rId13"/>
          <w:footerReference w:type="default" r:id="rId14"/>
          <w:type w:val="continuous"/>
          <w:pgSz w:w="12240" w:h="15840" w:code="1"/>
          <w:pgMar w:top="1440" w:right="1440" w:bottom="1440" w:left="1440" w:header="720" w:footer="720" w:gutter="0"/>
          <w:cols w:space="720"/>
          <w:docGrid w:linePitch="360"/>
        </w:sectPr>
      </w:pPr>
    </w:p>
    <w:p w:rsidR="00554321" w:rsidRPr="00A53188" w:rsidRDefault="00554321" w:rsidP="00E11CF9">
      <w:pPr>
        <w:snapToGrid w:val="0"/>
        <w:ind w:firstLine="425"/>
        <w:jc w:val="both"/>
        <w:rPr>
          <w:sz w:val="20"/>
        </w:rPr>
      </w:pPr>
      <w:r w:rsidRPr="00A53188">
        <w:rPr>
          <w:sz w:val="20"/>
        </w:rPr>
        <w:lastRenderedPageBreak/>
        <w:t>Table 2 shows that the two patients</w:t>
      </w:r>
      <w:r w:rsidR="00264383">
        <w:rPr>
          <w:sz w:val="20"/>
        </w:rPr>
        <w:t xml:space="preserve"> </w:t>
      </w:r>
      <w:r w:rsidRPr="00A53188">
        <w:rPr>
          <w:sz w:val="20"/>
        </w:rPr>
        <w:t>with HAV infection were in the age groups of 0-10, 1(4.2%)</w:t>
      </w:r>
      <w:r w:rsidR="00264383">
        <w:rPr>
          <w:sz w:val="20"/>
        </w:rPr>
        <w:t xml:space="preserve"> </w:t>
      </w:r>
      <w:r w:rsidRPr="00A53188">
        <w:rPr>
          <w:sz w:val="20"/>
        </w:rPr>
        <w:t>and</w:t>
      </w:r>
      <w:r w:rsidR="00264383">
        <w:rPr>
          <w:sz w:val="20"/>
        </w:rPr>
        <w:t xml:space="preserve"> </w:t>
      </w:r>
      <w:r w:rsidRPr="00A53188">
        <w:rPr>
          <w:sz w:val="20"/>
        </w:rPr>
        <w:t>11-20, 1(3.7%), none positive in the other age groups,</w:t>
      </w:r>
      <w:r w:rsidR="00264383">
        <w:rPr>
          <w:sz w:val="20"/>
        </w:rPr>
        <w:t xml:space="preserve"> </w:t>
      </w:r>
      <w:r w:rsidRPr="00A53188">
        <w:rPr>
          <w:sz w:val="20"/>
        </w:rPr>
        <w:t>there however</w:t>
      </w:r>
      <w:r w:rsidR="00264383">
        <w:rPr>
          <w:sz w:val="20"/>
        </w:rPr>
        <w:t xml:space="preserve"> </w:t>
      </w:r>
      <w:r w:rsidRPr="00A53188">
        <w:rPr>
          <w:sz w:val="20"/>
        </w:rPr>
        <w:t>was no</w:t>
      </w:r>
      <w:r w:rsidR="00264383">
        <w:rPr>
          <w:sz w:val="20"/>
        </w:rPr>
        <w:t xml:space="preserve"> </w:t>
      </w:r>
      <w:r w:rsidRPr="00A53188">
        <w:rPr>
          <w:sz w:val="20"/>
        </w:rPr>
        <w:t>significant difference among the age groups (x</w:t>
      </w:r>
      <w:r w:rsidRPr="00A53188">
        <w:rPr>
          <w:sz w:val="20"/>
          <w:vertAlign w:val="superscript"/>
        </w:rPr>
        <w:t>2</w:t>
      </w:r>
      <w:r w:rsidRPr="00A53188">
        <w:rPr>
          <w:sz w:val="20"/>
        </w:rPr>
        <w:t xml:space="preserve">=66.65, </w:t>
      </w:r>
      <w:proofErr w:type="spellStart"/>
      <w:r w:rsidRPr="00A53188">
        <w:rPr>
          <w:sz w:val="20"/>
        </w:rPr>
        <w:t>df</w:t>
      </w:r>
      <w:proofErr w:type="spellEnd"/>
      <w:r w:rsidRPr="00A53188">
        <w:rPr>
          <w:sz w:val="20"/>
        </w:rPr>
        <w:t>=1, p=0.219).</w:t>
      </w:r>
    </w:p>
    <w:p w:rsidR="00554321" w:rsidRPr="00A53188" w:rsidRDefault="00554321" w:rsidP="00A53188">
      <w:pPr>
        <w:snapToGrid w:val="0"/>
        <w:ind w:firstLine="425"/>
        <w:jc w:val="both"/>
        <w:rPr>
          <w:sz w:val="20"/>
        </w:rPr>
      </w:pPr>
      <w:r w:rsidRPr="00A53188">
        <w:rPr>
          <w:sz w:val="20"/>
        </w:rPr>
        <w:t xml:space="preserve">HAV is more prevalent among females 2(3.5%) compared to males 0(0%), however there was no </w:t>
      </w:r>
      <w:r w:rsidRPr="00A53188">
        <w:rPr>
          <w:sz w:val="20"/>
        </w:rPr>
        <w:lastRenderedPageBreak/>
        <w:t>significant difference among the males and female (x</w:t>
      </w:r>
      <w:r w:rsidRPr="00A53188">
        <w:rPr>
          <w:sz w:val="20"/>
          <w:vertAlign w:val="superscript"/>
        </w:rPr>
        <w:t>2</w:t>
      </w:r>
      <w:r w:rsidRPr="00A53188">
        <w:rPr>
          <w:sz w:val="20"/>
        </w:rPr>
        <w:t>=1.575,df=1, p=0.128) as shown in Table 2.</w:t>
      </w:r>
    </w:p>
    <w:p w:rsidR="00554321" w:rsidRPr="00A53188" w:rsidRDefault="00554321" w:rsidP="00A53188">
      <w:pPr>
        <w:snapToGrid w:val="0"/>
        <w:ind w:firstLine="425"/>
        <w:jc w:val="both"/>
        <w:rPr>
          <w:sz w:val="20"/>
        </w:rPr>
      </w:pPr>
      <w:r w:rsidRPr="00A53188">
        <w:rPr>
          <w:sz w:val="20"/>
        </w:rPr>
        <w:t>Table 2 all shows that HAV infection is most prevalent in patients that presented with fever alone 2 (5.2%), all the others are negative, despite this there was no significant difference (x</w:t>
      </w:r>
      <w:r w:rsidRPr="00A53188">
        <w:rPr>
          <w:sz w:val="20"/>
          <w:vertAlign w:val="superscript"/>
        </w:rPr>
        <w:t>2</w:t>
      </w:r>
      <w:r w:rsidRPr="00A53188">
        <w:rPr>
          <w:sz w:val="20"/>
        </w:rPr>
        <w:t>=3.24,df=1,p=0.113).</w:t>
      </w:r>
    </w:p>
    <w:p w:rsidR="00112A3C" w:rsidRPr="00A53188" w:rsidRDefault="00112A3C" w:rsidP="00A53188">
      <w:pPr>
        <w:snapToGrid w:val="0"/>
        <w:ind w:firstLine="425"/>
        <w:jc w:val="both"/>
        <w:rPr>
          <w:sz w:val="20"/>
        </w:rPr>
      </w:pPr>
    </w:p>
    <w:p w:rsidR="00FB4F70" w:rsidRDefault="00FB4F70" w:rsidP="00E11CF9">
      <w:pPr>
        <w:snapToGrid w:val="0"/>
        <w:jc w:val="center"/>
        <w:rPr>
          <w:sz w:val="20"/>
        </w:rPr>
        <w:sectPr w:rsidR="00FB4F70" w:rsidSect="00FB4F70">
          <w:type w:val="continuous"/>
          <w:pgSz w:w="12240" w:h="15840" w:code="1"/>
          <w:pgMar w:top="1440" w:right="1440" w:bottom="1440" w:left="1440" w:header="720" w:footer="720" w:gutter="0"/>
          <w:cols w:num="2" w:space="425"/>
          <w:docGrid w:linePitch="360"/>
        </w:sectPr>
      </w:pPr>
    </w:p>
    <w:p w:rsidR="00FB4F70" w:rsidRDefault="00FB4F70" w:rsidP="00E11CF9">
      <w:pPr>
        <w:snapToGrid w:val="0"/>
        <w:jc w:val="center"/>
        <w:rPr>
          <w:rFonts w:eastAsiaTheme="minorEastAsia"/>
          <w:sz w:val="20"/>
          <w:lang w:eastAsia="zh-CN"/>
        </w:rPr>
      </w:pPr>
    </w:p>
    <w:p w:rsidR="00554321" w:rsidRPr="00A53188" w:rsidRDefault="00554321" w:rsidP="00E11CF9">
      <w:pPr>
        <w:snapToGrid w:val="0"/>
        <w:jc w:val="center"/>
        <w:rPr>
          <w:sz w:val="20"/>
        </w:rPr>
      </w:pPr>
      <w:r w:rsidRPr="00A53188">
        <w:rPr>
          <w:sz w:val="20"/>
        </w:rPr>
        <w:lastRenderedPageBreak/>
        <w:t>Table 2. Incidence of HAV infection according to different variables</w:t>
      </w:r>
    </w:p>
    <w:tbl>
      <w:tblPr>
        <w:tblW w:w="9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13"/>
      </w:tblGrid>
      <w:tr w:rsidR="00554321" w:rsidRPr="00A53188" w:rsidTr="00A53188">
        <w:trPr>
          <w:trHeight w:val="127"/>
          <w:jc w:val="center"/>
        </w:trPr>
        <w:tc>
          <w:tcPr>
            <w:tcW w:w="9313" w:type="dxa"/>
            <w:tcBorders>
              <w:top w:val="single" w:sz="4" w:space="0" w:color="000000"/>
              <w:left w:val="single" w:sz="4" w:space="0" w:color="000000"/>
              <w:bottom w:val="single" w:sz="4" w:space="0" w:color="000000"/>
              <w:right w:val="single" w:sz="4" w:space="0" w:color="000000"/>
            </w:tcBorders>
            <w:hideMark/>
          </w:tcPr>
          <w:p w:rsidR="00554321" w:rsidRPr="00A53188" w:rsidRDefault="00554321" w:rsidP="00E11CF9">
            <w:pPr>
              <w:tabs>
                <w:tab w:val="right" w:pos="2846"/>
                <w:tab w:val="right" w:pos="5398"/>
                <w:tab w:val="right" w:pos="7240"/>
              </w:tabs>
              <w:snapToGrid w:val="0"/>
              <w:jc w:val="both"/>
              <w:rPr>
                <w:b/>
                <w:color w:val="000000"/>
                <w:sz w:val="20"/>
              </w:rPr>
            </w:pPr>
            <w:r w:rsidRPr="00A53188">
              <w:rPr>
                <w:b/>
                <w:color w:val="000000"/>
                <w:sz w:val="20"/>
              </w:rPr>
              <w:t>Variables</w:t>
            </w:r>
            <w:r w:rsidR="00264383">
              <w:rPr>
                <w:b/>
                <w:color w:val="000000"/>
                <w:sz w:val="20"/>
              </w:rPr>
              <w:t xml:space="preserve"> </w:t>
            </w:r>
            <w:r w:rsidRPr="00A53188">
              <w:rPr>
                <w:b/>
                <w:color w:val="000000"/>
                <w:sz w:val="20"/>
              </w:rPr>
              <w:t xml:space="preserve">         </w:t>
            </w:r>
            <w:r w:rsidR="00E11CF9">
              <w:rPr>
                <w:b/>
                <w:color w:val="000000"/>
                <w:sz w:val="20"/>
              </w:rPr>
              <w:tab/>
            </w:r>
            <w:r w:rsidR="00E11CF9" w:rsidRPr="00A53188">
              <w:rPr>
                <w:b/>
                <w:color w:val="000000"/>
                <w:sz w:val="20"/>
              </w:rPr>
              <w:t>T</w:t>
            </w:r>
            <w:r w:rsidRPr="00A53188">
              <w:rPr>
                <w:b/>
                <w:color w:val="000000"/>
                <w:sz w:val="20"/>
              </w:rPr>
              <w:t xml:space="preserve">otal number tested    </w:t>
            </w:r>
            <w:r w:rsidR="00E11CF9">
              <w:rPr>
                <w:b/>
                <w:color w:val="000000"/>
                <w:sz w:val="20"/>
              </w:rPr>
              <w:tab/>
            </w:r>
            <w:r w:rsidR="00E11CF9" w:rsidRPr="00A53188">
              <w:rPr>
                <w:b/>
                <w:color w:val="000000"/>
                <w:sz w:val="20"/>
              </w:rPr>
              <w:t>p</w:t>
            </w:r>
            <w:r w:rsidRPr="00A53188">
              <w:rPr>
                <w:b/>
                <w:color w:val="000000"/>
                <w:sz w:val="20"/>
              </w:rPr>
              <w:t xml:space="preserve">ositive      </w:t>
            </w:r>
            <w:r w:rsidR="00E11CF9">
              <w:rPr>
                <w:b/>
                <w:color w:val="000000"/>
                <w:sz w:val="20"/>
              </w:rPr>
              <w:tab/>
            </w:r>
            <w:r w:rsidR="00E11CF9" w:rsidRPr="00A53188">
              <w:rPr>
                <w:b/>
                <w:color w:val="000000"/>
                <w:sz w:val="20"/>
              </w:rPr>
              <w:t>p</w:t>
            </w:r>
            <w:r w:rsidRPr="00A53188">
              <w:rPr>
                <w:b/>
                <w:color w:val="000000"/>
                <w:sz w:val="20"/>
              </w:rPr>
              <w:t>ercentage occurrence</w:t>
            </w:r>
          </w:p>
        </w:tc>
      </w:tr>
      <w:tr w:rsidR="00554321" w:rsidRPr="00A53188" w:rsidTr="00A53188">
        <w:trPr>
          <w:trHeight w:val="127"/>
          <w:jc w:val="center"/>
        </w:trPr>
        <w:tc>
          <w:tcPr>
            <w:tcW w:w="9313" w:type="dxa"/>
            <w:tcBorders>
              <w:top w:val="single" w:sz="4" w:space="0" w:color="000000"/>
              <w:left w:val="single" w:sz="4" w:space="0" w:color="000000"/>
              <w:bottom w:val="single" w:sz="4" w:space="0" w:color="000000"/>
              <w:right w:val="single" w:sz="4" w:space="0" w:color="000000"/>
            </w:tcBorders>
            <w:hideMark/>
          </w:tcPr>
          <w:p w:rsidR="00554321" w:rsidRPr="00A53188" w:rsidRDefault="00554321" w:rsidP="00E11CF9">
            <w:pPr>
              <w:tabs>
                <w:tab w:val="right" w:pos="2846"/>
                <w:tab w:val="right" w:pos="5398"/>
                <w:tab w:val="right" w:pos="7240"/>
              </w:tabs>
              <w:snapToGrid w:val="0"/>
              <w:jc w:val="both"/>
              <w:rPr>
                <w:b/>
                <w:color w:val="000000"/>
                <w:sz w:val="20"/>
              </w:rPr>
            </w:pPr>
            <w:r w:rsidRPr="00A53188">
              <w:rPr>
                <w:b/>
                <w:color w:val="000000"/>
                <w:sz w:val="20"/>
              </w:rPr>
              <w:t>AGE (years)</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 xml:space="preserve">0-10                   </w:t>
            </w:r>
            <w:r w:rsidR="00E11CF9">
              <w:rPr>
                <w:color w:val="000000"/>
                <w:sz w:val="20"/>
              </w:rPr>
              <w:tab/>
            </w:r>
            <w:r w:rsidR="00E11CF9" w:rsidRPr="00A53188">
              <w:rPr>
                <w:color w:val="000000"/>
                <w:sz w:val="20"/>
              </w:rPr>
              <w:t>2</w:t>
            </w:r>
            <w:r w:rsidRPr="00A53188">
              <w:rPr>
                <w:color w:val="000000"/>
                <w:sz w:val="20"/>
              </w:rPr>
              <w:t xml:space="preserve">4                                      </w:t>
            </w:r>
            <w:r w:rsidR="00E11CF9">
              <w:rPr>
                <w:color w:val="000000"/>
                <w:sz w:val="20"/>
              </w:rPr>
              <w:tab/>
            </w:r>
            <w:r w:rsidR="00E11CF9" w:rsidRPr="00A53188">
              <w:rPr>
                <w:color w:val="000000"/>
                <w:sz w:val="20"/>
              </w:rPr>
              <w:t>1</w:t>
            </w:r>
            <w:r w:rsidRPr="00A53188">
              <w:rPr>
                <w:color w:val="000000"/>
                <w:sz w:val="20"/>
              </w:rPr>
              <w:t xml:space="preserve">                     </w:t>
            </w:r>
            <w:r w:rsidR="00E11CF9">
              <w:rPr>
                <w:color w:val="000000"/>
                <w:sz w:val="20"/>
              </w:rPr>
              <w:tab/>
            </w:r>
            <w:r w:rsidR="00E11CF9" w:rsidRPr="00A53188">
              <w:rPr>
                <w:color w:val="000000"/>
                <w:sz w:val="20"/>
              </w:rPr>
              <w:t>4</w:t>
            </w:r>
            <w:r w:rsidRPr="00A53188">
              <w:rPr>
                <w:color w:val="000000"/>
                <w:sz w:val="20"/>
              </w:rPr>
              <w:t>.2</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 xml:space="preserve">11-20                 </w:t>
            </w:r>
            <w:r w:rsidR="00E11CF9">
              <w:rPr>
                <w:color w:val="000000"/>
                <w:sz w:val="20"/>
              </w:rPr>
              <w:tab/>
            </w:r>
            <w:r w:rsidR="00E11CF9" w:rsidRPr="00A53188">
              <w:rPr>
                <w:color w:val="000000"/>
                <w:sz w:val="20"/>
              </w:rPr>
              <w:t>2</w:t>
            </w:r>
            <w:r w:rsidRPr="00A53188">
              <w:rPr>
                <w:color w:val="000000"/>
                <w:sz w:val="20"/>
              </w:rPr>
              <w:t xml:space="preserve">7                                      </w:t>
            </w:r>
            <w:r w:rsidR="00E11CF9">
              <w:rPr>
                <w:color w:val="000000"/>
                <w:sz w:val="20"/>
              </w:rPr>
              <w:tab/>
            </w:r>
            <w:r w:rsidR="00E11CF9" w:rsidRPr="00A53188">
              <w:rPr>
                <w:color w:val="000000"/>
                <w:sz w:val="20"/>
              </w:rPr>
              <w:t>1</w:t>
            </w:r>
            <w:r w:rsidRPr="00A53188">
              <w:rPr>
                <w:color w:val="000000"/>
                <w:sz w:val="20"/>
              </w:rPr>
              <w:t xml:space="preserve">                    </w:t>
            </w:r>
            <w:r w:rsidR="00E11CF9">
              <w:rPr>
                <w:color w:val="000000"/>
                <w:sz w:val="20"/>
              </w:rPr>
              <w:tab/>
            </w:r>
            <w:r w:rsidR="00E11CF9" w:rsidRPr="00A53188">
              <w:rPr>
                <w:color w:val="000000"/>
                <w:sz w:val="20"/>
              </w:rPr>
              <w:t>3</w:t>
            </w:r>
            <w:r w:rsidRPr="00A53188">
              <w:rPr>
                <w:color w:val="000000"/>
                <w:sz w:val="20"/>
              </w:rPr>
              <w:t>.7</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 xml:space="preserve">21-30                 </w:t>
            </w:r>
            <w:r w:rsidR="00E11CF9">
              <w:rPr>
                <w:color w:val="000000"/>
                <w:sz w:val="20"/>
              </w:rPr>
              <w:tab/>
            </w:r>
            <w:r w:rsidR="00E11CF9" w:rsidRPr="00A53188">
              <w:rPr>
                <w:color w:val="000000"/>
                <w:sz w:val="20"/>
              </w:rPr>
              <w:t>3</w:t>
            </w:r>
            <w:r w:rsidR="00C96C57" w:rsidRPr="00A53188">
              <w:rPr>
                <w:color w:val="000000"/>
                <w:sz w:val="20"/>
              </w:rPr>
              <w:t>3</w:t>
            </w:r>
            <w:r w:rsidRPr="00A53188">
              <w:rPr>
                <w:color w:val="000000"/>
                <w:sz w:val="20"/>
              </w:rPr>
              <w:t xml:space="preserve">                                      </w:t>
            </w:r>
            <w:r w:rsidR="00E11CF9">
              <w:rPr>
                <w:color w:val="000000"/>
                <w:sz w:val="20"/>
              </w:rPr>
              <w:tab/>
            </w:r>
            <w:r w:rsidR="00E11CF9" w:rsidRPr="00A53188">
              <w:rPr>
                <w:color w:val="000000"/>
                <w:sz w:val="20"/>
              </w:rPr>
              <w:t>0</w:t>
            </w:r>
            <w:r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 xml:space="preserve">31-40                 </w:t>
            </w:r>
            <w:r w:rsidR="00E11CF9">
              <w:rPr>
                <w:color w:val="000000"/>
                <w:sz w:val="20"/>
              </w:rPr>
              <w:tab/>
            </w:r>
            <w:r w:rsidR="00E11CF9" w:rsidRPr="00A53188">
              <w:rPr>
                <w:color w:val="000000"/>
                <w:sz w:val="20"/>
              </w:rPr>
              <w:t>1</w:t>
            </w:r>
            <w:r w:rsidRPr="00A53188">
              <w:rPr>
                <w:color w:val="000000"/>
                <w:sz w:val="20"/>
              </w:rPr>
              <w:t xml:space="preserve">0                                      </w:t>
            </w:r>
            <w:r w:rsidR="00E11CF9">
              <w:rPr>
                <w:color w:val="000000"/>
                <w:sz w:val="20"/>
              </w:rPr>
              <w:tab/>
            </w:r>
            <w:r w:rsidR="00E11CF9" w:rsidRPr="00A53188">
              <w:rPr>
                <w:color w:val="000000"/>
                <w:sz w:val="20"/>
              </w:rPr>
              <w:t>0</w:t>
            </w:r>
            <w:r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 xml:space="preserve">41-50                 </w:t>
            </w:r>
            <w:r w:rsidR="00E11CF9">
              <w:rPr>
                <w:color w:val="000000"/>
                <w:sz w:val="20"/>
              </w:rPr>
              <w:tab/>
            </w:r>
            <w:r w:rsidR="00E11CF9" w:rsidRPr="00A53188">
              <w:rPr>
                <w:color w:val="000000"/>
                <w:sz w:val="20"/>
              </w:rPr>
              <w:t>3</w:t>
            </w:r>
            <w:r w:rsidRPr="00A53188">
              <w:rPr>
                <w:color w:val="000000"/>
                <w:sz w:val="20"/>
              </w:rPr>
              <w:t xml:space="preserve">                                     </w:t>
            </w:r>
            <w:r w:rsidR="002B5102" w:rsidRPr="00A53188">
              <w:rPr>
                <w:color w:val="000000"/>
                <w:sz w:val="20"/>
              </w:rPr>
              <w:t xml:space="preserve">   </w:t>
            </w:r>
            <w:r w:rsidR="00E11CF9">
              <w:rPr>
                <w:color w:val="000000"/>
                <w:sz w:val="20"/>
              </w:rPr>
              <w:tab/>
            </w:r>
            <w:r w:rsidR="00E11CF9" w:rsidRPr="00A53188">
              <w:rPr>
                <w:color w:val="000000"/>
                <w:sz w:val="20"/>
              </w:rPr>
              <w:t>0</w:t>
            </w:r>
            <w:r w:rsidR="002B5102"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 xml:space="preserve">51-60                 </w:t>
            </w:r>
            <w:r w:rsidR="00E11CF9">
              <w:rPr>
                <w:color w:val="000000"/>
                <w:sz w:val="20"/>
              </w:rPr>
              <w:tab/>
            </w:r>
            <w:r w:rsidR="00E11CF9" w:rsidRPr="00A53188">
              <w:rPr>
                <w:color w:val="000000"/>
                <w:sz w:val="20"/>
              </w:rPr>
              <w:t>1</w:t>
            </w:r>
            <w:r w:rsidRPr="00A53188">
              <w:rPr>
                <w:color w:val="000000"/>
                <w:sz w:val="20"/>
              </w:rPr>
              <w:t xml:space="preserve">                                     </w:t>
            </w:r>
            <w:r w:rsidR="002B5102" w:rsidRPr="00A53188">
              <w:rPr>
                <w:color w:val="000000"/>
                <w:sz w:val="20"/>
              </w:rPr>
              <w:t xml:space="preserve">   </w:t>
            </w:r>
            <w:r w:rsidR="00E11CF9">
              <w:rPr>
                <w:color w:val="000000"/>
                <w:sz w:val="20"/>
              </w:rPr>
              <w:tab/>
            </w:r>
            <w:r w:rsidR="00E11CF9" w:rsidRPr="00A53188">
              <w:rPr>
                <w:color w:val="000000"/>
                <w:sz w:val="20"/>
              </w:rPr>
              <w:t>0</w:t>
            </w:r>
            <w:r w:rsidR="002B5102"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 xml:space="preserve">61-70                 </w:t>
            </w:r>
            <w:r w:rsidR="00E11CF9">
              <w:rPr>
                <w:color w:val="000000"/>
                <w:sz w:val="20"/>
              </w:rPr>
              <w:tab/>
            </w:r>
            <w:r w:rsidR="00E11CF9" w:rsidRPr="00A53188">
              <w:rPr>
                <w:color w:val="000000"/>
                <w:sz w:val="20"/>
              </w:rPr>
              <w:t>1</w:t>
            </w:r>
            <w:r w:rsidRPr="00A53188">
              <w:rPr>
                <w:color w:val="000000"/>
                <w:sz w:val="20"/>
              </w:rPr>
              <w:t xml:space="preserve">                                     </w:t>
            </w:r>
            <w:r w:rsidR="002B5102" w:rsidRPr="00A53188">
              <w:rPr>
                <w:color w:val="000000"/>
                <w:sz w:val="20"/>
              </w:rPr>
              <w:t xml:space="preserve">   </w:t>
            </w:r>
            <w:r w:rsidR="00E11CF9">
              <w:rPr>
                <w:color w:val="000000"/>
                <w:sz w:val="20"/>
              </w:rPr>
              <w:tab/>
            </w:r>
            <w:r w:rsidR="00E11CF9" w:rsidRPr="00A53188">
              <w:rPr>
                <w:color w:val="000000"/>
                <w:sz w:val="20"/>
              </w:rPr>
              <w:t>0</w:t>
            </w:r>
            <w:r w:rsidR="002B5102"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 xml:space="preserve">71-80                 </w:t>
            </w:r>
            <w:r w:rsidR="00E11CF9">
              <w:rPr>
                <w:color w:val="000000"/>
                <w:sz w:val="20"/>
              </w:rPr>
              <w:tab/>
            </w:r>
            <w:r w:rsidR="00E11CF9" w:rsidRPr="00A53188">
              <w:rPr>
                <w:color w:val="000000"/>
                <w:sz w:val="20"/>
              </w:rPr>
              <w:t>1</w:t>
            </w:r>
            <w:r w:rsidRPr="00A53188">
              <w:rPr>
                <w:color w:val="000000"/>
                <w:sz w:val="20"/>
              </w:rPr>
              <w:t xml:space="preserve">                                        </w:t>
            </w:r>
            <w:r w:rsidR="00E11CF9">
              <w:rPr>
                <w:color w:val="000000"/>
                <w:sz w:val="20"/>
              </w:rPr>
              <w:tab/>
            </w:r>
            <w:r w:rsidR="00E11CF9" w:rsidRPr="00A53188">
              <w:rPr>
                <w:color w:val="000000"/>
                <w:sz w:val="20"/>
              </w:rPr>
              <w:t>0</w:t>
            </w:r>
            <w:r w:rsidR="002B5102" w:rsidRPr="00A53188">
              <w:rPr>
                <w:color w:val="000000"/>
                <w:sz w:val="20"/>
              </w:rPr>
              <w:t xml:space="preserve">                     </w:t>
            </w:r>
            <w:r w:rsidR="00E11CF9">
              <w:rPr>
                <w:color w:val="000000"/>
                <w:sz w:val="20"/>
              </w:rPr>
              <w:tab/>
            </w:r>
            <w:r w:rsidR="00E11CF9" w:rsidRPr="00A53188">
              <w:rPr>
                <w:color w:val="000000"/>
                <w:sz w:val="20"/>
              </w:rPr>
              <w:t>0</w:t>
            </w:r>
          </w:p>
        </w:tc>
      </w:tr>
      <w:tr w:rsidR="00554321" w:rsidRPr="00A53188" w:rsidTr="00A53188">
        <w:trPr>
          <w:trHeight w:val="127"/>
          <w:jc w:val="center"/>
        </w:trPr>
        <w:tc>
          <w:tcPr>
            <w:tcW w:w="9313" w:type="dxa"/>
            <w:tcBorders>
              <w:top w:val="single" w:sz="4" w:space="0" w:color="000000"/>
              <w:left w:val="single" w:sz="4" w:space="0" w:color="000000"/>
              <w:bottom w:val="single" w:sz="4" w:space="0" w:color="000000"/>
              <w:right w:val="single" w:sz="4" w:space="0" w:color="000000"/>
            </w:tcBorders>
            <w:hideMark/>
          </w:tcPr>
          <w:p w:rsidR="00554321" w:rsidRPr="00A53188" w:rsidRDefault="00554321" w:rsidP="00E11CF9">
            <w:pPr>
              <w:tabs>
                <w:tab w:val="right" w:pos="2846"/>
                <w:tab w:val="right" w:pos="5398"/>
                <w:tab w:val="right" w:pos="7240"/>
              </w:tabs>
              <w:snapToGrid w:val="0"/>
              <w:jc w:val="both"/>
              <w:rPr>
                <w:b/>
                <w:color w:val="000000"/>
                <w:sz w:val="20"/>
              </w:rPr>
            </w:pPr>
            <w:r w:rsidRPr="00A53188">
              <w:rPr>
                <w:b/>
                <w:color w:val="000000"/>
                <w:sz w:val="20"/>
              </w:rPr>
              <w:t>Sex</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 xml:space="preserve">Male                   </w:t>
            </w:r>
            <w:r w:rsidR="00E11CF9">
              <w:rPr>
                <w:color w:val="000000"/>
                <w:sz w:val="20"/>
              </w:rPr>
              <w:tab/>
            </w:r>
            <w:r w:rsidR="00E11CF9" w:rsidRPr="00A53188">
              <w:rPr>
                <w:color w:val="000000"/>
                <w:sz w:val="20"/>
              </w:rPr>
              <w:t>4</w:t>
            </w:r>
            <w:r w:rsidRPr="00A53188">
              <w:rPr>
                <w:color w:val="000000"/>
                <w:sz w:val="20"/>
              </w:rPr>
              <w:t xml:space="preserve">4                                   </w:t>
            </w:r>
            <w:r w:rsidR="002B5102" w:rsidRPr="00A53188">
              <w:rPr>
                <w:color w:val="000000"/>
                <w:sz w:val="20"/>
              </w:rPr>
              <w:t xml:space="preserve">  </w:t>
            </w:r>
            <w:r w:rsidR="00E11CF9">
              <w:rPr>
                <w:color w:val="000000"/>
                <w:sz w:val="20"/>
              </w:rPr>
              <w:tab/>
            </w:r>
            <w:r w:rsidR="00E11CF9" w:rsidRPr="00A53188">
              <w:rPr>
                <w:color w:val="000000"/>
                <w:sz w:val="20"/>
              </w:rPr>
              <w:t>0</w:t>
            </w:r>
            <w:r w:rsidR="002B5102"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 xml:space="preserve">Female               </w:t>
            </w:r>
            <w:r w:rsidR="00E11CF9">
              <w:rPr>
                <w:color w:val="000000"/>
                <w:sz w:val="20"/>
              </w:rPr>
              <w:tab/>
            </w:r>
            <w:r w:rsidR="00E11CF9" w:rsidRPr="00A53188">
              <w:rPr>
                <w:color w:val="000000"/>
                <w:sz w:val="20"/>
              </w:rPr>
              <w:t>5</w:t>
            </w:r>
            <w:r w:rsidRPr="00A53188">
              <w:rPr>
                <w:color w:val="000000"/>
                <w:sz w:val="20"/>
              </w:rPr>
              <w:t xml:space="preserve">6         </w:t>
            </w:r>
            <w:r w:rsidR="00EF33C0" w:rsidRPr="00A53188">
              <w:rPr>
                <w:color w:val="000000"/>
                <w:sz w:val="20"/>
              </w:rPr>
              <w:t xml:space="preserve">                            </w:t>
            </w:r>
            <w:r w:rsidR="00E11CF9">
              <w:rPr>
                <w:color w:val="000000"/>
                <w:sz w:val="20"/>
              </w:rPr>
              <w:tab/>
            </w:r>
            <w:r w:rsidR="00E11CF9" w:rsidRPr="00A53188">
              <w:rPr>
                <w:color w:val="000000"/>
                <w:sz w:val="20"/>
              </w:rPr>
              <w:t>2</w:t>
            </w:r>
            <w:r w:rsidR="002B5102" w:rsidRPr="00A53188">
              <w:rPr>
                <w:color w:val="000000"/>
                <w:sz w:val="20"/>
              </w:rPr>
              <w:t xml:space="preserve">                    </w:t>
            </w:r>
            <w:r w:rsidR="00E11CF9">
              <w:rPr>
                <w:color w:val="000000"/>
                <w:sz w:val="20"/>
              </w:rPr>
              <w:tab/>
            </w:r>
            <w:r w:rsidR="00E11CF9" w:rsidRPr="00A53188">
              <w:rPr>
                <w:color w:val="000000"/>
                <w:sz w:val="20"/>
              </w:rPr>
              <w:t>3</w:t>
            </w:r>
            <w:r w:rsidRPr="00A53188">
              <w:rPr>
                <w:color w:val="000000"/>
                <w:sz w:val="20"/>
              </w:rPr>
              <w:t>.6</w:t>
            </w:r>
          </w:p>
        </w:tc>
      </w:tr>
      <w:tr w:rsidR="00554321" w:rsidRPr="00A53188" w:rsidTr="00A53188">
        <w:trPr>
          <w:trHeight w:val="136"/>
          <w:jc w:val="center"/>
        </w:trPr>
        <w:tc>
          <w:tcPr>
            <w:tcW w:w="9313" w:type="dxa"/>
            <w:tcBorders>
              <w:top w:val="single" w:sz="4" w:space="0" w:color="000000"/>
              <w:left w:val="single" w:sz="4" w:space="0" w:color="000000"/>
              <w:bottom w:val="single" w:sz="4" w:space="0" w:color="000000"/>
              <w:right w:val="single" w:sz="4" w:space="0" w:color="000000"/>
            </w:tcBorders>
            <w:hideMark/>
          </w:tcPr>
          <w:p w:rsidR="00554321" w:rsidRPr="00A53188" w:rsidRDefault="00554321" w:rsidP="00E11CF9">
            <w:pPr>
              <w:tabs>
                <w:tab w:val="right" w:pos="2846"/>
                <w:tab w:val="right" w:pos="5398"/>
                <w:tab w:val="right" w:pos="7240"/>
              </w:tabs>
              <w:snapToGrid w:val="0"/>
              <w:jc w:val="both"/>
              <w:rPr>
                <w:color w:val="000000"/>
                <w:sz w:val="20"/>
              </w:rPr>
            </w:pPr>
          </w:p>
        </w:tc>
      </w:tr>
      <w:tr w:rsidR="00554321" w:rsidRPr="00A53188" w:rsidTr="00264383">
        <w:trPr>
          <w:trHeight w:val="2935"/>
          <w:jc w:val="center"/>
        </w:trPr>
        <w:tc>
          <w:tcPr>
            <w:tcW w:w="9313" w:type="dxa"/>
            <w:tcBorders>
              <w:top w:val="single" w:sz="4" w:space="0" w:color="000000"/>
              <w:left w:val="single" w:sz="4" w:space="0" w:color="000000"/>
              <w:bottom w:val="single" w:sz="4" w:space="0" w:color="000000"/>
              <w:right w:val="single" w:sz="4" w:space="0" w:color="000000"/>
            </w:tcBorders>
          </w:tcPr>
          <w:p w:rsidR="00554321" w:rsidRPr="00A53188" w:rsidRDefault="00554321" w:rsidP="00E11CF9">
            <w:pPr>
              <w:tabs>
                <w:tab w:val="right" w:pos="2846"/>
                <w:tab w:val="right" w:pos="5398"/>
                <w:tab w:val="right" w:pos="7240"/>
              </w:tabs>
              <w:snapToGrid w:val="0"/>
              <w:jc w:val="both"/>
              <w:rPr>
                <w:b/>
                <w:color w:val="000000"/>
                <w:sz w:val="20"/>
              </w:rPr>
            </w:pPr>
            <w:r w:rsidRPr="00A53188">
              <w:rPr>
                <w:b/>
                <w:color w:val="000000"/>
                <w:sz w:val="20"/>
              </w:rPr>
              <w:t>Symptoms</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 xml:space="preserve">Fever                     </w:t>
            </w:r>
            <w:r w:rsidR="00E11CF9">
              <w:rPr>
                <w:color w:val="000000"/>
                <w:sz w:val="20"/>
              </w:rPr>
              <w:tab/>
            </w:r>
            <w:r w:rsidR="00E11CF9" w:rsidRPr="00A53188">
              <w:rPr>
                <w:color w:val="000000"/>
                <w:sz w:val="20"/>
              </w:rPr>
              <w:t>3</w:t>
            </w:r>
            <w:r w:rsidRPr="00A53188">
              <w:rPr>
                <w:color w:val="000000"/>
                <w:sz w:val="20"/>
              </w:rPr>
              <w:t xml:space="preserve">9                                 </w:t>
            </w:r>
            <w:r w:rsidR="00E11CF9">
              <w:rPr>
                <w:color w:val="000000"/>
                <w:sz w:val="20"/>
              </w:rPr>
              <w:tab/>
            </w:r>
            <w:r w:rsidR="00E11CF9" w:rsidRPr="00A53188">
              <w:rPr>
                <w:color w:val="000000"/>
                <w:sz w:val="20"/>
              </w:rPr>
              <w:t>2</w:t>
            </w:r>
            <w:r w:rsidRPr="00A53188">
              <w:rPr>
                <w:color w:val="000000"/>
                <w:sz w:val="20"/>
              </w:rPr>
              <w:t xml:space="preserve">                     </w:t>
            </w:r>
            <w:r w:rsidR="00E11CF9">
              <w:rPr>
                <w:color w:val="000000"/>
                <w:sz w:val="20"/>
              </w:rPr>
              <w:tab/>
            </w:r>
            <w:r w:rsidR="00E11CF9" w:rsidRPr="00A53188">
              <w:rPr>
                <w:color w:val="000000"/>
                <w:sz w:val="20"/>
              </w:rPr>
              <w:t>5</w:t>
            </w:r>
            <w:r w:rsidRPr="00A53188">
              <w:rPr>
                <w:color w:val="000000"/>
                <w:sz w:val="20"/>
              </w:rPr>
              <w:t>.1</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V</w:t>
            </w:r>
            <w:r w:rsidR="002B5102" w:rsidRPr="00A53188">
              <w:rPr>
                <w:color w:val="000000"/>
                <w:sz w:val="20"/>
              </w:rPr>
              <w:t xml:space="preserve">omiting                </w:t>
            </w:r>
            <w:r w:rsidR="00E11CF9">
              <w:rPr>
                <w:color w:val="000000"/>
                <w:sz w:val="20"/>
              </w:rPr>
              <w:tab/>
            </w:r>
            <w:r w:rsidR="00E11CF9" w:rsidRPr="00A53188">
              <w:rPr>
                <w:color w:val="000000"/>
                <w:sz w:val="20"/>
              </w:rPr>
              <w:t>4</w:t>
            </w:r>
            <w:r w:rsidRPr="00A53188">
              <w:rPr>
                <w:color w:val="000000"/>
                <w:sz w:val="20"/>
              </w:rPr>
              <w:t xml:space="preserve">                                   </w:t>
            </w:r>
            <w:r w:rsidR="00E11CF9">
              <w:rPr>
                <w:color w:val="000000"/>
                <w:sz w:val="20"/>
              </w:rPr>
              <w:tab/>
            </w:r>
            <w:r w:rsidR="00E11CF9" w:rsidRPr="00A53188">
              <w:rPr>
                <w:color w:val="000000"/>
                <w:sz w:val="20"/>
              </w:rPr>
              <w:t>0</w:t>
            </w:r>
            <w:r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554321" w:rsidP="00E11CF9">
            <w:pPr>
              <w:tabs>
                <w:tab w:val="right" w:pos="2846"/>
                <w:tab w:val="right" w:pos="5398"/>
                <w:tab w:val="right" w:pos="7240"/>
              </w:tabs>
              <w:snapToGrid w:val="0"/>
              <w:jc w:val="both"/>
              <w:rPr>
                <w:color w:val="000000"/>
                <w:sz w:val="20"/>
              </w:rPr>
            </w:pPr>
            <w:proofErr w:type="spellStart"/>
            <w:r w:rsidRPr="00A53188">
              <w:rPr>
                <w:color w:val="000000"/>
                <w:sz w:val="20"/>
              </w:rPr>
              <w:t>Chicken.pox</w:t>
            </w:r>
            <w:proofErr w:type="spellEnd"/>
            <w:r w:rsidRPr="00A53188">
              <w:rPr>
                <w:color w:val="000000"/>
                <w:sz w:val="20"/>
              </w:rPr>
              <w:t xml:space="preserve">           </w:t>
            </w:r>
            <w:r w:rsidR="00E11CF9">
              <w:rPr>
                <w:color w:val="000000"/>
                <w:sz w:val="20"/>
              </w:rPr>
              <w:tab/>
            </w:r>
            <w:r w:rsidR="00E11CF9" w:rsidRPr="00A53188">
              <w:rPr>
                <w:color w:val="000000"/>
                <w:sz w:val="20"/>
              </w:rPr>
              <w:t>1</w:t>
            </w:r>
            <w:r w:rsidRPr="00A53188">
              <w:rPr>
                <w:color w:val="000000"/>
                <w:sz w:val="20"/>
              </w:rPr>
              <w:t xml:space="preserve">                                 </w:t>
            </w:r>
            <w:r w:rsidR="00EF33C0" w:rsidRPr="00A53188">
              <w:rPr>
                <w:color w:val="000000"/>
                <w:sz w:val="20"/>
              </w:rPr>
              <w:t xml:space="preserve">  </w:t>
            </w:r>
            <w:r w:rsidR="00E11CF9">
              <w:rPr>
                <w:color w:val="000000"/>
                <w:sz w:val="20"/>
              </w:rPr>
              <w:tab/>
            </w:r>
            <w:r w:rsidR="00E11CF9" w:rsidRPr="00A53188">
              <w:rPr>
                <w:color w:val="000000"/>
                <w:sz w:val="20"/>
              </w:rPr>
              <w:t>0</w:t>
            </w:r>
            <w:r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2B5102" w:rsidP="00E11CF9">
            <w:pPr>
              <w:tabs>
                <w:tab w:val="right" w:pos="2846"/>
                <w:tab w:val="right" w:pos="5398"/>
                <w:tab w:val="right" w:pos="7240"/>
              </w:tabs>
              <w:snapToGrid w:val="0"/>
              <w:jc w:val="both"/>
              <w:rPr>
                <w:color w:val="000000"/>
                <w:sz w:val="20"/>
              </w:rPr>
            </w:pPr>
            <w:r w:rsidRPr="00A53188">
              <w:rPr>
                <w:color w:val="000000"/>
                <w:sz w:val="20"/>
              </w:rPr>
              <w:t xml:space="preserve">Abdominal pain     </w:t>
            </w:r>
            <w:r w:rsidR="00E11CF9">
              <w:rPr>
                <w:color w:val="000000"/>
                <w:sz w:val="20"/>
              </w:rPr>
              <w:tab/>
            </w:r>
            <w:r w:rsidR="00E11CF9" w:rsidRPr="00A53188">
              <w:rPr>
                <w:color w:val="000000"/>
                <w:sz w:val="20"/>
              </w:rPr>
              <w:t>1</w:t>
            </w:r>
            <w:r w:rsidR="00554321" w:rsidRPr="00A53188">
              <w:rPr>
                <w:color w:val="000000"/>
                <w:sz w:val="20"/>
              </w:rPr>
              <w:t xml:space="preserve">                                </w:t>
            </w:r>
            <w:r w:rsidR="00EF33C0" w:rsidRPr="00A53188">
              <w:rPr>
                <w:color w:val="000000"/>
                <w:sz w:val="20"/>
              </w:rPr>
              <w:t xml:space="preserve">   </w:t>
            </w:r>
            <w:r w:rsidR="00E11CF9">
              <w:rPr>
                <w:color w:val="000000"/>
                <w:sz w:val="20"/>
              </w:rPr>
              <w:tab/>
            </w:r>
            <w:r w:rsidR="00E11CF9" w:rsidRPr="00A53188">
              <w:rPr>
                <w:color w:val="000000"/>
                <w:sz w:val="20"/>
              </w:rPr>
              <w:t>0</w:t>
            </w:r>
            <w:r w:rsidR="00554321"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HIV (</w:t>
            </w:r>
            <w:proofErr w:type="spellStart"/>
            <w:r w:rsidRPr="00A53188">
              <w:rPr>
                <w:color w:val="000000"/>
                <w:sz w:val="20"/>
              </w:rPr>
              <w:t>seropositive</w:t>
            </w:r>
            <w:proofErr w:type="spellEnd"/>
            <w:r w:rsidRPr="00A53188">
              <w:rPr>
                <w:color w:val="000000"/>
                <w:sz w:val="20"/>
              </w:rPr>
              <w:t xml:space="preserve">) </w:t>
            </w:r>
            <w:r w:rsidR="00E11CF9">
              <w:rPr>
                <w:color w:val="000000"/>
                <w:sz w:val="20"/>
              </w:rPr>
              <w:tab/>
            </w:r>
            <w:r w:rsidR="00E11CF9" w:rsidRPr="00A53188">
              <w:rPr>
                <w:color w:val="000000"/>
                <w:sz w:val="20"/>
              </w:rPr>
              <w:t>1</w:t>
            </w:r>
            <w:r w:rsidRPr="00A53188">
              <w:rPr>
                <w:color w:val="000000"/>
                <w:sz w:val="20"/>
              </w:rPr>
              <w:t xml:space="preserve">                                </w:t>
            </w:r>
            <w:r w:rsidR="002B5102" w:rsidRPr="00A53188">
              <w:rPr>
                <w:color w:val="000000"/>
                <w:sz w:val="20"/>
              </w:rPr>
              <w:t xml:space="preserve">   </w:t>
            </w:r>
            <w:r w:rsidR="00E11CF9">
              <w:rPr>
                <w:color w:val="000000"/>
                <w:sz w:val="20"/>
              </w:rPr>
              <w:tab/>
            </w:r>
            <w:r w:rsidR="00E11CF9" w:rsidRPr="00A53188">
              <w:rPr>
                <w:color w:val="000000"/>
                <w:sz w:val="20"/>
              </w:rPr>
              <w:t>0</w:t>
            </w:r>
            <w:r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F91272" w:rsidP="00E11CF9">
            <w:pPr>
              <w:tabs>
                <w:tab w:val="right" w:pos="2846"/>
                <w:tab w:val="right" w:pos="5398"/>
                <w:tab w:val="right" w:pos="7240"/>
              </w:tabs>
              <w:snapToGrid w:val="0"/>
              <w:jc w:val="both"/>
              <w:rPr>
                <w:color w:val="000000"/>
                <w:sz w:val="20"/>
              </w:rPr>
            </w:pPr>
            <w:proofErr w:type="spellStart"/>
            <w:r w:rsidRPr="00A53188">
              <w:rPr>
                <w:color w:val="000000"/>
                <w:sz w:val="20"/>
              </w:rPr>
              <w:t>Diarrhea</w:t>
            </w:r>
            <w:proofErr w:type="spellEnd"/>
            <w:r w:rsidRPr="00A53188">
              <w:rPr>
                <w:color w:val="000000"/>
                <w:sz w:val="20"/>
              </w:rPr>
              <w:t xml:space="preserve">                 </w:t>
            </w:r>
            <w:r w:rsidR="00E11CF9">
              <w:rPr>
                <w:color w:val="000000"/>
                <w:sz w:val="20"/>
              </w:rPr>
              <w:tab/>
            </w:r>
            <w:r w:rsidR="00E11CF9" w:rsidRPr="00A53188">
              <w:rPr>
                <w:color w:val="000000"/>
                <w:sz w:val="20"/>
              </w:rPr>
              <w:t>2</w:t>
            </w:r>
            <w:r w:rsidR="002B5102" w:rsidRPr="00A53188">
              <w:rPr>
                <w:color w:val="000000"/>
                <w:sz w:val="20"/>
              </w:rPr>
              <w:t xml:space="preserve">  </w:t>
            </w:r>
            <w:r w:rsidR="00554321" w:rsidRPr="00A53188">
              <w:rPr>
                <w:color w:val="000000"/>
                <w:sz w:val="20"/>
              </w:rPr>
              <w:t xml:space="preserve">                                 </w:t>
            </w:r>
            <w:r w:rsidR="00E11CF9">
              <w:rPr>
                <w:color w:val="000000"/>
                <w:sz w:val="20"/>
              </w:rPr>
              <w:tab/>
            </w:r>
            <w:r w:rsidR="00E11CF9" w:rsidRPr="00A53188">
              <w:rPr>
                <w:color w:val="000000"/>
                <w:sz w:val="20"/>
              </w:rPr>
              <w:t>0</w:t>
            </w:r>
            <w:r w:rsidR="00554321"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 xml:space="preserve">Pregnancy              </w:t>
            </w:r>
            <w:r w:rsidR="00E11CF9">
              <w:rPr>
                <w:color w:val="000000"/>
                <w:sz w:val="20"/>
              </w:rPr>
              <w:tab/>
            </w:r>
            <w:r w:rsidR="00E11CF9" w:rsidRPr="00A53188">
              <w:rPr>
                <w:color w:val="000000"/>
                <w:sz w:val="20"/>
              </w:rPr>
              <w:t>2</w:t>
            </w:r>
            <w:r w:rsidRPr="00A53188">
              <w:rPr>
                <w:color w:val="000000"/>
                <w:sz w:val="20"/>
              </w:rPr>
              <w:t xml:space="preserve">                                   </w:t>
            </w:r>
            <w:r w:rsidR="00E11CF9">
              <w:rPr>
                <w:color w:val="000000"/>
                <w:sz w:val="20"/>
              </w:rPr>
              <w:tab/>
            </w:r>
            <w:r w:rsidR="00E11CF9" w:rsidRPr="00A53188">
              <w:rPr>
                <w:color w:val="000000"/>
                <w:sz w:val="20"/>
              </w:rPr>
              <w:t>0</w:t>
            </w:r>
            <w:r w:rsidRPr="00A53188">
              <w:rPr>
                <w:color w:val="000000"/>
                <w:sz w:val="20"/>
              </w:rPr>
              <w:t xml:space="preserve">                   </w:t>
            </w:r>
            <w:r w:rsidR="00F91272" w:rsidRPr="00A53188">
              <w:rPr>
                <w:color w:val="000000"/>
                <w:sz w:val="20"/>
              </w:rPr>
              <w:t xml:space="preserve"> </w:t>
            </w:r>
            <w:r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 xml:space="preserve">Syphilis                 </w:t>
            </w:r>
            <w:r w:rsidR="00E11CF9">
              <w:rPr>
                <w:color w:val="000000"/>
                <w:sz w:val="20"/>
              </w:rPr>
              <w:tab/>
            </w:r>
            <w:r w:rsidR="00E11CF9" w:rsidRPr="00A53188">
              <w:rPr>
                <w:color w:val="000000"/>
                <w:sz w:val="20"/>
              </w:rPr>
              <w:t>4</w:t>
            </w:r>
            <w:r w:rsidRPr="00A53188">
              <w:rPr>
                <w:color w:val="000000"/>
                <w:sz w:val="20"/>
              </w:rPr>
              <w:t xml:space="preserve">3       </w:t>
            </w:r>
            <w:r w:rsidR="00F91272" w:rsidRPr="00A53188">
              <w:rPr>
                <w:color w:val="000000"/>
                <w:sz w:val="20"/>
              </w:rPr>
              <w:t xml:space="preserve">                           </w:t>
            </w:r>
            <w:r w:rsidR="00E11CF9">
              <w:rPr>
                <w:color w:val="000000"/>
                <w:sz w:val="20"/>
              </w:rPr>
              <w:tab/>
            </w:r>
            <w:r w:rsidR="00E11CF9" w:rsidRPr="00A53188">
              <w:rPr>
                <w:color w:val="000000"/>
                <w:sz w:val="20"/>
              </w:rPr>
              <w:t>0</w:t>
            </w:r>
            <w:r w:rsidR="00F91272"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2B5102" w:rsidP="00E11CF9">
            <w:pPr>
              <w:tabs>
                <w:tab w:val="right" w:pos="2846"/>
                <w:tab w:val="right" w:pos="5398"/>
                <w:tab w:val="right" w:pos="7240"/>
              </w:tabs>
              <w:snapToGrid w:val="0"/>
              <w:jc w:val="both"/>
              <w:rPr>
                <w:color w:val="000000"/>
                <w:sz w:val="20"/>
              </w:rPr>
            </w:pPr>
            <w:r w:rsidRPr="00A53188">
              <w:rPr>
                <w:color w:val="000000"/>
                <w:sz w:val="20"/>
              </w:rPr>
              <w:t xml:space="preserve">Anaemia                 </w:t>
            </w:r>
            <w:r w:rsidR="00E11CF9">
              <w:rPr>
                <w:color w:val="000000"/>
                <w:sz w:val="20"/>
              </w:rPr>
              <w:tab/>
            </w:r>
            <w:r w:rsidR="00E11CF9" w:rsidRPr="00A53188">
              <w:rPr>
                <w:color w:val="000000"/>
                <w:sz w:val="20"/>
              </w:rPr>
              <w:t>2</w:t>
            </w:r>
            <w:r w:rsidRPr="00A53188">
              <w:rPr>
                <w:color w:val="000000"/>
                <w:sz w:val="20"/>
              </w:rPr>
              <w:t xml:space="preserve"> </w:t>
            </w:r>
            <w:r w:rsidR="00554321" w:rsidRPr="00A53188">
              <w:rPr>
                <w:color w:val="000000"/>
                <w:sz w:val="20"/>
              </w:rPr>
              <w:t xml:space="preserve">                                 </w:t>
            </w:r>
            <w:r w:rsidR="00E11CF9">
              <w:rPr>
                <w:color w:val="000000"/>
                <w:sz w:val="20"/>
              </w:rPr>
              <w:tab/>
            </w:r>
            <w:r w:rsidR="00E11CF9" w:rsidRPr="00A53188">
              <w:rPr>
                <w:color w:val="000000"/>
                <w:sz w:val="20"/>
              </w:rPr>
              <w:t>0</w:t>
            </w:r>
            <w:r w:rsidR="00554321"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554321" w:rsidP="00E11CF9">
            <w:pPr>
              <w:tabs>
                <w:tab w:val="right" w:pos="2846"/>
                <w:tab w:val="right" w:pos="5398"/>
                <w:tab w:val="right" w:pos="7240"/>
              </w:tabs>
              <w:snapToGrid w:val="0"/>
              <w:jc w:val="both"/>
              <w:rPr>
                <w:color w:val="000000"/>
                <w:sz w:val="20"/>
              </w:rPr>
            </w:pPr>
            <w:r w:rsidRPr="00A53188">
              <w:rPr>
                <w:color w:val="000000"/>
                <w:sz w:val="20"/>
              </w:rPr>
              <w:t xml:space="preserve">Join pain                 </w:t>
            </w:r>
            <w:r w:rsidR="00E11CF9">
              <w:rPr>
                <w:color w:val="000000"/>
                <w:sz w:val="20"/>
              </w:rPr>
              <w:tab/>
            </w:r>
            <w:r w:rsidR="00E11CF9" w:rsidRPr="00A53188">
              <w:rPr>
                <w:color w:val="000000"/>
                <w:sz w:val="20"/>
              </w:rPr>
              <w:t>1</w:t>
            </w:r>
            <w:r w:rsidRPr="00A53188">
              <w:rPr>
                <w:color w:val="000000"/>
                <w:sz w:val="20"/>
              </w:rPr>
              <w:t xml:space="preserve">                                  </w:t>
            </w:r>
            <w:r w:rsidR="00E11CF9">
              <w:rPr>
                <w:color w:val="000000"/>
                <w:sz w:val="20"/>
              </w:rPr>
              <w:tab/>
            </w:r>
            <w:r w:rsidR="00E11CF9" w:rsidRPr="00A53188">
              <w:rPr>
                <w:color w:val="000000"/>
                <w:sz w:val="20"/>
              </w:rPr>
              <w:t>0</w:t>
            </w:r>
            <w:r w:rsidRPr="00A53188">
              <w:rPr>
                <w:color w:val="000000"/>
                <w:sz w:val="20"/>
              </w:rPr>
              <w:t xml:space="preserve">          </w:t>
            </w:r>
            <w:r w:rsidR="00F91272"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2B5102" w:rsidP="00E11CF9">
            <w:pPr>
              <w:tabs>
                <w:tab w:val="right" w:pos="2846"/>
                <w:tab w:val="right" w:pos="5398"/>
                <w:tab w:val="right" w:pos="7240"/>
              </w:tabs>
              <w:snapToGrid w:val="0"/>
              <w:jc w:val="both"/>
              <w:rPr>
                <w:color w:val="000000"/>
                <w:sz w:val="20"/>
              </w:rPr>
            </w:pPr>
            <w:r w:rsidRPr="00A53188">
              <w:rPr>
                <w:color w:val="000000"/>
                <w:sz w:val="20"/>
              </w:rPr>
              <w:t xml:space="preserve">Blood donor           </w:t>
            </w:r>
            <w:r w:rsidR="00E11CF9">
              <w:rPr>
                <w:color w:val="000000"/>
                <w:sz w:val="20"/>
              </w:rPr>
              <w:tab/>
            </w:r>
            <w:r w:rsidR="00E11CF9" w:rsidRPr="00A53188">
              <w:rPr>
                <w:color w:val="000000"/>
                <w:sz w:val="20"/>
              </w:rPr>
              <w:t>4</w:t>
            </w:r>
            <w:r w:rsidRPr="00A53188">
              <w:rPr>
                <w:color w:val="000000"/>
                <w:sz w:val="20"/>
              </w:rPr>
              <w:t xml:space="preserve"> </w:t>
            </w:r>
            <w:r w:rsidR="00554321" w:rsidRPr="00A53188">
              <w:rPr>
                <w:color w:val="000000"/>
                <w:sz w:val="20"/>
              </w:rPr>
              <w:t xml:space="preserve">                                 </w:t>
            </w:r>
            <w:r w:rsidR="00E11CF9">
              <w:rPr>
                <w:color w:val="000000"/>
                <w:sz w:val="20"/>
              </w:rPr>
              <w:tab/>
            </w:r>
            <w:r w:rsidR="00E11CF9" w:rsidRPr="00A53188">
              <w:rPr>
                <w:color w:val="000000"/>
                <w:sz w:val="20"/>
              </w:rPr>
              <w:t>0</w:t>
            </w:r>
            <w:r w:rsidR="00554321" w:rsidRPr="00A53188">
              <w:rPr>
                <w:color w:val="000000"/>
                <w:sz w:val="20"/>
              </w:rPr>
              <w:t xml:space="preserve">                     </w:t>
            </w:r>
            <w:r w:rsidR="00E11CF9">
              <w:rPr>
                <w:color w:val="000000"/>
                <w:sz w:val="20"/>
              </w:rPr>
              <w:tab/>
            </w:r>
            <w:r w:rsidR="00E11CF9" w:rsidRPr="00A53188">
              <w:rPr>
                <w:color w:val="000000"/>
                <w:sz w:val="20"/>
              </w:rPr>
              <w:t>0</w:t>
            </w:r>
          </w:p>
          <w:p w:rsidR="00554321" w:rsidRPr="00A53188" w:rsidRDefault="00554321" w:rsidP="00E11CF9">
            <w:pPr>
              <w:tabs>
                <w:tab w:val="right" w:pos="2846"/>
                <w:tab w:val="right" w:pos="5398"/>
                <w:tab w:val="right" w:pos="7240"/>
              </w:tabs>
              <w:snapToGrid w:val="0"/>
              <w:jc w:val="both"/>
              <w:rPr>
                <w:color w:val="000000"/>
                <w:sz w:val="20"/>
              </w:rPr>
            </w:pPr>
          </w:p>
        </w:tc>
      </w:tr>
      <w:tr w:rsidR="00554321" w:rsidRPr="00A53188" w:rsidTr="00A53188">
        <w:trPr>
          <w:trHeight w:val="411"/>
          <w:jc w:val="center"/>
        </w:trPr>
        <w:tc>
          <w:tcPr>
            <w:tcW w:w="9313" w:type="dxa"/>
            <w:tcBorders>
              <w:top w:val="single" w:sz="4" w:space="0" w:color="auto"/>
              <w:left w:val="nil"/>
              <w:bottom w:val="nil"/>
              <w:right w:val="nil"/>
            </w:tcBorders>
          </w:tcPr>
          <w:p w:rsidR="00554321" w:rsidRPr="00A53188" w:rsidRDefault="00554321" w:rsidP="00264383">
            <w:pPr>
              <w:snapToGrid w:val="0"/>
              <w:ind w:firstLineChars="218" w:firstLine="436"/>
              <w:jc w:val="both"/>
              <w:rPr>
                <w:color w:val="000000"/>
                <w:sz w:val="20"/>
              </w:rPr>
            </w:pPr>
            <w:r w:rsidRPr="00A53188">
              <w:rPr>
                <w:color w:val="000000"/>
                <w:sz w:val="20"/>
              </w:rPr>
              <w:t xml:space="preserve">Figure 1 </w:t>
            </w:r>
            <w:r w:rsidR="00264383">
              <w:rPr>
                <w:color w:val="000000"/>
                <w:sz w:val="20"/>
              </w:rPr>
              <w:t>s</w:t>
            </w:r>
            <w:r w:rsidRPr="00A53188">
              <w:rPr>
                <w:color w:val="000000"/>
                <w:sz w:val="20"/>
              </w:rPr>
              <w:t xml:space="preserve">hows the distribution of the number of samples collected per age </w:t>
            </w:r>
            <w:proofErr w:type="spellStart"/>
            <w:r w:rsidRPr="00A53188">
              <w:rPr>
                <w:color w:val="000000"/>
                <w:sz w:val="20"/>
              </w:rPr>
              <w:t>group,age</w:t>
            </w:r>
            <w:proofErr w:type="spellEnd"/>
            <w:r w:rsidRPr="00A53188">
              <w:rPr>
                <w:color w:val="000000"/>
                <w:sz w:val="20"/>
              </w:rPr>
              <w:t xml:space="preserve"> groups 21-30 has the highest 3</w:t>
            </w:r>
            <w:r w:rsidR="00C96C57" w:rsidRPr="00A53188">
              <w:rPr>
                <w:color w:val="000000"/>
                <w:sz w:val="20"/>
              </w:rPr>
              <w:t>3</w:t>
            </w:r>
            <w:r w:rsidRPr="00A53188">
              <w:rPr>
                <w:color w:val="000000"/>
                <w:sz w:val="20"/>
              </w:rPr>
              <w:t>(3</w:t>
            </w:r>
            <w:r w:rsidR="00C96C57" w:rsidRPr="00A53188">
              <w:rPr>
                <w:color w:val="000000"/>
                <w:sz w:val="20"/>
              </w:rPr>
              <w:t>3</w:t>
            </w:r>
            <w:r w:rsidRPr="00A53188">
              <w:rPr>
                <w:color w:val="000000"/>
                <w:sz w:val="20"/>
              </w:rPr>
              <w:t>.0%), followed by 11-20, 27( 27.-%), with the least having one each in age groups 51-60,61-70 and 71-80</w:t>
            </w:r>
            <w:r w:rsidR="00264383">
              <w:rPr>
                <w:color w:val="000000"/>
                <w:sz w:val="20"/>
              </w:rPr>
              <w:t>.</w:t>
            </w:r>
          </w:p>
        </w:tc>
      </w:tr>
    </w:tbl>
    <w:p w:rsidR="00554321" w:rsidRPr="00A53188" w:rsidRDefault="00D92696" w:rsidP="00A53188">
      <w:pPr>
        <w:snapToGrid w:val="0"/>
        <w:jc w:val="center"/>
        <w:rPr>
          <w:noProof/>
          <w:sz w:val="20"/>
          <w:lang w:val="en-US" w:eastAsia="en-US"/>
        </w:rPr>
      </w:pPr>
      <w:r w:rsidRPr="00D92696">
        <w:rPr>
          <w:noProof/>
          <w:sz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99pt;height:24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">
            <v:imagedata r:id="rId15" o:title=""/>
            <o:lock v:ext="edit" aspectratio="f"/>
          </v:shape>
        </w:pict>
      </w:r>
    </w:p>
    <w:p w:rsidR="00554321" w:rsidRPr="00A53188" w:rsidRDefault="00E11CF9" w:rsidP="00E11CF9">
      <w:pPr>
        <w:tabs>
          <w:tab w:val="left" w:pos="1323"/>
        </w:tabs>
        <w:snapToGrid w:val="0"/>
        <w:jc w:val="center"/>
        <w:rPr>
          <w:b/>
          <w:bCs/>
          <w:sz w:val="20"/>
        </w:rPr>
      </w:pPr>
      <w:r>
        <w:rPr>
          <w:rFonts w:eastAsiaTheme="minorEastAsia" w:hint="eastAsia"/>
          <w:noProof/>
          <w:sz w:val="20"/>
          <w:lang w:val="en-US" w:eastAsia="zh-CN"/>
        </w:rPr>
        <w:t>F</w:t>
      </w:r>
      <w:r w:rsidR="00554321" w:rsidRPr="00A53188">
        <w:rPr>
          <w:noProof/>
          <w:sz w:val="20"/>
          <w:lang w:val="en-US" w:eastAsia="en-US"/>
        </w:rPr>
        <w:t>igure 1. Showing the number of sample tested in different age group</w:t>
      </w:r>
    </w:p>
    <w:p w:rsidR="00A53188" w:rsidRDefault="00A53188" w:rsidP="00A53188">
      <w:pPr>
        <w:snapToGrid w:val="0"/>
        <w:jc w:val="both"/>
        <w:rPr>
          <w:b/>
          <w:sz w:val="20"/>
        </w:rPr>
      </w:pPr>
    </w:p>
    <w:p w:rsidR="00264383" w:rsidRDefault="00264383" w:rsidP="00A53188">
      <w:pPr>
        <w:snapToGrid w:val="0"/>
        <w:jc w:val="both"/>
        <w:rPr>
          <w:b/>
          <w:sz w:val="20"/>
        </w:rPr>
      </w:pPr>
    </w:p>
    <w:p w:rsidR="00264383" w:rsidRPr="00A53188" w:rsidRDefault="00264383" w:rsidP="00A53188">
      <w:pPr>
        <w:snapToGrid w:val="0"/>
        <w:jc w:val="both"/>
        <w:rPr>
          <w:b/>
          <w:sz w:val="20"/>
        </w:rPr>
        <w:sectPr w:rsidR="00264383" w:rsidRPr="00A53188" w:rsidSect="0033655F">
          <w:type w:val="continuous"/>
          <w:pgSz w:w="12240" w:h="15840" w:code="1"/>
          <w:pgMar w:top="1440" w:right="1440" w:bottom="1440" w:left="1440" w:header="720" w:footer="720" w:gutter="0"/>
          <w:cols w:space="720"/>
          <w:docGrid w:linePitch="360"/>
        </w:sectPr>
      </w:pPr>
    </w:p>
    <w:p w:rsidR="00554321" w:rsidRPr="00A53188" w:rsidRDefault="00E11CF9" w:rsidP="00A53188">
      <w:pPr>
        <w:snapToGrid w:val="0"/>
        <w:jc w:val="both"/>
        <w:rPr>
          <w:b/>
          <w:sz w:val="20"/>
        </w:rPr>
      </w:pPr>
      <w:r w:rsidRPr="00A53188">
        <w:rPr>
          <w:b/>
          <w:sz w:val="20"/>
        </w:rPr>
        <w:lastRenderedPageBreak/>
        <w:t>Discussion</w:t>
      </w:r>
    </w:p>
    <w:p w:rsidR="00554321" w:rsidRPr="00A53188" w:rsidRDefault="00554321" w:rsidP="00A53188">
      <w:pPr>
        <w:snapToGrid w:val="0"/>
        <w:ind w:firstLine="425"/>
        <w:jc w:val="both"/>
        <w:rPr>
          <w:sz w:val="20"/>
        </w:rPr>
      </w:pPr>
      <w:r w:rsidRPr="00A53188">
        <w:rPr>
          <w:sz w:val="20"/>
        </w:rPr>
        <w:lastRenderedPageBreak/>
        <w:t xml:space="preserve">100 sera of male 44 (43.6%) and female 56 (56.4%), </w:t>
      </w:r>
      <w:r w:rsidR="002B5102" w:rsidRPr="00A53188">
        <w:rPr>
          <w:sz w:val="20"/>
        </w:rPr>
        <w:t>the</w:t>
      </w:r>
      <w:r w:rsidRPr="00A53188">
        <w:rPr>
          <w:sz w:val="20"/>
        </w:rPr>
        <w:t xml:space="preserve"> demographic representation of the study population is as shown in Table1. The study involved both children and adults. They were in the age range of 3 – 80 years with mean (±SD) age of 22.7±12.7 years.</w:t>
      </w:r>
    </w:p>
    <w:p w:rsidR="00554321" w:rsidRPr="00A53188" w:rsidRDefault="00554321" w:rsidP="00A53188">
      <w:pPr>
        <w:snapToGrid w:val="0"/>
        <w:ind w:firstLine="425"/>
        <w:jc w:val="both"/>
        <w:rPr>
          <w:sz w:val="20"/>
        </w:rPr>
      </w:pPr>
      <w:r w:rsidRPr="00A53188">
        <w:rPr>
          <w:sz w:val="20"/>
        </w:rPr>
        <w:t xml:space="preserve">A total </w:t>
      </w:r>
      <w:r w:rsidR="002B5102" w:rsidRPr="00A53188">
        <w:rPr>
          <w:sz w:val="20"/>
        </w:rPr>
        <w:t>of 2 patients</w:t>
      </w:r>
      <w:r w:rsidRPr="00A53188">
        <w:rPr>
          <w:sz w:val="20"/>
        </w:rPr>
        <w:t xml:space="preserve"> were positive for </w:t>
      </w:r>
      <w:r w:rsidR="002B5102" w:rsidRPr="00A53188">
        <w:rPr>
          <w:sz w:val="20"/>
        </w:rPr>
        <w:t xml:space="preserve">HAV </w:t>
      </w:r>
      <w:proofErr w:type="spellStart"/>
      <w:r w:rsidR="002B5102" w:rsidRPr="00A53188">
        <w:rPr>
          <w:sz w:val="20"/>
        </w:rPr>
        <w:t>IgM</w:t>
      </w:r>
      <w:proofErr w:type="spellEnd"/>
      <w:r w:rsidRPr="00A53188">
        <w:rPr>
          <w:sz w:val="20"/>
        </w:rPr>
        <w:t xml:space="preserve"> giving a incidence of 2.0%. Two females were positive, 2(3.6%) and</w:t>
      </w:r>
      <w:r w:rsidR="00264383">
        <w:rPr>
          <w:sz w:val="20"/>
        </w:rPr>
        <w:t xml:space="preserve"> </w:t>
      </w:r>
      <w:r w:rsidRPr="00A53188">
        <w:rPr>
          <w:sz w:val="20"/>
        </w:rPr>
        <w:t xml:space="preserve">0(0.0%) male , despite this there was no significant difference according to gender, meaning that HAV infection is not gender bias. All the two of </w:t>
      </w:r>
      <w:r w:rsidR="002B5102" w:rsidRPr="00A53188">
        <w:rPr>
          <w:sz w:val="20"/>
        </w:rPr>
        <w:t>the positive</w:t>
      </w:r>
      <w:r w:rsidRPr="00A53188">
        <w:rPr>
          <w:sz w:val="20"/>
        </w:rPr>
        <w:t xml:space="preserve"> cases were also positive for fever only, indica</w:t>
      </w:r>
      <w:r w:rsidR="002B5102" w:rsidRPr="00A53188">
        <w:rPr>
          <w:sz w:val="20"/>
        </w:rPr>
        <w:t>ting that when looking for HAV</w:t>
      </w:r>
      <w:r w:rsidRPr="00A53188">
        <w:rPr>
          <w:sz w:val="20"/>
        </w:rPr>
        <w:t xml:space="preserve"> infection, patients with FEVER are the mostly likely suspects to be considered. The age group 0-10 and 11-20 with 1(4.2%) and 1 (3.7%) positive cases respectively were the age groups having positive cases, though there was no significant difference indicating that HAV virus can infect any age group. Table 2 shows that the two </w:t>
      </w:r>
      <w:r w:rsidR="00AC65C5" w:rsidRPr="00A53188">
        <w:rPr>
          <w:sz w:val="20"/>
        </w:rPr>
        <w:t>patients with</w:t>
      </w:r>
      <w:r w:rsidRPr="00A53188">
        <w:rPr>
          <w:sz w:val="20"/>
        </w:rPr>
        <w:t xml:space="preserve"> HAV infection were in the age groups of 0-10, 1(4.2%</w:t>
      </w:r>
      <w:r w:rsidR="00AC65C5" w:rsidRPr="00A53188">
        <w:rPr>
          <w:sz w:val="20"/>
        </w:rPr>
        <w:t>) and 11</w:t>
      </w:r>
      <w:r w:rsidRPr="00A53188">
        <w:rPr>
          <w:sz w:val="20"/>
        </w:rPr>
        <w:t>-20, 1(3.7%), none positive in the other age groups,</w:t>
      </w:r>
      <w:r w:rsidR="00264383">
        <w:rPr>
          <w:sz w:val="20"/>
        </w:rPr>
        <w:t xml:space="preserve"> </w:t>
      </w:r>
      <w:r w:rsidRPr="00A53188">
        <w:rPr>
          <w:sz w:val="20"/>
        </w:rPr>
        <w:t xml:space="preserve">there </w:t>
      </w:r>
      <w:r w:rsidR="00AC65C5" w:rsidRPr="00A53188">
        <w:rPr>
          <w:sz w:val="20"/>
        </w:rPr>
        <w:t>however was</w:t>
      </w:r>
      <w:r w:rsidRPr="00A53188">
        <w:rPr>
          <w:sz w:val="20"/>
        </w:rPr>
        <w:t xml:space="preserve"> </w:t>
      </w:r>
      <w:r w:rsidR="00AC65C5" w:rsidRPr="00A53188">
        <w:rPr>
          <w:sz w:val="20"/>
        </w:rPr>
        <w:t>no significant</w:t>
      </w:r>
      <w:r w:rsidRPr="00A53188">
        <w:rPr>
          <w:sz w:val="20"/>
        </w:rPr>
        <w:t xml:space="preserve"> difference among the age groups (x</w:t>
      </w:r>
      <w:r w:rsidRPr="00A53188">
        <w:rPr>
          <w:sz w:val="20"/>
          <w:vertAlign w:val="superscript"/>
        </w:rPr>
        <w:t>2</w:t>
      </w:r>
      <w:r w:rsidRPr="00A53188">
        <w:rPr>
          <w:sz w:val="20"/>
        </w:rPr>
        <w:t xml:space="preserve">=66.65, </w:t>
      </w:r>
      <w:proofErr w:type="spellStart"/>
      <w:r w:rsidRPr="00A53188">
        <w:rPr>
          <w:sz w:val="20"/>
        </w:rPr>
        <w:t>df</w:t>
      </w:r>
      <w:proofErr w:type="spellEnd"/>
      <w:r w:rsidRPr="00A53188">
        <w:rPr>
          <w:sz w:val="20"/>
        </w:rPr>
        <w:t>=1, p=0.219).</w:t>
      </w:r>
    </w:p>
    <w:p w:rsidR="00554321" w:rsidRPr="00A53188" w:rsidRDefault="00554321" w:rsidP="00A53188">
      <w:pPr>
        <w:snapToGrid w:val="0"/>
        <w:ind w:firstLine="425"/>
        <w:jc w:val="both"/>
        <w:rPr>
          <w:sz w:val="20"/>
        </w:rPr>
      </w:pPr>
      <w:r w:rsidRPr="00A53188">
        <w:rPr>
          <w:sz w:val="20"/>
        </w:rPr>
        <w:t>HAV is more prevalent among females 2(3.6%) compared to males 0(0%), however there was no significant difference among the males and female (x</w:t>
      </w:r>
      <w:r w:rsidRPr="00A53188">
        <w:rPr>
          <w:sz w:val="20"/>
          <w:vertAlign w:val="superscript"/>
        </w:rPr>
        <w:t>2</w:t>
      </w:r>
      <w:r w:rsidRPr="00A53188">
        <w:rPr>
          <w:sz w:val="20"/>
        </w:rPr>
        <w:t>=1.575,df=1, p=0.128) as shown in Table 2.</w:t>
      </w:r>
    </w:p>
    <w:p w:rsidR="00554321" w:rsidRPr="00A53188" w:rsidRDefault="00554321" w:rsidP="00A53188">
      <w:pPr>
        <w:snapToGrid w:val="0"/>
        <w:ind w:firstLine="425"/>
        <w:jc w:val="both"/>
        <w:rPr>
          <w:sz w:val="20"/>
        </w:rPr>
      </w:pPr>
      <w:r w:rsidRPr="00A53188">
        <w:rPr>
          <w:sz w:val="20"/>
        </w:rPr>
        <w:t>Table 2 all shows that HAV infection is most prevalent in patients that presented with fever alone 2 (5.2%), all the others are negative, despite this there was no significant difference (x</w:t>
      </w:r>
      <w:r w:rsidRPr="00A53188">
        <w:rPr>
          <w:sz w:val="20"/>
          <w:vertAlign w:val="superscript"/>
        </w:rPr>
        <w:t>2</w:t>
      </w:r>
      <w:r w:rsidRPr="00A53188">
        <w:rPr>
          <w:sz w:val="20"/>
        </w:rPr>
        <w:t>=3.24,df=1,p=0.113). figure 1: Shows the distribution of the number of samples collected per age group,</w:t>
      </w:r>
      <w:r w:rsidR="00AC65C5" w:rsidRPr="00A53188">
        <w:rPr>
          <w:sz w:val="20"/>
        </w:rPr>
        <w:t xml:space="preserve"> </w:t>
      </w:r>
      <w:r w:rsidRPr="00A53188">
        <w:rPr>
          <w:sz w:val="20"/>
        </w:rPr>
        <w:t>age groups 21-30 has the highest 39(39.0%), followed by 11-20, 27( 27.-%), with the least having one each in age groups 51-60,61-70 and 71-80</w:t>
      </w:r>
    </w:p>
    <w:p w:rsidR="00554321" w:rsidRPr="00A53188" w:rsidRDefault="00554321" w:rsidP="00A53188">
      <w:pPr>
        <w:snapToGrid w:val="0"/>
        <w:jc w:val="both"/>
        <w:rPr>
          <w:b/>
          <w:sz w:val="20"/>
        </w:rPr>
      </w:pPr>
    </w:p>
    <w:p w:rsidR="00FB4F70" w:rsidRDefault="00FB4F70" w:rsidP="00A53188">
      <w:pPr>
        <w:snapToGrid w:val="0"/>
        <w:jc w:val="both"/>
        <w:rPr>
          <w:rFonts w:eastAsiaTheme="minorEastAsia"/>
          <w:b/>
          <w:sz w:val="20"/>
          <w:lang w:eastAsia="zh-CN"/>
        </w:rPr>
      </w:pPr>
      <w:r w:rsidRPr="00A53188">
        <w:rPr>
          <w:b/>
          <w:sz w:val="20"/>
        </w:rPr>
        <w:t>Conclusion</w:t>
      </w:r>
    </w:p>
    <w:p w:rsidR="00554321" w:rsidRPr="00A53188" w:rsidRDefault="00554321" w:rsidP="00FB4F70">
      <w:pPr>
        <w:snapToGrid w:val="0"/>
        <w:ind w:firstLine="425"/>
        <w:jc w:val="both"/>
        <w:rPr>
          <w:sz w:val="20"/>
        </w:rPr>
      </w:pPr>
      <w:r w:rsidRPr="00A53188">
        <w:rPr>
          <w:sz w:val="20"/>
        </w:rPr>
        <w:t>This work shows that HAV infection give rise to unset of fever,</w:t>
      </w:r>
      <w:r w:rsidR="00264383">
        <w:rPr>
          <w:sz w:val="20"/>
        </w:rPr>
        <w:t xml:space="preserve"> </w:t>
      </w:r>
      <w:r w:rsidRPr="00A53188">
        <w:rPr>
          <w:sz w:val="20"/>
        </w:rPr>
        <w:t>and most fevers of unknown original could be associated with HAV infections</w:t>
      </w:r>
    </w:p>
    <w:p w:rsidR="00FB4F70" w:rsidRDefault="00FB4F70" w:rsidP="00A53188">
      <w:pPr>
        <w:snapToGrid w:val="0"/>
        <w:jc w:val="both"/>
        <w:rPr>
          <w:rFonts w:eastAsiaTheme="minorEastAsia"/>
          <w:b/>
          <w:sz w:val="20"/>
          <w:lang w:eastAsia="zh-CN"/>
        </w:rPr>
      </w:pPr>
    </w:p>
    <w:p w:rsidR="00FB4F70" w:rsidRDefault="00FB4F70" w:rsidP="00A53188">
      <w:pPr>
        <w:snapToGrid w:val="0"/>
        <w:jc w:val="both"/>
        <w:rPr>
          <w:rFonts w:eastAsiaTheme="minorEastAsia"/>
          <w:b/>
          <w:sz w:val="20"/>
          <w:lang w:eastAsia="zh-CN"/>
        </w:rPr>
      </w:pPr>
      <w:r w:rsidRPr="00A53188">
        <w:rPr>
          <w:b/>
          <w:sz w:val="20"/>
        </w:rPr>
        <w:t>Recommendations</w:t>
      </w:r>
    </w:p>
    <w:p w:rsidR="00554321" w:rsidRPr="00A53188" w:rsidRDefault="00554321" w:rsidP="00FB4F70">
      <w:pPr>
        <w:snapToGrid w:val="0"/>
        <w:ind w:firstLine="425"/>
        <w:jc w:val="both"/>
        <w:rPr>
          <w:sz w:val="20"/>
        </w:rPr>
      </w:pPr>
      <w:r w:rsidRPr="00A53188">
        <w:rPr>
          <w:sz w:val="20"/>
        </w:rPr>
        <w:t>There should be more awareness on the infection of HAV and introduction of vaccination for HAV</w:t>
      </w:r>
    </w:p>
    <w:p w:rsidR="00112A3C" w:rsidRDefault="00112A3C" w:rsidP="00A53188">
      <w:pPr>
        <w:snapToGrid w:val="0"/>
        <w:jc w:val="both"/>
        <w:outlineLvl w:val="0"/>
        <w:rPr>
          <w:rFonts w:eastAsiaTheme="minorEastAsia"/>
          <w:b/>
          <w:sz w:val="20"/>
          <w:lang w:eastAsia="zh-CN"/>
        </w:rPr>
      </w:pPr>
    </w:p>
    <w:p w:rsidR="00FB4F70" w:rsidRDefault="00FB4F70" w:rsidP="00A53188">
      <w:pPr>
        <w:snapToGrid w:val="0"/>
        <w:jc w:val="both"/>
        <w:outlineLvl w:val="0"/>
        <w:rPr>
          <w:rFonts w:eastAsiaTheme="minorEastAsia"/>
          <w:b/>
          <w:sz w:val="20"/>
          <w:lang w:eastAsia="zh-CN"/>
        </w:rPr>
      </w:pPr>
    </w:p>
    <w:p w:rsidR="00112A3C" w:rsidRPr="00A53188" w:rsidRDefault="00112A3C" w:rsidP="00FB4F70">
      <w:pPr>
        <w:snapToGrid w:val="0"/>
        <w:jc w:val="both"/>
        <w:outlineLvl w:val="0"/>
        <w:rPr>
          <w:b/>
          <w:sz w:val="20"/>
        </w:rPr>
      </w:pPr>
      <w:r w:rsidRPr="00A53188">
        <w:rPr>
          <w:b/>
          <w:sz w:val="20"/>
        </w:rPr>
        <w:lastRenderedPageBreak/>
        <w:t>Corresponding author:</w:t>
      </w:r>
    </w:p>
    <w:p w:rsidR="00112A3C" w:rsidRPr="00A53188" w:rsidRDefault="00112A3C" w:rsidP="00FB4F70">
      <w:pPr>
        <w:snapToGrid w:val="0"/>
        <w:jc w:val="both"/>
        <w:outlineLvl w:val="0"/>
        <w:rPr>
          <w:sz w:val="20"/>
        </w:rPr>
      </w:pPr>
      <w:r w:rsidRPr="00A53188">
        <w:rPr>
          <w:sz w:val="20"/>
        </w:rPr>
        <w:t xml:space="preserve">Mr Joshua </w:t>
      </w:r>
      <w:proofErr w:type="spellStart"/>
      <w:r w:rsidRPr="00A53188">
        <w:rPr>
          <w:sz w:val="20"/>
        </w:rPr>
        <w:t>dawurung</w:t>
      </w:r>
      <w:proofErr w:type="spellEnd"/>
    </w:p>
    <w:p w:rsidR="00112A3C" w:rsidRPr="00A53188" w:rsidRDefault="00112A3C" w:rsidP="00FB4F70">
      <w:pPr>
        <w:snapToGrid w:val="0"/>
        <w:jc w:val="both"/>
        <w:outlineLvl w:val="0"/>
        <w:rPr>
          <w:sz w:val="20"/>
        </w:rPr>
      </w:pPr>
      <w:r w:rsidRPr="00A53188">
        <w:rPr>
          <w:sz w:val="20"/>
        </w:rPr>
        <w:t>WHO National polio lab</w:t>
      </w:r>
    </w:p>
    <w:p w:rsidR="00112A3C" w:rsidRPr="00A53188" w:rsidRDefault="00112A3C" w:rsidP="00FB4F70">
      <w:pPr>
        <w:snapToGrid w:val="0"/>
        <w:jc w:val="both"/>
        <w:outlineLvl w:val="0"/>
        <w:rPr>
          <w:sz w:val="20"/>
        </w:rPr>
      </w:pPr>
      <w:r w:rsidRPr="00A53188">
        <w:rPr>
          <w:sz w:val="20"/>
        </w:rPr>
        <w:t>University of Maiduguri teaching hospital</w:t>
      </w:r>
    </w:p>
    <w:p w:rsidR="00112A3C" w:rsidRPr="00A53188" w:rsidRDefault="00112A3C" w:rsidP="00FB4F70">
      <w:pPr>
        <w:snapToGrid w:val="0"/>
        <w:jc w:val="both"/>
        <w:outlineLvl w:val="0"/>
        <w:rPr>
          <w:sz w:val="20"/>
        </w:rPr>
      </w:pPr>
      <w:proofErr w:type="spellStart"/>
      <w:r w:rsidRPr="00A53188">
        <w:rPr>
          <w:sz w:val="20"/>
        </w:rPr>
        <w:t>Borno</w:t>
      </w:r>
      <w:proofErr w:type="spellEnd"/>
      <w:r w:rsidRPr="00A53188">
        <w:rPr>
          <w:sz w:val="20"/>
        </w:rPr>
        <w:t xml:space="preserve"> State, Nigeria</w:t>
      </w:r>
    </w:p>
    <w:p w:rsidR="00112A3C" w:rsidRPr="00A53188" w:rsidRDefault="00264383" w:rsidP="00FB4F70">
      <w:pPr>
        <w:snapToGrid w:val="0"/>
        <w:jc w:val="both"/>
        <w:outlineLvl w:val="0"/>
        <w:rPr>
          <w:sz w:val="20"/>
        </w:rPr>
      </w:pPr>
      <w:r>
        <w:rPr>
          <w:sz w:val="20"/>
        </w:rPr>
        <w:t>E-mail:</w:t>
      </w:r>
      <w:r w:rsidR="00112A3C" w:rsidRPr="00A53188">
        <w:rPr>
          <w:sz w:val="20"/>
        </w:rPr>
        <w:t xml:space="preserve"> </w:t>
      </w:r>
      <w:hyperlink r:id="rId16" w:history="1">
        <w:r w:rsidRPr="00D03F1C">
          <w:rPr>
            <w:rStyle w:val="Hyperlink"/>
            <w:sz w:val="20"/>
          </w:rPr>
          <w:t>dawurungj@gmail.com</w:t>
        </w:r>
      </w:hyperlink>
      <w:r>
        <w:rPr>
          <w:sz w:val="20"/>
        </w:rPr>
        <w:t xml:space="preserve"> </w:t>
      </w:r>
    </w:p>
    <w:p w:rsidR="00112A3C" w:rsidRPr="00A53188" w:rsidRDefault="00112A3C" w:rsidP="00A53188">
      <w:pPr>
        <w:snapToGrid w:val="0"/>
        <w:jc w:val="both"/>
        <w:outlineLvl w:val="0"/>
        <w:rPr>
          <w:b/>
          <w:sz w:val="20"/>
        </w:rPr>
      </w:pPr>
    </w:p>
    <w:p w:rsidR="00E11CF9" w:rsidRPr="00A53188" w:rsidRDefault="00E11CF9" w:rsidP="00A53188">
      <w:pPr>
        <w:snapToGrid w:val="0"/>
        <w:jc w:val="both"/>
        <w:outlineLvl w:val="0"/>
        <w:rPr>
          <w:b/>
          <w:sz w:val="20"/>
        </w:rPr>
      </w:pPr>
      <w:r w:rsidRPr="00A53188">
        <w:rPr>
          <w:b/>
          <w:sz w:val="20"/>
        </w:rPr>
        <w:t>References</w:t>
      </w:r>
    </w:p>
    <w:p w:rsidR="00E11CF9" w:rsidRPr="00A53188" w:rsidRDefault="00E11CF9" w:rsidP="00E11CF9">
      <w:pPr>
        <w:numPr>
          <w:ilvl w:val="0"/>
          <w:numId w:val="6"/>
        </w:numPr>
        <w:snapToGrid w:val="0"/>
        <w:jc w:val="both"/>
        <w:rPr>
          <w:sz w:val="20"/>
        </w:rPr>
      </w:pPr>
      <w:r w:rsidRPr="00A53188">
        <w:rPr>
          <w:sz w:val="20"/>
        </w:rPr>
        <w:t>R</w:t>
      </w:r>
      <w:r w:rsidR="00554321" w:rsidRPr="00A53188">
        <w:rPr>
          <w:sz w:val="20"/>
        </w:rPr>
        <w:t xml:space="preserve">yan </w:t>
      </w:r>
      <w:proofErr w:type="spellStart"/>
      <w:r w:rsidR="00554321" w:rsidRPr="00A53188">
        <w:rPr>
          <w:sz w:val="20"/>
        </w:rPr>
        <w:t>kj</w:t>
      </w:r>
      <w:proofErr w:type="spellEnd"/>
      <w:r w:rsidR="00554321" w:rsidRPr="00A53188">
        <w:rPr>
          <w:sz w:val="20"/>
        </w:rPr>
        <w:t>,</w:t>
      </w:r>
      <w:r w:rsidR="00FB4F70">
        <w:rPr>
          <w:rFonts w:eastAsiaTheme="minorEastAsia" w:hint="eastAsia"/>
          <w:sz w:val="20"/>
          <w:lang w:eastAsia="zh-CN"/>
        </w:rPr>
        <w:t xml:space="preserve"> </w:t>
      </w:r>
      <w:r w:rsidR="00554321" w:rsidRPr="00A53188">
        <w:rPr>
          <w:sz w:val="20"/>
        </w:rPr>
        <w:t>CG(2004).</w:t>
      </w:r>
      <w:r w:rsidR="00FB4F70">
        <w:rPr>
          <w:rFonts w:eastAsiaTheme="minorEastAsia" w:hint="eastAsia"/>
          <w:sz w:val="20"/>
          <w:lang w:eastAsia="zh-CN"/>
        </w:rPr>
        <w:t xml:space="preserve"> </w:t>
      </w:r>
      <w:proofErr w:type="spellStart"/>
      <w:r w:rsidR="00554321" w:rsidRPr="00A53188">
        <w:rPr>
          <w:sz w:val="20"/>
        </w:rPr>
        <w:t>Sherris</w:t>
      </w:r>
      <w:proofErr w:type="spellEnd"/>
      <w:r w:rsidR="00554321" w:rsidRPr="00A53188">
        <w:rPr>
          <w:sz w:val="20"/>
        </w:rPr>
        <w:t xml:space="preserve"> Medical Microbiology.</w:t>
      </w:r>
      <w:r w:rsidR="00264383">
        <w:rPr>
          <w:sz w:val="20"/>
        </w:rPr>
        <w:t xml:space="preserve"> </w:t>
      </w:r>
      <w:r w:rsidR="00554321" w:rsidRPr="00A53188">
        <w:rPr>
          <w:sz w:val="20"/>
        </w:rPr>
        <w:t>McGraw Hill.pp.541-4.</w:t>
      </w:r>
    </w:p>
    <w:p w:rsidR="00E11CF9" w:rsidRPr="00A53188" w:rsidRDefault="00E11CF9" w:rsidP="00E11CF9">
      <w:pPr>
        <w:numPr>
          <w:ilvl w:val="0"/>
          <w:numId w:val="6"/>
        </w:numPr>
        <w:snapToGrid w:val="0"/>
        <w:jc w:val="both"/>
        <w:rPr>
          <w:sz w:val="20"/>
        </w:rPr>
      </w:pPr>
      <w:proofErr w:type="spellStart"/>
      <w:r w:rsidRPr="00A53188">
        <w:rPr>
          <w:sz w:val="20"/>
        </w:rPr>
        <w:t>W</w:t>
      </w:r>
      <w:r w:rsidR="00554321" w:rsidRPr="00A53188">
        <w:rPr>
          <w:sz w:val="20"/>
        </w:rPr>
        <w:t>asley</w:t>
      </w:r>
      <w:proofErr w:type="spellEnd"/>
      <w:r w:rsidR="00554321" w:rsidRPr="00A53188">
        <w:rPr>
          <w:sz w:val="20"/>
        </w:rPr>
        <w:t xml:space="preserve"> </w:t>
      </w:r>
      <w:proofErr w:type="spellStart"/>
      <w:r w:rsidR="00554321" w:rsidRPr="00A53188">
        <w:rPr>
          <w:sz w:val="20"/>
        </w:rPr>
        <w:t>A,Fiore</w:t>
      </w:r>
      <w:proofErr w:type="spellEnd"/>
      <w:r w:rsidR="00554321" w:rsidRPr="00A53188">
        <w:rPr>
          <w:sz w:val="20"/>
        </w:rPr>
        <w:t xml:space="preserve"> </w:t>
      </w:r>
      <w:proofErr w:type="spellStart"/>
      <w:r w:rsidR="00554321" w:rsidRPr="00A53188">
        <w:rPr>
          <w:sz w:val="20"/>
        </w:rPr>
        <w:t>A,Bell</w:t>
      </w:r>
      <w:proofErr w:type="spellEnd"/>
      <w:r w:rsidR="00554321" w:rsidRPr="00A53188">
        <w:rPr>
          <w:sz w:val="20"/>
        </w:rPr>
        <w:t xml:space="preserve"> Bp(2006).”Hepatitis A in the era of vaccination” </w:t>
      </w:r>
      <w:proofErr w:type="spellStart"/>
      <w:r w:rsidR="00554321" w:rsidRPr="00A53188">
        <w:rPr>
          <w:sz w:val="20"/>
        </w:rPr>
        <w:t>Epidemiol</w:t>
      </w:r>
      <w:proofErr w:type="spellEnd"/>
      <w:r w:rsidR="00554321" w:rsidRPr="00A53188">
        <w:rPr>
          <w:sz w:val="20"/>
        </w:rPr>
        <w:t xml:space="preserve"> Rev 28:101-11.</w:t>
      </w:r>
    </w:p>
    <w:p w:rsidR="00E11CF9" w:rsidRPr="00A53188" w:rsidRDefault="00E11CF9" w:rsidP="00E11CF9">
      <w:pPr>
        <w:numPr>
          <w:ilvl w:val="0"/>
          <w:numId w:val="6"/>
        </w:numPr>
        <w:snapToGrid w:val="0"/>
        <w:jc w:val="both"/>
        <w:rPr>
          <w:sz w:val="20"/>
        </w:rPr>
      </w:pPr>
      <w:proofErr w:type="spellStart"/>
      <w:r w:rsidRPr="00A53188">
        <w:rPr>
          <w:sz w:val="20"/>
        </w:rPr>
        <w:t>c</w:t>
      </w:r>
      <w:r w:rsidR="00554321" w:rsidRPr="00A53188">
        <w:rPr>
          <w:sz w:val="20"/>
        </w:rPr>
        <w:t>onnor</w:t>
      </w:r>
      <w:proofErr w:type="spellEnd"/>
      <w:r w:rsidR="00554321" w:rsidRPr="00A53188">
        <w:rPr>
          <w:sz w:val="20"/>
        </w:rPr>
        <w:t xml:space="preserve"> B.A</w:t>
      </w:r>
      <w:r w:rsidR="00264383">
        <w:rPr>
          <w:sz w:val="20"/>
        </w:rPr>
        <w:t xml:space="preserve"> </w:t>
      </w:r>
      <w:r w:rsidR="00554321" w:rsidRPr="00A53188">
        <w:rPr>
          <w:sz w:val="20"/>
        </w:rPr>
        <w:t xml:space="preserve">(2005).”Hepatitis A vaccine in the last-minute </w:t>
      </w:r>
      <w:proofErr w:type="spellStart"/>
      <w:r w:rsidR="00554321" w:rsidRPr="00A53188">
        <w:rPr>
          <w:sz w:val="20"/>
        </w:rPr>
        <w:t>traveler</w:t>
      </w:r>
      <w:proofErr w:type="spellEnd"/>
      <w:r w:rsidR="00554321" w:rsidRPr="00A53188">
        <w:rPr>
          <w:sz w:val="20"/>
        </w:rPr>
        <w:t>”</w:t>
      </w:r>
      <w:r w:rsidR="00264383">
        <w:rPr>
          <w:sz w:val="20"/>
        </w:rPr>
        <w:t xml:space="preserve"> </w:t>
      </w:r>
      <w:r w:rsidR="00554321" w:rsidRPr="00A53188">
        <w:rPr>
          <w:sz w:val="20"/>
        </w:rPr>
        <w:t>Am J. Med.118</w:t>
      </w:r>
    </w:p>
    <w:p w:rsidR="00E11CF9" w:rsidRPr="00A53188" w:rsidRDefault="00E11CF9" w:rsidP="00E11CF9">
      <w:pPr>
        <w:numPr>
          <w:ilvl w:val="0"/>
          <w:numId w:val="6"/>
        </w:numPr>
        <w:snapToGrid w:val="0"/>
        <w:jc w:val="both"/>
        <w:rPr>
          <w:sz w:val="20"/>
        </w:rPr>
      </w:pPr>
      <w:r w:rsidRPr="00A53188">
        <w:rPr>
          <w:sz w:val="20"/>
        </w:rPr>
        <w:t>S</w:t>
      </w:r>
      <w:r w:rsidR="00554321" w:rsidRPr="00A53188">
        <w:rPr>
          <w:sz w:val="20"/>
        </w:rPr>
        <w:t xml:space="preserve">teffen R(October 2005).”Changing travel-related global epidemiology of hepatitis A”. Am. </w:t>
      </w:r>
      <w:proofErr w:type="spellStart"/>
      <w:r w:rsidR="00554321" w:rsidRPr="00A53188">
        <w:rPr>
          <w:sz w:val="20"/>
        </w:rPr>
        <w:t>J.Med</w:t>
      </w:r>
      <w:proofErr w:type="spellEnd"/>
      <w:r w:rsidR="00554321" w:rsidRPr="00A53188">
        <w:rPr>
          <w:sz w:val="20"/>
        </w:rPr>
        <w:t xml:space="preserve"> 118</w:t>
      </w:r>
    </w:p>
    <w:p w:rsidR="00E11CF9" w:rsidRPr="00A53188" w:rsidRDefault="00E11CF9" w:rsidP="00E11CF9">
      <w:pPr>
        <w:numPr>
          <w:ilvl w:val="0"/>
          <w:numId w:val="6"/>
        </w:numPr>
        <w:snapToGrid w:val="0"/>
        <w:jc w:val="both"/>
        <w:rPr>
          <w:sz w:val="20"/>
        </w:rPr>
      </w:pPr>
      <w:r w:rsidRPr="00A53188">
        <w:rPr>
          <w:sz w:val="20"/>
        </w:rPr>
        <w:t>J</w:t>
      </w:r>
      <w:r w:rsidR="00554321" w:rsidRPr="00A53188">
        <w:rPr>
          <w:sz w:val="20"/>
        </w:rPr>
        <w:t xml:space="preserve">acobsen </w:t>
      </w:r>
      <w:proofErr w:type="spellStart"/>
      <w:r w:rsidR="00554321" w:rsidRPr="00A53188">
        <w:rPr>
          <w:sz w:val="20"/>
        </w:rPr>
        <w:t>KH,Koopman</w:t>
      </w:r>
      <w:proofErr w:type="spellEnd"/>
      <w:r w:rsidR="00554321" w:rsidRPr="00A53188">
        <w:rPr>
          <w:sz w:val="20"/>
        </w:rPr>
        <w:t xml:space="preserve"> JS(2005)”The effects of socioeconomic development on worldwide hepatitis A</w:t>
      </w:r>
      <w:r w:rsidR="00264383">
        <w:rPr>
          <w:sz w:val="20"/>
        </w:rPr>
        <w:t xml:space="preserve"> </w:t>
      </w:r>
      <w:r w:rsidR="00554321" w:rsidRPr="00A53188">
        <w:rPr>
          <w:sz w:val="20"/>
        </w:rPr>
        <w:t xml:space="preserve">virus </w:t>
      </w:r>
      <w:proofErr w:type="spellStart"/>
      <w:r w:rsidR="00554321" w:rsidRPr="00A53188">
        <w:rPr>
          <w:sz w:val="20"/>
        </w:rPr>
        <w:t>seroprevalence</w:t>
      </w:r>
      <w:proofErr w:type="spellEnd"/>
      <w:r w:rsidR="00554321" w:rsidRPr="00A53188">
        <w:rPr>
          <w:sz w:val="20"/>
        </w:rPr>
        <w:t xml:space="preserve"> patterns” </w:t>
      </w:r>
      <w:proofErr w:type="spellStart"/>
      <w:r w:rsidR="00554321" w:rsidRPr="00A53188">
        <w:rPr>
          <w:sz w:val="20"/>
        </w:rPr>
        <w:t>Int</w:t>
      </w:r>
      <w:proofErr w:type="spellEnd"/>
      <w:r w:rsidR="00554321" w:rsidRPr="00A53188">
        <w:rPr>
          <w:sz w:val="20"/>
        </w:rPr>
        <w:t xml:space="preserve"> J </w:t>
      </w:r>
      <w:proofErr w:type="spellStart"/>
      <w:r w:rsidR="00554321" w:rsidRPr="00A53188">
        <w:rPr>
          <w:sz w:val="20"/>
        </w:rPr>
        <w:t>Epidemiol</w:t>
      </w:r>
      <w:proofErr w:type="spellEnd"/>
      <w:r w:rsidR="00554321" w:rsidRPr="00A53188">
        <w:rPr>
          <w:sz w:val="20"/>
        </w:rPr>
        <w:t xml:space="preserve"> 34</w:t>
      </w:r>
    </w:p>
    <w:p w:rsidR="00E11CF9" w:rsidRPr="00A53188" w:rsidRDefault="00E11CF9" w:rsidP="00E11CF9">
      <w:pPr>
        <w:numPr>
          <w:ilvl w:val="0"/>
          <w:numId w:val="6"/>
        </w:numPr>
        <w:snapToGrid w:val="0"/>
        <w:jc w:val="both"/>
        <w:rPr>
          <w:sz w:val="20"/>
        </w:rPr>
      </w:pPr>
      <w:proofErr w:type="spellStart"/>
      <w:r w:rsidRPr="00A53188">
        <w:rPr>
          <w:sz w:val="20"/>
        </w:rPr>
        <w:t>C</w:t>
      </w:r>
      <w:r w:rsidR="00554321" w:rsidRPr="00A53188">
        <w:rPr>
          <w:sz w:val="20"/>
        </w:rPr>
        <w:t>iocca</w:t>
      </w:r>
      <w:proofErr w:type="spellEnd"/>
      <w:r w:rsidR="00554321" w:rsidRPr="00A53188">
        <w:rPr>
          <w:sz w:val="20"/>
        </w:rPr>
        <w:t xml:space="preserve"> M.(2000)</w:t>
      </w:r>
      <w:r w:rsidR="00264383">
        <w:rPr>
          <w:sz w:val="20"/>
        </w:rPr>
        <w:t xml:space="preserve"> </w:t>
      </w:r>
      <w:r w:rsidR="00554321" w:rsidRPr="00A53188">
        <w:rPr>
          <w:sz w:val="20"/>
        </w:rPr>
        <w:t>”Clinical course and consequences of hepatitis A infection” Vaccine 18: 71-4</w:t>
      </w:r>
    </w:p>
    <w:p w:rsidR="00E11CF9" w:rsidRPr="00A53188" w:rsidRDefault="00E11CF9" w:rsidP="00E11CF9">
      <w:pPr>
        <w:numPr>
          <w:ilvl w:val="0"/>
          <w:numId w:val="6"/>
        </w:numPr>
        <w:snapToGrid w:val="0"/>
        <w:jc w:val="both"/>
        <w:rPr>
          <w:sz w:val="20"/>
        </w:rPr>
      </w:pPr>
      <w:r w:rsidRPr="00A53188">
        <w:rPr>
          <w:sz w:val="20"/>
        </w:rPr>
        <w:t>H</w:t>
      </w:r>
      <w:r w:rsidR="00554321" w:rsidRPr="00A53188">
        <w:rPr>
          <w:sz w:val="20"/>
        </w:rPr>
        <w:t xml:space="preserve">epatitis </w:t>
      </w:r>
      <w:proofErr w:type="spellStart"/>
      <w:r w:rsidR="00554321" w:rsidRPr="00A53188">
        <w:rPr>
          <w:sz w:val="20"/>
        </w:rPr>
        <w:t>Symtoms</w:t>
      </w:r>
      <w:proofErr w:type="spellEnd"/>
      <w:r w:rsidR="00554321" w:rsidRPr="00A53188">
        <w:rPr>
          <w:sz w:val="20"/>
        </w:rPr>
        <w:t xml:space="preserve">”. </w:t>
      </w:r>
      <w:proofErr w:type="spellStart"/>
      <w:r w:rsidR="00554321" w:rsidRPr="00A53188">
        <w:rPr>
          <w:sz w:val="20"/>
        </w:rPr>
        <w:t>eMedicineHealth</w:t>
      </w:r>
      <w:proofErr w:type="spellEnd"/>
      <w:r w:rsidR="00554321" w:rsidRPr="00A53188">
        <w:rPr>
          <w:sz w:val="20"/>
        </w:rPr>
        <w:t>. 2007-05-17. Retrieved 2007-05-18.</w:t>
      </w:r>
    </w:p>
    <w:p w:rsidR="00E11CF9" w:rsidRPr="00A53188" w:rsidRDefault="00E11CF9" w:rsidP="00E11CF9">
      <w:pPr>
        <w:numPr>
          <w:ilvl w:val="0"/>
          <w:numId w:val="6"/>
        </w:numPr>
        <w:snapToGrid w:val="0"/>
        <w:jc w:val="both"/>
        <w:rPr>
          <w:sz w:val="20"/>
        </w:rPr>
      </w:pPr>
      <w:r w:rsidRPr="00A53188">
        <w:rPr>
          <w:sz w:val="20"/>
        </w:rPr>
        <w:t>H</w:t>
      </w:r>
      <w:r w:rsidR="00554321" w:rsidRPr="00A53188">
        <w:rPr>
          <w:sz w:val="20"/>
        </w:rPr>
        <w:t xml:space="preserve">epatitis A information for the public” </w:t>
      </w:r>
      <w:proofErr w:type="spellStart"/>
      <w:r w:rsidR="00554321" w:rsidRPr="00A53188">
        <w:rPr>
          <w:sz w:val="20"/>
        </w:rPr>
        <w:t>Center</w:t>
      </w:r>
      <w:proofErr w:type="spellEnd"/>
      <w:r w:rsidR="00554321" w:rsidRPr="00A53188">
        <w:rPr>
          <w:sz w:val="20"/>
        </w:rPr>
        <w:t xml:space="preserve"> for disease Control. 2009-09-17 Retrieved 2011-01-08.</w:t>
      </w:r>
    </w:p>
    <w:p w:rsidR="00E11CF9" w:rsidRPr="00A53188" w:rsidRDefault="00E11CF9" w:rsidP="00E11CF9">
      <w:pPr>
        <w:numPr>
          <w:ilvl w:val="0"/>
          <w:numId w:val="6"/>
        </w:numPr>
        <w:snapToGrid w:val="0"/>
        <w:jc w:val="both"/>
        <w:rPr>
          <w:sz w:val="20"/>
        </w:rPr>
      </w:pPr>
      <w:r w:rsidRPr="00A53188">
        <w:rPr>
          <w:sz w:val="20"/>
        </w:rPr>
        <w:t>M</w:t>
      </w:r>
      <w:r w:rsidR="00554321" w:rsidRPr="00A53188">
        <w:rPr>
          <w:sz w:val="20"/>
        </w:rPr>
        <w:t xml:space="preserve">urray, P.R., Rosenthal, K.S &amp; </w:t>
      </w:r>
      <w:proofErr w:type="spellStart"/>
      <w:r w:rsidR="00554321" w:rsidRPr="00A53188">
        <w:rPr>
          <w:sz w:val="20"/>
        </w:rPr>
        <w:t>pfaller</w:t>
      </w:r>
      <w:proofErr w:type="spellEnd"/>
      <w:r w:rsidR="00554321" w:rsidRPr="00A53188">
        <w:rPr>
          <w:sz w:val="20"/>
        </w:rPr>
        <w:t>, M.A. (2005) Medical microbiology</w:t>
      </w:r>
    </w:p>
    <w:p w:rsidR="00E11CF9" w:rsidRPr="00A53188" w:rsidRDefault="00E11CF9" w:rsidP="00E11CF9">
      <w:pPr>
        <w:numPr>
          <w:ilvl w:val="0"/>
          <w:numId w:val="6"/>
        </w:numPr>
        <w:snapToGrid w:val="0"/>
        <w:jc w:val="both"/>
        <w:rPr>
          <w:sz w:val="20"/>
        </w:rPr>
      </w:pPr>
      <w:proofErr w:type="spellStart"/>
      <w:r w:rsidRPr="00A53188">
        <w:rPr>
          <w:sz w:val="20"/>
        </w:rPr>
        <w:t>A</w:t>
      </w:r>
      <w:r w:rsidR="00554321" w:rsidRPr="00A53188">
        <w:rPr>
          <w:sz w:val="20"/>
        </w:rPr>
        <w:t>ragones</w:t>
      </w:r>
      <w:proofErr w:type="spellEnd"/>
      <w:r w:rsidR="00554321" w:rsidRPr="00A53188">
        <w:rPr>
          <w:sz w:val="20"/>
        </w:rPr>
        <w:t xml:space="preserve"> L, </w:t>
      </w:r>
      <w:proofErr w:type="spellStart"/>
      <w:r w:rsidR="00554321" w:rsidRPr="00A53188">
        <w:rPr>
          <w:sz w:val="20"/>
        </w:rPr>
        <w:t>Giux</w:t>
      </w:r>
      <w:proofErr w:type="spellEnd"/>
      <w:r w:rsidR="00554321" w:rsidRPr="00A53188">
        <w:rPr>
          <w:sz w:val="20"/>
        </w:rPr>
        <w:t xml:space="preserve"> S, </w:t>
      </w:r>
      <w:proofErr w:type="spellStart"/>
      <w:r w:rsidR="00554321" w:rsidRPr="00A53188">
        <w:rPr>
          <w:sz w:val="20"/>
        </w:rPr>
        <w:t>Ribes</w:t>
      </w:r>
      <w:proofErr w:type="spellEnd"/>
      <w:r w:rsidR="00554321" w:rsidRPr="00A53188">
        <w:rPr>
          <w:sz w:val="20"/>
        </w:rPr>
        <w:t xml:space="preserve"> E, Bosch A. Pinto RM (March 2010). “Fine-tuning translation Kinetics selection as the driving force of </w:t>
      </w:r>
      <w:proofErr w:type="spellStart"/>
      <w:r w:rsidR="00554321" w:rsidRPr="00A53188">
        <w:rPr>
          <w:sz w:val="20"/>
        </w:rPr>
        <w:t>codon</w:t>
      </w:r>
      <w:proofErr w:type="spellEnd"/>
      <w:r w:rsidR="00554321" w:rsidRPr="00A53188">
        <w:rPr>
          <w:sz w:val="20"/>
        </w:rPr>
        <w:t xml:space="preserve"> usage bias in the hepatitis A virus </w:t>
      </w:r>
      <w:proofErr w:type="spellStart"/>
      <w:r w:rsidR="00554321" w:rsidRPr="00A53188">
        <w:rPr>
          <w:sz w:val="20"/>
        </w:rPr>
        <w:t>capsid</w:t>
      </w:r>
      <w:proofErr w:type="spellEnd"/>
      <w:r w:rsidR="00554321" w:rsidRPr="00A53188">
        <w:rPr>
          <w:sz w:val="20"/>
        </w:rPr>
        <w:t xml:space="preserve">”. </w:t>
      </w:r>
      <w:proofErr w:type="spellStart"/>
      <w:r w:rsidR="00554321" w:rsidRPr="00A53188">
        <w:rPr>
          <w:sz w:val="20"/>
        </w:rPr>
        <w:t>PLoS</w:t>
      </w:r>
      <w:proofErr w:type="spellEnd"/>
      <w:r w:rsidR="00554321" w:rsidRPr="00A53188">
        <w:rPr>
          <w:sz w:val="20"/>
        </w:rPr>
        <w:t xml:space="preserve"> </w:t>
      </w:r>
      <w:proofErr w:type="spellStart"/>
      <w:r w:rsidR="00554321" w:rsidRPr="00A53188">
        <w:rPr>
          <w:sz w:val="20"/>
        </w:rPr>
        <w:t>Pathog</w:t>
      </w:r>
      <w:proofErr w:type="spellEnd"/>
      <w:r w:rsidR="00554321" w:rsidRPr="00A53188">
        <w:rPr>
          <w:sz w:val="20"/>
        </w:rPr>
        <w:t>.</w:t>
      </w:r>
      <w:r w:rsidR="00264383">
        <w:rPr>
          <w:sz w:val="20"/>
        </w:rPr>
        <w:t xml:space="preserve"> </w:t>
      </w:r>
      <w:r w:rsidR="00554321" w:rsidRPr="00A53188">
        <w:rPr>
          <w:sz w:val="20"/>
        </w:rPr>
        <w:t>6</w:t>
      </w:r>
      <w:r w:rsidR="00264383">
        <w:rPr>
          <w:sz w:val="20"/>
        </w:rPr>
        <w:t>.</w:t>
      </w:r>
    </w:p>
    <w:p w:rsidR="00E11CF9" w:rsidRPr="00A53188" w:rsidRDefault="00E11CF9" w:rsidP="00E11CF9">
      <w:pPr>
        <w:numPr>
          <w:ilvl w:val="0"/>
          <w:numId w:val="6"/>
        </w:numPr>
        <w:snapToGrid w:val="0"/>
        <w:jc w:val="both"/>
        <w:rPr>
          <w:sz w:val="20"/>
        </w:rPr>
      </w:pPr>
      <w:proofErr w:type="spellStart"/>
      <w:r w:rsidRPr="00A53188">
        <w:rPr>
          <w:sz w:val="20"/>
        </w:rPr>
        <w:t>C</w:t>
      </w:r>
      <w:r w:rsidR="00554321" w:rsidRPr="00A53188">
        <w:rPr>
          <w:sz w:val="20"/>
        </w:rPr>
        <w:t>ristine</w:t>
      </w:r>
      <w:proofErr w:type="spellEnd"/>
      <w:r w:rsidR="00554321" w:rsidRPr="00A53188">
        <w:rPr>
          <w:sz w:val="20"/>
        </w:rPr>
        <w:t xml:space="preserve"> </w:t>
      </w:r>
      <w:proofErr w:type="spellStart"/>
      <w:r w:rsidR="00554321" w:rsidRPr="00A53188">
        <w:rPr>
          <w:sz w:val="20"/>
        </w:rPr>
        <w:t>I,Costa-Mattioli</w:t>
      </w:r>
      <w:proofErr w:type="spellEnd"/>
      <w:r w:rsidR="00554321" w:rsidRPr="00A53188">
        <w:rPr>
          <w:sz w:val="20"/>
        </w:rPr>
        <w:t xml:space="preserve"> M(august 2007).</w:t>
      </w:r>
      <w:r w:rsidR="00264383">
        <w:rPr>
          <w:sz w:val="20"/>
        </w:rPr>
        <w:t xml:space="preserve"> </w:t>
      </w:r>
      <w:r w:rsidR="00554321" w:rsidRPr="00A53188">
        <w:rPr>
          <w:sz w:val="20"/>
        </w:rPr>
        <w:t xml:space="preserve">”Genetic Variability and molecular evolution of hepatitis A </w:t>
      </w:r>
      <w:proofErr w:type="spellStart"/>
      <w:r w:rsidR="00554321" w:rsidRPr="00A53188">
        <w:rPr>
          <w:sz w:val="20"/>
        </w:rPr>
        <w:t>virus”.Virus</w:t>
      </w:r>
      <w:proofErr w:type="spellEnd"/>
      <w:r w:rsidR="00554321" w:rsidRPr="00A53188">
        <w:rPr>
          <w:sz w:val="20"/>
        </w:rPr>
        <w:t xml:space="preserve"> Res.127</w:t>
      </w:r>
    </w:p>
    <w:p w:rsidR="00E11CF9" w:rsidRPr="00A53188" w:rsidRDefault="00E11CF9" w:rsidP="00E11CF9">
      <w:pPr>
        <w:numPr>
          <w:ilvl w:val="0"/>
          <w:numId w:val="6"/>
        </w:numPr>
        <w:snapToGrid w:val="0"/>
        <w:jc w:val="both"/>
        <w:rPr>
          <w:sz w:val="20"/>
        </w:rPr>
      </w:pPr>
      <w:r w:rsidRPr="00A53188">
        <w:rPr>
          <w:sz w:val="20"/>
        </w:rPr>
        <w:t>C</w:t>
      </w:r>
      <w:r w:rsidR="00554321" w:rsidRPr="00A53188">
        <w:rPr>
          <w:sz w:val="20"/>
        </w:rPr>
        <w:t>osta-</w:t>
      </w:r>
      <w:proofErr w:type="spellStart"/>
      <w:r w:rsidR="00554321" w:rsidRPr="00A53188">
        <w:rPr>
          <w:sz w:val="20"/>
        </w:rPr>
        <w:t>Mattioli</w:t>
      </w:r>
      <w:proofErr w:type="spellEnd"/>
      <w:r w:rsidR="00554321" w:rsidRPr="00A53188">
        <w:rPr>
          <w:sz w:val="20"/>
        </w:rPr>
        <w:t xml:space="preserve"> M, Di Napoli A, </w:t>
      </w:r>
      <w:proofErr w:type="spellStart"/>
      <w:r w:rsidR="00554321" w:rsidRPr="00A53188">
        <w:rPr>
          <w:sz w:val="20"/>
        </w:rPr>
        <w:t>Ferre</w:t>
      </w:r>
      <w:proofErr w:type="spellEnd"/>
      <w:r w:rsidR="00554321" w:rsidRPr="00A53188">
        <w:rPr>
          <w:sz w:val="20"/>
        </w:rPr>
        <w:t xml:space="preserve"> V, </w:t>
      </w:r>
      <w:proofErr w:type="spellStart"/>
      <w:r w:rsidR="00554321" w:rsidRPr="00A53188">
        <w:rPr>
          <w:sz w:val="20"/>
        </w:rPr>
        <w:t>Billaudel</w:t>
      </w:r>
      <w:proofErr w:type="spellEnd"/>
      <w:r w:rsidR="00554321" w:rsidRPr="00A53188">
        <w:rPr>
          <w:sz w:val="20"/>
        </w:rPr>
        <w:t xml:space="preserve"> </w:t>
      </w:r>
      <w:proofErr w:type="spellStart"/>
      <w:r w:rsidR="00554321" w:rsidRPr="00A53188">
        <w:rPr>
          <w:sz w:val="20"/>
        </w:rPr>
        <w:t>S,Perez-Bercoff</w:t>
      </w:r>
      <w:proofErr w:type="spellEnd"/>
      <w:r w:rsidR="00554321" w:rsidRPr="00A53188">
        <w:rPr>
          <w:sz w:val="20"/>
        </w:rPr>
        <w:t xml:space="preserve"> R, Cristina J (December 2003). “Genetic variability of hepatitis A </w:t>
      </w:r>
      <w:proofErr w:type="spellStart"/>
      <w:r w:rsidR="00554321" w:rsidRPr="00A53188">
        <w:rPr>
          <w:sz w:val="20"/>
        </w:rPr>
        <w:t>Virus”.J</w:t>
      </w:r>
      <w:proofErr w:type="spellEnd"/>
      <w:r w:rsidR="00554321" w:rsidRPr="00A53188">
        <w:rPr>
          <w:sz w:val="20"/>
        </w:rPr>
        <w:t>. Gen. Virol.84</w:t>
      </w:r>
    </w:p>
    <w:p w:rsidR="00A53188" w:rsidRPr="00264383" w:rsidRDefault="00E11CF9" w:rsidP="00A53188">
      <w:pPr>
        <w:numPr>
          <w:ilvl w:val="0"/>
          <w:numId w:val="6"/>
        </w:numPr>
        <w:snapToGrid w:val="0"/>
        <w:ind w:left="425" w:hanging="425"/>
        <w:jc w:val="both"/>
        <w:rPr>
          <w:sz w:val="20"/>
        </w:rPr>
      </w:pPr>
      <w:proofErr w:type="spellStart"/>
      <w:r w:rsidRPr="00264383">
        <w:rPr>
          <w:sz w:val="20"/>
        </w:rPr>
        <w:t>W</w:t>
      </w:r>
      <w:r w:rsidR="00554321" w:rsidRPr="00264383">
        <w:rPr>
          <w:sz w:val="20"/>
        </w:rPr>
        <w:t>hetter</w:t>
      </w:r>
      <w:proofErr w:type="spellEnd"/>
      <w:r w:rsidR="00554321" w:rsidRPr="00264383">
        <w:rPr>
          <w:sz w:val="20"/>
        </w:rPr>
        <w:t xml:space="preserve"> LE, Day </w:t>
      </w:r>
      <w:proofErr w:type="spellStart"/>
      <w:r w:rsidR="00554321" w:rsidRPr="00264383">
        <w:rPr>
          <w:sz w:val="20"/>
        </w:rPr>
        <w:t>SP,Elroy</w:t>
      </w:r>
      <w:proofErr w:type="spellEnd"/>
      <w:r w:rsidR="00554321" w:rsidRPr="00264383">
        <w:rPr>
          <w:sz w:val="20"/>
        </w:rPr>
        <w:t xml:space="preserve">-Stein </w:t>
      </w:r>
      <w:proofErr w:type="spellStart"/>
      <w:r w:rsidR="00554321" w:rsidRPr="00264383">
        <w:rPr>
          <w:sz w:val="20"/>
        </w:rPr>
        <w:t>O,Brown</w:t>
      </w:r>
      <w:proofErr w:type="spellEnd"/>
      <w:r w:rsidR="00554321" w:rsidRPr="00264383">
        <w:rPr>
          <w:sz w:val="20"/>
        </w:rPr>
        <w:t xml:space="preserve"> EA,</w:t>
      </w:r>
      <w:r w:rsidR="00264383">
        <w:rPr>
          <w:sz w:val="20"/>
        </w:rPr>
        <w:t xml:space="preserve"> </w:t>
      </w:r>
      <w:r w:rsidR="00554321" w:rsidRPr="00264383">
        <w:rPr>
          <w:sz w:val="20"/>
        </w:rPr>
        <w:t xml:space="preserve">Lemon SM (August 1994).”Low efficiency of the 5 </w:t>
      </w:r>
      <w:proofErr w:type="spellStart"/>
      <w:r w:rsidR="00554321" w:rsidRPr="00264383">
        <w:rPr>
          <w:sz w:val="20"/>
        </w:rPr>
        <w:t>nontranslated</w:t>
      </w:r>
      <w:proofErr w:type="spellEnd"/>
      <w:r w:rsidR="00554321" w:rsidRPr="00264383">
        <w:rPr>
          <w:sz w:val="20"/>
        </w:rPr>
        <w:t xml:space="preserve"> region of hepatitis A virus RNA in directing cap-independent translation in permissive monkey</w:t>
      </w:r>
      <w:r w:rsidR="00264383">
        <w:rPr>
          <w:sz w:val="20"/>
        </w:rPr>
        <w:t xml:space="preserve"> </w:t>
      </w:r>
      <w:r w:rsidR="00554321" w:rsidRPr="00264383">
        <w:rPr>
          <w:sz w:val="20"/>
        </w:rPr>
        <w:t>kidney cells”. J Virol.68</w:t>
      </w:r>
      <w:r w:rsidR="00264383" w:rsidRPr="00264383">
        <w:rPr>
          <w:sz w:val="20"/>
        </w:rPr>
        <w:t xml:space="preserve">. </w:t>
      </w:r>
    </w:p>
    <w:p w:rsidR="00A53188" w:rsidRPr="00A53188" w:rsidRDefault="00A53188" w:rsidP="00A53188">
      <w:pPr>
        <w:snapToGrid w:val="0"/>
        <w:ind w:left="425" w:hanging="425"/>
        <w:jc w:val="both"/>
        <w:rPr>
          <w:sz w:val="20"/>
        </w:rPr>
        <w:sectPr w:rsidR="00A53188" w:rsidRPr="00A53188" w:rsidSect="0033655F">
          <w:headerReference w:type="default" r:id="rId17"/>
          <w:footerReference w:type="default" r:id="rId18"/>
          <w:type w:val="continuous"/>
          <w:pgSz w:w="12240" w:h="15840" w:code="1"/>
          <w:pgMar w:top="1440" w:right="1440" w:bottom="1440" w:left="1440" w:header="720" w:footer="720" w:gutter="0"/>
          <w:cols w:num="2" w:space="720"/>
          <w:docGrid w:linePitch="360"/>
        </w:sectPr>
      </w:pPr>
    </w:p>
    <w:p w:rsidR="004135B5" w:rsidRPr="00A53188" w:rsidRDefault="004135B5" w:rsidP="00A53188">
      <w:pPr>
        <w:snapToGrid w:val="0"/>
        <w:ind w:left="425" w:hanging="425"/>
        <w:jc w:val="both"/>
        <w:rPr>
          <w:sz w:val="20"/>
        </w:rPr>
      </w:pPr>
    </w:p>
    <w:p w:rsidR="00554321" w:rsidRPr="00A53188" w:rsidRDefault="004135B5" w:rsidP="00A53188">
      <w:pPr>
        <w:snapToGrid w:val="0"/>
        <w:ind w:left="425" w:hanging="425"/>
        <w:jc w:val="both"/>
        <w:rPr>
          <w:sz w:val="20"/>
        </w:rPr>
      </w:pPr>
      <w:r w:rsidRPr="00A53188">
        <w:rPr>
          <w:sz w:val="20"/>
        </w:rPr>
        <w:t>7/11/2014</w:t>
      </w:r>
    </w:p>
    <w:sectPr w:rsidR="00554321" w:rsidRPr="00A53188" w:rsidSect="0033655F">
      <w:headerReference w:type="default" r:id="rId19"/>
      <w:footerReference w:type="default" r:id="rId20"/>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A31" w:rsidRDefault="00C40A31" w:rsidP="003977E2">
      <w:r>
        <w:separator/>
      </w:r>
    </w:p>
  </w:endnote>
  <w:endnote w:type="continuationSeparator" w:id="0">
    <w:p w:rsidR="00C40A31" w:rsidRDefault="00C40A31" w:rsidP="00397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88" w:rsidRPr="004135B5" w:rsidRDefault="00D92696" w:rsidP="004135B5">
    <w:pPr>
      <w:jc w:val="center"/>
      <w:rPr>
        <w:sz w:val="20"/>
      </w:rPr>
    </w:pPr>
    <w:r w:rsidRPr="004135B5">
      <w:rPr>
        <w:sz w:val="20"/>
      </w:rPr>
      <w:fldChar w:fldCharType="begin"/>
    </w:r>
    <w:r w:rsidR="00A53188" w:rsidRPr="004135B5">
      <w:rPr>
        <w:sz w:val="20"/>
      </w:rPr>
      <w:instrText xml:space="preserve"> page </w:instrText>
    </w:r>
    <w:r w:rsidRPr="004135B5">
      <w:rPr>
        <w:sz w:val="20"/>
      </w:rPr>
      <w:fldChar w:fldCharType="separate"/>
    </w:r>
    <w:r w:rsidR="00264383">
      <w:rPr>
        <w:noProof/>
        <w:sz w:val="20"/>
      </w:rPr>
      <w:t>32</w:t>
    </w:r>
    <w:r w:rsidRPr="004135B5">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88" w:rsidRPr="004135B5" w:rsidRDefault="00D92696" w:rsidP="004135B5">
    <w:pPr>
      <w:jc w:val="center"/>
      <w:rPr>
        <w:sz w:val="20"/>
      </w:rPr>
    </w:pPr>
    <w:r w:rsidRPr="004135B5">
      <w:rPr>
        <w:sz w:val="20"/>
      </w:rPr>
      <w:fldChar w:fldCharType="begin"/>
    </w:r>
    <w:r w:rsidR="00A53188" w:rsidRPr="004135B5">
      <w:rPr>
        <w:sz w:val="20"/>
      </w:rPr>
      <w:instrText xml:space="preserve"> page </w:instrText>
    </w:r>
    <w:r w:rsidRPr="004135B5">
      <w:rPr>
        <w:sz w:val="20"/>
      </w:rPr>
      <w:fldChar w:fldCharType="separate"/>
    </w:r>
    <w:r w:rsidR="00264383">
      <w:rPr>
        <w:noProof/>
        <w:sz w:val="20"/>
      </w:rPr>
      <w:t>33</w:t>
    </w:r>
    <w:r w:rsidRPr="004135B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88" w:rsidRPr="004135B5" w:rsidRDefault="00D92696" w:rsidP="004135B5">
    <w:pPr>
      <w:jc w:val="center"/>
      <w:rPr>
        <w:sz w:val="20"/>
      </w:rPr>
    </w:pPr>
    <w:r w:rsidRPr="004135B5">
      <w:rPr>
        <w:sz w:val="20"/>
      </w:rPr>
      <w:fldChar w:fldCharType="begin"/>
    </w:r>
    <w:r w:rsidR="00A53188" w:rsidRPr="004135B5">
      <w:rPr>
        <w:sz w:val="20"/>
      </w:rPr>
      <w:instrText xml:space="preserve"> page </w:instrText>
    </w:r>
    <w:r w:rsidRPr="004135B5">
      <w:rPr>
        <w:sz w:val="20"/>
      </w:rPr>
      <w:fldChar w:fldCharType="separate"/>
    </w:r>
    <w:r w:rsidR="00264383">
      <w:rPr>
        <w:noProof/>
        <w:sz w:val="20"/>
      </w:rPr>
      <w:t>34</w:t>
    </w:r>
    <w:r w:rsidRPr="004135B5">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88" w:rsidRPr="004135B5" w:rsidRDefault="00D92696" w:rsidP="004135B5">
    <w:pPr>
      <w:jc w:val="center"/>
      <w:rPr>
        <w:sz w:val="20"/>
      </w:rPr>
    </w:pPr>
    <w:r w:rsidRPr="004135B5">
      <w:rPr>
        <w:sz w:val="20"/>
      </w:rPr>
      <w:fldChar w:fldCharType="begin"/>
    </w:r>
    <w:r w:rsidR="00A53188" w:rsidRPr="004135B5">
      <w:rPr>
        <w:sz w:val="20"/>
      </w:rPr>
      <w:instrText xml:space="preserve"> page </w:instrText>
    </w:r>
    <w:r w:rsidRPr="004135B5">
      <w:rPr>
        <w:sz w:val="20"/>
      </w:rPr>
      <w:fldChar w:fldCharType="separate"/>
    </w:r>
    <w:r w:rsidR="00264383">
      <w:rPr>
        <w:noProof/>
        <w:sz w:val="20"/>
      </w:rPr>
      <w:t>35</w:t>
    </w:r>
    <w:r w:rsidRPr="004135B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B5" w:rsidRPr="004135B5" w:rsidRDefault="00D92696" w:rsidP="004135B5">
    <w:pPr>
      <w:jc w:val="center"/>
      <w:rPr>
        <w:sz w:val="20"/>
      </w:rPr>
    </w:pPr>
    <w:r w:rsidRPr="004135B5">
      <w:rPr>
        <w:sz w:val="20"/>
      </w:rPr>
      <w:fldChar w:fldCharType="begin"/>
    </w:r>
    <w:r w:rsidR="004135B5" w:rsidRPr="004135B5">
      <w:rPr>
        <w:sz w:val="20"/>
      </w:rPr>
      <w:instrText xml:space="preserve"> page </w:instrText>
    </w:r>
    <w:r w:rsidRPr="004135B5">
      <w:rPr>
        <w:sz w:val="20"/>
      </w:rPr>
      <w:fldChar w:fldCharType="separate"/>
    </w:r>
    <w:r w:rsidR="00A53188">
      <w:rPr>
        <w:noProof/>
        <w:sz w:val="20"/>
      </w:rPr>
      <w:t>1</w:t>
    </w:r>
    <w:r w:rsidRPr="004135B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A31" w:rsidRDefault="00C40A31" w:rsidP="003977E2">
      <w:r>
        <w:separator/>
      </w:r>
    </w:p>
  </w:footnote>
  <w:footnote w:type="continuationSeparator" w:id="0">
    <w:p w:rsidR="00C40A31" w:rsidRDefault="00C40A31" w:rsidP="00397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88" w:rsidRPr="004135B5" w:rsidRDefault="00A53188" w:rsidP="004135B5">
    <w:pPr>
      <w:pBdr>
        <w:bottom w:val="thinThickMediumGap" w:sz="12" w:space="1" w:color="auto"/>
      </w:pBdr>
      <w:tabs>
        <w:tab w:val="left" w:pos="851"/>
        <w:tab w:val="right" w:pos="8364"/>
      </w:tabs>
      <w:adjustRightInd w:val="0"/>
      <w:snapToGrid w:val="0"/>
      <w:jc w:val="both"/>
      <w:rPr>
        <w:sz w:val="20"/>
        <w:szCs w:val="20"/>
      </w:rPr>
    </w:pPr>
    <w:r w:rsidRPr="004135B5">
      <w:rPr>
        <w:rFonts w:hint="eastAsia"/>
        <w:iCs/>
        <w:color w:val="000000"/>
        <w:sz w:val="20"/>
        <w:szCs w:val="20"/>
      </w:rPr>
      <w:tab/>
    </w:r>
    <w:r w:rsidRPr="004135B5">
      <w:rPr>
        <w:sz w:val="20"/>
        <w:szCs w:val="20"/>
      </w:rPr>
      <w:t>Nature and Science 201</w:t>
    </w:r>
    <w:r w:rsidRPr="004135B5">
      <w:rPr>
        <w:rFonts w:hint="eastAsia"/>
        <w:sz w:val="20"/>
        <w:szCs w:val="20"/>
      </w:rPr>
      <w:t>4</w:t>
    </w:r>
    <w:r w:rsidRPr="004135B5">
      <w:rPr>
        <w:sz w:val="20"/>
        <w:szCs w:val="20"/>
      </w:rPr>
      <w:t>;1</w:t>
    </w:r>
    <w:r w:rsidRPr="004135B5">
      <w:rPr>
        <w:rFonts w:hint="eastAsia"/>
        <w:sz w:val="20"/>
        <w:szCs w:val="20"/>
      </w:rPr>
      <w:t>2</w:t>
    </w:r>
    <w:r w:rsidRPr="004135B5">
      <w:rPr>
        <w:sz w:val="20"/>
        <w:szCs w:val="20"/>
      </w:rPr>
      <w:t>(</w:t>
    </w:r>
    <w:r w:rsidRPr="004135B5">
      <w:rPr>
        <w:rFonts w:hint="eastAsia"/>
        <w:sz w:val="20"/>
        <w:szCs w:val="20"/>
      </w:rPr>
      <w:t>8</w:t>
    </w:r>
    <w:r w:rsidRPr="004135B5">
      <w:rPr>
        <w:sz w:val="20"/>
        <w:szCs w:val="20"/>
      </w:rPr>
      <w:t xml:space="preserve">) </w:t>
    </w:r>
    <w:r w:rsidRPr="004135B5">
      <w:rPr>
        <w:color w:val="000000"/>
        <w:sz w:val="20"/>
        <w:szCs w:val="20"/>
      </w:rPr>
      <w:t xml:space="preserve"> </w:t>
    </w:r>
    <w:r w:rsidRPr="004135B5">
      <w:rPr>
        <w:rFonts w:hint="eastAsia"/>
        <w:color w:val="000000"/>
        <w:sz w:val="20"/>
        <w:szCs w:val="20"/>
      </w:rPr>
      <w:tab/>
    </w:r>
    <w:r w:rsidRPr="004135B5">
      <w:rPr>
        <w:color w:val="000000"/>
        <w:sz w:val="20"/>
        <w:szCs w:val="20"/>
      </w:rPr>
      <w:t xml:space="preserve"> </w:t>
    </w:r>
    <w:hyperlink r:id="rId1" w:history="1">
      <w:r w:rsidRPr="004135B5">
        <w:rPr>
          <w:rStyle w:val="Hyperlink"/>
          <w:sz w:val="20"/>
          <w:szCs w:val="20"/>
        </w:rPr>
        <w:t>http://www.sciencepub.net/nature</w:t>
      </w:r>
    </w:hyperlink>
  </w:p>
  <w:p w:rsidR="00A53188" w:rsidRPr="004135B5" w:rsidRDefault="00A53188" w:rsidP="004135B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88" w:rsidRPr="004135B5" w:rsidRDefault="00A53188" w:rsidP="004135B5">
    <w:pPr>
      <w:pBdr>
        <w:bottom w:val="thinThickMediumGap" w:sz="12" w:space="1" w:color="auto"/>
      </w:pBdr>
      <w:tabs>
        <w:tab w:val="left" w:pos="851"/>
        <w:tab w:val="right" w:pos="8364"/>
      </w:tabs>
      <w:adjustRightInd w:val="0"/>
      <w:snapToGrid w:val="0"/>
      <w:jc w:val="both"/>
      <w:rPr>
        <w:sz w:val="20"/>
        <w:szCs w:val="20"/>
      </w:rPr>
    </w:pPr>
    <w:r w:rsidRPr="004135B5">
      <w:rPr>
        <w:rFonts w:hint="eastAsia"/>
        <w:iCs/>
        <w:color w:val="000000"/>
        <w:sz w:val="20"/>
        <w:szCs w:val="20"/>
      </w:rPr>
      <w:tab/>
    </w:r>
    <w:r w:rsidRPr="004135B5">
      <w:rPr>
        <w:sz w:val="20"/>
        <w:szCs w:val="20"/>
      </w:rPr>
      <w:t>Nature and Science 201</w:t>
    </w:r>
    <w:r w:rsidRPr="004135B5">
      <w:rPr>
        <w:rFonts w:hint="eastAsia"/>
        <w:sz w:val="20"/>
        <w:szCs w:val="20"/>
      </w:rPr>
      <w:t>4</w:t>
    </w:r>
    <w:r w:rsidRPr="004135B5">
      <w:rPr>
        <w:sz w:val="20"/>
        <w:szCs w:val="20"/>
      </w:rPr>
      <w:t>;1</w:t>
    </w:r>
    <w:r w:rsidRPr="004135B5">
      <w:rPr>
        <w:rFonts w:hint="eastAsia"/>
        <w:sz w:val="20"/>
        <w:szCs w:val="20"/>
      </w:rPr>
      <w:t>2</w:t>
    </w:r>
    <w:r w:rsidRPr="004135B5">
      <w:rPr>
        <w:sz w:val="20"/>
        <w:szCs w:val="20"/>
      </w:rPr>
      <w:t>(</w:t>
    </w:r>
    <w:r w:rsidRPr="004135B5">
      <w:rPr>
        <w:rFonts w:hint="eastAsia"/>
        <w:sz w:val="20"/>
        <w:szCs w:val="20"/>
      </w:rPr>
      <w:t>8</w:t>
    </w:r>
    <w:r w:rsidRPr="004135B5">
      <w:rPr>
        <w:sz w:val="20"/>
        <w:szCs w:val="20"/>
      </w:rPr>
      <w:t xml:space="preserve">) </w:t>
    </w:r>
    <w:r w:rsidRPr="004135B5">
      <w:rPr>
        <w:color w:val="000000"/>
        <w:sz w:val="20"/>
        <w:szCs w:val="20"/>
      </w:rPr>
      <w:t xml:space="preserve"> </w:t>
    </w:r>
    <w:r w:rsidRPr="004135B5">
      <w:rPr>
        <w:rFonts w:hint="eastAsia"/>
        <w:color w:val="000000"/>
        <w:sz w:val="20"/>
        <w:szCs w:val="20"/>
      </w:rPr>
      <w:tab/>
    </w:r>
    <w:r w:rsidRPr="004135B5">
      <w:rPr>
        <w:color w:val="000000"/>
        <w:sz w:val="20"/>
        <w:szCs w:val="20"/>
      </w:rPr>
      <w:t xml:space="preserve"> </w:t>
    </w:r>
    <w:hyperlink r:id="rId1" w:history="1">
      <w:r w:rsidRPr="004135B5">
        <w:rPr>
          <w:rStyle w:val="Hyperlink"/>
          <w:sz w:val="20"/>
          <w:szCs w:val="20"/>
        </w:rPr>
        <w:t>http://www.sciencepub.net/nature</w:t>
      </w:r>
    </w:hyperlink>
  </w:p>
  <w:p w:rsidR="00A53188" w:rsidRPr="004135B5" w:rsidRDefault="00A53188" w:rsidP="004135B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88" w:rsidRPr="004135B5" w:rsidRDefault="00A53188" w:rsidP="004135B5">
    <w:pPr>
      <w:pBdr>
        <w:bottom w:val="thinThickMediumGap" w:sz="12" w:space="1" w:color="auto"/>
      </w:pBdr>
      <w:tabs>
        <w:tab w:val="left" w:pos="851"/>
        <w:tab w:val="right" w:pos="8364"/>
      </w:tabs>
      <w:adjustRightInd w:val="0"/>
      <w:snapToGrid w:val="0"/>
      <w:jc w:val="both"/>
      <w:rPr>
        <w:sz w:val="20"/>
        <w:szCs w:val="20"/>
      </w:rPr>
    </w:pPr>
    <w:r w:rsidRPr="004135B5">
      <w:rPr>
        <w:rFonts w:hint="eastAsia"/>
        <w:iCs/>
        <w:color w:val="000000"/>
        <w:sz w:val="20"/>
        <w:szCs w:val="20"/>
      </w:rPr>
      <w:tab/>
    </w:r>
    <w:r w:rsidRPr="004135B5">
      <w:rPr>
        <w:sz w:val="20"/>
        <w:szCs w:val="20"/>
      </w:rPr>
      <w:t>Nature and Science 201</w:t>
    </w:r>
    <w:r w:rsidRPr="004135B5">
      <w:rPr>
        <w:rFonts w:hint="eastAsia"/>
        <w:sz w:val="20"/>
        <w:szCs w:val="20"/>
      </w:rPr>
      <w:t>4</w:t>
    </w:r>
    <w:r w:rsidRPr="004135B5">
      <w:rPr>
        <w:sz w:val="20"/>
        <w:szCs w:val="20"/>
      </w:rPr>
      <w:t>;1</w:t>
    </w:r>
    <w:r w:rsidRPr="004135B5">
      <w:rPr>
        <w:rFonts w:hint="eastAsia"/>
        <w:sz w:val="20"/>
        <w:szCs w:val="20"/>
      </w:rPr>
      <w:t>2</w:t>
    </w:r>
    <w:r w:rsidRPr="004135B5">
      <w:rPr>
        <w:sz w:val="20"/>
        <w:szCs w:val="20"/>
      </w:rPr>
      <w:t>(</w:t>
    </w:r>
    <w:r w:rsidRPr="004135B5">
      <w:rPr>
        <w:rFonts w:hint="eastAsia"/>
        <w:sz w:val="20"/>
        <w:szCs w:val="20"/>
      </w:rPr>
      <w:t>8</w:t>
    </w:r>
    <w:r w:rsidRPr="004135B5">
      <w:rPr>
        <w:sz w:val="20"/>
        <w:szCs w:val="20"/>
      </w:rPr>
      <w:t xml:space="preserve">) </w:t>
    </w:r>
    <w:r w:rsidRPr="004135B5">
      <w:rPr>
        <w:color w:val="000000"/>
        <w:sz w:val="20"/>
        <w:szCs w:val="20"/>
      </w:rPr>
      <w:t xml:space="preserve"> </w:t>
    </w:r>
    <w:r w:rsidRPr="004135B5">
      <w:rPr>
        <w:rFonts w:hint="eastAsia"/>
        <w:color w:val="000000"/>
        <w:sz w:val="20"/>
        <w:szCs w:val="20"/>
      </w:rPr>
      <w:tab/>
    </w:r>
    <w:r w:rsidRPr="004135B5">
      <w:rPr>
        <w:color w:val="000000"/>
        <w:sz w:val="20"/>
        <w:szCs w:val="20"/>
      </w:rPr>
      <w:t xml:space="preserve"> </w:t>
    </w:r>
    <w:hyperlink r:id="rId1" w:history="1">
      <w:r w:rsidRPr="004135B5">
        <w:rPr>
          <w:rStyle w:val="Hyperlink"/>
          <w:sz w:val="20"/>
          <w:szCs w:val="20"/>
        </w:rPr>
        <w:t>http://www.sciencepub.net/nature</w:t>
      </w:r>
    </w:hyperlink>
  </w:p>
  <w:p w:rsidR="00A53188" w:rsidRPr="004135B5" w:rsidRDefault="00A53188" w:rsidP="004135B5">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88" w:rsidRPr="004135B5" w:rsidRDefault="00A53188" w:rsidP="004135B5">
    <w:pPr>
      <w:pBdr>
        <w:bottom w:val="thinThickMediumGap" w:sz="12" w:space="1" w:color="auto"/>
      </w:pBdr>
      <w:tabs>
        <w:tab w:val="left" w:pos="851"/>
        <w:tab w:val="right" w:pos="8364"/>
      </w:tabs>
      <w:adjustRightInd w:val="0"/>
      <w:snapToGrid w:val="0"/>
      <w:jc w:val="both"/>
      <w:rPr>
        <w:sz w:val="20"/>
        <w:szCs w:val="20"/>
      </w:rPr>
    </w:pPr>
    <w:r w:rsidRPr="004135B5">
      <w:rPr>
        <w:rFonts w:hint="eastAsia"/>
        <w:iCs/>
        <w:color w:val="000000"/>
        <w:sz w:val="20"/>
        <w:szCs w:val="20"/>
      </w:rPr>
      <w:tab/>
    </w:r>
    <w:r w:rsidRPr="004135B5">
      <w:rPr>
        <w:sz w:val="20"/>
        <w:szCs w:val="20"/>
      </w:rPr>
      <w:t>Nature and Science 201</w:t>
    </w:r>
    <w:r w:rsidRPr="004135B5">
      <w:rPr>
        <w:rFonts w:hint="eastAsia"/>
        <w:sz w:val="20"/>
        <w:szCs w:val="20"/>
      </w:rPr>
      <w:t>4</w:t>
    </w:r>
    <w:r w:rsidRPr="004135B5">
      <w:rPr>
        <w:sz w:val="20"/>
        <w:szCs w:val="20"/>
      </w:rPr>
      <w:t>;1</w:t>
    </w:r>
    <w:r w:rsidRPr="004135B5">
      <w:rPr>
        <w:rFonts w:hint="eastAsia"/>
        <w:sz w:val="20"/>
        <w:szCs w:val="20"/>
      </w:rPr>
      <w:t>2</w:t>
    </w:r>
    <w:r w:rsidRPr="004135B5">
      <w:rPr>
        <w:sz w:val="20"/>
        <w:szCs w:val="20"/>
      </w:rPr>
      <w:t>(</w:t>
    </w:r>
    <w:r w:rsidRPr="004135B5">
      <w:rPr>
        <w:rFonts w:hint="eastAsia"/>
        <w:sz w:val="20"/>
        <w:szCs w:val="20"/>
      </w:rPr>
      <w:t>8</w:t>
    </w:r>
    <w:r w:rsidRPr="004135B5">
      <w:rPr>
        <w:sz w:val="20"/>
        <w:szCs w:val="20"/>
      </w:rPr>
      <w:t xml:space="preserve">) </w:t>
    </w:r>
    <w:r w:rsidRPr="004135B5">
      <w:rPr>
        <w:color w:val="000000"/>
        <w:sz w:val="20"/>
        <w:szCs w:val="20"/>
      </w:rPr>
      <w:t xml:space="preserve"> </w:t>
    </w:r>
    <w:r w:rsidRPr="004135B5">
      <w:rPr>
        <w:rFonts w:hint="eastAsia"/>
        <w:color w:val="000000"/>
        <w:sz w:val="20"/>
        <w:szCs w:val="20"/>
      </w:rPr>
      <w:tab/>
    </w:r>
    <w:r w:rsidRPr="004135B5">
      <w:rPr>
        <w:color w:val="000000"/>
        <w:sz w:val="20"/>
        <w:szCs w:val="20"/>
      </w:rPr>
      <w:t xml:space="preserve"> </w:t>
    </w:r>
    <w:hyperlink r:id="rId1" w:history="1">
      <w:r w:rsidRPr="004135B5">
        <w:rPr>
          <w:rStyle w:val="Hyperlink"/>
          <w:sz w:val="20"/>
          <w:szCs w:val="20"/>
        </w:rPr>
        <w:t>http://www.sciencepub.net/nature</w:t>
      </w:r>
    </w:hyperlink>
  </w:p>
  <w:p w:rsidR="00A53188" w:rsidRPr="004135B5" w:rsidRDefault="00A53188" w:rsidP="004135B5">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B5" w:rsidRPr="004135B5" w:rsidRDefault="004135B5" w:rsidP="004135B5">
    <w:pPr>
      <w:pBdr>
        <w:bottom w:val="thinThickMediumGap" w:sz="12" w:space="1" w:color="auto"/>
      </w:pBdr>
      <w:tabs>
        <w:tab w:val="left" w:pos="851"/>
        <w:tab w:val="right" w:pos="8364"/>
      </w:tabs>
      <w:adjustRightInd w:val="0"/>
      <w:snapToGrid w:val="0"/>
      <w:jc w:val="both"/>
      <w:rPr>
        <w:sz w:val="20"/>
        <w:szCs w:val="20"/>
      </w:rPr>
    </w:pPr>
    <w:r w:rsidRPr="004135B5">
      <w:rPr>
        <w:rFonts w:hint="eastAsia"/>
        <w:iCs/>
        <w:color w:val="000000"/>
        <w:sz w:val="20"/>
        <w:szCs w:val="20"/>
      </w:rPr>
      <w:tab/>
    </w:r>
    <w:r w:rsidRPr="004135B5">
      <w:rPr>
        <w:sz w:val="20"/>
        <w:szCs w:val="20"/>
      </w:rPr>
      <w:t>Nature and Science 201</w:t>
    </w:r>
    <w:r w:rsidRPr="004135B5">
      <w:rPr>
        <w:rFonts w:hint="eastAsia"/>
        <w:sz w:val="20"/>
        <w:szCs w:val="20"/>
      </w:rPr>
      <w:t>4</w:t>
    </w:r>
    <w:r w:rsidRPr="004135B5">
      <w:rPr>
        <w:sz w:val="20"/>
        <w:szCs w:val="20"/>
      </w:rPr>
      <w:t>;1</w:t>
    </w:r>
    <w:r w:rsidRPr="004135B5">
      <w:rPr>
        <w:rFonts w:hint="eastAsia"/>
        <w:sz w:val="20"/>
        <w:szCs w:val="20"/>
      </w:rPr>
      <w:t>2</w:t>
    </w:r>
    <w:r w:rsidRPr="004135B5">
      <w:rPr>
        <w:sz w:val="20"/>
        <w:szCs w:val="20"/>
      </w:rPr>
      <w:t>(</w:t>
    </w:r>
    <w:r w:rsidRPr="004135B5">
      <w:rPr>
        <w:rFonts w:hint="eastAsia"/>
        <w:sz w:val="20"/>
        <w:szCs w:val="20"/>
      </w:rPr>
      <w:t>8</w:t>
    </w:r>
    <w:r w:rsidRPr="004135B5">
      <w:rPr>
        <w:sz w:val="20"/>
        <w:szCs w:val="20"/>
      </w:rPr>
      <w:t xml:space="preserve">) </w:t>
    </w:r>
    <w:r w:rsidRPr="004135B5">
      <w:rPr>
        <w:color w:val="000000"/>
        <w:sz w:val="20"/>
        <w:szCs w:val="20"/>
      </w:rPr>
      <w:t xml:space="preserve"> </w:t>
    </w:r>
    <w:r w:rsidRPr="004135B5">
      <w:rPr>
        <w:rFonts w:hint="eastAsia"/>
        <w:color w:val="000000"/>
        <w:sz w:val="20"/>
        <w:szCs w:val="20"/>
      </w:rPr>
      <w:tab/>
    </w:r>
    <w:r w:rsidRPr="004135B5">
      <w:rPr>
        <w:color w:val="000000"/>
        <w:sz w:val="20"/>
        <w:szCs w:val="20"/>
      </w:rPr>
      <w:t xml:space="preserve"> </w:t>
    </w:r>
    <w:hyperlink r:id="rId1" w:history="1">
      <w:r w:rsidRPr="004135B5">
        <w:rPr>
          <w:rStyle w:val="Hyperlink"/>
          <w:sz w:val="20"/>
          <w:szCs w:val="20"/>
        </w:rPr>
        <w:t>http://www.sciencepub.net/nature</w:t>
      </w:r>
    </w:hyperlink>
  </w:p>
  <w:p w:rsidR="004135B5" w:rsidRPr="004135B5" w:rsidRDefault="004135B5" w:rsidP="004135B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00F1"/>
    <w:multiLevelType w:val="hybridMultilevel"/>
    <w:tmpl w:val="A574E05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D3A7EE8"/>
    <w:multiLevelType w:val="hybridMultilevel"/>
    <w:tmpl w:val="53566FB8"/>
    <w:lvl w:ilvl="0" w:tplc="5DAC026C">
      <w:start w:val="1"/>
      <w:numFmt w:val="decimal"/>
      <w:lvlText w:val="%1."/>
      <w:lvlJc w:val="left"/>
      <w:pPr>
        <w:ind w:left="1230" w:hanging="87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11A3DC8"/>
    <w:multiLevelType w:val="hybridMultilevel"/>
    <w:tmpl w:val="DB724F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094A2D"/>
    <w:multiLevelType w:val="hybridMultilevel"/>
    <w:tmpl w:val="E87A379C"/>
    <w:lvl w:ilvl="0" w:tplc="BFE42174">
      <w:start w:val="1"/>
      <w:numFmt w:val="decimal"/>
      <w:lvlText w:val="%1."/>
      <w:lvlJc w:val="left"/>
      <w:pPr>
        <w:ind w:left="1950" w:hanging="123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4A7945A3"/>
    <w:multiLevelType w:val="hybridMultilevel"/>
    <w:tmpl w:val="63F8AE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A224CE"/>
    <w:multiLevelType w:val="hybridMultilevel"/>
    <w:tmpl w:val="11460FF2"/>
    <w:lvl w:ilvl="0" w:tplc="CE9CB304">
      <w:start w:val="1"/>
      <w:numFmt w:val="decimal"/>
      <w:lvlText w:val="%1."/>
      <w:lvlJc w:val="left"/>
      <w:pPr>
        <w:ind w:left="1230" w:hanging="87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5C26"/>
    <w:rsid w:val="00033A5A"/>
    <w:rsid w:val="00075721"/>
    <w:rsid w:val="00112A3C"/>
    <w:rsid w:val="00117153"/>
    <w:rsid w:val="00123A73"/>
    <w:rsid w:val="00146ED4"/>
    <w:rsid w:val="00216505"/>
    <w:rsid w:val="00264383"/>
    <w:rsid w:val="002B5102"/>
    <w:rsid w:val="00305C09"/>
    <w:rsid w:val="0033655F"/>
    <w:rsid w:val="003977E2"/>
    <w:rsid w:val="004135B5"/>
    <w:rsid w:val="004A66C7"/>
    <w:rsid w:val="004D5FD5"/>
    <w:rsid w:val="00554321"/>
    <w:rsid w:val="005F6AF3"/>
    <w:rsid w:val="00773D5F"/>
    <w:rsid w:val="007D147D"/>
    <w:rsid w:val="008400EA"/>
    <w:rsid w:val="00881B97"/>
    <w:rsid w:val="008F5FAD"/>
    <w:rsid w:val="00904A77"/>
    <w:rsid w:val="009213BE"/>
    <w:rsid w:val="009A0FCE"/>
    <w:rsid w:val="00A06BEA"/>
    <w:rsid w:val="00A53188"/>
    <w:rsid w:val="00AB18B2"/>
    <w:rsid w:val="00AC65C5"/>
    <w:rsid w:val="00AE7950"/>
    <w:rsid w:val="00AF514F"/>
    <w:rsid w:val="00B551F7"/>
    <w:rsid w:val="00B55479"/>
    <w:rsid w:val="00B6013E"/>
    <w:rsid w:val="00B742BE"/>
    <w:rsid w:val="00C40A31"/>
    <w:rsid w:val="00C7769A"/>
    <w:rsid w:val="00C96C57"/>
    <w:rsid w:val="00D83F14"/>
    <w:rsid w:val="00D92696"/>
    <w:rsid w:val="00DE5C26"/>
    <w:rsid w:val="00E11CF9"/>
    <w:rsid w:val="00EF33C0"/>
    <w:rsid w:val="00F37C82"/>
    <w:rsid w:val="00F514F3"/>
    <w:rsid w:val="00F91272"/>
    <w:rsid w:val="00FB4F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C26"/>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4321"/>
    <w:pPr>
      <w:spacing w:after="200" w:line="276" w:lineRule="auto"/>
      <w:ind w:left="720"/>
      <w:contextualSpacing/>
    </w:pPr>
    <w:rPr>
      <w:rFonts w:ascii="Calibri" w:eastAsia="Calibri" w:hAnsi="Calibri"/>
      <w:sz w:val="22"/>
      <w:szCs w:val="22"/>
      <w:lang w:eastAsia="en-US"/>
    </w:rPr>
  </w:style>
  <w:style w:type="character" w:styleId="Strong">
    <w:name w:val="Strong"/>
    <w:basedOn w:val="DefaultParagraphFont"/>
    <w:uiPriority w:val="22"/>
    <w:qFormat/>
    <w:rsid w:val="00554321"/>
    <w:rPr>
      <w:b/>
      <w:bCs/>
    </w:rPr>
  </w:style>
  <w:style w:type="paragraph" w:styleId="BalloonText">
    <w:name w:val="Balloon Text"/>
    <w:basedOn w:val="Normal"/>
    <w:link w:val="BalloonTextChar"/>
    <w:uiPriority w:val="99"/>
    <w:semiHidden/>
    <w:unhideWhenUsed/>
    <w:rsid w:val="00554321"/>
    <w:rPr>
      <w:rFonts w:ascii="Tahoma" w:hAnsi="Tahoma" w:cs="Tahoma"/>
      <w:sz w:val="16"/>
      <w:szCs w:val="16"/>
    </w:rPr>
  </w:style>
  <w:style w:type="character" w:customStyle="1" w:styleId="BalloonTextChar">
    <w:name w:val="Balloon Text Char"/>
    <w:basedOn w:val="DefaultParagraphFont"/>
    <w:link w:val="BalloonText"/>
    <w:uiPriority w:val="99"/>
    <w:semiHidden/>
    <w:rsid w:val="00554321"/>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B6013E"/>
    <w:rPr>
      <w:color w:val="0000FF"/>
      <w:u w:val="single"/>
    </w:rPr>
  </w:style>
  <w:style w:type="paragraph" w:styleId="NormalWeb">
    <w:name w:val="Normal (Web)"/>
    <w:basedOn w:val="Normal"/>
    <w:uiPriority w:val="99"/>
    <w:unhideWhenUsed/>
    <w:rsid w:val="00B6013E"/>
    <w:pPr>
      <w:spacing w:before="100" w:beforeAutospacing="1" w:after="100" w:afterAutospacing="1"/>
    </w:pPr>
    <w:rPr>
      <w:lang w:val="en-US" w:eastAsia="en-US"/>
    </w:rPr>
  </w:style>
  <w:style w:type="paragraph" w:styleId="Header">
    <w:name w:val="header"/>
    <w:basedOn w:val="Normal"/>
    <w:link w:val="HeaderChar"/>
    <w:uiPriority w:val="99"/>
    <w:semiHidden/>
    <w:unhideWhenUsed/>
    <w:rsid w:val="003977E2"/>
    <w:pPr>
      <w:tabs>
        <w:tab w:val="center" w:pos="4320"/>
        <w:tab w:val="right" w:pos="8640"/>
      </w:tabs>
    </w:pPr>
  </w:style>
  <w:style w:type="character" w:customStyle="1" w:styleId="HeaderChar">
    <w:name w:val="Header Char"/>
    <w:basedOn w:val="DefaultParagraphFont"/>
    <w:link w:val="Header"/>
    <w:uiPriority w:val="99"/>
    <w:semiHidden/>
    <w:rsid w:val="003977E2"/>
    <w:rPr>
      <w:rFonts w:ascii="Times New Roman" w:eastAsia="Times New Roman" w:hAnsi="Times New Roman"/>
      <w:sz w:val="24"/>
      <w:szCs w:val="24"/>
      <w:lang w:val="en-GB" w:eastAsia="en-GB"/>
    </w:rPr>
  </w:style>
  <w:style w:type="paragraph" w:styleId="Footer">
    <w:name w:val="footer"/>
    <w:basedOn w:val="Normal"/>
    <w:link w:val="FooterChar"/>
    <w:uiPriority w:val="99"/>
    <w:semiHidden/>
    <w:unhideWhenUsed/>
    <w:rsid w:val="003977E2"/>
    <w:pPr>
      <w:tabs>
        <w:tab w:val="center" w:pos="4320"/>
        <w:tab w:val="right" w:pos="8640"/>
      </w:tabs>
    </w:pPr>
  </w:style>
  <w:style w:type="character" w:customStyle="1" w:styleId="FooterChar">
    <w:name w:val="Footer Char"/>
    <w:basedOn w:val="DefaultParagraphFont"/>
    <w:link w:val="Footer"/>
    <w:uiPriority w:val="99"/>
    <w:semiHidden/>
    <w:rsid w:val="003977E2"/>
    <w:rPr>
      <w:rFonts w:ascii="Times New Roman" w:eastAsia="Times New Roman"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awurungj@gmail.com"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dawurungj@gmail.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Polio lab</dc:creator>
  <cp:lastModifiedBy>Administrator</cp:lastModifiedBy>
  <cp:revision>5</cp:revision>
  <cp:lastPrinted>2014-07-16T22:47:00Z</cp:lastPrinted>
  <dcterms:created xsi:type="dcterms:W3CDTF">2014-07-16T06:17:00Z</dcterms:created>
  <dcterms:modified xsi:type="dcterms:W3CDTF">2014-07-16T22:52:00Z</dcterms:modified>
</cp:coreProperties>
</file>