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75" w:rsidRPr="003C6924" w:rsidRDefault="000A703E" w:rsidP="003C6924">
      <w:pPr>
        <w:suppressAutoHyphens/>
        <w:snapToGrid w:val="0"/>
        <w:ind w:right="0" w:firstLine="0"/>
        <w:jc w:val="center"/>
        <w:rPr>
          <w:rFonts w:eastAsia="宋体"/>
          <w:b/>
          <w:lang w:eastAsia="ar-SA" w:bidi="ar-SA"/>
        </w:rPr>
      </w:pPr>
      <w:r w:rsidRPr="003C6924">
        <w:rPr>
          <w:rFonts w:eastAsia="宋体"/>
          <w:b/>
          <w:lang w:eastAsia="ar-SA" w:bidi="ar-SA"/>
        </w:rPr>
        <w:t xml:space="preserve">Evaluation of some biochemical parameters </w:t>
      </w:r>
      <w:r w:rsidR="00AB0C4B" w:rsidRPr="003C6924">
        <w:rPr>
          <w:rFonts w:eastAsia="宋体"/>
          <w:b/>
          <w:lang w:eastAsia="ar-SA" w:bidi="ar-SA"/>
        </w:rPr>
        <w:t xml:space="preserve">in differentiation between Tuberculosis and non-Tuberculosis </w:t>
      </w:r>
      <w:proofErr w:type="spellStart"/>
      <w:r w:rsidR="00AB0C4B" w:rsidRPr="003C6924">
        <w:rPr>
          <w:rFonts w:eastAsia="宋体"/>
          <w:b/>
          <w:lang w:eastAsia="ar-SA" w:bidi="ar-SA"/>
        </w:rPr>
        <w:t>ascites</w:t>
      </w:r>
      <w:proofErr w:type="spellEnd"/>
      <w:r w:rsidR="00AB0C4B" w:rsidRPr="003C6924">
        <w:rPr>
          <w:rFonts w:eastAsia="宋体"/>
          <w:b/>
          <w:lang w:eastAsia="ar-SA" w:bidi="ar-SA"/>
        </w:rPr>
        <w:t xml:space="preserve"> patients</w:t>
      </w:r>
    </w:p>
    <w:p w:rsidR="006C0750" w:rsidRPr="003C6924" w:rsidRDefault="006C0750" w:rsidP="003C6924">
      <w:pPr>
        <w:snapToGrid w:val="0"/>
        <w:ind w:right="0" w:firstLine="0"/>
        <w:jc w:val="center"/>
        <w:rPr>
          <w:szCs w:val="16"/>
        </w:rPr>
      </w:pPr>
    </w:p>
    <w:p w:rsidR="003D251A" w:rsidRPr="003C6924" w:rsidRDefault="00AB0C4B" w:rsidP="003C6924">
      <w:pPr>
        <w:suppressAutoHyphens/>
        <w:snapToGrid w:val="0"/>
        <w:ind w:right="0" w:firstLine="0"/>
        <w:jc w:val="center"/>
        <w:rPr>
          <w:rFonts w:eastAsia="宋体"/>
          <w:vertAlign w:val="superscript"/>
          <w:lang w:eastAsia="ar-SA" w:bidi="ar-SA"/>
        </w:rPr>
      </w:pPr>
      <w:proofErr w:type="spellStart"/>
      <w:r w:rsidRPr="003C6924">
        <w:rPr>
          <w:rFonts w:eastAsia="宋体"/>
          <w:lang w:eastAsia="ar-SA" w:bidi="ar-SA"/>
        </w:rPr>
        <w:t>Abeer</w:t>
      </w:r>
      <w:proofErr w:type="spellEnd"/>
      <w:r w:rsidRPr="003C6924">
        <w:rPr>
          <w:rFonts w:eastAsia="宋体"/>
          <w:lang w:eastAsia="ar-SA" w:bidi="ar-SA"/>
        </w:rPr>
        <w:t xml:space="preserve"> A.</w:t>
      </w:r>
      <w:r w:rsidR="00352E4D">
        <w:rPr>
          <w:rFonts w:eastAsia="宋体" w:hint="eastAsia"/>
          <w:lang w:eastAsia="zh-CN" w:bidi="ar-SA"/>
        </w:rPr>
        <w:t xml:space="preserve"> </w:t>
      </w:r>
      <w:proofErr w:type="spellStart"/>
      <w:r w:rsidRPr="003C6924">
        <w:rPr>
          <w:rFonts w:eastAsia="宋体"/>
          <w:lang w:eastAsia="ar-SA" w:bidi="ar-SA"/>
        </w:rPr>
        <w:t>Khayal</w:t>
      </w:r>
      <w:proofErr w:type="spellEnd"/>
      <w:r w:rsidR="00C93BB5" w:rsidRPr="003C6924">
        <w:rPr>
          <w:rFonts w:eastAsia="宋体"/>
          <w:lang w:eastAsia="ar-SA" w:bidi="ar-SA"/>
        </w:rPr>
        <w:t xml:space="preserve"> </w:t>
      </w:r>
      <w:r w:rsidR="00F76801" w:rsidRPr="003C6924">
        <w:rPr>
          <w:rFonts w:eastAsia="宋体"/>
          <w:vertAlign w:val="superscript"/>
          <w:lang w:eastAsia="ar-SA" w:bidi="ar-SA"/>
        </w:rPr>
        <w:t>1</w:t>
      </w:r>
      <w:r w:rsidR="00352E4D">
        <w:rPr>
          <w:rFonts w:eastAsia="宋体" w:hint="eastAsia"/>
          <w:vertAlign w:val="superscript"/>
          <w:lang w:eastAsia="zh-CN" w:bidi="ar-SA"/>
        </w:rPr>
        <w:t xml:space="preserve"> </w:t>
      </w:r>
      <w:r w:rsidR="00C93BB5" w:rsidRPr="003C6924">
        <w:rPr>
          <w:rFonts w:eastAsia="宋体"/>
          <w:lang w:eastAsia="ar-SA" w:bidi="ar-SA"/>
        </w:rPr>
        <w:t>and</w:t>
      </w:r>
      <w:r w:rsidR="00352E4D">
        <w:rPr>
          <w:rFonts w:eastAsia="宋体"/>
          <w:lang w:eastAsia="ar-SA" w:bidi="ar-SA"/>
        </w:rPr>
        <w:t xml:space="preserve"> </w:t>
      </w:r>
      <w:r w:rsidR="00F76801" w:rsidRPr="003C6924">
        <w:rPr>
          <w:rFonts w:eastAsia="宋体"/>
          <w:lang w:eastAsia="ar-SA" w:bidi="ar-SA"/>
        </w:rPr>
        <w:t>S.A. Eissa</w:t>
      </w:r>
      <w:r w:rsidR="00F76801" w:rsidRPr="003C6924">
        <w:rPr>
          <w:rFonts w:eastAsia="宋体"/>
          <w:vertAlign w:val="superscript"/>
          <w:lang w:eastAsia="ar-SA" w:bidi="ar-SA"/>
        </w:rPr>
        <w:t>2</w:t>
      </w:r>
    </w:p>
    <w:p w:rsidR="00F76801" w:rsidRPr="003C6924" w:rsidRDefault="00F76801" w:rsidP="003C6924">
      <w:pPr>
        <w:suppressAutoHyphens/>
        <w:snapToGrid w:val="0"/>
        <w:ind w:right="0" w:firstLine="0"/>
        <w:jc w:val="center"/>
        <w:rPr>
          <w:rFonts w:eastAsia="宋体"/>
          <w:lang w:eastAsia="ar-SA" w:bidi="ar-SA"/>
        </w:rPr>
      </w:pPr>
    </w:p>
    <w:p w:rsidR="005F62C1" w:rsidRPr="003C6924" w:rsidRDefault="00F76801" w:rsidP="003C6924">
      <w:pPr>
        <w:suppressAutoHyphens/>
        <w:snapToGrid w:val="0"/>
        <w:ind w:right="0" w:firstLine="0"/>
        <w:jc w:val="center"/>
        <w:rPr>
          <w:rFonts w:eastAsia="宋体"/>
          <w:lang w:eastAsia="ar-SA" w:bidi="ar-SA"/>
        </w:rPr>
      </w:pPr>
      <w:r w:rsidRPr="003C6924">
        <w:rPr>
          <w:vertAlign w:val="superscript"/>
        </w:rPr>
        <w:t>1.</w:t>
      </w:r>
      <w:r w:rsidRPr="003C6924">
        <w:t xml:space="preserve"> </w:t>
      </w:r>
      <w:r w:rsidR="005F62C1" w:rsidRPr="003C6924">
        <w:rPr>
          <w:rFonts w:eastAsia="宋体"/>
          <w:lang w:eastAsia="ar-SA" w:bidi="ar-SA"/>
        </w:rPr>
        <w:t xml:space="preserve">Chemistry Department, Faculty of Science and Arts, Al </w:t>
      </w:r>
      <w:proofErr w:type="spellStart"/>
      <w:r w:rsidR="005F62C1" w:rsidRPr="003C6924">
        <w:rPr>
          <w:rFonts w:eastAsia="宋体"/>
          <w:lang w:eastAsia="ar-SA" w:bidi="ar-SA"/>
        </w:rPr>
        <w:t>Jouf</w:t>
      </w:r>
      <w:proofErr w:type="spellEnd"/>
      <w:r w:rsidR="005F62C1" w:rsidRPr="003C6924">
        <w:rPr>
          <w:rFonts w:eastAsia="宋体"/>
          <w:lang w:eastAsia="ar-SA" w:bidi="ar-SA"/>
        </w:rPr>
        <w:t xml:space="preserve"> University, Kingdom of Saudi Arabia</w:t>
      </w:r>
    </w:p>
    <w:p w:rsidR="003D251A" w:rsidRPr="003C6924" w:rsidRDefault="00F76801" w:rsidP="003C6924">
      <w:pPr>
        <w:suppressAutoHyphens/>
        <w:snapToGrid w:val="0"/>
        <w:ind w:right="0" w:firstLine="0"/>
        <w:jc w:val="center"/>
        <w:rPr>
          <w:rFonts w:eastAsia="宋体"/>
          <w:lang w:eastAsia="ar-SA" w:bidi="ar-SA"/>
        </w:rPr>
      </w:pPr>
      <w:r w:rsidRPr="003C6924">
        <w:rPr>
          <w:vertAlign w:val="superscript"/>
        </w:rPr>
        <w:t>2.</w:t>
      </w:r>
      <w:r w:rsidRPr="003C6924">
        <w:t xml:space="preserve"> </w:t>
      </w:r>
      <w:r w:rsidR="005F62C1" w:rsidRPr="003C6924">
        <w:rPr>
          <w:rFonts w:eastAsia="宋体"/>
          <w:lang w:eastAsia="ar-SA" w:bidi="ar-SA"/>
        </w:rPr>
        <w:t>Clinical</w:t>
      </w:r>
      <w:r w:rsidR="00352E4D">
        <w:rPr>
          <w:rFonts w:eastAsia="宋体"/>
          <w:lang w:eastAsia="ar-SA" w:bidi="ar-SA"/>
        </w:rPr>
        <w:t xml:space="preserve"> </w:t>
      </w:r>
      <w:r w:rsidR="005F62C1" w:rsidRPr="003C6924">
        <w:rPr>
          <w:rFonts w:eastAsia="宋体"/>
          <w:lang w:eastAsia="ar-SA" w:bidi="ar-SA"/>
        </w:rPr>
        <w:t>Pathology, Faculty of medicine,</w:t>
      </w:r>
      <w:r w:rsidR="00352E4D">
        <w:rPr>
          <w:rFonts w:eastAsia="宋体" w:hint="eastAsia"/>
          <w:lang w:eastAsia="zh-CN" w:bidi="ar-SA"/>
        </w:rPr>
        <w:t xml:space="preserve"> </w:t>
      </w:r>
      <w:r w:rsidR="005F62C1" w:rsidRPr="003C6924">
        <w:rPr>
          <w:rFonts w:eastAsia="宋体"/>
          <w:lang w:eastAsia="ar-SA" w:bidi="ar-SA"/>
        </w:rPr>
        <w:t>Cairo University,</w:t>
      </w:r>
      <w:r w:rsidR="00352E4D">
        <w:rPr>
          <w:rFonts w:eastAsia="宋体" w:hint="eastAsia"/>
          <w:lang w:eastAsia="zh-CN" w:bidi="ar-SA"/>
        </w:rPr>
        <w:t xml:space="preserve"> </w:t>
      </w:r>
      <w:r w:rsidR="005F62C1" w:rsidRPr="003C6924">
        <w:rPr>
          <w:rFonts w:eastAsia="宋体"/>
          <w:lang w:eastAsia="ar-SA" w:bidi="ar-SA"/>
        </w:rPr>
        <w:t>Egypt</w:t>
      </w:r>
      <w:r w:rsidR="003D251A" w:rsidRPr="003C6924">
        <w:rPr>
          <w:rFonts w:eastAsia="宋体"/>
          <w:lang w:eastAsia="ar-SA" w:bidi="ar-SA"/>
        </w:rPr>
        <w:t>.</w:t>
      </w:r>
    </w:p>
    <w:p w:rsidR="00E56068" w:rsidRPr="003C6924" w:rsidRDefault="00D058AB" w:rsidP="003C6924">
      <w:pPr>
        <w:suppressAutoHyphens/>
        <w:snapToGrid w:val="0"/>
        <w:ind w:right="0" w:firstLine="0"/>
        <w:jc w:val="center"/>
        <w:rPr>
          <w:rStyle w:val="Hyperlink"/>
          <w:szCs w:val="18"/>
          <w:lang w:val="fr-FR"/>
        </w:rPr>
      </w:pPr>
      <w:r w:rsidRPr="003C6924">
        <w:rPr>
          <w:szCs w:val="18"/>
          <w:lang w:val="fr-FR"/>
        </w:rPr>
        <w:fldChar w:fldCharType="begin"/>
      </w:r>
      <w:r w:rsidR="00924056" w:rsidRPr="003C6924">
        <w:rPr>
          <w:szCs w:val="18"/>
          <w:lang w:val="fr-FR"/>
        </w:rPr>
        <w:instrText xml:space="preserve"> HYPERLINK "E-mail:%20Abeerkhaial@yahoo.com.%0c" </w:instrText>
      </w:r>
      <w:r w:rsidRPr="003C6924">
        <w:rPr>
          <w:szCs w:val="18"/>
          <w:lang w:val="fr-FR"/>
        </w:rPr>
        <w:fldChar w:fldCharType="separate"/>
      </w:r>
      <w:r w:rsidR="003D251A" w:rsidRPr="003C6924">
        <w:rPr>
          <w:rStyle w:val="Hyperlink"/>
          <w:rFonts w:eastAsia="宋体"/>
          <w:color w:val="0000FF"/>
          <w:lang w:eastAsia="ar-SA" w:bidi="ar-SA"/>
        </w:rPr>
        <w:t xml:space="preserve">E-mail: </w:t>
      </w:r>
      <w:r w:rsidR="005F62C1" w:rsidRPr="003C6924">
        <w:rPr>
          <w:rStyle w:val="Hyperlink"/>
          <w:rFonts w:eastAsia="宋体"/>
          <w:color w:val="0000FF"/>
          <w:lang w:eastAsia="ar-SA" w:bidi="ar-SA"/>
        </w:rPr>
        <w:t>Abeerkhaial@yahoo.com</w:t>
      </w:r>
      <w:r w:rsidR="003D251A" w:rsidRPr="003C6924">
        <w:rPr>
          <w:rStyle w:val="Hyperlink"/>
          <w:rFonts w:eastAsia="宋体"/>
          <w:color w:val="0000FF"/>
          <w:lang w:eastAsia="ar-SA" w:bidi="ar-SA"/>
        </w:rPr>
        <w:t>.</w:t>
      </w:r>
    </w:p>
    <w:p w:rsidR="00E56068" w:rsidRPr="003C6924" w:rsidRDefault="00D058AB" w:rsidP="003C6924">
      <w:pPr>
        <w:snapToGrid w:val="0"/>
        <w:ind w:right="0" w:firstLine="0"/>
        <w:jc w:val="center"/>
        <w:rPr>
          <w:szCs w:val="18"/>
          <w:lang w:val="fr-FR"/>
        </w:rPr>
      </w:pPr>
      <w:r w:rsidRPr="003C6924">
        <w:rPr>
          <w:szCs w:val="18"/>
          <w:lang w:val="fr-FR"/>
        </w:rPr>
        <w:fldChar w:fldCharType="end"/>
      </w:r>
    </w:p>
    <w:p w:rsidR="00B14111" w:rsidRPr="003C6924" w:rsidRDefault="006C0750" w:rsidP="003C6924">
      <w:pPr>
        <w:suppressAutoHyphens/>
        <w:snapToGrid w:val="0"/>
        <w:ind w:right="0" w:firstLine="0"/>
        <w:jc w:val="both"/>
        <w:rPr>
          <w:rFonts w:eastAsia="宋体"/>
          <w:lang w:eastAsia="ar-SA" w:bidi="ar-SA"/>
        </w:rPr>
      </w:pPr>
      <w:r w:rsidRPr="003C6924">
        <w:rPr>
          <w:rFonts w:eastAsia="宋体"/>
          <w:b/>
          <w:lang w:eastAsia="ar-SA" w:bidi="ar-SA"/>
        </w:rPr>
        <w:t>Abstract</w:t>
      </w:r>
      <w:r w:rsidR="00B14111" w:rsidRPr="003C6924">
        <w:rPr>
          <w:rFonts w:eastAsia="宋体"/>
          <w:b/>
          <w:lang w:eastAsia="ar-SA" w:bidi="ar-SA"/>
        </w:rPr>
        <w:t>:</w:t>
      </w:r>
      <w:r w:rsidR="00B14111" w:rsidRPr="003C6924">
        <w:t xml:space="preserve"> </w:t>
      </w:r>
      <w:r w:rsidR="00B14111" w:rsidRPr="003C6924">
        <w:rPr>
          <w:rFonts w:eastAsia="宋体"/>
          <w:lang w:eastAsia="ar-SA" w:bidi="ar-SA"/>
        </w:rPr>
        <w:t xml:space="preserve">Cytology is an essential part in diagnosing malignancy. However not all malignant </w:t>
      </w:r>
      <w:proofErr w:type="spellStart"/>
      <w:r w:rsidR="00B14111" w:rsidRPr="003C6924">
        <w:rPr>
          <w:rFonts w:eastAsia="宋体"/>
          <w:lang w:eastAsia="ar-SA" w:bidi="ar-SA"/>
        </w:rPr>
        <w:t>ascites</w:t>
      </w:r>
      <w:proofErr w:type="spellEnd"/>
      <w:r w:rsidR="00B14111" w:rsidRPr="003C6924">
        <w:rPr>
          <w:rFonts w:eastAsia="宋体"/>
          <w:lang w:eastAsia="ar-SA" w:bidi="ar-SA"/>
        </w:rPr>
        <w:t xml:space="preserve"> could be detected by cytology. Other biochemical parameters should be included in ascetic fluid analysis to differentiate tuberculosis ascetic fluid and malignant (non tuberculosis ascetic fluid)</w:t>
      </w:r>
      <w:r w:rsidR="003C6924">
        <w:rPr>
          <w:rFonts w:eastAsia="宋体" w:hint="eastAsia"/>
          <w:lang w:eastAsia="zh-CN" w:bidi="ar-SA"/>
        </w:rPr>
        <w:t xml:space="preserve">. </w:t>
      </w:r>
      <w:r w:rsidR="00B14111" w:rsidRPr="003C6924">
        <w:rPr>
          <w:rFonts w:eastAsia="宋体"/>
          <w:lang w:eastAsia="ar-SA" w:bidi="ar-SA"/>
        </w:rPr>
        <w:t xml:space="preserve">The study included 70 patients with </w:t>
      </w:r>
      <w:proofErr w:type="spellStart"/>
      <w:r w:rsidR="00B14111" w:rsidRPr="003C6924">
        <w:rPr>
          <w:rFonts w:eastAsia="宋体"/>
          <w:lang w:eastAsia="ar-SA" w:bidi="ar-SA"/>
        </w:rPr>
        <w:t>ascites</w:t>
      </w:r>
      <w:proofErr w:type="spellEnd"/>
      <w:r w:rsidR="00B14111" w:rsidRPr="003C6924">
        <w:rPr>
          <w:rFonts w:eastAsia="宋体"/>
          <w:lang w:eastAsia="ar-SA" w:bidi="ar-SA"/>
        </w:rPr>
        <w:t>. These patients were divided into three groups, (30) malignant patients HCC, (25) patients with liver cirrhosis and (15) patients tuberculosis peritonitis besides 20 healthy persons to serve as controls.</w:t>
      </w:r>
      <w:r w:rsidR="003C6924">
        <w:rPr>
          <w:rFonts w:eastAsia="宋体" w:hint="eastAsia"/>
          <w:lang w:eastAsia="zh-CN" w:bidi="ar-SA"/>
        </w:rPr>
        <w:t xml:space="preserve"> </w:t>
      </w:r>
      <w:r w:rsidR="00B14111" w:rsidRPr="003C6924">
        <w:rPr>
          <w:rFonts w:eastAsia="宋体"/>
          <w:lang w:eastAsia="ar-SA" w:bidi="ar-SA"/>
        </w:rPr>
        <w:t xml:space="preserve">The following parameters were carried out in serum and </w:t>
      </w:r>
      <w:proofErr w:type="spellStart"/>
      <w:r w:rsidR="00B14111" w:rsidRPr="003C6924">
        <w:rPr>
          <w:rFonts w:eastAsia="宋体"/>
          <w:lang w:eastAsia="ar-SA" w:bidi="ar-SA"/>
        </w:rPr>
        <w:t>ascitic</w:t>
      </w:r>
      <w:proofErr w:type="spellEnd"/>
      <w:r w:rsidR="00B14111" w:rsidRPr="003C6924">
        <w:rPr>
          <w:rFonts w:eastAsia="宋体"/>
          <w:lang w:eastAsia="ar-SA" w:bidi="ar-SA"/>
        </w:rPr>
        <w:t xml:space="preserve"> fluid: Total protein, Albumin, Lactate </w:t>
      </w:r>
      <w:proofErr w:type="spellStart"/>
      <w:r w:rsidR="00B14111" w:rsidRPr="003C6924">
        <w:rPr>
          <w:rFonts w:eastAsia="宋体"/>
          <w:lang w:eastAsia="ar-SA" w:bidi="ar-SA"/>
        </w:rPr>
        <w:t>Dehydrogenase</w:t>
      </w:r>
      <w:proofErr w:type="spellEnd"/>
      <w:r w:rsidR="00B14111" w:rsidRPr="003C6924">
        <w:rPr>
          <w:rFonts w:eastAsia="宋体"/>
          <w:lang w:eastAsia="ar-SA" w:bidi="ar-SA"/>
        </w:rPr>
        <w:t>,</w:t>
      </w:r>
      <w:r w:rsidR="00352E4D">
        <w:rPr>
          <w:rFonts w:eastAsia="宋体" w:hint="eastAsia"/>
          <w:lang w:eastAsia="zh-CN" w:bidi="ar-SA"/>
        </w:rPr>
        <w:t xml:space="preserve"> </w:t>
      </w:r>
      <w:r w:rsidR="00B14111" w:rsidRPr="003C6924">
        <w:rPr>
          <w:rFonts w:eastAsia="宋体"/>
          <w:lang w:eastAsia="ar-SA" w:bidi="ar-SA"/>
        </w:rPr>
        <w:t xml:space="preserve">(LDH), Alkaline </w:t>
      </w:r>
      <w:proofErr w:type="spellStart"/>
      <w:r w:rsidR="00B14111" w:rsidRPr="003C6924">
        <w:rPr>
          <w:rFonts w:eastAsia="宋体"/>
          <w:lang w:eastAsia="ar-SA" w:bidi="ar-SA"/>
        </w:rPr>
        <w:t>phosphatase</w:t>
      </w:r>
      <w:proofErr w:type="spellEnd"/>
      <w:r w:rsidR="00B14111" w:rsidRPr="003C6924">
        <w:rPr>
          <w:rFonts w:eastAsia="宋体"/>
          <w:lang w:eastAsia="ar-SA" w:bidi="ar-SA"/>
        </w:rPr>
        <w:t xml:space="preserve"> (ALP),</w:t>
      </w:r>
      <w:r w:rsidR="00352E4D">
        <w:rPr>
          <w:rFonts w:eastAsia="宋体"/>
          <w:lang w:eastAsia="ar-SA" w:bidi="ar-SA"/>
        </w:rPr>
        <w:t xml:space="preserve"> </w:t>
      </w:r>
      <w:r w:rsidR="00B14111" w:rsidRPr="003C6924">
        <w:rPr>
          <w:rFonts w:eastAsia="宋体"/>
          <w:lang w:eastAsia="ar-SA" w:bidi="ar-SA"/>
        </w:rPr>
        <w:t>tumor markers as Alpha-</w:t>
      </w:r>
      <w:proofErr w:type="gramStart"/>
      <w:r w:rsidR="00B14111" w:rsidRPr="003C6924">
        <w:rPr>
          <w:rFonts w:eastAsia="宋体"/>
          <w:lang w:eastAsia="ar-SA" w:bidi="ar-SA"/>
        </w:rPr>
        <w:t>fetoprotein(</w:t>
      </w:r>
      <w:proofErr w:type="gramEnd"/>
      <w:r w:rsidR="00B14111" w:rsidRPr="003C6924">
        <w:rPr>
          <w:rFonts w:eastAsia="宋体"/>
          <w:lang w:eastAsia="ar-SA" w:bidi="ar-SA"/>
        </w:rPr>
        <w:t>AFT)</w:t>
      </w:r>
      <w:r w:rsidR="00352E4D">
        <w:rPr>
          <w:rFonts w:eastAsia="宋体"/>
          <w:lang w:eastAsia="ar-SA" w:bidi="ar-SA"/>
        </w:rPr>
        <w:t xml:space="preserve"> </w:t>
      </w:r>
      <w:r w:rsidR="00B14111" w:rsidRPr="003C6924">
        <w:rPr>
          <w:rFonts w:eastAsia="宋体"/>
          <w:lang w:eastAsia="ar-SA" w:bidi="ar-SA"/>
        </w:rPr>
        <w:t xml:space="preserve">and </w:t>
      </w:r>
      <w:proofErr w:type="spellStart"/>
      <w:r w:rsidR="00B14111" w:rsidRPr="003C6924">
        <w:rPr>
          <w:rFonts w:eastAsia="宋体"/>
          <w:lang w:eastAsia="ar-SA" w:bidi="ar-SA"/>
        </w:rPr>
        <w:t>Carcinoembrionic</w:t>
      </w:r>
      <w:proofErr w:type="spellEnd"/>
      <w:r w:rsidR="00B14111" w:rsidRPr="003C6924">
        <w:rPr>
          <w:rFonts w:eastAsia="宋体"/>
          <w:lang w:eastAsia="ar-SA" w:bidi="ar-SA"/>
        </w:rPr>
        <w:t xml:space="preserve"> antigen (CEA) in both serum and </w:t>
      </w:r>
      <w:proofErr w:type="spellStart"/>
      <w:r w:rsidR="00B14111" w:rsidRPr="003C6924">
        <w:rPr>
          <w:rFonts w:eastAsia="宋体"/>
          <w:lang w:eastAsia="ar-SA" w:bidi="ar-SA"/>
        </w:rPr>
        <w:t>ascitic</w:t>
      </w:r>
      <w:proofErr w:type="spellEnd"/>
      <w:r w:rsidR="00B14111" w:rsidRPr="003C6924">
        <w:rPr>
          <w:rFonts w:eastAsia="宋体"/>
          <w:lang w:eastAsia="ar-SA" w:bidi="ar-SA"/>
        </w:rPr>
        <w:t xml:space="preserve"> fluid, besides Tuberculosis detection by Poly Chain Reaction (PCR) technique, bacterial and cytological examination in ascetic fluid.</w:t>
      </w:r>
      <w:r w:rsidR="00352E4D">
        <w:rPr>
          <w:rFonts w:eastAsia="宋体"/>
          <w:lang w:eastAsia="ar-SA" w:bidi="ar-SA"/>
        </w:rPr>
        <w:t xml:space="preserve"> </w:t>
      </w:r>
      <w:r w:rsidR="00B14111" w:rsidRPr="003C6924">
        <w:rPr>
          <w:rFonts w:eastAsia="宋体"/>
          <w:lang w:eastAsia="ar-SA" w:bidi="ar-SA"/>
        </w:rPr>
        <w:t xml:space="preserve">The results showed some alternation in the studied parameters in both serum and ascetic fluid. The values of some biochemical parameters </w:t>
      </w:r>
      <w:proofErr w:type="spellStart"/>
      <w:r w:rsidR="00B14111" w:rsidRPr="003C6924">
        <w:rPr>
          <w:rFonts w:eastAsia="宋体"/>
          <w:lang w:eastAsia="ar-SA" w:bidi="ar-SA"/>
        </w:rPr>
        <w:t>i.e</w:t>
      </w:r>
      <w:proofErr w:type="spellEnd"/>
      <w:r w:rsidR="00B14111" w:rsidRPr="003C6924">
        <w:rPr>
          <w:rFonts w:eastAsia="宋体"/>
          <w:lang w:eastAsia="ar-SA" w:bidi="ar-SA"/>
        </w:rPr>
        <w:t xml:space="preserve"> SAAG, total ALP, total LDH, LD </w:t>
      </w:r>
      <w:proofErr w:type="spellStart"/>
      <w:r w:rsidR="00B14111" w:rsidRPr="003C6924">
        <w:rPr>
          <w:rFonts w:eastAsia="宋体"/>
          <w:lang w:eastAsia="ar-SA" w:bidi="ar-SA"/>
        </w:rPr>
        <w:t>isoenzymes</w:t>
      </w:r>
      <w:proofErr w:type="spellEnd"/>
      <w:r w:rsidR="00B14111" w:rsidRPr="003C6924">
        <w:rPr>
          <w:rFonts w:eastAsia="宋体"/>
          <w:lang w:eastAsia="ar-SA" w:bidi="ar-SA"/>
        </w:rPr>
        <w:t xml:space="preserve">, AFP could be used to point out to the diagnosis of malignant cases. Adenosine </w:t>
      </w:r>
      <w:proofErr w:type="spellStart"/>
      <w:r w:rsidR="00B14111" w:rsidRPr="003C6924">
        <w:rPr>
          <w:rFonts w:eastAsia="宋体"/>
          <w:lang w:eastAsia="ar-SA" w:bidi="ar-SA"/>
        </w:rPr>
        <w:t>deaminase</w:t>
      </w:r>
      <w:proofErr w:type="spellEnd"/>
      <w:r w:rsidR="00B14111" w:rsidRPr="003C6924">
        <w:rPr>
          <w:rFonts w:eastAsia="宋体"/>
          <w:lang w:eastAsia="ar-SA" w:bidi="ar-SA"/>
        </w:rPr>
        <w:t xml:space="preserve"> activity (ADA) proved to be good parameter to point out the presence of tuberculosis TB in ascetic fluid. Also, the combined use of </w:t>
      </w:r>
      <w:proofErr w:type="spellStart"/>
      <w:r w:rsidR="00B14111" w:rsidRPr="003C6924">
        <w:rPr>
          <w:rFonts w:eastAsia="宋体"/>
          <w:lang w:eastAsia="ar-SA" w:bidi="ar-SA"/>
        </w:rPr>
        <w:t>ascites</w:t>
      </w:r>
      <w:proofErr w:type="spellEnd"/>
      <w:r w:rsidR="00B14111" w:rsidRPr="003C6924">
        <w:rPr>
          <w:rFonts w:eastAsia="宋体"/>
          <w:lang w:eastAsia="ar-SA" w:bidi="ar-SA"/>
        </w:rPr>
        <w:t xml:space="preserve"> ADA and PCR achieve the highest sensitivity making them useful tools for screening patients with tuberculosis TB.</w:t>
      </w:r>
    </w:p>
    <w:p w:rsidR="00BA09B0" w:rsidRPr="003C6924" w:rsidRDefault="00BA09B0" w:rsidP="003C6924">
      <w:pPr>
        <w:snapToGrid w:val="0"/>
        <w:ind w:right="0" w:firstLine="0"/>
        <w:jc w:val="both"/>
        <w:rPr>
          <w:rFonts w:eastAsiaTheme="minorEastAsia"/>
          <w:lang w:eastAsia="zh-CN"/>
        </w:rPr>
      </w:pPr>
      <w:proofErr w:type="gramStart"/>
      <w:r w:rsidRPr="003C6924">
        <w:rPr>
          <w:rFonts w:hint="eastAsia"/>
          <w:b/>
          <w:bCs/>
        </w:rPr>
        <w:t>[</w:t>
      </w:r>
      <w:proofErr w:type="spellStart"/>
      <w:r w:rsidR="003C6924" w:rsidRPr="003C6924">
        <w:rPr>
          <w:rFonts w:eastAsia="宋体"/>
          <w:lang w:eastAsia="ar-SA" w:bidi="ar-SA"/>
        </w:rPr>
        <w:t>Abeer</w:t>
      </w:r>
      <w:proofErr w:type="spellEnd"/>
      <w:r w:rsidR="003C6924" w:rsidRPr="003C6924">
        <w:rPr>
          <w:rFonts w:eastAsia="宋体"/>
          <w:lang w:eastAsia="ar-SA" w:bidi="ar-SA"/>
        </w:rPr>
        <w:t xml:space="preserve"> </w:t>
      </w:r>
      <w:proofErr w:type="spellStart"/>
      <w:r w:rsidR="003C6924" w:rsidRPr="003C6924">
        <w:rPr>
          <w:rFonts w:eastAsia="宋体"/>
          <w:lang w:eastAsia="ar-SA" w:bidi="ar-SA"/>
        </w:rPr>
        <w:t>A.Khayal</w:t>
      </w:r>
      <w:proofErr w:type="spellEnd"/>
      <w:r w:rsidR="00352E4D">
        <w:rPr>
          <w:rFonts w:eastAsia="宋体"/>
          <w:lang w:eastAsia="ar-SA" w:bidi="ar-SA"/>
        </w:rPr>
        <w:t xml:space="preserve"> </w:t>
      </w:r>
      <w:r w:rsidR="003C6924" w:rsidRPr="003C6924">
        <w:rPr>
          <w:rFonts w:eastAsia="宋体"/>
          <w:lang w:eastAsia="ar-SA" w:bidi="ar-SA"/>
        </w:rPr>
        <w:t>and</w:t>
      </w:r>
      <w:r w:rsidR="00352E4D">
        <w:rPr>
          <w:rFonts w:eastAsia="宋体"/>
          <w:lang w:eastAsia="ar-SA" w:bidi="ar-SA"/>
        </w:rPr>
        <w:t xml:space="preserve"> </w:t>
      </w:r>
      <w:r w:rsidR="003C6924" w:rsidRPr="003C6924">
        <w:rPr>
          <w:rFonts w:eastAsia="宋体"/>
          <w:lang w:eastAsia="ar-SA" w:bidi="ar-SA"/>
        </w:rPr>
        <w:t xml:space="preserve">S.A. </w:t>
      </w:r>
      <w:proofErr w:type="spellStart"/>
      <w:r w:rsidR="003C6924" w:rsidRPr="003C6924">
        <w:rPr>
          <w:rFonts w:eastAsia="宋体"/>
          <w:lang w:eastAsia="ar-SA" w:bidi="ar-SA"/>
        </w:rPr>
        <w:t>Eissa</w:t>
      </w:r>
      <w:proofErr w:type="spellEnd"/>
      <w:r w:rsidR="00352E4D">
        <w:rPr>
          <w:rFonts w:eastAsia="宋体"/>
          <w:vertAlign w:val="superscript"/>
          <w:lang w:eastAsia="ar-SA" w:bidi="ar-SA"/>
        </w:rPr>
        <w:t>.</w:t>
      </w:r>
      <w:proofErr w:type="gramEnd"/>
      <w:r w:rsidRPr="003C6924">
        <w:rPr>
          <w:rFonts w:eastAsiaTheme="minorEastAsia" w:hint="eastAsia"/>
          <w:b/>
          <w:bCs/>
          <w:lang w:bidi="fa-IR"/>
        </w:rPr>
        <w:t xml:space="preserve"> </w:t>
      </w:r>
      <w:proofErr w:type="gramStart"/>
      <w:r w:rsidR="003C6924" w:rsidRPr="003C6924">
        <w:rPr>
          <w:rFonts w:eastAsia="宋体"/>
          <w:b/>
          <w:lang w:eastAsia="ar-SA" w:bidi="ar-SA"/>
        </w:rPr>
        <w:t xml:space="preserve">Evaluation of some biochemical parameters in differentiation between Tuberculosis and non-Tuberculosis </w:t>
      </w:r>
      <w:proofErr w:type="spellStart"/>
      <w:r w:rsidR="003C6924" w:rsidRPr="003C6924">
        <w:rPr>
          <w:rFonts w:eastAsia="宋体"/>
          <w:b/>
          <w:lang w:eastAsia="ar-SA" w:bidi="ar-SA"/>
        </w:rPr>
        <w:t>ascites</w:t>
      </w:r>
      <w:proofErr w:type="spellEnd"/>
      <w:r w:rsidR="003C6924" w:rsidRPr="003C6924">
        <w:rPr>
          <w:rFonts w:eastAsia="宋体"/>
          <w:b/>
          <w:lang w:eastAsia="ar-SA" w:bidi="ar-SA"/>
        </w:rPr>
        <w:t xml:space="preserve"> patients</w:t>
      </w:r>
      <w:r w:rsidRPr="003C6924">
        <w:rPr>
          <w:b/>
          <w:bCs/>
          <w:lang w:bidi="fa-IR"/>
        </w:rPr>
        <w:t>.</w:t>
      </w:r>
      <w:proofErr w:type="gramEnd"/>
      <w:r w:rsidRPr="003C6924">
        <w:rPr>
          <w:rFonts w:hint="eastAsia"/>
          <w:b/>
          <w:bCs/>
        </w:rPr>
        <w:t xml:space="preserve"> </w:t>
      </w:r>
      <w:r w:rsidRPr="003C6924">
        <w:rPr>
          <w:bCs/>
          <w:i/>
        </w:rPr>
        <w:t xml:space="preserve">Nat </w:t>
      </w:r>
      <w:proofErr w:type="spellStart"/>
      <w:r w:rsidRPr="003C6924">
        <w:rPr>
          <w:bCs/>
          <w:i/>
        </w:rPr>
        <w:t>Sci</w:t>
      </w:r>
      <w:proofErr w:type="spellEnd"/>
      <w:r w:rsidRPr="003C6924">
        <w:rPr>
          <w:rFonts w:eastAsiaTheme="minorEastAsia" w:hint="eastAsia"/>
          <w:bCs/>
          <w:i/>
        </w:rPr>
        <w:t xml:space="preserve"> </w:t>
      </w:r>
      <w:r w:rsidRPr="003C6924">
        <w:t>201</w:t>
      </w:r>
      <w:r w:rsidRPr="003C6924">
        <w:rPr>
          <w:rFonts w:hint="eastAsia"/>
        </w:rPr>
        <w:t>4</w:t>
      </w:r>
      <w:proofErr w:type="gramStart"/>
      <w:r w:rsidRPr="003C6924">
        <w:t>;1</w:t>
      </w:r>
      <w:r w:rsidRPr="003C6924">
        <w:rPr>
          <w:rFonts w:hint="eastAsia"/>
        </w:rPr>
        <w:t>2</w:t>
      </w:r>
      <w:proofErr w:type="gramEnd"/>
      <w:r w:rsidRPr="003C6924">
        <w:t>(</w:t>
      </w:r>
      <w:r w:rsidRPr="003C6924">
        <w:rPr>
          <w:rFonts w:hint="eastAsia"/>
        </w:rPr>
        <w:t>9</w:t>
      </w:r>
      <w:r w:rsidRPr="003C6924">
        <w:t>):</w:t>
      </w:r>
      <w:r w:rsidR="00B2318F">
        <w:rPr>
          <w:noProof/>
          <w:color w:val="000000"/>
        </w:rPr>
        <w:t>30</w:t>
      </w:r>
      <w:r w:rsidRPr="003C6924">
        <w:rPr>
          <w:color w:val="000000"/>
        </w:rPr>
        <w:t>-</w:t>
      </w:r>
      <w:r w:rsidR="00B2318F">
        <w:rPr>
          <w:noProof/>
          <w:color w:val="000000"/>
        </w:rPr>
        <w:t>35</w:t>
      </w:r>
      <w:r w:rsidRPr="003C6924">
        <w:t>]</w:t>
      </w:r>
      <w:r w:rsidRPr="003C6924">
        <w:rPr>
          <w:rFonts w:hint="eastAsia"/>
        </w:rPr>
        <w:t>.</w:t>
      </w:r>
      <w:r w:rsidRPr="003C6924">
        <w:t xml:space="preserve"> (ISSN: 1545-0740).</w:t>
      </w:r>
      <w:r w:rsidRPr="003C6924">
        <w:rPr>
          <w:color w:val="0000FF"/>
        </w:rPr>
        <w:t xml:space="preserve"> </w:t>
      </w:r>
      <w:hyperlink r:id="rId8" w:history="1">
        <w:r w:rsidRPr="003C6924">
          <w:rPr>
            <w:rStyle w:val="Hyperlink"/>
            <w:color w:val="0000FF"/>
          </w:rPr>
          <w:t>http://www.sciencepub.net/nature</w:t>
        </w:r>
      </w:hyperlink>
      <w:r w:rsidRPr="003C6924">
        <w:t>.</w:t>
      </w:r>
      <w:r w:rsidRPr="003C6924">
        <w:rPr>
          <w:rFonts w:hint="eastAsia"/>
        </w:rPr>
        <w:t xml:space="preserve"> </w:t>
      </w:r>
      <w:r w:rsidR="003C6924" w:rsidRPr="003C6924">
        <w:rPr>
          <w:rFonts w:eastAsiaTheme="minorEastAsia" w:hint="eastAsia"/>
          <w:lang w:eastAsia="zh-CN"/>
        </w:rPr>
        <w:t>6</w:t>
      </w:r>
    </w:p>
    <w:p w:rsidR="00CC704B" w:rsidRPr="003C6924" w:rsidRDefault="00CC704B" w:rsidP="003C6924">
      <w:pPr>
        <w:suppressAutoHyphens/>
        <w:snapToGrid w:val="0"/>
        <w:ind w:right="0" w:firstLine="0"/>
        <w:jc w:val="both"/>
        <w:rPr>
          <w:rFonts w:eastAsia="宋体"/>
          <w:lang w:eastAsia="ar-SA" w:bidi="ar-SA"/>
        </w:rPr>
      </w:pPr>
    </w:p>
    <w:p w:rsidR="00B14111" w:rsidRPr="003C6924" w:rsidRDefault="00B14111" w:rsidP="003C6924">
      <w:pPr>
        <w:suppressAutoHyphens/>
        <w:snapToGrid w:val="0"/>
        <w:ind w:right="0" w:firstLine="0"/>
        <w:jc w:val="both"/>
        <w:rPr>
          <w:rFonts w:eastAsia="宋体"/>
          <w:lang w:eastAsia="ar-SA" w:bidi="ar-SA"/>
        </w:rPr>
      </w:pPr>
      <w:r w:rsidRPr="003C6924">
        <w:rPr>
          <w:b/>
          <w:bCs/>
        </w:rPr>
        <w:t xml:space="preserve">Key </w:t>
      </w:r>
      <w:r w:rsidRPr="003C6924">
        <w:rPr>
          <w:rFonts w:eastAsia="宋体"/>
          <w:b/>
          <w:lang w:eastAsia="ar-SA" w:bidi="ar-SA"/>
        </w:rPr>
        <w:t>words</w:t>
      </w:r>
      <w:r w:rsidRPr="003C6924">
        <w:rPr>
          <w:b/>
          <w:bCs/>
        </w:rPr>
        <w:t xml:space="preserve">: </w:t>
      </w:r>
      <w:r w:rsidRPr="003C6924">
        <w:rPr>
          <w:rFonts w:eastAsia="宋体"/>
          <w:lang w:eastAsia="ar-SA" w:bidi="ar-SA"/>
        </w:rPr>
        <w:t>ascetic fluid, tuberculosis, malignant</w:t>
      </w:r>
    </w:p>
    <w:p w:rsidR="003C6924" w:rsidRDefault="003C6924" w:rsidP="003C6924">
      <w:pPr>
        <w:snapToGrid w:val="0"/>
        <w:ind w:right="0" w:firstLine="0"/>
        <w:jc w:val="both"/>
        <w:rPr>
          <w:rFonts w:eastAsiaTheme="minorEastAsia" w:hint="eastAsia"/>
          <w:b/>
          <w:bCs/>
          <w:lang w:eastAsia="zh-CN"/>
        </w:rPr>
      </w:pPr>
    </w:p>
    <w:p w:rsidR="00352E4D" w:rsidRPr="00352E4D" w:rsidRDefault="00352E4D" w:rsidP="003C6924">
      <w:pPr>
        <w:snapToGrid w:val="0"/>
        <w:ind w:right="0" w:firstLine="0"/>
        <w:jc w:val="both"/>
        <w:rPr>
          <w:rFonts w:eastAsiaTheme="minorEastAsia" w:hint="eastAsia"/>
          <w:b/>
          <w:bCs/>
          <w:lang w:eastAsia="zh-CN"/>
        </w:rPr>
      </w:pPr>
    </w:p>
    <w:p w:rsidR="003C6924" w:rsidRPr="003C6924" w:rsidRDefault="003C6924" w:rsidP="003C6924">
      <w:pPr>
        <w:snapToGrid w:val="0"/>
        <w:ind w:right="0" w:firstLine="0"/>
        <w:jc w:val="both"/>
        <w:rPr>
          <w:b/>
          <w:bCs/>
        </w:rPr>
        <w:sectPr w:rsidR="003C6924" w:rsidRPr="003C6924" w:rsidSect="00B2318F">
          <w:headerReference w:type="default" r:id="rId9"/>
          <w:footerReference w:type="even" r:id="rId10"/>
          <w:footerReference w:type="default" r:id="rId11"/>
          <w:type w:val="continuous"/>
          <w:pgSz w:w="12240" w:h="15840" w:code="1"/>
          <w:pgMar w:top="1440" w:right="1440" w:bottom="1440" w:left="1440" w:header="720" w:footer="720" w:gutter="0"/>
          <w:pgNumType w:start="30"/>
          <w:cols w:space="708"/>
          <w:docGrid w:linePitch="360"/>
        </w:sectPr>
      </w:pPr>
    </w:p>
    <w:p w:rsidR="00BE1B57" w:rsidRPr="003C6924" w:rsidRDefault="00B14111" w:rsidP="003C6924">
      <w:pPr>
        <w:suppressAutoHyphens/>
        <w:snapToGrid w:val="0"/>
        <w:ind w:right="0" w:firstLine="0"/>
        <w:jc w:val="both"/>
        <w:rPr>
          <w:b/>
          <w:bCs/>
        </w:rPr>
      </w:pPr>
      <w:r w:rsidRPr="003C6924">
        <w:rPr>
          <w:b/>
          <w:bCs/>
        </w:rPr>
        <w:lastRenderedPageBreak/>
        <w:t>1.</w:t>
      </w:r>
      <w:r w:rsidR="00BE1B57" w:rsidRPr="003C6924">
        <w:rPr>
          <w:b/>
          <w:bCs/>
        </w:rPr>
        <w:t xml:space="preserve"> </w:t>
      </w:r>
      <w:r w:rsidR="00ED056E" w:rsidRPr="003C6924">
        <w:rPr>
          <w:rFonts w:eastAsia="宋体"/>
          <w:b/>
          <w:lang w:eastAsia="ar-SA" w:bidi="ar-SA"/>
        </w:rPr>
        <w:t>Introduction</w:t>
      </w:r>
      <w:r w:rsidR="00ED056E" w:rsidRPr="003C6924">
        <w:rPr>
          <w:b/>
          <w:bCs/>
        </w:rPr>
        <w:t>:</w:t>
      </w:r>
    </w:p>
    <w:p w:rsidR="00C2191F" w:rsidRPr="003C6924" w:rsidRDefault="00C2191F" w:rsidP="003C6924">
      <w:pPr>
        <w:suppressAutoHyphens/>
        <w:snapToGrid w:val="0"/>
        <w:ind w:right="0" w:firstLine="425"/>
        <w:jc w:val="both"/>
        <w:rPr>
          <w:rFonts w:eastAsia="宋体"/>
          <w:lang w:eastAsia="ar-SA" w:bidi="ar-SA"/>
        </w:rPr>
      </w:pPr>
      <w:proofErr w:type="spellStart"/>
      <w:r w:rsidRPr="003C6924">
        <w:rPr>
          <w:rFonts w:eastAsia="宋体"/>
          <w:lang w:eastAsia="ar-SA" w:bidi="ar-SA"/>
        </w:rPr>
        <w:t>Ascites</w:t>
      </w:r>
      <w:proofErr w:type="spellEnd"/>
      <w:r w:rsidRPr="003C6924">
        <w:rPr>
          <w:rFonts w:eastAsia="宋体"/>
          <w:lang w:eastAsia="ar-SA" w:bidi="ar-SA"/>
        </w:rPr>
        <w:t xml:space="preserve"> is a collection of extracellular fluid in peritoneal cavity resulting from imbalance between inflow and out flow through the peritoneal membrane (Karoo et al., 2003). The fluid is not a sequestrated static collection. There is continuous movement of solutes into and out of the peritoneal cavity (Sherlock, 1989</w:t>
      </w:r>
      <w:r w:rsidR="004E02A4" w:rsidRPr="003C6924">
        <w:rPr>
          <w:rFonts w:eastAsia="宋体"/>
          <w:lang w:eastAsia="ar-SA" w:bidi="ar-SA"/>
        </w:rPr>
        <w:t>&amp;</w:t>
      </w:r>
      <w:r w:rsidR="000013C5" w:rsidRPr="003C6924">
        <w:rPr>
          <w:rFonts w:eastAsia="宋体"/>
          <w:lang w:eastAsia="ar-SA" w:bidi="ar-SA"/>
        </w:rPr>
        <w:t xml:space="preserve"> Runyon,</w:t>
      </w:r>
      <w:r w:rsidR="00642461" w:rsidRPr="003C6924">
        <w:rPr>
          <w:rFonts w:eastAsia="宋体"/>
          <w:lang w:eastAsia="ar-SA" w:bidi="ar-SA"/>
        </w:rPr>
        <w:t xml:space="preserve"> 2013</w:t>
      </w:r>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can have many causes. In about 80 % of cases, it occurs during decomposition of chronic hepatic cirrhosis, but tumors account for 10 % of cases (</w:t>
      </w:r>
      <w:proofErr w:type="spellStart"/>
      <w:r w:rsidRPr="003C6924">
        <w:rPr>
          <w:rFonts w:eastAsia="宋体"/>
          <w:lang w:eastAsia="ar-SA" w:bidi="ar-SA"/>
        </w:rPr>
        <w:t>Gulyas</w:t>
      </w:r>
      <w:proofErr w:type="spellEnd"/>
      <w:r w:rsidRPr="003C6924">
        <w:rPr>
          <w:rFonts w:eastAsia="宋体"/>
          <w:lang w:eastAsia="ar-SA" w:bidi="ar-SA"/>
        </w:rPr>
        <w:t xml:space="preserve"> et al., 2001).</w:t>
      </w:r>
    </w:p>
    <w:p w:rsidR="00C2191F" w:rsidRPr="003C6924" w:rsidRDefault="00E1180D" w:rsidP="003C6924">
      <w:pPr>
        <w:suppressAutoHyphens/>
        <w:snapToGrid w:val="0"/>
        <w:ind w:right="0" w:firstLine="425"/>
        <w:jc w:val="both"/>
        <w:rPr>
          <w:rFonts w:eastAsia="宋体"/>
          <w:lang w:eastAsia="ar-SA" w:bidi="ar-SA"/>
        </w:rPr>
      </w:pPr>
      <w:r w:rsidRPr="003C6924">
        <w:rPr>
          <w:rFonts w:eastAsia="宋体"/>
          <w:lang w:eastAsia="ar-SA" w:bidi="ar-SA"/>
        </w:rPr>
        <w:t xml:space="preserve">Cirrhosis is </w:t>
      </w:r>
      <w:r w:rsidR="00C2191F" w:rsidRPr="003C6924">
        <w:rPr>
          <w:rFonts w:eastAsia="宋体"/>
          <w:lang w:eastAsia="ar-SA" w:bidi="ar-SA"/>
        </w:rPr>
        <w:t xml:space="preserve">a premalignant condition irrespective of the etiology. The nodular hyperplasia progresses to carcinoma. In cirrhotic patients, it is independent risk factors for </w:t>
      </w:r>
      <w:proofErr w:type="spellStart"/>
      <w:r w:rsidR="00C2191F" w:rsidRPr="003C6924">
        <w:rPr>
          <w:rFonts w:eastAsia="宋体"/>
          <w:lang w:eastAsia="ar-SA" w:bidi="ar-SA"/>
        </w:rPr>
        <w:t>hepatocellular</w:t>
      </w:r>
      <w:proofErr w:type="spellEnd"/>
      <w:r w:rsidR="00C2191F" w:rsidRPr="003C6924">
        <w:rPr>
          <w:rFonts w:eastAsia="宋体"/>
          <w:lang w:eastAsia="ar-SA" w:bidi="ar-SA"/>
        </w:rPr>
        <w:t xml:space="preserve"> carcinoma. Dysplasia is found in 60% of cirrhotic livers harboring </w:t>
      </w:r>
      <w:proofErr w:type="spellStart"/>
      <w:r w:rsidR="00C2191F" w:rsidRPr="003C6924">
        <w:rPr>
          <w:rFonts w:eastAsia="宋体"/>
          <w:lang w:eastAsia="ar-SA" w:bidi="ar-SA"/>
        </w:rPr>
        <w:t>hepatocellular</w:t>
      </w:r>
      <w:proofErr w:type="spellEnd"/>
      <w:r w:rsidR="00C2191F" w:rsidRPr="003C6924">
        <w:rPr>
          <w:rFonts w:eastAsia="宋体"/>
          <w:lang w:eastAsia="ar-SA" w:bidi="ar-SA"/>
        </w:rPr>
        <w:t xml:space="preserve"> carcinoma and in only 10 % of non-cirrhotic liver. In terms of incidence of tuberculosis, Egypt is ranked among the mid-level incidence countries. Tuberculosis in Egypt is considered the second most important public health problem after </w:t>
      </w:r>
      <w:proofErr w:type="spellStart"/>
      <w:r w:rsidR="00C2191F" w:rsidRPr="003C6924">
        <w:rPr>
          <w:rFonts w:eastAsia="宋体"/>
          <w:lang w:eastAsia="ar-SA" w:bidi="ar-SA"/>
        </w:rPr>
        <w:t>Bilharziasis</w:t>
      </w:r>
      <w:proofErr w:type="spellEnd"/>
      <w:r w:rsidR="00C2191F" w:rsidRPr="003C6924">
        <w:rPr>
          <w:rFonts w:eastAsia="宋体"/>
          <w:lang w:eastAsia="ar-SA" w:bidi="ar-SA"/>
        </w:rPr>
        <w:t xml:space="preserve"> (WHO, 2002</w:t>
      </w:r>
      <w:r w:rsidR="00642461" w:rsidRPr="003C6924">
        <w:rPr>
          <w:rFonts w:eastAsia="宋体"/>
          <w:lang w:eastAsia="ar-SA" w:bidi="ar-SA"/>
        </w:rPr>
        <w:t xml:space="preserve"> &amp; </w:t>
      </w:r>
      <w:proofErr w:type="spellStart"/>
      <w:r w:rsidR="00642461" w:rsidRPr="003C6924">
        <w:rPr>
          <w:rFonts w:eastAsia="宋体"/>
          <w:lang w:eastAsia="ar-SA" w:bidi="ar-SA"/>
        </w:rPr>
        <w:t>Kocaman</w:t>
      </w:r>
      <w:proofErr w:type="spellEnd"/>
      <w:r w:rsidR="00642461" w:rsidRPr="003C6924">
        <w:rPr>
          <w:rFonts w:eastAsia="宋体"/>
          <w:lang w:eastAsia="ar-SA" w:bidi="ar-SA"/>
        </w:rPr>
        <w:t>, 2014</w:t>
      </w:r>
      <w:r w:rsidR="00C2191F" w:rsidRPr="003C6924">
        <w:rPr>
          <w:rFonts w:eastAsia="宋体"/>
          <w:lang w:eastAsia="ar-SA" w:bidi="ar-SA"/>
        </w:rPr>
        <w:t>).</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Tuberculosis peritonitis can occur at any age but appears most common in young adults, principally in their third and fourth decades of life (</w:t>
      </w:r>
      <w:proofErr w:type="spellStart"/>
      <w:r w:rsidRPr="003C6924">
        <w:rPr>
          <w:rFonts w:eastAsia="宋体"/>
          <w:lang w:eastAsia="ar-SA" w:bidi="ar-SA"/>
        </w:rPr>
        <w:t>Shetty</w:t>
      </w:r>
      <w:proofErr w:type="spellEnd"/>
      <w:r w:rsidRPr="003C6924">
        <w:rPr>
          <w:rFonts w:eastAsia="宋体"/>
          <w:lang w:eastAsia="ar-SA" w:bidi="ar-SA"/>
        </w:rPr>
        <w:t xml:space="preserve"> and Kane, 1999). </w:t>
      </w:r>
      <w:proofErr w:type="spellStart"/>
      <w:r w:rsidRPr="003C6924">
        <w:rPr>
          <w:rFonts w:eastAsia="宋体"/>
          <w:lang w:eastAsia="ar-SA" w:bidi="ar-SA"/>
        </w:rPr>
        <w:t>Labroscopic</w:t>
      </w:r>
      <w:proofErr w:type="spellEnd"/>
      <w:r w:rsidRPr="003C6924">
        <w:rPr>
          <w:rFonts w:eastAsia="宋体"/>
          <w:lang w:eastAsia="ar-SA" w:bidi="ar-SA"/>
        </w:rPr>
        <w:t xml:space="preserve"> examination, supplemented by biopsy confirms tuberculosis peritonitis in 85 % to 90 </w:t>
      </w:r>
      <w:r w:rsidRPr="003C6924">
        <w:rPr>
          <w:rFonts w:eastAsia="宋体"/>
          <w:lang w:eastAsia="ar-SA" w:bidi="ar-SA"/>
        </w:rPr>
        <w:lastRenderedPageBreak/>
        <w:t xml:space="preserve">% of cases. No laboratory tests completely distinguish malignant </w:t>
      </w:r>
      <w:proofErr w:type="spellStart"/>
      <w:r w:rsidRPr="003C6924">
        <w:rPr>
          <w:rFonts w:eastAsia="宋体"/>
          <w:lang w:eastAsia="ar-SA" w:bidi="ar-SA"/>
        </w:rPr>
        <w:t>ascites</w:t>
      </w:r>
      <w:proofErr w:type="spellEnd"/>
      <w:r w:rsidRPr="003C6924">
        <w:rPr>
          <w:rFonts w:eastAsia="宋体"/>
          <w:lang w:eastAsia="ar-SA" w:bidi="ar-SA"/>
        </w:rPr>
        <w:t xml:space="preserve"> from </w:t>
      </w:r>
      <w:proofErr w:type="spellStart"/>
      <w:r w:rsidRPr="003C6924">
        <w:rPr>
          <w:rFonts w:eastAsia="宋体"/>
          <w:lang w:eastAsia="ar-SA" w:bidi="ar-SA"/>
        </w:rPr>
        <w:t>ascites</w:t>
      </w:r>
      <w:proofErr w:type="spellEnd"/>
      <w:r w:rsidRPr="003C6924">
        <w:rPr>
          <w:rFonts w:eastAsia="宋体"/>
          <w:lang w:eastAsia="ar-SA" w:bidi="ar-SA"/>
        </w:rPr>
        <w:t xml:space="preserve"> associated with cirrhosis or tuberculosis.</w:t>
      </w:r>
      <w:r w:rsidR="00D616B8" w:rsidRPr="003C6924">
        <w:rPr>
          <w:rFonts w:eastAsia="宋体"/>
          <w:lang w:eastAsia="ar-SA" w:bidi="ar-SA"/>
        </w:rPr>
        <w:t xml:space="preserve"> The diagnosis of TB </w:t>
      </w:r>
      <w:proofErr w:type="spellStart"/>
      <w:r w:rsidR="00D616B8" w:rsidRPr="003C6924">
        <w:rPr>
          <w:rFonts w:eastAsia="宋体"/>
          <w:lang w:eastAsia="ar-SA" w:bidi="ar-SA"/>
        </w:rPr>
        <w:t>ascites</w:t>
      </w:r>
      <w:proofErr w:type="spellEnd"/>
      <w:r w:rsidR="00D616B8" w:rsidRPr="003C6924">
        <w:rPr>
          <w:rFonts w:eastAsia="宋体"/>
          <w:lang w:eastAsia="ar-SA" w:bidi="ar-SA"/>
        </w:rPr>
        <w:t xml:space="preserve"> was accomplished by </w:t>
      </w:r>
      <w:proofErr w:type="gramStart"/>
      <w:r w:rsidR="00D616B8" w:rsidRPr="003C6924">
        <w:rPr>
          <w:rFonts w:eastAsia="宋体"/>
          <w:lang w:eastAsia="ar-SA" w:bidi="ar-SA"/>
        </w:rPr>
        <w:t>a sputum</w:t>
      </w:r>
      <w:proofErr w:type="gramEnd"/>
      <w:r w:rsidR="00D616B8" w:rsidRPr="003C6924">
        <w:rPr>
          <w:rFonts w:eastAsia="宋体"/>
          <w:lang w:eastAsia="ar-SA" w:bidi="ar-SA"/>
        </w:rPr>
        <w:t xml:space="preserve"> microscopic examination was performed of two serial sputum samples that had been</w:t>
      </w:r>
      <w:r w:rsidR="003C6924">
        <w:rPr>
          <w:rFonts w:eastAsia="宋体" w:hint="eastAsia"/>
          <w:lang w:eastAsia="zh-CN" w:bidi="ar-SA"/>
        </w:rPr>
        <w:t xml:space="preserve"> </w:t>
      </w:r>
      <w:r w:rsidR="00D616B8" w:rsidRPr="003C6924">
        <w:rPr>
          <w:rFonts w:eastAsia="宋体"/>
          <w:lang w:eastAsia="ar-SA" w:bidi="ar-SA"/>
        </w:rPr>
        <w:t xml:space="preserve">stained with </w:t>
      </w:r>
      <w:proofErr w:type="spellStart"/>
      <w:r w:rsidR="00D616B8" w:rsidRPr="003C6924">
        <w:rPr>
          <w:rFonts w:eastAsia="宋体"/>
          <w:lang w:eastAsia="ar-SA" w:bidi="ar-SA"/>
        </w:rPr>
        <w:t>Ziehl-Neelsen</w:t>
      </w:r>
      <w:proofErr w:type="spellEnd"/>
      <w:r w:rsidR="00D616B8" w:rsidRPr="003C6924">
        <w:rPr>
          <w:rFonts w:eastAsia="宋体"/>
          <w:lang w:eastAsia="ar-SA" w:bidi="ar-SA"/>
        </w:rPr>
        <w:t xml:space="preserve"> Stain</w:t>
      </w:r>
      <w:r w:rsidR="00EC23F9" w:rsidRPr="003C6924">
        <w:rPr>
          <w:rFonts w:eastAsia="宋体"/>
          <w:lang w:eastAsia="ar-SA" w:bidi="ar-SA"/>
        </w:rPr>
        <w:t>.</w:t>
      </w:r>
    </w:p>
    <w:p w:rsidR="00C2191F" w:rsidRPr="003C6924" w:rsidRDefault="00C2191F" w:rsidP="003C6924">
      <w:pPr>
        <w:suppressAutoHyphens/>
        <w:snapToGrid w:val="0"/>
        <w:ind w:right="0" w:firstLine="425"/>
        <w:jc w:val="both"/>
        <w:rPr>
          <w:rFonts w:eastAsia="宋体"/>
          <w:lang w:eastAsia="ar-SA" w:bidi="ar-SA"/>
        </w:rPr>
      </w:pPr>
      <w:proofErr w:type="spellStart"/>
      <w:r w:rsidRPr="003C6924">
        <w:rPr>
          <w:rFonts w:eastAsia="宋体"/>
          <w:lang w:eastAsia="ar-SA" w:bidi="ar-SA"/>
        </w:rPr>
        <w:t>Ascitic</w:t>
      </w:r>
      <w:proofErr w:type="spellEnd"/>
      <w:r w:rsidRPr="003C6924">
        <w:rPr>
          <w:rFonts w:eastAsia="宋体"/>
          <w:lang w:eastAsia="ar-SA" w:bidi="ar-SA"/>
        </w:rPr>
        <w:t xml:space="preserve"> fluid cytology appears to be very important for the detection of malignant </w:t>
      </w:r>
      <w:proofErr w:type="spellStart"/>
      <w:r w:rsidRPr="003C6924">
        <w:rPr>
          <w:rFonts w:eastAsia="宋体"/>
          <w:lang w:eastAsia="ar-SA" w:bidi="ar-SA"/>
        </w:rPr>
        <w:t>ascites</w:t>
      </w:r>
      <w:proofErr w:type="spellEnd"/>
      <w:r w:rsidRPr="003C6924">
        <w:rPr>
          <w:rFonts w:eastAsia="宋体"/>
          <w:lang w:eastAsia="ar-SA" w:bidi="ar-SA"/>
        </w:rPr>
        <w:t xml:space="preserve">. However cytology does not detect all patients with malignancy related </w:t>
      </w:r>
      <w:proofErr w:type="spellStart"/>
      <w:r w:rsidRPr="003C6924">
        <w:rPr>
          <w:rFonts w:eastAsia="宋体"/>
          <w:lang w:eastAsia="ar-SA" w:bidi="ar-SA"/>
        </w:rPr>
        <w:t>ascites</w:t>
      </w:r>
      <w:proofErr w:type="spellEnd"/>
      <w:r w:rsidRPr="003C6924">
        <w:rPr>
          <w:rFonts w:eastAsia="宋体"/>
          <w:lang w:eastAsia="ar-SA" w:bidi="ar-SA"/>
        </w:rPr>
        <w:t xml:space="preserve"> because usually the cytology detects the cases with peritoneal carcinoma i.e. tumor cells lining the peritoneal cavity (Runyon, 1998).</w:t>
      </w:r>
    </w:p>
    <w:p w:rsidR="00C2191F" w:rsidRPr="003C6924" w:rsidRDefault="00C2191F" w:rsidP="003C6924">
      <w:pPr>
        <w:suppressAutoHyphens/>
        <w:snapToGrid w:val="0"/>
        <w:ind w:right="0" w:firstLine="425"/>
        <w:jc w:val="both"/>
        <w:rPr>
          <w:rFonts w:eastAsia="宋体" w:hint="eastAsia"/>
          <w:lang w:eastAsia="zh-CN" w:bidi="ar-SA"/>
        </w:rPr>
      </w:pPr>
      <w:r w:rsidRPr="003C6924">
        <w:rPr>
          <w:rFonts w:eastAsia="宋体"/>
          <w:lang w:eastAsia="ar-SA" w:bidi="ar-SA"/>
        </w:rPr>
        <w:t xml:space="preserve">Cytology should not be expected to detect tumor when peritoneum is not involved (e.g. </w:t>
      </w:r>
      <w:proofErr w:type="spellStart"/>
      <w:r w:rsidRPr="003C6924">
        <w:rPr>
          <w:rFonts w:eastAsia="宋体"/>
          <w:lang w:eastAsia="ar-SA" w:bidi="ar-SA"/>
        </w:rPr>
        <w:t>hepatoma</w:t>
      </w:r>
      <w:proofErr w:type="spellEnd"/>
      <w:r w:rsidR="00352E4D">
        <w:rPr>
          <w:rFonts w:eastAsia="宋体"/>
          <w:lang w:eastAsia="ar-SA" w:bidi="ar-SA"/>
        </w:rPr>
        <w:t>,</w:t>
      </w:r>
      <w:r w:rsidRPr="003C6924">
        <w:rPr>
          <w:rFonts w:eastAsia="宋体"/>
          <w:lang w:eastAsia="ar-SA" w:bidi="ar-SA"/>
        </w:rPr>
        <w:t xml:space="preserve"> massive liver metastasis, malignant lymphoma because </w:t>
      </w:r>
      <w:proofErr w:type="spellStart"/>
      <w:r w:rsidRPr="003C6924">
        <w:rPr>
          <w:rFonts w:eastAsia="宋体"/>
          <w:lang w:eastAsia="ar-SA" w:bidi="ar-SA"/>
        </w:rPr>
        <w:t>hepatoma</w:t>
      </w:r>
      <w:proofErr w:type="spellEnd"/>
      <w:r w:rsidRPr="003C6924">
        <w:rPr>
          <w:rFonts w:eastAsia="宋体"/>
          <w:lang w:eastAsia="ar-SA" w:bidi="ar-SA"/>
        </w:rPr>
        <w:t xml:space="preserve"> rarely metastasize to peritoneum</w:t>
      </w:r>
      <w:r w:rsidR="00352E4D">
        <w:rPr>
          <w:rFonts w:eastAsia="宋体"/>
          <w:lang w:eastAsia="ar-SA" w:bidi="ar-SA"/>
        </w:rPr>
        <w:t>;</w:t>
      </w:r>
      <w:r w:rsidR="00352E4D">
        <w:rPr>
          <w:rFonts w:eastAsia="宋体" w:hint="eastAsia"/>
          <w:lang w:eastAsia="zh-CN" w:bidi="ar-SA"/>
        </w:rPr>
        <w:t xml:space="preserve"> </w:t>
      </w:r>
      <w:r w:rsidRPr="003C6924">
        <w:rPr>
          <w:rFonts w:eastAsia="宋体"/>
          <w:lang w:eastAsia="ar-SA" w:bidi="ar-SA"/>
        </w:rPr>
        <w:t>so, cytology is almost never positive</w:t>
      </w:r>
      <w:r w:rsidR="00352E4D">
        <w:rPr>
          <w:rFonts w:eastAsia="宋体" w:hint="eastAsia"/>
          <w:lang w:eastAsia="zh-CN" w:bidi="ar-SA"/>
        </w:rPr>
        <w:t xml:space="preserve"> </w:t>
      </w:r>
      <w:r w:rsidRPr="003C6924">
        <w:rPr>
          <w:rFonts w:eastAsia="宋体"/>
          <w:lang w:eastAsia="ar-SA" w:bidi="ar-SA"/>
        </w:rPr>
        <w:t>(Runyon et al;</w:t>
      </w:r>
      <w:r w:rsidR="00352E4D">
        <w:rPr>
          <w:rFonts w:eastAsia="宋体" w:hint="eastAsia"/>
          <w:lang w:eastAsia="zh-CN" w:bidi="ar-SA"/>
        </w:rPr>
        <w:t xml:space="preserve"> </w:t>
      </w:r>
      <w:r w:rsidRPr="003C6924">
        <w:rPr>
          <w:rFonts w:eastAsia="宋体"/>
          <w:lang w:eastAsia="ar-SA" w:bidi="ar-SA"/>
        </w:rPr>
        <w:t>1988</w:t>
      </w:r>
      <w:r w:rsidR="00B95E03" w:rsidRPr="003C6924">
        <w:rPr>
          <w:rFonts w:eastAsia="宋体"/>
          <w:lang w:eastAsia="ar-SA" w:bidi="ar-SA"/>
        </w:rPr>
        <w:t xml:space="preserve"> &amp;</w:t>
      </w:r>
      <w:r w:rsidR="00352E4D">
        <w:rPr>
          <w:rFonts w:eastAsia="宋体"/>
          <w:lang w:eastAsia="ar-SA" w:bidi="ar-SA"/>
        </w:rPr>
        <w:t xml:space="preserve"> </w:t>
      </w:r>
      <w:proofErr w:type="spellStart"/>
      <w:r w:rsidR="00B95E03" w:rsidRPr="003C6924">
        <w:rPr>
          <w:rFonts w:eastAsia="宋体"/>
          <w:lang w:eastAsia="ar-SA" w:bidi="ar-SA"/>
        </w:rPr>
        <w:t>Shikha</w:t>
      </w:r>
      <w:proofErr w:type="spellEnd"/>
      <w:r w:rsidR="00AC0D0C" w:rsidRPr="003C6924">
        <w:rPr>
          <w:rFonts w:eastAsia="宋体"/>
          <w:lang w:eastAsia="ar-SA" w:bidi="ar-SA"/>
        </w:rPr>
        <w:t>,</w:t>
      </w:r>
      <w:r w:rsidR="00B95E03" w:rsidRPr="003C6924">
        <w:rPr>
          <w:rFonts w:eastAsia="宋体"/>
          <w:lang w:eastAsia="ar-SA" w:bidi="ar-SA"/>
        </w:rPr>
        <w:t xml:space="preserve"> </w:t>
      </w:r>
      <w:r w:rsidR="00AC0D0C" w:rsidRPr="003C6924">
        <w:rPr>
          <w:rFonts w:eastAsia="宋体"/>
          <w:lang w:eastAsia="ar-SA" w:bidi="ar-SA"/>
        </w:rPr>
        <w:t>2014)</w:t>
      </w:r>
      <w:r w:rsidR="00352E4D">
        <w:rPr>
          <w:rFonts w:eastAsia="宋体"/>
          <w:lang w:eastAsia="ar-SA" w:bidi="ar-SA"/>
        </w:rPr>
        <w:t>.</w:t>
      </w:r>
      <w:r w:rsidR="00352E4D">
        <w:rPr>
          <w:rFonts w:eastAsia="宋体" w:hint="eastAsia"/>
          <w:lang w:eastAsia="zh-CN" w:bidi="ar-SA"/>
        </w:rPr>
        <w:t xml:space="preserve"> </w:t>
      </w:r>
      <w:proofErr w:type="spellStart"/>
      <w:r w:rsidRPr="003C6924">
        <w:rPr>
          <w:rFonts w:eastAsia="宋体"/>
          <w:lang w:eastAsia="ar-SA" w:bidi="ar-SA"/>
        </w:rPr>
        <w:t>Colli</w:t>
      </w:r>
      <w:proofErr w:type="spellEnd"/>
      <w:r w:rsidRPr="003C6924">
        <w:rPr>
          <w:rFonts w:eastAsia="宋体"/>
          <w:lang w:eastAsia="ar-SA" w:bidi="ar-SA"/>
        </w:rPr>
        <w:t xml:space="preserve"> et al</w:t>
      </w:r>
      <w:r w:rsidR="00352E4D">
        <w:rPr>
          <w:rFonts w:eastAsia="宋体"/>
          <w:lang w:eastAsia="ar-SA" w:bidi="ar-SA"/>
        </w:rPr>
        <w:t>;</w:t>
      </w:r>
      <w:r w:rsidR="00352E4D">
        <w:rPr>
          <w:rFonts w:eastAsia="宋体" w:hint="eastAsia"/>
          <w:lang w:eastAsia="zh-CN" w:bidi="ar-SA"/>
        </w:rPr>
        <w:t xml:space="preserve"> </w:t>
      </w:r>
      <w:r w:rsidRPr="003C6924">
        <w:rPr>
          <w:rFonts w:eastAsia="宋体"/>
          <w:lang w:eastAsia="ar-SA" w:bidi="ar-SA"/>
        </w:rPr>
        <w:t>(1993)</w:t>
      </w:r>
      <w:r w:rsidR="00352E4D">
        <w:rPr>
          <w:rFonts w:eastAsia="宋体" w:hint="eastAsia"/>
          <w:lang w:eastAsia="zh-CN" w:bidi="ar-SA"/>
        </w:rPr>
        <w:t xml:space="preserve"> </w:t>
      </w:r>
      <w:r w:rsidRPr="003C6924">
        <w:rPr>
          <w:rFonts w:eastAsia="宋体"/>
          <w:lang w:eastAsia="ar-SA" w:bidi="ar-SA"/>
        </w:rPr>
        <w:t xml:space="preserve">found positive ascetic cytology in 12 % of patients with </w:t>
      </w:r>
      <w:proofErr w:type="spellStart"/>
      <w:r w:rsidRPr="003C6924">
        <w:rPr>
          <w:rFonts w:eastAsia="宋体"/>
          <w:lang w:eastAsia="ar-SA" w:bidi="ar-SA"/>
        </w:rPr>
        <w:t>hepatocellular</w:t>
      </w:r>
      <w:proofErr w:type="spellEnd"/>
      <w:r w:rsidRPr="003C6924">
        <w:rPr>
          <w:rFonts w:eastAsia="宋体"/>
          <w:lang w:eastAsia="ar-SA" w:bidi="ar-SA"/>
        </w:rPr>
        <w:t xml:space="preserve"> </w:t>
      </w:r>
      <w:proofErr w:type="spellStart"/>
      <w:proofErr w:type="gramStart"/>
      <w:r w:rsidRPr="003C6924">
        <w:rPr>
          <w:rFonts w:eastAsia="宋体"/>
          <w:lang w:eastAsia="ar-SA" w:bidi="ar-SA"/>
        </w:rPr>
        <w:t>carcinoma</w:t>
      </w:r>
      <w:r w:rsidR="00352E4D">
        <w:rPr>
          <w:rFonts w:eastAsia="宋体"/>
          <w:lang w:eastAsia="ar-SA" w:bidi="ar-SA"/>
        </w:rPr>
        <w:t>.</w:t>
      </w:r>
      <w:r w:rsidRPr="003C6924">
        <w:rPr>
          <w:rFonts w:eastAsia="宋体"/>
          <w:lang w:eastAsia="ar-SA" w:bidi="ar-SA"/>
        </w:rPr>
        <w:t>Also</w:t>
      </w:r>
      <w:proofErr w:type="spellEnd"/>
      <w:r w:rsidRPr="003C6924">
        <w:rPr>
          <w:rFonts w:eastAsia="宋体"/>
          <w:lang w:eastAsia="ar-SA" w:bidi="ar-SA"/>
        </w:rPr>
        <w:t>,</w:t>
      </w:r>
      <w:proofErr w:type="gramEnd"/>
      <w:r w:rsidRPr="003C6924">
        <w:rPr>
          <w:rFonts w:eastAsia="宋体"/>
          <w:lang w:eastAsia="ar-SA" w:bidi="ar-SA"/>
        </w:rPr>
        <w:t xml:space="preserve"> some investigators found 17 % of </w:t>
      </w:r>
      <w:proofErr w:type="spellStart"/>
      <w:r w:rsidRPr="003C6924">
        <w:rPr>
          <w:rFonts w:eastAsia="宋体"/>
          <w:lang w:eastAsia="ar-SA" w:bidi="ar-SA"/>
        </w:rPr>
        <w:t>ascitic</w:t>
      </w:r>
      <w:proofErr w:type="spellEnd"/>
      <w:r w:rsidRPr="003C6924">
        <w:rPr>
          <w:rFonts w:eastAsia="宋体"/>
          <w:lang w:eastAsia="ar-SA" w:bidi="ar-SA"/>
        </w:rPr>
        <w:t xml:space="preserve"> fluid aspirates proved positive for malignant cells (Karoo et al., 2003 &amp; </w:t>
      </w:r>
      <w:proofErr w:type="spellStart"/>
      <w:r w:rsidRPr="003C6924">
        <w:rPr>
          <w:rFonts w:eastAsia="宋体"/>
          <w:lang w:eastAsia="ar-SA" w:bidi="ar-SA"/>
        </w:rPr>
        <w:t>Sadek</w:t>
      </w:r>
      <w:proofErr w:type="spellEnd"/>
      <w:r w:rsidRPr="003C6924">
        <w:rPr>
          <w:rFonts w:eastAsia="宋体"/>
          <w:lang w:eastAsia="ar-SA" w:bidi="ar-SA"/>
        </w:rPr>
        <w:t xml:space="preserve"> et al., 1997)</w:t>
      </w:r>
      <w:r w:rsidR="00352E4D">
        <w:rPr>
          <w:rFonts w:eastAsia="宋体" w:hint="eastAsia"/>
          <w:lang w:eastAsia="zh-CN" w:bidi="ar-SA"/>
        </w:rPr>
        <w:t>.</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 xml:space="preserve">Earlier studies tried to approach the differential diagnosis of </w:t>
      </w:r>
      <w:proofErr w:type="spellStart"/>
      <w:r w:rsidRPr="003C6924">
        <w:rPr>
          <w:rFonts w:eastAsia="宋体"/>
          <w:lang w:eastAsia="ar-SA" w:bidi="ar-SA"/>
        </w:rPr>
        <w:t>ascites</w:t>
      </w:r>
      <w:proofErr w:type="spellEnd"/>
      <w:r w:rsidRPr="003C6924">
        <w:rPr>
          <w:rFonts w:eastAsia="宋体"/>
          <w:lang w:eastAsia="ar-SA" w:bidi="ar-SA"/>
        </w:rPr>
        <w:t xml:space="preserve"> based on the estimation of </w:t>
      </w:r>
      <w:proofErr w:type="spellStart"/>
      <w:r w:rsidRPr="003C6924">
        <w:rPr>
          <w:rFonts w:eastAsia="宋体"/>
          <w:lang w:eastAsia="ar-SA" w:bidi="ar-SA"/>
        </w:rPr>
        <w:t>ascitic</w:t>
      </w:r>
      <w:proofErr w:type="spellEnd"/>
      <w:r w:rsidRPr="003C6924">
        <w:rPr>
          <w:rFonts w:eastAsia="宋体"/>
          <w:lang w:eastAsia="ar-SA" w:bidi="ar-SA"/>
        </w:rPr>
        <w:t xml:space="preserve"> </w:t>
      </w:r>
      <w:proofErr w:type="gramStart"/>
      <w:r w:rsidRPr="003C6924">
        <w:rPr>
          <w:rFonts w:eastAsia="宋体"/>
          <w:lang w:eastAsia="ar-SA" w:bidi="ar-SA"/>
        </w:rPr>
        <w:lastRenderedPageBreak/>
        <w:t>fluid</w:t>
      </w:r>
      <w:proofErr w:type="gramEnd"/>
      <w:r w:rsidRPr="003C6924">
        <w:rPr>
          <w:rFonts w:eastAsia="宋体"/>
          <w:lang w:eastAsia="ar-SA" w:bidi="ar-SA"/>
        </w:rPr>
        <w:t xml:space="preserve"> and concentration of total protein (</w:t>
      </w:r>
      <w:proofErr w:type="spellStart"/>
      <w:r w:rsidRPr="003C6924">
        <w:rPr>
          <w:rFonts w:eastAsia="宋体"/>
          <w:lang w:eastAsia="ar-SA" w:bidi="ar-SA"/>
        </w:rPr>
        <w:t>Hoefs</w:t>
      </w:r>
      <w:proofErr w:type="spellEnd"/>
      <w:r w:rsidRPr="003C6924">
        <w:rPr>
          <w:rFonts w:eastAsia="宋体"/>
          <w:lang w:eastAsia="ar-SA" w:bidi="ar-SA"/>
        </w:rPr>
        <w:t>, 1981)</w:t>
      </w:r>
      <w:r w:rsidR="00352E4D">
        <w:rPr>
          <w:rFonts w:eastAsia="宋体"/>
          <w:lang w:eastAsia="ar-SA" w:bidi="ar-SA"/>
        </w:rPr>
        <w:t>.</w:t>
      </w:r>
      <w:r w:rsidRPr="003C6924">
        <w:rPr>
          <w:rFonts w:eastAsia="宋体"/>
          <w:lang w:eastAsia="ar-SA" w:bidi="ar-SA"/>
        </w:rPr>
        <w:t xml:space="preserve">serum </w:t>
      </w:r>
      <w:proofErr w:type="spellStart"/>
      <w:r w:rsidRPr="003C6924">
        <w:rPr>
          <w:rFonts w:eastAsia="宋体"/>
          <w:lang w:eastAsia="ar-SA" w:bidi="ar-SA"/>
        </w:rPr>
        <w:t>ascites</w:t>
      </w:r>
      <w:proofErr w:type="spellEnd"/>
      <w:r w:rsidRPr="003C6924">
        <w:rPr>
          <w:rFonts w:eastAsia="宋体"/>
          <w:lang w:eastAsia="ar-SA" w:bidi="ar-SA"/>
        </w:rPr>
        <w:t xml:space="preserve"> albumin gradient (SAAG) was found to be superior over </w:t>
      </w:r>
      <w:proofErr w:type="spellStart"/>
      <w:r w:rsidRPr="003C6924">
        <w:rPr>
          <w:rFonts w:eastAsia="宋体"/>
          <w:lang w:eastAsia="ar-SA" w:bidi="ar-SA"/>
        </w:rPr>
        <w:t>ascites</w:t>
      </w:r>
      <w:proofErr w:type="spellEnd"/>
      <w:r w:rsidRPr="003C6924">
        <w:rPr>
          <w:rFonts w:eastAsia="宋体"/>
          <w:lang w:eastAsia="ar-SA" w:bidi="ar-SA"/>
        </w:rPr>
        <w:t xml:space="preserve"> total protein concentration in the separation of "</w:t>
      </w:r>
      <w:proofErr w:type="spellStart"/>
      <w:r w:rsidRPr="003C6924">
        <w:rPr>
          <w:rFonts w:eastAsia="宋体"/>
          <w:lang w:eastAsia="ar-SA" w:bidi="ar-SA"/>
        </w:rPr>
        <w:t>transudative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(portal hypertension) and "</w:t>
      </w:r>
      <w:proofErr w:type="spellStart"/>
      <w:r w:rsidRPr="003C6924">
        <w:rPr>
          <w:rFonts w:eastAsia="宋体"/>
          <w:lang w:eastAsia="ar-SA" w:bidi="ar-SA"/>
        </w:rPr>
        <w:t>exudative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"(non-portal hypertension) (Runyon et al., 1992 &amp; </w:t>
      </w:r>
      <w:proofErr w:type="spellStart"/>
      <w:r w:rsidRPr="003C6924">
        <w:rPr>
          <w:rFonts w:eastAsia="宋体"/>
          <w:lang w:eastAsia="ar-SA" w:bidi="ar-SA"/>
        </w:rPr>
        <w:t>Leksrisakul</w:t>
      </w:r>
      <w:proofErr w:type="spellEnd"/>
      <w:r w:rsidRPr="003C6924">
        <w:rPr>
          <w:rFonts w:eastAsia="宋体"/>
          <w:lang w:eastAsia="ar-SA" w:bidi="ar-SA"/>
        </w:rPr>
        <w:t xml:space="preserve"> et al., 2001). Lactate </w:t>
      </w:r>
      <w:proofErr w:type="spellStart"/>
      <w:r w:rsidRPr="003C6924">
        <w:rPr>
          <w:rFonts w:eastAsia="宋体"/>
          <w:lang w:eastAsia="ar-SA" w:bidi="ar-SA"/>
        </w:rPr>
        <w:t>dehydrogenase</w:t>
      </w:r>
      <w:proofErr w:type="spellEnd"/>
      <w:r w:rsidRPr="003C6924">
        <w:rPr>
          <w:rFonts w:eastAsia="宋体"/>
          <w:lang w:eastAsia="ar-SA" w:bidi="ar-SA"/>
        </w:rPr>
        <w:t xml:space="preserve"> enzyme and LDH </w:t>
      </w:r>
      <w:proofErr w:type="spellStart"/>
      <w:r w:rsidRPr="003C6924">
        <w:rPr>
          <w:rFonts w:eastAsia="宋体"/>
          <w:lang w:eastAsia="ar-SA" w:bidi="ar-SA"/>
        </w:rPr>
        <w:t>isoenzymes</w:t>
      </w:r>
      <w:proofErr w:type="spellEnd"/>
      <w:r w:rsidRPr="003C6924">
        <w:rPr>
          <w:rFonts w:eastAsia="宋体"/>
          <w:lang w:eastAsia="ar-SA" w:bidi="ar-SA"/>
        </w:rPr>
        <w:t xml:space="preserve"> </w:t>
      </w:r>
      <w:proofErr w:type="spellStart"/>
      <w:r w:rsidRPr="003C6924">
        <w:rPr>
          <w:rFonts w:eastAsia="宋体"/>
          <w:lang w:eastAsia="ar-SA" w:bidi="ar-SA"/>
        </w:rPr>
        <w:t>my</w:t>
      </w:r>
      <w:proofErr w:type="spellEnd"/>
      <w:r w:rsidRPr="003C6924">
        <w:rPr>
          <w:rFonts w:eastAsia="宋体"/>
          <w:lang w:eastAsia="ar-SA" w:bidi="ar-SA"/>
        </w:rPr>
        <w:t xml:space="preserve"> be useful in differential diagnosis since tissue damage release </w:t>
      </w:r>
      <w:proofErr w:type="spellStart"/>
      <w:r w:rsidRPr="003C6924">
        <w:rPr>
          <w:rFonts w:eastAsia="宋体"/>
          <w:lang w:eastAsia="ar-SA" w:bidi="ar-SA"/>
        </w:rPr>
        <w:t>isoenzymes</w:t>
      </w:r>
      <w:proofErr w:type="spellEnd"/>
      <w:r w:rsidRPr="003C6924">
        <w:rPr>
          <w:rFonts w:eastAsia="宋体"/>
          <w:lang w:eastAsia="ar-SA" w:bidi="ar-SA"/>
        </w:rPr>
        <w:t xml:space="preserve"> contained therein, leading to a change in their pattern (Moss and Henderson, 1996 &amp; </w:t>
      </w:r>
      <w:proofErr w:type="spellStart"/>
      <w:r w:rsidRPr="003C6924">
        <w:rPr>
          <w:rFonts w:eastAsia="宋体"/>
          <w:lang w:eastAsia="ar-SA" w:bidi="ar-SA"/>
        </w:rPr>
        <w:t>Paavonen</w:t>
      </w:r>
      <w:proofErr w:type="spellEnd"/>
      <w:r w:rsidRPr="003C6924">
        <w:rPr>
          <w:rFonts w:eastAsia="宋体"/>
          <w:lang w:eastAsia="ar-SA" w:bidi="ar-SA"/>
        </w:rPr>
        <w:t xml:space="preserve"> et al., 1991).</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 xml:space="preserve">Alkaline phosphates ALP of liver origin can be increased in serum during liver disease. As general rule, the degree of ALP elevation reflects the severity of obstruction and the amount of </w:t>
      </w:r>
      <w:proofErr w:type="spellStart"/>
      <w:r w:rsidRPr="003C6924">
        <w:rPr>
          <w:rFonts w:eastAsia="宋体"/>
          <w:lang w:eastAsia="ar-SA" w:bidi="ar-SA"/>
        </w:rPr>
        <w:t>biliary</w:t>
      </w:r>
      <w:proofErr w:type="spellEnd"/>
      <w:r w:rsidRPr="003C6924">
        <w:rPr>
          <w:rFonts w:eastAsia="宋体"/>
          <w:lang w:eastAsia="ar-SA" w:bidi="ar-SA"/>
        </w:rPr>
        <w:t xml:space="preserve"> tissue involved.</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 xml:space="preserve">Other non-invasive diagnostic test (ADA) have been recently introduced, the </w:t>
      </w:r>
      <w:proofErr w:type="spellStart"/>
      <w:r w:rsidRPr="003C6924">
        <w:rPr>
          <w:rFonts w:eastAsia="宋体"/>
          <w:lang w:eastAsia="ar-SA" w:bidi="ar-SA"/>
        </w:rPr>
        <w:t>measurment</w:t>
      </w:r>
      <w:proofErr w:type="spellEnd"/>
      <w:r w:rsidRPr="003C6924">
        <w:rPr>
          <w:rFonts w:eastAsia="宋体"/>
          <w:lang w:eastAsia="ar-SA" w:bidi="ar-SA"/>
        </w:rPr>
        <w:t xml:space="preserve"> of ADA in </w:t>
      </w:r>
      <w:proofErr w:type="spellStart"/>
      <w:r w:rsidRPr="003C6924">
        <w:rPr>
          <w:rFonts w:eastAsia="宋体"/>
          <w:lang w:eastAsia="ar-SA" w:bidi="ar-SA"/>
        </w:rPr>
        <w:t>ascitic</w:t>
      </w:r>
      <w:proofErr w:type="spellEnd"/>
      <w:r w:rsidRPr="003C6924">
        <w:rPr>
          <w:rFonts w:eastAsia="宋体"/>
          <w:lang w:eastAsia="ar-SA" w:bidi="ar-SA"/>
        </w:rPr>
        <w:t xml:space="preserve"> fluid could be used as a useful screening test for TB (</w:t>
      </w:r>
      <w:proofErr w:type="spellStart"/>
      <w:r w:rsidRPr="003C6924">
        <w:rPr>
          <w:rFonts w:eastAsia="宋体"/>
          <w:lang w:eastAsia="ar-SA" w:bidi="ar-SA"/>
        </w:rPr>
        <w:t>Viot</w:t>
      </w:r>
      <w:proofErr w:type="spellEnd"/>
      <w:r w:rsidRPr="003C6924">
        <w:rPr>
          <w:rFonts w:eastAsia="宋体"/>
          <w:lang w:eastAsia="ar-SA" w:bidi="ar-SA"/>
        </w:rPr>
        <w:t xml:space="preserve"> et al., 1989 and Gupta et al., 1992).</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A great requirement exists for the specific and sensitive identification of M. tuberculosis by using PCR. PCR technique has the potential to be useful in the detection of very low number of microorganisms as occur in samples from patients with tuberculosis (Villegas et al., 2000</w:t>
      </w:r>
      <w:r w:rsidR="008C555C" w:rsidRPr="003C6924">
        <w:rPr>
          <w:rFonts w:eastAsia="宋体"/>
          <w:lang w:eastAsia="ar-SA" w:bidi="ar-SA"/>
        </w:rPr>
        <w:t xml:space="preserve"> &amp; </w:t>
      </w:r>
      <w:r w:rsidR="00B95E03" w:rsidRPr="003C6924">
        <w:rPr>
          <w:rFonts w:eastAsia="宋体"/>
          <w:lang w:eastAsia="ar-SA" w:bidi="ar-SA"/>
        </w:rPr>
        <w:t xml:space="preserve">Byrnes and Chopra, </w:t>
      </w:r>
      <w:r w:rsidR="00C45FDD" w:rsidRPr="003C6924">
        <w:rPr>
          <w:rFonts w:eastAsia="宋体"/>
          <w:lang w:eastAsia="ar-SA" w:bidi="ar-SA"/>
        </w:rPr>
        <w:t>2014):</w:t>
      </w:r>
      <w:r w:rsidRPr="003C6924">
        <w:rPr>
          <w:rFonts w:eastAsia="宋体"/>
          <w:lang w:eastAsia="ar-SA" w:bidi="ar-SA"/>
        </w:rPr>
        <w:t xml:space="preserve"> however it is expensive and relies on sophisticated equipment.</w:t>
      </w:r>
    </w:p>
    <w:p w:rsidR="00C2191F" w:rsidRPr="003C6924" w:rsidRDefault="00C2191F" w:rsidP="003C6924">
      <w:pPr>
        <w:suppressAutoHyphens/>
        <w:snapToGrid w:val="0"/>
        <w:ind w:right="0" w:firstLine="425"/>
        <w:jc w:val="both"/>
        <w:rPr>
          <w:rFonts w:eastAsia="宋体"/>
          <w:lang w:eastAsia="ar-SA" w:bidi="ar-SA"/>
        </w:rPr>
      </w:pPr>
      <w:r w:rsidRPr="003C6924">
        <w:rPr>
          <w:rFonts w:eastAsia="宋体"/>
          <w:lang w:eastAsia="ar-SA" w:bidi="ar-SA"/>
        </w:rPr>
        <w:t xml:space="preserve">The aim of the present work is to study some biochemical parameters namely protein, albumin gradient, Lactate </w:t>
      </w:r>
      <w:proofErr w:type="spellStart"/>
      <w:r w:rsidRPr="003C6924">
        <w:rPr>
          <w:rFonts w:eastAsia="宋体"/>
          <w:lang w:eastAsia="ar-SA" w:bidi="ar-SA"/>
        </w:rPr>
        <w:t>dehydrogenase</w:t>
      </w:r>
      <w:proofErr w:type="spellEnd"/>
      <w:r w:rsidRPr="003C6924">
        <w:rPr>
          <w:rFonts w:eastAsia="宋体"/>
          <w:lang w:eastAsia="ar-SA" w:bidi="ar-SA"/>
        </w:rPr>
        <w:t xml:space="preserve"> (LDH), Alkaline </w:t>
      </w:r>
      <w:proofErr w:type="spellStart"/>
      <w:r w:rsidRPr="003C6924">
        <w:rPr>
          <w:rFonts w:eastAsia="宋体"/>
          <w:lang w:eastAsia="ar-SA" w:bidi="ar-SA"/>
        </w:rPr>
        <w:t>Phosphatase</w:t>
      </w:r>
      <w:proofErr w:type="spellEnd"/>
      <w:r w:rsidRPr="003C6924">
        <w:rPr>
          <w:rFonts w:eastAsia="宋体"/>
          <w:lang w:eastAsia="ar-SA" w:bidi="ar-SA"/>
        </w:rPr>
        <w:t xml:space="preserve"> (ALP) and their </w:t>
      </w:r>
      <w:proofErr w:type="spellStart"/>
      <w:r w:rsidRPr="003C6924">
        <w:rPr>
          <w:rFonts w:eastAsia="宋体"/>
          <w:lang w:eastAsia="ar-SA" w:bidi="ar-SA"/>
        </w:rPr>
        <w:t>isoenzymes</w:t>
      </w:r>
      <w:proofErr w:type="spellEnd"/>
      <w:r w:rsidRPr="003C6924">
        <w:rPr>
          <w:rFonts w:eastAsia="宋体"/>
          <w:lang w:eastAsia="ar-SA" w:bidi="ar-SA"/>
        </w:rPr>
        <w:t xml:space="preserve">, Adenosine </w:t>
      </w:r>
      <w:proofErr w:type="spellStart"/>
      <w:r w:rsidRPr="003C6924">
        <w:rPr>
          <w:rFonts w:eastAsia="宋体"/>
          <w:lang w:eastAsia="ar-SA" w:bidi="ar-SA"/>
        </w:rPr>
        <w:t>Deaminase</w:t>
      </w:r>
      <w:proofErr w:type="spellEnd"/>
      <w:r w:rsidRPr="003C6924">
        <w:rPr>
          <w:rFonts w:eastAsia="宋体"/>
          <w:lang w:eastAsia="ar-SA" w:bidi="ar-SA"/>
        </w:rPr>
        <w:t xml:space="preserve"> activity ADA, </w:t>
      </w:r>
      <w:proofErr w:type="spellStart"/>
      <w:r w:rsidRPr="003C6924">
        <w:rPr>
          <w:rFonts w:eastAsia="宋体"/>
          <w:lang w:eastAsia="ar-SA" w:bidi="ar-SA"/>
        </w:rPr>
        <w:t>turmor</w:t>
      </w:r>
      <w:proofErr w:type="spellEnd"/>
      <w:r w:rsidRPr="003C6924">
        <w:rPr>
          <w:rFonts w:eastAsia="宋体"/>
          <w:lang w:eastAsia="ar-SA" w:bidi="ar-SA"/>
        </w:rPr>
        <w:t xml:space="preserve"> markers Alpha-fetoprotein</w:t>
      </w:r>
      <w:r w:rsidR="00352E4D">
        <w:rPr>
          <w:rFonts w:eastAsia="宋体" w:hint="eastAsia"/>
          <w:lang w:eastAsia="zh-CN" w:bidi="ar-SA"/>
        </w:rPr>
        <w:t xml:space="preserve"> </w:t>
      </w:r>
      <w:r w:rsidRPr="003C6924">
        <w:rPr>
          <w:rFonts w:eastAsia="宋体"/>
          <w:lang w:eastAsia="ar-SA" w:bidi="ar-SA"/>
        </w:rPr>
        <w:t xml:space="preserve">(AFP), </w:t>
      </w:r>
      <w:proofErr w:type="spellStart"/>
      <w:r w:rsidRPr="003C6924">
        <w:rPr>
          <w:rFonts w:eastAsia="宋体"/>
          <w:lang w:eastAsia="ar-SA" w:bidi="ar-SA"/>
        </w:rPr>
        <w:t>Carcinoembryonic</w:t>
      </w:r>
      <w:proofErr w:type="spellEnd"/>
      <w:r w:rsidRPr="003C6924">
        <w:rPr>
          <w:rFonts w:eastAsia="宋体"/>
          <w:lang w:eastAsia="ar-SA" w:bidi="ar-SA"/>
        </w:rPr>
        <w:t xml:space="preserve"> antigen (CEA), DNA determination, besides bacterial and cytological examination to evaluate these parameters in both serum and </w:t>
      </w:r>
      <w:proofErr w:type="spellStart"/>
      <w:r w:rsidRPr="003C6924">
        <w:rPr>
          <w:rFonts w:eastAsia="宋体"/>
          <w:lang w:eastAsia="ar-SA" w:bidi="ar-SA"/>
        </w:rPr>
        <w:t>ascitic</w:t>
      </w:r>
      <w:proofErr w:type="spellEnd"/>
      <w:r w:rsidRPr="003C6924">
        <w:rPr>
          <w:rFonts w:eastAsia="宋体"/>
          <w:lang w:eastAsia="ar-SA" w:bidi="ar-SA"/>
        </w:rPr>
        <w:t xml:space="preserve"> fluid to differentiate between tuberculosis and non- tuberculosis patients (liver cirrhosis and malignant).</w:t>
      </w:r>
    </w:p>
    <w:p w:rsidR="00C80907" w:rsidRPr="003C6924" w:rsidRDefault="00C80907" w:rsidP="003C6924">
      <w:pPr>
        <w:suppressAutoHyphens/>
        <w:snapToGrid w:val="0"/>
        <w:ind w:right="0" w:firstLine="0"/>
        <w:jc w:val="both"/>
        <w:rPr>
          <w:rFonts w:eastAsia="宋体"/>
          <w:b/>
          <w:lang w:eastAsia="ar-SA" w:bidi="ar-SA"/>
        </w:rPr>
      </w:pPr>
    </w:p>
    <w:p w:rsidR="00C4599F" w:rsidRPr="003C6924" w:rsidRDefault="00C80907" w:rsidP="003C6924">
      <w:pPr>
        <w:suppressAutoHyphens/>
        <w:snapToGrid w:val="0"/>
        <w:ind w:right="0" w:firstLine="0"/>
        <w:jc w:val="both"/>
        <w:rPr>
          <w:rFonts w:eastAsia="宋体"/>
          <w:b/>
          <w:lang w:eastAsia="ar-SA" w:bidi="ar-SA"/>
        </w:rPr>
      </w:pPr>
      <w:proofErr w:type="gramStart"/>
      <w:r w:rsidRPr="003C6924">
        <w:rPr>
          <w:rFonts w:eastAsia="宋体"/>
          <w:b/>
          <w:lang w:eastAsia="ar-SA" w:bidi="ar-SA"/>
        </w:rPr>
        <w:t>2.</w:t>
      </w:r>
      <w:r w:rsidR="005E3036" w:rsidRPr="003C6924">
        <w:rPr>
          <w:rFonts w:eastAsia="宋体"/>
          <w:b/>
          <w:lang w:eastAsia="ar-SA" w:bidi="ar-SA"/>
        </w:rPr>
        <w:t>Patients</w:t>
      </w:r>
      <w:proofErr w:type="gramEnd"/>
      <w:r w:rsidR="00C4599F" w:rsidRPr="003C6924">
        <w:rPr>
          <w:rFonts w:eastAsia="宋体"/>
          <w:b/>
          <w:lang w:eastAsia="ar-SA" w:bidi="ar-SA"/>
        </w:rPr>
        <w:t xml:space="preserve"> &amp; methods</w:t>
      </w:r>
    </w:p>
    <w:p w:rsidR="00F037E4" w:rsidRPr="003C6924" w:rsidRDefault="0020149B" w:rsidP="003C6924">
      <w:pPr>
        <w:suppressAutoHyphens/>
        <w:snapToGrid w:val="0"/>
        <w:ind w:right="0" w:firstLine="425"/>
        <w:jc w:val="both"/>
        <w:rPr>
          <w:rFonts w:eastAsia="宋体"/>
          <w:lang w:eastAsia="ar-SA" w:bidi="ar-SA"/>
        </w:rPr>
      </w:pPr>
      <w:r w:rsidRPr="003C6924">
        <w:rPr>
          <w:rFonts w:eastAsia="宋体"/>
          <w:lang w:eastAsia="ar-SA" w:bidi="ar-SA"/>
        </w:rPr>
        <w:t xml:space="preserve">Seventy </w:t>
      </w:r>
      <w:proofErr w:type="gramStart"/>
      <w:r w:rsidR="00471AFD" w:rsidRPr="003C6924">
        <w:rPr>
          <w:rFonts w:eastAsia="宋体"/>
          <w:lang w:eastAsia="ar-SA" w:bidi="ar-SA"/>
        </w:rPr>
        <w:t>The</w:t>
      </w:r>
      <w:proofErr w:type="gramEnd"/>
      <w:r w:rsidR="00471AFD" w:rsidRPr="003C6924">
        <w:rPr>
          <w:rFonts w:eastAsia="宋体"/>
          <w:lang w:eastAsia="ar-SA" w:bidi="ar-SA"/>
        </w:rPr>
        <w:t xml:space="preserve"> study was performed on 70 patients with </w:t>
      </w:r>
      <w:proofErr w:type="spellStart"/>
      <w:r w:rsidR="00471AFD" w:rsidRPr="003C6924">
        <w:rPr>
          <w:rFonts w:eastAsia="宋体"/>
          <w:lang w:eastAsia="ar-SA" w:bidi="ar-SA"/>
        </w:rPr>
        <w:t>ascites</w:t>
      </w:r>
      <w:proofErr w:type="spellEnd"/>
      <w:r w:rsidR="00471AFD" w:rsidRPr="003C6924">
        <w:rPr>
          <w:rFonts w:eastAsia="宋体"/>
          <w:lang w:eastAsia="ar-SA" w:bidi="ar-SA"/>
        </w:rPr>
        <w:t xml:space="preserve"> (30 patients with malignant </w:t>
      </w:r>
      <w:proofErr w:type="spellStart"/>
      <w:r w:rsidR="00471AFD" w:rsidRPr="003C6924">
        <w:rPr>
          <w:rFonts w:eastAsia="宋体"/>
          <w:lang w:eastAsia="ar-SA" w:bidi="ar-SA"/>
        </w:rPr>
        <w:t>ascites</w:t>
      </w:r>
      <w:proofErr w:type="spellEnd"/>
      <w:r w:rsidR="00471AFD" w:rsidRPr="003C6924">
        <w:rPr>
          <w:rFonts w:eastAsia="宋体"/>
          <w:lang w:eastAsia="ar-SA" w:bidi="ar-SA"/>
        </w:rPr>
        <w:t xml:space="preserve"> and 40 patients with non-malignant </w:t>
      </w:r>
      <w:proofErr w:type="spellStart"/>
      <w:r w:rsidR="00471AFD" w:rsidRPr="003C6924">
        <w:rPr>
          <w:rFonts w:eastAsia="宋体"/>
          <w:lang w:eastAsia="ar-SA" w:bidi="ar-SA"/>
        </w:rPr>
        <w:t>ascites</w:t>
      </w:r>
      <w:proofErr w:type="spellEnd"/>
      <w:r w:rsidR="00471AFD" w:rsidRPr="003C6924">
        <w:rPr>
          <w:rFonts w:eastAsia="宋体"/>
          <w:lang w:eastAsia="ar-SA" w:bidi="ar-SA"/>
        </w:rPr>
        <w:t xml:space="preserve">). Patients with malignant </w:t>
      </w:r>
      <w:proofErr w:type="spellStart"/>
      <w:r w:rsidR="00471AFD" w:rsidRPr="003C6924">
        <w:rPr>
          <w:rFonts w:eastAsia="宋体"/>
          <w:lang w:eastAsia="ar-SA" w:bidi="ar-SA"/>
        </w:rPr>
        <w:t>ascites</w:t>
      </w:r>
      <w:proofErr w:type="spellEnd"/>
      <w:r w:rsidR="00471AFD" w:rsidRPr="003C6924">
        <w:rPr>
          <w:rFonts w:eastAsia="宋体"/>
          <w:lang w:eastAsia="ar-SA" w:bidi="ar-SA"/>
        </w:rPr>
        <w:t xml:space="preserve"> were presenting to the outpatient clinic of Medical Oncology Unit of the National Cancer Institute, Cairo University. While patients</w:t>
      </w:r>
      <w:r w:rsidR="00352E4D">
        <w:rPr>
          <w:rFonts w:eastAsia="宋体"/>
          <w:lang w:eastAsia="ar-SA" w:bidi="ar-SA"/>
        </w:rPr>
        <w:t xml:space="preserve"> </w:t>
      </w:r>
      <w:r w:rsidR="00471AFD" w:rsidRPr="003C6924">
        <w:rPr>
          <w:rFonts w:eastAsia="宋体"/>
          <w:lang w:eastAsia="ar-SA" w:bidi="ar-SA"/>
        </w:rPr>
        <w:t xml:space="preserve">with liver cirrhosis and tuberculosis peritonitis were recruited from </w:t>
      </w:r>
      <w:proofErr w:type="spellStart"/>
      <w:r w:rsidR="00471AFD" w:rsidRPr="003C6924">
        <w:rPr>
          <w:rFonts w:eastAsia="宋体"/>
          <w:lang w:eastAsia="ar-SA" w:bidi="ar-SA"/>
        </w:rPr>
        <w:t>Hepatology</w:t>
      </w:r>
      <w:proofErr w:type="spellEnd"/>
      <w:r w:rsidR="00471AFD" w:rsidRPr="003C6924">
        <w:rPr>
          <w:rFonts w:eastAsia="宋体"/>
          <w:lang w:eastAsia="ar-SA" w:bidi="ar-SA"/>
        </w:rPr>
        <w:t xml:space="preserve"> unit, </w:t>
      </w:r>
      <w:proofErr w:type="spellStart"/>
      <w:r w:rsidR="00471AFD" w:rsidRPr="003C6924">
        <w:rPr>
          <w:rFonts w:eastAsia="宋体"/>
          <w:lang w:eastAsia="ar-SA" w:bidi="ar-SA"/>
        </w:rPr>
        <w:t>Kaser</w:t>
      </w:r>
      <w:proofErr w:type="spellEnd"/>
      <w:r w:rsidR="00471AFD" w:rsidRPr="003C6924">
        <w:rPr>
          <w:rFonts w:eastAsia="宋体"/>
          <w:lang w:eastAsia="ar-SA" w:bidi="ar-SA"/>
        </w:rPr>
        <w:t xml:space="preserve"> El </w:t>
      </w:r>
      <w:proofErr w:type="spellStart"/>
      <w:r w:rsidR="00471AFD" w:rsidRPr="003C6924">
        <w:rPr>
          <w:rFonts w:eastAsia="宋体"/>
          <w:lang w:eastAsia="ar-SA" w:bidi="ar-SA"/>
        </w:rPr>
        <w:t>Ani</w:t>
      </w:r>
      <w:proofErr w:type="spellEnd"/>
      <w:r w:rsidR="00471AFD" w:rsidRPr="003C6924">
        <w:rPr>
          <w:rFonts w:eastAsia="宋体"/>
          <w:lang w:eastAsia="ar-SA" w:bidi="ar-SA"/>
        </w:rPr>
        <w:t xml:space="preserve">, Cairo University and their ages range (30–60 years). </w:t>
      </w:r>
      <w:proofErr w:type="gramStart"/>
      <w:r w:rsidR="00471AFD" w:rsidRPr="003C6924">
        <w:rPr>
          <w:rFonts w:eastAsia="宋体"/>
          <w:lang w:eastAsia="ar-SA" w:bidi="ar-SA"/>
        </w:rPr>
        <w:t>Besides 20 healthy individuals were included as healthy control group.</w:t>
      </w:r>
      <w:proofErr w:type="gramEnd"/>
      <w:r w:rsidR="00471AFD" w:rsidRPr="003C6924">
        <w:rPr>
          <w:rFonts w:eastAsia="宋体"/>
          <w:lang w:eastAsia="ar-SA" w:bidi="ar-SA"/>
        </w:rPr>
        <w:t xml:space="preserve"> </w:t>
      </w:r>
      <w:proofErr w:type="gramStart"/>
      <w:r w:rsidR="00471AFD" w:rsidRPr="003C6924">
        <w:rPr>
          <w:rFonts w:eastAsia="宋体"/>
          <w:lang w:eastAsia="ar-SA" w:bidi="ar-SA"/>
        </w:rPr>
        <w:t>their</w:t>
      </w:r>
      <w:proofErr w:type="gramEnd"/>
      <w:r w:rsidR="00471AFD" w:rsidRPr="003C6924">
        <w:rPr>
          <w:rFonts w:eastAsia="宋体"/>
          <w:lang w:eastAsia="ar-SA" w:bidi="ar-SA"/>
        </w:rPr>
        <w:t xml:space="preserve"> ages ranged (27-50 years).</w:t>
      </w:r>
    </w:p>
    <w:p w:rsidR="00F037E4" w:rsidRPr="003C6924" w:rsidRDefault="00F037E4" w:rsidP="003C6924">
      <w:pPr>
        <w:suppressAutoHyphens/>
        <w:snapToGrid w:val="0"/>
        <w:ind w:right="0" w:firstLine="425"/>
        <w:jc w:val="both"/>
        <w:rPr>
          <w:rFonts w:eastAsia="宋体"/>
          <w:lang w:eastAsia="ar-SA" w:bidi="ar-SA"/>
        </w:rPr>
      </w:pPr>
      <w:r w:rsidRPr="003C6924">
        <w:rPr>
          <w:rFonts w:eastAsia="宋体"/>
          <w:lang w:eastAsia="ar-SA" w:bidi="ar-SA"/>
        </w:rPr>
        <w:t xml:space="preserve">The following investigations were carried out in the serum and </w:t>
      </w:r>
      <w:proofErr w:type="spellStart"/>
      <w:r w:rsidRPr="003C6924">
        <w:rPr>
          <w:rFonts w:eastAsia="宋体"/>
          <w:lang w:eastAsia="ar-SA" w:bidi="ar-SA"/>
        </w:rPr>
        <w:t>ascitic</w:t>
      </w:r>
      <w:proofErr w:type="spellEnd"/>
      <w:r w:rsidRPr="003C6924">
        <w:rPr>
          <w:rFonts w:eastAsia="宋体"/>
          <w:lang w:eastAsia="ar-SA" w:bidi="ar-SA"/>
        </w:rPr>
        <w:t xml:space="preserve"> fluid samples:-</w:t>
      </w:r>
    </w:p>
    <w:p w:rsidR="00F037E4" w:rsidRPr="003C6924" w:rsidRDefault="00F037E4" w:rsidP="003C6924">
      <w:pPr>
        <w:suppressAutoHyphens/>
        <w:snapToGrid w:val="0"/>
        <w:ind w:right="0" w:firstLine="425"/>
        <w:jc w:val="both"/>
        <w:rPr>
          <w:rFonts w:eastAsia="宋体"/>
          <w:lang w:eastAsia="ar-SA" w:bidi="ar-SA"/>
        </w:rPr>
      </w:pPr>
      <w:proofErr w:type="gramStart"/>
      <w:r w:rsidRPr="003C6924">
        <w:rPr>
          <w:rFonts w:eastAsia="宋体"/>
          <w:lang w:eastAsia="ar-SA" w:bidi="ar-SA"/>
        </w:rPr>
        <w:lastRenderedPageBreak/>
        <w:t>Total Protein (T.P).</w:t>
      </w:r>
      <w:proofErr w:type="gramEnd"/>
      <w:r w:rsidRPr="003C6924">
        <w:rPr>
          <w:rFonts w:eastAsia="宋体"/>
          <w:lang w:eastAsia="ar-SA" w:bidi="ar-SA"/>
        </w:rPr>
        <w:t xml:space="preserve"> </w:t>
      </w:r>
      <w:proofErr w:type="gramStart"/>
      <w:r w:rsidRPr="003C6924">
        <w:rPr>
          <w:rFonts w:eastAsia="宋体"/>
          <w:lang w:eastAsia="ar-SA" w:bidi="ar-SA"/>
        </w:rPr>
        <w:t>Albumin (Alb).</w:t>
      </w:r>
      <w:proofErr w:type="gramEnd"/>
      <w:r w:rsidRPr="003C6924">
        <w:rPr>
          <w:rFonts w:eastAsia="宋体"/>
          <w:lang w:eastAsia="ar-SA" w:bidi="ar-SA"/>
        </w:rPr>
        <w:t xml:space="preserve"> </w:t>
      </w:r>
      <w:proofErr w:type="gramStart"/>
      <w:r w:rsidRPr="003C6924">
        <w:rPr>
          <w:rFonts w:eastAsia="宋体"/>
          <w:lang w:eastAsia="ar-SA" w:bidi="ar-SA"/>
        </w:rPr>
        <w:t>The serum-</w:t>
      </w:r>
      <w:proofErr w:type="spellStart"/>
      <w:r w:rsidRPr="003C6924">
        <w:rPr>
          <w:rFonts w:eastAsia="宋体"/>
          <w:lang w:eastAsia="ar-SA" w:bidi="ar-SA"/>
        </w:rPr>
        <w:t>ascites</w:t>
      </w:r>
      <w:proofErr w:type="spellEnd"/>
      <w:r w:rsidRPr="003C6924">
        <w:rPr>
          <w:rFonts w:eastAsia="宋体"/>
          <w:lang w:eastAsia="ar-SA" w:bidi="ar-SA"/>
        </w:rPr>
        <w:t xml:space="preserve"> albumin concentration gradient (SAAG).</w:t>
      </w:r>
      <w:proofErr w:type="gramEnd"/>
      <w:r w:rsidRPr="003C6924">
        <w:rPr>
          <w:rFonts w:eastAsia="宋体"/>
          <w:lang w:eastAsia="ar-SA" w:bidi="ar-SA"/>
        </w:rPr>
        <w:t xml:space="preserve"> </w:t>
      </w:r>
      <w:proofErr w:type="gramStart"/>
      <w:r w:rsidRPr="003C6924">
        <w:rPr>
          <w:rFonts w:eastAsia="宋体"/>
          <w:lang w:eastAsia="ar-SA" w:bidi="ar-SA"/>
        </w:rPr>
        <w:t xml:space="preserve">Cholesterol concentrations, Adenosine </w:t>
      </w:r>
      <w:proofErr w:type="spellStart"/>
      <w:r w:rsidRPr="003C6924">
        <w:rPr>
          <w:rFonts w:eastAsia="宋体"/>
          <w:lang w:eastAsia="ar-SA" w:bidi="ar-SA"/>
        </w:rPr>
        <w:t>deaminase</w:t>
      </w:r>
      <w:proofErr w:type="spellEnd"/>
      <w:r w:rsidRPr="003C6924">
        <w:rPr>
          <w:rFonts w:eastAsia="宋体"/>
          <w:lang w:eastAsia="ar-SA" w:bidi="ar-SA"/>
        </w:rPr>
        <w:t xml:space="preserve"> (ADA) activities.</w:t>
      </w:r>
      <w:proofErr w:type="gramEnd"/>
      <w:r w:rsidRPr="003C6924">
        <w:rPr>
          <w:rFonts w:eastAsia="宋体"/>
          <w:lang w:eastAsia="ar-SA" w:bidi="ar-SA"/>
        </w:rPr>
        <w:t xml:space="preserve"> </w:t>
      </w:r>
      <w:proofErr w:type="gramStart"/>
      <w:r w:rsidRPr="003C6924">
        <w:rPr>
          <w:rFonts w:eastAsia="宋体"/>
          <w:lang w:eastAsia="ar-SA" w:bidi="ar-SA"/>
        </w:rPr>
        <w:t xml:space="preserve">Alpha Fetoprotein (AFP) concentrations </w:t>
      </w:r>
      <w:proofErr w:type="spellStart"/>
      <w:r w:rsidRPr="003C6924">
        <w:rPr>
          <w:rFonts w:eastAsia="宋体"/>
          <w:lang w:eastAsia="ar-SA" w:bidi="ar-SA"/>
        </w:rPr>
        <w:t>Carcinoembryonic</w:t>
      </w:r>
      <w:proofErr w:type="spellEnd"/>
      <w:r w:rsidRPr="003C6924">
        <w:rPr>
          <w:rFonts w:eastAsia="宋体"/>
          <w:lang w:eastAsia="ar-SA" w:bidi="ar-SA"/>
        </w:rPr>
        <w:t xml:space="preserve"> antigen (CEA) concentrations.</w:t>
      </w:r>
      <w:proofErr w:type="gramEnd"/>
      <w:r w:rsidRPr="003C6924">
        <w:rPr>
          <w:rFonts w:eastAsia="宋体"/>
          <w:lang w:eastAsia="ar-SA" w:bidi="ar-SA"/>
        </w:rPr>
        <w:t xml:space="preserve"> </w:t>
      </w:r>
      <w:proofErr w:type="gramStart"/>
      <w:r w:rsidRPr="003C6924">
        <w:rPr>
          <w:rFonts w:eastAsia="宋体"/>
          <w:lang w:eastAsia="ar-SA" w:bidi="ar-SA"/>
        </w:rPr>
        <w:t xml:space="preserve">Alkaline </w:t>
      </w:r>
      <w:proofErr w:type="spellStart"/>
      <w:r w:rsidRPr="003C6924">
        <w:rPr>
          <w:rFonts w:eastAsia="宋体"/>
          <w:lang w:eastAsia="ar-SA" w:bidi="ar-SA"/>
        </w:rPr>
        <w:t>phosphatase</w:t>
      </w:r>
      <w:proofErr w:type="spellEnd"/>
      <w:r w:rsidRPr="003C6924">
        <w:rPr>
          <w:rFonts w:eastAsia="宋体"/>
          <w:lang w:eastAsia="ar-SA" w:bidi="ar-SA"/>
        </w:rPr>
        <w:t xml:space="preserve"> and its </w:t>
      </w:r>
      <w:proofErr w:type="spellStart"/>
      <w:r w:rsidRPr="003C6924">
        <w:rPr>
          <w:rFonts w:eastAsia="宋体"/>
          <w:lang w:eastAsia="ar-SA" w:bidi="ar-SA"/>
        </w:rPr>
        <w:t>isoenzyme</w:t>
      </w:r>
      <w:proofErr w:type="spellEnd"/>
      <w:r w:rsidRPr="003C6924">
        <w:rPr>
          <w:rFonts w:eastAsia="宋体"/>
          <w:lang w:eastAsia="ar-SA" w:bidi="ar-SA"/>
        </w:rPr>
        <w:t xml:space="preserve"> activities.</w:t>
      </w:r>
      <w:proofErr w:type="gramEnd"/>
      <w:r w:rsidRPr="003C6924">
        <w:rPr>
          <w:rFonts w:eastAsia="宋体"/>
          <w:lang w:eastAsia="ar-SA" w:bidi="ar-SA"/>
        </w:rPr>
        <w:t xml:space="preserve"> </w:t>
      </w:r>
      <w:proofErr w:type="gramStart"/>
      <w:r w:rsidRPr="003C6924">
        <w:rPr>
          <w:rFonts w:eastAsia="宋体"/>
          <w:lang w:eastAsia="ar-SA" w:bidi="ar-SA"/>
        </w:rPr>
        <w:t xml:space="preserve">Total Lactate </w:t>
      </w:r>
      <w:proofErr w:type="spellStart"/>
      <w:r w:rsidRPr="003C6924">
        <w:rPr>
          <w:rFonts w:eastAsia="宋体"/>
          <w:lang w:eastAsia="ar-SA" w:bidi="ar-SA"/>
        </w:rPr>
        <w:t>dehydrogenase</w:t>
      </w:r>
      <w:proofErr w:type="spellEnd"/>
      <w:r w:rsidRPr="003C6924">
        <w:rPr>
          <w:rFonts w:eastAsia="宋体"/>
          <w:lang w:eastAsia="ar-SA" w:bidi="ar-SA"/>
        </w:rPr>
        <w:t xml:space="preserve"> and its </w:t>
      </w:r>
      <w:proofErr w:type="spellStart"/>
      <w:r w:rsidRPr="003C6924">
        <w:rPr>
          <w:rFonts w:eastAsia="宋体"/>
          <w:lang w:eastAsia="ar-SA" w:bidi="ar-SA"/>
        </w:rPr>
        <w:t>isoenzyme</w:t>
      </w:r>
      <w:proofErr w:type="spellEnd"/>
      <w:r w:rsidRPr="003C6924">
        <w:rPr>
          <w:rFonts w:eastAsia="宋体"/>
          <w:lang w:eastAsia="ar-SA" w:bidi="ar-SA"/>
        </w:rPr>
        <w:t xml:space="preserve"> activities.</w:t>
      </w:r>
      <w:proofErr w:type="gramEnd"/>
      <w:r w:rsidRPr="003C6924">
        <w:rPr>
          <w:rFonts w:eastAsia="宋体"/>
          <w:lang w:eastAsia="ar-SA" w:bidi="ar-SA"/>
        </w:rPr>
        <w:t xml:space="preserve"> </w:t>
      </w:r>
      <w:proofErr w:type="gramStart"/>
      <w:r w:rsidRPr="003C6924">
        <w:rPr>
          <w:rFonts w:eastAsia="宋体"/>
          <w:lang w:eastAsia="ar-SA" w:bidi="ar-SA"/>
        </w:rPr>
        <w:t xml:space="preserve">Polymerase chain reaction (PCR) to detect tuberculosis in </w:t>
      </w:r>
      <w:proofErr w:type="spellStart"/>
      <w:r w:rsidRPr="003C6924">
        <w:rPr>
          <w:rFonts w:eastAsia="宋体"/>
          <w:lang w:eastAsia="ar-SA" w:bidi="ar-SA"/>
        </w:rPr>
        <w:t>ascitic</w:t>
      </w:r>
      <w:proofErr w:type="spellEnd"/>
      <w:r w:rsidRPr="003C6924">
        <w:rPr>
          <w:rFonts w:eastAsia="宋体"/>
          <w:lang w:eastAsia="ar-SA" w:bidi="ar-SA"/>
        </w:rPr>
        <w:t xml:space="preserve"> fluid only.</w:t>
      </w:r>
      <w:proofErr w:type="gramEnd"/>
    </w:p>
    <w:p w:rsidR="007154AC" w:rsidRPr="003C6924" w:rsidRDefault="00533035" w:rsidP="003C6924">
      <w:pPr>
        <w:suppressAutoHyphens/>
        <w:snapToGrid w:val="0"/>
        <w:ind w:right="0" w:firstLine="425"/>
        <w:jc w:val="both"/>
        <w:rPr>
          <w:rFonts w:eastAsia="宋体"/>
          <w:lang w:eastAsia="ar-SA" w:bidi="ar-SA"/>
        </w:rPr>
      </w:pPr>
      <w:r w:rsidRPr="003C6924">
        <w:rPr>
          <w:rFonts w:eastAsia="宋体"/>
          <w:lang w:eastAsia="ar-SA" w:bidi="ar-SA"/>
        </w:rPr>
        <w:t>Statistical analysis</w:t>
      </w:r>
      <w:r w:rsidR="00C80907" w:rsidRPr="003C6924">
        <w:rPr>
          <w:rFonts w:eastAsia="宋体"/>
          <w:lang w:eastAsia="ar-SA" w:bidi="ar-SA"/>
        </w:rPr>
        <w:t xml:space="preserve">: </w:t>
      </w:r>
      <w:r w:rsidR="007154AC" w:rsidRPr="003C6924">
        <w:rPr>
          <w:rFonts w:eastAsia="宋体"/>
          <w:lang w:eastAsia="ar-SA" w:bidi="ar-SA"/>
        </w:rPr>
        <w:t>The</w:t>
      </w:r>
      <w:r w:rsidR="00352E4D">
        <w:rPr>
          <w:rFonts w:eastAsia="宋体"/>
          <w:lang w:eastAsia="ar-SA" w:bidi="ar-SA"/>
        </w:rPr>
        <w:t xml:space="preserve"> </w:t>
      </w:r>
      <w:r w:rsidR="007154AC" w:rsidRPr="003C6924">
        <w:rPr>
          <w:rFonts w:eastAsia="宋体"/>
          <w:lang w:eastAsia="ar-SA" w:bidi="ar-SA"/>
        </w:rPr>
        <w:t xml:space="preserve">results of clinical evaluations, diagnostic tests, ADA activity, and PCR were analyzed using computer software (SPSS, version 7.5; SPSS; Chicago, IL) (Metz, 1978 and Henderson 1993). The sensitivity, specificity, Positive Predictive Value (PPV), and Negative Predictive Value (NPV) of ADA activity and PCR results were compared to each of the conventional methods. The results of the </w:t>
      </w:r>
      <w:proofErr w:type="spellStart"/>
      <w:r w:rsidR="007154AC" w:rsidRPr="003C6924">
        <w:rPr>
          <w:rFonts w:eastAsia="宋体"/>
          <w:lang w:eastAsia="ar-SA" w:bidi="ar-SA"/>
        </w:rPr>
        <w:t>ascitic</w:t>
      </w:r>
      <w:proofErr w:type="spellEnd"/>
      <w:r w:rsidR="007154AC" w:rsidRPr="003C6924">
        <w:rPr>
          <w:rFonts w:eastAsia="宋体"/>
          <w:lang w:eastAsia="ar-SA" w:bidi="ar-SA"/>
        </w:rPr>
        <w:t xml:space="preserve"> fluid cultures and </w:t>
      </w:r>
      <w:proofErr w:type="spellStart"/>
      <w:r w:rsidR="007154AC" w:rsidRPr="003C6924">
        <w:rPr>
          <w:rFonts w:eastAsia="宋体"/>
          <w:lang w:eastAsia="ar-SA" w:bidi="ar-SA"/>
        </w:rPr>
        <w:t>histopathological</w:t>
      </w:r>
      <w:proofErr w:type="spellEnd"/>
      <w:r w:rsidR="007154AC" w:rsidRPr="003C6924">
        <w:rPr>
          <w:rFonts w:eastAsia="宋体"/>
          <w:lang w:eastAsia="ar-SA" w:bidi="ar-SA"/>
        </w:rPr>
        <w:t xml:space="preserve"> testing were used as the “gold standard.”</w:t>
      </w:r>
    </w:p>
    <w:p w:rsidR="007154AC" w:rsidRPr="003C6924" w:rsidRDefault="007154AC" w:rsidP="003C6924">
      <w:pPr>
        <w:suppressAutoHyphens/>
        <w:snapToGrid w:val="0"/>
        <w:ind w:right="0" w:firstLine="425"/>
        <w:jc w:val="both"/>
        <w:rPr>
          <w:rFonts w:eastAsia="宋体"/>
          <w:lang w:eastAsia="ar-SA" w:bidi="ar-SA"/>
        </w:rPr>
      </w:pPr>
      <w:r w:rsidRPr="003C6924">
        <w:rPr>
          <w:rFonts w:eastAsia="宋体"/>
          <w:lang w:eastAsia="ar-SA" w:bidi="ar-SA"/>
        </w:rPr>
        <w:t>Sensitivity = true positive/ (true positive + false negative) x 100;</w:t>
      </w:r>
    </w:p>
    <w:p w:rsidR="007154AC" w:rsidRPr="003C6924" w:rsidRDefault="007154AC" w:rsidP="003C6924">
      <w:pPr>
        <w:suppressAutoHyphens/>
        <w:snapToGrid w:val="0"/>
        <w:ind w:right="0" w:firstLine="425"/>
        <w:jc w:val="both"/>
        <w:rPr>
          <w:rFonts w:eastAsia="宋体"/>
          <w:lang w:eastAsia="ar-SA" w:bidi="ar-SA"/>
        </w:rPr>
      </w:pPr>
      <w:r w:rsidRPr="003C6924">
        <w:rPr>
          <w:rFonts w:eastAsia="宋体"/>
          <w:lang w:eastAsia="ar-SA" w:bidi="ar-SA"/>
        </w:rPr>
        <w:t>Specificity =: true negative/ (true negative + false positive) x 100.</w:t>
      </w:r>
    </w:p>
    <w:p w:rsidR="007154AC" w:rsidRPr="003C6924" w:rsidRDefault="007154AC" w:rsidP="003C6924">
      <w:pPr>
        <w:suppressAutoHyphens/>
        <w:snapToGrid w:val="0"/>
        <w:ind w:right="0" w:firstLine="425"/>
        <w:jc w:val="both"/>
        <w:rPr>
          <w:rFonts w:eastAsia="宋体"/>
          <w:lang w:eastAsia="ar-SA" w:bidi="ar-SA"/>
        </w:rPr>
      </w:pPr>
      <w:r w:rsidRPr="003C6924">
        <w:rPr>
          <w:rFonts w:eastAsia="宋体"/>
          <w:lang w:eastAsia="ar-SA" w:bidi="ar-SA"/>
        </w:rPr>
        <w:t xml:space="preserve">The sensitivity and specificity of the diagnostic methods were determined using the result of each of the diagnostic methods for each patient. Therefore, the unit of analysis was the patient, not the clinical specimen or test. Comparisons between the diagnostic methods were performed using a </w:t>
      </w:r>
      <w:proofErr w:type="spellStart"/>
      <w:r w:rsidRPr="003C6924">
        <w:rPr>
          <w:rFonts w:eastAsia="宋体"/>
          <w:lang w:eastAsia="ar-SA" w:bidi="ar-SA"/>
        </w:rPr>
        <w:t>McNemar</w:t>
      </w:r>
      <w:proofErr w:type="spellEnd"/>
      <w:r w:rsidRPr="003C6924">
        <w:rPr>
          <w:rFonts w:eastAsia="宋体"/>
          <w:lang w:eastAsia="ar-SA" w:bidi="ar-SA"/>
        </w:rPr>
        <w:t xml:space="preserve"> x2 test (P &gt; 0.05). Student’s t test and analysis of variance were used to compare the mean production of ALP and LDH enzyme and its </w:t>
      </w:r>
      <w:proofErr w:type="spellStart"/>
      <w:r w:rsidRPr="003C6924">
        <w:rPr>
          <w:rFonts w:eastAsia="宋体"/>
          <w:lang w:eastAsia="ar-SA" w:bidi="ar-SA"/>
        </w:rPr>
        <w:t>isoenzyme</w:t>
      </w:r>
      <w:proofErr w:type="spellEnd"/>
      <w:r w:rsidRPr="003C6924">
        <w:rPr>
          <w:rFonts w:eastAsia="宋体"/>
          <w:lang w:eastAsia="ar-SA" w:bidi="ar-SA"/>
        </w:rPr>
        <w:t xml:space="preserve"> activities among groups. PPVs and NPVs were estimated using Bayesian analysis (</w:t>
      </w:r>
      <w:proofErr w:type="spellStart"/>
      <w:r w:rsidRPr="003C6924">
        <w:rPr>
          <w:rFonts w:eastAsia="宋体"/>
          <w:lang w:eastAsia="ar-SA" w:bidi="ar-SA"/>
        </w:rPr>
        <w:t>Hulley</w:t>
      </w:r>
      <w:proofErr w:type="spellEnd"/>
      <w:r w:rsidRPr="003C6924">
        <w:rPr>
          <w:rFonts w:eastAsia="宋体"/>
          <w:lang w:eastAsia="ar-SA" w:bidi="ar-SA"/>
        </w:rPr>
        <w:t>, et al., 1988) with a TB prevalence range of 1 to 50% for the patient population with ascetic fluid</w:t>
      </w:r>
    </w:p>
    <w:p w:rsidR="007154AC" w:rsidRPr="003C6924" w:rsidRDefault="007154AC" w:rsidP="003C6924">
      <w:pPr>
        <w:suppressAutoHyphens/>
        <w:snapToGrid w:val="0"/>
        <w:ind w:right="0" w:firstLine="425"/>
        <w:jc w:val="both"/>
        <w:rPr>
          <w:rFonts w:eastAsia="宋体"/>
          <w:lang w:eastAsia="ar-SA" w:bidi="ar-SA"/>
        </w:rPr>
      </w:pPr>
      <w:r w:rsidRPr="003C6924">
        <w:rPr>
          <w:rFonts w:eastAsia="宋体"/>
          <w:lang w:eastAsia="ar-SA" w:bidi="ar-SA"/>
        </w:rPr>
        <w:t xml:space="preserve">Cut off limits for the chemical analyses were calculated on the basis of receiver operating characteristics (ROC) (Galen &amp; </w:t>
      </w:r>
      <w:proofErr w:type="spellStart"/>
      <w:r w:rsidRPr="003C6924">
        <w:rPr>
          <w:rFonts w:eastAsia="宋体"/>
          <w:lang w:eastAsia="ar-SA" w:bidi="ar-SA"/>
        </w:rPr>
        <w:t>Gambino</w:t>
      </w:r>
      <w:proofErr w:type="spellEnd"/>
      <w:r w:rsidRPr="003C6924">
        <w:rPr>
          <w:rFonts w:eastAsia="宋体"/>
          <w:lang w:eastAsia="ar-SA" w:bidi="ar-SA"/>
        </w:rPr>
        <w:t>, 1977).</w:t>
      </w:r>
    </w:p>
    <w:p w:rsidR="006942F9" w:rsidRPr="003C6924" w:rsidRDefault="006942F9" w:rsidP="003C6924">
      <w:pPr>
        <w:snapToGrid w:val="0"/>
        <w:ind w:right="0" w:firstLine="0"/>
        <w:jc w:val="both"/>
        <w:rPr>
          <w:b/>
          <w:bCs/>
          <w:szCs w:val="24"/>
        </w:rPr>
      </w:pPr>
    </w:p>
    <w:p w:rsidR="00F21D10" w:rsidRPr="003C6924" w:rsidRDefault="00C80907" w:rsidP="003C6924">
      <w:pPr>
        <w:suppressAutoHyphens/>
        <w:snapToGrid w:val="0"/>
        <w:ind w:right="0" w:firstLine="0"/>
        <w:jc w:val="both"/>
        <w:rPr>
          <w:rFonts w:eastAsia="宋体"/>
          <w:b/>
          <w:lang w:eastAsia="ar-SA" w:bidi="ar-SA"/>
        </w:rPr>
      </w:pPr>
      <w:r w:rsidRPr="003C6924">
        <w:rPr>
          <w:rFonts w:eastAsia="宋体"/>
          <w:b/>
          <w:lang w:eastAsia="ar-SA" w:bidi="ar-SA"/>
        </w:rPr>
        <w:t xml:space="preserve">3. </w:t>
      </w:r>
      <w:r w:rsidR="00F21D10" w:rsidRPr="003C6924">
        <w:rPr>
          <w:rFonts w:eastAsia="宋体"/>
          <w:b/>
          <w:lang w:eastAsia="ar-SA" w:bidi="ar-SA"/>
        </w:rPr>
        <w:t>Results</w:t>
      </w:r>
      <w:r w:rsidR="00882EA2" w:rsidRPr="003C6924">
        <w:rPr>
          <w:rFonts w:eastAsia="宋体"/>
          <w:b/>
          <w:lang w:eastAsia="ar-SA" w:bidi="ar-SA"/>
        </w:rPr>
        <w:t xml:space="preserve"> &amp; Discussion</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Total protein concentration of 2.5 g/dl has traditionally been used to separate "</w:t>
      </w:r>
      <w:proofErr w:type="spellStart"/>
      <w:r w:rsidRPr="003C6924">
        <w:rPr>
          <w:rFonts w:eastAsia="宋体"/>
          <w:lang w:eastAsia="ar-SA" w:bidi="ar-SA"/>
        </w:rPr>
        <w:t>transudative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due to cirrhosis or HCC from "</w:t>
      </w:r>
      <w:proofErr w:type="spellStart"/>
      <w:r w:rsidRPr="003C6924">
        <w:rPr>
          <w:rFonts w:eastAsia="宋体"/>
          <w:lang w:eastAsia="ar-SA" w:bidi="ar-SA"/>
        </w:rPr>
        <w:t>exudative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due to tuberculosis. However, in our study, </w:t>
      </w:r>
      <w:proofErr w:type="spellStart"/>
      <w:r w:rsidRPr="003C6924">
        <w:rPr>
          <w:rFonts w:eastAsia="宋体"/>
          <w:lang w:eastAsia="ar-SA" w:bidi="ar-SA"/>
        </w:rPr>
        <w:t>ascitic</w:t>
      </w:r>
      <w:proofErr w:type="spellEnd"/>
      <w:r w:rsidRPr="003C6924">
        <w:rPr>
          <w:rFonts w:eastAsia="宋体"/>
          <w:lang w:eastAsia="ar-SA" w:bidi="ar-SA"/>
        </w:rPr>
        <w:t xml:space="preserve"> fluid total protein level was greater than 2.5 g/dl in 23 % (7/30) in patients with HCC, 28 % (7/25) in patients with liver cirrhosis and 86 % (13/15) in patients with tuberculosis.</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Our findings confirmed that the superiority serum </w:t>
      </w:r>
      <w:proofErr w:type="spellStart"/>
      <w:r w:rsidRPr="003C6924">
        <w:rPr>
          <w:rFonts w:eastAsia="宋体"/>
          <w:lang w:eastAsia="ar-SA" w:bidi="ar-SA"/>
        </w:rPr>
        <w:t>ascites</w:t>
      </w:r>
      <w:proofErr w:type="spellEnd"/>
      <w:r w:rsidRPr="003C6924">
        <w:rPr>
          <w:rFonts w:eastAsia="宋体"/>
          <w:lang w:eastAsia="ar-SA" w:bidi="ar-SA"/>
        </w:rPr>
        <w:t xml:space="preserve"> albumin difference over </w:t>
      </w:r>
      <w:proofErr w:type="spellStart"/>
      <w:r w:rsidRPr="003C6924">
        <w:rPr>
          <w:rFonts w:eastAsia="宋体"/>
          <w:lang w:eastAsia="ar-SA" w:bidi="ar-SA"/>
        </w:rPr>
        <w:t>ascites</w:t>
      </w:r>
      <w:proofErr w:type="spellEnd"/>
      <w:r w:rsidRPr="003C6924">
        <w:rPr>
          <w:rFonts w:eastAsia="宋体"/>
          <w:lang w:eastAsia="ar-SA" w:bidi="ar-SA"/>
        </w:rPr>
        <w:t xml:space="preserve"> total protein concentration in the separation of </w:t>
      </w:r>
      <w:proofErr w:type="spellStart"/>
      <w:r w:rsidRPr="003C6924">
        <w:rPr>
          <w:rFonts w:eastAsia="宋体"/>
          <w:lang w:eastAsia="ar-SA" w:bidi="ar-SA"/>
        </w:rPr>
        <w:t>transudative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(e.g. cirrhotic and HCC patients) and </w:t>
      </w:r>
      <w:proofErr w:type="spellStart"/>
      <w:r w:rsidRPr="003C6924">
        <w:rPr>
          <w:rFonts w:eastAsia="宋体"/>
          <w:lang w:eastAsia="ar-SA" w:bidi="ar-SA"/>
        </w:rPr>
        <w:t>exudative</w:t>
      </w:r>
      <w:proofErr w:type="spellEnd"/>
      <w:r w:rsidRPr="003C6924">
        <w:rPr>
          <w:rFonts w:eastAsia="宋体"/>
          <w:lang w:eastAsia="ar-SA" w:bidi="ar-SA"/>
        </w:rPr>
        <w:t xml:space="preserve"> </w:t>
      </w:r>
      <w:proofErr w:type="spellStart"/>
      <w:r w:rsidRPr="003C6924">
        <w:rPr>
          <w:rFonts w:eastAsia="宋体"/>
          <w:lang w:eastAsia="ar-SA" w:bidi="ar-SA"/>
        </w:rPr>
        <w:t>ascites</w:t>
      </w:r>
      <w:proofErr w:type="spellEnd"/>
      <w:r w:rsidRPr="003C6924">
        <w:rPr>
          <w:rFonts w:eastAsia="宋体"/>
          <w:lang w:eastAsia="ar-SA" w:bidi="ar-SA"/>
        </w:rPr>
        <w:t xml:space="preserve"> (e.g. tuberculosis). This gradient reflects the hydrostatic pressure difference between the portal </w:t>
      </w:r>
      <w:r w:rsidRPr="003C6924">
        <w:rPr>
          <w:rFonts w:eastAsia="宋体"/>
          <w:lang w:eastAsia="ar-SA" w:bidi="ar-SA"/>
        </w:rPr>
        <w:lastRenderedPageBreak/>
        <w:t>capillaries and peritoneal cavity</w:t>
      </w:r>
      <w:r w:rsidR="003C6924">
        <w:rPr>
          <w:rFonts w:eastAsia="宋体" w:hint="eastAsia"/>
          <w:lang w:eastAsia="zh-CN" w:bidi="ar-SA"/>
        </w:rPr>
        <w:t xml:space="preserve"> </w:t>
      </w:r>
      <w:r w:rsidRPr="003C6924">
        <w:rPr>
          <w:rFonts w:eastAsia="宋体"/>
          <w:lang w:eastAsia="ar-SA" w:bidi="ar-SA"/>
        </w:rPr>
        <w:t>serum total protein and albumin levels were significantly lower in all studied groups compared to control. The significant decrease in albumin in cirrhotic groups may be attributed to the dysfunction of the liver cells, so they were unable to synthesize albumin at normal rate.</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Our study suggested that the determination of </w:t>
      </w:r>
      <w:proofErr w:type="spellStart"/>
      <w:r w:rsidRPr="003C6924">
        <w:rPr>
          <w:rFonts w:eastAsia="宋体"/>
          <w:lang w:eastAsia="ar-SA" w:bidi="ar-SA"/>
        </w:rPr>
        <w:t>ascitc</w:t>
      </w:r>
      <w:proofErr w:type="spellEnd"/>
      <w:r w:rsidRPr="003C6924">
        <w:rPr>
          <w:rFonts w:eastAsia="宋体"/>
          <w:lang w:eastAsia="ar-SA" w:bidi="ar-SA"/>
        </w:rPr>
        <w:t xml:space="preserve"> fluid cholesterol was</w:t>
      </w:r>
      <w:r w:rsidR="00352E4D">
        <w:rPr>
          <w:rFonts w:eastAsia="宋体"/>
          <w:lang w:eastAsia="ar-SA" w:bidi="ar-SA"/>
        </w:rPr>
        <w:t xml:space="preserve"> </w:t>
      </w:r>
      <w:r w:rsidRPr="003C6924">
        <w:rPr>
          <w:rFonts w:eastAsia="宋体"/>
          <w:lang w:eastAsia="ar-SA" w:bidi="ar-SA"/>
        </w:rPr>
        <w:t xml:space="preserve">of limited value for the diagnosis malignant </w:t>
      </w:r>
      <w:proofErr w:type="spellStart"/>
      <w:r w:rsidRPr="003C6924">
        <w:rPr>
          <w:rFonts w:eastAsia="宋体"/>
          <w:lang w:eastAsia="ar-SA" w:bidi="ar-SA"/>
        </w:rPr>
        <w:t>ascites</w:t>
      </w:r>
      <w:proofErr w:type="spellEnd"/>
      <w:r w:rsidRPr="003C6924">
        <w:rPr>
          <w:rFonts w:eastAsia="宋体"/>
          <w:lang w:eastAsia="ar-SA" w:bidi="ar-SA"/>
        </w:rPr>
        <w:t>.</w:t>
      </w:r>
    </w:p>
    <w:p w:rsidR="00952D3F" w:rsidRPr="003C6924" w:rsidRDefault="00952D3F" w:rsidP="003C6924">
      <w:pPr>
        <w:tabs>
          <w:tab w:val="left" w:pos="4590"/>
        </w:tabs>
        <w:snapToGrid w:val="0"/>
        <w:ind w:right="0" w:firstLine="425"/>
        <w:jc w:val="both"/>
      </w:pPr>
    </w:p>
    <w:p w:rsidR="0081325F" w:rsidRPr="003C6924" w:rsidRDefault="00D058AB" w:rsidP="003C6924">
      <w:pPr>
        <w:snapToGrid w:val="0"/>
        <w:ind w:righ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99.5pt;mso-position-horizontal-relative:margin;mso-position-vertical-relative:margin" o:bordertopcolor="blue" o:borderleftcolor="blue" o:borderbottomcolor="blue" o:borderrightcolor="blue">
            <v:imagedata r:id="rId12" o:title="" croptop="8111f" cropright="-1496f"/>
            <w10:bordertop type="single" width="6"/>
            <w10:borderleft type="single" width="6"/>
            <w10:borderbottom type="single" width="6"/>
            <w10:borderright type="single" width="6"/>
          </v:shape>
        </w:pict>
      </w:r>
    </w:p>
    <w:p w:rsidR="00E6153A" w:rsidRPr="003C6924" w:rsidRDefault="00E6153A" w:rsidP="003C6924">
      <w:pPr>
        <w:suppressAutoHyphens/>
        <w:snapToGrid w:val="0"/>
        <w:ind w:right="0" w:firstLine="0"/>
        <w:jc w:val="both"/>
      </w:pPr>
      <w:proofErr w:type="gramStart"/>
      <w:r w:rsidRPr="003C6924">
        <w:t>Figure 1.</w:t>
      </w:r>
      <w:proofErr w:type="gramEnd"/>
      <w:r w:rsidRPr="003C6924">
        <w:t xml:space="preserve"> </w:t>
      </w:r>
      <w:r w:rsidRPr="003C6924">
        <w:rPr>
          <w:rFonts w:eastAsia="宋体"/>
          <w:lang w:eastAsia="ar-SA" w:bidi="ar-SA"/>
        </w:rPr>
        <w:t>Mean</w:t>
      </w:r>
      <w:r w:rsidRPr="003C6924">
        <w:t xml:space="preserve"> value for </w:t>
      </w:r>
      <w:proofErr w:type="spellStart"/>
      <w:r w:rsidRPr="003C6924">
        <w:t>Ascitic</w:t>
      </w:r>
      <w:proofErr w:type="spellEnd"/>
      <w:r w:rsidRPr="003C6924">
        <w:t xml:space="preserve"> fluid TP, ALB and SAAG concentration (g/dl) in different studied groups</w:t>
      </w:r>
    </w:p>
    <w:p w:rsidR="00E6153A" w:rsidRPr="003C6924" w:rsidRDefault="00E6153A" w:rsidP="003C6924">
      <w:pPr>
        <w:suppressAutoHyphens/>
        <w:snapToGrid w:val="0"/>
        <w:ind w:right="0" w:firstLine="425"/>
        <w:jc w:val="both"/>
        <w:rPr>
          <w:rFonts w:eastAsia="宋体"/>
          <w:lang w:eastAsia="ar-SA" w:bidi="ar-SA"/>
        </w:rPr>
      </w:pPr>
    </w:p>
    <w:p w:rsidR="00386A8A" w:rsidRPr="003C6924" w:rsidRDefault="008B4A84" w:rsidP="003C6924">
      <w:pPr>
        <w:suppressAutoHyphens/>
        <w:snapToGrid w:val="0"/>
        <w:ind w:right="0" w:firstLine="425"/>
        <w:jc w:val="both"/>
        <w:rPr>
          <w:rFonts w:eastAsia="宋体"/>
          <w:lang w:eastAsia="ar-SA" w:bidi="ar-SA"/>
        </w:rPr>
      </w:pPr>
      <w:proofErr w:type="spellStart"/>
      <w:r w:rsidRPr="003C6924">
        <w:rPr>
          <w:rFonts w:eastAsia="宋体"/>
          <w:lang w:eastAsia="ar-SA" w:bidi="ar-SA"/>
        </w:rPr>
        <w:t>Ascitic</w:t>
      </w:r>
      <w:proofErr w:type="spellEnd"/>
      <w:r w:rsidRPr="003C6924">
        <w:rPr>
          <w:rFonts w:eastAsia="宋体"/>
          <w:lang w:eastAsia="ar-SA" w:bidi="ar-SA"/>
        </w:rPr>
        <w:t xml:space="preserve"> fluid ADA showed elevated levels in patients with </w:t>
      </w:r>
      <w:proofErr w:type="spellStart"/>
      <w:r w:rsidRPr="003C6924">
        <w:rPr>
          <w:rFonts w:eastAsia="宋体"/>
          <w:lang w:eastAsia="ar-SA" w:bidi="ar-SA"/>
        </w:rPr>
        <w:t>tuberculous</w:t>
      </w:r>
      <w:proofErr w:type="spellEnd"/>
      <w:r w:rsidRPr="003C6924">
        <w:rPr>
          <w:rFonts w:eastAsia="宋体"/>
          <w:lang w:eastAsia="ar-SA" w:bidi="ar-SA"/>
        </w:rPr>
        <w:t xml:space="preserve"> peritonitis more than liver cirrhosis and malignant groups. This is due to the stimulation of T-lymphocyte in response to cell-mediated immunity to </w:t>
      </w:r>
      <w:proofErr w:type="spellStart"/>
      <w:r w:rsidRPr="003C6924">
        <w:rPr>
          <w:rFonts w:eastAsia="宋体"/>
          <w:lang w:eastAsia="ar-SA" w:bidi="ar-SA"/>
        </w:rPr>
        <w:t>mycobacterial</w:t>
      </w:r>
      <w:proofErr w:type="spellEnd"/>
      <w:r w:rsidRPr="003C6924">
        <w:rPr>
          <w:rFonts w:eastAsia="宋体"/>
          <w:lang w:eastAsia="ar-SA" w:bidi="ar-SA"/>
        </w:rPr>
        <w:t xml:space="preserve"> antigens. Our results showed that the determination of ADA activity in </w:t>
      </w:r>
      <w:proofErr w:type="spellStart"/>
      <w:r w:rsidRPr="003C6924">
        <w:rPr>
          <w:rFonts w:eastAsia="宋体"/>
          <w:lang w:eastAsia="ar-SA" w:bidi="ar-SA"/>
        </w:rPr>
        <w:t>ascitic</w:t>
      </w:r>
      <w:proofErr w:type="spellEnd"/>
      <w:r w:rsidRPr="003C6924">
        <w:rPr>
          <w:rFonts w:eastAsia="宋体"/>
          <w:lang w:eastAsia="ar-SA" w:bidi="ar-SA"/>
        </w:rPr>
        <w:t xml:space="preserve"> fluid has a high sensitivity 86.7 % and specificity 98.2 % for the diagnosis of active </w:t>
      </w:r>
      <w:r w:rsidRPr="003C6924">
        <w:rPr>
          <w:rFonts w:eastAsia="宋体"/>
          <w:lang w:eastAsia="ar-SA" w:bidi="ar-SA"/>
        </w:rPr>
        <w:lastRenderedPageBreak/>
        <w:t xml:space="preserve">peritoneal tuberculosis. Thus, the present study suggests that the detection of adenosine </w:t>
      </w:r>
      <w:proofErr w:type="spellStart"/>
      <w:r w:rsidRPr="003C6924">
        <w:rPr>
          <w:rFonts w:eastAsia="宋体"/>
          <w:lang w:eastAsia="ar-SA" w:bidi="ar-SA"/>
        </w:rPr>
        <w:t>deaminase</w:t>
      </w:r>
      <w:proofErr w:type="spellEnd"/>
      <w:r w:rsidRPr="003C6924">
        <w:rPr>
          <w:rFonts w:eastAsia="宋体"/>
          <w:lang w:eastAsia="ar-SA" w:bidi="ar-SA"/>
        </w:rPr>
        <w:t xml:space="preserve"> activity (ADA) is a useful test for the diagnosis of </w:t>
      </w:r>
      <w:proofErr w:type="spellStart"/>
      <w:r w:rsidRPr="003C6924">
        <w:rPr>
          <w:rFonts w:eastAsia="宋体"/>
          <w:lang w:eastAsia="ar-SA" w:bidi="ar-SA"/>
        </w:rPr>
        <w:t>ascitic</w:t>
      </w:r>
      <w:proofErr w:type="spellEnd"/>
      <w:r w:rsidRPr="003C6924">
        <w:rPr>
          <w:rFonts w:eastAsia="宋体"/>
          <w:lang w:eastAsia="ar-SA" w:bidi="ar-SA"/>
        </w:rPr>
        <w:t xml:space="preserve"> TB and in differentiating </w:t>
      </w:r>
      <w:r w:rsidR="002453D6" w:rsidRPr="003C6924">
        <w:rPr>
          <w:rFonts w:eastAsia="宋体"/>
          <w:lang w:eastAsia="ar-SA" w:bidi="ar-SA"/>
        </w:rPr>
        <w:t xml:space="preserve">it from other causes of </w:t>
      </w:r>
      <w:proofErr w:type="spellStart"/>
      <w:r w:rsidR="002453D6" w:rsidRPr="003C6924">
        <w:rPr>
          <w:rFonts w:eastAsia="宋体"/>
          <w:lang w:eastAsia="ar-SA" w:bidi="ar-SA"/>
        </w:rPr>
        <w:t>ascites</w:t>
      </w:r>
      <w:proofErr w:type="spellEnd"/>
      <w:r w:rsidR="002453D6" w:rsidRPr="003C6924">
        <w:rPr>
          <w:rFonts w:eastAsia="宋体"/>
          <w:lang w:eastAsia="ar-SA" w:bidi="ar-SA"/>
        </w:rPr>
        <w:t xml:space="preserve"> </w:t>
      </w:r>
      <w:proofErr w:type="gramStart"/>
      <w:r w:rsidR="002453D6" w:rsidRPr="003C6924">
        <w:rPr>
          <w:rFonts w:eastAsia="宋体"/>
          <w:lang w:eastAsia="ar-SA" w:bidi="ar-SA"/>
        </w:rPr>
        <w:t>(</w:t>
      </w:r>
      <w:r w:rsidRPr="003C6924">
        <w:rPr>
          <w:rFonts w:eastAsia="宋体"/>
          <w:lang w:eastAsia="ar-SA" w:bidi="ar-SA"/>
        </w:rPr>
        <w:t xml:space="preserve"> </w:t>
      </w:r>
      <w:r w:rsidR="002453D6" w:rsidRPr="003C6924">
        <w:rPr>
          <w:rFonts w:eastAsia="宋体"/>
          <w:lang w:eastAsia="ar-SA" w:bidi="ar-SA"/>
        </w:rPr>
        <w:t>Byrnes</w:t>
      </w:r>
      <w:proofErr w:type="gramEnd"/>
      <w:r w:rsidR="002453D6" w:rsidRPr="003C6924">
        <w:rPr>
          <w:rFonts w:eastAsia="宋体"/>
          <w:lang w:eastAsia="ar-SA" w:bidi="ar-SA"/>
        </w:rPr>
        <w:t xml:space="preserve"> and Chopra</w:t>
      </w:r>
      <w:r w:rsidR="00352E4D">
        <w:rPr>
          <w:rFonts w:eastAsia="宋体"/>
          <w:lang w:eastAsia="ar-SA" w:bidi="ar-SA"/>
        </w:rPr>
        <w:t>,</w:t>
      </w:r>
      <w:r w:rsidR="002453D6" w:rsidRPr="003C6924">
        <w:rPr>
          <w:rFonts w:eastAsia="宋体"/>
          <w:lang w:eastAsia="ar-SA" w:bidi="ar-SA"/>
        </w:rPr>
        <w:t>2014)</w:t>
      </w:r>
    </w:p>
    <w:p w:rsidR="008B4A84" w:rsidRDefault="008B4A84" w:rsidP="003C6924">
      <w:pPr>
        <w:suppressAutoHyphens/>
        <w:snapToGrid w:val="0"/>
        <w:ind w:right="0" w:firstLine="425"/>
        <w:jc w:val="both"/>
        <w:rPr>
          <w:rFonts w:eastAsia="宋体"/>
          <w:lang w:eastAsia="zh-CN" w:bidi="ar-SA"/>
        </w:rPr>
      </w:pPr>
      <w:r w:rsidRPr="003C6924">
        <w:rPr>
          <w:rFonts w:eastAsia="宋体"/>
          <w:lang w:eastAsia="ar-SA" w:bidi="ar-SA"/>
        </w:rPr>
        <w:t>PCR assays have been devised for the rapid identification of mycobacterium in clinical samples. The technique has been shown to be highly specific and sensitive for the diagnosis of tuberculosis. According to our data, the sensitivity of this PCR for the detection of M. tuberculosis DNA is very high (14/15) 93%. Therefore, this PCR technique has the potential to be useful in the detection of very low number of microorganisms as occur in samples from patients with tuberculosis.</w:t>
      </w:r>
    </w:p>
    <w:p w:rsidR="003C6924" w:rsidRPr="003C6924" w:rsidRDefault="003C6924" w:rsidP="003C6924">
      <w:pPr>
        <w:suppressAutoHyphens/>
        <w:snapToGrid w:val="0"/>
        <w:ind w:right="0" w:firstLine="425"/>
        <w:jc w:val="both"/>
        <w:rPr>
          <w:rFonts w:eastAsia="宋体"/>
          <w:lang w:eastAsia="zh-CN" w:bidi="ar-SA"/>
        </w:rPr>
      </w:pPr>
    </w:p>
    <w:p w:rsidR="000E0F95" w:rsidRPr="003C6924" w:rsidRDefault="00D058AB" w:rsidP="003C6924">
      <w:pPr>
        <w:suppressAutoHyphens/>
        <w:snapToGrid w:val="0"/>
        <w:ind w:right="0" w:firstLine="0"/>
        <w:jc w:val="center"/>
      </w:pPr>
      <w:r w:rsidRPr="00D058AB">
        <w:rPr>
          <w:rFonts w:eastAsia="宋体"/>
          <w:lang w:eastAsia="ar-SA" w:bidi="ar-SA"/>
        </w:rPr>
        <w:pict>
          <v:shape id="_x0000_i1026" type="#_x0000_t75" style="width:231pt;height:140.25pt">
            <v:imagedata r:id="rId13" o:title="1a"/>
          </v:shape>
        </w:pict>
      </w:r>
    </w:p>
    <w:p w:rsidR="000E0F95" w:rsidRPr="003C6924" w:rsidRDefault="000E0F95" w:rsidP="003C6924">
      <w:pPr>
        <w:suppressAutoHyphens/>
        <w:snapToGrid w:val="0"/>
        <w:ind w:right="0" w:firstLine="0"/>
        <w:jc w:val="both"/>
      </w:pPr>
      <w:r w:rsidRPr="003C6924">
        <w:rPr>
          <w:b/>
          <w:bCs/>
        </w:rPr>
        <w:t xml:space="preserve">Picture </w:t>
      </w:r>
      <w:r w:rsidRPr="003C6924">
        <w:t xml:space="preserve">(1): </w:t>
      </w:r>
      <w:r w:rsidRPr="003C6924">
        <w:rPr>
          <w:rFonts w:eastAsia="宋体"/>
          <w:lang w:eastAsia="ar-SA" w:bidi="ar-SA"/>
        </w:rPr>
        <w:t>Electrophoresis</w:t>
      </w:r>
      <w:r w:rsidRPr="003C6924">
        <w:t xml:space="preserve"> separation of Amplified DNA</w:t>
      </w:r>
      <w:r w:rsidR="00352E4D">
        <w:t xml:space="preserve"> </w:t>
      </w:r>
      <w:r w:rsidRPr="003C6924">
        <w:t xml:space="preserve">M. tuberculosis isolated from </w:t>
      </w:r>
      <w:proofErr w:type="spellStart"/>
      <w:r w:rsidRPr="003C6924">
        <w:t>Ascitic</w:t>
      </w:r>
      <w:proofErr w:type="spellEnd"/>
      <w:r w:rsidR="00352E4D">
        <w:t xml:space="preserve"> </w:t>
      </w:r>
      <w:r w:rsidRPr="003C6924">
        <w:t>Fluid by PCR in Different Studied Groups.</w:t>
      </w:r>
    </w:p>
    <w:p w:rsidR="000E0F95" w:rsidRDefault="000E0F95" w:rsidP="003C6924">
      <w:pPr>
        <w:snapToGrid w:val="0"/>
        <w:ind w:right="0" w:firstLine="425"/>
        <w:jc w:val="both"/>
        <w:rPr>
          <w:rFonts w:eastAsiaTheme="minorEastAsia" w:hint="eastAsia"/>
          <w:lang w:eastAsia="zh-CN"/>
        </w:rPr>
      </w:pPr>
    </w:p>
    <w:p w:rsidR="00352E4D" w:rsidRPr="00352E4D" w:rsidRDefault="00352E4D" w:rsidP="003C6924">
      <w:pPr>
        <w:snapToGrid w:val="0"/>
        <w:ind w:right="0" w:firstLine="425"/>
        <w:jc w:val="both"/>
        <w:rPr>
          <w:rFonts w:eastAsiaTheme="minorEastAsia" w:hint="eastAsia"/>
          <w:lang w:eastAsia="zh-CN"/>
        </w:rPr>
      </w:pP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The measurement of ADA activity when combined with PCR method yielded higher sensitivity (100 %) making them useful tools for screening patients with </w:t>
      </w:r>
      <w:r w:rsidR="003A1248" w:rsidRPr="003C6924">
        <w:rPr>
          <w:rFonts w:eastAsia="宋体"/>
          <w:lang w:eastAsia="ar-SA" w:bidi="ar-SA"/>
        </w:rPr>
        <w:t>TB.</w:t>
      </w:r>
    </w:p>
    <w:p w:rsidR="003C6924" w:rsidRPr="003C6924" w:rsidRDefault="003C6924" w:rsidP="003C6924">
      <w:pPr>
        <w:suppressAutoHyphens/>
        <w:snapToGrid w:val="0"/>
        <w:ind w:right="0" w:firstLine="0"/>
        <w:jc w:val="both"/>
        <w:rPr>
          <w:b/>
          <w:bCs/>
        </w:rPr>
        <w:sectPr w:rsidR="003C6924" w:rsidRPr="003C6924" w:rsidSect="00352E4D">
          <w:footerReference w:type="even" r:id="rId14"/>
          <w:footerReference w:type="default" r:id="rId15"/>
          <w:type w:val="continuous"/>
          <w:pgSz w:w="12240" w:h="15840" w:code="1"/>
          <w:pgMar w:top="1440" w:right="1440" w:bottom="1440" w:left="1440" w:header="720" w:footer="720" w:gutter="0"/>
          <w:cols w:num="2" w:space="576"/>
          <w:docGrid w:linePitch="360"/>
        </w:sectPr>
      </w:pPr>
    </w:p>
    <w:p w:rsidR="00E56068" w:rsidRPr="003C6924" w:rsidRDefault="00E56068" w:rsidP="003C6924">
      <w:pPr>
        <w:suppressAutoHyphens/>
        <w:snapToGrid w:val="0"/>
        <w:ind w:right="0" w:firstLine="0"/>
        <w:jc w:val="center"/>
        <w:rPr>
          <w:rFonts w:eastAsiaTheme="minorEastAsia"/>
          <w:b/>
          <w:bCs/>
          <w:lang w:eastAsia="zh-CN"/>
        </w:rPr>
      </w:pPr>
    </w:p>
    <w:p w:rsidR="00352E4D" w:rsidRDefault="00352E4D" w:rsidP="003C6924">
      <w:pPr>
        <w:suppressAutoHyphens/>
        <w:snapToGrid w:val="0"/>
        <w:ind w:right="0" w:firstLine="0"/>
        <w:jc w:val="both"/>
        <w:rPr>
          <w:rFonts w:eastAsiaTheme="minorEastAsia" w:hint="eastAsia"/>
          <w:b/>
          <w:bCs/>
          <w:lang w:eastAsia="zh-CN"/>
        </w:rPr>
      </w:pPr>
    </w:p>
    <w:p w:rsidR="003072D4" w:rsidRPr="003C6924" w:rsidRDefault="003072D4" w:rsidP="003C6924">
      <w:pPr>
        <w:suppressAutoHyphens/>
        <w:snapToGrid w:val="0"/>
        <w:ind w:right="0" w:firstLine="0"/>
        <w:jc w:val="both"/>
        <w:rPr>
          <w:rFonts w:eastAsia="宋体"/>
          <w:lang w:eastAsia="ar-SA" w:bidi="ar-SA"/>
        </w:rPr>
      </w:pPr>
      <w:r w:rsidRPr="003C6924">
        <w:rPr>
          <w:b/>
          <w:bCs/>
        </w:rPr>
        <w:t>Table</w:t>
      </w:r>
      <w:r w:rsidR="000E23C1" w:rsidRPr="003C6924">
        <w:rPr>
          <w:b/>
          <w:bCs/>
        </w:rPr>
        <w:t xml:space="preserve"> </w:t>
      </w:r>
      <w:r w:rsidRPr="003C6924">
        <w:rPr>
          <w:b/>
          <w:bCs/>
        </w:rPr>
        <w:t>(</w:t>
      </w:r>
      <w:r w:rsidR="000E23C1" w:rsidRPr="003C6924">
        <w:rPr>
          <w:b/>
          <w:bCs/>
        </w:rPr>
        <w:t>1</w:t>
      </w:r>
      <w:r w:rsidRPr="003C6924">
        <w:t xml:space="preserve">): </w:t>
      </w:r>
      <w:r w:rsidRPr="003C6924">
        <w:rPr>
          <w:rFonts w:eastAsia="宋体"/>
          <w:lang w:eastAsia="ar-SA" w:bidi="ar-SA"/>
        </w:rPr>
        <w:t>Overall</w:t>
      </w:r>
      <w:r w:rsidRPr="003C6924">
        <w:rPr>
          <w:szCs w:val="18"/>
        </w:rPr>
        <w:t xml:space="preserve"> combined sensitivity, specificity, positive predictive value (PPV), negative predictive value (NPV) and accuracy of ADA and PCR when tested independently or in </w:t>
      </w:r>
      <w:r w:rsidRPr="003C6924">
        <w:rPr>
          <w:rFonts w:eastAsia="宋体"/>
          <w:lang w:eastAsia="ar-SA" w:bidi="ar-SA"/>
        </w:rPr>
        <w:t>combinations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950"/>
        <w:gridCol w:w="1950"/>
        <w:gridCol w:w="1203"/>
        <w:gridCol w:w="1312"/>
        <w:gridCol w:w="1682"/>
      </w:tblGrid>
      <w:tr w:rsidR="003A1248" w:rsidRPr="003C6924" w:rsidTr="00352E4D">
        <w:trPr>
          <w:jc w:val="center"/>
        </w:trPr>
        <w:tc>
          <w:tcPr>
            <w:tcW w:w="773"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Marker</w:t>
            </w:r>
          </w:p>
        </w:tc>
        <w:tc>
          <w:tcPr>
            <w:tcW w:w="1018"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Sensitivity</w:t>
            </w:r>
            <w:r w:rsidR="00525C81" w:rsidRPr="003C6924">
              <w:rPr>
                <w:b/>
                <w:bCs/>
                <w:color w:val="000000"/>
                <w:szCs w:val="10"/>
              </w:rPr>
              <w:t>%</w:t>
            </w:r>
          </w:p>
        </w:tc>
        <w:tc>
          <w:tcPr>
            <w:tcW w:w="1018"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Specificity</w:t>
            </w:r>
            <w:r w:rsidR="00525C81" w:rsidRPr="003C6924">
              <w:rPr>
                <w:b/>
                <w:bCs/>
                <w:color w:val="000000"/>
                <w:szCs w:val="10"/>
              </w:rPr>
              <w:t>%</w:t>
            </w:r>
          </w:p>
        </w:tc>
        <w:tc>
          <w:tcPr>
            <w:tcW w:w="628"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PPV</w:t>
            </w:r>
            <w:r w:rsidR="00525C81" w:rsidRPr="003C6924">
              <w:rPr>
                <w:b/>
                <w:bCs/>
                <w:color w:val="000000"/>
                <w:szCs w:val="10"/>
              </w:rPr>
              <w:t>%</w:t>
            </w:r>
          </w:p>
        </w:tc>
        <w:tc>
          <w:tcPr>
            <w:tcW w:w="685"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NPV</w:t>
            </w:r>
            <w:r w:rsidR="00525C81" w:rsidRPr="003C6924">
              <w:rPr>
                <w:b/>
                <w:bCs/>
                <w:color w:val="000000"/>
                <w:szCs w:val="10"/>
              </w:rPr>
              <w:t xml:space="preserve"> %</w:t>
            </w:r>
          </w:p>
        </w:tc>
        <w:tc>
          <w:tcPr>
            <w:tcW w:w="879" w:type="pct"/>
            <w:vAlign w:val="center"/>
          </w:tcPr>
          <w:p w:rsidR="003A1248" w:rsidRPr="003C6924" w:rsidRDefault="003A1248" w:rsidP="003C6924">
            <w:pPr>
              <w:snapToGrid w:val="0"/>
              <w:ind w:right="0" w:firstLine="0"/>
              <w:jc w:val="center"/>
              <w:rPr>
                <w:b/>
                <w:bCs/>
                <w:color w:val="000000"/>
                <w:szCs w:val="10"/>
              </w:rPr>
            </w:pPr>
            <w:proofErr w:type="spellStart"/>
            <w:r w:rsidRPr="003C6924">
              <w:rPr>
                <w:b/>
                <w:bCs/>
                <w:color w:val="000000"/>
                <w:szCs w:val="10"/>
              </w:rPr>
              <w:t>Accurcy</w:t>
            </w:r>
            <w:proofErr w:type="spellEnd"/>
            <w:r w:rsidR="00525C81" w:rsidRPr="003C6924">
              <w:rPr>
                <w:b/>
                <w:bCs/>
                <w:color w:val="000000"/>
                <w:szCs w:val="10"/>
              </w:rPr>
              <w:t>%</w:t>
            </w:r>
          </w:p>
        </w:tc>
      </w:tr>
      <w:tr w:rsidR="003A1248" w:rsidRPr="003C6924" w:rsidTr="00352E4D">
        <w:trPr>
          <w:jc w:val="center"/>
        </w:trPr>
        <w:tc>
          <w:tcPr>
            <w:tcW w:w="773"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ADA</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86.7</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98.2</w:t>
            </w:r>
          </w:p>
        </w:tc>
        <w:tc>
          <w:tcPr>
            <w:tcW w:w="62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86.7</w:t>
            </w:r>
          </w:p>
        </w:tc>
        <w:tc>
          <w:tcPr>
            <w:tcW w:w="685"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982</w:t>
            </w:r>
          </w:p>
        </w:tc>
        <w:tc>
          <w:tcPr>
            <w:tcW w:w="879"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943</w:t>
            </w:r>
          </w:p>
        </w:tc>
      </w:tr>
      <w:tr w:rsidR="003A1248" w:rsidRPr="003C6924" w:rsidTr="00352E4D">
        <w:trPr>
          <w:jc w:val="center"/>
        </w:trPr>
        <w:tc>
          <w:tcPr>
            <w:tcW w:w="773"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PCR</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93.3</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98.2</w:t>
            </w:r>
          </w:p>
        </w:tc>
        <w:tc>
          <w:tcPr>
            <w:tcW w:w="62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93.3</w:t>
            </w:r>
          </w:p>
        </w:tc>
        <w:tc>
          <w:tcPr>
            <w:tcW w:w="685"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982</w:t>
            </w:r>
          </w:p>
        </w:tc>
        <w:tc>
          <w:tcPr>
            <w:tcW w:w="879"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971</w:t>
            </w:r>
          </w:p>
        </w:tc>
      </w:tr>
      <w:tr w:rsidR="003A1248" w:rsidRPr="003C6924" w:rsidTr="00352E4D">
        <w:trPr>
          <w:jc w:val="center"/>
        </w:trPr>
        <w:tc>
          <w:tcPr>
            <w:tcW w:w="773" w:type="pct"/>
            <w:vAlign w:val="center"/>
          </w:tcPr>
          <w:p w:rsidR="003A1248" w:rsidRPr="003C6924" w:rsidRDefault="003A1248" w:rsidP="003C6924">
            <w:pPr>
              <w:snapToGrid w:val="0"/>
              <w:ind w:right="0" w:firstLine="0"/>
              <w:jc w:val="center"/>
              <w:rPr>
                <w:b/>
                <w:bCs/>
                <w:color w:val="000000"/>
                <w:szCs w:val="10"/>
              </w:rPr>
            </w:pPr>
            <w:r w:rsidRPr="003C6924">
              <w:rPr>
                <w:b/>
                <w:bCs/>
                <w:color w:val="000000"/>
                <w:szCs w:val="10"/>
              </w:rPr>
              <w:t>ADA</w:t>
            </w:r>
          </w:p>
          <w:p w:rsidR="003A1248" w:rsidRPr="003C6924" w:rsidRDefault="003A1248" w:rsidP="003C6924">
            <w:pPr>
              <w:snapToGrid w:val="0"/>
              <w:ind w:right="0" w:firstLine="0"/>
              <w:jc w:val="center"/>
              <w:rPr>
                <w:b/>
                <w:bCs/>
                <w:color w:val="000000"/>
                <w:szCs w:val="10"/>
              </w:rPr>
            </w:pPr>
            <w:r w:rsidRPr="003C6924">
              <w:rPr>
                <w:b/>
                <w:bCs/>
                <w:color w:val="000000"/>
                <w:szCs w:val="10"/>
              </w:rPr>
              <w:t>+</w:t>
            </w:r>
            <w:r w:rsidR="00352E4D">
              <w:rPr>
                <w:b/>
                <w:bCs/>
                <w:color w:val="000000"/>
                <w:szCs w:val="10"/>
              </w:rPr>
              <w:t xml:space="preserve"> </w:t>
            </w:r>
            <w:r w:rsidRPr="003C6924">
              <w:rPr>
                <w:b/>
                <w:bCs/>
                <w:color w:val="000000"/>
                <w:szCs w:val="10"/>
              </w:rPr>
              <w:t xml:space="preserve"> PCR</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100</w:t>
            </w:r>
          </w:p>
        </w:tc>
        <w:tc>
          <w:tcPr>
            <w:tcW w:w="101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96.4</w:t>
            </w:r>
          </w:p>
        </w:tc>
        <w:tc>
          <w:tcPr>
            <w:tcW w:w="628" w:type="pct"/>
            <w:vAlign w:val="center"/>
          </w:tcPr>
          <w:p w:rsidR="003A1248" w:rsidRPr="003C6924" w:rsidRDefault="003A1248" w:rsidP="003C6924">
            <w:pPr>
              <w:snapToGrid w:val="0"/>
              <w:ind w:right="0" w:firstLine="0"/>
              <w:jc w:val="center"/>
              <w:rPr>
                <w:color w:val="000000"/>
                <w:szCs w:val="10"/>
              </w:rPr>
            </w:pPr>
            <w:r w:rsidRPr="003C6924">
              <w:rPr>
                <w:color w:val="000000"/>
                <w:szCs w:val="10"/>
              </w:rPr>
              <w:t>88.2</w:t>
            </w:r>
          </w:p>
        </w:tc>
        <w:tc>
          <w:tcPr>
            <w:tcW w:w="685" w:type="pct"/>
            <w:vAlign w:val="center"/>
          </w:tcPr>
          <w:p w:rsidR="003A1248" w:rsidRPr="003C6924" w:rsidRDefault="003A1248" w:rsidP="003C6924">
            <w:pPr>
              <w:snapToGrid w:val="0"/>
              <w:ind w:right="0" w:firstLine="0"/>
              <w:jc w:val="center"/>
              <w:rPr>
                <w:color w:val="000000"/>
                <w:szCs w:val="10"/>
              </w:rPr>
            </w:pPr>
            <w:r w:rsidRPr="003C6924">
              <w:rPr>
                <w:color w:val="000000"/>
                <w:szCs w:val="10"/>
              </w:rPr>
              <w:t>100</w:t>
            </w:r>
          </w:p>
        </w:tc>
        <w:tc>
          <w:tcPr>
            <w:tcW w:w="879" w:type="pct"/>
            <w:vAlign w:val="center"/>
          </w:tcPr>
          <w:p w:rsidR="003A1248" w:rsidRPr="003C6924" w:rsidRDefault="003A1248" w:rsidP="003C6924">
            <w:pPr>
              <w:snapToGrid w:val="0"/>
              <w:ind w:right="0" w:firstLine="0"/>
              <w:jc w:val="center"/>
              <w:rPr>
                <w:color w:val="000000"/>
                <w:szCs w:val="10"/>
              </w:rPr>
            </w:pPr>
            <w:r w:rsidRPr="003C6924">
              <w:rPr>
                <w:color w:val="000000"/>
                <w:szCs w:val="10"/>
              </w:rPr>
              <w:t>971</w:t>
            </w:r>
          </w:p>
        </w:tc>
      </w:tr>
    </w:tbl>
    <w:p w:rsidR="003C6924" w:rsidRDefault="003C6924" w:rsidP="003C6924">
      <w:pPr>
        <w:suppressAutoHyphens/>
        <w:snapToGrid w:val="0"/>
        <w:ind w:right="0" w:firstLine="425"/>
        <w:jc w:val="both"/>
        <w:rPr>
          <w:rFonts w:eastAsia="宋体" w:hint="eastAsia"/>
          <w:lang w:eastAsia="zh-CN" w:bidi="ar-SA"/>
        </w:rPr>
      </w:pPr>
    </w:p>
    <w:p w:rsidR="00352E4D" w:rsidRDefault="00352E4D" w:rsidP="003C6924">
      <w:pPr>
        <w:suppressAutoHyphens/>
        <w:snapToGrid w:val="0"/>
        <w:ind w:right="0" w:firstLine="425"/>
        <w:jc w:val="both"/>
        <w:rPr>
          <w:rFonts w:eastAsia="宋体" w:hint="eastAsia"/>
          <w:lang w:eastAsia="zh-CN" w:bidi="ar-SA"/>
        </w:rPr>
      </w:pPr>
    </w:p>
    <w:p w:rsidR="003C6924" w:rsidRPr="003C6924" w:rsidRDefault="003C6924" w:rsidP="003C6924">
      <w:pPr>
        <w:suppressAutoHyphens/>
        <w:snapToGrid w:val="0"/>
        <w:ind w:right="0" w:firstLine="425"/>
        <w:jc w:val="both"/>
        <w:rPr>
          <w:rFonts w:eastAsia="宋体"/>
          <w:lang w:eastAsia="ar-SA" w:bidi="ar-SA"/>
        </w:rPr>
        <w:sectPr w:rsidR="003C6924" w:rsidRPr="003C6924" w:rsidSect="00E56068">
          <w:footerReference w:type="even" r:id="rId16"/>
          <w:footerReference w:type="default" r:id="rId17"/>
          <w:type w:val="continuous"/>
          <w:pgSz w:w="12240" w:h="15840" w:code="1"/>
          <w:pgMar w:top="1440" w:right="1440" w:bottom="1440" w:left="1440" w:header="720" w:footer="720" w:gutter="0"/>
          <w:cols w:space="708"/>
          <w:docGrid w:linePitch="360"/>
        </w:sectPr>
      </w:pPr>
    </w:p>
    <w:p w:rsidR="008B4A84" w:rsidRPr="003C6924" w:rsidRDefault="006A5136" w:rsidP="003C6924">
      <w:pPr>
        <w:suppressAutoHyphens/>
        <w:snapToGrid w:val="0"/>
        <w:ind w:right="0" w:firstLine="425"/>
        <w:jc w:val="both"/>
        <w:rPr>
          <w:rFonts w:eastAsia="宋体"/>
          <w:lang w:eastAsia="ar-SA" w:bidi="ar-SA"/>
        </w:rPr>
      </w:pPr>
      <w:r w:rsidRPr="003C6924">
        <w:rPr>
          <w:rFonts w:eastAsia="宋体"/>
          <w:lang w:eastAsia="ar-SA" w:bidi="ar-SA"/>
        </w:rPr>
        <w:lastRenderedPageBreak/>
        <w:t>There was good relationship between</w:t>
      </w:r>
      <w:r w:rsidR="00352E4D">
        <w:rPr>
          <w:rFonts w:eastAsia="宋体"/>
          <w:lang w:eastAsia="ar-SA" w:bidi="ar-SA"/>
        </w:rPr>
        <w:t xml:space="preserve"> </w:t>
      </w:r>
      <w:r w:rsidRPr="003C6924">
        <w:rPr>
          <w:rFonts w:eastAsia="宋体"/>
          <w:lang w:eastAsia="ar-SA" w:bidi="ar-SA"/>
        </w:rPr>
        <w:t>the ADA activity</w:t>
      </w:r>
      <w:r w:rsidR="00352E4D">
        <w:rPr>
          <w:rFonts w:eastAsia="宋体"/>
          <w:lang w:eastAsia="ar-SA" w:bidi="ar-SA"/>
        </w:rPr>
        <w:t xml:space="preserve"> </w:t>
      </w:r>
      <w:r w:rsidRPr="003C6924">
        <w:rPr>
          <w:rFonts w:eastAsia="宋体"/>
          <w:lang w:eastAsia="ar-SA" w:bidi="ar-SA"/>
        </w:rPr>
        <w:t xml:space="preserve">and total protein level in </w:t>
      </w:r>
      <w:proofErr w:type="spellStart"/>
      <w:r w:rsidRPr="003C6924">
        <w:rPr>
          <w:rFonts w:eastAsia="宋体"/>
          <w:lang w:eastAsia="ar-SA" w:bidi="ar-SA"/>
        </w:rPr>
        <w:t>ascitic</w:t>
      </w:r>
      <w:proofErr w:type="spellEnd"/>
      <w:r w:rsidRPr="003C6924">
        <w:rPr>
          <w:rFonts w:eastAsia="宋体"/>
          <w:lang w:eastAsia="ar-SA" w:bidi="ar-SA"/>
        </w:rPr>
        <w:t xml:space="preserve"> fluid in tuberculosis peritonitis (r=0.68</w:t>
      </w:r>
      <w:proofErr w:type="gramStart"/>
      <w:r w:rsidRPr="003C6924">
        <w:rPr>
          <w:rFonts w:eastAsia="宋体"/>
          <w:lang w:eastAsia="ar-SA" w:bidi="ar-SA"/>
        </w:rPr>
        <w:t>)(</w:t>
      </w:r>
      <w:proofErr w:type="gramEnd"/>
      <w:r w:rsidRPr="003C6924">
        <w:rPr>
          <w:rFonts w:eastAsia="宋体"/>
          <w:lang w:eastAsia="ar-SA" w:bidi="ar-SA"/>
        </w:rPr>
        <w:t xml:space="preserve">Fig 5 ).But there was no correlation of ADA activity in the malignant and liver cirrhotic group with their </w:t>
      </w:r>
      <w:proofErr w:type="spellStart"/>
      <w:r w:rsidRPr="003C6924">
        <w:rPr>
          <w:rFonts w:eastAsia="宋体"/>
          <w:lang w:eastAsia="ar-SA" w:bidi="ar-SA"/>
        </w:rPr>
        <w:t>ascitic</w:t>
      </w:r>
      <w:proofErr w:type="spellEnd"/>
      <w:r w:rsidRPr="003C6924">
        <w:rPr>
          <w:rFonts w:eastAsia="宋体"/>
          <w:lang w:eastAsia="ar-SA" w:bidi="ar-SA"/>
        </w:rPr>
        <w:t xml:space="preserve"> fluid total protein (r=0.31</w:t>
      </w:r>
      <w:r w:rsidR="00352E4D">
        <w:rPr>
          <w:rFonts w:eastAsia="宋体"/>
          <w:lang w:eastAsia="ar-SA" w:bidi="ar-SA"/>
        </w:rPr>
        <w:t>,</w:t>
      </w:r>
      <w:r w:rsidRPr="003C6924">
        <w:rPr>
          <w:rFonts w:eastAsia="宋体"/>
          <w:lang w:eastAsia="ar-SA" w:bidi="ar-SA"/>
        </w:rPr>
        <w:t xml:space="preserve"> r=0.30</w:t>
      </w:r>
      <w:r w:rsidR="00352E4D">
        <w:rPr>
          <w:rFonts w:eastAsia="宋体"/>
          <w:lang w:eastAsia="ar-SA" w:bidi="ar-SA"/>
        </w:rPr>
        <w:t xml:space="preserve"> </w:t>
      </w:r>
      <w:r w:rsidRPr="003C6924">
        <w:rPr>
          <w:rFonts w:eastAsia="宋体"/>
          <w:lang w:eastAsia="ar-SA" w:bidi="ar-SA"/>
        </w:rPr>
        <w:t>respectively ).</w:t>
      </w:r>
    </w:p>
    <w:p w:rsidR="008B4A84" w:rsidRPr="003C6924" w:rsidRDefault="008B4A84" w:rsidP="003C6924">
      <w:pPr>
        <w:suppressAutoHyphens/>
        <w:snapToGrid w:val="0"/>
        <w:ind w:right="0" w:firstLine="425"/>
        <w:jc w:val="both"/>
        <w:rPr>
          <w:rFonts w:eastAsia="宋体" w:hint="eastAsia"/>
          <w:lang w:eastAsia="zh-CN" w:bidi="ar-SA"/>
        </w:rPr>
      </w:pPr>
      <w:r w:rsidRPr="003C6924">
        <w:rPr>
          <w:rFonts w:eastAsia="宋体"/>
          <w:lang w:eastAsia="ar-SA" w:bidi="ar-SA"/>
        </w:rPr>
        <w:lastRenderedPageBreak/>
        <w:t xml:space="preserve">In this study, AFP in serum and </w:t>
      </w:r>
      <w:proofErr w:type="spellStart"/>
      <w:r w:rsidRPr="003C6924">
        <w:rPr>
          <w:rFonts w:eastAsia="宋体"/>
          <w:lang w:eastAsia="ar-SA" w:bidi="ar-SA"/>
        </w:rPr>
        <w:t>ascitic</w:t>
      </w:r>
      <w:proofErr w:type="spellEnd"/>
      <w:r w:rsidRPr="003C6924">
        <w:rPr>
          <w:rFonts w:eastAsia="宋体"/>
          <w:lang w:eastAsia="ar-SA" w:bidi="ar-SA"/>
        </w:rPr>
        <w:t xml:space="preserve"> fluid showed significantly higher levels in malignant group HCC compared to non malignant group, and there was a highly significant direct positive correlation between the level of AFP in serum and </w:t>
      </w:r>
      <w:proofErr w:type="spellStart"/>
      <w:r w:rsidRPr="003C6924">
        <w:rPr>
          <w:rFonts w:eastAsia="宋体"/>
          <w:lang w:eastAsia="ar-SA" w:bidi="ar-SA"/>
        </w:rPr>
        <w:t>ascitic</w:t>
      </w:r>
      <w:proofErr w:type="spellEnd"/>
      <w:r w:rsidRPr="003C6924">
        <w:rPr>
          <w:rFonts w:eastAsia="宋体"/>
          <w:lang w:eastAsia="ar-SA" w:bidi="ar-SA"/>
        </w:rPr>
        <w:t xml:space="preserve"> fluid in </w:t>
      </w:r>
      <w:r w:rsidRPr="003C6924">
        <w:rPr>
          <w:rFonts w:eastAsia="宋体"/>
          <w:lang w:eastAsia="ar-SA" w:bidi="ar-SA"/>
        </w:rPr>
        <w:lastRenderedPageBreak/>
        <w:t>patients HCC where they run parallel to each other with correlation coefficient r=0.74</w:t>
      </w:r>
      <w:r w:rsidR="00352E4D">
        <w:rPr>
          <w:rFonts w:eastAsia="宋体" w:hint="eastAsia"/>
          <w:lang w:eastAsia="zh-CN" w:bidi="ar-SA"/>
        </w:rPr>
        <w:t>.</w:t>
      </w:r>
    </w:p>
    <w:p w:rsidR="008B4A84" w:rsidRPr="003C6924" w:rsidRDefault="008B4A84" w:rsidP="003C6924">
      <w:pPr>
        <w:suppressAutoHyphens/>
        <w:snapToGrid w:val="0"/>
        <w:ind w:right="0" w:firstLine="425"/>
        <w:jc w:val="both"/>
        <w:rPr>
          <w:rFonts w:eastAsia="宋体" w:hint="eastAsia"/>
          <w:lang w:eastAsia="zh-CN" w:bidi="ar-SA"/>
        </w:rPr>
      </w:pPr>
      <w:r w:rsidRPr="003C6924">
        <w:rPr>
          <w:rFonts w:eastAsia="宋体"/>
          <w:lang w:eastAsia="ar-SA" w:bidi="ar-SA"/>
        </w:rPr>
        <w:t xml:space="preserve">Sensitivity of in AFP in serum was 56.7% and in </w:t>
      </w:r>
      <w:proofErr w:type="spellStart"/>
      <w:r w:rsidRPr="003C6924">
        <w:rPr>
          <w:rFonts w:eastAsia="宋体"/>
          <w:lang w:eastAsia="ar-SA" w:bidi="ar-SA"/>
        </w:rPr>
        <w:t>ascitic</w:t>
      </w:r>
      <w:proofErr w:type="spellEnd"/>
      <w:r w:rsidRPr="003C6924">
        <w:rPr>
          <w:rFonts w:eastAsia="宋体"/>
          <w:lang w:eastAsia="ar-SA" w:bidi="ar-SA"/>
        </w:rPr>
        <w:t xml:space="preserve"> fluid was (76.6%), this suggests that in HCC with elevated AFP in </w:t>
      </w:r>
      <w:proofErr w:type="spellStart"/>
      <w:r w:rsidRPr="003C6924">
        <w:rPr>
          <w:rFonts w:eastAsia="宋体"/>
          <w:lang w:eastAsia="ar-SA" w:bidi="ar-SA"/>
        </w:rPr>
        <w:t>ascitic</w:t>
      </w:r>
      <w:proofErr w:type="spellEnd"/>
      <w:r w:rsidRPr="003C6924">
        <w:rPr>
          <w:rFonts w:eastAsia="宋体"/>
          <w:lang w:eastAsia="ar-SA" w:bidi="ar-SA"/>
        </w:rPr>
        <w:t xml:space="preserve"> fluid, there is an active process of secretion of AFP in </w:t>
      </w:r>
      <w:proofErr w:type="spellStart"/>
      <w:r w:rsidRPr="003C6924">
        <w:rPr>
          <w:rFonts w:eastAsia="宋体"/>
          <w:lang w:eastAsia="ar-SA" w:bidi="ar-SA"/>
        </w:rPr>
        <w:t>ascitic</w:t>
      </w:r>
      <w:proofErr w:type="spellEnd"/>
      <w:r w:rsidRPr="003C6924">
        <w:rPr>
          <w:rFonts w:eastAsia="宋体"/>
          <w:lang w:eastAsia="ar-SA" w:bidi="ar-SA"/>
        </w:rPr>
        <w:t xml:space="preserve"> fluid from the tumor into the peritoneal cavity and not simple transudation of AFP from serum to </w:t>
      </w:r>
      <w:proofErr w:type="spellStart"/>
      <w:r w:rsidRPr="003C6924">
        <w:rPr>
          <w:rFonts w:eastAsia="宋体"/>
          <w:lang w:eastAsia="ar-SA" w:bidi="ar-SA"/>
        </w:rPr>
        <w:t>ascitic</w:t>
      </w:r>
      <w:proofErr w:type="spellEnd"/>
      <w:r w:rsidRPr="003C6924">
        <w:rPr>
          <w:rFonts w:eastAsia="宋体"/>
          <w:lang w:eastAsia="ar-SA" w:bidi="ar-SA"/>
        </w:rPr>
        <w:t xml:space="preserve"> fluid</w:t>
      </w:r>
      <w:r w:rsidR="00352E4D">
        <w:rPr>
          <w:rFonts w:eastAsia="宋体" w:hint="eastAsia"/>
          <w:lang w:eastAsia="zh-CN" w:bidi="ar-SA"/>
        </w:rPr>
        <w:t>.</w:t>
      </w:r>
    </w:p>
    <w:p w:rsidR="00352E4D" w:rsidRPr="00352E4D" w:rsidRDefault="008B4A84" w:rsidP="003C6924">
      <w:pPr>
        <w:suppressAutoHyphens/>
        <w:snapToGrid w:val="0"/>
        <w:ind w:right="0" w:firstLine="425"/>
        <w:jc w:val="both"/>
        <w:rPr>
          <w:rFonts w:eastAsiaTheme="minorEastAsia" w:hint="eastAsia"/>
          <w:lang w:eastAsia="zh-CN"/>
        </w:rPr>
      </w:pPr>
      <w:r w:rsidRPr="003C6924">
        <w:rPr>
          <w:rFonts w:eastAsia="宋体"/>
          <w:lang w:eastAsia="ar-SA" w:bidi="ar-SA"/>
        </w:rPr>
        <w:t>Our study revealed significant higher levels of serum T.LDH in malignant group compared to non- malignant groups. Due to LD production from anaerobic metabolism as well as from damage caused by the expansive growth of the tumor</w:t>
      </w:r>
      <w:r w:rsidR="00352E4D">
        <w:rPr>
          <w:rFonts w:eastAsia="宋体"/>
          <w:lang w:eastAsia="ar-SA" w:bidi="ar-SA"/>
        </w:rPr>
        <w:t>,</w:t>
      </w:r>
      <w:r w:rsidRPr="003C6924">
        <w:rPr>
          <w:rFonts w:eastAsia="宋体"/>
          <w:lang w:eastAsia="ar-SA" w:bidi="ar-SA"/>
        </w:rPr>
        <w:t xml:space="preserve"> all LD fractions (LD1, LD2, LD3, LD4 and LD5) were usually elevated in malignancies involving the liver This constellation may be considered characteristic of malignant liver disease. Also, high percentage of LD5 in malignant group were observed than those of non- malignant groups</w:t>
      </w:r>
      <w:r w:rsidR="00352E4D">
        <w:rPr>
          <w:rFonts w:eastAsia="宋体"/>
          <w:lang w:eastAsia="ar-SA" w:bidi="ar-SA"/>
        </w:rPr>
        <w:t>,</w:t>
      </w:r>
      <w:r w:rsidRPr="003C6924">
        <w:rPr>
          <w:rFonts w:eastAsia="宋体"/>
          <w:lang w:eastAsia="ar-SA" w:bidi="ar-SA"/>
        </w:rPr>
        <w:t xml:space="preserve"> this is due to predominance LD5 in </w:t>
      </w:r>
      <w:proofErr w:type="spellStart"/>
      <w:r w:rsidRPr="003C6924">
        <w:rPr>
          <w:rFonts w:eastAsia="宋体"/>
          <w:lang w:eastAsia="ar-SA" w:bidi="ar-SA"/>
        </w:rPr>
        <w:t>hepatocytes</w:t>
      </w:r>
      <w:proofErr w:type="spellEnd"/>
      <w:r w:rsidRPr="003C6924">
        <w:rPr>
          <w:rFonts w:eastAsia="宋体"/>
          <w:lang w:eastAsia="ar-SA" w:bidi="ar-SA"/>
        </w:rPr>
        <w:t xml:space="preserve"> and therefore the activity of this fraction in serum is abnormally high in liver damage</w:t>
      </w:r>
      <w:r w:rsidR="00C65861">
        <w:rPr>
          <w:rFonts w:eastAsia="宋体" w:hint="eastAsia"/>
          <w:lang w:eastAsia="zh-CN" w:bidi="ar-SA"/>
        </w:rPr>
        <w:t xml:space="preserve"> </w:t>
      </w:r>
      <w:r w:rsidRPr="003C6924">
        <w:rPr>
          <w:rFonts w:eastAsia="宋体"/>
          <w:lang w:eastAsia="ar-SA" w:bidi="ar-SA"/>
        </w:rPr>
        <w:t xml:space="preserve">our study revealed significant higher levels of </w:t>
      </w:r>
      <w:proofErr w:type="spellStart"/>
      <w:r w:rsidRPr="003C6924">
        <w:rPr>
          <w:rFonts w:eastAsia="宋体"/>
          <w:lang w:eastAsia="ar-SA" w:bidi="ar-SA"/>
        </w:rPr>
        <w:t>ascitic</w:t>
      </w:r>
      <w:proofErr w:type="spellEnd"/>
      <w:r w:rsidRPr="003C6924">
        <w:rPr>
          <w:rFonts w:eastAsia="宋体"/>
          <w:lang w:eastAsia="ar-SA" w:bidi="ar-SA"/>
        </w:rPr>
        <w:t xml:space="preserve"> T.LDH in malignant group compared to non malignant groups (liver cirrhosis &amp; tuberculosis peritonitis).Also, </w:t>
      </w:r>
      <w:proofErr w:type="spellStart"/>
      <w:r w:rsidRPr="003C6924">
        <w:rPr>
          <w:rFonts w:eastAsia="宋体"/>
          <w:lang w:eastAsia="ar-SA" w:bidi="ar-SA"/>
        </w:rPr>
        <w:t>ascitic</w:t>
      </w:r>
      <w:proofErr w:type="spellEnd"/>
      <w:r w:rsidRPr="003C6924">
        <w:rPr>
          <w:rFonts w:eastAsia="宋体"/>
          <w:lang w:eastAsia="ar-SA" w:bidi="ar-SA"/>
        </w:rPr>
        <w:t xml:space="preserve"> total LDH demonstrated high diagnostic sensitivity 70 % and specificity 95 % than serum total LDH which showed sensitivity and specificity 53 %, 92 % respectively in malignant group</w:t>
      </w:r>
      <w:r w:rsidRPr="003C6924">
        <w:t>.</w:t>
      </w:r>
    </w:p>
    <w:p w:rsidR="00C65861" w:rsidRPr="00C65861" w:rsidRDefault="00C65861" w:rsidP="003C6924">
      <w:pPr>
        <w:suppressAutoHyphens/>
        <w:snapToGrid w:val="0"/>
        <w:ind w:right="0" w:firstLine="425"/>
        <w:jc w:val="both"/>
        <w:rPr>
          <w:rFonts w:eastAsiaTheme="minorEastAsia"/>
          <w:lang w:eastAsia="zh-CN"/>
        </w:rPr>
      </w:pPr>
    </w:p>
    <w:p w:rsidR="00E6153A" w:rsidRDefault="00D058AB" w:rsidP="003C6924">
      <w:pPr>
        <w:suppressAutoHyphens/>
        <w:snapToGrid w:val="0"/>
        <w:ind w:right="0" w:firstLine="0"/>
        <w:jc w:val="both"/>
        <w:rPr>
          <w:rFonts w:eastAsiaTheme="minorEastAsia"/>
          <w:b/>
          <w:bCs/>
          <w:lang w:eastAsia="zh-CN"/>
        </w:rPr>
      </w:pPr>
      <w:r w:rsidRPr="00D058AB">
        <w:rPr>
          <w:rFonts w:eastAsiaTheme="minorEastAsia"/>
          <w:b/>
          <w:bCs/>
          <w:lang w:eastAsia="zh-CN"/>
        </w:rPr>
        <w:pict>
          <v:shape id="_x0000_i1027" type="#_x0000_t75" style="width:3in;height:145.5pt">
            <v:imagedata r:id="rId18" o:title=""/>
          </v:shape>
        </w:pict>
      </w:r>
    </w:p>
    <w:p w:rsidR="0035452E" w:rsidRPr="003C6924" w:rsidRDefault="0035452E" w:rsidP="003C6924">
      <w:pPr>
        <w:suppressAutoHyphens/>
        <w:snapToGrid w:val="0"/>
        <w:ind w:right="0" w:firstLine="0"/>
        <w:jc w:val="both"/>
      </w:pPr>
      <w:r w:rsidRPr="003C6924">
        <w:rPr>
          <w:b/>
          <w:bCs/>
        </w:rPr>
        <w:t>Picture (2)</w:t>
      </w:r>
      <w:r w:rsidR="00E6153A" w:rsidRPr="003C6924">
        <w:rPr>
          <w:b/>
          <w:bCs/>
        </w:rPr>
        <w:t>:</w:t>
      </w:r>
      <w:r w:rsidRPr="003C6924">
        <w:t xml:space="preserve"> Serum Lactate </w:t>
      </w:r>
      <w:proofErr w:type="spellStart"/>
      <w:r w:rsidRPr="003C6924">
        <w:t>Dehydrogenase</w:t>
      </w:r>
      <w:proofErr w:type="spellEnd"/>
      <w:r w:rsidRPr="003C6924">
        <w:t xml:space="preserve"> </w:t>
      </w:r>
      <w:proofErr w:type="spellStart"/>
      <w:r w:rsidRPr="003C6924">
        <w:t>Isoenzyme</w:t>
      </w:r>
      <w:proofErr w:type="spellEnd"/>
      <w:r w:rsidRPr="003C6924">
        <w:t xml:space="preserve"> Patterns Separated on 1% </w:t>
      </w:r>
      <w:proofErr w:type="spellStart"/>
      <w:r w:rsidRPr="003C6924">
        <w:t>Agarose</w:t>
      </w:r>
      <w:proofErr w:type="spellEnd"/>
      <w:r w:rsidR="00352E4D">
        <w:t xml:space="preserve"> </w:t>
      </w:r>
      <w:r w:rsidRPr="003C6924">
        <w:t>pH.8.6</w:t>
      </w:r>
    </w:p>
    <w:p w:rsidR="003C6924" w:rsidRDefault="003C6924" w:rsidP="003C6924">
      <w:pPr>
        <w:suppressAutoHyphens/>
        <w:snapToGrid w:val="0"/>
        <w:ind w:right="0" w:firstLine="425"/>
        <w:jc w:val="both"/>
        <w:rPr>
          <w:rFonts w:eastAsia="宋体" w:hint="eastAsia"/>
          <w:lang w:eastAsia="zh-CN" w:bidi="ar-SA"/>
        </w:rPr>
      </w:pPr>
    </w:p>
    <w:p w:rsidR="00352E4D" w:rsidRPr="00C65861" w:rsidRDefault="00352E4D" w:rsidP="003C6924">
      <w:pPr>
        <w:suppressAutoHyphens/>
        <w:snapToGrid w:val="0"/>
        <w:ind w:right="0" w:firstLine="425"/>
        <w:jc w:val="both"/>
        <w:rPr>
          <w:rFonts w:eastAsia="宋体"/>
          <w:lang w:eastAsia="zh-CN" w:bidi="ar-SA"/>
        </w:rPr>
      </w:pPr>
    </w:p>
    <w:p w:rsidR="008B4A84" w:rsidRPr="003C6924" w:rsidRDefault="00352E4D" w:rsidP="00352E4D">
      <w:pPr>
        <w:suppressAutoHyphens/>
        <w:snapToGrid w:val="0"/>
        <w:ind w:right="0" w:firstLine="425"/>
        <w:jc w:val="both"/>
        <w:rPr>
          <w:rFonts w:eastAsia="宋体"/>
          <w:lang w:eastAsia="ar-SA" w:bidi="ar-SA"/>
        </w:rPr>
      </w:pPr>
      <w:r>
        <w:rPr>
          <w:rFonts w:eastAsia="宋体" w:hint="eastAsia"/>
          <w:lang w:eastAsia="zh-CN" w:bidi="ar-SA"/>
        </w:rPr>
        <w:t>A</w:t>
      </w:r>
      <w:r w:rsidR="008B4A84" w:rsidRPr="003C6924">
        <w:rPr>
          <w:rFonts w:eastAsia="宋体"/>
          <w:lang w:eastAsia="ar-SA" w:bidi="ar-SA"/>
        </w:rPr>
        <w:t xml:space="preserve"> lower percentage of LD1 were detected in malignant </w:t>
      </w:r>
      <w:proofErr w:type="spellStart"/>
      <w:r w:rsidR="008B4A84" w:rsidRPr="003C6924">
        <w:rPr>
          <w:rFonts w:eastAsia="宋体"/>
          <w:lang w:eastAsia="ar-SA" w:bidi="ar-SA"/>
        </w:rPr>
        <w:t>ascites</w:t>
      </w:r>
      <w:proofErr w:type="spellEnd"/>
      <w:r w:rsidR="008B4A84" w:rsidRPr="003C6924">
        <w:rPr>
          <w:rFonts w:eastAsia="宋体"/>
          <w:lang w:eastAsia="ar-SA" w:bidi="ar-SA"/>
        </w:rPr>
        <w:t xml:space="preserve"> group (16.6%) than non-malignant </w:t>
      </w:r>
      <w:proofErr w:type="spellStart"/>
      <w:r w:rsidR="008B4A84" w:rsidRPr="003C6924">
        <w:rPr>
          <w:rFonts w:eastAsia="宋体"/>
          <w:lang w:eastAsia="ar-SA" w:bidi="ar-SA"/>
        </w:rPr>
        <w:t>ascites</w:t>
      </w:r>
      <w:proofErr w:type="spellEnd"/>
      <w:r w:rsidR="008B4A84" w:rsidRPr="003C6924">
        <w:rPr>
          <w:rFonts w:eastAsia="宋体"/>
          <w:lang w:eastAsia="ar-SA" w:bidi="ar-SA"/>
        </w:rPr>
        <w:t xml:space="preserve"> group (liver cirrhosis 24.8 %</w:t>
      </w:r>
      <w:r>
        <w:rPr>
          <w:rFonts w:eastAsia="宋体"/>
          <w:lang w:eastAsia="ar-SA" w:bidi="ar-SA"/>
        </w:rPr>
        <w:t xml:space="preserve"> </w:t>
      </w:r>
      <w:r w:rsidR="008B4A84" w:rsidRPr="003C6924">
        <w:rPr>
          <w:rFonts w:eastAsia="宋体"/>
          <w:lang w:eastAsia="ar-SA" w:bidi="ar-SA"/>
        </w:rPr>
        <w:t xml:space="preserve">and tuberculosis peritonitis 22.3%). Also highest percentage of LD3 activity was detected in patients with tuberculosis peritonitis (29.8 %) when compared to malignant group (22.5 %), liver cirrhosis group (17.8 %). This could be due to LDH </w:t>
      </w:r>
      <w:proofErr w:type="spellStart"/>
      <w:r w:rsidR="008B4A84" w:rsidRPr="003C6924">
        <w:rPr>
          <w:rFonts w:eastAsia="宋体"/>
          <w:lang w:eastAsia="ar-SA" w:bidi="ar-SA"/>
        </w:rPr>
        <w:t>isoenzymes</w:t>
      </w:r>
      <w:proofErr w:type="spellEnd"/>
      <w:r w:rsidR="008B4A84" w:rsidRPr="003C6924">
        <w:rPr>
          <w:rFonts w:eastAsia="宋体"/>
          <w:lang w:eastAsia="ar-SA" w:bidi="ar-SA"/>
        </w:rPr>
        <w:t xml:space="preserve"> may be released </w:t>
      </w:r>
      <w:r w:rsidR="008B4A84" w:rsidRPr="003C6924">
        <w:rPr>
          <w:rFonts w:eastAsia="宋体"/>
          <w:lang w:eastAsia="ar-SA" w:bidi="ar-SA"/>
        </w:rPr>
        <w:lastRenderedPageBreak/>
        <w:t xml:space="preserve">from cells that have infiltrated the body fluid other than </w:t>
      </w:r>
      <w:proofErr w:type="spellStart"/>
      <w:r w:rsidR="008B4A84" w:rsidRPr="003C6924">
        <w:rPr>
          <w:rFonts w:eastAsia="宋体"/>
          <w:lang w:eastAsia="ar-SA" w:bidi="ar-SA"/>
        </w:rPr>
        <w:t>serum.For</w:t>
      </w:r>
      <w:proofErr w:type="spellEnd"/>
      <w:r w:rsidR="008B4A84" w:rsidRPr="003C6924">
        <w:rPr>
          <w:rFonts w:eastAsia="宋体"/>
          <w:lang w:eastAsia="ar-SA" w:bidi="ar-SA"/>
        </w:rPr>
        <w:t xml:space="preserve"> example, in viral and </w:t>
      </w:r>
      <w:proofErr w:type="spellStart"/>
      <w:r w:rsidR="008B4A84" w:rsidRPr="003C6924">
        <w:rPr>
          <w:rFonts w:eastAsia="宋体"/>
          <w:lang w:eastAsia="ar-SA" w:bidi="ar-SA"/>
        </w:rPr>
        <w:t>tuberculous</w:t>
      </w:r>
      <w:proofErr w:type="spellEnd"/>
      <w:r w:rsidR="008B4A84" w:rsidRPr="003C6924">
        <w:rPr>
          <w:rFonts w:eastAsia="宋体"/>
          <w:lang w:eastAsia="ar-SA" w:bidi="ar-SA"/>
        </w:rPr>
        <w:t xml:space="preserve"> meningitis causing </w:t>
      </w:r>
      <w:proofErr w:type="spellStart"/>
      <w:proofErr w:type="gramStart"/>
      <w:r w:rsidR="008B4A84" w:rsidRPr="003C6924">
        <w:rPr>
          <w:rFonts w:eastAsia="宋体"/>
          <w:lang w:eastAsia="ar-SA" w:bidi="ar-SA"/>
        </w:rPr>
        <w:t>lymphocytosis</w:t>
      </w:r>
      <w:proofErr w:type="spellEnd"/>
      <w:r w:rsidR="008B4A84" w:rsidRPr="003C6924">
        <w:rPr>
          <w:rFonts w:eastAsia="宋体"/>
          <w:lang w:eastAsia="ar-SA" w:bidi="ar-SA"/>
        </w:rPr>
        <w:t>,</w:t>
      </w:r>
      <w:proofErr w:type="gramEnd"/>
      <w:r w:rsidR="008B4A84" w:rsidRPr="003C6924">
        <w:rPr>
          <w:rFonts w:eastAsia="宋体"/>
          <w:lang w:eastAsia="ar-SA" w:bidi="ar-SA"/>
        </w:rPr>
        <w:t xml:space="preserve"> it may </w:t>
      </w:r>
      <w:proofErr w:type="spellStart"/>
      <w:r w:rsidR="008B4A84" w:rsidRPr="003C6924">
        <w:rPr>
          <w:rFonts w:eastAsia="宋体"/>
          <w:lang w:eastAsia="ar-SA" w:bidi="ar-SA"/>
        </w:rPr>
        <w:t>creat</w:t>
      </w:r>
      <w:proofErr w:type="spellEnd"/>
      <w:r w:rsidR="008B4A84" w:rsidRPr="003C6924">
        <w:rPr>
          <w:rFonts w:eastAsia="宋体"/>
          <w:lang w:eastAsia="ar-SA" w:bidi="ar-SA"/>
        </w:rPr>
        <w:t xml:space="preserve"> an elevation of LD1 through LD3.</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Alkaline </w:t>
      </w:r>
      <w:proofErr w:type="spellStart"/>
      <w:r w:rsidRPr="003C6924">
        <w:rPr>
          <w:rFonts w:eastAsia="宋体"/>
          <w:lang w:eastAsia="ar-SA" w:bidi="ar-SA"/>
        </w:rPr>
        <w:t>phosphatas</w:t>
      </w:r>
      <w:proofErr w:type="spellEnd"/>
      <w:r w:rsidRPr="003C6924">
        <w:rPr>
          <w:rFonts w:eastAsia="宋体"/>
          <w:lang w:eastAsia="ar-SA" w:bidi="ar-SA"/>
        </w:rPr>
        <w:t xml:space="preserve"> (ALP) is an important enzyme mainly derived from the liver, bones and minute amounts from intestines, placenta and kidneys. In our study, the serum alkaline </w:t>
      </w:r>
      <w:proofErr w:type="spellStart"/>
      <w:r w:rsidRPr="003C6924">
        <w:rPr>
          <w:rFonts w:eastAsia="宋体"/>
          <w:lang w:eastAsia="ar-SA" w:bidi="ar-SA"/>
        </w:rPr>
        <w:t>phosphatase</w:t>
      </w:r>
      <w:proofErr w:type="spellEnd"/>
      <w:r w:rsidRPr="003C6924">
        <w:rPr>
          <w:rFonts w:eastAsia="宋体"/>
          <w:lang w:eastAsia="ar-SA" w:bidi="ar-SA"/>
        </w:rPr>
        <w:t xml:space="preserve"> activity rises in many types of liver disease, the highest levels being seen in patients with obstruction to the flow of intra-hepatic space occupying lesions such as primary liver tumors.</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In the present study, serum ALP activities increased in malignant patients HCC than the patients with non-malignant disease. The enzyme activities of ALP make useful and practical contribution to the diagnosis of malignant cases. Furthermore, </w:t>
      </w:r>
      <w:proofErr w:type="spellStart"/>
      <w:r w:rsidRPr="003C6924">
        <w:rPr>
          <w:rFonts w:eastAsia="宋体"/>
          <w:lang w:eastAsia="ar-SA" w:bidi="ar-SA"/>
        </w:rPr>
        <w:t>isoenzyme</w:t>
      </w:r>
      <w:proofErr w:type="spellEnd"/>
      <w:r w:rsidRPr="003C6924">
        <w:rPr>
          <w:rFonts w:eastAsia="宋体"/>
          <w:lang w:eastAsia="ar-SA" w:bidi="ar-SA"/>
        </w:rPr>
        <w:t xml:space="preserve"> pattern of ALP gave more accurate picture of the involved organ either the liver or the bone. Also, the </w:t>
      </w:r>
      <w:proofErr w:type="spellStart"/>
      <w:r w:rsidRPr="003C6924">
        <w:rPr>
          <w:rFonts w:eastAsia="宋体"/>
          <w:lang w:eastAsia="ar-SA" w:bidi="ar-SA"/>
        </w:rPr>
        <w:t>isoenzyme</w:t>
      </w:r>
      <w:proofErr w:type="spellEnd"/>
      <w:r w:rsidRPr="003C6924">
        <w:rPr>
          <w:rFonts w:eastAsia="宋体"/>
          <w:lang w:eastAsia="ar-SA" w:bidi="ar-SA"/>
        </w:rPr>
        <w:t xml:space="preserve"> pattern of ALP in the ascetic fluid is useful in the diagnosis of malignant patients.</w:t>
      </w:r>
    </w:p>
    <w:p w:rsidR="003072D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However, </w:t>
      </w:r>
      <w:r w:rsidRPr="003C6924">
        <w:t>this</w:t>
      </w:r>
      <w:r w:rsidRPr="003C6924">
        <w:rPr>
          <w:rFonts w:eastAsia="宋体"/>
          <w:lang w:eastAsia="ar-SA" w:bidi="ar-SA"/>
        </w:rPr>
        <w:t xml:space="preserve"> could be identified of the </w:t>
      </w:r>
      <w:proofErr w:type="spellStart"/>
      <w:r w:rsidRPr="003C6924">
        <w:rPr>
          <w:rFonts w:eastAsia="宋体"/>
          <w:lang w:eastAsia="ar-SA" w:bidi="ar-SA"/>
        </w:rPr>
        <w:t>isoenzymes</w:t>
      </w:r>
      <w:proofErr w:type="spellEnd"/>
      <w:r w:rsidRPr="003C6924">
        <w:rPr>
          <w:rFonts w:eastAsia="宋体"/>
          <w:lang w:eastAsia="ar-SA" w:bidi="ar-SA"/>
        </w:rPr>
        <w:t xml:space="preserve"> by means of PAGE, heat inactivation and chemical inhibition methods to determine the origin of the enzyme in serum, which in our studied groups was mainly from liver indicating that the liver is affected to certain extent in some cases (probably early stage </w:t>
      </w:r>
      <w:r w:rsidRPr="003C6924">
        <w:t xml:space="preserve">of </w:t>
      </w:r>
      <w:proofErr w:type="spellStart"/>
      <w:r w:rsidRPr="003C6924">
        <w:t>hepatocellular</w:t>
      </w:r>
      <w:proofErr w:type="spellEnd"/>
      <w:r w:rsidRPr="003C6924">
        <w:t xml:space="preserve"> carcinoma) perhaps coul</w:t>
      </w:r>
      <w:r w:rsidR="003072D4" w:rsidRPr="003C6924">
        <w:t xml:space="preserve">d be due to partial </w:t>
      </w:r>
      <w:proofErr w:type="spellStart"/>
      <w:r w:rsidR="003072D4" w:rsidRPr="003C6924">
        <w:t>cholestasis</w:t>
      </w:r>
      <w:proofErr w:type="spellEnd"/>
      <w:r w:rsidRPr="003C6924">
        <w:t>.</w:t>
      </w:r>
    </w:p>
    <w:p w:rsidR="003072D4" w:rsidRDefault="003072D4" w:rsidP="003C6924">
      <w:pPr>
        <w:suppressAutoHyphens/>
        <w:snapToGrid w:val="0"/>
        <w:ind w:right="0" w:firstLine="425"/>
        <w:jc w:val="both"/>
        <w:rPr>
          <w:rFonts w:eastAsia="宋体"/>
          <w:lang w:eastAsia="zh-CN" w:bidi="ar-SA"/>
        </w:rPr>
      </w:pPr>
      <w:r w:rsidRPr="003C6924">
        <w:rPr>
          <w:rFonts w:eastAsia="宋体"/>
          <w:lang w:eastAsia="ar-SA" w:bidi="ar-SA"/>
        </w:rPr>
        <w:t xml:space="preserve">Our </w:t>
      </w:r>
      <w:r w:rsidRPr="003C6924">
        <w:t>results</w:t>
      </w:r>
      <w:r w:rsidRPr="003C6924">
        <w:rPr>
          <w:rFonts w:eastAsia="宋体"/>
          <w:lang w:eastAsia="ar-SA" w:bidi="ar-SA"/>
        </w:rPr>
        <w:t xml:space="preserve"> showed that I.ALP was not detected in healthy controls but was detected in 14 out of 25 (56 %) of patients with cirrhosis and in 3 out of 30 (10 %) of patients with malignant group HCC and 8 out of 15 (53 %) of TB patients by electrophoresis and confirmed by the high values of L-phenylalanine percent inhibition.</w:t>
      </w:r>
    </w:p>
    <w:p w:rsidR="00C65861" w:rsidRPr="003C6924" w:rsidRDefault="00C65861" w:rsidP="003C6924">
      <w:pPr>
        <w:suppressAutoHyphens/>
        <w:snapToGrid w:val="0"/>
        <w:ind w:right="0" w:firstLine="425"/>
        <w:jc w:val="both"/>
        <w:rPr>
          <w:rFonts w:eastAsia="宋体"/>
          <w:lang w:eastAsia="zh-CN" w:bidi="ar-SA"/>
        </w:rPr>
      </w:pPr>
    </w:p>
    <w:p w:rsidR="000E0F95" w:rsidRPr="003C6924" w:rsidRDefault="00D058AB" w:rsidP="003C6924">
      <w:pPr>
        <w:suppressAutoHyphens/>
        <w:snapToGrid w:val="0"/>
        <w:ind w:right="0" w:firstLine="0"/>
        <w:jc w:val="center"/>
      </w:pPr>
      <w:r>
        <w:pict>
          <v:shape id="_x0000_i1028" type="#_x0000_t75" style="width:224.25pt;height:130.5pt" o:allowoverlap="f">
            <v:imagedata r:id="rId19" o:title="Dr" croptop="6155f" cropbottom="5665f"/>
          </v:shape>
        </w:pict>
      </w:r>
    </w:p>
    <w:p w:rsidR="000E0F95" w:rsidRPr="003C6924" w:rsidRDefault="000E0F95" w:rsidP="003C6924">
      <w:pPr>
        <w:suppressAutoHyphens/>
        <w:snapToGrid w:val="0"/>
        <w:ind w:right="0" w:firstLine="0"/>
        <w:jc w:val="both"/>
      </w:pPr>
      <w:r w:rsidRPr="003C6924">
        <w:rPr>
          <w:b/>
          <w:bCs/>
        </w:rPr>
        <w:t xml:space="preserve">Picture (3): </w:t>
      </w:r>
      <w:proofErr w:type="spellStart"/>
      <w:r w:rsidRPr="003C6924">
        <w:t>Polyacrylamide</w:t>
      </w:r>
      <w:proofErr w:type="spellEnd"/>
      <w:r w:rsidRPr="003C6924">
        <w:t xml:space="preserve"> gel Electrophoresis of Alkaline </w:t>
      </w:r>
      <w:proofErr w:type="spellStart"/>
      <w:r w:rsidRPr="003C6924">
        <w:t>Phosphatase</w:t>
      </w:r>
      <w:proofErr w:type="spellEnd"/>
      <w:r w:rsidRPr="003C6924">
        <w:t xml:space="preserve"> </w:t>
      </w:r>
      <w:proofErr w:type="spellStart"/>
      <w:r w:rsidRPr="003C6924">
        <w:t>isoforms</w:t>
      </w:r>
      <w:proofErr w:type="spellEnd"/>
      <w:r w:rsidRPr="003C6924">
        <w:t xml:space="preserve"> in serum sample of healthy control</w:t>
      </w:r>
      <w:r w:rsidR="00352E4D">
        <w:t>,</w:t>
      </w:r>
      <w:r w:rsidRPr="003C6924">
        <w:t xml:space="preserve"> at pH 9.5 which showed the effect of partial digestion with </w:t>
      </w:r>
      <w:proofErr w:type="spellStart"/>
      <w:r w:rsidRPr="003C6924">
        <w:t>neuramindase</w:t>
      </w:r>
      <w:proofErr w:type="spellEnd"/>
      <w:r w:rsidRPr="003C6924">
        <w:t xml:space="preserve"> on </w:t>
      </w:r>
      <w:proofErr w:type="spellStart"/>
      <w:r w:rsidRPr="003C6924">
        <w:t>Electrophoretic</w:t>
      </w:r>
      <w:proofErr w:type="spellEnd"/>
      <w:r w:rsidRPr="003C6924">
        <w:t xml:space="preserve"> </w:t>
      </w:r>
      <w:proofErr w:type="spellStart"/>
      <w:r w:rsidRPr="003C6924">
        <w:t>mobilities</w:t>
      </w:r>
      <w:proofErr w:type="spellEnd"/>
      <w:r w:rsidRPr="003C6924">
        <w:t xml:space="preserve"> of bone and liver </w:t>
      </w:r>
      <w:proofErr w:type="spellStart"/>
      <w:r w:rsidRPr="003C6924">
        <w:t>phosphatases</w:t>
      </w:r>
      <w:proofErr w:type="spellEnd"/>
      <w:r w:rsidRPr="003C6924">
        <w:t>.</w:t>
      </w:r>
    </w:p>
    <w:p w:rsidR="000E0F95" w:rsidRDefault="000E0F95" w:rsidP="003C6924">
      <w:pPr>
        <w:snapToGrid w:val="0"/>
        <w:ind w:right="0" w:firstLine="425"/>
        <w:jc w:val="both"/>
        <w:rPr>
          <w:rFonts w:eastAsiaTheme="minorEastAsia" w:hint="eastAsia"/>
          <w:lang w:eastAsia="zh-CN"/>
        </w:rPr>
      </w:pPr>
    </w:p>
    <w:p w:rsidR="00352E4D" w:rsidRPr="00352E4D" w:rsidRDefault="00352E4D" w:rsidP="003C6924">
      <w:pPr>
        <w:snapToGrid w:val="0"/>
        <w:ind w:right="0" w:firstLine="425"/>
        <w:jc w:val="both"/>
        <w:rPr>
          <w:rFonts w:eastAsiaTheme="minorEastAsia" w:hint="eastAsia"/>
          <w:lang w:eastAsia="zh-CN"/>
        </w:rPr>
      </w:pP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Our study showed that </w:t>
      </w:r>
      <w:proofErr w:type="spellStart"/>
      <w:r w:rsidRPr="003C6924">
        <w:rPr>
          <w:rFonts w:eastAsia="宋体"/>
          <w:lang w:eastAsia="ar-SA" w:bidi="ar-SA"/>
        </w:rPr>
        <w:t>ascitic</w:t>
      </w:r>
      <w:proofErr w:type="spellEnd"/>
      <w:r w:rsidRPr="003C6924">
        <w:rPr>
          <w:rFonts w:eastAsia="宋体"/>
          <w:lang w:eastAsia="ar-SA" w:bidi="ar-SA"/>
        </w:rPr>
        <w:t xml:space="preserve"> T.ALP was elevated in malignant group than non malignant group. A level 91.1 U/L of </w:t>
      </w:r>
      <w:proofErr w:type="spellStart"/>
      <w:r w:rsidRPr="003C6924">
        <w:rPr>
          <w:rFonts w:eastAsia="宋体"/>
          <w:lang w:eastAsia="ar-SA" w:bidi="ar-SA"/>
        </w:rPr>
        <w:t>ascitic</w:t>
      </w:r>
      <w:proofErr w:type="spellEnd"/>
      <w:r w:rsidRPr="003C6924">
        <w:rPr>
          <w:rFonts w:eastAsia="宋体"/>
          <w:lang w:eastAsia="ar-SA" w:bidi="ar-SA"/>
        </w:rPr>
        <w:t xml:space="preserve"> alkaline </w:t>
      </w:r>
      <w:proofErr w:type="spellStart"/>
      <w:r w:rsidRPr="003C6924">
        <w:rPr>
          <w:rFonts w:eastAsia="宋体"/>
          <w:lang w:eastAsia="ar-SA" w:bidi="ar-SA"/>
        </w:rPr>
        <w:t>phosphatase</w:t>
      </w:r>
      <w:proofErr w:type="spellEnd"/>
      <w:r w:rsidRPr="003C6924">
        <w:rPr>
          <w:rFonts w:eastAsia="宋体"/>
          <w:lang w:eastAsia="ar-SA" w:bidi="ar-SA"/>
        </w:rPr>
        <w:t xml:space="preserve"> can be considered a cut off level separating patients with malignant </w:t>
      </w:r>
      <w:proofErr w:type="spellStart"/>
      <w:r w:rsidRPr="003C6924">
        <w:rPr>
          <w:rFonts w:eastAsia="宋体"/>
          <w:lang w:eastAsia="ar-SA" w:bidi="ar-SA"/>
        </w:rPr>
        <w:t>ascites</w:t>
      </w:r>
      <w:proofErr w:type="spellEnd"/>
      <w:r w:rsidRPr="003C6924">
        <w:rPr>
          <w:rFonts w:eastAsia="宋体"/>
          <w:lang w:eastAsia="ar-SA" w:bidi="ar-SA"/>
        </w:rPr>
        <w:t xml:space="preserve"> HCC from patients with non-malignant </w:t>
      </w:r>
      <w:proofErr w:type="spellStart"/>
      <w:r w:rsidRPr="003C6924">
        <w:rPr>
          <w:rFonts w:eastAsia="宋体"/>
          <w:lang w:eastAsia="ar-SA" w:bidi="ar-SA"/>
        </w:rPr>
        <w:t>ascites</w:t>
      </w:r>
      <w:proofErr w:type="spellEnd"/>
      <w:r w:rsidRPr="003C6924">
        <w:rPr>
          <w:rFonts w:eastAsia="宋体"/>
          <w:lang w:eastAsia="ar-SA" w:bidi="ar-SA"/>
        </w:rPr>
        <w:t xml:space="preserve"> (liver cirrhosis and TB) with a high sensitivity 100 % and specificity 97.5 %.</w:t>
      </w:r>
    </w:p>
    <w:p w:rsidR="008B4A84" w:rsidRPr="003C6924" w:rsidRDefault="008B4A84" w:rsidP="003C6924">
      <w:pPr>
        <w:suppressAutoHyphens/>
        <w:snapToGrid w:val="0"/>
        <w:ind w:right="0" w:firstLine="425"/>
        <w:jc w:val="both"/>
        <w:rPr>
          <w:rFonts w:eastAsia="宋体"/>
          <w:lang w:eastAsia="ar-SA" w:bidi="ar-SA"/>
        </w:rPr>
      </w:pPr>
      <w:r w:rsidRPr="003C6924">
        <w:rPr>
          <w:rFonts w:eastAsia="宋体"/>
          <w:lang w:eastAsia="ar-SA" w:bidi="ar-SA"/>
        </w:rPr>
        <w:t xml:space="preserve">The </w:t>
      </w:r>
      <w:proofErr w:type="spellStart"/>
      <w:r w:rsidRPr="003C6924">
        <w:rPr>
          <w:rFonts w:eastAsia="宋体"/>
          <w:lang w:eastAsia="ar-SA" w:bidi="ar-SA"/>
        </w:rPr>
        <w:t>electrophoretogram</w:t>
      </w:r>
      <w:proofErr w:type="spellEnd"/>
      <w:r w:rsidRPr="003C6924">
        <w:rPr>
          <w:rFonts w:eastAsia="宋体"/>
          <w:lang w:eastAsia="ar-SA" w:bidi="ar-SA"/>
        </w:rPr>
        <w:t xml:space="preserve"> of the </w:t>
      </w:r>
      <w:proofErr w:type="spellStart"/>
      <w:r w:rsidRPr="003C6924">
        <w:rPr>
          <w:rFonts w:eastAsia="宋体"/>
          <w:lang w:eastAsia="ar-SA" w:bidi="ar-SA"/>
        </w:rPr>
        <w:t>ascitic</w:t>
      </w:r>
      <w:proofErr w:type="spellEnd"/>
      <w:r w:rsidRPr="003C6924">
        <w:rPr>
          <w:rFonts w:eastAsia="宋体"/>
          <w:lang w:eastAsia="ar-SA" w:bidi="ar-SA"/>
        </w:rPr>
        <w:t xml:space="preserve"> fluid showed one main band (liver </w:t>
      </w:r>
      <w:proofErr w:type="spellStart"/>
      <w:r w:rsidRPr="003C6924">
        <w:rPr>
          <w:rFonts w:eastAsia="宋体"/>
          <w:lang w:eastAsia="ar-SA" w:bidi="ar-SA"/>
        </w:rPr>
        <w:t>isoenzyme</w:t>
      </w:r>
      <w:proofErr w:type="spellEnd"/>
      <w:r w:rsidRPr="003C6924">
        <w:rPr>
          <w:rFonts w:eastAsia="宋体"/>
          <w:lang w:eastAsia="ar-SA" w:bidi="ar-SA"/>
        </w:rPr>
        <w:t xml:space="preserve">) and in some cases the intestinal </w:t>
      </w:r>
      <w:proofErr w:type="spellStart"/>
      <w:r w:rsidRPr="003C6924">
        <w:rPr>
          <w:rFonts w:eastAsia="宋体"/>
          <w:lang w:eastAsia="ar-SA" w:bidi="ar-SA"/>
        </w:rPr>
        <w:t>isoenzyme</w:t>
      </w:r>
      <w:proofErr w:type="spellEnd"/>
      <w:r w:rsidRPr="003C6924">
        <w:rPr>
          <w:rFonts w:eastAsia="宋体"/>
          <w:lang w:eastAsia="ar-SA" w:bidi="ar-SA"/>
        </w:rPr>
        <w:t xml:space="preserve"> was found in</w:t>
      </w:r>
      <w:r w:rsidR="00352E4D">
        <w:rPr>
          <w:rFonts w:eastAsia="宋体" w:hint="eastAsia"/>
          <w:lang w:eastAsia="zh-CN" w:bidi="ar-SA"/>
        </w:rPr>
        <w:t xml:space="preserve"> </w:t>
      </w:r>
      <w:r w:rsidRPr="003C6924">
        <w:rPr>
          <w:rFonts w:eastAsia="宋体"/>
          <w:lang w:eastAsia="ar-SA" w:bidi="ar-SA"/>
        </w:rPr>
        <w:t>(23.3%</w:t>
      </w:r>
      <w:r w:rsidR="00352E4D">
        <w:rPr>
          <w:rFonts w:eastAsia="宋体" w:hint="eastAsia"/>
          <w:lang w:eastAsia="zh-CN" w:bidi="ar-SA"/>
        </w:rPr>
        <w:t xml:space="preserve"> </w:t>
      </w:r>
      <w:r w:rsidRPr="003C6924">
        <w:rPr>
          <w:rFonts w:eastAsia="宋体"/>
          <w:lang w:eastAsia="ar-SA" w:bidi="ar-SA"/>
        </w:rPr>
        <w:t>malignant,</w:t>
      </w:r>
      <w:r w:rsidR="00352E4D">
        <w:rPr>
          <w:rFonts w:eastAsia="宋体" w:hint="eastAsia"/>
          <w:lang w:eastAsia="zh-CN" w:bidi="ar-SA"/>
        </w:rPr>
        <w:t xml:space="preserve"> </w:t>
      </w:r>
      <w:r w:rsidRPr="003C6924">
        <w:rPr>
          <w:rFonts w:eastAsia="宋体"/>
          <w:lang w:eastAsia="ar-SA" w:bidi="ar-SA"/>
        </w:rPr>
        <w:t>52% cirrhosis and 73.3%TB)</w:t>
      </w:r>
      <w:proofErr w:type="gramStart"/>
      <w:r w:rsidRPr="003C6924">
        <w:rPr>
          <w:rFonts w:eastAsia="宋体"/>
          <w:lang w:eastAsia="ar-SA" w:bidi="ar-SA"/>
        </w:rPr>
        <w:t>,the</w:t>
      </w:r>
      <w:proofErr w:type="gramEnd"/>
      <w:r w:rsidRPr="003C6924">
        <w:rPr>
          <w:rFonts w:eastAsia="宋体"/>
          <w:lang w:eastAsia="ar-SA" w:bidi="ar-SA"/>
        </w:rPr>
        <w:t xml:space="preserve"> presence of the intestinal </w:t>
      </w:r>
      <w:proofErr w:type="spellStart"/>
      <w:r w:rsidRPr="003C6924">
        <w:rPr>
          <w:rFonts w:eastAsia="宋体"/>
          <w:lang w:eastAsia="ar-SA" w:bidi="ar-SA"/>
        </w:rPr>
        <w:t>isoenzyme</w:t>
      </w:r>
      <w:proofErr w:type="spellEnd"/>
      <w:r w:rsidRPr="003C6924">
        <w:rPr>
          <w:rFonts w:eastAsia="宋体"/>
          <w:lang w:eastAsia="ar-SA" w:bidi="ar-SA"/>
        </w:rPr>
        <w:t xml:space="preserve"> was confirmed by the high values of L-phenylalanine percent inhibition.</w:t>
      </w:r>
    </w:p>
    <w:p w:rsidR="008B4A84" w:rsidRPr="003C6924" w:rsidRDefault="008B4A84" w:rsidP="003C6924">
      <w:pPr>
        <w:suppressAutoHyphens/>
        <w:snapToGrid w:val="0"/>
        <w:ind w:right="0" w:firstLine="425"/>
        <w:jc w:val="both"/>
        <w:rPr>
          <w:rFonts w:eastAsia="宋体" w:hint="eastAsia"/>
          <w:lang w:eastAsia="zh-CN" w:bidi="ar-SA"/>
        </w:rPr>
      </w:pPr>
      <w:r w:rsidRPr="003C6924">
        <w:rPr>
          <w:rFonts w:eastAsia="宋体"/>
          <w:lang w:eastAsia="ar-SA" w:bidi="ar-SA"/>
        </w:rPr>
        <w:t xml:space="preserve">Our results showed that all non-malignant cases (liver cirrhosis and TB peritonitis) were negative for malignant cells cytology (100%). A positive cytology for malignant cells were detected in 5/30 cases (16%), while 25/30 cases (84%) showed a negative cytology in malignant group HCC but proved by CT guided biopsy as malignancy. The low positively of </w:t>
      </w:r>
      <w:proofErr w:type="spellStart"/>
      <w:r w:rsidRPr="003C6924">
        <w:rPr>
          <w:rFonts w:eastAsia="宋体"/>
          <w:lang w:eastAsia="ar-SA" w:bidi="ar-SA"/>
        </w:rPr>
        <w:t>ascitic</w:t>
      </w:r>
      <w:proofErr w:type="spellEnd"/>
      <w:r w:rsidRPr="003C6924">
        <w:rPr>
          <w:rFonts w:eastAsia="宋体"/>
          <w:lang w:eastAsia="ar-SA" w:bidi="ar-SA"/>
        </w:rPr>
        <w:t xml:space="preserve"> fluid cytology reflects to the limited tendency of HCC to metastasize to the peritoneum</w:t>
      </w:r>
      <w:r w:rsidR="00352E4D">
        <w:rPr>
          <w:rFonts w:eastAsia="宋体" w:hint="eastAsia"/>
          <w:lang w:eastAsia="zh-CN" w:bidi="ar-SA"/>
        </w:rPr>
        <w:t>.</w:t>
      </w:r>
    </w:p>
    <w:p w:rsidR="008B4A84" w:rsidRPr="003C6924" w:rsidRDefault="008B4A84" w:rsidP="003C6924">
      <w:pPr>
        <w:suppressAutoHyphens/>
        <w:snapToGrid w:val="0"/>
        <w:ind w:right="0" w:firstLine="425"/>
        <w:jc w:val="both"/>
        <w:rPr>
          <w:rFonts w:eastAsia="宋体"/>
          <w:lang w:eastAsia="ar-SA" w:bidi="ar-SA"/>
        </w:rPr>
      </w:pPr>
      <w:proofErr w:type="spellStart"/>
      <w:r w:rsidRPr="003C6924">
        <w:rPr>
          <w:rFonts w:eastAsia="宋体"/>
          <w:lang w:eastAsia="ar-SA" w:bidi="ar-SA"/>
        </w:rPr>
        <w:t>ascitic</w:t>
      </w:r>
      <w:proofErr w:type="spellEnd"/>
      <w:r w:rsidRPr="003C6924">
        <w:rPr>
          <w:rFonts w:eastAsia="宋体"/>
          <w:lang w:eastAsia="ar-SA" w:bidi="ar-SA"/>
        </w:rPr>
        <w:t xml:space="preserve"> total leukocyte count (TLC) showed no significant difference between the malignant and liver cirrhotic group where all cases of these groups showed </w:t>
      </w:r>
      <w:proofErr w:type="spellStart"/>
      <w:r w:rsidRPr="003C6924">
        <w:rPr>
          <w:rFonts w:eastAsia="宋体"/>
          <w:lang w:eastAsia="ar-SA" w:bidi="ar-SA"/>
        </w:rPr>
        <w:t>ascitic</w:t>
      </w:r>
      <w:proofErr w:type="spellEnd"/>
      <w:r w:rsidRPr="003C6924">
        <w:rPr>
          <w:rFonts w:eastAsia="宋体"/>
          <w:lang w:eastAsia="ar-SA" w:bidi="ar-SA"/>
        </w:rPr>
        <w:t xml:space="preserve"> TLC &lt; 500 mm3 except two cases of the malignant HCC showed TLC &gt; 500 mm3. These cases were probably due to the presence of malignant cells as their cytology gave positive results.</w:t>
      </w:r>
    </w:p>
    <w:p w:rsidR="00390175" w:rsidRPr="003C6924" w:rsidRDefault="008B4A84" w:rsidP="003C6924">
      <w:pPr>
        <w:suppressAutoHyphens/>
        <w:snapToGrid w:val="0"/>
        <w:ind w:right="0" w:firstLine="425"/>
        <w:jc w:val="both"/>
        <w:rPr>
          <w:rFonts w:eastAsia="宋体"/>
          <w:lang w:eastAsia="ar-SA" w:bidi="ar-SA"/>
        </w:rPr>
      </w:pPr>
      <w:proofErr w:type="spellStart"/>
      <w:r w:rsidRPr="003C6924">
        <w:rPr>
          <w:rFonts w:eastAsia="宋体"/>
          <w:lang w:eastAsia="ar-SA" w:bidi="ar-SA"/>
        </w:rPr>
        <w:t>Ascitic</w:t>
      </w:r>
      <w:proofErr w:type="spellEnd"/>
      <w:r w:rsidRPr="003C6924">
        <w:rPr>
          <w:rFonts w:eastAsia="宋体"/>
          <w:lang w:eastAsia="ar-SA" w:bidi="ar-SA"/>
        </w:rPr>
        <w:t xml:space="preserve"> total leukocyte count TLC in tuberculosis peritonitis group showed TLC &gt; 500 mm3 in all cases of this group. The elevation of TLC is usually due to many lymphocytes and some polymorphs</w:t>
      </w:r>
      <w:r w:rsidR="00386A8A" w:rsidRPr="003C6924">
        <w:rPr>
          <w:rFonts w:eastAsia="宋体"/>
          <w:lang w:eastAsia="ar-SA" w:bidi="ar-SA"/>
        </w:rPr>
        <w:t>.</w:t>
      </w:r>
    </w:p>
    <w:p w:rsidR="00386A8A" w:rsidRPr="003C6924" w:rsidRDefault="00386A8A" w:rsidP="003C6924">
      <w:pPr>
        <w:suppressAutoHyphens/>
        <w:snapToGrid w:val="0"/>
        <w:ind w:right="0" w:firstLine="425"/>
        <w:jc w:val="both"/>
        <w:rPr>
          <w:rFonts w:eastAsia="宋体"/>
          <w:lang w:eastAsia="ar-SA" w:bidi="ar-SA"/>
        </w:rPr>
      </w:pPr>
      <w:r w:rsidRPr="003C6924">
        <w:rPr>
          <w:rFonts w:eastAsia="宋体"/>
          <w:lang w:eastAsia="ar-SA" w:bidi="ar-SA"/>
        </w:rPr>
        <w:t xml:space="preserve">Finally, the study recommend that the values of some biochemical parameters could be used to point out to the diagnosis of the malignant and non malignant cases (i.e. SAAG, </w:t>
      </w:r>
      <w:r w:rsidR="003072D4" w:rsidRPr="003C6924">
        <w:rPr>
          <w:rFonts w:eastAsia="宋体"/>
          <w:lang w:eastAsia="ar-SA" w:bidi="ar-SA"/>
        </w:rPr>
        <w:t xml:space="preserve">total </w:t>
      </w:r>
      <w:r w:rsidRPr="003C6924">
        <w:rPr>
          <w:rFonts w:eastAsia="宋体"/>
          <w:lang w:eastAsia="ar-SA" w:bidi="ar-SA"/>
        </w:rPr>
        <w:t xml:space="preserve">ALP, </w:t>
      </w:r>
      <w:r w:rsidR="003072D4" w:rsidRPr="003C6924">
        <w:rPr>
          <w:rFonts w:eastAsia="宋体"/>
          <w:lang w:eastAsia="ar-SA" w:bidi="ar-SA"/>
        </w:rPr>
        <w:t>total</w:t>
      </w:r>
      <w:r w:rsidR="00352E4D">
        <w:rPr>
          <w:rFonts w:eastAsia="宋体"/>
          <w:lang w:eastAsia="ar-SA" w:bidi="ar-SA"/>
        </w:rPr>
        <w:t xml:space="preserve"> </w:t>
      </w:r>
      <w:r w:rsidRPr="003C6924">
        <w:rPr>
          <w:rFonts w:eastAsia="宋体"/>
          <w:lang w:eastAsia="ar-SA" w:bidi="ar-SA"/>
        </w:rPr>
        <w:t>LDH, LD</w:t>
      </w:r>
      <w:r w:rsidR="003072D4" w:rsidRPr="003C6924">
        <w:rPr>
          <w:rFonts w:eastAsia="宋体"/>
          <w:lang w:eastAsia="ar-SA" w:bidi="ar-SA"/>
        </w:rPr>
        <w:t>H</w:t>
      </w:r>
      <w:r w:rsidRPr="003C6924">
        <w:rPr>
          <w:rFonts w:eastAsia="宋体"/>
          <w:lang w:eastAsia="ar-SA" w:bidi="ar-SA"/>
        </w:rPr>
        <w:t xml:space="preserve"> </w:t>
      </w:r>
      <w:proofErr w:type="spellStart"/>
      <w:r w:rsidRPr="003C6924">
        <w:rPr>
          <w:rFonts w:eastAsia="宋体"/>
          <w:lang w:eastAsia="ar-SA" w:bidi="ar-SA"/>
        </w:rPr>
        <w:t>isoenzymes</w:t>
      </w:r>
      <w:proofErr w:type="spellEnd"/>
      <w:r w:rsidRPr="003C6924">
        <w:rPr>
          <w:rFonts w:eastAsia="宋体"/>
          <w:lang w:eastAsia="ar-SA" w:bidi="ar-SA"/>
        </w:rPr>
        <w:t>, AFP)</w:t>
      </w:r>
      <w:r w:rsidR="003072D4" w:rsidRPr="003C6924">
        <w:rPr>
          <w:rFonts w:eastAsia="宋体"/>
          <w:lang w:eastAsia="ar-SA" w:bidi="ar-SA"/>
        </w:rPr>
        <w:t xml:space="preserve"> </w:t>
      </w:r>
      <w:r w:rsidRPr="003C6924">
        <w:rPr>
          <w:rFonts w:eastAsia="宋体"/>
          <w:lang w:eastAsia="ar-SA" w:bidi="ar-SA"/>
        </w:rPr>
        <w:t xml:space="preserve">and proved to be the promising parameters in differentiating malignant and non malignant </w:t>
      </w:r>
      <w:proofErr w:type="spellStart"/>
      <w:r w:rsidRPr="003C6924">
        <w:rPr>
          <w:rFonts w:eastAsia="宋体"/>
          <w:lang w:eastAsia="ar-SA" w:bidi="ar-SA"/>
        </w:rPr>
        <w:t>ascites</w:t>
      </w:r>
      <w:proofErr w:type="spellEnd"/>
      <w:r w:rsidRPr="003C6924">
        <w:rPr>
          <w:rFonts w:eastAsia="宋体"/>
          <w:lang w:eastAsia="ar-SA" w:bidi="ar-SA"/>
        </w:rPr>
        <w:t>.</w:t>
      </w:r>
    </w:p>
    <w:p w:rsidR="00386A8A" w:rsidRPr="003C6924" w:rsidRDefault="00386A8A" w:rsidP="003C6924">
      <w:pPr>
        <w:suppressAutoHyphens/>
        <w:snapToGrid w:val="0"/>
        <w:ind w:right="0" w:firstLine="425"/>
        <w:jc w:val="both"/>
        <w:rPr>
          <w:rFonts w:eastAsia="宋体"/>
          <w:lang w:eastAsia="ar-SA" w:bidi="ar-SA"/>
        </w:rPr>
      </w:pPr>
      <w:r w:rsidRPr="003C6924">
        <w:rPr>
          <w:rFonts w:eastAsia="宋体"/>
          <w:lang w:eastAsia="ar-SA" w:bidi="ar-SA"/>
        </w:rPr>
        <w:t xml:space="preserve">Also, the combined use of </w:t>
      </w:r>
      <w:proofErr w:type="spellStart"/>
      <w:r w:rsidRPr="003C6924">
        <w:rPr>
          <w:rFonts w:eastAsia="宋体"/>
          <w:lang w:eastAsia="ar-SA" w:bidi="ar-SA"/>
        </w:rPr>
        <w:t>ascites</w:t>
      </w:r>
      <w:proofErr w:type="spellEnd"/>
      <w:r w:rsidRPr="003C6924">
        <w:rPr>
          <w:rFonts w:eastAsia="宋体"/>
          <w:lang w:eastAsia="ar-SA" w:bidi="ar-SA"/>
        </w:rPr>
        <w:t xml:space="preserve"> ADA (86.7%) as well as PCR (93.3%) achieve the highest sensitivity (100%) making them useful tools for screening patients with </w:t>
      </w:r>
      <w:r w:rsidR="00C34993" w:rsidRPr="003C6924">
        <w:rPr>
          <w:rFonts w:eastAsia="宋体"/>
          <w:lang w:eastAsia="ar-SA" w:bidi="ar-SA"/>
        </w:rPr>
        <w:t>tuberculosis (</w:t>
      </w:r>
      <w:r w:rsidRPr="003C6924">
        <w:rPr>
          <w:rFonts w:eastAsia="宋体"/>
          <w:lang w:eastAsia="ar-SA" w:bidi="ar-SA"/>
        </w:rPr>
        <w:t>TB</w:t>
      </w:r>
      <w:r w:rsidR="00C34993" w:rsidRPr="003C6924">
        <w:rPr>
          <w:rFonts w:eastAsia="宋体"/>
          <w:lang w:eastAsia="ar-SA" w:bidi="ar-SA"/>
        </w:rPr>
        <w:t>)</w:t>
      </w:r>
      <w:r w:rsidR="00352E4D">
        <w:rPr>
          <w:rFonts w:eastAsia="宋体"/>
          <w:lang w:eastAsia="ar-SA" w:bidi="ar-SA"/>
        </w:rPr>
        <w:t>.</w:t>
      </w:r>
    </w:p>
    <w:p w:rsidR="00E74530" w:rsidRDefault="00E74530" w:rsidP="003C6924">
      <w:pPr>
        <w:snapToGrid w:val="0"/>
        <w:ind w:right="0" w:firstLine="0"/>
        <w:jc w:val="both"/>
        <w:rPr>
          <w:rFonts w:eastAsiaTheme="minorEastAsia" w:hint="eastAsia"/>
          <w:lang w:eastAsia="zh-CN"/>
        </w:rPr>
      </w:pPr>
    </w:p>
    <w:p w:rsidR="00352E4D" w:rsidRPr="00352E4D" w:rsidRDefault="00352E4D" w:rsidP="003C6924">
      <w:pPr>
        <w:snapToGrid w:val="0"/>
        <w:ind w:right="0" w:firstLine="0"/>
        <w:jc w:val="both"/>
        <w:rPr>
          <w:rFonts w:eastAsiaTheme="minorEastAsia" w:hint="eastAsia"/>
          <w:lang w:eastAsia="zh-CN"/>
        </w:rPr>
      </w:pPr>
    </w:p>
    <w:p w:rsidR="006C0750" w:rsidRPr="003C6924" w:rsidRDefault="006C0750" w:rsidP="003C6924">
      <w:pPr>
        <w:suppressAutoHyphens/>
        <w:snapToGrid w:val="0"/>
        <w:ind w:right="0" w:firstLine="0"/>
        <w:jc w:val="both"/>
        <w:rPr>
          <w:b/>
          <w:bCs/>
          <w:lang w:val="fr-FR"/>
        </w:rPr>
      </w:pPr>
      <w:r w:rsidRPr="003C6924">
        <w:rPr>
          <w:rFonts w:eastAsia="宋体"/>
          <w:b/>
          <w:lang w:eastAsia="ar-SA" w:bidi="ar-SA"/>
        </w:rPr>
        <w:t>References</w:t>
      </w:r>
      <w:r w:rsidRPr="003C6924">
        <w:rPr>
          <w:b/>
          <w:bCs/>
          <w:lang w:val="fr-FR"/>
        </w:rPr>
        <w:t>:</w:t>
      </w:r>
    </w:p>
    <w:p w:rsidR="00283C38" w:rsidRPr="003C6924" w:rsidRDefault="00283C38"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Byrnes V, Chopra</w:t>
      </w:r>
      <w:r w:rsidR="00E1180D" w:rsidRPr="003C6924">
        <w:rPr>
          <w:rFonts w:eastAsia="宋体"/>
          <w:lang w:eastAsia="ar-SA" w:bidi="ar-SA"/>
        </w:rPr>
        <w:t xml:space="preserve"> S</w:t>
      </w:r>
      <w:r w:rsidRPr="003C6924">
        <w:rPr>
          <w:rFonts w:eastAsia="宋体"/>
          <w:lang w:eastAsia="ar-SA" w:bidi="ar-SA"/>
        </w:rPr>
        <w:t xml:space="preserve">: </w:t>
      </w:r>
      <w:proofErr w:type="spellStart"/>
      <w:r w:rsidRPr="003C6924">
        <w:rPr>
          <w:rFonts w:eastAsia="宋体"/>
          <w:lang w:eastAsia="ar-SA" w:bidi="ar-SA"/>
        </w:rPr>
        <w:t>Tuberculous</w:t>
      </w:r>
      <w:proofErr w:type="spellEnd"/>
      <w:r w:rsidRPr="003C6924">
        <w:rPr>
          <w:rFonts w:eastAsia="宋体"/>
          <w:lang w:eastAsia="ar-SA" w:bidi="ar-SA"/>
        </w:rPr>
        <w:t xml:space="preserve"> peritonitis. In: </w:t>
      </w:r>
      <w:proofErr w:type="spellStart"/>
      <w:r w:rsidRPr="003C6924">
        <w:rPr>
          <w:rFonts w:eastAsia="宋体"/>
          <w:lang w:eastAsia="ar-SA" w:bidi="ar-SA"/>
        </w:rPr>
        <w:t>UpToDate</w:t>
      </w:r>
      <w:proofErr w:type="spellEnd"/>
      <w:r w:rsidRPr="003C6924">
        <w:rPr>
          <w:rFonts w:eastAsia="宋体"/>
          <w:lang w:eastAsia="ar-SA" w:bidi="ar-SA"/>
        </w:rPr>
        <w:t>, Post,</w:t>
      </w:r>
      <w:r w:rsidR="00EC23F9" w:rsidRPr="003C6924">
        <w:rPr>
          <w:rFonts w:eastAsia="宋体"/>
          <w:lang w:eastAsia="ar-SA" w:bidi="ar-SA"/>
        </w:rPr>
        <w:t xml:space="preserve"> BA, ed. </w:t>
      </w:r>
      <w:proofErr w:type="spellStart"/>
      <w:r w:rsidR="00EC23F9" w:rsidRPr="003C6924">
        <w:rPr>
          <w:rFonts w:eastAsia="宋体"/>
          <w:lang w:eastAsia="ar-SA" w:bidi="ar-SA"/>
        </w:rPr>
        <w:t>UpToDate</w:t>
      </w:r>
      <w:proofErr w:type="spellEnd"/>
      <w:r w:rsidR="00EC23F9" w:rsidRPr="003C6924">
        <w:rPr>
          <w:rFonts w:eastAsia="宋体"/>
          <w:lang w:eastAsia="ar-SA" w:bidi="ar-SA"/>
        </w:rPr>
        <w:t xml:space="preserve">, Waltham, MA; </w:t>
      </w:r>
      <w:r w:rsidR="00E1180D" w:rsidRPr="003C6924">
        <w:rPr>
          <w:rFonts w:eastAsia="宋体"/>
          <w:lang w:eastAsia="ar-SA" w:bidi="ar-SA"/>
        </w:rPr>
        <w:t xml:space="preserve">(2014) </w:t>
      </w:r>
      <w:r w:rsidR="00EC23F9" w:rsidRPr="003C6924">
        <w:rPr>
          <w:rFonts w:eastAsia="宋体"/>
          <w:lang w:eastAsia="ar-SA" w:bidi="ar-SA"/>
        </w:rPr>
        <w:t>25: 79-80</w:t>
      </w:r>
    </w:p>
    <w:p w:rsidR="002200FE"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0" w:history="1">
        <w:proofErr w:type="spellStart"/>
        <w:r w:rsidR="00F140F0" w:rsidRPr="003C6924">
          <w:rPr>
            <w:rFonts w:eastAsia="宋体"/>
            <w:lang w:eastAsia="ar-SA" w:bidi="ar-SA"/>
          </w:rPr>
          <w:t>Colli</w:t>
        </w:r>
        <w:proofErr w:type="spellEnd"/>
        <w:r w:rsidR="00F140F0" w:rsidRPr="003C6924">
          <w:rPr>
            <w:rFonts w:eastAsia="宋体"/>
            <w:lang w:eastAsia="ar-SA" w:bidi="ar-SA"/>
          </w:rPr>
          <w:t xml:space="preserve"> A, </w:t>
        </w:r>
        <w:proofErr w:type="spellStart"/>
        <w:r w:rsidR="00F140F0" w:rsidRPr="003C6924">
          <w:rPr>
            <w:rFonts w:eastAsia="宋体"/>
            <w:lang w:eastAsia="ar-SA" w:bidi="ar-SA"/>
          </w:rPr>
          <w:t>Cocciolo</w:t>
        </w:r>
        <w:proofErr w:type="spellEnd"/>
        <w:r w:rsidR="00F140F0" w:rsidRPr="003C6924">
          <w:rPr>
            <w:rFonts w:eastAsia="宋体"/>
            <w:lang w:eastAsia="ar-SA" w:bidi="ar-SA"/>
          </w:rPr>
          <w:t xml:space="preserve"> M, Riva C, </w:t>
        </w:r>
        <w:proofErr w:type="spellStart"/>
        <w:r w:rsidR="00F140F0" w:rsidRPr="003C6924">
          <w:rPr>
            <w:rFonts w:eastAsia="宋体"/>
            <w:lang w:eastAsia="ar-SA" w:bidi="ar-SA"/>
          </w:rPr>
          <w:t>Marcassoli</w:t>
        </w:r>
        <w:proofErr w:type="spellEnd"/>
        <w:r w:rsidR="00F140F0" w:rsidRPr="003C6924">
          <w:rPr>
            <w:rFonts w:eastAsia="宋体"/>
            <w:lang w:eastAsia="ar-SA" w:bidi="ar-SA"/>
          </w:rPr>
          <w:t xml:space="preserve"> L, </w:t>
        </w:r>
        <w:proofErr w:type="spellStart"/>
        <w:r w:rsidR="00F140F0" w:rsidRPr="003C6924">
          <w:rPr>
            <w:rFonts w:eastAsia="宋体"/>
            <w:lang w:eastAsia="ar-SA" w:bidi="ar-SA"/>
          </w:rPr>
          <w:t>Pirola</w:t>
        </w:r>
        <w:proofErr w:type="spellEnd"/>
        <w:r w:rsidR="00F140F0" w:rsidRPr="003C6924">
          <w:rPr>
            <w:rFonts w:eastAsia="宋体"/>
            <w:lang w:eastAsia="ar-SA" w:bidi="ar-SA"/>
          </w:rPr>
          <w:t xml:space="preserve"> M, Di Gregorio P, </w:t>
        </w:r>
        <w:proofErr w:type="spellStart"/>
        <w:r w:rsidR="00F140F0" w:rsidRPr="003C6924">
          <w:rPr>
            <w:rFonts w:eastAsia="宋体"/>
            <w:lang w:eastAsia="ar-SA" w:bidi="ar-SA"/>
          </w:rPr>
          <w:t>Buccino</w:t>
        </w:r>
        <w:proofErr w:type="spellEnd"/>
        <w:r w:rsidR="00F140F0" w:rsidRPr="003C6924">
          <w:rPr>
            <w:rFonts w:eastAsia="宋体"/>
            <w:lang w:eastAsia="ar-SA" w:bidi="ar-SA"/>
          </w:rPr>
          <w:t xml:space="preserve"> G.</w:t>
        </w:r>
      </w:hyperlink>
      <w:r w:rsidR="00F140F0" w:rsidRPr="003C6924">
        <w:rPr>
          <w:rFonts w:eastAsia="宋体"/>
          <w:lang w:eastAsia="ar-SA" w:bidi="ar-SA"/>
        </w:rPr>
        <w:t xml:space="preserve">: </w:t>
      </w:r>
      <w:proofErr w:type="spellStart"/>
      <w:r w:rsidR="00F140F0" w:rsidRPr="003C6924">
        <w:rPr>
          <w:rFonts w:eastAsia="宋体"/>
          <w:lang w:eastAsia="ar-SA" w:bidi="ar-SA"/>
        </w:rPr>
        <w:t>Ascitic</w:t>
      </w:r>
      <w:proofErr w:type="spellEnd"/>
      <w:r w:rsidR="00F140F0" w:rsidRPr="003C6924">
        <w:rPr>
          <w:rFonts w:eastAsia="宋体"/>
          <w:lang w:eastAsia="ar-SA" w:bidi="ar-SA"/>
        </w:rPr>
        <w:t xml:space="preserve"> </w:t>
      </w:r>
      <w:r w:rsidR="00F140F0" w:rsidRPr="003C6924">
        <w:rPr>
          <w:rFonts w:eastAsia="宋体"/>
          <w:lang w:eastAsia="ar-SA" w:bidi="ar-SA"/>
        </w:rPr>
        <w:lastRenderedPageBreak/>
        <w:t xml:space="preserve">fluid analysis in </w:t>
      </w:r>
      <w:proofErr w:type="spellStart"/>
      <w:r w:rsidR="00F140F0" w:rsidRPr="003C6924">
        <w:rPr>
          <w:rFonts w:eastAsia="宋体"/>
          <w:lang w:eastAsia="ar-SA" w:bidi="ar-SA"/>
        </w:rPr>
        <w:t>hepatocellular</w:t>
      </w:r>
      <w:proofErr w:type="spellEnd"/>
      <w:r w:rsidR="00F140F0" w:rsidRPr="003C6924">
        <w:rPr>
          <w:rFonts w:eastAsia="宋体"/>
          <w:lang w:eastAsia="ar-SA" w:bidi="ar-SA"/>
        </w:rPr>
        <w:t xml:space="preserve"> carcinoma. Cancer., </w:t>
      </w:r>
      <w:r w:rsidR="00E1180D" w:rsidRPr="003C6924">
        <w:rPr>
          <w:rFonts w:eastAsia="宋体"/>
          <w:lang w:eastAsia="ar-SA" w:bidi="ar-SA"/>
        </w:rPr>
        <w:t>(1993)</w:t>
      </w:r>
      <w:r w:rsidR="00F140F0" w:rsidRPr="003C6924">
        <w:rPr>
          <w:rFonts w:eastAsia="宋体"/>
          <w:lang w:eastAsia="ar-SA" w:bidi="ar-SA"/>
        </w:rPr>
        <w:t>72(3):677-82</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Galen R.S.</w:t>
      </w:r>
      <w:r w:rsidR="00352E4D">
        <w:rPr>
          <w:rFonts w:eastAsia="宋体"/>
          <w:lang w:eastAsia="ar-SA" w:bidi="ar-SA"/>
        </w:rPr>
        <w:t>,</w:t>
      </w:r>
      <w:r w:rsidRPr="003C6924">
        <w:rPr>
          <w:rFonts w:eastAsia="宋体"/>
          <w:lang w:eastAsia="ar-SA" w:bidi="ar-SA"/>
        </w:rPr>
        <w:t xml:space="preserve"> </w:t>
      </w:r>
      <w:proofErr w:type="spellStart"/>
      <w:r w:rsidRPr="003C6924">
        <w:rPr>
          <w:rFonts w:eastAsia="宋体"/>
          <w:lang w:eastAsia="ar-SA" w:bidi="ar-SA"/>
        </w:rPr>
        <w:t>Gambino</w:t>
      </w:r>
      <w:proofErr w:type="spellEnd"/>
      <w:r w:rsidR="00352E4D">
        <w:rPr>
          <w:rFonts w:eastAsia="宋体" w:hint="eastAsia"/>
          <w:lang w:eastAsia="zh-CN" w:bidi="ar-SA"/>
        </w:rPr>
        <w:t xml:space="preserve"> </w:t>
      </w:r>
      <w:r w:rsidRPr="003C6924">
        <w:rPr>
          <w:rFonts w:eastAsia="宋体"/>
          <w:lang w:eastAsia="ar-SA" w:bidi="ar-SA"/>
        </w:rPr>
        <w:t>S.R.:</w:t>
      </w:r>
      <w:r w:rsidR="00352E4D">
        <w:rPr>
          <w:rFonts w:eastAsia="宋体" w:hint="eastAsia"/>
          <w:lang w:eastAsia="zh-CN" w:bidi="ar-SA"/>
        </w:rPr>
        <w:t xml:space="preserve"> </w:t>
      </w:r>
      <w:r w:rsidRPr="003C6924">
        <w:rPr>
          <w:rFonts w:eastAsia="宋体"/>
          <w:lang w:eastAsia="ar-SA" w:bidi="ar-SA"/>
        </w:rPr>
        <w:t>Sensitivity, specificity</w:t>
      </w:r>
      <w:r w:rsidR="00352E4D">
        <w:rPr>
          <w:rFonts w:eastAsia="宋体"/>
          <w:lang w:eastAsia="ar-SA" w:bidi="ar-SA"/>
        </w:rPr>
        <w:t>,</w:t>
      </w:r>
      <w:r w:rsidRPr="003C6924">
        <w:rPr>
          <w:rFonts w:eastAsia="宋体"/>
          <w:lang w:eastAsia="ar-SA" w:bidi="ar-SA"/>
        </w:rPr>
        <w:t xml:space="preserve"> prevalence and incidence</w:t>
      </w:r>
      <w:r w:rsidR="00352E4D">
        <w:rPr>
          <w:rFonts w:eastAsia="宋体"/>
          <w:lang w:eastAsia="ar-SA" w:bidi="ar-SA"/>
        </w:rPr>
        <w:t>:</w:t>
      </w:r>
      <w:r w:rsidR="00352E4D">
        <w:rPr>
          <w:rFonts w:eastAsia="宋体" w:hint="eastAsia"/>
          <w:lang w:eastAsia="zh-CN" w:bidi="ar-SA"/>
        </w:rPr>
        <w:t xml:space="preserve"> </w:t>
      </w:r>
      <w:r w:rsidRPr="003C6924">
        <w:rPr>
          <w:rFonts w:eastAsia="宋体"/>
          <w:lang w:eastAsia="ar-SA" w:bidi="ar-SA"/>
        </w:rPr>
        <w:t xml:space="preserve">In </w:t>
      </w:r>
      <w:proofErr w:type="spellStart"/>
      <w:r w:rsidRPr="003C6924">
        <w:rPr>
          <w:rFonts w:eastAsia="宋体"/>
          <w:lang w:eastAsia="ar-SA" w:bidi="ar-SA"/>
        </w:rPr>
        <w:t>Gambino</w:t>
      </w:r>
      <w:proofErr w:type="spellEnd"/>
      <w:r w:rsidRPr="003C6924">
        <w:rPr>
          <w:rFonts w:eastAsia="宋体"/>
          <w:lang w:eastAsia="ar-SA" w:bidi="ar-SA"/>
        </w:rPr>
        <w:t xml:space="preserve"> SR,</w:t>
      </w:r>
      <w:r w:rsidR="00352E4D">
        <w:rPr>
          <w:rFonts w:eastAsia="宋体" w:hint="eastAsia"/>
          <w:lang w:eastAsia="zh-CN" w:bidi="ar-SA"/>
        </w:rPr>
        <w:t xml:space="preserve"> </w:t>
      </w:r>
      <w:r w:rsidRPr="003C6924">
        <w:rPr>
          <w:rFonts w:eastAsia="宋体"/>
          <w:lang w:eastAsia="ar-SA" w:bidi="ar-SA"/>
        </w:rPr>
        <w:t>eds. Beyond normality:</w:t>
      </w:r>
      <w:r w:rsidR="00352E4D">
        <w:rPr>
          <w:rFonts w:eastAsia="宋体" w:hint="eastAsia"/>
          <w:lang w:eastAsia="zh-CN" w:bidi="ar-SA"/>
        </w:rPr>
        <w:t xml:space="preserve"> </w:t>
      </w:r>
      <w:r w:rsidRPr="003C6924">
        <w:rPr>
          <w:rFonts w:eastAsia="宋体"/>
          <w:lang w:eastAsia="ar-SA" w:bidi="ar-SA"/>
        </w:rPr>
        <w:t xml:space="preserve">the predictive value and efficiency of medical diagnoses. New </w:t>
      </w:r>
      <w:proofErr w:type="spellStart"/>
      <w:r w:rsidRPr="003C6924">
        <w:rPr>
          <w:rFonts w:eastAsia="宋体"/>
          <w:lang w:eastAsia="ar-SA" w:bidi="ar-SA"/>
        </w:rPr>
        <w:t>York.Wily</w:t>
      </w:r>
      <w:proofErr w:type="spellEnd"/>
      <w:r w:rsidRPr="003C6924">
        <w:rPr>
          <w:rFonts w:eastAsia="宋体"/>
          <w:lang w:eastAsia="ar-SA" w:bidi="ar-SA"/>
        </w:rPr>
        <w:t xml:space="preserve"> Biomedical: 10-4</w:t>
      </w:r>
      <w:proofErr w:type="gramStart"/>
      <w:r w:rsidR="00E1180D" w:rsidRPr="003C6924">
        <w:rPr>
          <w:rFonts w:eastAsia="宋体"/>
          <w:lang w:eastAsia="ar-SA" w:bidi="ar-SA"/>
        </w:rPr>
        <w:t>,(</w:t>
      </w:r>
      <w:proofErr w:type="gramEnd"/>
      <w:r w:rsidR="00E1180D" w:rsidRPr="003C6924">
        <w:rPr>
          <w:rFonts w:eastAsia="宋体"/>
          <w:lang w:eastAsia="ar-SA" w:bidi="ar-SA"/>
        </w:rPr>
        <w:t>1977)</w:t>
      </w:r>
      <w:r w:rsidR="00352E4D">
        <w:rPr>
          <w:rFonts w:eastAsia="宋体" w:hint="eastAsia"/>
          <w:lang w:eastAsia="zh-CN" w:bidi="ar-SA"/>
        </w:rPr>
        <w:t>.</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1" w:history="1">
        <w:proofErr w:type="spellStart"/>
        <w:r w:rsidR="00F140F0" w:rsidRPr="003C6924">
          <w:rPr>
            <w:rFonts w:eastAsia="宋体"/>
            <w:lang w:eastAsia="ar-SA" w:bidi="ar-SA"/>
          </w:rPr>
          <w:t>Gulyas</w:t>
        </w:r>
        <w:proofErr w:type="spellEnd"/>
        <w:r w:rsidR="00F140F0" w:rsidRPr="003C6924">
          <w:rPr>
            <w:rFonts w:eastAsia="宋体"/>
            <w:lang w:eastAsia="ar-SA" w:bidi="ar-SA"/>
          </w:rPr>
          <w:t xml:space="preserve"> M, Kaposi AD, </w:t>
        </w:r>
        <w:proofErr w:type="spellStart"/>
        <w:r w:rsidR="00F140F0" w:rsidRPr="003C6924">
          <w:rPr>
            <w:rFonts w:eastAsia="宋体"/>
            <w:lang w:eastAsia="ar-SA" w:bidi="ar-SA"/>
          </w:rPr>
          <w:t>Elek</w:t>
        </w:r>
        <w:proofErr w:type="spellEnd"/>
        <w:r w:rsidR="00F140F0" w:rsidRPr="003C6924">
          <w:rPr>
            <w:rFonts w:eastAsia="宋体"/>
            <w:lang w:eastAsia="ar-SA" w:bidi="ar-SA"/>
          </w:rPr>
          <w:t xml:space="preserve"> G, </w:t>
        </w:r>
        <w:proofErr w:type="spellStart"/>
        <w:r w:rsidR="00F140F0" w:rsidRPr="003C6924">
          <w:rPr>
            <w:rFonts w:eastAsia="宋体"/>
            <w:lang w:eastAsia="ar-SA" w:bidi="ar-SA"/>
          </w:rPr>
          <w:t>Szollar</w:t>
        </w:r>
        <w:proofErr w:type="spellEnd"/>
        <w:r w:rsidR="00F140F0" w:rsidRPr="003C6924">
          <w:rPr>
            <w:rFonts w:eastAsia="宋体"/>
            <w:lang w:eastAsia="ar-SA" w:bidi="ar-SA"/>
          </w:rPr>
          <w:t xml:space="preserve"> LG, </w:t>
        </w:r>
        <w:proofErr w:type="spellStart"/>
        <w:r w:rsidR="00F140F0" w:rsidRPr="003C6924">
          <w:rPr>
            <w:rFonts w:eastAsia="宋体"/>
            <w:lang w:eastAsia="ar-SA" w:bidi="ar-SA"/>
          </w:rPr>
          <w:t>Hjerpe</w:t>
        </w:r>
        <w:proofErr w:type="spellEnd"/>
        <w:r w:rsidR="00F140F0" w:rsidRPr="003C6924">
          <w:rPr>
            <w:rFonts w:eastAsia="宋体"/>
            <w:lang w:eastAsia="ar-SA" w:bidi="ar-SA"/>
          </w:rPr>
          <w:t xml:space="preserve"> A.</w:t>
        </w:r>
      </w:hyperlink>
      <w:r w:rsidR="00F140F0" w:rsidRPr="003C6924">
        <w:rPr>
          <w:rFonts w:eastAsia="宋体"/>
          <w:lang w:eastAsia="ar-SA" w:bidi="ar-SA"/>
        </w:rPr>
        <w:t xml:space="preserve"> Value of </w:t>
      </w:r>
      <w:proofErr w:type="spellStart"/>
      <w:r w:rsidR="00F140F0" w:rsidRPr="003C6924">
        <w:rPr>
          <w:rFonts w:eastAsia="宋体"/>
          <w:lang w:eastAsia="ar-SA" w:bidi="ar-SA"/>
        </w:rPr>
        <w:t>carcinoembryonic</w:t>
      </w:r>
      <w:proofErr w:type="spellEnd"/>
      <w:r w:rsidR="00F140F0" w:rsidRPr="003C6924">
        <w:rPr>
          <w:rFonts w:eastAsia="宋体"/>
          <w:lang w:eastAsia="ar-SA" w:bidi="ar-SA"/>
        </w:rPr>
        <w:t xml:space="preserve"> antigen (CEA) and cholesterol assays of </w:t>
      </w:r>
      <w:proofErr w:type="spellStart"/>
      <w:r w:rsidR="00F140F0" w:rsidRPr="003C6924">
        <w:rPr>
          <w:rFonts w:eastAsia="宋体"/>
          <w:lang w:eastAsia="ar-SA" w:bidi="ar-SA"/>
        </w:rPr>
        <w:t>ascitic</w:t>
      </w:r>
      <w:proofErr w:type="spellEnd"/>
      <w:r w:rsidR="00F140F0" w:rsidRPr="003C6924">
        <w:rPr>
          <w:rFonts w:eastAsia="宋体"/>
          <w:lang w:eastAsia="ar-SA" w:bidi="ar-SA"/>
        </w:rPr>
        <w:t xml:space="preserve"> fluid in cases of inconclusive cytology. J </w:t>
      </w:r>
      <w:proofErr w:type="spellStart"/>
      <w:r w:rsidR="00F140F0" w:rsidRPr="003C6924">
        <w:rPr>
          <w:rFonts w:eastAsia="宋体"/>
          <w:lang w:eastAsia="ar-SA" w:bidi="ar-SA"/>
        </w:rPr>
        <w:t>Clin</w:t>
      </w:r>
      <w:proofErr w:type="spellEnd"/>
      <w:r w:rsidR="00F140F0" w:rsidRPr="003C6924">
        <w:rPr>
          <w:rFonts w:eastAsia="宋体"/>
          <w:lang w:eastAsia="ar-SA" w:bidi="ar-SA"/>
        </w:rPr>
        <w:t xml:space="preserve"> </w:t>
      </w:r>
      <w:proofErr w:type="spellStart"/>
      <w:r w:rsidR="00F140F0" w:rsidRPr="003C6924">
        <w:rPr>
          <w:rFonts w:eastAsia="宋体"/>
          <w:lang w:eastAsia="ar-SA" w:bidi="ar-SA"/>
        </w:rPr>
        <w:t>Pathol</w:t>
      </w:r>
      <w:proofErr w:type="spellEnd"/>
      <w:r w:rsidR="00F140F0" w:rsidRPr="003C6924">
        <w:rPr>
          <w:rFonts w:eastAsia="宋体"/>
          <w:lang w:eastAsia="ar-SA" w:bidi="ar-SA"/>
        </w:rPr>
        <w:t xml:space="preserve">., </w:t>
      </w:r>
      <w:r w:rsidR="00E1180D" w:rsidRPr="003C6924">
        <w:rPr>
          <w:rFonts w:eastAsia="宋体"/>
          <w:lang w:eastAsia="ar-SA" w:bidi="ar-SA"/>
        </w:rPr>
        <w:t xml:space="preserve">(2001): </w:t>
      </w:r>
      <w:r w:rsidR="00F140F0" w:rsidRPr="003C6924">
        <w:rPr>
          <w:rFonts w:eastAsia="宋体"/>
          <w:lang w:eastAsia="ar-SA" w:bidi="ar-SA"/>
        </w:rPr>
        <w:t>54(11):831-5.</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2" w:history="1">
        <w:r w:rsidR="00F140F0" w:rsidRPr="003C6924">
          <w:rPr>
            <w:rFonts w:eastAsia="宋体"/>
            <w:lang w:eastAsia="ar-SA" w:bidi="ar-SA"/>
          </w:rPr>
          <w:t xml:space="preserve">Gupta VK, </w:t>
        </w:r>
        <w:proofErr w:type="spellStart"/>
        <w:r w:rsidR="00F140F0" w:rsidRPr="003C6924">
          <w:rPr>
            <w:rFonts w:eastAsia="宋体"/>
            <w:lang w:eastAsia="ar-SA" w:bidi="ar-SA"/>
          </w:rPr>
          <w:t>Mukherjee</w:t>
        </w:r>
        <w:proofErr w:type="spellEnd"/>
        <w:r w:rsidR="00F140F0" w:rsidRPr="003C6924">
          <w:rPr>
            <w:rFonts w:eastAsia="宋体"/>
            <w:lang w:eastAsia="ar-SA" w:bidi="ar-SA"/>
          </w:rPr>
          <w:t xml:space="preserve"> S, </w:t>
        </w:r>
        <w:proofErr w:type="spellStart"/>
        <w:r w:rsidR="00F140F0" w:rsidRPr="003C6924">
          <w:rPr>
            <w:rFonts w:eastAsia="宋体"/>
            <w:lang w:eastAsia="ar-SA" w:bidi="ar-SA"/>
          </w:rPr>
          <w:t>Dutta</w:t>
        </w:r>
        <w:proofErr w:type="spellEnd"/>
        <w:r w:rsidR="00F140F0" w:rsidRPr="003C6924">
          <w:rPr>
            <w:rFonts w:eastAsia="宋体"/>
            <w:lang w:eastAsia="ar-SA" w:bidi="ar-SA"/>
          </w:rPr>
          <w:t xml:space="preserve"> SK, </w:t>
        </w:r>
        <w:proofErr w:type="spellStart"/>
        <w:r w:rsidR="00F140F0" w:rsidRPr="003C6924">
          <w:rPr>
            <w:rFonts w:eastAsia="宋体"/>
            <w:lang w:eastAsia="ar-SA" w:bidi="ar-SA"/>
          </w:rPr>
          <w:t>Mukherjee</w:t>
        </w:r>
        <w:proofErr w:type="spellEnd"/>
        <w:r w:rsidR="00F140F0" w:rsidRPr="003C6924">
          <w:rPr>
            <w:rFonts w:eastAsia="宋体"/>
            <w:lang w:eastAsia="ar-SA" w:bidi="ar-SA"/>
          </w:rPr>
          <w:t xml:space="preserve"> P.</w:t>
        </w:r>
      </w:hyperlink>
      <w:r w:rsidR="00F140F0" w:rsidRPr="003C6924">
        <w:rPr>
          <w:rFonts w:eastAsia="宋体"/>
          <w:lang w:eastAsia="ar-SA" w:bidi="ar-SA"/>
        </w:rPr>
        <w:t xml:space="preserve"> Diagnostic evaluation of </w:t>
      </w:r>
      <w:proofErr w:type="spellStart"/>
      <w:r w:rsidR="00F140F0" w:rsidRPr="003C6924">
        <w:rPr>
          <w:rFonts w:eastAsia="宋体"/>
          <w:lang w:eastAsia="ar-SA" w:bidi="ar-SA"/>
        </w:rPr>
        <w:t>ascitic</w:t>
      </w:r>
      <w:proofErr w:type="spellEnd"/>
      <w:r w:rsidR="00F140F0" w:rsidRPr="003C6924">
        <w:rPr>
          <w:rFonts w:eastAsia="宋体"/>
          <w:lang w:eastAsia="ar-SA" w:bidi="ar-SA"/>
        </w:rPr>
        <w:t xml:space="preserve"> adenosine </w:t>
      </w:r>
      <w:proofErr w:type="spellStart"/>
      <w:r w:rsidR="00F140F0" w:rsidRPr="003C6924">
        <w:rPr>
          <w:rFonts w:eastAsia="宋体"/>
          <w:lang w:eastAsia="ar-SA" w:bidi="ar-SA"/>
        </w:rPr>
        <w:t>deaminase</w:t>
      </w:r>
      <w:proofErr w:type="spellEnd"/>
      <w:r w:rsidR="00F140F0" w:rsidRPr="003C6924">
        <w:rPr>
          <w:rFonts w:eastAsia="宋体"/>
          <w:lang w:eastAsia="ar-SA" w:bidi="ar-SA"/>
        </w:rPr>
        <w:t xml:space="preserve"> activity in tubercular peritonitis. J Assoc Physicians India,</w:t>
      </w:r>
      <w:r w:rsidR="00E1180D" w:rsidRPr="003C6924">
        <w:rPr>
          <w:rFonts w:eastAsia="宋体"/>
          <w:lang w:eastAsia="ar-SA" w:bidi="ar-SA"/>
        </w:rPr>
        <w:t xml:space="preserve"> (1992):</w:t>
      </w:r>
      <w:r w:rsidR="00352E4D">
        <w:rPr>
          <w:rFonts w:eastAsia="宋体"/>
          <w:lang w:eastAsia="ar-SA" w:bidi="ar-SA"/>
        </w:rPr>
        <w:t xml:space="preserve"> </w:t>
      </w:r>
      <w:r w:rsidR="00F140F0" w:rsidRPr="003C6924">
        <w:rPr>
          <w:rFonts w:eastAsia="宋体"/>
          <w:lang w:eastAsia="ar-SA" w:bidi="ar-SA"/>
        </w:rPr>
        <w:t>40(6):387-9.</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Hoefs</w:t>
      </w:r>
      <w:proofErr w:type="spellEnd"/>
      <w:r w:rsidRPr="003C6924">
        <w:rPr>
          <w:rFonts w:eastAsia="宋体"/>
          <w:lang w:eastAsia="ar-SA" w:bidi="ar-SA"/>
        </w:rPr>
        <w:t>, J.C</w:t>
      </w:r>
      <w:r w:rsidR="00E1180D" w:rsidRPr="003C6924">
        <w:rPr>
          <w:rFonts w:eastAsia="宋体"/>
          <w:lang w:eastAsia="ar-SA" w:bidi="ar-SA"/>
        </w:rPr>
        <w:t xml:space="preserve">. </w:t>
      </w:r>
      <w:r w:rsidRPr="003C6924">
        <w:rPr>
          <w:rFonts w:eastAsia="宋体"/>
          <w:lang w:eastAsia="ar-SA" w:bidi="ar-SA"/>
        </w:rPr>
        <w:t xml:space="preserve">The mechanism of </w:t>
      </w:r>
      <w:proofErr w:type="spellStart"/>
      <w:r w:rsidRPr="003C6924">
        <w:rPr>
          <w:rFonts w:eastAsia="宋体"/>
          <w:lang w:eastAsia="ar-SA" w:bidi="ar-SA"/>
        </w:rPr>
        <w:t>ascitic</w:t>
      </w:r>
      <w:proofErr w:type="spellEnd"/>
      <w:r w:rsidRPr="003C6924">
        <w:rPr>
          <w:rFonts w:eastAsia="宋体"/>
          <w:lang w:eastAsia="ar-SA" w:bidi="ar-SA"/>
        </w:rPr>
        <w:t xml:space="preserve"> fluid protein concentration increase during </w:t>
      </w:r>
      <w:proofErr w:type="spellStart"/>
      <w:r w:rsidRPr="003C6924">
        <w:rPr>
          <w:rFonts w:eastAsia="宋体"/>
          <w:lang w:eastAsia="ar-SA" w:bidi="ar-SA"/>
        </w:rPr>
        <w:t>diuresis</w:t>
      </w:r>
      <w:proofErr w:type="spellEnd"/>
      <w:r w:rsidRPr="003C6924">
        <w:rPr>
          <w:rFonts w:eastAsia="宋体"/>
          <w:lang w:eastAsia="ar-SA" w:bidi="ar-SA"/>
        </w:rPr>
        <w:t xml:space="preserve"> in patients with chronic liver </w:t>
      </w:r>
      <w:proofErr w:type="spellStart"/>
      <w:r w:rsidRPr="003C6924">
        <w:rPr>
          <w:rFonts w:eastAsia="宋体"/>
          <w:lang w:eastAsia="ar-SA" w:bidi="ar-SA"/>
        </w:rPr>
        <w:t>disease.A</w:t>
      </w:r>
      <w:r w:rsidR="007C43D6" w:rsidRPr="003C6924">
        <w:rPr>
          <w:rFonts w:eastAsia="宋体"/>
          <w:lang w:eastAsia="ar-SA" w:bidi="ar-SA"/>
        </w:rPr>
        <w:t>m</w:t>
      </w:r>
      <w:proofErr w:type="spellEnd"/>
      <w:r w:rsidR="007C43D6" w:rsidRPr="003C6924">
        <w:rPr>
          <w:rFonts w:eastAsia="宋体"/>
          <w:lang w:eastAsia="ar-SA" w:bidi="ar-SA"/>
        </w:rPr>
        <w:t xml:space="preserve">. J. </w:t>
      </w:r>
      <w:proofErr w:type="spellStart"/>
      <w:r w:rsidR="007C43D6" w:rsidRPr="003C6924">
        <w:rPr>
          <w:rFonts w:eastAsia="宋体"/>
          <w:lang w:eastAsia="ar-SA" w:bidi="ar-SA"/>
        </w:rPr>
        <w:t>Gastroenterol</w:t>
      </w:r>
      <w:proofErr w:type="spellEnd"/>
      <w:r w:rsidR="007C43D6" w:rsidRPr="003C6924">
        <w:rPr>
          <w:rFonts w:eastAsia="宋体"/>
          <w:lang w:eastAsia="ar-SA" w:bidi="ar-SA"/>
        </w:rPr>
        <w:t>,</w:t>
      </w:r>
      <w:r w:rsidR="00E1180D" w:rsidRPr="003C6924">
        <w:rPr>
          <w:rFonts w:eastAsia="宋体"/>
          <w:lang w:eastAsia="ar-SA" w:bidi="ar-SA"/>
        </w:rPr>
        <w:t xml:space="preserve"> </w:t>
      </w:r>
      <w:r w:rsidR="007C43D6" w:rsidRPr="003C6924">
        <w:rPr>
          <w:rFonts w:eastAsia="宋体"/>
          <w:lang w:eastAsia="ar-SA" w:bidi="ar-SA"/>
        </w:rPr>
        <w:t>76: 423-31</w:t>
      </w:r>
      <w:r w:rsidR="00352E4D">
        <w:rPr>
          <w:rFonts w:eastAsia="宋体" w:hint="eastAsia"/>
          <w:lang w:eastAsia="zh-CN" w:bidi="ar-SA"/>
        </w:rPr>
        <w:t>.</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Hully</w:t>
      </w:r>
      <w:proofErr w:type="spellEnd"/>
      <w:r w:rsidRPr="003C6924">
        <w:rPr>
          <w:rFonts w:eastAsia="宋体"/>
          <w:lang w:eastAsia="ar-SA" w:bidi="ar-SA"/>
        </w:rPr>
        <w:t xml:space="preserve"> SB, Gove S, </w:t>
      </w:r>
      <w:proofErr w:type="spellStart"/>
      <w:r w:rsidRPr="003C6924">
        <w:rPr>
          <w:rFonts w:eastAsia="宋体"/>
          <w:lang w:eastAsia="ar-SA" w:bidi="ar-SA"/>
        </w:rPr>
        <w:t>Borwner</w:t>
      </w:r>
      <w:proofErr w:type="spellEnd"/>
      <w:r w:rsidRPr="003C6924">
        <w:rPr>
          <w:rFonts w:eastAsia="宋体"/>
          <w:lang w:eastAsia="ar-SA" w:bidi="ar-SA"/>
        </w:rPr>
        <w:t xml:space="preserve"> WS. In </w:t>
      </w:r>
      <w:proofErr w:type="spellStart"/>
      <w:r w:rsidRPr="003C6924">
        <w:rPr>
          <w:rFonts w:eastAsia="宋体"/>
          <w:lang w:eastAsia="ar-SA" w:bidi="ar-SA"/>
        </w:rPr>
        <w:t>Hully</w:t>
      </w:r>
      <w:proofErr w:type="spellEnd"/>
      <w:r w:rsidRPr="003C6924">
        <w:rPr>
          <w:rFonts w:eastAsia="宋体"/>
          <w:lang w:eastAsia="ar-SA" w:bidi="ar-SA"/>
        </w:rPr>
        <w:t xml:space="preserve"> SB,</w:t>
      </w:r>
      <w:r w:rsidR="00352E4D">
        <w:rPr>
          <w:rFonts w:eastAsia="宋体" w:hint="eastAsia"/>
          <w:lang w:eastAsia="zh-CN" w:bidi="ar-SA"/>
        </w:rPr>
        <w:t xml:space="preserve"> </w:t>
      </w:r>
      <w:r w:rsidRPr="003C6924">
        <w:rPr>
          <w:rFonts w:eastAsia="宋体"/>
          <w:lang w:eastAsia="ar-SA" w:bidi="ar-SA"/>
        </w:rPr>
        <w:t xml:space="preserve">Cummings AND </w:t>
      </w:r>
      <w:proofErr w:type="spellStart"/>
      <w:r w:rsidRPr="003C6924">
        <w:rPr>
          <w:rFonts w:eastAsia="宋体"/>
          <w:lang w:eastAsia="ar-SA" w:bidi="ar-SA"/>
        </w:rPr>
        <w:t>Sr</w:t>
      </w:r>
      <w:proofErr w:type="spellEnd"/>
      <w:r w:rsidRPr="003C6924">
        <w:rPr>
          <w:rFonts w:eastAsia="宋体"/>
          <w:lang w:eastAsia="ar-SA" w:bidi="ar-SA"/>
        </w:rPr>
        <w:t>, eds</w:t>
      </w:r>
      <w:r w:rsidR="00352E4D">
        <w:rPr>
          <w:rFonts w:eastAsia="宋体"/>
          <w:lang w:eastAsia="ar-SA" w:bidi="ar-SA"/>
        </w:rPr>
        <w:t>.</w:t>
      </w:r>
      <w:r w:rsidR="00352E4D">
        <w:rPr>
          <w:rFonts w:eastAsia="宋体" w:hint="eastAsia"/>
          <w:lang w:eastAsia="zh-CN" w:bidi="ar-SA"/>
        </w:rPr>
        <w:t xml:space="preserve"> </w:t>
      </w:r>
      <w:r w:rsidRPr="003C6924">
        <w:rPr>
          <w:rFonts w:eastAsia="宋体"/>
          <w:lang w:eastAsia="ar-SA" w:bidi="ar-SA"/>
        </w:rPr>
        <w:t>Designing clinical</w:t>
      </w:r>
      <w:r w:rsidR="00352E4D">
        <w:rPr>
          <w:rFonts w:eastAsia="宋体"/>
          <w:lang w:eastAsia="ar-SA" w:bidi="ar-SA"/>
        </w:rPr>
        <w:t xml:space="preserve"> </w:t>
      </w:r>
      <w:r w:rsidRPr="003C6924">
        <w:rPr>
          <w:rFonts w:eastAsia="宋体"/>
          <w:lang w:eastAsia="ar-SA" w:bidi="ar-SA"/>
        </w:rPr>
        <w:t>research. Baltimore, MD:</w:t>
      </w:r>
      <w:r w:rsidR="00352E4D">
        <w:rPr>
          <w:rFonts w:eastAsia="宋体" w:hint="eastAsia"/>
          <w:lang w:eastAsia="zh-CN" w:bidi="ar-SA"/>
        </w:rPr>
        <w:t xml:space="preserve"> </w:t>
      </w:r>
      <w:r w:rsidRPr="003C6924">
        <w:rPr>
          <w:rFonts w:eastAsia="宋体"/>
          <w:lang w:eastAsia="ar-SA" w:bidi="ar-SA"/>
        </w:rPr>
        <w:t>William &amp;Wilkins.</w:t>
      </w:r>
      <w:r w:rsidR="00352E4D">
        <w:rPr>
          <w:rFonts w:eastAsia="宋体"/>
          <w:lang w:eastAsia="ar-SA" w:bidi="ar-SA"/>
        </w:rPr>
        <w:t xml:space="preserve"> (1988)</w:t>
      </w:r>
      <w:r w:rsidR="00352E4D">
        <w:rPr>
          <w:rFonts w:eastAsia="宋体" w:hint="eastAsia"/>
          <w:lang w:eastAsia="zh-CN" w:bidi="ar-SA"/>
        </w:rPr>
        <w:t>.</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3" w:history="1">
        <w:r w:rsidR="00F140F0" w:rsidRPr="003C6924">
          <w:rPr>
            <w:rFonts w:eastAsia="宋体"/>
            <w:lang w:eastAsia="ar-SA" w:bidi="ar-SA"/>
          </w:rPr>
          <w:t xml:space="preserve">Karoo RO, Lloyd TD, </w:t>
        </w:r>
        <w:proofErr w:type="spellStart"/>
        <w:r w:rsidR="00F140F0" w:rsidRPr="003C6924">
          <w:rPr>
            <w:rFonts w:eastAsia="宋体"/>
            <w:lang w:eastAsia="ar-SA" w:bidi="ar-SA"/>
          </w:rPr>
          <w:t>Garcea</w:t>
        </w:r>
        <w:proofErr w:type="spellEnd"/>
        <w:r w:rsidR="00F140F0" w:rsidRPr="003C6924">
          <w:rPr>
            <w:rFonts w:eastAsia="宋体"/>
            <w:lang w:eastAsia="ar-SA" w:bidi="ar-SA"/>
          </w:rPr>
          <w:t xml:space="preserve"> G, </w:t>
        </w:r>
        <w:proofErr w:type="spellStart"/>
        <w:r w:rsidR="00F140F0" w:rsidRPr="003C6924">
          <w:rPr>
            <w:rFonts w:eastAsia="宋体"/>
            <w:lang w:eastAsia="ar-SA" w:bidi="ar-SA"/>
          </w:rPr>
          <w:t>Redway</w:t>
        </w:r>
        <w:proofErr w:type="spellEnd"/>
        <w:r w:rsidR="00F140F0" w:rsidRPr="003C6924">
          <w:rPr>
            <w:rFonts w:eastAsia="宋体"/>
            <w:lang w:eastAsia="ar-SA" w:bidi="ar-SA"/>
          </w:rPr>
          <w:t xml:space="preserve"> HD, Robertson GS.</w:t>
        </w:r>
      </w:hyperlink>
      <w:r w:rsidR="00F140F0" w:rsidRPr="003C6924">
        <w:rPr>
          <w:rFonts w:eastAsia="宋体"/>
          <w:lang w:eastAsia="ar-SA" w:bidi="ar-SA"/>
        </w:rPr>
        <w:t xml:space="preserve"> How valuable is </w:t>
      </w:r>
      <w:proofErr w:type="spellStart"/>
      <w:r w:rsidR="00F140F0" w:rsidRPr="003C6924">
        <w:rPr>
          <w:rFonts w:eastAsia="宋体"/>
          <w:lang w:eastAsia="ar-SA" w:bidi="ar-SA"/>
        </w:rPr>
        <w:t>ascitic</w:t>
      </w:r>
      <w:proofErr w:type="spellEnd"/>
      <w:r w:rsidR="00F140F0" w:rsidRPr="003C6924">
        <w:rPr>
          <w:rFonts w:eastAsia="宋体"/>
          <w:lang w:eastAsia="ar-SA" w:bidi="ar-SA"/>
        </w:rPr>
        <w:t xml:space="preserve"> cytology in the detection and management of malignancy?</w:t>
      </w:r>
      <w:r w:rsidR="00352E4D">
        <w:rPr>
          <w:rFonts w:eastAsia="宋体"/>
          <w:lang w:eastAsia="ar-SA" w:bidi="ar-SA"/>
        </w:rPr>
        <w:t xml:space="preserve"> </w:t>
      </w:r>
      <w:proofErr w:type="spellStart"/>
      <w:r w:rsidR="00F140F0" w:rsidRPr="003C6924">
        <w:rPr>
          <w:rFonts w:eastAsia="宋体"/>
          <w:lang w:eastAsia="ar-SA" w:bidi="ar-SA"/>
        </w:rPr>
        <w:t>Postgrad</w:t>
      </w:r>
      <w:proofErr w:type="spellEnd"/>
      <w:r w:rsidR="00F140F0" w:rsidRPr="003C6924">
        <w:rPr>
          <w:rFonts w:eastAsia="宋体"/>
          <w:lang w:eastAsia="ar-SA" w:bidi="ar-SA"/>
        </w:rPr>
        <w:t xml:space="preserve"> Med J., </w:t>
      </w:r>
      <w:r w:rsidR="00341052" w:rsidRPr="003C6924">
        <w:rPr>
          <w:rFonts w:eastAsia="宋体"/>
          <w:lang w:eastAsia="ar-SA" w:bidi="ar-SA"/>
        </w:rPr>
        <w:t xml:space="preserve">(2003): </w:t>
      </w:r>
      <w:r w:rsidR="00F140F0" w:rsidRPr="003C6924">
        <w:rPr>
          <w:rFonts w:eastAsia="宋体"/>
          <w:lang w:eastAsia="ar-SA" w:bidi="ar-SA"/>
        </w:rPr>
        <w:t>79(931):292-4</w:t>
      </w:r>
      <w:r w:rsidR="00352E4D">
        <w:rPr>
          <w:rFonts w:eastAsia="宋体" w:hint="eastAsia"/>
          <w:lang w:eastAsia="zh-CN" w:bidi="ar-SA"/>
        </w:rPr>
        <w:t>.</w:t>
      </w:r>
    </w:p>
    <w:p w:rsidR="00ED2BEC" w:rsidRPr="003C6924" w:rsidRDefault="00ED2BEC"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Kocaman</w:t>
      </w:r>
      <w:proofErr w:type="spellEnd"/>
      <w:r w:rsidRPr="003C6924">
        <w:rPr>
          <w:rFonts w:eastAsia="宋体"/>
          <w:lang w:eastAsia="ar-SA" w:bidi="ar-SA"/>
        </w:rPr>
        <w:t xml:space="preserve"> O. Understanding </w:t>
      </w:r>
      <w:proofErr w:type="spellStart"/>
      <w:r w:rsidRPr="003C6924">
        <w:rPr>
          <w:rFonts w:eastAsia="宋体"/>
          <w:lang w:eastAsia="ar-SA" w:bidi="ar-SA"/>
        </w:rPr>
        <w:t>tuberculous</w:t>
      </w:r>
      <w:proofErr w:type="spellEnd"/>
      <w:r w:rsidRPr="003C6924">
        <w:rPr>
          <w:rFonts w:eastAsia="宋体"/>
          <w:lang w:eastAsia="ar-SA" w:bidi="ar-SA"/>
        </w:rPr>
        <w:t xml:space="preserve"> peritonitis Turk J </w:t>
      </w:r>
      <w:proofErr w:type="spellStart"/>
      <w:r w:rsidRPr="003C6924">
        <w:rPr>
          <w:rFonts w:eastAsia="宋体"/>
          <w:lang w:eastAsia="ar-SA" w:bidi="ar-SA"/>
        </w:rPr>
        <w:t>Gastroenterol</w:t>
      </w:r>
      <w:proofErr w:type="spellEnd"/>
      <w:r w:rsidRPr="003C6924">
        <w:rPr>
          <w:rFonts w:eastAsia="宋体"/>
          <w:lang w:eastAsia="ar-SA" w:bidi="ar-SA"/>
        </w:rPr>
        <w:t xml:space="preserve">; </w:t>
      </w:r>
      <w:r w:rsidR="00341052" w:rsidRPr="003C6924">
        <w:rPr>
          <w:rFonts w:eastAsia="宋体"/>
          <w:lang w:eastAsia="ar-SA" w:bidi="ar-SA"/>
        </w:rPr>
        <w:t>(2014)</w:t>
      </w:r>
      <w:r w:rsidR="00352E4D">
        <w:rPr>
          <w:rFonts w:eastAsia="宋体"/>
          <w:lang w:eastAsia="ar-SA" w:bidi="ar-SA"/>
        </w:rPr>
        <w:t>:</w:t>
      </w:r>
      <w:r w:rsidRPr="003C6924">
        <w:rPr>
          <w:rFonts w:eastAsia="宋体"/>
          <w:lang w:eastAsia="ar-SA" w:bidi="ar-SA"/>
        </w:rPr>
        <w:t>25: 79-80</w:t>
      </w:r>
      <w:r w:rsidR="00352E4D">
        <w:rPr>
          <w:rFonts w:eastAsia="宋体" w:hint="eastAsia"/>
          <w:lang w:eastAsia="zh-CN" w:bidi="ar-SA"/>
        </w:rPr>
        <w:t>.</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Leksrisakul</w:t>
      </w:r>
      <w:proofErr w:type="spellEnd"/>
      <w:r w:rsidRPr="003C6924">
        <w:rPr>
          <w:rFonts w:eastAsia="宋体"/>
          <w:lang w:eastAsia="ar-SA" w:bidi="ar-SA"/>
        </w:rPr>
        <w:t xml:space="preserve"> S, </w:t>
      </w:r>
      <w:proofErr w:type="spellStart"/>
      <w:r w:rsidRPr="003C6924">
        <w:rPr>
          <w:rFonts w:eastAsia="宋体"/>
          <w:lang w:eastAsia="ar-SA" w:bidi="ar-SA"/>
        </w:rPr>
        <w:t>Juangpanich</w:t>
      </w:r>
      <w:proofErr w:type="spellEnd"/>
      <w:r w:rsidRPr="003C6924">
        <w:rPr>
          <w:rFonts w:eastAsia="宋体"/>
          <w:lang w:eastAsia="ar-SA" w:bidi="ar-SA"/>
        </w:rPr>
        <w:t xml:space="preserve"> P, </w:t>
      </w:r>
      <w:proofErr w:type="spellStart"/>
      <w:r w:rsidRPr="003C6924">
        <w:rPr>
          <w:rFonts w:eastAsia="宋体"/>
          <w:lang w:eastAsia="ar-SA" w:bidi="ar-SA"/>
        </w:rPr>
        <w:t>Riantawan</w:t>
      </w:r>
      <w:proofErr w:type="spellEnd"/>
      <w:r w:rsidRPr="003C6924">
        <w:rPr>
          <w:rFonts w:eastAsia="宋体"/>
          <w:lang w:eastAsia="ar-SA" w:bidi="ar-SA"/>
        </w:rPr>
        <w:t xml:space="preserve"> P, </w:t>
      </w:r>
      <w:proofErr w:type="spellStart"/>
      <w:r w:rsidRPr="003C6924">
        <w:rPr>
          <w:rFonts w:eastAsia="宋体"/>
          <w:lang w:eastAsia="ar-SA" w:bidi="ar-SA"/>
        </w:rPr>
        <w:t>Chantrasunthornkul</w:t>
      </w:r>
      <w:proofErr w:type="spellEnd"/>
      <w:r w:rsidRPr="003C6924">
        <w:rPr>
          <w:rFonts w:eastAsia="宋体"/>
          <w:lang w:eastAsia="ar-SA" w:bidi="ar-SA"/>
        </w:rPr>
        <w:t xml:space="preserve"> V</w:t>
      </w:r>
      <w:r w:rsidR="00352E4D">
        <w:rPr>
          <w:rFonts w:eastAsia="宋体"/>
          <w:lang w:eastAsia="ar-SA" w:bidi="ar-SA"/>
        </w:rPr>
        <w:t>,</w:t>
      </w:r>
      <w:r w:rsidRPr="003C6924">
        <w:rPr>
          <w:rFonts w:eastAsia="宋体"/>
          <w:lang w:eastAsia="ar-SA" w:bidi="ar-SA"/>
        </w:rPr>
        <w:t xml:space="preserve"> </w:t>
      </w:r>
      <w:proofErr w:type="spellStart"/>
      <w:r w:rsidRPr="003C6924">
        <w:rPr>
          <w:rFonts w:eastAsia="宋体"/>
          <w:lang w:eastAsia="ar-SA" w:bidi="ar-SA"/>
        </w:rPr>
        <w:t>Rojanarsweewong</w:t>
      </w:r>
      <w:proofErr w:type="spellEnd"/>
      <w:r w:rsidRPr="003C6924">
        <w:rPr>
          <w:rFonts w:eastAsia="宋体"/>
          <w:lang w:eastAsia="ar-SA" w:bidi="ar-SA"/>
        </w:rPr>
        <w:t xml:space="preserve"> P</w:t>
      </w:r>
      <w:r w:rsidR="00341052" w:rsidRPr="003C6924">
        <w:rPr>
          <w:rFonts w:eastAsia="宋体"/>
          <w:lang w:eastAsia="ar-SA" w:bidi="ar-SA"/>
        </w:rPr>
        <w:t xml:space="preserve">. </w:t>
      </w:r>
      <w:r w:rsidRPr="003C6924">
        <w:rPr>
          <w:rFonts w:eastAsia="宋体"/>
          <w:lang w:eastAsia="ar-SA" w:bidi="ar-SA"/>
        </w:rPr>
        <w:t xml:space="preserve">Adenosine </w:t>
      </w:r>
      <w:proofErr w:type="spellStart"/>
      <w:r w:rsidRPr="003C6924">
        <w:rPr>
          <w:rFonts w:eastAsia="宋体"/>
          <w:lang w:eastAsia="ar-SA" w:bidi="ar-SA"/>
        </w:rPr>
        <w:t>deaminase</w:t>
      </w:r>
      <w:proofErr w:type="spellEnd"/>
      <w:r w:rsidRPr="003C6924">
        <w:rPr>
          <w:rFonts w:eastAsia="宋体"/>
          <w:lang w:eastAsia="ar-SA" w:bidi="ar-SA"/>
        </w:rPr>
        <w:t xml:space="preserve"> levels in lymphocytic </w:t>
      </w:r>
      <w:proofErr w:type="spellStart"/>
      <w:r w:rsidRPr="003C6924">
        <w:rPr>
          <w:rFonts w:eastAsia="宋体"/>
          <w:lang w:eastAsia="ar-SA" w:bidi="ar-SA"/>
        </w:rPr>
        <w:t>ascit</w:t>
      </w:r>
      <w:r w:rsidR="000E2931" w:rsidRPr="003C6924">
        <w:rPr>
          <w:rFonts w:eastAsia="宋体"/>
          <w:lang w:eastAsia="ar-SA" w:bidi="ar-SA"/>
        </w:rPr>
        <w:t>es</w:t>
      </w:r>
      <w:proofErr w:type="spellEnd"/>
      <w:r w:rsidR="000E2931" w:rsidRPr="003C6924">
        <w:rPr>
          <w:rFonts w:eastAsia="宋体"/>
          <w:lang w:eastAsia="ar-SA" w:bidi="ar-SA"/>
        </w:rPr>
        <w:t xml:space="preserve"> of TB and non-TB </w:t>
      </w:r>
      <w:proofErr w:type="spellStart"/>
      <w:r w:rsidR="000E2931" w:rsidRPr="003C6924">
        <w:rPr>
          <w:rFonts w:eastAsia="宋体"/>
          <w:lang w:eastAsia="ar-SA" w:bidi="ar-SA"/>
        </w:rPr>
        <w:t>peritonitis</w:t>
      </w:r>
      <w:r w:rsidR="00352E4D">
        <w:rPr>
          <w:rFonts w:eastAsia="宋体"/>
          <w:lang w:eastAsia="ar-SA" w:bidi="ar-SA"/>
        </w:rPr>
        <w:t>.</w:t>
      </w:r>
      <w:r w:rsidRPr="003C6924">
        <w:rPr>
          <w:rFonts w:eastAsia="宋体"/>
          <w:lang w:eastAsia="ar-SA" w:bidi="ar-SA"/>
        </w:rPr>
        <w:t>Intern</w:t>
      </w:r>
      <w:proofErr w:type="spellEnd"/>
      <w:r w:rsidRPr="003C6924">
        <w:rPr>
          <w:rFonts w:eastAsia="宋体"/>
          <w:lang w:eastAsia="ar-SA" w:bidi="ar-SA"/>
        </w:rPr>
        <w:t xml:space="preserve">. Med. J. Thai, </w:t>
      </w:r>
      <w:r w:rsidR="00341052" w:rsidRPr="003C6924">
        <w:rPr>
          <w:rFonts w:eastAsia="宋体"/>
          <w:lang w:eastAsia="ar-SA" w:bidi="ar-SA"/>
        </w:rPr>
        <w:t xml:space="preserve">(2001) </w:t>
      </w:r>
      <w:r w:rsidRPr="003C6924">
        <w:rPr>
          <w:rFonts w:eastAsia="宋体"/>
          <w:lang w:eastAsia="ar-SA" w:bidi="ar-SA"/>
        </w:rPr>
        <w:t>17 (4): 304-310</w:t>
      </w:r>
      <w:r w:rsidR="00352E4D">
        <w:rPr>
          <w:rFonts w:eastAsia="宋体" w:hint="eastAsia"/>
          <w:lang w:eastAsia="zh-CN" w:bidi="ar-SA"/>
        </w:rPr>
        <w:t>.</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 xml:space="preserve">Metz CE: Basic principles of ROC analysis. </w:t>
      </w:r>
      <w:proofErr w:type="spellStart"/>
      <w:r w:rsidRPr="003C6924">
        <w:rPr>
          <w:rFonts w:eastAsia="宋体"/>
          <w:lang w:eastAsia="ar-SA" w:bidi="ar-SA"/>
        </w:rPr>
        <w:t>Semin</w:t>
      </w:r>
      <w:proofErr w:type="spellEnd"/>
      <w:r w:rsidRPr="003C6924">
        <w:rPr>
          <w:rFonts w:eastAsia="宋体"/>
          <w:lang w:eastAsia="ar-SA" w:bidi="ar-SA"/>
        </w:rPr>
        <w:t xml:space="preserve"> </w:t>
      </w:r>
      <w:proofErr w:type="spellStart"/>
      <w:r w:rsidRPr="003C6924">
        <w:rPr>
          <w:rFonts w:eastAsia="宋体"/>
          <w:lang w:eastAsia="ar-SA" w:bidi="ar-SA"/>
        </w:rPr>
        <w:t>Nucl</w:t>
      </w:r>
      <w:proofErr w:type="spellEnd"/>
      <w:r w:rsidRPr="003C6924">
        <w:rPr>
          <w:rFonts w:eastAsia="宋体"/>
          <w:lang w:eastAsia="ar-SA" w:bidi="ar-SA"/>
        </w:rPr>
        <w:t xml:space="preserve"> Med</w:t>
      </w:r>
      <w:r w:rsidR="00341052" w:rsidRPr="003C6924">
        <w:rPr>
          <w:rFonts w:eastAsia="宋体"/>
          <w:lang w:eastAsia="ar-SA" w:bidi="ar-SA"/>
        </w:rPr>
        <w:t xml:space="preserve"> (1978.)</w:t>
      </w:r>
      <w:r w:rsidR="00352E4D">
        <w:rPr>
          <w:rFonts w:eastAsia="宋体"/>
          <w:lang w:eastAsia="ar-SA" w:bidi="ar-SA"/>
        </w:rPr>
        <w:t xml:space="preserve"> 8: 283-5</w:t>
      </w:r>
      <w:r w:rsidR="00352E4D">
        <w:rPr>
          <w:rFonts w:eastAsia="宋体" w:hint="eastAsia"/>
          <w:lang w:eastAsia="zh-CN" w:bidi="ar-SA"/>
        </w:rPr>
        <w:t>.</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Moss DW</w:t>
      </w:r>
      <w:r w:rsidR="00352E4D">
        <w:rPr>
          <w:rFonts w:eastAsia="宋体"/>
          <w:lang w:eastAsia="ar-SA" w:bidi="ar-SA"/>
        </w:rPr>
        <w:t>,</w:t>
      </w:r>
      <w:r w:rsidRPr="003C6924">
        <w:rPr>
          <w:rFonts w:eastAsia="宋体"/>
          <w:lang w:eastAsia="ar-SA" w:bidi="ar-SA"/>
        </w:rPr>
        <w:t xml:space="preserve"> Henderson AR Enzymes. In: </w:t>
      </w:r>
      <w:proofErr w:type="spellStart"/>
      <w:r w:rsidRPr="003C6924">
        <w:rPr>
          <w:rFonts w:eastAsia="宋体"/>
          <w:lang w:eastAsia="ar-SA" w:bidi="ar-SA"/>
        </w:rPr>
        <w:t>Burtis</w:t>
      </w:r>
      <w:proofErr w:type="spellEnd"/>
      <w:r w:rsidRPr="003C6924">
        <w:rPr>
          <w:rFonts w:eastAsia="宋体"/>
          <w:lang w:eastAsia="ar-SA" w:bidi="ar-SA"/>
        </w:rPr>
        <w:t xml:space="preserve"> CA, </w:t>
      </w:r>
      <w:proofErr w:type="spellStart"/>
      <w:r w:rsidRPr="003C6924">
        <w:rPr>
          <w:rFonts w:eastAsia="宋体"/>
          <w:lang w:eastAsia="ar-SA" w:bidi="ar-SA"/>
        </w:rPr>
        <w:t>Ashwood</w:t>
      </w:r>
      <w:proofErr w:type="spellEnd"/>
      <w:r w:rsidRPr="003C6924">
        <w:rPr>
          <w:rFonts w:eastAsia="宋体"/>
          <w:lang w:eastAsia="ar-SA" w:bidi="ar-SA"/>
        </w:rPr>
        <w:t xml:space="preserve"> ER, </w:t>
      </w:r>
      <w:proofErr w:type="spellStart"/>
      <w:r w:rsidRPr="003C6924">
        <w:rPr>
          <w:rFonts w:eastAsia="宋体"/>
          <w:lang w:eastAsia="ar-SA" w:bidi="ar-SA"/>
        </w:rPr>
        <w:t>ldrish</w:t>
      </w:r>
      <w:proofErr w:type="spellEnd"/>
      <w:r w:rsidRPr="003C6924">
        <w:rPr>
          <w:rFonts w:eastAsia="宋体"/>
          <w:lang w:eastAsia="ar-SA" w:bidi="ar-SA"/>
        </w:rPr>
        <w:t xml:space="preserve"> JE. </w:t>
      </w:r>
      <w:proofErr w:type="spellStart"/>
      <w:r w:rsidRPr="003C6924">
        <w:rPr>
          <w:rFonts w:eastAsia="宋体"/>
          <w:lang w:eastAsia="ar-SA" w:bidi="ar-SA"/>
        </w:rPr>
        <w:t>Tietz</w:t>
      </w:r>
      <w:proofErr w:type="spellEnd"/>
      <w:r w:rsidR="00341052" w:rsidRPr="003C6924">
        <w:rPr>
          <w:rFonts w:eastAsia="宋体"/>
          <w:lang w:eastAsia="ar-SA" w:bidi="ar-SA"/>
        </w:rPr>
        <w:t>.</w:t>
      </w:r>
      <w:r w:rsidRPr="003C6924">
        <w:rPr>
          <w:rFonts w:eastAsia="宋体"/>
          <w:lang w:eastAsia="ar-SA" w:bidi="ar-SA"/>
        </w:rPr>
        <w:t xml:space="preserve"> Fundamentals of clinical chemistry. 4th edition ed. W.B. Saunders </w:t>
      </w:r>
      <w:proofErr w:type="spellStart"/>
      <w:r w:rsidRPr="003C6924">
        <w:rPr>
          <w:rFonts w:eastAsia="宋体"/>
          <w:lang w:eastAsia="ar-SA" w:bidi="ar-SA"/>
        </w:rPr>
        <w:t>Copany</w:t>
      </w:r>
      <w:proofErr w:type="spellEnd"/>
      <w:r w:rsidRPr="003C6924">
        <w:rPr>
          <w:rFonts w:eastAsia="宋体"/>
          <w:lang w:eastAsia="ar-SA" w:bidi="ar-SA"/>
        </w:rPr>
        <w:t xml:space="preserve">. </w:t>
      </w:r>
      <w:proofErr w:type="spellStart"/>
      <w:r w:rsidRPr="003C6924">
        <w:rPr>
          <w:rFonts w:eastAsia="宋体"/>
          <w:lang w:eastAsia="ar-SA" w:bidi="ar-SA"/>
        </w:rPr>
        <w:t>Philadilphia</w:t>
      </w:r>
      <w:proofErr w:type="spellEnd"/>
      <w:r w:rsidRPr="003C6924">
        <w:rPr>
          <w:rFonts w:eastAsia="宋体"/>
          <w:lang w:eastAsia="ar-SA" w:bidi="ar-SA"/>
        </w:rPr>
        <w:t>. pp. 308-311.</w:t>
      </w:r>
      <w:r w:rsidR="00341052" w:rsidRPr="003C6924">
        <w:rPr>
          <w:rFonts w:eastAsia="宋体"/>
          <w:lang w:eastAsia="ar-SA" w:bidi="ar-SA"/>
        </w:rPr>
        <w:t xml:space="preserve"> (1996)</w:t>
      </w:r>
      <w:r w:rsidR="00352E4D">
        <w:rPr>
          <w:rFonts w:eastAsia="宋体" w:hint="eastAsia"/>
          <w:lang w:eastAsia="zh-CN" w:bidi="ar-SA"/>
        </w:rPr>
        <w:t>.</w:t>
      </w:r>
    </w:p>
    <w:p w:rsidR="00626308"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4" w:history="1">
        <w:proofErr w:type="spellStart"/>
        <w:r w:rsidR="00F140F0" w:rsidRPr="003C6924">
          <w:rPr>
            <w:rFonts w:eastAsia="宋体"/>
            <w:lang w:eastAsia="ar-SA" w:bidi="ar-SA"/>
          </w:rPr>
          <w:t>Paavonen</w:t>
        </w:r>
        <w:proofErr w:type="spellEnd"/>
        <w:r w:rsidR="00F140F0" w:rsidRPr="003C6924">
          <w:rPr>
            <w:rFonts w:eastAsia="宋体"/>
            <w:lang w:eastAsia="ar-SA" w:bidi="ar-SA"/>
          </w:rPr>
          <w:t xml:space="preserve"> T, </w:t>
        </w:r>
        <w:proofErr w:type="spellStart"/>
        <w:r w:rsidR="00F140F0" w:rsidRPr="003C6924">
          <w:rPr>
            <w:rFonts w:eastAsia="宋体"/>
            <w:lang w:eastAsia="ar-SA" w:bidi="ar-SA"/>
          </w:rPr>
          <w:t>Liippo</w:t>
        </w:r>
        <w:proofErr w:type="spellEnd"/>
        <w:r w:rsidR="00F140F0" w:rsidRPr="003C6924">
          <w:rPr>
            <w:rFonts w:eastAsia="宋体"/>
            <w:lang w:eastAsia="ar-SA" w:bidi="ar-SA"/>
          </w:rPr>
          <w:t xml:space="preserve"> K, </w:t>
        </w:r>
        <w:proofErr w:type="spellStart"/>
        <w:r w:rsidR="00F140F0" w:rsidRPr="003C6924">
          <w:rPr>
            <w:rFonts w:eastAsia="宋体"/>
            <w:lang w:eastAsia="ar-SA" w:bidi="ar-SA"/>
          </w:rPr>
          <w:t>Aronen</w:t>
        </w:r>
        <w:proofErr w:type="spellEnd"/>
        <w:r w:rsidR="00F140F0" w:rsidRPr="003C6924">
          <w:rPr>
            <w:rFonts w:eastAsia="宋体"/>
            <w:lang w:eastAsia="ar-SA" w:bidi="ar-SA"/>
          </w:rPr>
          <w:t xml:space="preserve"> H, </w:t>
        </w:r>
        <w:proofErr w:type="spellStart"/>
        <w:r w:rsidR="00F140F0" w:rsidRPr="003C6924">
          <w:rPr>
            <w:rFonts w:eastAsia="宋体"/>
            <w:lang w:eastAsia="ar-SA" w:bidi="ar-SA"/>
          </w:rPr>
          <w:t>Kiistala</w:t>
        </w:r>
        <w:proofErr w:type="spellEnd"/>
        <w:r w:rsidR="00F140F0" w:rsidRPr="003C6924">
          <w:rPr>
            <w:rFonts w:eastAsia="宋体"/>
            <w:lang w:eastAsia="ar-SA" w:bidi="ar-SA"/>
          </w:rPr>
          <w:t xml:space="preserve"> U.</w:t>
        </w:r>
      </w:hyperlink>
      <w:r w:rsidR="00F140F0" w:rsidRPr="003C6924">
        <w:rPr>
          <w:rFonts w:eastAsia="宋体"/>
          <w:lang w:eastAsia="ar-SA" w:bidi="ar-SA"/>
        </w:rPr>
        <w:t xml:space="preserve"> Lactate </w:t>
      </w:r>
      <w:proofErr w:type="spellStart"/>
      <w:r w:rsidR="00F140F0" w:rsidRPr="003C6924">
        <w:rPr>
          <w:rFonts w:eastAsia="宋体"/>
          <w:lang w:eastAsia="ar-SA" w:bidi="ar-SA"/>
        </w:rPr>
        <w:t>dehydrogenase</w:t>
      </w:r>
      <w:proofErr w:type="spellEnd"/>
      <w:r w:rsidR="00F140F0" w:rsidRPr="003C6924">
        <w:rPr>
          <w:rFonts w:eastAsia="宋体"/>
          <w:lang w:eastAsia="ar-SA" w:bidi="ar-SA"/>
        </w:rPr>
        <w:t xml:space="preserve">, </w:t>
      </w:r>
      <w:proofErr w:type="spellStart"/>
      <w:r w:rsidR="00F140F0" w:rsidRPr="003C6924">
        <w:rPr>
          <w:rFonts w:eastAsia="宋体"/>
          <w:lang w:eastAsia="ar-SA" w:bidi="ar-SA"/>
        </w:rPr>
        <w:t>creatine</w:t>
      </w:r>
      <w:proofErr w:type="spellEnd"/>
      <w:r w:rsidR="00F140F0" w:rsidRPr="003C6924">
        <w:rPr>
          <w:rFonts w:eastAsia="宋体"/>
          <w:lang w:eastAsia="ar-SA" w:bidi="ar-SA"/>
        </w:rPr>
        <w:t xml:space="preserve"> </w:t>
      </w:r>
      <w:proofErr w:type="spellStart"/>
      <w:r w:rsidR="00F140F0" w:rsidRPr="003C6924">
        <w:rPr>
          <w:rFonts w:eastAsia="宋体"/>
          <w:lang w:eastAsia="ar-SA" w:bidi="ar-SA"/>
        </w:rPr>
        <w:t>kinase</w:t>
      </w:r>
      <w:proofErr w:type="spellEnd"/>
      <w:r w:rsidR="00F140F0" w:rsidRPr="003C6924">
        <w:rPr>
          <w:rFonts w:eastAsia="宋体"/>
          <w:lang w:eastAsia="ar-SA" w:bidi="ar-SA"/>
        </w:rPr>
        <w:t xml:space="preserve">, and their </w:t>
      </w:r>
      <w:proofErr w:type="spellStart"/>
      <w:r w:rsidR="00F140F0" w:rsidRPr="003C6924">
        <w:rPr>
          <w:rFonts w:eastAsia="宋体"/>
          <w:lang w:eastAsia="ar-SA" w:bidi="ar-SA"/>
        </w:rPr>
        <w:t>isoenzymes</w:t>
      </w:r>
      <w:proofErr w:type="spellEnd"/>
      <w:r w:rsidR="00F140F0" w:rsidRPr="003C6924">
        <w:rPr>
          <w:rFonts w:eastAsia="宋体"/>
          <w:lang w:eastAsia="ar-SA" w:bidi="ar-SA"/>
        </w:rPr>
        <w:t xml:space="preserve"> in pleural effusions. </w:t>
      </w:r>
      <w:proofErr w:type="spellStart"/>
      <w:r w:rsidR="00F140F0" w:rsidRPr="003C6924">
        <w:rPr>
          <w:rFonts w:eastAsia="宋体"/>
          <w:lang w:eastAsia="ar-SA" w:bidi="ar-SA"/>
        </w:rPr>
        <w:t>Clin</w:t>
      </w:r>
      <w:proofErr w:type="spellEnd"/>
      <w:r w:rsidR="00F140F0" w:rsidRPr="003C6924">
        <w:rPr>
          <w:rFonts w:eastAsia="宋体"/>
          <w:lang w:eastAsia="ar-SA" w:bidi="ar-SA"/>
        </w:rPr>
        <w:t xml:space="preserve"> Chem., </w:t>
      </w:r>
      <w:r w:rsidR="00341052" w:rsidRPr="003C6924">
        <w:rPr>
          <w:rFonts w:eastAsia="宋体"/>
          <w:lang w:eastAsia="ar-SA" w:bidi="ar-SA"/>
        </w:rPr>
        <w:t xml:space="preserve">(1991): </w:t>
      </w:r>
      <w:r w:rsidR="00F140F0" w:rsidRPr="003C6924">
        <w:rPr>
          <w:rFonts w:eastAsia="宋体"/>
          <w:lang w:eastAsia="ar-SA" w:bidi="ar-SA"/>
        </w:rPr>
        <w:t>37(11):1909-12.</w:t>
      </w:r>
    </w:p>
    <w:p w:rsidR="00626308" w:rsidRPr="003C6924" w:rsidRDefault="00626308"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 xml:space="preserve">Runyon BA, Introduction to the revised American Association for the Study of Liver Diseases Practice Guideline management of adult patients with </w:t>
      </w:r>
      <w:proofErr w:type="spellStart"/>
      <w:r w:rsidRPr="003C6924">
        <w:rPr>
          <w:rFonts w:eastAsia="宋体"/>
          <w:lang w:eastAsia="ar-SA" w:bidi="ar-SA"/>
        </w:rPr>
        <w:t>ascites</w:t>
      </w:r>
      <w:proofErr w:type="spellEnd"/>
      <w:r w:rsidRPr="003C6924">
        <w:rPr>
          <w:rFonts w:eastAsia="宋体"/>
          <w:lang w:eastAsia="ar-SA" w:bidi="ar-SA"/>
        </w:rPr>
        <w:t xml:space="preserve"> due to cirrhosis 2012.</w:t>
      </w:r>
      <w:r w:rsidR="00352E4D">
        <w:rPr>
          <w:rFonts w:eastAsia="宋体" w:hint="eastAsia"/>
          <w:lang w:eastAsia="zh-CN" w:bidi="ar-SA"/>
        </w:rPr>
        <w:t xml:space="preserve"> </w:t>
      </w:r>
      <w:proofErr w:type="spellStart"/>
      <w:r w:rsidRPr="003C6924">
        <w:rPr>
          <w:rFonts w:eastAsia="宋体"/>
          <w:lang w:eastAsia="ar-SA" w:bidi="ar-SA"/>
        </w:rPr>
        <w:t>Hepatology</w:t>
      </w:r>
      <w:proofErr w:type="spellEnd"/>
      <w:r w:rsidRPr="003C6924">
        <w:rPr>
          <w:rFonts w:eastAsia="宋体"/>
          <w:lang w:eastAsia="ar-SA" w:bidi="ar-SA"/>
        </w:rPr>
        <w:t>;</w:t>
      </w:r>
      <w:r w:rsidR="00341052" w:rsidRPr="003C6924">
        <w:rPr>
          <w:rFonts w:eastAsia="宋体"/>
          <w:lang w:eastAsia="ar-SA" w:bidi="ar-SA"/>
        </w:rPr>
        <w:t xml:space="preserve"> (2013): </w:t>
      </w:r>
      <w:r w:rsidRPr="003C6924">
        <w:rPr>
          <w:rFonts w:eastAsia="宋体"/>
          <w:lang w:eastAsia="ar-SA" w:bidi="ar-SA"/>
        </w:rPr>
        <w:t>57(4):1651</w:t>
      </w:r>
      <w:r w:rsidR="00352E4D">
        <w:rPr>
          <w:rFonts w:eastAsia="宋体" w:hint="eastAsia"/>
          <w:lang w:eastAsia="zh-CN" w:bidi="ar-SA"/>
        </w:rPr>
        <w:t>.</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5" w:history="1">
        <w:r w:rsidR="00F140F0" w:rsidRPr="003C6924">
          <w:rPr>
            <w:rFonts w:eastAsia="宋体"/>
            <w:lang w:eastAsia="ar-SA" w:bidi="ar-SA"/>
          </w:rPr>
          <w:t>Runyon BA</w:t>
        </w:r>
      </w:hyperlink>
      <w:r w:rsidR="00F140F0" w:rsidRPr="003C6924">
        <w:rPr>
          <w:rFonts w:eastAsia="宋体"/>
          <w:lang w:eastAsia="ar-SA" w:bidi="ar-SA"/>
        </w:rPr>
        <w:t xml:space="preserve"> </w:t>
      </w:r>
      <w:proofErr w:type="spellStart"/>
      <w:r w:rsidR="00F140F0" w:rsidRPr="003C6924">
        <w:rPr>
          <w:rFonts w:eastAsia="宋体"/>
          <w:lang w:eastAsia="ar-SA" w:bidi="ar-SA"/>
        </w:rPr>
        <w:t>Ascites</w:t>
      </w:r>
      <w:proofErr w:type="spellEnd"/>
      <w:r w:rsidR="00F140F0" w:rsidRPr="003C6924">
        <w:rPr>
          <w:rFonts w:eastAsia="宋体"/>
          <w:lang w:eastAsia="ar-SA" w:bidi="ar-SA"/>
        </w:rPr>
        <w:t xml:space="preserve"> and spontaneous bacterial peritonitis. In: </w:t>
      </w:r>
      <w:proofErr w:type="spellStart"/>
      <w:r w:rsidR="00F140F0" w:rsidRPr="003C6924">
        <w:rPr>
          <w:rFonts w:eastAsia="宋体"/>
          <w:lang w:eastAsia="ar-SA" w:bidi="ar-SA"/>
        </w:rPr>
        <w:t>Sleisenger</w:t>
      </w:r>
      <w:proofErr w:type="spellEnd"/>
      <w:r w:rsidR="00F140F0" w:rsidRPr="003C6924">
        <w:rPr>
          <w:rFonts w:eastAsia="宋体"/>
          <w:lang w:eastAsia="ar-SA" w:bidi="ar-SA"/>
        </w:rPr>
        <w:t xml:space="preserve"> MH, </w:t>
      </w:r>
      <w:proofErr w:type="spellStart"/>
      <w:r w:rsidR="00F140F0" w:rsidRPr="003C6924">
        <w:rPr>
          <w:rFonts w:eastAsia="宋体"/>
          <w:lang w:eastAsia="ar-SA" w:bidi="ar-SA"/>
        </w:rPr>
        <w:t>Fordtan</w:t>
      </w:r>
      <w:proofErr w:type="spellEnd"/>
      <w:r w:rsidR="00F140F0" w:rsidRPr="003C6924">
        <w:rPr>
          <w:rFonts w:eastAsia="宋体"/>
          <w:lang w:eastAsia="ar-SA" w:bidi="ar-SA"/>
        </w:rPr>
        <w:t xml:space="preserve"> JS. Eds. </w:t>
      </w:r>
      <w:proofErr w:type="spellStart"/>
      <w:r w:rsidR="00F140F0" w:rsidRPr="003C6924">
        <w:rPr>
          <w:rFonts w:eastAsia="宋体"/>
          <w:lang w:eastAsia="ar-SA" w:bidi="ar-SA"/>
        </w:rPr>
        <w:lastRenderedPageBreak/>
        <w:t>Gasterintestinl</w:t>
      </w:r>
      <w:proofErr w:type="spellEnd"/>
      <w:r w:rsidR="00F140F0" w:rsidRPr="003C6924">
        <w:rPr>
          <w:rFonts w:eastAsia="宋体"/>
          <w:lang w:eastAsia="ar-SA" w:bidi="ar-SA"/>
        </w:rPr>
        <w:t xml:space="preserve"> and liver disease. 6th ed. Philadelphia: Saunders, p. 1180.</w:t>
      </w:r>
      <w:r w:rsidR="00341052" w:rsidRPr="003C6924">
        <w:rPr>
          <w:rFonts w:eastAsia="宋体"/>
          <w:lang w:eastAsia="ar-SA" w:bidi="ar-SA"/>
        </w:rPr>
        <w:t xml:space="preserve"> (1998).</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6" w:history="1">
        <w:r w:rsidR="00F140F0" w:rsidRPr="003C6924">
          <w:rPr>
            <w:rFonts w:eastAsia="宋体"/>
            <w:lang w:eastAsia="ar-SA" w:bidi="ar-SA"/>
          </w:rPr>
          <w:t xml:space="preserve">Runyon BA, </w:t>
        </w:r>
        <w:proofErr w:type="spellStart"/>
        <w:r w:rsidR="00F140F0" w:rsidRPr="003C6924">
          <w:rPr>
            <w:rFonts w:eastAsia="宋体"/>
            <w:lang w:eastAsia="ar-SA" w:bidi="ar-SA"/>
          </w:rPr>
          <w:t>Hoefs</w:t>
        </w:r>
        <w:proofErr w:type="spellEnd"/>
        <w:r w:rsidR="00F140F0" w:rsidRPr="003C6924">
          <w:rPr>
            <w:rFonts w:eastAsia="宋体"/>
            <w:lang w:eastAsia="ar-SA" w:bidi="ar-SA"/>
          </w:rPr>
          <w:t xml:space="preserve"> JC, Morgan TR.</w:t>
        </w:r>
      </w:hyperlink>
      <w:r w:rsidR="00F140F0" w:rsidRPr="003C6924">
        <w:rPr>
          <w:rFonts w:eastAsia="宋体"/>
          <w:lang w:eastAsia="ar-SA" w:bidi="ar-SA"/>
        </w:rPr>
        <w:t xml:space="preserve"> </w:t>
      </w:r>
      <w:proofErr w:type="spellStart"/>
      <w:r w:rsidR="00F140F0" w:rsidRPr="003C6924">
        <w:rPr>
          <w:rFonts w:eastAsia="宋体"/>
          <w:lang w:eastAsia="ar-SA" w:bidi="ar-SA"/>
        </w:rPr>
        <w:t>Ascitic</w:t>
      </w:r>
      <w:proofErr w:type="spellEnd"/>
      <w:r w:rsidR="00F140F0" w:rsidRPr="003C6924">
        <w:rPr>
          <w:rFonts w:eastAsia="宋体"/>
          <w:lang w:eastAsia="ar-SA" w:bidi="ar-SA"/>
        </w:rPr>
        <w:t xml:space="preserve"> fluid analysis in malignancy-related </w:t>
      </w:r>
      <w:proofErr w:type="spellStart"/>
      <w:r w:rsidR="00F140F0" w:rsidRPr="003C6924">
        <w:rPr>
          <w:rFonts w:eastAsia="宋体"/>
          <w:lang w:eastAsia="ar-SA" w:bidi="ar-SA"/>
        </w:rPr>
        <w:t>ascites</w:t>
      </w:r>
      <w:proofErr w:type="spellEnd"/>
      <w:r w:rsidR="00F140F0" w:rsidRPr="003C6924">
        <w:rPr>
          <w:rFonts w:eastAsia="宋体"/>
          <w:lang w:eastAsia="ar-SA" w:bidi="ar-SA"/>
        </w:rPr>
        <w:t>.</w:t>
      </w:r>
      <w:r w:rsidR="00352E4D">
        <w:rPr>
          <w:rFonts w:eastAsia="宋体" w:hint="eastAsia"/>
          <w:lang w:eastAsia="zh-CN" w:bidi="ar-SA"/>
        </w:rPr>
        <w:t xml:space="preserve"> </w:t>
      </w:r>
      <w:proofErr w:type="spellStart"/>
      <w:r w:rsidR="00F140F0" w:rsidRPr="003C6924">
        <w:rPr>
          <w:rFonts w:eastAsia="宋体"/>
          <w:lang w:eastAsia="ar-SA" w:bidi="ar-SA"/>
        </w:rPr>
        <w:t>Hepatology</w:t>
      </w:r>
      <w:proofErr w:type="spellEnd"/>
      <w:r w:rsidR="00F140F0" w:rsidRPr="003C6924">
        <w:rPr>
          <w:rFonts w:eastAsia="宋体"/>
          <w:lang w:eastAsia="ar-SA" w:bidi="ar-SA"/>
        </w:rPr>
        <w:t>,</w:t>
      </w:r>
      <w:r w:rsidR="00341052" w:rsidRPr="003C6924">
        <w:rPr>
          <w:rFonts w:eastAsia="宋体"/>
          <w:lang w:eastAsia="ar-SA" w:bidi="ar-SA"/>
        </w:rPr>
        <w:t xml:space="preserve"> (1988):</w:t>
      </w:r>
      <w:r w:rsidR="00352E4D">
        <w:rPr>
          <w:rFonts w:eastAsia="宋体"/>
          <w:lang w:eastAsia="ar-SA" w:bidi="ar-SA"/>
        </w:rPr>
        <w:t xml:space="preserve"> </w:t>
      </w:r>
      <w:r w:rsidR="00F140F0" w:rsidRPr="003C6924">
        <w:rPr>
          <w:rFonts w:eastAsia="宋体"/>
          <w:lang w:eastAsia="ar-SA" w:bidi="ar-SA"/>
        </w:rPr>
        <w:t>8(5):1104-. 1109.</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7" w:history="1">
        <w:r w:rsidR="00F140F0" w:rsidRPr="003C6924">
          <w:rPr>
            <w:rFonts w:eastAsia="宋体"/>
            <w:lang w:eastAsia="ar-SA" w:bidi="ar-SA"/>
          </w:rPr>
          <w:t xml:space="preserve">Runyon BA, Montano AA, </w:t>
        </w:r>
        <w:proofErr w:type="spellStart"/>
        <w:r w:rsidR="00F140F0" w:rsidRPr="003C6924">
          <w:rPr>
            <w:rFonts w:eastAsia="宋体"/>
            <w:lang w:eastAsia="ar-SA" w:bidi="ar-SA"/>
          </w:rPr>
          <w:t>Akriviadis</w:t>
        </w:r>
        <w:proofErr w:type="spellEnd"/>
        <w:r w:rsidR="00F140F0" w:rsidRPr="003C6924">
          <w:rPr>
            <w:rFonts w:eastAsia="宋体"/>
            <w:lang w:eastAsia="ar-SA" w:bidi="ar-SA"/>
          </w:rPr>
          <w:t xml:space="preserve"> EA, </w:t>
        </w:r>
        <w:proofErr w:type="spellStart"/>
        <w:r w:rsidR="00F140F0" w:rsidRPr="003C6924">
          <w:rPr>
            <w:rFonts w:eastAsia="宋体"/>
            <w:lang w:eastAsia="ar-SA" w:bidi="ar-SA"/>
          </w:rPr>
          <w:t>Antillon</w:t>
        </w:r>
        <w:proofErr w:type="spellEnd"/>
        <w:r w:rsidR="00F140F0" w:rsidRPr="003C6924">
          <w:rPr>
            <w:rFonts w:eastAsia="宋体"/>
            <w:lang w:eastAsia="ar-SA" w:bidi="ar-SA"/>
          </w:rPr>
          <w:t xml:space="preserve"> MR, Irving MA, </w:t>
        </w:r>
        <w:proofErr w:type="spellStart"/>
        <w:r w:rsidR="00F140F0" w:rsidRPr="003C6924">
          <w:rPr>
            <w:rFonts w:eastAsia="宋体"/>
            <w:lang w:eastAsia="ar-SA" w:bidi="ar-SA"/>
          </w:rPr>
          <w:t>McHutchison</w:t>
        </w:r>
        <w:proofErr w:type="spellEnd"/>
        <w:r w:rsidR="00F140F0" w:rsidRPr="003C6924">
          <w:rPr>
            <w:rFonts w:eastAsia="宋体"/>
            <w:lang w:eastAsia="ar-SA" w:bidi="ar-SA"/>
          </w:rPr>
          <w:t xml:space="preserve"> JG.</w:t>
        </w:r>
      </w:hyperlink>
      <w:r w:rsidR="00F140F0" w:rsidRPr="003C6924">
        <w:rPr>
          <w:rFonts w:eastAsia="宋体"/>
          <w:lang w:eastAsia="ar-SA" w:bidi="ar-SA"/>
        </w:rPr>
        <w:t xml:space="preserve"> The serum </w:t>
      </w:r>
      <w:proofErr w:type="spellStart"/>
      <w:r w:rsidR="00F140F0" w:rsidRPr="003C6924">
        <w:rPr>
          <w:rFonts w:eastAsia="宋体"/>
          <w:lang w:eastAsia="ar-SA" w:bidi="ar-SA"/>
        </w:rPr>
        <w:t>ascites</w:t>
      </w:r>
      <w:proofErr w:type="spellEnd"/>
      <w:r w:rsidR="00F140F0" w:rsidRPr="003C6924">
        <w:rPr>
          <w:rFonts w:eastAsia="宋体"/>
          <w:lang w:eastAsia="ar-SA" w:bidi="ar-SA"/>
        </w:rPr>
        <w:t xml:space="preserve"> albumin gradient is superior to the exudates </w:t>
      </w:r>
      <w:proofErr w:type="spellStart"/>
      <w:r w:rsidR="00F140F0" w:rsidRPr="003C6924">
        <w:rPr>
          <w:rFonts w:eastAsia="宋体"/>
          <w:lang w:eastAsia="ar-SA" w:bidi="ar-SA"/>
        </w:rPr>
        <w:t>transudate</w:t>
      </w:r>
      <w:proofErr w:type="spellEnd"/>
      <w:r w:rsidR="00F140F0" w:rsidRPr="003C6924">
        <w:rPr>
          <w:rFonts w:eastAsia="宋体"/>
          <w:lang w:eastAsia="ar-SA" w:bidi="ar-SA"/>
        </w:rPr>
        <w:t xml:space="preserve"> concept in the differential diagnosis of </w:t>
      </w:r>
      <w:proofErr w:type="spellStart"/>
      <w:r w:rsidR="00F140F0" w:rsidRPr="003C6924">
        <w:rPr>
          <w:rFonts w:eastAsia="宋体"/>
          <w:lang w:eastAsia="ar-SA" w:bidi="ar-SA"/>
        </w:rPr>
        <w:t>ascitesAnn</w:t>
      </w:r>
      <w:proofErr w:type="spellEnd"/>
      <w:r w:rsidR="00F140F0" w:rsidRPr="003C6924">
        <w:rPr>
          <w:rFonts w:eastAsia="宋体"/>
          <w:lang w:eastAsia="ar-SA" w:bidi="ar-SA"/>
        </w:rPr>
        <w:t xml:space="preserve"> Intern Med</w:t>
      </w:r>
      <w:r w:rsidR="00352E4D">
        <w:rPr>
          <w:rFonts w:eastAsia="宋体"/>
          <w:lang w:eastAsia="ar-SA" w:bidi="ar-SA"/>
        </w:rPr>
        <w:t>;</w:t>
      </w:r>
      <w:r w:rsidR="00341052" w:rsidRPr="003C6924">
        <w:rPr>
          <w:rFonts w:eastAsia="宋体"/>
          <w:lang w:eastAsia="ar-SA" w:bidi="ar-SA"/>
        </w:rPr>
        <w:t xml:space="preserve"> (1992):</w:t>
      </w:r>
      <w:r w:rsidR="00F140F0" w:rsidRPr="003C6924">
        <w:rPr>
          <w:rFonts w:eastAsia="宋体"/>
          <w:lang w:eastAsia="ar-SA" w:bidi="ar-SA"/>
        </w:rPr>
        <w:t>117:215-220</w:t>
      </w:r>
      <w:r w:rsidR="00352E4D">
        <w:rPr>
          <w:rFonts w:eastAsia="宋体" w:hint="eastAsia"/>
          <w:lang w:eastAsia="zh-CN" w:bidi="ar-SA"/>
        </w:rPr>
        <w:t>.</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Sadek</w:t>
      </w:r>
      <w:proofErr w:type="spellEnd"/>
      <w:r w:rsidRPr="003C6924">
        <w:rPr>
          <w:rFonts w:eastAsia="宋体"/>
          <w:lang w:eastAsia="ar-SA" w:bidi="ar-SA"/>
        </w:rPr>
        <w:t>, A.; Abdel-</w:t>
      </w:r>
      <w:proofErr w:type="spellStart"/>
      <w:r w:rsidRPr="003C6924">
        <w:rPr>
          <w:rFonts w:eastAsia="宋体"/>
          <w:lang w:eastAsia="ar-SA" w:bidi="ar-SA"/>
        </w:rPr>
        <w:t>Hady</w:t>
      </w:r>
      <w:proofErr w:type="spellEnd"/>
      <w:r w:rsidRPr="003C6924">
        <w:rPr>
          <w:rFonts w:eastAsia="宋体"/>
          <w:lang w:eastAsia="ar-SA" w:bidi="ar-SA"/>
        </w:rPr>
        <w:t>, A; el-</w:t>
      </w:r>
      <w:proofErr w:type="spellStart"/>
      <w:r w:rsidRPr="003C6924">
        <w:rPr>
          <w:rFonts w:eastAsia="宋体"/>
          <w:lang w:eastAsia="ar-SA" w:bidi="ar-SA"/>
        </w:rPr>
        <w:t>Ayyat</w:t>
      </w:r>
      <w:proofErr w:type="spellEnd"/>
      <w:r w:rsidRPr="003C6924">
        <w:rPr>
          <w:rFonts w:eastAsia="宋体"/>
          <w:lang w:eastAsia="ar-SA" w:bidi="ar-SA"/>
        </w:rPr>
        <w:t xml:space="preserve">-A; Hassan, M; </w:t>
      </w:r>
      <w:proofErr w:type="spellStart"/>
      <w:r w:rsidRPr="003C6924">
        <w:rPr>
          <w:rFonts w:eastAsia="宋体"/>
          <w:lang w:eastAsia="ar-SA" w:bidi="ar-SA"/>
        </w:rPr>
        <w:t>Mostafa</w:t>
      </w:r>
      <w:proofErr w:type="spellEnd"/>
      <w:r w:rsidRPr="003C6924">
        <w:rPr>
          <w:rFonts w:eastAsia="宋体"/>
          <w:lang w:eastAsia="ar-SA" w:bidi="ar-SA"/>
        </w:rPr>
        <w:t>, I.</w:t>
      </w:r>
      <w:r w:rsidR="00352E4D">
        <w:rPr>
          <w:rFonts w:eastAsia="宋体"/>
          <w:lang w:eastAsia="ar-SA" w:bidi="ar-SA"/>
        </w:rPr>
        <w:t>,</w:t>
      </w:r>
      <w:r w:rsidRPr="003C6924">
        <w:rPr>
          <w:rFonts w:eastAsia="宋体"/>
          <w:lang w:eastAsia="ar-SA" w:bidi="ar-SA"/>
        </w:rPr>
        <w:t xml:space="preserve"> </w:t>
      </w:r>
      <w:proofErr w:type="spellStart"/>
      <w:r w:rsidRPr="003C6924">
        <w:rPr>
          <w:rFonts w:eastAsia="宋体"/>
          <w:lang w:eastAsia="ar-SA" w:bidi="ar-SA"/>
        </w:rPr>
        <w:t>Nouh</w:t>
      </w:r>
      <w:proofErr w:type="spellEnd"/>
      <w:r w:rsidRPr="003C6924">
        <w:rPr>
          <w:rFonts w:eastAsia="宋体"/>
          <w:lang w:eastAsia="ar-SA" w:bidi="ar-SA"/>
        </w:rPr>
        <w:t xml:space="preserve">-A. Alpha </w:t>
      </w:r>
      <w:proofErr w:type="spellStart"/>
      <w:r w:rsidRPr="003C6924">
        <w:rPr>
          <w:rFonts w:eastAsia="宋体"/>
          <w:lang w:eastAsia="ar-SA" w:bidi="ar-SA"/>
        </w:rPr>
        <w:t>feto</w:t>
      </w:r>
      <w:proofErr w:type="spellEnd"/>
      <w:r w:rsidRPr="003C6924">
        <w:rPr>
          <w:rFonts w:eastAsia="宋体"/>
          <w:lang w:eastAsia="ar-SA" w:bidi="ar-SA"/>
        </w:rPr>
        <w:t xml:space="preserve">-protein and albumin in </w:t>
      </w:r>
      <w:proofErr w:type="spellStart"/>
      <w:r w:rsidRPr="003C6924">
        <w:rPr>
          <w:rFonts w:eastAsia="宋体"/>
          <w:lang w:eastAsia="ar-SA" w:bidi="ar-SA"/>
        </w:rPr>
        <w:t>ascitic</w:t>
      </w:r>
      <w:proofErr w:type="spellEnd"/>
      <w:r w:rsidRPr="003C6924">
        <w:rPr>
          <w:rFonts w:eastAsia="宋体"/>
          <w:lang w:eastAsia="ar-SA" w:bidi="ar-SA"/>
        </w:rPr>
        <w:t xml:space="preserve"> fluid in </w:t>
      </w:r>
      <w:proofErr w:type="spellStart"/>
      <w:r w:rsidRPr="003C6924">
        <w:rPr>
          <w:rFonts w:eastAsia="宋体"/>
          <w:lang w:eastAsia="ar-SA" w:bidi="ar-SA"/>
        </w:rPr>
        <w:t>hepatocellular</w:t>
      </w:r>
      <w:proofErr w:type="spellEnd"/>
      <w:r w:rsidRPr="003C6924">
        <w:rPr>
          <w:rFonts w:eastAsia="宋体"/>
          <w:lang w:eastAsia="ar-SA" w:bidi="ar-SA"/>
        </w:rPr>
        <w:t xml:space="preserve"> carcinoma patients. J. Egypt. Soc. </w:t>
      </w:r>
      <w:proofErr w:type="spellStart"/>
      <w:r w:rsidRPr="003C6924">
        <w:rPr>
          <w:rFonts w:eastAsia="宋体"/>
          <w:lang w:eastAsia="ar-SA" w:bidi="ar-SA"/>
        </w:rPr>
        <w:t>Parasitol</w:t>
      </w:r>
      <w:proofErr w:type="spellEnd"/>
      <w:r w:rsidRPr="003C6924">
        <w:rPr>
          <w:rFonts w:eastAsia="宋体"/>
          <w:lang w:eastAsia="ar-SA" w:bidi="ar-SA"/>
        </w:rPr>
        <w:t xml:space="preserve">; Aug; </w:t>
      </w:r>
      <w:r w:rsidR="00341052" w:rsidRPr="003C6924">
        <w:rPr>
          <w:rFonts w:eastAsia="宋体"/>
          <w:lang w:eastAsia="ar-SA" w:bidi="ar-SA"/>
        </w:rPr>
        <w:t xml:space="preserve">(1997): </w:t>
      </w:r>
      <w:r w:rsidRPr="003C6924">
        <w:rPr>
          <w:rFonts w:eastAsia="宋体"/>
          <w:lang w:eastAsia="ar-SA" w:bidi="ar-SA"/>
        </w:rPr>
        <w:t>27(2): 455-64.</w:t>
      </w:r>
    </w:p>
    <w:p w:rsidR="00283C38"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lastRenderedPageBreak/>
        <w:t xml:space="preserve">Sherlock, S. Diseases of the liver and </w:t>
      </w:r>
      <w:proofErr w:type="spellStart"/>
      <w:r w:rsidRPr="003C6924">
        <w:rPr>
          <w:rFonts w:eastAsia="宋体"/>
          <w:lang w:eastAsia="ar-SA" w:bidi="ar-SA"/>
        </w:rPr>
        <w:t>biliary</w:t>
      </w:r>
      <w:proofErr w:type="spellEnd"/>
      <w:r w:rsidRPr="003C6924">
        <w:rPr>
          <w:rFonts w:eastAsia="宋体"/>
          <w:lang w:eastAsia="ar-SA" w:bidi="ar-SA"/>
        </w:rPr>
        <w:t xml:space="preserve"> system. 8th edition. Blackwell Scientific Publications. Oxford, London, Edinburgh.</w:t>
      </w:r>
      <w:r w:rsidR="00341052" w:rsidRPr="003C6924">
        <w:rPr>
          <w:rFonts w:eastAsia="宋体"/>
          <w:lang w:eastAsia="ar-SA" w:bidi="ar-SA"/>
        </w:rPr>
        <w:t xml:space="preserve"> (1989).</w:t>
      </w:r>
    </w:p>
    <w:p w:rsidR="00C7015F" w:rsidRPr="003C6924" w:rsidRDefault="00C7015F" w:rsidP="00C65861">
      <w:pPr>
        <w:numPr>
          <w:ilvl w:val="0"/>
          <w:numId w:val="4"/>
        </w:numPr>
        <w:tabs>
          <w:tab w:val="clear" w:pos="360"/>
        </w:tabs>
        <w:suppressAutoHyphens/>
        <w:snapToGrid w:val="0"/>
        <w:ind w:left="425" w:right="0" w:hanging="425"/>
        <w:jc w:val="both"/>
        <w:rPr>
          <w:rFonts w:eastAsia="宋体"/>
          <w:lang w:eastAsia="ar-SA" w:bidi="ar-SA"/>
        </w:rPr>
      </w:pPr>
      <w:proofErr w:type="spellStart"/>
      <w:r w:rsidRPr="003C6924">
        <w:rPr>
          <w:rFonts w:eastAsia="宋体"/>
          <w:lang w:eastAsia="ar-SA" w:bidi="ar-SA"/>
        </w:rPr>
        <w:t>Shikha</w:t>
      </w:r>
      <w:proofErr w:type="spellEnd"/>
      <w:r w:rsidR="00FB5E41" w:rsidRPr="003C6924">
        <w:rPr>
          <w:rFonts w:eastAsia="宋体"/>
          <w:lang w:eastAsia="ar-SA" w:bidi="ar-SA"/>
        </w:rPr>
        <w:t>, NG</w:t>
      </w:r>
      <w:r w:rsidRPr="003C6924">
        <w:rPr>
          <w:rFonts w:eastAsia="宋体"/>
          <w:lang w:eastAsia="ar-SA" w:bidi="ar-SA"/>
        </w:rPr>
        <w:t xml:space="preserve"> A Cytological Study of Peritoneal Fluids and Its </w:t>
      </w:r>
      <w:proofErr w:type="spellStart"/>
      <w:r w:rsidRPr="003C6924">
        <w:rPr>
          <w:rFonts w:eastAsia="宋体"/>
          <w:lang w:eastAsia="ar-SA" w:bidi="ar-SA"/>
        </w:rPr>
        <w:t>Clinicobiochemical</w:t>
      </w:r>
      <w:proofErr w:type="spellEnd"/>
      <w:r w:rsidRPr="003C6924">
        <w:rPr>
          <w:rFonts w:eastAsia="宋体"/>
          <w:lang w:eastAsia="ar-SA" w:bidi="ar-SA"/>
        </w:rPr>
        <w:t xml:space="preserve"> Correlation. </w:t>
      </w:r>
      <w:r w:rsidR="00341052" w:rsidRPr="003C6924">
        <w:rPr>
          <w:rFonts w:eastAsia="宋体"/>
          <w:lang w:eastAsia="ar-SA" w:bidi="ar-SA"/>
        </w:rPr>
        <w:t>(2014)</w:t>
      </w:r>
      <w:r w:rsidR="00352E4D">
        <w:rPr>
          <w:rFonts w:eastAsia="宋体"/>
          <w:lang w:eastAsia="ar-SA" w:bidi="ar-SA"/>
        </w:rPr>
        <w:t>:</w:t>
      </w:r>
      <w:r w:rsidRPr="003C6924">
        <w:rPr>
          <w:rFonts w:eastAsia="宋体"/>
          <w:lang w:eastAsia="ar-SA" w:bidi="ar-SA"/>
        </w:rPr>
        <w:t xml:space="preserve">13, </w:t>
      </w:r>
      <w:proofErr w:type="gramStart"/>
      <w:r w:rsidRPr="003C6924">
        <w:rPr>
          <w:rFonts w:eastAsia="宋体"/>
          <w:lang w:eastAsia="ar-SA" w:bidi="ar-SA"/>
        </w:rPr>
        <w:t>( 2</w:t>
      </w:r>
      <w:proofErr w:type="gramEnd"/>
      <w:r w:rsidRPr="003C6924">
        <w:rPr>
          <w:rFonts w:eastAsia="宋体"/>
          <w:lang w:eastAsia="ar-SA" w:bidi="ar-SA"/>
        </w:rPr>
        <w:t>)</w:t>
      </w:r>
      <w:r w:rsidR="00352E4D">
        <w:rPr>
          <w:rFonts w:eastAsia="宋体"/>
          <w:lang w:eastAsia="ar-SA" w:bidi="ar-SA"/>
        </w:rPr>
        <w:t>:</w:t>
      </w:r>
      <w:r w:rsidRPr="003C6924">
        <w:rPr>
          <w:rFonts w:eastAsia="宋体"/>
          <w:lang w:eastAsia="ar-SA" w:bidi="ar-SA"/>
        </w:rPr>
        <w:t xml:space="preserve"> 12-15</w:t>
      </w:r>
      <w:r w:rsidR="00352E4D">
        <w:rPr>
          <w:rFonts w:eastAsia="宋体" w:hint="eastAsia"/>
          <w:lang w:eastAsia="zh-CN" w:bidi="ar-SA"/>
        </w:rPr>
        <w:t>.</w:t>
      </w:r>
    </w:p>
    <w:p w:rsidR="00F140F0" w:rsidRPr="003C6924" w:rsidRDefault="00D058AB" w:rsidP="00C65861">
      <w:pPr>
        <w:numPr>
          <w:ilvl w:val="0"/>
          <w:numId w:val="4"/>
        </w:numPr>
        <w:tabs>
          <w:tab w:val="clear" w:pos="360"/>
        </w:tabs>
        <w:suppressAutoHyphens/>
        <w:snapToGrid w:val="0"/>
        <w:ind w:left="425" w:right="0" w:hanging="425"/>
        <w:jc w:val="both"/>
        <w:rPr>
          <w:rFonts w:eastAsia="宋体"/>
          <w:lang w:eastAsia="ar-SA" w:bidi="ar-SA"/>
        </w:rPr>
      </w:pPr>
      <w:hyperlink r:id="rId28" w:history="1">
        <w:r w:rsidR="00F140F0" w:rsidRPr="003C6924">
          <w:rPr>
            <w:rFonts w:eastAsia="宋体"/>
            <w:lang w:val="fr-FR" w:eastAsia="ar-SA" w:bidi="ar-SA"/>
          </w:rPr>
          <w:t>Villegas MV, Labrada LA, Saravia NG.</w:t>
        </w:r>
      </w:hyperlink>
      <w:r w:rsidR="00F140F0" w:rsidRPr="003C6924">
        <w:rPr>
          <w:rFonts w:eastAsia="宋体"/>
          <w:lang w:val="fr-FR" w:eastAsia="ar-SA" w:bidi="ar-SA"/>
        </w:rPr>
        <w:t xml:space="preserve"> </w:t>
      </w:r>
      <w:r w:rsidR="00F140F0" w:rsidRPr="003C6924">
        <w:rPr>
          <w:rFonts w:eastAsia="宋体"/>
          <w:lang w:eastAsia="ar-SA" w:bidi="ar-SA"/>
        </w:rPr>
        <w:t xml:space="preserve">Evaluation of polymerase chain reaction, adenosine </w:t>
      </w:r>
      <w:proofErr w:type="spellStart"/>
      <w:r w:rsidR="00F140F0" w:rsidRPr="003C6924">
        <w:rPr>
          <w:rFonts w:eastAsia="宋体"/>
          <w:lang w:eastAsia="ar-SA" w:bidi="ar-SA"/>
        </w:rPr>
        <w:t>deaminase</w:t>
      </w:r>
      <w:proofErr w:type="spellEnd"/>
      <w:r w:rsidR="00352E4D">
        <w:rPr>
          <w:rFonts w:eastAsia="宋体"/>
          <w:lang w:eastAsia="ar-SA" w:bidi="ar-SA"/>
        </w:rPr>
        <w:t>,</w:t>
      </w:r>
      <w:r w:rsidR="00F140F0" w:rsidRPr="003C6924">
        <w:rPr>
          <w:rFonts w:eastAsia="宋体"/>
          <w:lang w:eastAsia="ar-SA" w:bidi="ar-SA"/>
        </w:rPr>
        <w:t xml:space="preserve"> and interferon-gamma in pleural fluid for the differential diagnosis of pleural tuberculosis. Chest, </w:t>
      </w:r>
      <w:r w:rsidR="00341052" w:rsidRPr="003C6924">
        <w:rPr>
          <w:rFonts w:eastAsia="宋体"/>
          <w:lang w:eastAsia="ar-SA" w:bidi="ar-SA"/>
        </w:rPr>
        <w:t xml:space="preserve">(2000): </w:t>
      </w:r>
      <w:r w:rsidR="00F140F0" w:rsidRPr="003C6924">
        <w:rPr>
          <w:rFonts w:eastAsia="宋体"/>
          <w:lang w:eastAsia="ar-SA" w:bidi="ar-SA"/>
        </w:rPr>
        <w:t>118(5):1355-64.</w:t>
      </w:r>
    </w:p>
    <w:p w:rsidR="00F140F0" w:rsidRPr="003C6924" w:rsidRDefault="00F140F0" w:rsidP="00C65861">
      <w:pPr>
        <w:numPr>
          <w:ilvl w:val="0"/>
          <w:numId w:val="4"/>
        </w:numPr>
        <w:tabs>
          <w:tab w:val="clear" w:pos="360"/>
        </w:tabs>
        <w:suppressAutoHyphens/>
        <w:snapToGrid w:val="0"/>
        <w:ind w:left="425" w:right="0" w:hanging="425"/>
        <w:jc w:val="both"/>
        <w:rPr>
          <w:rFonts w:eastAsia="宋体"/>
          <w:lang w:eastAsia="ar-SA" w:bidi="ar-SA"/>
        </w:rPr>
      </w:pPr>
      <w:r w:rsidRPr="003C6924">
        <w:rPr>
          <w:rFonts w:eastAsia="宋体"/>
          <w:lang w:eastAsia="ar-SA" w:bidi="ar-SA"/>
        </w:rPr>
        <w:t>World Health Organization (WHO)</w:t>
      </w:r>
      <w:r w:rsidR="00341052" w:rsidRPr="003C6924">
        <w:rPr>
          <w:rFonts w:eastAsia="宋体"/>
          <w:lang w:eastAsia="ar-SA" w:bidi="ar-SA"/>
        </w:rPr>
        <w:t xml:space="preserve"> </w:t>
      </w:r>
      <w:r w:rsidRPr="003C6924">
        <w:rPr>
          <w:rFonts w:eastAsia="宋体"/>
          <w:lang w:eastAsia="ar-SA" w:bidi="ar-SA"/>
        </w:rPr>
        <w:t xml:space="preserve">An expanded DOTS framework for effective tuberculosis control. Stop TB Communication disease, WHO, Geneva, Switzerland. </w:t>
      </w:r>
      <w:r w:rsidR="00341052" w:rsidRPr="003C6924">
        <w:rPr>
          <w:rFonts w:eastAsia="宋体"/>
          <w:lang w:eastAsia="ar-SA" w:bidi="ar-SA"/>
        </w:rPr>
        <w:t>(2002)</w:t>
      </w:r>
      <w:r w:rsidR="005417E7" w:rsidRPr="003C6924">
        <w:rPr>
          <w:rFonts w:eastAsia="宋体"/>
          <w:lang w:eastAsia="ar-SA" w:bidi="ar-SA"/>
        </w:rPr>
        <w:t>.</w:t>
      </w:r>
    </w:p>
    <w:p w:rsidR="003C6924" w:rsidRPr="003C6924" w:rsidRDefault="003C6924" w:rsidP="00C65861">
      <w:pPr>
        <w:suppressAutoHyphens/>
        <w:snapToGrid w:val="0"/>
        <w:ind w:left="425" w:right="0" w:hanging="425"/>
        <w:jc w:val="both"/>
        <w:rPr>
          <w:rFonts w:eastAsia="宋体"/>
          <w:lang w:eastAsia="ar-SA" w:bidi="ar-SA"/>
        </w:rPr>
        <w:sectPr w:rsidR="003C6924" w:rsidRPr="003C6924" w:rsidSect="00606A3F">
          <w:footerReference w:type="even" r:id="rId29"/>
          <w:footerReference w:type="default" r:id="rId30"/>
          <w:type w:val="continuous"/>
          <w:pgSz w:w="12240" w:h="15840" w:code="1"/>
          <w:pgMar w:top="1440" w:right="1440" w:bottom="1440" w:left="1440" w:header="720" w:footer="720" w:gutter="0"/>
          <w:cols w:num="2" w:space="708"/>
          <w:docGrid w:linePitch="360"/>
        </w:sectPr>
      </w:pPr>
    </w:p>
    <w:p w:rsidR="003C6924" w:rsidRDefault="003C6924" w:rsidP="00C65861">
      <w:pPr>
        <w:snapToGrid w:val="0"/>
        <w:ind w:left="425" w:right="0" w:hanging="425"/>
        <w:jc w:val="both"/>
      </w:pPr>
    </w:p>
    <w:p w:rsidR="00BA09B0" w:rsidRDefault="00BA09B0" w:rsidP="00C65861">
      <w:pPr>
        <w:snapToGrid w:val="0"/>
        <w:ind w:left="425" w:right="0" w:hanging="425"/>
        <w:jc w:val="both"/>
        <w:rPr>
          <w:rFonts w:eastAsiaTheme="minorEastAsia"/>
          <w:lang w:eastAsia="zh-CN"/>
        </w:rPr>
      </w:pPr>
    </w:p>
    <w:p w:rsidR="00C65861" w:rsidRPr="00C65861" w:rsidRDefault="00C65861" w:rsidP="00C65861">
      <w:pPr>
        <w:snapToGrid w:val="0"/>
        <w:ind w:left="425" w:right="0" w:hanging="425"/>
        <w:jc w:val="both"/>
        <w:rPr>
          <w:rFonts w:eastAsiaTheme="minorEastAsia"/>
          <w:lang w:eastAsia="zh-CN"/>
        </w:rPr>
      </w:pPr>
    </w:p>
    <w:p w:rsidR="00D97522" w:rsidRPr="003C6924" w:rsidRDefault="00BA09B0" w:rsidP="00C65861">
      <w:pPr>
        <w:snapToGrid w:val="0"/>
        <w:ind w:left="425" w:right="0" w:hanging="425"/>
        <w:jc w:val="both"/>
      </w:pPr>
      <w:r w:rsidRPr="003C6924">
        <w:t>8/15/2014</w:t>
      </w:r>
    </w:p>
    <w:sectPr w:rsidR="00D97522" w:rsidRPr="003C6924" w:rsidSect="00606A3F">
      <w:footerReference w:type="even" r:id="rId31"/>
      <w:footerReference w:type="default" r:id="rId32"/>
      <w:type w:val="continuous"/>
      <w:pgSz w:w="12240" w:h="15840" w:code="1"/>
      <w:pgMar w:top="1440" w:right="1440" w:bottom="1440" w:left="1440" w:header="720" w:footer="720" w:gutter="0"/>
      <w:cols w:space="708" w:equalWidth="0">
        <w:col w:w="949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46" w:rsidRDefault="00A50446">
      <w:r>
        <w:separator/>
      </w:r>
    </w:p>
  </w:endnote>
  <w:endnote w:type="continuationSeparator" w:id="0">
    <w:p w:rsidR="00A50446" w:rsidRDefault="00A50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end"/>
    </w:r>
  </w:p>
  <w:p w:rsidR="002B0AA0" w:rsidRDefault="002B0AA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separate"/>
    </w:r>
    <w:r w:rsidR="002B0AA0">
      <w:rPr>
        <w:rStyle w:val="PageNumber"/>
        <w:noProof/>
      </w:rPr>
      <w:t>1</w:t>
    </w:r>
    <w:r>
      <w:rPr>
        <w:rStyle w:val="PageNumber"/>
      </w:rPr>
      <w:fldChar w:fldCharType="end"/>
    </w:r>
  </w:p>
  <w:p w:rsidR="002B0AA0" w:rsidRDefault="002B0A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Pr="00BA09B0" w:rsidRDefault="00D058AB" w:rsidP="00BA09B0">
    <w:pPr>
      <w:jc w:val="center"/>
    </w:pPr>
    <w:fldSimple w:instr=" page ">
      <w:r w:rsidR="00352E4D">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end"/>
    </w:r>
  </w:p>
  <w:p w:rsidR="002B0AA0" w:rsidRDefault="002B0A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separate"/>
    </w:r>
    <w:r w:rsidR="00352E4D">
      <w:rPr>
        <w:rStyle w:val="PageNumber"/>
        <w:noProof/>
      </w:rPr>
      <w:t>32</w:t>
    </w:r>
    <w:r>
      <w:rPr>
        <w:rStyle w:val="PageNumber"/>
      </w:rPr>
      <w:fldChar w:fldCharType="end"/>
    </w:r>
  </w:p>
  <w:p w:rsidR="002B0AA0" w:rsidRDefault="002B0AA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end"/>
    </w:r>
  </w:p>
  <w:p w:rsidR="002B0AA0" w:rsidRDefault="002B0AA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separate"/>
    </w:r>
    <w:r w:rsidR="002B0AA0">
      <w:rPr>
        <w:rStyle w:val="PageNumber"/>
        <w:noProof/>
      </w:rPr>
      <w:t>4</w:t>
    </w:r>
    <w:r>
      <w:rPr>
        <w:rStyle w:val="PageNumber"/>
      </w:rPr>
      <w:fldChar w:fldCharType="end"/>
    </w:r>
  </w:p>
  <w:p w:rsidR="002B0AA0" w:rsidRDefault="002B0AA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end"/>
    </w:r>
  </w:p>
  <w:p w:rsidR="002B0AA0" w:rsidRDefault="002B0AA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separate"/>
    </w:r>
    <w:r w:rsidR="00352E4D">
      <w:rPr>
        <w:rStyle w:val="PageNumber"/>
        <w:noProof/>
      </w:rPr>
      <w:t>35</w:t>
    </w:r>
    <w:r>
      <w:rPr>
        <w:rStyle w:val="PageNumber"/>
      </w:rPr>
      <w:fldChar w:fldCharType="end"/>
    </w:r>
  </w:p>
  <w:p w:rsidR="002B0AA0" w:rsidRDefault="002B0AA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Default="00D058AB" w:rsidP="00D81562">
    <w:pPr>
      <w:pStyle w:val="Footer"/>
      <w:framePr w:wrap="around" w:vAnchor="text" w:hAnchor="text" w:xAlign="center" w:y="1"/>
      <w:rPr>
        <w:rStyle w:val="PageNumber"/>
      </w:rPr>
    </w:pPr>
    <w:r>
      <w:rPr>
        <w:rStyle w:val="PageNumber"/>
      </w:rPr>
      <w:fldChar w:fldCharType="begin"/>
    </w:r>
    <w:r w:rsidR="002B0AA0">
      <w:rPr>
        <w:rStyle w:val="PageNumber"/>
      </w:rPr>
      <w:instrText xml:space="preserve">PAGE  </w:instrText>
    </w:r>
    <w:r>
      <w:rPr>
        <w:rStyle w:val="PageNumber"/>
      </w:rPr>
      <w:fldChar w:fldCharType="end"/>
    </w:r>
  </w:p>
  <w:p w:rsidR="002B0AA0" w:rsidRDefault="002B0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46" w:rsidRDefault="00A50446">
      <w:r>
        <w:separator/>
      </w:r>
    </w:p>
  </w:footnote>
  <w:footnote w:type="continuationSeparator" w:id="0">
    <w:p w:rsidR="00A50446" w:rsidRDefault="00A50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A0" w:rsidRPr="00BA09B0" w:rsidRDefault="002B0AA0" w:rsidP="00BA09B0">
    <w:pPr>
      <w:pBdr>
        <w:bottom w:val="thinThickMediumGap" w:sz="12" w:space="1" w:color="auto"/>
      </w:pBdr>
      <w:tabs>
        <w:tab w:val="left" w:pos="851"/>
        <w:tab w:val="right" w:pos="8364"/>
      </w:tabs>
      <w:adjustRightInd w:val="0"/>
      <w:snapToGrid w:val="0"/>
      <w:jc w:val="both"/>
    </w:pPr>
    <w:r w:rsidRPr="00BA09B0">
      <w:rPr>
        <w:rFonts w:hint="eastAsia"/>
        <w:iCs/>
        <w:color w:val="000000"/>
      </w:rPr>
      <w:tab/>
    </w:r>
    <w:r w:rsidRPr="00BA09B0">
      <w:t>Nature and Science 201</w:t>
    </w:r>
    <w:r w:rsidRPr="00BA09B0">
      <w:rPr>
        <w:rFonts w:hint="eastAsia"/>
      </w:rPr>
      <w:t>4</w:t>
    </w:r>
    <w:proofErr w:type="gramStart"/>
    <w:r w:rsidRPr="00BA09B0">
      <w:t>;1</w:t>
    </w:r>
    <w:r w:rsidRPr="00BA09B0">
      <w:rPr>
        <w:rFonts w:hint="eastAsia"/>
      </w:rPr>
      <w:t>2</w:t>
    </w:r>
    <w:proofErr w:type="gramEnd"/>
    <w:r w:rsidRPr="00BA09B0">
      <w:t>(</w:t>
    </w:r>
    <w:r w:rsidRPr="00BA09B0">
      <w:rPr>
        <w:rFonts w:hint="eastAsia"/>
      </w:rPr>
      <w:t>9</w:t>
    </w:r>
    <w:r w:rsidRPr="00BA09B0">
      <w:t xml:space="preserve">) </w:t>
    </w:r>
    <w:r w:rsidRPr="00BA09B0">
      <w:rPr>
        <w:color w:val="000000"/>
      </w:rPr>
      <w:t xml:space="preserve"> </w:t>
    </w:r>
    <w:r w:rsidRPr="00BA09B0">
      <w:rPr>
        <w:rFonts w:hint="eastAsia"/>
        <w:color w:val="000000"/>
      </w:rPr>
      <w:tab/>
    </w:r>
    <w:r w:rsidRPr="00BA09B0">
      <w:rPr>
        <w:color w:val="000000"/>
      </w:rPr>
      <w:t xml:space="preserve"> </w:t>
    </w:r>
    <w:hyperlink r:id="rId1" w:history="1">
      <w:r w:rsidRPr="00BA09B0">
        <w:rPr>
          <w:rStyle w:val="Hyperlink"/>
          <w:color w:val="0000FF"/>
        </w:rPr>
        <w:t>http://www.sciencepub.net/nature</w:t>
      </w:r>
    </w:hyperlink>
  </w:p>
  <w:p w:rsidR="002B0AA0" w:rsidRPr="00BA09B0" w:rsidRDefault="002B0AA0" w:rsidP="00BA09B0">
    <w:pPr>
      <w:tabs>
        <w:tab w:val="left" w:pos="851"/>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1CC"/>
    <w:multiLevelType w:val="hybridMultilevel"/>
    <w:tmpl w:val="A49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E6096"/>
    <w:multiLevelType w:val="multilevel"/>
    <w:tmpl w:val="7AFA33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5095B42"/>
    <w:multiLevelType w:val="hybridMultilevel"/>
    <w:tmpl w:val="7AFA3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0C2D97"/>
    <w:multiLevelType w:val="hybridMultilevel"/>
    <w:tmpl w:val="A758605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nsid w:val="764200A5"/>
    <w:multiLevelType w:val="multilevel"/>
    <w:tmpl w:val="EF12365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750"/>
    <w:rsid w:val="000013C5"/>
    <w:rsid w:val="000179DA"/>
    <w:rsid w:val="0002123D"/>
    <w:rsid w:val="00037BC2"/>
    <w:rsid w:val="00045373"/>
    <w:rsid w:val="000947C6"/>
    <w:rsid w:val="000A6BA8"/>
    <w:rsid w:val="000A703E"/>
    <w:rsid w:val="000B376D"/>
    <w:rsid w:val="000B577C"/>
    <w:rsid w:val="000C40C7"/>
    <w:rsid w:val="000D425A"/>
    <w:rsid w:val="000E0F95"/>
    <w:rsid w:val="000E23C1"/>
    <w:rsid w:val="000E2931"/>
    <w:rsid w:val="000E2EC4"/>
    <w:rsid w:val="00104241"/>
    <w:rsid w:val="00104EBF"/>
    <w:rsid w:val="00105009"/>
    <w:rsid w:val="00123A10"/>
    <w:rsid w:val="001268A1"/>
    <w:rsid w:val="00132A58"/>
    <w:rsid w:val="001469A4"/>
    <w:rsid w:val="001820A5"/>
    <w:rsid w:val="001B0496"/>
    <w:rsid w:val="0020149B"/>
    <w:rsid w:val="00207593"/>
    <w:rsid w:val="002200FE"/>
    <w:rsid w:val="002453D6"/>
    <w:rsid w:val="002537C1"/>
    <w:rsid w:val="0026057D"/>
    <w:rsid w:val="002765B4"/>
    <w:rsid w:val="00280DCE"/>
    <w:rsid w:val="00283B0D"/>
    <w:rsid w:val="00283C38"/>
    <w:rsid w:val="002A1D91"/>
    <w:rsid w:val="002B0AA0"/>
    <w:rsid w:val="002E60DE"/>
    <w:rsid w:val="002F2095"/>
    <w:rsid w:val="003072D4"/>
    <w:rsid w:val="00313742"/>
    <w:rsid w:val="00335061"/>
    <w:rsid w:val="00341052"/>
    <w:rsid w:val="00352E4D"/>
    <w:rsid w:val="0035452E"/>
    <w:rsid w:val="003653BA"/>
    <w:rsid w:val="003825E3"/>
    <w:rsid w:val="00386A8A"/>
    <w:rsid w:val="00390175"/>
    <w:rsid w:val="003A1248"/>
    <w:rsid w:val="003A1E63"/>
    <w:rsid w:val="003A4D2A"/>
    <w:rsid w:val="003C0B20"/>
    <w:rsid w:val="003C186A"/>
    <w:rsid w:val="003C6924"/>
    <w:rsid w:val="003D251A"/>
    <w:rsid w:val="00422608"/>
    <w:rsid w:val="00442788"/>
    <w:rsid w:val="00445948"/>
    <w:rsid w:val="00447740"/>
    <w:rsid w:val="00450C54"/>
    <w:rsid w:val="004620C3"/>
    <w:rsid w:val="00471AFD"/>
    <w:rsid w:val="004769C3"/>
    <w:rsid w:val="00476A97"/>
    <w:rsid w:val="004861D4"/>
    <w:rsid w:val="0049124D"/>
    <w:rsid w:val="0049705F"/>
    <w:rsid w:val="004C4554"/>
    <w:rsid w:val="004D721D"/>
    <w:rsid w:val="004D7F38"/>
    <w:rsid w:val="004E02A4"/>
    <w:rsid w:val="005011F8"/>
    <w:rsid w:val="00512B72"/>
    <w:rsid w:val="00525C81"/>
    <w:rsid w:val="00533035"/>
    <w:rsid w:val="005417E7"/>
    <w:rsid w:val="00554E0A"/>
    <w:rsid w:val="005718C4"/>
    <w:rsid w:val="00582223"/>
    <w:rsid w:val="00585571"/>
    <w:rsid w:val="00587220"/>
    <w:rsid w:val="005D1EA6"/>
    <w:rsid w:val="005E3036"/>
    <w:rsid w:val="005F62C1"/>
    <w:rsid w:val="00606A3F"/>
    <w:rsid w:val="00616D31"/>
    <w:rsid w:val="00626308"/>
    <w:rsid w:val="00632B88"/>
    <w:rsid w:val="006415D1"/>
    <w:rsid w:val="00642461"/>
    <w:rsid w:val="006530F4"/>
    <w:rsid w:val="006775C8"/>
    <w:rsid w:val="00687FBF"/>
    <w:rsid w:val="006942F9"/>
    <w:rsid w:val="006947B1"/>
    <w:rsid w:val="006A5136"/>
    <w:rsid w:val="006C0750"/>
    <w:rsid w:val="006C52AD"/>
    <w:rsid w:val="006C7955"/>
    <w:rsid w:val="006E293A"/>
    <w:rsid w:val="006F76F1"/>
    <w:rsid w:val="007154AC"/>
    <w:rsid w:val="007326C3"/>
    <w:rsid w:val="0074386F"/>
    <w:rsid w:val="00745DA0"/>
    <w:rsid w:val="00773F18"/>
    <w:rsid w:val="007977B9"/>
    <w:rsid w:val="007C43D6"/>
    <w:rsid w:val="007E48FD"/>
    <w:rsid w:val="007F2BD5"/>
    <w:rsid w:val="007F7FFA"/>
    <w:rsid w:val="0081325F"/>
    <w:rsid w:val="0083340A"/>
    <w:rsid w:val="0085756B"/>
    <w:rsid w:val="00882EA2"/>
    <w:rsid w:val="008955ED"/>
    <w:rsid w:val="008B4A84"/>
    <w:rsid w:val="008B5F31"/>
    <w:rsid w:val="008C52F1"/>
    <w:rsid w:val="008C555C"/>
    <w:rsid w:val="009020F9"/>
    <w:rsid w:val="00917210"/>
    <w:rsid w:val="00924056"/>
    <w:rsid w:val="009343F1"/>
    <w:rsid w:val="00952D3F"/>
    <w:rsid w:val="009669B2"/>
    <w:rsid w:val="00991CEE"/>
    <w:rsid w:val="00995877"/>
    <w:rsid w:val="009A1482"/>
    <w:rsid w:val="009E175B"/>
    <w:rsid w:val="009F7898"/>
    <w:rsid w:val="00A044A1"/>
    <w:rsid w:val="00A26054"/>
    <w:rsid w:val="00A50446"/>
    <w:rsid w:val="00A67AD9"/>
    <w:rsid w:val="00A94E21"/>
    <w:rsid w:val="00AA429A"/>
    <w:rsid w:val="00AB0C4B"/>
    <w:rsid w:val="00AC0D0C"/>
    <w:rsid w:val="00AE0182"/>
    <w:rsid w:val="00B14111"/>
    <w:rsid w:val="00B15547"/>
    <w:rsid w:val="00B2318F"/>
    <w:rsid w:val="00B373DE"/>
    <w:rsid w:val="00B4144F"/>
    <w:rsid w:val="00B453CF"/>
    <w:rsid w:val="00B76A9B"/>
    <w:rsid w:val="00B7795A"/>
    <w:rsid w:val="00B9040C"/>
    <w:rsid w:val="00B95E03"/>
    <w:rsid w:val="00BA09B0"/>
    <w:rsid w:val="00BD6A2E"/>
    <w:rsid w:val="00BD7FE3"/>
    <w:rsid w:val="00BE1B57"/>
    <w:rsid w:val="00C2191F"/>
    <w:rsid w:val="00C34993"/>
    <w:rsid w:val="00C4599F"/>
    <w:rsid w:val="00C45FDD"/>
    <w:rsid w:val="00C5097A"/>
    <w:rsid w:val="00C60326"/>
    <w:rsid w:val="00C62F12"/>
    <w:rsid w:val="00C65861"/>
    <w:rsid w:val="00C66BD6"/>
    <w:rsid w:val="00C7015F"/>
    <w:rsid w:val="00C71F32"/>
    <w:rsid w:val="00C75A9D"/>
    <w:rsid w:val="00C80907"/>
    <w:rsid w:val="00C923F4"/>
    <w:rsid w:val="00C93BB5"/>
    <w:rsid w:val="00CC704B"/>
    <w:rsid w:val="00CD046B"/>
    <w:rsid w:val="00CD0E75"/>
    <w:rsid w:val="00CF2B01"/>
    <w:rsid w:val="00D04E00"/>
    <w:rsid w:val="00D058AB"/>
    <w:rsid w:val="00D165B9"/>
    <w:rsid w:val="00D24E2F"/>
    <w:rsid w:val="00D37310"/>
    <w:rsid w:val="00D531A3"/>
    <w:rsid w:val="00D53B4E"/>
    <w:rsid w:val="00D616B8"/>
    <w:rsid w:val="00D81562"/>
    <w:rsid w:val="00D97522"/>
    <w:rsid w:val="00DA0D8E"/>
    <w:rsid w:val="00E1005F"/>
    <w:rsid w:val="00E1180D"/>
    <w:rsid w:val="00E45205"/>
    <w:rsid w:val="00E53651"/>
    <w:rsid w:val="00E56068"/>
    <w:rsid w:val="00E567FE"/>
    <w:rsid w:val="00E6153A"/>
    <w:rsid w:val="00E7149B"/>
    <w:rsid w:val="00E74530"/>
    <w:rsid w:val="00E75737"/>
    <w:rsid w:val="00E928BB"/>
    <w:rsid w:val="00EC23F9"/>
    <w:rsid w:val="00ED056E"/>
    <w:rsid w:val="00ED133A"/>
    <w:rsid w:val="00ED2BEC"/>
    <w:rsid w:val="00F037E4"/>
    <w:rsid w:val="00F140F0"/>
    <w:rsid w:val="00F14893"/>
    <w:rsid w:val="00F17B63"/>
    <w:rsid w:val="00F21D10"/>
    <w:rsid w:val="00F427FA"/>
    <w:rsid w:val="00F531CF"/>
    <w:rsid w:val="00F76801"/>
    <w:rsid w:val="00F91914"/>
    <w:rsid w:val="00F967EF"/>
    <w:rsid w:val="00FB5E41"/>
    <w:rsid w:val="00FC30ED"/>
    <w:rsid w:val="00FD5064"/>
    <w:rsid w:val="00FE0D3C"/>
    <w:rsid w:val="00FF63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50"/>
    <w:pPr>
      <w:ind w:right="240" w:firstLine="240"/>
    </w:pPr>
    <w:rPr>
      <w:rFonts w:ascii="Times New Roman" w:eastAsia="Times New Roman" w:hAnsi="Times New Roman" w:cs="Times New Roman"/>
      <w:lang w:eastAsia="en-US" w:bidi="ar-EG"/>
    </w:rPr>
  </w:style>
  <w:style w:type="paragraph" w:styleId="Heading1">
    <w:name w:val="heading 1"/>
    <w:basedOn w:val="Normal"/>
    <w:next w:val="Normal"/>
    <w:qFormat/>
    <w:rsid w:val="00FE0D3C"/>
    <w:pPr>
      <w:keepNext/>
      <w:bidi/>
      <w:spacing w:before="120" w:after="120" w:line="360" w:lineRule="auto"/>
      <w:ind w:right="0" w:firstLine="0"/>
      <w:jc w:val="center"/>
      <w:outlineLvl w:val="0"/>
    </w:pPr>
    <w:rPr>
      <w:rFonts w:cs="Simplified Arabic"/>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2BD5"/>
    <w:rPr>
      <w:b/>
      <w:bCs/>
    </w:rPr>
  </w:style>
  <w:style w:type="character" w:customStyle="1" w:styleId="Hyperlink2">
    <w:name w:val="Hyperlink2"/>
    <w:basedOn w:val="DefaultParagraphFont"/>
    <w:rsid w:val="007F2BD5"/>
    <w:rPr>
      <w:b/>
      <w:bCs/>
      <w:strike w:val="0"/>
      <w:dstrike w:val="0"/>
      <w:color w:val="3C54A0"/>
      <w:u w:val="none"/>
      <w:effect w:val="none"/>
    </w:rPr>
  </w:style>
  <w:style w:type="paragraph" w:customStyle="1" w:styleId="3">
    <w:name w:val="عادي (ويب)3"/>
    <w:basedOn w:val="Normal"/>
    <w:rsid w:val="007F2BD5"/>
    <w:pPr>
      <w:spacing w:before="120" w:after="240"/>
      <w:ind w:right="0" w:firstLine="0"/>
    </w:pPr>
    <w:rPr>
      <w:rFonts w:ascii="Verdana" w:hAnsi="Verdana"/>
      <w:color w:val="333333"/>
      <w:sz w:val="24"/>
      <w:szCs w:val="24"/>
    </w:rPr>
  </w:style>
  <w:style w:type="character" w:customStyle="1" w:styleId="ref2">
    <w:name w:val="ref2"/>
    <w:basedOn w:val="DefaultParagraphFont"/>
    <w:rsid w:val="00476A97"/>
    <w:rPr>
      <w:vanish w:val="0"/>
      <w:webHidden w:val="0"/>
      <w:specVanish w:val="0"/>
    </w:rPr>
  </w:style>
  <w:style w:type="paragraph" w:styleId="BodyText">
    <w:name w:val="Body Text"/>
    <w:aliases w:val=" Char Char Char"/>
    <w:basedOn w:val="Normal"/>
    <w:link w:val="BodyTextChar"/>
    <w:rsid w:val="00F21D10"/>
    <w:pPr>
      <w:bidi/>
      <w:ind w:right="0" w:firstLine="0"/>
    </w:pPr>
    <w:rPr>
      <w:rFonts w:eastAsia="宋体" w:cs="Traditional Arabic"/>
      <w:noProof/>
      <w:sz w:val="32"/>
      <w:szCs w:val="24"/>
      <w:lang w:bidi="ar-SA"/>
    </w:rPr>
  </w:style>
  <w:style w:type="character" w:customStyle="1" w:styleId="BodyTextChar">
    <w:name w:val="Body Text Char"/>
    <w:aliases w:val=" Char Char Char Char"/>
    <w:basedOn w:val="DefaultParagraphFont"/>
    <w:link w:val="BodyText"/>
    <w:rsid w:val="00F21D10"/>
    <w:rPr>
      <w:rFonts w:eastAsia="宋体" w:cs="Traditional Arabic"/>
      <w:noProof/>
      <w:sz w:val="32"/>
      <w:szCs w:val="24"/>
      <w:lang w:val="en-US" w:eastAsia="en-US" w:bidi="ar-SA"/>
    </w:rPr>
  </w:style>
  <w:style w:type="paragraph" w:styleId="Footer">
    <w:name w:val="footer"/>
    <w:basedOn w:val="Normal"/>
    <w:rsid w:val="00D81562"/>
    <w:pPr>
      <w:tabs>
        <w:tab w:val="center" w:pos="4153"/>
        <w:tab w:val="right" w:pos="8306"/>
      </w:tabs>
    </w:pPr>
  </w:style>
  <w:style w:type="character" w:styleId="PageNumber">
    <w:name w:val="page number"/>
    <w:basedOn w:val="DefaultParagraphFont"/>
    <w:rsid w:val="00D81562"/>
  </w:style>
  <w:style w:type="character" w:styleId="HTMLTypewriter">
    <w:name w:val="HTML Typewriter"/>
    <w:basedOn w:val="DefaultParagraphFont"/>
    <w:rsid w:val="007154AC"/>
    <w:rPr>
      <w:rFonts w:ascii="Courier New" w:eastAsia="Times New Roman" w:hAnsi="Courier New" w:cs="Courier New"/>
      <w:sz w:val="20"/>
      <w:szCs w:val="20"/>
    </w:rPr>
  </w:style>
  <w:style w:type="paragraph" w:styleId="BodyTextIndent2">
    <w:name w:val="Body Text Indent 2"/>
    <w:basedOn w:val="Normal"/>
    <w:link w:val="BodyTextIndent2Char"/>
    <w:unhideWhenUsed/>
    <w:rsid w:val="00687FBF"/>
    <w:pPr>
      <w:spacing w:after="120" w:line="480" w:lineRule="auto"/>
      <w:ind w:left="283"/>
    </w:pPr>
  </w:style>
  <w:style w:type="character" w:customStyle="1" w:styleId="BodyTextIndent2Char">
    <w:name w:val="Body Text Indent 2 Char"/>
    <w:basedOn w:val="DefaultParagraphFont"/>
    <w:link w:val="BodyTextIndent2"/>
    <w:uiPriority w:val="99"/>
    <w:semiHidden/>
    <w:rsid w:val="00687FBF"/>
    <w:rPr>
      <w:rFonts w:ascii="Times New Roman" w:eastAsia="Times New Roman" w:hAnsi="Times New Roman" w:cs="Times New Roman"/>
      <w:lang w:bidi="ar-EG"/>
    </w:rPr>
  </w:style>
  <w:style w:type="character" w:styleId="Hyperlink">
    <w:name w:val="Hyperlink"/>
    <w:basedOn w:val="DefaultParagraphFont"/>
    <w:rsid w:val="00687FBF"/>
    <w:rPr>
      <w:color w:val="0033CC"/>
      <w:u w:val="single"/>
    </w:rPr>
  </w:style>
  <w:style w:type="paragraph" w:styleId="Header">
    <w:name w:val="header"/>
    <w:basedOn w:val="Normal"/>
    <w:link w:val="HeaderChar"/>
    <w:rsid w:val="00687FBF"/>
    <w:pPr>
      <w:tabs>
        <w:tab w:val="center" w:pos="4153"/>
        <w:tab w:val="right" w:pos="8306"/>
      </w:tabs>
      <w:bidi/>
      <w:ind w:right="0" w:firstLine="0"/>
    </w:pPr>
    <w:rPr>
      <w:sz w:val="24"/>
      <w:szCs w:val="24"/>
      <w:lang w:bidi="ar-SA"/>
    </w:rPr>
  </w:style>
  <w:style w:type="character" w:customStyle="1" w:styleId="HeaderChar">
    <w:name w:val="Header Char"/>
    <w:basedOn w:val="DefaultParagraphFont"/>
    <w:link w:val="Header"/>
    <w:rsid w:val="00687FBF"/>
    <w:rPr>
      <w:rFonts w:ascii="Times New Roman" w:eastAsia="Times New Roman" w:hAnsi="Times New Roman" w:cs="Times New Roman"/>
      <w:sz w:val="24"/>
      <w:szCs w:val="24"/>
    </w:rPr>
  </w:style>
  <w:style w:type="paragraph" w:styleId="Title">
    <w:name w:val="Title"/>
    <w:basedOn w:val="Normal"/>
    <w:link w:val="TitleChar"/>
    <w:qFormat/>
    <w:rsid w:val="00687FBF"/>
    <w:pPr>
      <w:ind w:right="0" w:firstLine="0"/>
      <w:jc w:val="center"/>
    </w:pPr>
    <w:rPr>
      <w:rFonts w:cs="Traditional Arabic"/>
      <w:b/>
      <w:bCs/>
      <w:sz w:val="28"/>
      <w:lang w:bidi="ar-SA"/>
    </w:rPr>
  </w:style>
  <w:style w:type="character" w:customStyle="1" w:styleId="TitleChar">
    <w:name w:val="Title Char"/>
    <w:basedOn w:val="DefaultParagraphFont"/>
    <w:link w:val="Title"/>
    <w:rsid w:val="00687FBF"/>
    <w:rPr>
      <w:rFonts w:ascii="Times New Roman" w:eastAsia="Times New Roman" w:hAnsi="Times New Roman" w:cs="Traditional Arabic"/>
      <w:b/>
      <w:bCs/>
      <w:sz w:val="28"/>
    </w:rPr>
  </w:style>
  <w:style w:type="paragraph" w:styleId="BodyTextIndent">
    <w:name w:val="Body Text Indent"/>
    <w:basedOn w:val="Normal"/>
    <w:link w:val="BodyTextIndentChar"/>
    <w:rsid w:val="00687FBF"/>
    <w:pPr>
      <w:ind w:left="720" w:right="0" w:firstLine="0"/>
      <w:jc w:val="lowKashida"/>
    </w:pPr>
    <w:rPr>
      <w:rFonts w:cs="Traditional Arabic"/>
      <w:sz w:val="28"/>
      <w:lang w:bidi="ar-SA"/>
    </w:rPr>
  </w:style>
  <w:style w:type="character" w:customStyle="1" w:styleId="BodyTextIndentChar">
    <w:name w:val="Body Text Indent Char"/>
    <w:basedOn w:val="DefaultParagraphFont"/>
    <w:link w:val="BodyTextIndent"/>
    <w:rsid w:val="00687FBF"/>
    <w:rPr>
      <w:rFonts w:ascii="Times New Roman" w:eastAsia="Times New Roman" w:hAnsi="Times New Roman" w:cs="Traditional Arabic"/>
      <w:sz w:val="28"/>
    </w:rPr>
  </w:style>
  <w:style w:type="paragraph" w:styleId="BodyText2">
    <w:name w:val="Body Text 2"/>
    <w:basedOn w:val="Normal"/>
    <w:link w:val="BodyText2Char"/>
    <w:rsid w:val="00687FBF"/>
    <w:pPr>
      <w:ind w:right="0" w:firstLine="0"/>
      <w:jc w:val="lowKashida"/>
    </w:pPr>
    <w:rPr>
      <w:rFonts w:cs="Traditional Arabic"/>
      <w:b/>
      <w:bCs/>
      <w:i/>
      <w:iCs/>
      <w:sz w:val="28"/>
      <w:szCs w:val="22"/>
      <w:lang w:bidi="ar-SA"/>
    </w:rPr>
  </w:style>
  <w:style w:type="character" w:customStyle="1" w:styleId="BodyText2Char">
    <w:name w:val="Body Text 2 Char"/>
    <w:basedOn w:val="DefaultParagraphFont"/>
    <w:link w:val="BodyText2"/>
    <w:rsid w:val="00687FBF"/>
    <w:rPr>
      <w:rFonts w:ascii="Times New Roman" w:eastAsia="Times New Roman" w:hAnsi="Times New Roman" w:cs="Traditional Arabic"/>
      <w:b/>
      <w:bCs/>
      <w:i/>
      <w:iCs/>
      <w:sz w:val="28"/>
      <w:szCs w:val="22"/>
    </w:rPr>
  </w:style>
  <w:style w:type="paragraph" w:styleId="BodyText3">
    <w:name w:val="Body Text 3"/>
    <w:basedOn w:val="Normal"/>
    <w:link w:val="BodyText3Char"/>
    <w:rsid w:val="00687FBF"/>
    <w:pPr>
      <w:ind w:right="0" w:firstLine="0"/>
      <w:jc w:val="lowKashida"/>
    </w:pPr>
    <w:rPr>
      <w:rFonts w:cs="Traditional Arabic"/>
      <w:sz w:val="28"/>
      <w:lang w:bidi="ar-SA"/>
    </w:rPr>
  </w:style>
  <w:style w:type="character" w:customStyle="1" w:styleId="BodyText3Char">
    <w:name w:val="Body Text 3 Char"/>
    <w:basedOn w:val="DefaultParagraphFont"/>
    <w:link w:val="BodyText3"/>
    <w:rsid w:val="00687FBF"/>
    <w:rPr>
      <w:rFonts w:ascii="Times New Roman" w:eastAsia="Times New Roman" w:hAnsi="Times New Roman" w:cs="Traditional Arabic"/>
      <w:sz w:val="28"/>
    </w:rPr>
  </w:style>
  <w:style w:type="paragraph" w:styleId="BodyTextIndent3">
    <w:name w:val="Body Text Indent 3"/>
    <w:basedOn w:val="Normal"/>
    <w:link w:val="BodyTextIndent3Char"/>
    <w:rsid w:val="00687FBF"/>
    <w:pPr>
      <w:ind w:left="720" w:right="0" w:firstLine="0"/>
    </w:pPr>
    <w:rPr>
      <w:rFonts w:cs="Traditional Arabic"/>
      <w:sz w:val="28"/>
      <w:lang w:bidi="ar-SA"/>
    </w:rPr>
  </w:style>
  <w:style w:type="character" w:customStyle="1" w:styleId="BodyTextIndent3Char">
    <w:name w:val="Body Text Indent 3 Char"/>
    <w:basedOn w:val="DefaultParagraphFont"/>
    <w:link w:val="BodyTextIndent3"/>
    <w:rsid w:val="00687FBF"/>
    <w:rPr>
      <w:rFonts w:ascii="Times New Roman" w:eastAsia="Times New Roman" w:hAnsi="Times New Roman" w:cs="Traditional Arabic"/>
      <w:sz w:val="28"/>
    </w:rPr>
  </w:style>
  <w:style w:type="paragraph" w:styleId="BlockText">
    <w:name w:val="Block Text"/>
    <w:basedOn w:val="Normal"/>
    <w:rsid w:val="00687FBF"/>
    <w:pPr>
      <w:ind w:left="720" w:right="-568" w:firstLine="0"/>
      <w:jc w:val="lowKashida"/>
    </w:pPr>
    <w:rPr>
      <w:rFonts w:cs="Traditional Arabic"/>
      <w:sz w:val="28"/>
      <w:szCs w:val="22"/>
      <w:lang w:bidi="ar-SA"/>
    </w:rPr>
  </w:style>
  <w:style w:type="paragraph" w:styleId="HTMLPreformatted">
    <w:name w:val="HTML Preformatted"/>
    <w:basedOn w:val="Normal"/>
    <w:link w:val="HTMLPreformattedChar"/>
    <w:rsid w:val="0068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0"/>
    </w:pPr>
    <w:rPr>
      <w:rFonts w:ascii="Courier New" w:hAnsi="Courier New" w:cs="Courier New"/>
    </w:rPr>
  </w:style>
  <w:style w:type="character" w:customStyle="1" w:styleId="HTMLPreformattedChar">
    <w:name w:val="HTML Preformatted Char"/>
    <w:basedOn w:val="DefaultParagraphFont"/>
    <w:link w:val="HTMLPreformatted"/>
    <w:rsid w:val="00687FBF"/>
    <w:rPr>
      <w:rFonts w:ascii="Courier New" w:eastAsia="Times New Roman" w:hAnsi="Courier New" w:cs="Courier New"/>
      <w:lang w:bidi="ar-EG"/>
    </w:rPr>
  </w:style>
  <w:style w:type="paragraph" w:styleId="Caption">
    <w:name w:val="caption"/>
    <w:basedOn w:val="Normal"/>
    <w:next w:val="Normal"/>
    <w:uiPriority w:val="35"/>
    <w:unhideWhenUsed/>
    <w:qFormat/>
    <w:rsid w:val="00587220"/>
    <w:rPr>
      <w:b/>
      <w:bCs/>
    </w:rPr>
  </w:style>
  <w:style w:type="paragraph" w:styleId="BalloonText">
    <w:name w:val="Balloon Text"/>
    <w:basedOn w:val="Normal"/>
    <w:link w:val="BalloonTextChar"/>
    <w:uiPriority w:val="99"/>
    <w:semiHidden/>
    <w:unhideWhenUsed/>
    <w:rsid w:val="00632B88"/>
    <w:rPr>
      <w:rFonts w:ascii="Tahoma" w:hAnsi="Tahoma" w:cs="Tahoma"/>
      <w:sz w:val="16"/>
      <w:szCs w:val="16"/>
    </w:rPr>
  </w:style>
  <w:style w:type="character" w:customStyle="1" w:styleId="BalloonTextChar">
    <w:name w:val="Balloon Text Char"/>
    <w:basedOn w:val="DefaultParagraphFont"/>
    <w:link w:val="BalloonText"/>
    <w:uiPriority w:val="99"/>
    <w:semiHidden/>
    <w:rsid w:val="00632B88"/>
    <w:rPr>
      <w:rFonts w:ascii="Tahoma" w:eastAsia="Times New Roman" w:hAnsi="Tahoma" w:cs="Tahoma"/>
      <w:sz w:val="16"/>
      <w:szCs w:val="16"/>
      <w:lang w:eastAsia="en-US" w:bidi="ar-EG"/>
    </w:rPr>
  </w:style>
</w:styles>
</file>

<file path=word/webSettings.xml><?xml version="1.0" encoding="utf-8"?>
<w:webSettings xmlns:r="http://schemas.openxmlformats.org/officeDocument/2006/relationships" xmlns:w="http://schemas.openxmlformats.org/wordprocessingml/2006/main">
  <w:divs>
    <w:div w:id="200242637">
      <w:bodyDiv w:val="1"/>
      <w:marLeft w:val="0"/>
      <w:marRight w:val="0"/>
      <w:marTop w:val="0"/>
      <w:marBottom w:val="0"/>
      <w:divBdr>
        <w:top w:val="none" w:sz="0" w:space="0" w:color="auto"/>
        <w:left w:val="none" w:sz="0" w:space="0" w:color="auto"/>
        <w:bottom w:val="none" w:sz="0" w:space="0" w:color="auto"/>
        <w:right w:val="none" w:sz="0" w:space="0" w:color="auto"/>
      </w:divBdr>
    </w:div>
    <w:div w:id="338194373">
      <w:bodyDiv w:val="1"/>
      <w:marLeft w:val="0"/>
      <w:marRight w:val="0"/>
      <w:marTop w:val="0"/>
      <w:marBottom w:val="0"/>
      <w:divBdr>
        <w:top w:val="none" w:sz="0" w:space="0" w:color="auto"/>
        <w:left w:val="none" w:sz="0" w:space="0" w:color="auto"/>
        <w:bottom w:val="none" w:sz="0" w:space="0" w:color="auto"/>
        <w:right w:val="none" w:sz="0" w:space="0" w:color="auto"/>
      </w:divBdr>
    </w:div>
    <w:div w:id="465244852">
      <w:bodyDiv w:val="1"/>
      <w:marLeft w:val="0"/>
      <w:marRight w:val="0"/>
      <w:marTop w:val="0"/>
      <w:marBottom w:val="0"/>
      <w:divBdr>
        <w:top w:val="none" w:sz="0" w:space="0" w:color="auto"/>
        <w:left w:val="none" w:sz="0" w:space="0" w:color="auto"/>
        <w:bottom w:val="none" w:sz="0" w:space="0" w:color="auto"/>
        <w:right w:val="none" w:sz="0" w:space="0" w:color="auto"/>
      </w:divBdr>
    </w:div>
    <w:div w:id="670914063">
      <w:bodyDiv w:val="1"/>
      <w:marLeft w:val="0"/>
      <w:marRight w:val="0"/>
      <w:marTop w:val="0"/>
      <w:marBottom w:val="0"/>
      <w:divBdr>
        <w:top w:val="none" w:sz="0" w:space="0" w:color="auto"/>
        <w:left w:val="none" w:sz="0" w:space="0" w:color="auto"/>
        <w:bottom w:val="none" w:sz="0" w:space="0" w:color="auto"/>
        <w:right w:val="none" w:sz="0" w:space="0" w:color="auto"/>
      </w:divBdr>
      <w:divsChild>
        <w:div w:id="224880838">
          <w:marLeft w:val="0"/>
          <w:marRight w:val="0"/>
          <w:marTop w:val="0"/>
          <w:marBottom w:val="0"/>
          <w:divBdr>
            <w:top w:val="none" w:sz="0" w:space="0" w:color="auto"/>
            <w:left w:val="none" w:sz="0" w:space="0" w:color="auto"/>
            <w:bottom w:val="none" w:sz="0" w:space="0" w:color="auto"/>
            <w:right w:val="none" w:sz="0" w:space="0" w:color="auto"/>
          </w:divBdr>
          <w:divsChild>
            <w:div w:id="1120874333">
              <w:marLeft w:val="0"/>
              <w:marRight w:val="0"/>
              <w:marTop w:val="0"/>
              <w:marBottom w:val="0"/>
              <w:divBdr>
                <w:top w:val="none" w:sz="0" w:space="0" w:color="auto"/>
                <w:left w:val="none" w:sz="0" w:space="0" w:color="auto"/>
                <w:bottom w:val="none" w:sz="0" w:space="0" w:color="auto"/>
                <w:right w:val="none" w:sz="0" w:space="0" w:color="auto"/>
              </w:divBdr>
            </w:div>
            <w:div w:id="1923098108">
              <w:marLeft w:val="0"/>
              <w:marRight w:val="0"/>
              <w:marTop w:val="0"/>
              <w:marBottom w:val="0"/>
              <w:divBdr>
                <w:top w:val="none" w:sz="0" w:space="0" w:color="auto"/>
                <w:left w:val="none" w:sz="0" w:space="0" w:color="auto"/>
                <w:bottom w:val="none" w:sz="0" w:space="0" w:color="auto"/>
                <w:right w:val="none" w:sz="0" w:space="0" w:color="auto"/>
              </w:divBdr>
            </w:div>
          </w:divsChild>
        </w:div>
        <w:div w:id="929460801">
          <w:marLeft w:val="0"/>
          <w:marRight w:val="0"/>
          <w:marTop w:val="0"/>
          <w:marBottom w:val="0"/>
          <w:divBdr>
            <w:top w:val="none" w:sz="0" w:space="0" w:color="auto"/>
            <w:left w:val="none" w:sz="0" w:space="0" w:color="auto"/>
            <w:bottom w:val="none" w:sz="0" w:space="0" w:color="auto"/>
            <w:right w:val="none" w:sz="0" w:space="0" w:color="auto"/>
          </w:divBdr>
          <w:divsChild>
            <w:div w:id="18895762">
              <w:marLeft w:val="0"/>
              <w:marRight w:val="0"/>
              <w:marTop w:val="0"/>
              <w:marBottom w:val="0"/>
              <w:divBdr>
                <w:top w:val="none" w:sz="0" w:space="0" w:color="auto"/>
                <w:left w:val="none" w:sz="0" w:space="0" w:color="auto"/>
                <w:bottom w:val="none" w:sz="0" w:space="0" w:color="auto"/>
                <w:right w:val="none" w:sz="0" w:space="0" w:color="auto"/>
              </w:divBdr>
            </w:div>
            <w:div w:id="217058782">
              <w:marLeft w:val="0"/>
              <w:marRight w:val="0"/>
              <w:marTop w:val="0"/>
              <w:marBottom w:val="0"/>
              <w:divBdr>
                <w:top w:val="none" w:sz="0" w:space="0" w:color="auto"/>
                <w:left w:val="none" w:sz="0" w:space="0" w:color="auto"/>
                <w:bottom w:val="none" w:sz="0" w:space="0" w:color="auto"/>
                <w:right w:val="none" w:sz="0" w:space="0" w:color="auto"/>
              </w:divBdr>
            </w:div>
          </w:divsChild>
        </w:div>
        <w:div w:id="1788498877">
          <w:marLeft w:val="0"/>
          <w:marRight w:val="0"/>
          <w:marTop w:val="0"/>
          <w:marBottom w:val="0"/>
          <w:divBdr>
            <w:top w:val="none" w:sz="0" w:space="0" w:color="auto"/>
            <w:left w:val="none" w:sz="0" w:space="0" w:color="auto"/>
            <w:bottom w:val="none" w:sz="0" w:space="0" w:color="auto"/>
            <w:right w:val="none" w:sz="0" w:space="0" w:color="auto"/>
          </w:divBdr>
          <w:divsChild>
            <w:div w:id="731776490">
              <w:marLeft w:val="0"/>
              <w:marRight w:val="0"/>
              <w:marTop w:val="0"/>
              <w:marBottom w:val="0"/>
              <w:divBdr>
                <w:top w:val="none" w:sz="0" w:space="0" w:color="auto"/>
                <w:left w:val="none" w:sz="0" w:space="0" w:color="auto"/>
                <w:bottom w:val="none" w:sz="0" w:space="0" w:color="auto"/>
                <w:right w:val="none" w:sz="0" w:space="0" w:color="auto"/>
              </w:divBdr>
            </w:div>
            <w:div w:id="13414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yperlink" Target="http://www.ncbi.nlm.nih.gov/entrez/query.fcgi?cmd=Retrieve&amp;db=pubmed&amp;dopt=Abstract&amp;list_uids=3417231&amp;query_hl=16&amp;itool=pubmed_docsum" TargetMode="External"/><Relationship Id="rId3" Type="http://schemas.openxmlformats.org/officeDocument/2006/relationships/styles" Target="styles.xml"/><Relationship Id="rId21" Type="http://schemas.openxmlformats.org/officeDocument/2006/relationships/hyperlink" Target="http://www.ncbi.nlm.nih.gov/entrez/query.fcgi?cmd=Retrieve&amp;db=pubmed&amp;dopt=Abstract&amp;list_uids=11684715&amp;query_hl=11&amp;itool=pubmed_docsu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6.xml"/><Relationship Id="rId25" Type="http://schemas.openxmlformats.org/officeDocument/2006/relationships/hyperlink" Target="http://www.ncbi.nlm.nih.gov/entrez/query.fcgi?cmd=Retrieve&amp;db=pubmed&amp;dopt=Abstract&amp;list_uids=3417231&amp;query_hl=16&amp;itool=pubmed_docsu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ncbi.nlm.nih.gov/entrez/query.fcgi?cmd=Retrieve&amp;db=pubmed&amp;dopt=Abstract&amp;list_uids=8392901&amp;query_hl=3&amp;itool=pubmed_docsu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cbi.nlm.nih.gov/entrez/query.fcgi?cmd=Retrieve&amp;db=pubmed&amp;dopt=Abstract&amp;list_uids=1934463&amp;query_hl=10&amp;itool=pubmed_docsum"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ncbi.nlm.nih.gov/entrez/query.fcgi?cmd=Retrieve&amp;db=pubmed&amp;dopt=Abstract&amp;list_uids=12782778&amp;query_hl=16&amp;itool=pubmed_docsum" TargetMode="External"/><Relationship Id="rId28" Type="http://schemas.openxmlformats.org/officeDocument/2006/relationships/hyperlink" Target="http://www.ncbi.nlm.nih.gov/entrez/query.fcgi?cmd=Retrieve&amp;db=pubmed&amp;dopt=Abstract&amp;list_uids=11083686&amp;query_hl=30&amp;itool=pubmed_docsum"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entrez/query.fcgi?cmd=Retrieve&amp;db=pubmed&amp;dopt=Abstract&amp;list_uids=1452564&amp;query_hl=9&amp;itool=pubmed_docsum" TargetMode="External"/><Relationship Id="rId27" Type="http://schemas.openxmlformats.org/officeDocument/2006/relationships/hyperlink" Target="http://www.ncbi.nlm.nih.gov/entrez/query.fcgi?cmd=Retrieve&amp;db=pubmed&amp;dopt=Abstract&amp;list_uids=1616215&amp;query_hl=17&amp;itool=pubmed_docsum" TargetMode="Externa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587BC-570F-4CFF-A153-2D496972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Biochemical Effects of Fermented Camel Milk on Diarrhea in Rats</vt:lpstr>
    </vt:vector>
  </TitlesOfParts>
  <Company>Grizli777</Company>
  <LinksUpToDate>false</LinksUpToDate>
  <CharactersWithSpaces>23691</CharactersWithSpaces>
  <SharedDoc>false</SharedDoc>
  <HLinks>
    <vt:vector size="60" baseType="variant">
      <vt:variant>
        <vt:i4>5111917</vt:i4>
      </vt:variant>
      <vt:variant>
        <vt:i4>27</vt:i4>
      </vt:variant>
      <vt:variant>
        <vt:i4>0</vt:i4>
      </vt:variant>
      <vt:variant>
        <vt:i4>5</vt:i4>
      </vt:variant>
      <vt:variant>
        <vt:lpwstr>http://www.ncbi.nlm.nih.gov/entrez/query.fcgi?cmd=Retrieve&amp;db=pubmed&amp;dopt=Abstract&amp;list_uids=11083686&amp;query_hl=30&amp;itool=pubmed_docsum</vt:lpwstr>
      </vt:variant>
      <vt:variant>
        <vt:lpwstr/>
      </vt:variant>
      <vt:variant>
        <vt:i4>5242926</vt:i4>
      </vt:variant>
      <vt:variant>
        <vt:i4>24</vt:i4>
      </vt:variant>
      <vt:variant>
        <vt:i4>0</vt:i4>
      </vt:variant>
      <vt:variant>
        <vt:i4>5</vt:i4>
      </vt:variant>
      <vt:variant>
        <vt:lpwstr>http://www.ncbi.nlm.nih.gov/entrez/query.fcgi?cmd=Retrieve&amp;db=pubmed&amp;dopt=Abstract&amp;list_uids=1616215&amp;query_hl=17&amp;itool=pubmed_docsum</vt:lpwstr>
      </vt:variant>
      <vt:variant>
        <vt:lpwstr/>
      </vt:variant>
      <vt:variant>
        <vt:i4>5701679</vt:i4>
      </vt:variant>
      <vt:variant>
        <vt:i4>21</vt:i4>
      </vt:variant>
      <vt:variant>
        <vt:i4>0</vt:i4>
      </vt:variant>
      <vt:variant>
        <vt:i4>5</vt:i4>
      </vt:variant>
      <vt:variant>
        <vt:lpwstr>http://www.ncbi.nlm.nih.gov/entrez/query.fcgi?cmd=Retrieve&amp;db=pubmed&amp;dopt=Abstract&amp;list_uids=3417231&amp;query_hl=16&amp;itool=pubmed_docsum</vt:lpwstr>
      </vt:variant>
      <vt:variant>
        <vt:lpwstr/>
      </vt:variant>
      <vt:variant>
        <vt:i4>5701679</vt:i4>
      </vt:variant>
      <vt:variant>
        <vt:i4>18</vt:i4>
      </vt:variant>
      <vt:variant>
        <vt:i4>0</vt:i4>
      </vt:variant>
      <vt:variant>
        <vt:i4>5</vt:i4>
      </vt:variant>
      <vt:variant>
        <vt:lpwstr>http://www.ncbi.nlm.nih.gov/entrez/query.fcgi?cmd=Retrieve&amp;db=pubmed&amp;dopt=Abstract&amp;list_uids=3417231&amp;query_hl=16&amp;itool=pubmed_docsum</vt:lpwstr>
      </vt:variant>
      <vt:variant>
        <vt:lpwstr/>
      </vt:variant>
      <vt:variant>
        <vt:i4>5570596</vt:i4>
      </vt:variant>
      <vt:variant>
        <vt:i4>15</vt:i4>
      </vt:variant>
      <vt:variant>
        <vt:i4>0</vt:i4>
      </vt:variant>
      <vt:variant>
        <vt:i4>5</vt:i4>
      </vt:variant>
      <vt:variant>
        <vt:lpwstr>http://www.ncbi.nlm.nih.gov/entrez/query.fcgi?cmd=Retrieve&amp;db=pubmed&amp;dopt=Abstract&amp;list_uids=1934463&amp;query_hl=10&amp;itool=pubmed_docsum</vt:lpwstr>
      </vt:variant>
      <vt:variant>
        <vt:lpwstr/>
      </vt:variant>
      <vt:variant>
        <vt:i4>4522087</vt:i4>
      </vt:variant>
      <vt:variant>
        <vt:i4>12</vt:i4>
      </vt:variant>
      <vt:variant>
        <vt:i4>0</vt:i4>
      </vt:variant>
      <vt:variant>
        <vt:i4>5</vt:i4>
      </vt:variant>
      <vt:variant>
        <vt:lpwstr>http://www.ncbi.nlm.nih.gov/entrez/query.fcgi?cmd=Retrieve&amp;db=pubmed&amp;dopt=Abstract&amp;list_uids=12782778&amp;query_hl=16&amp;itool=pubmed_docsum</vt:lpwstr>
      </vt:variant>
      <vt:variant>
        <vt:lpwstr/>
      </vt:variant>
      <vt:variant>
        <vt:i4>5767287</vt:i4>
      </vt:variant>
      <vt:variant>
        <vt:i4>9</vt:i4>
      </vt:variant>
      <vt:variant>
        <vt:i4>0</vt:i4>
      </vt:variant>
      <vt:variant>
        <vt:i4>5</vt:i4>
      </vt:variant>
      <vt:variant>
        <vt:lpwstr>http://www.ncbi.nlm.nih.gov/entrez/query.fcgi?cmd=Retrieve&amp;db=pubmed&amp;dopt=Abstract&amp;list_uids=1452564&amp;query_hl=9&amp;itool=pubmed_docsum</vt:lpwstr>
      </vt:variant>
      <vt:variant>
        <vt:lpwstr/>
      </vt:variant>
      <vt:variant>
        <vt:i4>4456558</vt:i4>
      </vt:variant>
      <vt:variant>
        <vt:i4>6</vt:i4>
      </vt:variant>
      <vt:variant>
        <vt:i4>0</vt:i4>
      </vt:variant>
      <vt:variant>
        <vt:i4>5</vt:i4>
      </vt:variant>
      <vt:variant>
        <vt:lpwstr>http://www.ncbi.nlm.nih.gov/entrez/query.fcgi?cmd=Retrieve&amp;db=pubmed&amp;dopt=Abstract&amp;list_uids=11684715&amp;query_hl=11&amp;itool=pubmed_docsum</vt:lpwstr>
      </vt:variant>
      <vt:variant>
        <vt:lpwstr/>
      </vt:variant>
      <vt:variant>
        <vt:i4>5505148</vt:i4>
      </vt:variant>
      <vt:variant>
        <vt:i4>3</vt:i4>
      </vt:variant>
      <vt:variant>
        <vt:i4>0</vt:i4>
      </vt:variant>
      <vt:variant>
        <vt:i4>5</vt:i4>
      </vt:variant>
      <vt:variant>
        <vt:lpwstr>http://www.ncbi.nlm.nih.gov/entrez/query.fcgi?cmd=Retrieve&amp;db=pubmed&amp;dopt=Abstract&amp;list_uids=8392901&amp;query_hl=3&amp;itool=pubmed_docsum</vt:lpwstr>
      </vt:variant>
      <vt:variant>
        <vt:lpwstr/>
      </vt:variant>
      <vt:variant>
        <vt:i4>8192021</vt:i4>
      </vt:variant>
      <vt:variant>
        <vt:i4>0</vt:i4>
      </vt:variant>
      <vt:variant>
        <vt:i4>0</vt:i4>
      </vt:variant>
      <vt:variant>
        <vt:i4>5</vt:i4>
      </vt:variant>
      <vt:variant>
        <vt:lpwstr>E-mail: Abeerkhaial@yahoo.com.%0c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Biochemical Effects of Fermented Camel Milk on Diarrhea in Rats</dc:title>
  <dc:creator>Admin</dc:creator>
  <cp:lastModifiedBy>Administrator</cp:lastModifiedBy>
  <cp:revision>4</cp:revision>
  <cp:lastPrinted>2014-08-19T06:26:00Z</cp:lastPrinted>
  <dcterms:created xsi:type="dcterms:W3CDTF">2014-08-19T03:37:00Z</dcterms:created>
  <dcterms:modified xsi:type="dcterms:W3CDTF">2014-08-19T03:18:00Z</dcterms:modified>
</cp:coreProperties>
</file>