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D2" w:rsidRPr="00760593" w:rsidRDefault="0071301F" w:rsidP="00760593">
      <w:pPr>
        <w:snapToGrid w:val="0"/>
        <w:jc w:val="center"/>
        <w:rPr>
          <w:b/>
          <w:sz w:val="20"/>
          <w:szCs w:val="20"/>
          <w:lang w:eastAsia="zh-CN"/>
        </w:rPr>
      </w:pPr>
      <w:r w:rsidRPr="00760593">
        <w:rPr>
          <w:b/>
          <w:bCs/>
          <w:sz w:val="20"/>
          <w:szCs w:val="20"/>
        </w:rPr>
        <w:t>Studies on Some Inorganic Oxide Glasses Used</w:t>
      </w:r>
      <w:r w:rsidRPr="00760593">
        <w:rPr>
          <w:b/>
          <w:sz w:val="20"/>
          <w:szCs w:val="20"/>
        </w:rPr>
        <w:t xml:space="preserve"> </w:t>
      </w:r>
      <w:r w:rsidRPr="00760593">
        <w:rPr>
          <w:b/>
          <w:bCs/>
          <w:sz w:val="20"/>
          <w:szCs w:val="20"/>
        </w:rPr>
        <w:t>as Gamma-Ray Shields and for Radio-Active Waste Encapsulation</w:t>
      </w:r>
    </w:p>
    <w:p w:rsidR="00471E57" w:rsidRPr="00760593" w:rsidRDefault="00471E57" w:rsidP="00760593">
      <w:pPr>
        <w:snapToGrid w:val="0"/>
        <w:jc w:val="center"/>
        <w:rPr>
          <w:sz w:val="20"/>
          <w:szCs w:val="20"/>
        </w:rPr>
      </w:pPr>
    </w:p>
    <w:p w:rsidR="00471E57" w:rsidRPr="00760593" w:rsidRDefault="00490B57" w:rsidP="00760593">
      <w:pPr>
        <w:snapToGrid w:val="0"/>
        <w:jc w:val="center"/>
        <w:rPr>
          <w:sz w:val="20"/>
          <w:szCs w:val="20"/>
        </w:rPr>
      </w:pPr>
      <w:r w:rsidRPr="00760593">
        <w:rPr>
          <w:sz w:val="20"/>
          <w:szCs w:val="20"/>
        </w:rPr>
        <w:t>A.M. Abdel-</w:t>
      </w:r>
      <w:proofErr w:type="spellStart"/>
      <w:r w:rsidRPr="00760593">
        <w:rPr>
          <w:sz w:val="20"/>
          <w:szCs w:val="20"/>
        </w:rPr>
        <w:t>Ghany</w:t>
      </w:r>
      <w:proofErr w:type="spellEnd"/>
      <w:r w:rsidR="00606857" w:rsidRPr="00760593">
        <w:rPr>
          <w:sz w:val="20"/>
          <w:szCs w:val="20"/>
        </w:rPr>
        <w:t xml:space="preserve"> </w:t>
      </w:r>
      <w:r w:rsidR="00606857" w:rsidRPr="00760593">
        <w:rPr>
          <w:sz w:val="20"/>
          <w:szCs w:val="20"/>
          <w:vertAlign w:val="superscript"/>
        </w:rPr>
        <w:t>1</w:t>
      </w:r>
      <w:r w:rsidRPr="00760593">
        <w:rPr>
          <w:sz w:val="20"/>
          <w:szCs w:val="20"/>
        </w:rPr>
        <w:t xml:space="preserve">, M.S.S. </w:t>
      </w:r>
      <w:proofErr w:type="spellStart"/>
      <w:r w:rsidRPr="00760593">
        <w:rPr>
          <w:sz w:val="20"/>
          <w:szCs w:val="20"/>
        </w:rPr>
        <w:t>Saad</w:t>
      </w:r>
      <w:proofErr w:type="spellEnd"/>
      <w:r w:rsidR="00606857" w:rsidRPr="00760593">
        <w:rPr>
          <w:sz w:val="20"/>
          <w:szCs w:val="20"/>
        </w:rPr>
        <w:t xml:space="preserve"> </w:t>
      </w:r>
      <w:r w:rsidR="00606857" w:rsidRPr="00760593">
        <w:rPr>
          <w:sz w:val="20"/>
          <w:szCs w:val="20"/>
          <w:vertAlign w:val="superscript"/>
        </w:rPr>
        <w:t>1</w:t>
      </w:r>
      <w:r w:rsidRPr="00760593">
        <w:rPr>
          <w:sz w:val="20"/>
          <w:szCs w:val="20"/>
        </w:rPr>
        <w:t xml:space="preserve">, I.I. </w:t>
      </w:r>
      <w:proofErr w:type="spellStart"/>
      <w:r w:rsidRPr="00760593">
        <w:rPr>
          <w:sz w:val="20"/>
          <w:szCs w:val="20"/>
        </w:rPr>
        <w:t>Bashter</w:t>
      </w:r>
      <w:proofErr w:type="spellEnd"/>
      <w:r w:rsidR="00606857" w:rsidRPr="00760593">
        <w:rPr>
          <w:sz w:val="20"/>
          <w:szCs w:val="20"/>
        </w:rPr>
        <w:t xml:space="preserve"> </w:t>
      </w:r>
      <w:r w:rsidR="00606857" w:rsidRPr="00760593">
        <w:rPr>
          <w:sz w:val="20"/>
          <w:szCs w:val="20"/>
          <w:vertAlign w:val="superscript"/>
        </w:rPr>
        <w:t>2</w:t>
      </w:r>
      <w:r w:rsidRPr="00760593">
        <w:rPr>
          <w:sz w:val="20"/>
          <w:szCs w:val="20"/>
        </w:rPr>
        <w:t xml:space="preserve">, T.Z. </w:t>
      </w:r>
      <w:proofErr w:type="spellStart"/>
      <w:r w:rsidRPr="00760593">
        <w:rPr>
          <w:sz w:val="20"/>
          <w:szCs w:val="20"/>
        </w:rPr>
        <w:t>Amer</w:t>
      </w:r>
      <w:proofErr w:type="spellEnd"/>
      <w:r w:rsidR="00606857" w:rsidRPr="00760593">
        <w:rPr>
          <w:sz w:val="20"/>
          <w:szCs w:val="20"/>
        </w:rPr>
        <w:t xml:space="preserve"> </w:t>
      </w:r>
      <w:r w:rsidR="00606857" w:rsidRPr="00760593">
        <w:rPr>
          <w:sz w:val="20"/>
          <w:szCs w:val="20"/>
          <w:vertAlign w:val="superscript"/>
        </w:rPr>
        <w:t>3</w:t>
      </w:r>
      <w:r w:rsidRPr="00760593">
        <w:rPr>
          <w:sz w:val="20"/>
          <w:szCs w:val="20"/>
        </w:rPr>
        <w:t xml:space="preserve">, S.M. Salem </w:t>
      </w:r>
      <w:r w:rsidR="00606857" w:rsidRPr="00760593">
        <w:rPr>
          <w:sz w:val="20"/>
          <w:szCs w:val="20"/>
          <w:vertAlign w:val="superscript"/>
        </w:rPr>
        <w:t>4</w:t>
      </w:r>
      <w:r w:rsidR="00606857" w:rsidRPr="00760593">
        <w:rPr>
          <w:sz w:val="20"/>
          <w:szCs w:val="20"/>
        </w:rPr>
        <w:t xml:space="preserve"> </w:t>
      </w:r>
      <w:r w:rsidRPr="00760593">
        <w:rPr>
          <w:sz w:val="20"/>
          <w:szCs w:val="20"/>
        </w:rPr>
        <w:t xml:space="preserve">and A.G. </w:t>
      </w:r>
      <w:proofErr w:type="spellStart"/>
      <w:r w:rsidRPr="00760593">
        <w:rPr>
          <w:sz w:val="20"/>
          <w:szCs w:val="20"/>
        </w:rPr>
        <w:t>Mostafa</w:t>
      </w:r>
      <w:proofErr w:type="spellEnd"/>
      <w:r w:rsidR="00606857" w:rsidRPr="00760593">
        <w:rPr>
          <w:sz w:val="20"/>
          <w:szCs w:val="20"/>
        </w:rPr>
        <w:t xml:space="preserve"> </w:t>
      </w:r>
      <w:r w:rsidR="00606857" w:rsidRPr="00760593">
        <w:rPr>
          <w:sz w:val="20"/>
          <w:szCs w:val="20"/>
          <w:vertAlign w:val="superscript"/>
        </w:rPr>
        <w:t>4</w:t>
      </w:r>
      <w:r w:rsidR="004E2E58" w:rsidRPr="00760593">
        <w:rPr>
          <w:sz w:val="20"/>
          <w:szCs w:val="20"/>
        </w:rPr>
        <w:t>*</w:t>
      </w:r>
    </w:p>
    <w:p w:rsidR="00471E57" w:rsidRPr="00760593" w:rsidRDefault="00471E57" w:rsidP="00760593">
      <w:pPr>
        <w:snapToGrid w:val="0"/>
        <w:jc w:val="center"/>
        <w:rPr>
          <w:sz w:val="20"/>
          <w:szCs w:val="20"/>
        </w:rPr>
      </w:pPr>
    </w:p>
    <w:p w:rsidR="00471E57" w:rsidRPr="00760593" w:rsidRDefault="00593132" w:rsidP="00760593">
      <w:pPr>
        <w:snapToGrid w:val="0"/>
        <w:jc w:val="center"/>
        <w:rPr>
          <w:sz w:val="20"/>
          <w:szCs w:val="20"/>
        </w:rPr>
      </w:pPr>
      <w:r w:rsidRPr="00760593">
        <w:rPr>
          <w:sz w:val="20"/>
          <w:szCs w:val="20"/>
          <w:vertAlign w:val="superscript"/>
        </w:rPr>
        <w:t>1.</w:t>
      </w:r>
      <w:r w:rsidR="00471E57" w:rsidRPr="00760593">
        <w:rPr>
          <w:sz w:val="20"/>
          <w:szCs w:val="20"/>
        </w:rPr>
        <w:t xml:space="preserve"> </w:t>
      </w:r>
      <w:r w:rsidR="009D70E9" w:rsidRPr="00760593">
        <w:rPr>
          <w:sz w:val="20"/>
          <w:szCs w:val="20"/>
        </w:rPr>
        <w:t>Basic Science Dept., Faculty of Engineering Science, Sinai Univ., El-Arish, Egypt</w:t>
      </w:r>
    </w:p>
    <w:p w:rsidR="00471E57" w:rsidRPr="00760593" w:rsidRDefault="009D70E9" w:rsidP="00760593">
      <w:pPr>
        <w:snapToGrid w:val="0"/>
        <w:jc w:val="center"/>
        <w:rPr>
          <w:sz w:val="20"/>
          <w:szCs w:val="20"/>
        </w:rPr>
      </w:pPr>
      <w:r w:rsidRPr="00760593">
        <w:rPr>
          <w:sz w:val="20"/>
          <w:szCs w:val="20"/>
          <w:vertAlign w:val="superscript"/>
        </w:rPr>
        <w:t>2</w:t>
      </w:r>
      <w:r w:rsidR="00593132" w:rsidRPr="00760593">
        <w:rPr>
          <w:sz w:val="20"/>
          <w:szCs w:val="20"/>
          <w:vertAlign w:val="superscript"/>
        </w:rPr>
        <w:t>.</w:t>
      </w:r>
      <w:r w:rsidR="006E6ACB" w:rsidRPr="00760593">
        <w:rPr>
          <w:sz w:val="20"/>
          <w:szCs w:val="20"/>
        </w:rPr>
        <w:t xml:space="preserve"> </w:t>
      </w:r>
      <w:r w:rsidRPr="00760593">
        <w:rPr>
          <w:sz w:val="20"/>
          <w:szCs w:val="20"/>
        </w:rPr>
        <w:t xml:space="preserve">Phys. Dept., Faculty of </w:t>
      </w:r>
      <w:r w:rsidR="00E17F3A" w:rsidRPr="00760593">
        <w:rPr>
          <w:sz w:val="20"/>
          <w:szCs w:val="20"/>
        </w:rPr>
        <w:t xml:space="preserve">Science, </w:t>
      </w:r>
      <w:proofErr w:type="spellStart"/>
      <w:r w:rsidR="00E17F3A" w:rsidRPr="00760593">
        <w:rPr>
          <w:sz w:val="20"/>
          <w:szCs w:val="20"/>
        </w:rPr>
        <w:t>Zagazig</w:t>
      </w:r>
      <w:proofErr w:type="spellEnd"/>
      <w:r w:rsidR="00E17F3A" w:rsidRPr="00760593">
        <w:rPr>
          <w:sz w:val="20"/>
          <w:szCs w:val="20"/>
        </w:rPr>
        <w:t xml:space="preserve"> Univ., </w:t>
      </w:r>
      <w:proofErr w:type="spellStart"/>
      <w:r w:rsidR="00E17F3A" w:rsidRPr="00760593">
        <w:rPr>
          <w:sz w:val="20"/>
          <w:szCs w:val="20"/>
        </w:rPr>
        <w:t>Zagazig</w:t>
      </w:r>
      <w:proofErr w:type="spellEnd"/>
      <w:r w:rsidRPr="00760593">
        <w:rPr>
          <w:sz w:val="20"/>
          <w:szCs w:val="20"/>
        </w:rPr>
        <w:t>, Egypt</w:t>
      </w:r>
    </w:p>
    <w:p w:rsidR="009D70E9" w:rsidRPr="00760593" w:rsidRDefault="009D70E9" w:rsidP="00760593">
      <w:pPr>
        <w:snapToGrid w:val="0"/>
        <w:jc w:val="center"/>
        <w:rPr>
          <w:sz w:val="20"/>
          <w:szCs w:val="20"/>
        </w:rPr>
      </w:pPr>
      <w:r w:rsidRPr="00760593">
        <w:rPr>
          <w:sz w:val="20"/>
          <w:szCs w:val="20"/>
          <w:vertAlign w:val="superscript"/>
        </w:rPr>
        <w:t>3.</w:t>
      </w:r>
      <w:r w:rsidRPr="00760593">
        <w:rPr>
          <w:sz w:val="20"/>
          <w:szCs w:val="20"/>
        </w:rPr>
        <w:t xml:space="preserve"> Phys. Dept., Faculty of Science, Al-</w:t>
      </w:r>
      <w:proofErr w:type="spellStart"/>
      <w:r w:rsidRPr="00760593">
        <w:rPr>
          <w:sz w:val="20"/>
          <w:szCs w:val="20"/>
        </w:rPr>
        <w:t>Azhar</w:t>
      </w:r>
      <w:proofErr w:type="spellEnd"/>
      <w:r w:rsidRPr="00760593">
        <w:rPr>
          <w:sz w:val="20"/>
          <w:szCs w:val="20"/>
        </w:rPr>
        <w:t xml:space="preserve"> Univ., Women Branch, Nasr City, Cairo, Egypt</w:t>
      </w:r>
    </w:p>
    <w:p w:rsidR="009D70E9" w:rsidRPr="00760593" w:rsidRDefault="009D70E9" w:rsidP="00760593">
      <w:pPr>
        <w:snapToGrid w:val="0"/>
        <w:jc w:val="center"/>
        <w:rPr>
          <w:sz w:val="20"/>
          <w:szCs w:val="20"/>
        </w:rPr>
      </w:pPr>
      <w:r w:rsidRPr="00760593">
        <w:rPr>
          <w:sz w:val="20"/>
          <w:szCs w:val="20"/>
          <w:vertAlign w:val="superscript"/>
        </w:rPr>
        <w:t>4.</w:t>
      </w:r>
      <w:r w:rsidRPr="00760593">
        <w:rPr>
          <w:sz w:val="20"/>
          <w:szCs w:val="20"/>
        </w:rPr>
        <w:t xml:space="preserve"> Phys. Dept., Faculty of Science, Al-</w:t>
      </w:r>
      <w:proofErr w:type="spellStart"/>
      <w:r w:rsidRPr="00760593">
        <w:rPr>
          <w:sz w:val="20"/>
          <w:szCs w:val="20"/>
        </w:rPr>
        <w:t>Azhar</w:t>
      </w:r>
      <w:proofErr w:type="spellEnd"/>
      <w:r w:rsidRPr="00760593">
        <w:rPr>
          <w:sz w:val="20"/>
          <w:szCs w:val="20"/>
        </w:rPr>
        <w:t xml:space="preserve"> Univ., Nasr City, Cairo, Egypt</w:t>
      </w:r>
    </w:p>
    <w:p w:rsidR="00471E57" w:rsidRPr="00760593" w:rsidRDefault="004E2E58" w:rsidP="00760593">
      <w:pPr>
        <w:snapToGrid w:val="0"/>
        <w:jc w:val="center"/>
        <w:rPr>
          <w:sz w:val="20"/>
          <w:szCs w:val="20"/>
        </w:rPr>
      </w:pPr>
      <w:r w:rsidRPr="00760593">
        <w:rPr>
          <w:sz w:val="20"/>
          <w:szCs w:val="20"/>
        </w:rPr>
        <w:t>*</w:t>
      </w:r>
      <w:hyperlink r:id="rId7" w:history="1">
        <w:r w:rsidRPr="00760593">
          <w:rPr>
            <w:rStyle w:val="Hyperlink"/>
            <w:sz w:val="20"/>
            <w:szCs w:val="20"/>
          </w:rPr>
          <w:t>drahmedgamal@yahoo.com</w:t>
        </w:r>
      </w:hyperlink>
    </w:p>
    <w:p w:rsidR="001817C7" w:rsidRPr="00760593" w:rsidRDefault="001817C7" w:rsidP="00760593">
      <w:pPr>
        <w:snapToGrid w:val="0"/>
        <w:jc w:val="center"/>
        <w:rPr>
          <w:sz w:val="20"/>
          <w:szCs w:val="20"/>
        </w:rPr>
      </w:pPr>
    </w:p>
    <w:p w:rsidR="00734A5D" w:rsidRPr="00760593" w:rsidRDefault="00471E57" w:rsidP="00760593">
      <w:pPr>
        <w:snapToGrid w:val="0"/>
        <w:jc w:val="both"/>
        <w:rPr>
          <w:sz w:val="20"/>
          <w:szCs w:val="20"/>
        </w:rPr>
      </w:pPr>
      <w:r w:rsidRPr="00760593">
        <w:rPr>
          <w:b/>
          <w:sz w:val="20"/>
          <w:szCs w:val="20"/>
        </w:rPr>
        <w:t xml:space="preserve">Abstract: </w:t>
      </w:r>
      <w:r w:rsidR="003F3035" w:rsidRPr="00760593">
        <w:rPr>
          <w:sz w:val="20"/>
          <w:szCs w:val="20"/>
        </w:rPr>
        <w:t>Tungsten-doped sodium-phosphate glasses with varying tungsten contents [0, 5, 10, 15 and 20 mol %] have been prepared, where all samples appeared transparent.  Infrared absorption measurements were carried out to identify the structural building groups in their networks where it showed approximate stability of the glass network former to glass network modifier ratio. It was found that, as WO</w:t>
      </w:r>
      <w:r w:rsidR="003F3035" w:rsidRPr="00760593">
        <w:rPr>
          <w:sz w:val="20"/>
          <w:szCs w:val="20"/>
          <w:vertAlign w:val="subscript"/>
        </w:rPr>
        <w:t xml:space="preserve">3 </w:t>
      </w:r>
      <w:r w:rsidR="003F3035" w:rsidRPr="00760593">
        <w:rPr>
          <w:sz w:val="20"/>
          <w:szCs w:val="20"/>
        </w:rPr>
        <w:t>was gradually increased, the density increased while the molar volume decreased.  These samples showed also shielding behavior towards the effects of gamma ray radiation, and the total gamma-ray mass attenuation coefficient increased and the half value layer decreased, with the increase of WO</w:t>
      </w:r>
      <w:r w:rsidR="003F3035" w:rsidRPr="00760593">
        <w:rPr>
          <w:sz w:val="20"/>
          <w:szCs w:val="20"/>
          <w:vertAlign w:val="subscript"/>
        </w:rPr>
        <w:t>3</w:t>
      </w:r>
      <w:r w:rsidR="003F3035" w:rsidRPr="00760593">
        <w:rPr>
          <w:sz w:val="20"/>
          <w:szCs w:val="20"/>
        </w:rPr>
        <w:t>. The sample containing 20 mol% WO</w:t>
      </w:r>
      <w:r w:rsidR="003F3035" w:rsidRPr="00760593">
        <w:rPr>
          <w:sz w:val="20"/>
          <w:szCs w:val="20"/>
          <w:vertAlign w:val="subscript"/>
        </w:rPr>
        <w:t>3</w:t>
      </w:r>
      <w:r w:rsidR="003F3035" w:rsidRPr="00760593">
        <w:rPr>
          <w:sz w:val="20"/>
          <w:szCs w:val="20"/>
        </w:rPr>
        <w:t xml:space="preserve"> represents the suitable one for low energy gamma-ray (especially for 332 </w:t>
      </w:r>
      <w:proofErr w:type="spellStart"/>
      <w:r w:rsidR="003F3035" w:rsidRPr="00760593">
        <w:rPr>
          <w:sz w:val="20"/>
          <w:szCs w:val="20"/>
        </w:rPr>
        <w:t>keV</w:t>
      </w:r>
      <w:proofErr w:type="spellEnd"/>
      <w:r w:rsidR="003F3035" w:rsidRPr="00760593">
        <w:rPr>
          <w:sz w:val="20"/>
          <w:szCs w:val="20"/>
        </w:rPr>
        <w:t>). The temperature dependence of both conductivity and exponent factor (s) are well interpreted applying the correlated barrier hopping (CBH) model. The obtained conductivity data showed that all samples behave like semi-conductors. The conductivity as well as the dielectric constant and loss factor showed an increase, at low WO</w:t>
      </w:r>
      <w:r w:rsidR="003F3035" w:rsidRPr="00760593">
        <w:rPr>
          <w:sz w:val="20"/>
          <w:szCs w:val="20"/>
          <w:vertAlign w:val="subscript"/>
        </w:rPr>
        <w:t>3</w:t>
      </w:r>
      <w:r w:rsidR="003F3035" w:rsidRPr="00760593">
        <w:rPr>
          <w:sz w:val="20"/>
          <w:szCs w:val="20"/>
        </w:rPr>
        <w:t xml:space="preserve"> content, while they showed a gradual decrease at high WO</w:t>
      </w:r>
      <w:r w:rsidR="003F3035" w:rsidRPr="00760593">
        <w:rPr>
          <w:sz w:val="20"/>
          <w:szCs w:val="20"/>
          <w:vertAlign w:val="subscript"/>
        </w:rPr>
        <w:t>3</w:t>
      </w:r>
      <w:r w:rsidR="003F3035" w:rsidRPr="00760593">
        <w:rPr>
          <w:sz w:val="20"/>
          <w:szCs w:val="20"/>
        </w:rPr>
        <w:t xml:space="preserve"> content</w:t>
      </w:r>
      <w:r w:rsidRPr="00760593">
        <w:rPr>
          <w:sz w:val="20"/>
          <w:szCs w:val="20"/>
        </w:rPr>
        <w:t>.</w:t>
      </w:r>
    </w:p>
    <w:p w:rsidR="00785D14" w:rsidRPr="00760593" w:rsidRDefault="00966860" w:rsidP="00760593">
      <w:pPr>
        <w:snapToGrid w:val="0"/>
        <w:jc w:val="both"/>
        <w:rPr>
          <w:sz w:val="20"/>
          <w:szCs w:val="20"/>
          <w:lang w:eastAsia="zh-CN"/>
        </w:rPr>
      </w:pPr>
      <w:r w:rsidRPr="00760593">
        <w:rPr>
          <w:color w:val="000000"/>
          <w:sz w:val="20"/>
          <w:szCs w:val="20"/>
        </w:rPr>
        <w:t>[</w:t>
      </w:r>
      <w:r w:rsidR="0055412B" w:rsidRPr="00760593">
        <w:rPr>
          <w:sz w:val="20"/>
          <w:szCs w:val="20"/>
        </w:rPr>
        <w:t>Abdel-</w:t>
      </w:r>
      <w:proofErr w:type="spellStart"/>
      <w:r w:rsidR="0055412B" w:rsidRPr="00760593">
        <w:rPr>
          <w:sz w:val="20"/>
          <w:szCs w:val="20"/>
        </w:rPr>
        <w:t>Ghany</w:t>
      </w:r>
      <w:proofErr w:type="spellEnd"/>
      <w:r w:rsidR="0055412B" w:rsidRPr="00760593">
        <w:rPr>
          <w:sz w:val="20"/>
          <w:szCs w:val="20"/>
        </w:rPr>
        <w:t xml:space="preserve"> AM, </w:t>
      </w:r>
      <w:proofErr w:type="spellStart"/>
      <w:r w:rsidR="0055412B" w:rsidRPr="00760593">
        <w:rPr>
          <w:sz w:val="20"/>
          <w:szCs w:val="20"/>
        </w:rPr>
        <w:t>Saad</w:t>
      </w:r>
      <w:proofErr w:type="spellEnd"/>
      <w:r w:rsidR="0055412B" w:rsidRPr="00760593">
        <w:rPr>
          <w:sz w:val="20"/>
          <w:szCs w:val="20"/>
        </w:rPr>
        <w:t xml:space="preserve"> MMS, </w:t>
      </w:r>
      <w:proofErr w:type="spellStart"/>
      <w:r w:rsidR="0055412B" w:rsidRPr="00760593">
        <w:rPr>
          <w:sz w:val="20"/>
          <w:szCs w:val="20"/>
        </w:rPr>
        <w:t>Bashter</w:t>
      </w:r>
      <w:proofErr w:type="spellEnd"/>
      <w:r w:rsidR="0055412B" w:rsidRPr="00760593">
        <w:rPr>
          <w:sz w:val="20"/>
          <w:szCs w:val="20"/>
        </w:rPr>
        <w:t xml:space="preserve"> II, </w:t>
      </w:r>
      <w:proofErr w:type="spellStart"/>
      <w:r w:rsidR="0055412B" w:rsidRPr="00760593">
        <w:rPr>
          <w:sz w:val="20"/>
          <w:szCs w:val="20"/>
        </w:rPr>
        <w:t>Amer</w:t>
      </w:r>
      <w:proofErr w:type="spellEnd"/>
      <w:r w:rsidR="0055412B" w:rsidRPr="00760593">
        <w:rPr>
          <w:sz w:val="20"/>
          <w:szCs w:val="20"/>
        </w:rPr>
        <w:t xml:space="preserve"> TZ, Salem SM and </w:t>
      </w:r>
      <w:proofErr w:type="spellStart"/>
      <w:r w:rsidR="0055412B" w:rsidRPr="00760593">
        <w:rPr>
          <w:sz w:val="20"/>
          <w:szCs w:val="20"/>
        </w:rPr>
        <w:t>Mostafa</w:t>
      </w:r>
      <w:proofErr w:type="spellEnd"/>
      <w:r w:rsidR="0055412B" w:rsidRPr="00760593">
        <w:rPr>
          <w:sz w:val="20"/>
          <w:szCs w:val="20"/>
        </w:rPr>
        <w:t xml:space="preserve"> AG</w:t>
      </w:r>
      <w:r w:rsidR="00734A5D" w:rsidRPr="00760593">
        <w:rPr>
          <w:sz w:val="20"/>
          <w:szCs w:val="20"/>
        </w:rPr>
        <w:t xml:space="preserve">. </w:t>
      </w:r>
      <w:r w:rsidR="003179B4" w:rsidRPr="00760593">
        <w:rPr>
          <w:b/>
          <w:bCs/>
          <w:sz w:val="20"/>
          <w:szCs w:val="20"/>
        </w:rPr>
        <w:t>Studies on Some Inorganic Oxide Glasses Used</w:t>
      </w:r>
      <w:r w:rsidR="003179B4" w:rsidRPr="00760593">
        <w:rPr>
          <w:b/>
          <w:sz w:val="20"/>
          <w:szCs w:val="20"/>
        </w:rPr>
        <w:t xml:space="preserve"> </w:t>
      </w:r>
      <w:r w:rsidR="003179B4" w:rsidRPr="00760593">
        <w:rPr>
          <w:b/>
          <w:bCs/>
          <w:sz w:val="20"/>
          <w:szCs w:val="20"/>
        </w:rPr>
        <w:t>as Gamma-Ray Shields and for Radio-Active Waste Encapsulation</w:t>
      </w:r>
      <w:r w:rsidR="00785D14" w:rsidRPr="00760593">
        <w:rPr>
          <w:rFonts w:eastAsia="Times New Roman"/>
          <w:b/>
          <w:bCs/>
          <w:sz w:val="20"/>
          <w:szCs w:val="20"/>
          <w:lang w:bidi="fa-IR"/>
        </w:rPr>
        <w:t>.</w:t>
      </w:r>
      <w:r w:rsidR="00785D14" w:rsidRPr="00760593">
        <w:rPr>
          <w:rFonts w:hint="eastAsia"/>
          <w:b/>
          <w:bCs/>
          <w:sz w:val="20"/>
          <w:szCs w:val="20"/>
        </w:rPr>
        <w:t xml:space="preserve"> </w:t>
      </w:r>
      <w:r w:rsidR="00785D14" w:rsidRPr="00760593">
        <w:rPr>
          <w:rFonts w:eastAsia="Times New Roman"/>
          <w:bCs/>
          <w:i/>
          <w:sz w:val="20"/>
          <w:szCs w:val="20"/>
        </w:rPr>
        <w:t xml:space="preserve">Nat </w:t>
      </w:r>
      <w:proofErr w:type="spellStart"/>
      <w:r w:rsidR="00785D14" w:rsidRPr="00760593">
        <w:rPr>
          <w:rFonts w:eastAsia="Times New Roman"/>
          <w:bCs/>
          <w:i/>
          <w:sz w:val="20"/>
          <w:szCs w:val="20"/>
        </w:rPr>
        <w:t>Sci</w:t>
      </w:r>
      <w:proofErr w:type="spellEnd"/>
      <w:r w:rsidR="00785D14" w:rsidRPr="00760593">
        <w:rPr>
          <w:rFonts w:eastAsiaTheme="minorEastAsia" w:hint="eastAsia"/>
          <w:bCs/>
          <w:i/>
          <w:sz w:val="20"/>
          <w:szCs w:val="20"/>
        </w:rPr>
        <w:t xml:space="preserve"> </w:t>
      </w:r>
      <w:r w:rsidR="00785D14" w:rsidRPr="00760593">
        <w:rPr>
          <w:sz w:val="20"/>
          <w:szCs w:val="20"/>
        </w:rPr>
        <w:t>201</w:t>
      </w:r>
      <w:r w:rsidR="00785D14" w:rsidRPr="00760593">
        <w:rPr>
          <w:rFonts w:hint="eastAsia"/>
          <w:sz w:val="20"/>
          <w:szCs w:val="20"/>
        </w:rPr>
        <w:t>4</w:t>
      </w:r>
      <w:r w:rsidR="00785D14" w:rsidRPr="00760593">
        <w:rPr>
          <w:sz w:val="20"/>
          <w:szCs w:val="20"/>
        </w:rPr>
        <w:t>;1</w:t>
      </w:r>
      <w:r w:rsidR="00785D14" w:rsidRPr="00760593">
        <w:rPr>
          <w:rFonts w:hint="eastAsia"/>
          <w:sz w:val="20"/>
          <w:szCs w:val="20"/>
        </w:rPr>
        <w:t>2</w:t>
      </w:r>
      <w:r w:rsidR="00785D14" w:rsidRPr="00760593">
        <w:rPr>
          <w:sz w:val="20"/>
          <w:szCs w:val="20"/>
        </w:rPr>
        <w:t>(</w:t>
      </w:r>
      <w:r w:rsidR="00785D14" w:rsidRPr="00760593">
        <w:rPr>
          <w:rFonts w:hint="eastAsia"/>
          <w:sz w:val="20"/>
          <w:szCs w:val="20"/>
        </w:rPr>
        <w:t>12)</w:t>
      </w:r>
      <w:r w:rsidR="00785D14" w:rsidRPr="00760593">
        <w:rPr>
          <w:sz w:val="20"/>
          <w:szCs w:val="20"/>
        </w:rPr>
        <w:t>:</w:t>
      </w:r>
      <w:r w:rsidR="002E110E">
        <w:rPr>
          <w:noProof/>
          <w:color w:val="000000"/>
          <w:sz w:val="20"/>
          <w:szCs w:val="20"/>
        </w:rPr>
        <w:t>162</w:t>
      </w:r>
      <w:r w:rsidR="00785D14" w:rsidRPr="00760593">
        <w:rPr>
          <w:color w:val="000000"/>
          <w:sz w:val="20"/>
          <w:szCs w:val="20"/>
        </w:rPr>
        <w:t>-</w:t>
      </w:r>
      <w:r w:rsidR="002E110E">
        <w:rPr>
          <w:noProof/>
          <w:color w:val="000000"/>
          <w:sz w:val="20"/>
          <w:szCs w:val="20"/>
        </w:rPr>
        <w:t>170</w:t>
      </w:r>
      <w:r w:rsidR="00785D14" w:rsidRPr="00760593">
        <w:rPr>
          <w:sz w:val="20"/>
          <w:szCs w:val="20"/>
        </w:rPr>
        <w:t>]</w:t>
      </w:r>
      <w:r w:rsidR="00785D14" w:rsidRPr="00760593">
        <w:rPr>
          <w:rFonts w:hint="eastAsia"/>
          <w:sz w:val="20"/>
          <w:szCs w:val="20"/>
        </w:rPr>
        <w:t>.</w:t>
      </w:r>
      <w:r w:rsidR="00785D14" w:rsidRPr="00760593">
        <w:rPr>
          <w:sz w:val="20"/>
          <w:szCs w:val="20"/>
        </w:rPr>
        <w:t xml:space="preserve"> (ISSN: 1545-0740).</w:t>
      </w:r>
      <w:r w:rsidR="00785D14" w:rsidRPr="00760593">
        <w:rPr>
          <w:color w:val="0000FF"/>
          <w:sz w:val="20"/>
          <w:szCs w:val="20"/>
        </w:rPr>
        <w:t xml:space="preserve"> </w:t>
      </w:r>
      <w:hyperlink r:id="rId8" w:history="1">
        <w:r w:rsidR="00785D14" w:rsidRPr="00760593">
          <w:rPr>
            <w:rStyle w:val="Hyperlink"/>
            <w:sz w:val="20"/>
            <w:szCs w:val="20"/>
          </w:rPr>
          <w:t>http://www.sciencepub.net/nature</w:t>
        </w:r>
      </w:hyperlink>
      <w:r w:rsidR="00785D14" w:rsidRPr="00760593">
        <w:rPr>
          <w:sz w:val="20"/>
          <w:szCs w:val="20"/>
        </w:rPr>
        <w:t>.</w:t>
      </w:r>
      <w:r w:rsidR="00785D14" w:rsidRPr="00760593">
        <w:rPr>
          <w:rFonts w:hint="eastAsia"/>
          <w:sz w:val="20"/>
          <w:szCs w:val="20"/>
        </w:rPr>
        <w:t xml:space="preserve"> </w:t>
      </w:r>
      <w:r w:rsidR="00760593" w:rsidRPr="00760593">
        <w:rPr>
          <w:rFonts w:hint="eastAsia"/>
          <w:sz w:val="20"/>
          <w:szCs w:val="20"/>
          <w:lang w:eastAsia="zh-CN"/>
        </w:rPr>
        <w:t>22</w:t>
      </w:r>
    </w:p>
    <w:p w:rsidR="001817C7" w:rsidRPr="00760593" w:rsidRDefault="001817C7" w:rsidP="00760593">
      <w:pPr>
        <w:snapToGrid w:val="0"/>
        <w:jc w:val="both"/>
        <w:rPr>
          <w:sz w:val="20"/>
          <w:szCs w:val="20"/>
        </w:rPr>
      </w:pPr>
    </w:p>
    <w:p w:rsidR="001817C7" w:rsidRPr="00760593" w:rsidRDefault="001817C7" w:rsidP="00760593">
      <w:pPr>
        <w:snapToGrid w:val="0"/>
        <w:jc w:val="both"/>
        <w:rPr>
          <w:sz w:val="20"/>
          <w:szCs w:val="20"/>
        </w:rPr>
      </w:pPr>
      <w:r w:rsidRPr="00760593">
        <w:rPr>
          <w:b/>
          <w:sz w:val="20"/>
          <w:szCs w:val="20"/>
        </w:rPr>
        <w:t xml:space="preserve">Keywords: </w:t>
      </w:r>
      <w:r w:rsidR="00F6139C" w:rsidRPr="00760593">
        <w:rPr>
          <w:sz w:val="20"/>
          <w:szCs w:val="20"/>
        </w:rPr>
        <w:t xml:space="preserve">Oxide </w:t>
      </w:r>
      <w:r w:rsidR="0053489D" w:rsidRPr="00760593">
        <w:rPr>
          <w:sz w:val="20"/>
          <w:szCs w:val="20"/>
        </w:rPr>
        <w:t>G</w:t>
      </w:r>
      <w:r w:rsidR="00F6139C" w:rsidRPr="00760593">
        <w:rPr>
          <w:sz w:val="20"/>
          <w:szCs w:val="20"/>
        </w:rPr>
        <w:t>lasses; Infrared Spectroscopy; Gamma Ray Shielding; Density and Molar Volume; Conductivity and Dielectric Constant</w:t>
      </w:r>
    </w:p>
    <w:p w:rsidR="00760593" w:rsidRDefault="00760593" w:rsidP="00760593">
      <w:pPr>
        <w:snapToGrid w:val="0"/>
        <w:jc w:val="both"/>
        <w:rPr>
          <w:b/>
          <w:sz w:val="20"/>
          <w:szCs w:val="20"/>
        </w:rPr>
      </w:pPr>
    </w:p>
    <w:p w:rsidR="00760593" w:rsidRPr="00760593" w:rsidRDefault="00760593" w:rsidP="00760593">
      <w:pPr>
        <w:snapToGrid w:val="0"/>
        <w:jc w:val="both"/>
        <w:rPr>
          <w:b/>
          <w:sz w:val="20"/>
          <w:szCs w:val="20"/>
        </w:rPr>
        <w:sectPr w:rsidR="00760593" w:rsidRPr="00760593" w:rsidSect="002E110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62"/>
          <w:cols w:space="720"/>
          <w:docGrid w:linePitch="360"/>
        </w:sectPr>
      </w:pPr>
    </w:p>
    <w:p w:rsidR="00471E57" w:rsidRPr="00760593" w:rsidRDefault="00471E57" w:rsidP="00760593">
      <w:pPr>
        <w:snapToGrid w:val="0"/>
        <w:jc w:val="both"/>
        <w:rPr>
          <w:b/>
          <w:sz w:val="20"/>
          <w:szCs w:val="20"/>
        </w:rPr>
      </w:pPr>
      <w:r w:rsidRPr="00760593">
        <w:rPr>
          <w:b/>
          <w:sz w:val="20"/>
          <w:szCs w:val="20"/>
        </w:rPr>
        <w:lastRenderedPageBreak/>
        <w:t>1. Introduction</w:t>
      </w:r>
    </w:p>
    <w:p w:rsidR="00FE58B6" w:rsidRPr="00760593" w:rsidRDefault="00FE58B6" w:rsidP="00760593">
      <w:pPr>
        <w:snapToGrid w:val="0"/>
        <w:ind w:firstLine="425"/>
        <w:jc w:val="both"/>
        <w:rPr>
          <w:sz w:val="20"/>
          <w:szCs w:val="20"/>
        </w:rPr>
      </w:pPr>
      <w:r w:rsidRPr="00760593">
        <w:rPr>
          <w:sz w:val="20"/>
          <w:szCs w:val="20"/>
        </w:rPr>
        <w:t xml:space="preserve">Nowadays, the universal uses of many radio-active sources in approximately all daily life fields make the mankind life dangerous. These sources after sometimes will leave many radio-active wastes, which are also of high dangerous effect upon all the existing creations. Therefore, the search for shielding materials is a matter of interest – specially - for users. In the same time, the leaved radio-active wastes must be delivered in a safe way in order to feel safe environment. Although, many articles have been published concerning with this problem, more research work are still needed. </w:t>
      </w:r>
      <w:proofErr w:type="spellStart"/>
      <w:r w:rsidRPr="00760593">
        <w:rPr>
          <w:sz w:val="20"/>
          <w:szCs w:val="20"/>
        </w:rPr>
        <w:t>Reise</w:t>
      </w:r>
      <w:proofErr w:type="spellEnd"/>
      <w:r w:rsidRPr="00760593">
        <w:rPr>
          <w:sz w:val="20"/>
          <w:szCs w:val="20"/>
        </w:rPr>
        <w:t xml:space="preserve"> et al, have investigated some lead-iron phosphate glasses in order to immobilize high-level radio-active wastes [1]. </w:t>
      </w:r>
      <w:proofErr w:type="spellStart"/>
      <w:r w:rsidRPr="00760593">
        <w:rPr>
          <w:sz w:val="20"/>
          <w:szCs w:val="20"/>
        </w:rPr>
        <w:t>Karabulut</w:t>
      </w:r>
      <w:proofErr w:type="spellEnd"/>
      <w:r w:rsidRPr="00760593">
        <w:rPr>
          <w:sz w:val="20"/>
          <w:szCs w:val="20"/>
        </w:rPr>
        <w:t xml:space="preserve"> et al, have investigated some iron-phosphate glasses containing high level nuclear waste components (as UO</w:t>
      </w:r>
      <w:r w:rsidRPr="00760593">
        <w:rPr>
          <w:sz w:val="20"/>
          <w:szCs w:val="20"/>
          <w:vertAlign w:val="subscript"/>
        </w:rPr>
        <w:t>2</w:t>
      </w:r>
      <w:r w:rsidRPr="00760593">
        <w:rPr>
          <w:sz w:val="20"/>
          <w:szCs w:val="20"/>
        </w:rPr>
        <w:t>, Cs</w:t>
      </w:r>
      <w:r w:rsidRPr="00760593">
        <w:rPr>
          <w:sz w:val="20"/>
          <w:szCs w:val="20"/>
          <w:vertAlign w:val="subscript"/>
        </w:rPr>
        <w:t>2</w:t>
      </w:r>
      <w:r w:rsidRPr="00760593">
        <w:rPr>
          <w:sz w:val="20"/>
          <w:szCs w:val="20"/>
        </w:rPr>
        <w:t>O and Bi</w:t>
      </w:r>
      <w:r w:rsidRPr="00760593">
        <w:rPr>
          <w:sz w:val="20"/>
          <w:szCs w:val="20"/>
          <w:vertAlign w:val="subscript"/>
        </w:rPr>
        <w:t>2</w:t>
      </w:r>
      <w:r w:rsidRPr="00760593">
        <w:rPr>
          <w:sz w:val="20"/>
          <w:szCs w:val="20"/>
        </w:rPr>
        <w:t>O</w:t>
      </w:r>
      <w:r w:rsidRPr="00760593">
        <w:rPr>
          <w:sz w:val="20"/>
          <w:szCs w:val="20"/>
          <w:vertAlign w:val="subscript"/>
        </w:rPr>
        <w:t>3</w:t>
      </w:r>
      <w:r w:rsidRPr="00760593">
        <w:rPr>
          <w:sz w:val="20"/>
          <w:szCs w:val="20"/>
        </w:rPr>
        <w:t xml:space="preserve">) for nuclear waste encapsulation [2]. Shih and Chin have studied some lead-phosphate glasses incorporated with mixed metal oxides, and the glass batches were melted with radio-nuclide wastes. They found that the dissolution rate of the nuclide wastes decreased as the mixed metallic </w:t>
      </w:r>
      <w:proofErr w:type="spellStart"/>
      <w:r w:rsidRPr="00760593">
        <w:rPr>
          <w:sz w:val="20"/>
          <w:szCs w:val="20"/>
        </w:rPr>
        <w:t>cations</w:t>
      </w:r>
      <w:proofErr w:type="spellEnd"/>
      <w:r w:rsidRPr="00760593">
        <w:rPr>
          <w:sz w:val="20"/>
          <w:szCs w:val="20"/>
        </w:rPr>
        <w:t xml:space="preserve"> were increased [3]. It was found also that, gamma-ray mass attenuation coefficient increased gradually as barium </w:t>
      </w:r>
      <w:proofErr w:type="spellStart"/>
      <w:r w:rsidRPr="00760593">
        <w:rPr>
          <w:sz w:val="20"/>
          <w:szCs w:val="20"/>
        </w:rPr>
        <w:t>cations</w:t>
      </w:r>
      <w:proofErr w:type="spellEnd"/>
      <w:r w:rsidRPr="00760593">
        <w:rPr>
          <w:sz w:val="20"/>
          <w:szCs w:val="20"/>
        </w:rPr>
        <w:t xml:space="preserve"> was increased in different phosphate glasses [4].</w:t>
      </w:r>
    </w:p>
    <w:p w:rsidR="00FE58B6" w:rsidRPr="00760593" w:rsidRDefault="00FE58B6" w:rsidP="00760593">
      <w:pPr>
        <w:snapToGrid w:val="0"/>
        <w:ind w:firstLine="425"/>
        <w:jc w:val="both"/>
        <w:rPr>
          <w:sz w:val="20"/>
          <w:szCs w:val="20"/>
        </w:rPr>
      </w:pPr>
      <w:r w:rsidRPr="00760593">
        <w:rPr>
          <w:sz w:val="20"/>
          <w:szCs w:val="20"/>
        </w:rPr>
        <w:lastRenderedPageBreak/>
        <w:t>On the other hand, the electrical properties of a material that can be used as gamma-ray shield must be also examined. The continuous studies on electric and dielectric properties of such like glasses help not only to have a comprehensive idea about the ac conduction mechanism but also to give some additional information about the structural aspects as well as the micro-electronic device technology. The work along these lines has been carried out in recent years on a variety of inorganic glass systems where it yields valuable information [5, 6]. The ac conductivity of tungsten phosphate [7] and iron phosphate glasses [8] and also the dielectric dispersion of vanadium telluride [9] and molybdenum phosphate glasses [10] have been studied and the results have been interpreted in terms of different models such as quantum mechanical tunneling (QMT) and hopping over barrier (HOB).</w:t>
      </w:r>
    </w:p>
    <w:p w:rsidR="00FE58B6" w:rsidRPr="00760593" w:rsidRDefault="00FE58B6" w:rsidP="00760593">
      <w:pPr>
        <w:snapToGrid w:val="0"/>
        <w:ind w:firstLine="425"/>
        <w:jc w:val="both"/>
        <w:rPr>
          <w:sz w:val="20"/>
          <w:szCs w:val="20"/>
        </w:rPr>
      </w:pPr>
      <w:r w:rsidRPr="00760593">
        <w:rPr>
          <w:sz w:val="20"/>
          <w:szCs w:val="20"/>
        </w:rPr>
        <w:t>However, in this article, a trial will be done to prepare some sodium-phosphate glasses containing tungsten tri-oxide. The properties of the prepared glasses will be thoroughly studied aiming to obtain materials, can be used as a good shield from harmful rays and /or for radio-active waste encapsulation.</w:t>
      </w:r>
    </w:p>
    <w:p w:rsidR="001857F9" w:rsidRDefault="001857F9" w:rsidP="00760593">
      <w:pPr>
        <w:snapToGrid w:val="0"/>
        <w:jc w:val="both"/>
        <w:rPr>
          <w:sz w:val="20"/>
          <w:szCs w:val="20"/>
        </w:rPr>
      </w:pPr>
    </w:p>
    <w:p w:rsidR="009D4802" w:rsidRDefault="009D4802" w:rsidP="00760593">
      <w:pPr>
        <w:snapToGrid w:val="0"/>
        <w:jc w:val="both"/>
        <w:rPr>
          <w:sz w:val="20"/>
          <w:szCs w:val="20"/>
        </w:rPr>
      </w:pPr>
    </w:p>
    <w:p w:rsidR="009D4802" w:rsidRPr="00760593" w:rsidRDefault="009D4802" w:rsidP="00760593">
      <w:pPr>
        <w:snapToGrid w:val="0"/>
        <w:jc w:val="both"/>
        <w:rPr>
          <w:sz w:val="20"/>
          <w:szCs w:val="20"/>
        </w:rPr>
      </w:pPr>
    </w:p>
    <w:p w:rsidR="00FC578B" w:rsidRPr="00760593" w:rsidRDefault="00471E57" w:rsidP="00760593">
      <w:pPr>
        <w:snapToGrid w:val="0"/>
        <w:jc w:val="both"/>
        <w:rPr>
          <w:b/>
          <w:sz w:val="20"/>
          <w:szCs w:val="20"/>
        </w:rPr>
      </w:pPr>
      <w:r w:rsidRPr="00760593">
        <w:rPr>
          <w:b/>
          <w:sz w:val="20"/>
          <w:szCs w:val="20"/>
        </w:rPr>
        <w:lastRenderedPageBreak/>
        <w:t xml:space="preserve">2. </w:t>
      </w:r>
      <w:r w:rsidR="00FC578B" w:rsidRPr="00760593">
        <w:rPr>
          <w:b/>
          <w:sz w:val="20"/>
          <w:szCs w:val="20"/>
        </w:rPr>
        <w:t>Experimental work</w:t>
      </w:r>
    </w:p>
    <w:p w:rsidR="00FC578B" w:rsidRPr="00760593" w:rsidRDefault="00FC578B" w:rsidP="00760593">
      <w:pPr>
        <w:snapToGrid w:val="0"/>
        <w:ind w:firstLine="425"/>
        <w:jc w:val="both"/>
        <w:rPr>
          <w:bCs/>
          <w:sz w:val="20"/>
          <w:szCs w:val="20"/>
        </w:rPr>
      </w:pPr>
      <w:r w:rsidRPr="00760593">
        <w:rPr>
          <w:bCs/>
          <w:sz w:val="20"/>
          <w:szCs w:val="20"/>
        </w:rPr>
        <w:t>Glasses having the composition [30 mol% Na</w:t>
      </w:r>
      <w:r w:rsidRPr="00760593">
        <w:rPr>
          <w:bCs/>
          <w:sz w:val="20"/>
          <w:szCs w:val="20"/>
          <w:vertAlign w:val="subscript"/>
        </w:rPr>
        <w:t>2</w:t>
      </w:r>
      <w:r w:rsidRPr="00760593">
        <w:rPr>
          <w:bCs/>
          <w:sz w:val="20"/>
          <w:szCs w:val="20"/>
        </w:rPr>
        <w:t>O - (70-x) mol% P</w:t>
      </w:r>
      <w:r w:rsidRPr="00760593">
        <w:rPr>
          <w:bCs/>
          <w:sz w:val="20"/>
          <w:szCs w:val="20"/>
          <w:vertAlign w:val="subscript"/>
        </w:rPr>
        <w:t>2</w:t>
      </w:r>
      <w:r w:rsidRPr="00760593">
        <w:rPr>
          <w:bCs/>
          <w:sz w:val="20"/>
          <w:szCs w:val="20"/>
        </w:rPr>
        <w:t>O</w:t>
      </w:r>
      <w:r w:rsidRPr="00760593">
        <w:rPr>
          <w:bCs/>
          <w:sz w:val="20"/>
          <w:szCs w:val="20"/>
          <w:vertAlign w:val="subscript"/>
        </w:rPr>
        <w:t xml:space="preserve">5 </w:t>
      </w:r>
      <w:r w:rsidRPr="00760593">
        <w:rPr>
          <w:bCs/>
          <w:sz w:val="20"/>
          <w:szCs w:val="20"/>
        </w:rPr>
        <w:t>- x mol% WO</w:t>
      </w:r>
      <w:r w:rsidRPr="00760593">
        <w:rPr>
          <w:bCs/>
          <w:sz w:val="20"/>
          <w:szCs w:val="20"/>
          <w:vertAlign w:val="subscript"/>
        </w:rPr>
        <w:t>3</w:t>
      </w:r>
      <w:r w:rsidRPr="00760593">
        <w:rPr>
          <w:bCs/>
          <w:sz w:val="20"/>
          <w:szCs w:val="20"/>
        </w:rPr>
        <w:t>], (x=0, 5, 10, 15 and 20 mol %), have been prepared by the conventional melt quenching method. Batches, to produce 20 g of each glass sample, were ground and mixed well, and were then placed in porcelain crucibles and heated gradually from room temperature up to 1200</w:t>
      </w:r>
      <w:r w:rsidRPr="00760593">
        <w:rPr>
          <w:bCs/>
          <w:sz w:val="20"/>
          <w:szCs w:val="20"/>
          <w:vertAlign w:val="superscript"/>
        </w:rPr>
        <w:t>o</w:t>
      </w:r>
      <w:r w:rsidRPr="00760593">
        <w:rPr>
          <w:bCs/>
          <w:sz w:val="20"/>
          <w:szCs w:val="20"/>
        </w:rPr>
        <w:t>C to expel water and ammonia gradually. The melts were left at 1200</w:t>
      </w:r>
      <w:r w:rsidRPr="00760593">
        <w:rPr>
          <w:bCs/>
          <w:sz w:val="20"/>
          <w:szCs w:val="20"/>
          <w:vertAlign w:val="superscript"/>
        </w:rPr>
        <w:t>o</w:t>
      </w:r>
      <w:r w:rsidRPr="00760593">
        <w:rPr>
          <w:bCs/>
          <w:sz w:val="20"/>
          <w:szCs w:val="20"/>
        </w:rPr>
        <w:t>C for 2h, and they were stirred several times in order to obtain homogenous glasses. Then they were quenched in air, and just, after sitting, the solid glasses were directly transferred to the annealing furnace at 250</w:t>
      </w:r>
      <w:r w:rsidRPr="00760593">
        <w:rPr>
          <w:bCs/>
          <w:sz w:val="20"/>
          <w:szCs w:val="20"/>
          <w:vertAlign w:val="superscript"/>
        </w:rPr>
        <w:t>o</w:t>
      </w:r>
      <w:r w:rsidRPr="00760593">
        <w:rPr>
          <w:bCs/>
          <w:sz w:val="20"/>
          <w:szCs w:val="20"/>
        </w:rPr>
        <w:t>C and the furnace was turned off and was left to cool to room temperature over night with a rate of cooling equals about 0.5 K/min.</w:t>
      </w:r>
    </w:p>
    <w:p w:rsidR="00FC578B" w:rsidRPr="00760593" w:rsidRDefault="00FC578B" w:rsidP="00760593">
      <w:pPr>
        <w:snapToGrid w:val="0"/>
        <w:ind w:firstLine="425"/>
        <w:jc w:val="both"/>
        <w:rPr>
          <w:b/>
          <w:sz w:val="20"/>
          <w:szCs w:val="20"/>
        </w:rPr>
      </w:pPr>
      <w:r w:rsidRPr="00760593">
        <w:rPr>
          <w:bCs/>
          <w:sz w:val="20"/>
          <w:szCs w:val="20"/>
        </w:rPr>
        <w:t>The visual examination of the prepared samples showed that all the obtained solid samples are transparent, and exhibit an amorphous nature and short-range order character. Also, they are found free from visible in-homogeneities, such as inclusions, cracks or air bubbles [11].</w:t>
      </w:r>
    </w:p>
    <w:p w:rsidR="00FC578B" w:rsidRPr="00760593" w:rsidRDefault="00FC578B" w:rsidP="00760593">
      <w:pPr>
        <w:snapToGrid w:val="0"/>
        <w:ind w:firstLine="425"/>
        <w:jc w:val="both"/>
        <w:rPr>
          <w:b/>
          <w:sz w:val="20"/>
          <w:szCs w:val="20"/>
        </w:rPr>
      </w:pPr>
      <w:r w:rsidRPr="00760593">
        <w:rPr>
          <w:bCs/>
          <w:sz w:val="20"/>
          <w:szCs w:val="20"/>
        </w:rPr>
        <w:t>Infrared absorption spectra of the studied glasses were recorded at room temperature in the wave number range of (400-4400 cm</w:t>
      </w:r>
      <w:r w:rsidRPr="00760593">
        <w:rPr>
          <w:bCs/>
          <w:sz w:val="20"/>
          <w:szCs w:val="20"/>
          <w:vertAlign w:val="superscript"/>
        </w:rPr>
        <w:t>-1</w:t>
      </w:r>
      <w:r w:rsidRPr="00760593">
        <w:rPr>
          <w:bCs/>
          <w:sz w:val="20"/>
          <w:szCs w:val="20"/>
        </w:rPr>
        <w:t xml:space="preserve">), using Fourier- transform infrared (FTIR) </w:t>
      </w:r>
      <w:proofErr w:type="spellStart"/>
      <w:r w:rsidRPr="00760593">
        <w:rPr>
          <w:bCs/>
          <w:sz w:val="20"/>
          <w:szCs w:val="20"/>
        </w:rPr>
        <w:t>Berken</w:t>
      </w:r>
      <w:proofErr w:type="spellEnd"/>
      <w:r w:rsidRPr="00760593">
        <w:rPr>
          <w:bCs/>
          <w:sz w:val="20"/>
          <w:szCs w:val="20"/>
        </w:rPr>
        <w:t xml:space="preserve"> Elmer spectrometer; model RTX. The </w:t>
      </w:r>
      <w:proofErr w:type="spellStart"/>
      <w:r w:rsidRPr="00760593">
        <w:rPr>
          <w:bCs/>
          <w:sz w:val="20"/>
          <w:szCs w:val="20"/>
        </w:rPr>
        <w:t>KBr</w:t>
      </w:r>
      <w:proofErr w:type="spellEnd"/>
      <w:r w:rsidRPr="00760593">
        <w:rPr>
          <w:bCs/>
          <w:sz w:val="20"/>
          <w:szCs w:val="20"/>
        </w:rPr>
        <w:t xml:space="preserve"> disk technique was used where about 3mg of the powder sample was mixing well with about 200 mg </w:t>
      </w:r>
      <w:proofErr w:type="spellStart"/>
      <w:r w:rsidRPr="00760593">
        <w:rPr>
          <w:bCs/>
          <w:sz w:val="20"/>
          <w:szCs w:val="20"/>
        </w:rPr>
        <w:t>KBr</w:t>
      </w:r>
      <w:proofErr w:type="spellEnd"/>
      <w:r w:rsidRPr="00760593">
        <w:rPr>
          <w:bCs/>
          <w:sz w:val="20"/>
          <w:szCs w:val="20"/>
        </w:rPr>
        <w:t xml:space="preserve"> and then pressed to obtain disks suitable for IR measurements.</w:t>
      </w:r>
    </w:p>
    <w:p w:rsidR="00FC578B" w:rsidRPr="00760593" w:rsidRDefault="00FC578B" w:rsidP="00760593">
      <w:pPr>
        <w:snapToGrid w:val="0"/>
        <w:ind w:firstLine="425"/>
        <w:jc w:val="both"/>
        <w:rPr>
          <w:bCs/>
          <w:sz w:val="20"/>
          <w:szCs w:val="20"/>
        </w:rPr>
      </w:pPr>
      <w:r w:rsidRPr="00760593">
        <w:rPr>
          <w:bCs/>
          <w:sz w:val="20"/>
          <w:szCs w:val="20"/>
        </w:rPr>
        <w:t>Density measurements were carried out applying Archimedes principle whereas the samples were weighted in both air and toluene as an immersion liquid of stable density (d= 0.8655 g/cm</w:t>
      </w:r>
      <w:r w:rsidRPr="00760593">
        <w:rPr>
          <w:bCs/>
          <w:sz w:val="20"/>
          <w:szCs w:val="20"/>
          <w:vertAlign w:val="superscript"/>
        </w:rPr>
        <w:t xml:space="preserve"> 3 </w:t>
      </w:r>
      <w:r w:rsidRPr="00760593">
        <w:rPr>
          <w:bCs/>
          <w:sz w:val="20"/>
          <w:szCs w:val="20"/>
        </w:rPr>
        <w:t>at RT) using an electric balance with 4-decimal digits. The molar volume values were then calculated using the experimentally obtained density values.   The empirical values of both density and molar volume were also calculated for comparison.</w:t>
      </w:r>
    </w:p>
    <w:p w:rsidR="00D6150E" w:rsidRDefault="00FC578B" w:rsidP="00760593">
      <w:pPr>
        <w:snapToGrid w:val="0"/>
        <w:ind w:firstLine="425"/>
        <w:jc w:val="both"/>
        <w:rPr>
          <w:bCs/>
          <w:sz w:val="20"/>
          <w:szCs w:val="20"/>
          <w:lang w:eastAsia="zh-CN"/>
        </w:rPr>
      </w:pPr>
      <w:r w:rsidRPr="00760593">
        <w:rPr>
          <w:bCs/>
          <w:sz w:val="20"/>
          <w:szCs w:val="20"/>
        </w:rPr>
        <w:t>The values of the total mass attenuation coefficients [(µ/ρ)</w:t>
      </w:r>
      <w:r w:rsidRPr="00760593">
        <w:rPr>
          <w:bCs/>
          <w:sz w:val="20"/>
          <w:szCs w:val="20"/>
          <w:vertAlign w:val="subscript"/>
        </w:rPr>
        <w:t>m(total)</w:t>
      </w:r>
      <w:r w:rsidRPr="00760593">
        <w:rPr>
          <w:bCs/>
          <w:sz w:val="20"/>
          <w:szCs w:val="20"/>
        </w:rPr>
        <w:t>] of the studied glasses were calculated applying Win X-COM program, based on the mixture rule , using  equation (1) [12],</w:t>
      </w:r>
    </w:p>
    <w:p w:rsidR="00760593" w:rsidRPr="00760593" w:rsidRDefault="00760593" w:rsidP="00760593">
      <w:pPr>
        <w:snapToGrid w:val="0"/>
        <w:ind w:firstLine="425"/>
        <w:jc w:val="both"/>
        <w:rPr>
          <w:b/>
          <w:sz w:val="20"/>
          <w:szCs w:val="20"/>
          <w:lang w:eastAsia="zh-CN"/>
        </w:rPr>
      </w:pPr>
    </w:p>
    <w:p w:rsidR="00D6150E" w:rsidRPr="00760593" w:rsidRDefault="007C74E7" w:rsidP="00760593">
      <w:pPr>
        <w:snapToGrid w:val="0"/>
        <w:ind w:firstLine="425"/>
        <w:jc w:val="both"/>
        <w:rPr>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2.8pt;height:35.7pt;visibility:visible">
            <v:imagedata r:id="rId12" o:title=""/>
          </v:shape>
        </w:pict>
      </w:r>
    </w:p>
    <w:p w:rsidR="00D6150E" w:rsidRPr="00760593" w:rsidRDefault="00D6150E" w:rsidP="00760593">
      <w:pPr>
        <w:snapToGrid w:val="0"/>
        <w:jc w:val="both"/>
        <w:rPr>
          <w:bCs/>
          <w:sz w:val="20"/>
          <w:szCs w:val="20"/>
        </w:rPr>
      </w:pPr>
    </w:p>
    <w:p w:rsidR="00D6150E" w:rsidRPr="00760593" w:rsidRDefault="00D6150E" w:rsidP="00760593">
      <w:pPr>
        <w:snapToGrid w:val="0"/>
        <w:ind w:firstLine="425"/>
        <w:jc w:val="both"/>
        <w:rPr>
          <w:bCs/>
          <w:sz w:val="20"/>
          <w:szCs w:val="20"/>
        </w:rPr>
      </w:pPr>
      <w:r w:rsidRPr="00760593">
        <w:rPr>
          <w:bCs/>
          <w:sz w:val="20"/>
          <w:szCs w:val="20"/>
        </w:rPr>
        <w:t xml:space="preserve">Where </w:t>
      </w:r>
      <w:proofErr w:type="spellStart"/>
      <w:r w:rsidRPr="00760593">
        <w:rPr>
          <w:bCs/>
          <w:sz w:val="20"/>
          <w:szCs w:val="20"/>
        </w:rPr>
        <w:t>w</w:t>
      </w:r>
      <w:r w:rsidRPr="00760593">
        <w:rPr>
          <w:bCs/>
          <w:sz w:val="20"/>
          <w:szCs w:val="20"/>
          <w:vertAlign w:val="subscript"/>
        </w:rPr>
        <w:t>i</w:t>
      </w:r>
      <w:proofErr w:type="spellEnd"/>
      <w:r w:rsidRPr="00760593">
        <w:rPr>
          <w:bCs/>
          <w:sz w:val="20"/>
          <w:szCs w:val="20"/>
        </w:rPr>
        <w:t xml:space="preserve"> is the fractional weight of the oxides in a glass sample, and (µ/ρ)</w:t>
      </w:r>
      <w:r w:rsidRPr="00760593">
        <w:rPr>
          <w:bCs/>
          <w:sz w:val="20"/>
          <w:szCs w:val="20"/>
          <w:vertAlign w:val="subscript"/>
        </w:rPr>
        <w:t xml:space="preserve"> m(</w:t>
      </w:r>
      <w:proofErr w:type="spellStart"/>
      <w:r w:rsidRPr="00760593">
        <w:rPr>
          <w:bCs/>
          <w:sz w:val="20"/>
          <w:szCs w:val="20"/>
          <w:vertAlign w:val="subscript"/>
        </w:rPr>
        <w:t>i</w:t>
      </w:r>
      <w:proofErr w:type="spellEnd"/>
      <w:r w:rsidRPr="00760593">
        <w:rPr>
          <w:bCs/>
          <w:sz w:val="20"/>
          <w:szCs w:val="20"/>
          <w:vertAlign w:val="subscript"/>
        </w:rPr>
        <w:t xml:space="preserve">) </w:t>
      </w:r>
      <w:r w:rsidRPr="00760593">
        <w:rPr>
          <w:bCs/>
          <w:sz w:val="20"/>
          <w:szCs w:val="20"/>
        </w:rPr>
        <w:t>is the mass attenuation coefficient of such component.</w:t>
      </w:r>
    </w:p>
    <w:p w:rsidR="00CC40B6" w:rsidRPr="00760593" w:rsidRDefault="00D6150E" w:rsidP="00760593">
      <w:pPr>
        <w:snapToGrid w:val="0"/>
        <w:ind w:firstLine="425"/>
        <w:jc w:val="both"/>
        <w:rPr>
          <w:b/>
          <w:sz w:val="20"/>
          <w:szCs w:val="20"/>
        </w:rPr>
      </w:pPr>
      <w:r w:rsidRPr="00760593">
        <w:rPr>
          <w:bCs/>
          <w:sz w:val="20"/>
          <w:szCs w:val="20"/>
        </w:rPr>
        <w:t>The half value layers (HVL) of the studied glasses were also calculated according to equation (2), [12],</w:t>
      </w:r>
    </w:p>
    <w:p w:rsidR="00937768" w:rsidRPr="00760593" w:rsidRDefault="00937768" w:rsidP="00760593">
      <w:pPr>
        <w:snapToGrid w:val="0"/>
        <w:ind w:firstLine="425"/>
        <w:jc w:val="both"/>
        <w:rPr>
          <w:b/>
          <w:sz w:val="20"/>
          <w:szCs w:val="20"/>
        </w:rPr>
      </w:pPr>
    </w:p>
    <w:p w:rsidR="00937768" w:rsidRPr="00760593" w:rsidRDefault="007C74E7" w:rsidP="00760593">
      <w:pPr>
        <w:snapToGrid w:val="0"/>
        <w:ind w:firstLine="425"/>
        <w:jc w:val="both"/>
        <w:rPr>
          <w:b/>
          <w:sz w:val="20"/>
          <w:szCs w:val="20"/>
        </w:rPr>
      </w:pPr>
      <w:r>
        <w:lastRenderedPageBreak/>
        <w:pict>
          <v:shape id="_x0000_i1026" type="#_x0000_t75" style="width:133.35pt;height:18.15pt;visibility:visible">
            <v:imagedata r:id="rId13" o:title=""/>
          </v:shape>
        </w:pict>
      </w:r>
    </w:p>
    <w:p w:rsidR="00937768" w:rsidRPr="00760593" w:rsidRDefault="00937768" w:rsidP="00760593">
      <w:pPr>
        <w:snapToGrid w:val="0"/>
        <w:ind w:firstLine="425"/>
        <w:jc w:val="both"/>
        <w:rPr>
          <w:b/>
          <w:sz w:val="20"/>
          <w:szCs w:val="20"/>
        </w:rPr>
      </w:pPr>
    </w:p>
    <w:p w:rsidR="00937768" w:rsidRPr="00760593" w:rsidRDefault="00937768" w:rsidP="00760593">
      <w:pPr>
        <w:snapToGrid w:val="0"/>
        <w:ind w:firstLine="425"/>
        <w:jc w:val="both"/>
        <w:rPr>
          <w:bCs/>
          <w:sz w:val="20"/>
          <w:szCs w:val="20"/>
        </w:rPr>
      </w:pPr>
      <w:r w:rsidRPr="00760593">
        <w:rPr>
          <w:bCs/>
          <w:sz w:val="20"/>
          <w:szCs w:val="20"/>
        </w:rPr>
        <w:t>For the electrical conductivity measurements, the solid glasses were polished to obtained disk shape samples with 8 mm diameter and 1 mm thickness. The samples were cleaned and sandwiched between two electrodes of silver paste to obtain good electrical contact. The measurements were performed using LRC Bridge (model SR 270) at three different fixed frequencies [1, 10, and 100 kHz] and in the temperature range (from 300 to 460).</w:t>
      </w:r>
    </w:p>
    <w:p w:rsidR="003E6D9C" w:rsidRPr="00760593" w:rsidRDefault="003E6D9C" w:rsidP="00760593">
      <w:pPr>
        <w:snapToGrid w:val="0"/>
        <w:jc w:val="both"/>
        <w:rPr>
          <w:sz w:val="20"/>
          <w:szCs w:val="20"/>
        </w:rPr>
      </w:pPr>
    </w:p>
    <w:p w:rsidR="009865CA" w:rsidRPr="00760593" w:rsidRDefault="00471E57" w:rsidP="00760593">
      <w:pPr>
        <w:snapToGrid w:val="0"/>
        <w:jc w:val="both"/>
        <w:rPr>
          <w:b/>
          <w:sz w:val="20"/>
          <w:szCs w:val="20"/>
        </w:rPr>
      </w:pPr>
      <w:r w:rsidRPr="00760593">
        <w:rPr>
          <w:b/>
          <w:sz w:val="20"/>
          <w:szCs w:val="20"/>
        </w:rPr>
        <w:t xml:space="preserve">3. Results </w:t>
      </w:r>
      <w:r w:rsidR="00A22FB0" w:rsidRPr="00760593">
        <w:rPr>
          <w:b/>
          <w:bCs/>
          <w:sz w:val="20"/>
          <w:szCs w:val="20"/>
        </w:rPr>
        <w:t>and Discussion</w:t>
      </w:r>
    </w:p>
    <w:p w:rsidR="009865CA" w:rsidRPr="00760593" w:rsidRDefault="009865CA" w:rsidP="00760593">
      <w:pPr>
        <w:snapToGrid w:val="0"/>
        <w:ind w:firstLine="425"/>
        <w:jc w:val="both"/>
        <w:rPr>
          <w:sz w:val="20"/>
          <w:szCs w:val="20"/>
          <w:lang w:eastAsia="zh-CN"/>
        </w:rPr>
      </w:pPr>
      <w:r w:rsidRPr="00760593">
        <w:rPr>
          <w:sz w:val="20"/>
          <w:szCs w:val="20"/>
        </w:rPr>
        <w:t>It is suitable firstly to obtain a complete idea about the internal structural groups in the glass network. Therefore infrared analysis was applied here and the obtained IR spectra in the range from 400 to 4</w:t>
      </w:r>
      <w:r w:rsidR="00284843" w:rsidRPr="00760593">
        <w:rPr>
          <w:sz w:val="20"/>
          <w:szCs w:val="20"/>
        </w:rPr>
        <w:t>0</w:t>
      </w:r>
      <w:r w:rsidRPr="00760593">
        <w:rPr>
          <w:sz w:val="20"/>
          <w:szCs w:val="20"/>
        </w:rPr>
        <w:t>00 cm</w:t>
      </w:r>
      <w:r w:rsidRPr="00760593">
        <w:rPr>
          <w:sz w:val="20"/>
          <w:szCs w:val="20"/>
          <w:vertAlign w:val="superscript"/>
        </w:rPr>
        <w:t xml:space="preserve">-1 </w:t>
      </w:r>
      <w:r w:rsidRPr="00760593">
        <w:rPr>
          <w:sz w:val="20"/>
          <w:szCs w:val="20"/>
        </w:rPr>
        <w:t>at RT, are exhibited in Fig. (1).</w:t>
      </w:r>
    </w:p>
    <w:p w:rsidR="00760593" w:rsidRPr="00760593" w:rsidRDefault="00760593" w:rsidP="00760593">
      <w:pPr>
        <w:snapToGrid w:val="0"/>
        <w:ind w:firstLine="425"/>
        <w:jc w:val="both"/>
        <w:rPr>
          <w:b/>
          <w:sz w:val="20"/>
          <w:szCs w:val="20"/>
          <w:lang w:eastAsia="zh-CN"/>
        </w:rPr>
      </w:pPr>
    </w:p>
    <w:p w:rsidR="00E038C5" w:rsidRPr="00760593" w:rsidRDefault="007C74E7" w:rsidP="00760593">
      <w:pPr>
        <w:snapToGrid w:val="0"/>
        <w:jc w:val="center"/>
        <w:rPr>
          <w:sz w:val="20"/>
          <w:szCs w:val="20"/>
        </w:rPr>
      </w:pPr>
      <w:r w:rsidRPr="007C74E7">
        <w:rPr>
          <w:sz w:val="20"/>
        </w:rPr>
        <w:pict>
          <v:shape id="_x0000_i1027" type="#_x0000_t75" style="width:235.4pt;height:275.5pt">
            <v:imagedata r:id="rId14" o:title="final ir"/>
          </v:shape>
        </w:pict>
      </w:r>
    </w:p>
    <w:p w:rsidR="00E038C5" w:rsidRPr="00760593" w:rsidRDefault="00E038C5" w:rsidP="00760593">
      <w:pPr>
        <w:snapToGrid w:val="0"/>
        <w:ind w:firstLine="425"/>
        <w:jc w:val="both"/>
        <w:rPr>
          <w:sz w:val="20"/>
          <w:szCs w:val="20"/>
        </w:rPr>
      </w:pPr>
      <w:r w:rsidRPr="00760593">
        <w:rPr>
          <w:sz w:val="20"/>
          <w:szCs w:val="20"/>
        </w:rPr>
        <w:t>Figure 1. The obtained IR absorption spectra</w:t>
      </w:r>
    </w:p>
    <w:p w:rsidR="00A34848" w:rsidRPr="00760593" w:rsidRDefault="00A34848" w:rsidP="00760593">
      <w:pPr>
        <w:snapToGrid w:val="0"/>
        <w:ind w:firstLine="425"/>
        <w:jc w:val="both"/>
        <w:rPr>
          <w:sz w:val="20"/>
          <w:szCs w:val="20"/>
        </w:rPr>
      </w:pPr>
    </w:p>
    <w:p w:rsidR="004F365A" w:rsidRPr="00760593" w:rsidRDefault="00A34848" w:rsidP="00760593">
      <w:pPr>
        <w:snapToGrid w:val="0"/>
        <w:ind w:firstLine="425"/>
        <w:jc w:val="both"/>
        <w:rPr>
          <w:sz w:val="20"/>
          <w:szCs w:val="20"/>
        </w:rPr>
      </w:pPr>
      <w:r w:rsidRPr="00760593">
        <w:rPr>
          <w:sz w:val="20"/>
          <w:szCs w:val="20"/>
        </w:rPr>
        <w:t>It is known that all bands appeared approximately in the range from 2200 to 4</w:t>
      </w:r>
      <w:r w:rsidR="00284843" w:rsidRPr="00760593">
        <w:rPr>
          <w:sz w:val="20"/>
          <w:szCs w:val="20"/>
        </w:rPr>
        <w:t>0</w:t>
      </w:r>
      <w:r w:rsidRPr="00760593">
        <w:rPr>
          <w:sz w:val="20"/>
          <w:szCs w:val="20"/>
        </w:rPr>
        <w:t>00 cm</w:t>
      </w:r>
      <w:r w:rsidRPr="00760593">
        <w:rPr>
          <w:sz w:val="20"/>
          <w:szCs w:val="20"/>
          <w:vertAlign w:val="superscript"/>
        </w:rPr>
        <w:t>-1</w:t>
      </w:r>
      <w:r w:rsidRPr="00760593">
        <w:rPr>
          <w:sz w:val="20"/>
          <w:szCs w:val="20"/>
        </w:rPr>
        <w:t xml:space="preserve"> can be attributed to H</w:t>
      </w:r>
      <w:r w:rsidRPr="00760593">
        <w:rPr>
          <w:sz w:val="20"/>
          <w:szCs w:val="20"/>
          <w:vertAlign w:val="subscript"/>
        </w:rPr>
        <w:t>2</w:t>
      </w:r>
      <w:r w:rsidRPr="00760593">
        <w:rPr>
          <w:sz w:val="20"/>
          <w:szCs w:val="20"/>
        </w:rPr>
        <w:t>O vibration, while the bands appeared around 1600 cm</w:t>
      </w:r>
      <w:r w:rsidRPr="00760593">
        <w:rPr>
          <w:sz w:val="20"/>
          <w:szCs w:val="20"/>
          <w:vertAlign w:val="superscript"/>
        </w:rPr>
        <w:t xml:space="preserve">-1 </w:t>
      </w:r>
      <w:r w:rsidRPr="00760593">
        <w:rPr>
          <w:sz w:val="20"/>
          <w:szCs w:val="20"/>
        </w:rPr>
        <w:t>can be attributed</w:t>
      </w:r>
      <w:r w:rsidRPr="00760593">
        <w:rPr>
          <w:sz w:val="20"/>
          <w:szCs w:val="20"/>
          <w:vertAlign w:val="superscript"/>
        </w:rPr>
        <w:t xml:space="preserve"> </w:t>
      </w:r>
      <w:r w:rsidRPr="00760593">
        <w:rPr>
          <w:sz w:val="20"/>
          <w:szCs w:val="20"/>
        </w:rPr>
        <w:t>to the stretching vibration of H-O bond [13]. That is, the range of interest is only between 400 and 1600 cm</w:t>
      </w:r>
      <w:r w:rsidRPr="00760593">
        <w:rPr>
          <w:sz w:val="20"/>
          <w:szCs w:val="20"/>
          <w:vertAlign w:val="superscript"/>
        </w:rPr>
        <w:t>-</w:t>
      </w:r>
      <w:r w:rsidR="00284843" w:rsidRPr="00760593">
        <w:rPr>
          <w:sz w:val="20"/>
          <w:szCs w:val="20"/>
          <w:vertAlign w:val="superscript"/>
        </w:rPr>
        <w:t>1</w:t>
      </w:r>
      <w:r w:rsidRPr="00760593">
        <w:rPr>
          <w:sz w:val="20"/>
          <w:szCs w:val="20"/>
        </w:rPr>
        <w:t xml:space="preserve"> for the studied glasses. The appearance of some bands beyond 2000 cm</w:t>
      </w:r>
      <w:r w:rsidRPr="00760593">
        <w:rPr>
          <w:sz w:val="20"/>
          <w:szCs w:val="20"/>
          <w:vertAlign w:val="superscript"/>
        </w:rPr>
        <w:t>-1</w:t>
      </w:r>
      <w:r w:rsidRPr="00760593">
        <w:rPr>
          <w:sz w:val="20"/>
          <w:szCs w:val="20"/>
        </w:rPr>
        <w:t xml:space="preserve"> and that one appeared around 1600 cm</w:t>
      </w:r>
      <w:r w:rsidRPr="00760593">
        <w:rPr>
          <w:sz w:val="20"/>
          <w:szCs w:val="20"/>
          <w:vertAlign w:val="superscript"/>
        </w:rPr>
        <w:t>-1</w:t>
      </w:r>
      <w:r w:rsidRPr="00760593">
        <w:rPr>
          <w:sz w:val="20"/>
          <w:szCs w:val="20"/>
        </w:rPr>
        <w:t xml:space="preserve"> can be taken as evidence for the </w:t>
      </w:r>
      <w:r w:rsidRPr="00760593">
        <w:rPr>
          <w:sz w:val="20"/>
          <w:szCs w:val="20"/>
        </w:rPr>
        <w:lastRenderedPageBreak/>
        <w:t xml:space="preserve">presence of some –OH and H-O-H groups which may be due the used </w:t>
      </w:r>
      <w:proofErr w:type="spellStart"/>
      <w:r w:rsidRPr="00760593">
        <w:rPr>
          <w:sz w:val="20"/>
          <w:szCs w:val="20"/>
        </w:rPr>
        <w:t>KBr</w:t>
      </w:r>
      <w:proofErr w:type="spellEnd"/>
      <w:r w:rsidRPr="00760593">
        <w:rPr>
          <w:sz w:val="20"/>
          <w:szCs w:val="20"/>
        </w:rPr>
        <w:t xml:space="preserve"> disk technique [13].</w:t>
      </w:r>
    </w:p>
    <w:p w:rsidR="004F365A" w:rsidRPr="00760593" w:rsidRDefault="00A34848" w:rsidP="00760593">
      <w:pPr>
        <w:snapToGrid w:val="0"/>
        <w:ind w:firstLine="425"/>
        <w:jc w:val="both"/>
        <w:rPr>
          <w:sz w:val="20"/>
          <w:szCs w:val="20"/>
          <w:lang w:eastAsia="zh-CN"/>
        </w:rPr>
      </w:pPr>
      <w:r w:rsidRPr="00760593">
        <w:rPr>
          <w:sz w:val="20"/>
          <w:szCs w:val="20"/>
        </w:rPr>
        <w:t>Accordingly, the range from 400 to 1600 cm</w:t>
      </w:r>
      <w:r w:rsidRPr="00760593">
        <w:rPr>
          <w:sz w:val="20"/>
          <w:szCs w:val="20"/>
          <w:vertAlign w:val="superscript"/>
        </w:rPr>
        <w:t>-1</w:t>
      </w:r>
      <w:r w:rsidRPr="00760593">
        <w:rPr>
          <w:sz w:val="20"/>
          <w:szCs w:val="20"/>
        </w:rPr>
        <w:t xml:space="preserve"> was thoroughly examined by applying the de-convolution program to extract as really as </w:t>
      </w:r>
      <w:r w:rsidR="004F365A" w:rsidRPr="00760593">
        <w:rPr>
          <w:sz w:val="20"/>
          <w:szCs w:val="20"/>
        </w:rPr>
        <w:t xml:space="preserve">possible the correct IR bands. </w:t>
      </w:r>
      <w:r w:rsidRPr="00760593">
        <w:rPr>
          <w:sz w:val="20"/>
          <w:szCs w:val="20"/>
        </w:rPr>
        <w:t>Fig. (2), shows the de-convoluted spectrum of the sample contains 10 mol% WO</w:t>
      </w:r>
      <w:r w:rsidRPr="00760593">
        <w:rPr>
          <w:sz w:val="20"/>
          <w:szCs w:val="20"/>
          <w:vertAlign w:val="subscript"/>
        </w:rPr>
        <w:t>3</w:t>
      </w:r>
      <w:r w:rsidRPr="00760593">
        <w:rPr>
          <w:sz w:val="20"/>
          <w:szCs w:val="20"/>
        </w:rPr>
        <w:t xml:space="preserve"> as a representative figure.</w:t>
      </w:r>
    </w:p>
    <w:p w:rsidR="00760593" w:rsidRPr="00760593" w:rsidRDefault="00760593" w:rsidP="00760593">
      <w:pPr>
        <w:snapToGrid w:val="0"/>
        <w:ind w:firstLine="425"/>
        <w:jc w:val="both"/>
        <w:rPr>
          <w:sz w:val="20"/>
          <w:szCs w:val="20"/>
          <w:lang w:eastAsia="zh-CN"/>
        </w:rPr>
      </w:pPr>
    </w:p>
    <w:p w:rsidR="004F365A" w:rsidRPr="00760593" w:rsidRDefault="007C74E7" w:rsidP="00760593">
      <w:pPr>
        <w:snapToGrid w:val="0"/>
        <w:jc w:val="center"/>
        <w:rPr>
          <w:sz w:val="20"/>
          <w:szCs w:val="20"/>
        </w:rPr>
      </w:pPr>
      <w:r w:rsidRPr="007C74E7">
        <w:rPr>
          <w:sz w:val="20"/>
        </w:rPr>
        <w:pict>
          <v:shape id="_x0000_i1028" type="#_x0000_t75" style="width:214.75pt;height:175.3pt;visibility:visible">
            <v:imagedata r:id="rId15" o:title=""/>
          </v:shape>
        </w:pict>
      </w:r>
    </w:p>
    <w:p w:rsidR="004F365A" w:rsidRPr="00760593" w:rsidRDefault="00DA4737" w:rsidP="00760593">
      <w:pPr>
        <w:snapToGrid w:val="0"/>
        <w:jc w:val="both"/>
        <w:rPr>
          <w:sz w:val="20"/>
          <w:szCs w:val="20"/>
        </w:rPr>
      </w:pPr>
      <w:r w:rsidRPr="00760593">
        <w:rPr>
          <w:sz w:val="20"/>
          <w:szCs w:val="20"/>
        </w:rPr>
        <w:t>Figure 2. The de-convoluted spectrum of sample that contains 10 mol% WO</w:t>
      </w:r>
      <w:r w:rsidRPr="00760593">
        <w:rPr>
          <w:sz w:val="20"/>
          <w:szCs w:val="20"/>
          <w:vertAlign w:val="subscript"/>
        </w:rPr>
        <w:t>3</w:t>
      </w:r>
      <w:r w:rsidRPr="00760593">
        <w:rPr>
          <w:sz w:val="20"/>
          <w:szCs w:val="20"/>
        </w:rPr>
        <w:t>, as a representative figure</w:t>
      </w:r>
    </w:p>
    <w:p w:rsidR="009878C0" w:rsidRPr="00760593" w:rsidRDefault="009878C0" w:rsidP="00760593">
      <w:pPr>
        <w:snapToGrid w:val="0"/>
        <w:ind w:firstLine="425"/>
        <w:jc w:val="both"/>
        <w:rPr>
          <w:sz w:val="20"/>
          <w:szCs w:val="20"/>
        </w:rPr>
      </w:pPr>
    </w:p>
    <w:p w:rsidR="00201F63" w:rsidRPr="00760593" w:rsidRDefault="009878C0" w:rsidP="00760593">
      <w:pPr>
        <w:snapToGrid w:val="0"/>
        <w:ind w:firstLine="425"/>
        <w:jc w:val="both"/>
        <w:rPr>
          <w:sz w:val="20"/>
          <w:szCs w:val="20"/>
        </w:rPr>
      </w:pPr>
      <w:r w:rsidRPr="00760593">
        <w:rPr>
          <w:sz w:val="20"/>
          <w:szCs w:val="20"/>
        </w:rPr>
        <w:t>The obtained de-convoluted IR bands appeared in the spectra of the studied glasses are listed in</w:t>
      </w:r>
      <w:r w:rsidR="00942A58" w:rsidRPr="00760593">
        <w:rPr>
          <w:sz w:val="20"/>
          <w:szCs w:val="20"/>
        </w:rPr>
        <w:t xml:space="preserve"> T</w:t>
      </w:r>
      <w:r w:rsidRPr="00760593">
        <w:rPr>
          <w:sz w:val="20"/>
          <w:szCs w:val="20"/>
        </w:rPr>
        <w:t>able (1).</w:t>
      </w:r>
    </w:p>
    <w:p w:rsidR="00201F63" w:rsidRPr="00760593" w:rsidRDefault="00201F63" w:rsidP="00760593">
      <w:pPr>
        <w:snapToGrid w:val="0"/>
        <w:jc w:val="center"/>
        <w:rPr>
          <w:sz w:val="20"/>
          <w:szCs w:val="20"/>
        </w:rPr>
      </w:pPr>
    </w:p>
    <w:p w:rsidR="00201F63" w:rsidRPr="00760593" w:rsidRDefault="00201F63" w:rsidP="00760593">
      <w:pPr>
        <w:snapToGrid w:val="0"/>
        <w:jc w:val="both"/>
        <w:rPr>
          <w:sz w:val="20"/>
          <w:szCs w:val="20"/>
        </w:rPr>
      </w:pPr>
      <w:r w:rsidRPr="00760593">
        <w:rPr>
          <w:sz w:val="20"/>
          <w:szCs w:val="20"/>
        </w:rPr>
        <w:t>Table 1. The characteristic frequencies obtained from the de-convoluted IR spectra</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8"/>
        <w:gridCol w:w="881"/>
        <w:gridCol w:w="695"/>
        <w:gridCol w:w="696"/>
        <w:gridCol w:w="696"/>
        <w:gridCol w:w="696"/>
      </w:tblGrid>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Number of peaks</w:t>
            </w:r>
          </w:p>
        </w:tc>
        <w:tc>
          <w:tcPr>
            <w:tcW w:w="881"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0% WO</w:t>
            </w:r>
            <w:r w:rsidRPr="00760593">
              <w:rPr>
                <w:b/>
                <w:bCs/>
                <w:color w:val="000000"/>
                <w:sz w:val="20"/>
                <w:szCs w:val="20"/>
                <w:vertAlign w:val="subscript"/>
              </w:rPr>
              <w:t>3</w:t>
            </w:r>
          </w:p>
        </w:tc>
        <w:tc>
          <w:tcPr>
            <w:tcW w:w="695"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5% WO</w:t>
            </w:r>
            <w:r w:rsidRPr="00760593">
              <w:rPr>
                <w:b/>
                <w:bCs/>
                <w:color w:val="000000"/>
                <w:sz w:val="20"/>
                <w:szCs w:val="20"/>
                <w:vertAlign w:val="subscript"/>
              </w:rPr>
              <w:t>3</w:t>
            </w:r>
          </w:p>
        </w:tc>
        <w:tc>
          <w:tcPr>
            <w:tcW w:w="696"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10% WO</w:t>
            </w:r>
            <w:r w:rsidRPr="00760593">
              <w:rPr>
                <w:b/>
                <w:bCs/>
                <w:color w:val="000000"/>
                <w:sz w:val="20"/>
                <w:szCs w:val="20"/>
                <w:vertAlign w:val="subscript"/>
              </w:rPr>
              <w:t>3</w:t>
            </w:r>
          </w:p>
        </w:tc>
        <w:tc>
          <w:tcPr>
            <w:tcW w:w="696"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15% WO</w:t>
            </w:r>
            <w:r w:rsidRPr="00760593">
              <w:rPr>
                <w:b/>
                <w:bCs/>
                <w:color w:val="000000"/>
                <w:sz w:val="20"/>
                <w:szCs w:val="20"/>
                <w:vertAlign w:val="subscript"/>
              </w:rPr>
              <w:t>3</w:t>
            </w:r>
          </w:p>
        </w:tc>
        <w:tc>
          <w:tcPr>
            <w:tcW w:w="696"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20% WO</w:t>
            </w:r>
            <w:r w:rsidRPr="00760593">
              <w:rPr>
                <w:b/>
                <w:bCs/>
                <w:color w:val="000000"/>
                <w:sz w:val="20"/>
                <w:szCs w:val="20"/>
                <w:vertAlign w:val="subscript"/>
              </w:rPr>
              <w:t>3</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1</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1442</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1429</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1430</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1440</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1441</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2</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1222</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1241</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1236</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1248</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1232</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3</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1139</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1135</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1136</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1166</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1123</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4</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1038</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1054</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1049</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1095</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1034</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5</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939</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944</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936</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941</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940</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6</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789</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812</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819</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820</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816</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7</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680</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675</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673</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669</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661</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8</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590</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577</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575</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594</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586</w:t>
            </w:r>
          </w:p>
        </w:tc>
      </w:tr>
      <w:tr w:rsidR="00201F63" w:rsidRPr="00760593" w:rsidTr="00760593">
        <w:trPr>
          <w:jc w:val="center"/>
        </w:trPr>
        <w:tc>
          <w:tcPr>
            <w:tcW w:w="1048" w:type="dxa"/>
            <w:shd w:val="clear" w:color="auto" w:fill="auto"/>
            <w:vAlign w:val="center"/>
          </w:tcPr>
          <w:p w:rsidR="00201F63" w:rsidRPr="00760593" w:rsidRDefault="00201F63" w:rsidP="00760593">
            <w:pPr>
              <w:snapToGrid w:val="0"/>
              <w:jc w:val="both"/>
              <w:rPr>
                <w:b/>
                <w:bCs/>
                <w:color w:val="000000"/>
                <w:sz w:val="20"/>
                <w:szCs w:val="20"/>
              </w:rPr>
            </w:pPr>
            <w:r w:rsidRPr="00760593">
              <w:rPr>
                <w:b/>
                <w:bCs/>
                <w:color w:val="000000"/>
                <w:sz w:val="20"/>
                <w:szCs w:val="20"/>
              </w:rPr>
              <w:t>9</w:t>
            </w:r>
          </w:p>
        </w:tc>
        <w:tc>
          <w:tcPr>
            <w:tcW w:w="881"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475</w:t>
            </w:r>
          </w:p>
        </w:tc>
        <w:tc>
          <w:tcPr>
            <w:tcW w:w="695"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478</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486</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490</w:t>
            </w:r>
          </w:p>
        </w:tc>
        <w:tc>
          <w:tcPr>
            <w:tcW w:w="696" w:type="dxa"/>
            <w:shd w:val="clear" w:color="auto" w:fill="auto"/>
            <w:vAlign w:val="center"/>
          </w:tcPr>
          <w:p w:rsidR="00201F63" w:rsidRPr="00760593" w:rsidRDefault="00201F63" w:rsidP="00760593">
            <w:pPr>
              <w:snapToGrid w:val="0"/>
              <w:jc w:val="both"/>
              <w:rPr>
                <w:color w:val="000000"/>
                <w:sz w:val="20"/>
                <w:szCs w:val="20"/>
              </w:rPr>
            </w:pPr>
            <w:r w:rsidRPr="00760593">
              <w:rPr>
                <w:color w:val="000000"/>
                <w:sz w:val="20"/>
                <w:szCs w:val="20"/>
              </w:rPr>
              <w:t>494</w:t>
            </w:r>
          </w:p>
        </w:tc>
      </w:tr>
    </w:tbl>
    <w:p w:rsidR="00201F63" w:rsidRPr="00760593" w:rsidRDefault="00201F63" w:rsidP="00760593">
      <w:pPr>
        <w:snapToGrid w:val="0"/>
        <w:ind w:firstLine="425"/>
        <w:jc w:val="both"/>
        <w:rPr>
          <w:sz w:val="20"/>
          <w:szCs w:val="20"/>
        </w:rPr>
      </w:pPr>
    </w:p>
    <w:p w:rsidR="004951C3" w:rsidRPr="00760593" w:rsidRDefault="004951C3" w:rsidP="0092468F">
      <w:pPr>
        <w:snapToGrid w:val="0"/>
        <w:ind w:firstLine="425"/>
        <w:jc w:val="both"/>
        <w:rPr>
          <w:sz w:val="20"/>
          <w:szCs w:val="20"/>
        </w:rPr>
      </w:pPr>
      <w:r w:rsidRPr="00760593">
        <w:rPr>
          <w:sz w:val="20"/>
          <w:szCs w:val="20"/>
        </w:rPr>
        <w:t>Inspecting these bands, it can be concluded that:</w:t>
      </w:r>
    </w:p>
    <w:p w:rsidR="004951C3" w:rsidRPr="00760593" w:rsidRDefault="004951C3" w:rsidP="00760593">
      <w:pPr>
        <w:numPr>
          <w:ilvl w:val="0"/>
          <w:numId w:val="5"/>
        </w:numPr>
        <w:snapToGrid w:val="0"/>
        <w:ind w:left="426" w:hangingChars="213" w:hanging="426"/>
        <w:jc w:val="both"/>
        <w:rPr>
          <w:sz w:val="20"/>
          <w:szCs w:val="20"/>
        </w:rPr>
      </w:pPr>
      <w:r w:rsidRPr="00760593">
        <w:rPr>
          <w:sz w:val="20"/>
          <w:szCs w:val="20"/>
        </w:rPr>
        <w:t>The band appeared around 1440 cm</w:t>
      </w:r>
      <w:r w:rsidRPr="00760593">
        <w:rPr>
          <w:sz w:val="20"/>
          <w:szCs w:val="20"/>
          <w:vertAlign w:val="superscript"/>
        </w:rPr>
        <w:t>-1</w:t>
      </w:r>
      <w:r w:rsidRPr="00760593">
        <w:rPr>
          <w:sz w:val="20"/>
          <w:szCs w:val="20"/>
        </w:rPr>
        <w:t>, can be assigned to the stretching vibration of phosphorous-oxygen double bond of the form (P=O) [14].</w:t>
      </w:r>
    </w:p>
    <w:p w:rsidR="004951C3" w:rsidRPr="00760593" w:rsidRDefault="004951C3" w:rsidP="00760593">
      <w:pPr>
        <w:numPr>
          <w:ilvl w:val="0"/>
          <w:numId w:val="5"/>
        </w:numPr>
        <w:snapToGrid w:val="0"/>
        <w:ind w:left="426" w:hangingChars="213" w:hanging="426"/>
        <w:jc w:val="both"/>
        <w:rPr>
          <w:sz w:val="20"/>
          <w:szCs w:val="20"/>
        </w:rPr>
      </w:pPr>
      <w:r w:rsidRPr="00760593">
        <w:rPr>
          <w:sz w:val="20"/>
          <w:szCs w:val="20"/>
        </w:rPr>
        <w:t>The band that appeared between</w:t>
      </w:r>
      <w:r w:rsidR="00942A58" w:rsidRPr="00760593">
        <w:rPr>
          <w:sz w:val="20"/>
          <w:szCs w:val="20"/>
        </w:rPr>
        <w:t xml:space="preserve"> </w:t>
      </w:r>
      <w:r w:rsidRPr="00760593">
        <w:rPr>
          <w:sz w:val="20"/>
          <w:szCs w:val="20"/>
        </w:rPr>
        <w:t>1222 and 1248 cm</w:t>
      </w:r>
      <w:r w:rsidRPr="00760593">
        <w:rPr>
          <w:sz w:val="20"/>
          <w:szCs w:val="20"/>
          <w:vertAlign w:val="superscript"/>
        </w:rPr>
        <w:t>-1</w:t>
      </w:r>
      <w:r w:rsidRPr="00760593">
        <w:rPr>
          <w:sz w:val="20"/>
          <w:szCs w:val="20"/>
        </w:rPr>
        <w:t xml:space="preserve"> can be assigned to the asymmetric stretching vibration of  O-P-O, [15] and/or the stretching vibration of phosphorous-oxygen double bond (P=O) [14].</w:t>
      </w:r>
    </w:p>
    <w:p w:rsidR="004951C3" w:rsidRPr="00760593" w:rsidRDefault="004951C3" w:rsidP="00760593">
      <w:pPr>
        <w:numPr>
          <w:ilvl w:val="0"/>
          <w:numId w:val="5"/>
        </w:numPr>
        <w:snapToGrid w:val="0"/>
        <w:ind w:left="426" w:hangingChars="213" w:hanging="426"/>
        <w:jc w:val="both"/>
        <w:rPr>
          <w:sz w:val="20"/>
          <w:szCs w:val="20"/>
        </w:rPr>
      </w:pPr>
      <w:r w:rsidRPr="00760593">
        <w:rPr>
          <w:sz w:val="20"/>
          <w:szCs w:val="20"/>
        </w:rPr>
        <w:lastRenderedPageBreak/>
        <w:t>The band that appeared around 1150 cm</w:t>
      </w:r>
      <w:r w:rsidRPr="00760593">
        <w:rPr>
          <w:sz w:val="20"/>
          <w:szCs w:val="20"/>
          <w:vertAlign w:val="superscript"/>
        </w:rPr>
        <w:t>-1</w:t>
      </w:r>
      <w:r w:rsidRPr="00760593">
        <w:rPr>
          <w:sz w:val="20"/>
          <w:szCs w:val="20"/>
        </w:rPr>
        <w:t xml:space="preserve"> can be assigned to the stretching vibration of P-O</w:t>
      </w:r>
      <w:r w:rsidRPr="00760593">
        <w:rPr>
          <w:sz w:val="20"/>
          <w:szCs w:val="20"/>
          <w:vertAlign w:val="superscript"/>
        </w:rPr>
        <w:t xml:space="preserve">-   </w:t>
      </w:r>
      <w:r w:rsidRPr="00760593">
        <w:rPr>
          <w:sz w:val="20"/>
          <w:szCs w:val="20"/>
        </w:rPr>
        <w:t xml:space="preserve"> (non-bridging oxygen bond) [16]</w:t>
      </w:r>
    </w:p>
    <w:p w:rsidR="004951C3" w:rsidRPr="00760593" w:rsidRDefault="004951C3" w:rsidP="00760593">
      <w:pPr>
        <w:numPr>
          <w:ilvl w:val="0"/>
          <w:numId w:val="5"/>
        </w:numPr>
        <w:snapToGrid w:val="0"/>
        <w:ind w:left="426" w:hangingChars="213" w:hanging="426"/>
        <w:jc w:val="both"/>
        <w:rPr>
          <w:sz w:val="20"/>
          <w:szCs w:val="20"/>
          <w:u w:val="single"/>
        </w:rPr>
      </w:pPr>
      <w:r w:rsidRPr="00760593">
        <w:rPr>
          <w:sz w:val="20"/>
          <w:szCs w:val="20"/>
        </w:rPr>
        <w:t>At about 1040 cm</w:t>
      </w:r>
      <w:r w:rsidRPr="00760593">
        <w:rPr>
          <w:sz w:val="20"/>
          <w:szCs w:val="20"/>
          <w:vertAlign w:val="superscript"/>
        </w:rPr>
        <w:t>-1</w:t>
      </w:r>
      <w:r w:rsidRPr="00760593">
        <w:rPr>
          <w:sz w:val="20"/>
          <w:szCs w:val="20"/>
        </w:rPr>
        <w:t>, there appeared a band which can be attributed to the stretching vibration of P-O-P bond [17, 18].</w:t>
      </w:r>
    </w:p>
    <w:p w:rsidR="004951C3" w:rsidRPr="00760593" w:rsidRDefault="004951C3" w:rsidP="00760593">
      <w:pPr>
        <w:numPr>
          <w:ilvl w:val="0"/>
          <w:numId w:val="5"/>
        </w:numPr>
        <w:snapToGrid w:val="0"/>
        <w:ind w:left="426" w:hangingChars="213" w:hanging="426"/>
        <w:jc w:val="both"/>
        <w:rPr>
          <w:sz w:val="20"/>
          <w:szCs w:val="20"/>
        </w:rPr>
      </w:pPr>
      <w:r w:rsidRPr="00760593">
        <w:rPr>
          <w:sz w:val="20"/>
          <w:szCs w:val="20"/>
        </w:rPr>
        <w:t>The frequency band that appeared in the range from 939 to 944 cm</w:t>
      </w:r>
      <w:r w:rsidRPr="00760593">
        <w:rPr>
          <w:sz w:val="20"/>
          <w:szCs w:val="20"/>
          <w:vertAlign w:val="superscript"/>
        </w:rPr>
        <w:t>-1</w:t>
      </w:r>
      <w:r w:rsidRPr="00760593">
        <w:rPr>
          <w:sz w:val="20"/>
          <w:szCs w:val="20"/>
        </w:rPr>
        <w:t xml:space="preserve"> may be due to P-O-P [19, 20].</w:t>
      </w:r>
    </w:p>
    <w:p w:rsidR="004951C3" w:rsidRPr="00760593" w:rsidRDefault="004951C3" w:rsidP="00760593">
      <w:pPr>
        <w:numPr>
          <w:ilvl w:val="0"/>
          <w:numId w:val="5"/>
        </w:numPr>
        <w:snapToGrid w:val="0"/>
        <w:ind w:left="426" w:hangingChars="213" w:hanging="426"/>
        <w:jc w:val="both"/>
        <w:rPr>
          <w:sz w:val="20"/>
          <w:szCs w:val="20"/>
        </w:rPr>
      </w:pPr>
      <w:r w:rsidRPr="00760593">
        <w:rPr>
          <w:sz w:val="20"/>
          <w:szCs w:val="20"/>
        </w:rPr>
        <w:t>The band which appeared between 789 and 816 cm</w:t>
      </w:r>
      <w:r w:rsidRPr="00760593">
        <w:rPr>
          <w:sz w:val="20"/>
          <w:szCs w:val="20"/>
          <w:vertAlign w:val="superscript"/>
        </w:rPr>
        <w:t xml:space="preserve">-1 </w:t>
      </w:r>
      <w:r w:rsidRPr="00760593">
        <w:rPr>
          <w:sz w:val="20"/>
          <w:szCs w:val="20"/>
        </w:rPr>
        <w:t>may be due to P–O–P symmetric stretching vibration [20].</w:t>
      </w:r>
    </w:p>
    <w:p w:rsidR="004951C3" w:rsidRPr="00760593" w:rsidRDefault="004951C3" w:rsidP="00760593">
      <w:pPr>
        <w:numPr>
          <w:ilvl w:val="0"/>
          <w:numId w:val="5"/>
        </w:numPr>
        <w:snapToGrid w:val="0"/>
        <w:ind w:left="426" w:hangingChars="213" w:hanging="426"/>
        <w:jc w:val="both"/>
        <w:rPr>
          <w:sz w:val="20"/>
          <w:szCs w:val="20"/>
        </w:rPr>
      </w:pPr>
      <w:r w:rsidRPr="00760593">
        <w:rPr>
          <w:sz w:val="20"/>
          <w:szCs w:val="20"/>
        </w:rPr>
        <w:t>The band appeared at 670 cm</w:t>
      </w:r>
      <w:r w:rsidRPr="00760593">
        <w:rPr>
          <w:sz w:val="20"/>
          <w:szCs w:val="20"/>
          <w:vertAlign w:val="superscript"/>
        </w:rPr>
        <w:t>-1</w:t>
      </w:r>
      <w:r w:rsidRPr="00760593">
        <w:rPr>
          <w:sz w:val="20"/>
          <w:szCs w:val="20"/>
        </w:rPr>
        <w:t xml:space="preserve"> is attributed to the P-O-P symmetric stretching vibration [14]</w:t>
      </w:r>
    </w:p>
    <w:p w:rsidR="00176EA3" w:rsidRPr="00760593" w:rsidRDefault="004951C3" w:rsidP="00760593">
      <w:pPr>
        <w:numPr>
          <w:ilvl w:val="0"/>
          <w:numId w:val="5"/>
        </w:numPr>
        <w:snapToGrid w:val="0"/>
        <w:ind w:left="426" w:hangingChars="213" w:hanging="426"/>
        <w:jc w:val="both"/>
        <w:rPr>
          <w:sz w:val="20"/>
          <w:szCs w:val="20"/>
        </w:rPr>
      </w:pPr>
      <w:r w:rsidRPr="00760593">
        <w:rPr>
          <w:sz w:val="20"/>
          <w:szCs w:val="20"/>
        </w:rPr>
        <w:t>The band appeared in the range from 575 to 594 cm</w:t>
      </w:r>
      <w:r w:rsidRPr="00760593">
        <w:rPr>
          <w:sz w:val="20"/>
          <w:szCs w:val="20"/>
          <w:vertAlign w:val="superscript"/>
        </w:rPr>
        <w:t>-1</w:t>
      </w:r>
      <w:r w:rsidRPr="00760593">
        <w:rPr>
          <w:sz w:val="20"/>
          <w:szCs w:val="20"/>
        </w:rPr>
        <w:t xml:space="preserve"> may be assigned to O=P-O bending vibration [14].</w:t>
      </w:r>
    </w:p>
    <w:p w:rsidR="00176EA3" w:rsidRPr="00760593" w:rsidRDefault="004951C3" w:rsidP="00760593">
      <w:pPr>
        <w:numPr>
          <w:ilvl w:val="0"/>
          <w:numId w:val="5"/>
        </w:numPr>
        <w:snapToGrid w:val="0"/>
        <w:ind w:left="426" w:hangingChars="213" w:hanging="426"/>
        <w:jc w:val="both"/>
        <w:rPr>
          <w:sz w:val="20"/>
          <w:szCs w:val="20"/>
        </w:rPr>
      </w:pPr>
      <w:r w:rsidRPr="00760593">
        <w:rPr>
          <w:sz w:val="20"/>
          <w:szCs w:val="20"/>
        </w:rPr>
        <w:t>The band that appeared in the range from 494 to 475 cm</w:t>
      </w:r>
      <w:r w:rsidRPr="00760593">
        <w:rPr>
          <w:sz w:val="20"/>
          <w:szCs w:val="20"/>
          <w:vertAlign w:val="superscript"/>
        </w:rPr>
        <w:t>-1</w:t>
      </w:r>
      <w:r w:rsidRPr="00760593">
        <w:rPr>
          <w:sz w:val="20"/>
          <w:szCs w:val="20"/>
        </w:rPr>
        <w:t xml:space="preserve"> can be assigned to the bending vibration of O-P-O units [21-22], and /or due to WO</w:t>
      </w:r>
      <w:r w:rsidRPr="00760593">
        <w:rPr>
          <w:sz w:val="20"/>
          <w:szCs w:val="20"/>
          <w:vertAlign w:val="subscript"/>
        </w:rPr>
        <w:t>4</w:t>
      </w:r>
      <w:r w:rsidRPr="00760593">
        <w:rPr>
          <w:sz w:val="20"/>
          <w:szCs w:val="20"/>
        </w:rPr>
        <w:t xml:space="preserve"> groups [22].</w:t>
      </w:r>
    </w:p>
    <w:p w:rsidR="00176EA3" w:rsidRPr="00760593" w:rsidRDefault="00176EA3" w:rsidP="00760593">
      <w:pPr>
        <w:snapToGrid w:val="0"/>
        <w:ind w:firstLine="425"/>
        <w:jc w:val="both"/>
        <w:rPr>
          <w:sz w:val="20"/>
          <w:szCs w:val="20"/>
        </w:rPr>
      </w:pPr>
      <w:r w:rsidRPr="00760593">
        <w:rPr>
          <w:sz w:val="20"/>
          <w:szCs w:val="20"/>
        </w:rPr>
        <w:t xml:space="preserve">According to the IR results, it can be stated that, phosphorous represents the major glass network former (GNF) </w:t>
      </w:r>
      <w:proofErr w:type="spellStart"/>
      <w:r w:rsidRPr="00760593">
        <w:rPr>
          <w:sz w:val="20"/>
          <w:szCs w:val="20"/>
        </w:rPr>
        <w:t>cations</w:t>
      </w:r>
      <w:proofErr w:type="spellEnd"/>
      <w:r w:rsidRPr="00760593">
        <w:rPr>
          <w:sz w:val="20"/>
          <w:szCs w:val="20"/>
        </w:rPr>
        <w:t xml:space="preserve"> while sodium represents the major glass network modifier (GNF) </w:t>
      </w:r>
      <w:proofErr w:type="spellStart"/>
      <w:r w:rsidRPr="00760593">
        <w:rPr>
          <w:sz w:val="20"/>
          <w:szCs w:val="20"/>
        </w:rPr>
        <w:t>cations</w:t>
      </w:r>
      <w:proofErr w:type="spellEnd"/>
      <w:r w:rsidRPr="00760593">
        <w:rPr>
          <w:sz w:val="20"/>
          <w:szCs w:val="20"/>
        </w:rPr>
        <w:t xml:space="preserve">. It is observed also that, the approximate stability of the band positions in all glasses may indicated that tungsten replaces phosphorous to act only as </w:t>
      </w:r>
      <w:r w:rsidR="001952DC" w:rsidRPr="00760593">
        <w:rPr>
          <w:sz w:val="20"/>
          <w:szCs w:val="20"/>
        </w:rPr>
        <w:t>GNF</w:t>
      </w:r>
      <w:r w:rsidRPr="00760593">
        <w:rPr>
          <w:sz w:val="20"/>
          <w:szCs w:val="20"/>
        </w:rPr>
        <w:t xml:space="preserve">, </w:t>
      </w:r>
      <w:r w:rsidR="001952DC" w:rsidRPr="00760593">
        <w:rPr>
          <w:sz w:val="20"/>
          <w:szCs w:val="20"/>
        </w:rPr>
        <w:t xml:space="preserve">and </w:t>
      </w:r>
      <w:r w:rsidRPr="00760593">
        <w:rPr>
          <w:sz w:val="20"/>
          <w:szCs w:val="20"/>
        </w:rPr>
        <w:t xml:space="preserve">this mains that the ratio GNF to GNM is stable as well as the number of the non-bridging oxygen. It can be stated also that, the observed higher wave number of (P–O–P) stretching arises from the smaller P–O–P bond angle owing to the higher field strength and the small size of sodium </w:t>
      </w:r>
      <w:proofErr w:type="spellStart"/>
      <w:r w:rsidRPr="00760593">
        <w:rPr>
          <w:sz w:val="20"/>
          <w:szCs w:val="20"/>
        </w:rPr>
        <w:t>cations</w:t>
      </w:r>
      <w:proofErr w:type="spellEnd"/>
      <w:r w:rsidRPr="00760593">
        <w:rPr>
          <w:sz w:val="20"/>
          <w:szCs w:val="20"/>
        </w:rPr>
        <w:t>, which results in shortening the chain length of phosphate glasses due to the de-polymerization of the glass network structure [23].</w:t>
      </w:r>
    </w:p>
    <w:p w:rsidR="00176EA3" w:rsidRPr="00760593" w:rsidRDefault="00176EA3" w:rsidP="00760593">
      <w:pPr>
        <w:snapToGrid w:val="0"/>
        <w:ind w:firstLine="425"/>
        <w:jc w:val="both"/>
        <w:rPr>
          <w:sz w:val="20"/>
          <w:szCs w:val="20"/>
        </w:rPr>
      </w:pPr>
      <w:r w:rsidRPr="00760593">
        <w:rPr>
          <w:sz w:val="20"/>
          <w:szCs w:val="20"/>
        </w:rPr>
        <w:t xml:space="preserve">The presence of more than one frequency assigned the P–O–P stretching vibration mode, </w:t>
      </w:r>
      <w:r w:rsidR="001952DC" w:rsidRPr="00760593">
        <w:rPr>
          <w:sz w:val="20"/>
          <w:szCs w:val="20"/>
        </w:rPr>
        <w:t xml:space="preserve">was </w:t>
      </w:r>
      <w:r w:rsidRPr="00760593">
        <w:rPr>
          <w:sz w:val="20"/>
          <w:szCs w:val="20"/>
        </w:rPr>
        <w:t>attributed previously by Donna [24] to different molecular environments that arise from differences in phosphate tetrahedral chain length inside the glass network, and/or the presence of different species of tetrahedral units with different number of non-bridging oxygen anions.</w:t>
      </w:r>
    </w:p>
    <w:p w:rsidR="00176EA3" w:rsidRPr="00760593" w:rsidRDefault="00176EA3" w:rsidP="00760593">
      <w:pPr>
        <w:snapToGrid w:val="0"/>
        <w:ind w:firstLine="425"/>
        <w:jc w:val="both"/>
        <w:rPr>
          <w:sz w:val="20"/>
          <w:szCs w:val="20"/>
        </w:rPr>
      </w:pPr>
      <w:r w:rsidRPr="00760593">
        <w:rPr>
          <w:sz w:val="20"/>
          <w:szCs w:val="20"/>
        </w:rPr>
        <w:t>After obtaining such idea about the internal structure of the studied glasses and in order to study the total gamma ray mass attenuation coefficient, the density values must be firstly obtained.</w:t>
      </w:r>
    </w:p>
    <w:p w:rsidR="004F365A" w:rsidRPr="00760593" w:rsidRDefault="00176EA3" w:rsidP="00760593">
      <w:pPr>
        <w:snapToGrid w:val="0"/>
        <w:ind w:firstLine="425"/>
        <w:jc w:val="both"/>
        <w:rPr>
          <w:sz w:val="20"/>
          <w:szCs w:val="20"/>
        </w:rPr>
      </w:pPr>
      <w:r w:rsidRPr="00760593">
        <w:rPr>
          <w:sz w:val="20"/>
          <w:szCs w:val="20"/>
        </w:rPr>
        <w:t>Although, density of solids is mostly the simplest physical property that can be measured, it is highly informative property if the structure of a material has to consider [25]. However, the experimental density (</w:t>
      </w:r>
      <w:r w:rsidRPr="00760593">
        <w:rPr>
          <w:sz w:val="20"/>
          <w:szCs w:val="20"/>
        </w:rPr>
        <w:object w:dxaOrig="480" w:dyaOrig="260">
          <v:shape id="_x0000_i1029" type="#_x0000_t75" style="width:23.8pt;height:12.5pt" o:ole="">
            <v:imagedata r:id="rId16" o:title=""/>
          </v:shape>
          <o:OLEObject Type="Embed" ProgID="Equation.3" ShapeID="_x0000_i1029" DrawAspect="Content" ObjectID="_1481740984" r:id="rId17"/>
        </w:object>
      </w:r>
      <w:r w:rsidRPr="00760593">
        <w:rPr>
          <w:sz w:val="20"/>
          <w:szCs w:val="20"/>
        </w:rPr>
        <w:t>) values of the studied glass samples was measured using Archimedes principle applying equation (3),</w:t>
      </w:r>
    </w:p>
    <w:p w:rsidR="004F365A" w:rsidRPr="00760593" w:rsidRDefault="004F365A" w:rsidP="00760593">
      <w:pPr>
        <w:snapToGrid w:val="0"/>
        <w:ind w:firstLine="425"/>
        <w:jc w:val="both"/>
        <w:rPr>
          <w:sz w:val="20"/>
          <w:szCs w:val="20"/>
        </w:rPr>
      </w:pPr>
    </w:p>
    <w:p w:rsidR="002F541A" w:rsidRPr="00760593" w:rsidRDefault="0092468F" w:rsidP="00760593">
      <w:pPr>
        <w:snapToGrid w:val="0"/>
        <w:ind w:firstLine="425"/>
        <w:jc w:val="both"/>
        <w:rPr>
          <w:sz w:val="20"/>
          <w:szCs w:val="20"/>
        </w:rPr>
      </w:pPr>
      <w:r w:rsidRPr="00906795">
        <w:rPr>
          <w:position w:val="-26"/>
        </w:rPr>
        <w:object w:dxaOrig="1980" w:dyaOrig="620">
          <v:shape id="_x0000_i1030" type="#_x0000_t75" style="width:100.8pt;height:29.45pt" o:ole="">
            <v:imagedata r:id="rId18" o:title=""/>
          </v:shape>
          <o:OLEObject Type="Embed" ProgID="Equation.3" ShapeID="_x0000_i1030" DrawAspect="Content" ObjectID="_1481740985" r:id="rId19"/>
        </w:object>
      </w:r>
      <w:r>
        <w:rPr>
          <w:rFonts w:hint="eastAsia"/>
          <w:lang w:eastAsia="zh-CN"/>
        </w:rPr>
        <w:tab/>
      </w:r>
      <w:r>
        <w:rPr>
          <w:rFonts w:hint="eastAsia"/>
          <w:lang w:eastAsia="zh-CN"/>
        </w:rPr>
        <w:tab/>
      </w:r>
      <w:r w:rsidR="002F541A" w:rsidRPr="00760593">
        <w:rPr>
          <w:sz w:val="20"/>
          <w:szCs w:val="20"/>
        </w:rPr>
        <w:t>(3)</w:t>
      </w:r>
    </w:p>
    <w:p w:rsidR="002F541A" w:rsidRPr="00760593" w:rsidRDefault="002F541A" w:rsidP="00760593">
      <w:pPr>
        <w:snapToGrid w:val="0"/>
        <w:ind w:firstLine="425"/>
        <w:jc w:val="both"/>
        <w:rPr>
          <w:sz w:val="20"/>
          <w:szCs w:val="20"/>
        </w:rPr>
      </w:pPr>
      <w:r w:rsidRPr="00760593">
        <w:rPr>
          <w:sz w:val="20"/>
          <w:szCs w:val="20"/>
        </w:rPr>
        <w:t xml:space="preserve">Where: </w:t>
      </w:r>
      <w:r w:rsidR="00A35A3B" w:rsidRPr="00760593">
        <w:rPr>
          <w:sz w:val="20"/>
          <w:szCs w:val="20"/>
        </w:rPr>
        <w:object w:dxaOrig="400" w:dyaOrig="360">
          <v:shape id="_x0000_i1031" type="#_x0000_t75" style="width:20.05pt;height:18.15pt" o:ole="">
            <v:imagedata r:id="rId20" o:title=""/>
          </v:shape>
          <o:OLEObject Type="Embed" ProgID="Equation.3" ShapeID="_x0000_i1031" DrawAspect="Content" ObjectID="_1481740986" r:id="rId21"/>
        </w:object>
      </w:r>
      <w:r w:rsidRPr="00760593">
        <w:rPr>
          <w:sz w:val="20"/>
          <w:szCs w:val="20"/>
        </w:rPr>
        <w:t xml:space="preserve"> and  </w:t>
      </w:r>
      <w:r w:rsidR="00A35A3B" w:rsidRPr="00760593">
        <w:rPr>
          <w:sz w:val="20"/>
          <w:szCs w:val="20"/>
        </w:rPr>
        <w:object w:dxaOrig="360" w:dyaOrig="360">
          <v:shape id="_x0000_i1032" type="#_x0000_t75" style="width:18.15pt;height:18.15pt" o:ole="">
            <v:imagedata r:id="rId22" o:title=""/>
          </v:shape>
          <o:OLEObject Type="Embed" ProgID="Equation.3" ShapeID="_x0000_i1032" DrawAspect="Content" ObjectID="_1481740987" r:id="rId23"/>
        </w:object>
      </w:r>
      <w:r w:rsidRPr="00760593">
        <w:rPr>
          <w:sz w:val="20"/>
          <w:szCs w:val="20"/>
        </w:rPr>
        <w:t xml:space="preserve"> are the masses of the sample in air and toluene respectively and </w:t>
      </w:r>
      <w:r w:rsidR="00A35A3B" w:rsidRPr="00760593">
        <w:rPr>
          <w:sz w:val="20"/>
          <w:szCs w:val="20"/>
        </w:rPr>
        <w:object w:dxaOrig="279" w:dyaOrig="360">
          <v:shape id="_x0000_i1033" type="#_x0000_t75" style="width:14.4pt;height:18.15pt" o:ole="">
            <v:imagedata r:id="rId24" o:title=""/>
          </v:shape>
          <o:OLEObject Type="Embed" ProgID="Equation.3" ShapeID="_x0000_i1033" DrawAspect="Content" ObjectID="_1481740988" r:id="rId25"/>
        </w:object>
      </w:r>
      <w:r w:rsidRPr="00760593">
        <w:rPr>
          <w:sz w:val="20"/>
          <w:szCs w:val="20"/>
        </w:rPr>
        <w:t xml:space="preserve"> is the density of toluene.</w:t>
      </w:r>
    </w:p>
    <w:p w:rsidR="002F541A" w:rsidRPr="00760593" w:rsidRDefault="002F541A" w:rsidP="00760593">
      <w:pPr>
        <w:snapToGrid w:val="0"/>
        <w:ind w:firstLine="425"/>
        <w:jc w:val="both"/>
        <w:rPr>
          <w:sz w:val="20"/>
          <w:szCs w:val="20"/>
        </w:rPr>
      </w:pPr>
      <w:r w:rsidRPr="00760593">
        <w:rPr>
          <w:sz w:val="20"/>
          <w:szCs w:val="20"/>
        </w:rPr>
        <w:t>Fig. (3), shows the change in the experimental density values as a function of WO</w:t>
      </w:r>
      <w:r w:rsidRPr="00760593">
        <w:rPr>
          <w:sz w:val="20"/>
          <w:szCs w:val="20"/>
          <w:vertAlign w:val="subscript"/>
        </w:rPr>
        <w:t>3</w:t>
      </w:r>
      <w:r w:rsidRPr="00760593">
        <w:rPr>
          <w:sz w:val="20"/>
          <w:szCs w:val="20"/>
        </w:rPr>
        <w:t xml:space="preserve"> content. The empirical densities </w:t>
      </w:r>
      <w:r w:rsidR="008063F0" w:rsidRPr="00760593">
        <w:rPr>
          <w:sz w:val="20"/>
          <w:szCs w:val="20"/>
        </w:rPr>
        <w:t>(</w:t>
      </w:r>
      <w:proofErr w:type="spellStart"/>
      <w:r w:rsidR="008063F0" w:rsidRPr="00760593">
        <w:rPr>
          <w:i/>
          <w:iCs/>
          <w:sz w:val="20"/>
          <w:szCs w:val="20"/>
        </w:rPr>
        <w:t>ρ</w:t>
      </w:r>
      <w:r w:rsidRPr="00760593">
        <w:rPr>
          <w:i/>
          <w:iCs/>
          <w:sz w:val="20"/>
          <w:szCs w:val="20"/>
          <w:vertAlign w:val="subscript"/>
        </w:rPr>
        <w:t>emp</w:t>
      </w:r>
      <w:proofErr w:type="spellEnd"/>
      <w:r w:rsidRPr="00760593">
        <w:rPr>
          <w:sz w:val="20"/>
          <w:szCs w:val="20"/>
        </w:rPr>
        <w:t>) were also calculated applying equation (4) and were exhibited in the same figure for comparison.</w:t>
      </w:r>
    </w:p>
    <w:p w:rsidR="00D32E3E" w:rsidRPr="00760593" w:rsidRDefault="0092468F" w:rsidP="00760593">
      <w:pPr>
        <w:snapToGrid w:val="0"/>
        <w:ind w:firstLine="425"/>
        <w:jc w:val="both"/>
        <w:rPr>
          <w:sz w:val="20"/>
          <w:szCs w:val="20"/>
        </w:rPr>
      </w:pPr>
      <w:r w:rsidRPr="00906795">
        <w:rPr>
          <w:position w:val="-30"/>
        </w:rPr>
        <w:object w:dxaOrig="1600" w:dyaOrig="700">
          <v:shape id="_x0000_i1034" type="#_x0000_t75" style="width:63.25pt;height:31.3pt" o:ole="">
            <v:imagedata r:id="rId26" o:title=""/>
          </v:shape>
          <o:OLEObject Type="Embed" ProgID="Equation.3" ShapeID="_x0000_i1034" DrawAspect="Content" ObjectID="_1481740989" r:id="rId27"/>
        </w:object>
      </w:r>
      <w:r>
        <w:rPr>
          <w:rFonts w:hint="eastAsia"/>
          <w:lang w:eastAsia="zh-CN"/>
        </w:rPr>
        <w:tab/>
      </w:r>
      <w:r>
        <w:rPr>
          <w:rFonts w:hint="eastAsia"/>
          <w:lang w:eastAsia="zh-CN"/>
        </w:rPr>
        <w:tab/>
      </w:r>
      <w:r>
        <w:rPr>
          <w:rFonts w:hint="eastAsia"/>
          <w:lang w:eastAsia="zh-CN"/>
        </w:rPr>
        <w:tab/>
      </w:r>
      <w:r w:rsidR="00D32E3E" w:rsidRPr="00760593">
        <w:rPr>
          <w:sz w:val="20"/>
          <w:szCs w:val="20"/>
        </w:rPr>
        <w:t>(4)</w:t>
      </w:r>
    </w:p>
    <w:p w:rsidR="002E0C1F" w:rsidRPr="00760593" w:rsidRDefault="002E0C1F" w:rsidP="00760593">
      <w:pPr>
        <w:snapToGrid w:val="0"/>
        <w:ind w:firstLine="425"/>
        <w:jc w:val="both"/>
        <w:rPr>
          <w:sz w:val="20"/>
          <w:szCs w:val="20"/>
        </w:rPr>
      </w:pPr>
    </w:p>
    <w:p w:rsidR="00D32E3E" w:rsidRDefault="002E0C1F" w:rsidP="00760593">
      <w:pPr>
        <w:snapToGrid w:val="0"/>
        <w:ind w:firstLine="425"/>
        <w:jc w:val="both"/>
        <w:rPr>
          <w:sz w:val="20"/>
          <w:szCs w:val="20"/>
          <w:lang w:eastAsia="zh-CN"/>
        </w:rPr>
      </w:pPr>
      <w:r w:rsidRPr="00760593">
        <w:rPr>
          <w:sz w:val="20"/>
          <w:szCs w:val="20"/>
        </w:rPr>
        <w:t xml:space="preserve">where </w:t>
      </w:r>
      <w:r w:rsidRPr="00760593">
        <w:rPr>
          <w:i/>
          <w:iCs/>
          <w:sz w:val="20"/>
          <w:szCs w:val="20"/>
        </w:rPr>
        <w:t>ρ</w:t>
      </w:r>
      <w:r w:rsidRPr="00760593">
        <w:rPr>
          <w:i/>
          <w:iCs/>
          <w:sz w:val="20"/>
          <w:szCs w:val="20"/>
          <w:vertAlign w:val="subscript"/>
        </w:rPr>
        <w:t>1</w:t>
      </w:r>
      <w:r w:rsidRPr="00760593">
        <w:rPr>
          <w:i/>
          <w:iCs/>
          <w:sz w:val="20"/>
          <w:szCs w:val="20"/>
        </w:rPr>
        <w:t>, ρ</w:t>
      </w:r>
      <w:r w:rsidRPr="00760593">
        <w:rPr>
          <w:i/>
          <w:iCs/>
          <w:sz w:val="20"/>
          <w:szCs w:val="20"/>
          <w:vertAlign w:val="subscript"/>
        </w:rPr>
        <w:t xml:space="preserve">2, </w:t>
      </w:r>
      <w:r w:rsidRPr="00760593">
        <w:rPr>
          <w:i/>
          <w:iCs/>
          <w:sz w:val="20"/>
          <w:szCs w:val="20"/>
        </w:rPr>
        <w:t>ρ</w:t>
      </w:r>
      <w:r w:rsidRPr="00760593">
        <w:rPr>
          <w:i/>
          <w:iCs/>
          <w:sz w:val="20"/>
          <w:szCs w:val="20"/>
          <w:vertAlign w:val="subscript"/>
        </w:rPr>
        <w:t>3</w:t>
      </w:r>
      <w:r w:rsidRPr="00760593">
        <w:rPr>
          <w:i/>
          <w:iCs/>
          <w:sz w:val="20"/>
          <w:szCs w:val="20"/>
        </w:rPr>
        <w:t xml:space="preserve">,… </w:t>
      </w:r>
      <w:proofErr w:type="spellStart"/>
      <w:r w:rsidRPr="00760593">
        <w:rPr>
          <w:i/>
          <w:iCs/>
          <w:sz w:val="20"/>
          <w:szCs w:val="20"/>
        </w:rPr>
        <w:t>ρ</w:t>
      </w:r>
      <w:r w:rsidRPr="00760593">
        <w:rPr>
          <w:i/>
          <w:iCs/>
          <w:sz w:val="20"/>
          <w:szCs w:val="20"/>
          <w:vertAlign w:val="subscript"/>
        </w:rPr>
        <w:t>j</w:t>
      </w:r>
      <w:proofErr w:type="spellEnd"/>
      <w:r w:rsidRPr="00760593">
        <w:rPr>
          <w:i/>
          <w:iCs/>
          <w:sz w:val="20"/>
          <w:szCs w:val="20"/>
          <w:vertAlign w:val="subscript"/>
        </w:rPr>
        <w:t xml:space="preserve"> </w:t>
      </w:r>
      <w:r w:rsidRPr="00760593">
        <w:rPr>
          <w:sz w:val="20"/>
          <w:szCs w:val="20"/>
        </w:rPr>
        <w:t xml:space="preserve"> are the densities of the constituting oxides and </w:t>
      </w:r>
      <w:r w:rsidRPr="00760593">
        <w:rPr>
          <w:i/>
          <w:iCs/>
          <w:sz w:val="20"/>
          <w:szCs w:val="20"/>
        </w:rPr>
        <w:t>P</w:t>
      </w:r>
      <w:r w:rsidRPr="00760593">
        <w:rPr>
          <w:i/>
          <w:iCs/>
          <w:sz w:val="20"/>
          <w:szCs w:val="20"/>
          <w:vertAlign w:val="subscript"/>
        </w:rPr>
        <w:t>1</w:t>
      </w:r>
      <w:r w:rsidRPr="00760593">
        <w:rPr>
          <w:i/>
          <w:iCs/>
          <w:sz w:val="20"/>
          <w:szCs w:val="20"/>
        </w:rPr>
        <w:t>, P</w:t>
      </w:r>
      <w:r w:rsidRPr="00760593">
        <w:rPr>
          <w:i/>
          <w:iCs/>
          <w:sz w:val="20"/>
          <w:szCs w:val="20"/>
          <w:vertAlign w:val="subscript"/>
        </w:rPr>
        <w:t xml:space="preserve"> 2</w:t>
      </w:r>
      <w:r w:rsidRPr="00760593">
        <w:rPr>
          <w:i/>
          <w:iCs/>
          <w:sz w:val="20"/>
          <w:szCs w:val="20"/>
        </w:rPr>
        <w:t>, P</w:t>
      </w:r>
      <w:r w:rsidRPr="00760593">
        <w:rPr>
          <w:i/>
          <w:iCs/>
          <w:sz w:val="20"/>
          <w:szCs w:val="20"/>
          <w:vertAlign w:val="subscript"/>
        </w:rPr>
        <w:t xml:space="preserve"> 3</w:t>
      </w:r>
      <w:r w:rsidRPr="00760593">
        <w:rPr>
          <w:i/>
          <w:iCs/>
          <w:sz w:val="20"/>
          <w:szCs w:val="20"/>
        </w:rPr>
        <w:t>,……….., P</w:t>
      </w:r>
      <w:r w:rsidRPr="00760593">
        <w:rPr>
          <w:i/>
          <w:iCs/>
          <w:sz w:val="20"/>
          <w:szCs w:val="20"/>
          <w:vertAlign w:val="subscript"/>
        </w:rPr>
        <w:t xml:space="preserve"> j</w:t>
      </w:r>
      <w:r w:rsidRPr="00760593">
        <w:rPr>
          <w:sz w:val="20"/>
          <w:szCs w:val="20"/>
        </w:rPr>
        <w:t xml:space="preserve"> are the percentage weights of the oxides composing such glass sample.</w:t>
      </w:r>
    </w:p>
    <w:p w:rsidR="0092468F" w:rsidRPr="00760593" w:rsidRDefault="0092468F" w:rsidP="00760593">
      <w:pPr>
        <w:snapToGrid w:val="0"/>
        <w:ind w:firstLine="425"/>
        <w:jc w:val="both"/>
        <w:rPr>
          <w:sz w:val="20"/>
          <w:szCs w:val="20"/>
          <w:lang w:eastAsia="zh-CN"/>
        </w:rPr>
      </w:pPr>
    </w:p>
    <w:p w:rsidR="00D32E3E" w:rsidRPr="00760593" w:rsidRDefault="007C74E7" w:rsidP="00760593">
      <w:pPr>
        <w:snapToGrid w:val="0"/>
        <w:jc w:val="center"/>
        <w:rPr>
          <w:sz w:val="20"/>
          <w:szCs w:val="20"/>
        </w:rPr>
      </w:pPr>
      <w:r w:rsidRPr="007C74E7">
        <w:rPr>
          <w:sz w:val="20"/>
        </w:rPr>
        <w:pict>
          <v:shape id="_x0000_i1035" type="#_x0000_t75" style="width:3in;height:171.55pt;visibility:visible">
            <v:imagedata r:id="rId28" o:title=""/>
          </v:shape>
        </w:pict>
      </w:r>
    </w:p>
    <w:p w:rsidR="007F7F7A" w:rsidRPr="00760593" w:rsidRDefault="007F7F7A" w:rsidP="0092468F">
      <w:pPr>
        <w:snapToGrid w:val="0"/>
        <w:jc w:val="both"/>
        <w:rPr>
          <w:sz w:val="20"/>
          <w:szCs w:val="20"/>
        </w:rPr>
      </w:pPr>
      <w:r w:rsidRPr="00760593">
        <w:rPr>
          <w:sz w:val="20"/>
          <w:szCs w:val="20"/>
        </w:rPr>
        <w:t>Figure 3. The change in the experimental and empirical densities versus WO</w:t>
      </w:r>
      <w:r w:rsidRPr="00760593">
        <w:rPr>
          <w:sz w:val="20"/>
          <w:szCs w:val="20"/>
          <w:vertAlign w:val="subscript"/>
        </w:rPr>
        <w:t xml:space="preserve">3 </w:t>
      </w:r>
      <w:r w:rsidRPr="00760593">
        <w:rPr>
          <w:sz w:val="20"/>
          <w:szCs w:val="20"/>
        </w:rPr>
        <w:t>content</w:t>
      </w:r>
    </w:p>
    <w:p w:rsidR="007F7F7A" w:rsidRPr="00760593" w:rsidRDefault="007F7F7A" w:rsidP="00760593">
      <w:pPr>
        <w:snapToGrid w:val="0"/>
        <w:ind w:firstLine="425"/>
        <w:jc w:val="both"/>
        <w:rPr>
          <w:sz w:val="20"/>
          <w:szCs w:val="20"/>
        </w:rPr>
      </w:pPr>
    </w:p>
    <w:p w:rsidR="007426C3" w:rsidRPr="00760593" w:rsidRDefault="007426C3" w:rsidP="00760593">
      <w:pPr>
        <w:snapToGrid w:val="0"/>
        <w:ind w:firstLine="425"/>
        <w:jc w:val="both"/>
        <w:rPr>
          <w:sz w:val="20"/>
          <w:szCs w:val="20"/>
        </w:rPr>
      </w:pPr>
      <w:r w:rsidRPr="00760593">
        <w:rPr>
          <w:sz w:val="20"/>
          <w:szCs w:val="20"/>
        </w:rPr>
        <w:t>From this figure, it is seen that as WO</w:t>
      </w:r>
      <w:r w:rsidRPr="00760593">
        <w:rPr>
          <w:sz w:val="20"/>
          <w:szCs w:val="20"/>
          <w:vertAlign w:val="subscript"/>
        </w:rPr>
        <w:t>3</w:t>
      </w:r>
      <w:r w:rsidRPr="00760593">
        <w:rPr>
          <w:sz w:val="20"/>
          <w:szCs w:val="20"/>
        </w:rPr>
        <w:t xml:space="preserve"> content was gradually increased from zero up to 20 mol%, both the experimental and the empirical densities increased gradually and linearly from 2.49 up to 3.07 g/cm</w:t>
      </w:r>
      <w:r w:rsidRPr="00760593">
        <w:rPr>
          <w:sz w:val="20"/>
          <w:szCs w:val="20"/>
          <w:vertAlign w:val="superscript"/>
        </w:rPr>
        <w:t>3</w:t>
      </w:r>
      <w:r w:rsidRPr="00760593">
        <w:rPr>
          <w:sz w:val="20"/>
          <w:szCs w:val="20"/>
        </w:rPr>
        <w:t>, and from 2.79 to 5.44 g/cm</w:t>
      </w:r>
      <w:r w:rsidRPr="00760593">
        <w:rPr>
          <w:sz w:val="20"/>
          <w:szCs w:val="20"/>
          <w:vertAlign w:val="superscript"/>
        </w:rPr>
        <w:t>3</w:t>
      </w:r>
      <w:r w:rsidRPr="00760593">
        <w:rPr>
          <w:sz w:val="20"/>
          <w:szCs w:val="20"/>
        </w:rPr>
        <w:t>, respectively. The rate of increase is 0.029 g/cm</w:t>
      </w:r>
      <w:r w:rsidRPr="00760593">
        <w:rPr>
          <w:sz w:val="20"/>
          <w:szCs w:val="20"/>
          <w:vertAlign w:val="superscript"/>
        </w:rPr>
        <w:t>3</w:t>
      </w:r>
      <w:r w:rsidRPr="00760593">
        <w:rPr>
          <w:sz w:val="20"/>
          <w:szCs w:val="20"/>
        </w:rPr>
        <w:t xml:space="preserve"> mol, for the experimental values and it is 0.116 g/cm</w:t>
      </w:r>
      <w:r w:rsidRPr="00760593">
        <w:rPr>
          <w:sz w:val="20"/>
          <w:szCs w:val="20"/>
          <w:vertAlign w:val="superscript"/>
        </w:rPr>
        <w:t xml:space="preserve">3 </w:t>
      </w:r>
      <w:r w:rsidRPr="00760593">
        <w:rPr>
          <w:sz w:val="20"/>
          <w:szCs w:val="20"/>
        </w:rPr>
        <w:t>mol, for the empirical ones. Such increase appeared to be logic, since the atomic weight of tungsten (183.84 g/mol) is much larger than that of phosphorus (30.97 g/mol).</w:t>
      </w:r>
    </w:p>
    <w:p w:rsidR="007F7F7A" w:rsidRPr="00760593" w:rsidRDefault="007426C3" w:rsidP="00760593">
      <w:pPr>
        <w:snapToGrid w:val="0"/>
        <w:ind w:firstLine="425"/>
        <w:jc w:val="both"/>
        <w:rPr>
          <w:sz w:val="20"/>
          <w:szCs w:val="20"/>
        </w:rPr>
      </w:pPr>
      <w:r w:rsidRPr="00760593">
        <w:rPr>
          <w:sz w:val="20"/>
          <w:szCs w:val="20"/>
        </w:rPr>
        <w:t>It is of interest to calculate the molar volume values, since it relates directly to the internal spatial structure of materials. However, both the experimental and the empirical molar volume values were calculated using equation (5 and 6) respectively,</w:t>
      </w:r>
    </w:p>
    <w:p w:rsidR="007426C3" w:rsidRPr="00760593" w:rsidRDefault="007426C3" w:rsidP="00760593">
      <w:pPr>
        <w:snapToGrid w:val="0"/>
        <w:ind w:firstLine="425"/>
        <w:jc w:val="both"/>
        <w:rPr>
          <w:sz w:val="20"/>
          <w:szCs w:val="20"/>
        </w:rPr>
      </w:pPr>
    </w:p>
    <w:p w:rsidR="007426C3" w:rsidRPr="00760593" w:rsidRDefault="00586B46" w:rsidP="00760593">
      <w:pPr>
        <w:snapToGrid w:val="0"/>
        <w:ind w:firstLine="425"/>
        <w:jc w:val="both"/>
        <w:rPr>
          <w:sz w:val="20"/>
          <w:szCs w:val="20"/>
        </w:rPr>
      </w:pPr>
      <w:r w:rsidRPr="00760593">
        <w:rPr>
          <w:i/>
          <w:iCs/>
          <w:sz w:val="20"/>
          <w:szCs w:val="20"/>
        </w:rPr>
        <w:lastRenderedPageBreak/>
        <w:t>(</w:t>
      </w:r>
      <w:proofErr w:type="spellStart"/>
      <w:r w:rsidRPr="00760593">
        <w:rPr>
          <w:i/>
          <w:iCs/>
          <w:sz w:val="20"/>
          <w:szCs w:val="20"/>
        </w:rPr>
        <w:t>V</w:t>
      </w:r>
      <w:r w:rsidRPr="00760593">
        <w:rPr>
          <w:i/>
          <w:iCs/>
          <w:sz w:val="20"/>
          <w:szCs w:val="20"/>
          <w:vertAlign w:val="subscript"/>
        </w:rPr>
        <w:t>m</w:t>
      </w:r>
      <w:proofErr w:type="spellEnd"/>
      <w:r w:rsidRPr="00760593">
        <w:rPr>
          <w:i/>
          <w:iCs/>
          <w:sz w:val="20"/>
          <w:szCs w:val="20"/>
        </w:rPr>
        <w:t>)</w:t>
      </w:r>
      <w:r w:rsidRPr="00760593">
        <w:rPr>
          <w:i/>
          <w:iCs/>
          <w:sz w:val="20"/>
          <w:szCs w:val="20"/>
          <w:vertAlign w:val="subscript"/>
        </w:rPr>
        <w:t>exp</w:t>
      </w:r>
      <w:r w:rsidRPr="00760593">
        <w:rPr>
          <w:i/>
          <w:iCs/>
          <w:sz w:val="20"/>
          <w:szCs w:val="20"/>
        </w:rPr>
        <w:t>=</w:t>
      </w:r>
      <w:r w:rsidR="0092468F">
        <w:rPr>
          <w:i/>
          <w:iCs/>
          <w:sz w:val="20"/>
          <w:szCs w:val="20"/>
        </w:rPr>
        <w:t xml:space="preserve"> </w:t>
      </w:r>
      <w:r w:rsidRPr="00760593">
        <w:rPr>
          <w:i/>
          <w:iCs/>
          <w:sz w:val="20"/>
          <w:szCs w:val="20"/>
        </w:rPr>
        <w:t></w:t>
      </w:r>
      <w:r w:rsidR="0092468F">
        <w:rPr>
          <w:i/>
          <w:iCs/>
          <w:sz w:val="20"/>
          <w:szCs w:val="20"/>
        </w:rPr>
        <w:t xml:space="preserve"> </w:t>
      </w:r>
      <w:r w:rsidRPr="00760593">
        <w:rPr>
          <w:i/>
          <w:iCs/>
          <w:sz w:val="20"/>
          <w:szCs w:val="20"/>
        </w:rPr>
        <w:t>(M</w:t>
      </w:r>
      <w:r w:rsidRPr="00760593">
        <w:rPr>
          <w:i/>
          <w:iCs/>
          <w:sz w:val="20"/>
          <w:szCs w:val="20"/>
          <w:vertAlign w:val="subscript"/>
        </w:rPr>
        <w:t>i</w:t>
      </w:r>
      <w:r w:rsidR="0092468F">
        <w:rPr>
          <w:i/>
          <w:iCs/>
          <w:sz w:val="20"/>
          <w:szCs w:val="20"/>
          <w:vertAlign w:val="subscript"/>
        </w:rPr>
        <w:t xml:space="preserve"> </w:t>
      </w:r>
      <w:r w:rsidRPr="00760593">
        <w:rPr>
          <w:i/>
          <w:iCs/>
          <w:sz w:val="20"/>
          <w:szCs w:val="20"/>
        </w:rPr>
        <w:t>/</w:t>
      </w:r>
      <w:r w:rsidR="0092468F">
        <w:rPr>
          <w:i/>
          <w:iCs/>
          <w:sz w:val="20"/>
          <w:szCs w:val="20"/>
        </w:rPr>
        <w:t xml:space="preserve"> </w:t>
      </w:r>
      <w:r w:rsidRPr="00760593">
        <w:rPr>
          <w:i/>
          <w:iCs/>
          <w:sz w:val="20"/>
          <w:szCs w:val="20"/>
        </w:rPr>
        <w:t></w:t>
      </w:r>
      <w:r w:rsidRPr="00760593">
        <w:rPr>
          <w:i/>
          <w:iCs/>
          <w:sz w:val="20"/>
          <w:szCs w:val="20"/>
          <w:vertAlign w:val="subscript"/>
        </w:rPr>
        <w:t>exp</w:t>
      </w:r>
      <w:r w:rsidR="0092468F">
        <w:rPr>
          <w:i/>
          <w:iCs/>
          <w:sz w:val="20"/>
          <w:szCs w:val="20"/>
          <w:vertAlign w:val="subscript"/>
        </w:rPr>
        <w:t xml:space="preserve"> </w:t>
      </w:r>
      <w:r w:rsidRPr="00760593">
        <w:rPr>
          <w:i/>
          <w:iCs/>
          <w:sz w:val="20"/>
          <w:szCs w:val="20"/>
        </w:rPr>
        <w:t>)</w:t>
      </w:r>
      <w:r w:rsidR="0092468F">
        <w:rPr>
          <w:sz w:val="20"/>
          <w:szCs w:val="20"/>
        </w:rPr>
        <w:t xml:space="preserve"> </w:t>
      </w:r>
      <w:r w:rsidR="0092468F">
        <w:rPr>
          <w:sz w:val="20"/>
          <w:szCs w:val="20"/>
        </w:rPr>
        <w:tab/>
      </w:r>
      <w:r w:rsidR="0092468F">
        <w:rPr>
          <w:rFonts w:hint="eastAsia"/>
          <w:sz w:val="20"/>
          <w:szCs w:val="20"/>
          <w:lang w:eastAsia="zh-CN"/>
        </w:rPr>
        <w:tab/>
      </w:r>
      <w:r w:rsidR="0092468F" w:rsidRPr="00760593">
        <w:rPr>
          <w:sz w:val="20"/>
          <w:szCs w:val="20"/>
        </w:rPr>
        <w:t>(</w:t>
      </w:r>
      <w:r w:rsidRPr="00760593">
        <w:rPr>
          <w:sz w:val="20"/>
          <w:szCs w:val="20"/>
        </w:rPr>
        <w:t>5)</w:t>
      </w:r>
    </w:p>
    <w:p w:rsidR="007F7F7A" w:rsidRPr="00760593" w:rsidRDefault="00586B46" w:rsidP="00760593">
      <w:pPr>
        <w:snapToGrid w:val="0"/>
        <w:ind w:firstLine="425"/>
        <w:jc w:val="both"/>
        <w:rPr>
          <w:sz w:val="20"/>
          <w:szCs w:val="20"/>
        </w:rPr>
      </w:pPr>
      <w:r w:rsidRPr="00760593">
        <w:rPr>
          <w:i/>
          <w:iCs/>
          <w:sz w:val="20"/>
          <w:szCs w:val="20"/>
        </w:rPr>
        <w:t>(</w:t>
      </w:r>
      <w:proofErr w:type="spellStart"/>
      <w:r w:rsidRPr="00760593">
        <w:rPr>
          <w:i/>
          <w:iCs/>
          <w:sz w:val="20"/>
          <w:szCs w:val="20"/>
        </w:rPr>
        <w:t>V</w:t>
      </w:r>
      <w:r w:rsidRPr="00760593">
        <w:rPr>
          <w:i/>
          <w:iCs/>
          <w:sz w:val="20"/>
          <w:szCs w:val="20"/>
          <w:vertAlign w:val="subscript"/>
        </w:rPr>
        <w:t>m</w:t>
      </w:r>
      <w:proofErr w:type="spellEnd"/>
      <w:r w:rsidRPr="00760593">
        <w:rPr>
          <w:i/>
          <w:iCs/>
          <w:sz w:val="20"/>
          <w:szCs w:val="20"/>
        </w:rPr>
        <w:t>)</w:t>
      </w:r>
      <w:proofErr w:type="spellStart"/>
      <w:r w:rsidRPr="00760593">
        <w:rPr>
          <w:i/>
          <w:iCs/>
          <w:sz w:val="20"/>
          <w:szCs w:val="20"/>
          <w:vertAlign w:val="subscript"/>
        </w:rPr>
        <w:t>emp</w:t>
      </w:r>
      <w:proofErr w:type="spellEnd"/>
      <w:r w:rsidRPr="00760593">
        <w:rPr>
          <w:i/>
          <w:iCs/>
          <w:sz w:val="20"/>
          <w:szCs w:val="20"/>
        </w:rPr>
        <w:t>=</w:t>
      </w:r>
      <w:r w:rsidR="0092468F">
        <w:rPr>
          <w:i/>
          <w:iCs/>
          <w:sz w:val="20"/>
          <w:szCs w:val="20"/>
        </w:rPr>
        <w:t xml:space="preserve"> </w:t>
      </w:r>
      <w:r w:rsidRPr="00760593">
        <w:rPr>
          <w:i/>
          <w:iCs/>
          <w:sz w:val="20"/>
          <w:szCs w:val="20"/>
        </w:rPr>
        <w:t></w:t>
      </w:r>
      <w:r w:rsidR="0092468F">
        <w:rPr>
          <w:i/>
          <w:iCs/>
          <w:sz w:val="20"/>
          <w:szCs w:val="20"/>
        </w:rPr>
        <w:t xml:space="preserve"> </w:t>
      </w:r>
      <w:r w:rsidRPr="00760593">
        <w:rPr>
          <w:i/>
          <w:iCs/>
          <w:sz w:val="20"/>
          <w:szCs w:val="20"/>
        </w:rPr>
        <w:t>(M</w:t>
      </w:r>
      <w:r w:rsidRPr="00760593">
        <w:rPr>
          <w:i/>
          <w:iCs/>
          <w:sz w:val="20"/>
          <w:szCs w:val="20"/>
          <w:vertAlign w:val="subscript"/>
        </w:rPr>
        <w:t>i</w:t>
      </w:r>
      <w:r w:rsidR="0092468F">
        <w:rPr>
          <w:i/>
          <w:iCs/>
          <w:sz w:val="20"/>
          <w:szCs w:val="20"/>
          <w:vertAlign w:val="subscript"/>
        </w:rPr>
        <w:t xml:space="preserve"> </w:t>
      </w:r>
      <w:r w:rsidRPr="00760593">
        <w:rPr>
          <w:i/>
          <w:iCs/>
          <w:sz w:val="20"/>
          <w:szCs w:val="20"/>
        </w:rPr>
        <w:t>/</w:t>
      </w:r>
      <w:r w:rsidR="0092468F">
        <w:rPr>
          <w:i/>
          <w:iCs/>
          <w:sz w:val="20"/>
          <w:szCs w:val="20"/>
        </w:rPr>
        <w:t xml:space="preserve"> </w:t>
      </w:r>
      <w:r w:rsidRPr="00760593">
        <w:rPr>
          <w:i/>
          <w:iCs/>
          <w:sz w:val="20"/>
          <w:szCs w:val="20"/>
        </w:rPr>
        <w:t></w:t>
      </w:r>
      <w:proofErr w:type="spellStart"/>
      <w:r w:rsidRPr="00760593">
        <w:rPr>
          <w:i/>
          <w:iCs/>
          <w:sz w:val="20"/>
          <w:szCs w:val="20"/>
          <w:vertAlign w:val="subscript"/>
        </w:rPr>
        <w:t>emp</w:t>
      </w:r>
      <w:proofErr w:type="spellEnd"/>
      <w:r w:rsidR="0092468F">
        <w:rPr>
          <w:i/>
          <w:iCs/>
          <w:sz w:val="20"/>
          <w:szCs w:val="20"/>
          <w:vertAlign w:val="subscript"/>
        </w:rPr>
        <w:t xml:space="preserve"> </w:t>
      </w:r>
      <w:r w:rsidRPr="00760593">
        <w:rPr>
          <w:i/>
          <w:iCs/>
          <w:sz w:val="20"/>
          <w:szCs w:val="20"/>
        </w:rPr>
        <w:t>)</w:t>
      </w:r>
      <w:r w:rsidR="0092468F">
        <w:rPr>
          <w:i/>
          <w:iCs/>
          <w:sz w:val="20"/>
          <w:szCs w:val="20"/>
        </w:rPr>
        <w:t xml:space="preserve"> </w:t>
      </w:r>
      <w:r w:rsidR="0092468F">
        <w:rPr>
          <w:sz w:val="20"/>
          <w:szCs w:val="20"/>
        </w:rPr>
        <w:tab/>
      </w:r>
      <w:r w:rsidR="0092468F">
        <w:rPr>
          <w:rFonts w:hint="eastAsia"/>
          <w:sz w:val="20"/>
          <w:szCs w:val="20"/>
          <w:lang w:eastAsia="zh-CN"/>
        </w:rPr>
        <w:tab/>
      </w:r>
      <w:r w:rsidR="0092468F" w:rsidRPr="00760593">
        <w:rPr>
          <w:sz w:val="20"/>
          <w:szCs w:val="20"/>
        </w:rPr>
        <w:t>(</w:t>
      </w:r>
      <w:r w:rsidRPr="00760593">
        <w:rPr>
          <w:sz w:val="20"/>
          <w:szCs w:val="20"/>
        </w:rPr>
        <w:t>6)</w:t>
      </w:r>
    </w:p>
    <w:p w:rsidR="00586B46" w:rsidRPr="00760593" w:rsidRDefault="00586B46" w:rsidP="00760593">
      <w:pPr>
        <w:snapToGrid w:val="0"/>
        <w:ind w:firstLine="425"/>
        <w:jc w:val="both"/>
        <w:rPr>
          <w:sz w:val="20"/>
          <w:szCs w:val="20"/>
        </w:rPr>
      </w:pPr>
    </w:p>
    <w:p w:rsidR="00586B46" w:rsidRPr="00760593" w:rsidRDefault="00586B46" w:rsidP="00760593">
      <w:pPr>
        <w:snapToGrid w:val="0"/>
        <w:ind w:firstLine="425"/>
        <w:jc w:val="both"/>
        <w:rPr>
          <w:sz w:val="20"/>
          <w:szCs w:val="20"/>
        </w:rPr>
      </w:pPr>
      <w:r w:rsidRPr="00760593">
        <w:rPr>
          <w:sz w:val="20"/>
          <w:szCs w:val="20"/>
        </w:rPr>
        <w:t>Fig. (4), represents the variation of both the experimental and the empirical molar volume values of the studied glasses as a function of WO</w:t>
      </w:r>
      <w:r w:rsidRPr="00760593">
        <w:rPr>
          <w:sz w:val="20"/>
          <w:szCs w:val="20"/>
          <w:vertAlign w:val="subscript"/>
        </w:rPr>
        <w:t>3</w:t>
      </w:r>
      <w:r w:rsidRPr="00760593">
        <w:rPr>
          <w:sz w:val="20"/>
          <w:szCs w:val="20"/>
        </w:rPr>
        <w:t xml:space="preserve"> content.</w:t>
      </w:r>
    </w:p>
    <w:p w:rsidR="00586B46" w:rsidRPr="00760593" w:rsidRDefault="007C74E7" w:rsidP="00760593">
      <w:pPr>
        <w:snapToGrid w:val="0"/>
        <w:jc w:val="center"/>
        <w:rPr>
          <w:sz w:val="20"/>
          <w:szCs w:val="20"/>
        </w:rPr>
      </w:pPr>
      <w:r w:rsidRPr="007C74E7">
        <w:rPr>
          <w:sz w:val="20"/>
        </w:rPr>
        <w:pict>
          <v:shape id="_x0000_i1036" type="#_x0000_t75" style="width:3in;height:180.3pt;visibility:visible">
            <v:imagedata r:id="rId29" o:title=""/>
          </v:shape>
        </w:pict>
      </w:r>
    </w:p>
    <w:p w:rsidR="00586B46" w:rsidRPr="00760593" w:rsidRDefault="00961965" w:rsidP="0092468F">
      <w:pPr>
        <w:snapToGrid w:val="0"/>
        <w:jc w:val="both"/>
        <w:rPr>
          <w:sz w:val="20"/>
          <w:szCs w:val="20"/>
        </w:rPr>
      </w:pPr>
      <w:r w:rsidRPr="00760593">
        <w:rPr>
          <w:sz w:val="20"/>
          <w:szCs w:val="20"/>
        </w:rPr>
        <w:t>Figure 4. The change of the experimental and empirical molar volume versus WO</w:t>
      </w:r>
      <w:r w:rsidRPr="00760593">
        <w:rPr>
          <w:sz w:val="20"/>
          <w:szCs w:val="20"/>
          <w:vertAlign w:val="subscript"/>
        </w:rPr>
        <w:t xml:space="preserve">3 </w:t>
      </w:r>
      <w:r w:rsidRPr="00760593">
        <w:rPr>
          <w:sz w:val="20"/>
          <w:szCs w:val="20"/>
        </w:rPr>
        <w:t>content</w:t>
      </w:r>
    </w:p>
    <w:p w:rsidR="00586B46" w:rsidRPr="00760593" w:rsidRDefault="00586B46" w:rsidP="00760593">
      <w:pPr>
        <w:snapToGrid w:val="0"/>
        <w:ind w:firstLine="425"/>
        <w:jc w:val="both"/>
        <w:rPr>
          <w:sz w:val="20"/>
          <w:szCs w:val="20"/>
        </w:rPr>
      </w:pPr>
    </w:p>
    <w:p w:rsidR="00A82A6E" w:rsidRPr="00760593" w:rsidRDefault="00A82A6E" w:rsidP="00760593">
      <w:pPr>
        <w:snapToGrid w:val="0"/>
        <w:ind w:firstLine="425"/>
        <w:jc w:val="both"/>
        <w:rPr>
          <w:sz w:val="20"/>
          <w:szCs w:val="20"/>
        </w:rPr>
      </w:pPr>
      <w:r w:rsidRPr="00760593">
        <w:rPr>
          <w:sz w:val="20"/>
          <w:szCs w:val="20"/>
        </w:rPr>
        <w:t>It can be seen that both the experimental and the empirical molar volume values decreased gradually from 47.39 to 44.37 cm</w:t>
      </w:r>
      <w:r w:rsidRPr="00760593">
        <w:rPr>
          <w:sz w:val="20"/>
          <w:szCs w:val="20"/>
          <w:vertAlign w:val="superscript"/>
        </w:rPr>
        <w:t>3</w:t>
      </w:r>
      <w:r w:rsidRPr="00760593">
        <w:rPr>
          <w:sz w:val="20"/>
          <w:szCs w:val="20"/>
        </w:rPr>
        <w:t>/mol and from 42.17 to 24.99 cm</w:t>
      </w:r>
      <w:r w:rsidRPr="00760593">
        <w:rPr>
          <w:sz w:val="20"/>
          <w:szCs w:val="20"/>
          <w:vertAlign w:val="superscript"/>
        </w:rPr>
        <w:t>3</w:t>
      </w:r>
      <w:r w:rsidRPr="00760593">
        <w:rPr>
          <w:sz w:val="20"/>
          <w:szCs w:val="20"/>
        </w:rPr>
        <w:t>/mol respectively, with the gradual replacement of P</w:t>
      </w:r>
      <w:r w:rsidRPr="00760593">
        <w:rPr>
          <w:sz w:val="20"/>
          <w:szCs w:val="20"/>
          <w:vertAlign w:val="subscript"/>
        </w:rPr>
        <w:t>2</w:t>
      </w:r>
      <w:r w:rsidRPr="00760593">
        <w:rPr>
          <w:sz w:val="20"/>
          <w:szCs w:val="20"/>
        </w:rPr>
        <w:t>O</w:t>
      </w:r>
      <w:r w:rsidRPr="00760593">
        <w:rPr>
          <w:sz w:val="20"/>
          <w:szCs w:val="20"/>
          <w:vertAlign w:val="subscript"/>
        </w:rPr>
        <w:t>5</w:t>
      </w:r>
      <w:r w:rsidRPr="00760593">
        <w:rPr>
          <w:sz w:val="20"/>
          <w:szCs w:val="20"/>
        </w:rPr>
        <w:t xml:space="preserve"> by WO</w:t>
      </w:r>
      <w:r w:rsidRPr="00760593">
        <w:rPr>
          <w:sz w:val="20"/>
          <w:szCs w:val="20"/>
          <w:vertAlign w:val="subscript"/>
        </w:rPr>
        <w:t>3</w:t>
      </w:r>
      <w:r w:rsidRPr="00760593">
        <w:rPr>
          <w:sz w:val="20"/>
          <w:szCs w:val="20"/>
        </w:rPr>
        <w:t>. The rate of such decrease is 0.155 and 0.604 cm</w:t>
      </w:r>
      <w:r w:rsidRPr="00760593">
        <w:rPr>
          <w:sz w:val="20"/>
          <w:szCs w:val="20"/>
          <w:vertAlign w:val="superscript"/>
        </w:rPr>
        <w:t>3</w:t>
      </w:r>
      <w:r w:rsidRPr="00760593">
        <w:rPr>
          <w:sz w:val="20"/>
          <w:szCs w:val="20"/>
        </w:rPr>
        <w:t>/mol respectively.  Such decrease may be due to the following reasons:</w:t>
      </w:r>
    </w:p>
    <w:p w:rsidR="00A82A6E" w:rsidRPr="00760593" w:rsidRDefault="00A82A6E" w:rsidP="00760593">
      <w:pPr>
        <w:numPr>
          <w:ilvl w:val="0"/>
          <w:numId w:val="6"/>
        </w:numPr>
        <w:snapToGrid w:val="0"/>
        <w:ind w:left="0" w:firstLine="425"/>
        <w:jc w:val="both"/>
        <w:rPr>
          <w:sz w:val="20"/>
          <w:szCs w:val="20"/>
        </w:rPr>
      </w:pPr>
      <w:r w:rsidRPr="00760593">
        <w:rPr>
          <w:sz w:val="20"/>
          <w:szCs w:val="20"/>
        </w:rPr>
        <w:t>The gradual decrease in the number of oxygen anions in the glass network, since five oxygen anions are replaced only by threes.</w:t>
      </w:r>
    </w:p>
    <w:p w:rsidR="00A82A6E" w:rsidRPr="00760593" w:rsidRDefault="00A82A6E" w:rsidP="00760593">
      <w:pPr>
        <w:numPr>
          <w:ilvl w:val="0"/>
          <w:numId w:val="6"/>
        </w:numPr>
        <w:snapToGrid w:val="0"/>
        <w:ind w:left="0" w:firstLine="425"/>
        <w:jc w:val="both"/>
        <w:rPr>
          <w:sz w:val="20"/>
          <w:szCs w:val="20"/>
        </w:rPr>
      </w:pPr>
      <w:r w:rsidRPr="00760593">
        <w:rPr>
          <w:sz w:val="20"/>
          <w:szCs w:val="20"/>
        </w:rPr>
        <w:t xml:space="preserve">The gradual decrease of the positive </w:t>
      </w:r>
      <w:proofErr w:type="spellStart"/>
      <w:r w:rsidRPr="00760593">
        <w:rPr>
          <w:sz w:val="20"/>
          <w:szCs w:val="20"/>
        </w:rPr>
        <w:t>cations</w:t>
      </w:r>
      <w:proofErr w:type="spellEnd"/>
      <w:r w:rsidRPr="00760593">
        <w:rPr>
          <w:sz w:val="20"/>
          <w:szCs w:val="20"/>
        </w:rPr>
        <w:t xml:space="preserve"> also, since two phosphorous </w:t>
      </w:r>
      <w:proofErr w:type="spellStart"/>
      <w:r w:rsidRPr="00760593">
        <w:rPr>
          <w:sz w:val="20"/>
          <w:szCs w:val="20"/>
        </w:rPr>
        <w:t>cations</w:t>
      </w:r>
      <w:proofErr w:type="spellEnd"/>
      <w:r w:rsidRPr="00760593">
        <w:rPr>
          <w:sz w:val="20"/>
          <w:szCs w:val="20"/>
        </w:rPr>
        <w:t xml:space="preserve"> are replaced by only a single tungsten </w:t>
      </w:r>
      <w:proofErr w:type="spellStart"/>
      <w:r w:rsidRPr="00760593">
        <w:rPr>
          <w:sz w:val="20"/>
          <w:szCs w:val="20"/>
        </w:rPr>
        <w:t>cation</w:t>
      </w:r>
      <w:proofErr w:type="spellEnd"/>
      <w:r w:rsidRPr="00760593">
        <w:rPr>
          <w:sz w:val="20"/>
          <w:szCs w:val="20"/>
        </w:rPr>
        <w:t>.</w:t>
      </w:r>
    </w:p>
    <w:p w:rsidR="00A82A6E" w:rsidRPr="00760593" w:rsidRDefault="00A82A6E" w:rsidP="00760593">
      <w:pPr>
        <w:numPr>
          <w:ilvl w:val="0"/>
          <w:numId w:val="6"/>
        </w:numPr>
        <w:snapToGrid w:val="0"/>
        <w:ind w:left="0" w:firstLine="425"/>
        <w:jc w:val="both"/>
        <w:rPr>
          <w:sz w:val="20"/>
          <w:szCs w:val="20"/>
        </w:rPr>
      </w:pPr>
      <w:r w:rsidRPr="00760593">
        <w:rPr>
          <w:sz w:val="20"/>
          <w:szCs w:val="20"/>
        </w:rPr>
        <w:t xml:space="preserve">The differences between the covalent radii of both phosphorus </w:t>
      </w:r>
      <w:r w:rsidR="00635D3C" w:rsidRPr="00760593">
        <w:rPr>
          <w:sz w:val="20"/>
          <w:szCs w:val="20"/>
        </w:rPr>
        <w:t>(1.06A</w:t>
      </w:r>
      <w:r w:rsidR="00635D3C" w:rsidRPr="00760593">
        <w:rPr>
          <w:sz w:val="20"/>
          <w:szCs w:val="20"/>
          <w:vertAlign w:val="superscript"/>
        </w:rPr>
        <w:t>o</w:t>
      </w:r>
      <w:r w:rsidR="00635D3C" w:rsidRPr="00760593">
        <w:rPr>
          <w:sz w:val="20"/>
          <w:szCs w:val="20"/>
        </w:rPr>
        <w:t xml:space="preserve">) </w:t>
      </w:r>
      <w:r w:rsidRPr="00760593">
        <w:rPr>
          <w:sz w:val="20"/>
          <w:szCs w:val="20"/>
        </w:rPr>
        <w:t xml:space="preserve">and tungsten </w:t>
      </w:r>
      <w:r w:rsidR="00635D3C" w:rsidRPr="00760593">
        <w:rPr>
          <w:sz w:val="20"/>
          <w:szCs w:val="20"/>
        </w:rPr>
        <w:t>(1.3A</w:t>
      </w:r>
      <w:r w:rsidR="00635D3C" w:rsidRPr="00760593">
        <w:rPr>
          <w:sz w:val="20"/>
          <w:szCs w:val="20"/>
          <w:vertAlign w:val="superscript"/>
        </w:rPr>
        <w:t>o</w:t>
      </w:r>
      <w:r w:rsidR="00635D3C" w:rsidRPr="00760593">
        <w:rPr>
          <w:sz w:val="20"/>
          <w:szCs w:val="20"/>
        </w:rPr>
        <w:t>) (where two phosphorus is approximately of (</w:t>
      </w:r>
      <w:r w:rsidRPr="00760593">
        <w:rPr>
          <w:sz w:val="20"/>
          <w:szCs w:val="20"/>
        </w:rPr>
        <w:t xml:space="preserve"> </w:t>
      </w:r>
      <w:r w:rsidR="00862230" w:rsidRPr="00760593">
        <w:rPr>
          <w:sz w:val="20"/>
          <w:szCs w:val="20"/>
        </w:rPr>
        <w:t>2.12</w:t>
      </w:r>
      <w:r w:rsidR="00635D3C" w:rsidRPr="00760593">
        <w:rPr>
          <w:sz w:val="20"/>
          <w:szCs w:val="20"/>
        </w:rPr>
        <w:t>A</w:t>
      </w:r>
      <w:r w:rsidR="00635D3C" w:rsidRPr="00760593">
        <w:rPr>
          <w:sz w:val="20"/>
          <w:szCs w:val="20"/>
          <w:vertAlign w:val="superscript"/>
        </w:rPr>
        <w:t>o</w:t>
      </w:r>
      <w:r w:rsidR="00635D3C" w:rsidRPr="00760593">
        <w:rPr>
          <w:sz w:val="20"/>
          <w:szCs w:val="20"/>
        </w:rPr>
        <w:t>)).</w:t>
      </w:r>
    </w:p>
    <w:p w:rsidR="00A82A6E" w:rsidRPr="00760593" w:rsidRDefault="00A82A6E" w:rsidP="00760593">
      <w:pPr>
        <w:snapToGrid w:val="0"/>
        <w:ind w:firstLine="425"/>
        <w:jc w:val="both"/>
        <w:rPr>
          <w:sz w:val="20"/>
          <w:szCs w:val="20"/>
        </w:rPr>
      </w:pPr>
      <w:r w:rsidRPr="00760593">
        <w:rPr>
          <w:sz w:val="20"/>
          <w:szCs w:val="20"/>
        </w:rPr>
        <w:t>All these factors act to reduce the volume occupied by one mole of these glasses as WO</w:t>
      </w:r>
      <w:r w:rsidRPr="00760593">
        <w:rPr>
          <w:sz w:val="20"/>
          <w:szCs w:val="20"/>
          <w:vertAlign w:val="subscript"/>
        </w:rPr>
        <w:t>3</w:t>
      </w:r>
      <w:r w:rsidRPr="00760593">
        <w:rPr>
          <w:sz w:val="20"/>
          <w:szCs w:val="20"/>
        </w:rPr>
        <w:t xml:space="preserve"> was gradually increased.</w:t>
      </w:r>
    </w:p>
    <w:p w:rsidR="00A82A6E" w:rsidRPr="00760593" w:rsidRDefault="00A82A6E" w:rsidP="00760593">
      <w:pPr>
        <w:snapToGrid w:val="0"/>
        <w:ind w:firstLine="425"/>
        <w:jc w:val="both"/>
        <w:rPr>
          <w:sz w:val="20"/>
          <w:szCs w:val="20"/>
        </w:rPr>
      </w:pPr>
      <w:r w:rsidRPr="00760593">
        <w:rPr>
          <w:sz w:val="20"/>
          <w:szCs w:val="20"/>
        </w:rPr>
        <w:t>It was stated previously, in the experimental section, that the visual examination of the prepared samples indicated that all samples exhibit an amorphous nature and they appeared also transparent. These observations, are now confirmed when expecting the observed large difference between both the experimental and the empirical density and molar volume values – specially – at high tungsten oxide content.</w:t>
      </w:r>
    </w:p>
    <w:p w:rsidR="00A82A6E" w:rsidRPr="00760593" w:rsidRDefault="00A82A6E" w:rsidP="00760593">
      <w:pPr>
        <w:snapToGrid w:val="0"/>
        <w:ind w:firstLine="425"/>
        <w:jc w:val="both"/>
        <w:rPr>
          <w:sz w:val="20"/>
          <w:szCs w:val="20"/>
        </w:rPr>
      </w:pPr>
      <w:r w:rsidRPr="00760593">
        <w:rPr>
          <w:sz w:val="20"/>
          <w:szCs w:val="20"/>
        </w:rPr>
        <w:t xml:space="preserve">From another point of view, the universal uses of many types of radio-active sources are of </w:t>
      </w:r>
      <w:r w:rsidRPr="00760593">
        <w:rPr>
          <w:sz w:val="20"/>
          <w:szCs w:val="20"/>
        </w:rPr>
        <w:lastRenderedPageBreak/>
        <w:t>dangerous effect, especially for users, since they have to be approximately in continuous contact to different harmful rays. Accordingly, it is possible to check the shielding properties of the prepared glass samples for low and high γ-ray energies, and to calculate their gamma ray mass attenuation coefficient as well as the corresponding half value layers (HVL). That is these glasses were checked to conclude whether they can be used as transparent shield for gamma-ray or not?</w:t>
      </w:r>
    </w:p>
    <w:p w:rsidR="00A82A6E" w:rsidRPr="00760593" w:rsidRDefault="00A82A6E" w:rsidP="00760593">
      <w:pPr>
        <w:snapToGrid w:val="0"/>
        <w:ind w:firstLine="425"/>
        <w:jc w:val="both"/>
        <w:rPr>
          <w:sz w:val="20"/>
          <w:szCs w:val="20"/>
        </w:rPr>
      </w:pPr>
      <w:r w:rsidRPr="00760593">
        <w:rPr>
          <w:sz w:val="20"/>
          <w:szCs w:val="20"/>
        </w:rPr>
        <w:t>The γ-ray total mass attenuation coefficients [(µ/ρ)</w:t>
      </w:r>
      <w:r w:rsidRPr="00760593">
        <w:rPr>
          <w:sz w:val="20"/>
          <w:szCs w:val="20"/>
          <w:vertAlign w:val="subscript"/>
        </w:rPr>
        <w:t xml:space="preserve"> m(total)</w:t>
      </w:r>
      <w:r w:rsidRPr="00760593">
        <w:rPr>
          <w:sz w:val="20"/>
          <w:szCs w:val="20"/>
        </w:rPr>
        <w:t>] have been calculated using Win X-COM program,</w:t>
      </w:r>
    </w:p>
    <w:p w:rsidR="00586B46" w:rsidRPr="00760593" w:rsidRDefault="00A82A6E" w:rsidP="00760593">
      <w:pPr>
        <w:numPr>
          <w:ilvl w:val="0"/>
          <w:numId w:val="7"/>
        </w:numPr>
        <w:snapToGrid w:val="0"/>
        <w:ind w:left="0" w:firstLine="425"/>
        <w:jc w:val="both"/>
        <w:rPr>
          <w:sz w:val="20"/>
          <w:szCs w:val="20"/>
        </w:rPr>
      </w:pPr>
      <w:r w:rsidRPr="00760593">
        <w:rPr>
          <w:sz w:val="20"/>
          <w:szCs w:val="20"/>
        </w:rPr>
        <w:t xml:space="preserve">Firstly at different low </w:t>
      </w:r>
      <w:r w:rsidR="00A75461" w:rsidRPr="00760593">
        <w:rPr>
          <w:sz w:val="20"/>
          <w:szCs w:val="20"/>
        </w:rPr>
        <w:t>γ</w:t>
      </w:r>
      <w:r w:rsidRPr="00760593">
        <w:rPr>
          <w:sz w:val="20"/>
          <w:szCs w:val="20"/>
        </w:rPr>
        <w:t xml:space="preserve">-ray energies (332, 663, 1173 and 1332 </w:t>
      </w:r>
      <w:proofErr w:type="spellStart"/>
      <w:r w:rsidRPr="00760593">
        <w:rPr>
          <w:sz w:val="20"/>
          <w:szCs w:val="20"/>
        </w:rPr>
        <w:t>KeV</w:t>
      </w:r>
      <w:proofErr w:type="spellEnd"/>
      <w:r w:rsidRPr="00760593">
        <w:rPr>
          <w:sz w:val="20"/>
          <w:szCs w:val="20"/>
        </w:rPr>
        <w:t xml:space="preserve">), emitted from </w:t>
      </w:r>
      <w:r w:rsidRPr="00760593">
        <w:rPr>
          <w:sz w:val="20"/>
          <w:szCs w:val="20"/>
          <w:vertAlign w:val="superscript"/>
        </w:rPr>
        <w:t>180</w:t>
      </w:r>
      <w:r w:rsidRPr="00760593">
        <w:rPr>
          <w:sz w:val="20"/>
          <w:szCs w:val="20"/>
        </w:rPr>
        <w:t xml:space="preserve">Hf, </w:t>
      </w:r>
      <w:r w:rsidRPr="00760593">
        <w:rPr>
          <w:sz w:val="20"/>
          <w:szCs w:val="20"/>
          <w:vertAlign w:val="superscript"/>
        </w:rPr>
        <w:t>137</w:t>
      </w:r>
      <w:r w:rsidRPr="00760593">
        <w:rPr>
          <w:sz w:val="20"/>
          <w:szCs w:val="20"/>
        </w:rPr>
        <w:t xml:space="preserve">Cs and </w:t>
      </w:r>
      <w:r w:rsidRPr="00760593">
        <w:rPr>
          <w:sz w:val="20"/>
          <w:szCs w:val="20"/>
          <w:vertAlign w:val="superscript"/>
        </w:rPr>
        <w:t>60</w:t>
      </w:r>
      <w:r w:rsidRPr="00760593">
        <w:rPr>
          <w:sz w:val="20"/>
          <w:szCs w:val="20"/>
        </w:rPr>
        <w:t>Co (for both 1173 and 1332) respectively [12]. Fig. (5) shows the change in the total γ-ray mass attenuation coefficient with the gradual increase of tungsten oxide where a gradual increase of  (µ/ρ)</w:t>
      </w:r>
      <w:r w:rsidRPr="00760593">
        <w:rPr>
          <w:sz w:val="20"/>
          <w:szCs w:val="20"/>
          <w:vertAlign w:val="subscript"/>
        </w:rPr>
        <w:t xml:space="preserve"> m(total)</w:t>
      </w:r>
      <w:r w:rsidR="00A75461" w:rsidRPr="00760593">
        <w:rPr>
          <w:sz w:val="20"/>
          <w:szCs w:val="20"/>
        </w:rPr>
        <w:t>,</w:t>
      </w:r>
      <w:r w:rsidRPr="00760593">
        <w:rPr>
          <w:sz w:val="20"/>
          <w:szCs w:val="20"/>
        </w:rPr>
        <w:t xml:space="preserve"> can be easily observed.</w:t>
      </w:r>
    </w:p>
    <w:p w:rsidR="00586B46" w:rsidRPr="00760593" w:rsidRDefault="00586B46" w:rsidP="00760593">
      <w:pPr>
        <w:snapToGrid w:val="0"/>
        <w:ind w:firstLine="425"/>
        <w:jc w:val="both"/>
        <w:rPr>
          <w:sz w:val="20"/>
          <w:szCs w:val="20"/>
        </w:rPr>
      </w:pPr>
    </w:p>
    <w:p w:rsidR="00586B46" w:rsidRPr="00760593" w:rsidRDefault="007C74E7" w:rsidP="00760593">
      <w:pPr>
        <w:snapToGrid w:val="0"/>
        <w:jc w:val="center"/>
        <w:rPr>
          <w:sz w:val="20"/>
          <w:szCs w:val="20"/>
        </w:rPr>
      </w:pPr>
      <w:r w:rsidRPr="007C74E7">
        <w:rPr>
          <w:sz w:val="20"/>
        </w:rPr>
        <w:pict>
          <v:shape id="_x0000_i1037" type="#_x0000_t75" style="width:215.35pt;height:177.2pt;visibility:visible;mso-position-horizontal:center">
            <v:imagedata r:id="rId30" o:title=""/>
          </v:shape>
        </w:pict>
      </w:r>
    </w:p>
    <w:p w:rsidR="00A75461" w:rsidRPr="00760593" w:rsidRDefault="00A75461" w:rsidP="0092468F">
      <w:pPr>
        <w:snapToGrid w:val="0"/>
        <w:jc w:val="both"/>
        <w:rPr>
          <w:sz w:val="20"/>
          <w:szCs w:val="20"/>
        </w:rPr>
      </w:pPr>
      <w:r w:rsidRPr="00760593">
        <w:rPr>
          <w:sz w:val="20"/>
          <w:szCs w:val="20"/>
        </w:rPr>
        <w:t>Figure 5. The mass attenuation coefficient versus WO</w:t>
      </w:r>
      <w:r w:rsidRPr="00760593">
        <w:rPr>
          <w:sz w:val="20"/>
          <w:szCs w:val="20"/>
          <w:vertAlign w:val="subscript"/>
        </w:rPr>
        <w:t>3</w:t>
      </w:r>
      <w:r w:rsidRPr="00760593">
        <w:rPr>
          <w:sz w:val="20"/>
          <w:szCs w:val="20"/>
        </w:rPr>
        <w:t xml:space="preserve"> content for different low γ-ray energies</w:t>
      </w:r>
    </w:p>
    <w:p w:rsidR="00A75461" w:rsidRPr="00760593" w:rsidRDefault="00A75461" w:rsidP="00760593">
      <w:pPr>
        <w:snapToGrid w:val="0"/>
        <w:ind w:firstLine="425"/>
        <w:jc w:val="both"/>
        <w:rPr>
          <w:sz w:val="20"/>
          <w:szCs w:val="20"/>
        </w:rPr>
      </w:pPr>
    </w:p>
    <w:p w:rsidR="00A75461" w:rsidRPr="00760593" w:rsidRDefault="00A75461" w:rsidP="00760593">
      <w:pPr>
        <w:numPr>
          <w:ilvl w:val="0"/>
          <w:numId w:val="7"/>
        </w:numPr>
        <w:snapToGrid w:val="0"/>
        <w:ind w:left="0" w:firstLine="425"/>
        <w:jc w:val="both"/>
        <w:rPr>
          <w:sz w:val="20"/>
          <w:szCs w:val="20"/>
        </w:rPr>
      </w:pPr>
      <w:r w:rsidRPr="00760593">
        <w:rPr>
          <w:sz w:val="20"/>
          <w:szCs w:val="20"/>
        </w:rPr>
        <w:t xml:space="preserve">Secondly, Fig. (6) shows the change in the mass attenuation coefficient of the studied glasses at high γ-ray energies (10, 20, 30, 70 and 100 </w:t>
      </w:r>
      <w:proofErr w:type="spellStart"/>
      <w:r w:rsidRPr="00760593">
        <w:rPr>
          <w:sz w:val="20"/>
          <w:szCs w:val="20"/>
        </w:rPr>
        <w:t>MeV</w:t>
      </w:r>
      <w:proofErr w:type="spellEnd"/>
      <w:r w:rsidRPr="00760593">
        <w:rPr>
          <w:sz w:val="20"/>
          <w:szCs w:val="20"/>
        </w:rPr>
        <w:t>). It appeared that as tungsten oxide was gradually increased, the mass attenuation coefficient increased.</w:t>
      </w:r>
    </w:p>
    <w:p w:rsidR="00A75461" w:rsidRPr="00760593" w:rsidRDefault="00A75461" w:rsidP="00760593">
      <w:pPr>
        <w:snapToGrid w:val="0"/>
        <w:ind w:firstLine="425"/>
        <w:jc w:val="both"/>
        <w:rPr>
          <w:sz w:val="20"/>
          <w:szCs w:val="20"/>
        </w:rPr>
      </w:pPr>
      <w:r w:rsidRPr="00760593">
        <w:rPr>
          <w:sz w:val="20"/>
          <w:szCs w:val="20"/>
        </w:rPr>
        <w:t>The HVL of the studied glasses was also calculated for the same γ-ray energies considered above. The obtained values as a function of tungsten oxide are represented in Figs (7 &amp; 8) for the low and high energy γ-rays respectively. It can be seen obviously that the HVL decreased gradually with the gradual increase of tungsten oxide content.</w:t>
      </w:r>
    </w:p>
    <w:p w:rsidR="0092468F" w:rsidRDefault="007C74E7" w:rsidP="0092468F">
      <w:pPr>
        <w:snapToGrid w:val="0"/>
        <w:jc w:val="center"/>
        <w:rPr>
          <w:sz w:val="20"/>
          <w:lang w:eastAsia="zh-CN"/>
        </w:rPr>
      </w:pPr>
      <w:r w:rsidRPr="007C74E7">
        <w:rPr>
          <w:sz w:val="20"/>
        </w:rPr>
        <w:lastRenderedPageBreak/>
        <w:pict>
          <v:shape id="_x0000_i1038" type="#_x0000_t75" style="width:207.25pt;height:164.65pt;visibility:visible;mso-position-horizontal:center">
            <v:imagedata r:id="rId31" o:title=""/>
          </v:shape>
        </w:pict>
      </w:r>
    </w:p>
    <w:p w:rsidR="00AA1FF1" w:rsidRPr="00760593" w:rsidRDefault="00AA1FF1" w:rsidP="0092468F">
      <w:pPr>
        <w:snapToGrid w:val="0"/>
        <w:jc w:val="both"/>
        <w:rPr>
          <w:sz w:val="20"/>
          <w:szCs w:val="20"/>
          <w:lang w:eastAsia="zh-CN"/>
        </w:rPr>
      </w:pPr>
      <w:r w:rsidRPr="00760593">
        <w:rPr>
          <w:sz w:val="20"/>
          <w:szCs w:val="20"/>
        </w:rPr>
        <w:t>Figure 6. The mass attenuation coefficient as function of WO</w:t>
      </w:r>
      <w:r w:rsidRPr="00760593">
        <w:rPr>
          <w:sz w:val="20"/>
          <w:szCs w:val="20"/>
          <w:vertAlign w:val="subscript"/>
        </w:rPr>
        <w:t>3</w:t>
      </w:r>
      <w:r w:rsidRPr="00760593">
        <w:rPr>
          <w:sz w:val="20"/>
          <w:szCs w:val="20"/>
        </w:rPr>
        <w:t xml:space="preserve"> content for different high γ-ray energies</w:t>
      </w:r>
    </w:p>
    <w:p w:rsidR="00760593" w:rsidRPr="00760593" w:rsidRDefault="00760593" w:rsidP="00760593">
      <w:pPr>
        <w:snapToGrid w:val="0"/>
        <w:ind w:firstLine="425"/>
        <w:jc w:val="both"/>
        <w:rPr>
          <w:sz w:val="20"/>
          <w:szCs w:val="20"/>
          <w:lang w:eastAsia="zh-CN"/>
        </w:rPr>
      </w:pPr>
    </w:p>
    <w:p w:rsidR="00AA1FF1" w:rsidRPr="00760593" w:rsidRDefault="007C74E7" w:rsidP="0092468F">
      <w:pPr>
        <w:snapToGrid w:val="0"/>
        <w:jc w:val="center"/>
        <w:rPr>
          <w:sz w:val="20"/>
          <w:szCs w:val="20"/>
        </w:rPr>
      </w:pPr>
      <w:r w:rsidRPr="007C74E7">
        <w:rPr>
          <w:sz w:val="20"/>
        </w:rPr>
        <w:pict>
          <v:shape id="_x0000_i1039" type="#_x0000_t75" style="width:192.2pt;height:185.3pt;visibility:visible">
            <v:imagedata r:id="rId32" o:title=""/>
          </v:shape>
        </w:pict>
      </w:r>
    </w:p>
    <w:p w:rsidR="00FF229B" w:rsidRPr="00760593" w:rsidRDefault="00FF229B" w:rsidP="0092468F">
      <w:pPr>
        <w:snapToGrid w:val="0"/>
        <w:jc w:val="both"/>
        <w:rPr>
          <w:sz w:val="20"/>
          <w:szCs w:val="20"/>
        </w:rPr>
      </w:pPr>
      <w:r w:rsidRPr="00760593">
        <w:rPr>
          <w:sz w:val="20"/>
          <w:szCs w:val="20"/>
        </w:rPr>
        <w:t>Figure 7. The HVL of the investigated glasses versus WO</w:t>
      </w:r>
      <w:r w:rsidRPr="00760593">
        <w:rPr>
          <w:sz w:val="20"/>
          <w:szCs w:val="20"/>
          <w:vertAlign w:val="subscript"/>
        </w:rPr>
        <w:t>3</w:t>
      </w:r>
      <w:r w:rsidRPr="00760593">
        <w:rPr>
          <w:sz w:val="20"/>
          <w:szCs w:val="20"/>
        </w:rPr>
        <w:t xml:space="preserve"> content for different low γ-ray energies</w:t>
      </w:r>
    </w:p>
    <w:p w:rsidR="00FF229B" w:rsidRPr="00760593" w:rsidRDefault="00FF229B" w:rsidP="00760593">
      <w:pPr>
        <w:snapToGrid w:val="0"/>
        <w:ind w:firstLine="425"/>
        <w:jc w:val="both"/>
        <w:rPr>
          <w:sz w:val="20"/>
          <w:szCs w:val="20"/>
        </w:rPr>
      </w:pPr>
    </w:p>
    <w:p w:rsidR="00FF229B" w:rsidRPr="00760593" w:rsidRDefault="007C74E7" w:rsidP="0092468F">
      <w:pPr>
        <w:snapToGrid w:val="0"/>
        <w:jc w:val="center"/>
        <w:rPr>
          <w:sz w:val="20"/>
          <w:szCs w:val="20"/>
        </w:rPr>
      </w:pPr>
      <w:r>
        <w:pict>
          <v:shape id="_x0000_i1040" type="#_x0000_t75" style="width:190.35pt;height:160.9pt;visibility:visible">
            <v:imagedata r:id="rId33" o:title=""/>
          </v:shape>
        </w:pict>
      </w:r>
    </w:p>
    <w:p w:rsidR="00F86B4E" w:rsidRPr="00760593" w:rsidRDefault="00F86B4E" w:rsidP="0092468F">
      <w:pPr>
        <w:snapToGrid w:val="0"/>
        <w:jc w:val="both"/>
        <w:rPr>
          <w:sz w:val="20"/>
          <w:szCs w:val="20"/>
          <w:lang w:eastAsia="zh-CN"/>
        </w:rPr>
      </w:pPr>
      <w:r w:rsidRPr="00760593">
        <w:rPr>
          <w:sz w:val="20"/>
          <w:szCs w:val="20"/>
        </w:rPr>
        <w:t>Figure 8.  The HVL of the investigated glasses versus WO</w:t>
      </w:r>
      <w:r w:rsidRPr="00760593">
        <w:rPr>
          <w:sz w:val="20"/>
          <w:szCs w:val="20"/>
          <w:vertAlign w:val="subscript"/>
        </w:rPr>
        <w:t>3</w:t>
      </w:r>
      <w:r w:rsidRPr="00760593">
        <w:rPr>
          <w:sz w:val="20"/>
          <w:szCs w:val="20"/>
        </w:rPr>
        <w:t xml:space="preserve"> content for different high γ-ray energies</w:t>
      </w:r>
    </w:p>
    <w:p w:rsidR="00760593" w:rsidRPr="00760593" w:rsidRDefault="00760593" w:rsidP="00760593">
      <w:pPr>
        <w:snapToGrid w:val="0"/>
        <w:ind w:firstLine="425"/>
        <w:jc w:val="both"/>
        <w:rPr>
          <w:sz w:val="20"/>
          <w:szCs w:val="20"/>
          <w:lang w:eastAsia="zh-CN"/>
        </w:rPr>
      </w:pPr>
    </w:p>
    <w:p w:rsidR="00602AF5" w:rsidRPr="00760593" w:rsidRDefault="005B7D27" w:rsidP="00760593">
      <w:pPr>
        <w:snapToGrid w:val="0"/>
        <w:ind w:firstLine="425"/>
        <w:jc w:val="both"/>
        <w:rPr>
          <w:sz w:val="20"/>
          <w:szCs w:val="20"/>
        </w:rPr>
      </w:pPr>
      <w:r w:rsidRPr="00760593">
        <w:rPr>
          <w:sz w:val="20"/>
          <w:szCs w:val="20"/>
        </w:rPr>
        <w:t xml:space="preserve">The observed increase in the γ-ray mass attenuation coefficient as well as the corresponding </w:t>
      </w:r>
      <w:r w:rsidRPr="00760593">
        <w:rPr>
          <w:sz w:val="20"/>
          <w:szCs w:val="20"/>
        </w:rPr>
        <w:lastRenderedPageBreak/>
        <w:t>decrease in the HVL of the studied glasses can be attributed to the gradual replacement of P</w:t>
      </w:r>
      <w:r w:rsidRPr="00760593">
        <w:rPr>
          <w:sz w:val="20"/>
          <w:szCs w:val="20"/>
          <w:vertAlign w:val="subscript"/>
        </w:rPr>
        <w:t>2</w:t>
      </w:r>
      <w:r w:rsidRPr="00760593">
        <w:rPr>
          <w:sz w:val="20"/>
          <w:szCs w:val="20"/>
        </w:rPr>
        <w:t>O</w:t>
      </w:r>
      <w:r w:rsidRPr="00760593">
        <w:rPr>
          <w:sz w:val="20"/>
          <w:szCs w:val="20"/>
          <w:vertAlign w:val="subscript"/>
        </w:rPr>
        <w:t>5</w:t>
      </w:r>
      <w:r w:rsidRPr="00760593">
        <w:rPr>
          <w:sz w:val="20"/>
          <w:szCs w:val="20"/>
        </w:rPr>
        <w:t xml:space="preserve"> by WO</w:t>
      </w:r>
      <w:r w:rsidRPr="00760593">
        <w:rPr>
          <w:sz w:val="20"/>
          <w:szCs w:val="20"/>
          <w:vertAlign w:val="subscript"/>
        </w:rPr>
        <w:t>3,</w:t>
      </w:r>
      <w:r w:rsidRPr="00760593">
        <w:rPr>
          <w:sz w:val="20"/>
          <w:szCs w:val="20"/>
        </w:rPr>
        <w:t xml:space="preserve"> This can be understood logically by knowing that the γ-ray mass attenuation coefficient of tungsten oxide is higher than that of phosphorus oxide and the HVL of tungsten oxide is smaller than that of phosphorus oxide. The µ (cm</w:t>
      </w:r>
      <w:r w:rsidRPr="00760593">
        <w:rPr>
          <w:sz w:val="20"/>
          <w:szCs w:val="20"/>
          <w:vertAlign w:val="superscript"/>
        </w:rPr>
        <w:t>2</w:t>
      </w:r>
      <w:r w:rsidRPr="00760593">
        <w:rPr>
          <w:sz w:val="20"/>
          <w:szCs w:val="20"/>
        </w:rPr>
        <w:t>/g) and HVL (cm) for WO</w:t>
      </w:r>
      <w:r w:rsidRPr="00760593">
        <w:rPr>
          <w:sz w:val="20"/>
          <w:szCs w:val="20"/>
          <w:vertAlign w:val="subscript"/>
        </w:rPr>
        <w:t>3</w:t>
      </w:r>
      <w:r w:rsidRPr="00760593">
        <w:rPr>
          <w:sz w:val="20"/>
          <w:szCs w:val="20"/>
        </w:rPr>
        <w:t xml:space="preserve"> and P</w:t>
      </w:r>
      <w:r w:rsidRPr="00760593">
        <w:rPr>
          <w:sz w:val="20"/>
          <w:szCs w:val="20"/>
          <w:vertAlign w:val="subscript"/>
        </w:rPr>
        <w:t>2</w:t>
      </w:r>
      <w:r w:rsidRPr="00760593">
        <w:rPr>
          <w:sz w:val="20"/>
          <w:szCs w:val="20"/>
        </w:rPr>
        <w:t>O</w:t>
      </w:r>
      <w:r w:rsidRPr="00760593">
        <w:rPr>
          <w:sz w:val="20"/>
          <w:szCs w:val="20"/>
          <w:vertAlign w:val="subscript"/>
        </w:rPr>
        <w:t xml:space="preserve">5 </w:t>
      </w:r>
      <w:r w:rsidRPr="00760593">
        <w:rPr>
          <w:sz w:val="20"/>
          <w:szCs w:val="20"/>
        </w:rPr>
        <w:t xml:space="preserve">are exhibited in </w:t>
      </w:r>
      <w:r w:rsidR="00C4055E" w:rsidRPr="00760593">
        <w:rPr>
          <w:sz w:val="20"/>
          <w:szCs w:val="20"/>
        </w:rPr>
        <w:t>T</w:t>
      </w:r>
      <w:r w:rsidRPr="00760593">
        <w:rPr>
          <w:sz w:val="20"/>
          <w:szCs w:val="20"/>
        </w:rPr>
        <w:t>able (2) for comparison [12].</w:t>
      </w:r>
    </w:p>
    <w:p w:rsidR="007643B5" w:rsidRPr="00760593" w:rsidRDefault="007643B5" w:rsidP="00760593">
      <w:pPr>
        <w:snapToGrid w:val="0"/>
        <w:jc w:val="center"/>
        <w:rPr>
          <w:b/>
          <w:bCs/>
          <w:sz w:val="20"/>
          <w:szCs w:val="20"/>
        </w:rPr>
      </w:pPr>
    </w:p>
    <w:p w:rsidR="005B7D27" w:rsidRPr="00760593" w:rsidRDefault="007643B5" w:rsidP="0092468F">
      <w:pPr>
        <w:snapToGrid w:val="0"/>
        <w:jc w:val="both"/>
        <w:rPr>
          <w:sz w:val="20"/>
          <w:szCs w:val="20"/>
        </w:rPr>
      </w:pPr>
      <w:r w:rsidRPr="00760593">
        <w:rPr>
          <w:sz w:val="20"/>
          <w:szCs w:val="20"/>
        </w:rPr>
        <w:t>Table 2.</w:t>
      </w:r>
      <w:r w:rsidR="00C4055E" w:rsidRPr="00760593">
        <w:rPr>
          <w:sz w:val="20"/>
          <w:szCs w:val="20"/>
        </w:rPr>
        <w:t xml:space="preserve"> </w:t>
      </w:r>
      <w:r w:rsidRPr="00760593">
        <w:rPr>
          <w:sz w:val="20"/>
          <w:szCs w:val="20"/>
        </w:rPr>
        <w:t>µ (cm</w:t>
      </w:r>
      <w:r w:rsidRPr="00760593">
        <w:rPr>
          <w:sz w:val="20"/>
          <w:szCs w:val="20"/>
          <w:vertAlign w:val="superscript"/>
        </w:rPr>
        <w:t>2</w:t>
      </w:r>
      <w:r w:rsidRPr="00760593">
        <w:rPr>
          <w:sz w:val="20"/>
          <w:szCs w:val="20"/>
        </w:rPr>
        <w:t>/g) and HVL</w:t>
      </w:r>
      <w:r w:rsidR="00C4055E" w:rsidRPr="00760593">
        <w:rPr>
          <w:sz w:val="20"/>
          <w:szCs w:val="20"/>
        </w:rPr>
        <w:t xml:space="preserve"> </w:t>
      </w:r>
      <w:r w:rsidRPr="00760593">
        <w:rPr>
          <w:sz w:val="20"/>
          <w:szCs w:val="20"/>
        </w:rPr>
        <w:t>(cm) for phosphorus and tungsten oxides at different low γ-ray energies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933"/>
        <w:gridCol w:w="941"/>
        <w:gridCol w:w="806"/>
        <w:gridCol w:w="809"/>
      </w:tblGrid>
      <w:tr w:rsidR="007643B5" w:rsidRPr="00760593" w:rsidTr="00760593">
        <w:trPr>
          <w:trHeight w:val="56"/>
          <w:jc w:val="center"/>
        </w:trPr>
        <w:tc>
          <w:tcPr>
            <w:tcW w:w="872" w:type="dxa"/>
            <w:vMerge w:val="restart"/>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E(</w:t>
            </w:r>
            <w:proofErr w:type="spellStart"/>
            <w:r w:rsidRPr="00760593">
              <w:rPr>
                <w:b/>
                <w:bCs/>
                <w:color w:val="000000"/>
                <w:sz w:val="20"/>
                <w:szCs w:val="20"/>
              </w:rPr>
              <w:t>KeV</w:t>
            </w:r>
            <w:proofErr w:type="spellEnd"/>
            <w:r w:rsidRPr="00760593">
              <w:rPr>
                <w:b/>
                <w:bCs/>
                <w:color w:val="000000"/>
                <w:sz w:val="20"/>
                <w:szCs w:val="20"/>
              </w:rPr>
              <w:t>)</w:t>
            </w:r>
          </w:p>
        </w:tc>
        <w:tc>
          <w:tcPr>
            <w:tcW w:w="1874" w:type="dxa"/>
            <w:gridSpan w:val="2"/>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µ (cm</w:t>
            </w:r>
            <w:r w:rsidRPr="00760593">
              <w:rPr>
                <w:b/>
                <w:bCs/>
                <w:color w:val="000000"/>
                <w:sz w:val="20"/>
                <w:szCs w:val="20"/>
                <w:vertAlign w:val="superscript"/>
              </w:rPr>
              <w:t>2</w:t>
            </w:r>
            <w:r w:rsidRPr="00760593">
              <w:rPr>
                <w:b/>
                <w:bCs/>
                <w:color w:val="000000"/>
                <w:sz w:val="20"/>
                <w:szCs w:val="20"/>
              </w:rPr>
              <w:t>/g)</w:t>
            </w:r>
          </w:p>
        </w:tc>
        <w:tc>
          <w:tcPr>
            <w:tcW w:w="1615" w:type="dxa"/>
            <w:gridSpan w:val="2"/>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HVL(cm)</w:t>
            </w:r>
          </w:p>
        </w:tc>
      </w:tr>
      <w:tr w:rsidR="007643B5" w:rsidRPr="00760593" w:rsidTr="00760593">
        <w:trPr>
          <w:trHeight w:val="56"/>
          <w:jc w:val="center"/>
        </w:trPr>
        <w:tc>
          <w:tcPr>
            <w:tcW w:w="872" w:type="dxa"/>
            <w:vMerge/>
            <w:shd w:val="clear" w:color="auto" w:fill="auto"/>
            <w:vAlign w:val="center"/>
          </w:tcPr>
          <w:p w:rsidR="007643B5" w:rsidRPr="00760593" w:rsidRDefault="007643B5" w:rsidP="00760593">
            <w:pPr>
              <w:snapToGrid w:val="0"/>
              <w:jc w:val="both"/>
              <w:rPr>
                <w:b/>
                <w:bCs/>
                <w:color w:val="000000"/>
                <w:sz w:val="20"/>
                <w:szCs w:val="20"/>
              </w:rPr>
            </w:pPr>
          </w:p>
        </w:tc>
        <w:tc>
          <w:tcPr>
            <w:tcW w:w="933" w:type="dxa"/>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WO</w:t>
            </w:r>
            <w:r w:rsidRPr="00760593">
              <w:rPr>
                <w:b/>
                <w:bCs/>
                <w:color w:val="000000"/>
                <w:sz w:val="20"/>
                <w:szCs w:val="20"/>
                <w:vertAlign w:val="subscript"/>
              </w:rPr>
              <w:t>3</w:t>
            </w:r>
          </w:p>
        </w:tc>
        <w:tc>
          <w:tcPr>
            <w:tcW w:w="941" w:type="dxa"/>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P</w:t>
            </w:r>
            <w:r w:rsidRPr="00760593">
              <w:rPr>
                <w:b/>
                <w:bCs/>
                <w:color w:val="000000"/>
                <w:sz w:val="20"/>
                <w:szCs w:val="20"/>
                <w:vertAlign w:val="subscript"/>
              </w:rPr>
              <w:t>2</w:t>
            </w:r>
            <w:r w:rsidRPr="00760593">
              <w:rPr>
                <w:b/>
                <w:bCs/>
                <w:color w:val="000000"/>
                <w:sz w:val="20"/>
                <w:szCs w:val="20"/>
              </w:rPr>
              <w:t>O</w:t>
            </w:r>
            <w:r w:rsidRPr="00760593">
              <w:rPr>
                <w:b/>
                <w:bCs/>
                <w:color w:val="000000"/>
                <w:sz w:val="20"/>
                <w:szCs w:val="20"/>
                <w:vertAlign w:val="subscript"/>
              </w:rPr>
              <w:t>5</w:t>
            </w:r>
          </w:p>
        </w:tc>
        <w:tc>
          <w:tcPr>
            <w:tcW w:w="806" w:type="dxa"/>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WO</w:t>
            </w:r>
            <w:r w:rsidRPr="00760593">
              <w:rPr>
                <w:b/>
                <w:bCs/>
                <w:color w:val="000000"/>
                <w:sz w:val="20"/>
                <w:szCs w:val="20"/>
                <w:vertAlign w:val="subscript"/>
              </w:rPr>
              <w:t>3</w:t>
            </w:r>
          </w:p>
        </w:tc>
        <w:tc>
          <w:tcPr>
            <w:tcW w:w="809" w:type="dxa"/>
            <w:shd w:val="clear" w:color="auto" w:fill="auto"/>
            <w:vAlign w:val="center"/>
          </w:tcPr>
          <w:p w:rsidR="007643B5" w:rsidRPr="00760593" w:rsidRDefault="007643B5" w:rsidP="00760593">
            <w:pPr>
              <w:snapToGrid w:val="0"/>
              <w:jc w:val="both"/>
              <w:rPr>
                <w:b/>
                <w:bCs/>
                <w:color w:val="000000"/>
                <w:sz w:val="20"/>
                <w:szCs w:val="20"/>
              </w:rPr>
            </w:pPr>
            <w:r w:rsidRPr="00760593">
              <w:rPr>
                <w:b/>
                <w:bCs/>
                <w:color w:val="000000"/>
                <w:sz w:val="20"/>
                <w:szCs w:val="20"/>
              </w:rPr>
              <w:t>P2O</w:t>
            </w:r>
            <w:r w:rsidRPr="00760593">
              <w:rPr>
                <w:b/>
                <w:bCs/>
                <w:color w:val="000000"/>
                <w:sz w:val="20"/>
                <w:szCs w:val="20"/>
                <w:vertAlign w:val="subscript"/>
              </w:rPr>
              <w:t>5</w:t>
            </w:r>
          </w:p>
        </w:tc>
      </w:tr>
      <w:tr w:rsidR="007643B5" w:rsidRPr="00760593" w:rsidTr="00760593">
        <w:trPr>
          <w:trHeight w:val="56"/>
          <w:jc w:val="center"/>
        </w:trPr>
        <w:tc>
          <w:tcPr>
            <w:tcW w:w="872"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332</w:t>
            </w:r>
          </w:p>
        </w:tc>
        <w:tc>
          <w:tcPr>
            <w:tcW w:w="933"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0.0849</w:t>
            </w:r>
          </w:p>
        </w:tc>
        <w:tc>
          <w:tcPr>
            <w:tcW w:w="941"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0.02538</w:t>
            </w:r>
          </w:p>
        </w:tc>
        <w:tc>
          <w:tcPr>
            <w:tcW w:w="806"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8.163</w:t>
            </w:r>
          </w:p>
        </w:tc>
        <w:tc>
          <w:tcPr>
            <w:tcW w:w="809"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27.305</w:t>
            </w:r>
          </w:p>
        </w:tc>
      </w:tr>
      <w:tr w:rsidR="007643B5" w:rsidRPr="00760593" w:rsidTr="00760593">
        <w:trPr>
          <w:trHeight w:val="56"/>
          <w:jc w:val="center"/>
        </w:trPr>
        <w:tc>
          <w:tcPr>
            <w:tcW w:w="872"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662</w:t>
            </w:r>
          </w:p>
        </w:tc>
        <w:tc>
          <w:tcPr>
            <w:tcW w:w="933"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0.08868</w:t>
            </w:r>
          </w:p>
        </w:tc>
        <w:tc>
          <w:tcPr>
            <w:tcW w:w="941"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0.02653</w:t>
            </w:r>
          </w:p>
        </w:tc>
        <w:tc>
          <w:tcPr>
            <w:tcW w:w="806"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7.815</w:t>
            </w:r>
          </w:p>
        </w:tc>
        <w:tc>
          <w:tcPr>
            <w:tcW w:w="809"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26.121</w:t>
            </w:r>
          </w:p>
        </w:tc>
      </w:tr>
      <w:tr w:rsidR="007643B5" w:rsidRPr="00760593" w:rsidTr="00760593">
        <w:trPr>
          <w:trHeight w:val="56"/>
          <w:jc w:val="center"/>
        </w:trPr>
        <w:tc>
          <w:tcPr>
            <w:tcW w:w="872"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1173</w:t>
            </w:r>
          </w:p>
        </w:tc>
        <w:tc>
          <w:tcPr>
            <w:tcW w:w="933"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0.09073</w:t>
            </w:r>
          </w:p>
        </w:tc>
        <w:tc>
          <w:tcPr>
            <w:tcW w:w="941"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0.02719</w:t>
            </w:r>
          </w:p>
        </w:tc>
        <w:tc>
          <w:tcPr>
            <w:tcW w:w="806"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7.638</w:t>
            </w:r>
          </w:p>
        </w:tc>
        <w:tc>
          <w:tcPr>
            <w:tcW w:w="809"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25.487</w:t>
            </w:r>
          </w:p>
        </w:tc>
      </w:tr>
      <w:tr w:rsidR="007643B5" w:rsidRPr="00760593" w:rsidTr="00760593">
        <w:trPr>
          <w:trHeight w:val="223"/>
          <w:jc w:val="center"/>
        </w:trPr>
        <w:tc>
          <w:tcPr>
            <w:tcW w:w="872"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1332</w:t>
            </w:r>
          </w:p>
        </w:tc>
        <w:tc>
          <w:tcPr>
            <w:tcW w:w="933"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0.09107</w:t>
            </w:r>
          </w:p>
        </w:tc>
        <w:tc>
          <w:tcPr>
            <w:tcW w:w="941"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0.02731</w:t>
            </w:r>
          </w:p>
        </w:tc>
        <w:tc>
          <w:tcPr>
            <w:tcW w:w="806"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7.610</w:t>
            </w:r>
          </w:p>
        </w:tc>
        <w:tc>
          <w:tcPr>
            <w:tcW w:w="809" w:type="dxa"/>
            <w:shd w:val="clear" w:color="auto" w:fill="auto"/>
            <w:vAlign w:val="center"/>
          </w:tcPr>
          <w:p w:rsidR="007643B5" w:rsidRPr="00760593" w:rsidRDefault="007643B5" w:rsidP="00760593">
            <w:pPr>
              <w:snapToGrid w:val="0"/>
              <w:jc w:val="both"/>
              <w:rPr>
                <w:color w:val="000000"/>
                <w:sz w:val="20"/>
                <w:szCs w:val="20"/>
              </w:rPr>
            </w:pPr>
            <w:r w:rsidRPr="00760593">
              <w:rPr>
                <w:color w:val="000000"/>
                <w:sz w:val="20"/>
                <w:szCs w:val="20"/>
              </w:rPr>
              <w:t>25.375</w:t>
            </w:r>
          </w:p>
        </w:tc>
      </w:tr>
    </w:tbl>
    <w:p w:rsidR="005B7D27" w:rsidRPr="00760593" w:rsidRDefault="005B7D27" w:rsidP="00760593">
      <w:pPr>
        <w:snapToGrid w:val="0"/>
        <w:ind w:firstLine="425"/>
        <w:jc w:val="both"/>
        <w:rPr>
          <w:sz w:val="20"/>
          <w:szCs w:val="20"/>
        </w:rPr>
      </w:pPr>
    </w:p>
    <w:p w:rsidR="00C750C3" w:rsidRPr="00760593" w:rsidRDefault="007643B5" w:rsidP="00760593">
      <w:pPr>
        <w:snapToGrid w:val="0"/>
        <w:ind w:firstLine="425"/>
        <w:jc w:val="both"/>
        <w:rPr>
          <w:sz w:val="20"/>
          <w:szCs w:val="20"/>
        </w:rPr>
      </w:pPr>
      <w:r w:rsidRPr="00760593">
        <w:rPr>
          <w:sz w:val="20"/>
          <w:szCs w:val="20"/>
        </w:rPr>
        <w:t>Generally, it can be stated that, all the studied glasses can be used as gamma-ray shield and to capsulate nuclear radio-active wastes before interment underground. These samples work well for law than for high gamma-ray energies. It is worth to state also that the sample containing 20 mol% WO</w:t>
      </w:r>
      <w:r w:rsidRPr="00760593">
        <w:rPr>
          <w:sz w:val="20"/>
          <w:szCs w:val="20"/>
          <w:vertAlign w:val="subscript"/>
        </w:rPr>
        <w:t>3</w:t>
      </w:r>
      <w:r w:rsidRPr="00760593">
        <w:rPr>
          <w:sz w:val="20"/>
          <w:szCs w:val="20"/>
        </w:rPr>
        <w:t xml:space="preserve"> appeared to be of high suitability to act as shield for </w:t>
      </w:r>
      <w:r w:rsidR="00C4055E" w:rsidRPr="00760593">
        <w:rPr>
          <w:sz w:val="20"/>
          <w:szCs w:val="20"/>
        </w:rPr>
        <w:t xml:space="preserve">the </w:t>
      </w:r>
      <w:r w:rsidRPr="00760593">
        <w:rPr>
          <w:sz w:val="20"/>
          <w:szCs w:val="20"/>
        </w:rPr>
        <w:t xml:space="preserve">332 </w:t>
      </w:r>
      <w:proofErr w:type="spellStart"/>
      <w:r w:rsidRPr="00760593">
        <w:rPr>
          <w:sz w:val="20"/>
          <w:szCs w:val="20"/>
        </w:rPr>
        <w:t>keV</w:t>
      </w:r>
      <w:proofErr w:type="spellEnd"/>
      <w:r w:rsidRPr="00760593">
        <w:rPr>
          <w:sz w:val="20"/>
          <w:szCs w:val="20"/>
        </w:rPr>
        <w:t xml:space="preserve"> gamma-ray energy, since it presents the highest </w:t>
      </w:r>
      <w:r w:rsidR="00C750C3" w:rsidRPr="00760593">
        <w:rPr>
          <w:sz w:val="20"/>
          <w:szCs w:val="20"/>
        </w:rPr>
        <w:t>µ</w:t>
      </w:r>
      <w:r w:rsidRPr="00760593">
        <w:rPr>
          <w:sz w:val="20"/>
          <w:szCs w:val="20"/>
          <w:vertAlign w:val="subscript"/>
        </w:rPr>
        <w:t>t</w:t>
      </w:r>
      <w:r w:rsidRPr="00760593">
        <w:rPr>
          <w:sz w:val="20"/>
          <w:szCs w:val="20"/>
        </w:rPr>
        <w:t xml:space="preserve"> coefficient and the lowest HVL values.</w:t>
      </w:r>
    </w:p>
    <w:p w:rsidR="00C750C3" w:rsidRPr="00760593" w:rsidRDefault="007643B5" w:rsidP="00760593">
      <w:pPr>
        <w:snapToGrid w:val="0"/>
        <w:ind w:firstLine="425"/>
        <w:jc w:val="both"/>
        <w:rPr>
          <w:sz w:val="20"/>
          <w:szCs w:val="20"/>
        </w:rPr>
      </w:pPr>
      <w:r w:rsidRPr="00760593">
        <w:rPr>
          <w:sz w:val="20"/>
          <w:szCs w:val="20"/>
        </w:rPr>
        <w:t>From another point of view, it is known that when gamma-ray falls on a material, some electric charges may induce and accumulated on such material which forms an effective dangerous charge.  If such glass may be used as a shield, it has to posses semiconducting properties.</w:t>
      </w:r>
      <w:r w:rsidR="00C750C3" w:rsidRPr="00760593">
        <w:rPr>
          <w:sz w:val="20"/>
          <w:szCs w:val="20"/>
        </w:rPr>
        <w:t xml:space="preserve"> </w:t>
      </w:r>
      <w:r w:rsidRPr="00760593">
        <w:rPr>
          <w:sz w:val="20"/>
          <w:szCs w:val="20"/>
        </w:rPr>
        <w:t>Therefore, the electrical transport properties of the prepared glasses were checked in order to be sure that these glasses must behave like semi-conductors and the formed charges can be drown to the earth through a contact earth</w:t>
      </w:r>
      <w:r w:rsidR="006C19C4" w:rsidRPr="00760593">
        <w:rPr>
          <w:sz w:val="20"/>
          <w:szCs w:val="20"/>
        </w:rPr>
        <w:t>y</w:t>
      </w:r>
      <w:r w:rsidRPr="00760593">
        <w:rPr>
          <w:sz w:val="20"/>
          <w:szCs w:val="20"/>
        </w:rPr>
        <w:t xml:space="preserve">  cable.</w:t>
      </w:r>
    </w:p>
    <w:p w:rsidR="004932F4" w:rsidRPr="00760593" w:rsidRDefault="007643B5" w:rsidP="00760593">
      <w:pPr>
        <w:snapToGrid w:val="0"/>
        <w:ind w:firstLine="425"/>
        <w:jc w:val="both"/>
        <w:rPr>
          <w:sz w:val="20"/>
          <w:szCs w:val="20"/>
        </w:rPr>
      </w:pPr>
      <w:r w:rsidRPr="00760593">
        <w:rPr>
          <w:sz w:val="20"/>
          <w:szCs w:val="20"/>
        </w:rPr>
        <w:t>The total conductivity [</w:t>
      </w:r>
      <w:r w:rsidRPr="00760593">
        <w:rPr>
          <w:i/>
          <w:iCs/>
          <w:sz w:val="20"/>
          <w:szCs w:val="20"/>
        </w:rPr>
        <w:sym w:font="Symbol" w:char="F073"/>
      </w:r>
      <w:r w:rsidRPr="00760593">
        <w:rPr>
          <w:i/>
          <w:iCs/>
          <w:sz w:val="20"/>
          <w:szCs w:val="20"/>
          <w:vertAlign w:val="subscript"/>
        </w:rPr>
        <w:t>T</w:t>
      </w:r>
      <w:r w:rsidRPr="00760593">
        <w:rPr>
          <w:i/>
          <w:iCs/>
          <w:sz w:val="20"/>
          <w:szCs w:val="20"/>
        </w:rPr>
        <w:t>(ω)</w:t>
      </w:r>
      <w:r w:rsidRPr="00760593">
        <w:rPr>
          <w:sz w:val="20"/>
          <w:szCs w:val="20"/>
        </w:rPr>
        <w:t xml:space="preserve"> = </w:t>
      </w:r>
      <w:r w:rsidRPr="00760593">
        <w:rPr>
          <w:i/>
          <w:iCs/>
          <w:sz w:val="20"/>
          <w:szCs w:val="20"/>
        </w:rPr>
        <w:sym w:font="Symbol" w:char="F073"/>
      </w:r>
      <w:r w:rsidRPr="00760593">
        <w:rPr>
          <w:i/>
          <w:iCs/>
          <w:sz w:val="20"/>
          <w:szCs w:val="20"/>
          <w:vertAlign w:val="subscript"/>
        </w:rPr>
        <w:t>dc</w:t>
      </w:r>
      <w:r w:rsidRPr="00760593">
        <w:rPr>
          <w:sz w:val="20"/>
          <w:szCs w:val="20"/>
        </w:rPr>
        <w:t xml:space="preserve"> + </w:t>
      </w:r>
      <w:r w:rsidRPr="00760593">
        <w:rPr>
          <w:i/>
          <w:iCs/>
          <w:sz w:val="20"/>
          <w:szCs w:val="20"/>
        </w:rPr>
        <w:sym w:font="Symbol" w:char="F073"/>
      </w:r>
      <w:r w:rsidRPr="00760593">
        <w:rPr>
          <w:i/>
          <w:iCs/>
          <w:sz w:val="20"/>
          <w:szCs w:val="20"/>
          <w:vertAlign w:val="subscript"/>
        </w:rPr>
        <w:t>ac</w:t>
      </w:r>
      <w:r w:rsidRPr="00760593">
        <w:rPr>
          <w:sz w:val="20"/>
          <w:szCs w:val="20"/>
        </w:rPr>
        <w:t>] has been measured as a function of temperature and frequency, and Fig. (9) shows the total conductivity temperature dependence at different fixed frequencies, for the sample that contains 15 mol % WO</w:t>
      </w:r>
      <w:r w:rsidRPr="00760593">
        <w:rPr>
          <w:sz w:val="20"/>
          <w:szCs w:val="20"/>
          <w:vertAlign w:val="subscript"/>
        </w:rPr>
        <w:t>3</w:t>
      </w:r>
      <w:r w:rsidRPr="00760593">
        <w:rPr>
          <w:sz w:val="20"/>
          <w:szCs w:val="20"/>
        </w:rPr>
        <w:t>, as a representative curve, and all other samples showed similar behavior.</w:t>
      </w:r>
    </w:p>
    <w:p w:rsidR="004932F4" w:rsidRPr="00760593" w:rsidRDefault="004932F4" w:rsidP="00760593">
      <w:pPr>
        <w:snapToGrid w:val="0"/>
        <w:ind w:firstLine="425"/>
        <w:jc w:val="both"/>
        <w:rPr>
          <w:sz w:val="20"/>
          <w:szCs w:val="20"/>
        </w:rPr>
      </w:pPr>
      <w:r w:rsidRPr="00760593">
        <w:rPr>
          <w:sz w:val="20"/>
          <w:szCs w:val="20"/>
        </w:rPr>
        <w:t>All the studied glasses showed that the total conductivity (</w:t>
      </w:r>
      <w:r w:rsidRPr="00760593">
        <w:rPr>
          <w:i/>
          <w:iCs/>
          <w:sz w:val="20"/>
          <w:szCs w:val="20"/>
        </w:rPr>
        <w:sym w:font="Symbol" w:char="F073"/>
      </w:r>
      <w:r w:rsidRPr="00760593">
        <w:rPr>
          <w:i/>
          <w:iCs/>
          <w:sz w:val="20"/>
          <w:szCs w:val="20"/>
          <w:vertAlign w:val="subscript"/>
        </w:rPr>
        <w:t>t</w:t>
      </w:r>
      <w:r w:rsidRPr="00760593">
        <w:rPr>
          <w:sz w:val="20"/>
          <w:szCs w:val="20"/>
        </w:rPr>
        <w:t xml:space="preserve"> (</w:t>
      </w:r>
      <w:r w:rsidRPr="00760593">
        <w:rPr>
          <w:i/>
          <w:iCs/>
          <w:sz w:val="20"/>
          <w:szCs w:val="20"/>
        </w:rPr>
        <w:t>ω</w:t>
      </w:r>
      <w:r w:rsidRPr="00760593">
        <w:rPr>
          <w:sz w:val="20"/>
          <w:szCs w:val="20"/>
        </w:rPr>
        <w:t xml:space="preserve">)) increased with the increase of temperature, which reveals that all samples behave like semiconductors. It is seen that the change in </w:t>
      </w:r>
      <w:proofErr w:type="spellStart"/>
      <w:r w:rsidRPr="00760593">
        <w:rPr>
          <w:sz w:val="20"/>
          <w:szCs w:val="20"/>
        </w:rPr>
        <w:t>ln</w:t>
      </w:r>
      <w:proofErr w:type="spellEnd"/>
      <w:r w:rsidRPr="00760593">
        <w:rPr>
          <w:sz w:val="20"/>
          <w:szCs w:val="20"/>
        </w:rPr>
        <w:t>(</w:t>
      </w:r>
      <w:proofErr w:type="spellStart"/>
      <w:r w:rsidRPr="00760593">
        <w:rPr>
          <w:i/>
          <w:iCs/>
          <w:sz w:val="20"/>
          <w:szCs w:val="20"/>
        </w:rPr>
        <w:t>σ</w:t>
      </w:r>
      <w:r w:rsidRPr="00760593">
        <w:rPr>
          <w:i/>
          <w:iCs/>
          <w:sz w:val="20"/>
          <w:szCs w:val="20"/>
          <w:vertAlign w:val="subscript"/>
        </w:rPr>
        <w:t>t</w:t>
      </w:r>
      <w:proofErr w:type="spellEnd"/>
      <w:r w:rsidRPr="00760593">
        <w:rPr>
          <w:i/>
          <w:iCs/>
          <w:sz w:val="20"/>
          <w:szCs w:val="20"/>
        </w:rPr>
        <w:t>)</w:t>
      </w:r>
      <w:r w:rsidRPr="00760593">
        <w:rPr>
          <w:sz w:val="20"/>
          <w:szCs w:val="20"/>
        </w:rPr>
        <w:t xml:space="preserve"> is entirely temperature and frequency dependent in the used temperature range.</w:t>
      </w:r>
    </w:p>
    <w:p w:rsidR="00A058CA" w:rsidRPr="00760593" w:rsidRDefault="00A058CA" w:rsidP="00760593">
      <w:pPr>
        <w:snapToGrid w:val="0"/>
        <w:ind w:firstLine="425"/>
        <w:jc w:val="both"/>
        <w:rPr>
          <w:sz w:val="20"/>
          <w:szCs w:val="20"/>
        </w:rPr>
      </w:pPr>
    </w:p>
    <w:p w:rsidR="00A058CA" w:rsidRPr="00760593" w:rsidRDefault="00A058CA" w:rsidP="00760593">
      <w:pPr>
        <w:snapToGrid w:val="0"/>
        <w:ind w:firstLine="425"/>
        <w:jc w:val="both"/>
        <w:rPr>
          <w:sz w:val="20"/>
          <w:szCs w:val="20"/>
        </w:rPr>
      </w:pPr>
    </w:p>
    <w:p w:rsidR="00A058CA" w:rsidRPr="00760593" w:rsidRDefault="00A058CA" w:rsidP="00760593">
      <w:pPr>
        <w:snapToGrid w:val="0"/>
        <w:ind w:firstLine="425"/>
        <w:jc w:val="both"/>
        <w:rPr>
          <w:sz w:val="20"/>
          <w:szCs w:val="20"/>
        </w:rPr>
      </w:pPr>
    </w:p>
    <w:p w:rsidR="00C876D8" w:rsidRPr="00760593" w:rsidRDefault="007C74E7" w:rsidP="00760593">
      <w:pPr>
        <w:snapToGrid w:val="0"/>
        <w:jc w:val="center"/>
        <w:rPr>
          <w:sz w:val="20"/>
          <w:szCs w:val="20"/>
        </w:rPr>
      </w:pPr>
      <w:r w:rsidRPr="007C74E7">
        <w:rPr>
          <w:sz w:val="20"/>
        </w:rPr>
        <w:lastRenderedPageBreak/>
        <w:pict>
          <v:shape id="_x0000_i1041" type="#_x0000_t75" style="width:215.35pt;height:187.2pt;visibility:visible">
            <v:imagedata r:id="rId34" o:title=""/>
          </v:shape>
        </w:pict>
      </w:r>
    </w:p>
    <w:p w:rsidR="00A92022" w:rsidRPr="00760593" w:rsidRDefault="00A92022" w:rsidP="0092468F">
      <w:pPr>
        <w:snapToGrid w:val="0"/>
        <w:jc w:val="both"/>
        <w:rPr>
          <w:sz w:val="20"/>
          <w:szCs w:val="20"/>
        </w:rPr>
      </w:pPr>
      <w:r w:rsidRPr="00760593">
        <w:rPr>
          <w:sz w:val="20"/>
          <w:szCs w:val="20"/>
        </w:rPr>
        <w:t>Figure 9. Total conductivity temperature dependence at three frequencies for the sample containing 15 % WO</w:t>
      </w:r>
      <w:r w:rsidRPr="00760593">
        <w:rPr>
          <w:sz w:val="20"/>
          <w:szCs w:val="20"/>
          <w:vertAlign w:val="subscript"/>
        </w:rPr>
        <w:t>3</w:t>
      </w:r>
      <w:r w:rsidRPr="00760593">
        <w:rPr>
          <w:sz w:val="20"/>
          <w:szCs w:val="20"/>
        </w:rPr>
        <w:t>, as representative figure</w:t>
      </w:r>
    </w:p>
    <w:p w:rsidR="00C876D8" w:rsidRPr="00760593" w:rsidRDefault="00C876D8" w:rsidP="00760593">
      <w:pPr>
        <w:snapToGrid w:val="0"/>
        <w:ind w:firstLine="425"/>
        <w:jc w:val="both"/>
        <w:rPr>
          <w:sz w:val="20"/>
          <w:szCs w:val="20"/>
        </w:rPr>
      </w:pPr>
    </w:p>
    <w:p w:rsidR="004932F4" w:rsidRPr="00760593" w:rsidRDefault="004932F4" w:rsidP="00760593">
      <w:pPr>
        <w:snapToGrid w:val="0"/>
        <w:ind w:firstLine="425"/>
        <w:jc w:val="both"/>
        <w:rPr>
          <w:sz w:val="20"/>
          <w:szCs w:val="20"/>
        </w:rPr>
      </w:pPr>
      <w:r w:rsidRPr="00760593">
        <w:rPr>
          <w:sz w:val="20"/>
          <w:szCs w:val="20"/>
        </w:rPr>
        <w:t>It is known also that, the ac conductivity of all amorphous materials and glasses follows the universal power law,</w:t>
      </w:r>
    </w:p>
    <w:p w:rsidR="004932F4" w:rsidRPr="00760593" w:rsidRDefault="004932F4" w:rsidP="00760593">
      <w:pPr>
        <w:snapToGrid w:val="0"/>
        <w:ind w:firstLine="425"/>
        <w:jc w:val="both"/>
        <w:rPr>
          <w:sz w:val="20"/>
          <w:szCs w:val="20"/>
        </w:rPr>
      </w:pPr>
    </w:p>
    <w:p w:rsidR="004932F4" w:rsidRPr="00760593" w:rsidRDefault="004932F4" w:rsidP="00760593">
      <w:pPr>
        <w:snapToGrid w:val="0"/>
        <w:ind w:firstLine="425"/>
        <w:jc w:val="both"/>
        <w:rPr>
          <w:sz w:val="20"/>
          <w:szCs w:val="20"/>
        </w:rPr>
      </w:pPr>
      <w:r w:rsidRPr="00760593">
        <w:rPr>
          <w:i/>
          <w:iCs/>
          <w:sz w:val="20"/>
          <w:szCs w:val="20"/>
          <w:lang w:val="el-GR"/>
        </w:rPr>
        <w:t>σ</w:t>
      </w:r>
      <w:r w:rsidRPr="00760593">
        <w:rPr>
          <w:i/>
          <w:iCs/>
          <w:sz w:val="20"/>
          <w:szCs w:val="20"/>
        </w:rPr>
        <w:t>(</w:t>
      </w:r>
      <w:r w:rsidRPr="00760593">
        <w:rPr>
          <w:i/>
          <w:iCs/>
          <w:sz w:val="20"/>
          <w:szCs w:val="20"/>
          <w:lang w:val="el-GR"/>
        </w:rPr>
        <w:t>ω</w:t>
      </w:r>
      <w:r w:rsidRPr="00760593">
        <w:rPr>
          <w:i/>
          <w:iCs/>
          <w:sz w:val="20"/>
          <w:szCs w:val="20"/>
        </w:rPr>
        <w:t>)</w:t>
      </w:r>
      <w:r w:rsidRPr="00760593">
        <w:rPr>
          <w:sz w:val="20"/>
          <w:szCs w:val="20"/>
        </w:rPr>
        <w:t xml:space="preserve"> =</w:t>
      </w:r>
      <w:r w:rsidRPr="00760593">
        <w:rPr>
          <w:i/>
          <w:iCs/>
          <w:sz w:val="20"/>
          <w:szCs w:val="20"/>
        </w:rPr>
        <w:t xml:space="preserve">A </w:t>
      </w:r>
      <w:r w:rsidRPr="00760593">
        <w:rPr>
          <w:i/>
          <w:iCs/>
          <w:sz w:val="20"/>
          <w:szCs w:val="20"/>
          <w:lang w:val="el-GR"/>
        </w:rPr>
        <w:t>ω</w:t>
      </w:r>
      <w:r w:rsidRPr="00760593">
        <w:rPr>
          <w:i/>
          <w:iCs/>
          <w:sz w:val="20"/>
          <w:szCs w:val="20"/>
          <w:vertAlign w:val="superscript"/>
        </w:rPr>
        <w:t>s</w:t>
      </w:r>
      <w:r w:rsidRPr="00760593">
        <w:rPr>
          <w:i/>
          <w:iCs/>
          <w:sz w:val="20"/>
          <w:szCs w:val="20"/>
        </w:rPr>
        <w:t xml:space="preserve">  </w:t>
      </w:r>
      <w:r w:rsidR="0092468F">
        <w:rPr>
          <w:rFonts w:hint="eastAsia"/>
          <w:i/>
          <w:iCs/>
          <w:sz w:val="20"/>
          <w:szCs w:val="20"/>
          <w:lang w:eastAsia="zh-CN"/>
        </w:rPr>
        <w:tab/>
      </w:r>
      <w:r w:rsidR="0092468F">
        <w:rPr>
          <w:rFonts w:hint="eastAsia"/>
          <w:i/>
          <w:iCs/>
          <w:sz w:val="20"/>
          <w:szCs w:val="20"/>
          <w:lang w:eastAsia="zh-CN"/>
        </w:rPr>
        <w:tab/>
      </w:r>
      <w:r w:rsidR="0092468F">
        <w:rPr>
          <w:rFonts w:hint="eastAsia"/>
          <w:i/>
          <w:iCs/>
          <w:sz w:val="20"/>
          <w:szCs w:val="20"/>
          <w:lang w:eastAsia="zh-CN"/>
        </w:rPr>
        <w:tab/>
      </w:r>
      <w:r w:rsidR="0092468F">
        <w:rPr>
          <w:rFonts w:hint="eastAsia"/>
          <w:i/>
          <w:iCs/>
          <w:sz w:val="20"/>
          <w:szCs w:val="20"/>
          <w:lang w:eastAsia="zh-CN"/>
        </w:rPr>
        <w:tab/>
      </w:r>
      <w:r w:rsidRPr="00760593">
        <w:rPr>
          <w:sz w:val="20"/>
          <w:szCs w:val="20"/>
        </w:rPr>
        <w:t>(4)</w:t>
      </w:r>
    </w:p>
    <w:p w:rsidR="004932F4" w:rsidRPr="00760593" w:rsidRDefault="004932F4" w:rsidP="00760593">
      <w:pPr>
        <w:snapToGrid w:val="0"/>
        <w:ind w:firstLine="425"/>
        <w:jc w:val="both"/>
        <w:rPr>
          <w:sz w:val="20"/>
          <w:szCs w:val="20"/>
        </w:rPr>
      </w:pPr>
    </w:p>
    <w:p w:rsidR="004932F4" w:rsidRPr="00760593" w:rsidRDefault="004932F4" w:rsidP="00760593">
      <w:pPr>
        <w:snapToGrid w:val="0"/>
        <w:ind w:firstLine="425"/>
        <w:jc w:val="both"/>
        <w:rPr>
          <w:sz w:val="20"/>
          <w:szCs w:val="20"/>
        </w:rPr>
      </w:pPr>
      <w:r w:rsidRPr="00760593">
        <w:rPr>
          <w:sz w:val="20"/>
          <w:szCs w:val="20"/>
        </w:rPr>
        <w:t xml:space="preserve">Where </w:t>
      </w:r>
      <w:r w:rsidRPr="00760593">
        <w:rPr>
          <w:b/>
          <w:bCs/>
          <w:i/>
          <w:iCs/>
          <w:sz w:val="20"/>
          <w:szCs w:val="20"/>
        </w:rPr>
        <w:t>A</w:t>
      </w:r>
      <w:r w:rsidRPr="00760593">
        <w:rPr>
          <w:b/>
          <w:bCs/>
          <w:sz w:val="20"/>
          <w:szCs w:val="20"/>
        </w:rPr>
        <w:t xml:space="preserve"> </w:t>
      </w:r>
      <w:r w:rsidRPr="00760593">
        <w:rPr>
          <w:sz w:val="20"/>
          <w:szCs w:val="20"/>
        </w:rPr>
        <w:t xml:space="preserve">is a constant (weakly temperature dependent), </w:t>
      </w:r>
      <w:r w:rsidRPr="00760593">
        <w:rPr>
          <w:i/>
          <w:iCs/>
          <w:sz w:val="20"/>
          <w:szCs w:val="20"/>
          <w:lang w:val="el-GR"/>
        </w:rPr>
        <w:t>ω</w:t>
      </w:r>
      <w:r w:rsidRPr="00760593">
        <w:rPr>
          <w:sz w:val="20"/>
          <w:szCs w:val="20"/>
        </w:rPr>
        <w:t xml:space="preserve"> is the angular frequency and</w:t>
      </w:r>
      <w:r w:rsidRPr="00760593">
        <w:rPr>
          <w:b/>
          <w:bCs/>
          <w:i/>
          <w:iCs/>
          <w:sz w:val="20"/>
          <w:szCs w:val="20"/>
        </w:rPr>
        <w:t xml:space="preserve"> </w:t>
      </w:r>
      <w:r w:rsidRPr="00760593">
        <w:rPr>
          <w:b/>
          <w:bCs/>
          <w:sz w:val="20"/>
          <w:szCs w:val="20"/>
        </w:rPr>
        <w:t xml:space="preserve">s </w:t>
      </w:r>
      <w:r w:rsidRPr="00760593">
        <w:rPr>
          <w:sz w:val="20"/>
          <w:szCs w:val="20"/>
        </w:rPr>
        <w:t xml:space="preserve">is the exponent factor, where the change of </w:t>
      </w:r>
      <w:r w:rsidRPr="00760593">
        <w:rPr>
          <w:b/>
          <w:bCs/>
          <w:sz w:val="20"/>
          <w:szCs w:val="20"/>
        </w:rPr>
        <w:t>s</w:t>
      </w:r>
      <w:r w:rsidRPr="00760593">
        <w:rPr>
          <w:sz w:val="20"/>
          <w:szCs w:val="20"/>
        </w:rPr>
        <w:t xml:space="preserve"> with temperature gives accurately the conduction mechanism in an amorphous solid [20].</w:t>
      </w:r>
    </w:p>
    <w:p w:rsidR="00B53808" w:rsidRPr="00760593" w:rsidRDefault="007C74E7" w:rsidP="00760593">
      <w:pPr>
        <w:snapToGrid w:val="0"/>
        <w:jc w:val="center"/>
        <w:rPr>
          <w:sz w:val="20"/>
          <w:szCs w:val="20"/>
        </w:rPr>
      </w:pPr>
      <w:r w:rsidRPr="007C74E7">
        <w:rPr>
          <w:sz w:val="20"/>
        </w:rPr>
        <w:pict>
          <v:shape id="Picture 5" o:spid="_x0000_i1042" type="#_x0000_t75" style="width:212.25pt;height:185.95pt;visibility:visible">
            <v:imagedata r:id="rId35" o:title="" croptop="4276f" cropbottom="4409f" cropleft="3430f" cropright="6378f"/>
          </v:shape>
        </w:pict>
      </w:r>
    </w:p>
    <w:p w:rsidR="00B53808" w:rsidRPr="00760593" w:rsidRDefault="00B53808" w:rsidP="0092468F">
      <w:pPr>
        <w:snapToGrid w:val="0"/>
        <w:jc w:val="both"/>
        <w:rPr>
          <w:sz w:val="20"/>
          <w:szCs w:val="20"/>
        </w:rPr>
      </w:pPr>
      <w:r w:rsidRPr="00760593">
        <w:rPr>
          <w:sz w:val="20"/>
          <w:szCs w:val="20"/>
        </w:rPr>
        <w:t>Figure 10. The variation of S-factor versus temperature for the sample containing 15 mol% WO</w:t>
      </w:r>
      <w:r w:rsidRPr="00760593">
        <w:rPr>
          <w:sz w:val="20"/>
          <w:szCs w:val="20"/>
          <w:vertAlign w:val="subscript"/>
        </w:rPr>
        <w:t>3</w:t>
      </w:r>
      <w:r w:rsidRPr="00760593">
        <w:rPr>
          <w:sz w:val="20"/>
          <w:szCs w:val="20"/>
        </w:rPr>
        <w:t>, as representative figure</w:t>
      </w:r>
    </w:p>
    <w:p w:rsidR="00B53808" w:rsidRPr="00760593" w:rsidRDefault="00B53808" w:rsidP="00760593">
      <w:pPr>
        <w:snapToGrid w:val="0"/>
        <w:ind w:firstLine="425"/>
        <w:jc w:val="both"/>
        <w:rPr>
          <w:sz w:val="20"/>
          <w:szCs w:val="20"/>
        </w:rPr>
      </w:pPr>
    </w:p>
    <w:p w:rsidR="007643B5" w:rsidRPr="00760593" w:rsidRDefault="004932F4" w:rsidP="00760593">
      <w:pPr>
        <w:snapToGrid w:val="0"/>
        <w:ind w:firstLine="425"/>
        <w:jc w:val="both"/>
        <w:rPr>
          <w:sz w:val="20"/>
          <w:szCs w:val="20"/>
        </w:rPr>
      </w:pPr>
      <w:r w:rsidRPr="00760593">
        <w:rPr>
          <w:sz w:val="20"/>
          <w:szCs w:val="20"/>
        </w:rPr>
        <w:t>However, Fig. (10)  represents the change of</w:t>
      </w:r>
      <w:r w:rsidRPr="00760593">
        <w:rPr>
          <w:bCs/>
          <w:sz w:val="20"/>
          <w:szCs w:val="20"/>
        </w:rPr>
        <w:t xml:space="preserve"> the s-factor </w:t>
      </w:r>
      <w:r w:rsidRPr="00760593">
        <w:rPr>
          <w:sz w:val="20"/>
          <w:szCs w:val="20"/>
        </w:rPr>
        <w:t>with temperature for the sample contains 15 mol % WO</w:t>
      </w:r>
      <w:r w:rsidRPr="00760593">
        <w:rPr>
          <w:sz w:val="20"/>
          <w:szCs w:val="20"/>
          <w:vertAlign w:val="subscript"/>
        </w:rPr>
        <w:t xml:space="preserve">3 </w:t>
      </w:r>
      <w:r w:rsidRPr="00760593">
        <w:rPr>
          <w:sz w:val="20"/>
          <w:szCs w:val="20"/>
        </w:rPr>
        <w:t>as a representative figure</w:t>
      </w:r>
      <w:r w:rsidRPr="00760593">
        <w:rPr>
          <w:bCs/>
          <w:sz w:val="20"/>
          <w:szCs w:val="20"/>
        </w:rPr>
        <w:t xml:space="preserve">, where it appeared that it decreases with the increase of </w:t>
      </w:r>
      <w:r w:rsidRPr="00760593">
        <w:rPr>
          <w:bCs/>
          <w:sz w:val="20"/>
          <w:szCs w:val="20"/>
        </w:rPr>
        <w:lastRenderedPageBreak/>
        <w:t xml:space="preserve">temperature. This indicated that, </w:t>
      </w:r>
      <w:r w:rsidRPr="00760593">
        <w:rPr>
          <w:sz w:val="20"/>
          <w:szCs w:val="20"/>
        </w:rPr>
        <w:t>the correlated barrier hopping (CBH) model proposed by Elliot [25] can be used to describe the conductivity mechanism, where the experimental behavior of the exponent factor (s) agree well with those predicted by the model, according to equation (5) [26],</w:t>
      </w:r>
    </w:p>
    <w:p w:rsidR="00223A3D" w:rsidRPr="00760593" w:rsidRDefault="00223A3D" w:rsidP="00760593">
      <w:pPr>
        <w:snapToGrid w:val="0"/>
        <w:ind w:firstLine="425"/>
        <w:jc w:val="both"/>
        <w:rPr>
          <w:sz w:val="20"/>
          <w:szCs w:val="20"/>
        </w:rPr>
      </w:pPr>
    </w:p>
    <w:p w:rsidR="004932F4" w:rsidRPr="00760593" w:rsidRDefault="0092468F" w:rsidP="00760593">
      <w:pPr>
        <w:snapToGrid w:val="0"/>
        <w:ind w:firstLine="425"/>
        <w:jc w:val="both"/>
        <w:rPr>
          <w:sz w:val="20"/>
          <w:szCs w:val="20"/>
        </w:rPr>
      </w:pPr>
      <w:r w:rsidRPr="00906795">
        <w:rPr>
          <w:position w:val="-26"/>
        </w:rPr>
        <w:object w:dxaOrig="2360" w:dyaOrig="620">
          <v:shape id="_x0000_i1043" type="#_x0000_t75" style="width:143.35pt;height:26.9pt" o:ole="">
            <v:imagedata r:id="rId36" o:title=""/>
          </v:shape>
          <o:OLEObject Type="Embed" ProgID="Equation.3" ShapeID="_x0000_i1043" DrawAspect="Content" ObjectID="_1481740990" r:id="rId37"/>
        </w:object>
      </w:r>
      <w:r>
        <w:rPr>
          <w:rFonts w:hint="eastAsia"/>
          <w:lang w:eastAsia="zh-CN"/>
        </w:rPr>
        <w:tab/>
      </w:r>
      <w:r w:rsidR="00223A3D" w:rsidRPr="00760593">
        <w:rPr>
          <w:sz w:val="20"/>
          <w:szCs w:val="20"/>
        </w:rPr>
        <w:t>(5)</w:t>
      </w:r>
    </w:p>
    <w:p w:rsidR="00223A3D" w:rsidRPr="00760593" w:rsidRDefault="00223A3D" w:rsidP="00760593">
      <w:pPr>
        <w:snapToGrid w:val="0"/>
        <w:ind w:firstLine="425"/>
        <w:jc w:val="both"/>
        <w:rPr>
          <w:sz w:val="20"/>
          <w:szCs w:val="20"/>
        </w:rPr>
      </w:pPr>
    </w:p>
    <w:p w:rsidR="00B53808" w:rsidRPr="00760593" w:rsidRDefault="00223A3D" w:rsidP="00760593">
      <w:pPr>
        <w:snapToGrid w:val="0"/>
        <w:ind w:firstLine="425"/>
        <w:jc w:val="both"/>
        <w:rPr>
          <w:sz w:val="20"/>
          <w:szCs w:val="20"/>
        </w:rPr>
      </w:pPr>
      <w:r w:rsidRPr="00760593">
        <w:rPr>
          <w:sz w:val="20"/>
          <w:szCs w:val="20"/>
        </w:rPr>
        <w:t xml:space="preserve">Where </w:t>
      </w:r>
      <w:r w:rsidRPr="00760593">
        <w:rPr>
          <w:i/>
          <w:iCs/>
          <w:sz w:val="20"/>
          <w:szCs w:val="20"/>
        </w:rPr>
        <w:t>W</w:t>
      </w:r>
      <w:r w:rsidRPr="00760593">
        <w:rPr>
          <w:i/>
          <w:iCs/>
          <w:sz w:val="20"/>
          <w:szCs w:val="20"/>
          <w:vertAlign w:val="subscript"/>
        </w:rPr>
        <w:t>m</w:t>
      </w:r>
      <w:r w:rsidRPr="00760593">
        <w:rPr>
          <w:sz w:val="20"/>
          <w:szCs w:val="20"/>
          <w:vertAlign w:val="subscript"/>
        </w:rPr>
        <w:t xml:space="preserve"> </w:t>
      </w:r>
      <w:r w:rsidRPr="00760593">
        <w:rPr>
          <w:sz w:val="20"/>
          <w:szCs w:val="20"/>
        </w:rPr>
        <w:t xml:space="preserve">is the barrier height, </w:t>
      </w:r>
      <w:proofErr w:type="spellStart"/>
      <w:r w:rsidRPr="00760593">
        <w:rPr>
          <w:i/>
          <w:iCs/>
          <w:sz w:val="20"/>
          <w:szCs w:val="20"/>
        </w:rPr>
        <w:t>k</w:t>
      </w:r>
      <w:r w:rsidRPr="00760593">
        <w:rPr>
          <w:i/>
          <w:iCs/>
          <w:sz w:val="20"/>
          <w:szCs w:val="20"/>
          <w:vertAlign w:val="subscript"/>
        </w:rPr>
        <w:t>B</w:t>
      </w:r>
      <w:proofErr w:type="spellEnd"/>
      <w:r w:rsidRPr="00760593">
        <w:rPr>
          <w:i/>
          <w:iCs/>
          <w:sz w:val="20"/>
          <w:szCs w:val="20"/>
          <w:vertAlign w:val="subscript"/>
        </w:rPr>
        <w:t xml:space="preserve"> </w:t>
      </w:r>
      <w:r w:rsidRPr="00760593">
        <w:rPr>
          <w:sz w:val="20"/>
          <w:szCs w:val="20"/>
        </w:rPr>
        <w:t xml:space="preserve">is Boltzmann constant, </w:t>
      </w:r>
      <w:r w:rsidRPr="00760593">
        <w:rPr>
          <w:i/>
          <w:iCs/>
          <w:sz w:val="20"/>
          <w:szCs w:val="20"/>
        </w:rPr>
        <w:t>T</w:t>
      </w:r>
      <w:r w:rsidRPr="00760593">
        <w:rPr>
          <w:sz w:val="20"/>
          <w:szCs w:val="20"/>
        </w:rPr>
        <w:t xml:space="preserve"> the absolute temperature, </w:t>
      </w:r>
      <w:r w:rsidRPr="00760593">
        <w:rPr>
          <w:i/>
          <w:iCs/>
          <w:sz w:val="20"/>
          <w:szCs w:val="20"/>
        </w:rPr>
        <w:t></w:t>
      </w:r>
      <w:r w:rsidRPr="00760593">
        <w:rPr>
          <w:i/>
          <w:iCs/>
          <w:sz w:val="20"/>
          <w:szCs w:val="20"/>
          <w:vertAlign w:val="subscript"/>
        </w:rPr>
        <w:t></w:t>
      </w:r>
      <w:r w:rsidRPr="00760593">
        <w:rPr>
          <w:i/>
          <w:iCs/>
          <w:sz w:val="20"/>
          <w:szCs w:val="20"/>
          <w:vertAlign w:val="subscript"/>
        </w:rPr>
        <w:t></w:t>
      </w:r>
      <w:r w:rsidRPr="00760593">
        <w:rPr>
          <w:sz w:val="20"/>
          <w:szCs w:val="20"/>
        </w:rPr>
        <w:t xml:space="preserve">is the relaxation time and </w:t>
      </w:r>
      <w:r w:rsidRPr="00760593">
        <w:rPr>
          <w:i/>
          <w:iCs/>
          <w:sz w:val="20"/>
          <w:szCs w:val="20"/>
        </w:rPr>
        <w:t></w:t>
      </w:r>
      <w:r w:rsidRPr="00760593">
        <w:rPr>
          <w:sz w:val="20"/>
          <w:szCs w:val="20"/>
        </w:rPr>
        <w:t xml:space="preserve"> is the angular frequency.</w:t>
      </w:r>
    </w:p>
    <w:p w:rsidR="00B53808" w:rsidRPr="00760593" w:rsidRDefault="00B53808" w:rsidP="00760593">
      <w:pPr>
        <w:snapToGrid w:val="0"/>
        <w:ind w:firstLine="425"/>
        <w:jc w:val="both"/>
        <w:rPr>
          <w:sz w:val="20"/>
          <w:szCs w:val="20"/>
          <w:lang w:eastAsia="zh-CN"/>
        </w:rPr>
      </w:pPr>
      <w:r w:rsidRPr="00760593">
        <w:rPr>
          <w:sz w:val="20"/>
          <w:szCs w:val="20"/>
        </w:rPr>
        <w:t>The obtained conductivity values were plotted as functions of WO</w:t>
      </w:r>
      <w:r w:rsidRPr="00760593">
        <w:rPr>
          <w:sz w:val="20"/>
          <w:szCs w:val="20"/>
          <w:vertAlign w:val="subscript"/>
        </w:rPr>
        <w:t xml:space="preserve">3 </w:t>
      </w:r>
      <w:r w:rsidRPr="00760593">
        <w:rPr>
          <w:sz w:val="20"/>
          <w:szCs w:val="20"/>
        </w:rPr>
        <w:t>content, in Fig. (11) at different fixed temperatures (458,428 and 378 K). It can be seen that by adding tungsten oxide replacing phosphorus oxide up to 15 mol %, the conductivity shows gradual increase, while, when adding more WO</w:t>
      </w:r>
      <w:r w:rsidRPr="00760593">
        <w:rPr>
          <w:sz w:val="20"/>
          <w:szCs w:val="20"/>
          <w:vertAlign w:val="subscript"/>
        </w:rPr>
        <w:t xml:space="preserve">3 </w:t>
      </w:r>
      <w:r w:rsidRPr="00760593">
        <w:rPr>
          <w:sz w:val="20"/>
          <w:szCs w:val="20"/>
        </w:rPr>
        <w:t>the conductivity exhibits sharp decrease (at 458 and 428 K) while at 378 K, the decrease starts at 10 mol % WO</w:t>
      </w:r>
      <w:r w:rsidRPr="00760593">
        <w:rPr>
          <w:sz w:val="20"/>
          <w:szCs w:val="20"/>
          <w:vertAlign w:val="subscript"/>
        </w:rPr>
        <w:t>3</w:t>
      </w:r>
      <w:r w:rsidRPr="00760593">
        <w:rPr>
          <w:sz w:val="20"/>
          <w:szCs w:val="20"/>
        </w:rPr>
        <w:t>.</w:t>
      </w:r>
    </w:p>
    <w:p w:rsidR="00760593" w:rsidRPr="00760593" w:rsidRDefault="00760593" w:rsidP="00760593">
      <w:pPr>
        <w:snapToGrid w:val="0"/>
        <w:ind w:firstLine="425"/>
        <w:jc w:val="both"/>
        <w:rPr>
          <w:sz w:val="20"/>
          <w:szCs w:val="20"/>
          <w:lang w:eastAsia="zh-CN"/>
        </w:rPr>
      </w:pPr>
    </w:p>
    <w:p w:rsidR="00D50024" w:rsidRPr="00760593" w:rsidRDefault="007C74E7" w:rsidP="00760593">
      <w:pPr>
        <w:snapToGrid w:val="0"/>
        <w:jc w:val="center"/>
        <w:rPr>
          <w:sz w:val="20"/>
          <w:szCs w:val="20"/>
        </w:rPr>
      </w:pPr>
      <w:r w:rsidRPr="007C74E7">
        <w:rPr>
          <w:sz w:val="20"/>
        </w:rPr>
        <w:pict>
          <v:shape id="_x0000_i1044" type="#_x0000_t75" style="width:3in;height:162.15pt;visibility:visible">
            <v:imagedata r:id="rId38" o:title=""/>
          </v:shape>
        </w:pict>
      </w:r>
    </w:p>
    <w:p w:rsidR="00C25BB9" w:rsidRPr="00760593" w:rsidRDefault="00C25BB9" w:rsidP="0092468F">
      <w:pPr>
        <w:snapToGrid w:val="0"/>
        <w:jc w:val="both"/>
        <w:rPr>
          <w:sz w:val="20"/>
          <w:szCs w:val="20"/>
        </w:rPr>
      </w:pPr>
      <w:r w:rsidRPr="00760593">
        <w:rPr>
          <w:sz w:val="20"/>
          <w:szCs w:val="20"/>
        </w:rPr>
        <w:t>Figure 11. The total conductivity versus WO</w:t>
      </w:r>
      <w:r w:rsidRPr="00760593">
        <w:rPr>
          <w:sz w:val="20"/>
          <w:szCs w:val="20"/>
          <w:vertAlign w:val="subscript"/>
        </w:rPr>
        <w:t>3</w:t>
      </w:r>
      <w:r w:rsidRPr="00760593">
        <w:rPr>
          <w:sz w:val="20"/>
          <w:szCs w:val="20"/>
        </w:rPr>
        <w:t xml:space="preserve"> content, at different fixed temperatures and constant frequency of 100 kHz</w:t>
      </w:r>
    </w:p>
    <w:p w:rsidR="00C25BB9" w:rsidRPr="00760593" w:rsidRDefault="00C25BB9" w:rsidP="00760593">
      <w:pPr>
        <w:snapToGrid w:val="0"/>
        <w:ind w:firstLine="425"/>
        <w:jc w:val="both"/>
        <w:rPr>
          <w:sz w:val="20"/>
          <w:szCs w:val="20"/>
        </w:rPr>
      </w:pPr>
    </w:p>
    <w:p w:rsidR="00B53808" w:rsidRPr="00760593" w:rsidRDefault="00B53808" w:rsidP="00760593">
      <w:pPr>
        <w:snapToGrid w:val="0"/>
        <w:ind w:firstLine="425"/>
        <w:jc w:val="both"/>
        <w:rPr>
          <w:sz w:val="20"/>
          <w:szCs w:val="20"/>
        </w:rPr>
      </w:pPr>
      <w:r w:rsidRPr="00760593">
        <w:rPr>
          <w:sz w:val="20"/>
          <w:szCs w:val="20"/>
        </w:rPr>
        <w:t>It can be supposed that the conductivity in the WO</w:t>
      </w:r>
      <w:r w:rsidRPr="00760593">
        <w:rPr>
          <w:sz w:val="20"/>
          <w:szCs w:val="20"/>
          <w:vertAlign w:val="subscript"/>
        </w:rPr>
        <w:t xml:space="preserve">3 </w:t>
      </w:r>
      <w:r w:rsidRPr="00760593">
        <w:rPr>
          <w:sz w:val="20"/>
          <w:szCs w:val="20"/>
        </w:rPr>
        <w:t>free sample is mainly due to the movement of Na</w:t>
      </w:r>
      <w:r w:rsidRPr="00760593">
        <w:rPr>
          <w:sz w:val="20"/>
          <w:szCs w:val="20"/>
          <w:vertAlign w:val="superscript"/>
        </w:rPr>
        <w:t>+</w:t>
      </w:r>
      <w:r w:rsidRPr="00760593">
        <w:rPr>
          <w:sz w:val="20"/>
          <w:szCs w:val="20"/>
        </w:rPr>
        <w:t xml:space="preserve"> </w:t>
      </w:r>
      <w:proofErr w:type="spellStart"/>
      <w:r w:rsidRPr="00760593">
        <w:rPr>
          <w:sz w:val="20"/>
          <w:szCs w:val="20"/>
        </w:rPr>
        <w:t>cations</w:t>
      </w:r>
      <w:proofErr w:type="spellEnd"/>
      <w:r w:rsidRPr="00760593">
        <w:rPr>
          <w:sz w:val="20"/>
          <w:szCs w:val="20"/>
        </w:rPr>
        <w:t>. The replacement of P</w:t>
      </w:r>
      <w:r w:rsidRPr="00760593">
        <w:rPr>
          <w:sz w:val="20"/>
          <w:szCs w:val="20"/>
          <w:vertAlign w:val="subscript"/>
        </w:rPr>
        <w:t>2</w:t>
      </w:r>
      <w:r w:rsidRPr="00760593">
        <w:rPr>
          <w:sz w:val="20"/>
          <w:szCs w:val="20"/>
        </w:rPr>
        <w:t>O</w:t>
      </w:r>
      <w:r w:rsidRPr="00760593">
        <w:rPr>
          <w:sz w:val="20"/>
          <w:szCs w:val="20"/>
          <w:vertAlign w:val="subscript"/>
        </w:rPr>
        <w:t>5</w:t>
      </w:r>
      <w:r w:rsidRPr="00760593">
        <w:rPr>
          <w:sz w:val="20"/>
          <w:szCs w:val="20"/>
        </w:rPr>
        <w:t xml:space="preserve"> by WO</w:t>
      </w:r>
      <w:r w:rsidRPr="00760593">
        <w:rPr>
          <w:sz w:val="20"/>
          <w:szCs w:val="20"/>
          <w:vertAlign w:val="subscript"/>
        </w:rPr>
        <w:t xml:space="preserve">3 </w:t>
      </w:r>
      <w:r w:rsidRPr="00760593">
        <w:rPr>
          <w:sz w:val="20"/>
          <w:szCs w:val="20"/>
        </w:rPr>
        <w:t xml:space="preserve">increases the electronic conductivity since tungsten </w:t>
      </w:r>
      <w:proofErr w:type="spellStart"/>
      <w:r w:rsidRPr="00760593">
        <w:rPr>
          <w:sz w:val="20"/>
          <w:szCs w:val="20"/>
        </w:rPr>
        <w:t>cations</w:t>
      </w:r>
      <w:proofErr w:type="spellEnd"/>
      <w:r w:rsidRPr="00760593">
        <w:rPr>
          <w:sz w:val="20"/>
          <w:szCs w:val="20"/>
        </w:rPr>
        <w:t xml:space="preserve"> occupy five different oxidation states. Hence, the gradual increase of WO</w:t>
      </w:r>
      <w:r w:rsidRPr="00760593">
        <w:rPr>
          <w:sz w:val="20"/>
          <w:szCs w:val="20"/>
          <w:vertAlign w:val="subscript"/>
        </w:rPr>
        <w:t xml:space="preserve">3 </w:t>
      </w:r>
      <w:r w:rsidRPr="00760593">
        <w:rPr>
          <w:sz w:val="20"/>
          <w:szCs w:val="20"/>
        </w:rPr>
        <w:t>increases gradually the total conductivity. The observed sharp decrease of the conductivity after WO</w:t>
      </w:r>
      <w:r w:rsidRPr="00760593">
        <w:rPr>
          <w:sz w:val="20"/>
          <w:szCs w:val="20"/>
          <w:vertAlign w:val="subscript"/>
        </w:rPr>
        <w:t xml:space="preserve">3 </w:t>
      </w:r>
      <w:r w:rsidRPr="00760593">
        <w:rPr>
          <w:sz w:val="20"/>
          <w:szCs w:val="20"/>
        </w:rPr>
        <w:t>reaches 10 mol%, at 378 K and 15 mol% at 428 and 458 K, may be due to:</w:t>
      </w:r>
    </w:p>
    <w:p w:rsidR="00B53808" w:rsidRPr="00760593" w:rsidRDefault="00B53808" w:rsidP="00760593">
      <w:pPr>
        <w:numPr>
          <w:ilvl w:val="0"/>
          <w:numId w:val="8"/>
        </w:numPr>
        <w:snapToGrid w:val="0"/>
        <w:ind w:left="0" w:firstLine="425"/>
        <w:jc w:val="both"/>
        <w:rPr>
          <w:sz w:val="20"/>
          <w:szCs w:val="20"/>
        </w:rPr>
      </w:pPr>
      <w:r w:rsidRPr="00760593">
        <w:rPr>
          <w:sz w:val="20"/>
          <w:szCs w:val="20"/>
        </w:rPr>
        <w:t xml:space="preserve">The blocking effect of the large tungsten </w:t>
      </w:r>
      <w:proofErr w:type="spellStart"/>
      <w:r w:rsidRPr="00760593">
        <w:rPr>
          <w:sz w:val="20"/>
          <w:szCs w:val="20"/>
        </w:rPr>
        <w:t>cation</w:t>
      </w:r>
      <w:proofErr w:type="spellEnd"/>
      <w:r w:rsidRPr="00760593">
        <w:rPr>
          <w:sz w:val="20"/>
          <w:szCs w:val="20"/>
        </w:rPr>
        <w:t xml:space="preserve"> volume in comparison with the smaller phosphorous </w:t>
      </w:r>
      <w:proofErr w:type="spellStart"/>
      <w:r w:rsidRPr="00760593">
        <w:rPr>
          <w:sz w:val="20"/>
          <w:szCs w:val="20"/>
        </w:rPr>
        <w:t>cation</w:t>
      </w:r>
      <w:proofErr w:type="spellEnd"/>
      <w:r w:rsidRPr="00760593">
        <w:rPr>
          <w:sz w:val="20"/>
          <w:szCs w:val="20"/>
        </w:rPr>
        <w:t xml:space="preserve"> volume. This was found in agreement with the molar volume and density studies where they showed a gradual decrease in the internal </w:t>
      </w:r>
      <w:r w:rsidRPr="00760593">
        <w:rPr>
          <w:sz w:val="20"/>
          <w:szCs w:val="20"/>
        </w:rPr>
        <w:lastRenderedPageBreak/>
        <w:t xml:space="preserve">free volume, since some tungsten </w:t>
      </w:r>
      <w:proofErr w:type="spellStart"/>
      <w:r w:rsidRPr="00760593">
        <w:rPr>
          <w:sz w:val="20"/>
          <w:szCs w:val="20"/>
        </w:rPr>
        <w:t>cations</w:t>
      </w:r>
      <w:proofErr w:type="spellEnd"/>
      <w:r w:rsidRPr="00760593">
        <w:rPr>
          <w:sz w:val="20"/>
          <w:szCs w:val="20"/>
        </w:rPr>
        <w:t xml:space="preserve"> will act</w:t>
      </w:r>
      <w:r w:rsidR="00060811" w:rsidRPr="00760593">
        <w:rPr>
          <w:sz w:val="20"/>
          <w:szCs w:val="20"/>
        </w:rPr>
        <w:t xml:space="preserve"> to fill the vacancies leading </w:t>
      </w:r>
      <w:r w:rsidRPr="00760593">
        <w:rPr>
          <w:sz w:val="20"/>
          <w:szCs w:val="20"/>
        </w:rPr>
        <w:t xml:space="preserve">to block the pathways of the charge carriers and hence leads to an effective decrease in the mobility of the present sodium </w:t>
      </w:r>
      <w:proofErr w:type="spellStart"/>
      <w:r w:rsidRPr="00760593">
        <w:rPr>
          <w:sz w:val="20"/>
          <w:szCs w:val="20"/>
        </w:rPr>
        <w:t>cations</w:t>
      </w:r>
      <w:proofErr w:type="spellEnd"/>
      <w:r w:rsidRPr="00760593">
        <w:rPr>
          <w:sz w:val="20"/>
          <w:szCs w:val="20"/>
        </w:rPr>
        <w:t>.</w:t>
      </w:r>
    </w:p>
    <w:p w:rsidR="007643B5" w:rsidRPr="00760593" w:rsidRDefault="00B53808" w:rsidP="00760593">
      <w:pPr>
        <w:numPr>
          <w:ilvl w:val="0"/>
          <w:numId w:val="8"/>
        </w:numPr>
        <w:snapToGrid w:val="0"/>
        <w:ind w:left="0" w:firstLine="425"/>
        <w:jc w:val="both"/>
        <w:rPr>
          <w:sz w:val="20"/>
          <w:szCs w:val="20"/>
        </w:rPr>
      </w:pPr>
      <w:r w:rsidRPr="00760593">
        <w:rPr>
          <w:sz w:val="20"/>
          <w:szCs w:val="20"/>
        </w:rPr>
        <w:t xml:space="preserve">The gradual decrease of phosphorous </w:t>
      </w:r>
      <w:proofErr w:type="spellStart"/>
      <w:r w:rsidRPr="00760593">
        <w:rPr>
          <w:sz w:val="20"/>
          <w:szCs w:val="20"/>
        </w:rPr>
        <w:t>cations</w:t>
      </w:r>
      <w:proofErr w:type="spellEnd"/>
      <w:r w:rsidRPr="00760593">
        <w:rPr>
          <w:sz w:val="20"/>
          <w:szCs w:val="20"/>
        </w:rPr>
        <w:t xml:space="preserve"> may force tungsten </w:t>
      </w:r>
      <w:proofErr w:type="spellStart"/>
      <w:r w:rsidRPr="00760593">
        <w:rPr>
          <w:sz w:val="20"/>
          <w:szCs w:val="20"/>
        </w:rPr>
        <w:t>cations</w:t>
      </w:r>
      <w:proofErr w:type="spellEnd"/>
      <w:r w:rsidRPr="00760593">
        <w:rPr>
          <w:sz w:val="20"/>
          <w:szCs w:val="20"/>
        </w:rPr>
        <w:t xml:space="preserve"> to occupy some glass former positions, and hence do not participate in the conduction process.  This supposition can be confirmed by the appearance of some WO</w:t>
      </w:r>
      <w:r w:rsidRPr="00760593">
        <w:rPr>
          <w:sz w:val="20"/>
          <w:szCs w:val="20"/>
          <w:vertAlign w:val="subscript"/>
        </w:rPr>
        <w:t xml:space="preserve">4 </w:t>
      </w:r>
      <w:r w:rsidRPr="00760593">
        <w:rPr>
          <w:sz w:val="20"/>
          <w:szCs w:val="20"/>
        </w:rPr>
        <w:t>groups in the IR analysis.</w:t>
      </w:r>
    </w:p>
    <w:p w:rsidR="00D65877" w:rsidRPr="00760593" w:rsidRDefault="00D65877" w:rsidP="00760593">
      <w:pPr>
        <w:snapToGrid w:val="0"/>
        <w:ind w:firstLine="425"/>
        <w:jc w:val="both"/>
        <w:rPr>
          <w:sz w:val="20"/>
          <w:szCs w:val="20"/>
        </w:rPr>
      </w:pPr>
      <w:r w:rsidRPr="00760593">
        <w:rPr>
          <w:sz w:val="20"/>
          <w:szCs w:val="20"/>
        </w:rPr>
        <w:t>The dielectric constant (</w:t>
      </w:r>
      <w:r w:rsidRPr="00760593">
        <w:rPr>
          <w:i/>
          <w:iCs/>
          <w:sz w:val="20"/>
          <w:szCs w:val="20"/>
        </w:rPr>
        <w:t>ε'</w:t>
      </w:r>
      <w:r w:rsidRPr="00760593">
        <w:rPr>
          <w:sz w:val="20"/>
          <w:szCs w:val="20"/>
        </w:rPr>
        <w:t xml:space="preserve">) temperature dependence was studied for the investigated glasses in the temperature range from 300 to 460 K, and at three fixed frequencies (1, 10, 100 kHz.). The observed change in </w:t>
      </w:r>
      <w:r w:rsidRPr="00760593">
        <w:rPr>
          <w:i/>
          <w:iCs/>
          <w:sz w:val="20"/>
          <w:szCs w:val="20"/>
        </w:rPr>
        <w:t>ε'</w:t>
      </w:r>
      <w:r w:rsidRPr="00760593">
        <w:rPr>
          <w:sz w:val="20"/>
          <w:szCs w:val="20"/>
        </w:rPr>
        <w:t xml:space="preserve"> was represented graphically in Fig. (12), for the sample that contains 15 mol% WO</w:t>
      </w:r>
      <w:r w:rsidRPr="00760593">
        <w:rPr>
          <w:sz w:val="20"/>
          <w:szCs w:val="20"/>
          <w:vertAlign w:val="subscript"/>
        </w:rPr>
        <w:t>3</w:t>
      </w:r>
      <w:r w:rsidRPr="00760593">
        <w:rPr>
          <w:sz w:val="20"/>
          <w:szCs w:val="20"/>
        </w:rPr>
        <w:t>, as representative figure. It was observed that at low temperatures the dielectric constant is almost independent of temperature and show weak frequency dispersion while at higher temperatures it increases gradually as the temperature was increased, and it shows large frequency dispersion, where it decreases with the increase of frequency.</w:t>
      </w:r>
    </w:p>
    <w:p w:rsidR="00D65877" w:rsidRPr="00760593" w:rsidRDefault="00D65877" w:rsidP="00760593">
      <w:pPr>
        <w:snapToGrid w:val="0"/>
        <w:ind w:firstLine="425"/>
        <w:jc w:val="both"/>
        <w:rPr>
          <w:sz w:val="20"/>
          <w:szCs w:val="20"/>
          <w:lang w:eastAsia="zh-CN"/>
        </w:rPr>
      </w:pPr>
      <w:r w:rsidRPr="00760593">
        <w:rPr>
          <w:sz w:val="20"/>
          <w:szCs w:val="20"/>
        </w:rPr>
        <w:t>The reason for these behavior is that, the electric dipoles move almost parallel to the ac external electric field and creates an internal electric field. With the increase of temperature the movement of the electric dipole is easier and then the internal electric field increased which act to increase the dielectric constant values [27].</w:t>
      </w:r>
    </w:p>
    <w:p w:rsidR="00760593" w:rsidRPr="00760593" w:rsidRDefault="00760593" w:rsidP="00760593">
      <w:pPr>
        <w:snapToGrid w:val="0"/>
        <w:ind w:firstLine="425"/>
        <w:jc w:val="both"/>
        <w:rPr>
          <w:sz w:val="20"/>
          <w:szCs w:val="20"/>
          <w:lang w:eastAsia="zh-CN"/>
        </w:rPr>
      </w:pPr>
    </w:p>
    <w:p w:rsidR="00D65877" w:rsidRPr="00760593" w:rsidRDefault="007C74E7" w:rsidP="00760593">
      <w:pPr>
        <w:snapToGrid w:val="0"/>
        <w:jc w:val="center"/>
        <w:rPr>
          <w:sz w:val="20"/>
          <w:szCs w:val="20"/>
        </w:rPr>
      </w:pPr>
      <w:r w:rsidRPr="007C74E7">
        <w:rPr>
          <w:sz w:val="20"/>
        </w:rPr>
        <w:pict>
          <v:shape id="_x0000_i1045" type="#_x0000_t75" style="width:215.35pt;height:188.45pt;visibility:visible">
            <v:imagedata r:id="rId39" o:title=""/>
          </v:shape>
        </w:pict>
      </w:r>
    </w:p>
    <w:p w:rsidR="00A17D00" w:rsidRPr="00760593" w:rsidRDefault="00A17D00" w:rsidP="0092468F">
      <w:pPr>
        <w:snapToGrid w:val="0"/>
        <w:jc w:val="both"/>
        <w:rPr>
          <w:sz w:val="20"/>
          <w:szCs w:val="20"/>
        </w:rPr>
      </w:pPr>
      <w:r w:rsidRPr="00760593">
        <w:rPr>
          <w:sz w:val="20"/>
          <w:szCs w:val="20"/>
        </w:rPr>
        <w:t>Figure 12. The dielectric constant temperature dependence at different fixed frequencies for the sample that contains 15 mol% WO</w:t>
      </w:r>
      <w:r w:rsidRPr="00760593">
        <w:rPr>
          <w:sz w:val="20"/>
          <w:szCs w:val="20"/>
          <w:vertAlign w:val="subscript"/>
        </w:rPr>
        <w:t>3</w:t>
      </w:r>
      <w:r w:rsidRPr="00760593">
        <w:rPr>
          <w:sz w:val="20"/>
          <w:szCs w:val="20"/>
        </w:rPr>
        <w:t>, as representative figure</w:t>
      </w:r>
    </w:p>
    <w:p w:rsidR="00A17D00" w:rsidRPr="00760593" w:rsidRDefault="00A17D00" w:rsidP="00760593">
      <w:pPr>
        <w:snapToGrid w:val="0"/>
        <w:ind w:firstLine="425"/>
        <w:jc w:val="both"/>
        <w:rPr>
          <w:sz w:val="20"/>
          <w:szCs w:val="20"/>
        </w:rPr>
      </w:pPr>
    </w:p>
    <w:p w:rsidR="00A17D00" w:rsidRPr="00760593" w:rsidRDefault="008330EE" w:rsidP="00760593">
      <w:pPr>
        <w:snapToGrid w:val="0"/>
        <w:ind w:firstLine="425"/>
        <w:jc w:val="both"/>
        <w:rPr>
          <w:sz w:val="20"/>
          <w:szCs w:val="20"/>
          <w:lang w:eastAsia="zh-CN"/>
        </w:rPr>
      </w:pPr>
      <w:r w:rsidRPr="00760593">
        <w:rPr>
          <w:sz w:val="20"/>
          <w:szCs w:val="20"/>
        </w:rPr>
        <w:t>The dielectric loss factor (</w:t>
      </w:r>
      <w:r w:rsidRPr="00760593">
        <w:rPr>
          <w:i/>
          <w:iCs/>
          <w:sz w:val="20"/>
          <w:szCs w:val="20"/>
        </w:rPr>
        <w:t>ε″</w:t>
      </w:r>
      <w:r w:rsidRPr="00760593">
        <w:rPr>
          <w:sz w:val="20"/>
          <w:szCs w:val="20"/>
        </w:rPr>
        <w:t xml:space="preserve">) temperature and frequency dependence was also studied. Fig. (13) </w:t>
      </w:r>
      <w:r w:rsidRPr="00760593">
        <w:rPr>
          <w:sz w:val="20"/>
          <w:szCs w:val="20"/>
        </w:rPr>
        <w:lastRenderedPageBreak/>
        <w:t>exhibits the change in the dielectric loss (</w:t>
      </w:r>
      <w:r w:rsidRPr="00760593">
        <w:rPr>
          <w:i/>
          <w:iCs/>
          <w:sz w:val="20"/>
          <w:szCs w:val="20"/>
        </w:rPr>
        <w:t>ε″</w:t>
      </w:r>
      <w:r w:rsidRPr="00760593">
        <w:rPr>
          <w:sz w:val="20"/>
          <w:szCs w:val="20"/>
        </w:rPr>
        <w:t>) as a function of temperature and frequency for the sample contains 15 mol % WO</w:t>
      </w:r>
      <w:r w:rsidRPr="00760593">
        <w:rPr>
          <w:sz w:val="20"/>
          <w:szCs w:val="20"/>
          <w:vertAlign w:val="subscript"/>
        </w:rPr>
        <w:t>3</w:t>
      </w:r>
      <w:r w:rsidRPr="00760593">
        <w:rPr>
          <w:sz w:val="20"/>
          <w:szCs w:val="20"/>
        </w:rPr>
        <w:t>, as representative figure.  Similar behaviors were also obtained for all samples.</w:t>
      </w:r>
    </w:p>
    <w:p w:rsidR="00760593" w:rsidRPr="00760593" w:rsidRDefault="00760593" w:rsidP="00760593">
      <w:pPr>
        <w:snapToGrid w:val="0"/>
        <w:ind w:firstLine="425"/>
        <w:jc w:val="both"/>
        <w:rPr>
          <w:sz w:val="20"/>
          <w:szCs w:val="20"/>
          <w:lang w:eastAsia="zh-CN"/>
        </w:rPr>
      </w:pPr>
    </w:p>
    <w:p w:rsidR="0064141D" w:rsidRPr="00760593" w:rsidRDefault="007C74E7" w:rsidP="00760593">
      <w:pPr>
        <w:snapToGrid w:val="0"/>
        <w:jc w:val="center"/>
        <w:rPr>
          <w:sz w:val="20"/>
          <w:szCs w:val="20"/>
        </w:rPr>
      </w:pPr>
      <w:r w:rsidRPr="007C74E7">
        <w:rPr>
          <w:sz w:val="20"/>
        </w:rPr>
        <w:pict>
          <v:shape id="_x0000_i1046" type="#_x0000_t75" style="width:3in;height:184.05pt;visibility:visible">
            <v:imagedata r:id="rId40" o:title=""/>
          </v:shape>
        </w:pict>
      </w:r>
    </w:p>
    <w:p w:rsidR="0071718E" w:rsidRPr="00760593" w:rsidRDefault="0071718E" w:rsidP="0092468F">
      <w:pPr>
        <w:snapToGrid w:val="0"/>
        <w:jc w:val="both"/>
        <w:rPr>
          <w:sz w:val="20"/>
          <w:szCs w:val="20"/>
        </w:rPr>
      </w:pPr>
      <w:r w:rsidRPr="00760593">
        <w:rPr>
          <w:sz w:val="20"/>
          <w:szCs w:val="20"/>
        </w:rPr>
        <w:t>Figure 13. The variation of the dielectric loss versus temperature at different frequencies for the sample containing 15 mol% WO</w:t>
      </w:r>
      <w:r w:rsidRPr="00760593">
        <w:rPr>
          <w:sz w:val="20"/>
          <w:szCs w:val="20"/>
          <w:vertAlign w:val="subscript"/>
        </w:rPr>
        <w:t>3</w:t>
      </w:r>
      <w:r w:rsidR="00635D3C" w:rsidRPr="00760593">
        <w:rPr>
          <w:sz w:val="20"/>
          <w:szCs w:val="20"/>
        </w:rPr>
        <w:t>,</w:t>
      </w:r>
      <w:r w:rsidRPr="00760593">
        <w:rPr>
          <w:sz w:val="20"/>
          <w:szCs w:val="20"/>
        </w:rPr>
        <w:t xml:space="preserve"> as representative figure</w:t>
      </w:r>
    </w:p>
    <w:p w:rsidR="00432AEE" w:rsidRPr="00760593" w:rsidRDefault="00432AEE" w:rsidP="00760593">
      <w:pPr>
        <w:snapToGrid w:val="0"/>
        <w:ind w:firstLine="425"/>
        <w:jc w:val="both"/>
        <w:rPr>
          <w:sz w:val="20"/>
          <w:szCs w:val="20"/>
        </w:rPr>
      </w:pPr>
    </w:p>
    <w:p w:rsidR="00432AEE" w:rsidRPr="00760593" w:rsidRDefault="00432AEE" w:rsidP="00760593">
      <w:pPr>
        <w:snapToGrid w:val="0"/>
        <w:ind w:firstLine="425"/>
        <w:jc w:val="both"/>
        <w:rPr>
          <w:sz w:val="20"/>
          <w:szCs w:val="20"/>
        </w:rPr>
      </w:pPr>
      <w:r w:rsidRPr="00760593">
        <w:rPr>
          <w:sz w:val="20"/>
          <w:szCs w:val="20"/>
        </w:rPr>
        <w:t xml:space="preserve">It is noticed that at relatively low temperatures ε″ appeared to be temperature and frequency independent, while at relatively high temperatures, it increases gradually as the temperature was increased such that the rate of increase is inversely proportional to the applied frequency. This behavior can be attributed to the relaxation phenomenon that can be divided into three parts, the conduction loss, the dipolar loss and the </w:t>
      </w:r>
      <w:proofErr w:type="spellStart"/>
      <w:r w:rsidRPr="00760593">
        <w:rPr>
          <w:sz w:val="20"/>
          <w:szCs w:val="20"/>
        </w:rPr>
        <w:t>vibrational</w:t>
      </w:r>
      <w:proofErr w:type="spellEnd"/>
      <w:r w:rsidRPr="00760593">
        <w:rPr>
          <w:sz w:val="20"/>
          <w:szCs w:val="20"/>
        </w:rPr>
        <w:t xml:space="preserve"> loss. Since the conduction loss is proportional to </w:t>
      </w:r>
      <w:r w:rsidRPr="00760593">
        <w:rPr>
          <w:sz w:val="20"/>
          <w:szCs w:val="20"/>
        </w:rPr>
        <w:sym w:font="Symbol" w:char="F073"/>
      </w:r>
      <w:r w:rsidRPr="00760593">
        <w:rPr>
          <w:sz w:val="20"/>
          <w:szCs w:val="20"/>
          <w:vertAlign w:val="subscript"/>
        </w:rPr>
        <w:sym w:font="Symbol" w:char="F077"/>
      </w:r>
      <w:r w:rsidRPr="00760593">
        <w:rPr>
          <w:sz w:val="20"/>
          <w:szCs w:val="20"/>
        </w:rPr>
        <w:t xml:space="preserve"> therefore the conduction loss increased as the conductivity increased, (which is a function of temperature), similar behavior was obtained for all other samples. The dielectric loss represents the energy loss from the dielectric and it appeared in many forms (friction between the molecules, radiation …etc.), the friction between the molecules increased by increasing the movement of the dipoles, then the dielectric loss is increased by increasing temperature [28-3</w:t>
      </w:r>
      <w:r w:rsidR="006E277D" w:rsidRPr="00760593">
        <w:rPr>
          <w:sz w:val="20"/>
          <w:szCs w:val="20"/>
        </w:rPr>
        <w:t>0</w:t>
      </w:r>
      <w:r w:rsidRPr="00760593">
        <w:rPr>
          <w:sz w:val="20"/>
          <w:szCs w:val="20"/>
        </w:rPr>
        <w:t>].</w:t>
      </w:r>
    </w:p>
    <w:p w:rsidR="00B05F57" w:rsidRPr="00760593" w:rsidRDefault="00432AEE" w:rsidP="00760593">
      <w:pPr>
        <w:snapToGrid w:val="0"/>
        <w:ind w:firstLine="425"/>
        <w:jc w:val="both"/>
        <w:rPr>
          <w:sz w:val="20"/>
          <w:szCs w:val="20"/>
        </w:rPr>
      </w:pPr>
      <w:r w:rsidRPr="00760593">
        <w:rPr>
          <w:sz w:val="20"/>
          <w:szCs w:val="20"/>
        </w:rPr>
        <w:t>Figs. (14 and 15) represents the variation of dielectric constant, and dielectric loss respectively as a function of WO</w:t>
      </w:r>
      <w:r w:rsidRPr="00760593">
        <w:rPr>
          <w:sz w:val="20"/>
          <w:szCs w:val="20"/>
          <w:vertAlign w:val="subscript"/>
        </w:rPr>
        <w:t>3</w:t>
      </w:r>
      <w:r w:rsidRPr="00760593">
        <w:rPr>
          <w:sz w:val="20"/>
          <w:szCs w:val="20"/>
        </w:rPr>
        <w:t xml:space="preserve"> content at different fixed temperatures. It can be seen that as WO</w:t>
      </w:r>
      <w:r w:rsidRPr="00760593">
        <w:rPr>
          <w:sz w:val="20"/>
          <w:szCs w:val="20"/>
          <w:vertAlign w:val="subscript"/>
        </w:rPr>
        <w:t>3</w:t>
      </w:r>
      <w:r w:rsidRPr="00760593">
        <w:rPr>
          <w:sz w:val="20"/>
          <w:szCs w:val="20"/>
        </w:rPr>
        <w:t xml:space="preserve"> content was gradually increased, both the dielectric constant and loss show an increase until WO</w:t>
      </w:r>
      <w:r w:rsidRPr="00760593">
        <w:rPr>
          <w:sz w:val="20"/>
          <w:szCs w:val="20"/>
          <w:vertAlign w:val="subscript"/>
        </w:rPr>
        <w:t xml:space="preserve">3 </w:t>
      </w:r>
      <w:r w:rsidRPr="00760593">
        <w:rPr>
          <w:sz w:val="20"/>
          <w:szCs w:val="20"/>
        </w:rPr>
        <w:t>reaches 10 and 15 mol% (for ɛ' and ɛ'' respectively) then they start to decrease again. This behavior may be due to the fact that, the dielectric constant (ɛ') for a dielectric material is directly proportional to the charge (Q) on that material, and inversely proportional to the net electric field value.</w:t>
      </w:r>
    </w:p>
    <w:p w:rsidR="00B05F57" w:rsidRPr="00760593" w:rsidRDefault="007C74E7" w:rsidP="0092468F">
      <w:pPr>
        <w:snapToGrid w:val="0"/>
        <w:jc w:val="center"/>
        <w:rPr>
          <w:sz w:val="20"/>
          <w:szCs w:val="20"/>
        </w:rPr>
      </w:pPr>
      <w:r>
        <w:lastRenderedPageBreak/>
        <w:pict>
          <v:shape id="_x0000_i1047" type="#_x0000_t75" style="width:215.35pt;height:135.25pt;visibility:visible">
            <v:imagedata r:id="rId41" o:title=""/>
          </v:shape>
        </w:pict>
      </w:r>
    </w:p>
    <w:p w:rsidR="00BC5F5E" w:rsidRDefault="00BC5F5E" w:rsidP="0092468F">
      <w:pPr>
        <w:snapToGrid w:val="0"/>
        <w:jc w:val="both"/>
        <w:rPr>
          <w:sz w:val="20"/>
          <w:szCs w:val="20"/>
          <w:lang w:eastAsia="zh-CN"/>
        </w:rPr>
      </w:pPr>
      <w:r w:rsidRPr="00760593">
        <w:rPr>
          <w:sz w:val="20"/>
          <w:szCs w:val="20"/>
        </w:rPr>
        <w:t>Figure 14. The dielectric constant as a function of WO</w:t>
      </w:r>
      <w:r w:rsidRPr="00760593">
        <w:rPr>
          <w:sz w:val="20"/>
          <w:szCs w:val="20"/>
          <w:vertAlign w:val="subscript"/>
        </w:rPr>
        <w:t>3</w:t>
      </w:r>
      <w:r w:rsidRPr="00760593">
        <w:rPr>
          <w:sz w:val="20"/>
          <w:szCs w:val="20"/>
        </w:rPr>
        <w:t xml:space="preserve"> content at different fixed temperatures</w:t>
      </w:r>
    </w:p>
    <w:p w:rsidR="0092468F" w:rsidRPr="00760593" w:rsidRDefault="0092468F" w:rsidP="0092468F">
      <w:pPr>
        <w:snapToGrid w:val="0"/>
        <w:jc w:val="both"/>
        <w:rPr>
          <w:sz w:val="20"/>
          <w:szCs w:val="20"/>
          <w:lang w:eastAsia="zh-CN"/>
        </w:rPr>
      </w:pPr>
    </w:p>
    <w:p w:rsidR="00BC5F5E" w:rsidRPr="00760593" w:rsidRDefault="007C74E7" w:rsidP="0092468F">
      <w:pPr>
        <w:snapToGrid w:val="0"/>
        <w:jc w:val="center"/>
        <w:rPr>
          <w:sz w:val="20"/>
          <w:szCs w:val="20"/>
        </w:rPr>
      </w:pPr>
      <w:r>
        <w:pict>
          <v:shape id="_x0000_i1048" type="#_x0000_t75" style="width:3in;height:155.25pt;visibility:visible">
            <v:imagedata r:id="rId42" o:title=""/>
          </v:shape>
        </w:pict>
      </w:r>
    </w:p>
    <w:p w:rsidR="00BC5F5E" w:rsidRPr="00760593" w:rsidRDefault="00BC5F5E" w:rsidP="0092468F">
      <w:pPr>
        <w:snapToGrid w:val="0"/>
        <w:jc w:val="both"/>
        <w:rPr>
          <w:sz w:val="20"/>
          <w:szCs w:val="20"/>
        </w:rPr>
      </w:pPr>
      <w:r w:rsidRPr="00760593">
        <w:rPr>
          <w:sz w:val="20"/>
          <w:szCs w:val="20"/>
        </w:rPr>
        <w:t>Figure 15. The dielectric loss as a function of WO</w:t>
      </w:r>
      <w:r w:rsidRPr="00760593">
        <w:rPr>
          <w:sz w:val="20"/>
          <w:szCs w:val="20"/>
          <w:vertAlign w:val="subscript"/>
        </w:rPr>
        <w:t>3</w:t>
      </w:r>
      <w:r w:rsidRPr="00760593">
        <w:rPr>
          <w:sz w:val="20"/>
          <w:szCs w:val="20"/>
        </w:rPr>
        <w:t xml:space="preserve"> content at different fixed temperatures</w:t>
      </w:r>
    </w:p>
    <w:p w:rsidR="00BC5F5E" w:rsidRPr="00760593" w:rsidRDefault="00BC5F5E" w:rsidP="00760593">
      <w:pPr>
        <w:snapToGrid w:val="0"/>
        <w:ind w:firstLine="425"/>
        <w:jc w:val="both"/>
        <w:rPr>
          <w:sz w:val="20"/>
          <w:szCs w:val="20"/>
        </w:rPr>
      </w:pPr>
    </w:p>
    <w:p w:rsidR="00BC5F5E" w:rsidRPr="00760593" w:rsidRDefault="00BC5F5E" w:rsidP="00760593">
      <w:pPr>
        <w:snapToGrid w:val="0"/>
        <w:ind w:firstLine="425"/>
        <w:jc w:val="both"/>
        <w:rPr>
          <w:sz w:val="20"/>
          <w:szCs w:val="20"/>
        </w:rPr>
      </w:pPr>
      <w:r w:rsidRPr="00760593">
        <w:rPr>
          <w:sz w:val="20"/>
          <w:szCs w:val="20"/>
        </w:rPr>
        <w:t>Increasing WO</w:t>
      </w:r>
      <w:r w:rsidRPr="00760593">
        <w:rPr>
          <w:sz w:val="20"/>
          <w:szCs w:val="20"/>
          <w:vertAlign w:val="subscript"/>
        </w:rPr>
        <w:t>3</w:t>
      </w:r>
      <w:r w:rsidRPr="00760593">
        <w:rPr>
          <w:sz w:val="20"/>
          <w:szCs w:val="20"/>
        </w:rPr>
        <w:t xml:space="preserve"> leads to an increase in the conductivity, and then increases the charge (Q) on the material, and then increases the dielectric constant, which act to increase the internal electric field and then decreases the net electric field, which in turn increases the dielectric constant and loss.</w:t>
      </w:r>
    </w:p>
    <w:p w:rsidR="00BC5F5E" w:rsidRPr="00760593" w:rsidRDefault="00BC5F5E" w:rsidP="00760593">
      <w:pPr>
        <w:snapToGrid w:val="0"/>
        <w:ind w:firstLine="425"/>
        <w:jc w:val="both"/>
        <w:rPr>
          <w:sz w:val="20"/>
          <w:szCs w:val="20"/>
        </w:rPr>
      </w:pPr>
      <w:r w:rsidRPr="00760593">
        <w:rPr>
          <w:sz w:val="20"/>
          <w:szCs w:val="20"/>
        </w:rPr>
        <w:t>After WO</w:t>
      </w:r>
      <w:r w:rsidRPr="00760593">
        <w:rPr>
          <w:sz w:val="20"/>
          <w:szCs w:val="20"/>
          <w:vertAlign w:val="subscript"/>
        </w:rPr>
        <w:t xml:space="preserve">3 </w:t>
      </w:r>
      <w:r w:rsidRPr="00760593">
        <w:rPr>
          <w:sz w:val="20"/>
          <w:szCs w:val="20"/>
        </w:rPr>
        <w:t>reaches 10 and 15 mol % (moderate concentrations of WO</w:t>
      </w:r>
      <w:r w:rsidRPr="00760593">
        <w:rPr>
          <w:sz w:val="20"/>
          <w:szCs w:val="20"/>
          <w:vertAlign w:val="subscript"/>
        </w:rPr>
        <w:t>3</w:t>
      </w:r>
      <w:r w:rsidRPr="00760593">
        <w:rPr>
          <w:sz w:val="20"/>
          <w:szCs w:val="20"/>
        </w:rPr>
        <w:t>) a decrease in the conductivity was observed (see Fig. (11)). This leads to decrease the dielectric constant. On the other hand, the decrease of the charge on the material leads to decrease the internal electric field and to increase the net electric field, and hence all these factors act to decrease the dielectric constant and loss.</w:t>
      </w:r>
    </w:p>
    <w:p w:rsidR="00BC5F5E" w:rsidRPr="00760593" w:rsidRDefault="00BC5F5E" w:rsidP="00760593">
      <w:pPr>
        <w:snapToGrid w:val="0"/>
        <w:ind w:firstLine="425"/>
        <w:jc w:val="both"/>
        <w:rPr>
          <w:b/>
          <w:bCs/>
          <w:sz w:val="20"/>
          <w:szCs w:val="20"/>
          <w:u w:val="single"/>
        </w:rPr>
      </w:pPr>
    </w:p>
    <w:p w:rsidR="00BC5F5E" w:rsidRPr="00760593" w:rsidRDefault="00BC5F5E" w:rsidP="0092468F">
      <w:pPr>
        <w:snapToGrid w:val="0"/>
        <w:jc w:val="both"/>
        <w:rPr>
          <w:b/>
          <w:bCs/>
          <w:sz w:val="20"/>
          <w:szCs w:val="20"/>
        </w:rPr>
      </w:pPr>
      <w:r w:rsidRPr="00760593">
        <w:rPr>
          <w:b/>
          <w:bCs/>
          <w:sz w:val="20"/>
          <w:szCs w:val="20"/>
        </w:rPr>
        <w:t>4. Conclusion</w:t>
      </w:r>
    </w:p>
    <w:p w:rsidR="002F0FBE" w:rsidRPr="00760593" w:rsidRDefault="00BC5F5E" w:rsidP="00760593">
      <w:pPr>
        <w:snapToGrid w:val="0"/>
        <w:ind w:firstLine="425"/>
        <w:jc w:val="both"/>
        <w:rPr>
          <w:sz w:val="20"/>
          <w:szCs w:val="20"/>
        </w:rPr>
      </w:pPr>
      <w:r w:rsidRPr="00760593">
        <w:rPr>
          <w:sz w:val="20"/>
          <w:szCs w:val="20"/>
        </w:rPr>
        <w:t>According to the obtained results, within the aim of this work, and as WO</w:t>
      </w:r>
      <w:r w:rsidRPr="00760593">
        <w:rPr>
          <w:sz w:val="20"/>
          <w:szCs w:val="20"/>
          <w:vertAlign w:val="subscript"/>
        </w:rPr>
        <w:t>3</w:t>
      </w:r>
      <w:r w:rsidRPr="00760593">
        <w:rPr>
          <w:sz w:val="20"/>
          <w:szCs w:val="20"/>
        </w:rPr>
        <w:t xml:space="preserve"> (as a heavy metal oxide) was gradually </w:t>
      </w:r>
      <w:r w:rsidR="00604D3D" w:rsidRPr="00760593">
        <w:rPr>
          <w:sz w:val="20"/>
          <w:szCs w:val="20"/>
        </w:rPr>
        <w:t>increased;</w:t>
      </w:r>
      <w:r w:rsidRPr="00760593">
        <w:rPr>
          <w:sz w:val="20"/>
          <w:szCs w:val="20"/>
        </w:rPr>
        <w:t xml:space="preserve"> the density showed gradual increase and the molar volume showed gradual decrease. Also, despite of the fluctuations observed in the total conductivity of the studied glasses, all samples showed semi-conduction behavior and the conduction mechanism follows the CBH model. According to the shielding properties </w:t>
      </w:r>
      <w:r w:rsidRPr="00760593">
        <w:rPr>
          <w:sz w:val="20"/>
          <w:szCs w:val="20"/>
        </w:rPr>
        <w:lastRenderedPageBreak/>
        <w:t>study it can be concluded that gamma-ray shielding glass can be prepared from phosphorus pent-oxide as host glass doped with tungsten oxide. It can be concluded also that, as WO</w:t>
      </w:r>
      <w:r w:rsidRPr="00760593">
        <w:rPr>
          <w:sz w:val="20"/>
          <w:szCs w:val="20"/>
          <w:vertAlign w:val="subscript"/>
        </w:rPr>
        <w:t>3</w:t>
      </w:r>
      <w:r w:rsidRPr="00760593">
        <w:rPr>
          <w:sz w:val="20"/>
          <w:szCs w:val="20"/>
        </w:rPr>
        <w:t xml:space="preserve"> was increased the gamma-ray mass attenuation coefficient increased and consequently the HVL decreased. Finally, all the studied samples can be used as gamma-ray shield for low gamma-ray energies and for radio-active waste encapsulating before interment under-ground. </w:t>
      </w:r>
      <w:r w:rsidR="008B4BDD" w:rsidRPr="00760593">
        <w:rPr>
          <w:sz w:val="20"/>
          <w:szCs w:val="20"/>
        </w:rPr>
        <w:t>It was concluded a</w:t>
      </w:r>
      <w:r w:rsidRPr="00760593">
        <w:rPr>
          <w:sz w:val="20"/>
          <w:szCs w:val="20"/>
        </w:rPr>
        <w:t>lso</w:t>
      </w:r>
      <w:r w:rsidR="008B4BDD" w:rsidRPr="00760593">
        <w:rPr>
          <w:sz w:val="20"/>
          <w:szCs w:val="20"/>
        </w:rPr>
        <w:t xml:space="preserve"> that</w:t>
      </w:r>
      <w:r w:rsidRPr="00760593">
        <w:rPr>
          <w:sz w:val="20"/>
          <w:szCs w:val="20"/>
        </w:rPr>
        <w:t>, the sample that contains 20 mol% WO</w:t>
      </w:r>
      <w:r w:rsidRPr="00760593">
        <w:rPr>
          <w:sz w:val="20"/>
          <w:szCs w:val="20"/>
          <w:vertAlign w:val="subscript"/>
        </w:rPr>
        <w:t>3</w:t>
      </w:r>
      <w:r w:rsidRPr="00760593">
        <w:rPr>
          <w:sz w:val="20"/>
          <w:szCs w:val="20"/>
        </w:rPr>
        <w:t xml:space="preserve"> is the best one for shielding 332</w:t>
      </w:r>
      <w:r w:rsidR="008B4BDD" w:rsidRPr="00760593">
        <w:rPr>
          <w:sz w:val="20"/>
          <w:szCs w:val="20"/>
        </w:rPr>
        <w:t xml:space="preserve"> </w:t>
      </w:r>
      <w:proofErr w:type="spellStart"/>
      <w:r w:rsidRPr="00760593">
        <w:rPr>
          <w:sz w:val="20"/>
          <w:szCs w:val="20"/>
        </w:rPr>
        <w:t>keV</w:t>
      </w:r>
      <w:proofErr w:type="spellEnd"/>
      <w:r w:rsidRPr="00760593">
        <w:rPr>
          <w:sz w:val="20"/>
          <w:szCs w:val="20"/>
        </w:rPr>
        <w:t xml:space="preserve"> gamma-ray energy, since it show the highest </w:t>
      </w:r>
      <w:r w:rsidR="002F0FBE" w:rsidRPr="00760593">
        <w:rPr>
          <w:sz w:val="20"/>
          <w:szCs w:val="20"/>
        </w:rPr>
        <w:t>µ</w:t>
      </w:r>
      <w:r w:rsidRPr="00760593">
        <w:rPr>
          <w:sz w:val="20"/>
          <w:szCs w:val="20"/>
          <w:vertAlign w:val="subscript"/>
        </w:rPr>
        <w:t>t</w:t>
      </w:r>
      <w:r w:rsidRPr="00760593">
        <w:rPr>
          <w:sz w:val="20"/>
          <w:szCs w:val="20"/>
        </w:rPr>
        <w:t xml:space="preserve"> and the lowest HVL values.</w:t>
      </w:r>
    </w:p>
    <w:p w:rsidR="002F0FBE" w:rsidRPr="00760593" w:rsidRDefault="002F0FBE" w:rsidP="00760593">
      <w:pPr>
        <w:snapToGrid w:val="0"/>
        <w:ind w:firstLine="425"/>
        <w:jc w:val="both"/>
        <w:rPr>
          <w:b/>
          <w:sz w:val="20"/>
          <w:szCs w:val="20"/>
        </w:rPr>
      </w:pPr>
    </w:p>
    <w:p w:rsidR="00471E57" w:rsidRPr="00760593" w:rsidRDefault="00471E57" w:rsidP="0092468F">
      <w:pPr>
        <w:snapToGrid w:val="0"/>
        <w:jc w:val="both"/>
        <w:rPr>
          <w:b/>
          <w:sz w:val="20"/>
          <w:szCs w:val="20"/>
        </w:rPr>
      </w:pPr>
      <w:r w:rsidRPr="00760593">
        <w:rPr>
          <w:b/>
          <w:sz w:val="20"/>
          <w:szCs w:val="20"/>
        </w:rPr>
        <w:t>Corresponding Author:</w:t>
      </w:r>
    </w:p>
    <w:p w:rsidR="0049143E" w:rsidRPr="00760593" w:rsidRDefault="00471E57" w:rsidP="0092468F">
      <w:pPr>
        <w:snapToGrid w:val="0"/>
        <w:jc w:val="both"/>
        <w:rPr>
          <w:sz w:val="20"/>
          <w:szCs w:val="20"/>
        </w:rPr>
      </w:pPr>
      <w:r w:rsidRPr="00760593">
        <w:rPr>
          <w:sz w:val="20"/>
          <w:szCs w:val="20"/>
        </w:rPr>
        <w:t>D</w:t>
      </w:r>
      <w:r w:rsidR="0049143E" w:rsidRPr="00760593">
        <w:rPr>
          <w:sz w:val="20"/>
          <w:szCs w:val="20"/>
        </w:rPr>
        <w:t xml:space="preserve">r. </w:t>
      </w:r>
      <w:r w:rsidR="002F0FBE" w:rsidRPr="00760593">
        <w:rPr>
          <w:sz w:val="20"/>
          <w:szCs w:val="20"/>
        </w:rPr>
        <w:t xml:space="preserve">Ahmed G. </w:t>
      </w:r>
      <w:proofErr w:type="spellStart"/>
      <w:r w:rsidR="002F0FBE" w:rsidRPr="00760593">
        <w:rPr>
          <w:sz w:val="20"/>
          <w:szCs w:val="20"/>
        </w:rPr>
        <w:t>Mostafa</w:t>
      </w:r>
      <w:proofErr w:type="spellEnd"/>
    </w:p>
    <w:p w:rsidR="002F0FBE" w:rsidRPr="00760593" w:rsidRDefault="002F0FBE" w:rsidP="0092468F">
      <w:pPr>
        <w:snapToGrid w:val="0"/>
        <w:jc w:val="both"/>
        <w:rPr>
          <w:sz w:val="20"/>
          <w:szCs w:val="20"/>
        </w:rPr>
      </w:pPr>
      <w:r w:rsidRPr="00760593">
        <w:rPr>
          <w:sz w:val="20"/>
          <w:szCs w:val="20"/>
        </w:rPr>
        <w:t>Physics Department</w:t>
      </w:r>
    </w:p>
    <w:p w:rsidR="0049143E" w:rsidRPr="00760593" w:rsidRDefault="002F0FBE" w:rsidP="0092468F">
      <w:pPr>
        <w:snapToGrid w:val="0"/>
        <w:jc w:val="both"/>
        <w:rPr>
          <w:sz w:val="20"/>
          <w:szCs w:val="20"/>
        </w:rPr>
      </w:pPr>
      <w:r w:rsidRPr="00760593">
        <w:rPr>
          <w:sz w:val="20"/>
          <w:szCs w:val="20"/>
        </w:rPr>
        <w:t>Faculty of Science, Al-</w:t>
      </w:r>
      <w:proofErr w:type="spellStart"/>
      <w:r w:rsidRPr="00760593">
        <w:rPr>
          <w:sz w:val="20"/>
          <w:szCs w:val="20"/>
        </w:rPr>
        <w:t>Azhar</w:t>
      </w:r>
      <w:proofErr w:type="spellEnd"/>
      <w:r w:rsidRPr="00760593">
        <w:rPr>
          <w:sz w:val="20"/>
          <w:szCs w:val="20"/>
        </w:rPr>
        <w:t xml:space="preserve"> University, Nasr City, Cairo, Egypt</w:t>
      </w:r>
    </w:p>
    <w:p w:rsidR="00471E57" w:rsidRPr="00760593" w:rsidRDefault="00471E57" w:rsidP="0092468F">
      <w:pPr>
        <w:snapToGrid w:val="0"/>
        <w:jc w:val="both"/>
        <w:rPr>
          <w:sz w:val="20"/>
          <w:szCs w:val="20"/>
        </w:rPr>
      </w:pPr>
      <w:r w:rsidRPr="00760593">
        <w:rPr>
          <w:sz w:val="20"/>
          <w:szCs w:val="20"/>
        </w:rPr>
        <w:t xml:space="preserve">E-mail: </w:t>
      </w:r>
      <w:hyperlink r:id="rId43" w:history="1">
        <w:r w:rsidR="002F0FBE" w:rsidRPr="00760593">
          <w:rPr>
            <w:rStyle w:val="Hyperlink"/>
            <w:sz w:val="20"/>
            <w:szCs w:val="20"/>
          </w:rPr>
          <w:t>drahmedgamal@yahoo.com</w:t>
        </w:r>
      </w:hyperlink>
    </w:p>
    <w:p w:rsidR="00471E57" w:rsidRPr="00760593" w:rsidRDefault="00471E57" w:rsidP="00760593">
      <w:pPr>
        <w:snapToGrid w:val="0"/>
        <w:ind w:firstLine="425"/>
        <w:jc w:val="both"/>
        <w:rPr>
          <w:sz w:val="20"/>
          <w:szCs w:val="20"/>
        </w:rPr>
      </w:pPr>
    </w:p>
    <w:p w:rsidR="00471E57" w:rsidRPr="00760593" w:rsidRDefault="00471E57" w:rsidP="0092468F">
      <w:pPr>
        <w:snapToGrid w:val="0"/>
        <w:jc w:val="both"/>
        <w:rPr>
          <w:b/>
          <w:sz w:val="20"/>
          <w:szCs w:val="20"/>
        </w:rPr>
      </w:pPr>
      <w:r w:rsidRPr="00760593">
        <w:rPr>
          <w:b/>
          <w:sz w:val="20"/>
          <w:szCs w:val="20"/>
        </w:rPr>
        <w:t>References</w:t>
      </w:r>
    </w:p>
    <w:p w:rsidR="00F1031F" w:rsidRPr="00760593" w:rsidRDefault="00092C8D"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S. T. Reis, M. </w:t>
      </w:r>
      <w:proofErr w:type="spellStart"/>
      <w:r w:rsidRPr="00760593">
        <w:rPr>
          <w:sz w:val="20"/>
          <w:szCs w:val="20"/>
        </w:rPr>
        <w:t>Karabulut</w:t>
      </w:r>
      <w:proofErr w:type="spellEnd"/>
      <w:r w:rsidRPr="00760593">
        <w:rPr>
          <w:sz w:val="20"/>
          <w:szCs w:val="20"/>
        </w:rPr>
        <w:t xml:space="preserve"> and</w:t>
      </w:r>
      <w:r w:rsidR="00F1031F" w:rsidRPr="00760593">
        <w:rPr>
          <w:sz w:val="20"/>
          <w:szCs w:val="20"/>
        </w:rPr>
        <w:t xml:space="preserve"> D. E. Day</w:t>
      </w:r>
      <w:r w:rsidRPr="00760593">
        <w:rPr>
          <w:sz w:val="20"/>
          <w:szCs w:val="20"/>
        </w:rPr>
        <w:t>,</w:t>
      </w:r>
      <w:r w:rsidR="00F1031F" w:rsidRPr="00760593">
        <w:rPr>
          <w:sz w:val="20"/>
          <w:szCs w:val="20"/>
        </w:rPr>
        <w:t xml:space="preserve"> J. Non-</w:t>
      </w:r>
      <w:proofErr w:type="spellStart"/>
      <w:r w:rsidR="00F1031F" w:rsidRPr="00760593">
        <w:rPr>
          <w:sz w:val="20"/>
          <w:szCs w:val="20"/>
        </w:rPr>
        <w:t>Cryst</w:t>
      </w:r>
      <w:proofErr w:type="spellEnd"/>
      <w:r w:rsidR="00F1031F" w:rsidRPr="00760593">
        <w:rPr>
          <w:sz w:val="20"/>
          <w:szCs w:val="20"/>
        </w:rPr>
        <w:t>. Solids, 2</w:t>
      </w:r>
      <w:r w:rsidRPr="00760593">
        <w:rPr>
          <w:sz w:val="20"/>
          <w:szCs w:val="20"/>
        </w:rPr>
        <w:t>92</w:t>
      </w:r>
      <w:r w:rsidR="00F1031F" w:rsidRPr="00760593">
        <w:rPr>
          <w:sz w:val="20"/>
          <w:szCs w:val="20"/>
        </w:rPr>
        <w:t xml:space="preserve"> (</w:t>
      </w:r>
      <w:r w:rsidRPr="00760593">
        <w:rPr>
          <w:sz w:val="20"/>
          <w:szCs w:val="20"/>
        </w:rPr>
        <w:t>2001</w:t>
      </w:r>
      <w:r w:rsidR="00F1031F" w:rsidRPr="00760593">
        <w:rPr>
          <w:sz w:val="20"/>
          <w:szCs w:val="20"/>
        </w:rPr>
        <w:t>) 1</w:t>
      </w:r>
      <w:r w:rsidRPr="00760593">
        <w:rPr>
          <w:sz w:val="20"/>
          <w:szCs w:val="20"/>
        </w:rPr>
        <w:t>50</w:t>
      </w:r>
      <w:r w:rsidR="00F1031F" w:rsidRPr="00760593">
        <w:rPr>
          <w:sz w:val="20"/>
          <w:szCs w:val="20"/>
        </w:rPr>
        <w:t>.</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M. </w:t>
      </w:r>
      <w:proofErr w:type="spellStart"/>
      <w:r w:rsidRPr="00760593">
        <w:rPr>
          <w:sz w:val="20"/>
          <w:szCs w:val="20"/>
        </w:rPr>
        <w:t>Karabulut</w:t>
      </w:r>
      <w:proofErr w:type="spellEnd"/>
      <w:r w:rsidRPr="00760593">
        <w:rPr>
          <w:sz w:val="20"/>
          <w:szCs w:val="20"/>
        </w:rPr>
        <w:t xml:space="preserve">, E. </w:t>
      </w:r>
      <w:proofErr w:type="spellStart"/>
      <w:r w:rsidRPr="00760593">
        <w:rPr>
          <w:sz w:val="20"/>
          <w:szCs w:val="20"/>
        </w:rPr>
        <w:t>Metwalli</w:t>
      </w:r>
      <w:proofErr w:type="spellEnd"/>
      <w:r w:rsidRPr="00760593">
        <w:rPr>
          <w:sz w:val="20"/>
          <w:szCs w:val="20"/>
        </w:rPr>
        <w:t>, D. E. Day and R. K. Brow, J. Non-</w:t>
      </w:r>
      <w:proofErr w:type="spellStart"/>
      <w:r w:rsidRPr="00760593">
        <w:rPr>
          <w:sz w:val="20"/>
          <w:szCs w:val="20"/>
        </w:rPr>
        <w:t>Cryst</w:t>
      </w:r>
      <w:proofErr w:type="spellEnd"/>
      <w:r w:rsidRPr="00760593">
        <w:rPr>
          <w:sz w:val="20"/>
          <w:szCs w:val="20"/>
        </w:rPr>
        <w:t>. Solids, 328  (2003) 199.</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P. Y. Shih and T. S. Chin, Mater. Chem. And Phys., 60 (1997) 50.</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A. A. Ramadan, A. G. </w:t>
      </w:r>
      <w:proofErr w:type="spellStart"/>
      <w:r w:rsidRPr="00760593">
        <w:rPr>
          <w:sz w:val="20"/>
          <w:szCs w:val="20"/>
        </w:rPr>
        <w:t>Mostafa</w:t>
      </w:r>
      <w:proofErr w:type="spellEnd"/>
      <w:r w:rsidRPr="00760593">
        <w:rPr>
          <w:sz w:val="20"/>
          <w:szCs w:val="20"/>
        </w:rPr>
        <w:t xml:space="preserve">, M. Y. </w:t>
      </w:r>
      <w:proofErr w:type="spellStart"/>
      <w:r w:rsidRPr="00760593">
        <w:rPr>
          <w:sz w:val="20"/>
          <w:szCs w:val="20"/>
        </w:rPr>
        <w:t>Hassaan</w:t>
      </w:r>
      <w:proofErr w:type="spellEnd"/>
      <w:r w:rsidRPr="00760593">
        <w:rPr>
          <w:sz w:val="20"/>
          <w:szCs w:val="20"/>
        </w:rPr>
        <w:t>, A. Z. Hussein and A. Y. Abdel-</w:t>
      </w:r>
      <w:proofErr w:type="spellStart"/>
      <w:r w:rsidRPr="00760593">
        <w:rPr>
          <w:sz w:val="20"/>
          <w:szCs w:val="20"/>
        </w:rPr>
        <w:t>Hassib</w:t>
      </w:r>
      <w:proofErr w:type="spellEnd"/>
      <w:r w:rsidRPr="00760593">
        <w:rPr>
          <w:sz w:val="20"/>
          <w:szCs w:val="20"/>
        </w:rPr>
        <w:t>, Isotope and Rad. Res., 46 (1) (2014) 83.</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M. </w:t>
      </w:r>
      <w:proofErr w:type="spellStart"/>
      <w:r w:rsidRPr="00760593">
        <w:rPr>
          <w:sz w:val="20"/>
          <w:szCs w:val="20"/>
        </w:rPr>
        <w:t>Srinivasa</w:t>
      </w:r>
      <w:proofErr w:type="spellEnd"/>
      <w:r w:rsidRPr="00760593">
        <w:rPr>
          <w:sz w:val="20"/>
          <w:szCs w:val="20"/>
        </w:rPr>
        <w:t xml:space="preserve"> Reddy, J. Appl., Phys. 37 (2007) 203.</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S. </w:t>
      </w:r>
      <w:proofErr w:type="spellStart"/>
      <w:r w:rsidRPr="00760593">
        <w:rPr>
          <w:sz w:val="20"/>
          <w:szCs w:val="20"/>
        </w:rPr>
        <w:t>Fojino</w:t>
      </w:r>
      <w:proofErr w:type="spellEnd"/>
      <w:r w:rsidRPr="00760593">
        <w:rPr>
          <w:sz w:val="20"/>
          <w:szCs w:val="20"/>
        </w:rPr>
        <w:t xml:space="preserve"> and </w:t>
      </w:r>
      <w:proofErr w:type="spellStart"/>
      <w:r w:rsidRPr="00760593">
        <w:rPr>
          <w:sz w:val="20"/>
          <w:szCs w:val="20"/>
        </w:rPr>
        <w:t>Kuwabara</w:t>
      </w:r>
      <w:proofErr w:type="spellEnd"/>
      <w:r w:rsidRPr="00760593">
        <w:rPr>
          <w:sz w:val="20"/>
          <w:szCs w:val="20"/>
        </w:rPr>
        <w:t>, Key Eng. Mater., 320 (2006) 209.</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A. </w:t>
      </w:r>
      <w:proofErr w:type="spellStart"/>
      <w:r w:rsidRPr="00760593">
        <w:rPr>
          <w:sz w:val="20"/>
          <w:szCs w:val="20"/>
        </w:rPr>
        <w:t>Mansingh</w:t>
      </w:r>
      <w:proofErr w:type="spellEnd"/>
      <w:r w:rsidRPr="00760593">
        <w:rPr>
          <w:sz w:val="20"/>
          <w:szCs w:val="20"/>
        </w:rPr>
        <w:t xml:space="preserve">, R. P. </w:t>
      </w:r>
      <w:proofErr w:type="spellStart"/>
      <w:r w:rsidRPr="00760593">
        <w:rPr>
          <w:sz w:val="20"/>
          <w:szCs w:val="20"/>
        </w:rPr>
        <w:t>Tandon</w:t>
      </w:r>
      <w:proofErr w:type="spellEnd"/>
      <w:r w:rsidRPr="00760593">
        <w:rPr>
          <w:sz w:val="20"/>
          <w:szCs w:val="20"/>
        </w:rPr>
        <w:t xml:space="preserve"> and J. K. </w:t>
      </w:r>
      <w:proofErr w:type="spellStart"/>
      <w:r w:rsidRPr="00760593">
        <w:rPr>
          <w:sz w:val="20"/>
          <w:szCs w:val="20"/>
        </w:rPr>
        <w:t>Vaid</w:t>
      </w:r>
      <w:proofErr w:type="spellEnd"/>
      <w:r w:rsidRPr="00760593">
        <w:rPr>
          <w:sz w:val="20"/>
          <w:szCs w:val="20"/>
        </w:rPr>
        <w:t>, Phys. Rev. B</w:t>
      </w:r>
      <w:r w:rsidR="00C94F0B" w:rsidRPr="00760593">
        <w:rPr>
          <w:sz w:val="20"/>
          <w:szCs w:val="20"/>
        </w:rPr>
        <w:t>,</w:t>
      </w:r>
      <w:r w:rsidRPr="00760593">
        <w:rPr>
          <w:sz w:val="20"/>
          <w:szCs w:val="20"/>
        </w:rPr>
        <w:t xml:space="preserve"> 21 (1980) 4829.</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B. K. </w:t>
      </w:r>
      <w:proofErr w:type="spellStart"/>
      <w:r w:rsidRPr="00760593">
        <w:rPr>
          <w:sz w:val="20"/>
          <w:szCs w:val="20"/>
        </w:rPr>
        <w:t>Chaudhary</w:t>
      </w:r>
      <w:proofErr w:type="spellEnd"/>
      <w:r w:rsidRPr="00760593">
        <w:rPr>
          <w:sz w:val="20"/>
          <w:szCs w:val="20"/>
        </w:rPr>
        <w:t xml:space="preserve">, K. K. </w:t>
      </w:r>
      <w:proofErr w:type="spellStart"/>
      <w:r w:rsidRPr="00760593">
        <w:rPr>
          <w:sz w:val="20"/>
          <w:szCs w:val="20"/>
        </w:rPr>
        <w:t>Som</w:t>
      </w:r>
      <w:proofErr w:type="spellEnd"/>
      <w:r w:rsidRPr="00760593">
        <w:rPr>
          <w:sz w:val="20"/>
          <w:szCs w:val="20"/>
        </w:rPr>
        <w:t xml:space="preserve"> and A. </w:t>
      </w:r>
      <w:proofErr w:type="spellStart"/>
      <w:r w:rsidRPr="00760593">
        <w:rPr>
          <w:sz w:val="20"/>
          <w:szCs w:val="20"/>
        </w:rPr>
        <w:t>Ghosh</w:t>
      </w:r>
      <w:proofErr w:type="spellEnd"/>
      <w:r w:rsidRPr="00760593">
        <w:rPr>
          <w:sz w:val="20"/>
          <w:szCs w:val="20"/>
        </w:rPr>
        <w:t>, J. Appl. Phys., 29 (1990) 120.</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A. </w:t>
      </w:r>
      <w:proofErr w:type="spellStart"/>
      <w:r w:rsidRPr="00760593">
        <w:rPr>
          <w:sz w:val="20"/>
          <w:szCs w:val="20"/>
        </w:rPr>
        <w:t>Mansingh</w:t>
      </w:r>
      <w:proofErr w:type="spellEnd"/>
      <w:r w:rsidRPr="00760593">
        <w:rPr>
          <w:sz w:val="20"/>
          <w:szCs w:val="20"/>
        </w:rPr>
        <w:t xml:space="preserve">, V. K. </w:t>
      </w:r>
      <w:proofErr w:type="spellStart"/>
      <w:r w:rsidRPr="00760593">
        <w:rPr>
          <w:sz w:val="20"/>
          <w:szCs w:val="20"/>
        </w:rPr>
        <w:t>D</w:t>
      </w:r>
      <w:r w:rsidR="00C94F0B" w:rsidRPr="00760593">
        <w:rPr>
          <w:sz w:val="20"/>
          <w:szCs w:val="20"/>
        </w:rPr>
        <w:t>hawan</w:t>
      </w:r>
      <w:proofErr w:type="spellEnd"/>
      <w:r w:rsidR="00C94F0B" w:rsidRPr="00760593">
        <w:rPr>
          <w:sz w:val="20"/>
          <w:szCs w:val="20"/>
        </w:rPr>
        <w:t xml:space="preserve"> and M. </w:t>
      </w:r>
      <w:proofErr w:type="spellStart"/>
      <w:r w:rsidR="00C94F0B" w:rsidRPr="00760593">
        <w:rPr>
          <w:sz w:val="20"/>
          <w:szCs w:val="20"/>
        </w:rPr>
        <w:t>Sayer</w:t>
      </w:r>
      <w:proofErr w:type="spellEnd"/>
      <w:r w:rsidR="00C94F0B" w:rsidRPr="00760593">
        <w:rPr>
          <w:sz w:val="20"/>
          <w:szCs w:val="20"/>
        </w:rPr>
        <w:t>, Philo. Mag.</w:t>
      </w:r>
      <w:r w:rsidRPr="00760593">
        <w:rPr>
          <w:sz w:val="20"/>
          <w:szCs w:val="20"/>
        </w:rPr>
        <w:t xml:space="preserve"> B</w:t>
      </w:r>
      <w:r w:rsidR="00C94F0B" w:rsidRPr="00760593">
        <w:rPr>
          <w:sz w:val="20"/>
          <w:szCs w:val="20"/>
        </w:rPr>
        <w:t>,</w:t>
      </w:r>
      <w:r w:rsidRPr="00760593">
        <w:rPr>
          <w:sz w:val="20"/>
          <w:szCs w:val="20"/>
        </w:rPr>
        <w:t xml:space="preserve"> 48 (1983) 215.</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A </w:t>
      </w:r>
      <w:proofErr w:type="spellStart"/>
      <w:r w:rsidRPr="00760593">
        <w:rPr>
          <w:sz w:val="20"/>
          <w:szCs w:val="20"/>
        </w:rPr>
        <w:t>Mansingh</w:t>
      </w:r>
      <w:proofErr w:type="spellEnd"/>
      <w:r w:rsidRPr="00760593">
        <w:rPr>
          <w:sz w:val="20"/>
          <w:szCs w:val="20"/>
        </w:rPr>
        <w:t xml:space="preserve">, J K </w:t>
      </w:r>
      <w:proofErr w:type="spellStart"/>
      <w:r w:rsidRPr="00760593">
        <w:rPr>
          <w:sz w:val="20"/>
          <w:szCs w:val="20"/>
        </w:rPr>
        <w:t>Vaid</w:t>
      </w:r>
      <w:proofErr w:type="spellEnd"/>
      <w:r w:rsidRPr="00760593">
        <w:rPr>
          <w:sz w:val="20"/>
          <w:szCs w:val="20"/>
        </w:rPr>
        <w:t xml:space="preserve"> and R P </w:t>
      </w:r>
      <w:proofErr w:type="spellStart"/>
      <w:r w:rsidRPr="00760593">
        <w:rPr>
          <w:sz w:val="20"/>
          <w:szCs w:val="20"/>
        </w:rPr>
        <w:t>Tandon</w:t>
      </w:r>
      <w:proofErr w:type="spellEnd"/>
      <w:r w:rsidRPr="00760593">
        <w:rPr>
          <w:sz w:val="20"/>
          <w:szCs w:val="20"/>
        </w:rPr>
        <w:t>, J. Phys. C</w:t>
      </w:r>
      <w:r w:rsidR="00C94F0B" w:rsidRPr="00760593">
        <w:rPr>
          <w:sz w:val="20"/>
          <w:szCs w:val="20"/>
        </w:rPr>
        <w:t xml:space="preserve">, </w:t>
      </w:r>
      <w:r w:rsidRPr="00760593">
        <w:rPr>
          <w:sz w:val="20"/>
          <w:szCs w:val="20"/>
        </w:rPr>
        <w:t>9 (1976) 1809.</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lastRenderedPageBreak/>
        <w:t xml:space="preserve">A. G. </w:t>
      </w:r>
      <w:proofErr w:type="spellStart"/>
      <w:r w:rsidRPr="00760593">
        <w:rPr>
          <w:sz w:val="20"/>
          <w:szCs w:val="20"/>
        </w:rPr>
        <w:t>Mostafa</w:t>
      </w:r>
      <w:proofErr w:type="spellEnd"/>
      <w:r w:rsidRPr="00760593">
        <w:rPr>
          <w:sz w:val="20"/>
          <w:szCs w:val="20"/>
        </w:rPr>
        <w:t xml:space="preserve">, M. Y. </w:t>
      </w:r>
      <w:proofErr w:type="spellStart"/>
      <w:r w:rsidRPr="00760593">
        <w:rPr>
          <w:sz w:val="20"/>
          <w:szCs w:val="20"/>
        </w:rPr>
        <w:t>Hassaan</w:t>
      </w:r>
      <w:proofErr w:type="spellEnd"/>
      <w:r w:rsidRPr="00760593">
        <w:rPr>
          <w:sz w:val="20"/>
          <w:szCs w:val="20"/>
        </w:rPr>
        <w:t>, A. A. Ramadan, A. Z. Hussein and A. Y. Abdel-</w:t>
      </w:r>
      <w:proofErr w:type="spellStart"/>
      <w:r w:rsidRPr="00760593">
        <w:rPr>
          <w:sz w:val="20"/>
          <w:szCs w:val="20"/>
        </w:rPr>
        <w:t>Hassib</w:t>
      </w:r>
      <w:proofErr w:type="spellEnd"/>
      <w:r w:rsidRPr="00760593">
        <w:rPr>
          <w:sz w:val="20"/>
          <w:szCs w:val="20"/>
        </w:rPr>
        <w:t>, Nature and Science, 11 (5) (2014) 148.</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A. M. </w:t>
      </w:r>
      <w:proofErr w:type="spellStart"/>
      <w:r w:rsidRPr="00760593">
        <w:rPr>
          <w:sz w:val="20"/>
          <w:szCs w:val="20"/>
        </w:rPr>
        <w:t>Zoulfakar</w:t>
      </w:r>
      <w:proofErr w:type="spellEnd"/>
      <w:r w:rsidRPr="00760593">
        <w:rPr>
          <w:sz w:val="20"/>
          <w:szCs w:val="20"/>
        </w:rPr>
        <w:t>, M. Sc. Thesis, Al-</w:t>
      </w:r>
      <w:proofErr w:type="spellStart"/>
      <w:r w:rsidRPr="00760593">
        <w:rPr>
          <w:sz w:val="20"/>
          <w:szCs w:val="20"/>
        </w:rPr>
        <w:t>Azhar</w:t>
      </w:r>
      <w:proofErr w:type="spellEnd"/>
      <w:r w:rsidRPr="00760593">
        <w:rPr>
          <w:sz w:val="20"/>
          <w:szCs w:val="20"/>
        </w:rPr>
        <w:t xml:space="preserve"> Univ. (2013).</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D. A. </w:t>
      </w:r>
      <w:proofErr w:type="spellStart"/>
      <w:r w:rsidRPr="00760593">
        <w:rPr>
          <w:sz w:val="20"/>
          <w:szCs w:val="20"/>
        </w:rPr>
        <w:t>Magdas</w:t>
      </w:r>
      <w:proofErr w:type="spellEnd"/>
      <w:r w:rsidRPr="00760593">
        <w:rPr>
          <w:sz w:val="20"/>
          <w:szCs w:val="20"/>
        </w:rPr>
        <w:t xml:space="preserve">, A, </w:t>
      </w:r>
      <w:proofErr w:type="spellStart"/>
      <w:r w:rsidRPr="00760593">
        <w:rPr>
          <w:sz w:val="20"/>
          <w:szCs w:val="20"/>
        </w:rPr>
        <w:t>Cosar</w:t>
      </w:r>
      <w:proofErr w:type="spellEnd"/>
      <w:r w:rsidRPr="00760593">
        <w:rPr>
          <w:sz w:val="20"/>
          <w:szCs w:val="20"/>
        </w:rPr>
        <w:t xml:space="preserve">, V. </w:t>
      </w:r>
      <w:proofErr w:type="spellStart"/>
      <w:r w:rsidRPr="00760593">
        <w:rPr>
          <w:sz w:val="20"/>
          <w:szCs w:val="20"/>
        </w:rPr>
        <w:t>Chis</w:t>
      </w:r>
      <w:proofErr w:type="spellEnd"/>
      <w:r w:rsidRPr="00760593">
        <w:rPr>
          <w:sz w:val="20"/>
          <w:szCs w:val="20"/>
        </w:rPr>
        <w:t xml:space="preserve">, I. </w:t>
      </w:r>
      <w:proofErr w:type="spellStart"/>
      <w:r w:rsidRPr="00760593">
        <w:rPr>
          <w:sz w:val="20"/>
          <w:szCs w:val="20"/>
        </w:rPr>
        <w:t>Ardelean</w:t>
      </w:r>
      <w:proofErr w:type="spellEnd"/>
      <w:r w:rsidRPr="00760593">
        <w:rPr>
          <w:sz w:val="20"/>
          <w:szCs w:val="20"/>
        </w:rPr>
        <w:t xml:space="preserve"> and N. </w:t>
      </w:r>
      <w:proofErr w:type="spellStart"/>
      <w:r w:rsidRPr="00760593">
        <w:rPr>
          <w:sz w:val="20"/>
          <w:szCs w:val="20"/>
        </w:rPr>
        <w:t>Vedeanu</w:t>
      </w:r>
      <w:proofErr w:type="spellEnd"/>
      <w:r w:rsidRPr="00760593">
        <w:rPr>
          <w:sz w:val="20"/>
          <w:szCs w:val="20"/>
        </w:rPr>
        <w:t xml:space="preserve">, </w:t>
      </w:r>
      <w:proofErr w:type="spellStart"/>
      <w:r w:rsidRPr="00760593">
        <w:rPr>
          <w:sz w:val="20"/>
          <w:szCs w:val="20"/>
        </w:rPr>
        <w:t>Vib</w:t>
      </w:r>
      <w:proofErr w:type="spellEnd"/>
      <w:r w:rsidRPr="00760593">
        <w:rPr>
          <w:sz w:val="20"/>
          <w:szCs w:val="20"/>
        </w:rPr>
        <w:t xml:space="preserve">. </w:t>
      </w:r>
      <w:proofErr w:type="spellStart"/>
      <w:r w:rsidRPr="00760593">
        <w:rPr>
          <w:sz w:val="20"/>
          <w:szCs w:val="20"/>
        </w:rPr>
        <w:t>Spectrosc</w:t>
      </w:r>
      <w:proofErr w:type="spellEnd"/>
      <w:r w:rsidRPr="00760593">
        <w:rPr>
          <w:sz w:val="20"/>
          <w:szCs w:val="20"/>
        </w:rPr>
        <w:t>., 48 (2008) 251.</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A. G. </w:t>
      </w:r>
      <w:proofErr w:type="spellStart"/>
      <w:r w:rsidRPr="00760593">
        <w:rPr>
          <w:sz w:val="20"/>
          <w:szCs w:val="20"/>
        </w:rPr>
        <w:t>Shikerkar</w:t>
      </w:r>
      <w:proofErr w:type="spellEnd"/>
      <w:r w:rsidRPr="00760593">
        <w:rPr>
          <w:sz w:val="20"/>
          <w:szCs w:val="20"/>
        </w:rPr>
        <w:t xml:space="preserve">, J. A. E. </w:t>
      </w:r>
      <w:proofErr w:type="spellStart"/>
      <w:r w:rsidRPr="00760593">
        <w:rPr>
          <w:sz w:val="20"/>
          <w:szCs w:val="20"/>
        </w:rPr>
        <w:t>Desa</w:t>
      </w:r>
      <w:proofErr w:type="spellEnd"/>
      <w:r w:rsidRPr="00760593">
        <w:rPr>
          <w:sz w:val="20"/>
          <w:szCs w:val="20"/>
        </w:rPr>
        <w:t xml:space="preserve">, P. S. R. Krishna and R. </w:t>
      </w:r>
      <w:proofErr w:type="spellStart"/>
      <w:r w:rsidRPr="00760593">
        <w:rPr>
          <w:sz w:val="20"/>
          <w:szCs w:val="20"/>
        </w:rPr>
        <w:t>Chitra</w:t>
      </w:r>
      <w:proofErr w:type="spellEnd"/>
      <w:r w:rsidRPr="00760593">
        <w:rPr>
          <w:sz w:val="20"/>
          <w:szCs w:val="20"/>
        </w:rPr>
        <w:t>, J. Non-</w:t>
      </w:r>
      <w:proofErr w:type="spellStart"/>
      <w:r w:rsidRPr="00760593">
        <w:rPr>
          <w:sz w:val="20"/>
          <w:szCs w:val="20"/>
        </w:rPr>
        <w:t>Cryst</w:t>
      </w:r>
      <w:proofErr w:type="spellEnd"/>
      <w:r w:rsidRPr="00760593">
        <w:rPr>
          <w:sz w:val="20"/>
          <w:szCs w:val="20"/>
        </w:rPr>
        <w:t>. Solids, 270 (2000) 234.</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L. </w:t>
      </w:r>
      <w:proofErr w:type="spellStart"/>
      <w:r w:rsidRPr="00760593">
        <w:rPr>
          <w:sz w:val="20"/>
          <w:szCs w:val="20"/>
        </w:rPr>
        <w:t>Baia</w:t>
      </w:r>
      <w:proofErr w:type="spellEnd"/>
      <w:r w:rsidRPr="00760593">
        <w:rPr>
          <w:sz w:val="20"/>
          <w:szCs w:val="20"/>
        </w:rPr>
        <w:t xml:space="preserve">, D. </w:t>
      </w:r>
      <w:proofErr w:type="spellStart"/>
      <w:r w:rsidRPr="00760593">
        <w:rPr>
          <w:sz w:val="20"/>
          <w:szCs w:val="20"/>
        </w:rPr>
        <w:t>Muresan</w:t>
      </w:r>
      <w:proofErr w:type="spellEnd"/>
      <w:r w:rsidRPr="00760593">
        <w:rPr>
          <w:sz w:val="20"/>
          <w:szCs w:val="20"/>
        </w:rPr>
        <w:t xml:space="preserve"> and M. </w:t>
      </w:r>
      <w:proofErr w:type="spellStart"/>
      <w:r w:rsidRPr="00760593">
        <w:rPr>
          <w:sz w:val="20"/>
          <w:szCs w:val="20"/>
        </w:rPr>
        <w:t>Baia</w:t>
      </w:r>
      <w:proofErr w:type="spellEnd"/>
      <w:r w:rsidRPr="00760593">
        <w:rPr>
          <w:sz w:val="20"/>
          <w:szCs w:val="20"/>
        </w:rPr>
        <w:t xml:space="preserve">, </w:t>
      </w:r>
      <w:proofErr w:type="spellStart"/>
      <w:r w:rsidRPr="00760593">
        <w:rPr>
          <w:sz w:val="20"/>
          <w:szCs w:val="20"/>
        </w:rPr>
        <w:t>Vib</w:t>
      </w:r>
      <w:proofErr w:type="spellEnd"/>
      <w:r w:rsidRPr="00760593">
        <w:rPr>
          <w:sz w:val="20"/>
          <w:szCs w:val="20"/>
        </w:rPr>
        <w:t xml:space="preserve">. </w:t>
      </w:r>
      <w:proofErr w:type="spellStart"/>
      <w:r w:rsidRPr="00760593">
        <w:rPr>
          <w:sz w:val="20"/>
          <w:szCs w:val="20"/>
        </w:rPr>
        <w:t>Spectrosc</w:t>
      </w:r>
      <w:proofErr w:type="spellEnd"/>
      <w:r w:rsidRPr="00760593">
        <w:rPr>
          <w:sz w:val="20"/>
          <w:szCs w:val="20"/>
        </w:rPr>
        <w:t>., 43 (2007) 313.</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S. W. Martin, Eur. J. Solid </w:t>
      </w:r>
      <w:proofErr w:type="spellStart"/>
      <w:r w:rsidRPr="00760593">
        <w:rPr>
          <w:sz w:val="20"/>
          <w:szCs w:val="20"/>
        </w:rPr>
        <w:t>Inorg</w:t>
      </w:r>
      <w:proofErr w:type="spellEnd"/>
      <w:r w:rsidRPr="00760593">
        <w:rPr>
          <w:sz w:val="20"/>
          <w:szCs w:val="20"/>
        </w:rPr>
        <w:t>. Chem., 28(1) (1991) 163.</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C. </w:t>
      </w:r>
      <w:proofErr w:type="spellStart"/>
      <w:r w:rsidRPr="00760593">
        <w:rPr>
          <w:sz w:val="20"/>
          <w:szCs w:val="20"/>
        </w:rPr>
        <w:t>Daynand</w:t>
      </w:r>
      <w:proofErr w:type="spellEnd"/>
      <w:r w:rsidRPr="00760593">
        <w:rPr>
          <w:sz w:val="20"/>
          <w:szCs w:val="20"/>
        </w:rPr>
        <w:t xml:space="preserve"> and M. S. </w:t>
      </w:r>
      <w:proofErr w:type="spellStart"/>
      <w:r w:rsidRPr="00760593">
        <w:rPr>
          <w:sz w:val="20"/>
          <w:szCs w:val="20"/>
        </w:rPr>
        <w:t>Graw</w:t>
      </w:r>
      <w:proofErr w:type="spellEnd"/>
      <w:r w:rsidRPr="00760593">
        <w:rPr>
          <w:sz w:val="20"/>
          <w:szCs w:val="20"/>
        </w:rPr>
        <w:t>, J. Mater. Sci., 31 (1996) 1945.</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F. F. </w:t>
      </w:r>
      <w:proofErr w:type="spellStart"/>
      <w:r w:rsidRPr="00760593">
        <w:rPr>
          <w:sz w:val="20"/>
          <w:szCs w:val="20"/>
        </w:rPr>
        <w:t>Sene</w:t>
      </w:r>
      <w:proofErr w:type="spellEnd"/>
      <w:r w:rsidRPr="00760593">
        <w:rPr>
          <w:sz w:val="20"/>
          <w:szCs w:val="20"/>
        </w:rPr>
        <w:t xml:space="preserve">, J. R. </w:t>
      </w:r>
      <w:proofErr w:type="spellStart"/>
      <w:r w:rsidRPr="00760593">
        <w:rPr>
          <w:sz w:val="20"/>
          <w:szCs w:val="20"/>
        </w:rPr>
        <w:t>Martinelli</w:t>
      </w:r>
      <w:proofErr w:type="spellEnd"/>
      <w:r w:rsidRPr="00760593">
        <w:rPr>
          <w:sz w:val="20"/>
          <w:szCs w:val="20"/>
        </w:rPr>
        <w:t xml:space="preserve"> and L. Gomes, J. Non-</w:t>
      </w:r>
      <w:proofErr w:type="spellStart"/>
      <w:r w:rsidRPr="00760593">
        <w:rPr>
          <w:sz w:val="20"/>
          <w:szCs w:val="20"/>
        </w:rPr>
        <w:t>Cryst</w:t>
      </w:r>
      <w:proofErr w:type="spellEnd"/>
      <w:r w:rsidRPr="00760593">
        <w:rPr>
          <w:sz w:val="20"/>
          <w:szCs w:val="20"/>
        </w:rPr>
        <w:t>. Solids, 348 (2004) 30.</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J. C. </w:t>
      </w:r>
      <w:proofErr w:type="spellStart"/>
      <w:r w:rsidRPr="00760593">
        <w:rPr>
          <w:sz w:val="20"/>
          <w:szCs w:val="20"/>
        </w:rPr>
        <w:t>Buyn</w:t>
      </w:r>
      <w:proofErr w:type="spellEnd"/>
      <w:r w:rsidRPr="00760593">
        <w:rPr>
          <w:sz w:val="20"/>
          <w:szCs w:val="20"/>
        </w:rPr>
        <w:t xml:space="preserve">, B. M. Kim, K. S. Hong, H. J. Jung, S. W. Lee and A. A. </w:t>
      </w:r>
      <w:proofErr w:type="spellStart"/>
      <w:r w:rsidRPr="00760593">
        <w:rPr>
          <w:sz w:val="20"/>
          <w:szCs w:val="20"/>
        </w:rPr>
        <w:t>Lzyneev</w:t>
      </w:r>
      <w:proofErr w:type="spellEnd"/>
      <w:r w:rsidRPr="00760593">
        <w:rPr>
          <w:sz w:val="20"/>
          <w:szCs w:val="20"/>
        </w:rPr>
        <w:t>, J. Non-</w:t>
      </w:r>
      <w:proofErr w:type="spellStart"/>
      <w:r w:rsidRPr="00760593">
        <w:rPr>
          <w:sz w:val="20"/>
          <w:szCs w:val="20"/>
        </w:rPr>
        <w:t>Cryst</w:t>
      </w:r>
      <w:proofErr w:type="spellEnd"/>
      <w:r w:rsidRPr="00760593">
        <w:rPr>
          <w:sz w:val="20"/>
          <w:szCs w:val="20"/>
        </w:rPr>
        <w:t>. Solids, 190 (1995) 288.</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G. B. Rouse, P. J. Miller and W. M. Risen, J. Non-</w:t>
      </w:r>
      <w:proofErr w:type="spellStart"/>
      <w:r w:rsidRPr="00760593">
        <w:rPr>
          <w:sz w:val="20"/>
          <w:szCs w:val="20"/>
        </w:rPr>
        <w:t>Cryst</w:t>
      </w:r>
      <w:proofErr w:type="spellEnd"/>
      <w:r w:rsidRPr="00760593">
        <w:rPr>
          <w:sz w:val="20"/>
          <w:szCs w:val="20"/>
        </w:rPr>
        <w:t>. Solids, 28 (1978) 193.</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A. M</w:t>
      </w:r>
      <w:r w:rsidR="004C6B9D" w:rsidRPr="00760593">
        <w:rPr>
          <w:sz w:val="20"/>
          <w:szCs w:val="20"/>
        </w:rPr>
        <w:t xml:space="preserve">. </w:t>
      </w:r>
      <w:proofErr w:type="spellStart"/>
      <w:r w:rsidR="004C6B9D" w:rsidRPr="00760593">
        <w:rPr>
          <w:sz w:val="20"/>
          <w:szCs w:val="20"/>
        </w:rPr>
        <w:t>Efimov</w:t>
      </w:r>
      <w:proofErr w:type="spellEnd"/>
      <w:r w:rsidR="004C6B9D" w:rsidRPr="00760593">
        <w:rPr>
          <w:sz w:val="20"/>
          <w:szCs w:val="20"/>
        </w:rPr>
        <w:t>, J. Non-</w:t>
      </w:r>
      <w:proofErr w:type="spellStart"/>
      <w:r w:rsidR="004C6B9D" w:rsidRPr="00760593">
        <w:rPr>
          <w:sz w:val="20"/>
          <w:szCs w:val="20"/>
        </w:rPr>
        <w:t>Cryst</w:t>
      </w:r>
      <w:proofErr w:type="spellEnd"/>
      <w:r w:rsidR="004C6B9D" w:rsidRPr="00760593">
        <w:rPr>
          <w:sz w:val="20"/>
          <w:szCs w:val="20"/>
        </w:rPr>
        <w:t xml:space="preserve">. Solids, </w:t>
      </w:r>
      <w:r w:rsidRPr="00760593">
        <w:rPr>
          <w:sz w:val="20"/>
          <w:szCs w:val="20"/>
        </w:rPr>
        <w:t>(1997) 209.</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O. </w:t>
      </w:r>
      <w:proofErr w:type="spellStart"/>
      <w:r w:rsidRPr="00760593">
        <w:rPr>
          <w:sz w:val="20"/>
          <w:szCs w:val="20"/>
        </w:rPr>
        <w:t>Cazor,D</w:t>
      </w:r>
      <w:proofErr w:type="spellEnd"/>
      <w:r w:rsidRPr="00760593">
        <w:rPr>
          <w:sz w:val="20"/>
          <w:szCs w:val="20"/>
        </w:rPr>
        <w:t xml:space="preserve">. A. </w:t>
      </w:r>
      <w:proofErr w:type="spellStart"/>
      <w:r w:rsidRPr="00760593">
        <w:rPr>
          <w:sz w:val="20"/>
          <w:szCs w:val="20"/>
        </w:rPr>
        <w:t>Magdas</w:t>
      </w:r>
      <w:proofErr w:type="spellEnd"/>
      <w:r w:rsidRPr="00760593">
        <w:rPr>
          <w:sz w:val="20"/>
          <w:szCs w:val="20"/>
        </w:rPr>
        <w:t xml:space="preserve"> and I. </w:t>
      </w:r>
      <w:proofErr w:type="spellStart"/>
      <w:r w:rsidRPr="00760593">
        <w:rPr>
          <w:sz w:val="20"/>
          <w:szCs w:val="20"/>
        </w:rPr>
        <w:t>Ardelean</w:t>
      </w:r>
      <w:proofErr w:type="spellEnd"/>
      <w:r w:rsidRPr="00760593">
        <w:rPr>
          <w:sz w:val="20"/>
          <w:szCs w:val="20"/>
        </w:rPr>
        <w:t>, J. Optoelectronics Advanced Materials, 9 (2007) 1730.</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U. B. </w:t>
      </w:r>
      <w:proofErr w:type="spellStart"/>
      <w:r w:rsidRPr="00760593">
        <w:rPr>
          <w:sz w:val="20"/>
          <w:szCs w:val="20"/>
        </w:rPr>
        <w:t>Chanshetti</w:t>
      </w:r>
      <w:proofErr w:type="spellEnd"/>
      <w:r w:rsidRPr="00760593">
        <w:rPr>
          <w:sz w:val="20"/>
          <w:szCs w:val="20"/>
        </w:rPr>
        <w:t>, Phys. Chem. &amp; Technology, 1 (2011) 9.</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Donna L. </w:t>
      </w:r>
      <w:proofErr w:type="spellStart"/>
      <w:r w:rsidRPr="00760593">
        <w:rPr>
          <w:sz w:val="20"/>
          <w:szCs w:val="20"/>
        </w:rPr>
        <w:t>Corroll</w:t>
      </w:r>
      <w:proofErr w:type="spellEnd"/>
      <w:r w:rsidRPr="00760593">
        <w:rPr>
          <w:sz w:val="20"/>
          <w:szCs w:val="20"/>
        </w:rPr>
        <w:t>, Ph. D. Thesis, Univ. of Warwick, UK (2008).</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Elliot, Adv. Phys., 18 (1987)</w:t>
      </w:r>
      <w:r w:rsidR="006E277D" w:rsidRPr="00760593">
        <w:rPr>
          <w:sz w:val="20"/>
          <w:szCs w:val="20"/>
        </w:rPr>
        <w:t xml:space="preserve"> </w:t>
      </w:r>
      <w:r w:rsidRPr="00760593">
        <w:rPr>
          <w:sz w:val="20"/>
          <w:szCs w:val="20"/>
        </w:rPr>
        <w:t>31.</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M. S. Aziz, F. Abdel-</w:t>
      </w:r>
      <w:proofErr w:type="spellStart"/>
      <w:r w:rsidRPr="00760593">
        <w:rPr>
          <w:sz w:val="20"/>
          <w:szCs w:val="20"/>
        </w:rPr>
        <w:t>Wahab</w:t>
      </w:r>
      <w:proofErr w:type="spellEnd"/>
      <w:r w:rsidRPr="00760593">
        <w:rPr>
          <w:sz w:val="20"/>
          <w:szCs w:val="20"/>
        </w:rPr>
        <w:t xml:space="preserve">, A. G. </w:t>
      </w:r>
      <w:proofErr w:type="spellStart"/>
      <w:r w:rsidRPr="00760593">
        <w:rPr>
          <w:sz w:val="20"/>
          <w:szCs w:val="20"/>
        </w:rPr>
        <w:t>Mostafa</w:t>
      </w:r>
      <w:proofErr w:type="spellEnd"/>
      <w:r w:rsidRPr="00760593">
        <w:rPr>
          <w:sz w:val="20"/>
          <w:szCs w:val="20"/>
        </w:rPr>
        <w:t xml:space="preserve"> and E. M. El-</w:t>
      </w:r>
      <w:proofErr w:type="spellStart"/>
      <w:r w:rsidRPr="00760593">
        <w:rPr>
          <w:sz w:val="20"/>
          <w:szCs w:val="20"/>
        </w:rPr>
        <w:t>Agwany</w:t>
      </w:r>
      <w:proofErr w:type="spellEnd"/>
      <w:r w:rsidRPr="00760593">
        <w:rPr>
          <w:sz w:val="20"/>
          <w:szCs w:val="20"/>
        </w:rPr>
        <w:t xml:space="preserve">,  J. Mater. </w:t>
      </w:r>
      <w:proofErr w:type="spellStart"/>
      <w:r w:rsidRPr="00760593">
        <w:rPr>
          <w:sz w:val="20"/>
          <w:szCs w:val="20"/>
        </w:rPr>
        <w:t>Chim</w:t>
      </w:r>
      <w:proofErr w:type="spellEnd"/>
      <w:r w:rsidRPr="00760593">
        <w:rPr>
          <w:sz w:val="20"/>
          <w:szCs w:val="20"/>
        </w:rPr>
        <w:t>. Phys., 91 (2005) 532.</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N. F. Mott, J. Non-</w:t>
      </w:r>
      <w:proofErr w:type="spellStart"/>
      <w:r w:rsidRPr="00760593">
        <w:rPr>
          <w:sz w:val="20"/>
          <w:szCs w:val="20"/>
        </w:rPr>
        <w:t>Cryst</w:t>
      </w:r>
      <w:proofErr w:type="spellEnd"/>
      <w:r w:rsidRPr="00760593">
        <w:rPr>
          <w:sz w:val="20"/>
          <w:szCs w:val="20"/>
        </w:rPr>
        <w:t>. Solids, 1 (1968)1.</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A. M. Abdel-</w:t>
      </w:r>
      <w:proofErr w:type="spellStart"/>
      <w:r w:rsidRPr="00760593">
        <w:rPr>
          <w:sz w:val="20"/>
          <w:szCs w:val="20"/>
        </w:rPr>
        <w:t>Ghany</w:t>
      </w:r>
      <w:proofErr w:type="spellEnd"/>
      <w:r w:rsidRPr="00760593">
        <w:rPr>
          <w:sz w:val="20"/>
          <w:szCs w:val="20"/>
        </w:rPr>
        <w:t>, Ph. D. Thesis, Al-</w:t>
      </w:r>
      <w:proofErr w:type="spellStart"/>
      <w:r w:rsidRPr="00760593">
        <w:rPr>
          <w:sz w:val="20"/>
          <w:szCs w:val="20"/>
        </w:rPr>
        <w:t>Azhar</w:t>
      </w:r>
      <w:proofErr w:type="spellEnd"/>
      <w:r w:rsidRPr="00760593">
        <w:rPr>
          <w:sz w:val="20"/>
          <w:szCs w:val="20"/>
        </w:rPr>
        <w:t xml:space="preserve"> Univ., (2011).</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Y. M. </w:t>
      </w:r>
      <w:proofErr w:type="spellStart"/>
      <w:r w:rsidRPr="00760593">
        <w:rPr>
          <w:sz w:val="20"/>
          <w:szCs w:val="20"/>
        </w:rPr>
        <w:t>Moustafa</w:t>
      </w:r>
      <w:proofErr w:type="spellEnd"/>
      <w:r w:rsidRPr="00760593">
        <w:rPr>
          <w:sz w:val="20"/>
          <w:szCs w:val="20"/>
        </w:rPr>
        <w:t>, K. El-</w:t>
      </w:r>
      <w:proofErr w:type="spellStart"/>
      <w:r w:rsidRPr="00760593">
        <w:rPr>
          <w:sz w:val="20"/>
          <w:szCs w:val="20"/>
        </w:rPr>
        <w:t>Egili</w:t>
      </w:r>
      <w:proofErr w:type="spellEnd"/>
      <w:r w:rsidRPr="00760593">
        <w:rPr>
          <w:sz w:val="20"/>
          <w:szCs w:val="20"/>
        </w:rPr>
        <w:t>, J. Non-</w:t>
      </w:r>
      <w:proofErr w:type="spellStart"/>
      <w:r w:rsidRPr="00760593">
        <w:rPr>
          <w:sz w:val="20"/>
          <w:szCs w:val="20"/>
        </w:rPr>
        <w:t>Cryst</w:t>
      </w:r>
      <w:proofErr w:type="spellEnd"/>
      <w:r w:rsidRPr="00760593">
        <w:rPr>
          <w:sz w:val="20"/>
          <w:szCs w:val="20"/>
        </w:rPr>
        <w:t>. Solids, 240 (1998) 144.</w:t>
      </w:r>
    </w:p>
    <w:p w:rsidR="00F1031F" w:rsidRPr="00760593" w:rsidRDefault="00F1031F" w:rsidP="00760593">
      <w:pPr>
        <w:numPr>
          <w:ilvl w:val="0"/>
          <w:numId w:val="4"/>
        </w:numPr>
        <w:tabs>
          <w:tab w:val="clear" w:pos="720"/>
          <w:tab w:val="num" w:pos="426"/>
        </w:tabs>
        <w:snapToGrid w:val="0"/>
        <w:ind w:left="425" w:hanging="425"/>
        <w:jc w:val="both"/>
        <w:rPr>
          <w:sz w:val="20"/>
          <w:szCs w:val="20"/>
        </w:rPr>
      </w:pPr>
      <w:r w:rsidRPr="00760593">
        <w:rPr>
          <w:sz w:val="20"/>
          <w:szCs w:val="20"/>
        </w:rPr>
        <w:t xml:space="preserve">P. </w:t>
      </w:r>
      <w:proofErr w:type="spellStart"/>
      <w:r w:rsidRPr="00760593">
        <w:rPr>
          <w:sz w:val="20"/>
          <w:szCs w:val="20"/>
        </w:rPr>
        <w:t>Subbalakashmi</w:t>
      </w:r>
      <w:proofErr w:type="spellEnd"/>
      <w:r w:rsidRPr="00760593">
        <w:rPr>
          <w:sz w:val="20"/>
          <w:szCs w:val="20"/>
        </w:rPr>
        <w:t xml:space="preserve"> and N. </w:t>
      </w:r>
      <w:proofErr w:type="spellStart"/>
      <w:r w:rsidRPr="00760593">
        <w:rPr>
          <w:sz w:val="20"/>
          <w:szCs w:val="20"/>
        </w:rPr>
        <w:t>Veeraiah</w:t>
      </w:r>
      <w:proofErr w:type="spellEnd"/>
      <w:r w:rsidR="006E277D" w:rsidRPr="00760593">
        <w:rPr>
          <w:sz w:val="20"/>
          <w:szCs w:val="20"/>
        </w:rPr>
        <w:t>,</w:t>
      </w:r>
      <w:r w:rsidRPr="00760593">
        <w:rPr>
          <w:sz w:val="20"/>
          <w:szCs w:val="20"/>
        </w:rPr>
        <w:t xml:space="preserve">  J. Non-</w:t>
      </w:r>
      <w:proofErr w:type="spellStart"/>
      <w:r w:rsidRPr="00760593">
        <w:rPr>
          <w:sz w:val="20"/>
          <w:szCs w:val="20"/>
        </w:rPr>
        <w:t>Cryst</w:t>
      </w:r>
      <w:proofErr w:type="spellEnd"/>
      <w:r w:rsidRPr="00760593">
        <w:rPr>
          <w:sz w:val="20"/>
          <w:szCs w:val="20"/>
        </w:rPr>
        <w:t>. Solids, 298 (2002) 89.</w:t>
      </w:r>
    </w:p>
    <w:p w:rsidR="00760593" w:rsidRPr="00760593" w:rsidRDefault="00760593" w:rsidP="00760593">
      <w:pPr>
        <w:snapToGrid w:val="0"/>
        <w:ind w:left="425" w:hanging="425"/>
        <w:jc w:val="both"/>
        <w:rPr>
          <w:sz w:val="20"/>
          <w:szCs w:val="20"/>
        </w:rPr>
        <w:sectPr w:rsidR="00760593" w:rsidRPr="00760593" w:rsidSect="00C54B08">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720"/>
          <w:docGrid w:linePitch="360"/>
        </w:sectPr>
      </w:pPr>
    </w:p>
    <w:p w:rsidR="004D0467" w:rsidRPr="00760593" w:rsidRDefault="004D0467" w:rsidP="00760593">
      <w:pPr>
        <w:snapToGrid w:val="0"/>
        <w:ind w:left="425" w:hanging="425"/>
        <w:jc w:val="both"/>
        <w:rPr>
          <w:sz w:val="20"/>
          <w:szCs w:val="20"/>
        </w:rPr>
      </w:pPr>
    </w:p>
    <w:p w:rsidR="00760593" w:rsidRPr="00760593" w:rsidRDefault="00760593" w:rsidP="00760593">
      <w:pPr>
        <w:snapToGrid w:val="0"/>
        <w:ind w:left="425" w:hanging="425"/>
        <w:jc w:val="both"/>
        <w:rPr>
          <w:sz w:val="20"/>
          <w:szCs w:val="20"/>
          <w:lang w:eastAsia="zh-CN"/>
        </w:rPr>
      </w:pPr>
    </w:p>
    <w:p w:rsidR="00785D14" w:rsidRPr="00760593" w:rsidRDefault="00785D14" w:rsidP="00760593">
      <w:pPr>
        <w:snapToGrid w:val="0"/>
        <w:ind w:left="425" w:hanging="425"/>
        <w:jc w:val="both"/>
        <w:rPr>
          <w:sz w:val="20"/>
          <w:szCs w:val="20"/>
        </w:rPr>
      </w:pPr>
    </w:p>
    <w:p w:rsidR="004D0467" w:rsidRPr="00760593" w:rsidRDefault="00907E19" w:rsidP="00760593">
      <w:pPr>
        <w:snapToGrid w:val="0"/>
        <w:ind w:left="425" w:hanging="425"/>
        <w:jc w:val="both"/>
        <w:rPr>
          <w:sz w:val="20"/>
          <w:szCs w:val="20"/>
        </w:rPr>
      </w:pPr>
      <w:r>
        <w:rPr>
          <w:sz w:val="20"/>
          <w:szCs w:val="20"/>
        </w:rPr>
        <w:t>12/20</w:t>
      </w:r>
      <w:r w:rsidR="00785D14" w:rsidRPr="00760593">
        <w:rPr>
          <w:sz w:val="20"/>
          <w:szCs w:val="20"/>
        </w:rPr>
        <w:t>/2014</w:t>
      </w:r>
    </w:p>
    <w:sectPr w:rsidR="004D0467" w:rsidRPr="00760593" w:rsidSect="00C54B08">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33" w:rsidRDefault="00EC7133">
      <w:r>
        <w:separator/>
      </w:r>
    </w:p>
  </w:endnote>
  <w:endnote w:type="continuationSeparator" w:id="0">
    <w:p w:rsidR="00EC7133" w:rsidRDefault="00EC7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3" w:rsidRDefault="007C74E7" w:rsidP="00B3167C">
    <w:pPr>
      <w:pStyle w:val="Footer"/>
      <w:framePr w:wrap="around" w:vAnchor="text" w:hAnchor="margin" w:xAlign="center" w:y="1"/>
      <w:rPr>
        <w:rStyle w:val="PageNumber"/>
      </w:rPr>
    </w:pPr>
    <w:r>
      <w:rPr>
        <w:rStyle w:val="PageNumber"/>
      </w:rPr>
      <w:fldChar w:fldCharType="begin"/>
    </w:r>
    <w:r w:rsidR="00760593">
      <w:rPr>
        <w:rStyle w:val="PageNumber"/>
      </w:rPr>
      <w:instrText xml:space="preserve">PAGE  </w:instrText>
    </w:r>
    <w:r>
      <w:rPr>
        <w:rStyle w:val="PageNumber"/>
      </w:rPr>
      <w:fldChar w:fldCharType="end"/>
    </w:r>
  </w:p>
  <w:p w:rsidR="00760593" w:rsidRDefault="007605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3" w:rsidRPr="00785D14" w:rsidRDefault="007C74E7" w:rsidP="00785D14">
    <w:pPr>
      <w:jc w:val="center"/>
      <w:rPr>
        <w:sz w:val="20"/>
      </w:rPr>
    </w:pPr>
    <w:r w:rsidRPr="00785D14">
      <w:rPr>
        <w:sz w:val="20"/>
      </w:rPr>
      <w:fldChar w:fldCharType="begin"/>
    </w:r>
    <w:r w:rsidR="00760593" w:rsidRPr="00785D14">
      <w:rPr>
        <w:sz w:val="20"/>
      </w:rPr>
      <w:instrText xml:space="preserve"> page </w:instrText>
    </w:r>
    <w:r w:rsidRPr="00785D14">
      <w:rPr>
        <w:sz w:val="20"/>
      </w:rPr>
      <w:fldChar w:fldCharType="separate"/>
    </w:r>
    <w:r w:rsidR="00907E19">
      <w:rPr>
        <w:noProof/>
        <w:sz w:val="20"/>
      </w:rPr>
      <w:t>162</w:t>
    </w:r>
    <w:r w:rsidRPr="00785D1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3" w:rsidRDefault="007C74E7" w:rsidP="00B3167C">
    <w:pPr>
      <w:pStyle w:val="Footer"/>
      <w:framePr w:wrap="around" w:vAnchor="text" w:hAnchor="margin" w:xAlign="center" w:y="1"/>
      <w:rPr>
        <w:rStyle w:val="PageNumber"/>
      </w:rPr>
    </w:pPr>
    <w:r>
      <w:rPr>
        <w:rStyle w:val="PageNumber"/>
      </w:rPr>
      <w:fldChar w:fldCharType="begin"/>
    </w:r>
    <w:r w:rsidR="00760593">
      <w:rPr>
        <w:rStyle w:val="PageNumber"/>
      </w:rPr>
      <w:instrText xml:space="preserve">PAGE  </w:instrText>
    </w:r>
    <w:r>
      <w:rPr>
        <w:rStyle w:val="PageNumber"/>
      </w:rPr>
      <w:fldChar w:fldCharType="end"/>
    </w:r>
  </w:p>
  <w:p w:rsidR="00760593" w:rsidRDefault="0076059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3" w:rsidRPr="00785D14" w:rsidRDefault="007C74E7" w:rsidP="00785D14">
    <w:pPr>
      <w:jc w:val="center"/>
      <w:rPr>
        <w:sz w:val="20"/>
      </w:rPr>
    </w:pPr>
    <w:r w:rsidRPr="00785D14">
      <w:rPr>
        <w:sz w:val="20"/>
      </w:rPr>
      <w:fldChar w:fldCharType="begin"/>
    </w:r>
    <w:r w:rsidR="00760593" w:rsidRPr="00785D14">
      <w:rPr>
        <w:sz w:val="20"/>
      </w:rPr>
      <w:instrText xml:space="preserve"> page </w:instrText>
    </w:r>
    <w:r w:rsidRPr="00785D14">
      <w:rPr>
        <w:sz w:val="20"/>
      </w:rPr>
      <w:fldChar w:fldCharType="separate"/>
    </w:r>
    <w:r w:rsidR="00907E19">
      <w:rPr>
        <w:noProof/>
        <w:sz w:val="20"/>
      </w:rPr>
      <w:t>170</w:t>
    </w:r>
    <w:r w:rsidRPr="00785D1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1F" w:rsidRDefault="007C74E7" w:rsidP="00B3167C">
    <w:pPr>
      <w:pStyle w:val="Footer"/>
      <w:framePr w:wrap="around" w:vAnchor="text" w:hAnchor="margin" w:xAlign="center" w:y="1"/>
      <w:rPr>
        <w:rStyle w:val="PageNumber"/>
      </w:rPr>
    </w:pPr>
    <w:r>
      <w:rPr>
        <w:rStyle w:val="PageNumber"/>
      </w:rPr>
      <w:fldChar w:fldCharType="begin"/>
    </w:r>
    <w:r w:rsidR="00F1031F">
      <w:rPr>
        <w:rStyle w:val="PageNumber"/>
      </w:rPr>
      <w:instrText xml:space="preserve">PAGE  </w:instrText>
    </w:r>
    <w:r>
      <w:rPr>
        <w:rStyle w:val="PageNumber"/>
      </w:rPr>
      <w:fldChar w:fldCharType="end"/>
    </w:r>
  </w:p>
  <w:p w:rsidR="00F1031F" w:rsidRDefault="00F1031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1F" w:rsidRPr="00785D14" w:rsidRDefault="007C74E7" w:rsidP="00785D14">
    <w:pPr>
      <w:jc w:val="center"/>
      <w:rPr>
        <w:sz w:val="20"/>
      </w:rPr>
    </w:pPr>
    <w:r w:rsidRPr="00785D14">
      <w:rPr>
        <w:sz w:val="20"/>
      </w:rPr>
      <w:fldChar w:fldCharType="begin"/>
    </w:r>
    <w:r w:rsidR="00785D14" w:rsidRPr="00785D14">
      <w:rPr>
        <w:sz w:val="20"/>
      </w:rPr>
      <w:instrText xml:space="preserve"> page </w:instrText>
    </w:r>
    <w:r w:rsidRPr="00785D14">
      <w:rPr>
        <w:sz w:val="20"/>
      </w:rPr>
      <w:fldChar w:fldCharType="separate"/>
    </w:r>
    <w:r w:rsidR="00760593">
      <w:rPr>
        <w:noProof/>
        <w:sz w:val="20"/>
      </w:rPr>
      <w:t>1</w:t>
    </w:r>
    <w:r w:rsidRPr="00785D1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33" w:rsidRDefault="00EC7133">
      <w:r>
        <w:separator/>
      </w:r>
    </w:p>
  </w:footnote>
  <w:footnote w:type="continuationSeparator" w:id="0">
    <w:p w:rsidR="00EC7133" w:rsidRDefault="00EC7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3" w:rsidRPr="00785D14" w:rsidRDefault="00760593" w:rsidP="00785D14">
    <w:pPr>
      <w:pBdr>
        <w:bottom w:val="thinThickMediumGap" w:sz="12" w:space="1" w:color="auto"/>
      </w:pBdr>
      <w:tabs>
        <w:tab w:val="left" w:pos="851"/>
        <w:tab w:val="right" w:pos="8364"/>
      </w:tabs>
      <w:adjustRightInd w:val="0"/>
      <w:snapToGrid w:val="0"/>
      <w:jc w:val="both"/>
      <w:rPr>
        <w:sz w:val="20"/>
        <w:szCs w:val="20"/>
      </w:rPr>
    </w:pPr>
    <w:r w:rsidRPr="00785D14">
      <w:rPr>
        <w:rFonts w:hint="eastAsia"/>
        <w:iCs/>
        <w:color w:val="000000"/>
        <w:sz w:val="20"/>
        <w:szCs w:val="20"/>
      </w:rPr>
      <w:tab/>
    </w:r>
    <w:r w:rsidRPr="00785D14">
      <w:rPr>
        <w:sz w:val="20"/>
        <w:szCs w:val="20"/>
      </w:rPr>
      <w:t>Nature and Science 201</w:t>
    </w:r>
    <w:r w:rsidRPr="00785D14">
      <w:rPr>
        <w:rFonts w:hint="eastAsia"/>
        <w:sz w:val="20"/>
        <w:szCs w:val="20"/>
      </w:rPr>
      <w:t>4</w:t>
    </w:r>
    <w:r w:rsidRPr="00785D14">
      <w:rPr>
        <w:sz w:val="20"/>
        <w:szCs w:val="20"/>
      </w:rPr>
      <w:t>;1</w:t>
    </w:r>
    <w:r w:rsidRPr="00785D14">
      <w:rPr>
        <w:rFonts w:hint="eastAsia"/>
        <w:sz w:val="20"/>
        <w:szCs w:val="20"/>
      </w:rPr>
      <w:t>2</w:t>
    </w:r>
    <w:r w:rsidRPr="00785D14">
      <w:rPr>
        <w:sz w:val="20"/>
        <w:szCs w:val="20"/>
      </w:rPr>
      <w:t>(</w:t>
    </w:r>
    <w:r w:rsidRPr="00785D14">
      <w:rPr>
        <w:rFonts w:hint="eastAsia"/>
        <w:sz w:val="20"/>
        <w:szCs w:val="20"/>
      </w:rPr>
      <w:t>12)</w:t>
    </w:r>
    <w:r w:rsidRPr="00785D14">
      <w:rPr>
        <w:color w:val="000000"/>
        <w:sz w:val="20"/>
        <w:szCs w:val="20"/>
      </w:rPr>
      <w:t xml:space="preserve"> </w:t>
    </w:r>
    <w:r w:rsidRPr="00785D14">
      <w:rPr>
        <w:rFonts w:hint="eastAsia"/>
        <w:color w:val="000000"/>
        <w:sz w:val="20"/>
        <w:szCs w:val="20"/>
      </w:rPr>
      <w:tab/>
    </w:r>
    <w:r w:rsidRPr="00785D14">
      <w:rPr>
        <w:color w:val="000000"/>
        <w:sz w:val="20"/>
        <w:szCs w:val="20"/>
      </w:rPr>
      <w:t xml:space="preserve"> </w:t>
    </w:r>
    <w:hyperlink r:id="rId1" w:history="1">
      <w:r w:rsidRPr="00785D14">
        <w:rPr>
          <w:rStyle w:val="Hyperlink"/>
          <w:sz w:val="20"/>
          <w:szCs w:val="20"/>
        </w:rPr>
        <w:t>http://www.sciencepub.net/nature</w:t>
      </w:r>
    </w:hyperlink>
  </w:p>
  <w:p w:rsidR="00760593" w:rsidRPr="00785D14" w:rsidRDefault="00760593" w:rsidP="00785D1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3" w:rsidRPr="00785D14" w:rsidRDefault="00760593" w:rsidP="00785D14">
    <w:pPr>
      <w:pBdr>
        <w:bottom w:val="thinThickMediumGap" w:sz="12" w:space="1" w:color="auto"/>
      </w:pBdr>
      <w:tabs>
        <w:tab w:val="left" w:pos="851"/>
        <w:tab w:val="right" w:pos="8364"/>
      </w:tabs>
      <w:adjustRightInd w:val="0"/>
      <w:snapToGrid w:val="0"/>
      <w:jc w:val="both"/>
      <w:rPr>
        <w:sz w:val="20"/>
        <w:szCs w:val="20"/>
      </w:rPr>
    </w:pPr>
    <w:r w:rsidRPr="00785D14">
      <w:rPr>
        <w:rFonts w:hint="eastAsia"/>
        <w:iCs/>
        <w:color w:val="000000"/>
        <w:sz w:val="20"/>
        <w:szCs w:val="20"/>
      </w:rPr>
      <w:tab/>
    </w:r>
    <w:r w:rsidRPr="00785D14">
      <w:rPr>
        <w:sz w:val="20"/>
        <w:szCs w:val="20"/>
      </w:rPr>
      <w:t>Nature and Science 201</w:t>
    </w:r>
    <w:r w:rsidRPr="00785D14">
      <w:rPr>
        <w:rFonts w:hint="eastAsia"/>
        <w:sz w:val="20"/>
        <w:szCs w:val="20"/>
      </w:rPr>
      <w:t>4</w:t>
    </w:r>
    <w:r w:rsidRPr="00785D14">
      <w:rPr>
        <w:sz w:val="20"/>
        <w:szCs w:val="20"/>
      </w:rPr>
      <w:t>;1</w:t>
    </w:r>
    <w:r w:rsidRPr="00785D14">
      <w:rPr>
        <w:rFonts w:hint="eastAsia"/>
        <w:sz w:val="20"/>
        <w:szCs w:val="20"/>
      </w:rPr>
      <w:t>2</w:t>
    </w:r>
    <w:r w:rsidRPr="00785D14">
      <w:rPr>
        <w:sz w:val="20"/>
        <w:szCs w:val="20"/>
      </w:rPr>
      <w:t>(</w:t>
    </w:r>
    <w:r w:rsidRPr="00785D14">
      <w:rPr>
        <w:rFonts w:hint="eastAsia"/>
        <w:sz w:val="20"/>
        <w:szCs w:val="20"/>
      </w:rPr>
      <w:t>12)</w:t>
    </w:r>
    <w:r w:rsidRPr="00785D14">
      <w:rPr>
        <w:color w:val="000000"/>
        <w:sz w:val="20"/>
        <w:szCs w:val="20"/>
      </w:rPr>
      <w:t xml:space="preserve"> </w:t>
    </w:r>
    <w:r w:rsidRPr="00785D14">
      <w:rPr>
        <w:rFonts w:hint="eastAsia"/>
        <w:color w:val="000000"/>
        <w:sz w:val="20"/>
        <w:szCs w:val="20"/>
      </w:rPr>
      <w:tab/>
    </w:r>
    <w:r w:rsidRPr="00785D14">
      <w:rPr>
        <w:color w:val="000000"/>
        <w:sz w:val="20"/>
        <w:szCs w:val="20"/>
      </w:rPr>
      <w:t xml:space="preserve"> </w:t>
    </w:r>
    <w:hyperlink r:id="rId1" w:history="1">
      <w:r w:rsidRPr="00785D14">
        <w:rPr>
          <w:rStyle w:val="Hyperlink"/>
          <w:sz w:val="20"/>
          <w:szCs w:val="20"/>
        </w:rPr>
        <w:t>http://www.sciencepub.net/nature</w:t>
      </w:r>
    </w:hyperlink>
  </w:p>
  <w:p w:rsidR="00760593" w:rsidRPr="00785D14" w:rsidRDefault="00760593" w:rsidP="00785D1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14" w:rsidRPr="00785D14" w:rsidRDefault="00785D14" w:rsidP="00785D14">
    <w:pPr>
      <w:pBdr>
        <w:bottom w:val="thinThickMediumGap" w:sz="12" w:space="1" w:color="auto"/>
      </w:pBdr>
      <w:tabs>
        <w:tab w:val="left" w:pos="851"/>
        <w:tab w:val="right" w:pos="8364"/>
      </w:tabs>
      <w:adjustRightInd w:val="0"/>
      <w:snapToGrid w:val="0"/>
      <w:jc w:val="both"/>
      <w:rPr>
        <w:sz w:val="20"/>
        <w:szCs w:val="20"/>
      </w:rPr>
    </w:pPr>
    <w:r w:rsidRPr="00785D14">
      <w:rPr>
        <w:rFonts w:hint="eastAsia"/>
        <w:iCs/>
        <w:color w:val="000000"/>
        <w:sz w:val="20"/>
        <w:szCs w:val="20"/>
      </w:rPr>
      <w:tab/>
    </w:r>
    <w:r w:rsidRPr="00785D14">
      <w:rPr>
        <w:sz w:val="20"/>
        <w:szCs w:val="20"/>
      </w:rPr>
      <w:t>Nature and Science 201</w:t>
    </w:r>
    <w:r w:rsidRPr="00785D14">
      <w:rPr>
        <w:rFonts w:hint="eastAsia"/>
        <w:sz w:val="20"/>
        <w:szCs w:val="20"/>
      </w:rPr>
      <w:t>4</w:t>
    </w:r>
    <w:r w:rsidRPr="00785D14">
      <w:rPr>
        <w:sz w:val="20"/>
        <w:szCs w:val="20"/>
      </w:rPr>
      <w:t>;1</w:t>
    </w:r>
    <w:r w:rsidRPr="00785D14">
      <w:rPr>
        <w:rFonts w:hint="eastAsia"/>
        <w:sz w:val="20"/>
        <w:szCs w:val="20"/>
      </w:rPr>
      <w:t>2</w:t>
    </w:r>
    <w:r w:rsidRPr="00785D14">
      <w:rPr>
        <w:sz w:val="20"/>
        <w:szCs w:val="20"/>
      </w:rPr>
      <w:t>(</w:t>
    </w:r>
    <w:r w:rsidRPr="00785D14">
      <w:rPr>
        <w:rFonts w:hint="eastAsia"/>
        <w:sz w:val="20"/>
        <w:szCs w:val="20"/>
      </w:rPr>
      <w:t>12)</w:t>
    </w:r>
    <w:r w:rsidRPr="00785D14">
      <w:rPr>
        <w:color w:val="000000"/>
        <w:sz w:val="20"/>
        <w:szCs w:val="20"/>
      </w:rPr>
      <w:t xml:space="preserve"> </w:t>
    </w:r>
    <w:r w:rsidRPr="00785D14">
      <w:rPr>
        <w:rFonts w:hint="eastAsia"/>
        <w:color w:val="000000"/>
        <w:sz w:val="20"/>
        <w:szCs w:val="20"/>
      </w:rPr>
      <w:tab/>
    </w:r>
    <w:r w:rsidRPr="00785D14">
      <w:rPr>
        <w:color w:val="000000"/>
        <w:sz w:val="20"/>
        <w:szCs w:val="20"/>
      </w:rPr>
      <w:t xml:space="preserve"> </w:t>
    </w:r>
    <w:hyperlink r:id="rId1" w:history="1">
      <w:r w:rsidRPr="00785D14">
        <w:rPr>
          <w:rStyle w:val="Hyperlink"/>
          <w:sz w:val="20"/>
          <w:szCs w:val="20"/>
        </w:rPr>
        <w:t>http://www.sciencepub.net/nature</w:t>
      </w:r>
    </w:hyperlink>
  </w:p>
  <w:p w:rsidR="00785D14" w:rsidRPr="00785D14" w:rsidRDefault="00785D14" w:rsidP="00785D1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E86A82"/>
    <w:multiLevelType w:val="hybridMultilevel"/>
    <w:tmpl w:val="881A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6392"/>
    <w:multiLevelType w:val="hybridMultilevel"/>
    <w:tmpl w:val="9B9C45D0"/>
    <w:lvl w:ilvl="0" w:tplc="97C4D93A">
      <w:start w:val="1"/>
      <w:numFmt w:val="upperLetter"/>
      <w:lvlText w:val="%1)"/>
      <w:lvlJc w:val="left"/>
      <w:pPr>
        <w:ind w:left="72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113E5"/>
    <w:multiLevelType w:val="hybridMultilevel"/>
    <w:tmpl w:val="5D60A8EC"/>
    <w:lvl w:ilvl="0" w:tplc="EA4AAB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95EDC"/>
    <w:multiLevelType w:val="hybridMultilevel"/>
    <w:tmpl w:val="38C2DB58"/>
    <w:lvl w:ilvl="0" w:tplc="EA4AA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44E12752"/>
    <w:multiLevelType w:val="hybridMultilevel"/>
    <w:tmpl w:val="5A1A33EE"/>
    <w:lvl w:ilvl="0" w:tplc="0409000F">
      <w:start w:val="1"/>
      <w:numFmt w:val="decimal"/>
      <w:lvlText w:val="%1."/>
      <w:lvlJc w:val="left"/>
      <w:pPr>
        <w:ind w:left="360"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8"/>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5F7B"/>
    <w:rsid w:val="00060811"/>
    <w:rsid w:val="00067FB1"/>
    <w:rsid w:val="00080CE9"/>
    <w:rsid w:val="000827B7"/>
    <w:rsid w:val="00085CC3"/>
    <w:rsid w:val="00090A06"/>
    <w:rsid w:val="00092C8D"/>
    <w:rsid w:val="000C5F1C"/>
    <w:rsid w:val="000D4463"/>
    <w:rsid w:val="0010794D"/>
    <w:rsid w:val="00156430"/>
    <w:rsid w:val="00176EA3"/>
    <w:rsid w:val="001817C7"/>
    <w:rsid w:val="001857F9"/>
    <w:rsid w:val="001901BB"/>
    <w:rsid w:val="001952DC"/>
    <w:rsid w:val="001A678A"/>
    <w:rsid w:val="001B41B8"/>
    <w:rsid w:val="001E0F5C"/>
    <w:rsid w:val="00201F63"/>
    <w:rsid w:val="00223A3D"/>
    <w:rsid w:val="00284843"/>
    <w:rsid w:val="002A3F39"/>
    <w:rsid w:val="002E0C1F"/>
    <w:rsid w:val="002E110E"/>
    <w:rsid w:val="002F0FBE"/>
    <w:rsid w:val="002F17FB"/>
    <w:rsid w:val="002F20CD"/>
    <w:rsid w:val="002F39CD"/>
    <w:rsid w:val="002F541A"/>
    <w:rsid w:val="00314F95"/>
    <w:rsid w:val="003179B4"/>
    <w:rsid w:val="00322FAB"/>
    <w:rsid w:val="00342698"/>
    <w:rsid w:val="00345581"/>
    <w:rsid w:val="003506F8"/>
    <w:rsid w:val="003C7F3D"/>
    <w:rsid w:val="003D3B78"/>
    <w:rsid w:val="003D3BEC"/>
    <w:rsid w:val="003E6D9C"/>
    <w:rsid w:val="003F0F2D"/>
    <w:rsid w:val="003F3035"/>
    <w:rsid w:val="0042390D"/>
    <w:rsid w:val="004306E0"/>
    <w:rsid w:val="00432AEE"/>
    <w:rsid w:val="00456753"/>
    <w:rsid w:val="00471E57"/>
    <w:rsid w:val="00490B57"/>
    <w:rsid w:val="0049143E"/>
    <w:rsid w:val="004932F4"/>
    <w:rsid w:val="004951C3"/>
    <w:rsid w:val="004A4358"/>
    <w:rsid w:val="004B04C5"/>
    <w:rsid w:val="004C6B9D"/>
    <w:rsid w:val="004D0467"/>
    <w:rsid w:val="004E2E58"/>
    <w:rsid w:val="004F365A"/>
    <w:rsid w:val="0053489D"/>
    <w:rsid w:val="0055412B"/>
    <w:rsid w:val="00586B46"/>
    <w:rsid w:val="00593132"/>
    <w:rsid w:val="005B7D27"/>
    <w:rsid w:val="005C2F35"/>
    <w:rsid w:val="005F5E04"/>
    <w:rsid w:val="00602AF5"/>
    <w:rsid w:val="00604D3D"/>
    <w:rsid w:val="00606857"/>
    <w:rsid w:val="00621FD3"/>
    <w:rsid w:val="00635D3C"/>
    <w:rsid w:val="0064141D"/>
    <w:rsid w:val="0065209A"/>
    <w:rsid w:val="00670B12"/>
    <w:rsid w:val="006C19C4"/>
    <w:rsid w:val="006D2418"/>
    <w:rsid w:val="006D5C2E"/>
    <w:rsid w:val="006E183B"/>
    <w:rsid w:val="006E277D"/>
    <w:rsid w:val="006E6ACB"/>
    <w:rsid w:val="006F1706"/>
    <w:rsid w:val="0071301F"/>
    <w:rsid w:val="0071718E"/>
    <w:rsid w:val="00734A5D"/>
    <w:rsid w:val="00736333"/>
    <w:rsid w:val="007426C3"/>
    <w:rsid w:val="00760593"/>
    <w:rsid w:val="007643B5"/>
    <w:rsid w:val="0078507E"/>
    <w:rsid w:val="00785D14"/>
    <w:rsid w:val="007B1277"/>
    <w:rsid w:val="007C74E7"/>
    <w:rsid w:val="007D746F"/>
    <w:rsid w:val="007E2AC7"/>
    <w:rsid w:val="007F7F7A"/>
    <w:rsid w:val="008063F0"/>
    <w:rsid w:val="00814FA7"/>
    <w:rsid w:val="00817F9F"/>
    <w:rsid w:val="0083097C"/>
    <w:rsid w:val="008330EE"/>
    <w:rsid w:val="008369CC"/>
    <w:rsid w:val="00862230"/>
    <w:rsid w:val="008A20AC"/>
    <w:rsid w:val="008A37E9"/>
    <w:rsid w:val="008B4831"/>
    <w:rsid w:val="008B4BDD"/>
    <w:rsid w:val="008B5238"/>
    <w:rsid w:val="008B7590"/>
    <w:rsid w:val="008C20E4"/>
    <w:rsid w:val="00907E19"/>
    <w:rsid w:val="0091208A"/>
    <w:rsid w:val="00914558"/>
    <w:rsid w:val="0092468F"/>
    <w:rsid w:val="0093397E"/>
    <w:rsid w:val="00937768"/>
    <w:rsid w:val="0094140D"/>
    <w:rsid w:val="00942A58"/>
    <w:rsid w:val="009458E4"/>
    <w:rsid w:val="009459B3"/>
    <w:rsid w:val="00952EB8"/>
    <w:rsid w:val="00961965"/>
    <w:rsid w:val="00966860"/>
    <w:rsid w:val="00973C1F"/>
    <w:rsid w:val="00976A14"/>
    <w:rsid w:val="009865CA"/>
    <w:rsid w:val="009878C0"/>
    <w:rsid w:val="009D4802"/>
    <w:rsid w:val="009D70E9"/>
    <w:rsid w:val="00A058CA"/>
    <w:rsid w:val="00A17D00"/>
    <w:rsid w:val="00A22FB0"/>
    <w:rsid w:val="00A2654E"/>
    <w:rsid w:val="00A3476D"/>
    <w:rsid w:val="00A34848"/>
    <w:rsid w:val="00A35A3B"/>
    <w:rsid w:val="00A426EF"/>
    <w:rsid w:val="00A65E30"/>
    <w:rsid w:val="00A75461"/>
    <w:rsid w:val="00A82A6E"/>
    <w:rsid w:val="00A92022"/>
    <w:rsid w:val="00A97348"/>
    <w:rsid w:val="00AA1FF1"/>
    <w:rsid w:val="00AA2680"/>
    <w:rsid w:val="00AD0528"/>
    <w:rsid w:val="00AF6C5D"/>
    <w:rsid w:val="00B05F57"/>
    <w:rsid w:val="00B3167C"/>
    <w:rsid w:val="00B35579"/>
    <w:rsid w:val="00B47F73"/>
    <w:rsid w:val="00B53808"/>
    <w:rsid w:val="00B60E8D"/>
    <w:rsid w:val="00B80C0E"/>
    <w:rsid w:val="00BB1BF7"/>
    <w:rsid w:val="00BC5F5E"/>
    <w:rsid w:val="00BD2A8D"/>
    <w:rsid w:val="00BD7432"/>
    <w:rsid w:val="00BE0F29"/>
    <w:rsid w:val="00BE1FEE"/>
    <w:rsid w:val="00BF0F8C"/>
    <w:rsid w:val="00BF6579"/>
    <w:rsid w:val="00C25BB9"/>
    <w:rsid w:val="00C4055E"/>
    <w:rsid w:val="00C412DE"/>
    <w:rsid w:val="00C43A46"/>
    <w:rsid w:val="00C54B08"/>
    <w:rsid w:val="00C673CD"/>
    <w:rsid w:val="00C7048D"/>
    <w:rsid w:val="00C750C3"/>
    <w:rsid w:val="00C8147E"/>
    <w:rsid w:val="00C876D8"/>
    <w:rsid w:val="00C94F0B"/>
    <w:rsid w:val="00C96DC0"/>
    <w:rsid w:val="00CB4D35"/>
    <w:rsid w:val="00CC40B6"/>
    <w:rsid w:val="00CD54D0"/>
    <w:rsid w:val="00CE7B2F"/>
    <w:rsid w:val="00D07402"/>
    <w:rsid w:val="00D202D2"/>
    <w:rsid w:val="00D26F2E"/>
    <w:rsid w:val="00D32E3E"/>
    <w:rsid w:val="00D3777A"/>
    <w:rsid w:val="00D50024"/>
    <w:rsid w:val="00D6150E"/>
    <w:rsid w:val="00D65877"/>
    <w:rsid w:val="00D8785D"/>
    <w:rsid w:val="00DA4737"/>
    <w:rsid w:val="00DF7353"/>
    <w:rsid w:val="00E038C5"/>
    <w:rsid w:val="00E17F3A"/>
    <w:rsid w:val="00E2794F"/>
    <w:rsid w:val="00E667CD"/>
    <w:rsid w:val="00EC412F"/>
    <w:rsid w:val="00EC5C53"/>
    <w:rsid w:val="00EC7133"/>
    <w:rsid w:val="00ED4441"/>
    <w:rsid w:val="00EF3BA2"/>
    <w:rsid w:val="00EF442E"/>
    <w:rsid w:val="00EF4701"/>
    <w:rsid w:val="00F1031F"/>
    <w:rsid w:val="00F1385F"/>
    <w:rsid w:val="00F4399A"/>
    <w:rsid w:val="00F45062"/>
    <w:rsid w:val="00F46A5E"/>
    <w:rsid w:val="00F6139C"/>
    <w:rsid w:val="00F86B4E"/>
    <w:rsid w:val="00FB5B6A"/>
    <w:rsid w:val="00FC2367"/>
    <w:rsid w:val="00FC4906"/>
    <w:rsid w:val="00FC578B"/>
    <w:rsid w:val="00FE58B6"/>
    <w:rsid w:val="00FE76E4"/>
    <w:rsid w:val="00FF229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B7590"/>
    <w:pPr>
      <w:keepNext/>
      <w:tabs>
        <w:tab w:val="num" w:pos="0"/>
      </w:tabs>
      <w:outlineLvl w:val="0"/>
    </w:pPr>
    <w:rPr>
      <w:b/>
      <w:bCs/>
      <w:sz w:val="32"/>
    </w:rPr>
  </w:style>
  <w:style w:type="paragraph" w:styleId="Heading2">
    <w:name w:val="heading 2"/>
    <w:basedOn w:val="Normal"/>
    <w:next w:val="Normal"/>
    <w:qFormat/>
    <w:rsid w:val="008B7590"/>
    <w:pPr>
      <w:keepNext/>
      <w:tabs>
        <w:tab w:val="num" w:pos="0"/>
      </w:tabs>
      <w:jc w:val="both"/>
      <w:outlineLvl w:val="1"/>
    </w:pPr>
    <w:rPr>
      <w:b/>
      <w:sz w:val="28"/>
    </w:rPr>
  </w:style>
  <w:style w:type="paragraph" w:styleId="Heading3">
    <w:name w:val="heading 3"/>
    <w:basedOn w:val="Normal"/>
    <w:next w:val="Normal"/>
    <w:qFormat/>
    <w:rsid w:val="008B7590"/>
    <w:pPr>
      <w:keepNext/>
      <w:tabs>
        <w:tab w:val="num" w:pos="0"/>
      </w:tabs>
      <w:spacing w:line="360" w:lineRule="auto"/>
      <w:jc w:val="both"/>
      <w:outlineLvl w:val="2"/>
    </w:pPr>
    <w:rPr>
      <w:b/>
      <w:bCs/>
    </w:rPr>
  </w:style>
  <w:style w:type="paragraph" w:styleId="Heading6">
    <w:name w:val="heading 6"/>
    <w:basedOn w:val="Normal"/>
    <w:next w:val="Normal"/>
    <w:qFormat/>
    <w:rsid w:val="008B759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B7590"/>
  </w:style>
  <w:style w:type="character" w:customStyle="1" w:styleId="WW-Absatz-Standardschriftart">
    <w:name w:val="WW-Absatz-Standardschriftart"/>
    <w:rsid w:val="008B7590"/>
  </w:style>
  <w:style w:type="character" w:customStyle="1" w:styleId="WW-Absatz-Standardschriftart1">
    <w:name w:val="WW-Absatz-Standardschriftart1"/>
    <w:rsid w:val="008B7590"/>
  </w:style>
  <w:style w:type="character" w:customStyle="1" w:styleId="WW-Absatz-Standardschriftart11">
    <w:name w:val="WW-Absatz-Standardschriftart11"/>
    <w:rsid w:val="008B7590"/>
  </w:style>
  <w:style w:type="character" w:customStyle="1" w:styleId="WW-Absatz-Standardschriftart111">
    <w:name w:val="WW-Absatz-Standardschriftart111"/>
    <w:rsid w:val="008B7590"/>
  </w:style>
  <w:style w:type="character" w:customStyle="1" w:styleId="WW-Absatz-Standardschriftart1111">
    <w:name w:val="WW-Absatz-Standardschriftart1111"/>
    <w:rsid w:val="008B7590"/>
  </w:style>
  <w:style w:type="character" w:customStyle="1" w:styleId="WW-Absatz-Standardschriftart11111">
    <w:name w:val="WW-Absatz-Standardschriftart11111"/>
    <w:rsid w:val="008B7590"/>
  </w:style>
  <w:style w:type="character" w:customStyle="1" w:styleId="WW-Absatz-Standardschriftart111111">
    <w:name w:val="WW-Absatz-Standardschriftart111111"/>
    <w:rsid w:val="008B7590"/>
  </w:style>
  <w:style w:type="character" w:customStyle="1" w:styleId="WW-Absatz-Standardschriftart1111111">
    <w:name w:val="WW-Absatz-Standardschriftart1111111"/>
    <w:rsid w:val="008B7590"/>
  </w:style>
  <w:style w:type="character" w:customStyle="1" w:styleId="WW-Absatz-Standardschriftart11111111">
    <w:name w:val="WW-Absatz-Standardschriftart11111111"/>
    <w:rsid w:val="008B7590"/>
  </w:style>
  <w:style w:type="character" w:customStyle="1" w:styleId="WW-Absatz-Standardschriftart111111111">
    <w:name w:val="WW-Absatz-Standardschriftart111111111"/>
    <w:rsid w:val="008B7590"/>
  </w:style>
  <w:style w:type="character" w:customStyle="1" w:styleId="WW-Absatz-Standardschriftart1111111111">
    <w:name w:val="WW-Absatz-Standardschriftart1111111111"/>
    <w:rsid w:val="008B7590"/>
  </w:style>
  <w:style w:type="character" w:customStyle="1" w:styleId="WW-Absatz-Standardschriftart11111111111">
    <w:name w:val="WW-Absatz-Standardschriftart11111111111"/>
    <w:rsid w:val="008B7590"/>
  </w:style>
  <w:style w:type="character" w:customStyle="1" w:styleId="WW-Absatz-Standardschriftart111111111111">
    <w:name w:val="WW-Absatz-Standardschriftart111111111111"/>
    <w:rsid w:val="008B7590"/>
  </w:style>
  <w:style w:type="character" w:customStyle="1" w:styleId="WW-Absatz-Standardschriftart1111111111111">
    <w:name w:val="WW-Absatz-Standardschriftart1111111111111"/>
    <w:rsid w:val="008B7590"/>
  </w:style>
  <w:style w:type="character" w:customStyle="1" w:styleId="WW-Absatz-Standardschriftart11111111111111">
    <w:name w:val="WW-Absatz-Standardschriftart11111111111111"/>
    <w:rsid w:val="008B7590"/>
  </w:style>
  <w:style w:type="character" w:customStyle="1" w:styleId="WW-Absatz-Standardschriftart111111111111111">
    <w:name w:val="WW-Absatz-Standardschriftart111111111111111"/>
    <w:rsid w:val="008B7590"/>
  </w:style>
  <w:style w:type="character" w:customStyle="1" w:styleId="WW-Absatz-Standardschriftart1111111111111111">
    <w:name w:val="WW-Absatz-Standardschriftart1111111111111111"/>
    <w:rsid w:val="008B7590"/>
  </w:style>
  <w:style w:type="character" w:customStyle="1" w:styleId="WW8Num1z0">
    <w:name w:val="WW8Num1z0"/>
    <w:rsid w:val="008B7590"/>
    <w:rPr>
      <w:rFonts w:ascii="Symbol" w:eastAsia="Times New Roman" w:hAnsi="Symbol" w:cs="Times New Roman"/>
    </w:rPr>
  </w:style>
  <w:style w:type="character" w:customStyle="1" w:styleId="WW8Num1z1">
    <w:name w:val="WW8Num1z1"/>
    <w:rsid w:val="008B7590"/>
    <w:rPr>
      <w:rFonts w:ascii="Courier New" w:hAnsi="Courier New" w:cs="Courier New"/>
    </w:rPr>
  </w:style>
  <w:style w:type="character" w:customStyle="1" w:styleId="WW8Num1z2">
    <w:name w:val="WW8Num1z2"/>
    <w:rsid w:val="008B7590"/>
    <w:rPr>
      <w:rFonts w:ascii="Wingdings" w:hAnsi="Wingdings"/>
    </w:rPr>
  </w:style>
  <w:style w:type="character" w:customStyle="1" w:styleId="WW8Num1z3">
    <w:name w:val="WW8Num1z3"/>
    <w:rsid w:val="008B7590"/>
    <w:rPr>
      <w:rFonts w:ascii="Symbol" w:hAnsi="Symbol"/>
    </w:rPr>
  </w:style>
  <w:style w:type="character" w:styleId="PageNumber">
    <w:name w:val="page number"/>
    <w:basedOn w:val="DefaultParagraphFont"/>
    <w:rsid w:val="008B7590"/>
  </w:style>
  <w:style w:type="character" w:styleId="Hyperlink">
    <w:name w:val="Hyperlink"/>
    <w:rsid w:val="008B7590"/>
    <w:rPr>
      <w:color w:val="0000FF"/>
      <w:u w:val="single"/>
    </w:rPr>
  </w:style>
  <w:style w:type="character" w:styleId="FollowedHyperlink">
    <w:name w:val="FollowedHyperlink"/>
    <w:rsid w:val="008B7590"/>
    <w:rPr>
      <w:color w:val="800080"/>
      <w:u w:val="single"/>
    </w:rPr>
  </w:style>
  <w:style w:type="character" w:customStyle="1" w:styleId="NumberingSymbols">
    <w:name w:val="Numbering Symbols"/>
    <w:rsid w:val="008B7590"/>
  </w:style>
  <w:style w:type="paragraph" w:customStyle="1" w:styleId="Heading">
    <w:name w:val="Heading"/>
    <w:basedOn w:val="Normal"/>
    <w:next w:val="BodyText"/>
    <w:rsid w:val="008B7590"/>
    <w:pPr>
      <w:keepNext/>
      <w:spacing w:before="240" w:after="120"/>
    </w:pPr>
    <w:rPr>
      <w:rFonts w:ascii="Nimbus Sans L" w:eastAsia="DejaVu Sans" w:hAnsi="Nimbus Sans L" w:cs="DejaVu Sans"/>
      <w:sz w:val="28"/>
      <w:szCs w:val="28"/>
    </w:rPr>
  </w:style>
  <w:style w:type="paragraph" w:styleId="BodyText">
    <w:name w:val="Body Text"/>
    <w:basedOn w:val="Normal"/>
    <w:rsid w:val="008B7590"/>
    <w:pPr>
      <w:spacing w:line="360" w:lineRule="auto"/>
    </w:pPr>
  </w:style>
  <w:style w:type="paragraph" w:styleId="List">
    <w:name w:val="List"/>
    <w:basedOn w:val="BodyText"/>
    <w:rsid w:val="008B7590"/>
  </w:style>
  <w:style w:type="paragraph" w:styleId="Caption">
    <w:name w:val="caption"/>
    <w:basedOn w:val="Normal"/>
    <w:qFormat/>
    <w:rsid w:val="008B7590"/>
    <w:pPr>
      <w:suppressLineNumbers/>
      <w:spacing w:before="120" w:after="120"/>
    </w:pPr>
    <w:rPr>
      <w:i/>
      <w:iCs/>
    </w:rPr>
  </w:style>
  <w:style w:type="paragraph" w:customStyle="1" w:styleId="Index">
    <w:name w:val="Index"/>
    <w:basedOn w:val="Normal"/>
    <w:rsid w:val="008B7590"/>
    <w:pPr>
      <w:suppressLineNumbers/>
    </w:pPr>
  </w:style>
  <w:style w:type="paragraph" w:styleId="Header">
    <w:name w:val="header"/>
    <w:basedOn w:val="Normal"/>
    <w:next w:val="Heading1"/>
    <w:link w:val="HeaderChar"/>
    <w:rsid w:val="008B7590"/>
    <w:pPr>
      <w:tabs>
        <w:tab w:val="center" w:pos="4320"/>
        <w:tab w:val="right" w:pos="8640"/>
      </w:tabs>
    </w:pPr>
  </w:style>
  <w:style w:type="paragraph" w:styleId="BodyTextIndent3">
    <w:name w:val="Body Text Indent 3"/>
    <w:basedOn w:val="Normal"/>
    <w:rsid w:val="008B7590"/>
    <w:pPr>
      <w:spacing w:line="360" w:lineRule="auto"/>
      <w:ind w:firstLine="720"/>
      <w:jc w:val="both"/>
    </w:pPr>
    <w:rPr>
      <w:b/>
      <w:bCs/>
    </w:rPr>
  </w:style>
  <w:style w:type="paragraph" w:styleId="BodyTextIndent">
    <w:name w:val="Body Text Indent"/>
    <w:basedOn w:val="Normal"/>
    <w:rsid w:val="008B7590"/>
    <w:pPr>
      <w:ind w:left="540" w:hanging="720"/>
      <w:jc w:val="both"/>
    </w:pPr>
  </w:style>
  <w:style w:type="paragraph" w:styleId="BodyTextIndent2">
    <w:name w:val="Body Text Indent 2"/>
    <w:basedOn w:val="Normal"/>
    <w:rsid w:val="008B7590"/>
    <w:pPr>
      <w:spacing w:line="360" w:lineRule="auto"/>
      <w:ind w:firstLine="720"/>
      <w:jc w:val="both"/>
    </w:pPr>
  </w:style>
  <w:style w:type="paragraph" w:styleId="BodyText2">
    <w:name w:val="Body Text 2"/>
    <w:basedOn w:val="Normal"/>
    <w:rsid w:val="008B7590"/>
    <w:pPr>
      <w:spacing w:line="360" w:lineRule="auto"/>
      <w:jc w:val="both"/>
    </w:pPr>
  </w:style>
  <w:style w:type="paragraph" w:styleId="Footer">
    <w:name w:val="footer"/>
    <w:basedOn w:val="Normal"/>
    <w:rsid w:val="008B7590"/>
    <w:pPr>
      <w:tabs>
        <w:tab w:val="center" w:pos="4320"/>
        <w:tab w:val="right" w:pos="8640"/>
      </w:tabs>
    </w:pPr>
    <w:rPr>
      <w:sz w:val="32"/>
    </w:rPr>
  </w:style>
  <w:style w:type="paragraph" w:customStyle="1" w:styleId="TableContents">
    <w:name w:val="Table Contents"/>
    <w:basedOn w:val="Normal"/>
    <w:rsid w:val="008B7590"/>
    <w:pPr>
      <w:suppressLineNumbers/>
    </w:pPr>
  </w:style>
  <w:style w:type="paragraph" w:customStyle="1" w:styleId="TableHeading">
    <w:name w:val="Table Heading"/>
    <w:basedOn w:val="TableContents"/>
    <w:rsid w:val="008B7590"/>
    <w:pPr>
      <w:jc w:val="center"/>
    </w:pPr>
    <w:rPr>
      <w:b/>
      <w:bCs/>
    </w:rPr>
  </w:style>
  <w:style w:type="paragraph" w:customStyle="1" w:styleId="Framecontents">
    <w:name w:val="Frame contents"/>
    <w:basedOn w:val="BodyText"/>
    <w:rsid w:val="008B7590"/>
  </w:style>
  <w:style w:type="paragraph" w:customStyle="1" w:styleId="Text">
    <w:name w:val="Text"/>
    <w:basedOn w:val="Normal"/>
    <w:rsid w:val="008B7590"/>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uiPriority w:val="59"/>
    <w:rsid w:val="0020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5E30"/>
    <w:rPr>
      <w:rFonts w:ascii="Tahoma" w:hAnsi="Tahoma" w:cs="Tahoma"/>
      <w:sz w:val="16"/>
      <w:szCs w:val="16"/>
    </w:rPr>
  </w:style>
  <w:style w:type="character" w:customStyle="1" w:styleId="BalloonTextChar">
    <w:name w:val="Balloon Text Char"/>
    <w:basedOn w:val="DefaultParagraphFont"/>
    <w:link w:val="BalloonText"/>
    <w:uiPriority w:val="99"/>
    <w:semiHidden/>
    <w:rsid w:val="00A65E3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7.png"/><Relationship Id="rId42" Type="http://schemas.openxmlformats.org/officeDocument/2006/relationships/image" Target="media/image24.png"/><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hyperlink" Target="mailto:drahmedgamal@yahoo.com" TargetMode="Externa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oleObject" Target="embeddings/oleObject7.bin"/><Relationship Id="rId40" Type="http://schemas.openxmlformats.org/officeDocument/2006/relationships/image" Target="media/image22.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1.png"/><Relationship Id="rId36" Type="http://schemas.openxmlformats.org/officeDocument/2006/relationships/image" Target="media/image19.wmf"/><Relationship Id="rId49" Type="http://schemas.openxmlformats.org/officeDocument/2006/relationships/footer" Target="footer6.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4.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3.png"/><Relationship Id="rId35" Type="http://schemas.openxmlformats.org/officeDocument/2006/relationships/image" Target="media/image18.emf"/><Relationship Id="rId43" Type="http://schemas.openxmlformats.org/officeDocument/2006/relationships/hyperlink" Target="mailto:drahmedgamal@yahoo.com" TargetMode="External"/><Relationship Id="rId48" Type="http://schemas.openxmlformats.org/officeDocument/2006/relationships/footer" Target="footer5.xml"/><Relationship Id="rId8" Type="http://schemas.openxmlformats.org/officeDocument/2006/relationships/hyperlink" Target="http://www.sciencepub.net/nature"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Paper</vt:lpstr>
    </vt:vector>
  </TitlesOfParts>
  <Company>微软中国</Company>
  <LinksUpToDate>false</LinksUpToDate>
  <CharactersWithSpaces>30000</CharactersWithSpaces>
  <SharedDoc>false</SharedDoc>
  <HLinks>
    <vt:vector size="24" baseType="variant">
      <vt:variant>
        <vt:i4>6357070</vt:i4>
      </vt:variant>
      <vt:variant>
        <vt:i4>18</vt:i4>
      </vt:variant>
      <vt:variant>
        <vt:i4>0</vt:i4>
      </vt:variant>
      <vt:variant>
        <vt:i4>5</vt:i4>
      </vt:variant>
      <vt:variant>
        <vt:lpwstr>mailto:drahmedgamal@yahoo.com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6357070</vt:i4>
      </vt:variant>
      <vt:variant>
        <vt:i4>0</vt:i4>
      </vt:variant>
      <vt:variant>
        <vt:i4>0</vt:i4>
      </vt:variant>
      <vt:variant>
        <vt:i4>5</vt:i4>
      </vt:variant>
      <vt:variant>
        <vt:lpwstr>mailto:drahmedgamal@yahoo.com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2015-01-02T01:29:00Z</cp:lastPrinted>
  <dcterms:created xsi:type="dcterms:W3CDTF">2015-01-01T13:42:00Z</dcterms:created>
  <dcterms:modified xsi:type="dcterms:W3CDTF">2015-01-03T02:57:00Z</dcterms:modified>
</cp:coreProperties>
</file>