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E42" w:rsidRPr="006E55EC" w:rsidRDefault="0013477B" w:rsidP="00AB4189">
      <w:pPr>
        <w:snapToGrid w:val="0"/>
        <w:jc w:val="center"/>
        <w:rPr>
          <w:b/>
          <w:sz w:val="20"/>
          <w:szCs w:val="20"/>
        </w:rPr>
      </w:pPr>
      <w:r w:rsidRPr="006E55EC">
        <w:rPr>
          <w:b/>
          <w:sz w:val="20"/>
          <w:szCs w:val="20"/>
        </w:rPr>
        <w:t xml:space="preserve">The </w:t>
      </w:r>
      <w:r w:rsidRPr="006E55EC">
        <w:rPr>
          <w:b/>
          <w:iCs/>
          <w:sz w:val="20"/>
          <w:szCs w:val="20"/>
        </w:rPr>
        <w:t>In Vitro</w:t>
      </w:r>
      <w:r w:rsidRPr="006E55EC">
        <w:rPr>
          <w:b/>
          <w:sz w:val="20"/>
          <w:szCs w:val="20"/>
        </w:rPr>
        <w:t xml:space="preserve"> Antioxidant Properties of Hibiscus </w:t>
      </w:r>
      <w:proofErr w:type="spellStart"/>
      <w:r w:rsidRPr="006E55EC">
        <w:rPr>
          <w:b/>
          <w:sz w:val="20"/>
          <w:szCs w:val="20"/>
        </w:rPr>
        <w:t>Anthocyanins</w:t>
      </w:r>
      <w:proofErr w:type="spellEnd"/>
      <w:r w:rsidRPr="006E55EC">
        <w:rPr>
          <w:b/>
          <w:sz w:val="20"/>
          <w:szCs w:val="20"/>
        </w:rPr>
        <w:t xml:space="preserve"> Rich Extract (HAE)</w:t>
      </w:r>
    </w:p>
    <w:p w:rsidR="00572E25" w:rsidRPr="006E55EC" w:rsidRDefault="00572E25" w:rsidP="00AB4189">
      <w:pPr>
        <w:autoSpaceDE w:val="0"/>
        <w:autoSpaceDN w:val="0"/>
        <w:adjustRightInd w:val="0"/>
        <w:snapToGrid w:val="0"/>
        <w:jc w:val="center"/>
        <w:rPr>
          <w:rFonts w:eastAsiaTheme="minorHAnsi"/>
          <w:color w:val="000000" w:themeColor="text1"/>
          <w:sz w:val="20"/>
          <w:szCs w:val="20"/>
        </w:rPr>
      </w:pPr>
    </w:p>
    <w:p w:rsidR="00F81932" w:rsidRPr="006E55EC" w:rsidRDefault="00F81932" w:rsidP="00AB4189">
      <w:pPr>
        <w:autoSpaceDE w:val="0"/>
        <w:autoSpaceDN w:val="0"/>
        <w:adjustRightInd w:val="0"/>
        <w:snapToGrid w:val="0"/>
        <w:jc w:val="center"/>
        <w:rPr>
          <w:rFonts w:eastAsiaTheme="minorHAnsi"/>
          <w:color w:val="000000" w:themeColor="text1"/>
          <w:sz w:val="20"/>
          <w:szCs w:val="20"/>
          <w:vertAlign w:val="superscript"/>
        </w:rPr>
      </w:pPr>
      <w:proofErr w:type="spellStart"/>
      <w:r w:rsidRPr="006E55EC">
        <w:rPr>
          <w:rFonts w:eastAsiaTheme="minorHAnsi"/>
          <w:color w:val="000000" w:themeColor="text1"/>
          <w:sz w:val="20"/>
          <w:szCs w:val="20"/>
        </w:rPr>
        <w:t>Owoade</w:t>
      </w:r>
      <w:proofErr w:type="spellEnd"/>
      <w:r w:rsidR="00560959" w:rsidRPr="006E55EC">
        <w:rPr>
          <w:rFonts w:eastAsiaTheme="minorHAnsi"/>
          <w:color w:val="000000" w:themeColor="text1"/>
          <w:sz w:val="20"/>
          <w:szCs w:val="20"/>
        </w:rPr>
        <w:t>, A.O</w:t>
      </w:r>
      <w:r w:rsidRPr="006E55EC">
        <w:rPr>
          <w:b/>
          <w:iCs/>
          <w:color w:val="000000" w:themeColor="text1"/>
          <w:sz w:val="20"/>
          <w:szCs w:val="20"/>
        </w:rPr>
        <w:t>*</w:t>
      </w:r>
      <w:r w:rsidRPr="006E55EC">
        <w:rPr>
          <w:rFonts w:eastAsiaTheme="minorHAnsi"/>
          <w:color w:val="000000" w:themeColor="text1"/>
          <w:sz w:val="20"/>
          <w:szCs w:val="20"/>
          <w:vertAlign w:val="superscript"/>
        </w:rPr>
        <w:t>1</w:t>
      </w:r>
      <w:r w:rsidR="00560959" w:rsidRPr="006E55EC">
        <w:rPr>
          <w:rFonts w:eastAsiaTheme="minorHAnsi"/>
          <w:color w:val="000000" w:themeColor="text1"/>
          <w:sz w:val="20"/>
          <w:szCs w:val="20"/>
          <w:vertAlign w:val="superscript"/>
        </w:rPr>
        <w:t xml:space="preserve"> </w:t>
      </w:r>
      <w:r w:rsidRPr="006E55EC">
        <w:rPr>
          <w:rFonts w:eastAsiaTheme="minorHAnsi"/>
          <w:color w:val="000000" w:themeColor="text1"/>
          <w:sz w:val="20"/>
          <w:szCs w:val="20"/>
        </w:rPr>
        <w:t xml:space="preserve">, </w:t>
      </w:r>
      <w:r w:rsidRPr="006E55EC">
        <w:rPr>
          <w:rFonts w:eastAsiaTheme="minorHAnsi"/>
          <w:sz w:val="20"/>
          <w:szCs w:val="20"/>
          <w:lang w:val="en-US" w:eastAsia="en-US"/>
        </w:rPr>
        <w:t>Lowe</w:t>
      </w:r>
      <w:r w:rsidR="00560959" w:rsidRPr="006E55EC">
        <w:rPr>
          <w:rFonts w:eastAsiaTheme="minorHAnsi"/>
          <w:sz w:val="20"/>
          <w:szCs w:val="20"/>
          <w:lang w:val="en-US" w:eastAsia="en-US"/>
        </w:rPr>
        <w:t>, G.M</w:t>
      </w:r>
      <w:r w:rsidRPr="006E55EC">
        <w:rPr>
          <w:rFonts w:eastAsiaTheme="minorHAnsi"/>
          <w:sz w:val="20"/>
          <w:szCs w:val="20"/>
          <w:vertAlign w:val="superscript"/>
          <w:lang w:val="en-US" w:eastAsia="en-US"/>
        </w:rPr>
        <w:t>2</w:t>
      </w:r>
      <w:r w:rsidRPr="006E55EC">
        <w:rPr>
          <w:rFonts w:eastAsiaTheme="minorHAnsi"/>
          <w:sz w:val="20"/>
          <w:szCs w:val="20"/>
          <w:lang w:val="en-US" w:eastAsia="en-US"/>
        </w:rPr>
        <w:t xml:space="preserve"> </w:t>
      </w:r>
      <w:r w:rsidRPr="006E55EC">
        <w:rPr>
          <w:rFonts w:eastAsiaTheme="minorHAnsi"/>
          <w:color w:val="000000" w:themeColor="text1"/>
          <w:sz w:val="20"/>
          <w:szCs w:val="20"/>
        </w:rPr>
        <w:t xml:space="preserve">and </w:t>
      </w:r>
      <w:r w:rsidRPr="006E55EC">
        <w:rPr>
          <w:rFonts w:eastAsiaTheme="minorHAnsi"/>
          <w:sz w:val="20"/>
          <w:szCs w:val="20"/>
          <w:lang w:val="en-US" w:eastAsia="en-US"/>
        </w:rPr>
        <w:t>Khalid</w:t>
      </w:r>
      <w:r w:rsidR="00560959" w:rsidRPr="006E55EC">
        <w:rPr>
          <w:rFonts w:eastAsiaTheme="minorHAnsi"/>
          <w:sz w:val="20"/>
          <w:szCs w:val="20"/>
          <w:lang w:val="en-US" w:eastAsia="en-US"/>
        </w:rPr>
        <w:t>, R.</w:t>
      </w:r>
      <w:r w:rsidRPr="006E55EC">
        <w:rPr>
          <w:rFonts w:eastAsiaTheme="minorHAnsi"/>
          <w:sz w:val="20"/>
          <w:szCs w:val="20"/>
          <w:vertAlign w:val="superscript"/>
          <w:lang w:val="en-US" w:eastAsia="en-US"/>
        </w:rPr>
        <w:t>2</w:t>
      </w:r>
    </w:p>
    <w:p w:rsidR="00F81932" w:rsidRPr="006E55EC" w:rsidRDefault="00F81932" w:rsidP="00AB4189">
      <w:pPr>
        <w:autoSpaceDE w:val="0"/>
        <w:snapToGrid w:val="0"/>
        <w:jc w:val="center"/>
        <w:rPr>
          <w:rFonts w:eastAsiaTheme="minorHAnsi"/>
          <w:color w:val="000000" w:themeColor="text1"/>
          <w:sz w:val="20"/>
          <w:szCs w:val="20"/>
          <w:vertAlign w:val="superscript"/>
        </w:rPr>
      </w:pPr>
    </w:p>
    <w:p w:rsidR="00F81932" w:rsidRPr="006E55EC" w:rsidRDefault="00F81932" w:rsidP="00AB4189">
      <w:pPr>
        <w:pStyle w:val="NoSpacing"/>
        <w:snapToGrid w:val="0"/>
        <w:jc w:val="center"/>
        <w:rPr>
          <w:rFonts w:eastAsiaTheme="minorHAnsi"/>
          <w:sz w:val="20"/>
          <w:szCs w:val="20"/>
        </w:rPr>
      </w:pPr>
      <w:r w:rsidRPr="006E55EC">
        <w:rPr>
          <w:rFonts w:eastAsiaTheme="minorHAnsi"/>
          <w:sz w:val="20"/>
          <w:szCs w:val="20"/>
          <w:vertAlign w:val="superscript"/>
        </w:rPr>
        <w:t>1</w:t>
      </w:r>
      <w:r w:rsidRPr="006E55EC">
        <w:rPr>
          <w:rFonts w:eastAsiaTheme="minorHAnsi"/>
          <w:sz w:val="20"/>
          <w:szCs w:val="20"/>
        </w:rPr>
        <w:t xml:space="preserve">Department of Biochemistry, </w:t>
      </w:r>
      <w:proofErr w:type="spellStart"/>
      <w:r w:rsidRPr="006E55EC">
        <w:rPr>
          <w:rFonts w:eastAsiaTheme="minorHAnsi"/>
          <w:sz w:val="20"/>
          <w:szCs w:val="20"/>
        </w:rPr>
        <w:t>LadokeAkintola</w:t>
      </w:r>
      <w:proofErr w:type="spellEnd"/>
      <w:r w:rsidRPr="006E55EC">
        <w:rPr>
          <w:rFonts w:eastAsiaTheme="minorHAnsi"/>
          <w:sz w:val="20"/>
          <w:szCs w:val="20"/>
        </w:rPr>
        <w:t xml:space="preserve"> University of Technology, Ogbomosho, Nigeria</w:t>
      </w:r>
    </w:p>
    <w:p w:rsidR="00237BB1" w:rsidRPr="006E55EC" w:rsidRDefault="00F81932" w:rsidP="00AB4189">
      <w:pPr>
        <w:pStyle w:val="NoSpacing"/>
        <w:snapToGrid w:val="0"/>
        <w:jc w:val="center"/>
        <w:rPr>
          <w:rFonts w:eastAsiaTheme="minorHAnsi"/>
          <w:sz w:val="20"/>
          <w:szCs w:val="20"/>
          <w:lang w:val="en-US" w:eastAsia="en-US"/>
        </w:rPr>
      </w:pPr>
      <w:r w:rsidRPr="006E55EC">
        <w:rPr>
          <w:rFonts w:eastAsiaTheme="minorHAnsi"/>
          <w:sz w:val="20"/>
          <w:szCs w:val="20"/>
          <w:vertAlign w:val="superscript"/>
          <w:lang w:val="en-US" w:eastAsia="en-US"/>
        </w:rPr>
        <w:t>2</w:t>
      </w:r>
      <w:r w:rsidRPr="006E55EC">
        <w:rPr>
          <w:rFonts w:eastAsiaTheme="minorHAnsi"/>
          <w:sz w:val="20"/>
          <w:szCs w:val="20"/>
          <w:lang w:val="en-US" w:eastAsia="en-US"/>
        </w:rPr>
        <w:t xml:space="preserve">School of </w:t>
      </w:r>
      <w:proofErr w:type="spellStart"/>
      <w:r w:rsidRPr="006E55EC">
        <w:rPr>
          <w:rFonts w:eastAsiaTheme="minorHAnsi"/>
          <w:sz w:val="20"/>
          <w:szCs w:val="20"/>
          <w:lang w:val="en-US" w:eastAsia="en-US"/>
        </w:rPr>
        <w:t>Biomolecular</w:t>
      </w:r>
      <w:proofErr w:type="spellEnd"/>
      <w:r w:rsidRPr="006E55EC">
        <w:rPr>
          <w:rFonts w:eastAsiaTheme="minorHAnsi"/>
          <w:sz w:val="20"/>
          <w:szCs w:val="20"/>
          <w:lang w:val="en-US" w:eastAsia="en-US"/>
        </w:rPr>
        <w:t xml:space="preserve"> Sciences, Liverpool John </w:t>
      </w:r>
      <w:proofErr w:type="spellStart"/>
      <w:r w:rsidRPr="006E55EC">
        <w:rPr>
          <w:rFonts w:eastAsiaTheme="minorHAnsi"/>
          <w:sz w:val="20"/>
          <w:szCs w:val="20"/>
          <w:lang w:val="en-US" w:eastAsia="en-US"/>
        </w:rPr>
        <w:t>Moores</w:t>
      </w:r>
      <w:proofErr w:type="spellEnd"/>
      <w:r w:rsidRPr="006E55EC">
        <w:rPr>
          <w:rFonts w:eastAsiaTheme="minorHAnsi"/>
          <w:sz w:val="20"/>
          <w:szCs w:val="20"/>
          <w:lang w:val="en-US" w:eastAsia="en-US"/>
        </w:rPr>
        <w:t xml:space="preserve"> University, </w:t>
      </w:r>
      <w:proofErr w:type="spellStart"/>
      <w:r w:rsidRPr="006E55EC">
        <w:rPr>
          <w:rFonts w:eastAsiaTheme="minorHAnsi"/>
          <w:sz w:val="20"/>
          <w:szCs w:val="20"/>
          <w:lang w:val="en-US" w:eastAsia="en-US"/>
        </w:rPr>
        <w:t>Byrom</w:t>
      </w:r>
      <w:proofErr w:type="spellEnd"/>
      <w:r w:rsidRPr="006E55EC">
        <w:rPr>
          <w:rFonts w:eastAsiaTheme="minorHAnsi"/>
          <w:sz w:val="20"/>
          <w:szCs w:val="20"/>
          <w:lang w:val="en-US" w:eastAsia="en-US"/>
        </w:rPr>
        <w:t xml:space="preserve"> Street, Liverpool, L3 3AF, UK</w:t>
      </w:r>
    </w:p>
    <w:p w:rsidR="00F81932" w:rsidRPr="006E55EC" w:rsidRDefault="00E00167" w:rsidP="00AB4189">
      <w:pPr>
        <w:pStyle w:val="NoSpacing"/>
        <w:snapToGrid w:val="0"/>
        <w:jc w:val="center"/>
        <w:rPr>
          <w:rFonts w:eastAsiaTheme="minorHAnsi"/>
          <w:sz w:val="20"/>
          <w:szCs w:val="20"/>
        </w:rPr>
      </w:pPr>
      <w:hyperlink r:id="rId7" w:history="1">
        <w:r w:rsidR="00237BB1" w:rsidRPr="006E55EC">
          <w:rPr>
            <w:rStyle w:val="Hyperlink"/>
            <w:iCs/>
            <w:sz w:val="20"/>
            <w:szCs w:val="20"/>
          </w:rPr>
          <w:t>aoowoade@lautech.edu.ng</w:t>
        </w:r>
      </w:hyperlink>
    </w:p>
    <w:p w:rsidR="00FA09E2" w:rsidRPr="006E55EC" w:rsidRDefault="00FA09E2" w:rsidP="00AB4189">
      <w:pPr>
        <w:snapToGrid w:val="0"/>
        <w:jc w:val="center"/>
        <w:rPr>
          <w:b/>
          <w:sz w:val="20"/>
          <w:szCs w:val="20"/>
        </w:rPr>
      </w:pPr>
    </w:p>
    <w:p w:rsidR="00D15E42" w:rsidRPr="006E55EC" w:rsidRDefault="00B37631" w:rsidP="00AB4189">
      <w:pPr>
        <w:snapToGrid w:val="0"/>
        <w:jc w:val="both"/>
        <w:rPr>
          <w:b/>
          <w:sz w:val="20"/>
          <w:szCs w:val="20"/>
        </w:rPr>
      </w:pPr>
      <w:r w:rsidRPr="006E55EC">
        <w:rPr>
          <w:b/>
          <w:sz w:val="20"/>
          <w:szCs w:val="20"/>
        </w:rPr>
        <w:t xml:space="preserve">Abstract: </w:t>
      </w:r>
      <w:r w:rsidR="00D15E42" w:rsidRPr="006E55EC">
        <w:rPr>
          <w:color w:val="000000"/>
          <w:sz w:val="20"/>
          <w:szCs w:val="20"/>
        </w:rPr>
        <w:t>This study investigate the an</w:t>
      </w:r>
      <w:r w:rsidR="00DC5F1F" w:rsidRPr="006E55EC">
        <w:rPr>
          <w:color w:val="000000"/>
          <w:sz w:val="20"/>
          <w:szCs w:val="20"/>
        </w:rPr>
        <w:t>tioxidant properties of</w:t>
      </w:r>
      <w:r w:rsidR="00D15E42" w:rsidRPr="006E55EC">
        <w:rPr>
          <w:color w:val="000000"/>
          <w:sz w:val="20"/>
          <w:szCs w:val="20"/>
        </w:rPr>
        <w:t xml:space="preserve"> Hibiscus </w:t>
      </w:r>
      <w:proofErr w:type="spellStart"/>
      <w:r w:rsidR="00D15E42" w:rsidRPr="006E55EC">
        <w:rPr>
          <w:color w:val="000000"/>
          <w:sz w:val="20"/>
          <w:szCs w:val="20"/>
        </w:rPr>
        <w:t>anthocyanins</w:t>
      </w:r>
      <w:proofErr w:type="spellEnd"/>
      <w:r w:rsidR="00D15E42" w:rsidRPr="006E55EC">
        <w:rPr>
          <w:color w:val="000000"/>
          <w:sz w:val="20"/>
          <w:szCs w:val="20"/>
        </w:rPr>
        <w:t xml:space="preserve"> rich extract (</w:t>
      </w:r>
      <w:smartTag w:uri="urn:schemas-microsoft-com:office:smarttags" w:element="stockticker">
        <w:r w:rsidR="00D15E42" w:rsidRPr="006E55EC">
          <w:rPr>
            <w:color w:val="000000"/>
            <w:sz w:val="20"/>
            <w:szCs w:val="20"/>
          </w:rPr>
          <w:t>HAE</w:t>
        </w:r>
      </w:smartTag>
      <w:r w:rsidR="00D15E42" w:rsidRPr="006E55EC">
        <w:rPr>
          <w:color w:val="000000"/>
          <w:sz w:val="20"/>
          <w:szCs w:val="20"/>
        </w:rPr>
        <w:t xml:space="preserve">) prepared from </w:t>
      </w:r>
      <w:r w:rsidR="00D15E42" w:rsidRPr="006E55EC">
        <w:rPr>
          <w:i/>
          <w:iCs/>
          <w:color w:val="000000"/>
          <w:sz w:val="20"/>
          <w:szCs w:val="20"/>
        </w:rPr>
        <w:t xml:space="preserve">Hibiscus </w:t>
      </w:r>
      <w:proofErr w:type="spellStart"/>
      <w:r w:rsidR="00D15E42" w:rsidRPr="006E55EC">
        <w:rPr>
          <w:i/>
          <w:iCs/>
          <w:color w:val="000000"/>
          <w:sz w:val="20"/>
          <w:szCs w:val="20"/>
        </w:rPr>
        <w:t>sabdariffa</w:t>
      </w:r>
      <w:proofErr w:type="spellEnd"/>
      <w:r w:rsidR="00D15E42" w:rsidRPr="006E55EC">
        <w:rPr>
          <w:i/>
          <w:iCs/>
          <w:color w:val="000000"/>
          <w:sz w:val="20"/>
          <w:szCs w:val="20"/>
        </w:rPr>
        <w:t>.</w:t>
      </w:r>
      <w:r w:rsidR="00D15E42" w:rsidRPr="006E55EC">
        <w:rPr>
          <w:color w:val="000000"/>
          <w:sz w:val="20"/>
          <w:szCs w:val="20"/>
        </w:rPr>
        <w:t xml:space="preserve"> </w:t>
      </w:r>
      <w:r w:rsidR="00A37358" w:rsidRPr="006E55EC">
        <w:rPr>
          <w:color w:val="000000"/>
          <w:sz w:val="20"/>
          <w:szCs w:val="20"/>
        </w:rPr>
        <w:t xml:space="preserve">The extract </w:t>
      </w:r>
      <w:r w:rsidR="00D8613A" w:rsidRPr="006E55EC">
        <w:rPr>
          <w:sz w:val="20"/>
          <w:szCs w:val="20"/>
        </w:rPr>
        <w:t xml:space="preserve">significantly inhibited superoxide production by </w:t>
      </w:r>
      <w:proofErr w:type="spellStart"/>
      <w:r w:rsidR="00D8613A" w:rsidRPr="006E55EC">
        <w:rPr>
          <w:sz w:val="20"/>
          <w:szCs w:val="20"/>
        </w:rPr>
        <w:t>xanthine</w:t>
      </w:r>
      <w:proofErr w:type="spellEnd"/>
      <w:r w:rsidR="00D8613A" w:rsidRPr="006E55EC">
        <w:rPr>
          <w:sz w:val="20"/>
          <w:szCs w:val="20"/>
        </w:rPr>
        <w:t xml:space="preserve"> – </w:t>
      </w:r>
      <w:proofErr w:type="spellStart"/>
      <w:r w:rsidR="00D8613A" w:rsidRPr="006E55EC">
        <w:rPr>
          <w:sz w:val="20"/>
          <w:szCs w:val="20"/>
        </w:rPr>
        <w:t>xanthine</w:t>
      </w:r>
      <w:proofErr w:type="spellEnd"/>
      <w:r w:rsidR="00D8613A" w:rsidRPr="006E55EC">
        <w:rPr>
          <w:sz w:val="20"/>
          <w:szCs w:val="20"/>
        </w:rPr>
        <w:t xml:space="preserve"> </w:t>
      </w:r>
      <w:proofErr w:type="spellStart"/>
      <w:r w:rsidR="00D8613A" w:rsidRPr="006E55EC">
        <w:rPr>
          <w:sz w:val="20"/>
          <w:szCs w:val="20"/>
        </w:rPr>
        <w:t>oxidase</w:t>
      </w:r>
      <w:proofErr w:type="spellEnd"/>
      <w:r w:rsidR="00D8613A" w:rsidRPr="006E55EC">
        <w:rPr>
          <w:sz w:val="20"/>
          <w:szCs w:val="20"/>
        </w:rPr>
        <w:t xml:space="preserve"> by 41.18% at 5% (v/v) of the reaction volume. In addition, </w:t>
      </w:r>
      <w:r w:rsidR="00D8613A" w:rsidRPr="006E55EC">
        <w:rPr>
          <w:rFonts w:eastAsiaTheme="minorHAnsi"/>
          <w:sz w:val="20"/>
          <w:szCs w:val="20"/>
          <w:lang w:val="en-US" w:eastAsia="en-US"/>
        </w:rPr>
        <w:t xml:space="preserve">the antioxidant investigation showed that HAE </w:t>
      </w:r>
      <w:r w:rsidR="00B62FAA" w:rsidRPr="006E55EC">
        <w:rPr>
          <w:sz w:val="20"/>
          <w:szCs w:val="20"/>
        </w:rPr>
        <w:t xml:space="preserve">has potent scavenging ability against DPPH and ABTS radicals </w:t>
      </w:r>
      <w:r w:rsidR="00D8613A" w:rsidRPr="006E55EC">
        <w:rPr>
          <w:rFonts w:eastAsiaTheme="minorHAnsi"/>
          <w:sz w:val="20"/>
          <w:szCs w:val="20"/>
          <w:lang w:val="en-US" w:eastAsia="en-US"/>
        </w:rPr>
        <w:t>and these radicals scavenging abilities were found to be dose</w:t>
      </w:r>
      <w:r w:rsidR="00B62FAA" w:rsidRPr="006E55EC">
        <w:rPr>
          <w:rFonts w:eastAsiaTheme="minorHAnsi"/>
          <w:sz w:val="20"/>
          <w:szCs w:val="20"/>
          <w:lang w:val="en-US" w:eastAsia="en-US"/>
        </w:rPr>
        <w:t xml:space="preserve"> </w:t>
      </w:r>
      <w:r w:rsidR="00D8613A" w:rsidRPr="006E55EC">
        <w:rPr>
          <w:rFonts w:eastAsiaTheme="minorHAnsi"/>
          <w:sz w:val="20"/>
          <w:szCs w:val="20"/>
          <w:lang w:val="en-US" w:eastAsia="en-US"/>
        </w:rPr>
        <w:t>dependent.</w:t>
      </w:r>
      <w:r w:rsidR="00D8613A" w:rsidRPr="006E55EC">
        <w:rPr>
          <w:sz w:val="20"/>
          <w:szCs w:val="20"/>
        </w:rPr>
        <w:t xml:space="preserve"> </w:t>
      </w:r>
      <w:r w:rsidR="00B62FAA" w:rsidRPr="006E55EC">
        <w:rPr>
          <w:rFonts w:eastAsiaTheme="minorHAnsi"/>
          <w:sz w:val="20"/>
          <w:szCs w:val="20"/>
          <w:lang w:val="en-US" w:eastAsia="en-US"/>
        </w:rPr>
        <w:t>HAE was found to contain high level of tota</w:t>
      </w:r>
      <w:r w:rsidR="001773EA" w:rsidRPr="006E55EC">
        <w:rPr>
          <w:rFonts w:eastAsiaTheme="minorHAnsi"/>
          <w:sz w:val="20"/>
          <w:szCs w:val="20"/>
          <w:lang w:val="en-US" w:eastAsia="en-US"/>
        </w:rPr>
        <w:t xml:space="preserve">l </w:t>
      </w:r>
      <w:proofErr w:type="spellStart"/>
      <w:r w:rsidR="001773EA" w:rsidRPr="006E55EC">
        <w:rPr>
          <w:rFonts w:eastAsiaTheme="minorHAnsi"/>
          <w:sz w:val="20"/>
          <w:szCs w:val="20"/>
          <w:lang w:val="en-US" w:eastAsia="en-US"/>
        </w:rPr>
        <w:t>phenolic</w:t>
      </w:r>
      <w:proofErr w:type="spellEnd"/>
      <w:r w:rsidR="001773EA" w:rsidRPr="006E55EC">
        <w:rPr>
          <w:rFonts w:eastAsiaTheme="minorHAnsi"/>
          <w:sz w:val="20"/>
          <w:szCs w:val="20"/>
          <w:lang w:val="en-US" w:eastAsia="en-US"/>
        </w:rPr>
        <w:t xml:space="preserve"> content (</w:t>
      </w:r>
      <w:r w:rsidR="001773EA" w:rsidRPr="006E55EC">
        <w:rPr>
          <w:color w:val="000000" w:themeColor="text1"/>
          <w:sz w:val="20"/>
          <w:szCs w:val="20"/>
        </w:rPr>
        <w:t xml:space="preserve">56.6 ± 3.7 </w:t>
      </w:r>
      <w:r w:rsidR="00B62FAA" w:rsidRPr="006E55EC">
        <w:rPr>
          <w:rFonts w:eastAsiaTheme="minorHAnsi"/>
          <w:sz w:val="20"/>
          <w:szCs w:val="20"/>
          <w:lang w:val="en-US" w:eastAsia="en-US"/>
        </w:rPr>
        <w:t>mg/g in GAE/g dried weight).</w:t>
      </w:r>
      <w:r w:rsidR="00D15E42" w:rsidRPr="006E55EC">
        <w:rPr>
          <w:sz w:val="20"/>
          <w:szCs w:val="20"/>
        </w:rPr>
        <w:t>Th</w:t>
      </w:r>
      <w:r w:rsidR="00BF5122" w:rsidRPr="006E55EC">
        <w:rPr>
          <w:sz w:val="20"/>
          <w:szCs w:val="20"/>
        </w:rPr>
        <w:t xml:space="preserve">e </w:t>
      </w:r>
      <w:proofErr w:type="spellStart"/>
      <w:r w:rsidR="00B62FAA" w:rsidRPr="006E55EC">
        <w:rPr>
          <w:sz w:val="20"/>
          <w:szCs w:val="20"/>
        </w:rPr>
        <w:t>anthocyanins</w:t>
      </w:r>
      <w:proofErr w:type="spellEnd"/>
      <w:r w:rsidR="00BF5122" w:rsidRPr="006E55EC">
        <w:rPr>
          <w:sz w:val="20"/>
          <w:szCs w:val="20"/>
        </w:rPr>
        <w:t xml:space="preserve"> components of</w:t>
      </w:r>
      <w:r w:rsidR="00D15E42" w:rsidRPr="006E55EC">
        <w:rPr>
          <w:sz w:val="20"/>
          <w:szCs w:val="20"/>
        </w:rPr>
        <w:t xml:space="preserve"> </w:t>
      </w:r>
      <w:smartTag w:uri="urn:schemas-microsoft-com:office:smarttags" w:element="stockticker">
        <w:r w:rsidR="00D15E42" w:rsidRPr="006E55EC">
          <w:rPr>
            <w:sz w:val="20"/>
            <w:szCs w:val="20"/>
          </w:rPr>
          <w:t>HAE</w:t>
        </w:r>
      </w:smartTag>
      <w:r w:rsidR="00D15E42" w:rsidRPr="006E55EC">
        <w:rPr>
          <w:sz w:val="20"/>
          <w:szCs w:val="20"/>
        </w:rPr>
        <w:t xml:space="preserve"> were identified through several c</w:t>
      </w:r>
      <w:r w:rsidR="00D15E42" w:rsidRPr="006E55EC">
        <w:rPr>
          <w:color w:val="000000"/>
          <w:sz w:val="20"/>
          <w:szCs w:val="20"/>
        </w:rPr>
        <w:t>hromatographic</w:t>
      </w:r>
      <w:r w:rsidR="00D15E42" w:rsidRPr="006E55EC">
        <w:rPr>
          <w:sz w:val="20"/>
          <w:szCs w:val="20"/>
        </w:rPr>
        <w:t xml:space="preserve"> analyses. </w:t>
      </w:r>
      <w:r w:rsidR="001773EA" w:rsidRPr="006E55EC">
        <w:rPr>
          <w:sz w:val="20"/>
          <w:szCs w:val="20"/>
        </w:rPr>
        <w:t>The results indicate that</w:t>
      </w:r>
      <w:r w:rsidR="00D15E42" w:rsidRPr="006E55EC">
        <w:rPr>
          <w:sz w:val="20"/>
          <w:szCs w:val="20"/>
        </w:rPr>
        <w:t xml:space="preserve"> delphinidin-3-sambubioside, delphnidin-3-monoglucoside, cyanidin-3-sambubioside and cyanidin-3-monoglucoside as the major </w:t>
      </w:r>
      <w:proofErr w:type="spellStart"/>
      <w:r w:rsidR="00D15E42" w:rsidRPr="006E55EC">
        <w:rPr>
          <w:sz w:val="20"/>
          <w:szCs w:val="20"/>
        </w:rPr>
        <w:t>anthocyanins</w:t>
      </w:r>
      <w:proofErr w:type="spellEnd"/>
      <w:r w:rsidR="00D15E42" w:rsidRPr="006E55EC">
        <w:rPr>
          <w:sz w:val="20"/>
          <w:szCs w:val="20"/>
        </w:rPr>
        <w:t xml:space="preserve"> and </w:t>
      </w:r>
      <w:proofErr w:type="spellStart"/>
      <w:r w:rsidR="00D15E42" w:rsidRPr="006E55EC">
        <w:rPr>
          <w:sz w:val="20"/>
          <w:szCs w:val="20"/>
        </w:rPr>
        <w:t>delphinidin</w:t>
      </w:r>
      <w:proofErr w:type="spellEnd"/>
      <w:r w:rsidR="00D15E42" w:rsidRPr="006E55EC">
        <w:rPr>
          <w:sz w:val="20"/>
          <w:szCs w:val="20"/>
        </w:rPr>
        <w:t xml:space="preserve"> and </w:t>
      </w:r>
      <w:proofErr w:type="spellStart"/>
      <w:r w:rsidR="00D15E42" w:rsidRPr="006E55EC">
        <w:rPr>
          <w:sz w:val="20"/>
          <w:szCs w:val="20"/>
        </w:rPr>
        <w:t>cyanidin</w:t>
      </w:r>
      <w:proofErr w:type="spellEnd"/>
      <w:r w:rsidR="00D15E42" w:rsidRPr="006E55EC">
        <w:rPr>
          <w:sz w:val="20"/>
          <w:szCs w:val="20"/>
        </w:rPr>
        <w:t xml:space="preserve"> as major </w:t>
      </w:r>
      <w:proofErr w:type="spellStart"/>
      <w:r w:rsidR="00D15E42" w:rsidRPr="006E55EC">
        <w:rPr>
          <w:sz w:val="20"/>
          <w:szCs w:val="20"/>
        </w:rPr>
        <w:t>anthocyanindin</w:t>
      </w:r>
      <w:proofErr w:type="spellEnd"/>
      <w:r w:rsidR="00D15E42" w:rsidRPr="006E55EC">
        <w:rPr>
          <w:sz w:val="20"/>
          <w:szCs w:val="20"/>
        </w:rPr>
        <w:t>. These studies demonstrated that</w:t>
      </w:r>
      <w:r w:rsidR="00D15E42" w:rsidRPr="006E55EC">
        <w:rPr>
          <w:color w:val="000000"/>
          <w:sz w:val="20"/>
          <w:szCs w:val="20"/>
        </w:rPr>
        <w:t xml:space="preserve"> </w:t>
      </w:r>
      <w:r w:rsidR="00D15E42" w:rsidRPr="006E55EC">
        <w:rPr>
          <w:i/>
          <w:iCs/>
          <w:color w:val="000000"/>
          <w:sz w:val="20"/>
          <w:szCs w:val="20"/>
        </w:rPr>
        <w:t xml:space="preserve">Hibiscus </w:t>
      </w:r>
      <w:proofErr w:type="spellStart"/>
      <w:r w:rsidR="00D15E42" w:rsidRPr="006E55EC">
        <w:rPr>
          <w:i/>
          <w:iCs/>
          <w:color w:val="000000"/>
          <w:sz w:val="20"/>
          <w:szCs w:val="20"/>
        </w:rPr>
        <w:t>sabdariffa</w:t>
      </w:r>
      <w:proofErr w:type="spellEnd"/>
      <w:r w:rsidR="00D15E42" w:rsidRPr="006E55EC">
        <w:rPr>
          <w:color w:val="000000"/>
          <w:sz w:val="20"/>
          <w:szCs w:val="20"/>
        </w:rPr>
        <w:t xml:space="preserve"> is an efficient antioxidant plant </w:t>
      </w:r>
      <w:r w:rsidR="00D15E42" w:rsidRPr="006E55EC">
        <w:rPr>
          <w:i/>
          <w:iCs/>
          <w:color w:val="000000"/>
          <w:sz w:val="20"/>
          <w:szCs w:val="20"/>
        </w:rPr>
        <w:t>in vitro</w:t>
      </w:r>
      <w:r w:rsidR="00D15E42" w:rsidRPr="006E55EC">
        <w:rPr>
          <w:color w:val="000000"/>
          <w:sz w:val="20"/>
          <w:szCs w:val="20"/>
        </w:rPr>
        <w:t xml:space="preserve"> and may prevent or reduce the development and progression of free radical mediated diseases.</w:t>
      </w:r>
      <w:r w:rsidR="00D15E42" w:rsidRPr="006E55EC">
        <w:rPr>
          <w:sz w:val="20"/>
          <w:szCs w:val="20"/>
        </w:rPr>
        <w:t xml:space="preserve"> Antioxidant ability displayed by </w:t>
      </w:r>
      <w:r w:rsidR="00D15E42" w:rsidRPr="006E55EC">
        <w:rPr>
          <w:i/>
          <w:iCs/>
          <w:sz w:val="20"/>
          <w:szCs w:val="20"/>
        </w:rPr>
        <w:t xml:space="preserve">Hibiscus </w:t>
      </w:r>
      <w:proofErr w:type="spellStart"/>
      <w:r w:rsidR="00D15E42" w:rsidRPr="006E55EC">
        <w:rPr>
          <w:i/>
          <w:iCs/>
          <w:sz w:val="20"/>
          <w:szCs w:val="20"/>
        </w:rPr>
        <w:t>sabdariffa</w:t>
      </w:r>
      <w:proofErr w:type="spellEnd"/>
      <w:r w:rsidR="00D15E42" w:rsidRPr="006E55EC">
        <w:rPr>
          <w:sz w:val="20"/>
          <w:szCs w:val="20"/>
        </w:rPr>
        <w:t xml:space="preserve"> may in part be due to the presence of different </w:t>
      </w:r>
      <w:proofErr w:type="spellStart"/>
      <w:r w:rsidR="00D15E42" w:rsidRPr="006E55EC">
        <w:rPr>
          <w:sz w:val="20"/>
          <w:szCs w:val="20"/>
        </w:rPr>
        <w:t>phenolic</w:t>
      </w:r>
      <w:proofErr w:type="spellEnd"/>
      <w:r w:rsidR="00D15E42" w:rsidRPr="006E55EC">
        <w:rPr>
          <w:sz w:val="20"/>
          <w:szCs w:val="20"/>
        </w:rPr>
        <w:t xml:space="preserve"> compounds in the plant.</w:t>
      </w:r>
    </w:p>
    <w:p w:rsidR="0073714B" w:rsidRPr="006E55EC" w:rsidRDefault="0073714B" w:rsidP="00AB4189">
      <w:pPr>
        <w:snapToGrid w:val="0"/>
        <w:jc w:val="both"/>
        <w:rPr>
          <w:rFonts w:eastAsiaTheme="minorEastAsia"/>
          <w:sz w:val="20"/>
          <w:szCs w:val="20"/>
          <w:lang w:eastAsia="zh-CN"/>
        </w:rPr>
      </w:pPr>
      <w:r w:rsidRPr="006E55EC">
        <w:rPr>
          <w:rFonts w:hint="eastAsia"/>
          <w:b/>
          <w:bCs/>
          <w:sz w:val="20"/>
          <w:szCs w:val="20"/>
        </w:rPr>
        <w:t>[</w:t>
      </w:r>
      <w:proofErr w:type="spellStart"/>
      <w:r w:rsidR="00AB4189" w:rsidRPr="006E55EC">
        <w:rPr>
          <w:rFonts w:eastAsiaTheme="minorHAnsi"/>
          <w:color w:val="000000" w:themeColor="text1"/>
          <w:sz w:val="20"/>
          <w:szCs w:val="20"/>
        </w:rPr>
        <w:t>Owoade</w:t>
      </w:r>
      <w:proofErr w:type="spellEnd"/>
      <w:r w:rsidR="00AB4189" w:rsidRPr="006E55EC">
        <w:rPr>
          <w:rFonts w:eastAsiaTheme="minorHAnsi"/>
          <w:color w:val="000000" w:themeColor="text1"/>
          <w:sz w:val="20"/>
          <w:szCs w:val="20"/>
        </w:rPr>
        <w:t>, A.O</w:t>
      </w:r>
      <w:r w:rsidR="00AB4189" w:rsidRPr="006E55EC">
        <w:rPr>
          <w:rFonts w:eastAsiaTheme="minorHAnsi"/>
          <w:color w:val="000000" w:themeColor="text1"/>
          <w:sz w:val="20"/>
          <w:szCs w:val="20"/>
          <w:vertAlign w:val="superscript"/>
        </w:rPr>
        <w:t xml:space="preserve"> </w:t>
      </w:r>
      <w:r w:rsidR="00AB4189" w:rsidRPr="006E55EC">
        <w:rPr>
          <w:rFonts w:eastAsiaTheme="minorHAnsi"/>
          <w:color w:val="000000" w:themeColor="text1"/>
          <w:sz w:val="20"/>
          <w:szCs w:val="20"/>
        </w:rPr>
        <w:t xml:space="preserve">, </w:t>
      </w:r>
      <w:r w:rsidR="00AB4189" w:rsidRPr="006E55EC">
        <w:rPr>
          <w:rFonts w:eastAsiaTheme="minorHAnsi"/>
          <w:sz w:val="20"/>
          <w:szCs w:val="20"/>
          <w:lang w:val="en-US" w:eastAsia="en-US"/>
        </w:rPr>
        <w:t xml:space="preserve">Lowe, G.M </w:t>
      </w:r>
      <w:r w:rsidR="00AB4189" w:rsidRPr="006E55EC">
        <w:rPr>
          <w:rFonts w:eastAsiaTheme="minorHAnsi"/>
          <w:color w:val="000000" w:themeColor="text1"/>
          <w:sz w:val="20"/>
          <w:szCs w:val="20"/>
        </w:rPr>
        <w:t xml:space="preserve">and </w:t>
      </w:r>
      <w:r w:rsidR="00AB4189" w:rsidRPr="006E55EC">
        <w:rPr>
          <w:rFonts w:eastAsiaTheme="minorHAnsi"/>
          <w:sz w:val="20"/>
          <w:szCs w:val="20"/>
          <w:lang w:val="en-US" w:eastAsia="en-US"/>
        </w:rPr>
        <w:t>Khalid, R.</w:t>
      </w:r>
      <w:r w:rsidRPr="006E55EC">
        <w:rPr>
          <w:rFonts w:eastAsiaTheme="minorEastAsia" w:hint="eastAsia"/>
          <w:b/>
          <w:bCs/>
          <w:sz w:val="20"/>
          <w:szCs w:val="20"/>
          <w:lang w:bidi="fa-IR"/>
        </w:rPr>
        <w:t xml:space="preserve"> </w:t>
      </w:r>
      <w:r w:rsidR="00AB4189" w:rsidRPr="006E55EC">
        <w:rPr>
          <w:b/>
          <w:sz w:val="20"/>
          <w:szCs w:val="20"/>
        </w:rPr>
        <w:t xml:space="preserve">The </w:t>
      </w:r>
      <w:r w:rsidR="00AB4189" w:rsidRPr="006E55EC">
        <w:rPr>
          <w:b/>
          <w:iCs/>
          <w:sz w:val="20"/>
          <w:szCs w:val="20"/>
        </w:rPr>
        <w:t>In Vitro</w:t>
      </w:r>
      <w:r w:rsidR="00AB4189" w:rsidRPr="006E55EC">
        <w:rPr>
          <w:b/>
          <w:sz w:val="20"/>
          <w:szCs w:val="20"/>
        </w:rPr>
        <w:t xml:space="preserve"> Antioxidant Properties of Hibiscus </w:t>
      </w:r>
      <w:proofErr w:type="spellStart"/>
      <w:r w:rsidR="00AB4189" w:rsidRPr="006E55EC">
        <w:rPr>
          <w:b/>
          <w:sz w:val="20"/>
          <w:szCs w:val="20"/>
        </w:rPr>
        <w:t>Anthocyanins</w:t>
      </w:r>
      <w:proofErr w:type="spellEnd"/>
      <w:r w:rsidR="00AB4189" w:rsidRPr="006E55EC">
        <w:rPr>
          <w:b/>
          <w:sz w:val="20"/>
          <w:szCs w:val="20"/>
        </w:rPr>
        <w:t xml:space="preserve"> Rich Extract (HAE)</w:t>
      </w:r>
      <w:r w:rsidRPr="006E55EC">
        <w:rPr>
          <w:b/>
          <w:bCs/>
          <w:sz w:val="20"/>
          <w:szCs w:val="20"/>
          <w:lang w:bidi="fa-IR"/>
        </w:rPr>
        <w:t>.</w:t>
      </w:r>
      <w:r w:rsidRPr="006E55EC">
        <w:rPr>
          <w:rFonts w:hint="eastAsia"/>
          <w:b/>
          <w:bCs/>
          <w:sz w:val="20"/>
          <w:szCs w:val="20"/>
        </w:rPr>
        <w:t xml:space="preserve"> </w:t>
      </w:r>
      <w:r w:rsidRPr="006E55EC">
        <w:rPr>
          <w:bCs/>
          <w:i/>
          <w:sz w:val="20"/>
          <w:szCs w:val="20"/>
        </w:rPr>
        <w:t xml:space="preserve">Nat </w:t>
      </w:r>
      <w:proofErr w:type="spellStart"/>
      <w:r w:rsidRPr="006E55EC">
        <w:rPr>
          <w:bCs/>
          <w:i/>
          <w:sz w:val="20"/>
          <w:szCs w:val="20"/>
        </w:rPr>
        <w:t>Sci</w:t>
      </w:r>
      <w:proofErr w:type="spellEnd"/>
      <w:r w:rsidRPr="006E55EC">
        <w:rPr>
          <w:rFonts w:eastAsiaTheme="minorEastAsia" w:hint="eastAsia"/>
          <w:bCs/>
          <w:i/>
          <w:sz w:val="20"/>
          <w:szCs w:val="20"/>
        </w:rPr>
        <w:t xml:space="preserve"> </w:t>
      </w:r>
      <w:r w:rsidRPr="006E55EC">
        <w:rPr>
          <w:sz w:val="20"/>
          <w:szCs w:val="20"/>
        </w:rPr>
        <w:t>201</w:t>
      </w:r>
      <w:r w:rsidRPr="006E55EC">
        <w:rPr>
          <w:rFonts w:hint="eastAsia"/>
          <w:sz w:val="20"/>
          <w:szCs w:val="20"/>
        </w:rPr>
        <w:t>5</w:t>
      </w:r>
      <w:r w:rsidRPr="006E55EC">
        <w:rPr>
          <w:sz w:val="20"/>
          <w:szCs w:val="20"/>
        </w:rPr>
        <w:t>;1</w:t>
      </w:r>
      <w:r w:rsidRPr="006E55EC">
        <w:rPr>
          <w:rFonts w:hint="eastAsia"/>
          <w:sz w:val="20"/>
          <w:szCs w:val="20"/>
        </w:rPr>
        <w:t>3</w:t>
      </w:r>
      <w:r w:rsidRPr="006E55EC">
        <w:rPr>
          <w:sz w:val="20"/>
          <w:szCs w:val="20"/>
        </w:rPr>
        <w:t>(</w:t>
      </w:r>
      <w:r w:rsidRPr="006E55EC">
        <w:rPr>
          <w:rFonts w:hint="eastAsia"/>
          <w:sz w:val="20"/>
          <w:szCs w:val="20"/>
        </w:rPr>
        <w:t>3)</w:t>
      </w:r>
      <w:r w:rsidRPr="006E55EC">
        <w:rPr>
          <w:sz w:val="20"/>
          <w:szCs w:val="20"/>
        </w:rPr>
        <w:t>:</w:t>
      </w:r>
      <w:r w:rsidR="001D0304" w:rsidRPr="006E55EC">
        <w:rPr>
          <w:noProof/>
          <w:color w:val="000000"/>
          <w:sz w:val="20"/>
          <w:szCs w:val="20"/>
        </w:rPr>
        <w:t>22</w:t>
      </w:r>
      <w:r w:rsidRPr="006E55EC">
        <w:rPr>
          <w:color w:val="000000"/>
          <w:sz w:val="20"/>
          <w:szCs w:val="20"/>
        </w:rPr>
        <w:t>-</w:t>
      </w:r>
      <w:r w:rsidR="001D0304" w:rsidRPr="006E55EC">
        <w:rPr>
          <w:noProof/>
          <w:color w:val="000000"/>
          <w:sz w:val="20"/>
          <w:szCs w:val="20"/>
        </w:rPr>
        <w:t>29</w:t>
      </w:r>
      <w:r w:rsidRPr="006E55EC">
        <w:rPr>
          <w:sz w:val="20"/>
          <w:szCs w:val="20"/>
        </w:rPr>
        <w:t>]</w:t>
      </w:r>
      <w:r w:rsidRPr="006E55EC">
        <w:rPr>
          <w:rFonts w:hint="eastAsia"/>
          <w:sz w:val="20"/>
          <w:szCs w:val="20"/>
        </w:rPr>
        <w:t>.</w:t>
      </w:r>
      <w:r w:rsidRPr="006E55EC">
        <w:rPr>
          <w:sz w:val="20"/>
          <w:szCs w:val="20"/>
        </w:rPr>
        <w:t xml:space="preserve"> (ISSN: 1545-0740).</w:t>
      </w:r>
      <w:r w:rsidRPr="006E55EC">
        <w:rPr>
          <w:color w:val="0000FF"/>
          <w:sz w:val="20"/>
          <w:szCs w:val="20"/>
        </w:rPr>
        <w:t xml:space="preserve"> </w:t>
      </w:r>
      <w:hyperlink r:id="rId8" w:history="1">
        <w:r w:rsidRPr="006E55EC">
          <w:rPr>
            <w:rStyle w:val="Hyperlink"/>
            <w:color w:val="0000FF"/>
            <w:sz w:val="20"/>
            <w:szCs w:val="20"/>
          </w:rPr>
          <w:t>http://www.sciencepub.net/nature</w:t>
        </w:r>
      </w:hyperlink>
      <w:r w:rsidRPr="006E55EC">
        <w:rPr>
          <w:sz w:val="20"/>
          <w:szCs w:val="20"/>
        </w:rPr>
        <w:t>.</w:t>
      </w:r>
      <w:r w:rsidRPr="006E55EC">
        <w:rPr>
          <w:rFonts w:hint="eastAsia"/>
          <w:sz w:val="20"/>
          <w:szCs w:val="20"/>
        </w:rPr>
        <w:t xml:space="preserve"> </w:t>
      </w:r>
      <w:r w:rsidR="00AB4189" w:rsidRPr="006E55EC">
        <w:rPr>
          <w:rFonts w:eastAsiaTheme="minorEastAsia" w:hint="eastAsia"/>
          <w:sz w:val="20"/>
          <w:szCs w:val="20"/>
          <w:lang w:eastAsia="zh-CN"/>
        </w:rPr>
        <w:t>4</w:t>
      </w:r>
    </w:p>
    <w:p w:rsidR="009A0723" w:rsidRPr="006E55EC" w:rsidRDefault="009A0723" w:rsidP="00AB4189">
      <w:pPr>
        <w:snapToGrid w:val="0"/>
        <w:jc w:val="both"/>
        <w:rPr>
          <w:b/>
          <w:color w:val="000000"/>
          <w:sz w:val="20"/>
          <w:szCs w:val="20"/>
        </w:rPr>
      </w:pPr>
    </w:p>
    <w:p w:rsidR="00D15E42" w:rsidRPr="006E55EC" w:rsidRDefault="00D15E42" w:rsidP="00AB4189">
      <w:pPr>
        <w:snapToGrid w:val="0"/>
        <w:jc w:val="both"/>
        <w:rPr>
          <w:b/>
          <w:color w:val="000000"/>
          <w:sz w:val="20"/>
          <w:szCs w:val="20"/>
        </w:rPr>
      </w:pPr>
      <w:r w:rsidRPr="006E55EC">
        <w:rPr>
          <w:b/>
          <w:color w:val="000000"/>
          <w:sz w:val="20"/>
          <w:szCs w:val="20"/>
        </w:rPr>
        <w:t xml:space="preserve">Key Words: </w:t>
      </w:r>
      <w:r w:rsidRPr="006E55EC">
        <w:rPr>
          <w:i/>
          <w:iCs/>
          <w:color w:val="000000"/>
          <w:sz w:val="20"/>
          <w:szCs w:val="20"/>
        </w:rPr>
        <w:t xml:space="preserve">Hibiscus </w:t>
      </w:r>
      <w:proofErr w:type="spellStart"/>
      <w:r w:rsidRPr="006E55EC">
        <w:rPr>
          <w:i/>
          <w:iCs/>
          <w:color w:val="000000"/>
          <w:sz w:val="20"/>
          <w:szCs w:val="20"/>
        </w:rPr>
        <w:t>sabdariffa</w:t>
      </w:r>
      <w:proofErr w:type="spellEnd"/>
      <w:r w:rsidRPr="006E55EC">
        <w:rPr>
          <w:color w:val="000000"/>
          <w:sz w:val="20"/>
          <w:szCs w:val="20"/>
        </w:rPr>
        <w:t>, An</w:t>
      </w:r>
      <w:r w:rsidR="00DC5F1F" w:rsidRPr="006E55EC">
        <w:rPr>
          <w:color w:val="000000"/>
          <w:sz w:val="20"/>
          <w:szCs w:val="20"/>
        </w:rPr>
        <w:t xml:space="preserve">tioxidants, lipid </w:t>
      </w:r>
      <w:proofErr w:type="spellStart"/>
      <w:r w:rsidR="00DC5F1F" w:rsidRPr="006E55EC">
        <w:rPr>
          <w:color w:val="000000"/>
          <w:sz w:val="20"/>
          <w:szCs w:val="20"/>
        </w:rPr>
        <w:t>peroxidation</w:t>
      </w:r>
      <w:proofErr w:type="spellEnd"/>
      <w:r w:rsidRPr="006E55EC">
        <w:rPr>
          <w:color w:val="000000"/>
          <w:sz w:val="20"/>
          <w:szCs w:val="20"/>
        </w:rPr>
        <w:t>, free radical-mediated damage.</w:t>
      </w:r>
    </w:p>
    <w:p w:rsidR="00D15E42" w:rsidRPr="006E55EC" w:rsidRDefault="00D15E42" w:rsidP="00AB4189">
      <w:pPr>
        <w:snapToGrid w:val="0"/>
        <w:jc w:val="both"/>
        <w:rPr>
          <w:sz w:val="20"/>
          <w:szCs w:val="20"/>
        </w:rPr>
      </w:pPr>
    </w:p>
    <w:p w:rsidR="00AB4189" w:rsidRPr="006E55EC" w:rsidRDefault="00AB4189" w:rsidP="00AB4189">
      <w:pPr>
        <w:snapToGrid w:val="0"/>
        <w:jc w:val="both"/>
        <w:rPr>
          <w:b/>
          <w:bCs/>
          <w:sz w:val="20"/>
          <w:szCs w:val="20"/>
        </w:rPr>
        <w:sectPr w:rsidR="00AB4189" w:rsidRPr="006E55EC" w:rsidSect="001D0304">
          <w:headerReference w:type="default" r:id="rId9"/>
          <w:footerReference w:type="default" r:id="rId10"/>
          <w:footnotePr>
            <w:pos w:val="beneathText"/>
          </w:footnotePr>
          <w:type w:val="continuous"/>
          <w:pgSz w:w="12240" w:h="15840" w:code="1"/>
          <w:pgMar w:top="1440" w:right="1440" w:bottom="1440" w:left="1440" w:header="720" w:footer="720" w:gutter="0"/>
          <w:pgNumType w:start="22"/>
          <w:cols w:space="720"/>
          <w:docGrid w:linePitch="326"/>
        </w:sectPr>
      </w:pPr>
    </w:p>
    <w:p w:rsidR="00D15E42" w:rsidRPr="006E55EC" w:rsidRDefault="00B37631" w:rsidP="00AB4189">
      <w:pPr>
        <w:snapToGrid w:val="0"/>
        <w:jc w:val="both"/>
        <w:rPr>
          <w:b/>
          <w:bCs/>
          <w:sz w:val="20"/>
          <w:szCs w:val="20"/>
        </w:rPr>
      </w:pPr>
      <w:r w:rsidRPr="006E55EC">
        <w:rPr>
          <w:b/>
          <w:bCs/>
          <w:sz w:val="20"/>
          <w:szCs w:val="20"/>
        </w:rPr>
        <w:lastRenderedPageBreak/>
        <w:t>1. Introduction</w:t>
      </w:r>
    </w:p>
    <w:p w:rsidR="00A76137" w:rsidRPr="006E55EC" w:rsidRDefault="00A76137" w:rsidP="00AB4189">
      <w:pPr>
        <w:snapToGrid w:val="0"/>
        <w:ind w:firstLine="425"/>
        <w:jc w:val="both"/>
        <w:rPr>
          <w:sz w:val="20"/>
          <w:szCs w:val="20"/>
        </w:rPr>
      </w:pPr>
      <w:r w:rsidRPr="006E55EC">
        <w:rPr>
          <w:sz w:val="20"/>
          <w:szCs w:val="20"/>
        </w:rPr>
        <w:t xml:space="preserve">Plants extracts are rich source of important vitamins namely vitamin E, Vitamin C and β-carotene, </w:t>
      </w:r>
      <w:proofErr w:type="spellStart"/>
      <w:r w:rsidRPr="006E55EC">
        <w:rPr>
          <w:sz w:val="20"/>
          <w:szCs w:val="20"/>
        </w:rPr>
        <w:t>flavonoids</w:t>
      </w:r>
      <w:proofErr w:type="spellEnd"/>
      <w:r w:rsidRPr="006E55EC">
        <w:rPr>
          <w:sz w:val="20"/>
          <w:szCs w:val="20"/>
        </w:rPr>
        <w:t xml:space="preserve"> and other </w:t>
      </w:r>
      <w:proofErr w:type="spellStart"/>
      <w:r w:rsidRPr="006E55EC">
        <w:rPr>
          <w:sz w:val="20"/>
          <w:szCs w:val="20"/>
        </w:rPr>
        <w:t>polyphenols</w:t>
      </w:r>
      <w:proofErr w:type="spellEnd"/>
      <w:r w:rsidRPr="006E55EC">
        <w:rPr>
          <w:sz w:val="20"/>
          <w:szCs w:val="20"/>
        </w:rPr>
        <w:t xml:space="preserve"> which have been discussed as potential antioxidant prophylactic agents for both health and diseases management (</w:t>
      </w:r>
      <w:proofErr w:type="spellStart"/>
      <w:r w:rsidRPr="006E55EC">
        <w:rPr>
          <w:sz w:val="20"/>
          <w:szCs w:val="20"/>
        </w:rPr>
        <w:t>Aruoma</w:t>
      </w:r>
      <w:proofErr w:type="spellEnd"/>
      <w:r w:rsidRPr="006E55EC">
        <w:rPr>
          <w:sz w:val="20"/>
          <w:szCs w:val="20"/>
        </w:rPr>
        <w:t xml:space="preserve">, 2003). Studies suggest that plant </w:t>
      </w:r>
      <w:proofErr w:type="spellStart"/>
      <w:r w:rsidRPr="006E55EC">
        <w:rPr>
          <w:sz w:val="20"/>
          <w:szCs w:val="20"/>
        </w:rPr>
        <w:t>polyphenols</w:t>
      </w:r>
      <w:proofErr w:type="spellEnd"/>
      <w:r w:rsidRPr="006E55EC">
        <w:rPr>
          <w:sz w:val="20"/>
          <w:szCs w:val="20"/>
        </w:rPr>
        <w:t xml:space="preserve"> such as the </w:t>
      </w:r>
      <w:proofErr w:type="spellStart"/>
      <w:r w:rsidRPr="006E55EC">
        <w:rPr>
          <w:sz w:val="20"/>
          <w:szCs w:val="20"/>
        </w:rPr>
        <w:t>flavonoids</w:t>
      </w:r>
      <w:proofErr w:type="spellEnd"/>
      <w:r w:rsidRPr="006E55EC">
        <w:rPr>
          <w:sz w:val="20"/>
          <w:szCs w:val="20"/>
        </w:rPr>
        <w:t xml:space="preserve"> are potent antioxidant compounds both </w:t>
      </w:r>
      <w:r w:rsidRPr="006E55EC">
        <w:rPr>
          <w:i/>
          <w:iCs/>
          <w:sz w:val="20"/>
          <w:szCs w:val="20"/>
        </w:rPr>
        <w:t>in vitro</w:t>
      </w:r>
      <w:r w:rsidRPr="006E55EC">
        <w:rPr>
          <w:sz w:val="20"/>
          <w:szCs w:val="20"/>
        </w:rPr>
        <w:t xml:space="preserve"> and </w:t>
      </w:r>
      <w:r w:rsidRPr="006E55EC">
        <w:rPr>
          <w:i/>
          <w:iCs/>
          <w:sz w:val="20"/>
          <w:szCs w:val="20"/>
        </w:rPr>
        <w:t>in vivo</w:t>
      </w:r>
      <w:r w:rsidRPr="006E55EC">
        <w:rPr>
          <w:sz w:val="20"/>
          <w:szCs w:val="20"/>
        </w:rPr>
        <w:t xml:space="preserve">. They have been shown to scavenge free radicals, </w:t>
      </w:r>
      <w:proofErr w:type="spellStart"/>
      <w:r w:rsidRPr="006E55EC">
        <w:rPr>
          <w:sz w:val="20"/>
          <w:szCs w:val="20"/>
        </w:rPr>
        <w:t>chelate</w:t>
      </w:r>
      <w:proofErr w:type="spellEnd"/>
      <w:r w:rsidRPr="006E55EC">
        <w:rPr>
          <w:sz w:val="20"/>
          <w:szCs w:val="20"/>
        </w:rPr>
        <w:t xml:space="preserve"> </w:t>
      </w:r>
      <w:proofErr w:type="spellStart"/>
      <w:r w:rsidRPr="006E55EC">
        <w:rPr>
          <w:sz w:val="20"/>
          <w:szCs w:val="20"/>
        </w:rPr>
        <w:t>redox</w:t>
      </w:r>
      <w:proofErr w:type="spellEnd"/>
      <w:r w:rsidRPr="006E55EC">
        <w:rPr>
          <w:sz w:val="20"/>
          <w:szCs w:val="20"/>
        </w:rPr>
        <w:t>–active metal ions and inactivate other pro-oxidants (</w:t>
      </w:r>
      <w:proofErr w:type="spellStart"/>
      <w:r w:rsidRPr="006E55EC">
        <w:rPr>
          <w:sz w:val="20"/>
          <w:szCs w:val="20"/>
        </w:rPr>
        <w:t>Schroeter</w:t>
      </w:r>
      <w:proofErr w:type="spellEnd"/>
      <w:r w:rsidRPr="006E55EC">
        <w:rPr>
          <w:sz w:val="20"/>
          <w:szCs w:val="20"/>
        </w:rPr>
        <w:t xml:space="preserve">, 2002; </w:t>
      </w:r>
      <w:proofErr w:type="spellStart"/>
      <w:r w:rsidRPr="006E55EC">
        <w:rPr>
          <w:sz w:val="20"/>
          <w:szCs w:val="20"/>
        </w:rPr>
        <w:t>Fraga</w:t>
      </w:r>
      <w:proofErr w:type="spellEnd"/>
      <w:r w:rsidRPr="006E55EC">
        <w:rPr>
          <w:sz w:val="20"/>
          <w:szCs w:val="20"/>
        </w:rPr>
        <w:t>, 2007). Their consumption have been shown to help reduce the risk and prevent against cardiovascular diseases, cancer and neuronal diseases (</w:t>
      </w:r>
      <w:proofErr w:type="spellStart"/>
      <w:r w:rsidRPr="006E55EC">
        <w:rPr>
          <w:color w:val="000000"/>
          <w:sz w:val="20"/>
          <w:szCs w:val="20"/>
        </w:rPr>
        <w:t>Damianaki</w:t>
      </w:r>
      <w:proofErr w:type="spellEnd"/>
      <w:r w:rsidRPr="006E55EC">
        <w:rPr>
          <w:color w:val="000000"/>
          <w:sz w:val="20"/>
          <w:szCs w:val="20"/>
        </w:rPr>
        <w:t xml:space="preserve"> et al., 2000; Mennen et al., 2004). </w:t>
      </w:r>
      <w:r w:rsidRPr="006E55EC">
        <w:rPr>
          <w:sz w:val="20"/>
          <w:szCs w:val="20"/>
        </w:rPr>
        <w:t xml:space="preserve">These pharmacological properties of </w:t>
      </w:r>
      <w:proofErr w:type="spellStart"/>
      <w:r w:rsidRPr="006E55EC">
        <w:rPr>
          <w:sz w:val="20"/>
          <w:szCs w:val="20"/>
        </w:rPr>
        <w:t>flavonoids</w:t>
      </w:r>
      <w:proofErr w:type="spellEnd"/>
      <w:r w:rsidRPr="006E55EC">
        <w:rPr>
          <w:sz w:val="20"/>
          <w:szCs w:val="20"/>
        </w:rPr>
        <w:t xml:space="preserve"> which are mostly related to their antioxidant potential have been postulated to be due to their structural features (</w:t>
      </w:r>
      <w:proofErr w:type="spellStart"/>
      <w:r w:rsidRPr="006E55EC">
        <w:rPr>
          <w:sz w:val="20"/>
          <w:szCs w:val="20"/>
        </w:rPr>
        <w:t>Schroeter</w:t>
      </w:r>
      <w:proofErr w:type="spellEnd"/>
      <w:r w:rsidRPr="006E55EC">
        <w:rPr>
          <w:sz w:val="20"/>
          <w:szCs w:val="20"/>
        </w:rPr>
        <w:t xml:space="preserve"> et al., 2002; </w:t>
      </w:r>
      <w:proofErr w:type="spellStart"/>
      <w:r w:rsidRPr="006E55EC">
        <w:rPr>
          <w:sz w:val="20"/>
          <w:szCs w:val="20"/>
        </w:rPr>
        <w:t>Valko</w:t>
      </w:r>
      <w:proofErr w:type="spellEnd"/>
      <w:r w:rsidRPr="006E55EC">
        <w:rPr>
          <w:sz w:val="20"/>
          <w:szCs w:val="20"/>
        </w:rPr>
        <w:t xml:space="preserve"> et al., 2006; </w:t>
      </w:r>
      <w:proofErr w:type="spellStart"/>
      <w:r w:rsidRPr="006E55EC">
        <w:rPr>
          <w:sz w:val="20"/>
          <w:szCs w:val="20"/>
        </w:rPr>
        <w:t>Fraga</w:t>
      </w:r>
      <w:proofErr w:type="spellEnd"/>
      <w:r w:rsidRPr="006E55EC">
        <w:rPr>
          <w:sz w:val="20"/>
          <w:szCs w:val="20"/>
        </w:rPr>
        <w:t xml:space="preserve">, 2007). This enables them to </w:t>
      </w:r>
      <w:r w:rsidRPr="006E55EC">
        <w:rPr>
          <w:color w:val="000000"/>
          <w:sz w:val="20"/>
          <w:szCs w:val="20"/>
        </w:rPr>
        <w:t>scavenge reactive radical species,</w:t>
      </w:r>
      <w:r w:rsidRPr="006E55EC">
        <w:rPr>
          <w:sz w:val="20"/>
          <w:szCs w:val="20"/>
        </w:rPr>
        <w:t xml:space="preserve"> interfere with the oxidation of macromolecules and</w:t>
      </w:r>
      <w:r w:rsidRPr="006E55EC">
        <w:rPr>
          <w:color w:val="000000"/>
          <w:sz w:val="20"/>
          <w:szCs w:val="20"/>
        </w:rPr>
        <w:t xml:space="preserve"> </w:t>
      </w:r>
      <w:r w:rsidRPr="006E55EC">
        <w:rPr>
          <w:sz w:val="20"/>
          <w:szCs w:val="20"/>
        </w:rPr>
        <w:t>inhibit key endogenous free radicals generating enzymes such as NAD(P)H-</w:t>
      </w:r>
      <w:proofErr w:type="spellStart"/>
      <w:r w:rsidRPr="006E55EC">
        <w:rPr>
          <w:sz w:val="20"/>
          <w:szCs w:val="20"/>
        </w:rPr>
        <w:t>oxidase</w:t>
      </w:r>
      <w:proofErr w:type="spellEnd"/>
      <w:r w:rsidRPr="006E55EC">
        <w:rPr>
          <w:sz w:val="20"/>
          <w:szCs w:val="20"/>
        </w:rPr>
        <w:t xml:space="preserve">, </w:t>
      </w:r>
      <w:proofErr w:type="spellStart"/>
      <w:r w:rsidRPr="006E55EC">
        <w:rPr>
          <w:sz w:val="20"/>
          <w:szCs w:val="20"/>
        </w:rPr>
        <w:t>xanthine</w:t>
      </w:r>
      <w:proofErr w:type="spellEnd"/>
      <w:r w:rsidRPr="006E55EC">
        <w:rPr>
          <w:sz w:val="20"/>
          <w:szCs w:val="20"/>
        </w:rPr>
        <w:t xml:space="preserve"> </w:t>
      </w:r>
      <w:proofErr w:type="spellStart"/>
      <w:r w:rsidRPr="006E55EC">
        <w:rPr>
          <w:sz w:val="20"/>
          <w:szCs w:val="20"/>
        </w:rPr>
        <w:t>oxidase</w:t>
      </w:r>
      <w:proofErr w:type="spellEnd"/>
      <w:r w:rsidRPr="006E55EC">
        <w:rPr>
          <w:sz w:val="20"/>
          <w:szCs w:val="20"/>
        </w:rPr>
        <w:t xml:space="preserve">, tyrosine </w:t>
      </w:r>
      <w:proofErr w:type="spellStart"/>
      <w:r w:rsidRPr="006E55EC">
        <w:rPr>
          <w:sz w:val="20"/>
          <w:szCs w:val="20"/>
        </w:rPr>
        <w:t>kinase</w:t>
      </w:r>
      <w:proofErr w:type="spellEnd"/>
      <w:r w:rsidRPr="006E55EC">
        <w:rPr>
          <w:color w:val="000000"/>
          <w:sz w:val="20"/>
          <w:szCs w:val="20"/>
        </w:rPr>
        <w:t xml:space="preserve"> by their hydrogen (electron) donating ability and</w:t>
      </w:r>
      <w:r w:rsidRPr="006E55EC">
        <w:rPr>
          <w:sz w:val="20"/>
          <w:szCs w:val="20"/>
        </w:rPr>
        <w:t xml:space="preserve"> their hydroxylation/</w:t>
      </w:r>
      <w:proofErr w:type="spellStart"/>
      <w:r w:rsidRPr="006E55EC">
        <w:rPr>
          <w:sz w:val="20"/>
          <w:szCs w:val="20"/>
        </w:rPr>
        <w:t>methylation</w:t>
      </w:r>
      <w:proofErr w:type="spellEnd"/>
      <w:r w:rsidRPr="006E55EC">
        <w:rPr>
          <w:sz w:val="20"/>
          <w:szCs w:val="20"/>
        </w:rPr>
        <w:t xml:space="preserve"> patterns </w:t>
      </w:r>
      <w:r w:rsidRPr="006E55EC">
        <w:rPr>
          <w:color w:val="000000"/>
          <w:sz w:val="20"/>
          <w:szCs w:val="20"/>
        </w:rPr>
        <w:t>(</w:t>
      </w:r>
      <w:proofErr w:type="spellStart"/>
      <w:r w:rsidRPr="006E55EC">
        <w:rPr>
          <w:color w:val="000000"/>
          <w:sz w:val="20"/>
          <w:szCs w:val="20"/>
        </w:rPr>
        <w:t>Terao</w:t>
      </w:r>
      <w:proofErr w:type="spellEnd"/>
      <w:r w:rsidRPr="006E55EC">
        <w:rPr>
          <w:color w:val="000000"/>
          <w:sz w:val="20"/>
          <w:szCs w:val="20"/>
        </w:rPr>
        <w:t xml:space="preserve">, 1999; </w:t>
      </w:r>
      <w:proofErr w:type="spellStart"/>
      <w:r w:rsidRPr="006E55EC">
        <w:rPr>
          <w:sz w:val="20"/>
          <w:szCs w:val="20"/>
        </w:rPr>
        <w:t>Engler</w:t>
      </w:r>
      <w:proofErr w:type="spellEnd"/>
      <w:r w:rsidRPr="006E55EC">
        <w:rPr>
          <w:sz w:val="20"/>
          <w:szCs w:val="20"/>
        </w:rPr>
        <w:t xml:space="preserve"> and </w:t>
      </w:r>
      <w:proofErr w:type="spellStart"/>
      <w:r w:rsidRPr="006E55EC">
        <w:rPr>
          <w:sz w:val="20"/>
          <w:szCs w:val="20"/>
        </w:rPr>
        <w:t>Engler</w:t>
      </w:r>
      <w:proofErr w:type="spellEnd"/>
      <w:r w:rsidRPr="006E55EC">
        <w:rPr>
          <w:sz w:val="20"/>
          <w:szCs w:val="20"/>
        </w:rPr>
        <w:t xml:space="preserve">, 2006; </w:t>
      </w:r>
      <w:proofErr w:type="spellStart"/>
      <w:r w:rsidRPr="006E55EC">
        <w:rPr>
          <w:sz w:val="20"/>
          <w:szCs w:val="20"/>
        </w:rPr>
        <w:t>Stratil</w:t>
      </w:r>
      <w:proofErr w:type="spellEnd"/>
      <w:r w:rsidRPr="006E55EC">
        <w:rPr>
          <w:sz w:val="20"/>
          <w:szCs w:val="20"/>
        </w:rPr>
        <w:t xml:space="preserve"> et al., 2006).</w:t>
      </w:r>
    </w:p>
    <w:p w:rsidR="00A76137" w:rsidRPr="006E55EC" w:rsidRDefault="00A76137" w:rsidP="00AB4189">
      <w:pPr>
        <w:snapToGrid w:val="0"/>
        <w:ind w:firstLine="425"/>
        <w:jc w:val="both"/>
        <w:rPr>
          <w:sz w:val="20"/>
          <w:szCs w:val="20"/>
        </w:rPr>
      </w:pPr>
      <w:r w:rsidRPr="006E55EC">
        <w:rPr>
          <w:i/>
          <w:iCs/>
          <w:sz w:val="20"/>
          <w:szCs w:val="20"/>
        </w:rPr>
        <w:t xml:space="preserve">Hibiscus </w:t>
      </w:r>
      <w:proofErr w:type="spellStart"/>
      <w:r w:rsidRPr="006E55EC">
        <w:rPr>
          <w:i/>
          <w:iCs/>
          <w:sz w:val="20"/>
          <w:szCs w:val="20"/>
        </w:rPr>
        <w:t>sabdariffa</w:t>
      </w:r>
      <w:proofErr w:type="spellEnd"/>
      <w:r w:rsidRPr="006E55EC">
        <w:rPr>
          <w:sz w:val="20"/>
          <w:szCs w:val="20"/>
        </w:rPr>
        <w:t xml:space="preserve"> is a rich source of </w:t>
      </w:r>
      <w:proofErr w:type="spellStart"/>
      <w:r w:rsidRPr="006E55EC">
        <w:rPr>
          <w:sz w:val="20"/>
          <w:szCs w:val="20"/>
        </w:rPr>
        <w:t>phenolic</w:t>
      </w:r>
      <w:proofErr w:type="spellEnd"/>
      <w:r w:rsidRPr="006E55EC">
        <w:rPr>
          <w:sz w:val="20"/>
          <w:szCs w:val="20"/>
        </w:rPr>
        <w:t xml:space="preserve"> compounds (Ali et al., 2005). Numerous </w:t>
      </w:r>
      <w:proofErr w:type="spellStart"/>
      <w:r w:rsidRPr="006E55EC">
        <w:rPr>
          <w:color w:val="000000"/>
          <w:sz w:val="20"/>
          <w:szCs w:val="20"/>
        </w:rPr>
        <w:t>phenolic</w:t>
      </w:r>
      <w:proofErr w:type="spellEnd"/>
      <w:r w:rsidRPr="006E55EC">
        <w:rPr>
          <w:color w:val="000000"/>
          <w:sz w:val="20"/>
          <w:szCs w:val="20"/>
        </w:rPr>
        <w:t xml:space="preserve"> compounds have been identified in the plant extracts (</w:t>
      </w:r>
      <w:proofErr w:type="spellStart"/>
      <w:r w:rsidRPr="006E55EC">
        <w:rPr>
          <w:color w:val="000000"/>
          <w:sz w:val="20"/>
          <w:szCs w:val="20"/>
        </w:rPr>
        <w:t>Salah</w:t>
      </w:r>
      <w:proofErr w:type="spellEnd"/>
      <w:r w:rsidRPr="006E55EC">
        <w:rPr>
          <w:color w:val="000000"/>
          <w:sz w:val="20"/>
          <w:szCs w:val="20"/>
        </w:rPr>
        <w:t xml:space="preserve"> et al., 2002; Lin, 2005)</w:t>
      </w:r>
      <w:r w:rsidR="00857932" w:rsidRPr="006E55EC">
        <w:rPr>
          <w:color w:val="000000"/>
          <w:sz w:val="20"/>
          <w:szCs w:val="20"/>
        </w:rPr>
        <w:t>.</w:t>
      </w:r>
      <w:r w:rsidRPr="006E55EC">
        <w:rPr>
          <w:color w:val="000000"/>
          <w:sz w:val="20"/>
          <w:szCs w:val="20"/>
        </w:rPr>
        <w:t xml:space="preserve"> </w:t>
      </w:r>
      <w:r w:rsidRPr="006E55EC">
        <w:rPr>
          <w:i/>
          <w:iCs/>
          <w:color w:val="000000"/>
          <w:sz w:val="20"/>
          <w:szCs w:val="20"/>
        </w:rPr>
        <w:t xml:space="preserve">Hibiscus </w:t>
      </w:r>
      <w:proofErr w:type="spellStart"/>
      <w:r w:rsidRPr="006E55EC">
        <w:rPr>
          <w:i/>
          <w:iCs/>
          <w:color w:val="000000"/>
          <w:sz w:val="20"/>
          <w:szCs w:val="20"/>
        </w:rPr>
        <w:t>sabdariffa</w:t>
      </w:r>
      <w:proofErr w:type="spellEnd"/>
      <w:r w:rsidR="00857932" w:rsidRPr="006E55EC">
        <w:rPr>
          <w:color w:val="000000"/>
          <w:sz w:val="20"/>
          <w:szCs w:val="20"/>
        </w:rPr>
        <w:t xml:space="preserve"> is also</w:t>
      </w:r>
      <w:r w:rsidRPr="006E55EC">
        <w:rPr>
          <w:color w:val="000000"/>
          <w:sz w:val="20"/>
          <w:szCs w:val="20"/>
        </w:rPr>
        <w:t xml:space="preserve"> rich in </w:t>
      </w:r>
      <w:proofErr w:type="spellStart"/>
      <w:r w:rsidRPr="006E55EC">
        <w:rPr>
          <w:color w:val="000000"/>
          <w:sz w:val="20"/>
          <w:szCs w:val="20"/>
        </w:rPr>
        <w:t>anthocyanins</w:t>
      </w:r>
      <w:proofErr w:type="spellEnd"/>
      <w:r w:rsidRPr="006E55EC">
        <w:rPr>
          <w:color w:val="000000"/>
          <w:sz w:val="20"/>
          <w:szCs w:val="20"/>
        </w:rPr>
        <w:t xml:space="preserve"> which is responsible for its </w:t>
      </w:r>
      <w:r w:rsidRPr="006E55EC">
        <w:rPr>
          <w:color w:val="000000"/>
          <w:sz w:val="20"/>
          <w:szCs w:val="20"/>
        </w:rPr>
        <w:lastRenderedPageBreak/>
        <w:t xml:space="preserve">deep red colouration. </w:t>
      </w:r>
      <w:proofErr w:type="spellStart"/>
      <w:r w:rsidRPr="006E55EC">
        <w:rPr>
          <w:sz w:val="20"/>
          <w:szCs w:val="20"/>
        </w:rPr>
        <w:t>Anthocyanins</w:t>
      </w:r>
      <w:proofErr w:type="spellEnd"/>
      <w:r w:rsidRPr="006E55EC">
        <w:rPr>
          <w:sz w:val="20"/>
          <w:szCs w:val="20"/>
        </w:rPr>
        <w:t xml:space="preserve"> are </w:t>
      </w:r>
      <w:proofErr w:type="spellStart"/>
      <w:r w:rsidRPr="006E55EC">
        <w:rPr>
          <w:sz w:val="20"/>
          <w:szCs w:val="20"/>
        </w:rPr>
        <w:t>polyphenolic</w:t>
      </w:r>
      <w:proofErr w:type="spellEnd"/>
      <w:r w:rsidRPr="006E55EC">
        <w:rPr>
          <w:sz w:val="20"/>
          <w:szCs w:val="20"/>
        </w:rPr>
        <w:t xml:space="preserve"> compounds responsible for cyanic colours ranging from salmon pink through red and violet to dark blue of most flowers, fruits, leaves and stems. They comprise the largest group of the water-soluble pigments in the plant kingdom (</w:t>
      </w:r>
      <w:proofErr w:type="spellStart"/>
      <w:r w:rsidRPr="006E55EC">
        <w:rPr>
          <w:sz w:val="20"/>
          <w:szCs w:val="20"/>
        </w:rPr>
        <w:t>Strack</w:t>
      </w:r>
      <w:proofErr w:type="spellEnd"/>
      <w:r w:rsidRPr="006E55EC">
        <w:rPr>
          <w:sz w:val="20"/>
          <w:szCs w:val="20"/>
        </w:rPr>
        <w:t xml:space="preserve"> and Wray, 1994). </w:t>
      </w:r>
      <w:proofErr w:type="spellStart"/>
      <w:r w:rsidRPr="006E55EC">
        <w:rPr>
          <w:sz w:val="20"/>
          <w:szCs w:val="20"/>
        </w:rPr>
        <w:t>Anthocyanins</w:t>
      </w:r>
      <w:proofErr w:type="spellEnd"/>
      <w:r w:rsidRPr="006E55EC">
        <w:rPr>
          <w:sz w:val="20"/>
          <w:szCs w:val="20"/>
        </w:rPr>
        <w:t xml:space="preserve"> have received increasing attention over the last fifteen years due to their potential health effects, and they are nowadays regarded as important </w:t>
      </w:r>
      <w:proofErr w:type="spellStart"/>
      <w:r w:rsidRPr="006E55EC">
        <w:rPr>
          <w:sz w:val="20"/>
          <w:szCs w:val="20"/>
        </w:rPr>
        <w:t>nutraceuticals</w:t>
      </w:r>
      <w:proofErr w:type="spellEnd"/>
      <w:r w:rsidRPr="006E55EC">
        <w:rPr>
          <w:sz w:val="20"/>
          <w:szCs w:val="20"/>
        </w:rPr>
        <w:t>. This is mainly due to their possible antioxidant effects, and they have been given a potential therapeutic role related to cardiovascular diseases, cancer treatment, inhibition of certain types of virus including the human immunodeficiency virus type 1 (HIV-1), and improvement of visual acuity (</w:t>
      </w:r>
      <w:proofErr w:type="spellStart"/>
      <w:r w:rsidRPr="006E55EC">
        <w:rPr>
          <w:sz w:val="20"/>
          <w:szCs w:val="20"/>
        </w:rPr>
        <w:t>Cecchini</w:t>
      </w:r>
      <w:proofErr w:type="spellEnd"/>
      <w:r w:rsidRPr="006E55EC">
        <w:rPr>
          <w:sz w:val="20"/>
          <w:szCs w:val="20"/>
        </w:rPr>
        <w:t xml:space="preserve"> et al., 2005; Cooke et al., 2005; Jang et al., 2005; Talavera et al., 2006).</w:t>
      </w:r>
    </w:p>
    <w:p w:rsidR="00BB7014" w:rsidRPr="006E55EC" w:rsidRDefault="00A76137" w:rsidP="00AB4189">
      <w:pPr>
        <w:snapToGrid w:val="0"/>
        <w:ind w:firstLine="425"/>
        <w:jc w:val="both"/>
        <w:rPr>
          <w:sz w:val="20"/>
          <w:szCs w:val="20"/>
        </w:rPr>
      </w:pPr>
      <w:r w:rsidRPr="006E55EC">
        <w:rPr>
          <w:sz w:val="20"/>
          <w:szCs w:val="20"/>
        </w:rPr>
        <w:t xml:space="preserve">Due to use of improved analytical techniques, about 575 </w:t>
      </w:r>
      <w:proofErr w:type="spellStart"/>
      <w:r w:rsidRPr="006E55EC">
        <w:rPr>
          <w:sz w:val="20"/>
          <w:szCs w:val="20"/>
        </w:rPr>
        <w:t>anthocyanins</w:t>
      </w:r>
      <w:proofErr w:type="spellEnd"/>
      <w:r w:rsidRPr="006E55EC">
        <w:rPr>
          <w:sz w:val="20"/>
          <w:szCs w:val="20"/>
        </w:rPr>
        <w:t xml:space="preserve"> with complete structure have been reported (Andersen and </w:t>
      </w:r>
      <w:proofErr w:type="spellStart"/>
      <w:r w:rsidRPr="006E55EC">
        <w:rPr>
          <w:sz w:val="20"/>
          <w:szCs w:val="20"/>
        </w:rPr>
        <w:t>Jordheim</w:t>
      </w:r>
      <w:proofErr w:type="spellEnd"/>
      <w:r w:rsidRPr="006E55EC">
        <w:rPr>
          <w:sz w:val="20"/>
          <w:szCs w:val="20"/>
        </w:rPr>
        <w:t xml:space="preserve">, 2006). Even though there are around 30 different </w:t>
      </w:r>
      <w:proofErr w:type="spellStart"/>
      <w:r w:rsidRPr="006E55EC">
        <w:rPr>
          <w:sz w:val="20"/>
          <w:szCs w:val="20"/>
        </w:rPr>
        <w:t>anthocyanidins</w:t>
      </w:r>
      <w:proofErr w:type="spellEnd"/>
      <w:r w:rsidRPr="006E55EC">
        <w:rPr>
          <w:sz w:val="20"/>
          <w:szCs w:val="20"/>
        </w:rPr>
        <w:t xml:space="preserve">, approximately 90% of all </w:t>
      </w:r>
      <w:proofErr w:type="spellStart"/>
      <w:r w:rsidRPr="006E55EC">
        <w:rPr>
          <w:sz w:val="20"/>
          <w:szCs w:val="20"/>
        </w:rPr>
        <w:t>anthocyanins</w:t>
      </w:r>
      <w:proofErr w:type="spellEnd"/>
      <w:r w:rsidRPr="006E55EC">
        <w:rPr>
          <w:sz w:val="20"/>
          <w:szCs w:val="20"/>
        </w:rPr>
        <w:t xml:space="preserve"> are based on the six most common </w:t>
      </w:r>
      <w:proofErr w:type="spellStart"/>
      <w:r w:rsidRPr="006E55EC">
        <w:rPr>
          <w:sz w:val="20"/>
          <w:szCs w:val="20"/>
        </w:rPr>
        <w:t>anthocyanidins</w:t>
      </w:r>
      <w:proofErr w:type="spellEnd"/>
      <w:r w:rsidRPr="006E55EC">
        <w:rPr>
          <w:sz w:val="20"/>
          <w:szCs w:val="20"/>
        </w:rPr>
        <w:t xml:space="preserve">; </w:t>
      </w:r>
      <w:proofErr w:type="spellStart"/>
      <w:r w:rsidRPr="006E55EC">
        <w:rPr>
          <w:sz w:val="20"/>
          <w:szCs w:val="20"/>
        </w:rPr>
        <w:t>pelargonidin</w:t>
      </w:r>
      <w:proofErr w:type="spellEnd"/>
      <w:r w:rsidRPr="006E55EC">
        <w:rPr>
          <w:sz w:val="20"/>
          <w:szCs w:val="20"/>
        </w:rPr>
        <w:t xml:space="preserve">, </w:t>
      </w:r>
      <w:proofErr w:type="spellStart"/>
      <w:r w:rsidRPr="006E55EC">
        <w:rPr>
          <w:sz w:val="20"/>
          <w:szCs w:val="20"/>
        </w:rPr>
        <w:t>cyanidin</w:t>
      </w:r>
      <w:proofErr w:type="spellEnd"/>
      <w:r w:rsidRPr="006E55EC">
        <w:rPr>
          <w:sz w:val="20"/>
          <w:szCs w:val="20"/>
        </w:rPr>
        <w:t xml:space="preserve">, </w:t>
      </w:r>
      <w:proofErr w:type="spellStart"/>
      <w:r w:rsidRPr="006E55EC">
        <w:rPr>
          <w:sz w:val="20"/>
          <w:szCs w:val="20"/>
        </w:rPr>
        <w:t>delphinidin</w:t>
      </w:r>
      <w:proofErr w:type="spellEnd"/>
      <w:r w:rsidRPr="006E55EC">
        <w:rPr>
          <w:sz w:val="20"/>
          <w:szCs w:val="20"/>
        </w:rPr>
        <w:t xml:space="preserve">, </w:t>
      </w:r>
      <w:proofErr w:type="spellStart"/>
      <w:r w:rsidRPr="006E55EC">
        <w:rPr>
          <w:sz w:val="20"/>
          <w:szCs w:val="20"/>
        </w:rPr>
        <w:t>peonidin</w:t>
      </w:r>
      <w:proofErr w:type="spellEnd"/>
      <w:r w:rsidRPr="006E55EC">
        <w:rPr>
          <w:sz w:val="20"/>
          <w:szCs w:val="20"/>
        </w:rPr>
        <w:t xml:space="preserve">, </w:t>
      </w:r>
      <w:proofErr w:type="spellStart"/>
      <w:r w:rsidRPr="006E55EC">
        <w:rPr>
          <w:sz w:val="20"/>
          <w:szCs w:val="20"/>
        </w:rPr>
        <w:t>petunidin</w:t>
      </w:r>
      <w:proofErr w:type="spellEnd"/>
      <w:r w:rsidRPr="006E55EC">
        <w:rPr>
          <w:sz w:val="20"/>
          <w:szCs w:val="20"/>
        </w:rPr>
        <w:t xml:space="preserve"> and </w:t>
      </w:r>
      <w:proofErr w:type="spellStart"/>
      <w:r w:rsidRPr="006E55EC">
        <w:rPr>
          <w:sz w:val="20"/>
          <w:szCs w:val="20"/>
        </w:rPr>
        <w:t>malvidin</w:t>
      </w:r>
      <w:proofErr w:type="spellEnd"/>
      <w:r w:rsidRPr="006E55EC">
        <w:rPr>
          <w:sz w:val="20"/>
          <w:szCs w:val="20"/>
        </w:rPr>
        <w:t xml:space="preserve">, which only differ by the hydroxylation and </w:t>
      </w:r>
      <w:proofErr w:type="spellStart"/>
      <w:r w:rsidRPr="006E55EC">
        <w:rPr>
          <w:sz w:val="20"/>
          <w:szCs w:val="20"/>
        </w:rPr>
        <w:t>methoxylation</w:t>
      </w:r>
      <w:proofErr w:type="spellEnd"/>
      <w:r w:rsidRPr="006E55EC">
        <w:rPr>
          <w:sz w:val="20"/>
          <w:szCs w:val="20"/>
        </w:rPr>
        <w:t xml:space="preserve"> pattern on their B-rings. The </w:t>
      </w:r>
      <w:proofErr w:type="spellStart"/>
      <w:r w:rsidRPr="006E55EC">
        <w:rPr>
          <w:sz w:val="20"/>
          <w:szCs w:val="20"/>
        </w:rPr>
        <w:t>anthocyanins</w:t>
      </w:r>
      <w:proofErr w:type="spellEnd"/>
      <w:r w:rsidRPr="006E55EC">
        <w:rPr>
          <w:sz w:val="20"/>
          <w:szCs w:val="20"/>
        </w:rPr>
        <w:t xml:space="preserve"> differ with respect to </w:t>
      </w:r>
      <w:proofErr w:type="spellStart"/>
      <w:r w:rsidRPr="006E55EC">
        <w:rPr>
          <w:sz w:val="20"/>
          <w:szCs w:val="20"/>
        </w:rPr>
        <w:t>glycoslyation</w:t>
      </w:r>
      <w:proofErr w:type="spellEnd"/>
      <w:r w:rsidRPr="006E55EC">
        <w:rPr>
          <w:sz w:val="20"/>
          <w:szCs w:val="20"/>
        </w:rPr>
        <w:t xml:space="preserve"> of hydroxyl groups, nature of </w:t>
      </w:r>
      <w:proofErr w:type="spellStart"/>
      <w:r w:rsidRPr="006E55EC">
        <w:rPr>
          <w:sz w:val="20"/>
          <w:szCs w:val="20"/>
        </w:rPr>
        <w:t>glycosyl</w:t>
      </w:r>
      <w:proofErr w:type="spellEnd"/>
      <w:r w:rsidRPr="006E55EC">
        <w:rPr>
          <w:sz w:val="20"/>
          <w:szCs w:val="20"/>
        </w:rPr>
        <w:t xml:space="preserve"> units, substitution pattern, and potential aliphatic and aromatic </w:t>
      </w:r>
      <w:proofErr w:type="spellStart"/>
      <w:r w:rsidRPr="006E55EC">
        <w:rPr>
          <w:sz w:val="20"/>
          <w:szCs w:val="20"/>
        </w:rPr>
        <w:t>acylation</w:t>
      </w:r>
      <w:proofErr w:type="spellEnd"/>
      <w:r w:rsidRPr="006E55EC">
        <w:rPr>
          <w:sz w:val="20"/>
          <w:szCs w:val="20"/>
        </w:rPr>
        <w:t xml:space="preserve"> (Andersen and </w:t>
      </w:r>
      <w:proofErr w:type="spellStart"/>
      <w:r w:rsidRPr="006E55EC">
        <w:rPr>
          <w:sz w:val="20"/>
          <w:szCs w:val="20"/>
        </w:rPr>
        <w:t>Jordheim</w:t>
      </w:r>
      <w:proofErr w:type="spellEnd"/>
      <w:r w:rsidRPr="006E55EC">
        <w:rPr>
          <w:sz w:val="20"/>
          <w:szCs w:val="20"/>
        </w:rPr>
        <w:t xml:space="preserve">, 2006). </w:t>
      </w:r>
      <w:r w:rsidRPr="006E55EC">
        <w:rPr>
          <w:i/>
          <w:iCs/>
          <w:sz w:val="20"/>
          <w:szCs w:val="20"/>
        </w:rPr>
        <w:t xml:space="preserve">Hibiscus </w:t>
      </w:r>
      <w:proofErr w:type="spellStart"/>
      <w:r w:rsidRPr="006E55EC">
        <w:rPr>
          <w:i/>
          <w:iCs/>
          <w:sz w:val="20"/>
          <w:szCs w:val="20"/>
        </w:rPr>
        <w:t>sabdariffa</w:t>
      </w:r>
      <w:proofErr w:type="spellEnd"/>
      <w:r w:rsidRPr="006E55EC">
        <w:rPr>
          <w:sz w:val="20"/>
          <w:szCs w:val="20"/>
        </w:rPr>
        <w:t xml:space="preserve"> pigment has been reported to be rich in delphinidin-3-</w:t>
      </w:r>
      <w:r w:rsidRPr="006E55EC">
        <w:rPr>
          <w:sz w:val="20"/>
          <w:szCs w:val="20"/>
        </w:rPr>
        <w:lastRenderedPageBreak/>
        <w:t xml:space="preserve">sambubioside, delphnidin-3-monoglucoside, cyanidin-3-sambubioside and cyanidin-3-monoglucoside (Shibata and Furukawa, 1969; Du and Francis, 1973; Hong and </w:t>
      </w:r>
      <w:proofErr w:type="spellStart"/>
      <w:r w:rsidRPr="006E55EC">
        <w:rPr>
          <w:sz w:val="20"/>
          <w:szCs w:val="20"/>
        </w:rPr>
        <w:t>Wrostad</w:t>
      </w:r>
      <w:proofErr w:type="spellEnd"/>
      <w:r w:rsidRPr="006E55EC">
        <w:rPr>
          <w:sz w:val="20"/>
          <w:szCs w:val="20"/>
        </w:rPr>
        <w:t xml:space="preserve">, 1990; Wong et al., 2002; </w:t>
      </w:r>
      <w:proofErr w:type="spellStart"/>
      <w:r w:rsidRPr="006E55EC">
        <w:rPr>
          <w:sz w:val="20"/>
          <w:szCs w:val="20"/>
        </w:rPr>
        <w:t>Sukwattanasinit</w:t>
      </w:r>
      <w:proofErr w:type="spellEnd"/>
      <w:r w:rsidRPr="006E55EC">
        <w:rPr>
          <w:sz w:val="20"/>
          <w:szCs w:val="20"/>
        </w:rPr>
        <w:t xml:space="preserve"> et al., 2007), although only few studies have been able to link the antioxidant potential of </w:t>
      </w:r>
      <w:r w:rsidRPr="006E55EC">
        <w:rPr>
          <w:i/>
          <w:iCs/>
          <w:sz w:val="20"/>
          <w:szCs w:val="20"/>
        </w:rPr>
        <w:t xml:space="preserve">Hibiscus </w:t>
      </w:r>
      <w:proofErr w:type="spellStart"/>
      <w:r w:rsidRPr="006E55EC">
        <w:rPr>
          <w:i/>
          <w:iCs/>
          <w:sz w:val="20"/>
          <w:szCs w:val="20"/>
        </w:rPr>
        <w:t>sabdariffa</w:t>
      </w:r>
      <w:proofErr w:type="spellEnd"/>
      <w:r w:rsidRPr="006E55EC">
        <w:rPr>
          <w:sz w:val="20"/>
          <w:szCs w:val="20"/>
        </w:rPr>
        <w:t xml:space="preserve"> to its </w:t>
      </w:r>
      <w:proofErr w:type="spellStart"/>
      <w:r w:rsidRPr="006E55EC">
        <w:rPr>
          <w:sz w:val="20"/>
          <w:szCs w:val="20"/>
        </w:rPr>
        <w:t>anthocyanins</w:t>
      </w:r>
      <w:proofErr w:type="spellEnd"/>
      <w:r w:rsidRPr="006E55EC">
        <w:rPr>
          <w:sz w:val="20"/>
          <w:szCs w:val="20"/>
        </w:rPr>
        <w:t xml:space="preserve"> content.</w:t>
      </w:r>
    </w:p>
    <w:p w:rsidR="00BB7014" w:rsidRPr="006E55EC" w:rsidRDefault="00BB7014" w:rsidP="006E55EC">
      <w:pPr>
        <w:snapToGrid w:val="0"/>
        <w:ind w:firstLine="425"/>
        <w:jc w:val="both"/>
        <w:rPr>
          <w:sz w:val="20"/>
          <w:szCs w:val="20"/>
        </w:rPr>
      </w:pPr>
      <w:r w:rsidRPr="006E55EC">
        <w:rPr>
          <w:sz w:val="20"/>
          <w:szCs w:val="20"/>
        </w:rPr>
        <w:t xml:space="preserve">The aim of this study was to investigate the </w:t>
      </w:r>
      <w:r w:rsidRPr="006E55EC">
        <w:rPr>
          <w:i/>
          <w:iCs/>
          <w:sz w:val="20"/>
          <w:szCs w:val="20"/>
        </w:rPr>
        <w:t>in vitro</w:t>
      </w:r>
      <w:r w:rsidRPr="006E55EC">
        <w:rPr>
          <w:sz w:val="20"/>
          <w:szCs w:val="20"/>
        </w:rPr>
        <w:t xml:space="preserve"> antioxidant potential </w:t>
      </w:r>
      <w:r w:rsidR="0017083C" w:rsidRPr="006E55EC">
        <w:rPr>
          <w:sz w:val="20"/>
          <w:szCs w:val="20"/>
        </w:rPr>
        <w:t xml:space="preserve">and chemical constituents </w:t>
      </w:r>
      <w:r w:rsidRPr="006E55EC">
        <w:rPr>
          <w:sz w:val="20"/>
          <w:szCs w:val="20"/>
        </w:rPr>
        <w:t xml:space="preserve">of </w:t>
      </w:r>
      <w:r w:rsidRPr="006E55EC">
        <w:rPr>
          <w:iCs/>
          <w:sz w:val="20"/>
          <w:szCs w:val="20"/>
        </w:rPr>
        <w:t xml:space="preserve">Hibiscus </w:t>
      </w:r>
      <w:proofErr w:type="spellStart"/>
      <w:r w:rsidRPr="006E55EC">
        <w:rPr>
          <w:iCs/>
          <w:sz w:val="20"/>
          <w:szCs w:val="20"/>
        </w:rPr>
        <w:t>anthocyanins</w:t>
      </w:r>
      <w:proofErr w:type="spellEnd"/>
      <w:r w:rsidRPr="006E55EC">
        <w:rPr>
          <w:iCs/>
          <w:sz w:val="20"/>
          <w:szCs w:val="20"/>
        </w:rPr>
        <w:t xml:space="preserve"> rich extract (HAE)</w:t>
      </w:r>
      <w:r w:rsidR="0017083C" w:rsidRPr="006E55EC">
        <w:rPr>
          <w:iCs/>
          <w:sz w:val="20"/>
          <w:szCs w:val="20"/>
        </w:rPr>
        <w:t>.</w:t>
      </w:r>
      <w:r w:rsidR="00857932" w:rsidRPr="006E55EC">
        <w:rPr>
          <w:iCs/>
          <w:sz w:val="20"/>
          <w:szCs w:val="20"/>
        </w:rPr>
        <w:t xml:space="preserve"> </w:t>
      </w:r>
      <w:r w:rsidRPr="006E55EC">
        <w:rPr>
          <w:sz w:val="20"/>
          <w:szCs w:val="20"/>
        </w:rPr>
        <w:t xml:space="preserve">Evidence is presented to suggest that </w:t>
      </w:r>
      <w:r w:rsidRPr="006E55EC">
        <w:rPr>
          <w:i/>
          <w:iCs/>
          <w:sz w:val="20"/>
          <w:szCs w:val="20"/>
        </w:rPr>
        <w:t xml:space="preserve">Hibiscus </w:t>
      </w:r>
      <w:proofErr w:type="spellStart"/>
      <w:r w:rsidRPr="006E55EC">
        <w:rPr>
          <w:i/>
          <w:iCs/>
          <w:sz w:val="20"/>
          <w:szCs w:val="20"/>
        </w:rPr>
        <w:t>sabdariffa</w:t>
      </w:r>
      <w:proofErr w:type="spellEnd"/>
      <w:r w:rsidRPr="006E55EC">
        <w:rPr>
          <w:sz w:val="20"/>
          <w:szCs w:val="20"/>
        </w:rPr>
        <w:t xml:space="preserve"> is an effective antioxidant plant </w:t>
      </w:r>
      <w:r w:rsidRPr="006E55EC">
        <w:rPr>
          <w:i/>
          <w:iCs/>
          <w:sz w:val="20"/>
          <w:szCs w:val="20"/>
        </w:rPr>
        <w:t xml:space="preserve">in vitro </w:t>
      </w:r>
      <w:r w:rsidRPr="006E55EC">
        <w:rPr>
          <w:sz w:val="20"/>
          <w:szCs w:val="20"/>
        </w:rPr>
        <w:t xml:space="preserve">and this antioxidant potential may be related to the high concentration of </w:t>
      </w:r>
      <w:proofErr w:type="spellStart"/>
      <w:r w:rsidRPr="006E55EC">
        <w:rPr>
          <w:sz w:val="20"/>
          <w:szCs w:val="20"/>
        </w:rPr>
        <w:t>polyphenolic</w:t>
      </w:r>
      <w:proofErr w:type="spellEnd"/>
      <w:r w:rsidRPr="006E55EC">
        <w:rPr>
          <w:sz w:val="20"/>
          <w:szCs w:val="20"/>
        </w:rPr>
        <w:t xml:space="preserve"> antioxidants in the plant.</w:t>
      </w:r>
    </w:p>
    <w:p w:rsidR="00D15E42" w:rsidRPr="006E55EC" w:rsidRDefault="00126D11" w:rsidP="00AB4189">
      <w:pPr>
        <w:snapToGrid w:val="0"/>
        <w:jc w:val="both"/>
        <w:rPr>
          <w:sz w:val="20"/>
          <w:szCs w:val="20"/>
        </w:rPr>
      </w:pPr>
      <w:r w:rsidRPr="006E55EC">
        <w:rPr>
          <w:b/>
          <w:bCs/>
          <w:sz w:val="20"/>
          <w:szCs w:val="20"/>
          <w:lang w:eastAsia="en-US"/>
        </w:rPr>
        <w:t xml:space="preserve">2. </w:t>
      </w:r>
      <w:r w:rsidR="00FD5701" w:rsidRPr="006E55EC">
        <w:rPr>
          <w:b/>
          <w:bCs/>
          <w:sz w:val="20"/>
          <w:szCs w:val="20"/>
          <w:lang w:eastAsia="en-US"/>
        </w:rPr>
        <w:t>Materials and Methods</w:t>
      </w:r>
    </w:p>
    <w:p w:rsidR="00D15E42" w:rsidRPr="006E55EC" w:rsidRDefault="00126D11" w:rsidP="00AB4189">
      <w:pPr>
        <w:pStyle w:val="NormalWeb"/>
        <w:snapToGrid w:val="0"/>
        <w:spacing w:before="0" w:after="0"/>
        <w:jc w:val="both"/>
        <w:rPr>
          <w:b/>
          <w:bCs/>
          <w:sz w:val="20"/>
          <w:szCs w:val="20"/>
          <w:lang w:val="en-GB"/>
        </w:rPr>
      </w:pPr>
      <w:r w:rsidRPr="006E55EC">
        <w:rPr>
          <w:b/>
          <w:bCs/>
          <w:sz w:val="20"/>
          <w:szCs w:val="20"/>
          <w:lang w:val="en-GB"/>
        </w:rPr>
        <w:t xml:space="preserve">2.1. </w:t>
      </w:r>
      <w:r w:rsidR="00A44C40" w:rsidRPr="006E55EC">
        <w:rPr>
          <w:b/>
          <w:bCs/>
          <w:sz w:val="20"/>
          <w:szCs w:val="20"/>
          <w:lang w:val="en-GB"/>
        </w:rPr>
        <w:t>Reagents</w:t>
      </w:r>
    </w:p>
    <w:p w:rsidR="0017083C" w:rsidRPr="006E55EC" w:rsidRDefault="00D15E42" w:rsidP="00AB4189">
      <w:pPr>
        <w:suppressAutoHyphens w:val="0"/>
        <w:autoSpaceDE w:val="0"/>
        <w:autoSpaceDN w:val="0"/>
        <w:adjustRightInd w:val="0"/>
        <w:snapToGrid w:val="0"/>
        <w:ind w:firstLine="425"/>
        <w:jc w:val="both"/>
        <w:rPr>
          <w:sz w:val="20"/>
          <w:szCs w:val="20"/>
        </w:rPr>
      </w:pPr>
      <w:r w:rsidRPr="006E55EC">
        <w:rPr>
          <w:sz w:val="20"/>
          <w:szCs w:val="20"/>
        </w:rPr>
        <w:t xml:space="preserve">All chemical used were of analytical grade. Special reagents were </w:t>
      </w:r>
      <w:proofErr w:type="spellStart"/>
      <w:r w:rsidRPr="006E55EC">
        <w:rPr>
          <w:sz w:val="20"/>
          <w:szCs w:val="20"/>
        </w:rPr>
        <w:t>Cytochrome</w:t>
      </w:r>
      <w:proofErr w:type="spellEnd"/>
      <w:r w:rsidRPr="006E55EC">
        <w:rPr>
          <w:sz w:val="20"/>
          <w:szCs w:val="20"/>
        </w:rPr>
        <w:t xml:space="preserve"> C, </w:t>
      </w:r>
      <w:proofErr w:type="spellStart"/>
      <w:r w:rsidRPr="006E55EC">
        <w:rPr>
          <w:sz w:val="20"/>
          <w:szCs w:val="20"/>
        </w:rPr>
        <w:t>Xanthine</w:t>
      </w:r>
      <w:proofErr w:type="spellEnd"/>
      <w:r w:rsidRPr="006E55EC">
        <w:rPr>
          <w:sz w:val="20"/>
          <w:szCs w:val="20"/>
        </w:rPr>
        <w:t xml:space="preserve">, </w:t>
      </w:r>
      <w:proofErr w:type="spellStart"/>
      <w:r w:rsidRPr="006E55EC">
        <w:rPr>
          <w:sz w:val="20"/>
          <w:szCs w:val="20"/>
        </w:rPr>
        <w:t>Xanthine</w:t>
      </w:r>
      <w:proofErr w:type="spellEnd"/>
      <w:r w:rsidRPr="006E55EC">
        <w:rPr>
          <w:sz w:val="20"/>
          <w:szCs w:val="20"/>
        </w:rPr>
        <w:t xml:space="preserve"> </w:t>
      </w:r>
      <w:proofErr w:type="spellStart"/>
      <w:r w:rsidRPr="006E55EC">
        <w:rPr>
          <w:sz w:val="20"/>
          <w:szCs w:val="20"/>
        </w:rPr>
        <w:t>Oxidase</w:t>
      </w:r>
      <w:proofErr w:type="spellEnd"/>
      <w:r w:rsidRPr="006E55EC">
        <w:rPr>
          <w:sz w:val="20"/>
          <w:szCs w:val="20"/>
        </w:rPr>
        <w:t xml:space="preserve"> (Grade </w:t>
      </w:r>
      <w:smartTag w:uri="urn:schemas-microsoft-com:office:smarttags" w:element="stockticker">
        <w:r w:rsidRPr="006E55EC">
          <w:rPr>
            <w:sz w:val="20"/>
            <w:szCs w:val="20"/>
          </w:rPr>
          <w:t>III</w:t>
        </w:r>
      </w:smartTag>
      <w:r w:rsidRPr="006E55EC">
        <w:rPr>
          <w:sz w:val="20"/>
          <w:szCs w:val="20"/>
        </w:rPr>
        <w:t xml:space="preserve"> from bovine milk), ABTS (2,2 -</w:t>
      </w:r>
      <w:proofErr w:type="spellStart"/>
      <w:r w:rsidRPr="006E55EC">
        <w:rPr>
          <w:sz w:val="20"/>
          <w:szCs w:val="20"/>
        </w:rPr>
        <w:t>azino-bis</w:t>
      </w:r>
      <w:proofErr w:type="spellEnd"/>
      <w:r w:rsidRPr="006E55EC">
        <w:rPr>
          <w:sz w:val="20"/>
          <w:szCs w:val="20"/>
        </w:rPr>
        <w:t xml:space="preserve">-(3-ethylbenzthiazoline 6-sulfonic acid), </w:t>
      </w:r>
      <w:proofErr w:type="spellStart"/>
      <w:r w:rsidRPr="006E55EC">
        <w:rPr>
          <w:sz w:val="20"/>
          <w:szCs w:val="20"/>
        </w:rPr>
        <w:t>Folin</w:t>
      </w:r>
      <w:proofErr w:type="spellEnd"/>
      <w:r w:rsidRPr="006E55EC">
        <w:rPr>
          <w:sz w:val="20"/>
          <w:szCs w:val="20"/>
        </w:rPr>
        <w:t xml:space="preserve"> - </w:t>
      </w:r>
      <w:proofErr w:type="spellStart"/>
      <w:r w:rsidRPr="006E55EC">
        <w:rPr>
          <w:sz w:val="20"/>
          <w:szCs w:val="20"/>
        </w:rPr>
        <w:t>ciocalteu’s</w:t>
      </w:r>
      <w:proofErr w:type="spellEnd"/>
      <w:r w:rsidRPr="006E55EC">
        <w:rPr>
          <w:sz w:val="20"/>
          <w:szCs w:val="20"/>
        </w:rPr>
        <w:t xml:space="preserve"> Phenol reagent, </w:t>
      </w:r>
      <w:proofErr w:type="spellStart"/>
      <w:r w:rsidRPr="006E55EC">
        <w:rPr>
          <w:sz w:val="20"/>
          <w:szCs w:val="20"/>
        </w:rPr>
        <w:t>Trolox</w:t>
      </w:r>
      <w:proofErr w:type="spellEnd"/>
      <w:r w:rsidRPr="006E55EC">
        <w:rPr>
          <w:sz w:val="20"/>
          <w:szCs w:val="20"/>
        </w:rPr>
        <w:t xml:space="preserve"> (6-hydroxy - 2, 5, 7, 8, - </w:t>
      </w:r>
      <w:proofErr w:type="spellStart"/>
      <w:r w:rsidRPr="006E55EC">
        <w:rPr>
          <w:sz w:val="20"/>
          <w:szCs w:val="20"/>
        </w:rPr>
        <w:t>tetramethyl-chroman</w:t>
      </w:r>
      <w:proofErr w:type="spellEnd"/>
      <w:r w:rsidRPr="006E55EC">
        <w:rPr>
          <w:sz w:val="20"/>
          <w:szCs w:val="20"/>
        </w:rPr>
        <w:t xml:space="preserve"> -2-carboxylic acid (C-stock -solution = 2.5mmol</w:t>
      </w:r>
      <w:r w:rsidR="00B51D23" w:rsidRPr="006E55EC">
        <w:rPr>
          <w:sz w:val="20"/>
          <w:szCs w:val="20"/>
        </w:rPr>
        <w:t>/L), Gallic acid</w:t>
      </w:r>
      <w:r w:rsidRPr="006E55EC">
        <w:rPr>
          <w:sz w:val="20"/>
          <w:szCs w:val="20"/>
        </w:rPr>
        <w:t xml:space="preserve"> and all other chemicals were purchased from Sigma -Aldrich Company Limited, </w:t>
      </w:r>
      <w:proofErr w:type="spellStart"/>
      <w:r w:rsidRPr="006E55EC">
        <w:rPr>
          <w:sz w:val="20"/>
          <w:szCs w:val="20"/>
        </w:rPr>
        <w:t>Dorsert</w:t>
      </w:r>
      <w:proofErr w:type="spellEnd"/>
      <w:r w:rsidRPr="006E55EC">
        <w:rPr>
          <w:sz w:val="20"/>
          <w:szCs w:val="20"/>
        </w:rPr>
        <w:t>, United Kingdom.</w:t>
      </w:r>
    </w:p>
    <w:p w:rsidR="0017083C" w:rsidRPr="006E55EC" w:rsidRDefault="0017083C" w:rsidP="00AB4189">
      <w:pPr>
        <w:suppressAutoHyphens w:val="0"/>
        <w:autoSpaceDE w:val="0"/>
        <w:autoSpaceDN w:val="0"/>
        <w:adjustRightInd w:val="0"/>
        <w:snapToGrid w:val="0"/>
        <w:jc w:val="both"/>
        <w:rPr>
          <w:sz w:val="20"/>
          <w:szCs w:val="20"/>
          <w:lang w:val="en-US" w:eastAsia="en-US"/>
        </w:rPr>
      </w:pPr>
      <w:r w:rsidRPr="006E55EC">
        <w:rPr>
          <w:b/>
          <w:bCs/>
          <w:sz w:val="20"/>
          <w:szCs w:val="20"/>
        </w:rPr>
        <w:t>2.2. Plant Material</w:t>
      </w:r>
    </w:p>
    <w:p w:rsidR="0017083C" w:rsidRPr="006E55EC" w:rsidRDefault="0017083C" w:rsidP="00AB4189">
      <w:pPr>
        <w:suppressAutoHyphens w:val="0"/>
        <w:autoSpaceDE w:val="0"/>
        <w:autoSpaceDN w:val="0"/>
        <w:adjustRightInd w:val="0"/>
        <w:snapToGrid w:val="0"/>
        <w:ind w:firstLine="425"/>
        <w:jc w:val="both"/>
        <w:rPr>
          <w:rFonts w:eastAsiaTheme="minorHAnsi"/>
          <w:sz w:val="20"/>
          <w:szCs w:val="20"/>
          <w:lang w:val="en-US" w:eastAsia="en-US"/>
        </w:rPr>
      </w:pPr>
      <w:r w:rsidRPr="006E55EC">
        <w:rPr>
          <w:sz w:val="20"/>
          <w:szCs w:val="20"/>
        </w:rPr>
        <w:t xml:space="preserve">Flowers of </w:t>
      </w:r>
      <w:r w:rsidRPr="006E55EC">
        <w:rPr>
          <w:i/>
          <w:iCs/>
          <w:sz w:val="20"/>
          <w:szCs w:val="20"/>
        </w:rPr>
        <w:t xml:space="preserve">Hibiscus </w:t>
      </w:r>
      <w:proofErr w:type="spellStart"/>
      <w:r w:rsidRPr="006E55EC">
        <w:rPr>
          <w:i/>
          <w:iCs/>
          <w:sz w:val="20"/>
          <w:szCs w:val="20"/>
        </w:rPr>
        <w:t>sabdariffa</w:t>
      </w:r>
      <w:proofErr w:type="spellEnd"/>
      <w:r w:rsidRPr="006E55EC">
        <w:rPr>
          <w:sz w:val="20"/>
          <w:szCs w:val="20"/>
        </w:rPr>
        <w:t xml:space="preserve"> (</w:t>
      </w:r>
      <w:proofErr w:type="spellStart"/>
      <w:r w:rsidRPr="006E55EC">
        <w:rPr>
          <w:sz w:val="20"/>
          <w:szCs w:val="20"/>
        </w:rPr>
        <w:t>Malvaceae</w:t>
      </w:r>
      <w:proofErr w:type="spellEnd"/>
      <w:r w:rsidRPr="006E55EC">
        <w:rPr>
          <w:sz w:val="20"/>
          <w:szCs w:val="20"/>
        </w:rPr>
        <w:t xml:space="preserve">) were bought at a market in Nigeria. </w:t>
      </w:r>
      <w:r w:rsidRPr="006E55EC">
        <w:rPr>
          <w:rFonts w:eastAsiaTheme="minorHAnsi"/>
          <w:sz w:val="20"/>
          <w:szCs w:val="20"/>
          <w:lang w:val="en-US" w:eastAsia="en-US"/>
        </w:rPr>
        <w:t xml:space="preserve">The identification and authentication of the plant was done by Dr A.J. </w:t>
      </w:r>
      <w:proofErr w:type="spellStart"/>
      <w:r w:rsidRPr="006E55EC">
        <w:rPr>
          <w:rFonts w:eastAsiaTheme="minorHAnsi"/>
          <w:sz w:val="20"/>
          <w:szCs w:val="20"/>
          <w:lang w:val="en-US" w:eastAsia="en-US"/>
        </w:rPr>
        <w:t>Ogunkunle</w:t>
      </w:r>
      <w:proofErr w:type="spellEnd"/>
      <w:r w:rsidRPr="006E55EC">
        <w:rPr>
          <w:rFonts w:eastAsiaTheme="minorHAnsi"/>
          <w:sz w:val="20"/>
          <w:szCs w:val="20"/>
          <w:lang w:val="en-US" w:eastAsia="en-US"/>
        </w:rPr>
        <w:t xml:space="preserve"> at Department of Pure and Applied Biology, </w:t>
      </w:r>
      <w:proofErr w:type="spellStart"/>
      <w:r w:rsidRPr="006E55EC">
        <w:rPr>
          <w:rFonts w:eastAsiaTheme="minorHAnsi"/>
          <w:sz w:val="20"/>
          <w:szCs w:val="20"/>
          <w:lang w:val="en-US" w:eastAsia="en-US"/>
        </w:rPr>
        <w:t>Ladoke</w:t>
      </w:r>
      <w:proofErr w:type="spellEnd"/>
      <w:r w:rsidRPr="006E55EC">
        <w:rPr>
          <w:rFonts w:eastAsiaTheme="minorHAnsi"/>
          <w:sz w:val="20"/>
          <w:szCs w:val="20"/>
          <w:lang w:val="en-US" w:eastAsia="en-US"/>
        </w:rPr>
        <w:t xml:space="preserve"> </w:t>
      </w:r>
      <w:proofErr w:type="spellStart"/>
      <w:r w:rsidRPr="006E55EC">
        <w:rPr>
          <w:rFonts w:eastAsiaTheme="minorHAnsi"/>
          <w:sz w:val="20"/>
          <w:szCs w:val="20"/>
          <w:lang w:val="en-US" w:eastAsia="en-US"/>
        </w:rPr>
        <w:t>Akintola</w:t>
      </w:r>
      <w:proofErr w:type="spellEnd"/>
      <w:r w:rsidRPr="006E55EC">
        <w:rPr>
          <w:rFonts w:eastAsiaTheme="minorHAnsi"/>
          <w:sz w:val="20"/>
          <w:szCs w:val="20"/>
          <w:lang w:val="en-US" w:eastAsia="en-US"/>
        </w:rPr>
        <w:t xml:space="preserve"> University of Technology, </w:t>
      </w:r>
      <w:proofErr w:type="spellStart"/>
      <w:r w:rsidRPr="006E55EC">
        <w:rPr>
          <w:rFonts w:eastAsiaTheme="minorHAnsi"/>
          <w:sz w:val="20"/>
          <w:szCs w:val="20"/>
          <w:lang w:val="en-US" w:eastAsia="en-US"/>
        </w:rPr>
        <w:t>Ogbomoso</w:t>
      </w:r>
      <w:proofErr w:type="spellEnd"/>
      <w:r w:rsidRPr="006E55EC">
        <w:rPr>
          <w:rFonts w:eastAsiaTheme="minorHAnsi"/>
          <w:sz w:val="20"/>
          <w:szCs w:val="20"/>
          <w:lang w:val="en-US" w:eastAsia="en-US"/>
        </w:rPr>
        <w:t>, where a specimen was deposited in the herbarium. The dried flowers were further dried at room temperature and blended to a coarse powder.</w:t>
      </w:r>
    </w:p>
    <w:p w:rsidR="00D15E42" w:rsidRPr="006E55EC" w:rsidRDefault="00126D11" w:rsidP="00AB4189">
      <w:pPr>
        <w:suppressAutoHyphens w:val="0"/>
        <w:autoSpaceDE w:val="0"/>
        <w:autoSpaceDN w:val="0"/>
        <w:adjustRightInd w:val="0"/>
        <w:snapToGrid w:val="0"/>
        <w:jc w:val="both"/>
        <w:rPr>
          <w:sz w:val="20"/>
          <w:szCs w:val="20"/>
          <w:lang w:val="en-US" w:eastAsia="en-US"/>
        </w:rPr>
      </w:pPr>
      <w:r w:rsidRPr="006E55EC">
        <w:rPr>
          <w:b/>
          <w:bCs/>
          <w:sz w:val="20"/>
          <w:szCs w:val="20"/>
        </w:rPr>
        <w:t xml:space="preserve">2.3. </w:t>
      </w:r>
      <w:r w:rsidR="00D15E42" w:rsidRPr="006E55EC">
        <w:rPr>
          <w:b/>
          <w:bCs/>
          <w:sz w:val="20"/>
          <w:szCs w:val="20"/>
        </w:rPr>
        <w:t xml:space="preserve">Preparation of Hibiscus </w:t>
      </w:r>
      <w:proofErr w:type="spellStart"/>
      <w:r w:rsidR="00D15E42" w:rsidRPr="006E55EC">
        <w:rPr>
          <w:b/>
          <w:bCs/>
          <w:sz w:val="20"/>
          <w:szCs w:val="20"/>
        </w:rPr>
        <w:t>Anthocyanins</w:t>
      </w:r>
      <w:proofErr w:type="spellEnd"/>
      <w:r w:rsidR="00D15E42" w:rsidRPr="006E55EC">
        <w:rPr>
          <w:b/>
          <w:bCs/>
          <w:sz w:val="20"/>
          <w:szCs w:val="20"/>
        </w:rPr>
        <w:t xml:space="preserve"> Rich Extract (</w:t>
      </w:r>
      <w:smartTag w:uri="urn:schemas-microsoft-com:office:smarttags" w:element="stockticker">
        <w:r w:rsidR="00D15E42" w:rsidRPr="006E55EC">
          <w:rPr>
            <w:b/>
            <w:bCs/>
            <w:sz w:val="20"/>
            <w:szCs w:val="20"/>
          </w:rPr>
          <w:t>HAE</w:t>
        </w:r>
      </w:smartTag>
      <w:r w:rsidR="00D15E42" w:rsidRPr="006E55EC">
        <w:rPr>
          <w:b/>
          <w:bCs/>
          <w:sz w:val="20"/>
          <w:szCs w:val="20"/>
        </w:rPr>
        <w:t>)</w:t>
      </w:r>
    </w:p>
    <w:p w:rsidR="00D15E42" w:rsidRPr="006E55EC" w:rsidRDefault="00D15E42" w:rsidP="00AB4189">
      <w:pPr>
        <w:suppressAutoHyphens w:val="0"/>
        <w:autoSpaceDE w:val="0"/>
        <w:autoSpaceDN w:val="0"/>
        <w:adjustRightInd w:val="0"/>
        <w:snapToGrid w:val="0"/>
        <w:ind w:firstLine="425"/>
        <w:jc w:val="both"/>
        <w:rPr>
          <w:sz w:val="20"/>
          <w:szCs w:val="20"/>
        </w:rPr>
      </w:pPr>
      <w:smartTag w:uri="urn:schemas-microsoft-com:office:smarttags" w:element="stockticker">
        <w:r w:rsidRPr="006E55EC">
          <w:rPr>
            <w:sz w:val="20"/>
            <w:szCs w:val="20"/>
          </w:rPr>
          <w:t>HAE</w:t>
        </w:r>
      </w:smartTag>
      <w:r w:rsidRPr="006E55EC">
        <w:rPr>
          <w:sz w:val="20"/>
          <w:szCs w:val="20"/>
        </w:rPr>
        <w:t xml:space="preserve"> was prepared from the dried flower of </w:t>
      </w:r>
      <w:r w:rsidRPr="006E55EC">
        <w:rPr>
          <w:i/>
          <w:iCs/>
          <w:sz w:val="20"/>
          <w:szCs w:val="20"/>
        </w:rPr>
        <w:t xml:space="preserve">Hibiscus </w:t>
      </w:r>
      <w:proofErr w:type="spellStart"/>
      <w:r w:rsidRPr="006E55EC">
        <w:rPr>
          <w:i/>
          <w:iCs/>
          <w:sz w:val="20"/>
          <w:szCs w:val="20"/>
        </w:rPr>
        <w:t>sabdariffa</w:t>
      </w:r>
      <w:proofErr w:type="spellEnd"/>
      <w:r w:rsidRPr="006E55EC">
        <w:rPr>
          <w:sz w:val="20"/>
          <w:szCs w:val="20"/>
        </w:rPr>
        <w:t xml:space="preserve"> L. as</w:t>
      </w:r>
      <w:r w:rsidR="00DB622B" w:rsidRPr="006E55EC">
        <w:rPr>
          <w:sz w:val="20"/>
          <w:szCs w:val="20"/>
        </w:rPr>
        <w:t xml:space="preserve"> described by Chang, et al., (2006)</w:t>
      </w:r>
      <w:r w:rsidRPr="006E55EC">
        <w:rPr>
          <w:sz w:val="20"/>
          <w:szCs w:val="20"/>
        </w:rPr>
        <w:t xml:space="preserve">. The dried flower (20g) was mixed with 120ml methanol containing 1% </w:t>
      </w:r>
      <w:proofErr w:type="spellStart"/>
      <w:r w:rsidRPr="006E55EC">
        <w:rPr>
          <w:sz w:val="20"/>
          <w:szCs w:val="20"/>
        </w:rPr>
        <w:t>HCl</w:t>
      </w:r>
      <w:proofErr w:type="spellEnd"/>
      <w:r w:rsidRPr="006E55EC">
        <w:rPr>
          <w:sz w:val="20"/>
          <w:szCs w:val="20"/>
        </w:rPr>
        <w:t xml:space="preserve"> for 24 hrs at 4</w:t>
      </w:r>
      <w:r w:rsidRPr="006E55EC">
        <w:rPr>
          <w:sz w:val="20"/>
          <w:szCs w:val="20"/>
          <w:vertAlign w:val="superscript"/>
        </w:rPr>
        <w:t>0</w:t>
      </w:r>
      <w:r w:rsidRPr="006E55EC">
        <w:rPr>
          <w:sz w:val="20"/>
          <w:szCs w:val="20"/>
        </w:rPr>
        <w:t xml:space="preserve">C. The extract was filtered and the filtrate was applied to an </w:t>
      </w:r>
      <w:proofErr w:type="spellStart"/>
      <w:r w:rsidRPr="006E55EC">
        <w:rPr>
          <w:sz w:val="20"/>
          <w:szCs w:val="20"/>
        </w:rPr>
        <w:t>amberlite</w:t>
      </w:r>
      <w:proofErr w:type="spellEnd"/>
      <w:r w:rsidRPr="006E55EC">
        <w:rPr>
          <w:sz w:val="20"/>
          <w:szCs w:val="20"/>
        </w:rPr>
        <w:t xml:space="preserve"> </w:t>
      </w:r>
      <w:proofErr w:type="spellStart"/>
      <w:r w:rsidRPr="006E55EC">
        <w:rPr>
          <w:sz w:val="20"/>
          <w:szCs w:val="20"/>
        </w:rPr>
        <w:t>Diaion</w:t>
      </w:r>
      <w:proofErr w:type="spellEnd"/>
      <w:r w:rsidRPr="006E55EC">
        <w:rPr>
          <w:sz w:val="20"/>
          <w:szCs w:val="20"/>
        </w:rPr>
        <w:t xml:space="preserve"> HP</w:t>
      </w:r>
      <w:r w:rsidRPr="006E55EC">
        <w:rPr>
          <w:i/>
          <w:iCs/>
          <w:sz w:val="20"/>
          <w:szCs w:val="20"/>
        </w:rPr>
        <w:t>-</w:t>
      </w:r>
      <w:r w:rsidRPr="006E55EC">
        <w:rPr>
          <w:sz w:val="20"/>
          <w:szCs w:val="20"/>
        </w:rPr>
        <w:t xml:space="preserve">20 resin column for 24h, and then washed with distilled water containing 0.1% </w:t>
      </w:r>
      <w:proofErr w:type="spellStart"/>
      <w:r w:rsidRPr="006E55EC">
        <w:rPr>
          <w:sz w:val="20"/>
          <w:szCs w:val="20"/>
        </w:rPr>
        <w:t>HCl</w:t>
      </w:r>
      <w:proofErr w:type="spellEnd"/>
      <w:r w:rsidRPr="006E55EC">
        <w:rPr>
          <w:sz w:val="20"/>
          <w:szCs w:val="20"/>
        </w:rPr>
        <w:t xml:space="preserve"> solution and eluted with methanol. The filtrate was concentrated in a rotary evaporator and then lyophilized to obtain approximately 0.5g of </w:t>
      </w:r>
      <w:smartTag w:uri="urn:schemas-microsoft-com:office:smarttags" w:element="stockticker">
        <w:r w:rsidRPr="006E55EC">
          <w:rPr>
            <w:sz w:val="20"/>
            <w:szCs w:val="20"/>
          </w:rPr>
          <w:t>HAE</w:t>
        </w:r>
      </w:smartTag>
      <w:r w:rsidRPr="006E55EC">
        <w:rPr>
          <w:sz w:val="20"/>
          <w:szCs w:val="20"/>
        </w:rPr>
        <w:t xml:space="preserve"> and stored at - 20</w:t>
      </w:r>
      <w:r w:rsidRPr="006E55EC">
        <w:rPr>
          <w:sz w:val="20"/>
          <w:szCs w:val="20"/>
          <w:vertAlign w:val="superscript"/>
        </w:rPr>
        <w:t>0</w:t>
      </w:r>
      <w:r w:rsidRPr="006E55EC">
        <w:rPr>
          <w:sz w:val="20"/>
          <w:szCs w:val="20"/>
        </w:rPr>
        <w:t>C before use.</w:t>
      </w:r>
    </w:p>
    <w:p w:rsidR="00D15E42" w:rsidRPr="006E55EC" w:rsidRDefault="00126D11" w:rsidP="00AB4189">
      <w:pPr>
        <w:pStyle w:val="NormalWeb"/>
        <w:snapToGrid w:val="0"/>
        <w:spacing w:before="0" w:after="0"/>
        <w:jc w:val="both"/>
        <w:rPr>
          <w:b/>
          <w:bCs/>
          <w:sz w:val="20"/>
          <w:szCs w:val="20"/>
          <w:lang w:val="en-GB"/>
        </w:rPr>
      </w:pPr>
      <w:r w:rsidRPr="006E55EC">
        <w:rPr>
          <w:b/>
          <w:bCs/>
          <w:sz w:val="20"/>
          <w:szCs w:val="20"/>
          <w:lang w:val="en-GB"/>
        </w:rPr>
        <w:t xml:space="preserve">2.4. </w:t>
      </w:r>
      <w:r w:rsidR="00D15E42" w:rsidRPr="006E55EC">
        <w:rPr>
          <w:b/>
          <w:bCs/>
          <w:sz w:val="20"/>
          <w:szCs w:val="20"/>
          <w:lang w:val="en-GB"/>
        </w:rPr>
        <w:t xml:space="preserve">Preparation of </w:t>
      </w:r>
      <w:r w:rsidR="00795C8D" w:rsidRPr="006E55EC">
        <w:rPr>
          <w:b/>
          <w:bCs/>
          <w:sz w:val="20"/>
          <w:szCs w:val="20"/>
          <w:lang w:val="en-GB"/>
        </w:rPr>
        <w:t xml:space="preserve">a Diethyl Ether Extract of </w:t>
      </w:r>
      <w:smartTag w:uri="urn:schemas-microsoft-com:office:smarttags" w:element="stockticker">
        <w:r w:rsidR="00D15E42" w:rsidRPr="006E55EC">
          <w:rPr>
            <w:b/>
            <w:bCs/>
            <w:sz w:val="20"/>
            <w:szCs w:val="20"/>
            <w:lang w:val="en-GB"/>
          </w:rPr>
          <w:t>HAE</w:t>
        </w:r>
      </w:smartTag>
    </w:p>
    <w:p w:rsidR="00D15E42" w:rsidRPr="006E55EC" w:rsidRDefault="00D15E42" w:rsidP="00AB4189">
      <w:pPr>
        <w:suppressAutoHyphens w:val="0"/>
        <w:autoSpaceDE w:val="0"/>
        <w:autoSpaceDN w:val="0"/>
        <w:adjustRightInd w:val="0"/>
        <w:snapToGrid w:val="0"/>
        <w:ind w:firstLine="425"/>
        <w:jc w:val="both"/>
        <w:rPr>
          <w:sz w:val="20"/>
          <w:szCs w:val="20"/>
          <w:lang w:val="en-US" w:eastAsia="en-US"/>
        </w:rPr>
      </w:pPr>
      <w:r w:rsidRPr="006E55EC">
        <w:rPr>
          <w:sz w:val="20"/>
          <w:szCs w:val="20"/>
        </w:rPr>
        <w:t xml:space="preserve">Due to intense colouring of </w:t>
      </w:r>
      <w:smartTag w:uri="urn:schemas-microsoft-com:office:smarttags" w:element="stockticker">
        <w:r w:rsidRPr="006E55EC">
          <w:rPr>
            <w:sz w:val="20"/>
            <w:szCs w:val="20"/>
          </w:rPr>
          <w:t>HAE</w:t>
        </w:r>
      </w:smartTag>
      <w:r w:rsidRPr="006E55EC">
        <w:rPr>
          <w:sz w:val="20"/>
          <w:szCs w:val="20"/>
        </w:rPr>
        <w:t xml:space="preserve">, it was necessary to prepare a less intense extracts, which did not interfere with some of the </w:t>
      </w:r>
      <w:proofErr w:type="spellStart"/>
      <w:r w:rsidRPr="006E55EC">
        <w:rPr>
          <w:sz w:val="20"/>
          <w:szCs w:val="20"/>
        </w:rPr>
        <w:t>spectrophotometric</w:t>
      </w:r>
      <w:proofErr w:type="spellEnd"/>
      <w:r w:rsidRPr="006E55EC">
        <w:rPr>
          <w:sz w:val="20"/>
          <w:szCs w:val="20"/>
        </w:rPr>
        <w:t xml:space="preserve"> assays. One part of HAE was gently mixed with two parts diethyl ether and centrifuge at 2000rpm for 10 minutes. The diethyl ether extract was removed and </w:t>
      </w:r>
      <w:r w:rsidRPr="006E55EC">
        <w:rPr>
          <w:sz w:val="20"/>
          <w:szCs w:val="20"/>
        </w:rPr>
        <w:lastRenderedPageBreak/>
        <w:t>dried under a stream of oxygen-free nitrogen gas. The residue was then re-suspended in phosphate buffered saline (PBS) pH 7.2 to its original volume.</w:t>
      </w:r>
    </w:p>
    <w:p w:rsidR="00D15E42" w:rsidRPr="006E55EC" w:rsidRDefault="00126D11" w:rsidP="00AB4189">
      <w:pPr>
        <w:pStyle w:val="NormalWeb"/>
        <w:snapToGrid w:val="0"/>
        <w:spacing w:before="0" w:after="0"/>
        <w:jc w:val="both"/>
        <w:rPr>
          <w:rFonts w:eastAsia="EMDJNB+AdvTTf90d833a.I"/>
          <w:b/>
          <w:bCs/>
          <w:sz w:val="20"/>
          <w:szCs w:val="20"/>
          <w:lang w:val="en-GB"/>
        </w:rPr>
      </w:pPr>
      <w:r w:rsidRPr="006E55EC">
        <w:rPr>
          <w:rFonts w:eastAsia="EMDJNB+AdvTTf90d833a.I"/>
          <w:b/>
          <w:bCs/>
          <w:sz w:val="20"/>
          <w:szCs w:val="20"/>
          <w:lang w:val="en-GB"/>
        </w:rPr>
        <w:t xml:space="preserve">2.5. </w:t>
      </w:r>
      <w:r w:rsidR="00D15E42" w:rsidRPr="006E55EC">
        <w:rPr>
          <w:rFonts w:eastAsia="EMDJNB+AdvTTf90d833a.I"/>
          <w:b/>
          <w:bCs/>
          <w:sz w:val="20"/>
          <w:szCs w:val="20"/>
          <w:lang w:val="en-GB"/>
        </w:rPr>
        <w:t xml:space="preserve">Superoxide and </w:t>
      </w:r>
      <w:proofErr w:type="spellStart"/>
      <w:r w:rsidR="00D15E42" w:rsidRPr="006E55EC">
        <w:rPr>
          <w:rFonts w:eastAsia="EMDJNB+AdvTTf90d833a.I"/>
          <w:b/>
          <w:bCs/>
          <w:sz w:val="20"/>
          <w:szCs w:val="20"/>
          <w:lang w:val="en-GB"/>
        </w:rPr>
        <w:t>xanthine</w:t>
      </w:r>
      <w:proofErr w:type="spellEnd"/>
      <w:r w:rsidR="00D15E42" w:rsidRPr="006E55EC">
        <w:rPr>
          <w:rFonts w:eastAsia="EMDJNB+AdvTTf90d833a.I"/>
          <w:b/>
          <w:bCs/>
          <w:sz w:val="20"/>
          <w:szCs w:val="20"/>
          <w:lang w:val="en-GB"/>
        </w:rPr>
        <w:t xml:space="preserve"> </w:t>
      </w:r>
      <w:proofErr w:type="spellStart"/>
      <w:r w:rsidR="00D15E42" w:rsidRPr="006E55EC">
        <w:rPr>
          <w:rFonts w:eastAsia="EMDJNB+AdvTTf90d833a.I"/>
          <w:b/>
          <w:bCs/>
          <w:sz w:val="20"/>
          <w:szCs w:val="20"/>
          <w:lang w:val="en-GB"/>
        </w:rPr>
        <w:t>oxidase</w:t>
      </w:r>
      <w:proofErr w:type="spellEnd"/>
      <w:r w:rsidR="00D15E42" w:rsidRPr="006E55EC">
        <w:rPr>
          <w:rFonts w:eastAsia="EMDJNB+AdvTTf90d833a.I"/>
          <w:b/>
          <w:bCs/>
          <w:sz w:val="20"/>
          <w:szCs w:val="20"/>
          <w:lang w:val="en-GB"/>
        </w:rPr>
        <w:t xml:space="preserve"> activity</w:t>
      </w:r>
    </w:p>
    <w:p w:rsidR="00D15E42" w:rsidRPr="006E55EC" w:rsidRDefault="00D15E42" w:rsidP="00AB4189">
      <w:pPr>
        <w:suppressAutoHyphens w:val="0"/>
        <w:autoSpaceDE w:val="0"/>
        <w:autoSpaceDN w:val="0"/>
        <w:adjustRightInd w:val="0"/>
        <w:snapToGrid w:val="0"/>
        <w:ind w:firstLine="425"/>
        <w:jc w:val="both"/>
        <w:rPr>
          <w:sz w:val="20"/>
          <w:szCs w:val="20"/>
          <w:lang w:val="en-US" w:eastAsia="en-US"/>
        </w:rPr>
      </w:pPr>
      <w:r w:rsidRPr="006E55EC">
        <w:rPr>
          <w:sz w:val="20"/>
          <w:szCs w:val="20"/>
        </w:rPr>
        <w:t xml:space="preserve">This was carried out as reported by </w:t>
      </w:r>
      <w:proofErr w:type="spellStart"/>
      <w:r w:rsidRPr="006E55EC">
        <w:rPr>
          <w:sz w:val="20"/>
          <w:szCs w:val="20"/>
        </w:rPr>
        <w:t>Dill</w:t>
      </w:r>
      <w:r w:rsidR="006E7C63" w:rsidRPr="006E55EC">
        <w:rPr>
          <w:sz w:val="20"/>
          <w:szCs w:val="20"/>
        </w:rPr>
        <w:t>ion</w:t>
      </w:r>
      <w:proofErr w:type="spellEnd"/>
      <w:r w:rsidR="006E7C63" w:rsidRPr="006E55EC">
        <w:rPr>
          <w:sz w:val="20"/>
          <w:szCs w:val="20"/>
        </w:rPr>
        <w:t xml:space="preserve"> et al., (2003)</w:t>
      </w:r>
      <w:r w:rsidRPr="006E55EC">
        <w:rPr>
          <w:sz w:val="20"/>
          <w:szCs w:val="20"/>
        </w:rPr>
        <w:t xml:space="preserve">. Superoxide production and </w:t>
      </w:r>
      <w:proofErr w:type="spellStart"/>
      <w:r w:rsidRPr="006E55EC">
        <w:rPr>
          <w:sz w:val="20"/>
          <w:szCs w:val="20"/>
        </w:rPr>
        <w:t>xanthine</w:t>
      </w:r>
      <w:proofErr w:type="spellEnd"/>
      <w:r w:rsidRPr="006E55EC">
        <w:rPr>
          <w:sz w:val="20"/>
          <w:szCs w:val="20"/>
        </w:rPr>
        <w:t xml:space="preserve"> </w:t>
      </w:r>
      <w:proofErr w:type="spellStart"/>
      <w:r w:rsidRPr="006E55EC">
        <w:rPr>
          <w:sz w:val="20"/>
          <w:szCs w:val="20"/>
        </w:rPr>
        <w:t>oxidase</w:t>
      </w:r>
      <w:proofErr w:type="spellEnd"/>
      <w:r w:rsidRPr="006E55EC">
        <w:rPr>
          <w:sz w:val="20"/>
          <w:szCs w:val="20"/>
        </w:rPr>
        <w:t xml:space="preserve"> activity were measured as </w:t>
      </w:r>
      <w:proofErr w:type="spellStart"/>
      <w:r w:rsidRPr="006E55EC">
        <w:rPr>
          <w:sz w:val="20"/>
          <w:szCs w:val="20"/>
        </w:rPr>
        <w:t>cytochrome</w:t>
      </w:r>
      <w:proofErr w:type="spellEnd"/>
      <w:r w:rsidRPr="006E55EC">
        <w:rPr>
          <w:sz w:val="20"/>
          <w:szCs w:val="20"/>
        </w:rPr>
        <w:t xml:space="preserve"> C reduction and uric acid production, respectively. </w:t>
      </w:r>
      <w:proofErr w:type="spellStart"/>
      <w:r w:rsidRPr="006E55EC">
        <w:rPr>
          <w:sz w:val="20"/>
          <w:szCs w:val="20"/>
        </w:rPr>
        <w:t>Xanthine</w:t>
      </w:r>
      <w:proofErr w:type="spellEnd"/>
      <w:r w:rsidRPr="006E55EC">
        <w:rPr>
          <w:sz w:val="20"/>
          <w:szCs w:val="20"/>
        </w:rPr>
        <w:t xml:space="preserve"> </w:t>
      </w:r>
      <w:proofErr w:type="spellStart"/>
      <w:r w:rsidRPr="006E55EC">
        <w:rPr>
          <w:sz w:val="20"/>
          <w:szCs w:val="20"/>
        </w:rPr>
        <w:t>oxidase</w:t>
      </w:r>
      <w:proofErr w:type="spellEnd"/>
      <w:r w:rsidRPr="006E55EC">
        <w:rPr>
          <w:sz w:val="20"/>
          <w:szCs w:val="20"/>
        </w:rPr>
        <w:t xml:space="preserve"> was prepared to a concentration of 107mU/ml in Phosphate Buffered Saline (PBS), pH 7.2 and </w:t>
      </w:r>
      <w:proofErr w:type="spellStart"/>
      <w:r w:rsidRPr="006E55EC">
        <w:rPr>
          <w:sz w:val="20"/>
          <w:szCs w:val="20"/>
        </w:rPr>
        <w:t>Xanthine</w:t>
      </w:r>
      <w:proofErr w:type="spellEnd"/>
      <w:r w:rsidRPr="006E55EC">
        <w:rPr>
          <w:sz w:val="20"/>
          <w:szCs w:val="20"/>
        </w:rPr>
        <w:t xml:space="preserve"> was prepared as a 1.6mM solution also in PBS. Superoxide ions were generated in a reaction volume of 1ml containing 160µM </w:t>
      </w:r>
      <w:proofErr w:type="spellStart"/>
      <w:r w:rsidRPr="006E55EC">
        <w:rPr>
          <w:sz w:val="20"/>
          <w:szCs w:val="20"/>
        </w:rPr>
        <w:t>xanthine</w:t>
      </w:r>
      <w:proofErr w:type="spellEnd"/>
      <w:r w:rsidRPr="006E55EC">
        <w:rPr>
          <w:sz w:val="20"/>
          <w:szCs w:val="20"/>
        </w:rPr>
        <w:t xml:space="preserve"> and 1.25mg </w:t>
      </w:r>
      <w:proofErr w:type="spellStart"/>
      <w:r w:rsidRPr="006E55EC">
        <w:rPr>
          <w:sz w:val="20"/>
          <w:szCs w:val="20"/>
        </w:rPr>
        <w:t>cytochrome</w:t>
      </w:r>
      <w:proofErr w:type="spellEnd"/>
      <w:r w:rsidRPr="006E55EC">
        <w:rPr>
          <w:sz w:val="20"/>
          <w:szCs w:val="20"/>
        </w:rPr>
        <w:t xml:space="preserve"> C. The reaction was initiated by the addition of 10.7mU </w:t>
      </w:r>
      <w:proofErr w:type="spellStart"/>
      <w:r w:rsidRPr="006E55EC">
        <w:rPr>
          <w:sz w:val="20"/>
          <w:szCs w:val="20"/>
        </w:rPr>
        <w:t>xanthine</w:t>
      </w:r>
      <w:proofErr w:type="spellEnd"/>
      <w:r w:rsidRPr="006E55EC">
        <w:rPr>
          <w:sz w:val="20"/>
          <w:szCs w:val="20"/>
        </w:rPr>
        <w:t xml:space="preserve"> </w:t>
      </w:r>
      <w:proofErr w:type="spellStart"/>
      <w:r w:rsidRPr="006E55EC">
        <w:rPr>
          <w:sz w:val="20"/>
          <w:szCs w:val="20"/>
        </w:rPr>
        <w:t>oxidase</w:t>
      </w:r>
      <w:proofErr w:type="spellEnd"/>
      <w:r w:rsidRPr="006E55EC">
        <w:rPr>
          <w:sz w:val="20"/>
          <w:szCs w:val="20"/>
        </w:rPr>
        <w:t>, and superoxide ion produc</w:t>
      </w:r>
      <w:r w:rsidR="006E7C63" w:rsidRPr="006E55EC">
        <w:rPr>
          <w:sz w:val="20"/>
          <w:szCs w:val="20"/>
        </w:rPr>
        <w:t>tion was monitored at 550nm (Edwards, et. al., 1987)</w:t>
      </w:r>
      <w:r w:rsidRPr="006E55EC">
        <w:rPr>
          <w:sz w:val="20"/>
          <w:szCs w:val="20"/>
        </w:rPr>
        <w:t xml:space="preserve">. In a series of separate experiments, </w:t>
      </w:r>
      <w:proofErr w:type="spellStart"/>
      <w:r w:rsidRPr="006E55EC">
        <w:rPr>
          <w:sz w:val="20"/>
          <w:szCs w:val="20"/>
        </w:rPr>
        <w:t>xanthine</w:t>
      </w:r>
      <w:proofErr w:type="spellEnd"/>
      <w:r w:rsidRPr="006E55EC">
        <w:rPr>
          <w:sz w:val="20"/>
          <w:szCs w:val="20"/>
        </w:rPr>
        <w:t xml:space="preserve"> </w:t>
      </w:r>
      <w:proofErr w:type="spellStart"/>
      <w:r w:rsidRPr="006E55EC">
        <w:rPr>
          <w:sz w:val="20"/>
          <w:szCs w:val="20"/>
        </w:rPr>
        <w:t>oxidase</w:t>
      </w:r>
      <w:proofErr w:type="spellEnd"/>
      <w:r w:rsidRPr="006E55EC">
        <w:rPr>
          <w:sz w:val="20"/>
          <w:szCs w:val="20"/>
        </w:rPr>
        <w:t xml:space="preserve"> activity was monitored as the production of uric acid at 284nm. Generation of superoxide ions was confirmed by the addition of 50U superoxide dismutase (SOD), which inhibited the reduction of </w:t>
      </w:r>
      <w:proofErr w:type="spellStart"/>
      <w:r w:rsidRPr="006E55EC">
        <w:rPr>
          <w:sz w:val="20"/>
          <w:szCs w:val="20"/>
        </w:rPr>
        <w:t>cytochrome</w:t>
      </w:r>
      <w:proofErr w:type="spellEnd"/>
      <w:r w:rsidRPr="006E55EC">
        <w:rPr>
          <w:sz w:val="20"/>
          <w:szCs w:val="20"/>
        </w:rPr>
        <w:t xml:space="preserve"> C without affecting </w:t>
      </w:r>
      <w:proofErr w:type="spellStart"/>
      <w:r w:rsidRPr="006E55EC">
        <w:rPr>
          <w:sz w:val="20"/>
          <w:szCs w:val="20"/>
        </w:rPr>
        <w:t>xanthine</w:t>
      </w:r>
      <w:proofErr w:type="spellEnd"/>
      <w:r w:rsidRPr="006E55EC">
        <w:rPr>
          <w:sz w:val="20"/>
          <w:szCs w:val="20"/>
        </w:rPr>
        <w:t xml:space="preserve"> </w:t>
      </w:r>
      <w:proofErr w:type="spellStart"/>
      <w:r w:rsidRPr="006E55EC">
        <w:rPr>
          <w:sz w:val="20"/>
          <w:szCs w:val="20"/>
        </w:rPr>
        <w:t>oxidase</w:t>
      </w:r>
      <w:proofErr w:type="spellEnd"/>
      <w:r w:rsidRPr="006E55EC">
        <w:rPr>
          <w:sz w:val="20"/>
          <w:szCs w:val="20"/>
        </w:rPr>
        <w:t xml:space="preserve"> activity. Extracts were added at 0 – 10% (v/v). Results for superoxide production are expressed as ΔA550nm/minute whilst, result for uric acid production are expressed as ∆ A284nm/minute.</w:t>
      </w:r>
    </w:p>
    <w:p w:rsidR="00D15E42" w:rsidRPr="006E55EC" w:rsidRDefault="00126D11" w:rsidP="00AB4189">
      <w:pPr>
        <w:pStyle w:val="NormalWeb"/>
        <w:snapToGrid w:val="0"/>
        <w:spacing w:before="0" w:after="0"/>
        <w:jc w:val="both"/>
        <w:rPr>
          <w:b/>
          <w:bCs/>
          <w:sz w:val="20"/>
          <w:szCs w:val="20"/>
          <w:lang w:val="en-GB"/>
        </w:rPr>
      </w:pPr>
      <w:r w:rsidRPr="006E55EC">
        <w:rPr>
          <w:b/>
          <w:bCs/>
          <w:sz w:val="20"/>
          <w:szCs w:val="20"/>
          <w:lang w:val="en-GB"/>
        </w:rPr>
        <w:t xml:space="preserve">2.6. </w:t>
      </w:r>
      <w:proofErr w:type="spellStart"/>
      <w:r w:rsidR="00D15E42" w:rsidRPr="006E55EC">
        <w:rPr>
          <w:b/>
          <w:bCs/>
          <w:sz w:val="20"/>
          <w:szCs w:val="20"/>
          <w:lang w:val="en-GB"/>
        </w:rPr>
        <w:t>Trolox</w:t>
      </w:r>
      <w:proofErr w:type="spellEnd"/>
      <w:r w:rsidR="00D15E42" w:rsidRPr="006E55EC">
        <w:rPr>
          <w:b/>
          <w:bCs/>
          <w:sz w:val="20"/>
          <w:szCs w:val="20"/>
          <w:lang w:val="en-GB"/>
        </w:rPr>
        <w:t xml:space="preserve"> Equivalent Antioxidant Capacity (TEAC) with Manganese dioxide</w:t>
      </w:r>
    </w:p>
    <w:p w:rsidR="00F636B3" w:rsidRPr="006E55EC" w:rsidRDefault="00D15E42" w:rsidP="00AB4189">
      <w:pPr>
        <w:suppressAutoHyphens w:val="0"/>
        <w:autoSpaceDE w:val="0"/>
        <w:autoSpaceDN w:val="0"/>
        <w:adjustRightInd w:val="0"/>
        <w:snapToGrid w:val="0"/>
        <w:ind w:firstLine="425"/>
        <w:jc w:val="both"/>
        <w:rPr>
          <w:rFonts w:eastAsiaTheme="minorEastAsia"/>
          <w:sz w:val="20"/>
          <w:szCs w:val="20"/>
          <w:lang w:val="en-US" w:eastAsia="zh-CN"/>
        </w:rPr>
      </w:pPr>
      <w:r w:rsidRPr="006E55EC">
        <w:rPr>
          <w:sz w:val="20"/>
          <w:szCs w:val="20"/>
          <w:lang w:val="en-US" w:eastAsia="en-US"/>
        </w:rPr>
        <w:t>The assay was performed as previously desc</w:t>
      </w:r>
      <w:r w:rsidR="006E7C63" w:rsidRPr="006E55EC">
        <w:rPr>
          <w:sz w:val="20"/>
          <w:szCs w:val="20"/>
          <w:lang w:val="en-US" w:eastAsia="en-US"/>
        </w:rPr>
        <w:t xml:space="preserve">ribed by </w:t>
      </w:r>
      <w:proofErr w:type="spellStart"/>
      <w:r w:rsidR="006E7C63" w:rsidRPr="006E55EC">
        <w:rPr>
          <w:sz w:val="20"/>
          <w:szCs w:val="20"/>
          <w:lang w:val="en-US" w:eastAsia="en-US"/>
        </w:rPr>
        <w:t>Schelesier</w:t>
      </w:r>
      <w:proofErr w:type="spellEnd"/>
      <w:r w:rsidR="006E7C63" w:rsidRPr="006E55EC">
        <w:rPr>
          <w:sz w:val="20"/>
          <w:szCs w:val="20"/>
          <w:lang w:val="en-US" w:eastAsia="en-US"/>
        </w:rPr>
        <w:t xml:space="preserve"> et al., (2002)</w:t>
      </w:r>
      <w:r w:rsidRPr="006E55EC">
        <w:rPr>
          <w:sz w:val="20"/>
          <w:szCs w:val="20"/>
          <w:lang w:val="en-US" w:eastAsia="en-US"/>
        </w:rPr>
        <w:t>.</w:t>
      </w:r>
      <w:r w:rsidRPr="006E55EC">
        <w:rPr>
          <w:sz w:val="20"/>
          <w:szCs w:val="20"/>
        </w:rPr>
        <w:t xml:space="preserve"> The ABTS radical </w:t>
      </w:r>
      <w:proofErr w:type="spellStart"/>
      <w:r w:rsidRPr="006E55EC">
        <w:rPr>
          <w:sz w:val="20"/>
          <w:szCs w:val="20"/>
        </w:rPr>
        <w:t>cation</w:t>
      </w:r>
      <w:proofErr w:type="spellEnd"/>
      <w:r w:rsidRPr="006E55EC">
        <w:rPr>
          <w:sz w:val="20"/>
          <w:szCs w:val="20"/>
        </w:rPr>
        <w:t xml:space="preserve"> was prepared by filtering a solution of ABTS (in PBS) through manganese dioxide powder. Excess manganese dioxide was removed from the filtrate by passing it through a 0.2µm syringe filter. This solution was diluted in 5mM PBS pH 7.4, adjusted to an absorbance of 0.700 ± 0.020 at 734mm and </w:t>
      </w:r>
      <w:proofErr w:type="spellStart"/>
      <w:r w:rsidRPr="006E55EC">
        <w:rPr>
          <w:sz w:val="20"/>
          <w:szCs w:val="20"/>
        </w:rPr>
        <w:t>preincubated</w:t>
      </w:r>
      <w:proofErr w:type="spellEnd"/>
      <w:r w:rsidRPr="006E55EC">
        <w:rPr>
          <w:sz w:val="20"/>
          <w:szCs w:val="20"/>
        </w:rPr>
        <w:t xml:space="preserve"> at room temperature prior to use for 2 hours. 1 ml of ABTS</w:t>
      </w:r>
      <w:r w:rsidRPr="006E55EC">
        <w:rPr>
          <w:sz w:val="20"/>
          <w:szCs w:val="20"/>
          <w:vertAlign w:val="superscript"/>
        </w:rPr>
        <w:t xml:space="preserve">●+ </w:t>
      </w:r>
      <w:r w:rsidRPr="006E55EC">
        <w:rPr>
          <w:sz w:val="20"/>
          <w:szCs w:val="20"/>
        </w:rPr>
        <w:t xml:space="preserve">solution and various concentrations of the extracts (diluted with water) were </w:t>
      </w:r>
      <w:proofErr w:type="spellStart"/>
      <w:r w:rsidRPr="006E55EC">
        <w:rPr>
          <w:sz w:val="20"/>
          <w:szCs w:val="20"/>
        </w:rPr>
        <w:t>vortexed</w:t>
      </w:r>
      <w:proofErr w:type="spellEnd"/>
      <w:r w:rsidRPr="006E55EC">
        <w:rPr>
          <w:sz w:val="20"/>
          <w:szCs w:val="20"/>
        </w:rPr>
        <w:t xml:space="preserve"> for 45 seconds in reaction tubes, and the absorbance (734nm) was taken exactly 2 minutes after initiation of mixing. PBS blanks were run in each assay. The antioxidant activity of the extracts was calculated by determining the decrease in absorbance at different concentrations by using the following equation:</w:t>
      </w:r>
    </w:p>
    <w:p w:rsidR="00D15E42" w:rsidRPr="006E55EC" w:rsidRDefault="005148AC" w:rsidP="00F636B3">
      <w:pPr>
        <w:pStyle w:val="NormalWeb"/>
        <w:snapToGrid w:val="0"/>
        <w:spacing w:before="0" w:after="0"/>
        <w:jc w:val="both"/>
        <w:rPr>
          <w:sz w:val="20"/>
          <w:szCs w:val="20"/>
          <w:lang w:val="en-GB"/>
        </w:rPr>
      </w:pPr>
      <w:r w:rsidRPr="006E55EC">
        <w:rPr>
          <w:sz w:val="20"/>
          <w:szCs w:val="20"/>
          <w:lang w:val="en-GB"/>
        </w:rPr>
        <w:t>% antioxidant activity = (A</w:t>
      </w:r>
      <w:r w:rsidR="00D15E42" w:rsidRPr="006E55EC">
        <w:rPr>
          <w:sz w:val="20"/>
          <w:szCs w:val="20"/>
          <w:lang w:val="en-GB"/>
        </w:rPr>
        <w:t xml:space="preserve"> </w:t>
      </w:r>
      <w:r w:rsidR="00D15E42" w:rsidRPr="006E55EC">
        <w:rPr>
          <w:sz w:val="20"/>
          <w:szCs w:val="20"/>
          <w:vertAlign w:val="subscript"/>
          <w:lang w:val="en-GB"/>
        </w:rPr>
        <w:t>(ABTS●+)</w:t>
      </w:r>
      <w:r w:rsidR="00D15E42" w:rsidRPr="006E55EC">
        <w:rPr>
          <w:sz w:val="20"/>
          <w:szCs w:val="20"/>
          <w:lang w:val="en-GB"/>
        </w:rPr>
        <w:t xml:space="preserve"> -</w:t>
      </w:r>
      <w:r w:rsidRPr="006E55EC">
        <w:rPr>
          <w:sz w:val="20"/>
          <w:szCs w:val="20"/>
          <w:lang w:val="en-GB"/>
        </w:rPr>
        <w:t>A</w:t>
      </w:r>
      <w:r w:rsidR="00D15E42" w:rsidRPr="006E55EC">
        <w:rPr>
          <w:sz w:val="20"/>
          <w:szCs w:val="20"/>
          <w:lang w:val="en-GB"/>
        </w:rPr>
        <w:t xml:space="preserve"> </w:t>
      </w:r>
      <w:r w:rsidR="00D15E42" w:rsidRPr="006E55EC">
        <w:rPr>
          <w:sz w:val="20"/>
          <w:szCs w:val="20"/>
          <w:vertAlign w:val="subscript"/>
          <w:lang w:val="en-GB"/>
        </w:rPr>
        <w:t>(Extracts)</w:t>
      </w:r>
      <w:r w:rsidR="00D15E42" w:rsidRPr="006E55EC">
        <w:rPr>
          <w:sz w:val="20"/>
          <w:szCs w:val="20"/>
          <w:lang w:val="en-GB"/>
        </w:rPr>
        <w:t>) / (</w:t>
      </w:r>
      <w:r w:rsidRPr="006E55EC">
        <w:rPr>
          <w:sz w:val="20"/>
          <w:szCs w:val="20"/>
          <w:lang w:val="en-GB"/>
        </w:rPr>
        <w:t>A</w:t>
      </w:r>
      <w:r w:rsidR="00D15E42" w:rsidRPr="006E55EC">
        <w:rPr>
          <w:sz w:val="20"/>
          <w:szCs w:val="20"/>
          <w:lang w:val="en-GB"/>
        </w:rPr>
        <w:t xml:space="preserve"> </w:t>
      </w:r>
      <w:r w:rsidR="00D15E42" w:rsidRPr="006E55EC">
        <w:rPr>
          <w:sz w:val="20"/>
          <w:szCs w:val="20"/>
          <w:vertAlign w:val="subscript"/>
          <w:lang w:val="en-GB"/>
        </w:rPr>
        <w:t>(ABTS●+)</w:t>
      </w:r>
      <w:r w:rsidR="00D15E42" w:rsidRPr="006E55EC">
        <w:rPr>
          <w:sz w:val="20"/>
          <w:szCs w:val="20"/>
          <w:lang w:val="en-GB"/>
        </w:rPr>
        <w:t>) X 100.</w:t>
      </w:r>
    </w:p>
    <w:p w:rsidR="00D15E42" w:rsidRPr="006E55EC" w:rsidRDefault="00D15E42" w:rsidP="00AB4189">
      <w:pPr>
        <w:pStyle w:val="NormalWeb"/>
        <w:snapToGrid w:val="0"/>
        <w:spacing w:before="0" w:after="0"/>
        <w:ind w:firstLine="425"/>
        <w:jc w:val="both"/>
        <w:rPr>
          <w:rFonts w:eastAsiaTheme="minorEastAsia"/>
          <w:sz w:val="20"/>
          <w:szCs w:val="20"/>
          <w:lang w:val="en-GB" w:eastAsia="zh-CN"/>
        </w:rPr>
      </w:pPr>
      <w:r w:rsidRPr="006E55EC">
        <w:rPr>
          <w:sz w:val="20"/>
          <w:szCs w:val="20"/>
          <w:lang w:val="en-GB"/>
        </w:rPr>
        <w:t xml:space="preserve">where </w:t>
      </w:r>
      <w:r w:rsidRPr="006E55EC">
        <w:rPr>
          <w:i/>
          <w:sz w:val="20"/>
          <w:szCs w:val="20"/>
          <w:lang w:val="en-GB"/>
        </w:rPr>
        <w:t>E</w:t>
      </w:r>
      <w:r w:rsidRPr="006E55EC">
        <w:rPr>
          <w:sz w:val="20"/>
          <w:szCs w:val="20"/>
          <w:lang w:val="en-GB"/>
        </w:rPr>
        <w:t xml:space="preserve"> is the extinction.</w:t>
      </w:r>
    </w:p>
    <w:p w:rsidR="00F636B3" w:rsidRPr="006E55EC" w:rsidRDefault="00F636B3" w:rsidP="00AB4189">
      <w:pPr>
        <w:pStyle w:val="NormalWeb"/>
        <w:snapToGrid w:val="0"/>
        <w:spacing w:before="0" w:after="0"/>
        <w:ind w:firstLine="425"/>
        <w:jc w:val="both"/>
        <w:rPr>
          <w:rFonts w:eastAsiaTheme="minorEastAsia"/>
          <w:sz w:val="20"/>
          <w:szCs w:val="20"/>
          <w:lang w:val="en-GB" w:eastAsia="zh-CN"/>
        </w:rPr>
      </w:pPr>
    </w:p>
    <w:p w:rsidR="00D15E42" w:rsidRPr="006E55EC" w:rsidRDefault="00126D11" w:rsidP="00AB4189">
      <w:pPr>
        <w:pStyle w:val="NormalWeb"/>
        <w:snapToGrid w:val="0"/>
        <w:spacing w:before="0" w:after="0"/>
        <w:jc w:val="both"/>
        <w:rPr>
          <w:b/>
          <w:bCs/>
          <w:sz w:val="20"/>
          <w:szCs w:val="20"/>
          <w:lang w:val="en-GB"/>
        </w:rPr>
      </w:pPr>
      <w:r w:rsidRPr="006E55EC">
        <w:rPr>
          <w:b/>
          <w:bCs/>
          <w:sz w:val="20"/>
          <w:szCs w:val="20"/>
          <w:lang w:val="en-GB"/>
        </w:rPr>
        <w:t xml:space="preserve">2.7. </w:t>
      </w:r>
      <w:proofErr w:type="spellStart"/>
      <w:r w:rsidR="00D15E42" w:rsidRPr="006E55EC">
        <w:rPr>
          <w:b/>
          <w:bCs/>
          <w:sz w:val="20"/>
          <w:szCs w:val="20"/>
          <w:lang w:val="en-GB"/>
        </w:rPr>
        <w:t>Trolox</w:t>
      </w:r>
      <w:proofErr w:type="spellEnd"/>
      <w:r w:rsidR="00D15E42" w:rsidRPr="006E55EC">
        <w:rPr>
          <w:b/>
          <w:bCs/>
          <w:sz w:val="20"/>
          <w:szCs w:val="20"/>
          <w:lang w:val="en-GB"/>
        </w:rPr>
        <w:t xml:space="preserve"> Equivalent Antioxidant Capacity with Potassium </w:t>
      </w:r>
      <w:proofErr w:type="spellStart"/>
      <w:r w:rsidR="00D15E42" w:rsidRPr="006E55EC">
        <w:rPr>
          <w:b/>
          <w:bCs/>
          <w:sz w:val="20"/>
          <w:szCs w:val="20"/>
          <w:lang w:val="en-GB"/>
        </w:rPr>
        <w:t>Persulfate</w:t>
      </w:r>
      <w:proofErr w:type="spellEnd"/>
    </w:p>
    <w:p w:rsidR="00F636B3" w:rsidRPr="006E55EC" w:rsidRDefault="00D15E42" w:rsidP="00AB4189">
      <w:pPr>
        <w:suppressAutoHyphens w:val="0"/>
        <w:autoSpaceDE w:val="0"/>
        <w:autoSpaceDN w:val="0"/>
        <w:adjustRightInd w:val="0"/>
        <w:snapToGrid w:val="0"/>
        <w:ind w:firstLine="425"/>
        <w:jc w:val="both"/>
        <w:rPr>
          <w:rFonts w:eastAsiaTheme="minorEastAsia"/>
          <w:sz w:val="20"/>
          <w:szCs w:val="20"/>
          <w:lang w:val="en-US" w:eastAsia="zh-CN"/>
        </w:rPr>
      </w:pPr>
      <w:r w:rsidRPr="006E55EC">
        <w:rPr>
          <w:sz w:val="20"/>
          <w:szCs w:val="20"/>
          <w:lang w:val="en-US" w:eastAsia="en-US"/>
        </w:rPr>
        <w:t xml:space="preserve">The assay was performed essentially as described by Re et </w:t>
      </w:r>
      <w:r w:rsidR="006E7C63" w:rsidRPr="006E55EC">
        <w:rPr>
          <w:sz w:val="20"/>
          <w:szCs w:val="20"/>
          <w:lang w:val="en-US" w:eastAsia="en-US"/>
        </w:rPr>
        <w:t>al., (1999)</w:t>
      </w:r>
      <w:r w:rsidRPr="006E55EC">
        <w:rPr>
          <w:sz w:val="20"/>
          <w:szCs w:val="20"/>
          <w:lang w:val="en-US" w:eastAsia="en-US"/>
        </w:rPr>
        <w:t>.</w:t>
      </w:r>
      <w:r w:rsidRPr="006E55EC">
        <w:rPr>
          <w:sz w:val="20"/>
          <w:szCs w:val="20"/>
        </w:rPr>
        <w:t xml:space="preserve"> ABTS radical </w:t>
      </w:r>
      <w:proofErr w:type="spellStart"/>
      <w:r w:rsidRPr="006E55EC">
        <w:rPr>
          <w:sz w:val="20"/>
          <w:szCs w:val="20"/>
        </w:rPr>
        <w:t>cation</w:t>
      </w:r>
      <w:proofErr w:type="spellEnd"/>
      <w:r w:rsidRPr="006E55EC">
        <w:rPr>
          <w:sz w:val="20"/>
          <w:szCs w:val="20"/>
        </w:rPr>
        <w:t xml:space="preserve"> was produced by reacting 7 </w:t>
      </w:r>
      <w:proofErr w:type="spellStart"/>
      <w:r w:rsidRPr="006E55EC">
        <w:rPr>
          <w:sz w:val="20"/>
          <w:szCs w:val="20"/>
        </w:rPr>
        <w:t>mM</w:t>
      </w:r>
      <w:proofErr w:type="spellEnd"/>
      <w:r w:rsidRPr="006E55EC">
        <w:rPr>
          <w:sz w:val="20"/>
          <w:szCs w:val="20"/>
        </w:rPr>
        <w:t xml:space="preserve"> ABTS stock solution with 2.45 </w:t>
      </w:r>
      <w:proofErr w:type="spellStart"/>
      <w:r w:rsidRPr="006E55EC">
        <w:rPr>
          <w:sz w:val="20"/>
          <w:szCs w:val="20"/>
        </w:rPr>
        <w:t>mM</w:t>
      </w:r>
      <w:proofErr w:type="spellEnd"/>
      <w:r w:rsidRPr="006E55EC">
        <w:rPr>
          <w:sz w:val="20"/>
          <w:szCs w:val="20"/>
        </w:rPr>
        <w:t xml:space="preserve"> potassium </w:t>
      </w:r>
      <w:proofErr w:type="spellStart"/>
      <w:r w:rsidRPr="006E55EC">
        <w:rPr>
          <w:sz w:val="20"/>
          <w:szCs w:val="20"/>
        </w:rPr>
        <w:t>persulphate</w:t>
      </w:r>
      <w:proofErr w:type="spellEnd"/>
      <w:r w:rsidRPr="006E55EC">
        <w:rPr>
          <w:sz w:val="20"/>
          <w:szCs w:val="20"/>
        </w:rPr>
        <w:t xml:space="preserve"> and allowing the </w:t>
      </w:r>
      <w:r w:rsidRPr="006E55EC">
        <w:rPr>
          <w:sz w:val="20"/>
          <w:szCs w:val="20"/>
        </w:rPr>
        <w:lastRenderedPageBreak/>
        <w:t>mixture to stand in the dark at room temperature for 12–24 h before use. The ABTS</w:t>
      </w:r>
      <w:r w:rsidRPr="006E55EC">
        <w:rPr>
          <w:sz w:val="20"/>
          <w:szCs w:val="20"/>
          <w:vertAlign w:val="superscript"/>
        </w:rPr>
        <w:t>●+</w:t>
      </w:r>
      <w:r w:rsidRPr="006E55EC">
        <w:rPr>
          <w:sz w:val="20"/>
          <w:szCs w:val="20"/>
        </w:rPr>
        <w:t xml:space="preserve"> solution was diluted with water for the hydrophilic assay and with ethanol for the </w:t>
      </w:r>
      <w:proofErr w:type="spellStart"/>
      <w:r w:rsidRPr="006E55EC">
        <w:rPr>
          <w:sz w:val="20"/>
          <w:szCs w:val="20"/>
        </w:rPr>
        <w:t>lipophilic</w:t>
      </w:r>
      <w:proofErr w:type="spellEnd"/>
      <w:r w:rsidRPr="006E55EC">
        <w:rPr>
          <w:sz w:val="20"/>
          <w:szCs w:val="20"/>
        </w:rPr>
        <w:t xml:space="preserve"> assay and adjusted to an absorbance of 0.700 ± 0.020 at 734nm. For the photometric assay, 1ml of the ABTS</w:t>
      </w:r>
      <w:r w:rsidRPr="006E55EC">
        <w:rPr>
          <w:sz w:val="20"/>
          <w:szCs w:val="20"/>
          <w:vertAlign w:val="superscript"/>
        </w:rPr>
        <w:t>●+</w:t>
      </w:r>
      <w:r w:rsidRPr="006E55EC">
        <w:rPr>
          <w:sz w:val="20"/>
          <w:szCs w:val="20"/>
        </w:rPr>
        <w:t xml:space="preserve"> solution and various concentrations of the extracts were mixed for 45 seconds and measured immediately after 1 minute at 734nm. The antioxidant activity of the extracts was calculated by determining the decrease in absorbance at different concentrations by using the following equation.</w:t>
      </w:r>
    </w:p>
    <w:p w:rsidR="00D15E42" w:rsidRPr="006E55EC" w:rsidRDefault="00D15E42" w:rsidP="00AB4189">
      <w:pPr>
        <w:pStyle w:val="NormalWeb"/>
        <w:snapToGrid w:val="0"/>
        <w:spacing w:before="0" w:after="0"/>
        <w:ind w:firstLine="425"/>
        <w:jc w:val="both"/>
        <w:rPr>
          <w:rFonts w:eastAsiaTheme="minorEastAsia"/>
          <w:sz w:val="20"/>
          <w:szCs w:val="20"/>
          <w:lang w:val="en-GB" w:eastAsia="zh-CN"/>
        </w:rPr>
      </w:pPr>
      <w:r w:rsidRPr="006E55EC">
        <w:rPr>
          <w:sz w:val="20"/>
          <w:szCs w:val="20"/>
          <w:lang w:val="en-GB"/>
        </w:rPr>
        <w:t>% antioxidant activity = ((</w:t>
      </w:r>
      <w:r w:rsidR="005148AC" w:rsidRPr="006E55EC">
        <w:rPr>
          <w:sz w:val="20"/>
          <w:szCs w:val="20"/>
          <w:lang w:val="en-GB"/>
        </w:rPr>
        <w:t>A</w:t>
      </w:r>
      <w:r w:rsidRPr="006E55EC">
        <w:rPr>
          <w:sz w:val="20"/>
          <w:szCs w:val="20"/>
          <w:lang w:val="en-GB"/>
        </w:rPr>
        <w:t xml:space="preserve"> </w:t>
      </w:r>
      <w:r w:rsidRPr="006E55EC">
        <w:rPr>
          <w:sz w:val="20"/>
          <w:szCs w:val="20"/>
          <w:vertAlign w:val="subscript"/>
          <w:lang w:val="en-GB"/>
        </w:rPr>
        <w:t>(ABTS●+)</w:t>
      </w:r>
      <w:r w:rsidRPr="006E55EC">
        <w:rPr>
          <w:sz w:val="20"/>
          <w:szCs w:val="20"/>
          <w:lang w:val="en-GB"/>
        </w:rPr>
        <w:t xml:space="preserve"> -</w:t>
      </w:r>
      <w:r w:rsidR="005148AC" w:rsidRPr="006E55EC">
        <w:rPr>
          <w:sz w:val="20"/>
          <w:szCs w:val="20"/>
          <w:lang w:val="en-GB"/>
        </w:rPr>
        <w:t>A</w:t>
      </w:r>
      <w:r w:rsidRPr="006E55EC">
        <w:rPr>
          <w:sz w:val="20"/>
          <w:szCs w:val="20"/>
          <w:lang w:val="en-GB"/>
        </w:rPr>
        <w:t xml:space="preserve"> </w:t>
      </w:r>
      <w:r w:rsidRPr="006E55EC">
        <w:rPr>
          <w:sz w:val="20"/>
          <w:szCs w:val="20"/>
          <w:vertAlign w:val="subscript"/>
          <w:lang w:val="en-GB"/>
        </w:rPr>
        <w:t>(Extracts)</w:t>
      </w:r>
      <w:r w:rsidRPr="006E55EC">
        <w:rPr>
          <w:sz w:val="20"/>
          <w:szCs w:val="20"/>
          <w:lang w:val="en-GB"/>
        </w:rPr>
        <w:t>) / (</w:t>
      </w:r>
      <w:r w:rsidR="005148AC" w:rsidRPr="006E55EC">
        <w:rPr>
          <w:sz w:val="20"/>
          <w:szCs w:val="20"/>
          <w:lang w:val="en-GB"/>
        </w:rPr>
        <w:t>A</w:t>
      </w:r>
      <w:bookmarkStart w:id="0" w:name="_GoBack"/>
      <w:bookmarkEnd w:id="0"/>
      <w:r w:rsidRPr="006E55EC">
        <w:rPr>
          <w:sz w:val="20"/>
          <w:szCs w:val="20"/>
          <w:lang w:val="en-GB"/>
        </w:rPr>
        <w:t xml:space="preserve"> </w:t>
      </w:r>
      <w:r w:rsidRPr="006E55EC">
        <w:rPr>
          <w:sz w:val="20"/>
          <w:szCs w:val="20"/>
          <w:vertAlign w:val="subscript"/>
          <w:lang w:val="en-GB"/>
        </w:rPr>
        <w:t>(ABTS●+)</w:t>
      </w:r>
      <w:r w:rsidRPr="006E55EC">
        <w:rPr>
          <w:sz w:val="20"/>
          <w:szCs w:val="20"/>
          <w:lang w:val="en-GB"/>
        </w:rPr>
        <w:t>) X 100.</w:t>
      </w:r>
    </w:p>
    <w:p w:rsidR="00F636B3" w:rsidRPr="006E55EC" w:rsidRDefault="00F636B3" w:rsidP="00AB4189">
      <w:pPr>
        <w:pStyle w:val="NormalWeb"/>
        <w:snapToGrid w:val="0"/>
        <w:spacing w:before="0" w:after="0"/>
        <w:ind w:firstLine="425"/>
        <w:jc w:val="both"/>
        <w:rPr>
          <w:rFonts w:eastAsiaTheme="minorEastAsia"/>
          <w:sz w:val="20"/>
          <w:szCs w:val="20"/>
          <w:lang w:val="en-GB" w:eastAsia="zh-CN"/>
        </w:rPr>
      </w:pPr>
    </w:p>
    <w:p w:rsidR="00795C8D" w:rsidRPr="006E55EC" w:rsidRDefault="00126D11" w:rsidP="00AB4189">
      <w:pPr>
        <w:autoSpaceDE w:val="0"/>
        <w:autoSpaceDN w:val="0"/>
        <w:adjustRightInd w:val="0"/>
        <w:snapToGrid w:val="0"/>
        <w:jc w:val="both"/>
        <w:rPr>
          <w:b/>
          <w:color w:val="000000" w:themeColor="text1"/>
          <w:sz w:val="20"/>
          <w:szCs w:val="20"/>
        </w:rPr>
      </w:pPr>
      <w:r w:rsidRPr="006E55EC">
        <w:rPr>
          <w:b/>
          <w:color w:val="000000" w:themeColor="text1"/>
          <w:sz w:val="20"/>
          <w:szCs w:val="20"/>
        </w:rPr>
        <w:t xml:space="preserve">2.8. </w:t>
      </w:r>
      <w:r w:rsidR="00795C8D" w:rsidRPr="006E55EC">
        <w:rPr>
          <w:b/>
          <w:color w:val="000000" w:themeColor="text1"/>
          <w:sz w:val="20"/>
          <w:szCs w:val="20"/>
        </w:rPr>
        <w:t>DPPH (2,2-Diphenyl-1-picrylhydrazyl) radical scavenging Activity</w:t>
      </w:r>
    </w:p>
    <w:p w:rsidR="00F636B3" w:rsidRPr="006E55EC" w:rsidRDefault="00795C8D" w:rsidP="00AB4189">
      <w:pPr>
        <w:autoSpaceDE w:val="0"/>
        <w:autoSpaceDN w:val="0"/>
        <w:adjustRightInd w:val="0"/>
        <w:snapToGrid w:val="0"/>
        <w:ind w:firstLine="425"/>
        <w:jc w:val="both"/>
        <w:rPr>
          <w:rFonts w:eastAsiaTheme="minorEastAsia"/>
          <w:i/>
          <w:iCs/>
          <w:color w:val="000000" w:themeColor="text1"/>
          <w:sz w:val="20"/>
          <w:szCs w:val="20"/>
          <w:lang w:eastAsia="zh-CN"/>
        </w:rPr>
      </w:pPr>
      <w:r w:rsidRPr="006E55EC">
        <w:rPr>
          <w:color w:val="000000" w:themeColor="text1"/>
          <w:sz w:val="20"/>
          <w:szCs w:val="20"/>
        </w:rPr>
        <w:t xml:space="preserve">The assay was performed as previously described by </w:t>
      </w:r>
      <w:proofErr w:type="spellStart"/>
      <w:r w:rsidRPr="006E55EC">
        <w:rPr>
          <w:color w:val="000000" w:themeColor="text1"/>
          <w:sz w:val="20"/>
          <w:szCs w:val="20"/>
        </w:rPr>
        <w:t>Schelesier</w:t>
      </w:r>
      <w:proofErr w:type="spellEnd"/>
      <w:r w:rsidRPr="006E55EC">
        <w:rPr>
          <w:color w:val="000000" w:themeColor="text1"/>
          <w:sz w:val="20"/>
          <w:szCs w:val="20"/>
        </w:rPr>
        <w:t xml:space="preserve"> et al., (2002). The radical solution is prepared by dissolving 2.4 mg DPPH</w:t>
      </w:r>
      <w:r w:rsidRPr="006E55EC">
        <w:rPr>
          <w:color w:val="000000" w:themeColor="text1"/>
          <w:sz w:val="20"/>
          <w:szCs w:val="20"/>
          <w:vertAlign w:val="superscript"/>
        </w:rPr>
        <w:t>•</w:t>
      </w:r>
      <w:r w:rsidRPr="006E55EC">
        <w:rPr>
          <w:color w:val="000000" w:themeColor="text1"/>
          <w:sz w:val="20"/>
          <w:szCs w:val="20"/>
        </w:rPr>
        <w:t xml:space="preserve"> in 100 ml methanol. For the photometric assay 1.95 ml DPPH</w:t>
      </w:r>
      <w:r w:rsidRPr="006E55EC">
        <w:rPr>
          <w:color w:val="000000" w:themeColor="text1"/>
          <w:sz w:val="20"/>
          <w:szCs w:val="20"/>
          <w:vertAlign w:val="superscript"/>
        </w:rPr>
        <w:t>•</w:t>
      </w:r>
      <w:r w:rsidRPr="006E55EC">
        <w:rPr>
          <w:color w:val="000000" w:themeColor="text1"/>
          <w:sz w:val="20"/>
          <w:szCs w:val="20"/>
        </w:rPr>
        <w:t xml:space="preserve"> solution and 50 µl antioxidant solution were mixed. At first, the absorbance of the disposable </w:t>
      </w:r>
      <w:proofErr w:type="spellStart"/>
      <w:r w:rsidRPr="006E55EC">
        <w:rPr>
          <w:color w:val="000000" w:themeColor="text1"/>
          <w:sz w:val="20"/>
          <w:szCs w:val="20"/>
        </w:rPr>
        <w:t>cuvette</w:t>
      </w:r>
      <w:proofErr w:type="spellEnd"/>
      <w:r w:rsidRPr="006E55EC">
        <w:rPr>
          <w:color w:val="000000" w:themeColor="text1"/>
          <w:sz w:val="20"/>
          <w:szCs w:val="20"/>
        </w:rPr>
        <w:t xml:space="preserve"> with 1.95 ml DPPH</w:t>
      </w:r>
      <w:r w:rsidRPr="006E55EC">
        <w:rPr>
          <w:color w:val="000000" w:themeColor="text1"/>
          <w:sz w:val="20"/>
          <w:szCs w:val="20"/>
          <w:vertAlign w:val="superscript"/>
        </w:rPr>
        <w:t>•</w:t>
      </w:r>
      <w:r w:rsidRPr="006E55EC">
        <w:rPr>
          <w:color w:val="000000" w:themeColor="text1"/>
          <w:sz w:val="20"/>
          <w:szCs w:val="20"/>
        </w:rPr>
        <w:t xml:space="preserve"> was measured as blank, then the antioxidant solution was added and mixed. The reaction was measured at 5 min interval at 515 nm until ΔA=0.003 min</w:t>
      </w:r>
      <w:r w:rsidRPr="006E55EC">
        <w:rPr>
          <w:color w:val="000000" w:themeColor="text1"/>
          <w:sz w:val="20"/>
          <w:szCs w:val="20"/>
          <w:vertAlign w:val="superscript"/>
        </w:rPr>
        <w:t>-1</w:t>
      </w:r>
      <w:r w:rsidRPr="006E55EC">
        <w:rPr>
          <w:color w:val="000000" w:themeColor="text1"/>
          <w:sz w:val="20"/>
          <w:szCs w:val="20"/>
        </w:rPr>
        <w:t>. The anti-oxidative activity was calculated by determining the decrease in absorbance at different concentrations by using the following equation:</w:t>
      </w:r>
    </w:p>
    <w:p w:rsidR="00795C8D" w:rsidRPr="006E55EC" w:rsidRDefault="00795C8D" w:rsidP="00AB4189">
      <w:pPr>
        <w:autoSpaceDE w:val="0"/>
        <w:autoSpaceDN w:val="0"/>
        <w:adjustRightInd w:val="0"/>
        <w:snapToGrid w:val="0"/>
        <w:ind w:firstLine="425"/>
        <w:jc w:val="both"/>
        <w:rPr>
          <w:rFonts w:eastAsiaTheme="minorEastAsia"/>
          <w:color w:val="000000" w:themeColor="text1"/>
          <w:sz w:val="20"/>
          <w:szCs w:val="20"/>
          <w:lang w:eastAsia="zh-CN"/>
        </w:rPr>
      </w:pPr>
      <w:r w:rsidRPr="006E55EC">
        <w:rPr>
          <w:color w:val="000000" w:themeColor="text1"/>
          <w:sz w:val="20"/>
          <w:szCs w:val="20"/>
        </w:rPr>
        <w:t>%Inhibition activity =</w:t>
      </w:r>
      <w:r w:rsidR="006E55EC">
        <w:rPr>
          <w:color w:val="000000" w:themeColor="text1"/>
          <w:sz w:val="20"/>
          <w:szCs w:val="20"/>
        </w:rPr>
        <w:t xml:space="preserve"> </w:t>
      </w:r>
      <w:r w:rsidRPr="006E55EC">
        <w:rPr>
          <w:color w:val="000000" w:themeColor="text1"/>
          <w:sz w:val="20"/>
          <w:szCs w:val="20"/>
        </w:rPr>
        <w:t xml:space="preserve">((A </w:t>
      </w:r>
      <w:r w:rsidRPr="006E55EC">
        <w:rPr>
          <w:color w:val="000000" w:themeColor="text1"/>
          <w:sz w:val="20"/>
          <w:szCs w:val="20"/>
          <w:vertAlign w:val="subscript"/>
        </w:rPr>
        <w:t>(DPPH</w:t>
      </w:r>
      <w:r w:rsidRPr="006E55EC">
        <w:rPr>
          <w:color w:val="000000" w:themeColor="text1"/>
          <w:sz w:val="20"/>
          <w:szCs w:val="20"/>
          <w:vertAlign w:val="superscript"/>
        </w:rPr>
        <w:t>●</w:t>
      </w:r>
      <w:r w:rsidRPr="006E55EC">
        <w:rPr>
          <w:color w:val="000000" w:themeColor="text1"/>
          <w:sz w:val="20"/>
          <w:szCs w:val="20"/>
          <w:vertAlign w:val="subscript"/>
        </w:rPr>
        <w:t>)</w:t>
      </w:r>
      <w:r w:rsidRPr="006E55EC">
        <w:rPr>
          <w:color w:val="000000" w:themeColor="text1"/>
          <w:sz w:val="20"/>
          <w:szCs w:val="20"/>
        </w:rPr>
        <w:t xml:space="preserve"> –A </w:t>
      </w:r>
      <w:r w:rsidRPr="006E55EC">
        <w:rPr>
          <w:color w:val="000000" w:themeColor="text1"/>
          <w:sz w:val="20"/>
          <w:szCs w:val="20"/>
          <w:vertAlign w:val="subscript"/>
        </w:rPr>
        <w:t>(Extracts)</w:t>
      </w:r>
      <w:r w:rsidRPr="006E55EC">
        <w:rPr>
          <w:color w:val="000000" w:themeColor="text1"/>
          <w:sz w:val="20"/>
          <w:szCs w:val="20"/>
        </w:rPr>
        <w:t xml:space="preserve">) / (A </w:t>
      </w:r>
      <w:r w:rsidRPr="006E55EC">
        <w:rPr>
          <w:color w:val="000000" w:themeColor="text1"/>
          <w:sz w:val="20"/>
          <w:szCs w:val="20"/>
          <w:vertAlign w:val="subscript"/>
        </w:rPr>
        <w:t>(DPPH</w:t>
      </w:r>
      <w:r w:rsidRPr="006E55EC">
        <w:rPr>
          <w:color w:val="000000" w:themeColor="text1"/>
          <w:sz w:val="20"/>
          <w:szCs w:val="20"/>
          <w:vertAlign w:val="superscript"/>
        </w:rPr>
        <w:t>●</w:t>
      </w:r>
      <w:r w:rsidRPr="006E55EC">
        <w:rPr>
          <w:color w:val="000000" w:themeColor="text1"/>
          <w:sz w:val="20"/>
          <w:szCs w:val="20"/>
          <w:vertAlign w:val="subscript"/>
        </w:rPr>
        <w:t>)</w:t>
      </w:r>
      <w:r w:rsidRPr="006E55EC">
        <w:rPr>
          <w:color w:val="000000" w:themeColor="text1"/>
          <w:sz w:val="20"/>
          <w:szCs w:val="20"/>
        </w:rPr>
        <w:t>) X 100</w:t>
      </w:r>
    </w:p>
    <w:p w:rsidR="00F636B3" w:rsidRPr="006E55EC" w:rsidRDefault="00F636B3" w:rsidP="00AB4189">
      <w:pPr>
        <w:autoSpaceDE w:val="0"/>
        <w:autoSpaceDN w:val="0"/>
        <w:adjustRightInd w:val="0"/>
        <w:snapToGrid w:val="0"/>
        <w:ind w:firstLine="425"/>
        <w:jc w:val="both"/>
        <w:rPr>
          <w:rFonts w:eastAsiaTheme="minorEastAsia"/>
          <w:color w:val="000000" w:themeColor="text1"/>
          <w:sz w:val="20"/>
          <w:szCs w:val="20"/>
          <w:lang w:eastAsia="zh-CN"/>
        </w:rPr>
      </w:pPr>
    </w:p>
    <w:p w:rsidR="00D15E42" w:rsidRPr="006E55EC" w:rsidRDefault="00126D11" w:rsidP="00AB4189">
      <w:pPr>
        <w:pStyle w:val="NormalWeb"/>
        <w:snapToGrid w:val="0"/>
        <w:spacing w:before="0" w:after="0"/>
        <w:jc w:val="both"/>
        <w:rPr>
          <w:b/>
          <w:bCs/>
          <w:sz w:val="20"/>
          <w:szCs w:val="20"/>
          <w:lang w:val="en-GB"/>
        </w:rPr>
      </w:pPr>
      <w:r w:rsidRPr="006E55EC">
        <w:rPr>
          <w:b/>
          <w:bCs/>
          <w:sz w:val="20"/>
          <w:szCs w:val="20"/>
          <w:lang w:val="en-GB"/>
        </w:rPr>
        <w:t xml:space="preserve">2.9. </w:t>
      </w:r>
      <w:r w:rsidR="00D15E42" w:rsidRPr="006E55EC">
        <w:rPr>
          <w:b/>
          <w:bCs/>
          <w:sz w:val="20"/>
          <w:szCs w:val="20"/>
          <w:lang w:val="en-GB"/>
        </w:rPr>
        <w:t xml:space="preserve">Determination of Total </w:t>
      </w:r>
      <w:proofErr w:type="spellStart"/>
      <w:r w:rsidR="00D15E42" w:rsidRPr="006E55EC">
        <w:rPr>
          <w:b/>
          <w:bCs/>
          <w:sz w:val="20"/>
          <w:szCs w:val="20"/>
          <w:lang w:val="en-GB"/>
        </w:rPr>
        <w:t>Phenolic</w:t>
      </w:r>
      <w:proofErr w:type="spellEnd"/>
      <w:r w:rsidR="00D15E42" w:rsidRPr="006E55EC">
        <w:rPr>
          <w:b/>
          <w:bCs/>
          <w:sz w:val="20"/>
          <w:szCs w:val="20"/>
          <w:lang w:val="en-GB"/>
        </w:rPr>
        <w:t xml:space="preserve"> Compounds in HAE</w:t>
      </w:r>
    </w:p>
    <w:p w:rsidR="00D15E42" w:rsidRPr="006E55EC" w:rsidRDefault="00D15E42" w:rsidP="00AB4189">
      <w:pPr>
        <w:suppressAutoHyphens w:val="0"/>
        <w:autoSpaceDE w:val="0"/>
        <w:autoSpaceDN w:val="0"/>
        <w:adjustRightInd w:val="0"/>
        <w:snapToGrid w:val="0"/>
        <w:ind w:firstLine="425"/>
        <w:jc w:val="both"/>
        <w:rPr>
          <w:rFonts w:eastAsiaTheme="minorEastAsia"/>
          <w:sz w:val="20"/>
          <w:szCs w:val="20"/>
          <w:lang w:eastAsia="zh-CN"/>
        </w:rPr>
      </w:pPr>
      <w:r w:rsidRPr="006E55EC">
        <w:rPr>
          <w:sz w:val="20"/>
          <w:szCs w:val="20"/>
        </w:rPr>
        <w:t xml:space="preserve">The content of total </w:t>
      </w:r>
      <w:proofErr w:type="spellStart"/>
      <w:r w:rsidRPr="006E55EC">
        <w:rPr>
          <w:sz w:val="20"/>
          <w:szCs w:val="20"/>
        </w:rPr>
        <w:t>phenolic</w:t>
      </w:r>
      <w:proofErr w:type="spellEnd"/>
      <w:r w:rsidRPr="006E55EC">
        <w:rPr>
          <w:sz w:val="20"/>
          <w:szCs w:val="20"/>
        </w:rPr>
        <w:t xml:space="preserve"> compounds in </w:t>
      </w:r>
      <w:smartTag w:uri="urn:schemas-microsoft-com:office:smarttags" w:element="stockticker">
        <w:r w:rsidRPr="006E55EC">
          <w:rPr>
            <w:sz w:val="20"/>
            <w:szCs w:val="20"/>
          </w:rPr>
          <w:t>HAE</w:t>
        </w:r>
      </w:smartTag>
      <w:r w:rsidRPr="006E55EC">
        <w:rPr>
          <w:sz w:val="20"/>
          <w:szCs w:val="20"/>
        </w:rPr>
        <w:t xml:space="preserve"> was determined by </w:t>
      </w:r>
      <w:proofErr w:type="spellStart"/>
      <w:r w:rsidRPr="006E55EC">
        <w:rPr>
          <w:sz w:val="20"/>
          <w:szCs w:val="20"/>
        </w:rPr>
        <w:t>Folin</w:t>
      </w:r>
      <w:proofErr w:type="spellEnd"/>
      <w:r w:rsidRPr="006E55EC">
        <w:rPr>
          <w:sz w:val="20"/>
          <w:szCs w:val="20"/>
        </w:rPr>
        <w:t>–</w:t>
      </w:r>
      <w:proofErr w:type="spellStart"/>
      <w:r w:rsidRPr="006E55EC">
        <w:rPr>
          <w:sz w:val="20"/>
          <w:szCs w:val="20"/>
        </w:rPr>
        <w:t>Ciocalteu</w:t>
      </w:r>
      <w:proofErr w:type="spellEnd"/>
      <w:r w:rsidRPr="006E55EC">
        <w:rPr>
          <w:sz w:val="20"/>
          <w:szCs w:val="20"/>
        </w:rPr>
        <w:t xml:space="preserve"> method as desc</w:t>
      </w:r>
      <w:r w:rsidR="006E7C63" w:rsidRPr="006E55EC">
        <w:rPr>
          <w:sz w:val="20"/>
          <w:szCs w:val="20"/>
        </w:rPr>
        <w:t xml:space="preserve">ribed by </w:t>
      </w:r>
      <w:proofErr w:type="spellStart"/>
      <w:r w:rsidR="006E7C63" w:rsidRPr="006E55EC">
        <w:rPr>
          <w:sz w:val="20"/>
          <w:szCs w:val="20"/>
        </w:rPr>
        <w:t>Miliauskas</w:t>
      </w:r>
      <w:proofErr w:type="spellEnd"/>
      <w:r w:rsidR="006E7C63" w:rsidRPr="006E55EC">
        <w:rPr>
          <w:sz w:val="20"/>
          <w:szCs w:val="20"/>
        </w:rPr>
        <w:t xml:space="preserve"> et al., (2004)</w:t>
      </w:r>
      <w:r w:rsidRPr="006E55EC">
        <w:rPr>
          <w:sz w:val="20"/>
          <w:szCs w:val="20"/>
        </w:rPr>
        <w:t xml:space="preserve">. Briefly, l ml aliquots of 0.024, 0.075, 0.0105 and 0.3 mg/ml </w:t>
      </w:r>
      <w:proofErr w:type="spellStart"/>
      <w:r w:rsidRPr="006E55EC">
        <w:rPr>
          <w:sz w:val="20"/>
          <w:szCs w:val="20"/>
        </w:rPr>
        <w:t>ethanolic</w:t>
      </w:r>
      <w:proofErr w:type="spellEnd"/>
      <w:r w:rsidRPr="006E55EC">
        <w:rPr>
          <w:sz w:val="20"/>
          <w:szCs w:val="20"/>
        </w:rPr>
        <w:t xml:space="preserve"> </w:t>
      </w:r>
      <w:proofErr w:type="spellStart"/>
      <w:r w:rsidRPr="006E55EC">
        <w:rPr>
          <w:sz w:val="20"/>
          <w:szCs w:val="20"/>
        </w:rPr>
        <w:t>gallic</w:t>
      </w:r>
      <w:proofErr w:type="spellEnd"/>
      <w:r w:rsidRPr="006E55EC">
        <w:rPr>
          <w:sz w:val="20"/>
          <w:szCs w:val="20"/>
        </w:rPr>
        <w:t xml:space="preserve"> acid solutions were mixed with 5ml </w:t>
      </w:r>
      <w:proofErr w:type="spellStart"/>
      <w:r w:rsidRPr="006E55EC">
        <w:rPr>
          <w:sz w:val="20"/>
          <w:szCs w:val="20"/>
        </w:rPr>
        <w:t>Folin-ciocalteu</w:t>
      </w:r>
      <w:proofErr w:type="spellEnd"/>
      <w:r w:rsidRPr="006E55EC">
        <w:rPr>
          <w:sz w:val="20"/>
          <w:szCs w:val="20"/>
        </w:rPr>
        <w:t xml:space="preserve"> reagent (diluted ten-fold) and 4ml (75g/L) sodium carbonate. The absorption was read after 30 min at 20</w:t>
      </w:r>
      <w:r w:rsidRPr="006E55EC">
        <w:rPr>
          <w:sz w:val="20"/>
          <w:szCs w:val="20"/>
          <w:vertAlign w:val="superscript"/>
        </w:rPr>
        <w:t>0</w:t>
      </w:r>
      <w:r w:rsidRPr="006E55EC">
        <w:rPr>
          <w:sz w:val="20"/>
          <w:szCs w:val="20"/>
        </w:rPr>
        <w:t xml:space="preserve">C at 765 nm and the calibration curve was drawn. One ml of HAE (1mg/ml) was mixed with the same reagents as described above, and after l h the absorption was measured for the determination of plant </w:t>
      </w:r>
      <w:proofErr w:type="spellStart"/>
      <w:r w:rsidRPr="006E55EC">
        <w:rPr>
          <w:sz w:val="20"/>
          <w:szCs w:val="20"/>
        </w:rPr>
        <w:t>phenolics</w:t>
      </w:r>
      <w:proofErr w:type="spellEnd"/>
      <w:r w:rsidRPr="006E55EC">
        <w:rPr>
          <w:sz w:val="20"/>
          <w:szCs w:val="20"/>
        </w:rPr>
        <w:t xml:space="preserve">. All determinations were performed in triplicate. Total content of </w:t>
      </w:r>
      <w:proofErr w:type="spellStart"/>
      <w:r w:rsidRPr="006E55EC">
        <w:rPr>
          <w:sz w:val="20"/>
          <w:szCs w:val="20"/>
        </w:rPr>
        <w:t>phenolic</w:t>
      </w:r>
      <w:proofErr w:type="spellEnd"/>
      <w:r w:rsidRPr="006E55EC">
        <w:rPr>
          <w:sz w:val="20"/>
          <w:szCs w:val="20"/>
        </w:rPr>
        <w:t xml:space="preserve"> compounds in plant methanol extracts in </w:t>
      </w:r>
      <w:proofErr w:type="spellStart"/>
      <w:r w:rsidRPr="006E55EC">
        <w:rPr>
          <w:sz w:val="20"/>
          <w:szCs w:val="20"/>
        </w:rPr>
        <w:t>gallic</w:t>
      </w:r>
      <w:proofErr w:type="spellEnd"/>
      <w:r w:rsidRPr="006E55EC">
        <w:rPr>
          <w:sz w:val="20"/>
          <w:szCs w:val="20"/>
        </w:rPr>
        <w:t xml:space="preserve"> acid equivalents (GAE) was calculated by the following formula:</w:t>
      </w:r>
    </w:p>
    <w:p w:rsidR="00D15E42" w:rsidRPr="006E55EC" w:rsidRDefault="00D15E42" w:rsidP="00AB4189">
      <w:pPr>
        <w:pStyle w:val="NormalWeb"/>
        <w:snapToGrid w:val="0"/>
        <w:spacing w:before="0" w:after="0"/>
        <w:ind w:firstLine="425"/>
        <w:jc w:val="both"/>
        <w:rPr>
          <w:rFonts w:eastAsiaTheme="minorEastAsia"/>
          <w:sz w:val="20"/>
          <w:szCs w:val="20"/>
          <w:lang w:val="en-GB" w:eastAsia="zh-CN"/>
        </w:rPr>
      </w:pPr>
      <w:r w:rsidRPr="006E55EC">
        <w:rPr>
          <w:sz w:val="20"/>
          <w:szCs w:val="20"/>
          <w:lang w:val="en-GB"/>
        </w:rPr>
        <w:t>C = c • V/m΄</w:t>
      </w:r>
    </w:p>
    <w:p w:rsidR="00F636B3" w:rsidRPr="006E55EC" w:rsidRDefault="00F636B3" w:rsidP="00AB4189">
      <w:pPr>
        <w:pStyle w:val="NormalWeb"/>
        <w:snapToGrid w:val="0"/>
        <w:spacing w:before="0" w:after="0"/>
        <w:ind w:firstLine="425"/>
        <w:jc w:val="both"/>
        <w:rPr>
          <w:rFonts w:eastAsiaTheme="minorEastAsia"/>
          <w:sz w:val="20"/>
          <w:szCs w:val="20"/>
          <w:lang w:val="en-GB" w:eastAsia="zh-CN"/>
        </w:rPr>
      </w:pPr>
    </w:p>
    <w:p w:rsidR="00D15E42" w:rsidRPr="006E55EC" w:rsidRDefault="00D15E42" w:rsidP="00AB4189">
      <w:pPr>
        <w:pStyle w:val="NormalWeb"/>
        <w:snapToGrid w:val="0"/>
        <w:spacing w:before="0" w:after="0"/>
        <w:ind w:firstLine="425"/>
        <w:jc w:val="both"/>
        <w:rPr>
          <w:sz w:val="20"/>
          <w:szCs w:val="20"/>
          <w:lang w:val="en-GB"/>
        </w:rPr>
      </w:pPr>
      <w:r w:rsidRPr="006E55EC">
        <w:rPr>
          <w:sz w:val="20"/>
          <w:szCs w:val="20"/>
          <w:lang w:val="en-GB"/>
        </w:rPr>
        <w:t xml:space="preserve">Where: C-total content of </w:t>
      </w:r>
      <w:proofErr w:type="spellStart"/>
      <w:r w:rsidRPr="006E55EC">
        <w:rPr>
          <w:sz w:val="20"/>
          <w:szCs w:val="20"/>
          <w:lang w:val="en-GB"/>
        </w:rPr>
        <w:t>phenolic</w:t>
      </w:r>
      <w:proofErr w:type="spellEnd"/>
      <w:r w:rsidRPr="006E55EC">
        <w:rPr>
          <w:sz w:val="20"/>
          <w:szCs w:val="20"/>
          <w:lang w:val="en-GB"/>
        </w:rPr>
        <w:t xml:space="preserve"> compounds, mg/g plant extract, in GAE; c-the concentration of </w:t>
      </w:r>
      <w:proofErr w:type="spellStart"/>
      <w:r w:rsidRPr="006E55EC">
        <w:rPr>
          <w:sz w:val="20"/>
          <w:szCs w:val="20"/>
          <w:lang w:val="en-GB"/>
        </w:rPr>
        <w:t>gallic</w:t>
      </w:r>
      <w:proofErr w:type="spellEnd"/>
      <w:r w:rsidRPr="006E55EC">
        <w:rPr>
          <w:sz w:val="20"/>
          <w:szCs w:val="20"/>
          <w:lang w:val="en-GB"/>
        </w:rPr>
        <w:t xml:space="preserve"> acid established from the calibration curve, </w:t>
      </w:r>
      <w:r w:rsidRPr="006E55EC">
        <w:rPr>
          <w:sz w:val="20"/>
          <w:szCs w:val="20"/>
          <w:lang w:val="en-GB"/>
        </w:rPr>
        <w:lastRenderedPageBreak/>
        <w:t xml:space="preserve">mg/ml; V- the volume of extract, ml; m΄- the weight of pure plant </w:t>
      </w:r>
      <w:proofErr w:type="spellStart"/>
      <w:r w:rsidRPr="006E55EC">
        <w:rPr>
          <w:sz w:val="20"/>
          <w:szCs w:val="20"/>
          <w:lang w:val="en-GB"/>
        </w:rPr>
        <w:t>methanolic</w:t>
      </w:r>
      <w:proofErr w:type="spellEnd"/>
      <w:r w:rsidRPr="006E55EC">
        <w:rPr>
          <w:sz w:val="20"/>
          <w:szCs w:val="20"/>
          <w:lang w:val="en-GB"/>
        </w:rPr>
        <w:t xml:space="preserve"> extract, g.</w:t>
      </w:r>
    </w:p>
    <w:p w:rsidR="00D35101" w:rsidRPr="006E55EC" w:rsidRDefault="00D35101" w:rsidP="00AB4189">
      <w:pPr>
        <w:snapToGrid w:val="0"/>
        <w:jc w:val="both"/>
        <w:rPr>
          <w:b/>
          <w:sz w:val="20"/>
          <w:szCs w:val="20"/>
        </w:rPr>
      </w:pPr>
      <w:r w:rsidRPr="006E55EC">
        <w:rPr>
          <w:b/>
          <w:sz w:val="20"/>
          <w:szCs w:val="20"/>
        </w:rPr>
        <w:t>2.10 T</w:t>
      </w:r>
      <w:r w:rsidRPr="006E55EC">
        <w:rPr>
          <w:b/>
          <w:bCs/>
          <w:sz w:val="20"/>
          <w:szCs w:val="20"/>
        </w:rPr>
        <w:t xml:space="preserve">LC Separation of </w:t>
      </w:r>
      <w:proofErr w:type="spellStart"/>
      <w:r w:rsidRPr="006E55EC">
        <w:rPr>
          <w:b/>
          <w:bCs/>
          <w:sz w:val="20"/>
          <w:szCs w:val="20"/>
        </w:rPr>
        <w:t>Anthocyanin</w:t>
      </w:r>
      <w:proofErr w:type="spellEnd"/>
      <w:r w:rsidRPr="006E55EC">
        <w:rPr>
          <w:b/>
          <w:bCs/>
          <w:sz w:val="20"/>
          <w:szCs w:val="20"/>
        </w:rPr>
        <w:t xml:space="preserve"> in </w:t>
      </w:r>
      <w:smartTag w:uri="urn:schemas-microsoft-com:office:smarttags" w:element="stockticker">
        <w:r w:rsidRPr="006E55EC">
          <w:rPr>
            <w:b/>
            <w:bCs/>
            <w:sz w:val="20"/>
            <w:szCs w:val="20"/>
          </w:rPr>
          <w:t>HAE</w:t>
        </w:r>
      </w:smartTag>
    </w:p>
    <w:p w:rsidR="00D35101" w:rsidRPr="006E55EC" w:rsidRDefault="00D35101" w:rsidP="00AB4189">
      <w:pPr>
        <w:snapToGrid w:val="0"/>
        <w:ind w:firstLine="425"/>
        <w:jc w:val="both"/>
        <w:rPr>
          <w:sz w:val="20"/>
          <w:szCs w:val="20"/>
        </w:rPr>
      </w:pPr>
      <w:r w:rsidRPr="006E55EC">
        <w:rPr>
          <w:sz w:val="20"/>
          <w:szCs w:val="20"/>
        </w:rPr>
        <w:t xml:space="preserve">Individual </w:t>
      </w:r>
      <w:proofErr w:type="spellStart"/>
      <w:r w:rsidRPr="006E55EC">
        <w:rPr>
          <w:sz w:val="20"/>
          <w:szCs w:val="20"/>
        </w:rPr>
        <w:t>anthocyanins</w:t>
      </w:r>
      <w:proofErr w:type="spellEnd"/>
      <w:r w:rsidRPr="006E55EC">
        <w:rPr>
          <w:sz w:val="20"/>
          <w:szCs w:val="20"/>
        </w:rPr>
        <w:t xml:space="preserve"> in </w:t>
      </w:r>
      <w:proofErr w:type="spellStart"/>
      <w:r w:rsidRPr="006E55EC">
        <w:rPr>
          <w:sz w:val="20"/>
          <w:szCs w:val="20"/>
        </w:rPr>
        <w:t>anthocyanins</w:t>
      </w:r>
      <w:proofErr w:type="spellEnd"/>
      <w:r w:rsidRPr="006E55EC">
        <w:rPr>
          <w:sz w:val="20"/>
          <w:szCs w:val="20"/>
        </w:rPr>
        <w:t xml:space="preserve"> rich extract of </w:t>
      </w:r>
      <w:r w:rsidRPr="006E55EC">
        <w:rPr>
          <w:i/>
          <w:iCs/>
          <w:sz w:val="20"/>
          <w:szCs w:val="20"/>
        </w:rPr>
        <w:t xml:space="preserve">Hibiscus </w:t>
      </w:r>
      <w:proofErr w:type="spellStart"/>
      <w:r w:rsidRPr="006E55EC">
        <w:rPr>
          <w:i/>
          <w:iCs/>
          <w:sz w:val="20"/>
          <w:szCs w:val="20"/>
        </w:rPr>
        <w:t>sabdariffa</w:t>
      </w:r>
      <w:proofErr w:type="spellEnd"/>
      <w:r w:rsidRPr="006E55EC">
        <w:rPr>
          <w:sz w:val="20"/>
          <w:szCs w:val="20"/>
        </w:rPr>
        <w:t xml:space="preserve"> were isolated by TLC using </w:t>
      </w:r>
      <w:proofErr w:type="spellStart"/>
      <w:r w:rsidRPr="006E55EC">
        <w:rPr>
          <w:sz w:val="20"/>
          <w:szCs w:val="20"/>
        </w:rPr>
        <w:t>merck</w:t>
      </w:r>
      <w:proofErr w:type="spellEnd"/>
      <w:r w:rsidRPr="006E55EC">
        <w:rPr>
          <w:sz w:val="20"/>
          <w:szCs w:val="20"/>
        </w:rPr>
        <w:t xml:space="preserve"> 60 silica gel plates (0.2mm). For detection of </w:t>
      </w:r>
      <w:proofErr w:type="spellStart"/>
      <w:r w:rsidRPr="006E55EC">
        <w:rPr>
          <w:sz w:val="20"/>
          <w:szCs w:val="20"/>
        </w:rPr>
        <w:t>anthocyanins</w:t>
      </w:r>
      <w:proofErr w:type="spellEnd"/>
      <w:r w:rsidRPr="006E55EC">
        <w:rPr>
          <w:sz w:val="20"/>
          <w:szCs w:val="20"/>
        </w:rPr>
        <w:t xml:space="preserve"> the plates were developed using a mixture containing n-</w:t>
      </w:r>
      <w:proofErr w:type="spellStart"/>
      <w:r w:rsidRPr="006E55EC">
        <w:rPr>
          <w:sz w:val="20"/>
          <w:szCs w:val="20"/>
        </w:rPr>
        <w:t>butanol</w:t>
      </w:r>
      <w:proofErr w:type="spellEnd"/>
      <w:r w:rsidRPr="006E55EC">
        <w:rPr>
          <w:sz w:val="20"/>
          <w:szCs w:val="20"/>
        </w:rPr>
        <w:t xml:space="preserve">, acetic acid and water in the ratio of 40:10:20 (v/v/v). Diluted </w:t>
      </w:r>
      <w:smartTag w:uri="urn:schemas-microsoft-com:office:smarttags" w:element="stockticker">
        <w:r w:rsidRPr="006E55EC">
          <w:rPr>
            <w:sz w:val="20"/>
            <w:szCs w:val="20"/>
          </w:rPr>
          <w:t>HAE</w:t>
        </w:r>
      </w:smartTag>
      <w:r w:rsidR="006E7C63" w:rsidRPr="006E55EC">
        <w:rPr>
          <w:sz w:val="20"/>
          <w:szCs w:val="20"/>
        </w:rPr>
        <w:t xml:space="preserve"> (10</w:t>
      </w:r>
      <w:r w:rsidR="007B077E" w:rsidRPr="006E55EC">
        <w:rPr>
          <w:sz w:val="20"/>
          <w:szCs w:val="20"/>
        </w:rPr>
        <w:t>µl), and 10µ</w:t>
      </w:r>
      <w:r w:rsidRPr="006E55EC">
        <w:rPr>
          <w:sz w:val="20"/>
          <w:szCs w:val="20"/>
        </w:rPr>
        <w:t>l standards were loaded onto silica gel 60 TLC plates and left to dry.</w:t>
      </w:r>
      <w:r w:rsidR="006E55EC">
        <w:rPr>
          <w:sz w:val="20"/>
          <w:szCs w:val="20"/>
        </w:rPr>
        <w:t xml:space="preserve"> </w:t>
      </w:r>
      <w:r w:rsidRPr="006E55EC">
        <w:rPr>
          <w:sz w:val="20"/>
          <w:szCs w:val="20"/>
        </w:rPr>
        <w:t>The plate was allowed to run, dried and then visualized under visible light.</w:t>
      </w:r>
    </w:p>
    <w:p w:rsidR="00D15E42" w:rsidRPr="006E55EC" w:rsidRDefault="00D35101" w:rsidP="00AB4189">
      <w:pPr>
        <w:pStyle w:val="NormalWeb"/>
        <w:snapToGrid w:val="0"/>
        <w:spacing w:before="0" w:after="0"/>
        <w:jc w:val="both"/>
        <w:rPr>
          <w:b/>
          <w:bCs/>
          <w:sz w:val="20"/>
          <w:szCs w:val="20"/>
          <w:lang w:val="en-GB"/>
        </w:rPr>
      </w:pPr>
      <w:r w:rsidRPr="006E55EC">
        <w:rPr>
          <w:b/>
          <w:bCs/>
          <w:sz w:val="20"/>
          <w:szCs w:val="20"/>
          <w:lang w:val="en-GB"/>
        </w:rPr>
        <w:t>2.11</w:t>
      </w:r>
      <w:r w:rsidR="00126D11" w:rsidRPr="006E55EC">
        <w:rPr>
          <w:b/>
          <w:bCs/>
          <w:sz w:val="20"/>
          <w:szCs w:val="20"/>
          <w:lang w:val="en-GB"/>
        </w:rPr>
        <w:t xml:space="preserve">. </w:t>
      </w:r>
      <w:r w:rsidR="00D15E42" w:rsidRPr="006E55EC">
        <w:rPr>
          <w:b/>
          <w:bCs/>
          <w:sz w:val="20"/>
          <w:szCs w:val="20"/>
          <w:lang w:val="en-GB"/>
        </w:rPr>
        <w:t xml:space="preserve">HPLC Separation of </w:t>
      </w:r>
      <w:proofErr w:type="spellStart"/>
      <w:r w:rsidR="00D15E42" w:rsidRPr="006E55EC">
        <w:rPr>
          <w:b/>
          <w:bCs/>
          <w:sz w:val="20"/>
          <w:szCs w:val="20"/>
          <w:lang w:val="en-GB"/>
        </w:rPr>
        <w:t>Anthocyanin</w:t>
      </w:r>
      <w:proofErr w:type="spellEnd"/>
      <w:r w:rsidR="00D15E42" w:rsidRPr="006E55EC">
        <w:rPr>
          <w:b/>
          <w:bCs/>
          <w:sz w:val="20"/>
          <w:szCs w:val="20"/>
          <w:lang w:val="en-GB"/>
        </w:rPr>
        <w:t xml:space="preserve"> in </w:t>
      </w:r>
      <w:smartTag w:uri="urn:schemas-microsoft-com:office:smarttags" w:element="stockticker">
        <w:r w:rsidR="00D15E42" w:rsidRPr="006E55EC">
          <w:rPr>
            <w:b/>
            <w:bCs/>
            <w:sz w:val="20"/>
            <w:szCs w:val="20"/>
            <w:lang w:val="en-GB"/>
          </w:rPr>
          <w:t>HAE</w:t>
        </w:r>
      </w:smartTag>
    </w:p>
    <w:p w:rsidR="00D15E42" w:rsidRPr="006E55EC" w:rsidRDefault="00D15E42" w:rsidP="00AB4189">
      <w:pPr>
        <w:suppressAutoHyphens w:val="0"/>
        <w:autoSpaceDE w:val="0"/>
        <w:autoSpaceDN w:val="0"/>
        <w:adjustRightInd w:val="0"/>
        <w:snapToGrid w:val="0"/>
        <w:ind w:firstLine="425"/>
        <w:jc w:val="both"/>
        <w:rPr>
          <w:sz w:val="20"/>
          <w:szCs w:val="20"/>
          <w:lang w:val="en-US" w:eastAsia="en-US"/>
        </w:rPr>
      </w:pPr>
      <w:r w:rsidRPr="006E55EC">
        <w:rPr>
          <w:sz w:val="20"/>
          <w:szCs w:val="20"/>
        </w:rPr>
        <w:t xml:space="preserve">The separation and identification of </w:t>
      </w:r>
      <w:proofErr w:type="spellStart"/>
      <w:r w:rsidRPr="006E55EC">
        <w:rPr>
          <w:sz w:val="20"/>
          <w:szCs w:val="20"/>
        </w:rPr>
        <w:t>anthocyanin</w:t>
      </w:r>
      <w:proofErr w:type="spellEnd"/>
      <w:r w:rsidRPr="006E55EC">
        <w:rPr>
          <w:sz w:val="20"/>
          <w:szCs w:val="20"/>
        </w:rPr>
        <w:t xml:space="preserve"> was performed according to the procedure d</w:t>
      </w:r>
      <w:r w:rsidR="006E7C63" w:rsidRPr="006E55EC">
        <w:rPr>
          <w:sz w:val="20"/>
          <w:szCs w:val="20"/>
        </w:rPr>
        <w:t xml:space="preserve">escribe by De </w:t>
      </w:r>
      <w:proofErr w:type="spellStart"/>
      <w:r w:rsidR="006E7C63" w:rsidRPr="006E55EC">
        <w:rPr>
          <w:sz w:val="20"/>
          <w:szCs w:val="20"/>
        </w:rPr>
        <w:t>Ancos</w:t>
      </w:r>
      <w:proofErr w:type="spellEnd"/>
      <w:r w:rsidR="006E7C63" w:rsidRPr="006E55EC">
        <w:rPr>
          <w:sz w:val="20"/>
          <w:szCs w:val="20"/>
        </w:rPr>
        <w:t xml:space="preserve"> et al., (2000)</w:t>
      </w:r>
      <w:r w:rsidRPr="006E55EC">
        <w:rPr>
          <w:sz w:val="20"/>
          <w:szCs w:val="20"/>
        </w:rPr>
        <w:t xml:space="preserve">. The </w:t>
      </w:r>
      <w:proofErr w:type="spellStart"/>
      <w:r w:rsidRPr="006E55EC">
        <w:rPr>
          <w:sz w:val="20"/>
          <w:szCs w:val="20"/>
        </w:rPr>
        <w:t>anthocyanins</w:t>
      </w:r>
      <w:proofErr w:type="spellEnd"/>
      <w:r w:rsidRPr="006E55EC">
        <w:rPr>
          <w:sz w:val="20"/>
          <w:szCs w:val="20"/>
        </w:rPr>
        <w:t xml:space="preserve"> in </w:t>
      </w:r>
      <w:smartTag w:uri="urn:schemas-microsoft-com:office:smarttags" w:element="stockticker">
        <w:r w:rsidRPr="006E55EC">
          <w:rPr>
            <w:sz w:val="20"/>
            <w:szCs w:val="20"/>
          </w:rPr>
          <w:t>HAE</w:t>
        </w:r>
      </w:smartTag>
      <w:r w:rsidRPr="006E55EC">
        <w:rPr>
          <w:sz w:val="20"/>
          <w:szCs w:val="20"/>
        </w:rPr>
        <w:t xml:space="preserve"> were separated by HPLC, a symmetry shied RP 18 column (80A, 5µ) and UV/Visible detector (monitored at 530nm). The mobile phase was composed of 4 per cent phosphoric acid (solvent A) and 100 per cent </w:t>
      </w:r>
      <w:proofErr w:type="spellStart"/>
      <w:r w:rsidRPr="006E55EC">
        <w:rPr>
          <w:sz w:val="20"/>
          <w:szCs w:val="20"/>
        </w:rPr>
        <w:t>acetonitrile</w:t>
      </w:r>
      <w:proofErr w:type="spellEnd"/>
      <w:r w:rsidRPr="006E55EC">
        <w:rPr>
          <w:sz w:val="20"/>
          <w:szCs w:val="20"/>
        </w:rPr>
        <w:t xml:space="preserve"> (solvent, B). The solvent program was isocratic elution with 6% B from 0 to 10min, linear gradient to 20% B from 10 to 50min and isocratic elution at 20% B from 50 to 60 minutes. The flow rate was set at 1ml/minute.</w:t>
      </w:r>
    </w:p>
    <w:p w:rsidR="00D15E42" w:rsidRPr="006E55EC" w:rsidRDefault="00D35101" w:rsidP="00AB4189">
      <w:pPr>
        <w:pStyle w:val="NormalWeb"/>
        <w:snapToGrid w:val="0"/>
        <w:spacing w:before="0" w:after="0"/>
        <w:jc w:val="both"/>
        <w:rPr>
          <w:b/>
          <w:bCs/>
          <w:sz w:val="20"/>
          <w:szCs w:val="20"/>
          <w:lang w:val="en-GB"/>
        </w:rPr>
      </w:pPr>
      <w:r w:rsidRPr="006E55EC">
        <w:rPr>
          <w:b/>
          <w:bCs/>
          <w:sz w:val="20"/>
          <w:szCs w:val="20"/>
          <w:lang w:val="en-GB"/>
        </w:rPr>
        <w:t>2.12</w:t>
      </w:r>
      <w:r w:rsidR="00126D11" w:rsidRPr="006E55EC">
        <w:rPr>
          <w:b/>
          <w:bCs/>
          <w:sz w:val="20"/>
          <w:szCs w:val="20"/>
          <w:lang w:val="en-GB"/>
        </w:rPr>
        <w:t xml:space="preserve">. </w:t>
      </w:r>
      <w:r w:rsidR="00D15E42" w:rsidRPr="006E55EC">
        <w:rPr>
          <w:b/>
          <w:bCs/>
          <w:sz w:val="20"/>
          <w:szCs w:val="20"/>
          <w:lang w:val="en-GB"/>
        </w:rPr>
        <w:t xml:space="preserve">HPLC Separation of </w:t>
      </w:r>
      <w:proofErr w:type="spellStart"/>
      <w:r w:rsidR="00D15E42" w:rsidRPr="006E55EC">
        <w:rPr>
          <w:b/>
          <w:bCs/>
          <w:sz w:val="20"/>
          <w:szCs w:val="20"/>
          <w:lang w:val="en-GB"/>
        </w:rPr>
        <w:t>Anthocyanindin</w:t>
      </w:r>
      <w:proofErr w:type="spellEnd"/>
      <w:r w:rsidR="00D15E42" w:rsidRPr="006E55EC">
        <w:rPr>
          <w:b/>
          <w:bCs/>
          <w:sz w:val="20"/>
          <w:szCs w:val="20"/>
          <w:lang w:val="en-GB"/>
        </w:rPr>
        <w:t xml:space="preserve"> in </w:t>
      </w:r>
      <w:smartTag w:uri="urn:schemas-microsoft-com:office:smarttags" w:element="stockticker">
        <w:r w:rsidR="00D15E42" w:rsidRPr="006E55EC">
          <w:rPr>
            <w:b/>
            <w:bCs/>
            <w:sz w:val="20"/>
            <w:szCs w:val="20"/>
            <w:lang w:val="en-GB"/>
          </w:rPr>
          <w:t>HAE</w:t>
        </w:r>
      </w:smartTag>
    </w:p>
    <w:p w:rsidR="00B51D23" w:rsidRPr="006E55EC" w:rsidRDefault="00D15E42" w:rsidP="00AB4189">
      <w:pPr>
        <w:suppressAutoHyphens w:val="0"/>
        <w:autoSpaceDE w:val="0"/>
        <w:autoSpaceDN w:val="0"/>
        <w:adjustRightInd w:val="0"/>
        <w:snapToGrid w:val="0"/>
        <w:ind w:firstLine="425"/>
        <w:jc w:val="both"/>
        <w:rPr>
          <w:sz w:val="20"/>
          <w:szCs w:val="20"/>
          <w:lang w:val="en-US" w:eastAsia="en-US"/>
        </w:rPr>
      </w:pPr>
      <w:r w:rsidRPr="006E55EC">
        <w:rPr>
          <w:sz w:val="20"/>
          <w:szCs w:val="20"/>
        </w:rPr>
        <w:t xml:space="preserve">To standardised the Hibiscus </w:t>
      </w:r>
      <w:proofErr w:type="spellStart"/>
      <w:r w:rsidRPr="006E55EC">
        <w:rPr>
          <w:sz w:val="20"/>
          <w:szCs w:val="20"/>
        </w:rPr>
        <w:t>anthocyanins</w:t>
      </w:r>
      <w:proofErr w:type="spellEnd"/>
      <w:r w:rsidRPr="006E55EC">
        <w:rPr>
          <w:sz w:val="20"/>
          <w:szCs w:val="20"/>
        </w:rPr>
        <w:t xml:space="preserve">, the </w:t>
      </w:r>
      <w:proofErr w:type="spellStart"/>
      <w:r w:rsidRPr="006E55EC">
        <w:rPr>
          <w:sz w:val="20"/>
          <w:szCs w:val="20"/>
        </w:rPr>
        <w:t>delphinidin</w:t>
      </w:r>
      <w:proofErr w:type="spellEnd"/>
      <w:r w:rsidRPr="006E55EC">
        <w:rPr>
          <w:sz w:val="20"/>
          <w:szCs w:val="20"/>
        </w:rPr>
        <w:t xml:space="preserve"> and </w:t>
      </w:r>
      <w:proofErr w:type="spellStart"/>
      <w:r w:rsidRPr="006E55EC">
        <w:rPr>
          <w:sz w:val="20"/>
          <w:szCs w:val="20"/>
        </w:rPr>
        <w:t>cyanidin</w:t>
      </w:r>
      <w:proofErr w:type="spellEnd"/>
      <w:r w:rsidRPr="006E55EC">
        <w:rPr>
          <w:sz w:val="20"/>
          <w:szCs w:val="20"/>
        </w:rPr>
        <w:t xml:space="preserve"> contained in the </w:t>
      </w:r>
      <w:smartTag w:uri="urn:schemas-microsoft-com:office:smarttags" w:element="stockticker">
        <w:r w:rsidRPr="006E55EC">
          <w:rPr>
            <w:sz w:val="20"/>
            <w:szCs w:val="20"/>
          </w:rPr>
          <w:t>HAE</w:t>
        </w:r>
      </w:smartTag>
      <w:r w:rsidRPr="006E55EC">
        <w:rPr>
          <w:sz w:val="20"/>
          <w:szCs w:val="20"/>
        </w:rPr>
        <w:t xml:space="preserve"> were determine by HPLC, using a symmetry shield RP 18 column (80A, 5µ) and UV/visible detector (monitored at 540nm). The mobile phase was composed of 4% phosphoric acid (solvent A) and 100% </w:t>
      </w:r>
      <w:proofErr w:type="spellStart"/>
      <w:r w:rsidRPr="006E55EC">
        <w:rPr>
          <w:sz w:val="20"/>
          <w:szCs w:val="20"/>
        </w:rPr>
        <w:t>Acetonitrite</w:t>
      </w:r>
      <w:proofErr w:type="spellEnd"/>
      <w:r w:rsidRPr="006E55EC">
        <w:rPr>
          <w:sz w:val="20"/>
          <w:szCs w:val="20"/>
        </w:rPr>
        <w:t xml:space="preserve"> (solvent B) run on a gradient of 10% B to 50% B for 15minutes and monitored at 540nm. 1ml of the sample was boiled with 1ml </w:t>
      </w:r>
      <w:proofErr w:type="spellStart"/>
      <w:r w:rsidRPr="006E55EC">
        <w:rPr>
          <w:sz w:val="20"/>
          <w:szCs w:val="20"/>
        </w:rPr>
        <w:t>HCl</w:t>
      </w:r>
      <w:proofErr w:type="spellEnd"/>
      <w:r w:rsidRPr="006E55EC">
        <w:rPr>
          <w:sz w:val="20"/>
          <w:szCs w:val="20"/>
        </w:rPr>
        <w:t xml:space="preserve"> at 95</w:t>
      </w:r>
      <w:r w:rsidRPr="006E55EC">
        <w:rPr>
          <w:sz w:val="20"/>
          <w:szCs w:val="20"/>
          <w:vertAlign w:val="superscript"/>
        </w:rPr>
        <w:t>0</w:t>
      </w:r>
      <w:r w:rsidRPr="006E55EC">
        <w:rPr>
          <w:sz w:val="20"/>
          <w:szCs w:val="20"/>
        </w:rPr>
        <w:t>C for 30minute to assist in the process of hydrolysis and 10µl of this were injected into chromatography. The flow rate was set at 1ml/min.</w:t>
      </w:r>
    </w:p>
    <w:p w:rsidR="00D15E42" w:rsidRPr="006E55EC" w:rsidRDefault="00D15E42" w:rsidP="00AB4189">
      <w:pPr>
        <w:suppressAutoHyphens w:val="0"/>
        <w:autoSpaceDE w:val="0"/>
        <w:autoSpaceDN w:val="0"/>
        <w:adjustRightInd w:val="0"/>
        <w:snapToGrid w:val="0"/>
        <w:jc w:val="both"/>
        <w:rPr>
          <w:sz w:val="20"/>
          <w:szCs w:val="20"/>
          <w:lang w:val="en-US" w:eastAsia="en-US"/>
        </w:rPr>
      </w:pPr>
      <w:r w:rsidRPr="006E55EC">
        <w:rPr>
          <w:b/>
          <w:bCs/>
          <w:sz w:val="20"/>
          <w:szCs w:val="20"/>
          <w:lang w:val="en-US" w:eastAsia="en-US"/>
        </w:rPr>
        <w:t>Statistical analysis</w:t>
      </w:r>
    </w:p>
    <w:p w:rsidR="00FA09E2" w:rsidRPr="006E55EC" w:rsidRDefault="00D15E42" w:rsidP="006E55EC">
      <w:pPr>
        <w:suppressAutoHyphens w:val="0"/>
        <w:autoSpaceDE w:val="0"/>
        <w:autoSpaceDN w:val="0"/>
        <w:adjustRightInd w:val="0"/>
        <w:snapToGrid w:val="0"/>
        <w:ind w:firstLine="425"/>
        <w:jc w:val="both"/>
        <w:rPr>
          <w:b/>
          <w:sz w:val="20"/>
          <w:szCs w:val="20"/>
        </w:rPr>
      </w:pPr>
      <w:r w:rsidRPr="006E55EC">
        <w:rPr>
          <w:sz w:val="20"/>
          <w:szCs w:val="20"/>
          <w:lang w:val="en-US" w:eastAsia="en-US"/>
        </w:rPr>
        <w:t xml:space="preserve">Results are expressed as means </w:t>
      </w:r>
      <w:r w:rsidRPr="006E55EC">
        <w:rPr>
          <w:sz w:val="20"/>
          <w:szCs w:val="20"/>
        </w:rPr>
        <w:t>±</w:t>
      </w:r>
      <w:r w:rsidRPr="006E55EC">
        <w:rPr>
          <w:sz w:val="20"/>
          <w:szCs w:val="20"/>
          <w:lang w:val="en-US" w:eastAsia="en-US"/>
        </w:rPr>
        <w:t xml:space="preserve"> </w:t>
      </w:r>
      <w:smartTag w:uri="urn:schemas-microsoft-com:office:smarttags" w:element="stockticker">
        <w:r w:rsidRPr="006E55EC">
          <w:rPr>
            <w:sz w:val="20"/>
            <w:szCs w:val="20"/>
            <w:lang w:val="en-US" w:eastAsia="en-US"/>
          </w:rPr>
          <w:t>SEM</w:t>
        </w:r>
      </w:smartTag>
      <w:r w:rsidRPr="006E55EC">
        <w:rPr>
          <w:sz w:val="20"/>
          <w:szCs w:val="20"/>
          <w:lang w:val="en-US" w:eastAsia="en-US"/>
        </w:rPr>
        <w:t>. Statistical analyses were performed using Student’s t test; a p &lt;0.05</w:t>
      </w:r>
      <w:r w:rsidR="006E55EC">
        <w:rPr>
          <w:sz w:val="20"/>
          <w:szCs w:val="20"/>
          <w:lang w:val="en-US" w:eastAsia="en-US"/>
        </w:rPr>
        <w:t xml:space="preserve"> </w:t>
      </w:r>
      <w:r w:rsidRPr="006E55EC">
        <w:rPr>
          <w:sz w:val="20"/>
          <w:szCs w:val="20"/>
          <w:lang w:val="en-US" w:eastAsia="en-US"/>
        </w:rPr>
        <w:t>was considered statistically significant.</w:t>
      </w:r>
    </w:p>
    <w:p w:rsidR="00D15E42" w:rsidRPr="006E55EC" w:rsidRDefault="00126D11" w:rsidP="00AB4189">
      <w:pPr>
        <w:suppressAutoHyphens w:val="0"/>
        <w:autoSpaceDE w:val="0"/>
        <w:autoSpaceDN w:val="0"/>
        <w:adjustRightInd w:val="0"/>
        <w:snapToGrid w:val="0"/>
        <w:jc w:val="both"/>
        <w:rPr>
          <w:sz w:val="20"/>
          <w:szCs w:val="20"/>
          <w:lang w:val="en-US" w:eastAsia="en-US"/>
        </w:rPr>
      </w:pPr>
      <w:r w:rsidRPr="006E55EC">
        <w:rPr>
          <w:b/>
          <w:sz w:val="20"/>
          <w:szCs w:val="20"/>
        </w:rPr>
        <w:t xml:space="preserve">3. </w:t>
      </w:r>
      <w:r w:rsidR="00FD5701" w:rsidRPr="006E55EC">
        <w:rPr>
          <w:b/>
          <w:sz w:val="20"/>
          <w:szCs w:val="20"/>
        </w:rPr>
        <w:t>Results</w:t>
      </w:r>
    </w:p>
    <w:p w:rsidR="00D15E42" w:rsidRPr="006E55EC" w:rsidRDefault="00126D11" w:rsidP="00AB4189">
      <w:pPr>
        <w:snapToGrid w:val="0"/>
        <w:jc w:val="both"/>
        <w:rPr>
          <w:b/>
          <w:sz w:val="20"/>
          <w:szCs w:val="20"/>
        </w:rPr>
      </w:pPr>
      <w:r w:rsidRPr="006E55EC">
        <w:rPr>
          <w:b/>
          <w:sz w:val="20"/>
          <w:szCs w:val="20"/>
        </w:rPr>
        <w:t xml:space="preserve">3.1. </w:t>
      </w:r>
      <w:r w:rsidR="00D15E42" w:rsidRPr="006E55EC">
        <w:rPr>
          <w:b/>
          <w:sz w:val="20"/>
          <w:szCs w:val="20"/>
        </w:rPr>
        <w:t>Supero</w:t>
      </w:r>
      <w:r w:rsidR="00B74E67" w:rsidRPr="006E55EC">
        <w:rPr>
          <w:b/>
          <w:sz w:val="20"/>
          <w:szCs w:val="20"/>
        </w:rPr>
        <w:t xml:space="preserve">xide Scavenging Ability of </w:t>
      </w:r>
      <w:smartTag w:uri="urn:schemas-microsoft-com:office:smarttags" w:element="stockticker">
        <w:r w:rsidR="00D15E42" w:rsidRPr="006E55EC">
          <w:rPr>
            <w:b/>
            <w:sz w:val="20"/>
            <w:szCs w:val="20"/>
          </w:rPr>
          <w:t>HAE</w:t>
        </w:r>
      </w:smartTag>
    </w:p>
    <w:p w:rsidR="00D15E42" w:rsidRPr="006E55EC" w:rsidRDefault="00D15E42" w:rsidP="00AB4189">
      <w:pPr>
        <w:snapToGrid w:val="0"/>
        <w:ind w:firstLine="425"/>
        <w:jc w:val="both"/>
        <w:rPr>
          <w:sz w:val="20"/>
          <w:szCs w:val="20"/>
        </w:rPr>
      </w:pPr>
      <w:r w:rsidRPr="006E55EC">
        <w:rPr>
          <w:sz w:val="20"/>
          <w:szCs w:val="20"/>
        </w:rPr>
        <w:t xml:space="preserve">Superoxide production by </w:t>
      </w:r>
      <w:proofErr w:type="spellStart"/>
      <w:r w:rsidRPr="006E55EC">
        <w:rPr>
          <w:sz w:val="20"/>
          <w:szCs w:val="20"/>
        </w:rPr>
        <w:t>xanthine</w:t>
      </w:r>
      <w:proofErr w:type="spellEnd"/>
      <w:r w:rsidRPr="006E55EC">
        <w:rPr>
          <w:sz w:val="20"/>
          <w:szCs w:val="20"/>
        </w:rPr>
        <w:t xml:space="preserve"> – </w:t>
      </w:r>
      <w:proofErr w:type="spellStart"/>
      <w:r w:rsidRPr="006E55EC">
        <w:rPr>
          <w:sz w:val="20"/>
          <w:szCs w:val="20"/>
        </w:rPr>
        <w:t>xanthine</w:t>
      </w:r>
      <w:proofErr w:type="spellEnd"/>
      <w:r w:rsidRPr="006E55EC">
        <w:rPr>
          <w:sz w:val="20"/>
          <w:szCs w:val="20"/>
        </w:rPr>
        <w:t xml:space="preserve"> </w:t>
      </w:r>
      <w:proofErr w:type="spellStart"/>
      <w:r w:rsidRPr="006E55EC">
        <w:rPr>
          <w:sz w:val="20"/>
          <w:szCs w:val="20"/>
        </w:rPr>
        <w:t>oxidase</w:t>
      </w:r>
      <w:proofErr w:type="spellEnd"/>
      <w:r w:rsidRPr="006E55EC">
        <w:rPr>
          <w:sz w:val="20"/>
          <w:szCs w:val="20"/>
        </w:rPr>
        <w:t xml:space="preserve"> gave a reaction rate of 0.085 ± 0.002 ∆A550 nm/min while </w:t>
      </w:r>
      <w:proofErr w:type="spellStart"/>
      <w:r w:rsidRPr="006E55EC">
        <w:rPr>
          <w:sz w:val="20"/>
          <w:szCs w:val="20"/>
        </w:rPr>
        <w:t>xanthine</w:t>
      </w:r>
      <w:proofErr w:type="spellEnd"/>
      <w:r w:rsidRPr="006E55EC">
        <w:rPr>
          <w:sz w:val="20"/>
          <w:szCs w:val="20"/>
        </w:rPr>
        <w:t xml:space="preserve"> </w:t>
      </w:r>
      <w:proofErr w:type="spellStart"/>
      <w:r w:rsidRPr="006E55EC">
        <w:rPr>
          <w:sz w:val="20"/>
          <w:szCs w:val="20"/>
        </w:rPr>
        <w:t>oxidase</w:t>
      </w:r>
      <w:proofErr w:type="spellEnd"/>
      <w:r w:rsidRPr="006E55EC">
        <w:rPr>
          <w:sz w:val="20"/>
          <w:szCs w:val="20"/>
        </w:rPr>
        <w:t xml:space="preserve"> activity gave a reaction rate of 0.106 ± 0.001 ∆A284nm/minutes. At 5% (v/v) of the reaction volume</w:t>
      </w:r>
      <w:r w:rsidR="00B74E67" w:rsidRPr="006E55EC">
        <w:rPr>
          <w:sz w:val="20"/>
          <w:szCs w:val="20"/>
        </w:rPr>
        <w:t xml:space="preserve">, diethyl ether extract of </w:t>
      </w:r>
      <w:smartTag w:uri="urn:schemas-microsoft-com:office:smarttags" w:element="stockticker">
        <w:r w:rsidRPr="006E55EC">
          <w:rPr>
            <w:sz w:val="20"/>
            <w:szCs w:val="20"/>
          </w:rPr>
          <w:t>HAE</w:t>
        </w:r>
      </w:smartTag>
      <w:r w:rsidRPr="006E55EC">
        <w:rPr>
          <w:sz w:val="20"/>
          <w:szCs w:val="20"/>
        </w:rPr>
        <w:t xml:space="preserve"> significantly inhibited superoxide production </w:t>
      </w:r>
      <w:proofErr w:type="spellStart"/>
      <w:r w:rsidRPr="006E55EC">
        <w:rPr>
          <w:sz w:val="20"/>
          <w:szCs w:val="20"/>
        </w:rPr>
        <w:t>i.e</w:t>
      </w:r>
      <w:proofErr w:type="spellEnd"/>
      <w:r w:rsidRPr="006E55EC">
        <w:rPr>
          <w:sz w:val="20"/>
          <w:szCs w:val="20"/>
        </w:rPr>
        <w:t xml:space="preserve"> the red</w:t>
      </w:r>
      <w:r w:rsidR="00B74E67" w:rsidRPr="006E55EC">
        <w:rPr>
          <w:sz w:val="20"/>
          <w:szCs w:val="20"/>
        </w:rPr>
        <w:t xml:space="preserve">uction of </w:t>
      </w:r>
      <w:proofErr w:type="spellStart"/>
      <w:r w:rsidR="00B74E67" w:rsidRPr="006E55EC">
        <w:rPr>
          <w:sz w:val="20"/>
          <w:szCs w:val="20"/>
        </w:rPr>
        <w:t>cytochrome</w:t>
      </w:r>
      <w:proofErr w:type="spellEnd"/>
      <w:r w:rsidR="00B74E67" w:rsidRPr="006E55EC">
        <w:rPr>
          <w:sz w:val="20"/>
          <w:szCs w:val="20"/>
        </w:rPr>
        <w:t xml:space="preserve"> C by 41.18% </w:t>
      </w:r>
      <w:r w:rsidRPr="006E55EC">
        <w:rPr>
          <w:sz w:val="20"/>
          <w:szCs w:val="20"/>
        </w:rPr>
        <w:t xml:space="preserve">(Table </w:t>
      </w:r>
      <w:r w:rsidRPr="006E55EC">
        <w:rPr>
          <w:b/>
          <w:bCs/>
          <w:sz w:val="20"/>
          <w:szCs w:val="20"/>
        </w:rPr>
        <w:t>1</w:t>
      </w:r>
      <w:r w:rsidRPr="006E55EC">
        <w:rPr>
          <w:sz w:val="20"/>
          <w:szCs w:val="20"/>
        </w:rPr>
        <w:t xml:space="preserve">). Superoxide production was inversely related to the concentrations </w:t>
      </w:r>
      <w:r w:rsidR="00B74E67" w:rsidRPr="006E55EC">
        <w:rPr>
          <w:sz w:val="20"/>
          <w:szCs w:val="20"/>
        </w:rPr>
        <w:t>of diethyl ether extract of</w:t>
      </w:r>
      <w:r w:rsidRPr="006E55EC">
        <w:rPr>
          <w:sz w:val="20"/>
          <w:szCs w:val="20"/>
        </w:rPr>
        <w:t xml:space="preserve"> </w:t>
      </w:r>
      <w:smartTag w:uri="urn:schemas-microsoft-com:office:smarttags" w:element="stockticker">
        <w:r w:rsidRPr="006E55EC">
          <w:rPr>
            <w:sz w:val="20"/>
            <w:szCs w:val="20"/>
          </w:rPr>
          <w:t>HAE</w:t>
        </w:r>
      </w:smartTag>
      <w:r w:rsidR="00B74E67" w:rsidRPr="006E55EC">
        <w:rPr>
          <w:sz w:val="20"/>
          <w:szCs w:val="20"/>
        </w:rPr>
        <w:t>. The extract significantly affects uric acid production</w:t>
      </w:r>
      <w:r w:rsidRPr="006E55EC">
        <w:rPr>
          <w:sz w:val="20"/>
          <w:szCs w:val="20"/>
        </w:rPr>
        <w:t xml:space="preserve"> indicating that the components of </w:t>
      </w:r>
      <w:r w:rsidR="00B74E67" w:rsidRPr="006E55EC">
        <w:rPr>
          <w:sz w:val="20"/>
          <w:szCs w:val="20"/>
        </w:rPr>
        <w:t>HAE</w:t>
      </w:r>
      <w:r w:rsidRPr="006E55EC">
        <w:rPr>
          <w:sz w:val="20"/>
          <w:szCs w:val="20"/>
        </w:rPr>
        <w:t xml:space="preserve"> inhibit </w:t>
      </w:r>
      <w:proofErr w:type="spellStart"/>
      <w:r w:rsidRPr="006E55EC">
        <w:rPr>
          <w:sz w:val="20"/>
          <w:szCs w:val="20"/>
        </w:rPr>
        <w:t>xanthine</w:t>
      </w:r>
      <w:proofErr w:type="spellEnd"/>
      <w:r w:rsidRPr="006E55EC">
        <w:rPr>
          <w:sz w:val="20"/>
          <w:szCs w:val="20"/>
        </w:rPr>
        <w:t xml:space="preserve"> </w:t>
      </w:r>
      <w:proofErr w:type="spellStart"/>
      <w:r w:rsidRPr="006E55EC">
        <w:rPr>
          <w:sz w:val="20"/>
          <w:szCs w:val="20"/>
        </w:rPr>
        <w:t>oxidase</w:t>
      </w:r>
      <w:proofErr w:type="spellEnd"/>
      <w:r w:rsidRPr="006E55EC">
        <w:rPr>
          <w:sz w:val="20"/>
          <w:szCs w:val="20"/>
        </w:rPr>
        <w:t>.</w:t>
      </w:r>
    </w:p>
    <w:p w:rsidR="00AB4189" w:rsidRPr="006E55EC" w:rsidRDefault="00AB4189" w:rsidP="00AB4189">
      <w:pPr>
        <w:snapToGrid w:val="0"/>
        <w:jc w:val="center"/>
        <w:rPr>
          <w:sz w:val="20"/>
          <w:szCs w:val="20"/>
        </w:rPr>
        <w:sectPr w:rsidR="00AB4189" w:rsidRPr="006E55EC" w:rsidSect="006E55EC">
          <w:footnotePr>
            <w:pos w:val="beneathText"/>
          </w:footnotePr>
          <w:type w:val="continuous"/>
          <w:pgSz w:w="12240" w:h="15840" w:code="1"/>
          <w:pgMar w:top="1440" w:right="1440" w:bottom="1440" w:left="1440" w:header="720" w:footer="720" w:gutter="0"/>
          <w:cols w:num="2" w:space="600"/>
          <w:docGrid w:linePitch="326"/>
        </w:sectPr>
      </w:pPr>
    </w:p>
    <w:p w:rsidR="00D15E42" w:rsidRPr="006E55EC" w:rsidRDefault="00D15E42" w:rsidP="00AB4189">
      <w:pPr>
        <w:snapToGrid w:val="0"/>
        <w:jc w:val="both"/>
        <w:rPr>
          <w:b/>
          <w:sz w:val="20"/>
          <w:szCs w:val="20"/>
        </w:rPr>
      </w:pPr>
      <w:r w:rsidRPr="006E55EC">
        <w:rPr>
          <w:b/>
          <w:sz w:val="20"/>
          <w:szCs w:val="20"/>
        </w:rPr>
        <w:lastRenderedPageBreak/>
        <w:t xml:space="preserve">Table </w:t>
      </w:r>
      <w:r w:rsidRPr="006E55EC">
        <w:rPr>
          <w:b/>
          <w:bCs/>
          <w:sz w:val="20"/>
          <w:szCs w:val="20"/>
        </w:rPr>
        <w:t xml:space="preserve">1 </w:t>
      </w:r>
      <w:r w:rsidRPr="006E55EC">
        <w:rPr>
          <w:b/>
          <w:sz w:val="20"/>
          <w:szCs w:val="20"/>
        </w:rPr>
        <w:t xml:space="preserve">The effect of SOD, diethyl ether extracts </w:t>
      </w:r>
      <w:r w:rsidR="00B74E67" w:rsidRPr="006E55EC">
        <w:rPr>
          <w:b/>
          <w:sz w:val="20"/>
          <w:szCs w:val="20"/>
        </w:rPr>
        <w:t xml:space="preserve">of </w:t>
      </w:r>
      <w:smartTag w:uri="urn:schemas-microsoft-com:office:smarttags" w:element="stockticker">
        <w:r w:rsidRPr="006E55EC">
          <w:rPr>
            <w:b/>
            <w:sz w:val="20"/>
            <w:szCs w:val="20"/>
          </w:rPr>
          <w:t>HAE</w:t>
        </w:r>
      </w:smartTag>
      <w:r w:rsidRPr="006E55EC">
        <w:rPr>
          <w:b/>
          <w:sz w:val="20"/>
          <w:szCs w:val="20"/>
        </w:rPr>
        <w:t xml:space="preserve"> on superoxide and uric acid production by </w:t>
      </w:r>
      <w:proofErr w:type="spellStart"/>
      <w:r w:rsidRPr="006E55EC">
        <w:rPr>
          <w:b/>
          <w:sz w:val="20"/>
          <w:szCs w:val="20"/>
        </w:rPr>
        <w:t>xanthine-xanthine</w:t>
      </w:r>
      <w:proofErr w:type="spellEnd"/>
      <w:r w:rsidRPr="006E55EC">
        <w:rPr>
          <w:b/>
          <w:sz w:val="20"/>
          <w:szCs w:val="20"/>
        </w:rPr>
        <w:t xml:space="preserve"> </w:t>
      </w:r>
      <w:proofErr w:type="spellStart"/>
      <w:r w:rsidRPr="006E55EC">
        <w:rPr>
          <w:b/>
          <w:sz w:val="20"/>
          <w:szCs w:val="20"/>
        </w:rPr>
        <w:t>oxidase</w:t>
      </w:r>
      <w:proofErr w:type="spellEnd"/>
      <w:r w:rsidRPr="006E55EC">
        <w:rPr>
          <w:b/>
          <w:sz w:val="20"/>
          <w:szCs w:val="20"/>
        </w:rPr>
        <w:t>.</w:t>
      </w:r>
    </w:p>
    <w:tbl>
      <w:tblPr>
        <w:tblStyle w:val="TableGrid"/>
        <w:tblW w:w="0" w:type="auto"/>
        <w:jc w:val="center"/>
        <w:tblLook w:val="04A0"/>
      </w:tblPr>
      <w:tblGrid>
        <w:gridCol w:w="3078"/>
        <w:gridCol w:w="2826"/>
        <w:gridCol w:w="2952"/>
      </w:tblGrid>
      <w:tr w:rsidR="00554926" w:rsidRPr="006E55EC" w:rsidTr="00AB4189">
        <w:trPr>
          <w:jc w:val="center"/>
        </w:trPr>
        <w:tc>
          <w:tcPr>
            <w:tcW w:w="3078" w:type="dxa"/>
          </w:tcPr>
          <w:p w:rsidR="00554926" w:rsidRPr="006E55EC" w:rsidRDefault="00554926" w:rsidP="00AB4189">
            <w:pPr>
              <w:snapToGrid w:val="0"/>
              <w:jc w:val="both"/>
              <w:rPr>
                <w:color w:val="000000"/>
                <w:sz w:val="20"/>
                <w:szCs w:val="20"/>
              </w:rPr>
            </w:pPr>
            <w:r w:rsidRPr="006E55EC">
              <w:rPr>
                <w:color w:val="000000"/>
                <w:sz w:val="20"/>
                <w:szCs w:val="20"/>
              </w:rPr>
              <w:t>Extract/Agent</w:t>
            </w:r>
          </w:p>
        </w:tc>
        <w:tc>
          <w:tcPr>
            <w:tcW w:w="2826" w:type="dxa"/>
          </w:tcPr>
          <w:p w:rsidR="00554926" w:rsidRPr="006E55EC" w:rsidRDefault="00554926" w:rsidP="00AB4189">
            <w:pPr>
              <w:snapToGrid w:val="0"/>
              <w:jc w:val="both"/>
              <w:rPr>
                <w:color w:val="000000"/>
                <w:sz w:val="20"/>
                <w:szCs w:val="20"/>
              </w:rPr>
            </w:pPr>
            <w:r w:rsidRPr="006E55EC">
              <w:rPr>
                <w:color w:val="000000"/>
                <w:sz w:val="20"/>
                <w:szCs w:val="20"/>
              </w:rPr>
              <w:t>Superoxide Production</w:t>
            </w:r>
          </w:p>
          <w:p w:rsidR="00554926" w:rsidRPr="006E55EC" w:rsidRDefault="00554926" w:rsidP="00AB4189">
            <w:pPr>
              <w:snapToGrid w:val="0"/>
              <w:jc w:val="both"/>
              <w:rPr>
                <w:color w:val="000000"/>
                <w:sz w:val="20"/>
                <w:szCs w:val="20"/>
              </w:rPr>
            </w:pPr>
            <w:r w:rsidRPr="006E55EC">
              <w:rPr>
                <w:color w:val="000000"/>
                <w:sz w:val="20"/>
                <w:szCs w:val="20"/>
              </w:rPr>
              <w:t>(∆A550nm/min)</w:t>
            </w:r>
          </w:p>
        </w:tc>
        <w:tc>
          <w:tcPr>
            <w:tcW w:w="2952" w:type="dxa"/>
          </w:tcPr>
          <w:p w:rsidR="00554926" w:rsidRPr="006E55EC" w:rsidRDefault="00554926" w:rsidP="00AB4189">
            <w:pPr>
              <w:snapToGrid w:val="0"/>
              <w:jc w:val="both"/>
              <w:rPr>
                <w:color w:val="000000"/>
                <w:sz w:val="20"/>
                <w:szCs w:val="20"/>
              </w:rPr>
            </w:pPr>
            <w:r w:rsidRPr="006E55EC">
              <w:rPr>
                <w:color w:val="000000"/>
                <w:sz w:val="20"/>
                <w:szCs w:val="20"/>
              </w:rPr>
              <w:t>Uric Acid Production</w:t>
            </w:r>
          </w:p>
          <w:p w:rsidR="00554926" w:rsidRPr="006E55EC" w:rsidRDefault="00554926" w:rsidP="00AB4189">
            <w:pPr>
              <w:snapToGrid w:val="0"/>
              <w:jc w:val="both"/>
              <w:rPr>
                <w:color w:val="000000"/>
                <w:sz w:val="20"/>
                <w:szCs w:val="20"/>
              </w:rPr>
            </w:pPr>
            <w:r w:rsidRPr="006E55EC">
              <w:rPr>
                <w:color w:val="000000"/>
                <w:sz w:val="20"/>
                <w:szCs w:val="20"/>
              </w:rPr>
              <w:t>(∆A295nm/min)</w:t>
            </w:r>
          </w:p>
        </w:tc>
      </w:tr>
      <w:tr w:rsidR="00554926" w:rsidRPr="006E55EC" w:rsidTr="00AB4189">
        <w:trPr>
          <w:jc w:val="center"/>
        </w:trPr>
        <w:tc>
          <w:tcPr>
            <w:tcW w:w="3078" w:type="dxa"/>
          </w:tcPr>
          <w:p w:rsidR="00554926" w:rsidRPr="006E55EC" w:rsidRDefault="00554926" w:rsidP="00AB4189">
            <w:pPr>
              <w:snapToGrid w:val="0"/>
              <w:jc w:val="both"/>
              <w:rPr>
                <w:color w:val="000000"/>
                <w:sz w:val="20"/>
                <w:szCs w:val="20"/>
              </w:rPr>
            </w:pPr>
            <w:r w:rsidRPr="006E55EC">
              <w:rPr>
                <w:color w:val="000000"/>
                <w:sz w:val="20"/>
                <w:szCs w:val="20"/>
              </w:rPr>
              <w:t>None</w:t>
            </w:r>
            <w:r w:rsidRPr="006E55EC">
              <w:rPr>
                <w:color w:val="000000"/>
                <w:sz w:val="20"/>
                <w:szCs w:val="20"/>
                <w:vertAlign w:val="superscript"/>
              </w:rPr>
              <w:t>1</w:t>
            </w:r>
          </w:p>
        </w:tc>
        <w:tc>
          <w:tcPr>
            <w:tcW w:w="2826" w:type="dxa"/>
          </w:tcPr>
          <w:p w:rsidR="00554926" w:rsidRPr="006E55EC" w:rsidRDefault="00554926" w:rsidP="00AB4189">
            <w:pPr>
              <w:snapToGrid w:val="0"/>
              <w:jc w:val="both"/>
              <w:rPr>
                <w:color w:val="000000"/>
                <w:sz w:val="20"/>
                <w:szCs w:val="20"/>
              </w:rPr>
            </w:pPr>
            <w:r w:rsidRPr="006E55EC">
              <w:rPr>
                <w:color w:val="000000"/>
                <w:sz w:val="20"/>
                <w:szCs w:val="20"/>
              </w:rPr>
              <w:t>0.085 ± 0.002</w:t>
            </w:r>
          </w:p>
        </w:tc>
        <w:tc>
          <w:tcPr>
            <w:tcW w:w="2952" w:type="dxa"/>
          </w:tcPr>
          <w:p w:rsidR="00554926" w:rsidRPr="006E55EC" w:rsidRDefault="00554926" w:rsidP="00AB4189">
            <w:pPr>
              <w:snapToGrid w:val="0"/>
              <w:jc w:val="both"/>
              <w:rPr>
                <w:color w:val="000000"/>
                <w:sz w:val="20"/>
                <w:szCs w:val="20"/>
              </w:rPr>
            </w:pPr>
            <w:r w:rsidRPr="006E55EC">
              <w:rPr>
                <w:color w:val="000000"/>
                <w:sz w:val="20"/>
                <w:szCs w:val="20"/>
              </w:rPr>
              <w:t>0.106 ± 0.001</w:t>
            </w:r>
          </w:p>
        </w:tc>
      </w:tr>
      <w:tr w:rsidR="00554926" w:rsidRPr="006E55EC" w:rsidTr="00AB4189">
        <w:trPr>
          <w:jc w:val="center"/>
        </w:trPr>
        <w:tc>
          <w:tcPr>
            <w:tcW w:w="3078" w:type="dxa"/>
          </w:tcPr>
          <w:p w:rsidR="00554926" w:rsidRPr="006E55EC" w:rsidRDefault="00554926" w:rsidP="00AB4189">
            <w:pPr>
              <w:snapToGrid w:val="0"/>
              <w:jc w:val="both"/>
              <w:rPr>
                <w:color w:val="000000"/>
                <w:sz w:val="20"/>
                <w:szCs w:val="20"/>
              </w:rPr>
            </w:pPr>
            <w:r w:rsidRPr="006E55EC">
              <w:rPr>
                <w:color w:val="000000"/>
                <w:sz w:val="20"/>
                <w:szCs w:val="20"/>
              </w:rPr>
              <w:t>50U SOD</w:t>
            </w:r>
          </w:p>
        </w:tc>
        <w:tc>
          <w:tcPr>
            <w:tcW w:w="2826" w:type="dxa"/>
          </w:tcPr>
          <w:p w:rsidR="00554926" w:rsidRPr="006E55EC" w:rsidRDefault="00554926" w:rsidP="00AB4189">
            <w:pPr>
              <w:snapToGrid w:val="0"/>
              <w:jc w:val="both"/>
              <w:rPr>
                <w:color w:val="000000"/>
                <w:sz w:val="20"/>
                <w:szCs w:val="20"/>
              </w:rPr>
            </w:pPr>
            <w:r w:rsidRPr="006E55EC">
              <w:rPr>
                <w:color w:val="000000"/>
                <w:sz w:val="20"/>
                <w:szCs w:val="20"/>
              </w:rPr>
              <w:t>0.001 ± 0.001*</w:t>
            </w:r>
          </w:p>
        </w:tc>
        <w:tc>
          <w:tcPr>
            <w:tcW w:w="2952" w:type="dxa"/>
          </w:tcPr>
          <w:p w:rsidR="00554926" w:rsidRPr="006E55EC" w:rsidRDefault="00554926" w:rsidP="00AB4189">
            <w:pPr>
              <w:snapToGrid w:val="0"/>
              <w:jc w:val="both"/>
              <w:rPr>
                <w:color w:val="000000"/>
                <w:sz w:val="20"/>
                <w:szCs w:val="20"/>
              </w:rPr>
            </w:pPr>
            <w:r w:rsidRPr="006E55EC">
              <w:rPr>
                <w:color w:val="000000"/>
                <w:sz w:val="20"/>
                <w:szCs w:val="20"/>
              </w:rPr>
              <w:t>0.099 ± 0.002</w:t>
            </w:r>
          </w:p>
        </w:tc>
      </w:tr>
      <w:tr w:rsidR="00554926" w:rsidRPr="006E55EC" w:rsidTr="00AB4189">
        <w:trPr>
          <w:trHeight w:val="260"/>
          <w:jc w:val="center"/>
        </w:trPr>
        <w:tc>
          <w:tcPr>
            <w:tcW w:w="3078" w:type="dxa"/>
            <w:vAlign w:val="bottom"/>
          </w:tcPr>
          <w:p w:rsidR="00554926" w:rsidRPr="006E55EC" w:rsidRDefault="00554926" w:rsidP="00AB4189">
            <w:pPr>
              <w:snapToGrid w:val="0"/>
              <w:jc w:val="both"/>
              <w:rPr>
                <w:color w:val="000000"/>
                <w:sz w:val="20"/>
                <w:szCs w:val="20"/>
              </w:rPr>
            </w:pPr>
            <w:r w:rsidRPr="006E55EC">
              <w:rPr>
                <w:color w:val="000000"/>
                <w:sz w:val="20"/>
                <w:szCs w:val="20"/>
              </w:rPr>
              <w:t xml:space="preserve">5% diethyl ether extract of </w:t>
            </w:r>
            <w:smartTag w:uri="urn:schemas-microsoft-com:office:smarttags" w:element="stockticker">
              <w:r w:rsidRPr="006E55EC">
                <w:rPr>
                  <w:color w:val="000000"/>
                  <w:sz w:val="20"/>
                  <w:szCs w:val="20"/>
                </w:rPr>
                <w:t>HAE</w:t>
              </w:r>
            </w:smartTag>
          </w:p>
        </w:tc>
        <w:tc>
          <w:tcPr>
            <w:tcW w:w="2826" w:type="dxa"/>
          </w:tcPr>
          <w:p w:rsidR="00554926" w:rsidRPr="006E55EC" w:rsidRDefault="00554926" w:rsidP="00AB4189">
            <w:pPr>
              <w:snapToGrid w:val="0"/>
              <w:jc w:val="both"/>
              <w:rPr>
                <w:color w:val="000000"/>
                <w:sz w:val="20"/>
                <w:szCs w:val="20"/>
              </w:rPr>
            </w:pPr>
            <w:r w:rsidRPr="006E55EC">
              <w:rPr>
                <w:color w:val="000000"/>
                <w:sz w:val="20"/>
                <w:szCs w:val="20"/>
              </w:rPr>
              <w:t>0.050 ± 0.001*</w:t>
            </w:r>
          </w:p>
        </w:tc>
        <w:tc>
          <w:tcPr>
            <w:tcW w:w="2952" w:type="dxa"/>
          </w:tcPr>
          <w:p w:rsidR="00554926" w:rsidRPr="006E55EC" w:rsidRDefault="00554926" w:rsidP="00AB4189">
            <w:pPr>
              <w:snapToGrid w:val="0"/>
              <w:jc w:val="both"/>
              <w:rPr>
                <w:color w:val="000000"/>
                <w:sz w:val="20"/>
                <w:szCs w:val="20"/>
              </w:rPr>
            </w:pPr>
            <w:r w:rsidRPr="006E55EC">
              <w:rPr>
                <w:color w:val="000000"/>
                <w:sz w:val="20"/>
                <w:szCs w:val="20"/>
              </w:rPr>
              <w:t>N.D</w:t>
            </w:r>
          </w:p>
        </w:tc>
      </w:tr>
    </w:tbl>
    <w:p w:rsidR="00D15E42" w:rsidRPr="006E55EC" w:rsidRDefault="00D15E42" w:rsidP="00AB4189">
      <w:pPr>
        <w:snapToGrid w:val="0"/>
        <w:jc w:val="both"/>
        <w:rPr>
          <w:b/>
          <w:bCs/>
          <w:sz w:val="20"/>
          <w:szCs w:val="20"/>
        </w:rPr>
      </w:pPr>
      <w:r w:rsidRPr="006E55EC">
        <w:rPr>
          <w:b/>
          <w:sz w:val="20"/>
          <w:szCs w:val="20"/>
        </w:rPr>
        <w:t xml:space="preserve">Values are means of three experiments ± </w:t>
      </w:r>
      <w:smartTag w:uri="urn:schemas-microsoft-com:office:smarttags" w:element="stockticker">
        <w:r w:rsidRPr="006E55EC">
          <w:rPr>
            <w:b/>
            <w:sz w:val="20"/>
            <w:szCs w:val="20"/>
          </w:rPr>
          <w:t>SEM</w:t>
        </w:r>
      </w:smartTag>
      <w:r w:rsidRPr="006E55EC">
        <w:rPr>
          <w:b/>
          <w:sz w:val="20"/>
          <w:szCs w:val="20"/>
        </w:rPr>
        <w:t>. Significant differences (p &lt; 0.05) from control</w:t>
      </w:r>
      <w:r w:rsidRPr="006E55EC">
        <w:rPr>
          <w:b/>
          <w:sz w:val="20"/>
          <w:szCs w:val="20"/>
          <w:vertAlign w:val="superscript"/>
        </w:rPr>
        <w:t>1</w:t>
      </w:r>
      <w:r w:rsidRPr="006E55EC">
        <w:rPr>
          <w:b/>
          <w:sz w:val="20"/>
          <w:szCs w:val="20"/>
        </w:rPr>
        <w:t xml:space="preserve"> (</w:t>
      </w:r>
      <w:proofErr w:type="spellStart"/>
      <w:r w:rsidRPr="006E55EC">
        <w:rPr>
          <w:b/>
          <w:sz w:val="20"/>
          <w:szCs w:val="20"/>
        </w:rPr>
        <w:t>xanthine-xanthine</w:t>
      </w:r>
      <w:proofErr w:type="spellEnd"/>
      <w:r w:rsidRPr="006E55EC">
        <w:rPr>
          <w:b/>
          <w:sz w:val="20"/>
          <w:szCs w:val="20"/>
        </w:rPr>
        <w:t xml:space="preserve"> </w:t>
      </w:r>
      <w:proofErr w:type="spellStart"/>
      <w:r w:rsidRPr="006E55EC">
        <w:rPr>
          <w:b/>
          <w:sz w:val="20"/>
          <w:szCs w:val="20"/>
        </w:rPr>
        <w:t>oxidase</w:t>
      </w:r>
      <w:proofErr w:type="spellEnd"/>
      <w:r w:rsidRPr="006E55EC">
        <w:rPr>
          <w:b/>
          <w:sz w:val="20"/>
          <w:szCs w:val="20"/>
        </w:rPr>
        <w:t xml:space="preserve"> only) are indicated by ٭</w:t>
      </w:r>
    </w:p>
    <w:p w:rsidR="00FD5701" w:rsidRPr="006E55EC" w:rsidRDefault="00FD5701" w:rsidP="00AB4189">
      <w:pPr>
        <w:snapToGrid w:val="0"/>
        <w:jc w:val="both"/>
        <w:rPr>
          <w:b/>
          <w:sz w:val="20"/>
          <w:szCs w:val="20"/>
        </w:rPr>
      </w:pPr>
    </w:p>
    <w:p w:rsidR="00AB4189" w:rsidRPr="006E55EC" w:rsidRDefault="00AB4189" w:rsidP="00AB4189">
      <w:pPr>
        <w:snapToGrid w:val="0"/>
        <w:jc w:val="both"/>
        <w:rPr>
          <w:b/>
          <w:sz w:val="20"/>
          <w:szCs w:val="20"/>
        </w:rPr>
        <w:sectPr w:rsidR="00AB4189" w:rsidRPr="006E55EC" w:rsidSect="003F03A9">
          <w:footnotePr>
            <w:pos w:val="beneathText"/>
          </w:footnotePr>
          <w:type w:val="continuous"/>
          <w:pgSz w:w="12240" w:h="15840" w:code="1"/>
          <w:pgMar w:top="1440" w:right="1440" w:bottom="1440" w:left="1440" w:header="720" w:footer="720" w:gutter="0"/>
          <w:cols w:space="720"/>
          <w:docGrid w:linePitch="326"/>
        </w:sectPr>
      </w:pPr>
    </w:p>
    <w:p w:rsidR="00D15E42" w:rsidRPr="006E55EC" w:rsidRDefault="00126D11" w:rsidP="00AB4189">
      <w:pPr>
        <w:snapToGrid w:val="0"/>
        <w:jc w:val="both"/>
        <w:rPr>
          <w:b/>
          <w:sz w:val="20"/>
          <w:szCs w:val="20"/>
        </w:rPr>
      </w:pPr>
      <w:r w:rsidRPr="006E55EC">
        <w:rPr>
          <w:b/>
          <w:sz w:val="20"/>
          <w:szCs w:val="20"/>
        </w:rPr>
        <w:lastRenderedPageBreak/>
        <w:t xml:space="preserve">3.2. </w:t>
      </w:r>
      <w:r w:rsidR="00D15E42" w:rsidRPr="006E55EC">
        <w:rPr>
          <w:b/>
          <w:sz w:val="20"/>
          <w:szCs w:val="20"/>
        </w:rPr>
        <w:t xml:space="preserve">ABTS Radical </w:t>
      </w:r>
      <w:proofErr w:type="spellStart"/>
      <w:r w:rsidR="00D15E42" w:rsidRPr="006E55EC">
        <w:rPr>
          <w:b/>
          <w:sz w:val="20"/>
          <w:szCs w:val="20"/>
        </w:rPr>
        <w:t>Cation</w:t>
      </w:r>
      <w:proofErr w:type="spellEnd"/>
      <w:r w:rsidR="00D15E42" w:rsidRPr="006E55EC">
        <w:rPr>
          <w:b/>
          <w:sz w:val="20"/>
          <w:szCs w:val="20"/>
        </w:rPr>
        <w:t xml:space="preserve"> Scavenging Ability of </w:t>
      </w:r>
      <w:smartTag w:uri="urn:schemas-microsoft-com:office:smarttags" w:element="stockticker">
        <w:r w:rsidR="00D15E42" w:rsidRPr="006E55EC">
          <w:rPr>
            <w:b/>
            <w:sz w:val="20"/>
            <w:szCs w:val="20"/>
          </w:rPr>
          <w:t>HAE</w:t>
        </w:r>
      </w:smartTag>
    </w:p>
    <w:p w:rsidR="00D15E42" w:rsidRPr="006E55EC" w:rsidRDefault="00D15E42" w:rsidP="00AB4189">
      <w:pPr>
        <w:snapToGrid w:val="0"/>
        <w:ind w:firstLine="425"/>
        <w:jc w:val="both"/>
        <w:rPr>
          <w:sz w:val="20"/>
          <w:szCs w:val="20"/>
        </w:rPr>
      </w:pPr>
      <w:r w:rsidRPr="006E55EC">
        <w:rPr>
          <w:sz w:val="20"/>
          <w:szCs w:val="20"/>
        </w:rPr>
        <w:t xml:space="preserve">In the three versions of TEAC assay, TEAC II and TEAC </w:t>
      </w:r>
      <w:smartTag w:uri="urn:schemas-microsoft-com:office:smarttags" w:element="stockticker">
        <w:r w:rsidRPr="006E55EC">
          <w:rPr>
            <w:sz w:val="20"/>
            <w:szCs w:val="20"/>
          </w:rPr>
          <w:t>III</w:t>
        </w:r>
      </w:smartTag>
      <w:r w:rsidRPr="006E55EC">
        <w:rPr>
          <w:sz w:val="20"/>
          <w:szCs w:val="20"/>
        </w:rPr>
        <w:t xml:space="preserve"> (hydrophilic and </w:t>
      </w:r>
      <w:proofErr w:type="spellStart"/>
      <w:r w:rsidRPr="006E55EC">
        <w:rPr>
          <w:sz w:val="20"/>
          <w:szCs w:val="20"/>
        </w:rPr>
        <w:t>lipophilic</w:t>
      </w:r>
      <w:proofErr w:type="spellEnd"/>
      <w:r w:rsidRPr="006E55EC">
        <w:rPr>
          <w:sz w:val="20"/>
          <w:szCs w:val="20"/>
        </w:rPr>
        <w:t xml:space="preserve"> version) the inhibition of ABTS</w:t>
      </w:r>
      <w:r w:rsidRPr="006E55EC">
        <w:rPr>
          <w:sz w:val="20"/>
          <w:szCs w:val="20"/>
          <w:vertAlign w:val="superscript"/>
        </w:rPr>
        <w:t>●+</w:t>
      </w:r>
      <w:r w:rsidRPr="006E55EC">
        <w:rPr>
          <w:sz w:val="20"/>
          <w:szCs w:val="20"/>
        </w:rPr>
        <w:t xml:space="preserve"> radical </w:t>
      </w:r>
      <w:proofErr w:type="spellStart"/>
      <w:r w:rsidRPr="006E55EC">
        <w:rPr>
          <w:sz w:val="20"/>
          <w:szCs w:val="20"/>
        </w:rPr>
        <w:t>cation</w:t>
      </w:r>
      <w:proofErr w:type="spellEnd"/>
      <w:r w:rsidRPr="006E55EC">
        <w:rPr>
          <w:sz w:val="20"/>
          <w:szCs w:val="20"/>
        </w:rPr>
        <w:t xml:space="preserve"> was directly related to the concentration of the extracts and the TEAC value of </w:t>
      </w:r>
      <w:proofErr w:type="spellStart"/>
      <w:r w:rsidRPr="006E55EC">
        <w:rPr>
          <w:sz w:val="20"/>
          <w:szCs w:val="20"/>
        </w:rPr>
        <w:t>Trolox</w:t>
      </w:r>
      <w:proofErr w:type="spellEnd"/>
      <w:r w:rsidRPr="006E55EC">
        <w:rPr>
          <w:sz w:val="20"/>
          <w:szCs w:val="20"/>
        </w:rPr>
        <w:t xml:space="preserve"> is</w:t>
      </w:r>
      <w:r w:rsidR="00B74E67" w:rsidRPr="006E55EC">
        <w:rPr>
          <w:sz w:val="20"/>
          <w:szCs w:val="20"/>
        </w:rPr>
        <w:t xml:space="preserve"> 1.00. </w:t>
      </w:r>
      <w:smartTag w:uri="urn:schemas-microsoft-com:office:smarttags" w:element="stockticker">
        <w:r w:rsidRPr="006E55EC">
          <w:rPr>
            <w:sz w:val="20"/>
            <w:szCs w:val="20"/>
          </w:rPr>
          <w:t>HAE</w:t>
        </w:r>
      </w:smartTag>
      <w:r w:rsidRPr="006E55EC">
        <w:rPr>
          <w:sz w:val="20"/>
          <w:szCs w:val="20"/>
        </w:rPr>
        <w:t xml:space="preserve"> showed comparable antioxidant activity in TEAC II and TEAC </w:t>
      </w:r>
      <w:smartTag w:uri="urn:schemas-microsoft-com:office:smarttags" w:element="stockticker">
        <w:r w:rsidRPr="006E55EC">
          <w:rPr>
            <w:sz w:val="20"/>
            <w:szCs w:val="20"/>
          </w:rPr>
          <w:t>III</w:t>
        </w:r>
      </w:smartTag>
      <w:r w:rsidRPr="006E55EC">
        <w:rPr>
          <w:sz w:val="20"/>
          <w:szCs w:val="20"/>
        </w:rPr>
        <w:t xml:space="preserve"> hydrophilic version but TEAC values analysed in TEAC </w:t>
      </w:r>
      <w:smartTag w:uri="urn:schemas-microsoft-com:office:smarttags" w:element="stockticker">
        <w:r w:rsidRPr="006E55EC">
          <w:rPr>
            <w:sz w:val="20"/>
            <w:szCs w:val="20"/>
          </w:rPr>
          <w:t>III</w:t>
        </w:r>
      </w:smartTag>
      <w:r w:rsidRPr="006E55EC">
        <w:rPr>
          <w:sz w:val="20"/>
          <w:szCs w:val="20"/>
        </w:rPr>
        <w:t xml:space="preserve"> (</w:t>
      </w:r>
      <w:proofErr w:type="spellStart"/>
      <w:r w:rsidRPr="006E55EC">
        <w:rPr>
          <w:sz w:val="20"/>
          <w:szCs w:val="20"/>
        </w:rPr>
        <w:t>lipophilic</w:t>
      </w:r>
      <w:proofErr w:type="spellEnd"/>
      <w:r w:rsidRPr="006E55EC">
        <w:rPr>
          <w:sz w:val="20"/>
          <w:szCs w:val="20"/>
        </w:rPr>
        <w:t xml:space="preserve"> version) were much lower when compared with the other two TEAC assays (Table </w:t>
      </w:r>
      <w:r w:rsidRPr="006E55EC">
        <w:rPr>
          <w:b/>
          <w:bCs/>
          <w:sz w:val="20"/>
          <w:szCs w:val="20"/>
        </w:rPr>
        <w:t>2</w:t>
      </w:r>
      <w:r w:rsidRPr="006E55EC">
        <w:rPr>
          <w:sz w:val="20"/>
          <w:szCs w:val="20"/>
        </w:rPr>
        <w:t>).</w:t>
      </w:r>
    </w:p>
    <w:p w:rsidR="00D15E42" w:rsidRPr="006E55EC" w:rsidRDefault="00D15E42" w:rsidP="00AB4189">
      <w:pPr>
        <w:snapToGrid w:val="0"/>
        <w:ind w:firstLine="425"/>
        <w:jc w:val="both"/>
        <w:rPr>
          <w:sz w:val="20"/>
          <w:szCs w:val="20"/>
        </w:rPr>
      </w:pPr>
    </w:p>
    <w:p w:rsidR="00D15E42" w:rsidRPr="006E55EC" w:rsidRDefault="00D15E42" w:rsidP="00AB4189">
      <w:pPr>
        <w:snapToGrid w:val="0"/>
        <w:jc w:val="both"/>
        <w:rPr>
          <w:b/>
          <w:bCs/>
          <w:sz w:val="20"/>
          <w:szCs w:val="20"/>
        </w:rPr>
      </w:pPr>
      <w:r w:rsidRPr="006E55EC">
        <w:rPr>
          <w:b/>
          <w:sz w:val="20"/>
          <w:szCs w:val="20"/>
        </w:rPr>
        <w:t>Table</w:t>
      </w:r>
      <w:r w:rsidRPr="006E55EC">
        <w:rPr>
          <w:b/>
          <w:bCs/>
          <w:sz w:val="20"/>
          <w:szCs w:val="20"/>
        </w:rPr>
        <w:t xml:space="preserve"> 2 </w:t>
      </w:r>
      <w:proofErr w:type="spellStart"/>
      <w:r w:rsidRPr="006E55EC">
        <w:rPr>
          <w:b/>
          <w:sz w:val="20"/>
          <w:szCs w:val="20"/>
        </w:rPr>
        <w:t>Trolox</w:t>
      </w:r>
      <w:proofErr w:type="spellEnd"/>
      <w:r w:rsidRPr="006E55EC">
        <w:rPr>
          <w:b/>
          <w:sz w:val="20"/>
          <w:szCs w:val="20"/>
        </w:rPr>
        <w:t xml:space="preserve"> equivalent antioxidant capacitie</w:t>
      </w:r>
      <w:r w:rsidR="00126D11" w:rsidRPr="006E55EC">
        <w:rPr>
          <w:b/>
          <w:sz w:val="20"/>
          <w:szCs w:val="20"/>
        </w:rPr>
        <w:t>s (TEAC) (</w:t>
      </w:r>
      <w:proofErr w:type="spellStart"/>
      <w:r w:rsidR="00126D11" w:rsidRPr="006E55EC">
        <w:rPr>
          <w:b/>
          <w:sz w:val="20"/>
          <w:szCs w:val="20"/>
        </w:rPr>
        <w:t>Mmol</w:t>
      </w:r>
      <w:proofErr w:type="spellEnd"/>
      <w:r w:rsidR="00126D11" w:rsidRPr="006E55EC">
        <w:rPr>
          <w:b/>
          <w:sz w:val="20"/>
          <w:szCs w:val="20"/>
        </w:rPr>
        <w:t xml:space="preserve">/L) of </w:t>
      </w:r>
      <w:proofErr w:type="spellStart"/>
      <w:r w:rsidR="00126D11" w:rsidRPr="006E55EC">
        <w:rPr>
          <w:b/>
          <w:sz w:val="20"/>
          <w:szCs w:val="20"/>
        </w:rPr>
        <w:t>Trolox</w:t>
      </w:r>
      <w:proofErr w:type="spellEnd"/>
      <w:r w:rsidR="00126D11" w:rsidRPr="006E55EC">
        <w:rPr>
          <w:b/>
          <w:sz w:val="20"/>
          <w:szCs w:val="20"/>
        </w:rPr>
        <w:t>, Gallic acid and</w:t>
      </w:r>
      <w:r w:rsidRPr="006E55EC">
        <w:rPr>
          <w:b/>
          <w:sz w:val="20"/>
          <w:szCs w:val="20"/>
        </w:rPr>
        <w:t xml:space="preserve"> </w:t>
      </w:r>
      <w:smartTag w:uri="urn:schemas-microsoft-com:office:smarttags" w:element="stockticker">
        <w:r w:rsidRPr="006E55EC">
          <w:rPr>
            <w:b/>
            <w:sz w:val="20"/>
            <w:szCs w:val="20"/>
          </w:rPr>
          <w:t>HAE</w:t>
        </w:r>
      </w:smartTag>
    </w:p>
    <w:tbl>
      <w:tblPr>
        <w:tblStyle w:val="TableGrid"/>
        <w:tblW w:w="5000" w:type="pct"/>
        <w:jc w:val="center"/>
        <w:tblLook w:val="04A0"/>
      </w:tblPr>
      <w:tblGrid>
        <w:gridCol w:w="1784"/>
        <w:gridCol w:w="722"/>
        <w:gridCol w:w="1045"/>
        <w:gridCol w:w="1045"/>
      </w:tblGrid>
      <w:tr w:rsidR="00126D11" w:rsidRPr="006E55EC" w:rsidTr="006E55EC">
        <w:trPr>
          <w:jc w:val="center"/>
        </w:trPr>
        <w:tc>
          <w:tcPr>
            <w:tcW w:w="1941" w:type="pct"/>
            <w:vAlign w:val="center"/>
          </w:tcPr>
          <w:p w:rsidR="00126D11" w:rsidRPr="006E55EC" w:rsidRDefault="00126D11" w:rsidP="00AB4189">
            <w:pPr>
              <w:snapToGrid w:val="0"/>
              <w:jc w:val="both"/>
              <w:rPr>
                <w:color w:val="000000"/>
                <w:sz w:val="16"/>
                <w:szCs w:val="16"/>
              </w:rPr>
            </w:pPr>
            <w:r w:rsidRPr="006E55EC">
              <w:rPr>
                <w:color w:val="000000"/>
                <w:sz w:val="16"/>
                <w:szCs w:val="16"/>
                <w:lang w:eastAsia="en-US"/>
              </w:rPr>
              <w:t>Assay/antioxidant</w:t>
            </w:r>
          </w:p>
        </w:tc>
        <w:tc>
          <w:tcPr>
            <w:tcW w:w="785" w:type="pct"/>
            <w:vAlign w:val="center"/>
          </w:tcPr>
          <w:p w:rsidR="00126D11" w:rsidRPr="006E55EC" w:rsidRDefault="00126D11" w:rsidP="00AB4189">
            <w:pPr>
              <w:snapToGrid w:val="0"/>
              <w:jc w:val="both"/>
              <w:rPr>
                <w:color w:val="000000"/>
                <w:sz w:val="16"/>
                <w:szCs w:val="16"/>
              </w:rPr>
            </w:pPr>
            <w:proofErr w:type="spellStart"/>
            <w:r w:rsidRPr="006E55EC">
              <w:rPr>
                <w:color w:val="000000"/>
                <w:sz w:val="16"/>
                <w:szCs w:val="16"/>
                <w:lang w:eastAsia="en-US"/>
              </w:rPr>
              <w:t>Trolox</w:t>
            </w:r>
            <w:proofErr w:type="spellEnd"/>
          </w:p>
        </w:tc>
        <w:tc>
          <w:tcPr>
            <w:tcW w:w="1137" w:type="pct"/>
            <w:vAlign w:val="center"/>
          </w:tcPr>
          <w:p w:rsidR="00126D11" w:rsidRPr="006E55EC" w:rsidRDefault="00126D11" w:rsidP="00AB4189">
            <w:pPr>
              <w:snapToGrid w:val="0"/>
              <w:jc w:val="both"/>
              <w:rPr>
                <w:color w:val="000000"/>
                <w:sz w:val="16"/>
                <w:szCs w:val="16"/>
              </w:rPr>
            </w:pPr>
            <w:r w:rsidRPr="006E55EC">
              <w:rPr>
                <w:color w:val="000000"/>
                <w:sz w:val="16"/>
                <w:szCs w:val="16"/>
                <w:lang w:val="en-US" w:eastAsia="en-US"/>
              </w:rPr>
              <w:t>Gallic</w:t>
            </w:r>
          </w:p>
        </w:tc>
        <w:tc>
          <w:tcPr>
            <w:tcW w:w="1137" w:type="pct"/>
            <w:vAlign w:val="center"/>
          </w:tcPr>
          <w:p w:rsidR="00126D11" w:rsidRPr="006E55EC" w:rsidRDefault="00126D11" w:rsidP="00AB4189">
            <w:pPr>
              <w:snapToGrid w:val="0"/>
              <w:jc w:val="both"/>
              <w:rPr>
                <w:color w:val="000000"/>
                <w:sz w:val="16"/>
                <w:szCs w:val="16"/>
              </w:rPr>
            </w:pPr>
            <w:r w:rsidRPr="006E55EC">
              <w:rPr>
                <w:color w:val="000000"/>
                <w:sz w:val="16"/>
                <w:szCs w:val="16"/>
              </w:rPr>
              <w:t>HA</w:t>
            </w:r>
            <w:r w:rsidRPr="006E55EC">
              <w:rPr>
                <w:color w:val="000000"/>
                <w:sz w:val="16"/>
                <w:szCs w:val="16"/>
                <w:lang w:eastAsia="en-US"/>
              </w:rPr>
              <w:t>E</w:t>
            </w:r>
          </w:p>
        </w:tc>
      </w:tr>
      <w:tr w:rsidR="00126D11" w:rsidRPr="006E55EC" w:rsidTr="006E55EC">
        <w:trPr>
          <w:jc w:val="center"/>
        </w:trPr>
        <w:tc>
          <w:tcPr>
            <w:tcW w:w="1941" w:type="pct"/>
            <w:vAlign w:val="center"/>
          </w:tcPr>
          <w:p w:rsidR="00126D11" w:rsidRPr="006E55EC" w:rsidRDefault="00126D11" w:rsidP="00AB4189">
            <w:pPr>
              <w:snapToGrid w:val="0"/>
              <w:jc w:val="both"/>
              <w:rPr>
                <w:color w:val="000000"/>
                <w:sz w:val="16"/>
                <w:szCs w:val="16"/>
              </w:rPr>
            </w:pPr>
            <w:r w:rsidRPr="006E55EC">
              <w:rPr>
                <w:color w:val="000000"/>
                <w:sz w:val="16"/>
                <w:szCs w:val="16"/>
                <w:lang w:eastAsia="en-US"/>
              </w:rPr>
              <w:t>TEAC II</w:t>
            </w:r>
          </w:p>
        </w:tc>
        <w:tc>
          <w:tcPr>
            <w:tcW w:w="785" w:type="pct"/>
            <w:vAlign w:val="center"/>
          </w:tcPr>
          <w:p w:rsidR="00126D11" w:rsidRPr="006E55EC" w:rsidRDefault="00126D11" w:rsidP="00AB4189">
            <w:pPr>
              <w:snapToGrid w:val="0"/>
              <w:jc w:val="both"/>
              <w:rPr>
                <w:color w:val="000000"/>
                <w:sz w:val="16"/>
                <w:szCs w:val="16"/>
              </w:rPr>
            </w:pPr>
            <w:r w:rsidRPr="006E55EC">
              <w:rPr>
                <w:color w:val="000000"/>
                <w:sz w:val="16"/>
                <w:szCs w:val="16"/>
              </w:rPr>
              <w:t>1</w:t>
            </w:r>
          </w:p>
        </w:tc>
        <w:tc>
          <w:tcPr>
            <w:tcW w:w="1137" w:type="pct"/>
            <w:vAlign w:val="center"/>
          </w:tcPr>
          <w:p w:rsidR="00126D11" w:rsidRPr="006E55EC" w:rsidRDefault="00126D11" w:rsidP="00AB4189">
            <w:pPr>
              <w:snapToGrid w:val="0"/>
              <w:jc w:val="both"/>
              <w:rPr>
                <w:color w:val="000000"/>
                <w:sz w:val="16"/>
                <w:szCs w:val="16"/>
              </w:rPr>
            </w:pPr>
            <w:r w:rsidRPr="006E55EC">
              <w:rPr>
                <w:color w:val="000000"/>
                <w:sz w:val="16"/>
                <w:szCs w:val="16"/>
              </w:rPr>
              <w:t>3.96 ± 0.31</w:t>
            </w:r>
          </w:p>
        </w:tc>
        <w:tc>
          <w:tcPr>
            <w:tcW w:w="1137" w:type="pct"/>
            <w:vAlign w:val="center"/>
          </w:tcPr>
          <w:p w:rsidR="00126D11" w:rsidRPr="006E55EC" w:rsidRDefault="00126D11" w:rsidP="00AB4189">
            <w:pPr>
              <w:snapToGrid w:val="0"/>
              <w:jc w:val="both"/>
              <w:rPr>
                <w:color w:val="000000"/>
                <w:sz w:val="16"/>
                <w:szCs w:val="16"/>
              </w:rPr>
            </w:pPr>
            <w:r w:rsidRPr="006E55EC">
              <w:rPr>
                <w:color w:val="000000"/>
                <w:sz w:val="16"/>
                <w:szCs w:val="16"/>
              </w:rPr>
              <w:t>0.</w:t>
            </w:r>
            <w:r w:rsidRPr="006E55EC">
              <w:rPr>
                <w:color w:val="000000"/>
                <w:sz w:val="16"/>
                <w:szCs w:val="16"/>
                <w:lang w:eastAsia="en-US"/>
              </w:rPr>
              <w:t>85 ± 0.07</w:t>
            </w:r>
          </w:p>
        </w:tc>
      </w:tr>
      <w:tr w:rsidR="00126D11" w:rsidRPr="006E55EC" w:rsidTr="006E55EC">
        <w:trPr>
          <w:jc w:val="center"/>
        </w:trPr>
        <w:tc>
          <w:tcPr>
            <w:tcW w:w="1941" w:type="pct"/>
            <w:vAlign w:val="center"/>
          </w:tcPr>
          <w:p w:rsidR="00126D11" w:rsidRPr="006E55EC" w:rsidRDefault="00126D11" w:rsidP="00AB4189">
            <w:pPr>
              <w:snapToGrid w:val="0"/>
              <w:jc w:val="both"/>
              <w:rPr>
                <w:color w:val="000000"/>
                <w:sz w:val="16"/>
                <w:szCs w:val="16"/>
              </w:rPr>
            </w:pPr>
            <w:r w:rsidRPr="006E55EC">
              <w:rPr>
                <w:color w:val="000000"/>
                <w:sz w:val="16"/>
                <w:szCs w:val="16"/>
                <w:lang w:eastAsia="en-US"/>
              </w:rPr>
              <w:t xml:space="preserve">TEAC </w:t>
            </w:r>
            <w:smartTag w:uri="urn:schemas-microsoft-com:office:smarttags" w:element="stockticker">
              <w:r w:rsidRPr="006E55EC">
                <w:rPr>
                  <w:color w:val="000000"/>
                  <w:sz w:val="16"/>
                  <w:szCs w:val="16"/>
                  <w:lang w:eastAsia="en-US"/>
                </w:rPr>
                <w:t>III</w:t>
              </w:r>
            </w:smartTag>
            <w:r w:rsidRPr="006E55EC">
              <w:rPr>
                <w:color w:val="000000"/>
                <w:sz w:val="16"/>
                <w:szCs w:val="16"/>
                <w:lang w:eastAsia="en-US"/>
              </w:rPr>
              <w:t xml:space="preserve"> hydrophilic</w:t>
            </w:r>
          </w:p>
        </w:tc>
        <w:tc>
          <w:tcPr>
            <w:tcW w:w="785" w:type="pct"/>
            <w:vAlign w:val="center"/>
          </w:tcPr>
          <w:p w:rsidR="00126D11" w:rsidRPr="006E55EC" w:rsidRDefault="00126D11" w:rsidP="00AB4189">
            <w:pPr>
              <w:snapToGrid w:val="0"/>
              <w:jc w:val="both"/>
              <w:rPr>
                <w:color w:val="000000"/>
                <w:sz w:val="16"/>
                <w:szCs w:val="16"/>
              </w:rPr>
            </w:pPr>
            <w:r w:rsidRPr="006E55EC">
              <w:rPr>
                <w:color w:val="000000"/>
                <w:sz w:val="16"/>
                <w:szCs w:val="16"/>
              </w:rPr>
              <w:t>1</w:t>
            </w:r>
          </w:p>
        </w:tc>
        <w:tc>
          <w:tcPr>
            <w:tcW w:w="1137" w:type="pct"/>
            <w:vAlign w:val="center"/>
          </w:tcPr>
          <w:p w:rsidR="00126D11" w:rsidRPr="006E55EC" w:rsidRDefault="00126D11" w:rsidP="00AB4189">
            <w:pPr>
              <w:snapToGrid w:val="0"/>
              <w:jc w:val="both"/>
              <w:rPr>
                <w:color w:val="000000"/>
                <w:sz w:val="16"/>
                <w:szCs w:val="16"/>
              </w:rPr>
            </w:pPr>
            <w:r w:rsidRPr="006E55EC">
              <w:rPr>
                <w:color w:val="000000"/>
                <w:sz w:val="16"/>
                <w:szCs w:val="16"/>
              </w:rPr>
              <w:t>3.34 ± 0.20</w:t>
            </w:r>
          </w:p>
        </w:tc>
        <w:tc>
          <w:tcPr>
            <w:tcW w:w="1137" w:type="pct"/>
            <w:vAlign w:val="center"/>
          </w:tcPr>
          <w:p w:rsidR="00126D11" w:rsidRPr="006E55EC" w:rsidRDefault="00126D11" w:rsidP="00AB4189">
            <w:pPr>
              <w:snapToGrid w:val="0"/>
              <w:jc w:val="both"/>
              <w:rPr>
                <w:color w:val="000000"/>
                <w:sz w:val="16"/>
                <w:szCs w:val="16"/>
              </w:rPr>
            </w:pPr>
            <w:r w:rsidRPr="006E55EC">
              <w:rPr>
                <w:color w:val="000000"/>
                <w:sz w:val="16"/>
                <w:szCs w:val="16"/>
              </w:rPr>
              <w:t>0.</w:t>
            </w:r>
            <w:r w:rsidRPr="006E55EC">
              <w:rPr>
                <w:color w:val="000000"/>
                <w:sz w:val="16"/>
                <w:szCs w:val="16"/>
                <w:lang w:eastAsia="en-US"/>
              </w:rPr>
              <w:t>74 ± 0.04</w:t>
            </w:r>
          </w:p>
        </w:tc>
      </w:tr>
      <w:tr w:rsidR="00126D11" w:rsidRPr="006E55EC" w:rsidTr="006E55EC">
        <w:trPr>
          <w:jc w:val="center"/>
        </w:trPr>
        <w:tc>
          <w:tcPr>
            <w:tcW w:w="1941" w:type="pct"/>
            <w:vAlign w:val="center"/>
          </w:tcPr>
          <w:p w:rsidR="00126D11" w:rsidRPr="006E55EC" w:rsidRDefault="00126D11" w:rsidP="00AB4189">
            <w:pPr>
              <w:snapToGrid w:val="0"/>
              <w:jc w:val="both"/>
              <w:rPr>
                <w:color w:val="000000"/>
                <w:sz w:val="16"/>
                <w:szCs w:val="16"/>
              </w:rPr>
            </w:pPr>
            <w:r w:rsidRPr="006E55EC">
              <w:rPr>
                <w:color w:val="000000"/>
                <w:sz w:val="16"/>
                <w:szCs w:val="16"/>
                <w:lang w:eastAsia="en-US"/>
              </w:rPr>
              <w:t xml:space="preserve">TEAC </w:t>
            </w:r>
            <w:smartTag w:uri="urn:schemas-microsoft-com:office:smarttags" w:element="stockticker">
              <w:r w:rsidRPr="006E55EC">
                <w:rPr>
                  <w:color w:val="000000"/>
                  <w:sz w:val="16"/>
                  <w:szCs w:val="16"/>
                  <w:lang w:eastAsia="en-US"/>
                </w:rPr>
                <w:t>III</w:t>
              </w:r>
            </w:smartTag>
            <w:r w:rsidRPr="006E55EC">
              <w:rPr>
                <w:color w:val="000000"/>
                <w:sz w:val="16"/>
                <w:szCs w:val="16"/>
                <w:lang w:eastAsia="en-US"/>
              </w:rPr>
              <w:t xml:space="preserve"> </w:t>
            </w:r>
            <w:proofErr w:type="spellStart"/>
            <w:r w:rsidRPr="006E55EC">
              <w:rPr>
                <w:color w:val="000000"/>
                <w:sz w:val="16"/>
                <w:szCs w:val="16"/>
                <w:lang w:eastAsia="en-US"/>
              </w:rPr>
              <w:t>lipophilic</w:t>
            </w:r>
            <w:proofErr w:type="spellEnd"/>
          </w:p>
        </w:tc>
        <w:tc>
          <w:tcPr>
            <w:tcW w:w="785" w:type="pct"/>
            <w:vAlign w:val="center"/>
          </w:tcPr>
          <w:p w:rsidR="00126D11" w:rsidRPr="006E55EC" w:rsidRDefault="00126D11" w:rsidP="00AB4189">
            <w:pPr>
              <w:snapToGrid w:val="0"/>
              <w:jc w:val="both"/>
              <w:rPr>
                <w:color w:val="000000"/>
                <w:sz w:val="16"/>
                <w:szCs w:val="16"/>
              </w:rPr>
            </w:pPr>
            <w:r w:rsidRPr="006E55EC">
              <w:rPr>
                <w:color w:val="000000"/>
                <w:sz w:val="16"/>
                <w:szCs w:val="16"/>
              </w:rPr>
              <w:t>1</w:t>
            </w:r>
          </w:p>
        </w:tc>
        <w:tc>
          <w:tcPr>
            <w:tcW w:w="1137" w:type="pct"/>
            <w:vAlign w:val="center"/>
          </w:tcPr>
          <w:p w:rsidR="00126D11" w:rsidRPr="006E55EC" w:rsidRDefault="00126D11" w:rsidP="00AB4189">
            <w:pPr>
              <w:snapToGrid w:val="0"/>
              <w:jc w:val="both"/>
              <w:rPr>
                <w:color w:val="000000"/>
                <w:sz w:val="16"/>
                <w:szCs w:val="16"/>
              </w:rPr>
            </w:pPr>
            <w:r w:rsidRPr="006E55EC">
              <w:rPr>
                <w:color w:val="000000"/>
                <w:sz w:val="16"/>
                <w:szCs w:val="16"/>
              </w:rPr>
              <w:t>3.99 ± 0.16</w:t>
            </w:r>
          </w:p>
        </w:tc>
        <w:tc>
          <w:tcPr>
            <w:tcW w:w="1137" w:type="pct"/>
            <w:vAlign w:val="center"/>
          </w:tcPr>
          <w:p w:rsidR="00126D11" w:rsidRPr="006E55EC" w:rsidRDefault="00126D11" w:rsidP="00AB4189">
            <w:pPr>
              <w:snapToGrid w:val="0"/>
              <w:jc w:val="both"/>
              <w:rPr>
                <w:color w:val="000000"/>
                <w:sz w:val="16"/>
                <w:szCs w:val="16"/>
              </w:rPr>
            </w:pPr>
            <w:r w:rsidRPr="006E55EC">
              <w:rPr>
                <w:color w:val="000000"/>
                <w:sz w:val="16"/>
                <w:szCs w:val="16"/>
              </w:rPr>
              <w:t>0.</w:t>
            </w:r>
            <w:r w:rsidRPr="006E55EC">
              <w:rPr>
                <w:color w:val="000000"/>
                <w:sz w:val="16"/>
                <w:szCs w:val="16"/>
                <w:lang w:eastAsia="en-US"/>
              </w:rPr>
              <w:t>67 ± 0.05</w:t>
            </w:r>
          </w:p>
        </w:tc>
      </w:tr>
    </w:tbl>
    <w:p w:rsidR="00D15E42" w:rsidRPr="006E55EC" w:rsidRDefault="00D15E42" w:rsidP="00AB4189">
      <w:pPr>
        <w:snapToGrid w:val="0"/>
        <w:jc w:val="both"/>
        <w:rPr>
          <w:sz w:val="20"/>
          <w:szCs w:val="20"/>
        </w:rPr>
      </w:pPr>
    </w:p>
    <w:p w:rsidR="00554926" w:rsidRPr="006E55EC" w:rsidRDefault="00126D11" w:rsidP="00AB4189">
      <w:pPr>
        <w:snapToGrid w:val="0"/>
        <w:jc w:val="both"/>
        <w:rPr>
          <w:b/>
          <w:color w:val="000000" w:themeColor="text1"/>
          <w:sz w:val="20"/>
          <w:szCs w:val="20"/>
        </w:rPr>
      </w:pPr>
      <w:r w:rsidRPr="006E55EC">
        <w:rPr>
          <w:b/>
          <w:color w:val="000000" w:themeColor="text1"/>
          <w:sz w:val="20"/>
          <w:szCs w:val="20"/>
        </w:rPr>
        <w:t>3.3</w:t>
      </w:r>
      <w:r w:rsidR="00554926" w:rsidRPr="006E55EC">
        <w:rPr>
          <w:b/>
          <w:color w:val="000000" w:themeColor="text1"/>
          <w:sz w:val="20"/>
          <w:szCs w:val="20"/>
        </w:rPr>
        <w:t>. Diphenyl-1-picrylhydrazyl (DPPH) scavenging activity of HPE</w:t>
      </w:r>
    </w:p>
    <w:p w:rsidR="00D15E42" w:rsidRPr="006E55EC" w:rsidRDefault="00554926" w:rsidP="00AB4189">
      <w:pPr>
        <w:snapToGrid w:val="0"/>
        <w:ind w:firstLine="425"/>
        <w:jc w:val="both"/>
        <w:rPr>
          <w:b/>
          <w:bCs/>
          <w:sz w:val="20"/>
          <w:szCs w:val="20"/>
        </w:rPr>
      </w:pPr>
      <w:r w:rsidRPr="006E55EC">
        <w:rPr>
          <w:rFonts w:eastAsiaTheme="minorHAnsi"/>
          <w:color w:val="000000" w:themeColor="text1"/>
          <w:sz w:val="20"/>
          <w:szCs w:val="20"/>
        </w:rPr>
        <w:t xml:space="preserve">The Hibiscus </w:t>
      </w:r>
      <w:proofErr w:type="spellStart"/>
      <w:r w:rsidRPr="006E55EC">
        <w:rPr>
          <w:rFonts w:eastAsiaTheme="minorHAnsi"/>
          <w:color w:val="000000" w:themeColor="text1"/>
          <w:sz w:val="20"/>
          <w:szCs w:val="20"/>
        </w:rPr>
        <w:t>anthocyanin</w:t>
      </w:r>
      <w:proofErr w:type="spellEnd"/>
      <w:r w:rsidRPr="006E55EC">
        <w:rPr>
          <w:rFonts w:eastAsiaTheme="minorHAnsi"/>
          <w:color w:val="000000" w:themeColor="text1"/>
          <w:sz w:val="20"/>
          <w:szCs w:val="20"/>
        </w:rPr>
        <w:t xml:space="preserve"> rich extract (HAE) demonstrated a concentration dependent scavenging activity by quenching DPPH radicals (data not shown) and was compared with </w:t>
      </w:r>
      <w:proofErr w:type="spellStart"/>
      <w:r w:rsidRPr="006E55EC">
        <w:rPr>
          <w:rFonts w:eastAsiaTheme="minorHAnsi"/>
          <w:color w:val="000000" w:themeColor="text1"/>
          <w:sz w:val="20"/>
          <w:szCs w:val="20"/>
        </w:rPr>
        <w:t>gallic</w:t>
      </w:r>
      <w:proofErr w:type="spellEnd"/>
      <w:r w:rsidRPr="006E55EC">
        <w:rPr>
          <w:rFonts w:eastAsiaTheme="minorHAnsi"/>
          <w:color w:val="000000" w:themeColor="text1"/>
          <w:sz w:val="20"/>
          <w:szCs w:val="20"/>
        </w:rPr>
        <w:t xml:space="preserve"> acid, as a positive control. The IC50 values (defined as the concentration of test compound required to produce 50% inhibition) for DPPH scavenging by HAE and </w:t>
      </w:r>
      <w:proofErr w:type="spellStart"/>
      <w:r w:rsidRPr="006E55EC">
        <w:rPr>
          <w:rFonts w:eastAsiaTheme="minorHAnsi"/>
          <w:color w:val="000000" w:themeColor="text1"/>
          <w:sz w:val="20"/>
          <w:szCs w:val="20"/>
        </w:rPr>
        <w:t>gallic</w:t>
      </w:r>
      <w:proofErr w:type="spellEnd"/>
      <w:r w:rsidRPr="006E55EC">
        <w:rPr>
          <w:rFonts w:eastAsiaTheme="minorHAnsi"/>
          <w:color w:val="000000" w:themeColor="text1"/>
          <w:sz w:val="20"/>
          <w:szCs w:val="20"/>
        </w:rPr>
        <w:t xml:space="preserve"> acid were </w:t>
      </w:r>
      <w:r w:rsidRPr="006E55EC">
        <w:rPr>
          <w:color w:val="000000" w:themeColor="text1"/>
          <w:sz w:val="20"/>
          <w:szCs w:val="20"/>
        </w:rPr>
        <w:t>260.7± 6.4 µg/</w:t>
      </w:r>
      <w:proofErr w:type="spellStart"/>
      <w:r w:rsidRPr="006E55EC">
        <w:rPr>
          <w:color w:val="000000" w:themeColor="text1"/>
          <w:sz w:val="20"/>
          <w:szCs w:val="20"/>
        </w:rPr>
        <w:t>dL</w:t>
      </w:r>
      <w:proofErr w:type="spellEnd"/>
      <w:r w:rsidRPr="006E55EC">
        <w:rPr>
          <w:color w:val="000000" w:themeColor="text1"/>
          <w:sz w:val="20"/>
          <w:szCs w:val="20"/>
        </w:rPr>
        <w:t xml:space="preserve"> </w:t>
      </w:r>
      <w:r w:rsidRPr="006E55EC">
        <w:rPr>
          <w:rFonts w:eastAsiaTheme="minorHAnsi"/>
          <w:color w:val="000000" w:themeColor="text1"/>
          <w:sz w:val="20"/>
          <w:szCs w:val="20"/>
        </w:rPr>
        <w:t xml:space="preserve">and </w:t>
      </w:r>
      <w:r w:rsidRPr="006E55EC">
        <w:rPr>
          <w:color w:val="000000" w:themeColor="text1"/>
          <w:sz w:val="20"/>
          <w:szCs w:val="20"/>
        </w:rPr>
        <w:t>16.33 µg/</w:t>
      </w:r>
      <w:proofErr w:type="spellStart"/>
      <w:r w:rsidRPr="006E55EC">
        <w:rPr>
          <w:color w:val="000000" w:themeColor="text1"/>
          <w:sz w:val="20"/>
          <w:szCs w:val="20"/>
        </w:rPr>
        <w:t>dL</w:t>
      </w:r>
      <w:proofErr w:type="spellEnd"/>
      <w:r w:rsidRPr="006E55EC">
        <w:rPr>
          <w:rFonts w:eastAsiaTheme="minorHAnsi"/>
          <w:color w:val="000000" w:themeColor="text1"/>
          <w:sz w:val="20"/>
          <w:szCs w:val="20"/>
        </w:rPr>
        <w:t xml:space="preserve"> respectively (Table </w:t>
      </w:r>
      <w:r w:rsidR="00126D11" w:rsidRPr="006E55EC">
        <w:rPr>
          <w:rFonts w:eastAsiaTheme="minorHAnsi"/>
          <w:b/>
          <w:color w:val="000000" w:themeColor="text1"/>
          <w:sz w:val="20"/>
          <w:szCs w:val="20"/>
        </w:rPr>
        <w:t>3</w:t>
      </w:r>
      <w:r w:rsidRPr="006E55EC">
        <w:rPr>
          <w:rFonts w:eastAsiaTheme="minorHAnsi"/>
          <w:color w:val="000000" w:themeColor="text1"/>
          <w:sz w:val="20"/>
          <w:szCs w:val="20"/>
        </w:rPr>
        <w:t>).</w:t>
      </w:r>
    </w:p>
    <w:p w:rsidR="00B51D23" w:rsidRPr="006E55EC" w:rsidRDefault="00B51D23" w:rsidP="00AB4189">
      <w:pPr>
        <w:autoSpaceDE w:val="0"/>
        <w:autoSpaceDN w:val="0"/>
        <w:adjustRightInd w:val="0"/>
        <w:snapToGrid w:val="0"/>
        <w:jc w:val="center"/>
        <w:rPr>
          <w:b/>
          <w:iCs/>
          <w:color w:val="000000" w:themeColor="text1"/>
          <w:sz w:val="20"/>
          <w:szCs w:val="20"/>
        </w:rPr>
      </w:pPr>
    </w:p>
    <w:p w:rsidR="00795C8D" w:rsidRPr="006E55EC" w:rsidRDefault="00883764" w:rsidP="00AB4189">
      <w:pPr>
        <w:autoSpaceDE w:val="0"/>
        <w:autoSpaceDN w:val="0"/>
        <w:adjustRightInd w:val="0"/>
        <w:snapToGrid w:val="0"/>
        <w:jc w:val="both"/>
        <w:rPr>
          <w:b/>
          <w:iCs/>
          <w:color w:val="000000" w:themeColor="text1"/>
          <w:sz w:val="20"/>
          <w:szCs w:val="20"/>
        </w:rPr>
      </w:pPr>
      <w:r w:rsidRPr="006E55EC">
        <w:rPr>
          <w:b/>
          <w:iCs/>
          <w:color w:val="000000" w:themeColor="text1"/>
          <w:sz w:val="20"/>
          <w:szCs w:val="20"/>
        </w:rPr>
        <w:t xml:space="preserve">Table </w:t>
      </w:r>
      <w:r w:rsidR="00126D11" w:rsidRPr="006E55EC">
        <w:rPr>
          <w:b/>
          <w:iCs/>
          <w:color w:val="000000" w:themeColor="text1"/>
          <w:sz w:val="20"/>
          <w:szCs w:val="20"/>
        </w:rPr>
        <w:t>3</w:t>
      </w:r>
      <w:r w:rsidR="00795C8D" w:rsidRPr="006E55EC">
        <w:rPr>
          <w:b/>
          <w:iCs/>
          <w:color w:val="000000" w:themeColor="text1"/>
          <w:sz w:val="20"/>
          <w:szCs w:val="20"/>
        </w:rPr>
        <w:t xml:space="preserve"> </w:t>
      </w:r>
      <w:r w:rsidR="00795C8D" w:rsidRPr="006E55EC">
        <w:rPr>
          <w:rFonts w:eastAsiaTheme="minorHAnsi"/>
          <w:b/>
          <w:color w:val="000000" w:themeColor="text1"/>
          <w:sz w:val="20"/>
          <w:szCs w:val="20"/>
        </w:rPr>
        <w:t xml:space="preserve">Total </w:t>
      </w:r>
      <w:proofErr w:type="spellStart"/>
      <w:r w:rsidR="00795C8D" w:rsidRPr="006E55EC">
        <w:rPr>
          <w:rFonts w:eastAsiaTheme="minorHAnsi"/>
          <w:b/>
          <w:color w:val="000000" w:themeColor="text1"/>
          <w:sz w:val="20"/>
          <w:szCs w:val="20"/>
        </w:rPr>
        <w:t>phenolic</w:t>
      </w:r>
      <w:proofErr w:type="spellEnd"/>
      <w:r w:rsidR="00795C8D" w:rsidRPr="006E55EC">
        <w:rPr>
          <w:rFonts w:eastAsiaTheme="minorHAnsi"/>
          <w:b/>
          <w:color w:val="000000" w:themeColor="text1"/>
          <w:sz w:val="20"/>
          <w:szCs w:val="20"/>
        </w:rPr>
        <w:t xml:space="preserve"> content and DPPH </w:t>
      </w:r>
      <w:r w:rsidRPr="006E55EC">
        <w:rPr>
          <w:rFonts w:eastAsiaTheme="minorHAnsi"/>
          <w:b/>
          <w:color w:val="000000" w:themeColor="text1"/>
          <w:sz w:val="20"/>
          <w:szCs w:val="20"/>
        </w:rPr>
        <w:t>radical scavenging value of HA</w:t>
      </w:r>
      <w:r w:rsidR="00795C8D" w:rsidRPr="006E55EC">
        <w:rPr>
          <w:rFonts w:eastAsiaTheme="minorHAnsi"/>
          <w:b/>
          <w:color w:val="000000" w:themeColor="text1"/>
          <w:sz w:val="20"/>
          <w:szCs w:val="20"/>
        </w:rPr>
        <w:t>E</w:t>
      </w:r>
    </w:p>
    <w:tbl>
      <w:tblPr>
        <w:tblW w:w="0" w:type="auto"/>
        <w:jc w:val="center"/>
        <w:tblLook w:val="04A0"/>
      </w:tblPr>
      <w:tblGrid>
        <w:gridCol w:w="696"/>
        <w:gridCol w:w="222"/>
        <w:gridCol w:w="1083"/>
        <w:gridCol w:w="222"/>
        <w:gridCol w:w="1585"/>
        <w:gridCol w:w="394"/>
        <w:gridCol w:w="394"/>
      </w:tblGrid>
      <w:tr w:rsidR="00795C8D" w:rsidRPr="006E55EC" w:rsidTr="00AB4189">
        <w:trPr>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795C8D" w:rsidRPr="006E55EC" w:rsidRDefault="00795C8D" w:rsidP="00AB4189">
            <w:pPr>
              <w:snapToGrid w:val="0"/>
              <w:jc w:val="both"/>
              <w:rPr>
                <w:color w:val="000000"/>
                <w:sz w:val="16"/>
                <w:szCs w:val="16"/>
              </w:rPr>
            </w:pPr>
            <w:r w:rsidRPr="006E55EC">
              <w:rPr>
                <w:color w:val="000000"/>
                <w:sz w:val="16"/>
                <w:szCs w:val="16"/>
              </w:rPr>
              <w:t>Sample</w:t>
            </w:r>
          </w:p>
        </w:tc>
        <w:tc>
          <w:tcPr>
            <w:tcW w:w="0" w:type="auto"/>
            <w:tcBorders>
              <w:top w:val="single" w:sz="4" w:space="0" w:color="auto"/>
              <w:left w:val="single" w:sz="4" w:space="0" w:color="auto"/>
              <w:bottom w:val="single" w:sz="4" w:space="0" w:color="auto"/>
              <w:right w:val="nil"/>
            </w:tcBorders>
            <w:shd w:val="clear" w:color="auto" w:fill="auto"/>
            <w:vAlign w:val="center"/>
          </w:tcPr>
          <w:p w:rsidR="00795C8D" w:rsidRPr="006E55EC" w:rsidRDefault="00795C8D" w:rsidP="00AB4189">
            <w:pPr>
              <w:snapToGrid w:val="0"/>
              <w:jc w:val="both"/>
              <w:rPr>
                <w:color w:val="000000"/>
                <w:sz w:val="16"/>
                <w:szCs w:val="16"/>
              </w:rPr>
            </w:pPr>
          </w:p>
        </w:tc>
        <w:tc>
          <w:tcPr>
            <w:tcW w:w="0" w:type="auto"/>
            <w:tcBorders>
              <w:top w:val="single" w:sz="4" w:space="0" w:color="auto"/>
              <w:left w:val="nil"/>
              <w:bottom w:val="single" w:sz="4" w:space="0" w:color="auto"/>
              <w:right w:val="nil"/>
            </w:tcBorders>
            <w:shd w:val="clear" w:color="auto" w:fill="auto"/>
            <w:noWrap/>
            <w:vAlign w:val="center"/>
            <w:hideMark/>
          </w:tcPr>
          <w:p w:rsidR="00795C8D" w:rsidRPr="006E55EC" w:rsidRDefault="00795C8D" w:rsidP="00AB4189">
            <w:pPr>
              <w:snapToGrid w:val="0"/>
              <w:jc w:val="both"/>
              <w:rPr>
                <w:color w:val="000000"/>
                <w:sz w:val="16"/>
                <w:szCs w:val="16"/>
              </w:rPr>
            </w:pPr>
            <w:r w:rsidRPr="006E55EC">
              <w:rPr>
                <w:color w:val="000000"/>
                <w:sz w:val="16"/>
                <w:szCs w:val="16"/>
              </w:rPr>
              <w:t xml:space="preserve">Total </w:t>
            </w:r>
            <w:proofErr w:type="spellStart"/>
            <w:r w:rsidRPr="006E55EC">
              <w:rPr>
                <w:color w:val="000000"/>
                <w:sz w:val="16"/>
                <w:szCs w:val="16"/>
              </w:rPr>
              <w:t>Phenol</w:t>
            </w:r>
            <w:r w:rsidRPr="006E55EC">
              <w:rPr>
                <w:color w:val="000000"/>
                <w:sz w:val="16"/>
                <w:szCs w:val="16"/>
                <w:vertAlign w:val="superscript"/>
              </w:rPr>
              <w:t>a</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95C8D" w:rsidRPr="006E55EC" w:rsidRDefault="00795C8D" w:rsidP="00AB4189">
            <w:pPr>
              <w:snapToGrid w:val="0"/>
              <w:jc w:val="both"/>
              <w:rPr>
                <w:color w:val="000000"/>
                <w:sz w:val="16"/>
                <w:szCs w:val="16"/>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rsidR="00795C8D" w:rsidRPr="006E55EC" w:rsidRDefault="00795C8D" w:rsidP="00AB4189">
            <w:pPr>
              <w:snapToGrid w:val="0"/>
              <w:jc w:val="both"/>
              <w:rPr>
                <w:color w:val="000000"/>
                <w:sz w:val="16"/>
                <w:szCs w:val="16"/>
              </w:rPr>
            </w:pPr>
            <w:r w:rsidRPr="006E55EC">
              <w:rPr>
                <w:color w:val="000000"/>
                <w:sz w:val="16"/>
                <w:szCs w:val="16"/>
              </w:rPr>
              <w:t>DPPH Scavenging activity (IC 50)</w:t>
            </w:r>
            <w:r w:rsidRPr="006E55EC">
              <w:rPr>
                <w:color w:val="000000"/>
                <w:sz w:val="16"/>
                <w:szCs w:val="16"/>
                <w:vertAlign w:val="superscript"/>
              </w:rPr>
              <w:t>b</w:t>
            </w:r>
          </w:p>
        </w:tc>
      </w:tr>
      <w:tr w:rsidR="00795C8D" w:rsidRPr="006E55EC" w:rsidTr="00AB4189">
        <w:trPr>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795C8D" w:rsidRPr="006E55EC" w:rsidRDefault="00B62FAA" w:rsidP="00AB4189">
            <w:pPr>
              <w:snapToGrid w:val="0"/>
              <w:jc w:val="both"/>
              <w:rPr>
                <w:color w:val="000000"/>
                <w:sz w:val="16"/>
                <w:szCs w:val="16"/>
              </w:rPr>
            </w:pPr>
            <w:r w:rsidRPr="006E55EC">
              <w:rPr>
                <w:color w:val="000000"/>
                <w:sz w:val="16"/>
                <w:szCs w:val="16"/>
              </w:rPr>
              <w:t>HA</w:t>
            </w:r>
            <w:r w:rsidR="00795C8D" w:rsidRPr="006E55EC">
              <w:rPr>
                <w:color w:val="000000"/>
                <w:sz w:val="16"/>
                <w:szCs w:val="16"/>
              </w:rPr>
              <w:t>E</w:t>
            </w:r>
          </w:p>
        </w:tc>
        <w:tc>
          <w:tcPr>
            <w:tcW w:w="0" w:type="auto"/>
            <w:tcBorders>
              <w:top w:val="single" w:sz="4" w:space="0" w:color="auto"/>
              <w:left w:val="single" w:sz="4" w:space="0" w:color="auto"/>
              <w:bottom w:val="single" w:sz="4" w:space="0" w:color="auto"/>
              <w:right w:val="nil"/>
            </w:tcBorders>
            <w:shd w:val="clear" w:color="auto" w:fill="auto"/>
            <w:vAlign w:val="center"/>
          </w:tcPr>
          <w:p w:rsidR="00795C8D" w:rsidRPr="006E55EC" w:rsidRDefault="00795C8D" w:rsidP="00AB4189">
            <w:pPr>
              <w:snapToGrid w:val="0"/>
              <w:jc w:val="both"/>
              <w:rPr>
                <w:color w:val="000000"/>
                <w:sz w:val="16"/>
                <w:szCs w:val="16"/>
              </w:rPr>
            </w:pPr>
          </w:p>
        </w:tc>
        <w:tc>
          <w:tcPr>
            <w:tcW w:w="0" w:type="auto"/>
            <w:tcBorders>
              <w:top w:val="single" w:sz="4" w:space="0" w:color="auto"/>
              <w:left w:val="nil"/>
              <w:bottom w:val="single" w:sz="4" w:space="0" w:color="auto"/>
              <w:right w:val="nil"/>
            </w:tcBorders>
            <w:shd w:val="clear" w:color="auto" w:fill="auto"/>
            <w:noWrap/>
            <w:vAlign w:val="center"/>
            <w:hideMark/>
          </w:tcPr>
          <w:p w:rsidR="00795C8D" w:rsidRPr="006E55EC" w:rsidRDefault="00883764" w:rsidP="00AB4189">
            <w:pPr>
              <w:snapToGrid w:val="0"/>
              <w:jc w:val="both"/>
              <w:rPr>
                <w:color w:val="000000"/>
                <w:sz w:val="16"/>
                <w:szCs w:val="16"/>
              </w:rPr>
            </w:pPr>
            <w:r w:rsidRPr="006E55EC">
              <w:rPr>
                <w:color w:val="000000"/>
                <w:sz w:val="16"/>
                <w:szCs w:val="16"/>
              </w:rPr>
              <w:t>56.6 ± 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95C8D" w:rsidRPr="006E55EC" w:rsidRDefault="00795C8D" w:rsidP="00AB4189">
            <w:pPr>
              <w:snapToGrid w:val="0"/>
              <w:jc w:val="both"/>
              <w:rPr>
                <w:color w:val="000000"/>
                <w:sz w:val="16"/>
                <w:szCs w:val="16"/>
              </w:rPr>
            </w:pPr>
          </w:p>
        </w:tc>
        <w:tc>
          <w:tcPr>
            <w:tcW w:w="0" w:type="auto"/>
            <w:tcBorders>
              <w:top w:val="single" w:sz="4" w:space="0" w:color="auto"/>
              <w:left w:val="single" w:sz="4" w:space="0" w:color="auto"/>
              <w:bottom w:val="single" w:sz="4" w:space="0" w:color="auto"/>
              <w:right w:val="nil"/>
            </w:tcBorders>
            <w:shd w:val="clear" w:color="auto" w:fill="auto"/>
            <w:vAlign w:val="center"/>
          </w:tcPr>
          <w:p w:rsidR="00795C8D" w:rsidRPr="006E55EC" w:rsidRDefault="00B47AB6" w:rsidP="00AB4189">
            <w:pPr>
              <w:snapToGrid w:val="0"/>
              <w:jc w:val="both"/>
              <w:rPr>
                <w:color w:val="000000"/>
                <w:sz w:val="16"/>
                <w:szCs w:val="16"/>
              </w:rPr>
            </w:pPr>
            <w:r w:rsidRPr="006E55EC">
              <w:rPr>
                <w:color w:val="000000"/>
                <w:sz w:val="16"/>
                <w:szCs w:val="16"/>
              </w:rPr>
              <w:t>260.7± 6</w:t>
            </w:r>
            <w:r w:rsidR="00795C8D" w:rsidRPr="006E55EC">
              <w:rPr>
                <w:color w:val="000000"/>
                <w:sz w:val="16"/>
                <w:szCs w:val="16"/>
              </w:rPr>
              <w:t>.</w:t>
            </w:r>
            <w:r w:rsidRPr="006E55EC">
              <w:rPr>
                <w:color w:val="000000"/>
                <w:sz w:val="16"/>
                <w:szCs w:val="16"/>
              </w:rPr>
              <w:t>4</w:t>
            </w:r>
          </w:p>
        </w:tc>
        <w:tc>
          <w:tcPr>
            <w:tcW w:w="0" w:type="auto"/>
            <w:tcBorders>
              <w:top w:val="single" w:sz="4" w:space="0" w:color="auto"/>
              <w:left w:val="nil"/>
              <w:bottom w:val="single" w:sz="4" w:space="0" w:color="auto"/>
              <w:right w:val="nil"/>
            </w:tcBorders>
            <w:shd w:val="clear" w:color="auto" w:fill="auto"/>
            <w:noWrap/>
            <w:vAlign w:val="center"/>
            <w:hideMark/>
          </w:tcPr>
          <w:p w:rsidR="00795C8D" w:rsidRPr="006E55EC" w:rsidRDefault="00795C8D" w:rsidP="00AB4189">
            <w:pPr>
              <w:snapToGrid w:val="0"/>
              <w:jc w:val="both"/>
              <w:rPr>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95C8D" w:rsidRPr="006E55EC" w:rsidRDefault="00795C8D" w:rsidP="00AB4189">
            <w:pPr>
              <w:snapToGrid w:val="0"/>
              <w:jc w:val="both"/>
              <w:rPr>
                <w:color w:val="000000"/>
                <w:sz w:val="16"/>
                <w:szCs w:val="16"/>
              </w:rPr>
            </w:pPr>
          </w:p>
        </w:tc>
      </w:tr>
      <w:tr w:rsidR="00795C8D" w:rsidRPr="006E55EC" w:rsidTr="00AB4189">
        <w:trPr>
          <w:jc w:val="center"/>
        </w:trPr>
        <w:tc>
          <w:tcPr>
            <w:tcW w:w="0" w:type="auto"/>
            <w:tcBorders>
              <w:top w:val="single" w:sz="4" w:space="0" w:color="auto"/>
              <w:left w:val="single" w:sz="4" w:space="0" w:color="auto"/>
              <w:bottom w:val="nil"/>
              <w:right w:val="nil"/>
            </w:tcBorders>
            <w:shd w:val="clear" w:color="auto" w:fill="auto"/>
            <w:noWrap/>
            <w:vAlign w:val="center"/>
            <w:hideMark/>
          </w:tcPr>
          <w:p w:rsidR="00795C8D" w:rsidRPr="006E55EC" w:rsidRDefault="00795C8D" w:rsidP="00AB4189">
            <w:pPr>
              <w:snapToGrid w:val="0"/>
              <w:jc w:val="both"/>
              <w:rPr>
                <w:color w:val="000000"/>
                <w:sz w:val="16"/>
                <w:szCs w:val="16"/>
              </w:rPr>
            </w:pPr>
          </w:p>
        </w:tc>
        <w:tc>
          <w:tcPr>
            <w:tcW w:w="0" w:type="auto"/>
            <w:tcBorders>
              <w:top w:val="single" w:sz="4" w:space="0" w:color="auto"/>
              <w:left w:val="single" w:sz="4" w:space="0" w:color="auto"/>
              <w:bottom w:val="nil"/>
              <w:right w:val="nil"/>
            </w:tcBorders>
            <w:shd w:val="clear" w:color="auto" w:fill="auto"/>
            <w:vAlign w:val="center"/>
          </w:tcPr>
          <w:p w:rsidR="00795C8D" w:rsidRPr="006E55EC" w:rsidRDefault="00795C8D" w:rsidP="00AB4189">
            <w:pPr>
              <w:snapToGrid w:val="0"/>
              <w:jc w:val="both"/>
              <w:rPr>
                <w:color w:val="000000"/>
                <w:sz w:val="16"/>
                <w:szCs w:val="16"/>
              </w:rPr>
            </w:pPr>
          </w:p>
        </w:tc>
        <w:tc>
          <w:tcPr>
            <w:tcW w:w="0" w:type="auto"/>
            <w:tcBorders>
              <w:top w:val="single" w:sz="4" w:space="0" w:color="auto"/>
              <w:left w:val="nil"/>
              <w:bottom w:val="nil"/>
              <w:right w:val="nil"/>
            </w:tcBorders>
            <w:shd w:val="clear" w:color="auto" w:fill="auto"/>
            <w:noWrap/>
            <w:vAlign w:val="center"/>
            <w:hideMark/>
          </w:tcPr>
          <w:p w:rsidR="00795C8D" w:rsidRPr="006E55EC" w:rsidRDefault="00795C8D" w:rsidP="00AB4189">
            <w:pPr>
              <w:snapToGrid w:val="0"/>
              <w:jc w:val="both"/>
              <w:rPr>
                <w:color w:val="000000"/>
                <w:sz w:val="16"/>
                <w:szCs w:val="16"/>
              </w:rPr>
            </w:pPr>
          </w:p>
        </w:tc>
        <w:tc>
          <w:tcPr>
            <w:tcW w:w="0" w:type="auto"/>
            <w:tcBorders>
              <w:top w:val="single" w:sz="4" w:space="0" w:color="auto"/>
              <w:left w:val="nil"/>
              <w:bottom w:val="nil"/>
              <w:right w:val="single" w:sz="4" w:space="0" w:color="auto"/>
            </w:tcBorders>
            <w:shd w:val="clear" w:color="auto" w:fill="auto"/>
            <w:noWrap/>
            <w:vAlign w:val="center"/>
            <w:hideMark/>
          </w:tcPr>
          <w:p w:rsidR="00795C8D" w:rsidRPr="006E55EC" w:rsidRDefault="00795C8D" w:rsidP="00AB4189">
            <w:pPr>
              <w:snapToGrid w:val="0"/>
              <w:jc w:val="both"/>
              <w:rPr>
                <w:color w:val="000000"/>
                <w:sz w:val="16"/>
                <w:szCs w:val="16"/>
              </w:rPr>
            </w:pPr>
          </w:p>
        </w:tc>
        <w:tc>
          <w:tcPr>
            <w:tcW w:w="0" w:type="auto"/>
            <w:tcBorders>
              <w:top w:val="single" w:sz="4" w:space="0" w:color="auto"/>
              <w:left w:val="single" w:sz="4" w:space="0" w:color="auto"/>
              <w:bottom w:val="nil"/>
              <w:right w:val="nil"/>
            </w:tcBorders>
            <w:shd w:val="clear" w:color="auto" w:fill="auto"/>
            <w:vAlign w:val="center"/>
          </w:tcPr>
          <w:p w:rsidR="00795C8D" w:rsidRPr="006E55EC" w:rsidRDefault="00795C8D" w:rsidP="00AB4189">
            <w:pPr>
              <w:snapToGrid w:val="0"/>
              <w:jc w:val="both"/>
              <w:rPr>
                <w:color w:val="000000"/>
                <w:sz w:val="16"/>
                <w:szCs w:val="16"/>
              </w:rPr>
            </w:pPr>
          </w:p>
        </w:tc>
        <w:tc>
          <w:tcPr>
            <w:tcW w:w="0" w:type="auto"/>
            <w:tcBorders>
              <w:top w:val="single" w:sz="4" w:space="0" w:color="auto"/>
              <w:left w:val="nil"/>
              <w:bottom w:val="nil"/>
              <w:right w:val="nil"/>
            </w:tcBorders>
            <w:shd w:val="clear" w:color="auto" w:fill="auto"/>
            <w:noWrap/>
            <w:vAlign w:val="center"/>
            <w:hideMark/>
          </w:tcPr>
          <w:p w:rsidR="00795C8D" w:rsidRPr="006E55EC" w:rsidRDefault="00795C8D" w:rsidP="00AB4189">
            <w:pPr>
              <w:snapToGrid w:val="0"/>
              <w:jc w:val="both"/>
              <w:rPr>
                <w:color w:val="000000"/>
                <w:sz w:val="16"/>
                <w:szCs w:val="16"/>
              </w:rPr>
            </w:pPr>
          </w:p>
        </w:tc>
        <w:tc>
          <w:tcPr>
            <w:tcW w:w="0" w:type="auto"/>
            <w:tcBorders>
              <w:top w:val="single" w:sz="4" w:space="0" w:color="auto"/>
              <w:left w:val="nil"/>
              <w:bottom w:val="nil"/>
              <w:right w:val="single" w:sz="4" w:space="0" w:color="auto"/>
            </w:tcBorders>
            <w:shd w:val="clear" w:color="auto" w:fill="auto"/>
            <w:noWrap/>
            <w:vAlign w:val="center"/>
            <w:hideMark/>
          </w:tcPr>
          <w:p w:rsidR="00795C8D" w:rsidRPr="006E55EC" w:rsidRDefault="00795C8D" w:rsidP="00AB4189">
            <w:pPr>
              <w:snapToGrid w:val="0"/>
              <w:jc w:val="both"/>
              <w:rPr>
                <w:color w:val="000000"/>
                <w:sz w:val="16"/>
                <w:szCs w:val="16"/>
              </w:rPr>
            </w:pPr>
          </w:p>
        </w:tc>
      </w:tr>
      <w:tr w:rsidR="00795C8D" w:rsidRPr="006E55EC" w:rsidTr="00AB4189">
        <w:tblPrEx>
          <w:tblBorders>
            <w:top w:val="single" w:sz="4" w:space="0" w:color="auto"/>
          </w:tblBorders>
          <w:tblLook w:val="0000"/>
        </w:tblPrEx>
        <w:trPr>
          <w:jc w:val="center"/>
        </w:trPr>
        <w:tc>
          <w:tcPr>
            <w:tcW w:w="0" w:type="auto"/>
            <w:tcBorders>
              <w:left w:val="single" w:sz="4" w:space="0" w:color="auto"/>
              <w:bottom w:val="single" w:sz="4" w:space="0" w:color="auto"/>
              <w:right w:val="single" w:sz="4" w:space="0" w:color="auto"/>
            </w:tcBorders>
            <w:vAlign w:val="center"/>
          </w:tcPr>
          <w:p w:rsidR="00795C8D" w:rsidRPr="006E55EC" w:rsidRDefault="00795C8D" w:rsidP="00AB4189">
            <w:pPr>
              <w:autoSpaceDE w:val="0"/>
              <w:autoSpaceDN w:val="0"/>
              <w:adjustRightInd w:val="0"/>
              <w:snapToGrid w:val="0"/>
              <w:jc w:val="both"/>
              <w:rPr>
                <w:color w:val="000000"/>
                <w:sz w:val="16"/>
                <w:szCs w:val="16"/>
              </w:rPr>
            </w:pPr>
            <w:r w:rsidRPr="006E55EC">
              <w:rPr>
                <w:color w:val="000000"/>
                <w:sz w:val="16"/>
                <w:szCs w:val="16"/>
              </w:rPr>
              <w:t>Gallic</w:t>
            </w:r>
          </w:p>
        </w:tc>
        <w:tc>
          <w:tcPr>
            <w:tcW w:w="0" w:type="auto"/>
            <w:gridSpan w:val="3"/>
            <w:tcBorders>
              <w:left w:val="single" w:sz="4" w:space="0" w:color="auto"/>
              <w:bottom w:val="single" w:sz="4" w:space="0" w:color="auto"/>
              <w:right w:val="single" w:sz="4" w:space="0" w:color="auto"/>
            </w:tcBorders>
            <w:vAlign w:val="center"/>
          </w:tcPr>
          <w:p w:rsidR="00795C8D" w:rsidRPr="006E55EC" w:rsidRDefault="00795C8D" w:rsidP="00AB4189">
            <w:pPr>
              <w:autoSpaceDE w:val="0"/>
              <w:autoSpaceDN w:val="0"/>
              <w:adjustRightInd w:val="0"/>
              <w:snapToGrid w:val="0"/>
              <w:jc w:val="both"/>
              <w:rPr>
                <w:color w:val="000000"/>
                <w:sz w:val="16"/>
                <w:szCs w:val="16"/>
              </w:rPr>
            </w:pPr>
            <w:r w:rsidRPr="006E55EC">
              <w:rPr>
                <w:color w:val="000000"/>
                <w:sz w:val="16"/>
                <w:szCs w:val="16"/>
              </w:rPr>
              <w:t>̶</w:t>
            </w:r>
          </w:p>
        </w:tc>
        <w:tc>
          <w:tcPr>
            <w:tcW w:w="0" w:type="auto"/>
            <w:gridSpan w:val="3"/>
            <w:tcBorders>
              <w:left w:val="single" w:sz="4" w:space="0" w:color="auto"/>
              <w:bottom w:val="single" w:sz="4" w:space="0" w:color="auto"/>
              <w:right w:val="single" w:sz="4" w:space="0" w:color="auto"/>
            </w:tcBorders>
            <w:vAlign w:val="center"/>
          </w:tcPr>
          <w:p w:rsidR="00795C8D" w:rsidRPr="006E55EC" w:rsidRDefault="00795C8D" w:rsidP="00AB4189">
            <w:pPr>
              <w:autoSpaceDE w:val="0"/>
              <w:autoSpaceDN w:val="0"/>
              <w:adjustRightInd w:val="0"/>
              <w:snapToGrid w:val="0"/>
              <w:jc w:val="both"/>
              <w:rPr>
                <w:color w:val="000000"/>
                <w:sz w:val="16"/>
                <w:szCs w:val="16"/>
              </w:rPr>
            </w:pPr>
            <w:r w:rsidRPr="006E55EC">
              <w:rPr>
                <w:color w:val="000000"/>
                <w:sz w:val="16"/>
                <w:szCs w:val="16"/>
              </w:rPr>
              <w:t>16.3± 1.5</w:t>
            </w:r>
          </w:p>
        </w:tc>
      </w:tr>
    </w:tbl>
    <w:p w:rsidR="00795C8D" w:rsidRPr="006E55EC" w:rsidRDefault="00795C8D" w:rsidP="00AB4189">
      <w:pPr>
        <w:autoSpaceDE w:val="0"/>
        <w:autoSpaceDN w:val="0"/>
        <w:adjustRightInd w:val="0"/>
        <w:snapToGrid w:val="0"/>
        <w:jc w:val="both"/>
        <w:rPr>
          <w:rFonts w:eastAsiaTheme="minorHAnsi"/>
          <w:color w:val="000000" w:themeColor="text1"/>
          <w:sz w:val="20"/>
          <w:szCs w:val="20"/>
        </w:rPr>
      </w:pPr>
      <w:r w:rsidRPr="006E55EC">
        <w:rPr>
          <w:rFonts w:eastAsiaTheme="minorHAnsi"/>
          <w:color w:val="000000" w:themeColor="text1"/>
          <w:sz w:val="20"/>
          <w:szCs w:val="20"/>
        </w:rPr>
        <w:t>Each value represents the mean</w:t>
      </w:r>
      <w:r w:rsidR="00B62FAA" w:rsidRPr="006E55EC">
        <w:rPr>
          <w:rFonts w:eastAsiaTheme="minorHAnsi"/>
          <w:color w:val="000000" w:themeColor="text1"/>
          <w:sz w:val="20"/>
          <w:szCs w:val="20"/>
        </w:rPr>
        <w:t xml:space="preserve"> </w:t>
      </w:r>
      <w:r w:rsidRPr="006E55EC">
        <w:rPr>
          <w:rFonts w:eastAsia="MTSY"/>
          <w:color w:val="000000" w:themeColor="text1"/>
          <w:sz w:val="20"/>
          <w:szCs w:val="20"/>
        </w:rPr>
        <w:t>±</w:t>
      </w:r>
      <w:r w:rsidR="00B62FAA" w:rsidRPr="006E55EC">
        <w:rPr>
          <w:rFonts w:eastAsia="MTSY"/>
          <w:color w:val="000000" w:themeColor="text1"/>
          <w:sz w:val="20"/>
          <w:szCs w:val="20"/>
        </w:rPr>
        <w:t xml:space="preserve"> </w:t>
      </w:r>
      <w:r w:rsidRPr="006E55EC">
        <w:rPr>
          <w:rFonts w:eastAsiaTheme="minorHAnsi"/>
          <w:color w:val="000000" w:themeColor="text1"/>
          <w:sz w:val="20"/>
          <w:szCs w:val="20"/>
        </w:rPr>
        <w:t>SEM. (</w:t>
      </w:r>
      <w:r w:rsidRPr="006E55EC">
        <w:rPr>
          <w:rFonts w:eastAsiaTheme="minorHAnsi"/>
          <w:i/>
          <w:iCs/>
          <w:color w:val="000000" w:themeColor="text1"/>
          <w:sz w:val="20"/>
          <w:szCs w:val="20"/>
        </w:rPr>
        <w:t>n</w:t>
      </w:r>
      <w:r w:rsidRPr="006E55EC">
        <w:rPr>
          <w:rFonts w:eastAsiaTheme="minorHAnsi"/>
          <w:color w:val="000000" w:themeColor="text1"/>
          <w:sz w:val="20"/>
          <w:szCs w:val="20"/>
        </w:rPr>
        <w:t>=3).</w:t>
      </w:r>
    </w:p>
    <w:p w:rsidR="00795C8D" w:rsidRPr="006E55EC" w:rsidRDefault="00795C8D" w:rsidP="00AB4189">
      <w:pPr>
        <w:autoSpaceDE w:val="0"/>
        <w:autoSpaceDN w:val="0"/>
        <w:adjustRightInd w:val="0"/>
        <w:snapToGrid w:val="0"/>
        <w:jc w:val="both"/>
        <w:rPr>
          <w:rFonts w:eastAsiaTheme="minorHAnsi"/>
          <w:color w:val="000000" w:themeColor="text1"/>
          <w:sz w:val="20"/>
          <w:szCs w:val="20"/>
        </w:rPr>
      </w:pPr>
      <w:r w:rsidRPr="006E55EC">
        <w:rPr>
          <w:rFonts w:eastAsiaTheme="minorHAnsi"/>
          <w:color w:val="000000" w:themeColor="text1"/>
          <w:sz w:val="20"/>
          <w:szCs w:val="20"/>
        </w:rPr>
        <w:t xml:space="preserve">a Total </w:t>
      </w:r>
      <w:proofErr w:type="spellStart"/>
      <w:r w:rsidRPr="006E55EC">
        <w:rPr>
          <w:rFonts w:eastAsiaTheme="minorHAnsi"/>
          <w:color w:val="000000" w:themeColor="text1"/>
          <w:sz w:val="20"/>
          <w:szCs w:val="20"/>
        </w:rPr>
        <w:t>phenolic</w:t>
      </w:r>
      <w:proofErr w:type="spellEnd"/>
      <w:r w:rsidRPr="006E55EC">
        <w:rPr>
          <w:rFonts w:eastAsiaTheme="minorHAnsi"/>
          <w:color w:val="000000" w:themeColor="text1"/>
          <w:sz w:val="20"/>
          <w:szCs w:val="20"/>
        </w:rPr>
        <w:t xml:space="preserve"> content was expressed as mg </w:t>
      </w:r>
      <w:proofErr w:type="spellStart"/>
      <w:r w:rsidRPr="006E55EC">
        <w:rPr>
          <w:rFonts w:eastAsiaTheme="minorHAnsi"/>
          <w:color w:val="000000" w:themeColor="text1"/>
          <w:sz w:val="20"/>
          <w:szCs w:val="20"/>
        </w:rPr>
        <w:t>gallic</w:t>
      </w:r>
      <w:proofErr w:type="spellEnd"/>
      <w:r w:rsidRPr="006E55EC">
        <w:rPr>
          <w:rFonts w:eastAsiaTheme="minorHAnsi"/>
          <w:color w:val="000000" w:themeColor="text1"/>
          <w:sz w:val="20"/>
          <w:szCs w:val="20"/>
        </w:rPr>
        <w:t xml:space="preserve"> acid equivalents/g dried extract.</w:t>
      </w:r>
    </w:p>
    <w:p w:rsidR="00795C8D" w:rsidRPr="006E55EC" w:rsidRDefault="00795C8D" w:rsidP="00AB4189">
      <w:pPr>
        <w:autoSpaceDE w:val="0"/>
        <w:autoSpaceDN w:val="0"/>
        <w:adjustRightInd w:val="0"/>
        <w:snapToGrid w:val="0"/>
        <w:jc w:val="both"/>
        <w:rPr>
          <w:rFonts w:eastAsiaTheme="minorHAnsi"/>
          <w:color w:val="000000" w:themeColor="text1"/>
          <w:sz w:val="20"/>
          <w:szCs w:val="20"/>
        </w:rPr>
      </w:pPr>
      <w:r w:rsidRPr="006E55EC">
        <w:rPr>
          <w:rFonts w:eastAsiaTheme="minorHAnsi"/>
          <w:color w:val="000000" w:themeColor="text1"/>
          <w:sz w:val="20"/>
          <w:szCs w:val="20"/>
        </w:rPr>
        <w:t>b Expressed as µg/</w:t>
      </w:r>
      <w:proofErr w:type="spellStart"/>
      <w:r w:rsidRPr="006E55EC">
        <w:rPr>
          <w:rFonts w:eastAsiaTheme="minorHAnsi"/>
          <w:color w:val="000000" w:themeColor="text1"/>
          <w:sz w:val="20"/>
          <w:szCs w:val="20"/>
        </w:rPr>
        <w:t>mL</w:t>
      </w:r>
      <w:proofErr w:type="spellEnd"/>
    </w:p>
    <w:p w:rsidR="00DA5F1B" w:rsidRPr="006E55EC" w:rsidRDefault="00DA5F1B" w:rsidP="00DA5F1B">
      <w:pPr>
        <w:snapToGrid w:val="0"/>
        <w:jc w:val="both"/>
        <w:rPr>
          <w:b/>
          <w:bCs/>
          <w:sz w:val="20"/>
          <w:szCs w:val="20"/>
        </w:rPr>
      </w:pPr>
      <w:r w:rsidRPr="006E55EC">
        <w:rPr>
          <w:b/>
          <w:bCs/>
          <w:sz w:val="20"/>
          <w:szCs w:val="20"/>
        </w:rPr>
        <w:t xml:space="preserve">3.4. The </w:t>
      </w:r>
      <w:proofErr w:type="spellStart"/>
      <w:r w:rsidRPr="006E55EC">
        <w:rPr>
          <w:b/>
          <w:bCs/>
          <w:sz w:val="20"/>
          <w:szCs w:val="20"/>
        </w:rPr>
        <w:t>Phenolic</w:t>
      </w:r>
      <w:proofErr w:type="spellEnd"/>
      <w:r w:rsidRPr="006E55EC">
        <w:rPr>
          <w:b/>
          <w:bCs/>
          <w:sz w:val="20"/>
          <w:szCs w:val="20"/>
        </w:rPr>
        <w:t xml:space="preserve"> Content of </w:t>
      </w:r>
      <w:smartTag w:uri="urn:schemas-microsoft-com:office:smarttags" w:element="stockticker">
        <w:r w:rsidRPr="006E55EC">
          <w:rPr>
            <w:b/>
            <w:bCs/>
            <w:sz w:val="20"/>
            <w:szCs w:val="20"/>
          </w:rPr>
          <w:t>HAE</w:t>
        </w:r>
      </w:smartTag>
    </w:p>
    <w:p w:rsidR="00DA5F1B" w:rsidRPr="006E55EC" w:rsidRDefault="00DA5F1B" w:rsidP="00DA5F1B">
      <w:pPr>
        <w:snapToGrid w:val="0"/>
        <w:ind w:firstLine="425"/>
        <w:jc w:val="both"/>
        <w:rPr>
          <w:sz w:val="20"/>
          <w:szCs w:val="20"/>
        </w:rPr>
      </w:pPr>
      <w:r w:rsidRPr="006E55EC">
        <w:rPr>
          <w:sz w:val="20"/>
          <w:szCs w:val="20"/>
        </w:rPr>
        <w:t xml:space="preserve">The </w:t>
      </w:r>
      <w:proofErr w:type="spellStart"/>
      <w:r w:rsidRPr="006E55EC">
        <w:rPr>
          <w:sz w:val="20"/>
          <w:szCs w:val="20"/>
        </w:rPr>
        <w:t>phenolic</w:t>
      </w:r>
      <w:proofErr w:type="spellEnd"/>
      <w:r w:rsidRPr="006E55EC">
        <w:rPr>
          <w:sz w:val="20"/>
          <w:szCs w:val="20"/>
        </w:rPr>
        <w:t xml:space="preserve"> content of the three extracts of </w:t>
      </w:r>
      <w:r w:rsidRPr="006E55EC">
        <w:rPr>
          <w:i/>
          <w:iCs/>
          <w:sz w:val="20"/>
          <w:szCs w:val="20"/>
        </w:rPr>
        <w:t xml:space="preserve">Hibiscus </w:t>
      </w:r>
      <w:proofErr w:type="spellStart"/>
      <w:r w:rsidRPr="006E55EC">
        <w:rPr>
          <w:i/>
          <w:iCs/>
          <w:sz w:val="20"/>
          <w:szCs w:val="20"/>
        </w:rPr>
        <w:t>sabdariffa</w:t>
      </w:r>
      <w:proofErr w:type="spellEnd"/>
      <w:r w:rsidRPr="006E55EC">
        <w:rPr>
          <w:sz w:val="20"/>
          <w:szCs w:val="20"/>
        </w:rPr>
        <w:t xml:space="preserve"> (</w:t>
      </w:r>
      <w:smartTag w:uri="urn:schemas-microsoft-com:office:smarttags" w:element="stockticker">
        <w:r w:rsidRPr="006E55EC">
          <w:rPr>
            <w:sz w:val="20"/>
            <w:szCs w:val="20"/>
          </w:rPr>
          <w:t>HAE</w:t>
        </w:r>
      </w:smartTag>
      <w:r w:rsidRPr="006E55EC">
        <w:rPr>
          <w:sz w:val="20"/>
          <w:szCs w:val="20"/>
        </w:rPr>
        <w:t xml:space="preserve"> ) were determined using a colorimetric assay namely </w:t>
      </w:r>
      <w:proofErr w:type="spellStart"/>
      <w:r w:rsidRPr="006E55EC">
        <w:rPr>
          <w:sz w:val="20"/>
          <w:szCs w:val="20"/>
        </w:rPr>
        <w:t>Folin-Ciocalteu</w:t>
      </w:r>
      <w:proofErr w:type="spellEnd"/>
      <w:r w:rsidRPr="006E55EC">
        <w:rPr>
          <w:sz w:val="20"/>
          <w:szCs w:val="20"/>
        </w:rPr>
        <w:t xml:space="preserve"> assay, and </w:t>
      </w:r>
      <w:r w:rsidRPr="006E55EC">
        <w:rPr>
          <w:sz w:val="20"/>
          <w:szCs w:val="20"/>
        </w:rPr>
        <w:lastRenderedPageBreak/>
        <w:t>by constructing a standard curve using Gallic acid as the standard.</w:t>
      </w:r>
      <w:r w:rsidR="006E55EC">
        <w:rPr>
          <w:sz w:val="20"/>
          <w:szCs w:val="20"/>
        </w:rPr>
        <w:t xml:space="preserve"> </w:t>
      </w:r>
      <w:r w:rsidRPr="006E55EC">
        <w:rPr>
          <w:sz w:val="20"/>
          <w:szCs w:val="20"/>
        </w:rPr>
        <w:t xml:space="preserve">The total amount of </w:t>
      </w:r>
      <w:proofErr w:type="spellStart"/>
      <w:r w:rsidRPr="006E55EC">
        <w:rPr>
          <w:sz w:val="20"/>
          <w:szCs w:val="20"/>
        </w:rPr>
        <w:t>phenolic</w:t>
      </w:r>
      <w:proofErr w:type="spellEnd"/>
      <w:r w:rsidRPr="006E55EC">
        <w:rPr>
          <w:sz w:val="20"/>
          <w:szCs w:val="20"/>
        </w:rPr>
        <w:t xml:space="preserve"> compounds present in </w:t>
      </w:r>
      <w:smartTag w:uri="urn:schemas-microsoft-com:office:smarttags" w:element="stockticker">
        <w:r w:rsidRPr="006E55EC">
          <w:rPr>
            <w:sz w:val="20"/>
            <w:szCs w:val="20"/>
          </w:rPr>
          <w:t>HAE</w:t>
        </w:r>
      </w:smartTag>
      <w:r w:rsidRPr="006E55EC">
        <w:rPr>
          <w:sz w:val="20"/>
          <w:szCs w:val="20"/>
        </w:rPr>
        <w:t xml:space="preserve"> was found to be 56.6 ± 3.7 mg/g (Table </w:t>
      </w:r>
      <w:r w:rsidRPr="006E55EC">
        <w:rPr>
          <w:b/>
          <w:sz w:val="20"/>
          <w:szCs w:val="20"/>
        </w:rPr>
        <w:t>3</w:t>
      </w:r>
      <w:r w:rsidRPr="006E55EC">
        <w:rPr>
          <w:sz w:val="20"/>
          <w:szCs w:val="20"/>
        </w:rPr>
        <w:t>)</w:t>
      </w:r>
    </w:p>
    <w:p w:rsidR="00E577E1" w:rsidRPr="006E55EC" w:rsidRDefault="00F51587" w:rsidP="00AB4189">
      <w:pPr>
        <w:snapToGrid w:val="0"/>
        <w:jc w:val="both"/>
        <w:rPr>
          <w:b/>
          <w:i/>
          <w:iCs/>
          <w:sz w:val="20"/>
          <w:szCs w:val="20"/>
        </w:rPr>
      </w:pPr>
      <w:r w:rsidRPr="006E55EC">
        <w:rPr>
          <w:b/>
          <w:sz w:val="20"/>
          <w:szCs w:val="20"/>
        </w:rPr>
        <w:t>3.</w:t>
      </w:r>
      <w:r w:rsidR="00E577E1" w:rsidRPr="006E55EC">
        <w:rPr>
          <w:b/>
          <w:sz w:val="20"/>
          <w:szCs w:val="20"/>
        </w:rPr>
        <w:t xml:space="preserve">5 </w:t>
      </w:r>
      <w:r w:rsidR="00E577E1" w:rsidRPr="006E55EC">
        <w:rPr>
          <w:b/>
          <w:iCs/>
          <w:sz w:val="20"/>
          <w:szCs w:val="20"/>
        </w:rPr>
        <w:t xml:space="preserve">Analysis of </w:t>
      </w:r>
      <w:proofErr w:type="spellStart"/>
      <w:r w:rsidR="00E577E1" w:rsidRPr="006E55EC">
        <w:rPr>
          <w:b/>
          <w:iCs/>
          <w:sz w:val="20"/>
          <w:szCs w:val="20"/>
        </w:rPr>
        <w:t>Anthocyanins</w:t>
      </w:r>
      <w:proofErr w:type="spellEnd"/>
      <w:r w:rsidR="00E577E1" w:rsidRPr="006E55EC">
        <w:rPr>
          <w:b/>
          <w:iCs/>
          <w:sz w:val="20"/>
          <w:szCs w:val="20"/>
        </w:rPr>
        <w:t xml:space="preserve"> in HAE by TLC</w:t>
      </w:r>
    </w:p>
    <w:p w:rsidR="00E577E1" w:rsidRPr="006E55EC" w:rsidRDefault="00E577E1" w:rsidP="00AB4189">
      <w:pPr>
        <w:snapToGrid w:val="0"/>
        <w:ind w:firstLine="425"/>
        <w:jc w:val="both"/>
        <w:rPr>
          <w:sz w:val="20"/>
          <w:szCs w:val="20"/>
        </w:rPr>
      </w:pPr>
      <w:r w:rsidRPr="006E55EC">
        <w:rPr>
          <w:sz w:val="20"/>
          <w:szCs w:val="20"/>
        </w:rPr>
        <w:t xml:space="preserve">Thin layer </w:t>
      </w:r>
      <w:proofErr w:type="spellStart"/>
      <w:r w:rsidRPr="006E55EC">
        <w:rPr>
          <w:sz w:val="20"/>
          <w:szCs w:val="20"/>
        </w:rPr>
        <w:t>chlaromatography</w:t>
      </w:r>
      <w:proofErr w:type="spellEnd"/>
      <w:r w:rsidRPr="006E55EC">
        <w:rPr>
          <w:sz w:val="20"/>
          <w:szCs w:val="20"/>
        </w:rPr>
        <w:t xml:space="preserve"> (TLC) analysis was performed to compare the nature of </w:t>
      </w:r>
      <w:proofErr w:type="spellStart"/>
      <w:r w:rsidRPr="006E55EC">
        <w:rPr>
          <w:sz w:val="20"/>
          <w:szCs w:val="20"/>
        </w:rPr>
        <w:t>anthocyanins</w:t>
      </w:r>
      <w:proofErr w:type="spellEnd"/>
      <w:r w:rsidRPr="006E55EC">
        <w:rPr>
          <w:sz w:val="20"/>
          <w:szCs w:val="20"/>
        </w:rPr>
        <w:t xml:space="preserve"> present in HAE with two standard </w:t>
      </w:r>
      <w:proofErr w:type="spellStart"/>
      <w:r w:rsidRPr="006E55EC">
        <w:rPr>
          <w:sz w:val="20"/>
          <w:szCs w:val="20"/>
        </w:rPr>
        <w:t>anthocyanidins</w:t>
      </w:r>
      <w:proofErr w:type="spellEnd"/>
      <w:r w:rsidRPr="006E55EC">
        <w:rPr>
          <w:sz w:val="20"/>
          <w:szCs w:val="20"/>
        </w:rPr>
        <w:t xml:space="preserve"> (</w:t>
      </w:r>
      <w:proofErr w:type="spellStart"/>
      <w:r w:rsidRPr="006E55EC">
        <w:rPr>
          <w:sz w:val="20"/>
          <w:szCs w:val="20"/>
        </w:rPr>
        <w:t>delphinidin</w:t>
      </w:r>
      <w:proofErr w:type="spellEnd"/>
      <w:r w:rsidRPr="006E55EC">
        <w:rPr>
          <w:sz w:val="20"/>
          <w:szCs w:val="20"/>
        </w:rPr>
        <w:t xml:space="preserve"> and </w:t>
      </w:r>
      <w:proofErr w:type="spellStart"/>
      <w:r w:rsidRPr="006E55EC">
        <w:rPr>
          <w:sz w:val="20"/>
          <w:szCs w:val="20"/>
        </w:rPr>
        <w:t>cyanidin</w:t>
      </w:r>
      <w:proofErr w:type="spellEnd"/>
      <w:r w:rsidRPr="006E55EC">
        <w:rPr>
          <w:sz w:val="20"/>
          <w:szCs w:val="20"/>
        </w:rPr>
        <w:t>).</w:t>
      </w:r>
      <w:r w:rsidR="006E55EC">
        <w:rPr>
          <w:sz w:val="20"/>
          <w:szCs w:val="20"/>
        </w:rPr>
        <w:t xml:space="preserve"> </w:t>
      </w:r>
      <w:r w:rsidRPr="006E55EC">
        <w:rPr>
          <w:sz w:val="20"/>
          <w:szCs w:val="20"/>
        </w:rPr>
        <w:t>For comparative TLC analysis Silica gel 60 plates and an organic solvent system (n-</w:t>
      </w:r>
      <w:proofErr w:type="spellStart"/>
      <w:r w:rsidRPr="006E55EC">
        <w:rPr>
          <w:sz w:val="20"/>
          <w:szCs w:val="20"/>
        </w:rPr>
        <w:t>butanol</w:t>
      </w:r>
      <w:proofErr w:type="spellEnd"/>
      <w:r w:rsidRPr="006E55EC">
        <w:rPr>
          <w:sz w:val="20"/>
          <w:szCs w:val="20"/>
        </w:rPr>
        <w:t>, acetic acid and water (40:10:20 v/v/v) were employed. The plates were visualized with visible light. Under this system five well resolv</w:t>
      </w:r>
      <w:r w:rsidR="00F51587" w:rsidRPr="006E55EC">
        <w:rPr>
          <w:sz w:val="20"/>
          <w:szCs w:val="20"/>
        </w:rPr>
        <w:t xml:space="preserve">ed bands were detected (Table </w:t>
      </w:r>
      <w:r w:rsidRPr="006E55EC">
        <w:rPr>
          <w:sz w:val="20"/>
          <w:szCs w:val="20"/>
        </w:rPr>
        <w:t>4).</w:t>
      </w:r>
    </w:p>
    <w:p w:rsidR="00E577E1" w:rsidRPr="006E55EC" w:rsidRDefault="00E577E1" w:rsidP="00AB4189">
      <w:pPr>
        <w:snapToGrid w:val="0"/>
        <w:jc w:val="both"/>
        <w:rPr>
          <w:b/>
          <w:bCs/>
          <w:sz w:val="20"/>
          <w:szCs w:val="20"/>
        </w:rPr>
      </w:pPr>
    </w:p>
    <w:p w:rsidR="00D35101" w:rsidRPr="006E55EC" w:rsidRDefault="00F51587" w:rsidP="00AB4189">
      <w:pPr>
        <w:snapToGrid w:val="0"/>
        <w:jc w:val="both"/>
        <w:rPr>
          <w:sz w:val="20"/>
          <w:szCs w:val="20"/>
        </w:rPr>
      </w:pPr>
      <w:r w:rsidRPr="006E55EC">
        <w:rPr>
          <w:b/>
          <w:bCs/>
          <w:sz w:val="20"/>
          <w:szCs w:val="20"/>
        </w:rPr>
        <w:t xml:space="preserve">Table </w:t>
      </w:r>
      <w:r w:rsidR="00D35101" w:rsidRPr="006E55EC">
        <w:rPr>
          <w:b/>
          <w:bCs/>
          <w:sz w:val="20"/>
          <w:szCs w:val="20"/>
        </w:rPr>
        <w:t xml:space="preserve">4. </w:t>
      </w:r>
      <w:r w:rsidR="00D35101" w:rsidRPr="006E55EC">
        <w:rPr>
          <w:sz w:val="20"/>
          <w:szCs w:val="20"/>
        </w:rPr>
        <w:t xml:space="preserve">TLC separation of </w:t>
      </w:r>
      <w:proofErr w:type="spellStart"/>
      <w:r w:rsidR="00D35101" w:rsidRPr="006E55EC">
        <w:rPr>
          <w:sz w:val="20"/>
          <w:szCs w:val="20"/>
        </w:rPr>
        <w:t>anthocyanins</w:t>
      </w:r>
      <w:proofErr w:type="spellEnd"/>
      <w:r w:rsidR="00D35101" w:rsidRPr="006E55EC">
        <w:rPr>
          <w:sz w:val="20"/>
          <w:szCs w:val="20"/>
        </w:rPr>
        <w:t xml:space="preserve"> in </w:t>
      </w:r>
      <w:proofErr w:type="spellStart"/>
      <w:r w:rsidR="00D35101" w:rsidRPr="006E55EC">
        <w:rPr>
          <w:sz w:val="20"/>
          <w:szCs w:val="20"/>
        </w:rPr>
        <w:t>anthocyanin</w:t>
      </w:r>
      <w:proofErr w:type="spellEnd"/>
      <w:r w:rsidR="00D35101" w:rsidRPr="006E55EC">
        <w:rPr>
          <w:sz w:val="20"/>
          <w:szCs w:val="20"/>
        </w:rPr>
        <w:t xml:space="preserve"> rich extract (HAE). Values are the means of three experiments ± SEM</w:t>
      </w:r>
    </w:p>
    <w:tbl>
      <w:tblPr>
        <w:tblStyle w:val="TableGrid"/>
        <w:tblW w:w="0" w:type="auto"/>
        <w:jc w:val="center"/>
        <w:tblLook w:val="04A0"/>
      </w:tblPr>
      <w:tblGrid>
        <w:gridCol w:w="1583"/>
        <w:gridCol w:w="1575"/>
        <w:gridCol w:w="1438"/>
      </w:tblGrid>
      <w:tr w:rsidR="00D70153" w:rsidRPr="006E55EC" w:rsidTr="00AB4189">
        <w:trPr>
          <w:jc w:val="center"/>
        </w:trPr>
        <w:tc>
          <w:tcPr>
            <w:tcW w:w="0" w:type="auto"/>
            <w:vAlign w:val="center"/>
          </w:tcPr>
          <w:p w:rsidR="00D70153" w:rsidRPr="006E55EC" w:rsidRDefault="00C152BD" w:rsidP="00AB4189">
            <w:pPr>
              <w:pStyle w:val="NoSpacing"/>
              <w:snapToGrid w:val="0"/>
              <w:jc w:val="both"/>
              <w:rPr>
                <w:color w:val="000000"/>
                <w:sz w:val="20"/>
                <w:szCs w:val="20"/>
              </w:rPr>
            </w:pPr>
            <w:r w:rsidRPr="006E55EC">
              <w:rPr>
                <w:color w:val="000000"/>
                <w:sz w:val="20"/>
                <w:szCs w:val="20"/>
              </w:rPr>
              <w:t>Standard/Sample</w:t>
            </w:r>
          </w:p>
        </w:tc>
        <w:tc>
          <w:tcPr>
            <w:tcW w:w="0" w:type="auto"/>
            <w:vAlign w:val="center"/>
          </w:tcPr>
          <w:p w:rsidR="00D70153" w:rsidRPr="006E55EC" w:rsidRDefault="00C152BD" w:rsidP="00AB4189">
            <w:pPr>
              <w:pStyle w:val="NoSpacing"/>
              <w:snapToGrid w:val="0"/>
              <w:jc w:val="both"/>
              <w:rPr>
                <w:color w:val="000000"/>
                <w:sz w:val="20"/>
                <w:szCs w:val="20"/>
              </w:rPr>
            </w:pPr>
            <w:r w:rsidRPr="006E55EC">
              <w:rPr>
                <w:color w:val="000000"/>
                <w:sz w:val="20"/>
                <w:szCs w:val="20"/>
              </w:rPr>
              <w:t>Standard Name/Band</w:t>
            </w:r>
          </w:p>
        </w:tc>
        <w:tc>
          <w:tcPr>
            <w:tcW w:w="0" w:type="auto"/>
            <w:vAlign w:val="center"/>
          </w:tcPr>
          <w:p w:rsidR="00D70153" w:rsidRPr="006E55EC" w:rsidRDefault="00C152BD" w:rsidP="00AB4189">
            <w:pPr>
              <w:pStyle w:val="NoSpacing"/>
              <w:snapToGrid w:val="0"/>
              <w:jc w:val="both"/>
              <w:rPr>
                <w:b/>
                <w:color w:val="000000"/>
                <w:sz w:val="20"/>
                <w:szCs w:val="20"/>
              </w:rPr>
            </w:pPr>
            <w:r w:rsidRPr="006E55EC">
              <w:rPr>
                <w:color w:val="000000"/>
                <w:sz w:val="20"/>
                <w:szCs w:val="20"/>
              </w:rPr>
              <w:t xml:space="preserve">Visible Light </w:t>
            </w:r>
            <w:proofErr w:type="spellStart"/>
            <w:r w:rsidRPr="006E55EC">
              <w:rPr>
                <w:color w:val="000000"/>
                <w:sz w:val="20"/>
                <w:szCs w:val="20"/>
              </w:rPr>
              <w:t>Rf</w:t>
            </w:r>
            <w:proofErr w:type="spellEnd"/>
            <w:r w:rsidRPr="006E55EC">
              <w:rPr>
                <w:color w:val="000000"/>
                <w:sz w:val="20"/>
                <w:szCs w:val="20"/>
              </w:rPr>
              <w:t xml:space="preserve"> value</w:t>
            </w:r>
          </w:p>
        </w:tc>
      </w:tr>
      <w:tr w:rsidR="00D70153" w:rsidRPr="006E55EC" w:rsidTr="00AB4189">
        <w:trPr>
          <w:jc w:val="center"/>
        </w:trPr>
        <w:tc>
          <w:tcPr>
            <w:tcW w:w="0" w:type="auto"/>
            <w:vAlign w:val="center"/>
          </w:tcPr>
          <w:p w:rsidR="00D70153" w:rsidRPr="006E55EC" w:rsidRDefault="00C152BD" w:rsidP="00AB4189">
            <w:pPr>
              <w:pStyle w:val="NoSpacing"/>
              <w:snapToGrid w:val="0"/>
              <w:jc w:val="both"/>
              <w:rPr>
                <w:color w:val="000000"/>
                <w:sz w:val="20"/>
                <w:szCs w:val="20"/>
              </w:rPr>
            </w:pPr>
            <w:r w:rsidRPr="006E55EC">
              <w:rPr>
                <w:color w:val="000000"/>
                <w:sz w:val="20"/>
                <w:szCs w:val="20"/>
              </w:rPr>
              <w:t>Standards</w:t>
            </w:r>
          </w:p>
        </w:tc>
        <w:tc>
          <w:tcPr>
            <w:tcW w:w="0" w:type="auto"/>
            <w:vAlign w:val="center"/>
          </w:tcPr>
          <w:p w:rsidR="00C152BD" w:rsidRPr="006E55EC" w:rsidRDefault="00C152BD" w:rsidP="00AB4189">
            <w:pPr>
              <w:pStyle w:val="NoSpacing"/>
              <w:snapToGrid w:val="0"/>
              <w:jc w:val="both"/>
              <w:rPr>
                <w:color w:val="000000"/>
                <w:sz w:val="20"/>
                <w:szCs w:val="20"/>
              </w:rPr>
            </w:pPr>
            <w:proofErr w:type="spellStart"/>
            <w:r w:rsidRPr="006E55EC">
              <w:rPr>
                <w:color w:val="000000"/>
                <w:sz w:val="20"/>
                <w:szCs w:val="20"/>
              </w:rPr>
              <w:t>Delphinidin</w:t>
            </w:r>
            <w:proofErr w:type="spellEnd"/>
            <w:r w:rsidRPr="006E55EC">
              <w:rPr>
                <w:color w:val="000000"/>
                <w:sz w:val="20"/>
                <w:szCs w:val="20"/>
              </w:rPr>
              <w:t xml:space="preserve"> Chloride</w:t>
            </w:r>
          </w:p>
        </w:tc>
        <w:tc>
          <w:tcPr>
            <w:tcW w:w="0" w:type="auto"/>
            <w:vAlign w:val="center"/>
          </w:tcPr>
          <w:p w:rsidR="00D70153" w:rsidRPr="006E55EC" w:rsidRDefault="00C152BD" w:rsidP="00AB4189">
            <w:pPr>
              <w:snapToGrid w:val="0"/>
              <w:jc w:val="both"/>
              <w:rPr>
                <w:color w:val="000000"/>
                <w:sz w:val="20"/>
                <w:szCs w:val="20"/>
              </w:rPr>
            </w:pPr>
            <w:r w:rsidRPr="006E55EC">
              <w:rPr>
                <w:color w:val="000000"/>
                <w:sz w:val="20"/>
                <w:szCs w:val="20"/>
              </w:rPr>
              <w:t>0.25</w:t>
            </w:r>
          </w:p>
        </w:tc>
      </w:tr>
      <w:tr w:rsidR="00D70153" w:rsidRPr="006E55EC" w:rsidTr="00AB4189">
        <w:trPr>
          <w:jc w:val="center"/>
        </w:trPr>
        <w:tc>
          <w:tcPr>
            <w:tcW w:w="0" w:type="auto"/>
            <w:vAlign w:val="center"/>
          </w:tcPr>
          <w:p w:rsidR="00D70153" w:rsidRPr="006E55EC" w:rsidRDefault="00D70153" w:rsidP="00AB4189">
            <w:pPr>
              <w:pStyle w:val="NoSpacing"/>
              <w:snapToGrid w:val="0"/>
              <w:jc w:val="both"/>
              <w:rPr>
                <w:color w:val="000000"/>
                <w:sz w:val="20"/>
                <w:szCs w:val="20"/>
              </w:rPr>
            </w:pPr>
          </w:p>
        </w:tc>
        <w:tc>
          <w:tcPr>
            <w:tcW w:w="0" w:type="auto"/>
            <w:vAlign w:val="center"/>
          </w:tcPr>
          <w:p w:rsidR="00D70153" w:rsidRPr="006E55EC" w:rsidRDefault="00C152BD" w:rsidP="00AB4189">
            <w:pPr>
              <w:pStyle w:val="NoSpacing"/>
              <w:snapToGrid w:val="0"/>
              <w:jc w:val="both"/>
              <w:rPr>
                <w:color w:val="000000"/>
                <w:sz w:val="20"/>
                <w:szCs w:val="20"/>
              </w:rPr>
            </w:pPr>
            <w:proofErr w:type="spellStart"/>
            <w:r w:rsidRPr="006E55EC">
              <w:rPr>
                <w:color w:val="000000"/>
                <w:sz w:val="20"/>
                <w:szCs w:val="20"/>
              </w:rPr>
              <w:t>Cyanidin</w:t>
            </w:r>
            <w:proofErr w:type="spellEnd"/>
            <w:r w:rsidRPr="006E55EC">
              <w:rPr>
                <w:color w:val="000000"/>
                <w:sz w:val="20"/>
                <w:szCs w:val="20"/>
              </w:rPr>
              <w:t xml:space="preserve"> Chloride</w:t>
            </w:r>
          </w:p>
        </w:tc>
        <w:tc>
          <w:tcPr>
            <w:tcW w:w="0" w:type="auto"/>
            <w:vAlign w:val="center"/>
          </w:tcPr>
          <w:p w:rsidR="00D70153" w:rsidRPr="006E55EC" w:rsidRDefault="00C152BD" w:rsidP="00AB4189">
            <w:pPr>
              <w:snapToGrid w:val="0"/>
              <w:jc w:val="both"/>
              <w:rPr>
                <w:color w:val="000000"/>
                <w:sz w:val="20"/>
                <w:szCs w:val="20"/>
              </w:rPr>
            </w:pPr>
            <w:r w:rsidRPr="006E55EC">
              <w:rPr>
                <w:color w:val="000000"/>
                <w:sz w:val="20"/>
                <w:szCs w:val="20"/>
              </w:rPr>
              <w:t>0.49</w:t>
            </w:r>
          </w:p>
        </w:tc>
      </w:tr>
      <w:tr w:rsidR="00D70153" w:rsidRPr="006E55EC" w:rsidTr="00AB4189">
        <w:trPr>
          <w:jc w:val="center"/>
        </w:trPr>
        <w:tc>
          <w:tcPr>
            <w:tcW w:w="0" w:type="auto"/>
            <w:vAlign w:val="center"/>
          </w:tcPr>
          <w:p w:rsidR="00D70153" w:rsidRPr="006E55EC" w:rsidRDefault="00C152BD" w:rsidP="00AB4189">
            <w:pPr>
              <w:pStyle w:val="NoSpacing"/>
              <w:snapToGrid w:val="0"/>
              <w:jc w:val="both"/>
              <w:rPr>
                <w:color w:val="000000"/>
                <w:sz w:val="20"/>
                <w:szCs w:val="20"/>
              </w:rPr>
            </w:pPr>
            <w:r w:rsidRPr="006E55EC">
              <w:rPr>
                <w:color w:val="000000"/>
                <w:sz w:val="20"/>
                <w:szCs w:val="20"/>
              </w:rPr>
              <w:t>HAE</w:t>
            </w:r>
          </w:p>
        </w:tc>
        <w:tc>
          <w:tcPr>
            <w:tcW w:w="0" w:type="auto"/>
            <w:vAlign w:val="center"/>
          </w:tcPr>
          <w:p w:rsidR="00D70153" w:rsidRPr="006E55EC" w:rsidRDefault="00C152BD" w:rsidP="00AB4189">
            <w:pPr>
              <w:pStyle w:val="NoSpacing"/>
              <w:snapToGrid w:val="0"/>
              <w:jc w:val="both"/>
              <w:rPr>
                <w:color w:val="000000"/>
                <w:sz w:val="20"/>
                <w:szCs w:val="20"/>
              </w:rPr>
            </w:pPr>
            <w:r w:rsidRPr="006E55EC">
              <w:rPr>
                <w:color w:val="000000"/>
                <w:sz w:val="20"/>
                <w:szCs w:val="20"/>
              </w:rPr>
              <w:t>Band 1</w:t>
            </w:r>
          </w:p>
        </w:tc>
        <w:tc>
          <w:tcPr>
            <w:tcW w:w="0" w:type="auto"/>
            <w:vAlign w:val="center"/>
          </w:tcPr>
          <w:p w:rsidR="00D70153" w:rsidRPr="006E55EC" w:rsidRDefault="00C152BD" w:rsidP="00AB4189">
            <w:pPr>
              <w:snapToGrid w:val="0"/>
              <w:jc w:val="both"/>
              <w:rPr>
                <w:color w:val="000000"/>
                <w:sz w:val="20"/>
                <w:szCs w:val="20"/>
              </w:rPr>
            </w:pPr>
            <w:r w:rsidRPr="006E55EC">
              <w:rPr>
                <w:color w:val="000000"/>
                <w:sz w:val="20"/>
                <w:szCs w:val="20"/>
              </w:rPr>
              <w:t>0.19</w:t>
            </w:r>
          </w:p>
        </w:tc>
      </w:tr>
      <w:tr w:rsidR="00D70153" w:rsidRPr="006E55EC" w:rsidTr="00AB4189">
        <w:trPr>
          <w:jc w:val="center"/>
        </w:trPr>
        <w:tc>
          <w:tcPr>
            <w:tcW w:w="0" w:type="auto"/>
            <w:vAlign w:val="center"/>
          </w:tcPr>
          <w:p w:rsidR="00D70153" w:rsidRPr="006E55EC" w:rsidRDefault="00D70153" w:rsidP="00AB4189">
            <w:pPr>
              <w:pStyle w:val="NoSpacing"/>
              <w:snapToGrid w:val="0"/>
              <w:jc w:val="both"/>
              <w:rPr>
                <w:color w:val="000000"/>
                <w:sz w:val="20"/>
                <w:szCs w:val="20"/>
              </w:rPr>
            </w:pPr>
          </w:p>
        </w:tc>
        <w:tc>
          <w:tcPr>
            <w:tcW w:w="0" w:type="auto"/>
            <w:vAlign w:val="center"/>
          </w:tcPr>
          <w:p w:rsidR="00D70153" w:rsidRPr="006E55EC" w:rsidRDefault="00C152BD" w:rsidP="00AB4189">
            <w:pPr>
              <w:pStyle w:val="NoSpacing"/>
              <w:snapToGrid w:val="0"/>
              <w:jc w:val="both"/>
              <w:rPr>
                <w:color w:val="000000"/>
                <w:sz w:val="20"/>
                <w:szCs w:val="20"/>
              </w:rPr>
            </w:pPr>
            <w:r w:rsidRPr="006E55EC">
              <w:rPr>
                <w:color w:val="000000"/>
                <w:sz w:val="20"/>
                <w:szCs w:val="20"/>
              </w:rPr>
              <w:t>Band 2</w:t>
            </w:r>
          </w:p>
        </w:tc>
        <w:tc>
          <w:tcPr>
            <w:tcW w:w="0" w:type="auto"/>
            <w:vAlign w:val="center"/>
          </w:tcPr>
          <w:p w:rsidR="00D70153" w:rsidRPr="006E55EC" w:rsidRDefault="00C152BD" w:rsidP="00AB4189">
            <w:pPr>
              <w:snapToGrid w:val="0"/>
              <w:jc w:val="both"/>
              <w:rPr>
                <w:color w:val="000000"/>
                <w:sz w:val="20"/>
                <w:szCs w:val="20"/>
              </w:rPr>
            </w:pPr>
            <w:r w:rsidRPr="006E55EC">
              <w:rPr>
                <w:color w:val="000000"/>
                <w:sz w:val="20"/>
                <w:szCs w:val="20"/>
              </w:rPr>
              <w:t>0.25</w:t>
            </w:r>
          </w:p>
        </w:tc>
      </w:tr>
      <w:tr w:rsidR="00D70153" w:rsidRPr="006E55EC" w:rsidTr="00AB4189">
        <w:trPr>
          <w:jc w:val="center"/>
        </w:trPr>
        <w:tc>
          <w:tcPr>
            <w:tcW w:w="0" w:type="auto"/>
            <w:vAlign w:val="center"/>
          </w:tcPr>
          <w:p w:rsidR="00D70153" w:rsidRPr="006E55EC" w:rsidRDefault="00D70153" w:rsidP="00AB4189">
            <w:pPr>
              <w:pStyle w:val="NoSpacing"/>
              <w:snapToGrid w:val="0"/>
              <w:jc w:val="both"/>
              <w:rPr>
                <w:color w:val="000000"/>
                <w:sz w:val="20"/>
                <w:szCs w:val="20"/>
              </w:rPr>
            </w:pPr>
          </w:p>
        </w:tc>
        <w:tc>
          <w:tcPr>
            <w:tcW w:w="0" w:type="auto"/>
            <w:vAlign w:val="center"/>
          </w:tcPr>
          <w:p w:rsidR="00D70153" w:rsidRPr="006E55EC" w:rsidRDefault="00C152BD" w:rsidP="00AB4189">
            <w:pPr>
              <w:pStyle w:val="NoSpacing"/>
              <w:snapToGrid w:val="0"/>
              <w:jc w:val="both"/>
              <w:rPr>
                <w:color w:val="000000"/>
                <w:sz w:val="20"/>
                <w:szCs w:val="20"/>
              </w:rPr>
            </w:pPr>
            <w:r w:rsidRPr="006E55EC">
              <w:rPr>
                <w:color w:val="000000"/>
                <w:sz w:val="20"/>
                <w:szCs w:val="20"/>
              </w:rPr>
              <w:t>Band 3</w:t>
            </w:r>
          </w:p>
        </w:tc>
        <w:tc>
          <w:tcPr>
            <w:tcW w:w="0" w:type="auto"/>
            <w:vAlign w:val="center"/>
          </w:tcPr>
          <w:p w:rsidR="00D70153" w:rsidRPr="006E55EC" w:rsidRDefault="00C152BD" w:rsidP="00AB4189">
            <w:pPr>
              <w:snapToGrid w:val="0"/>
              <w:jc w:val="both"/>
              <w:rPr>
                <w:color w:val="000000"/>
                <w:sz w:val="20"/>
                <w:szCs w:val="20"/>
              </w:rPr>
            </w:pPr>
            <w:r w:rsidRPr="006E55EC">
              <w:rPr>
                <w:color w:val="000000"/>
                <w:sz w:val="20"/>
                <w:szCs w:val="20"/>
              </w:rPr>
              <w:t>0.32</w:t>
            </w:r>
          </w:p>
        </w:tc>
      </w:tr>
      <w:tr w:rsidR="00D70153" w:rsidRPr="006E55EC" w:rsidTr="00AB4189">
        <w:trPr>
          <w:jc w:val="center"/>
        </w:trPr>
        <w:tc>
          <w:tcPr>
            <w:tcW w:w="0" w:type="auto"/>
            <w:vAlign w:val="center"/>
          </w:tcPr>
          <w:p w:rsidR="00D70153" w:rsidRPr="006E55EC" w:rsidRDefault="00D70153" w:rsidP="00AB4189">
            <w:pPr>
              <w:pStyle w:val="NoSpacing"/>
              <w:snapToGrid w:val="0"/>
              <w:jc w:val="both"/>
              <w:rPr>
                <w:color w:val="000000"/>
                <w:sz w:val="20"/>
                <w:szCs w:val="20"/>
              </w:rPr>
            </w:pPr>
          </w:p>
        </w:tc>
        <w:tc>
          <w:tcPr>
            <w:tcW w:w="0" w:type="auto"/>
            <w:vAlign w:val="center"/>
          </w:tcPr>
          <w:p w:rsidR="00D70153" w:rsidRPr="006E55EC" w:rsidRDefault="00C152BD" w:rsidP="00AB4189">
            <w:pPr>
              <w:pStyle w:val="NoSpacing"/>
              <w:snapToGrid w:val="0"/>
              <w:jc w:val="both"/>
              <w:rPr>
                <w:color w:val="000000"/>
                <w:sz w:val="20"/>
                <w:szCs w:val="20"/>
              </w:rPr>
            </w:pPr>
            <w:r w:rsidRPr="006E55EC">
              <w:rPr>
                <w:color w:val="000000"/>
                <w:sz w:val="20"/>
                <w:szCs w:val="20"/>
              </w:rPr>
              <w:t>Band 4</w:t>
            </w:r>
          </w:p>
        </w:tc>
        <w:tc>
          <w:tcPr>
            <w:tcW w:w="0" w:type="auto"/>
            <w:vAlign w:val="center"/>
          </w:tcPr>
          <w:p w:rsidR="00D70153" w:rsidRPr="006E55EC" w:rsidRDefault="00C152BD" w:rsidP="00AB4189">
            <w:pPr>
              <w:snapToGrid w:val="0"/>
              <w:jc w:val="both"/>
              <w:rPr>
                <w:color w:val="000000"/>
                <w:sz w:val="20"/>
                <w:szCs w:val="20"/>
              </w:rPr>
            </w:pPr>
            <w:r w:rsidRPr="006E55EC">
              <w:rPr>
                <w:color w:val="000000"/>
                <w:sz w:val="20"/>
                <w:szCs w:val="20"/>
              </w:rPr>
              <w:t>0.51</w:t>
            </w:r>
          </w:p>
        </w:tc>
      </w:tr>
      <w:tr w:rsidR="00D70153" w:rsidRPr="006E55EC" w:rsidTr="00AB4189">
        <w:trPr>
          <w:jc w:val="center"/>
        </w:trPr>
        <w:tc>
          <w:tcPr>
            <w:tcW w:w="0" w:type="auto"/>
            <w:vAlign w:val="center"/>
          </w:tcPr>
          <w:p w:rsidR="00D70153" w:rsidRPr="006E55EC" w:rsidRDefault="00D70153" w:rsidP="00AB4189">
            <w:pPr>
              <w:pStyle w:val="NoSpacing"/>
              <w:snapToGrid w:val="0"/>
              <w:jc w:val="both"/>
              <w:rPr>
                <w:color w:val="000000"/>
                <w:sz w:val="20"/>
                <w:szCs w:val="20"/>
              </w:rPr>
            </w:pPr>
          </w:p>
        </w:tc>
        <w:tc>
          <w:tcPr>
            <w:tcW w:w="0" w:type="auto"/>
            <w:vAlign w:val="center"/>
          </w:tcPr>
          <w:p w:rsidR="00D70153" w:rsidRPr="006E55EC" w:rsidRDefault="00C152BD" w:rsidP="00AB4189">
            <w:pPr>
              <w:pStyle w:val="NoSpacing"/>
              <w:snapToGrid w:val="0"/>
              <w:jc w:val="both"/>
              <w:rPr>
                <w:color w:val="000000"/>
                <w:sz w:val="20"/>
                <w:szCs w:val="20"/>
              </w:rPr>
            </w:pPr>
            <w:r w:rsidRPr="006E55EC">
              <w:rPr>
                <w:color w:val="000000"/>
                <w:sz w:val="20"/>
                <w:szCs w:val="20"/>
              </w:rPr>
              <w:t>Band 5</w:t>
            </w:r>
          </w:p>
        </w:tc>
        <w:tc>
          <w:tcPr>
            <w:tcW w:w="0" w:type="auto"/>
            <w:vAlign w:val="center"/>
          </w:tcPr>
          <w:p w:rsidR="00D70153" w:rsidRPr="006E55EC" w:rsidRDefault="00C152BD" w:rsidP="00AB4189">
            <w:pPr>
              <w:snapToGrid w:val="0"/>
              <w:jc w:val="both"/>
              <w:rPr>
                <w:color w:val="000000"/>
                <w:sz w:val="20"/>
                <w:szCs w:val="20"/>
              </w:rPr>
            </w:pPr>
            <w:r w:rsidRPr="006E55EC">
              <w:rPr>
                <w:color w:val="000000"/>
                <w:sz w:val="20"/>
                <w:szCs w:val="20"/>
              </w:rPr>
              <w:t>0.71</w:t>
            </w:r>
          </w:p>
        </w:tc>
      </w:tr>
    </w:tbl>
    <w:p w:rsidR="00D15E42" w:rsidRPr="006E55EC" w:rsidRDefault="00D15E42" w:rsidP="00AB4189">
      <w:pPr>
        <w:snapToGrid w:val="0"/>
        <w:ind w:firstLine="425"/>
        <w:jc w:val="both"/>
        <w:rPr>
          <w:b/>
          <w:sz w:val="20"/>
          <w:szCs w:val="20"/>
        </w:rPr>
      </w:pPr>
    </w:p>
    <w:p w:rsidR="00D15E42" w:rsidRPr="006E55EC" w:rsidRDefault="00F51587" w:rsidP="00AB4189">
      <w:pPr>
        <w:snapToGrid w:val="0"/>
        <w:jc w:val="both"/>
        <w:rPr>
          <w:b/>
          <w:sz w:val="20"/>
          <w:szCs w:val="20"/>
        </w:rPr>
      </w:pPr>
      <w:r w:rsidRPr="006E55EC">
        <w:rPr>
          <w:b/>
          <w:sz w:val="20"/>
          <w:szCs w:val="20"/>
        </w:rPr>
        <w:t>3.6</w:t>
      </w:r>
      <w:r w:rsidR="00126D11" w:rsidRPr="006E55EC">
        <w:rPr>
          <w:b/>
          <w:sz w:val="20"/>
          <w:szCs w:val="20"/>
        </w:rPr>
        <w:t xml:space="preserve">. </w:t>
      </w:r>
      <w:r w:rsidR="00D15E42" w:rsidRPr="006E55EC">
        <w:rPr>
          <w:b/>
          <w:sz w:val="20"/>
          <w:szCs w:val="20"/>
        </w:rPr>
        <w:t xml:space="preserve">Analysis of </w:t>
      </w:r>
      <w:proofErr w:type="spellStart"/>
      <w:r w:rsidR="00D15E42" w:rsidRPr="006E55EC">
        <w:rPr>
          <w:b/>
          <w:sz w:val="20"/>
          <w:szCs w:val="20"/>
        </w:rPr>
        <w:t>Anthocyanins</w:t>
      </w:r>
      <w:proofErr w:type="spellEnd"/>
      <w:r w:rsidR="00D15E42" w:rsidRPr="006E55EC">
        <w:rPr>
          <w:b/>
          <w:sz w:val="20"/>
          <w:szCs w:val="20"/>
        </w:rPr>
        <w:t xml:space="preserve"> in </w:t>
      </w:r>
      <w:smartTag w:uri="urn:schemas-microsoft-com:office:smarttags" w:element="stockticker">
        <w:r w:rsidR="00D15E42" w:rsidRPr="006E55EC">
          <w:rPr>
            <w:b/>
            <w:sz w:val="20"/>
            <w:szCs w:val="20"/>
          </w:rPr>
          <w:t>HAE</w:t>
        </w:r>
      </w:smartTag>
      <w:r w:rsidR="00D15E42" w:rsidRPr="006E55EC">
        <w:rPr>
          <w:b/>
          <w:sz w:val="20"/>
          <w:szCs w:val="20"/>
        </w:rPr>
        <w:t xml:space="preserve"> by HPLC</w:t>
      </w:r>
    </w:p>
    <w:p w:rsidR="00D15E42" w:rsidRPr="006E55EC" w:rsidRDefault="00D15E42" w:rsidP="00AB4189">
      <w:pPr>
        <w:snapToGrid w:val="0"/>
        <w:ind w:firstLine="425"/>
        <w:jc w:val="both"/>
        <w:rPr>
          <w:rFonts w:eastAsiaTheme="minorEastAsia"/>
          <w:sz w:val="20"/>
          <w:szCs w:val="20"/>
          <w:lang w:eastAsia="zh-CN"/>
        </w:rPr>
      </w:pPr>
      <w:r w:rsidRPr="006E55EC">
        <w:rPr>
          <w:sz w:val="20"/>
          <w:szCs w:val="20"/>
        </w:rPr>
        <w:t xml:space="preserve">Separation of </w:t>
      </w:r>
      <w:proofErr w:type="spellStart"/>
      <w:r w:rsidRPr="006E55EC">
        <w:rPr>
          <w:sz w:val="20"/>
          <w:szCs w:val="20"/>
        </w:rPr>
        <w:t>anthocyanins</w:t>
      </w:r>
      <w:proofErr w:type="spellEnd"/>
      <w:r w:rsidRPr="006E55EC">
        <w:rPr>
          <w:sz w:val="20"/>
          <w:szCs w:val="20"/>
        </w:rPr>
        <w:t xml:space="preserve"> in </w:t>
      </w:r>
      <w:smartTag w:uri="urn:schemas-microsoft-com:office:smarttags" w:element="stockticker">
        <w:r w:rsidRPr="006E55EC">
          <w:rPr>
            <w:sz w:val="20"/>
            <w:szCs w:val="20"/>
          </w:rPr>
          <w:t>HAE</w:t>
        </w:r>
      </w:smartTag>
      <w:r w:rsidRPr="006E55EC">
        <w:rPr>
          <w:sz w:val="20"/>
          <w:szCs w:val="20"/>
        </w:rPr>
        <w:t xml:space="preserve"> was achieved using high pressure liquid chromatography (HPLC). The </w:t>
      </w:r>
      <w:proofErr w:type="spellStart"/>
      <w:r w:rsidRPr="006E55EC">
        <w:rPr>
          <w:sz w:val="20"/>
          <w:szCs w:val="20"/>
        </w:rPr>
        <w:t>acetonitrile</w:t>
      </w:r>
      <w:proofErr w:type="spellEnd"/>
      <w:r w:rsidRPr="006E55EC">
        <w:rPr>
          <w:sz w:val="20"/>
          <w:szCs w:val="20"/>
        </w:rPr>
        <w:t xml:space="preserve">/water gradient system used allowed separation of </w:t>
      </w:r>
      <w:proofErr w:type="spellStart"/>
      <w:r w:rsidRPr="006E55EC">
        <w:rPr>
          <w:sz w:val="20"/>
          <w:szCs w:val="20"/>
        </w:rPr>
        <w:t>anthocyanins</w:t>
      </w:r>
      <w:proofErr w:type="spellEnd"/>
      <w:r w:rsidRPr="006E55EC">
        <w:rPr>
          <w:sz w:val="20"/>
          <w:szCs w:val="20"/>
        </w:rPr>
        <w:t xml:space="preserve"> compounds present in </w:t>
      </w:r>
      <w:smartTag w:uri="urn:schemas-microsoft-com:office:smarttags" w:element="stockticker">
        <w:r w:rsidRPr="006E55EC">
          <w:rPr>
            <w:sz w:val="20"/>
            <w:szCs w:val="20"/>
          </w:rPr>
          <w:t>HAE</w:t>
        </w:r>
      </w:smartTag>
      <w:r w:rsidRPr="006E55EC">
        <w:rPr>
          <w:sz w:val="20"/>
          <w:szCs w:val="20"/>
        </w:rPr>
        <w:t xml:space="preserve"> by polarity with the most polar compounds eluted first. Five peaks were obtained (two major and three minor).</w:t>
      </w:r>
      <w:r w:rsidR="006E55EC">
        <w:rPr>
          <w:sz w:val="20"/>
          <w:szCs w:val="20"/>
        </w:rPr>
        <w:t xml:space="preserve"> </w:t>
      </w:r>
      <w:r w:rsidRPr="006E55EC">
        <w:rPr>
          <w:sz w:val="20"/>
          <w:szCs w:val="20"/>
        </w:rPr>
        <w:t xml:space="preserve">The chromatogram (Figure </w:t>
      </w:r>
      <w:r w:rsidR="00126D11" w:rsidRPr="006E55EC">
        <w:rPr>
          <w:b/>
          <w:bCs/>
          <w:sz w:val="20"/>
          <w:szCs w:val="20"/>
        </w:rPr>
        <w:t>1</w:t>
      </w:r>
      <w:r w:rsidRPr="006E55EC">
        <w:rPr>
          <w:sz w:val="20"/>
          <w:szCs w:val="20"/>
        </w:rPr>
        <w:t xml:space="preserve">), compared well with the results of previous workers, who separated and identified four </w:t>
      </w:r>
      <w:proofErr w:type="spellStart"/>
      <w:r w:rsidRPr="006E55EC">
        <w:rPr>
          <w:sz w:val="20"/>
          <w:szCs w:val="20"/>
        </w:rPr>
        <w:t>anthocyanins</w:t>
      </w:r>
      <w:proofErr w:type="spellEnd"/>
      <w:r w:rsidRPr="006E55EC">
        <w:rPr>
          <w:sz w:val="20"/>
          <w:szCs w:val="20"/>
        </w:rPr>
        <w:t xml:space="preserve"> in </w:t>
      </w:r>
      <w:r w:rsidRPr="006E55EC">
        <w:rPr>
          <w:i/>
          <w:iCs/>
          <w:sz w:val="20"/>
          <w:szCs w:val="20"/>
        </w:rPr>
        <w:t xml:space="preserve">Hibiscus </w:t>
      </w:r>
      <w:proofErr w:type="spellStart"/>
      <w:r w:rsidRPr="006E55EC">
        <w:rPr>
          <w:i/>
          <w:iCs/>
          <w:sz w:val="20"/>
          <w:szCs w:val="20"/>
        </w:rPr>
        <w:t>sabdariffa</w:t>
      </w:r>
      <w:proofErr w:type="spellEnd"/>
      <w:r w:rsidR="007B077E" w:rsidRPr="006E55EC">
        <w:rPr>
          <w:sz w:val="20"/>
          <w:szCs w:val="20"/>
        </w:rPr>
        <w:t xml:space="preserve"> using HPLC (Hong and </w:t>
      </w:r>
      <w:proofErr w:type="spellStart"/>
      <w:r w:rsidR="007B077E" w:rsidRPr="006E55EC">
        <w:rPr>
          <w:sz w:val="20"/>
          <w:szCs w:val="20"/>
        </w:rPr>
        <w:t>Wrolstad</w:t>
      </w:r>
      <w:proofErr w:type="spellEnd"/>
      <w:r w:rsidR="007B077E" w:rsidRPr="006E55EC">
        <w:rPr>
          <w:sz w:val="20"/>
          <w:szCs w:val="20"/>
        </w:rPr>
        <w:t>, 1990; Wong, et. al., 2002)</w:t>
      </w:r>
      <w:r w:rsidRPr="006E55EC">
        <w:rPr>
          <w:sz w:val="20"/>
          <w:szCs w:val="20"/>
        </w:rPr>
        <w:t>.</w:t>
      </w:r>
      <w:r w:rsidR="006E55EC">
        <w:rPr>
          <w:sz w:val="20"/>
          <w:szCs w:val="20"/>
        </w:rPr>
        <w:t xml:space="preserve"> </w:t>
      </w:r>
      <w:r w:rsidRPr="006E55EC">
        <w:rPr>
          <w:sz w:val="20"/>
          <w:szCs w:val="20"/>
        </w:rPr>
        <w:t xml:space="preserve">In this study </w:t>
      </w:r>
      <w:proofErr w:type="spellStart"/>
      <w:r w:rsidRPr="006E55EC">
        <w:rPr>
          <w:sz w:val="20"/>
          <w:szCs w:val="20"/>
        </w:rPr>
        <w:t>anthocyanins</w:t>
      </w:r>
      <w:proofErr w:type="spellEnd"/>
      <w:r w:rsidRPr="006E55EC">
        <w:rPr>
          <w:sz w:val="20"/>
          <w:szCs w:val="20"/>
        </w:rPr>
        <w:t xml:space="preserve"> a-d (Figure </w:t>
      </w:r>
      <w:r w:rsidR="00126D11" w:rsidRPr="006E55EC">
        <w:rPr>
          <w:b/>
          <w:bCs/>
          <w:sz w:val="20"/>
          <w:szCs w:val="20"/>
        </w:rPr>
        <w:t>1</w:t>
      </w:r>
      <w:r w:rsidRPr="006E55EC">
        <w:rPr>
          <w:sz w:val="20"/>
          <w:szCs w:val="20"/>
        </w:rPr>
        <w:t xml:space="preserve">) were identified by matching their retention times to those of the </w:t>
      </w:r>
      <w:proofErr w:type="spellStart"/>
      <w:r w:rsidRPr="006E55EC">
        <w:rPr>
          <w:sz w:val="20"/>
          <w:szCs w:val="20"/>
        </w:rPr>
        <w:t>anthocyanins</w:t>
      </w:r>
      <w:proofErr w:type="spellEnd"/>
      <w:r w:rsidRPr="006E55EC">
        <w:rPr>
          <w:sz w:val="20"/>
          <w:szCs w:val="20"/>
        </w:rPr>
        <w:t xml:space="preserve"> present in an authentic sample of </w:t>
      </w:r>
      <w:r w:rsidRPr="006E55EC">
        <w:rPr>
          <w:i/>
          <w:iCs/>
          <w:sz w:val="20"/>
          <w:szCs w:val="20"/>
        </w:rPr>
        <w:lastRenderedPageBreak/>
        <w:t xml:space="preserve">Hibiscus </w:t>
      </w:r>
      <w:proofErr w:type="spellStart"/>
      <w:r w:rsidRPr="006E55EC">
        <w:rPr>
          <w:i/>
          <w:iCs/>
          <w:sz w:val="20"/>
          <w:szCs w:val="20"/>
        </w:rPr>
        <w:t>sabdariffa</w:t>
      </w:r>
      <w:proofErr w:type="spellEnd"/>
      <w:r w:rsidRPr="006E55EC">
        <w:rPr>
          <w:sz w:val="20"/>
          <w:szCs w:val="20"/>
        </w:rPr>
        <w:t xml:space="preserve">, as described by Hong and </w:t>
      </w:r>
      <w:proofErr w:type="spellStart"/>
      <w:r w:rsidRPr="006E55EC">
        <w:rPr>
          <w:sz w:val="20"/>
          <w:szCs w:val="20"/>
        </w:rPr>
        <w:t>Wrolstad</w:t>
      </w:r>
      <w:proofErr w:type="spellEnd"/>
      <w:r w:rsidRPr="006E55EC">
        <w:rPr>
          <w:sz w:val="20"/>
          <w:szCs w:val="20"/>
        </w:rPr>
        <w:t xml:space="preserve">. The </w:t>
      </w:r>
      <w:proofErr w:type="spellStart"/>
      <w:r w:rsidRPr="006E55EC">
        <w:rPr>
          <w:sz w:val="20"/>
          <w:szCs w:val="20"/>
        </w:rPr>
        <w:t>anthocyanins</w:t>
      </w:r>
      <w:proofErr w:type="spellEnd"/>
      <w:r w:rsidRPr="006E55EC">
        <w:rPr>
          <w:sz w:val="20"/>
          <w:szCs w:val="20"/>
        </w:rPr>
        <w:t xml:space="preserve"> were expressed as percentage based on total peak area. The relative percentages distributed by delphinidin-3-sambubioside, </w:t>
      </w:r>
      <w:proofErr w:type="spellStart"/>
      <w:r w:rsidRPr="006E55EC">
        <w:rPr>
          <w:sz w:val="20"/>
          <w:szCs w:val="20"/>
        </w:rPr>
        <w:t>delphinidin</w:t>
      </w:r>
      <w:proofErr w:type="spellEnd"/>
      <w:r w:rsidRPr="006E55EC">
        <w:rPr>
          <w:sz w:val="20"/>
          <w:szCs w:val="20"/>
        </w:rPr>
        <w:t xml:space="preserve"> -3- </w:t>
      </w:r>
      <w:proofErr w:type="spellStart"/>
      <w:r w:rsidRPr="006E55EC">
        <w:rPr>
          <w:sz w:val="20"/>
          <w:szCs w:val="20"/>
        </w:rPr>
        <w:t>glucoside</w:t>
      </w:r>
      <w:proofErr w:type="spellEnd"/>
      <w:r w:rsidRPr="006E55EC">
        <w:rPr>
          <w:sz w:val="20"/>
          <w:szCs w:val="20"/>
        </w:rPr>
        <w:t xml:space="preserve">, </w:t>
      </w:r>
      <w:proofErr w:type="spellStart"/>
      <w:r w:rsidRPr="006E55EC">
        <w:rPr>
          <w:sz w:val="20"/>
          <w:szCs w:val="20"/>
        </w:rPr>
        <w:t>cyanidin</w:t>
      </w:r>
      <w:proofErr w:type="spellEnd"/>
      <w:r w:rsidRPr="006E55EC">
        <w:rPr>
          <w:sz w:val="20"/>
          <w:szCs w:val="20"/>
        </w:rPr>
        <w:t xml:space="preserve"> -3- </w:t>
      </w:r>
      <w:proofErr w:type="spellStart"/>
      <w:r w:rsidRPr="006E55EC">
        <w:rPr>
          <w:sz w:val="20"/>
          <w:szCs w:val="20"/>
        </w:rPr>
        <w:t>sambubioside</w:t>
      </w:r>
      <w:proofErr w:type="spellEnd"/>
      <w:r w:rsidRPr="006E55EC">
        <w:rPr>
          <w:sz w:val="20"/>
          <w:szCs w:val="20"/>
        </w:rPr>
        <w:t xml:space="preserve"> and </w:t>
      </w:r>
      <w:proofErr w:type="spellStart"/>
      <w:r w:rsidRPr="006E55EC">
        <w:rPr>
          <w:sz w:val="20"/>
          <w:szCs w:val="20"/>
        </w:rPr>
        <w:t>cyanidin</w:t>
      </w:r>
      <w:proofErr w:type="spellEnd"/>
      <w:r w:rsidRPr="006E55EC">
        <w:rPr>
          <w:sz w:val="20"/>
          <w:szCs w:val="20"/>
        </w:rPr>
        <w:t xml:space="preserve"> -3- </w:t>
      </w:r>
      <w:proofErr w:type="spellStart"/>
      <w:r w:rsidRPr="006E55EC">
        <w:rPr>
          <w:sz w:val="20"/>
          <w:szCs w:val="20"/>
        </w:rPr>
        <w:t>glucoside</w:t>
      </w:r>
      <w:proofErr w:type="spellEnd"/>
      <w:r w:rsidRPr="006E55EC">
        <w:rPr>
          <w:sz w:val="20"/>
          <w:szCs w:val="20"/>
        </w:rPr>
        <w:t xml:space="preserve"> in </w:t>
      </w:r>
      <w:smartTag w:uri="urn:schemas-microsoft-com:office:smarttags" w:element="stockticker">
        <w:r w:rsidRPr="006E55EC">
          <w:rPr>
            <w:sz w:val="20"/>
            <w:szCs w:val="20"/>
          </w:rPr>
          <w:t>HAE</w:t>
        </w:r>
      </w:smartTag>
      <w:r w:rsidRPr="006E55EC">
        <w:rPr>
          <w:sz w:val="20"/>
          <w:szCs w:val="20"/>
        </w:rPr>
        <w:t xml:space="preserve"> were 56.85%, 4.50%, 36.60% and 1.00% respectively</w:t>
      </w:r>
      <w:r w:rsidR="006C5E04" w:rsidRPr="006E55EC">
        <w:rPr>
          <w:sz w:val="20"/>
          <w:szCs w:val="20"/>
        </w:rPr>
        <w:t xml:space="preserve"> (Figure 1 &amp; 3)</w:t>
      </w:r>
      <w:r w:rsidRPr="006E55EC">
        <w:rPr>
          <w:sz w:val="20"/>
          <w:szCs w:val="20"/>
        </w:rPr>
        <w:t>.</w:t>
      </w:r>
      <w:r w:rsidR="006E55EC">
        <w:rPr>
          <w:sz w:val="20"/>
          <w:szCs w:val="20"/>
        </w:rPr>
        <w:t xml:space="preserve"> </w:t>
      </w:r>
      <w:r w:rsidRPr="006E55EC">
        <w:rPr>
          <w:sz w:val="20"/>
          <w:szCs w:val="20"/>
        </w:rPr>
        <w:t xml:space="preserve">Results of this study showed that </w:t>
      </w:r>
      <w:proofErr w:type="spellStart"/>
      <w:r w:rsidRPr="006E55EC">
        <w:rPr>
          <w:sz w:val="20"/>
          <w:szCs w:val="20"/>
        </w:rPr>
        <w:t>delphinidin</w:t>
      </w:r>
      <w:proofErr w:type="spellEnd"/>
      <w:r w:rsidRPr="006E55EC">
        <w:rPr>
          <w:sz w:val="20"/>
          <w:szCs w:val="20"/>
        </w:rPr>
        <w:t xml:space="preserve"> -3- </w:t>
      </w:r>
      <w:proofErr w:type="spellStart"/>
      <w:r w:rsidRPr="006E55EC">
        <w:rPr>
          <w:sz w:val="20"/>
          <w:szCs w:val="20"/>
        </w:rPr>
        <w:t>sambubioside</w:t>
      </w:r>
      <w:proofErr w:type="spellEnd"/>
      <w:r w:rsidRPr="006E55EC">
        <w:rPr>
          <w:sz w:val="20"/>
          <w:szCs w:val="20"/>
        </w:rPr>
        <w:t xml:space="preserve"> and </w:t>
      </w:r>
      <w:proofErr w:type="spellStart"/>
      <w:r w:rsidRPr="006E55EC">
        <w:rPr>
          <w:sz w:val="20"/>
          <w:szCs w:val="20"/>
        </w:rPr>
        <w:t>cyanidin</w:t>
      </w:r>
      <w:proofErr w:type="spellEnd"/>
      <w:r w:rsidRPr="006E55EC">
        <w:rPr>
          <w:sz w:val="20"/>
          <w:szCs w:val="20"/>
        </w:rPr>
        <w:t xml:space="preserve"> -3- </w:t>
      </w:r>
      <w:proofErr w:type="spellStart"/>
      <w:r w:rsidRPr="006E55EC">
        <w:rPr>
          <w:sz w:val="20"/>
          <w:szCs w:val="20"/>
        </w:rPr>
        <w:t>sambubioside</w:t>
      </w:r>
      <w:proofErr w:type="spellEnd"/>
      <w:r w:rsidRPr="006E55EC">
        <w:rPr>
          <w:sz w:val="20"/>
          <w:szCs w:val="20"/>
        </w:rPr>
        <w:t xml:space="preserve"> were the major </w:t>
      </w:r>
      <w:proofErr w:type="spellStart"/>
      <w:r w:rsidRPr="006E55EC">
        <w:rPr>
          <w:sz w:val="20"/>
          <w:szCs w:val="20"/>
        </w:rPr>
        <w:t>anthocyanins</w:t>
      </w:r>
      <w:proofErr w:type="spellEnd"/>
      <w:r w:rsidRPr="006E55EC">
        <w:rPr>
          <w:sz w:val="20"/>
          <w:szCs w:val="20"/>
        </w:rPr>
        <w:t xml:space="preserve"> present </w:t>
      </w:r>
      <w:r w:rsidRPr="006E55EC">
        <w:rPr>
          <w:sz w:val="20"/>
          <w:szCs w:val="20"/>
        </w:rPr>
        <w:lastRenderedPageBreak/>
        <w:t>and this corresponded to those reported previ</w:t>
      </w:r>
      <w:r w:rsidR="007B077E" w:rsidRPr="006E55EC">
        <w:rPr>
          <w:sz w:val="20"/>
          <w:szCs w:val="20"/>
        </w:rPr>
        <w:t xml:space="preserve">ously by Hong and </w:t>
      </w:r>
      <w:proofErr w:type="spellStart"/>
      <w:r w:rsidR="007B077E" w:rsidRPr="006E55EC">
        <w:rPr>
          <w:sz w:val="20"/>
          <w:szCs w:val="20"/>
        </w:rPr>
        <w:t>Wrolstad</w:t>
      </w:r>
      <w:proofErr w:type="spellEnd"/>
      <w:r w:rsidR="007B077E" w:rsidRPr="006E55EC">
        <w:rPr>
          <w:sz w:val="20"/>
          <w:szCs w:val="20"/>
        </w:rPr>
        <w:t>, (1990)</w:t>
      </w:r>
      <w:r w:rsidRPr="006E55EC">
        <w:rPr>
          <w:sz w:val="20"/>
          <w:szCs w:val="20"/>
        </w:rPr>
        <w:t xml:space="preserve">. In a separate study, HPLC analysis on Acid – hydrolysed </w:t>
      </w:r>
      <w:smartTag w:uri="urn:schemas-microsoft-com:office:smarttags" w:element="stockticker">
        <w:r w:rsidRPr="006E55EC">
          <w:rPr>
            <w:sz w:val="20"/>
            <w:szCs w:val="20"/>
          </w:rPr>
          <w:t>HAE</w:t>
        </w:r>
      </w:smartTag>
      <w:r w:rsidRPr="006E55EC">
        <w:rPr>
          <w:sz w:val="20"/>
          <w:szCs w:val="20"/>
        </w:rPr>
        <w:t xml:space="preserve"> showed two peaks with retention time of 7.1 minutes and 8.18 minutes. These two peaks corresponded to peaks obtained with </w:t>
      </w:r>
      <w:proofErr w:type="spellStart"/>
      <w:r w:rsidRPr="006E55EC">
        <w:rPr>
          <w:sz w:val="20"/>
          <w:szCs w:val="20"/>
        </w:rPr>
        <w:t>delphinidin</w:t>
      </w:r>
      <w:proofErr w:type="spellEnd"/>
      <w:r w:rsidRPr="006E55EC">
        <w:rPr>
          <w:sz w:val="20"/>
          <w:szCs w:val="20"/>
        </w:rPr>
        <w:t xml:space="preserve"> and </w:t>
      </w:r>
      <w:proofErr w:type="spellStart"/>
      <w:r w:rsidRPr="006E55EC">
        <w:rPr>
          <w:sz w:val="20"/>
          <w:szCs w:val="20"/>
        </w:rPr>
        <w:t>cyanidin</w:t>
      </w:r>
      <w:proofErr w:type="spellEnd"/>
      <w:r w:rsidRPr="006E55EC">
        <w:rPr>
          <w:sz w:val="20"/>
          <w:szCs w:val="20"/>
        </w:rPr>
        <w:t xml:space="preserve"> standards (Figure </w:t>
      </w:r>
      <w:r w:rsidR="00AF7DF3" w:rsidRPr="006E55EC">
        <w:rPr>
          <w:b/>
          <w:bCs/>
          <w:sz w:val="20"/>
          <w:szCs w:val="20"/>
        </w:rPr>
        <w:t>2</w:t>
      </w:r>
      <w:r w:rsidR="006C5E04" w:rsidRPr="006E55EC">
        <w:rPr>
          <w:b/>
          <w:bCs/>
          <w:sz w:val="20"/>
          <w:szCs w:val="20"/>
        </w:rPr>
        <w:t xml:space="preserve"> &amp; 3</w:t>
      </w:r>
      <w:r w:rsidRPr="006E55EC">
        <w:rPr>
          <w:sz w:val="20"/>
          <w:szCs w:val="20"/>
        </w:rPr>
        <w:t xml:space="preserve">). This showed that </w:t>
      </w:r>
      <w:proofErr w:type="spellStart"/>
      <w:r w:rsidRPr="006E55EC">
        <w:rPr>
          <w:sz w:val="20"/>
          <w:szCs w:val="20"/>
        </w:rPr>
        <w:t>delphinidin</w:t>
      </w:r>
      <w:proofErr w:type="spellEnd"/>
      <w:r w:rsidRPr="006E55EC">
        <w:rPr>
          <w:sz w:val="20"/>
          <w:szCs w:val="20"/>
        </w:rPr>
        <w:t xml:space="preserve"> and </w:t>
      </w:r>
      <w:proofErr w:type="spellStart"/>
      <w:r w:rsidRPr="006E55EC">
        <w:rPr>
          <w:sz w:val="20"/>
          <w:szCs w:val="20"/>
        </w:rPr>
        <w:t>cyanidin</w:t>
      </w:r>
      <w:proofErr w:type="spellEnd"/>
      <w:r w:rsidRPr="006E55EC">
        <w:rPr>
          <w:sz w:val="20"/>
          <w:szCs w:val="20"/>
        </w:rPr>
        <w:t xml:space="preserve"> are the major </w:t>
      </w:r>
      <w:proofErr w:type="spellStart"/>
      <w:r w:rsidRPr="006E55EC">
        <w:rPr>
          <w:sz w:val="20"/>
          <w:szCs w:val="20"/>
        </w:rPr>
        <w:t>antocyanidins</w:t>
      </w:r>
      <w:proofErr w:type="spellEnd"/>
      <w:r w:rsidRPr="006E55EC">
        <w:rPr>
          <w:sz w:val="20"/>
          <w:szCs w:val="20"/>
        </w:rPr>
        <w:t xml:space="preserve"> in </w:t>
      </w:r>
      <w:r w:rsidRPr="006E55EC">
        <w:rPr>
          <w:i/>
          <w:iCs/>
          <w:sz w:val="20"/>
          <w:szCs w:val="20"/>
        </w:rPr>
        <w:t xml:space="preserve">Hibiscus </w:t>
      </w:r>
      <w:proofErr w:type="spellStart"/>
      <w:r w:rsidRPr="006E55EC">
        <w:rPr>
          <w:i/>
          <w:iCs/>
          <w:sz w:val="20"/>
          <w:szCs w:val="20"/>
        </w:rPr>
        <w:t>sabdariffa</w:t>
      </w:r>
      <w:proofErr w:type="spellEnd"/>
      <w:r w:rsidRPr="006E55EC">
        <w:rPr>
          <w:sz w:val="20"/>
          <w:szCs w:val="20"/>
        </w:rPr>
        <w:t>.</w:t>
      </w:r>
    </w:p>
    <w:p w:rsidR="00AB4189" w:rsidRPr="006E55EC" w:rsidRDefault="00AB4189" w:rsidP="00AB4189">
      <w:pPr>
        <w:snapToGrid w:val="0"/>
        <w:ind w:firstLine="425"/>
        <w:jc w:val="both"/>
        <w:rPr>
          <w:rFonts w:eastAsiaTheme="minorEastAsia"/>
          <w:sz w:val="20"/>
          <w:szCs w:val="20"/>
          <w:lang w:eastAsia="zh-CN"/>
        </w:rPr>
        <w:sectPr w:rsidR="00AB4189" w:rsidRPr="006E55EC" w:rsidSect="006E55EC">
          <w:footnotePr>
            <w:pos w:val="beneathText"/>
          </w:footnotePr>
          <w:type w:val="continuous"/>
          <w:pgSz w:w="12240" w:h="15840" w:code="1"/>
          <w:pgMar w:top="1440" w:right="1440" w:bottom="1440" w:left="1440" w:header="720" w:footer="720" w:gutter="0"/>
          <w:cols w:num="2" w:space="600"/>
          <w:docGrid w:linePitch="326"/>
        </w:sectPr>
      </w:pPr>
    </w:p>
    <w:p w:rsidR="00AB4189" w:rsidRPr="006E55EC" w:rsidRDefault="00AB4189" w:rsidP="00AB4189">
      <w:pPr>
        <w:snapToGrid w:val="0"/>
        <w:ind w:firstLine="425"/>
        <w:jc w:val="both"/>
        <w:rPr>
          <w:rFonts w:eastAsiaTheme="minorEastAsia"/>
          <w:sz w:val="20"/>
          <w:szCs w:val="20"/>
          <w:lang w:eastAsia="zh-CN"/>
        </w:rPr>
      </w:pPr>
    </w:p>
    <w:p w:rsidR="00D15E42" w:rsidRPr="006E55EC" w:rsidRDefault="00AF7DF3" w:rsidP="00AB4189">
      <w:pPr>
        <w:snapToGrid w:val="0"/>
        <w:jc w:val="center"/>
        <w:rPr>
          <w:b/>
          <w:bCs/>
          <w:sz w:val="20"/>
          <w:szCs w:val="20"/>
        </w:rPr>
      </w:pPr>
      <w:r w:rsidRPr="006E55EC">
        <w:rPr>
          <w:noProof/>
          <w:sz w:val="20"/>
          <w:szCs w:val="20"/>
          <w:lang w:val="en-US" w:eastAsia="zh-CN"/>
        </w:rPr>
        <w:drawing>
          <wp:inline distT="0" distB="0" distL="0" distR="0">
            <wp:extent cx="4679426" cy="2552369"/>
            <wp:effectExtent l="19050" t="0" r="6874" b="0"/>
            <wp:docPr id="7" name="Picture 7" descr="anthocyani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hocyanins1"/>
                    <pic:cNvPicPr>
                      <a:picLocks noChangeAspect="1" noChangeArrowheads="1"/>
                    </pic:cNvPicPr>
                  </pic:nvPicPr>
                  <pic:blipFill>
                    <a:blip r:embed="rId11" cstate="print">
                      <a:lum contrast="6000"/>
                      <a:grayscl/>
                    </a:blip>
                    <a:srcRect/>
                    <a:stretch>
                      <a:fillRect/>
                    </a:stretch>
                  </pic:blipFill>
                  <pic:spPr bwMode="auto">
                    <a:xfrm>
                      <a:off x="0" y="0"/>
                      <a:ext cx="4685695" cy="2555788"/>
                    </a:xfrm>
                    <a:prstGeom prst="rect">
                      <a:avLst/>
                    </a:prstGeom>
                    <a:noFill/>
                    <a:ln w="9525">
                      <a:noFill/>
                      <a:miter lim="800000"/>
                      <a:headEnd/>
                      <a:tailEnd/>
                    </a:ln>
                  </pic:spPr>
                </pic:pic>
              </a:graphicData>
            </a:graphic>
          </wp:inline>
        </w:drawing>
      </w:r>
    </w:p>
    <w:p w:rsidR="00AF7DF3" w:rsidRPr="006E55EC" w:rsidRDefault="00AF7DF3" w:rsidP="00AB4189">
      <w:pPr>
        <w:snapToGrid w:val="0"/>
        <w:jc w:val="both"/>
        <w:rPr>
          <w:b/>
          <w:bCs/>
          <w:sz w:val="20"/>
          <w:szCs w:val="20"/>
        </w:rPr>
      </w:pPr>
      <w:r w:rsidRPr="006E55EC">
        <w:rPr>
          <w:b/>
          <w:sz w:val="20"/>
          <w:szCs w:val="20"/>
        </w:rPr>
        <w:t xml:space="preserve">Figure 1 </w:t>
      </w:r>
      <w:r w:rsidRPr="006E55EC">
        <w:rPr>
          <w:b/>
          <w:bCs/>
          <w:sz w:val="20"/>
          <w:szCs w:val="20"/>
        </w:rPr>
        <w:t xml:space="preserve">A typical </w:t>
      </w:r>
      <w:r w:rsidRPr="006E55EC">
        <w:rPr>
          <w:b/>
          <w:sz w:val="20"/>
          <w:szCs w:val="20"/>
        </w:rPr>
        <w:t xml:space="preserve">HPLC chromatogram of </w:t>
      </w:r>
      <w:smartTag w:uri="urn:schemas-microsoft-com:office:smarttags" w:element="stockticker">
        <w:r w:rsidRPr="006E55EC">
          <w:rPr>
            <w:b/>
            <w:sz w:val="20"/>
            <w:szCs w:val="20"/>
          </w:rPr>
          <w:t>HAE</w:t>
        </w:r>
      </w:smartTag>
      <w:r w:rsidRPr="006E55EC">
        <w:rPr>
          <w:b/>
          <w:sz w:val="20"/>
          <w:szCs w:val="20"/>
        </w:rPr>
        <w:t xml:space="preserve"> with detection at 530nm. Peak identification (relative peak areas calculated with detection at 530nm in parentheses): a. </w:t>
      </w:r>
      <w:proofErr w:type="spellStart"/>
      <w:r w:rsidRPr="006E55EC">
        <w:rPr>
          <w:b/>
          <w:sz w:val="20"/>
          <w:szCs w:val="20"/>
        </w:rPr>
        <w:t>delphinidin</w:t>
      </w:r>
      <w:proofErr w:type="spellEnd"/>
      <w:r w:rsidRPr="006E55EC">
        <w:rPr>
          <w:b/>
          <w:sz w:val="20"/>
          <w:szCs w:val="20"/>
        </w:rPr>
        <w:t xml:space="preserve"> 3-sambubioside (56.8%); b. </w:t>
      </w:r>
      <w:proofErr w:type="spellStart"/>
      <w:r w:rsidRPr="006E55EC">
        <w:rPr>
          <w:b/>
          <w:sz w:val="20"/>
          <w:szCs w:val="20"/>
        </w:rPr>
        <w:t>delphinidin</w:t>
      </w:r>
      <w:proofErr w:type="spellEnd"/>
      <w:r w:rsidRPr="006E55EC">
        <w:rPr>
          <w:b/>
          <w:sz w:val="20"/>
          <w:szCs w:val="20"/>
        </w:rPr>
        <w:t xml:space="preserve"> 3-glucoside (4.5%) ; c. </w:t>
      </w:r>
      <w:proofErr w:type="spellStart"/>
      <w:r w:rsidRPr="006E55EC">
        <w:rPr>
          <w:b/>
          <w:sz w:val="20"/>
          <w:szCs w:val="20"/>
        </w:rPr>
        <w:t>cyanidin</w:t>
      </w:r>
      <w:proofErr w:type="spellEnd"/>
      <w:r w:rsidRPr="006E55EC">
        <w:rPr>
          <w:b/>
          <w:sz w:val="20"/>
          <w:szCs w:val="20"/>
        </w:rPr>
        <w:t xml:space="preserve"> 3-sambubioside (36.6%) ; d. </w:t>
      </w:r>
      <w:proofErr w:type="spellStart"/>
      <w:r w:rsidRPr="006E55EC">
        <w:rPr>
          <w:b/>
          <w:sz w:val="20"/>
          <w:szCs w:val="20"/>
        </w:rPr>
        <w:t>cyanidin</w:t>
      </w:r>
      <w:proofErr w:type="spellEnd"/>
      <w:r w:rsidRPr="006E55EC">
        <w:rPr>
          <w:b/>
          <w:sz w:val="20"/>
          <w:szCs w:val="20"/>
        </w:rPr>
        <w:t xml:space="preserve"> 3-glucoside (1.0%) ; e. unknown (1.9%). Proportion of </w:t>
      </w:r>
      <w:proofErr w:type="spellStart"/>
      <w:r w:rsidRPr="006E55EC">
        <w:rPr>
          <w:b/>
          <w:sz w:val="20"/>
          <w:szCs w:val="20"/>
        </w:rPr>
        <w:t>delphinidin</w:t>
      </w:r>
      <w:proofErr w:type="spellEnd"/>
      <w:r w:rsidRPr="006E55EC">
        <w:rPr>
          <w:b/>
          <w:sz w:val="20"/>
          <w:szCs w:val="20"/>
        </w:rPr>
        <w:t xml:space="preserve"> glycosides: 61.3%. Proportion of cyaniding glycosides 37.6%. All experiments were repeated three times.</w:t>
      </w:r>
    </w:p>
    <w:p w:rsidR="00AF7DF3" w:rsidRPr="006E55EC" w:rsidRDefault="00AF7DF3" w:rsidP="00AB4189">
      <w:pPr>
        <w:snapToGrid w:val="0"/>
        <w:jc w:val="center"/>
        <w:rPr>
          <w:sz w:val="20"/>
          <w:szCs w:val="20"/>
        </w:rPr>
      </w:pPr>
      <w:r w:rsidRPr="006E55EC">
        <w:rPr>
          <w:noProof/>
          <w:sz w:val="20"/>
          <w:szCs w:val="20"/>
          <w:lang w:val="en-US" w:eastAsia="zh-CN"/>
        </w:rPr>
        <w:drawing>
          <wp:inline distT="0" distB="0" distL="0" distR="0">
            <wp:extent cx="4727879" cy="2786039"/>
            <wp:effectExtent l="19050" t="0" r="0" b="0"/>
            <wp:docPr id="8" name="Picture 8" descr="疕鋌쵡閩疐隌疐障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疕鋌쵡閩疐隌疐障疐"/>
                    <pic:cNvPicPr>
                      <a:picLocks noChangeAspect="1" noChangeArrowheads="1"/>
                    </pic:cNvPicPr>
                  </pic:nvPicPr>
                  <pic:blipFill>
                    <a:blip r:embed="rId12" cstate="print">
                      <a:lum contrast="6000"/>
                      <a:grayscl/>
                    </a:blip>
                    <a:srcRect/>
                    <a:stretch>
                      <a:fillRect/>
                    </a:stretch>
                  </pic:blipFill>
                  <pic:spPr bwMode="auto">
                    <a:xfrm>
                      <a:off x="0" y="0"/>
                      <a:ext cx="4728025" cy="2786125"/>
                    </a:xfrm>
                    <a:prstGeom prst="rect">
                      <a:avLst/>
                    </a:prstGeom>
                    <a:noFill/>
                    <a:ln w="9525">
                      <a:noFill/>
                      <a:miter lim="800000"/>
                      <a:headEnd/>
                      <a:tailEnd/>
                    </a:ln>
                  </pic:spPr>
                </pic:pic>
              </a:graphicData>
            </a:graphic>
          </wp:inline>
        </w:drawing>
      </w:r>
    </w:p>
    <w:p w:rsidR="00AF7DF3" w:rsidRPr="006E55EC" w:rsidRDefault="00AF7DF3" w:rsidP="00AB4189">
      <w:pPr>
        <w:snapToGrid w:val="0"/>
        <w:jc w:val="both"/>
        <w:rPr>
          <w:b/>
          <w:sz w:val="20"/>
          <w:szCs w:val="20"/>
        </w:rPr>
      </w:pPr>
      <w:r w:rsidRPr="006E55EC">
        <w:rPr>
          <w:b/>
          <w:sz w:val="20"/>
          <w:szCs w:val="20"/>
        </w:rPr>
        <w:t xml:space="preserve">Figure 2 </w:t>
      </w:r>
      <w:r w:rsidRPr="006E55EC">
        <w:rPr>
          <w:b/>
          <w:bCs/>
          <w:sz w:val="20"/>
          <w:szCs w:val="20"/>
        </w:rPr>
        <w:t xml:space="preserve">A typical </w:t>
      </w:r>
      <w:r w:rsidRPr="006E55EC">
        <w:rPr>
          <w:b/>
          <w:sz w:val="20"/>
          <w:szCs w:val="20"/>
        </w:rPr>
        <w:t xml:space="preserve">HPLC chromatogram of acid hydrolysed </w:t>
      </w:r>
      <w:smartTag w:uri="urn:schemas-microsoft-com:office:smarttags" w:element="stockticker">
        <w:r w:rsidRPr="006E55EC">
          <w:rPr>
            <w:b/>
            <w:sz w:val="20"/>
            <w:szCs w:val="20"/>
          </w:rPr>
          <w:t>HAE</w:t>
        </w:r>
      </w:smartTag>
      <w:r w:rsidRPr="006E55EC">
        <w:rPr>
          <w:b/>
          <w:sz w:val="20"/>
          <w:szCs w:val="20"/>
        </w:rPr>
        <w:t xml:space="preserve">. Peak (a) co-elute with </w:t>
      </w:r>
      <w:proofErr w:type="spellStart"/>
      <w:r w:rsidRPr="006E55EC">
        <w:rPr>
          <w:b/>
          <w:sz w:val="20"/>
          <w:szCs w:val="20"/>
        </w:rPr>
        <w:t>delphinidin</w:t>
      </w:r>
      <w:proofErr w:type="spellEnd"/>
      <w:r w:rsidRPr="006E55EC">
        <w:rPr>
          <w:b/>
          <w:sz w:val="20"/>
          <w:szCs w:val="20"/>
        </w:rPr>
        <w:t xml:space="preserve"> at 7.11 minutes and Peak (b) co-elute with </w:t>
      </w:r>
      <w:proofErr w:type="spellStart"/>
      <w:r w:rsidRPr="006E55EC">
        <w:rPr>
          <w:b/>
          <w:sz w:val="20"/>
          <w:szCs w:val="20"/>
        </w:rPr>
        <w:t>cyanidin</w:t>
      </w:r>
      <w:proofErr w:type="spellEnd"/>
      <w:r w:rsidRPr="006E55EC">
        <w:rPr>
          <w:b/>
          <w:sz w:val="20"/>
          <w:szCs w:val="20"/>
        </w:rPr>
        <w:t xml:space="preserve"> at 8.18 minutes. All experiments were repeated three times.</w:t>
      </w:r>
    </w:p>
    <w:p w:rsidR="00AF7DF3" w:rsidRPr="006E55EC" w:rsidRDefault="00AF7DF3" w:rsidP="00AB4189">
      <w:pPr>
        <w:snapToGrid w:val="0"/>
        <w:jc w:val="both"/>
        <w:rPr>
          <w:b/>
          <w:bCs/>
          <w:sz w:val="20"/>
          <w:szCs w:val="20"/>
        </w:rPr>
      </w:pPr>
    </w:p>
    <w:p w:rsidR="00F636B3" w:rsidRPr="006E55EC" w:rsidRDefault="00E577E1" w:rsidP="00F636B3">
      <w:pPr>
        <w:snapToGrid w:val="0"/>
        <w:jc w:val="center"/>
        <w:rPr>
          <w:rFonts w:eastAsiaTheme="minorEastAsia"/>
          <w:b/>
          <w:bCs/>
          <w:sz w:val="20"/>
          <w:szCs w:val="20"/>
          <w:lang w:eastAsia="zh-CN"/>
        </w:rPr>
      </w:pPr>
      <w:r w:rsidRPr="006E55EC">
        <w:rPr>
          <w:noProof/>
          <w:sz w:val="20"/>
          <w:szCs w:val="20"/>
          <w:lang w:val="en-US" w:eastAsia="zh-CN"/>
        </w:rPr>
        <w:lastRenderedPageBreak/>
        <w:drawing>
          <wp:inline distT="0" distB="0" distL="0" distR="0">
            <wp:extent cx="4610100" cy="2162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0" cy="2162175"/>
                    </a:xfrm>
                    <a:prstGeom prst="rect">
                      <a:avLst/>
                    </a:prstGeom>
                    <a:solidFill>
                      <a:srgbClr val="FFFFFF"/>
                    </a:solidFill>
                    <a:ln>
                      <a:noFill/>
                    </a:ln>
                  </pic:spPr>
                </pic:pic>
              </a:graphicData>
            </a:graphic>
          </wp:inline>
        </w:drawing>
      </w:r>
    </w:p>
    <w:p w:rsidR="00F636B3" w:rsidRPr="006E55EC" w:rsidRDefault="00E577E1" w:rsidP="00F636B3">
      <w:pPr>
        <w:snapToGrid w:val="0"/>
        <w:jc w:val="center"/>
        <w:rPr>
          <w:rFonts w:eastAsiaTheme="minorEastAsia"/>
          <w:b/>
          <w:bCs/>
          <w:sz w:val="20"/>
          <w:szCs w:val="20"/>
          <w:lang w:eastAsia="zh-CN"/>
        </w:rPr>
      </w:pPr>
      <w:r w:rsidRPr="006E55EC">
        <w:rPr>
          <w:noProof/>
          <w:sz w:val="20"/>
          <w:szCs w:val="20"/>
          <w:lang w:val="en-US" w:eastAsia="zh-CN"/>
        </w:rPr>
        <w:drawing>
          <wp:inline distT="0" distB="0" distL="0" distR="0">
            <wp:extent cx="5485705" cy="219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8125" cy="2191717"/>
                    </a:xfrm>
                    <a:prstGeom prst="rect">
                      <a:avLst/>
                    </a:prstGeom>
                    <a:solidFill>
                      <a:srgbClr val="FFFFFF"/>
                    </a:solidFill>
                    <a:ln>
                      <a:noFill/>
                    </a:ln>
                  </pic:spPr>
                </pic:pic>
              </a:graphicData>
            </a:graphic>
          </wp:inline>
        </w:drawing>
      </w:r>
    </w:p>
    <w:p w:rsidR="00D15E42" w:rsidRPr="006E55EC" w:rsidRDefault="00E577E1" w:rsidP="00F636B3">
      <w:pPr>
        <w:snapToGrid w:val="0"/>
        <w:jc w:val="center"/>
        <w:rPr>
          <w:b/>
          <w:bCs/>
          <w:sz w:val="20"/>
          <w:szCs w:val="20"/>
        </w:rPr>
      </w:pPr>
      <w:r w:rsidRPr="006E55EC">
        <w:rPr>
          <w:noProof/>
          <w:sz w:val="20"/>
          <w:szCs w:val="20"/>
          <w:lang w:val="en-US" w:eastAsia="zh-CN"/>
        </w:rPr>
        <w:drawing>
          <wp:inline distT="0" distB="0" distL="0" distR="0">
            <wp:extent cx="5276850"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6850" cy="2343150"/>
                    </a:xfrm>
                    <a:prstGeom prst="rect">
                      <a:avLst/>
                    </a:prstGeom>
                    <a:solidFill>
                      <a:srgbClr val="FFFFFF"/>
                    </a:solidFill>
                    <a:ln>
                      <a:noFill/>
                    </a:ln>
                  </pic:spPr>
                </pic:pic>
              </a:graphicData>
            </a:graphic>
          </wp:inline>
        </w:drawing>
      </w:r>
    </w:p>
    <w:p w:rsidR="00AF7DF3" w:rsidRPr="006E55EC" w:rsidRDefault="00AF7DF3" w:rsidP="00F636B3">
      <w:pPr>
        <w:snapToGrid w:val="0"/>
        <w:jc w:val="both"/>
        <w:rPr>
          <w:sz w:val="20"/>
          <w:szCs w:val="20"/>
        </w:rPr>
      </w:pPr>
      <w:r w:rsidRPr="006E55EC">
        <w:rPr>
          <w:b/>
          <w:bCs/>
          <w:sz w:val="20"/>
          <w:szCs w:val="20"/>
        </w:rPr>
        <w:t>Figure 3</w:t>
      </w:r>
      <w:r w:rsidR="00E577E1" w:rsidRPr="006E55EC">
        <w:rPr>
          <w:b/>
          <w:bCs/>
          <w:sz w:val="20"/>
          <w:szCs w:val="20"/>
        </w:rPr>
        <w:t xml:space="preserve"> </w:t>
      </w:r>
      <w:r w:rsidR="00E577E1" w:rsidRPr="006E55EC">
        <w:rPr>
          <w:sz w:val="20"/>
          <w:szCs w:val="20"/>
        </w:rPr>
        <w:t xml:space="preserve">Chemical structures of </w:t>
      </w:r>
      <w:proofErr w:type="spellStart"/>
      <w:r w:rsidR="00E577E1" w:rsidRPr="006E55EC">
        <w:rPr>
          <w:sz w:val="20"/>
          <w:szCs w:val="20"/>
        </w:rPr>
        <w:t>anthocyanin</w:t>
      </w:r>
      <w:proofErr w:type="spellEnd"/>
      <w:r w:rsidR="00E577E1" w:rsidRPr="006E55EC">
        <w:rPr>
          <w:sz w:val="20"/>
          <w:szCs w:val="20"/>
        </w:rPr>
        <w:t xml:space="preserve"> and </w:t>
      </w:r>
      <w:proofErr w:type="spellStart"/>
      <w:r w:rsidR="00E577E1" w:rsidRPr="006E55EC">
        <w:rPr>
          <w:sz w:val="20"/>
          <w:szCs w:val="20"/>
        </w:rPr>
        <w:t>anthocyanindin</w:t>
      </w:r>
      <w:proofErr w:type="spellEnd"/>
      <w:r w:rsidR="00E577E1" w:rsidRPr="006E55EC">
        <w:rPr>
          <w:sz w:val="20"/>
          <w:szCs w:val="20"/>
        </w:rPr>
        <w:t xml:space="preserve"> identified in HAE. (A) delphinidin-3-sambubioside (B) cyanidin-3-sambubioside (C) delphnidin-3-monoglucoside (D) cyanidin-3-monoglucoside (E) </w:t>
      </w:r>
      <w:proofErr w:type="spellStart"/>
      <w:r w:rsidR="00E577E1" w:rsidRPr="006E55EC">
        <w:rPr>
          <w:sz w:val="20"/>
          <w:szCs w:val="20"/>
        </w:rPr>
        <w:t>delphinidin</w:t>
      </w:r>
      <w:proofErr w:type="spellEnd"/>
      <w:r w:rsidR="00E577E1" w:rsidRPr="006E55EC">
        <w:rPr>
          <w:sz w:val="20"/>
          <w:szCs w:val="20"/>
        </w:rPr>
        <w:t xml:space="preserve"> (F) </w:t>
      </w:r>
      <w:proofErr w:type="spellStart"/>
      <w:r w:rsidR="00E577E1" w:rsidRPr="006E55EC">
        <w:rPr>
          <w:sz w:val="20"/>
          <w:szCs w:val="20"/>
        </w:rPr>
        <w:t>cyanidin</w:t>
      </w:r>
      <w:proofErr w:type="spellEnd"/>
      <w:r w:rsidR="00E577E1" w:rsidRPr="006E55EC">
        <w:rPr>
          <w:sz w:val="20"/>
          <w:szCs w:val="20"/>
        </w:rPr>
        <w:t>.</w:t>
      </w:r>
    </w:p>
    <w:p w:rsidR="00FA09E2" w:rsidRPr="006E55EC" w:rsidRDefault="00FA09E2" w:rsidP="00AB4189">
      <w:pPr>
        <w:snapToGrid w:val="0"/>
        <w:jc w:val="both"/>
        <w:rPr>
          <w:b/>
          <w:bCs/>
          <w:color w:val="000000"/>
          <w:sz w:val="20"/>
          <w:szCs w:val="20"/>
        </w:rPr>
      </w:pPr>
    </w:p>
    <w:p w:rsidR="00AB4189" w:rsidRPr="006E55EC" w:rsidRDefault="00AB4189" w:rsidP="00AB4189">
      <w:pPr>
        <w:snapToGrid w:val="0"/>
        <w:jc w:val="both"/>
        <w:rPr>
          <w:b/>
          <w:bCs/>
          <w:color w:val="000000"/>
          <w:sz w:val="20"/>
          <w:szCs w:val="20"/>
        </w:rPr>
        <w:sectPr w:rsidR="00AB4189" w:rsidRPr="006E55EC" w:rsidSect="003F03A9">
          <w:footnotePr>
            <w:pos w:val="beneathText"/>
          </w:footnotePr>
          <w:type w:val="continuous"/>
          <w:pgSz w:w="12240" w:h="15840" w:code="1"/>
          <w:pgMar w:top="1440" w:right="1440" w:bottom="1440" w:left="1440" w:header="720" w:footer="720" w:gutter="0"/>
          <w:cols w:space="720"/>
          <w:docGrid w:linePitch="326"/>
        </w:sectPr>
      </w:pPr>
    </w:p>
    <w:p w:rsidR="00D15E42" w:rsidRPr="006E55EC" w:rsidRDefault="00572E25" w:rsidP="00AB4189">
      <w:pPr>
        <w:snapToGrid w:val="0"/>
        <w:jc w:val="both"/>
        <w:rPr>
          <w:sz w:val="20"/>
          <w:szCs w:val="20"/>
        </w:rPr>
      </w:pPr>
      <w:r w:rsidRPr="006E55EC">
        <w:rPr>
          <w:b/>
          <w:bCs/>
          <w:color w:val="000000"/>
          <w:sz w:val="20"/>
          <w:szCs w:val="20"/>
        </w:rPr>
        <w:lastRenderedPageBreak/>
        <w:t xml:space="preserve">4. </w:t>
      </w:r>
      <w:r w:rsidR="00501203" w:rsidRPr="006E55EC">
        <w:rPr>
          <w:b/>
          <w:bCs/>
          <w:color w:val="000000"/>
          <w:sz w:val="20"/>
          <w:szCs w:val="20"/>
        </w:rPr>
        <w:t>Discussions</w:t>
      </w:r>
    </w:p>
    <w:p w:rsidR="00D15E42" w:rsidRPr="006E55EC" w:rsidRDefault="00D15E42" w:rsidP="00AB4189">
      <w:pPr>
        <w:snapToGrid w:val="0"/>
        <w:ind w:firstLine="425"/>
        <w:jc w:val="both"/>
        <w:rPr>
          <w:color w:val="000000"/>
          <w:sz w:val="20"/>
          <w:szCs w:val="20"/>
        </w:rPr>
      </w:pPr>
      <w:r w:rsidRPr="006E55EC">
        <w:rPr>
          <w:i/>
          <w:iCs/>
          <w:color w:val="000000"/>
          <w:sz w:val="20"/>
          <w:szCs w:val="20"/>
        </w:rPr>
        <w:t xml:space="preserve">Hibiscus </w:t>
      </w:r>
      <w:proofErr w:type="spellStart"/>
      <w:r w:rsidRPr="006E55EC">
        <w:rPr>
          <w:i/>
          <w:iCs/>
          <w:color w:val="000000"/>
          <w:sz w:val="20"/>
          <w:szCs w:val="20"/>
        </w:rPr>
        <w:t>sabdariffa</w:t>
      </w:r>
      <w:proofErr w:type="spellEnd"/>
      <w:r w:rsidRPr="006E55EC">
        <w:rPr>
          <w:color w:val="000000"/>
          <w:sz w:val="20"/>
          <w:szCs w:val="20"/>
        </w:rPr>
        <w:t xml:space="preserve"> has been demonstrated to be rich in </w:t>
      </w:r>
      <w:proofErr w:type="spellStart"/>
      <w:r w:rsidRPr="006E55EC">
        <w:rPr>
          <w:color w:val="000000"/>
          <w:sz w:val="20"/>
          <w:szCs w:val="20"/>
        </w:rPr>
        <w:t>polyphenols</w:t>
      </w:r>
      <w:proofErr w:type="spellEnd"/>
      <w:r w:rsidRPr="006E55EC">
        <w:rPr>
          <w:color w:val="000000"/>
          <w:sz w:val="20"/>
          <w:szCs w:val="20"/>
        </w:rPr>
        <w:t xml:space="preserve"> such as </w:t>
      </w:r>
      <w:proofErr w:type="spellStart"/>
      <w:r w:rsidRPr="006E55EC">
        <w:rPr>
          <w:color w:val="000000"/>
          <w:sz w:val="20"/>
          <w:szCs w:val="20"/>
        </w:rPr>
        <w:t>flavonoids</w:t>
      </w:r>
      <w:proofErr w:type="spellEnd"/>
      <w:r w:rsidRPr="006E55EC">
        <w:rPr>
          <w:color w:val="000000"/>
          <w:sz w:val="20"/>
          <w:szCs w:val="20"/>
        </w:rPr>
        <w:t xml:space="preserve">, </w:t>
      </w:r>
      <w:proofErr w:type="spellStart"/>
      <w:r w:rsidRPr="006E55EC">
        <w:rPr>
          <w:color w:val="000000"/>
          <w:sz w:val="20"/>
          <w:szCs w:val="20"/>
        </w:rPr>
        <w:t>phenolic</w:t>
      </w:r>
      <w:proofErr w:type="spellEnd"/>
      <w:r w:rsidRPr="006E55EC">
        <w:rPr>
          <w:color w:val="000000"/>
          <w:sz w:val="20"/>
          <w:szCs w:val="20"/>
        </w:rPr>
        <w:t xml:space="preserve"> acids and </w:t>
      </w:r>
      <w:proofErr w:type="spellStart"/>
      <w:r w:rsidRPr="006E55EC">
        <w:rPr>
          <w:color w:val="000000"/>
          <w:sz w:val="20"/>
          <w:szCs w:val="20"/>
        </w:rPr>
        <w:t>anthocyanins</w:t>
      </w:r>
      <w:proofErr w:type="spellEnd"/>
      <w:r w:rsidRPr="006E55EC">
        <w:rPr>
          <w:color w:val="000000"/>
          <w:sz w:val="20"/>
          <w:szCs w:val="20"/>
        </w:rPr>
        <w:t xml:space="preserve"> (</w:t>
      </w:r>
      <w:r w:rsidR="0076364B" w:rsidRPr="006E55EC">
        <w:rPr>
          <w:color w:val="000000"/>
          <w:sz w:val="20"/>
          <w:szCs w:val="20"/>
        </w:rPr>
        <w:t xml:space="preserve">Ali, et. al., 2005; </w:t>
      </w:r>
      <w:proofErr w:type="spellStart"/>
      <w:r w:rsidR="0076364B" w:rsidRPr="006E55EC">
        <w:rPr>
          <w:color w:val="000000"/>
          <w:sz w:val="20"/>
          <w:szCs w:val="20"/>
        </w:rPr>
        <w:t>Salah</w:t>
      </w:r>
      <w:proofErr w:type="spellEnd"/>
      <w:r w:rsidR="0076364B" w:rsidRPr="006E55EC">
        <w:rPr>
          <w:color w:val="000000"/>
          <w:sz w:val="20"/>
          <w:szCs w:val="20"/>
        </w:rPr>
        <w:t>, et. al., 2002; Lin, et. al., 2005</w:t>
      </w:r>
      <w:r w:rsidRPr="006E55EC">
        <w:rPr>
          <w:color w:val="000000"/>
          <w:sz w:val="20"/>
          <w:szCs w:val="20"/>
        </w:rPr>
        <w:t xml:space="preserve">). Studies suggest that plant </w:t>
      </w:r>
      <w:proofErr w:type="spellStart"/>
      <w:r w:rsidRPr="006E55EC">
        <w:rPr>
          <w:color w:val="000000"/>
          <w:sz w:val="20"/>
          <w:szCs w:val="20"/>
        </w:rPr>
        <w:t>polyphenols</w:t>
      </w:r>
      <w:proofErr w:type="spellEnd"/>
      <w:r w:rsidRPr="006E55EC">
        <w:rPr>
          <w:color w:val="000000"/>
          <w:sz w:val="20"/>
          <w:szCs w:val="20"/>
        </w:rPr>
        <w:t xml:space="preserve"> such as the </w:t>
      </w:r>
      <w:proofErr w:type="spellStart"/>
      <w:r w:rsidRPr="006E55EC">
        <w:rPr>
          <w:color w:val="000000"/>
          <w:sz w:val="20"/>
          <w:szCs w:val="20"/>
        </w:rPr>
        <w:t>flavonoids</w:t>
      </w:r>
      <w:proofErr w:type="spellEnd"/>
      <w:r w:rsidRPr="006E55EC">
        <w:rPr>
          <w:color w:val="000000"/>
          <w:sz w:val="20"/>
          <w:szCs w:val="20"/>
        </w:rPr>
        <w:t xml:space="preserve"> and </w:t>
      </w:r>
      <w:proofErr w:type="spellStart"/>
      <w:r w:rsidRPr="006E55EC">
        <w:rPr>
          <w:color w:val="000000"/>
          <w:sz w:val="20"/>
          <w:szCs w:val="20"/>
        </w:rPr>
        <w:t>anthocyanins</w:t>
      </w:r>
      <w:proofErr w:type="spellEnd"/>
      <w:r w:rsidRPr="006E55EC">
        <w:rPr>
          <w:color w:val="000000"/>
          <w:sz w:val="20"/>
          <w:szCs w:val="20"/>
        </w:rPr>
        <w:t xml:space="preserve"> </w:t>
      </w:r>
      <w:r w:rsidRPr="006E55EC">
        <w:rPr>
          <w:color w:val="000000"/>
          <w:sz w:val="20"/>
          <w:szCs w:val="20"/>
        </w:rPr>
        <w:lastRenderedPageBreak/>
        <w:t xml:space="preserve">are potent antioxidant compounds both </w:t>
      </w:r>
      <w:r w:rsidRPr="006E55EC">
        <w:rPr>
          <w:i/>
          <w:iCs/>
          <w:color w:val="000000"/>
          <w:sz w:val="20"/>
          <w:szCs w:val="20"/>
        </w:rPr>
        <w:t>in vitro</w:t>
      </w:r>
      <w:r w:rsidRPr="006E55EC">
        <w:rPr>
          <w:color w:val="000000"/>
          <w:sz w:val="20"/>
          <w:szCs w:val="20"/>
        </w:rPr>
        <w:t xml:space="preserve"> and </w:t>
      </w:r>
      <w:r w:rsidRPr="006E55EC">
        <w:rPr>
          <w:i/>
          <w:iCs/>
          <w:color w:val="000000"/>
          <w:sz w:val="20"/>
          <w:szCs w:val="20"/>
        </w:rPr>
        <w:t>in vivo</w:t>
      </w:r>
      <w:r w:rsidR="0076364B" w:rsidRPr="006E55EC">
        <w:rPr>
          <w:color w:val="000000"/>
          <w:sz w:val="20"/>
          <w:szCs w:val="20"/>
        </w:rPr>
        <w:t xml:space="preserve"> (</w:t>
      </w:r>
      <w:proofErr w:type="spellStart"/>
      <w:r w:rsidR="0076364B" w:rsidRPr="006E55EC">
        <w:rPr>
          <w:color w:val="000000"/>
          <w:sz w:val="20"/>
          <w:szCs w:val="20"/>
        </w:rPr>
        <w:t>Fraga</w:t>
      </w:r>
      <w:proofErr w:type="spellEnd"/>
      <w:r w:rsidR="0076364B" w:rsidRPr="006E55EC">
        <w:rPr>
          <w:color w:val="000000"/>
          <w:sz w:val="20"/>
          <w:szCs w:val="20"/>
        </w:rPr>
        <w:t>, 2007)</w:t>
      </w:r>
      <w:r w:rsidRPr="006E55EC">
        <w:rPr>
          <w:color w:val="000000"/>
          <w:sz w:val="20"/>
          <w:szCs w:val="20"/>
        </w:rPr>
        <w:t xml:space="preserve">. Therefore it would not be surprising if the antioxidant properties associated with </w:t>
      </w:r>
      <w:r w:rsidRPr="006E55EC">
        <w:rPr>
          <w:i/>
          <w:iCs/>
          <w:color w:val="000000"/>
          <w:sz w:val="20"/>
          <w:szCs w:val="20"/>
        </w:rPr>
        <w:t xml:space="preserve">Hibiscus </w:t>
      </w:r>
      <w:proofErr w:type="spellStart"/>
      <w:r w:rsidRPr="006E55EC">
        <w:rPr>
          <w:i/>
          <w:iCs/>
          <w:color w:val="000000"/>
          <w:sz w:val="20"/>
          <w:szCs w:val="20"/>
        </w:rPr>
        <w:t>sabdariffa</w:t>
      </w:r>
      <w:proofErr w:type="spellEnd"/>
      <w:r w:rsidRPr="006E55EC">
        <w:rPr>
          <w:color w:val="000000"/>
          <w:sz w:val="20"/>
          <w:szCs w:val="20"/>
        </w:rPr>
        <w:t xml:space="preserve"> is related to the </w:t>
      </w:r>
      <w:proofErr w:type="spellStart"/>
      <w:r w:rsidRPr="006E55EC">
        <w:rPr>
          <w:color w:val="000000"/>
          <w:sz w:val="20"/>
          <w:szCs w:val="20"/>
        </w:rPr>
        <w:t>flavonoids</w:t>
      </w:r>
      <w:proofErr w:type="spellEnd"/>
      <w:r w:rsidRPr="006E55EC">
        <w:rPr>
          <w:color w:val="000000"/>
          <w:sz w:val="20"/>
          <w:szCs w:val="20"/>
        </w:rPr>
        <w:t xml:space="preserve"> and </w:t>
      </w:r>
      <w:proofErr w:type="spellStart"/>
      <w:r w:rsidRPr="006E55EC">
        <w:rPr>
          <w:color w:val="000000"/>
          <w:sz w:val="20"/>
          <w:szCs w:val="20"/>
        </w:rPr>
        <w:t>anthocyanins</w:t>
      </w:r>
      <w:proofErr w:type="spellEnd"/>
      <w:r w:rsidRPr="006E55EC">
        <w:rPr>
          <w:color w:val="000000"/>
          <w:sz w:val="20"/>
          <w:szCs w:val="20"/>
        </w:rPr>
        <w:t xml:space="preserve"> components of the plant.</w:t>
      </w:r>
    </w:p>
    <w:p w:rsidR="00D15E42" w:rsidRPr="006E55EC" w:rsidRDefault="009E409D" w:rsidP="00AB4189">
      <w:pPr>
        <w:snapToGrid w:val="0"/>
        <w:ind w:firstLine="425"/>
        <w:jc w:val="both"/>
        <w:rPr>
          <w:color w:val="000000"/>
          <w:sz w:val="20"/>
          <w:szCs w:val="20"/>
        </w:rPr>
      </w:pPr>
      <w:r w:rsidRPr="006E55EC">
        <w:rPr>
          <w:color w:val="000000"/>
          <w:sz w:val="20"/>
          <w:szCs w:val="20"/>
        </w:rPr>
        <w:lastRenderedPageBreak/>
        <w:t>This</w:t>
      </w:r>
      <w:r w:rsidR="00D15E42" w:rsidRPr="006E55EC">
        <w:rPr>
          <w:color w:val="000000"/>
          <w:sz w:val="20"/>
          <w:szCs w:val="20"/>
        </w:rPr>
        <w:t xml:space="preserve"> study investigate the antioxidant</w:t>
      </w:r>
      <w:r w:rsidRPr="006E55EC">
        <w:rPr>
          <w:color w:val="000000"/>
          <w:sz w:val="20"/>
          <w:szCs w:val="20"/>
        </w:rPr>
        <w:t xml:space="preserve"> potential of</w:t>
      </w:r>
      <w:r w:rsidR="00D15E42" w:rsidRPr="006E55EC">
        <w:rPr>
          <w:color w:val="000000"/>
          <w:sz w:val="20"/>
          <w:szCs w:val="20"/>
        </w:rPr>
        <w:t xml:space="preserve"> Hibisc</w:t>
      </w:r>
      <w:r w:rsidRPr="006E55EC">
        <w:rPr>
          <w:color w:val="000000"/>
          <w:sz w:val="20"/>
          <w:szCs w:val="20"/>
        </w:rPr>
        <w:t xml:space="preserve">us </w:t>
      </w:r>
      <w:proofErr w:type="spellStart"/>
      <w:r w:rsidRPr="006E55EC">
        <w:rPr>
          <w:color w:val="000000"/>
          <w:sz w:val="20"/>
          <w:szCs w:val="20"/>
        </w:rPr>
        <w:t>anthocyanins</w:t>
      </w:r>
      <w:proofErr w:type="spellEnd"/>
      <w:r w:rsidRPr="006E55EC">
        <w:rPr>
          <w:color w:val="000000"/>
          <w:sz w:val="20"/>
          <w:szCs w:val="20"/>
        </w:rPr>
        <w:t xml:space="preserve"> rich extract (</w:t>
      </w:r>
      <w:smartTag w:uri="urn:schemas-microsoft-com:office:smarttags" w:element="stockticker">
        <w:r w:rsidR="00D15E42" w:rsidRPr="006E55EC">
          <w:rPr>
            <w:color w:val="000000"/>
            <w:sz w:val="20"/>
            <w:szCs w:val="20"/>
          </w:rPr>
          <w:t>HAE</w:t>
        </w:r>
      </w:smartTag>
      <w:r w:rsidR="00D15E42" w:rsidRPr="006E55EC">
        <w:rPr>
          <w:color w:val="000000"/>
          <w:sz w:val="20"/>
          <w:szCs w:val="20"/>
        </w:rPr>
        <w:t>). The result suggest that diethyl ether extract</w:t>
      </w:r>
      <w:r w:rsidRPr="006E55EC">
        <w:rPr>
          <w:color w:val="000000"/>
          <w:sz w:val="20"/>
          <w:szCs w:val="20"/>
        </w:rPr>
        <w:t xml:space="preserve"> of HAE</w:t>
      </w:r>
      <w:r w:rsidR="00D15E42" w:rsidRPr="006E55EC">
        <w:rPr>
          <w:color w:val="000000"/>
          <w:sz w:val="20"/>
          <w:szCs w:val="20"/>
        </w:rPr>
        <w:t xml:space="preserve"> did not scavenge superoxide radical but rather inhibited </w:t>
      </w:r>
      <w:proofErr w:type="spellStart"/>
      <w:r w:rsidR="00D15E42" w:rsidRPr="006E55EC">
        <w:rPr>
          <w:color w:val="000000"/>
          <w:sz w:val="20"/>
          <w:szCs w:val="20"/>
        </w:rPr>
        <w:t>xanthine</w:t>
      </w:r>
      <w:proofErr w:type="spellEnd"/>
      <w:r w:rsidR="00D15E42" w:rsidRPr="006E55EC">
        <w:rPr>
          <w:color w:val="000000"/>
          <w:sz w:val="20"/>
          <w:szCs w:val="20"/>
        </w:rPr>
        <w:t xml:space="preserve"> </w:t>
      </w:r>
      <w:proofErr w:type="spellStart"/>
      <w:r w:rsidR="00D15E42" w:rsidRPr="006E55EC">
        <w:rPr>
          <w:color w:val="000000"/>
          <w:sz w:val="20"/>
          <w:szCs w:val="20"/>
        </w:rPr>
        <w:t>oxidase</w:t>
      </w:r>
      <w:proofErr w:type="spellEnd"/>
      <w:r w:rsidR="00D15E42" w:rsidRPr="006E55EC">
        <w:rPr>
          <w:color w:val="000000"/>
          <w:sz w:val="20"/>
          <w:szCs w:val="20"/>
        </w:rPr>
        <w:t xml:space="preserve"> in the production of the radical. This result therefore support</w:t>
      </w:r>
      <w:r w:rsidR="00F6635A" w:rsidRPr="006E55EC">
        <w:rPr>
          <w:color w:val="000000"/>
          <w:sz w:val="20"/>
          <w:szCs w:val="20"/>
        </w:rPr>
        <w:t xml:space="preserve">s the works of Tseng et al., (1997) </w:t>
      </w:r>
      <w:r w:rsidR="00D15E42" w:rsidRPr="006E55EC">
        <w:rPr>
          <w:color w:val="000000"/>
          <w:sz w:val="20"/>
          <w:szCs w:val="20"/>
        </w:rPr>
        <w:t xml:space="preserve">that </w:t>
      </w:r>
      <w:r w:rsidR="00D15E42" w:rsidRPr="006E55EC">
        <w:rPr>
          <w:i/>
          <w:iCs/>
          <w:color w:val="000000"/>
          <w:sz w:val="20"/>
          <w:szCs w:val="20"/>
        </w:rPr>
        <w:t xml:space="preserve">Hibiscus </w:t>
      </w:r>
      <w:proofErr w:type="spellStart"/>
      <w:r w:rsidR="00D15E42" w:rsidRPr="006E55EC">
        <w:rPr>
          <w:i/>
          <w:iCs/>
          <w:color w:val="000000"/>
          <w:sz w:val="20"/>
          <w:szCs w:val="20"/>
        </w:rPr>
        <w:t>sabdariffa</w:t>
      </w:r>
      <w:proofErr w:type="spellEnd"/>
      <w:r w:rsidR="00D15E42" w:rsidRPr="006E55EC">
        <w:rPr>
          <w:color w:val="000000"/>
          <w:sz w:val="20"/>
          <w:szCs w:val="20"/>
        </w:rPr>
        <w:t xml:space="preserve"> and its constituents have inhibitory effect on </w:t>
      </w:r>
      <w:proofErr w:type="spellStart"/>
      <w:r w:rsidR="00D15E42" w:rsidRPr="006E55EC">
        <w:rPr>
          <w:color w:val="000000"/>
          <w:sz w:val="20"/>
          <w:szCs w:val="20"/>
        </w:rPr>
        <w:t>xanthine</w:t>
      </w:r>
      <w:proofErr w:type="spellEnd"/>
      <w:r w:rsidR="00D15E42" w:rsidRPr="006E55EC">
        <w:rPr>
          <w:color w:val="000000"/>
          <w:sz w:val="20"/>
          <w:szCs w:val="20"/>
        </w:rPr>
        <w:t xml:space="preserve"> </w:t>
      </w:r>
      <w:proofErr w:type="spellStart"/>
      <w:r w:rsidR="00D15E42" w:rsidRPr="006E55EC">
        <w:rPr>
          <w:color w:val="000000"/>
          <w:sz w:val="20"/>
          <w:szCs w:val="20"/>
        </w:rPr>
        <w:t>oxidase</w:t>
      </w:r>
      <w:proofErr w:type="spellEnd"/>
      <w:r w:rsidR="00D15E42" w:rsidRPr="006E55EC">
        <w:rPr>
          <w:color w:val="000000"/>
          <w:sz w:val="20"/>
          <w:szCs w:val="20"/>
        </w:rPr>
        <w:t xml:space="preserve"> activity. In addition, this study demonstrates that, </w:t>
      </w:r>
      <w:r w:rsidRPr="006E55EC">
        <w:rPr>
          <w:color w:val="000000"/>
          <w:sz w:val="20"/>
          <w:szCs w:val="20"/>
        </w:rPr>
        <w:t>the extract has</w:t>
      </w:r>
      <w:r w:rsidR="00D15E42" w:rsidRPr="006E55EC">
        <w:rPr>
          <w:color w:val="000000"/>
          <w:sz w:val="20"/>
          <w:szCs w:val="20"/>
        </w:rPr>
        <w:t xml:space="preserve"> ABTS</w:t>
      </w:r>
      <w:r w:rsidR="00D15E42" w:rsidRPr="006E55EC">
        <w:rPr>
          <w:color w:val="000000"/>
          <w:sz w:val="20"/>
          <w:szCs w:val="20"/>
          <w:vertAlign w:val="superscript"/>
        </w:rPr>
        <w:t>•+</w:t>
      </w:r>
      <w:r w:rsidR="00903728" w:rsidRPr="006E55EC">
        <w:rPr>
          <w:color w:val="000000"/>
          <w:sz w:val="20"/>
          <w:szCs w:val="20"/>
        </w:rPr>
        <w:t xml:space="preserve"> </w:t>
      </w:r>
      <w:r w:rsidR="00A61BFA" w:rsidRPr="006E55EC">
        <w:rPr>
          <w:color w:val="000000"/>
          <w:sz w:val="20"/>
          <w:szCs w:val="20"/>
        </w:rPr>
        <w:t xml:space="preserve">and DPPH </w:t>
      </w:r>
      <w:r w:rsidR="00D15E42" w:rsidRPr="006E55EC">
        <w:rPr>
          <w:color w:val="000000"/>
          <w:sz w:val="20"/>
          <w:szCs w:val="20"/>
        </w:rPr>
        <w:t>radical</w:t>
      </w:r>
      <w:r w:rsidR="00A61BFA" w:rsidRPr="006E55EC">
        <w:rPr>
          <w:color w:val="000000"/>
          <w:sz w:val="20"/>
          <w:szCs w:val="20"/>
        </w:rPr>
        <w:t>s</w:t>
      </w:r>
      <w:r w:rsidR="00D15E42" w:rsidRPr="006E55EC">
        <w:rPr>
          <w:color w:val="000000"/>
          <w:sz w:val="20"/>
          <w:szCs w:val="20"/>
        </w:rPr>
        <w:t xml:space="preserve"> </w:t>
      </w:r>
      <w:proofErr w:type="spellStart"/>
      <w:r w:rsidR="00D15E42" w:rsidRPr="006E55EC">
        <w:rPr>
          <w:color w:val="000000"/>
          <w:sz w:val="20"/>
          <w:szCs w:val="20"/>
        </w:rPr>
        <w:t>cation</w:t>
      </w:r>
      <w:proofErr w:type="spellEnd"/>
      <w:r w:rsidR="00D15E42" w:rsidRPr="006E55EC">
        <w:rPr>
          <w:color w:val="000000"/>
          <w:sz w:val="20"/>
          <w:szCs w:val="20"/>
        </w:rPr>
        <w:t xml:space="preserve"> scavenging ability. </w:t>
      </w:r>
      <w:r w:rsidR="00D15E42" w:rsidRPr="006E55EC">
        <w:rPr>
          <w:i/>
          <w:iCs/>
          <w:sz w:val="20"/>
          <w:szCs w:val="20"/>
        </w:rPr>
        <w:t xml:space="preserve">Hibiscus </w:t>
      </w:r>
      <w:proofErr w:type="spellStart"/>
      <w:r w:rsidR="00D15E42" w:rsidRPr="006E55EC">
        <w:rPr>
          <w:i/>
          <w:iCs/>
          <w:sz w:val="20"/>
          <w:szCs w:val="20"/>
        </w:rPr>
        <w:t>sabdariffa</w:t>
      </w:r>
      <w:proofErr w:type="spellEnd"/>
      <w:r w:rsidR="00D15E42" w:rsidRPr="006E55EC">
        <w:rPr>
          <w:sz w:val="20"/>
          <w:szCs w:val="20"/>
        </w:rPr>
        <w:t xml:space="preserve"> is a rich source of a plant </w:t>
      </w:r>
      <w:proofErr w:type="spellStart"/>
      <w:r w:rsidR="00D15E42" w:rsidRPr="006E55EC">
        <w:rPr>
          <w:sz w:val="20"/>
          <w:szCs w:val="20"/>
        </w:rPr>
        <w:t>polyphenols</w:t>
      </w:r>
      <w:proofErr w:type="spellEnd"/>
      <w:r w:rsidR="00D15E42" w:rsidRPr="006E55EC">
        <w:rPr>
          <w:sz w:val="20"/>
          <w:szCs w:val="20"/>
        </w:rPr>
        <w:t xml:space="preserve"> such as </w:t>
      </w:r>
      <w:proofErr w:type="spellStart"/>
      <w:r w:rsidR="00D15E42" w:rsidRPr="006E55EC">
        <w:rPr>
          <w:sz w:val="20"/>
          <w:szCs w:val="20"/>
        </w:rPr>
        <w:t>fl</w:t>
      </w:r>
      <w:r w:rsidR="00F6635A" w:rsidRPr="006E55EC">
        <w:rPr>
          <w:sz w:val="20"/>
          <w:szCs w:val="20"/>
        </w:rPr>
        <w:t>avonoids</w:t>
      </w:r>
      <w:proofErr w:type="spellEnd"/>
      <w:r w:rsidR="00F6635A" w:rsidRPr="006E55EC">
        <w:rPr>
          <w:sz w:val="20"/>
          <w:szCs w:val="20"/>
        </w:rPr>
        <w:t xml:space="preserve"> and </w:t>
      </w:r>
      <w:proofErr w:type="spellStart"/>
      <w:r w:rsidR="00F6635A" w:rsidRPr="006E55EC">
        <w:rPr>
          <w:sz w:val="20"/>
          <w:szCs w:val="20"/>
        </w:rPr>
        <w:t>phenolics</w:t>
      </w:r>
      <w:proofErr w:type="spellEnd"/>
      <w:r w:rsidR="00F6635A" w:rsidRPr="006E55EC">
        <w:rPr>
          <w:sz w:val="20"/>
          <w:szCs w:val="20"/>
        </w:rPr>
        <w:t xml:space="preserve"> acids (</w:t>
      </w:r>
      <w:proofErr w:type="spellStart"/>
      <w:r w:rsidR="00F6635A" w:rsidRPr="006E55EC">
        <w:rPr>
          <w:color w:val="000000"/>
          <w:sz w:val="20"/>
          <w:szCs w:val="20"/>
        </w:rPr>
        <w:t>Salah</w:t>
      </w:r>
      <w:proofErr w:type="spellEnd"/>
      <w:r w:rsidR="00F6635A" w:rsidRPr="006E55EC">
        <w:rPr>
          <w:color w:val="000000"/>
          <w:sz w:val="20"/>
          <w:szCs w:val="20"/>
        </w:rPr>
        <w:t>, et. al., 2002; Lin, et. al., 2005</w:t>
      </w:r>
      <w:r w:rsidR="00501203" w:rsidRPr="006E55EC">
        <w:rPr>
          <w:color w:val="000000"/>
          <w:sz w:val="20"/>
          <w:szCs w:val="20"/>
        </w:rPr>
        <w:t xml:space="preserve">; </w:t>
      </w:r>
      <w:proofErr w:type="spellStart"/>
      <w:r w:rsidR="00501203" w:rsidRPr="006E55EC">
        <w:rPr>
          <w:color w:val="000000"/>
          <w:sz w:val="20"/>
          <w:szCs w:val="20"/>
        </w:rPr>
        <w:t>Jamilah</w:t>
      </w:r>
      <w:proofErr w:type="spellEnd"/>
      <w:r w:rsidR="00501203" w:rsidRPr="006E55EC">
        <w:rPr>
          <w:color w:val="000000"/>
          <w:sz w:val="20"/>
          <w:szCs w:val="20"/>
        </w:rPr>
        <w:t>, 2014</w:t>
      </w:r>
      <w:r w:rsidR="00F6635A" w:rsidRPr="006E55EC">
        <w:rPr>
          <w:color w:val="000000"/>
          <w:sz w:val="20"/>
          <w:szCs w:val="20"/>
        </w:rPr>
        <w:t>)</w:t>
      </w:r>
      <w:r w:rsidR="00D15E42" w:rsidRPr="006E55EC">
        <w:rPr>
          <w:sz w:val="20"/>
          <w:szCs w:val="20"/>
        </w:rPr>
        <w:t>. The results presented in this study s</w:t>
      </w:r>
      <w:r w:rsidR="00945A73" w:rsidRPr="006E55EC">
        <w:rPr>
          <w:sz w:val="20"/>
          <w:szCs w:val="20"/>
        </w:rPr>
        <w:t>uggest the same is true for</w:t>
      </w:r>
      <w:r w:rsidR="00D15E42" w:rsidRPr="006E55EC">
        <w:rPr>
          <w:sz w:val="20"/>
          <w:szCs w:val="20"/>
        </w:rPr>
        <w:t xml:space="preserve"> HA</w:t>
      </w:r>
      <w:r w:rsidR="00945A73" w:rsidRPr="006E55EC">
        <w:rPr>
          <w:sz w:val="20"/>
          <w:szCs w:val="20"/>
        </w:rPr>
        <w:t>E</w:t>
      </w:r>
      <w:r w:rsidR="00D15E42" w:rsidRPr="006E55EC">
        <w:rPr>
          <w:sz w:val="20"/>
          <w:szCs w:val="20"/>
        </w:rPr>
        <w:t xml:space="preserve">. Using </w:t>
      </w:r>
      <w:proofErr w:type="spellStart"/>
      <w:r w:rsidR="00D15E42" w:rsidRPr="006E55EC">
        <w:rPr>
          <w:sz w:val="20"/>
          <w:szCs w:val="20"/>
        </w:rPr>
        <w:t>Folin-Ciocalteu</w:t>
      </w:r>
      <w:proofErr w:type="spellEnd"/>
      <w:r w:rsidR="00D15E42" w:rsidRPr="006E55EC">
        <w:rPr>
          <w:sz w:val="20"/>
          <w:szCs w:val="20"/>
        </w:rPr>
        <w:t xml:space="preserve"> assa</w:t>
      </w:r>
      <w:r w:rsidR="00945A73" w:rsidRPr="006E55EC">
        <w:rPr>
          <w:sz w:val="20"/>
          <w:szCs w:val="20"/>
        </w:rPr>
        <w:t>y HAE was</w:t>
      </w:r>
      <w:r w:rsidR="00D15E42" w:rsidRPr="006E55EC">
        <w:rPr>
          <w:sz w:val="20"/>
          <w:szCs w:val="20"/>
        </w:rPr>
        <w:t xml:space="preserve"> shown to have high </w:t>
      </w:r>
      <w:proofErr w:type="spellStart"/>
      <w:r w:rsidR="00D15E42" w:rsidRPr="006E55EC">
        <w:rPr>
          <w:sz w:val="20"/>
          <w:szCs w:val="20"/>
        </w:rPr>
        <w:t>phenolic</w:t>
      </w:r>
      <w:proofErr w:type="spellEnd"/>
      <w:r w:rsidR="00D15E42" w:rsidRPr="006E55EC">
        <w:rPr>
          <w:sz w:val="20"/>
          <w:szCs w:val="20"/>
        </w:rPr>
        <w:t xml:space="preserve"> content</w:t>
      </w:r>
      <w:r w:rsidR="00A61BFA" w:rsidRPr="006E55EC">
        <w:rPr>
          <w:sz w:val="20"/>
          <w:szCs w:val="20"/>
        </w:rPr>
        <w:t xml:space="preserve"> (Table 3).</w:t>
      </w:r>
    </w:p>
    <w:p w:rsidR="00D15E42" w:rsidRPr="006E55EC" w:rsidRDefault="00D15E42" w:rsidP="00AB4189">
      <w:pPr>
        <w:snapToGrid w:val="0"/>
        <w:ind w:firstLine="425"/>
        <w:jc w:val="both"/>
        <w:rPr>
          <w:sz w:val="20"/>
          <w:szCs w:val="20"/>
        </w:rPr>
      </w:pPr>
      <w:r w:rsidRPr="006E55EC">
        <w:rPr>
          <w:sz w:val="20"/>
          <w:szCs w:val="20"/>
        </w:rPr>
        <w:t xml:space="preserve">The pigment of </w:t>
      </w:r>
      <w:r w:rsidRPr="006E55EC">
        <w:rPr>
          <w:i/>
          <w:iCs/>
          <w:sz w:val="20"/>
          <w:szCs w:val="20"/>
        </w:rPr>
        <w:t xml:space="preserve">Hibiscus </w:t>
      </w:r>
      <w:proofErr w:type="spellStart"/>
      <w:r w:rsidRPr="006E55EC">
        <w:rPr>
          <w:i/>
          <w:iCs/>
          <w:sz w:val="20"/>
          <w:szCs w:val="20"/>
        </w:rPr>
        <w:t>sabdariffa</w:t>
      </w:r>
      <w:proofErr w:type="spellEnd"/>
      <w:r w:rsidR="00F6635A" w:rsidRPr="006E55EC">
        <w:rPr>
          <w:sz w:val="20"/>
          <w:szCs w:val="20"/>
        </w:rPr>
        <w:t xml:space="preserve"> is rich in </w:t>
      </w:r>
      <w:proofErr w:type="spellStart"/>
      <w:r w:rsidR="00F6635A" w:rsidRPr="006E55EC">
        <w:rPr>
          <w:sz w:val="20"/>
          <w:szCs w:val="20"/>
        </w:rPr>
        <w:t>anthocyanins</w:t>
      </w:r>
      <w:proofErr w:type="spellEnd"/>
      <w:r w:rsidR="00F6635A" w:rsidRPr="006E55EC">
        <w:rPr>
          <w:sz w:val="20"/>
          <w:szCs w:val="20"/>
        </w:rPr>
        <w:t xml:space="preserve"> (Hong and </w:t>
      </w:r>
      <w:proofErr w:type="spellStart"/>
      <w:r w:rsidR="00F6635A" w:rsidRPr="006E55EC">
        <w:rPr>
          <w:sz w:val="20"/>
          <w:szCs w:val="20"/>
        </w:rPr>
        <w:t>Wrolstad</w:t>
      </w:r>
      <w:proofErr w:type="spellEnd"/>
      <w:r w:rsidR="00F6635A" w:rsidRPr="006E55EC">
        <w:rPr>
          <w:sz w:val="20"/>
          <w:szCs w:val="20"/>
        </w:rPr>
        <w:t>, 1990; Wong, et. al., 2002; Du and Francis, 1973)</w:t>
      </w:r>
      <w:r w:rsidRPr="006E55EC">
        <w:rPr>
          <w:sz w:val="20"/>
          <w:szCs w:val="20"/>
        </w:rPr>
        <w:t xml:space="preserve">. The </w:t>
      </w:r>
      <w:proofErr w:type="spellStart"/>
      <w:r w:rsidRPr="006E55EC">
        <w:rPr>
          <w:sz w:val="20"/>
          <w:szCs w:val="20"/>
        </w:rPr>
        <w:t>anthocyanins</w:t>
      </w:r>
      <w:proofErr w:type="spellEnd"/>
      <w:r w:rsidRPr="006E55EC">
        <w:rPr>
          <w:sz w:val="20"/>
          <w:szCs w:val="20"/>
        </w:rPr>
        <w:t xml:space="preserve"> composition of </w:t>
      </w:r>
      <w:smartTag w:uri="urn:schemas-microsoft-com:office:smarttags" w:element="stockticker">
        <w:r w:rsidRPr="006E55EC">
          <w:rPr>
            <w:sz w:val="20"/>
            <w:szCs w:val="20"/>
          </w:rPr>
          <w:t>HAE</w:t>
        </w:r>
      </w:smartTag>
      <w:r w:rsidRPr="006E55EC">
        <w:rPr>
          <w:sz w:val="20"/>
          <w:szCs w:val="20"/>
        </w:rPr>
        <w:t xml:space="preserve"> was determined in this study. The results obtained through various methods of analysis suggest the presence of delphinidin-3-sambubioside, delphnidin-3-monoglucoside, cyanidin-3-sambubioside and cyanidin-3-monogluco</w:t>
      </w:r>
      <w:r w:rsidR="00BB3AB3" w:rsidRPr="006E55EC">
        <w:rPr>
          <w:sz w:val="20"/>
          <w:szCs w:val="20"/>
        </w:rPr>
        <w:t>side</w:t>
      </w:r>
      <w:r w:rsidRPr="006E55EC">
        <w:rPr>
          <w:sz w:val="20"/>
          <w:szCs w:val="20"/>
        </w:rPr>
        <w:t xml:space="preserve"> as the major </w:t>
      </w:r>
      <w:proofErr w:type="spellStart"/>
      <w:r w:rsidRPr="006E55EC">
        <w:rPr>
          <w:sz w:val="20"/>
          <w:szCs w:val="20"/>
        </w:rPr>
        <w:t>anthcyanins</w:t>
      </w:r>
      <w:proofErr w:type="spellEnd"/>
      <w:r w:rsidRPr="006E55EC">
        <w:rPr>
          <w:sz w:val="20"/>
          <w:szCs w:val="20"/>
        </w:rPr>
        <w:t xml:space="preserve"> and </w:t>
      </w:r>
      <w:proofErr w:type="spellStart"/>
      <w:r w:rsidRPr="006E55EC">
        <w:rPr>
          <w:sz w:val="20"/>
          <w:szCs w:val="20"/>
        </w:rPr>
        <w:t>delphinidin</w:t>
      </w:r>
      <w:proofErr w:type="spellEnd"/>
      <w:r w:rsidRPr="006E55EC">
        <w:rPr>
          <w:sz w:val="20"/>
          <w:szCs w:val="20"/>
        </w:rPr>
        <w:t xml:space="preserve"> and </w:t>
      </w:r>
      <w:proofErr w:type="spellStart"/>
      <w:r w:rsidRPr="006E55EC">
        <w:rPr>
          <w:sz w:val="20"/>
          <w:szCs w:val="20"/>
        </w:rPr>
        <w:t>cyanidin</w:t>
      </w:r>
      <w:proofErr w:type="spellEnd"/>
      <w:r w:rsidRPr="006E55EC">
        <w:rPr>
          <w:sz w:val="20"/>
          <w:szCs w:val="20"/>
        </w:rPr>
        <w:t xml:space="preserve"> as major </w:t>
      </w:r>
      <w:proofErr w:type="spellStart"/>
      <w:r w:rsidRPr="006E55EC">
        <w:rPr>
          <w:sz w:val="20"/>
          <w:szCs w:val="20"/>
        </w:rPr>
        <w:t>anthocyanindin</w:t>
      </w:r>
      <w:proofErr w:type="spellEnd"/>
      <w:r w:rsidRPr="006E55EC">
        <w:rPr>
          <w:sz w:val="20"/>
          <w:szCs w:val="20"/>
        </w:rPr>
        <w:t xml:space="preserve"> in </w:t>
      </w:r>
      <w:smartTag w:uri="urn:schemas-microsoft-com:office:smarttags" w:element="stockticker">
        <w:r w:rsidRPr="006E55EC">
          <w:rPr>
            <w:sz w:val="20"/>
            <w:szCs w:val="20"/>
          </w:rPr>
          <w:t>HAE</w:t>
        </w:r>
      </w:smartTag>
      <w:r w:rsidRPr="006E55EC">
        <w:rPr>
          <w:sz w:val="20"/>
          <w:szCs w:val="20"/>
        </w:rPr>
        <w:t>, these resul</w:t>
      </w:r>
      <w:r w:rsidR="00F6635A" w:rsidRPr="006E55EC">
        <w:rPr>
          <w:sz w:val="20"/>
          <w:szCs w:val="20"/>
        </w:rPr>
        <w:t xml:space="preserve">ts support earlier findings (Hong and </w:t>
      </w:r>
      <w:proofErr w:type="spellStart"/>
      <w:r w:rsidR="00F6635A" w:rsidRPr="006E55EC">
        <w:rPr>
          <w:sz w:val="20"/>
          <w:szCs w:val="20"/>
        </w:rPr>
        <w:t>Wrolstad</w:t>
      </w:r>
      <w:proofErr w:type="spellEnd"/>
      <w:r w:rsidR="00F6635A" w:rsidRPr="006E55EC">
        <w:rPr>
          <w:sz w:val="20"/>
          <w:szCs w:val="20"/>
        </w:rPr>
        <w:t>, 1990)</w:t>
      </w:r>
      <w:r w:rsidRPr="006E55EC">
        <w:rPr>
          <w:sz w:val="20"/>
          <w:szCs w:val="20"/>
        </w:rPr>
        <w:t>.</w:t>
      </w:r>
      <w:r w:rsidRPr="006E55EC">
        <w:rPr>
          <w:color w:val="000000"/>
          <w:sz w:val="20"/>
          <w:szCs w:val="20"/>
        </w:rPr>
        <w:t xml:space="preserve"> </w:t>
      </w:r>
      <w:proofErr w:type="spellStart"/>
      <w:r w:rsidRPr="006E55EC">
        <w:rPr>
          <w:color w:val="000000"/>
          <w:sz w:val="20"/>
          <w:szCs w:val="20"/>
        </w:rPr>
        <w:t>Anthocyanins</w:t>
      </w:r>
      <w:proofErr w:type="spellEnd"/>
      <w:r w:rsidRPr="006E55EC">
        <w:rPr>
          <w:color w:val="000000"/>
          <w:sz w:val="20"/>
          <w:szCs w:val="20"/>
        </w:rPr>
        <w:t xml:space="preserve"> have been reported to exert multiple biological effects, such as, anti-inflammatory, anti-atherosclerotic an</w:t>
      </w:r>
      <w:r w:rsidR="006E7C63" w:rsidRPr="006E55EC">
        <w:rPr>
          <w:color w:val="000000"/>
          <w:sz w:val="20"/>
          <w:szCs w:val="20"/>
        </w:rPr>
        <w:t>d anti-carcinogenic activities (</w:t>
      </w:r>
      <w:proofErr w:type="spellStart"/>
      <w:r w:rsidR="006E7C63" w:rsidRPr="006E55EC">
        <w:rPr>
          <w:color w:val="000000"/>
          <w:sz w:val="20"/>
          <w:szCs w:val="20"/>
        </w:rPr>
        <w:t>Garciäa</w:t>
      </w:r>
      <w:proofErr w:type="spellEnd"/>
      <w:r w:rsidR="006E7C63" w:rsidRPr="006E55EC">
        <w:rPr>
          <w:color w:val="000000"/>
          <w:sz w:val="20"/>
          <w:szCs w:val="20"/>
        </w:rPr>
        <w:t xml:space="preserve">-Alonso, et. al., 2004; </w:t>
      </w:r>
      <w:proofErr w:type="spellStart"/>
      <w:r w:rsidR="006E7C63" w:rsidRPr="006E55EC">
        <w:rPr>
          <w:color w:val="000000"/>
          <w:sz w:val="20"/>
          <w:szCs w:val="20"/>
        </w:rPr>
        <w:t>Weisel</w:t>
      </w:r>
      <w:proofErr w:type="spellEnd"/>
      <w:r w:rsidR="006E7C63" w:rsidRPr="006E55EC">
        <w:rPr>
          <w:color w:val="000000"/>
          <w:sz w:val="20"/>
          <w:szCs w:val="20"/>
        </w:rPr>
        <w:t>, et. al., 2006)</w:t>
      </w:r>
      <w:r w:rsidRPr="006E55EC">
        <w:rPr>
          <w:color w:val="000000"/>
          <w:sz w:val="20"/>
          <w:szCs w:val="20"/>
        </w:rPr>
        <w:t xml:space="preserve">. Also, high antioxidant activity of </w:t>
      </w:r>
      <w:proofErr w:type="spellStart"/>
      <w:r w:rsidRPr="006E55EC">
        <w:rPr>
          <w:color w:val="000000"/>
          <w:sz w:val="20"/>
          <w:szCs w:val="20"/>
        </w:rPr>
        <w:t>anthocyanins</w:t>
      </w:r>
      <w:proofErr w:type="spellEnd"/>
      <w:r w:rsidRPr="006E55EC">
        <w:rPr>
          <w:color w:val="000000"/>
          <w:sz w:val="20"/>
          <w:szCs w:val="20"/>
        </w:rPr>
        <w:t xml:space="preserve"> has bee</w:t>
      </w:r>
      <w:r w:rsidR="006E7C63" w:rsidRPr="006E55EC">
        <w:rPr>
          <w:color w:val="000000"/>
          <w:sz w:val="20"/>
          <w:szCs w:val="20"/>
        </w:rPr>
        <w:t>n demonstrated in many studies (</w:t>
      </w:r>
      <w:proofErr w:type="spellStart"/>
      <w:r w:rsidR="006E7C63" w:rsidRPr="006E55EC">
        <w:rPr>
          <w:color w:val="000000"/>
          <w:sz w:val="20"/>
          <w:szCs w:val="20"/>
        </w:rPr>
        <w:t>Weisel</w:t>
      </w:r>
      <w:proofErr w:type="spellEnd"/>
      <w:r w:rsidR="006E7C63" w:rsidRPr="006E55EC">
        <w:rPr>
          <w:color w:val="000000"/>
          <w:sz w:val="20"/>
          <w:szCs w:val="20"/>
        </w:rPr>
        <w:t>, et. al., 2006)</w:t>
      </w:r>
      <w:r w:rsidRPr="006E55EC">
        <w:rPr>
          <w:color w:val="000000"/>
          <w:sz w:val="20"/>
          <w:szCs w:val="20"/>
        </w:rPr>
        <w:t>.</w:t>
      </w:r>
      <w:r w:rsidRPr="006E55EC">
        <w:rPr>
          <w:sz w:val="20"/>
          <w:szCs w:val="20"/>
        </w:rPr>
        <w:t xml:space="preserve"> As observed in this study, a substantial proportion of the total </w:t>
      </w:r>
      <w:proofErr w:type="spellStart"/>
      <w:r w:rsidRPr="006E55EC">
        <w:rPr>
          <w:sz w:val="20"/>
          <w:szCs w:val="20"/>
        </w:rPr>
        <w:t>phenolics</w:t>
      </w:r>
      <w:proofErr w:type="spellEnd"/>
      <w:r w:rsidRPr="006E55EC">
        <w:rPr>
          <w:sz w:val="20"/>
          <w:szCs w:val="20"/>
        </w:rPr>
        <w:t xml:space="preserve"> in </w:t>
      </w:r>
      <w:r w:rsidRPr="006E55EC">
        <w:rPr>
          <w:i/>
          <w:iCs/>
          <w:sz w:val="20"/>
          <w:szCs w:val="20"/>
        </w:rPr>
        <w:t xml:space="preserve">Hibiscus </w:t>
      </w:r>
      <w:proofErr w:type="spellStart"/>
      <w:r w:rsidRPr="006E55EC">
        <w:rPr>
          <w:i/>
          <w:iCs/>
          <w:sz w:val="20"/>
          <w:szCs w:val="20"/>
        </w:rPr>
        <w:t>sabdariffa</w:t>
      </w:r>
      <w:proofErr w:type="spellEnd"/>
      <w:r w:rsidRPr="006E55EC">
        <w:rPr>
          <w:sz w:val="20"/>
          <w:szCs w:val="20"/>
        </w:rPr>
        <w:t xml:space="preserve"> is represented by </w:t>
      </w:r>
      <w:proofErr w:type="spellStart"/>
      <w:r w:rsidRPr="006E55EC">
        <w:rPr>
          <w:sz w:val="20"/>
          <w:szCs w:val="20"/>
        </w:rPr>
        <w:t>monomeric</w:t>
      </w:r>
      <w:proofErr w:type="spellEnd"/>
      <w:r w:rsidRPr="006E55EC">
        <w:rPr>
          <w:sz w:val="20"/>
          <w:szCs w:val="20"/>
        </w:rPr>
        <w:t xml:space="preserve"> </w:t>
      </w:r>
      <w:proofErr w:type="spellStart"/>
      <w:r w:rsidRPr="006E55EC">
        <w:rPr>
          <w:sz w:val="20"/>
          <w:szCs w:val="20"/>
        </w:rPr>
        <w:t>anthocyanins</w:t>
      </w:r>
      <w:proofErr w:type="spellEnd"/>
      <w:r w:rsidRPr="006E55EC">
        <w:rPr>
          <w:sz w:val="20"/>
          <w:szCs w:val="20"/>
        </w:rPr>
        <w:t xml:space="preserve">, and since </w:t>
      </w:r>
      <w:proofErr w:type="spellStart"/>
      <w:r w:rsidRPr="006E55EC">
        <w:rPr>
          <w:sz w:val="20"/>
          <w:szCs w:val="20"/>
        </w:rPr>
        <w:t>anthocyanins</w:t>
      </w:r>
      <w:proofErr w:type="spellEnd"/>
      <w:r w:rsidRPr="006E55EC">
        <w:rPr>
          <w:sz w:val="20"/>
          <w:szCs w:val="20"/>
        </w:rPr>
        <w:t xml:space="preserve"> are known to exhibit antioxidant activities, this group of compounds would therefore play a significant role in antioxidant effect demonstrated by </w:t>
      </w:r>
      <w:r w:rsidRPr="006E55EC">
        <w:rPr>
          <w:i/>
          <w:iCs/>
          <w:sz w:val="20"/>
          <w:szCs w:val="20"/>
        </w:rPr>
        <w:t xml:space="preserve">Hibiscus </w:t>
      </w:r>
      <w:proofErr w:type="spellStart"/>
      <w:r w:rsidRPr="006E55EC">
        <w:rPr>
          <w:i/>
          <w:iCs/>
          <w:sz w:val="20"/>
          <w:szCs w:val="20"/>
        </w:rPr>
        <w:t>sabdariffa</w:t>
      </w:r>
      <w:proofErr w:type="spellEnd"/>
      <w:r w:rsidRPr="006E55EC">
        <w:rPr>
          <w:sz w:val="20"/>
          <w:szCs w:val="20"/>
        </w:rPr>
        <w:t xml:space="preserve">, although it is, not yet clear, whether the protective potential of </w:t>
      </w:r>
      <w:r w:rsidRPr="006E55EC">
        <w:rPr>
          <w:i/>
          <w:iCs/>
          <w:sz w:val="20"/>
          <w:szCs w:val="20"/>
        </w:rPr>
        <w:t xml:space="preserve">Hibiscus </w:t>
      </w:r>
      <w:proofErr w:type="spellStart"/>
      <w:r w:rsidRPr="006E55EC">
        <w:rPr>
          <w:i/>
          <w:iCs/>
          <w:sz w:val="20"/>
          <w:szCs w:val="20"/>
        </w:rPr>
        <w:t>sabdariffa</w:t>
      </w:r>
      <w:proofErr w:type="spellEnd"/>
      <w:r w:rsidRPr="006E55EC">
        <w:rPr>
          <w:sz w:val="20"/>
          <w:szCs w:val="20"/>
        </w:rPr>
        <w:t xml:space="preserve"> </w:t>
      </w:r>
      <w:r w:rsidRPr="006E55EC">
        <w:rPr>
          <w:i/>
          <w:iCs/>
          <w:sz w:val="20"/>
          <w:szCs w:val="20"/>
        </w:rPr>
        <w:t>in vivo</w:t>
      </w:r>
      <w:r w:rsidRPr="006E55EC">
        <w:rPr>
          <w:sz w:val="20"/>
          <w:szCs w:val="20"/>
        </w:rPr>
        <w:t xml:space="preserve"> can be ascribed to this class of compounds alone.</w:t>
      </w:r>
    </w:p>
    <w:p w:rsidR="00BF5122" w:rsidRPr="006E55EC" w:rsidRDefault="00BF5122" w:rsidP="00AB4189">
      <w:pPr>
        <w:snapToGrid w:val="0"/>
        <w:ind w:firstLine="425"/>
        <w:jc w:val="both"/>
        <w:rPr>
          <w:sz w:val="20"/>
          <w:szCs w:val="20"/>
        </w:rPr>
      </w:pPr>
      <w:r w:rsidRPr="006E55EC">
        <w:rPr>
          <w:sz w:val="20"/>
          <w:szCs w:val="20"/>
        </w:rPr>
        <w:t xml:space="preserve">It is however important to note that the extent of the </w:t>
      </w:r>
      <w:proofErr w:type="spellStart"/>
      <w:r w:rsidRPr="006E55EC">
        <w:rPr>
          <w:sz w:val="20"/>
          <w:szCs w:val="20"/>
        </w:rPr>
        <w:t>anthocyanins</w:t>
      </w:r>
      <w:proofErr w:type="spellEnd"/>
      <w:r w:rsidRPr="006E55EC">
        <w:rPr>
          <w:sz w:val="20"/>
          <w:szCs w:val="20"/>
        </w:rPr>
        <w:t xml:space="preserve"> and other </w:t>
      </w:r>
      <w:proofErr w:type="spellStart"/>
      <w:r w:rsidRPr="006E55EC">
        <w:rPr>
          <w:sz w:val="20"/>
          <w:szCs w:val="20"/>
        </w:rPr>
        <w:t>polyphenolic</w:t>
      </w:r>
      <w:proofErr w:type="spellEnd"/>
      <w:r w:rsidRPr="006E55EC">
        <w:rPr>
          <w:sz w:val="20"/>
          <w:szCs w:val="20"/>
        </w:rPr>
        <w:t xml:space="preserve"> compounds, antioxidant potential in humans, and other observed positive health effects studied </w:t>
      </w:r>
      <w:r w:rsidRPr="006E55EC">
        <w:rPr>
          <w:i/>
          <w:iCs/>
          <w:sz w:val="20"/>
          <w:szCs w:val="20"/>
        </w:rPr>
        <w:t>in vitro</w:t>
      </w:r>
      <w:r w:rsidRPr="006E55EC">
        <w:rPr>
          <w:sz w:val="20"/>
          <w:szCs w:val="20"/>
        </w:rPr>
        <w:t xml:space="preserve">, are of course </w:t>
      </w:r>
      <w:r w:rsidRPr="006E55EC">
        <w:rPr>
          <w:i/>
          <w:iCs/>
          <w:sz w:val="20"/>
          <w:szCs w:val="20"/>
        </w:rPr>
        <w:t>in vivo</w:t>
      </w:r>
      <w:r w:rsidRPr="006E55EC">
        <w:rPr>
          <w:sz w:val="20"/>
          <w:szCs w:val="20"/>
        </w:rPr>
        <w:t xml:space="preserve"> dependent on the absorption, metabolism, distribution, and excretion of these compounds within the body after ingestion (Rice-Evans and Parker, 2003). In addition, since plants also contain other antioxidant micronutrients such as vitamin C, β-carotene and </w:t>
      </w:r>
      <w:proofErr w:type="spellStart"/>
      <w:r w:rsidRPr="006E55EC">
        <w:rPr>
          <w:sz w:val="20"/>
          <w:szCs w:val="20"/>
        </w:rPr>
        <w:t>lycopene</w:t>
      </w:r>
      <w:proofErr w:type="spellEnd"/>
      <w:r w:rsidRPr="006E55EC">
        <w:rPr>
          <w:sz w:val="20"/>
          <w:szCs w:val="20"/>
        </w:rPr>
        <w:t xml:space="preserve">, it has to be kept in mind that their antioxidant efficacy may not be attributed alone to the presence of these </w:t>
      </w:r>
      <w:proofErr w:type="spellStart"/>
      <w:r w:rsidRPr="006E55EC">
        <w:rPr>
          <w:sz w:val="20"/>
          <w:szCs w:val="20"/>
        </w:rPr>
        <w:t>phenolic</w:t>
      </w:r>
      <w:proofErr w:type="spellEnd"/>
      <w:r w:rsidRPr="006E55EC">
        <w:rPr>
          <w:sz w:val="20"/>
          <w:szCs w:val="20"/>
        </w:rPr>
        <w:t xml:space="preserve"> compounds (</w:t>
      </w:r>
      <w:proofErr w:type="spellStart"/>
      <w:r w:rsidRPr="006E55EC">
        <w:rPr>
          <w:sz w:val="20"/>
          <w:szCs w:val="20"/>
        </w:rPr>
        <w:t>Bonorden</w:t>
      </w:r>
      <w:proofErr w:type="spellEnd"/>
      <w:r w:rsidRPr="006E55EC">
        <w:rPr>
          <w:sz w:val="20"/>
          <w:szCs w:val="20"/>
        </w:rPr>
        <w:t xml:space="preserve"> and </w:t>
      </w:r>
      <w:proofErr w:type="spellStart"/>
      <w:r w:rsidRPr="006E55EC">
        <w:rPr>
          <w:sz w:val="20"/>
          <w:szCs w:val="20"/>
        </w:rPr>
        <w:t>Pariza</w:t>
      </w:r>
      <w:proofErr w:type="spellEnd"/>
      <w:r w:rsidRPr="006E55EC">
        <w:rPr>
          <w:sz w:val="20"/>
          <w:szCs w:val="20"/>
        </w:rPr>
        <w:t>, 1994).</w:t>
      </w:r>
    </w:p>
    <w:p w:rsidR="0013477B" w:rsidRPr="006E55EC" w:rsidRDefault="0013477B" w:rsidP="00F636B3">
      <w:pPr>
        <w:autoSpaceDE w:val="0"/>
        <w:snapToGrid w:val="0"/>
        <w:jc w:val="both"/>
        <w:rPr>
          <w:b/>
          <w:iCs/>
          <w:color w:val="000000" w:themeColor="text1"/>
          <w:sz w:val="20"/>
          <w:szCs w:val="20"/>
        </w:rPr>
      </w:pPr>
      <w:r w:rsidRPr="006E55EC">
        <w:rPr>
          <w:b/>
          <w:iCs/>
          <w:color w:val="000000" w:themeColor="text1"/>
          <w:sz w:val="20"/>
          <w:szCs w:val="20"/>
        </w:rPr>
        <w:lastRenderedPageBreak/>
        <w:t>Corresponding Author:</w:t>
      </w:r>
    </w:p>
    <w:p w:rsidR="0013477B" w:rsidRPr="006E55EC" w:rsidRDefault="0013477B" w:rsidP="00F636B3">
      <w:pPr>
        <w:autoSpaceDE w:val="0"/>
        <w:snapToGrid w:val="0"/>
        <w:jc w:val="both"/>
        <w:rPr>
          <w:iCs/>
          <w:color w:val="000000" w:themeColor="text1"/>
          <w:sz w:val="20"/>
          <w:szCs w:val="20"/>
        </w:rPr>
      </w:pPr>
      <w:proofErr w:type="spellStart"/>
      <w:r w:rsidRPr="006E55EC">
        <w:rPr>
          <w:iCs/>
          <w:color w:val="000000" w:themeColor="text1"/>
          <w:sz w:val="20"/>
          <w:szCs w:val="20"/>
        </w:rPr>
        <w:t>Owoade</w:t>
      </w:r>
      <w:proofErr w:type="spellEnd"/>
      <w:r w:rsidRPr="006E55EC">
        <w:rPr>
          <w:iCs/>
          <w:color w:val="000000" w:themeColor="text1"/>
          <w:sz w:val="20"/>
          <w:szCs w:val="20"/>
        </w:rPr>
        <w:t xml:space="preserve"> </w:t>
      </w:r>
      <w:proofErr w:type="spellStart"/>
      <w:r w:rsidRPr="006E55EC">
        <w:rPr>
          <w:iCs/>
          <w:color w:val="000000" w:themeColor="text1"/>
          <w:sz w:val="20"/>
          <w:szCs w:val="20"/>
        </w:rPr>
        <w:t>Abiodun</w:t>
      </w:r>
      <w:proofErr w:type="spellEnd"/>
      <w:r w:rsidRPr="006E55EC">
        <w:rPr>
          <w:iCs/>
          <w:color w:val="000000" w:themeColor="text1"/>
          <w:sz w:val="20"/>
          <w:szCs w:val="20"/>
        </w:rPr>
        <w:t xml:space="preserve"> </w:t>
      </w:r>
      <w:proofErr w:type="spellStart"/>
      <w:r w:rsidRPr="006E55EC">
        <w:rPr>
          <w:iCs/>
          <w:color w:val="000000" w:themeColor="text1"/>
          <w:sz w:val="20"/>
          <w:szCs w:val="20"/>
        </w:rPr>
        <w:t>Olusoji</w:t>
      </w:r>
      <w:proofErr w:type="spellEnd"/>
    </w:p>
    <w:p w:rsidR="0013477B" w:rsidRPr="006E55EC" w:rsidRDefault="0013477B" w:rsidP="00F636B3">
      <w:pPr>
        <w:autoSpaceDE w:val="0"/>
        <w:snapToGrid w:val="0"/>
        <w:jc w:val="both"/>
        <w:rPr>
          <w:iCs/>
          <w:color w:val="000000" w:themeColor="text1"/>
          <w:sz w:val="20"/>
          <w:szCs w:val="20"/>
        </w:rPr>
      </w:pPr>
      <w:r w:rsidRPr="006E55EC">
        <w:rPr>
          <w:iCs/>
          <w:color w:val="000000" w:themeColor="text1"/>
          <w:sz w:val="20"/>
          <w:szCs w:val="20"/>
        </w:rPr>
        <w:t>Department of Biochemistry</w:t>
      </w:r>
    </w:p>
    <w:p w:rsidR="0013477B" w:rsidRPr="006E55EC" w:rsidRDefault="0013477B" w:rsidP="00F636B3">
      <w:pPr>
        <w:autoSpaceDE w:val="0"/>
        <w:snapToGrid w:val="0"/>
        <w:jc w:val="both"/>
        <w:rPr>
          <w:iCs/>
          <w:color w:val="000000" w:themeColor="text1"/>
          <w:sz w:val="20"/>
          <w:szCs w:val="20"/>
        </w:rPr>
      </w:pPr>
      <w:r w:rsidRPr="006E55EC">
        <w:rPr>
          <w:iCs/>
          <w:color w:val="000000" w:themeColor="text1"/>
          <w:sz w:val="20"/>
          <w:szCs w:val="20"/>
        </w:rPr>
        <w:t>Faculty of Basic Medical Sciences</w:t>
      </w:r>
    </w:p>
    <w:p w:rsidR="0013477B" w:rsidRPr="006E55EC" w:rsidRDefault="0013477B" w:rsidP="00F636B3">
      <w:pPr>
        <w:autoSpaceDE w:val="0"/>
        <w:snapToGrid w:val="0"/>
        <w:jc w:val="both"/>
        <w:rPr>
          <w:iCs/>
          <w:color w:val="000000" w:themeColor="text1"/>
          <w:sz w:val="20"/>
          <w:szCs w:val="20"/>
        </w:rPr>
      </w:pPr>
      <w:proofErr w:type="spellStart"/>
      <w:r w:rsidRPr="006E55EC">
        <w:rPr>
          <w:iCs/>
          <w:color w:val="000000" w:themeColor="text1"/>
          <w:sz w:val="20"/>
          <w:szCs w:val="20"/>
        </w:rPr>
        <w:t>Ladoke</w:t>
      </w:r>
      <w:proofErr w:type="spellEnd"/>
      <w:r w:rsidRPr="006E55EC">
        <w:rPr>
          <w:iCs/>
          <w:color w:val="000000" w:themeColor="text1"/>
          <w:sz w:val="20"/>
          <w:szCs w:val="20"/>
        </w:rPr>
        <w:t xml:space="preserve"> </w:t>
      </w:r>
      <w:proofErr w:type="spellStart"/>
      <w:r w:rsidRPr="006E55EC">
        <w:rPr>
          <w:iCs/>
          <w:color w:val="000000" w:themeColor="text1"/>
          <w:sz w:val="20"/>
          <w:szCs w:val="20"/>
        </w:rPr>
        <w:t>Akintola</w:t>
      </w:r>
      <w:proofErr w:type="spellEnd"/>
      <w:r w:rsidRPr="006E55EC">
        <w:rPr>
          <w:iCs/>
          <w:color w:val="000000" w:themeColor="text1"/>
          <w:sz w:val="20"/>
          <w:szCs w:val="20"/>
        </w:rPr>
        <w:t xml:space="preserve"> University of Technology</w:t>
      </w:r>
    </w:p>
    <w:p w:rsidR="0013477B" w:rsidRPr="006E55EC" w:rsidRDefault="0013477B" w:rsidP="00F636B3">
      <w:pPr>
        <w:autoSpaceDE w:val="0"/>
        <w:snapToGrid w:val="0"/>
        <w:jc w:val="both"/>
        <w:rPr>
          <w:iCs/>
          <w:color w:val="000000" w:themeColor="text1"/>
          <w:sz w:val="20"/>
          <w:szCs w:val="20"/>
        </w:rPr>
      </w:pPr>
      <w:proofErr w:type="spellStart"/>
      <w:r w:rsidRPr="006E55EC">
        <w:rPr>
          <w:iCs/>
          <w:color w:val="000000" w:themeColor="text1"/>
          <w:sz w:val="20"/>
          <w:szCs w:val="20"/>
        </w:rPr>
        <w:t>Ogbomoso</w:t>
      </w:r>
      <w:proofErr w:type="spellEnd"/>
      <w:r w:rsidRPr="006E55EC">
        <w:rPr>
          <w:iCs/>
          <w:color w:val="000000" w:themeColor="text1"/>
          <w:sz w:val="20"/>
          <w:szCs w:val="20"/>
        </w:rPr>
        <w:t>. Nigeria.</w:t>
      </w:r>
    </w:p>
    <w:p w:rsidR="0013477B" w:rsidRPr="006E55EC" w:rsidRDefault="00142B54" w:rsidP="00F636B3">
      <w:pPr>
        <w:autoSpaceDE w:val="0"/>
        <w:snapToGrid w:val="0"/>
        <w:jc w:val="both"/>
        <w:rPr>
          <w:iCs/>
          <w:color w:val="000000" w:themeColor="text1"/>
          <w:sz w:val="20"/>
          <w:szCs w:val="20"/>
        </w:rPr>
      </w:pPr>
      <w:r w:rsidRPr="006E55EC">
        <w:rPr>
          <w:iCs/>
          <w:color w:val="000000" w:themeColor="text1"/>
          <w:sz w:val="20"/>
          <w:szCs w:val="20"/>
        </w:rPr>
        <w:t>Telephone: +2348068013304</w:t>
      </w:r>
    </w:p>
    <w:p w:rsidR="0013477B" w:rsidRPr="006E55EC" w:rsidRDefault="0013477B" w:rsidP="00F636B3">
      <w:pPr>
        <w:autoSpaceDE w:val="0"/>
        <w:snapToGrid w:val="0"/>
        <w:jc w:val="both"/>
        <w:rPr>
          <w:iCs/>
          <w:color w:val="000000" w:themeColor="text1"/>
          <w:sz w:val="20"/>
          <w:szCs w:val="20"/>
        </w:rPr>
      </w:pPr>
      <w:r w:rsidRPr="006E55EC">
        <w:rPr>
          <w:iCs/>
          <w:color w:val="000000" w:themeColor="text1"/>
          <w:sz w:val="20"/>
          <w:szCs w:val="20"/>
        </w:rPr>
        <w:t xml:space="preserve">Email.: </w:t>
      </w:r>
      <w:hyperlink r:id="rId16" w:history="1">
        <w:r w:rsidRPr="006E55EC">
          <w:rPr>
            <w:rStyle w:val="Hyperlink"/>
            <w:iCs/>
            <w:sz w:val="20"/>
            <w:szCs w:val="20"/>
          </w:rPr>
          <w:t>aoowoade@lautech.edu.ng</w:t>
        </w:r>
      </w:hyperlink>
    </w:p>
    <w:p w:rsidR="00501203" w:rsidRPr="006E55EC" w:rsidRDefault="00501203" w:rsidP="00AB4189">
      <w:pPr>
        <w:autoSpaceDE w:val="0"/>
        <w:snapToGrid w:val="0"/>
        <w:jc w:val="both"/>
        <w:rPr>
          <w:b/>
          <w:bCs/>
          <w:sz w:val="20"/>
          <w:szCs w:val="20"/>
        </w:rPr>
      </w:pPr>
    </w:p>
    <w:p w:rsidR="00D15E42" w:rsidRPr="006E55EC" w:rsidRDefault="00501203" w:rsidP="00AB4189">
      <w:pPr>
        <w:autoSpaceDE w:val="0"/>
        <w:snapToGrid w:val="0"/>
        <w:jc w:val="both"/>
        <w:rPr>
          <w:b/>
          <w:bCs/>
          <w:sz w:val="20"/>
          <w:szCs w:val="20"/>
        </w:rPr>
      </w:pPr>
      <w:r w:rsidRPr="006E55EC">
        <w:rPr>
          <w:b/>
          <w:bCs/>
          <w:sz w:val="20"/>
          <w:szCs w:val="20"/>
        </w:rPr>
        <w:t>References</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r w:rsidRPr="006E55EC">
        <w:rPr>
          <w:color w:val="000000"/>
          <w:sz w:val="19"/>
          <w:szCs w:val="19"/>
        </w:rPr>
        <w:t xml:space="preserve">Ali BH, </w:t>
      </w:r>
      <w:proofErr w:type="spellStart"/>
      <w:r w:rsidRPr="006E55EC">
        <w:rPr>
          <w:color w:val="000000"/>
          <w:sz w:val="19"/>
          <w:szCs w:val="19"/>
        </w:rPr>
        <w:t>Naser</w:t>
      </w:r>
      <w:proofErr w:type="spellEnd"/>
      <w:r w:rsidRPr="006E55EC">
        <w:rPr>
          <w:color w:val="000000"/>
          <w:sz w:val="19"/>
          <w:szCs w:val="19"/>
        </w:rPr>
        <w:t xml:space="preserve"> AW, Gerald B. </w:t>
      </w:r>
      <w:proofErr w:type="spellStart"/>
      <w:r w:rsidRPr="006E55EC">
        <w:rPr>
          <w:color w:val="000000"/>
          <w:sz w:val="19"/>
          <w:szCs w:val="19"/>
        </w:rPr>
        <w:t>Phytochemical</w:t>
      </w:r>
      <w:proofErr w:type="spellEnd"/>
      <w:r w:rsidRPr="006E55EC">
        <w:rPr>
          <w:color w:val="000000"/>
          <w:sz w:val="19"/>
          <w:szCs w:val="19"/>
        </w:rPr>
        <w:t xml:space="preserve">, Pharmacological and </w:t>
      </w:r>
      <w:proofErr w:type="spellStart"/>
      <w:r w:rsidRPr="006E55EC">
        <w:rPr>
          <w:color w:val="000000"/>
          <w:sz w:val="19"/>
          <w:szCs w:val="19"/>
        </w:rPr>
        <w:t>Toxiological</w:t>
      </w:r>
      <w:proofErr w:type="spellEnd"/>
      <w:r w:rsidRPr="006E55EC">
        <w:rPr>
          <w:color w:val="000000"/>
          <w:sz w:val="19"/>
          <w:szCs w:val="19"/>
        </w:rPr>
        <w:t xml:space="preserve"> Aspect of </w:t>
      </w:r>
      <w:r w:rsidRPr="006E55EC">
        <w:rPr>
          <w:i/>
          <w:iCs/>
          <w:color w:val="000000"/>
          <w:sz w:val="19"/>
          <w:szCs w:val="19"/>
        </w:rPr>
        <w:t xml:space="preserve">Hibiscus </w:t>
      </w:r>
      <w:proofErr w:type="spellStart"/>
      <w:r w:rsidRPr="006E55EC">
        <w:rPr>
          <w:i/>
          <w:iCs/>
          <w:color w:val="000000"/>
          <w:sz w:val="19"/>
          <w:szCs w:val="19"/>
        </w:rPr>
        <w:t>sabdariffa</w:t>
      </w:r>
      <w:proofErr w:type="spellEnd"/>
      <w:r w:rsidRPr="006E55EC">
        <w:rPr>
          <w:color w:val="000000"/>
          <w:sz w:val="19"/>
          <w:szCs w:val="19"/>
        </w:rPr>
        <w:t xml:space="preserve"> L. </w:t>
      </w:r>
      <w:proofErr w:type="spellStart"/>
      <w:r w:rsidRPr="006E55EC">
        <w:rPr>
          <w:color w:val="000000"/>
          <w:sz w:val="19"/>
          <w:szCs w:val="19"/>
        </w:rPr>
        <w:t>Phytother</w:t>
      </w:r>
      <w:proofErr w:type="spellEnd"/>
      <w:r w:rsidRPr="006E55EC">
        <w:rPr>
          <w:color w:val="000000"/>
          <w:sz w:val="19"/>
          <w:szCs w:val="19"/>
        </w:rPr>
        <w:t xml:space="preserve"> Res 2005; 19: 369-375.</w:t>
      </w:r>
    </w:p>
    <w:p w:rsidR="00501203" w:rsidRPr="006E55EC" w:rsidRDefault="00501203" w:rsidP="00AB4189">
      <w:pPr>
        <w:pStyle w:val="ListParagraph"/>
        <w:numPr>
          <w:ilvl w:val="0"/>
          <w:numId w:val="7"/>
        </w:numPr>
        <w:snapToGrid w:val="0"/>
        <w:ind w:left="425" w:hanging="425"/>
        <w:jc w:val="both"/>
        <w:rPr>
          <w:color w:val="000000"/>
          <w:sz w:val="19"/>
          <w:szCs w:val="19"/>
        </w:rPr>
      </w:pPr>
      <w:r w:rsidRPr="006E55EC">
        <w:rPr>
          <w:color w:val="000000"/>
          <w:sz w:val="19"/>
          <w:szCs w:val="19"/>
        </w:rPr>
        <w:t xml:space="preserve">Andersen, OM., </w:t>
      </w:r>
      <w:proofErr w:type="spellStart"/>
      <w:r w:rsidRPr="006E55EC">
        <w:rPr>
          <w:color w:val="000000"/>
          <w:sz w:val="19"/>
          <w:szCs w:val="19"/>
        </w:rPr>
        <w:t>Jordheim</w:t>
      </w:r>
      <w:proofErr w:type="spellEnd"/>
      <w:r w:rsidRPr="006E55EC">
        <w:rPr>
          <w:color w:val="000000"/>
          <w:sz w:val="19"/>
          <w:szCs w:val="19"/>
        </w:rPr>
        <w:t xml:space="preserve">, M. </w:t>
      </w:r>
      <w:r w:rsidRPr="006E55EC">
        <w:rPr>
          <w:i/>
          <w:color w:val="000000"/>
          <w:sz w:val="19"/>
          <w:szCs w:val="19"/>
        </w:rPr>
        <w:t xml:space="preserve">The </w:t>
      </w:r>
      <w:proofErr w:type="spellStart"/>
      <w:r w:rsidRPr="006E55EC">
        <w:rPr>
          <w:i/>
          <w:color w:val="000000"/>
          <w:sz w:val="19"/>
          <w:szCs w:val="19"/>
        </w:rPr>
        <w:t>Anthocyanins</w:t>
      </w:r>
      <w:proofErr w:type="spellEnd"/>
      <w:r w:rsidRPr="006E55EC">
        <w:rPr>
          <w:i/>
          <w:color w:val="000000"/>
          <w:sz w:val="19"/>
          <w:szCs w:val="19"/>
        </w:rPr>
        <w:t xml:space="preserve">. In </w:t>
      </w:r>
      <w:proofErr w:type="spellStart"/>
      <w:r w:rsidRPr="006E55EC">
        <w:rPr>
          <w:i/>
          <w:color w:val="000000"/>
          <w:sz w:val="19"/>
          <w:szCs w:val="19"/>
        </w:rPr>
        <w:t>Flavonoids</w:t>
      </w:r>
      <w:proofErr w:type="spellEnd"/>
      <w:r w:rsidRPr="006E55EC">
        <w:rPr>
          <w:i/>
          <w:color w:val="000000"/>
          <w:sz w:val="19"/>
          <w:szCs w:val="19"/>
        </w:rPr>
        <w:t>: Chemistry, Biochemistry and Applications.</w:t>
      </w:r>
      <w:r w:rsidRPr="006E55EC">
        <w:rPr>
          <w:color w:val="000000"/>
          <w:sz w:val="19"/>
          <w:szCs w:val="19"/>
        </w:rPr>
        <w:t xml:space="preserve"> Andersen, OM., Markham, KR., editors. </w:t>
      </w:r>
      <w:smartTag w:uri="urn:schemas-microsoft-com:office:smarttags" w:element="stockticker">
        <w:r w:rsidRPr="006E55EC">
          <w:rPr>
            <w:color w:val="000000"/>
            <w:sz w:val="19"/>
            <w:szCs w:val="19"/>
          </w:rPr>
          <w:t>CRC</w:t>
        </w:r>
      </w:smartTag>
      <w:r w:rsidRPr="006E55EC">
        <w:rPr>
          <w:color w:val="000000"/>
          <w:sz w:val="19"/>
          <w:szCs w:val="19"/>
        </w:rPr>
        <w:t xml:space="preserve"> Press: Boca Raton, 2006; pp. 471–553.</w:t>
      </w:r>
    </w:p>
    <w:p w:rsidR="00501203" w:rsidRPr="006E55EC" w:rsidRDefault="00501203" w:rsidP="00AB4189">
      <w:pPr>
        <w:pStyle w:val="ListParagraph"/>
        <w:numPr>
          <w:ilvl w:val="0"/>
          <w:numId w:val="7"/>
        </w:numPr>
        <w:snapToGrid w:val="0"/>
        <w:ind w:left="425" w:hanging="425"/>
        <w:jc w:val="both"/>
        <w:rPr>
          <w:color w:val="000000"/>
          <w:sz w:val="19"/>
          <w:szCs w:val="19"/>
        </w:rPr>
      </w:pPr>
      <w:proofErr w:type="spellStart"/>
      <w:r w:rsidRPr="006E55EC">
        <w:rPr>
          <w:color w:val="000000"/>
          <w:sz w:val="19"/>
          <w:szCs w:val="19"/>
        </w:rPr>
        <w:t>Aruoma</w:t>
      </w:r>
      <w:proofErr w:type="spellEnd"/>
      <w:r w:rsidRPr="006E55EC">
        <w:rPr>
          <w:color w:val="000000"/>
          <w:sz w:val="19"/>
          <w:szCs w:val="19"/>
        </w:rPr>
        <w:t xml:space="preserve">, OI. Methodological considerations for characterizing potential antioxidant actions of bioactive components in plant foods. </w:t>
      </w:r>
      <w:r w:rsidRPr="006E55EC">
        <w:rPr>
          <w:i/>
          <w:color w:val="000000"/>
          <w:sz w:val="19"/>
          <w:szCs w:val="19"/>
        </w:rPr>
        <w:t>Mutation Research</w:t>
      </w:r>
      <w:r w:rsidRPr="006E55EC">
        <w:rPr>
          <w:color w:val="000000"/>
          <w:sz w:val="19"/>
          <w:szCs w:val="19"/>
        </w:rPr>
        <w:t>, 2003; 523–524: 9–20</w:t>
      </w:r>
    </w:p>
    <w:p w:rsidR="00501203" w:rsidRPr="006E55EC" w:rsidRDefault="00501203" w:rsidP="00AB4189">
      <w:pPr>
        <w:pStyle w:val="ListParagraph"/>
        <w:numPr>
          <w:ilvl w:val="0"/>
          <w:numId w:val="7"/>
        </w:numPr>
        <w:snapToGrid w:val="0"/>
        <w:ind w:left="425" w:hanging="425"/>
        <w:jc w:val="both"/>
        <w:rPr>
          <w:color w:val="000000"/>
          <w:sz w:val="19"/>
          <w:szCs w:val="19"/>
        </w:rPr>
      </w:pPr>
      <w:proofErr w:type="spellStart"/>
      <w:r w:rsidRPr="006E55EC">
        <w:rPr>
          <w:bCs/>
          <w:color w:val="000000"/>
          <w:sz w:val="19"/>
          <w:szCs w:val="19"/>
        </w:rPr>
        <w:t>Bonorden</w:t>
      </w:r>
      <w:proofErr w:type="spellEnd"/>
      <w:r w:rsidRPr="006E55EC">
        <w:rPr>
          <w:color w:val="000000"/>
          <w:sz w:val="19"/>
          <w:szCs w:val="19"/>
        </w:rPr>
        <w:t xml:space="preserve">, W.R., </w:t>
      </w:r>
      <w:proofErr w:type="spellStart"/>
      <w:r w:rsidRPr="006E55EC">
        <w:rPr>
          <w:color w:val="000000"/>
          <w:sz w:val="19"/>
          <w:szCs w:val="19"/>
        </w:rPr>
        <w:t>Pariza</w:t>
      </w:r>
      <w:proofErr w:type="spellEnd"/>
      <w:r w:rsidRPr="006E55EC">
        <w:rPr>
          <w:color w:val="000000"/>
          <w:sz w:val="19"/>
          <w:szCs w:val="19"/>
        </w:rPr>
        <w:t xml:space="preserve">, M.W., </w:t>
      </w:r>
      <w:r w:rsidRPr="006E55EC">
        <w:rPr>
          <w:i/>
          <w:iCs/>
          <w:color w:val="000000"/>
          <w:sz w:val="19"/>
          <w:szCs w:val="19"/>
        </w:rPr>
        <w:t>Antioxidant nutrients and protection from free radicals,</w:t>
      </w:r>
      <w:r w:rsidRPr="006E55EC">
        <w:rPr>
          <w:color w:val="000000"/>
          <w:sz w:val="19"/>
          <w:szCs w:val="19"/>
        </w:rPr>
        <w:t xml:space="preserve"> Raven Press, New York 1994.</w:t>
      </w:r>
    </w:p>
    <w:p w:rsidR="00501203" w:rsidRPr="006E55EC" w:rsidRDefault="00501203" w:rsidP="00AB4189">
      <w:pPr>
        <w:pStyle w:val="ListParagraph"/>
        <w:numPr>
          <w:ilvl w:val="0"/>
          <w:numId w:val="7"/>
        </w:numPr>
        <w:snapToGrid w:val="0"/>
        <w:ind w:left="425" w:hanging="425"/>
        <w:jc w:val="both"/>
        <w:rPr>
          <w:color w:val="000000"/>
          <w:sz w:val="19"/>
          <w:szCs w:val="19"/>
        </w:rPr>
      </w:pPr>
      <w:proofErr w:type="spellStart"/>
      <w:r w:rsidRPr="006E55EC">
        <w:rPr>
          <w:bCs/>
          <w:color w:val="000000"/>
          <w:sz w:val="19"/>
          <w:szCs w:val="19"/>
        </w:rPr>
        <w:t>Cecchini</w:t>
      </w:r>
      <w:proofErr w:type="spellEnd"/>
      <w:r w:rsidRPr="006E55EC">
        <w:rPr>
          <w:bCs/>
          <w:color w:val="000000"/>
          <w:sz w:val="19"/>
          <w:szCs w:val="19"/>
        </w:rPr>
        <w:t>,</w:t>
      </w:r>
      <w:r w:rsidRPr="006E55EC">
        <w:rPr>
          <w:color w:val="000000"/>
          <w:sz w:val="19"/>
          <w:szCs w:val="19"/>
        </w:rPr>
        <w:t xml:space="preserve"> C., </w:t>
      </w:r>
      <w:proofErr w:type="spellStart"/>
      <w:r w:rsidRPr="006E55EC">
        <w:rPr>
          <w:color w:val="000000"/>
          <w:sz w:val="19"/>
          <w:szCs w:val="19"/>
        </w:rPr>
        <w:t>Silvi</w:t>
      </w:r>
      <w:proofErr w:type="spellEnd"/>
      <w:r w:rsidRPr="006E55EC">
        <w:rPr>
          <w:color w:val="000000"/>
          <w:sz w:val="19"/>
          <w:szCs w:val="19"/>
        </w:rPr>
        <w:t xml:space="preserve">, S., </w:t>
      </w:r>
      <w:proofErr w:type="spellStart"/>
      <w:r w:rsidRPr="006E55EC">
        <w:rPr>
          <w:color w:val="000000"/>
          <w:sz w:val="19"/>
          <w:szCs w:val="19"/>
        </w:rPr>
        <w:t>Orpianesi</w:t>
      </w:r>
      <w:proofErr w:type="spellEnd"/>
      <w:r w:rsidRPr="006E55EC">
        <w:rPr>
          <w:color w:val="000000"/>
          <w:sz w:val="19"/>
          <w:szCs w:val="19"/>
        </w:rPr>
        <w:t xml:space="preserve">, C., </w:t>
      </w:r>
      <w:proofErr w:type="spellStart"/>
      <w:r w:rsidRPr="006E55EC">
        <w:rPr>
          <w:color w:val="000000"/>
          <w:sz w:val="19"/>
          <w:szCs w:val="19"/>
        </w:rPr>
        <w:t>Cresci</w:t>
      </w:r>
      <w:proofErr w:type="spellEnd"/>
      <w:r w:rsidRPr="006E55EC">
        <w:rPr>
          <w:color w:val="000000"/>
          <w:sz w:val="19"/>
          <w:szCs w:val="19"/>
        </w:rPr>
        <w:t xml:space="preserve">, A. Red wine </w:t>
      </w:r>
      <w:proofErr w:type="spellStart"/>
      <w:r w:rsidRPr="006E55EC">
        <w:rPr>
          <w:color w:val="000000"/>
          <w:sz w:val="19"/>
          <w:szCs w:val="19"/>
        </w:rPr>
        <w:t>polyphenols</w:t>
      </w:r>
      <w:proofErr w:type="spellEnd"/>
      <w:r w:rsidRPr="006E55EC">
        <w:rPr>
          <w:color w:val="000000"/>
          <w:sz w:val="19"/>
          <w:szCs w:val="19"/>
        </w:rPr>
        <w:t xml:space="preserve"> influence carcinogenesis, intestinal </w:t>
      </w:r>
      <w:proofErr w:type="spellStart"/>
      <w:r w:rsidRPr="006E55EC">
        <w:rPr>
          <w:color w:val="000000"/>
          <w:sz w:val="19"/>
          <w:szCs w:val="19"/>
        </w:rPr>
        <w:t>microflora</w:t>
      </w:r>
      <w:proofErr w:type="spellEnd"/>
      <w:r w:rsidRPr="006E55EC">
        <w:rPr>
          <w:color w:val="000000"/>
          <w:sz w:val="19"/>
          <w:szCs w:val="19"/>
        </w:rPr>
        <w:t xml:space="preserve">, oxidative damage and gene expression profiles of colonic mucosa in F344 rats. </w:t>
      </w:r>
      <w:r w:rsidRPr="006E55EC">
        <w:rPr>
          <w:i/>
          <w:iCs/>
          <w:color w:val="000000"/>
          <w:sz w:val="19"/>
          <w:szCs w:val="19"/>
        </w:rPr>
        <w:t>Mutation Research</w:t>
      </w:r>
      <w:r w:rsidRPr="006E55EC">
        <w:rPr>
          <w:color w:val="000000"/>
          <w:sz w:val="19"/>
          <w:szCs w:val="19"/>
        </w:rPr>
        <w:t>, 2005; 591: 237–246.</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r w:rsidRPr="006E55EC">
        <w:rPr>
          <w:color w:val="000000"/>
          <w:sz w:val="19"/>
          <w:szCs w:val="19"/>
        </w:rPr>
        <w:t xml:space="preserve">Chang YC, </w:t>
      </w:r>
      <w:proofErr w:type="spellStart"/>
      <w:r w:rsidRPr="006E55EC">
        <w:rPr>
          <w:color w:val="000000"/>
          <w:sz w:val="19"/>
          <w:szCs w:val="19"/>
        </w:rPr>
        <w:t>Hungang</w:t>
      </w:r>
      <w:proofErr w:type="spellEnd"/>
      <w:r w:rsidRPr="006E55EC">
        <w:rPr>
          <w:color w:val="000000"/>
          <w:sz w:val="19"/>
          <w:szCs w:val="19"/>
        </w:rPr>
        <w:t xml:space="preserve"> KX, </w:t>
      </w:r>
      <w:proofErr w:type="spellStart"/>
      <w:r w:rsidRPr="006E55EC">
        <w:rPr>
          <w:color w:val="000000"/>
          <w:sz w:val="19"/>
          <w:szCs w:val="19"/>
        </w:rPr>
        <w:t>Hungang</w:t>
      </w:r>
      <w:proofErr w:type="spellEnd"/>
      <w:r w:rsidRPr="006E55EC">
        <w:rPr>
          <w:color w:val="000000"/>
          <w:sz w:val="19"/>
          <w:szCs w:val="19"/>
        </w:rPr>
        <w:t xml:space="preserve"> AC, </w:t>
      </w:r>
      <w:r w:rsidRPr="006E55EC">
        <w:rPr>
          <w:i/>
          <w:iCs/>
          <w:color w:val="000000"/>
          <w:sz w:val="19"/>
          <w:szCs w:val="19"/>
        </w:rPr>
        <w:t>et al.</w:t>
      </w:r>
      <w:r w:rsidRPr="006E55EC">
        <w:rPr>
          <w:color w:val="000000"/>
          <w:sz w:val="19"/>
          <w:szCs w:val="19"/>
        </w:rPr>
        <w:t xml:space="preserve"> Hibiscus </w:t>
      </w:r>
      <w:proofErr w:type="spellStart"/>
      <w:r w:rsidRPr="006E55EC">
        <w:rPr>
          <w:color w:val="000000"/>
          <w:sz w:val="19"/>
          <w:szCs w:val="19"/>
        </w:rPr>
        <w:t>anthocyanins</w:t>
      </w:r>
      <w:proofErr w:type="spellEnd"/>
      <w:r w:rsidRPr="006E55EC">
        <w:rPr>
          <w:color w:val="000000"/>
          <w:sz w:val="19"/>
          <w:szCs w:val="19"/>
        </w:rPr>
        <w:t xml:space="preserve"> - rich extract inhibited </w:t>
      </w:r>
      <w:smartTag w:uri="urn:schemas-microsoft-com:office:smarttags" w:element="stockticker">
        <w:r w:rsidRPr="006E55EC">
          <w:rPr>
            <w:color w:val="000000"/>
            <w:sz w:val="19"/>
            <w:szCs w:val="19"/>
          </w:rPr>
          <w:t>LDL</w:t>
        </w:r>
      </w:smartTag>
      <w:r w:rsidRPr="006E55EC">
        <w:rPr>
          <w:color w:val="000000"/>
          <w:sz w:val="19"/>
          <w:szCs w:val="19"/>
        </w:rPr>
        <w:t xml:space="preserve"> oxidation and </w:t>
      </w:r>
      <w:proofErr w:type="spellStart"/>
      <w:r w:rsidRPr="006E55EC">
        <w:rPr>
          <w:color w:val="000000"/>
          <w:sz w:val="19"/>
          <w:szCs w:val="19"/>
        </w:rPr>
        <w:t>oxLDL</w:t>
      </w:r>
      <w:proofErr w:type="spellEnd"/>
      <w:r w:rsidRPr="006E55EC">
        <w:rPr>
          <w:color w:val="000000"/>
          <w:sz w:val="19"/>
          <w:szCs w:val="19"/>
        </w:rPr>
        <w:t xml:space="preserve"> mediated macrophage apoptosis. Food </w:t>
      </w:r>
      <w:proofErr w:type="spellStart"/>
      <w:r w:rsidRPr="006E55EC">
        <w:rPr>
          <w:color w:val="000000"/>
          <w:sz w:val="19"/>
          <w:szCs w:val="19"/>
        </w:rPr>
        <w:t>Chem</w:t>
      </w:r>
      <w:proofErr w:type="spellEnd"/>
      <w:r w:rsidRPr="006E55EC">
        <w:rPr>
          <w:color w:val="000000"/>
          <w:sz w:val="19"/>
          <w:szCs w:val="19"/>
        </w:rPr>
        <w:t xml:space="preserve"> </w:t>
      </w:r>
      <w:proofErr w:type="spellStart"/>
      <w:r w:rsidRPr="006E55EC">
        <w:rPr>
          <w:color w:val="000000"/>
          <w:sz w:val="19"/>
          <w:szCs w:val="19"/>
        </w:rPr>
        <w:t>Toxicol</w:t>
      </w:r>
      <w:proofErr w:type="spellEnd"/>
      <w:r w:rsidRPr="006E55EC">
        <w:rPr>
          <w:color w:val="000000"/>
          <w:sz w:val="19"/>
          <w:szCs w:val="19"/>
        </w:rPr>
        <w:t xml:space="preserve"> 2006; 244: 1015-1023.</w:t>
      </w:r>
    </w:p>
    <w:p w:rsidR="00501203" w:rsidRPr="006E55EC" w:rsidRDefault="00501203" w:rsidP="00AB4189">
      <w:pPr>
        <w:pStyle w:val="ListParagraph"/>
        <w:numPr>
          <w:ilvl w:val="0"/>
          <w:numId w:val="7"/>
        </w:numPr>
        <w:snapToGrid w:val="0"/>
        <w:ind w:left="425" w:hanging="425"/>
        <w:jc w:val="both"/>
        <w:rPr>
          <w:color w:val="000000"/>
          <w:sz w:val="19"/>
          <w:szCs w:val="19"/>
        </w:rPr>
      </w:pPr>
      <w:r w:rsidRPr="006E55EC">
        <w:rPr>
          <w:bCs/>
          <w:color w:val="000000"/>
          <w:sz w:val="19"/>
          <w:szCs w:val="19"/>
        </w:rPr>
        <w:t>Cooke</w:t>
      </w:r>
      <w:r w:rsidRPr="006E55EC">
        <w:rPr>
          <w:color w:val="000000"/>
          <w:sz w:val="19"/>
          <w:szCs w:val="19"/>
        </w:rPr>
        <w:t xml:space="preserve">, D., Steward, WP., </w:t>
      </w:r>
      <w:proofErr w:type="spellStart"/>
      <w:r w:rsidRPr="006E55EC">
        <w:rPr>
          <w:color w:val="000000"/>
          <w:sz w:val="19"/>
          <w:szCs w:val="19"/>
        </w:rPr>
        <w:t>Gescher</w:t>
      </w:r>
      <w:proofErr w:type="spellEnd"/>
      <w:r w:rsidRPr="006E55EC">
        <w:rPr>
          <w:color w:val="000000"/>
          <w:sz w:val="19"/>
          <w:szCs w:val="19"/>
        </w:rPr>
        <w:t xml:space="preserve">, AJ., </w:t>
      </w:r>
      <w:proofErr w:type="spellStart"/>
      <w:r w:rsidRPr="006E55EC">
        <w:rPr>
          <w:color w:val="000000"/>
          <w:sz w:val="19"/>
          <w:szCs w:val="19"/>
        </w:rPr>
        <w:t>Marczylo</w:t>
      </w:r>
      <w:proofErr w:type="spellEnd"/>
      <w:r w:rsidRPr="006E55EC">
        <w:rPr>
          <w:color w:val="000000"/>
          <w:sz w:val="19"/>
          <w:szCs w:val="19"/>
        </w:rPr>
        <w:t xml:space="preserve">, T. </w:t>
      </w:r>
      <w:proofErr w:type="spellStart"/>
      <w:r w:rsidRPr="006E55EC">
        <w:rPr>
          <w:color w:val="000000"/>
          <w:sz w:val="19"/>
          <w:szCs w:val="19"/>
        </w:rPr>
        <w:t>Anthocyans</w:t>
      </w:r>
      <w:proofErr w:type="spellEnd"/>
      <w:r w:rsidRPr="006E55EC">
        <w:rPr>
          <w:color w:val="000000"/>
          <w:sz w:val="19"/>
          <w:szCs w:val="19"/>
        </w:rPr>
        <w:t xml:space="preserve"> from fruits and vegetables - Does bright colour signal cancer </w:t>
      </w:r>
      <w:proofErr w:type="spellStart"/>
      <w:r w:rsidRPr="006E55EC">
        <w:rPr>
          <w:color w:val="000000"/>
          <w:sz w:val="19"/>
          <w:szCs w:val="19"/>
        </w:rPr>
        <w:t>chemopreventive</w:t>
      </w:r>
      <w:proofErr w:type="spellEnd"/>
      <w:r w:rsidRPr="006E55EC">
        <w:rPr>
          <w:color w:val="000000"/>
          <w:sz w:val="19"/>
          <w:szCs w:val="19"/>
        </w:rPr>
        <w:t xml:space="preserve"> activity? </w:t>
      </w:r>
      <w:r w:rsidRPr="006E55EC">
        <w:rPr>
          <w:i/>
          <w:iCs/>
          <w:color w:val="000000"/>
          <w:sz w:val="19"/>
          <w:szCs w:val="19"/>
        </w:rPr>
        <w:t>European journal of cancer,</w:t>
      </w:r>
      <w:r w:rsidRPr="006E55EC">
        <w:rPr>
          <w:color w:val="000000"/>
          <w:sz w:val="19"/>
          <w:szCs w:val="19"/>
        </w:rPr>
        <w:t xml:space="preserve"> 2005; 41:1931–1940.</w:t>
      </w:r>
    </w:p>
    <w:p w:rsidR="00501203" w:rsidRPr="006E55EC" w:rsidRDefault="00501203" w:rsidP="00AB4189">
      <w:pPr>
        <w:pStyle w:val="ListParagraph"/>
        <w:numPr>
          <w:ilvl w:val="0"/>
          <w:numId w:val="7"/>
        </w:numPr>
        <w:snapToGrid w:val="0"/>
        <w:ind w:left="425" w:hanging="425"/>
        <w:jc w:val="both"/>
        <w:rPr>
          <w:color w:val="000000"/>
          <w:sz w:val="19"/>
          <w:szCs w:val="19"/>
        </w:rPr>
      </w:pPr>
      <w:proofErr w:type="spellStart"/>
      <w:r w:rsidRPr="006E55EC">
        <w:rPr>
          <w:bCs/>
          <w:color w:val="000000"/>
          <w:sz w:val="19"/>
          <w:szCs w:val="19"/>
        </w:rPr>
        <w:t>Damianaki</w:t>
      </w:r>
      <w:proofErr w:type="spellEnd"/>
      <w:r w:rsidRPr="006E55EC">
        <w:rPr>
          <w:bCs/>
          <w:color w:val="000000"/>
          <w:sz w:val="19"/>
          <w:szCs w:val="19"/>
        </w:rPr>
        <w:t>,</w:t>
      </w:r>
      <w:r w:rsidRPr="006E55EC">
        <w:rPr>
          <w:color w:val="000000"/>
          <w:sz w:val="19"/>
          <w:szCs w:val="19"/>
        </w:rPr>
        <w:t xml:space="preserve"> A., </w:t>
      </w:r>
      <w:proofErr w:type="spellStart"/>
      <w:r w:rsidRPr="006E55EC">
        <w:rPr>
          <w:color w:val="000000"/>
          <w:sz w:val="19"/>
          <w:szCs w:val="19"/>
        </w:rPr>
        <w:t>Bakogeorgou</w:t>
      </w:r>
      <w:proofErr w:type="spellEnd"/>
      <w:r w:rsidRPr="006E55EC">
        <w:rPr>
          <w:color w:val="000000"/>
          <w:sz w:val="19"/>
          <w:szCs w:val="19"/>
        </w:rPr>
        <w:t xml:space="preserve">, E., </w:t>
      </w:r>
      <w:proofErr w:type="spellStart"/>
      <w:r w:rsidRPr="006E55EC">
        <w:rPr>
          <w:color w:val="000000"/>
          <w:sz w:val="19"/>
          <w:szCs w:val="19"/>
        </w:rPr>
        <w:t>Kampa</w:t>
      </w:r>
      <w:proofErr w:type="spellEnd"/>
      <w:r w:rsidRPr="006E55EC">
        <w:rPr>
          <w:color w:val="000000"/>
          <w:sz w:val="19"/>
          <w:szCs w:val="19"/>
        </w:rPr>
        <w:t>, M.,</w:t>
      </w:r>
      <w:r w:rsidR="006E55EC" w:rsidRPr="006E55EC">
        <w:rPr>
          <w:color w:val="000000"/>
          <w:sz w:val="19"/>
          <w:szCs w:val="19"/>
        </w:rPr>
        <w:t xml:space="preserve"> </w:t>
      </w:r>
      <w:proofErr w:type="spellStart"/>
      <w:r w:rsidRPr="006E55EC">
        <w:rPr>
          <w:color w:val="000000"/>
          <w:sz w:val="19"/>
          <w:szCs w:val="19"/>
        </w:rPr>
        <w:t>Notas</w:t>
      </w:r>
      <w:proofErr w:type="spellEnd"/>
      <w:r w:rsidRPr="006E55EC">
        <w:rPr>
          <w:color w:val="000000"/>
          <w:sz w:val="19"/>
          <w:szCs w:val="19"/>
        </w:rPr>
        <w:t xml:space="preserve">, G., </w:t>
      </w:r>
      <w:proofErr w:type="spellStart"/>
      <w:r w:rsidRPr="006E55EC">
        <w:rPr>
          <w:color w:val="000000"/>
          <w:sz w:val="19"/>
          <w:szCs w:val="19"/>
        </w:rPr>
        <w:t>Hatzoglou</w:t>
      </w:r>
      <w:proofErr w:type="spellEnd"/>
      <w:r w:rsidRPr="006E55EC">
        <w:rPr>
          <w:color w:val="000000"/>
          <w:sz w:val="19"/>
          <w:szCs w:val="19"/>
        </w:rPr>
        <w:t xml:space="preserve">, A., </w:t>
      </w:r>
      <w:proofErr w:type="spellStart"/>
      <w:r w:rsidRPr="006E55EC">
        <w:rPr>
          <w:color w:val="000000"/>
          <w:sz w:val="19"/>
          <w:szCs w:val="19"/>
        </w:rPr>
        <w:t>Panagiotou</w:t>
      </w:r>
      <w:proofErr w:type="spellEnd"/>
      <w:r w:rsidRPr="006E55EC">
        <w:rPr>
          <w:color w:val="000000"/>
          <w:sz w:val="19"/>
          <w:szCs w:val="19"/>
        </w:rPr>
        <w:t xml:space="preserve">, S., </w:t>
      </w:r>
      <w:proofErr w:type="spellStart"/>
      <w:r w:rsidRPr="006E55EC">
        <w:rPr>
          <w:color w:val="000000"/>
          <w:sz w:val="19"/>
          <w:szCs w:val="19"/>
        </w:rPr>
        <w:t>Gemetzi</w:t>
      </w:r>
      <w:proofErr w:type="spellEnd"/>
      <w:r w:rsidRPr="006E55EC">
        <w:rPr>
          <w:color w:val="000000"/>
          <w:sz w:val="19"/>
          <w:szCs w:val="19"/>
        </w:rPr>
        <w:t xml:space="preserve">, C., </w:t>
      </w:r>
      <w:proofErr w:type="spellStart"/>
      <w:r w:rsidRPr="006E55EC">
        <w:rPr>
          <w:color w:val="000000"/>
          <w:sz w:val="19"/>
          <w:szCs w:val="19"/>
        </w:rPr>
        <w:t>Kouroumalis</w:t>
      </w:r>
      <w:proofErr w:type="spellEnd"/>
      <w:r w:rsidRPr="006E55EC">
        <w:rPr>
          <w:color w:val="000000"/>
          <w:sz w:val="19"/>
          <w:szCs w:val="19"/>
        </w:rPr>
        <w:t xml:space="preserve">, E., Martin, PM., </w:t>
      </w:r>
      <w:proofErr w:type="spellStart"/>
      <w:r w:rsidRPr="006E55EC">
        <w:rPr>
          <w:color w:val="000000"/>
          <w:sz w:val="19"/>
          <w:szCs w:val="19"/>
        </w:rPr>
        <w:t>Castanas</w:t>
      </w:r>
      <w:proofErr w:type="spellEnd"/>
      <w:r w:rsidRPr="006E55EC">
        <w:rPr>
          <w:color w:val="000000"/>
          <w:sz w:val="19"/>
          <w:szCs w:val="19"/>
        </w:rPr>
        <w:t xml:space="preserve">, E. Potent inhibitory action of red wine </w:t>
      </w:r>
      <w:proofErr w:type="spellStart"/>
      <w:r w:rsidRPr="006E55EC">
        <w:rPr>
          <w:color w:val="000000"/>
          <w:sz w:val="19"/>
          <w:szCs w:val="19"/>
        </w:rPr>
        <w:t>polyphenols</w:t>
      </w:r>
      <w:proofErr w:type="spellEnd"/>
      <w:r w:rsidRPr="006E55EC">
        <w:rPr>
          <w:color w:val="000000"/>
          <w:sz w:val="19"/>
          <w:szCs w:val="19"/>
        </w:rPr>
        <w:t xml:space="preserve"> on human breast cancer cells. </w:t>
      </w:r>
      <w:r w:rsidRPr="006E55EC">
        <w:rPr>
          <w:i/>
          <w:iCs/>
          <w:color w:val="000000"/>
          <w:sz w:val="19"/>
          <w:szCs w:val="19"/>
        </w:rPr>
        <w:t>Journal of cellular biochemistry</w:t>
      </w:r>
      <w:r w:rsidRPr="006E55EC">
        <w:rPr>
          <w:color w:val="000000"/>
          <w:sz w:val="19"/>
          <w:szCs w:val="19"/>
        </w:rPr>
        <w:t>, 2000; 78:429–441.</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r w:rsidRPr="006E55EC">
        <w:rPr>
          <w:color w:val="000000"/>
          <w:sz w:val="19"/>
          <w:szCs w:val="19"/>
        </w:rPr>
        <w:t xml:space="preserve">De </w:t>
      </w:r>
      <w:proofErr w:type="spellStart"/>
      <w:r w:rsidRPr="006E55EC">
        <w:rPr>
          <w:color w:val="000000"/>
          <w:sz w:val="19"/>
          <w:szCs w:val="19"/>
        </w:rPr>
        <w:t>Ancos</w:t>
      </w:r>
      <w:proofErr w:type="spellEnd"/>
      <w:r w:rsidRPr="006E55EC">
        <w:rPr>
          <w:color w:val="000000"/>
          <w:sz w:val="19"/>
          <w:szCs w:val="19"/>
        </w:rPr>
        <w:t xml:space="preserve"> B, Ibanez E, </w:t>
      </w:r>
      <w:proofErr w:type="spellStart"/>
      <w:r w:rsidRPr="006E55EC">
        <w:rPr>
          <w:color w:val="000000"/>
          <w:sz w:val="19"/>
          <w:szCs w:val="19"/>
        </w:rPr>
        <w:t>Reghero</w:t>
      </w:r>
      <w:proofErr w:type="spellEnd"/>
      <w:r w:rsidRPr="006E55EC">
        <w:rPr>
          <w:color w:val="000000"/>
          <w:sz w:val="19"/>
          <w:szCs w:val="19"/>
        </w:rPr>
        <w:t xml:space="preserve"> G, Cano MP. “Frozen storage food effects of </w:t>
      </w:r>
      <w:proofErr w:type="spellStart"/>
      <w:r w:rsidRPr="006E55EC">
        <w:rPr>
          <w:color w:val="000000"/>
          <w:sz w:val="19"/>
          <w:szCs w:val="19"/>
        </w:rPr>
        <w:t>anthocyanins</w:t>
      </w:r>
      <w:proofErr w:type="spellEnd"/>
      <w:r w:rsidRPr="006E55EC">
        <w:rPr>
          <w:color w:val="000000"/>
          <w:sz w:val="19"/>
          <w:szCs w:val="19"/>
        </w:rPr>
        <w:t xml:space="preserve"> and volatile compounds of raspberry fruit’’. J Agric Food </w:t>
      </w:r>
      <w:proofErr w:type="spellStart"/>
      <w:r w:rsidRPr="006E55EC">
        <w:rPr>
          <w:color w:val="000000"/>
          <w:sz w:val="19"/>
          <w:szCs w:val="19"/>
        </w:rPr>
        <w:t>Chem</w:t>
      </w:r>
      <w:proofErr w:type="spellEnd"/>
      <w:r w:rsidRPr="006E55EC">
        <w:rPr>
          <w:color w:val="000000"/>
          <w:sz w:val="19"/>
          <w:szCs w:val="19"/>
        </w:rPr>
        <w:t xml:space="preserve"> 2000; 48: 873-9.</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r w:rsidRPr="006E55EC">
        <w:rPr>
          <w:color w:val="000000"/>
          <w:sz w:val="19"/>
          <w:szCs w:val="19"/>
        </w:rPr>
        <w:t xml:space="preserve">Dillon SA, </w:t>
      </w:r>
      <w:proofErr w:type="spellStart"/>
      <w:r w:rsidRPr="006E55EC">
        <w:rPr>
          <w:color w:val="000000"/>
          <w:sz w:val="19"/>
          <w:szCs w:val="19"/>
        </w:rPr>
        <w:t>Burmi</w:t>
      </w:r>
      <w:proofErr w:type="spellEnd"/>
      <w:r w:rsidRPr="006E55EC">
        <w:rPr>
          <w:color w:val="000000"/>
          <w:sz w:val="19"/>
          <w:szCs w:val="19"/>
        </w:rPr>
        <w:t xml:space="preserve"> RS, Lowe GM, </w:t>
      </w:r>
      <w:r w:rsidRPr="006E55EC">
        <w:rPr>
          <w:i/>
          <w:iCs/>
          <w:color w:val="000000"/>
          <w:sz w:val="19"/>
          <w:szCs w:val="19"/>
        </w:rPr>
        <w:t>et al.</w:t>
      </w:r>
      <w:r w:rsidRPr="006E55EC">
        <w:rPr>
          <w:color w:val="000000"/>
          <w:sz w:val="19"/>
          <w:szCs w:val="19"/>
        </w:rPr>
        <w:t xml:space="preserve"> Antioxidant properties of aged garlic extract: an </w:t>
      </w:r>
      <w:r w:rsidRPr="006E55EC">
        <w:rPr>
          <w:i/>
          <w:iCs/>
          <w:color w:val="000000"/>
          <w:sz w:val="19"/>
          <w:szCs w:val="19"/>
        </w:rPr>
        <w:t>in vitro</w:t>
      </w:r>
      <w:r w:rsidRPr="006E55EC">
        <w:rPr>
          <w:color w:val="000000"/>
          <w:sz w:val="19"/>
          <w:szCs w:val="19"/>
        </w:rPr>
        <w:t xml:space="preserve"> study incorporating human low density lipoprotein. Life </w:t>
      </w:r>
      <w:proofErr w:type="spellStart"/>
      <w:r w:rsidRPr="006E55EC">
        <w:rPr>
          <w:color w:val="000000"/>
          <w:sz w:val="19"/>
          <w:szCs w:val="19"/>
        </w:rPr>
        <w:t>Sci</w:t>
      </w:r>
      <w:proofErr w:type="spellEnd"/>
      <w:r w:rsidRPr="006E55EC">
        <w:rPr>
          <w:color w:val="000000"/>
          <w:sz w:val="19"/>
          <w:szCs w:val="19"/>
        </w:rPr>
        <w:t xml:space="preserve"> 2003; 72: 1583–1594.</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r w:rsidRPr="006E55EC">
        <w:rPr>
          <w:color w:val="000000"/>
          <w:sz w:val="19"/>
          <w:szCs w:val="19"/>
        </w:rPr>
        <w:t xml:space="preserve">Du CT, Francis FJ. </w:t>
      </w:r>
      <w:proofErr w:type="spellStart"/>
      <w:r w:rsidRPr="006E55EC">
        <w:rPr>
          <w:color w:val="000000"/>
          <w:sz w:val="19"/>
          <w:szCs w:val="19"/>
        </w:rPr>
        <w:t>Anthocyanins</w:t>
      </w:r>
      <w:proofErr w:type="spellEnd"/>
      <w:r w:rsidRPr="006E55EC">
        <w:rPr>
          <w:color w:val="000000"/>
          <w:sz w:val="19"/>
          <w:szCs w:val="19"/>
        </w:rPr>
        <w:t xml:space="preserve"> of rosella (</w:t>
      </w:r>
      <w:r w:rsidRPr="006E55EC">
        <w:rPr>
          <w:i/>
          <w:iCs/>
          <w:color w:val="000000"/>
          <w:sz w:val="19"/>
          <w:szCs w:val="19"/>
        </w:rPr>
        <w:t xml:space="preserve">Hibiscus </w:t>
      </w:r>
      <w:proofErr w:type="spellStart"/>
      <w:r w:rsidRPr="006E55EC">
        <w:rPr>
          <w:i/>
          <w:iCs/>
          <w:color w:val="000000"/>
          <w:sz w:val="19"/>
          <w:szCs w:val="19"/>
        </w:rPr>
        <w:t>sabdariffa</w:t>
      </w:r>
      <w:proofErr w:type="spellEnd"/>
      <w:r w:rsidRPr="006E55EC">
        <w:rPr>
          <w:color w:val="000000"/>
          <w:sz w:val="19"/>
          <w:szCs w:val="19"/>
        </w:rPr>
        <w:t xml:space="preserve">, L.). J Food </w:t>
      </w:r>
      <w:proofErr w:type="spellStart"/>
      <w:r w:rsidRPr="006E55EC">
        <w:rPr>
          <w:color w:val="000000"/>
          <w:sz w:val="19"/>
          <w:szCs w:val="19"/>
        </w:rPr>
        <w:t>Sci</w:t>
      </w:r>
      <w:proofErr w:type="spellEnd"/>
      <w:r w:rsidRPr="006E55EC">
        <w:rPr>
          <w:color w:val="000000"/>
          <w:sz w:val="19"/>
          <w:szCs w:val="19"/>
        </w:rPr>
        <w:t xml:space="preserve"> 1973; 38: 810-2.</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r w:rsidRPr="006E55EC">
        <w:rPr>
          <w:color w:val="000000"/>
          <w:sz w:val="19"/>
          <w:szCs w:val="19"/>
        </w:rPr>
        <w:lastRenderedPageBreak/>
        <w:t xml:space="preserve">Edwards SW, </w:t>
      </w:r>
      <w:proofErr w:type="spellStart"/>
      <w:r w:rsidRPr="006E55EC">
        <w:rPr>
          <w:color w:val="000000"/>
          <w:sz w:val="19"/>
          <w:szCs w:val="19"/>
        </w:rPr>
        <w:t>Nurcombe</w:t>
      </w:r>
      <w:proofErr w:type="spellEnd"/>
      <w:r w:rsidRPr="006E55EC">
        <w:rPr>
          <w:color w:val="000000"/>
          <w:sz w:val="19"/>
          <w:szCs w:val="19"/>
        </w:rPr>
        <w:t xml:space="preserve"> HL, Hart CA. Oxidative inactivation of </w:t>
      </w:r>
      <w:proofErr w:type="spellStart"/>
      <w:r w:rsidRPr="006E55EC">
        <w:rPr>
          <w:color w:val="000000"/>
          <w:sz w:val="19"/>
          <w:szCs w:val="19"/>
        </w:rPr>
        <w:t>myeloperoxidase</w:t>
      </w:r>
      <w:proofErr w:type="spellEnd"/>
      <w:r w:rsidRPr="006E55EC">
        <w:rPr>
          <w:color w:val="000000"/>
          <w:sz w:val="19"/>
          <w:szCs w:val="19"/>
        </w:rPr>
        <w:t xml:space="preserve"> released from human </w:t>
      </w:r>
      <w:proofErr w:type="spellStart"/>
      <w:r w:rsidRPr="006E55EC">
        <w:rPr>
          <w:color w:val="000000"/>
          <w:sz w:val="19"/>
          <w:szCs w:val="19"/>
        </w:rPr>
        <w:t>neutrophils</w:t>
      </w:r>
      <w:proofErr w:type="spellEnd"/>
      <w:r w:rsidRPr="006E55EC">
        <w:rPr>
          <w:color w:val="000000"/>
          <w:sz w:val="19"/>
          <w:szCs w:val="19"/>
        </w:rPr>
        <w:t xml:space="preserve">. </w:t>
      </w:r>
      <w:proofErr w:type="spellStart"/>
      <w:r w:rsidRPr="006E55EC">
        <w:rPr>
          <w:color w:val="000000"/>
          <w:sz w:val="19"/>
          <w:szCs w:val="19"/>
        </w:rPr>
        <w:t>Biochem</w:t>
      </w:r>
      <w:proofErr w:type="spellEnd"/>
      <w:r w:rsidRPr="006E55EC">
        <w:rPr>
          <w:color w:val="000000"/>
          <w:sz w:val="19"/>
          <w:szCs w:val="19"/>
        </w:rPr>
        <w:t xml:space="preserve"> J 1987; 245 (3): 925–8.</w:t>
      </w:r>
    </w:p>
    <w:p w:rsidR="00501203" w:rsidRPr="006E55EC" w:rsidRDefault="00501203" w:rsidP="00AB4189">
      <w:pPr>
        <w:pStyle w:val="ListParagraph"/>
        <w:numPr>
          <w:ilvl w:val="0"/>
          <w:numId w:val="7"/>
        </w:numPr>
        <w:snapToGrid w:val="0"/>
        <w:ind w:left="425" w:hanging="425"/>
        <w:jc w:val="both"/>
        <w:rPr>
          <w:color w:val="000000"/>
          <w:sz w:val="19"/>
          <w:szCs w:val="19"/>
        </w:rPr>
      </w:pPr>
      <w:proofErr w:type="spellStart"/>
      <w:r w:rsidRPr="006E55EC">
        <w:rPr>
          <w:bCs/>
          <w:color w:val="000000"/>
          <w:sz w:val="19"/>
          <w:szCs w:val="19"/>
        </w:rPr>
        <w:t>Engler</w:t>
      </w:r>
      <w:proofErr w:type="spellEnd"/>
      <w:r w:rsidRPr="006E55EC">
        <w:rPr>
          <w:color w:val="000000"/>
          <w:sz w:val="19"/>
          <w:szCs w:val="19"/>
        </w:rPr>
        <w:t xml:space="preserve">, MB., </w:t>
      </w:r>
      <w:proofErr w:type="spellStart"/>
      <w:r w:rsidRPr="006E55EC">
        <w:rPr>
          <w:color w:val="000000"/>
          <w:sz w:val="19"/>
          <w:szCs w:val="19"/>
        </w:rPr>
        <w:t>Engler</w:t>
      </w:r>
      <w:proofErr w:type="spellEnd"/>
      <w:r w:rsidRPr="006E55EC">
        <w:rPr>
          <w:color w:val="000000"/>
          <w:sz w:val="19"/>
          <w:szCs w:val="19"/>
        </w:rPr>
        <w:t xml:space="preserve">, MM. The emerging role of </w:t>
      </w:r>
      <w:proofErr w:type="spellStart"/>
      <w:r w:rsidRPr="006E55EC">
        <w:rPr>
          <w:color w:val="000000"/>
          <w:sz w:val="19"/>
          <w:szCs w:val="19"/>
        </w:rPr>
        <w:t>flavonoid</w:t>
      </w:r>
      <w:proofErr w:type="spellEnd"/>
      <w:r w:rsidRPr="006E55EC">
        <w:rPr>
          <w:color w:val="000000"/>
          <w:sz w:val="19"/>
          <w:szCs w:val="19"/>
        </w:rPr>
        <w:t xml:space="preserve">-rich cocoa and chocolate in cardiovascular health and disease. </w:t>
      </w:r>
      <w:r w:rsidRPr="006E55EC">
        <w:rPr>
          <w:i/>
          <w:iCs/>
          <w:color w:val="000000"/>
          <w:sz w:val="19"/>
          <w:szCs w:val="19"/>
        </w:rPr>
        <w:t>Nutrition Review</w:t>
      </w:r>
      <w:r w:rsidRPr="006E55EC">
        <w:rPr>
          <w:color w:val="000000"/>
          <w:sz w:val="19"/>
          <w:szCs w:val="19"/>
        </w:rPr>
        <w:t>, 2006; 64: 109–129.</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proofErr w:type="spellStart"/>
      <w:r w:rsidRPr="006E55EC">
        <w:rPr>
          <w:color w:val="000000"/>
          <w:sz w:val="19"/>
          <w:szCs w:val="19"/>
        </w:rPr>
        <w:t>Fraga</w:t>
      </w:r>
      <w:proofErr w:type="spellEnd"/>
      <w:r w:rsidRPr="006E55EC">
        <w:rPr>
          <w:color w:val="000000"/>
          <w:sz w:val="19"/>
          <w:szCs w:val="19"/>
        </w:rPr>
        <w:t xml:space="preserve"> CG. Plant </w:t>
      </w:r>
      <w:proofErr w:type="spellStart"/>
      <w:r w:rsidRPr="006E55EC">
        <w:rPr>
          <w:color w:val="000000"/>
          <w:sz w:val="19"/>
          <w:szCs w:val="19"/>
        </w:rPr>
        <w:t>Polyphenols</w:t>
      </w:r>
      <w:proofErr w:type="spellEnd"/>
      <w:r w:rsidRPr="006E55EC">
        <w:rPr>
          <w:color w:val="000000"/>
          <w:sz w:val="19"/>
          <w:szCs w:val="19"/>
        </w:rPr>
        <w:t xml:space="preserve">, How to Translate their </w:t>
      </w:r>
      <w:r w:rsidRPr="006E55EC">
        <w:rPr>
          <w:i/>
          <w:iCs/>
          <w:color w:val="000000"/>
          <w:sz w:val="19"/>
          <w:szCs w:val="19"/>
        </w:rPr>
        <w:t>in vitro</w:t>
      </w:r>
      <w:r w:rsidRPr="006E55EC">
        <w:rPr>
          <w:color w:val="000000"/>
          <w:sz w:val="19"/>
          <w:szCs w:val="19"/>
        </w:rPr>
        <w:t xml:space="preserve"> Antioxidant Actions to </w:t>
      </w:r>
      <w:r w:rsidRPr="006E55EC">
        <w:rPr>
          <w:i/>
          <w:iCs/>
          <w:color w:val="000000"/>
          <w:sz w:val="19"/>
          <w:szCs w:val="19"/>
        </w:rPr>
        <w:t>in vivo</w:t>
      </w:r>
      <w:r w:rsidRPr="006E55EC">
        <w:rPr>
          <w:color w:val="000000"/>
          <w:sz w:val="19"/>
          <w:szCs w:val="19"/>
        </w:rPr>
        <w:t xml:space="preserve"> Conditions. IUBMB Life 2007; 59 (4 – 5): 308 – 315.</w:t>
      </w:r>
    </w:p>
    <w:p w:rsidR="00501203" w:rsidRPr="006E55EC" w:rsidRDefault="00501203" w:rsidP="00AB4189">
      <w:pPr>
        <w:pStyle w:val="ListParagraph"/>
        <w:numPr>
          <w:ilvl w:val="0"/>
          <w:numId w:val="7"/>
        </w:numPr>
        <w:snapToGrid w:val="0"/>
        <w:ind w:left="425" w:hanging="425"/>
        <w:jc w:val="both"/>
        <w:rPr>
          <w:color w:val="000000"/>
          <w:sz w:val="19"/>
          <w:szCs w:val="19"/>
        </w:rPr>
      </w:pPr>
      <w:proofErr w:type="spellStart"/>
      <w:r w:rsidRPr="006E55EC">
        <w:rPr>
          <w:bCs/>
          <w:color w:val="000000"/>
          <w:sz w:val="19"/>
          <w:szCs w:val="19"/>
        </w:rPr>
        <w:t>Garciäa</w:t>
      </w:r>
      <w:proofErr w:type="spellEnd"/>
      <w:r w:rsidRPr="006E55EC">
        <w:rPr>
          <w:bCs/>
          <w:color w:val="000000"/>
          <w:sz w:val="19"/>
          <w:szCs w:val="19"/>
        </w:rPr>
        <w:t>-Alonso</w:t>
      </w:r>
      <w:r w:rsidRPr="006E55EC">
        <w:rPr>
          <w:color w:val="000000"/>
          <w:sz w:val="19"/>
          <w:szCs w:val="19"/>
        </w:rPr>
        <w:t xml:space="preserve">, M., </w:t>
      </w:r>
      <w:proofErr w:type="spellStart"/>
      <w:r w:rsidRPr="006E55EC">
        <w:rPr>
          <w:color w:val="000000"/>
          <w:sz w:val="19"/>
          <w:szCs w:val="19"/>
        </w:rPr>
        <w:t>Rimbach</w:t>
      </w:r>
      <w:proofErr w:type="spellEnd"/>
      <w:r w:rsidRPr="006E55EC">
        <w:rPr>
          <w:color w:val="000000"/>
          <w:sz w:val="19"/>
          <w:szCs w:val="19"/>
        </w:rPr>
        <w:t xml:space="preserve">, G., Rivas-Gonzalo, </w:t>
      </w:r>
      <w:smartTag w:uri="urn:schemas-microsoft-com:office:smarttags" w:element="stockticker">
        <w:r w:rsidRPr="006E55EC">
          <w:rPr>
            <w:color w:val="000000"/>
            <w:sz w:val="19"/>
            <w:szCs w:val="19"/>
          </w:rPr>
          <w:t>JNC</w:t>
        </w:r>
      </w:smartTag>
      <w:r w:rsidRPr="006E55EC">
        <w:rPr>
          <w:color w:val="000000"/>
          <w:sz w:val="19"/>
          <w:szCs w:val="19"/>
        </w:rPr>
        <w:t xml:space="preserve">., </w:t>
      </w:r>
      <w:proofErr w:type="spellStart"/>
      <w:r w:rsidRPr="006E55EC">
        <w:rPr>
          <w:color w:val="000000"/>
          <w:sz w:val="19"/>
          <w:szCs w:val="19"/>
        </w:rPr>
        <w:t>Pascual</w:t>
      </w:r>
      <w:proofErr w:type="spellEnd"/>
      <w:r w:rsidRPr="006E55EC">
        <w:rPr>
          <w:color w:val="000000"/>
          <w:sz w:val="19"/>
          <w:szCs w:val="19"/>
        </w:rPr>
        <w:t xml:space="preserve">-Teresa, SD. Antioxidant and Cellular Activities of </w:t>
      </w:r>
      <w:proofErr w:type="spellStart"/>
      <w:r w:rsidRPr="006E55EC">
        <w:rPr>
          <w:color w:val="000000"/>
          <w:sz w:val="19"/>
          <w:szCs w:val="19"/>
        </w:rPr>
        <w:t>Anthocyanins</w:t>
      </w:r>
      <w:proofErr w:type="spellEnd"/>
      <w:r w:rsidRPr="006E55EC">
        <w:rPr>
          <w:color w:val="000000"/>
          <w:sz w:val="19"/>
          <w:szCs w:val="19"/>
        </w:rPr>
        <w:t xml:space="preserve"> and Their Corresponding </w:t>
      </w:r>
      <w:proofErr w:type="spellStart"/>
      <w:r w:rsidRPr="006E55EC">
        <w:rPr>
          <w:color w:val="000000"/>
          <w:sz w:val="19"/>
          <w:szCs w:val="19"/>
        </w:rPr>
        <w:t>Vitisins</w:t>
      </w:r>
      <w:proofErr w:type="spellEnd"/>
      <w:r w:rsidRPr="006E55EC">
        <w:rPr>
          <w:color w:val="000000"/>
          <w:sz w:val="19"/>
          <w:szCs w:val="19"/>
        </w:rPr>
        <w:t xml:space="preserve"> As Studies in Platelets, </w:t>
      </w:r>
      <w:proofErr w:type="spellStart"/>
      <w:r w:rsidRPr="006E55EC">
        <w:rPr>
          <w:color w:val="000000"/>
          <w:sz w:val="19"/>
          <w:szCs w:val="19"/>
        </w:rPr>
        <w:t>Monocytes</w:t>
      </w:r>
      <w:proofErr w:type="spellEnd"/>
      <w:r w:rsidRPr="006E55EC">
        <w:rPr>
          <w:color w:val="000000"/>
          <w:sz w:val="19"/>
          <w:szCs w:val="19"/>
        </w:rPr>
        <w:t xml:space="preserve">, and Human Endothelial Cells. </w:t>
      </w:r>
      <w:r w:rsidRPr="006E55EC">
        <w:rPr>
          <w:i/>
          <w:iCs/>
          <w:color w:val="000000"/>
          <w:sz w:val="19"/>
          <w:szCs w:val="19"/>
        </w:rPr>
        <w:t>Journal of Agricultural and Food Chemistry</w:t>
      </w:r>
      <w:r w:rsidRPr="006E55EC">
        <w:rPr>
          <w:color w:val="000000"/>
          <w:sz w:val="19"/>
          <w:szCs w:val="19"/>
        </w:rPr>
        <w:t>, 2004; 52: 3378-3384.</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r w:rsidRPr="006E55EC">
        <w:rPr>
          <w:color w:val="000000"/>
          <w:sz w:val="19"/>
          <w:szCs w:val="19"/>
        </w:rPr>
        <w:t xml:space="preserve">Hong V, </w:t>
      </w:r>
      <w:proofErr w:type="spellStart"/>
      <w:r w:rsidRPr="006E55EC">
        <w:rPr>
          <w:color w:val="000000"/>
          <w:sz w:val="19"/>
          <w:szCs w:val="19"/>
        </w:rPr>
        <w:t>Wrolstad</w:t>
      </w:r>
      <w:proofErr w:type="spellEnd"/>
      <w:r w:rsidRPr="006E55EC">
        <w:rPr>
          <w:color w:val="000000"/>
          <w:sz w:val="19"/>
          <w:szCs w:val="19"/>
        </w:rPr>
        <w:t xml:space="preserve"> RE. Use of HPLC Separation/Photodiode Array Detection </w:t>
      </w:r>
      <w:proofErr w:type="spellStart"/>
      <w:r w:rsidRPr="006E55EC">
        <w:rPr>
          <w:color w:val="000000"/>
          <w:sz w:val="19"/>
          <w:szCs w:val="19"/>
        </w:rPr>
        <w:t>forCharacterization</w:t>
      </w:r>
      <w:proofErr w:type="spellEnd"/>
      <w:r w:rsidRPr="006E55EC">
        <w:rPr>
          <w:color w:val="000000"/>
          <w:sz w:val="19"/>
          <w:szCs w:val="19"/>
        </w:rPr>
        <w:t xml:space="preserve"> of </w:t>
      </w:r>
      <w:proofErr w:type="spellStart"/>
      <w:r w:rsidRPr="006E55EC">
        <w:rPr>
          <w:color w:val="000000"/>
          <w:sz w:val="19"/>
          <w:szCs w:val="19"/>
        </w:rPr>
        <w:t>Anthocyanins</w:t>
      </w:r>
      <w:proofErr w:type="spellEnd"/>
      <w:r w:rsidRPr="006E55EC">
        <w:rPr>
          <w:color w:val="000000"/>
          <w:sz w:val="19"/>
          <w:szCs w:val="19"/>
        </w:rPr>
        <w:t xml:space="preserve">? J Agric Food </w:t>
      </w:r>
      <w:proofErr w:type="spellStart"/>
      <w:r w:rsidRPr="006E55EC">
        <w:rPr>
          <w:color w:val="000000"/>
          <w:sz w:val="19"/>
          <w:szCs w:val="19"/>
        </w:rPr>
        <w:t>Chem</w:t>
      </w:r>
      <w:proofErr w:type="spellEnd"/>
      <w:r w:rsidRPr="006E55EC">
        <w:rPr>
          <w:color w:val="000000"/>
          <w:sz w:val="19"/>
          <w:szCs w:val="19"/>
        </w:rPr>
        <w:t xml:space="preserve"> 1990; 38 (3): 708-715.</w:t>
      </w:r>
    </w:p>
    <w:p w:rsidR="00501203" w:rsidRPr="006E55EC" w:rsidRDefault="00501203" w:rsidP="00AB4189">
      <w:pPr>
        <w:pStyle w:val="ListParagraph"/>
        <w:widowControl w:val="0"/>
        <w:numPr>
          <w:ilvl w:val="0"/>
          <w:numId w:val="7"/>
        </w:numPr>
        <w:autoSpaceDE w:val="0"/>
        <w:snapToGrid w:val="0"/>
        <w:ind w:left="425" w:hanging="425"/>
        <w:jc w:val="both"/>
        <w:rPr>
          <w:color w:val="000000"/>
          <w:sz w:val="19"/>
          <w:szCs w:val="19"/>
        </w:rPr>
      </w:pPr>
      <w:proofErr w:type="spellStart"/>
      <w:r w:rsidRPr="006E55EC">
        <w:rPr>
          <w:rFonts w:eastAsiaTheme="minorHAnsi"/>
          <w:sz w:val="19"/>
          <w:szCs w:val="19"/>
          <w:lang w:val="en-US" w:eastAsia="en-US"/>
        </w:rPr>
        <w:t>Jamilah</w:t>
      </w:r>
      <w:proofErr w:type="spellEnd"/>
      <w:r w:rsidRPr="006E55EC">
        <w:rPr>
          <w:rFonts w:eastAsiaTheme="minorHAnsi"/>
          <w:sz w:val="19"/>
          <w:szCs w:val="19"/>
          <w:lang w:val="en-US" w:eastAsia="en-US"/>
        </w:rPr>
        <w:t xml:space="preserve"> MH. </w:t>
      </w:r>
      <w:r w:rsidRPr="006E55EC">
        <w:rPr>
          <w:rFonts w:eastAsiaTheme="minorHAnsi"/>
          <w:bCs/>
          <w:i/>
          <w:iCs/>
          <w:sz w:val="19"/>
          <w:szCs w:val="19"/>
          <w:lang w:val="en-US" w:eastAsia="en-US"/>
        </w:rPr>
        <w:t xml:space="preserve">Hibiscus </w:t>
      </w:r>
      <w:proofErr w:type="spellStart"/>
      <w:r w:rsidRPr="006E55EC">
        <w:rPr>
          <w:rFonts w:eastAsiaTheme="minorHAnsi"/>
          <w:bCs/>
          <w:i/>
          <w:iCs/>
          <w:sz w:val="19"/>
          <w:szCs w:val="19"/>
          <w:lang w:val="en-US" w:eastAsia="en-US"/>
        </w:rPr>
        <w:t>Sabdariffa</w:t>
      </w:r>
      <w:proofErr w:type="spellEnd"/>
      <w:r w:rsidRPr="006E55EC">
        <w:rPr>
          <w:rFonts w:eastAsiaTheme="minorHAnsi"/>
          <w:bCs/>
          <w:i/>
          <w:iCs/>
          <w:sz w:val="19"/>
          <w:szCs w:val="19"/>
          <w:lang w:val="en-US" w:eastAsia="en-US"/>
        </w:rPr>
        <w:t xml:space="preserve"> </w:t>
      </w:r>
      <w:r w:rsidRPr="006E55EC">
        <w:rPr>
          <w:rFonts w:eastAsiaTheme="minorHAnsi"/>
          <w:bCs/>
          <w:sz w:val="19"/>
          <w:szCs w:val="19"/>
          <w:lang w:val="en-US" w:eastAsia="en-US"/>
        </w:rPr>
        <w:t xml:space="preserve">Calyx Extract Alleviate </w:t>
      </w:r>
      <w:proofErr w:type="spellStart"/>
      <w:r w:rsidRPr="006E55EC">
        <w:rPr>
          <w:rFonts w:eastAsiaTheme="minorHAnsi"/>
          <w:bCs/>
          <w:sz w:val="19"/>
          <w:szCs w:val="19"/>
          <w:lang w:val="en-US" w:eastAsia="en-US"/>
        </w:rPr>
        <w:t>Hepatotoxicity</w:t>
      </w:r>
      <w:proofErr w:type="spellEnd"/>
      <w:r w:rsidRPr="006E55EC">
        <w:rPr>
          <w:rFonts w:eastAsiaTheme="minorHAnsi"/>
          <w:bCs/>
          <w:sz w:val="19"/>
          <w:szCs w:val="19"/>
          <w:lang w:val="en-US" w:eastAsia="en-US"/>
        </w:rPr>
        <w:t xml:space="preserve"> Induced by </w:t>
      </w:r>
      <w:proofErr w:type="spellStart"/>
      <w:r w:rsidRPr="006E55EC">
        <w:rPr>
          <w:rFonts w:eastAsiaTheme="minorHAnsi"/>
          <w:bCs/>
          <w:sz w:val="19"/>
          <w:szCs w:val="19"/>
          <w:lang w:val="en-US" w:eastAsia="en-US"/>
        </w:rPr>
        <w:t>CarbonTetrachloride</w:t>
      </w:r>
      <w:proofErr w:type="spellEnd"/>
      <w:r w:rsidRPr="006E55EC">
        <w:rPr>
          <w:rFonts w:eastAsiaTheme="minorHAnsi"/>
          <w:bCs/>
          <w:sz w:val="19"/>
          <w:szCs w:val="19"/>
          <w:lang w:val="en-US" w:eastAsia="en-US"/>
        </w:rPr>
        <w:t xml:space="preserve"> on Male Albino Rats. </w:t>
      </w:r>
      <w:r w:rsidRPr="006E55EC">
        <w:rPr>
          <w:rFonts w:eastAsiaTheme="minorHAnsi"/>
          <w:i/>
          <w:iCs/>
          <w:sz w:val="19"/>
          <w:szCs w:val="19"/>
          <w:lang w:val="en-US" w:eastAsia="en-US"/>
        </w:rPr>
        <w:t xml:space="preserve">Nat </w:t>
      </w:r>
      <w:proofErr w:type="spellStart"/>
      <w:r w:rsidRPr="006E55EC">
        <w:rPr>
          <w:rFonts w:eastAsiaTheme="minorHAnsi"/>
          <w:i/>
          <w:iCs/>
          <w:sz w:val="19"/>
          <w:szCs w:val="19"/>
          <w:lang w:val="en-US" w:eastAsia="en-US"/>
        </w:rPr>
        <w:t>Sci</w:t>
      </w:r>
      <w:proofErr w:type="spellEnd"/>
      <w:r w:rsidRPr="006E55EC">
        <w:rPr>
          <w:rFonts w:eastAsiaTheme="minorHAnsi"/>
          <w:i/>
          <w:iCs/>
          <w:sz w:val="19"/>
          <w:szCs w:val="19"/>
          <w:lang w:val="en-US" w:eastAsia="en-US"/>
        </w:rPr>
        <w:t xml:space="preserve"> </w:t>
      </w:r>
      <w:r w:rsidRPr="006E55EC">
        <w:rPr>
          <w:rFonts w:eastAsiaTheme="minorHAnsi"/>
          <w:sz w:val="19"/>
          <w:szCs w:val="19"/>
          <w:lang w:val="en-US" w:eastAsia="en-US"/>
        </w:rPr>
        <w:t>2014;12(6):111-120</w:t>
      </w:r>
      <w:r w:rsidR="006E55EC" w:rsidRPr="006E55EC">
        <w:rPr>
          <w:rFonts w:eastAsiaTheme="minorHAnsi"/>
          <w:sz w:val="19"/>
          <w:szCs w:val="19"/>
          <w:lang w:val="en-US" w:eastAsia="en-US"/>
        </w:rPr>
        <w:t>.</w:t>
      </w:r>
    </w:p>
    <w:p w:rsidR="00501203" w:rsidRPr="006E55EC" w:rsidRDefault="00501203" w:rsidP="00AB4189">
      <w:pPr>
        <w:pStyle w:val="ListParagraph"/>
        <w:numPr>
          <w:ilvl w:val="0"/>
          <w:numId w:val="7"/>
        </w:numPr>
        <w:snapToGrid w:val="0"/>
        <w:ind w:left="425" w:hanging="425"/>
        <w:jc w:val="both"/>
        <w:rPr>
          <w:color w:val="000000"/>
          <w:sz w:val="19"/>
          <w:szCs w:val="19"/>
        </w:rPr>
      </w:pPr>
      <w:r w:rsidRPr="006E55EC">
        <w:rPr>
          <w:bCs/>
          <w:color w:val="000000"/>
          <w:sz w:val="19"/>
          <w:szCs w:val="19"/>
        </w:rPr>
        <w:t>Jang</w:t>
      </w:r>
      <w:r w:rsidRPr="006E55EC">
        <w:rPr>
          <w:color w:val="000000"/>
          <w:sz w:val="19"/>
          <w:szCs w:val="19"/>
        </w:rPr>
        <w:t xml:space="preserve">, YP., Zhou, J., Nakanishi, K., Sparrow, JR. </w:t>
      </w:r>
      <w:proofErr w:type="spellStart"/>
      <w:r w:rsidRPr="006E55EC">
        <w:rPr>
          <w:color w:val="000000"/>
          <w:sz w:val="19"/>
          <w:szCs w:val="19"/>
        </w:rPr>
        <w:t>Anthocyanins</w:t>
      </w:r>
      <w:proofErr w:type="spellEnd"/>
      <w:r w:rsidRPr="006E55EC">
        <w:rPr>
          <w:color w:val="000000"/>
          <w:sz w:val="19"/>
          <w:szCs w:val="19"/>
        </w:rPr>
        <w:t xml:space="preserve"> protect against A2E </w:t>
      </w:r>
      <w:proofErr w:type="spellStart"/>
      <w:r w:rsidRPr="006E55EC">
        <w:rPr>
          <w:color w:val="000000"/>
          <w:sz w:val="19"/>
          <w:szCs w:val="19"/>
        </w:rPr>
        <w:t>photooxidation</w:t>
      </w:r>
      <w:proofErr w:type="spellEnd"/>
      <w:r w:rsidRPr="006E55EC">
        <w:rPr>
          <w:color w:val="000000"/>
          <w:sz w:val="19"/>
          <w:szCs w:val="19"/>
        </w:rPr>
        <w:t xml:space="preserve"> and </w:t>
      </w:r>
      <w:proofErr w:type="spellStart"/>
      <w:r w:rsidRPr="006E55EC">
        <w:rPr>
          <w:color w:val="000000"/>
          <w:sz w:val="19"/>
          <w:szCs w:val="19"/>
        </w:rPr>
        <w:t>membranepermeabilization</w:t>
      </w:r>
      <w:proofErr w:type="spellEnd"/>
      <w:r w:rsidRPr="006E55EC">
        <w:rPr>
          <w:color w:val="000000"/>
          <w:sz w:val="19"/>
          <w:szCs w:val="19"/>
        </w:rPr>
        <w:t xml:space="preserve"> in retinal pigment epithelial cells. </w:t>
      </w:r>
      <w:hyperlink r:id="rId17" w:history="1">
        <w:r w:rsidRPr="006E55EC">
          <w:rPr>
            <w:rStyle w:val="Hyperlink"/>
            <w:i/>
            <w:iCs/>
            <w:color w:val="000000"/>
            <w:sz w:val="19"/>
            <w:szCs w:val="19"/>
            <w:u w:val="none"/>
          </w:rPr>
          <w:t>Journal of Photochemistry and Photobiology</w:t>
        </w:r>
        <w:r w:rsidRPr="006E55EC">
          <w:rPr>
            <w:rStyle w:val="Hyperlink"/>
            <w:color w:val="000000"/>
            <w:sz w:val="19"/>
            <w:szCs w:val="19"/>
            <w:u w:val="none"/>
          </w:rPr>
          <w:t xml:space="preserve">, </w:t>
        </w:r>
      </w:hyperlink>
      <w:r w:rsidRPr="006E55EC">
        <w:rPr>
          <w:color w:val="000000"/>
          <w:sz w:val="19"/>
          <w:szCs w:val="19"/>
        </w:rPr>
        <w:t xml:space="preserve"> 2005; 81, 529–536.</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r w:rsidRPr="006E55EC">
        <w:rPr>
          <w:color w:val="000000"/>
          <w:sz w:val="19"/>
          <w:szCs w:val="19"/>
        </w:rPr>
        <w:t xml:space="preserve">Lin HH, Huang HP, Huang CC, </w:t>
      </w:r>
      <w:r w:rsidRPr="006E55EC">
        <w:rPr>
          <w:i/>
          <w:iCs/>
          <w:color w:val="000000"/>
          <w:sz w:val="19"/>
          <w:szCs w:val="19"/>
        </w:rPr>
        <w:t>et al.</w:t>
      </w:r>
      <w:r w:rsidRPr="006E55EC">
        <w:rPr>
          <w:color w:val="000000"/>
          <w:sz w:val="19"/>
          <w:szCs w:val="19"/>
        </w:rPr>
        <w:t xml:space="preserve"> Hibiscus </w:t>
      </w:r>
      <w:proofErr w:type="spellStart"/>
      <w:r w:rsidRPr="006E55EC">
        <w:rPr>
          <w:color w:val="000000"/>
          <w:sz w:val="19"/>
          <w:szCs w:val="19"/>
        </w:rPr>
        <w:t>polyphenol</w:t>
      </w:r>
      <w:proofErr w:type="spellEnd"/>
      <w:r w:rsidRPr="006E55EC">
        <w:rPr>
          <w:color w:val="000000"/>
          <w:sz w:val="19"/>
          <w:szCs w:val="19"/>
        </w:rPr>
        <w:t xml:space="preserve">-rich extract induces apoptosis inhuman gastric </w:t>
      </w:r>
      <w:proofErr w:type="spellStart"/>
      <w:r w:rsidRPr="006E55EC">
        <w:rPr>
          <w:color w:val="000000"/>
          <w:sz w:val="19"/>
          <w:szCs w:val="19"/>
        </w:rPr>
        <w:t>cercinomal</w:t>
      </w:r>
      <w:proofErr w:type="spellEnd"/>
      <w:r w:rsidRPr="006E55EC">
        <w:rPr>
          <w:color w:val="000000"/>
          <w:sz w:val="19"/>
          <w:szCs w:val="19"/>
        </w:rPr>
        <w:t xml:space="preserve"> cells via p53 </w:t>
      </w:r>
      <w:proofErr w:type="spellStart"/>
      <w:r w:rsidRPr="006E55EC">
        <w:rPr>
          <w:color w:val="000000"/>
          <w:sz w:val="19"/>
          <w:szCs w:val="19"/>
        </w:rPr>
        <w:t>phosphorylation</w:t>
      </w:r>
      <w:proofErr w:type="spellEnd"/>
      <w:r w:rsidRPr="006E55EC">
        <w:rPr>
          <w:color w:val="000000"/>
          <w:sz w:val="19"/>
          <w:szCs w:val="19"/>
        </w:rPr>
        <w:t xml:space="preserve"> and p38 MAPK/</w:t>
      </w:r>
      <w:proofErr w:type="spellStart"/>
      <w:r w:rsidRPr="006E55EC">
        <w:rPr>
          <w:color w:val="000000"/>
          <w:sz w:val="19"/>
          <w:szCs w:val="19"/>
        </w:rPr>
        <w:t>Fasl</w:t>
      </w:r>
      <w:proofErr w:type="spellEnd"/>
      <w:r w:rsidRPr="006E55EC">
        <w:rPr>
          <w:color w:val="000000"/>
          <w:sz w:val="19"/>
          <w:szCs w:val="19"/>
        </w:rPr>
        <w:t xml:space="preserve"> </w:t>
      </w:r>
      <w:proofErr w:type="spellStart"/>
      <w:r w:rsidRPr="006E55EC">
        <w:rPr>
          <w:color w:val="000000"/>
          <w:sz w:val="19"/>
          <w:szCs w:val="19"/>
        </w:rPr>
        <w:t>caslade</w:t>
      </w:r>
      <w:proofErr w:type="spellEnd"/>
      <w:r w:rsidRPr="006E55EC">
        <w:rPr>
          <w:color w:val="000000"/>
          <w:sz w:val="19"/>
          <w:szCs w:val="19"/>
        </w:rPr>
        <w:t xml:space="preserve"> </w:t>
      </w:r>
      <w:proofErr w:type="spellStart"/>
      <w:r w:rsidRPr="006E55EC">
        <w:rPr>
          <w:color w:val="000000"/>
          <w:sz w:val="19"/>
          <w:szCs w:val="19"/>
        </w:rPr>
        <w:t>pathyway</w:t>
      </w:r>
      <w:proofErr w:type="spellEnd"/>
      <w:r w:rsidRPr="006E55EC">
        <w:rPr>
          <w:color w:val="000000"/>
          <w:sz w:val="19"/>
          <w:szCs w:val="19"/>
        </w:rPr>
        <w:t>. Mol carcinogenesis 2005; 43: 86-99.</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r w:rsidRPr="006E55EC">
        <w:rPr>
          <w:color w:val="000000"/>
          <w:sz w:val="19"/>
          <w:szCs w:val="19"/>
        </w:rPr>
        <w:t xml:space="preserve">Mennen LI, </w:t>
      </w:r>
      <w:proofErr w:type="spellStart"/>
      <w:r w:rsidRPr="006E55EC">
        <w:rPr>
          <w:color w:val="000000"/>
          <w:sz w:val="19"/>
          <w:szCs w:val="19"/>
        </w:rPr>
        <w:t>Sapinho</w:t>
      </w:r>
      <w:proofErr w:type="spellEnd"/>
      <w:r w:rsidRPr="006E55EC">
        <w:rPr>
          <w:color w:val="000000"/>
          <w:sz w:val="19"/>
          <w:szCs w:val="19"/>
        </w:rPr>
        <w:t xml:space="preserve"> D, </w:t>
      </w:r>
      <w:proofErr w:type="spellStart"/>
      <w:r w:rsidRPr="006E55EC">
        <w:rPr>
          <w:color w:val="000000"/>
          <w:sz w:val="19"/>
          <w:szCs w:val="19"/>
        </w:rPr>
        <w:t>Bree</w:t>
      </w:r>
      <w:proofErr w:type="spellEnd"/>
      <w:r w:rsidRPr="006E55EC">
        <w:rPr>
          <w:color w:val="000000"/>
          <w:sz w:val="19"/>
          <w:szCs w:val="19"/>
        </w:rPr>
        <w:t xml:space="preserve"> AD, </w:t>
      </w:r>
      <w:r w:rsidRPr="006E55EC">
        <w:rPr>
          <w:i/>
          <w:iCs/>
          <w:color w:val="000000"/>
          <w:sz w:val="19"/>
          <w:szCs w:val="19"/>
        </w:rPr>
        <w:t>et al.</w:t>
      </w:r>
      <w:r w:rsidRPr="006E55EC">
        <w:rPr>
          <w:color w:val="000000"/>
          <w:sz w:val="19"/>
          <w:szCs w:val="19"/>
        </w:rPr>
        <w:t xml:space="preserve"> Consumption of Foods Rich in </w:t>
      </w:r>
      <w:proofErr w:type="spellStart"/>
      <w:r w:rsidRPr="006E55EC">
        <w:rPr>
          <w:color w:val="000000"/>
          <w:sz w:val="19"/>
          <w:szCs w:val="19"/>
        </w:rPr>
        <w:t>Flavonoids</w:t>
      </w:r>
      <w:proofErr w:type="spellEnd"/>
      <w:r w:rsidRPr="006E55EC">
        <w:rPr>
          <w:color w:val="000000"/>
          <w:sz w:val="19"/>
          <w:szCs w:val="19"/>
        </w:rPr>
        <w:t xml:space="preserve"> Is Related to a Decreased Cardiovascular Risk in Apparently Healthy French Women. J </w:t>
      </w:r>
      <w:proofErr w:type="spellStart"/>
      <w:r w:rsidRPr="006E55EC">
        <w:rPr>
          <w:color w:val="000000"/>
          <w:sz w:val="19"/>
          <w:szCs w:val="19"/>
        </w:rPr>
        <w:t>Nutr</w:t>
      </w:r>
      <w:proofErr w:type="spellEnd"/>
      <w:r w:rsidRPr="006E55EC">
        <w:rPr>
          <w:color w:val="000000"/>
          <w:sz w:val="19"/>
          <w:szCs w:val="19"/>
        </w:rPr>
        <w:t xml:space="preserve"> 2004; 134: 923–6.</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proofErr w:type="spellStart"/>
      <w:r w:rsidRPr="006E55EC">
        <w:rPr>
          <w:color w:val="000000"/>
          <w:sz w:val="19"/>
          <w:szCs w:val="19"/>
        </w:rPr>
        <w:t>Miliauskas</w:t>
      </w:r>
      <w:proofErr w:type="spellEnd"/>
      <w:r w:rsidRPr="006E55EC">
        <w:rPr>
          <w:color w:val="000000"/>
          <w:sz w:val="19"/>
          <w:szCs w:val="19"/>
        </w:rPr>
        <w:t xml:space="preserve"> G, </w:t>
      </w:r>
      <w:proofErr w:type="spellStart"/>
      <w:r w:rsidRPr="006E55EC">
        <w:rPr>
          <w:color w:val="000000"/>
          <w:sz w:val="19"/>
          <w:szCs w:val="19"/>
        </w:rPr>
        <w:t>Venskutonis</w:t>
      </w:r>
      <w:proofErr w:type="spellEnd"/>
      <w:r w:rsidRPr="006E55EC">
        <w:rPr>
          <w:color w:val="000000"/>
          <w:sz w:val="19"/>
          <w:szCs w:val="19"/>
        </w:rPr>
        <w:t xml:space="preserve"> PR, van </w:t>
      </w:r>
      <w:proofErr w:type="spellStart"/>
      <w:r w:rsidRPr="006E55EC">
        <w:rPr>
          <w:color w:val="000000"/>
          <w:sz w:val="19"/>
          <w:szCs w:val="19"/>
        </w:rPr>
        <w:t>Beek</w:t>
      </w:r>
      <w:proofErr w:type="spellEnd"/>
      <w:r w:rsidRPr="006E55EC">
        <w:rPr>
          <w:color w:val="000000"/>
          <w:sz w:val="19"/>
          <w:szCs w:val="19"/>
        </w:rPr>
        <w:t xml:space="preserve">, TA. Screening of radical scavenging activity of some medicinal and aromatic plant extracts. Food </w:t>
      </w:r>
      <w:proofErr w:type="spellStart"/>
      <w:r w:rsidRPr="006E55EC">
        <w:rPr>
          <w:color w:val="000000"/>
          <w:sz w:val="19"/>
          <w:szCs w:val="19"/>
        </w:rPr>
        <w:t>Chem</w:t>
      </w:r>
      <w:proofErr w:type="spellEnd"/>
      <w:r w:rsidRPr="006E55EC">
        <w:rPr>
          <w:color w:val="000000"/>
          <w:sz w:val="19"/>
          <w:szCs w:val="19"/>
        </w:rPr>
        <w:t xml:space="preserve"> 2004; 85: 231–7.</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r w:rsidRPr="006E55EC">
        <w:rPr>
          <w:color w:val="000000"/>
          <w:sz w:val="19"/>
          <w:szCs w:val="19"/>
        </w:rPr>
        <w:t xml:space="preserve">Re R, </w:t>
      </w:r>
      <w:proofErr w:type="spellStart"/>
      <w:r w:rsidRPr="006E55EC">
        <w:rPr>
          <w:color w:val="000000"/>
          <w:sz w:val="19"/>
          <w:szCs w:val="19"/>
        </w:rPr>
        <w:t>Pellegrini</w:t>
      </w:r>
      <w:proofErr w:type="spellEnd"/>
      <w:r w:rsidRPr="006E55EC">
        <w:rPr>
          <w:color w:val="000000"/>
          <w:sz w:val="19"/>
          <w:szCs w:val="19"/>
        </w:rPr>
        <w:t xml:space="preserve"> N, </w:t>
      </w:r>
      <w:proofErr w:type="spellStart"/>
      <w:r w:rsidRPr="006E55EC">
        <w:rPr>
          <w:color w:val="000000"/>
          <w:sz w:val="19"/>
          <w:szCs w:val="19"/>
        </w:rPr>
        <w:t>Proteggente</w:t>
      </w:r>
      <w:proofErr w:type="spellEnd"/>
      <w:r w:rsidRPr="006E55EC">
        <w:rPr>
          <w:color w:val="000000"/>
          <w:sz w:val="19"/>
          <w:szCs w:val="19"/>
        </w:rPr>
        <w:t xml:space="preserve"> A, </w:t>
      </w:r>
      <w:r w:rsidRPr="006E55EC">
        <w:rPr>
          <w:i/>
          <w:iCs/>
          <w:color w:val="000000"/>
          <w:sz w:val="19"/>
          <w:szCs w:val="19"/>
        </w:rPr>
        <w:t>et al</w:t>
      </w:r>
      <w:r w:rsidRPr="006E55EC">
        <w:rPr>
          <w:color w:val="000000"/>
          <w:sz w:val="19"/>
          <w:szCs w:val="19"/>
        </w:rPr>
        <w:t xml:space="preserve">. “Antioxidant activity applying an improved ABTS radical </w:t>
      </w:r>
      <w:proofErr w:type="spellStart"/>
      <w:r w:rsidRPr="006E55EC">
        <w:rPr>
          <w:color w:val="000000"/>
          <w:sz w:val="19"/>
          <w:szCs w:val="19"/>
        </w:rPr>
        <w:t>cation</w:t>
      </w:r>
      <w:proofErr w:type="spellEnd"/>
      <w:r w:rsidRPr="006E55EC">
        <w:rPr>
          <w:color w:val="000000"/>
          <w:sz w:val="19"/>
          <w:szCs w:val="19"/>
        </w:rPr>
        <w:t xml:space="preserve"> </w:t>
      </w:r>
      <w:proofErr w:type="spellStart"/>
      <w:r w:rsidRPr="006E55EC">
        <w:rPr>
          <w:color w:val="000000"/>
          <w:sz w:val="19"/>
          <w:szCs w:val="19"/>
        </w:rPr>
        <w:t>decolorization</w:t>
      </w:r>
      <w:proofErr w:type="spellEnd"/>
      <w:r w:rsidRPr="006E55EC">
        <w:rPr>
          <w:color w:val="000000"/>
          <w:sz w:val="19"/>
          <w:szCs w:val="19"/>
        </w:rPr>
        <w:t xml:space="preserve"> assay”. Free </w:t>
      </w:r>
      <w:proofErr w:type="spellStart"/>
      <w:r w:rsidRPr="006E55EC">
        <w:rPr>
          <w:color w:val="000000"/>
          <w:sz w:val="19"/>
          <w:szCs w:val="19"/>
        </w:rPr>
        <w:t>Rad</w:t>
      </w:r>
      <w:proofErr w:type="spellEnd"/>
      <w:r w:rsidRPr="006E55EC">
        <w:rPr>
          <w:color w:val="000000"/>
          <w:sz w:val="19"/>
          <w:szCs w:val="19"/>
        </w:rPr>
        <w:t xml:space="preserve"> </w:t>
      </w:r>
      <w:proofErr w:type="spellStart"/>
      <w:r w:rsidRPr="006E55EC">
        <w:rPr>
          <w:color w:val="000000"/>
          <w:sz w:val="19"/>
          <w:szCs w:val="19"/>
        </w:rPr>
        <w:t>Biol</w:t>
      </w:r>
      <w:proofErr w:type="spellEnd"/>
      <w:r w:rsidRPr="006E55EC">
        <w:rPr>
          <w:color w:val="000000"/>
          <w:sz w:val="19"/>
          <w:szCs w:val="19"/>
        </w:rPr>
        <w:t xml:space="preserve"> Med 1999; 26: 1231–7.</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proofErr w:type="spellStart"/>
      <w:r w:rsidRPr="006E55EC">
        <w:rPr>
          <w:color w:val="000000"/>
          <w:sz w:val="19"/>
          <w:szCs w:val="19"/>
        </w:rPr>
        <w:t>Salah</w:t>
      </w:r>
      <w:proofErr w:type="spellEnd"/>
      <w:r w:rsidRPr="006E55EC">
        <w:rPr>
          <w:color w:val="000000"/>
          <w:sz w:val="19"/>
          <w:szCs w:val="19"/>
        </w:rPr>
        <w:t xml:space="preserve"> AM, </w:t>
      </w:r>
      <w:proofErr w:type="spellStart"/>
      <w:r w:rsidRPr="006E55EC">
        <w:rPr>
          <w:color w:val="000000"/>
          <w:sz w:val="19"/>
          <w:szCs w:val="19"/>
        </w:rPr>
        <w:t>Gathumbi</w:t>
      </w:r>
      <w:proofErr w:type="spellEnd"/>
      <w:r w:rsidRPr="006E55EC">
        <w:rPr>
          <w:color w:val="000000"/>
          <w:sz w:val="19"/>
          <w:szCs w:val="19"/>
        </w:rPr>
        <w:t xml:space="preserve"> J, </w:t>
      </w:r>
      <w:proofErr w:type="spellStart"/>
      <w:r w:rsidRPr="006E55EC">
        <w:rPr>
          <w:color w:val="000000"/>
          <w:sz w:val="19"/>
          <w:szCs w:val="19"/>
        </w:rPr>
        <w:t>Vierling</w:t>
      </w:r>
      <w:proofErr w:type="spellEnd"/>
      <w:r w:rsidRPr="006E55EC">
        <w:rPr>
          <w:color w:val="000000"/>
          <w:sz w:val="19"/>
          <w:szCs w:val="19"/>
        </w:rPr>
        <w:t xml:space="preserve"> W. Inhibition of intestinal motility by </w:t>
      </w:r>
      <w:proofErr w:type="spellStart"/>
      <w:r w:rsidRPr="006E55EC">
        <w:rPr>
          <w:color w:val="000000"/>
          <w:sz w:val="19"/>
          <w:szCs w:val="19"/>
        </w:rPr>
        <w:t>methanolic</w:t>
      </w:r>
      <w:proofErr w:type="spellEnd"/>
      <w:r w:rsidRPr="006E55EC">
        <w:rPr>
          <w:color w:val="000000"/>
          <w:sz w:val="19"/>
          <w:szCs w:val="19"/>
        </w:rPr>
        <w:t xml:space="preserve"> extracts of </w:t>
      </w:r>
      <w:r w:rsidRPr="006E55EC">
        <w:rPr>
          <w:i/>
          <w:iCs/>
          <w:color w:val="000000"/>
          <w:sz w:val="19"/>
          <w:szCs w:val="19"/>
        </w:rPr>
        <w:lastRenderedPageBreak/>
        <w:t xml:space="preserve">Hibiscus </w:t>
      </w:r>
      <w:proofErr w:type="spellStart"/>
      <w:r w:rsidRPr="006E55EC">
        <w:rPr>
          <w:i/>
          <w:iCs/>
          <w:color w:val="000000"/>
          <w:sz w:val="19"/>
          <w:szCs w:val="19"/>
        </w:rPr>
        <w:t>sabdariffa</w:t>
      </w:r>
      <w:proofErr w:type="spellEnd"/>
      <w:r w:rsidRPr="006E55EC">
        <w:rPr>
          <w:color w:val="000000"/>
          <w:sz w:val="19"/>
          <w:szCs w:val="19"/>
        </w:rPr>
        <w:t xml:space="preserve"> L. (</w:t>
      </w:r>
      <w:proofErr w:type="spellStart"/>
      <w:r w:rsidRPr="006E55EC">
        <w:rPr>
          <w:color w:val="000000"/>
          <w:sz w:val="19"/>
          <w:szCs w:val="19"/>
        </w:rPr>
        <w:t>Malvaceae</w:t>
      </w:r>
      <w:proofErr w:type="spellEnd"/>
      <w:r w:rsidRPr="006E55EC">
        <w:rPr>
          <w:color w:val="000000"/>
          <w:sz w:val="19"/>
          <w:szCs w:val="19"/>
        </w:rPr>
        <w:t xml:space="preserve">) in rats. </w:t>
      </w:r>
      <w:proofErr w:type="spellStart"/>
      <w:r w:rsidRPr="006E55EC">
        <w:rPr>
          <w:color w:val="000000"/>
          <w:sz w:val="19"/>
          <w:szCs w:val="19"/>
        </w:rPr>
        <w:t>Phytother</w:t>
      </w:r>
      <w:proofErr w:type="spellEnd"/>
      <w:r w:rsidRPr="006E55EC">
        <w:rPr>
          <w:color w:val="000000"/>
          <w:sz w:val="19"/>
          <w:szCs w:val="19"/>
        </w:rPr>
        <w:t xml:space="preserve"> Res 2002; 16: 283–5.</w:t>
      </w:r>
    </w:p>
    <w:p w:rsidR="00501203" w:rsidRPr="006E55EC" w:rsidRDefault="00501203" w:rsidP="00AB4189">
      <w:pPr>
        <w:pStyle w:val="ListParagraph"/>
        <w:widowControl w:val="0"/>
        <w:numPr>
          <w:ilvl w:val="0"/>
          <w:numId w:val="7"/>
        </w:numPr>
        <w:autoSpaceDE w:val="0"/>
        <w:snapToGrid w:val="0"/>
        <w:ind w:left="425" w:hanging="425"/>
        <w:jc w:val="both"/>
        <w:rPr>
          <w:sz w:val="19"/>
          <w:szCs w:val="19"/>
        </w:rPr>
      </w:pPr>
      <w:proofErr w:type="spellStart"/>
      <w:r w:rsidRPr="006E55EC">
        <w:rPr>
          <w:color w:val="000000"/>
          <w:sz w:val="19"/>
          <w:szCs w:val="19"/>
        </w:rPr>
        <w:t>Schlesier</w:t>
      </w:r>
      <w:proofErr w:type="spellEnd"/>
      <w:r w:rsidRPr="006E55EC">
        <w:rPr>
          <w:color w:val="000000"/>
          <w:sz w:val="19"/>
          <w:szCs w:val="19"/>
        </w:rPr>
        <w:t xml:space="preserve"> K, </w:t>
      </w:r>
      <w:proofErr w:type="spellStart"/>
      <w:r w:rsidRPr="006E55EC">
        <w:rPr>
          <w:color w:val="000000"/>
          <w:sz w:val="19"/>
          <w:szCs w:val="19"/>
        </w:rPr>
        <w:t>Harwat</w:t>
      </w:r>
      <w:proofErr w:type="spellEnd"/>
      <w:r w:rsidRPr="006E55EC">
        <w:rPr>
          <w:color w:val="000000"/>
          <w:sz w:val="19"/>
          <w:szCs w:val="19"/>
        </w:rPr>
        <w:t xml:space="preserve"> M, </w:t>
      </w:r>
      <w:proofErr w:type="spellStart"/>
      <w:r w:rsidRPr="006E55EC">
        <w:rPr>
          <w:color w:val="000000"/>
          <w:sz w:val="19"/>
          <w:szCs w:val="19"/>
        </w:rPr>
        <w:t>Bohm</w:t>
      </w:r>
      <w:proofErr w:type="spellEnd"/>
      <w:r w:rsidRPr="006E55EC">
        <w:rPr>
          <w:color w:val="000000"/>
          <w:sz w:val="19"/>
          <w:szCs w:val="19"/>
        </w:rPr>
        <w:t xml:space="preserve"> V, </w:t>
      </w:r>
      <w:r w:rsidRPr="006E55EC">
        <w:rPr>
          <w:i/>
          <w:iCs/>
          <w:color w:val="000000"/>
          <w:sz w:val="19"/>
          <w:szCs w:val="19"/>
        </w:rPr>
        <w:t>et al.</w:t>
      </w:r>
      <w:r w:rsidRPr="006E55EC">
        <w:rPr>
          <w:color w:val="000000"/>
          <w:sz w:val="19"/>
          <w:szCs w:val="19"/>
        </w:rPr>
        <w:t xml:space="preserve"> Assessment of Antioxidant Activity by Using Different </w:t>
      </w:r>
      <w:r w:rsidRPr="006E55EC">
        <w:rPr>
          <w:i/>
          <w:iCs/>
          <w:color w:val="000000"/>
          <w:sz w:val="19"/>
          <w:szCs w:val="19"/>
        </w:rPr>
        <w:t>In Vitro</w:t>
      </w:r>
      <w:r w:rsidRPr="006E55EC">
        <w:rPr>
          <w:color w:val="000000"/>
          <w:sz w:val="19"/>
          <w:szCs w:val="19"/>
        </w:rPr>
        <w:t xml:space="preserve"> Methods.</w:t>
      </w:r>
      <w:r w:rsidR="006E55EC" w:rsidRPr="006E55EC">
        <w:rPr>
          <w:color w:val="000000"/>
          <w:sz w:val="19"/>
          <w:szCs w:val="19"/>
        </w:rPr>
        <w:t xml:space="preserve"> </w:t>
      </w:r>
      <w:r w:rsidRPr="006E55EC">
        <w:rPr>
          <w:color w:val="000000"/>
          <w:sz w:val="19"/>
          <w:szCs w:val="19"/>
        </w:rPr>
        <w:t xml:space="preserve">Free </w:t>
      </w:r>
      <w:proofErr w:type="spellStart"/>
      <w:r w:rsidRPr="006E55EC">
        <w:rPr>
          <w:color w:val="000000"/>
          <w:sz w:val="19"/>
          <w:szCs w:val="19"/>
        </w:rPr>
        <w:t>Rad</w:t>
      </w:r>
      <w:proofErr w:type="spellEnd"/>
      <w:r w:rsidRPr="006E55EC">
        <w:rPr>
          <w:color w:val="000000"/>
          <w:sz w:val="19"/>
          <w:szCs w:val="19"/>
        </w:rPr>
        <w:t xml:space="preserve"> Res 2002; 36 (2): 177–187.</w:t>
      </w:r>
    </w:p>
    <w:p w:rsidR="00501203" w:rsidRPr="006E55EC" w:rsidRDefault="00501203" w:rsidP="00AB4189">
      <w:pPr>
        <w:pStyle w:val="ListParagraph"/>
        <w:numPr>
          <w:ilvl w:val="0"/>
          <w:numId w:val="7"/>
        </w:numPr>
        <w:snapToGrid w:val="0"/>
        <w:ind w:left="425" w:hanging="425"/>
        <w:jc w:val="both"/>
        <w:rPr>
          <w:rFonts w:eastAsia="MS Mincho"/>
          <w:color w:val="000000"/>
          <w:sz w:val="19"/>
          <w:szCs w:val="19"/>
        </w:rPr>
      </w:pPr>
      <w:proofErr w:type="spellStart"/>
      <w:r w:rsidRPr="006E55EC">
        <w:rPr>
          <w:rFonts w:eastAsia="MS Mincho"/>
          <w:bCs/>
          <w:color w:val="000000"/>
          <w:sz w:val="19"/>
          <w:szCs w:val="19"/>
        </w:rPr>
        <w:t>Schroeter</w:t>
      </w:r>
      <w:proofErr w:type="spellEnd"/>
      <w:r w:rsidRPr="006E55EC">
        <w:rPr>
          <w:rFonts w:eastAsia="MS Mincho"/>
          <w:color w:val="000000"/>
          <w:sz w:val="19"/>
          <w:szCs w:val="19"/>
        </w:rPr>
        <w:t xml:space="preserve">, H., Boyd, C., Spencer, JPE., Williams, RJ., </w:t>
      </w:r>
      <w:proofErr w:type="spellStart"/>
      <w:r w:rsidRPr="006E55EC">
        <w:rPr>
          <w:rFonts w:eastAsia="MS Mincho"/>
          <w:color w:val="000000"/>
          <w:sz w:val="19"/>
          <w:szCs w:val="19"/>
        </w:rPr>
        <w:t>Cadenas</w:t>
      </w:r>
      <w:proofErr w:type="spellEnd"/>
      <w:r w:rsidRPr="006E55EC">
        <w:rPr>
          <w:rFonts w:eastAsia="MS Mincho"/>
          <w:color w:val="000000"/>
          <w:sz w:val="19"/>
          <w:szCs w:val="19"/>
        </w:rPr>
        <w:t xml:space="preserve">, E., Rice-Evans, C. MAPK </w:t>
      </w:r>
      <w:proofErr w:type="spellStart"/>
      <w:r w:rsidRPr="006E55EC">
        <w:rPr>
          <w:rFonts w:eastAsia="MS Mincho"/>
          <w:color w:val="000000"/>
          <w:sz w:val="19"/>
          <w:szCs w:val="19"/>
        </w:rPr>
        <w:t>signaling</w:t>
      </w:r>
      <w:proofErr w:type="spellEnd"/>
      <w:r w:rsidRPr="006E55EC">
        <w:rPr>
          <w:rFonts w:eastAsia="MS Mincho"/>
          <w:color w:val="000000"/>
          <w:sz w:val="19"/>
          <w:szCs w:val="19"/>
        </w:rPr>
        <w:t xml:space="preserve"> in </w:t>
      </w:r>
      <w:proofErr w:type="spellStart"/>
      <w:r w:rsidRPr="006E55EC">
        <w:rPr>
          <w:rFonts w:eastAsia="MS Mincho"/>
          <w:color w:val="000000"/>
          <w:sz w:val="19"/>
          <w:szCs w:val="19"/>
        </w:rPr>
        <w:t>neurodegeneration</w:t>
      </w:r>
      <w:proofErr w:type="spellEnd"/>
      <w:r w:rsidRPr="006E55EC">
        <w:rPr>
          <w:rFonts w:eastAsia="MS Mincho"/>
          <w:color w:val="000000"/>
          <w:sz w:val="19"/>
          <w:szCs w:val="19"/>
        </w:rPr>
        <w:t xml:space="preserve">: influences of </w:t>
      </w:r>
      <w:proofErr w:type="spellStart"/>
      <w:r w:rsidRPr="006E55EC">
        <w:rPr>
          <w:rFonts w:eastAsia="MS Mincho"/>
          <w:color w:val="000000"/>
          <w:sz w:val="19"/>
          <w:szCs w:val="19"/>
        </w:rPr>
        <w:t>flavonoids</w:t>
      </w:r>
      <w:proofErr w:type="spellEnd"/>
      <w:r w:rsidRPr="006E55EC">
        <w:rPr>
          <w:rFonts w:eastAsia="MS Mincho"/>
          <w:color w:val="000000"/>
          <w:sz w:val="19"/>
          <w:szCs w:val="19"/>
        </w:rPr>
        <w:t xml:space="preserve"> and of nitric oxide. </w:t>
      </w:r>
      <w:r w:rsidRPr="006E55EC">
        <w:rPr>
          <w:rFonts w:eastAsia="MS Mincho"/>
          <w:i/>
          <w:iCs/>
          <w:color w:val="000000"/>
          <w:sz w:val="19"/>
          <w:szCs w:val="19"/>
        </w:rPr>
        <w:t>Neurobiology</w:t>
      </w:r>
      <w:r w:rsidRPr="006E55EC">
        <w:rPr>
          <w:rFonts w:eastAsia="MS Mincho"/>
          <w:color w:val="000000"/>
          <w:sz w:val="19"/>
          <w:szCs w:val="19"/>
        </w:rPr>
        <w:t>, 2002; 861–880.</w:t>
      </w:r>
    </w:p>
    <w:p w:rsidR="00501203" w:rsidRPr="006E55EC" w:rsidRDefault="00501203" w:rsidP="00AB4189">
      <w:pPr>
        <w:pStyle w:val="ListParagraph"/>
        <w:numPr>
          <w:ilvl w:val="0"/>
          <w:numId w:val="7"/>
        </w:numPr>
        <w:snapToGrid w:val="0"/>
        <w:ind w:left="425" w:hanging="425"/>
        <w:jc w:val="both"/>
        <w:rPr>
          <w:color w:val="000000"/>
          <w:sz w:val="19"/>
          <w:szCs w:val="19"/>
        </w:rPr>
      </w:pPr>
      <w:r w:rsidRPr="006E55EC">
        <w:rPr>
          <w:bCs/>
          <w:color w:val="000000"/>
          <w:sz w:val="19"/>
          <w:szCs w:val="19"/>
        </w:rPr>
        <w:t>Shibata,</w:t>
      </w:r>
      <w:r w:rsidRPr="006E55EC">
        <w:rPr>
          <w:color w:val="000000"/>
          <w:sz w:val="19"/>
          <w:szCs w:val="19"/>
        </w:rPr>
        <w:t xml:space="preserve"> M., Furukawa, M. Re examination of the structure of the so-called </w:t>
      </w:r>
      <w:proofErr w:type="spellStart"/>
      <w:r w:rsidRPr="006E55EC">
        <w:rPr>
          <w:color w:val="000000"/>
          <w:sz w:val="19"/>
          <w:szCs w:val="19"/>
        </w:rPr>
        <w:t>hiviscin</w:t>
      </w:r>
      <w:proofErr w:type="spellEnd"/>
      <w:r w:rsidRPr="006E55EC">
        <w:rPr>
          <w:color w:val="000000"/>
          <w:sz w:val="19"/>
          <w:szCs w:val="19"/>
        </w:rPr>
        <w:t xml:space="preserve">. </w:t>
      </w:r>
      <w:r w:rsidRPr="006E55EC">
        <w:rPr>
          <w:i/>
          <w:iCs/>
          <w:color w:val="000000"/>
          <w:sz w:val="19"/>
          <w:szCs w:val="19"/>
        </w:rPr>
        <w:t>Botanical Magazine (Tokyo),</w:t>
      </w:r>
      <w:r w:rsidRPr="006E55EC">
        <w:rPr>
          <w:color w:val="000000"/>
          <w:sz w:val="19"/>
          <w:szCs w:val="19"/>
        </w:rPr>
        <w:t xml:space="preserve"> 1969; 82 : 341– 347.</w:t>
      </w:r>
    </w:p>
    <w:p w:rsidR="00501203" w:rsidRPr="006E55EC" w:rsidRDefault="00501203" w:rsidP="00AB4189">
      <w:pPr>
        <w:pStyle w:val="ListParagraph"/>
        <w:numPr>
          <w:ilvl w:val="0"/>
          <w:numId w:val="7"/>
        </w:numPr>
        <w:snapToGrid w:val="0"/>
        <w:ind w:left="425" w:hanging="425"/>
        <w:jc w:val="both"/>
        <w:rPr>
          <w:color w:val="000000"/>
          <w:sz w:val="19"/>
          <w:szCs w:val="19"/>
        </w:rPr>
      </w:pPr>
      <w:proofErr w:type="spellStart"/>
      <w:r w:rsidRPr="006E55EC">
        <w:rPr>
          <w:bCs/>
          <w:color w:val="000000"/>
          <w:sz w:val="19"/>
          <w:szCs w:val="19"/>
        </w:rPr>
        <w:t>Strack</w:t>
      </w:r>
      <w:proofErr w:type="spellEnd"/>
      <w:r w:rsidRPr="006E55EC">
        <w:rPr>
          <w:color w:val="000000"/>
          <w:sz w:val="19"/>
          <w:szCs w:val="19"/>
        </w:rPr>
        <w:t xml:space="preserve">, D., Wray, V. </w:t>
      </w:r>
      <w:r w:rsidRPr="006E55EC">
        <w:rPr>
          <w:i/>
          <w:iCs/>
          <w:color w:val="000000"/>
          <w:sz w:val="19"/>
          <w:szCs w:val="19"/>
        </w:rPr>
        <w:t xml:space="preserve">The </w:t>
      </w:r>
      <w:proofErr w:type="spellStart"/>
      <w:r w:rsidRPr="006E55EC">
        <w:rPr>
          <w:i/>
          <w:iCs/>
          <w:color w:val="000000"/>
          <w:sz w:val="19"/>
          <w:szCs w:val="19"/>
        </w:rPr>
        <w:t>Anthocyanins</w:t>
      </w:r>
      <w:proofErr w:type="spellEnd"/>
      <w:r w:rsidRPr="006E55EC">
        <w:rPr>
          <w:i/>
          <w:iCs/>
          <w:color w:val="000000"/>
          <w:sz w:val="19"/>
          <w:szCs w:val="19"/>
        </w:rPr>
        <w:t xml:space="preserve">. In The </w:t>
      </w:r>
      <w:proofErr w:type="spellStart"/>
      <w:r w:rsidRPr="006E55EC">
        <w:rPr>
          <w:i/>
          <w:iCs/>
          <w:color w:val="000000"/>
          <w:sz w:val="19"/>
          <w:szCs w:val="19"/>
        </w:rPr>
        <w:t>Flavonoids</w:t>
      </w:r>
      <w:proofErr w:type="spellEnd"/>
      <w:r w:rsidRPr="006E55EC">
        <w:rPr>
          <w:color w:val="000000"/>
          <w:sz w:val="19"/>
          <w:szCs w:val="19"/>
        </w:rPr>
        <w:t xml:space="preserve">: Advances in Research since 1986, </w:t>
      </w:r>
      <w:proofErr w:type="spellStart"/>
      <w:r w:rsidRPr="006E55EC">
        <w:rPr>
          <w:color w:val="000000"/>
          <w:sz w:val="19"/>
          <w:szCs w:val="19"/>
        </w:rPr>
        <w:t>Harborne</w:t>
      </w:r>
      <w:proofErr w:type="spellEnd"/>
      <w:r w:rsidRPr="006E55EC">
        <w:rPr>
          <w:color w:val="000000"/>
          <w:sz w:val="19"/>
          <w:szCs w:val="19"/>
        </w:rPr>
        <w:t>, J. B., Ed., Chapman and Hall: London.1994; chap.1</w:t>
      </w:r>
    </w:p>
    <w:p w:rsidR="00501203" w:rsidRPr="006E55EC" w:rsidRDefault="00501203" w:rsidP="00AB4189">
      <w:pPr>
        <w:pStyle w:val="ListParagraph"/>
        <w:numPr>
          <w:ilvl w:val="0"/>
          <w:numId w:val="7"/>
        </w:numPr>
        <w:snapToGrid w:val="0"/>
        <w:ind w:left="425" w:hanging="425"/>
        <w:jc w:val="both"/>
        <w:rPr>
          <w:color w:val="000000"/>
          <w:sz w:val="19"/>
          <w:szCs w:val="19"/>
        </w:rPr>
      </w:pPr>
      <w:proofErr w:type="spellStart"/>
      <w:r w:rsidRPr="006E55EC">
        <w:rPr>
          <w:bCs/>
          <w:color w:val="000000"/>
          <w:sz w:val="19"/>
          <w:szCs w:val="19"/>
        </w:rPr>
        <w:t>Stratil</w:t>
      </w:r>
      <w:proofErr w:type="spellEnd"/>
      <w:r w:rsidRPr="006E55EC">
        <w:rPr>
          <w:color w:val="000000"/>
          <w:sz w:val="19"/>
          <w:szCs w:val="19"/>
        </w:rPr>
        <w:t xml:space="preserve"> P, </w:t>
      </w:r>
      <w:proofErr w:type="spellStart"/>
      <w:r w:rsidRPr="006E55EC">
        <w:rPr>
          <w:color w:val="000000"/>
          <w:sz w:val="19"/>
          <w:szCs w:val="19"/>
        </w:rPr>
        <w:t>Klejdus</w:t>
      </w:r>
      <w:proofErr w:type="spellEnd"/>
      <w:r w:rsidRPr="006E55EC">
        <w:rPr>
          <w:color w:val="000000"/>
          <w:sz w:val="19"/>
          <w:szCs w:val="19"/>
        </w:rPr>
        <w:t xml:space="preserve"> B, </w:t>
      </w:r>
      <w:proofErr w:type="spellStart"/>
      <w:r w:rsidRPr="006E55EC">
        <w:rPr>
          <w:color w:val="000000"/>
          <w:sz w:val="19"/>
          <w:szCs w:val="19"/>
        </w:rPr>
        <w:t>Kuba</w:t>
      </w:r>
      <w:proofErr w:type="spellEnd"/>
      <w:r w:rsidRPr="006E55EC">
        <w:rPr>
          <w:color w:val="000000"/>
          <w:sz w:val="19"/>
          <w:szCs w:val="19"/>
        </w:rPr>
        <w:t xml:space="preserve">´ V. Determination of total content of </w:t>
      </w:r>
      <w:proofErr w:type="spellStart"/>
      <w:r w:rsidRPr="006E55EC">
        <w:rPr>
          <w:color w:val="000000"/>
          <w:sz w:val="19"/>
          <w:szCs w:val="19"/>
        </w:rPr>
        <w:t>phenolic</w:t>
      </w:r>
      <w:proofErr w:type="spellEnd"/>
      <w:r w:rsidRPr="006E55EC">
        <w:rPr>
          <w:color w:val="000000"/>
          <w:sz w:val="19"/>
          <w:szCs w:val="19"/>
        </w:rPr>
        <w:t xml:space="preserve"> compounds and their antioxidant activity in vegetables—evaluation of </w:t>
      </w:r>
      <w:proofErr w:type="spellStart"/>
      <w:r w:rsidRPr="006E55EC">
        <w:rPr>
          <w:color w:val="000000"/>
          <w:sz w:val="19"/>
          <w:szCs w:val="19"/>
        </w:rPr>
        <w:t>spectrophotometric</w:t>
      </w:r>
      <w:proofErr w:type="spellEnd"/>
      <w:r w:rsidRPr="006E55EC">
        <w:rPr>
          <w:color w:val="000000"/>
          <w:sz w:val="19"/>
          <w:szCs w:val="19"/>
        </w:rPr>
        <w:t xml:space="preserve"> methods. </w:t>
      </w:r>
      <w:r w:rsidRPr="006E55EC">
        <w:rPr>
          <w:i/>
          <w:iCs/>
          <w:color w:val="000000"/>
          <w:sz w:val="19"/>
          <w:szCs w:val="19"/>
        </w:rPr>
        <w:t>Journal of agricultural and food chemistry</w:t>
      </w:r>
      <w:r w:rsidRPr="006E55EC">
        <w:rPr>
          <w:color w:val="000000"/>
          <w:sz w:val="19"/>
          <w:szCs w:val="19"/>
        </w:rPr>
        <w:t>, 2006; 54:607–616.</w:t>
      </w:r>
    </w:p>
    <w:p w:rsidR="00501203" w:rsidRPr="006E55EC" w:rsidRDefault="00501203" w:rsidP="00AB4189">
      <w:pPr>
        <w:pStyle w:val="ListParagraph"/>
        <w:numPr>
          <w:ilvl w:val="0"/>
          <w:numId w:val="7"/>
        </w:numPr>
        <w:snapToGrid w:val="0"/>
        <w:ind w:left="425" w:hanging="425"/>
        <w:jc w:val="both"/>
        <w:rPr>
          <w:color w:val="000000"/>
          <w:sz w:val="19"/>
          <w:szCs w:val="19"/>
        </w:rPr>
      </w:pPr>
      <w:r w:rsidRPr="006E55EC">
        <w:rPr>
          <w:bCs/>
          <w:color w:val="000000"/>
          <w:sz w:val="19"/>
          <w:szCs w:val="19"/>
        </w:rPr>
        <w:t>Talavera</w:t>
      </w:r>
      <w:r w:rsidRPr="006E55EC">
        <w:rPr>
          <w:color w:val="000000"/>
          <w:sz w:val="19"/>
          <w:szCs w:val="19"/>
        </w:rPr>
        <w:t xml:space="preserve">, S., </w:t>
      </w:r>
      <w:proofErr w:type="spellStart"/>
      <w:r w:rsidRPr="006E55EC">
        <w:rPr>
          <w:color w:val="000000"/>
          <w:sz w:val="19"/>
          <w:szCs w:val="19"/>
        </w:rPr>
        <w:t>Felgines</w:t>
      </w:r>
      <w:proofErr w:type="spellEnd"/>
      <w:r w:rsidRPr="006E55EC">
        <w:rPr>
          <w:color w:val="000000"/>
          <w:sz w:val="19"/>
          <w:szCs w:val="19"/>
        </w:rPr>
        <w:t xml:space="preserve">, C., </w:t>
      </w:r>
      <w:proofErr w:type="spellStart"/>
      <w:r w:rsidRPr="006E55EC">
        <w:rPr>
          <w:color w:val="000000"/>
          <w:sz w:val="19"/>
          <w:szCs w:val="19"/>
        </w:rPr>
        <w:t>Texier</w:t>
      </w:r>
      <w:proofErr w:type="spellEnd"/>
      <w:r w:rsidRPr="006E55EC">
        <w:rPr>
          <w:color w:val="000000"/>
          <w:sz w:val="19"/>
          <w:szCs w:val="19"/>
        </w:rPr>
        <w:t xml:space="preserve">, O., </w:t>
      </w:r>
      <w:proofErr w:type="spellStart"/>
      <w:r w:rsidRPr="006E55EC">
        <w:rPr>
          <w:color w:val="000000"/>
          <w:sz w:val="19"/>
          <w:szCs w:val="19"/>
        </w:rPr>
        <w:t>Besson</w:t>
      </w:r>
      <w:proofErr w:type="spellEnd"/>
      <w:r w:rsidRPr="006E55EC">
        <w:rPr>
          <w:color w:val="000000"/>
          <w:sz w:val="19"/>
          <w:szCs w:val="19"/>
        </w:rPr>
        <w:t xml:space="preserve">, C., Mazur, A., </w:t>
      </w:r>
      <w:proofErr w:type="spellStart"/>
      <w:r w:rsidRPr="006E55EC">
        <w:rPr>
          <w:color w:val="000000"/>
          <w:sz w:val="19"/>
          <w:szCs w:val="19"/>
        </w:rPr>
        <w:t>Lamaison</w:t>
      </w:r>
      <w:proofErr w:type="spellEnd"/>
      <w:r w:rsidRPr="006E55EC">
        <w:rPr>
          <w:color w:val="000000"/>
          <w:sz w:val="19"/>
          <w:szCs w:val="19"/>
        </w:rPr>
        <w:t xml:space="preserve">, JL., </w:t>
      </w:r>
      <w:proofErr w:type="spellStart"/>
      <w:r w:rsidRPr="006E55EC">
        <w:rPr>
          <w:color w:val="000000"/>
          <w:sz w:val="19"/>
          <w:szCs w:val="19"/>
        </w:rPr>
        <w:t>Remesy</w:t>
      </w:r>
      <w:proofErr w:type="spellEnd"/>
      <w:r w:rsidRPr="006E55EC">
        <w:rPr>
          <w:color w:val="000000"/>
          <w:sz w:val="19"/>
          <w:szCs w:val="19"/>
        </w:rPr>
        <w:t xml:space="preserve">, C. Bioavailability of a bilberry </w:t>
      </w:r>
      <w:proofErr w:type="spellStart"/>
      <w:r w:rsidRPr="006E55EC">
        <w:rPr>
          <w:color w:val="000000"/>
          <w:sz w:val="19"/>
          <w:szCs w:val="19"/>
        </w:rPr>
        <w:t>anthocyanin</w:t>
      </w:r>
      <w:proofErr w:type="spellEnd"/>
      <w:r w:rsidRPr="006E55EC">
        <w:rPr>
          <w:color w:val="000000"/>
          <w:sz w:val="19"/>
          <w:szCs w:val="19"/>
        </w:rPr>
        <w:t xml:space="preserve"> extract and its impact on plasma antioxidant capacity in rats. </w:t>
      </w:r>
      <w:r w:rsidRPr="006E55EC">
        <w:rPr>
          <w:i/>
          <w:iCs/>
          <w:color w:val="000000"/>
          <w:sz w:val="19"/>
          <w:szCs w:val="19"/>
        </w:rPr>
        <w:t>Journal of the science of food and agriculture</w:t>
      </w:r>
      <w:r w:rsidRPr="006E55EC">
        <w:rPr>
          <w:color w:val="000000"/>
          <w:sz w:val="19"/>
          <w:szCs w:val="19"/>
        </w:rPr>
        <w:t>, 2006; 86: 90–97.</w:t>
      </w:r>
    </w:p>
    <w:p w:rsidR="00501203" w:rsidRPr="006E55EC" w:rsidRDefault="00501203" w:rsidP="00AB4189">
      <w:pPr>
        <w:pStyle w:val="ListParagraph"/>
        <w:numPr>
          <w:ilvl w:val="0"/>
          <w:numId w:val="7"/>
        </w:numPr>
        <w:snapToGrid w:val="0"/>
        <w:ind w:left="425" w:hanging="425"/>
        <w:jc w:val="both"/>
        <w:rPr>
          <w:color w:val="000000"/>
          <w:sz w:val="19"/>
          <w:szCs w:val="19"/>
        </w:rPr>
      </w:pPr>
      <w:proofErr w:type="spellStart"/>
      <w:r w:rsidRPr="006E55EC">
        <w:rPr>
          <w:bCs/>
          <w:color w:val="000000"/>
          <w:sz w:val="19"/>
          <w:szCs w:val="19"/>
        </w:rPr>
        <w:t>Terao</w:t>
      </w:r>
      <w:proofErr w:type="spellEnd"/>
      <w:r w:rsidRPr="006E55EC">
        <w:rPr>
          <w:bCs/>
          <w:color w:val="000000"/>
          <w:sz w:val="19"/>
          <w:szCs w:val="19"/>
        </w:rPr>
        <w:t>,</w:t>
      </w:r>
      <w:r w:rsidRPr="006E55EC">
        <w:rPr>
          <w:color w:val="000000"/>
          <w:sz w:val="19"/>
          <w:szCs w:val="19"/>
        </w:rPr>
        <w:t xml:space="preserve"> J. Dietary </w:t>
      </w:r>
      <w:proofErr w:type="spellStart"/>
      <w:r w:rsidRPr="006E55EC">
        <w:rPr>
          <w:color w:val="000000"/>
          <w:sz w:val="19"/>
          <w:szCs w:val="19"/>
        </w:rPr>
        <w:t>flavonoids</w:t>
      </w:r>
      <w:proofErr w:type="spellEnd"/>
      <w:r w:rsidRPr="006E55EC">
        <w:rPr>
          <w:color w:val="000000"/>
          <w:sz w:val="19"/>
          <w:szCs w:val="19"/>
        </w:rPr>
        <w:t xml:space="preserve"> as antioxidants </w:t>
      </w:r>
      <w:r w:rsidRPr="006E55EC">
        <w:rPr>
          <w:i/>
          <w:iCs/>
          <w:color w:val="000000"/>
          <w:sz w:val="19"/>
          <w:szCs w:val="19"/>
        </w:rPr>
        <w:t>in vivo</w:t>
      </w:r>
      <w:r w:rsidRPr="006E55EC">
        <w:rPr>
          <w:color w:val="000000"/>
          <w:sz w:val="19"/>
          <w:szCs w:val="19"/>
        </w:rPr>
        <w:t>: Conjugated metabolites of (2)-</w:t>
      </w:r>
      <w:proofErr w:type="spellStart"/>
      <w:r w:rsidRPr="006E55EC">
        <w:rPr>
          <w:color w:val="000000"/>
          <w:sz w:val="19"/>
          <w:szCs w:val="19"/>
        </w:rPr>
        <w:t>epicatechin</w:t>
      </w:r>
      <w:proofErr w:type="spellEnd"/>
      <w:r w:rsidRPr="006E55EC">
        <w:rPr>
          <w:color w:val="000000"/>
          <w:sz w:val="19"/>
          <w:szCs w:val="19"/>
        </w:rPr>
        <w:t xml:space="preserve"> and </w:t>
      </w:r>
      <w:proofErr w:type="spellStart"/>
      <w:r w:rsidRPr="006E55EC">
        <w:rPr>
          <w:color w:val="000000"/>
          <w:sz w:val="19"/>
          <w:szCs w:val="19"/>
        </w:rPr>
        <w:t>quercetin</w:t>
      </w:r>
      <w:proofErr w:type="spellEnd"/>
      <w:r w:rsidRPr="006E55EC">
        <w:rPr>
          <w:color w:val="000000"/>
          <w:sz w:val="19"/>
          <w:szCs w:val="19"/>
        </w:rPr>
        <w:t xml:space="preserve"> participate in </w:t>
      </w:r>
      <w:proofErr w:type="spellStart"/>
      <w:r w:rsidRPr="006E55EC">
        <w:rPr>
          <w:color w:val="000000"/>
          <w:sz w:val="19"/>
          <w:szCs w:val="19"/>
        </w:rPr>
        <w:t>antioxidative</w:t>
      </w:r>
      <w:proofErr w:type="spellEnd"/>
      <w:r w:rsidRPr="006E55EC">
        <w:rPr>
          <w:color w:val="000000"/>
          <w:sz w:val="19"/>
          <w:szCs w:val="19"/>
        </w:rPr>
        <w:t xml:space="preserve"> </w:t>
      </w:r>
      <w:proofErr w:type="spellStart"/>
      <w:r w:rsidRPr="006E55EC">
        <w:rPr>
          <w:color w:val="000000"/>
          <w:sz w:val="19"/>
          <w:szCs w:val="19"/>
        </w:rPr>
        <w:t>defense</w:t>
      </w:r>
      <w:proofErr w:type="spellEnd"/>
      <w:r w:rsidRPr="006E55EC">
        <w:rPr>
          <w:color w:val="000000"/>
          <w:sz w:val="19"/>
          <w:szCs w:val="19"/>
        </w:rPr>
        <w:t xml:space="preserve"> in blood plasma. </w:t>
      </w:r>
      <w:r w:rsidRPr="006E55EC">
        <w:rPr>
          <w:i/>
          <w:iCs/>
          <w:color w:val="000000"/>
          <w:sz w:val="19"/>
          <w:szCs w:val="19"/>
        </w:rPr>
        <w:t>The Journal of Medical Investigation</w:t>
      </w:r>
      <w:r w:rsidRPr="006E55EC">
        <w:rPr>
          <w:color w:val="000000"/>
          <w:sz w:val="19"/>
          <w:szCs w:val="19"/>
        </w:rPr>
        <w:t>, 1999; 46: 159–168.</w:t>
      </w:r>
    </w:p>
    <w:p w:rsidR="00501203" w:rsidRPr="006E55EC" w:rsidRDefault="00501203" w:rsidP="00AB4189">
      <w:pPr>
        <w:pStyle w:val="ListParagraph"/>
        <w:numPr>
          <w:ilvl w:val="0"/>
          <w:numId w:val="7"/>
        </w:numPr>
        <w:snapToGrid w:val="0"/>
        <w:ind w:left="425" w:hanging="425"/>
        <w:jc w:val="both"/>
        <w:rPr>
          <w:color w:val="000000"/>
          <w:sz w:val="19"/>
          <w:szCs w:val="19"/>
        </w:rPr>
      </w:pPr>
      <w:r w:rsidRPr="006E55EC">
        <w:rPr>
          <w:bCs/>
          <w:color w:val="000000"/>
          <w:sz w:val="19"/>
          <w:szCs w:val="19"/>
        </w:rPr>
        <w:t>Tseng</w:t>
      </w:r>
      <w:r w:rsidRPr="006E55EC">
        <w:rPr>
          <w:color w:val="000000"/>
          <w:sz w:val="19"/>
          <w:szCs w:val="19"/>
        </w:rPr>
        <w:t>, TH., Kao, ES., Chu, HY. et al.</w:t>
      </w:r>
      <w:r w:rsidR="006E55EC" w:rsidRPr="006E55EC">
        <w:rPr>
          <w:color w:val="000000"/>
          <w:sz w:val="19"/>
          <w:szCs w:val="19"/>
        </w:rPr>
        <w:t xml:space="preserve"> </w:t>
      </w:r>
      <w:r w:rsidRPr="006E55EC">
        <w:rPr>
          <w:color w:val="000000"/>
          <w:sz w:val="19"/>
          <w:szCs w:val="19"/>
        </w:rPr>
        <w:t xml:space="preserve">Protective effects of dried flower extracts of Hibiscus </w:t>
      </w:r>
      <w:proofErr w:type="spellStart"/>
      <w:r w:rsidRPr="006E55EC">
        <w:rPr>
          <w:color w:val="000000"/>
          <w:sz w:val="19"/>
          <w:szCs w:val="19"/>
        </w:rPr>
        <w:t>sabdariffa</w:t>
      </w:r>
      <w:proofErr w:type="spellEnd"/>
      <w:r w:rsidRPr="006E55EC">
        <w:rPr>
          <w:color w:val="000000"/>
          <w:sz w:val="19"/>
          <w:szCs w:val="19"/>
        </w:rPr>
        <w:t xml:space="preserve"> L. against oxidative stress in rat primary </w:t>
      </w:r>
      <w:proofErr w:type="spellStart"/>
      <w:r w:rsidRPr="006E55EC">
        <w:rPr>
          <w:color w:val="000000"/>
          <w:sz w:val="19"/>
          <w:szCs w:val="19"/>
        </w:rPr>
        <w:t>hepatocytes</w:t>
      </w:r>
      <w:proofErr w:type="spellEnd"/>
      <w:r w:rsidRPr="006E55EC">
        <w:rPr>
          <w:color w:val="000000"/>
          <w:sz w:val="19"/>
          <w:szCs w:val="19"/>
        </w:rPr>
        <w:t xml:space="preserve">. </w:t>
      </w:r>
      <w:r w:rsidRPr="006E55EC">
        <w:rPr>
          <w:i/>
          <w:iCs/>
          <w:color w:val="000000"/>
          <w:sz w:val="19"/>
          <w:szCs w:val="19"/>
        </w:rPr>
        <w:t>Food and Chemical Toxicology,</w:t>
      </w:r>
      <w:r w:rsidRPr="006E55EC">
        <w:rPr>
          <w:color w:val="000000"/>
          <w:sz w:val="19"/>
          <w:szCs w:val="19"/>
        </w:rPr>
        <w:t xml:space="preserve"> 1997; 35: 1159–1164.</w:t>
      </w:r>
    </w:p>
    <w:p w:rsidR="00501203" w:rsidRPr="006E55EC" w:rsidRDefault="00501203" w:rsidP="00AB4189">
      <w:pPr>
        <w:pStyle w:val="ListParagraph"/>
        <w:numPr>
          <w:ilvl w:val="0"/>
          <w:numId w:val="7"/>
        </w:numPr>
        <w:snapToGrid w:val="0"/>
        <w:ind w:left="425" w:hanging="425"/>
        <w:jc w:val="both"/>
        <w:rPr>
          <w:color w:val="000000"/>
          <w:sz w:val="19"/>
          <w:szCs w:val="19"/>
        </w:rPr>
      </w:pPr>
      <w:proofErr w:type="spellStart"/>
      <w:r w:rsidRPr="006E55EC">
        <w:rPr>
          <w:bCs/>
          <w:color w:val="000000"/>
          <w:sz w:val="19"/>
          <w:szCs w:val="19"/>
        </w:rPr>
        <w:t>Valko</w:t>
      </w:r>
      <w:proofErr w:type="spellEnd"/>
      <w:r w:rsidRPr="006E55EC">
        <w:rPr>
          <w:color w:val="000000"/>
          <w:sz w:val="19"/>
          <w:szCs w:val="19"/>
        </w:rPr>
        <w:t xml:space="preserve">, M., Rhodes, CJ., </w:t>
      </w:r>
      <w:proofErr w:type="spellStart"/>
      <w:r w:rsidRPr="006E55EC">
        <w:rPr>
          <w:color w:val="000000"/>
          <w:sz w:val="19"/>
          <w:szCs w:val="19"/>
        </w:rPr>
        <w:t>Moncol</w:t>
      </w:r>
      <w:proofErr w:type="spellEnd"/>
      <w:r w:rsidRPr="006E55EC">
        <w:rPr>
          <w:color w:val="000000"/>
          <w:sz w:val="19"/>
          <w:szCs w:val="19"/>
        </w:rPr>
        <w:t xml:space="preserve">, J., </w:t>
      </w:r>
      <w:proofErr w:type="spellStart"/>
      <w:r w:rsidRPr="006E55EC">
        <w:rPr>
          <w:color w:val="000000"/>
          <w:sz w:val="19"/>
          <w:szCs w:val="19"/>
        </w:rPr>
        <w:t>Izakovic</w:t>
      </w:r>
      <w:proofErr w:type="spellEnd"/>
      <w:r w:rsidRPr="006E55EC">
        <w:rPr>
          <w:color w:val="000000"/>
          <w:sz w:val="19"/>
          <w:szCs w:val="19"/>
        </w:rPr>
        <w:t xml:space="preserve">, M., Mazur, M. Free radicals, metals and antioxidants in oxidative stress-induced cancer. </w:t>
      </w:r>
      <w:hyperlink r:id="rId18" w:history="1">
        <w:proofErr w:type="spellStart"/>
        <w:r w:rsidRPr="006E55EC">
          <w:rPr>
            <w:rStyle w:val="Hyperlink"/>
            <w:i/>
            <w:iCs/>
            <w:color w:val="000000"/>
            <w:sz w:val="19"/>
            <w:szCs w:val="19"/>
            <w:u w:val="none"/>
          </w:rPr>
          <w:t>Chemico</w:t>
        </w:r>
        <w:proofErr w:type="spellEnd"/>
        <w:r w:rsidRPr="006E55EC">
          <w:rPr>
            <w:rStyle w:val="Hyperlink"/>
            <w:i/>
            <w:iCs/>
            <w:color w:val="000000"/>
            <w:sz w:val="19"/>
            <w:szCs w:val="19"/>
            <w:u w:val="none"/>
          </w:rPr>
          <w:t>-Biological Interactions</w:t>
        </w:r>
      </w:hyperlink>
      <w:r w:rsidRPr="006E55EC">
        <w:rPr>
          <w:color w:val="000000"/>
          <w:sz w:val="19"/>
          <w:szCs w:val="19"/>
        </w:rPr>
        <w:t>, 2006; 6 (10): 1–40.</w:t>
      </w:r>
    </w:p>
    <w:p w:rsidR="00501203" w:rsidRPr="006E55EC" w:rsidRDefault="00501203" w:rsidP="00AB4189">
      <w:pPr>
        <w:pStyle w:val="ListParagraph"/>
        <w:numPr>
          <w:ilvl w:val="0"/>
          <w:numId w:val="7"/>
        </w:numPr>
        <w:snapToGrid w:val="0"/>
        <w:ind w:left="425" w:hanging="425"/>
        <w:jc w:val="both"/>
        <w:rPr>
          <w:color w:val="000000"/>
          <w:sz w:val="19"/>
          <w:szCs w:val="19"/>
        </w:rPr>
      </w:pPr>
      <w:proofErr w:type="spellStart"/>
      <w:r w:rsidRPr="006E55EC">
        <w:rPr>
          <w:bCs/>
          <w:color w:val="000000"/>
          <w:sz w:val="19"/>
          <w:szCs w:val="19"/>
        </w:rPr>
        <w:t>Weisel</w:t>
      </w:r>
      <w:proofErr w:type="spellEnd"/>
      <w:r w:rsidRPr="006E55EC">
        <w:rPr>
          <w:bCs/>
          <w:color w:val="000000"/>
          <w:sz w:val="19"/>
          <w:szCs w:val="19"/>
        </w:rPr>
        <w:t>,</w:t>
      </w:r>
      <w:r w:rsidRPr="006E55EC">
        <w:rPr>
          <w:color w:val="000000"/>
          <w:sz w:val="19"/>
          <w:szCs w:val="19"/>
        </w:rPr>
        <w:t xml:space="preserve"> T., Baum, M., </w:t>
      </w:r>
      <w:proofErr w:type="spellStart"/>
      <w:r w:rsidRPr="006E55EC">
        <w:rPr>
          <w:color w:val="000000"/>
          <w:sz w:val="19"/>
          <w:szCs w:val="19"/>
        </w:rPr>
        <w:t>Eisenbrand</w:t>
      </w:r>
      <w:proofErr w:type="spellEnd"/>
      <w:r w:rsidRPr="006E55EC">
        <w:rPr>
          <w:color w:val="000000"/>
          <w:sz w:val="19"/>
          <w:szCs w:val="19"/>
        </w:rPr>
        <w:t xml:space="preserve">, G., Dietrich, H., Will, F., </w:t>
      </w:r>
      <w:proofErr w:type="spellStart"/>
      <w:r w:rsidRPr="006E55EC">
        <w:rPr>
          <w:color w:val="000000"/>
          <w:sz w:val="19"/>
          <w:szCs w:val="19"/>
        </w:rPr>
        <w:t>Stockis</w:t>
      </w:r>
      <w:proofErr w:type="spellEnd"/>
      <w:r w:rsidRPr="006E55EC">
        <w:rPr>
          <w:color w:val="000000"/>
          <w:sz w:val="19"/>
          <w:szCs w:val="19"/>
        </w:rPr>
        <w:t xml:space="preserve">, JP., </w:t>
      </w:r>
      <w:proofErr w:type="spellStart"/>
      <w:r w:rsidRPr="006E55EC">
        <w:rPr>
          <w:color w:val="000000"/>
          <w:sz w:val="19"/>
          <w:szCs w:val="19"/>
        </w:rPr>
        <w:t>Kulling</w:t>
      </w:r>
      <w:proofErr w:type="spellEnd"/>
      <w:r w:rsidRPr="006E55EC">
        <w:rPr>
          <w:color w:val="000000"/>
          <w:sz w:val="19"/>
          <w:szCs w:val="19"/>
        </w:rPr>
        <w:t xml:space="preserve">, S., </w:t>
      </w:r>
      <w:proofErr w:type="spellStart"/>
      <w:r w:rsidRPr="006E55EC">
        <w:rPr>
          <w:color w:val="000000"/>
          <w:sz w:val="19"/>
          <w:szCs w:val="19"/>
        </w:rPr>
        <w:t>Rüfer</w:t>
      </w:r>
      <w:proofErr w:type="spellEnd"/>
      <w:r w:rsidRPr="006E55EC">
        <w:rPr>
          <w:color w:val="000000"/>
          <w:sz w:val="19"/>
          <w:szCs w:val="19"/>
        </w:rPr>
        <w:t xml:space="preserve">, C., Johannes, C., </w:t>
      </w:r>
      <w:proofErr w:type="spellStart"/>
      <w:r w:rsidRPr="006E55EC">
        <w:rPr>
          <w:color w:val="000000"/>
          <w:sz w:val="19"/>
          <w:szCs w:val="19"/>
        </w:rPr>
        <w:t>Janzowski</w:t>
      </w:r>
      <w:proofErr w:type="spellEnd"/>
      <w:r w:rsidRPr="006E55EC">
        <w:rPr>
          <w:color w:val="000000"/>
          <w:sz w:val="19"/>
          <w:szCs w:val="19"/>
        </w:rPr>
        <w:t xml:space="preserve">, C. An </w:t>
      </w:r>
      <w:proofErr w:type="spellStart"/>
      <w:r w:rsidRPr="006E55EC">
        <w:rPr>
          <w:color w:val="000000"/>
          <w:sz w:val="19"/>
          <w:szCs w:val="19"/>
        </w:rPr>
        <w:t>anthocyanin/polyphenolic</w:t>
      </w:r>
      <w:proofErr w:type="spellEnd"/>
      <w:r w:rsidRPr="006E55EC">
        <w:rPr>
          <w:color w:val="000000"/>
          <w:sz w:val="19"/>
          <w:szCs w:val="19"/>
        </w:rPr>
        <w:t xml:space="preserve">-rich fruit juice reduces oxidative </w:t>
      </w:r>
      <w:smartTag w:uri="urn:schemas-microsoft-com:office:smarttags" w:element="stockticker">
        <w:r w:rsidRPr="006E55EC">
          <w:rPr>
            <w:color w:val="000000"/>
            <w:sz w:val="19"/>
            <w:szCs w:val="19"/>
          </w:rPr>
          <w:t>DNA</w:t>
        </w:r>
      </w:smartTag>
      <w:r w:rsidRPr="006E55EC">
        <w:rPr>
          <w:color w:val="000000"/>
          <w:sz w:val="19"/>
          <w:szCs w:val="19"/>
        </w:rPr>
        <w:t xml:space="preserve"> damage and increases glutathione level in healthy </w:t>
      </w:r>
      <w:proofErr w:type="spellStart"/>
      <w:r w:rsidRPr="006E55EC">
        <w:rPr>
          <w:color w:val="000000"/>
          <w:sz w:val="19"/>
          <w:szCs w:val="19"/>
        </w:rPr>
        <w:t>probands</w:t>
      </w:r>
      <w:proofErr w:type="spellEnd"/>
      <w:r w:rsidRPr="006E55EC">
        <w:rPr>
          <w:color w:val="000000"/>
          <w:sz w:val="19"/>
          <w:szCs w:val="19"/>
        </w:rPr>
        <w:t xml:space="preserve">. </w:t>
      </w:r>
      <w:r w:rsidRPr="006E55EC">
        <w:rPr>
          <w:i/>
          <w:iCs/>
          <w:color w:val="000000"/>
          <w:sz w:val="19"/>
          <w:szCs w:val="19"/>
        </w:rPr>
        <w:t>Biotechnology Journal,</w:t>
      </w:r>
      <w:r w:rsidRPr="006E55EC">
        <w:rPr>
          <w:color w:val="000000"/>
          <w:sz w:val="19"/>
          <w:szCs w:val="19"/>
        </w:rPr>
        <w:t xml:space="preserve"> 2006; 1(4) : 388-397.</w:t>
      </w:r>
    </w:p>
    <w:p w:rsidR="00AB4189" w:rsidRPr="006E55EC" w:rsidRDefault="00501203" w:rsidP="00AB4189">
      <w:pPr>
        <w:pStyle w:val="ListParagraph"/>
        <w:widowControl w:val="0"/>
        <w:numPr>
          <w:ilvl w:val="0"/>
          <w:numId w:val="7"/>
        </w:numPr>
        <w:autoSpaceDE w:val="0"/>
        <w:snapToGrid w:val="0"/>
        <w:ind w:left="425" w:hanging="425"/>
        <w:jc w:val="both"/>
        <w:rPr>
          <w:rFonts w:eastAsiaTheme="minorEastAsia"/>
          <w:sz w:val="19"/>
          <w:szCs w:val="19"/>
          <w:lang w:eastAsia="zh-CN"/>
        </w:rPr>
      </w:pPr>
      <w:r w:rsidRPr="006E55EC">
        <w:rPr>
          <w:color w:val="000000"/>
          <w:sz w:val="19"/>
          <w:szCs w:val="19"/>
        </w:rPr>
        <w:t xml:space="preserve">Wong P, </w:t>
      </w:r>
      <w:proofErr w:type="spellStart"/>
      <w:r w:rsidRPr="006E55EC">
        <w:rPr>
          <w:color w:val="000000"/>
          <w:sz w:val="19"/>
          <w:szCs w:val="19"/>
        </w:rPr>
        <w:t>Yusof</w:t>
      </w:r>
      <w:proofErr w:type="spellEnd"/>
      <w:r w:rsidRPr="006E55EC">
        <w:rPr>
          <w:color w:val="000000"/>
          <w:sz w:val="19"/>
          <w:szCs w:val="19"/>
        </w:rPr>
        <w:t xml:space="preserve"> S, Ghazal HM, </w:t>
      </w:r>
      <w:r w:rsidRPr="006E55EC">
        <w:rPr>
          <w:i/>
          <w:iCs/>
          <w:color w:val="000000"/>
          <w:sz w:val="19"/>
          <w:szCs w:val="19"/>
        </w:rPr>
        <w:t>et al.</w:t>
      </w:r>
      <w:r w:rsidRPr="006E55EC">
        <w:rPr>
          <w:color w:val="000000"/>
          <w:sz w:val="19"/>
          <w:szCs w:val="19"/>
        </w:rPr>
        <w:t xml:space="preserve"> </w:t>
      </w:r>
      <w:proofErr w:type="spellStart"/>
      <w:r w:rsidRPr="006E55EC">
        <w:rPr>
          <w:color w:val="000000"/>
          <w:sz w:val="19"/>
          <w:szCs w:val="19"/>
        </w:rPr>
        <w:t>Physico</w:t>
      </w:r>
      <w:proofErr w:type="spellEnd"/>
      <w:r w:rsidRPr="006E55EC">
        <w:rPr>
          <w:color w:val="000000"/>
          <w:sz w:val="19"/>
          <w:szCs w:val="19"/>
        </w:rPr>
        <w:t xml:space="preserve">-chemical characteristics of </w:t>
      </w:r>
      <w:proofErr w:type="spellStart"/>
      <w:r w:rsidRPr="006E55EC">
        <w:rPr>
          <w:color w:val="000000"/>
          <w:sz w:val="19"/>
          <w:szCs w:val="19"/>
        </w:rPr>
        <w:t>roselle</w:t>
      </w:r>
      <w:proofErr w:type="spellEnd"/>
      <w:r w:rsidRPr="006E55EC">
        <w:rPr>
          <w:color w:val="000000"/>
          <w:sz w:val="19"/>
          <w:szCs w:val="19"/>
        </w:rPr>
        <w:t xml:space="preserve"> (</w:t>
      </w:r>
      <w:r w:rsidRPr="006E55EC">
        <w:rPr>
          <w:i/>
          <w:iCs/>
          <w:color w:val="000000"/>
          <w:sz w:val="19"/>
          <w:szCs w:val="19"/>
        </w:rPr>
        <w:t xml:space="preserve">Hibiscus </w:t>
      </w:r>
      <w:proofErr w:type="spellStart"/>
      <w:r w:rsidRPr="006E55EC">
        <w:rPr>
          <w:i/>
          <w:iCs/>
          <w:color w:val="000000"/>
          <w:sz w:val="19"/>
          <w:szCs w:val="19"/>
        </w:rPr>
        <w:t>sabdariffa</w:t>
      </w:r>
      <w:proofErr w:type="spellEnd"/>
      <w:r w:rsidRPr="006E55EC">
        <w:rPr>
          <w:color w:val="000000"/>
          <w:sz w:val="19"/>
          <w:szCs w:val="19"/>
        </w:rPr>
        <w:t xml:space="preserve"> L.) </w:t>
      </w:r>
      <w:proofErr w:type="spellStart"/>
      <w:r w:rsidRPr="006E55EC">
        <w:rPr>
          <w:color w:val="000000"/>
          <w:sz w:val="19"/>
          <w:szCs w:val="19"/>
        </w:rPr>
        <w:t>Nutr</w:t>
      </w:r>
      <w:proofErr w:type="spellEnd"/>
      <w:r w:rsidRPr="006E55EC">
        <w:rPr>
          <w:color w:val="000000"/>
          <w:sz w:val="19"/>
          <w:szCs w:val="19"/>
        </w:rPr>
        <w:t xml:space="preserve"> Food </w:t>
      </w:r>
      <w:proofErr w:type="spellStart"/>
      <w:r w:rsidRPr="006E55EC">
        <w:rPr>
          <w:color w:val="000000"/>
          <w:sz w:val="19"/>
          <w:szCs w:val="19"/>
        </w:rPr>
        <w:t>Sci</w:t>
      </w:r>
      <w:proofErr w:type="spellEnd"/>
      <w:r w:rsidRPr="006E55EC">
        <w:rPr>
          <w:color w:val="000000"/>
          <w:sz w:val="19"/>
          <w:szCs w:val="19"/>
        </w:rPr>
        <w:t xml:space="preserve"> 2002; 32 (2): 68-73</w:t>
      </w:r>
      <w:r w:rsidR="006E55EC" w:rsidRPr="006E55EC">
        <w:rPr>
          <w:color w:val="000000"/>
          <w:sz w:val="19"/>
          <w:szCs w:val="19"/>
        </w:rPr>
        <w:t>.</w:t>
      </w:r>
    </w:p>
    <w:p w:rsidR="00AB4189" w:rsidRPr="006E55EC" w:rsidRDefault="00AB4189" w:rsidP="00AB4189">
      <w:pPr>
        <w:autoSpaceDE w:val="0"/>
        <w:snapToGrid w:val="0"/>
        <w:ind w:left="425" w:hanging="425"/>
        <w:jc w:val="both"/>
        <w:rPr>
          <w:rFonts w:eastAsiaTheme="minorEastAsia"/>
          <w:sz w:val="20"/>
          <w:szCs w:val="20"/>
          <w:lang w:eastAsia="zh-CN"/>
        </w:rPr>
        <w:sectPr w:rsidR="00AB4189" w:rsidRPr="006E55EC" w:rsidSect="006E55EC">
          <w:footnotePr>
            <w:pos w:val="beneathText"/>
          </w:footnotePr>
          <w:type w:val="continuous"/>
          <w:pgSz w:w="12240" w:h="15840" w:code="1"/>
          <w:pgMar w:top="1440" w:right="1440" w:bottom="1440" w:left="1440" w:header="720" w:footer="720" w:gutter="0"/>
          <w:cols w:num="2" w:space="600"/>
          <w:docGrid w:linePitch="326"/>
        </w:sectPr>
      </w:pPr>
    </w:p>
    <w:p w:rsidR="00AB4189" w:rsidRPr="006E55EC" w:rsidRDefault="00AB4189" w:rsidP="00AB4189">
      <w:pPr>
        <w:autoSpaceDE w:val="0"/>
        <w:snapToGrid w:val="0"/>
        <w:ind w:left="425" w:hanging="425"/>
        <w:jc w:val="both"/>
        <w:rPr>
          <w:rFonts w:eastAsiaTheme="minorEastAsia"/>
          <w:sz w:val="20"/>
          <w:szCs w:val="20"/>
          <w:lang w:eastAsia="zh-CN"/>
        </w:rPr>
      </w:pPr>
    </w:p>
    <w:p w:rsidR="00F636B3" w:rsidRPr="006E55EC" w:rsidRDefault="00F636B3" w:rsidP="00AB4189">
      <w:pPr>
        <w:autoSpaceDE w:val="0"/>
        <w:snapToGrid w:val="0"/>
        <w:ind w:left="425" w:hanging="425"/>
        <w:jc w:val="both"/>
        <w:rPr>
          <w:rFonts w:eastAsiaTheme="minorEastAsia"/>
          <w:sz w:val="20"/>
          <w:szCs w:val="20"/>
          <w:lang w:eastAsia="zh-CN"/>
        </w:rPr>
      </w:pPr>
    </w:p>
    <w:p w:rsidR="00D15E42" w:rsidRPr="006E55EC" w:rsidRDefault="0073714B" w:rsidP="00AB4189">
      <w:pPr>
        <w:autoSpaceDE w:val="0"/>
        <w:snapToGrid w:val="0"/>
        <w:ind w:left="425" w:hanging="425"/>
        <w:jc w:val="both"/>
        <w:rPr>
          <w:sz w:val="20"/>
          <w:szCs w:val="20"/>
        </w:rPr>
      </w:pPr>
      <w:r w:rsidRPr="006E55EC">
        <w:rPr>
          <w:sz w:val="20"/>
          <w:szCs w:val="20"/>
        </w:rPr>
        <w:t>2/20/2015</w:t>
      </w:r>
    </w:p>
    <w:sectPr w:rsidR="00D15E42" w:rsidRPr="006E55EC" w:rsidSect="003F03A9">
      <w:footnotePr>
        <w:pos w:val="beneathText"/>
      </w:footnotePr>
      <w:type w:val="continuous"/>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315" w:rsidRDefault="001F5315" w:rsidP="00347F48">
      <w:r>
        <w:separator/>
      </w:r>
    </w:p>
  </w:endnote>
  <w:endnote w:type="continuationSeparator" w:id="0">
    <w:p w:rsidR="001F5315" w:rsidRDefault="001F5315" w:rsidP="00347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EMDJNB+AdvTTf90d833a.I">
    <w:altName w:val="MS PMincho"/>
    <w:charset w:val="80"/>
    <w:family w:val="roman"/>
    <w:pitch w:val="default"/>
    <w:sig w:usb0="00000000" w:usb1="00000000" w:usb2="00000000" w:usb3="00000000" w:csb0="00000000" w:csb1="00000000"/>
  </w:font>
  <w:font w:name="MTSY">
    <w:altName w:val="Arial Unicode MS"/>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D71" w:rsidRPr="0073714B" w:rsidRDefault="00E00167" w:rsidP="0073714B">
    <w:pPr>
      <w:jc w:val="center"/>
      <w:rPr>
        <w:sz w:val="20"/>
      </w:rPr>
    </w:pPr>
    <w:r w:rsidRPr="0073714B">
      <w:rPr>
        <w:sz w:val="20"/>
      </w:rPr>
      <w:fldChar w:fldCharType="begin"/>
    </w:r>
    <w:r w:rsidR="0073714B" w:rsidRPr="0073714B">
      <w:rPr>
        <w:sz w:val="20"/>
      </w:rPr>
      <w:instrText xml:space="preserve"> page </w:instrText>
    </w:r>
    <w:r w:rsidRPr="0073714B">
      <w:rPr>
        <w:sz w:val="20"/>
      </w:rPr>
      <w:fldChar w:fldCharType="separate"/>
    </w:r>
    <w:r w:rsidR="006E55EC">
      <w:rPr>
        <w:noProof/>
        <w:sz w:val="20"/>
      </w:rPr>
      <w:t>29</w:t>
    </w:r>
    <w:r w:rsidRPr="0073714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315" w:rsidRDefault="001F5315" w:rsidP="00347F48">
      <w:r>
        <w:separator/>
      </w:r>
    </w:p>
  </w:footnote>
  <w:footnote w:type="continuationSeparator" w:id="0">
    <w:p w:rsidR="001F5315" w:rsidRDefault="001F5315" w:rsidP="00347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14B" w:rsidRPr="0073714B" w:rsidRDefault="0073714B" w:rsidP="0073714B">
    <w:pPr>
      <w:pBdr>
        <w:bottom w:val="thinThickMediumGap" w:sz="12" w:space="1" w:color="auto"/>
      </w:pBdr>
      <w:tabs>
        <w:tab w:val="left" w:pos="851"/>
        <w:tab w:val="right" w:pos="8364"/>
      </w:tabs>
      <w:adjustRightInd w:val="0"/>
      <w:snapToGrid w:val="0"/>
      <w:jc w:val="both"/>
      <w:rPr>
        <w:sz w:val="20"/>
        <w:szCs w:val="20"/>
      </w:rPr>
    </w:pPr>
    <w:r w:rsidRPr="0073714B">
      <w:rPr>
        <w:rFonts w:hint="eastAsia"/>
        <w:iCs/>
        <w:color w:val="000000"/>
        <w:sz w:val="20"/>
        <w:szCs w:val="20"/>
      </w:rPr>
      <w:tab/>
    </w:r>
    <w:r w:rsidRPr="0073714B">
      <w:rPr>
        <w:sz w:val="20"/>
        <w:szCs w:val="20"/>
      </w:rPr>
      <w:t>Nature and Science 201</w:t>
    </w:r>
    <w:r w:rsidRPr="0073714B">
      <w:rPr>
        <w:rFonts w:hint="eastAsia"/>
        <w:sz w:val="20"/>
        <w:szCs w:val="20"/>
      </w:rPr>
      <w:t>5</w:t>
    </w:r>
    <w:r w:rsidRPr="0073714B">
      <w:rPr>
        <w:sz w:val="20"/>
        <w:szCs w:val="20"/>
      </w:rPr>
      <w:t>;1</w:t>
    </w:r>
    <w:r w:rsidRPr="0073714B">
      <w:rPr>
        <w:rFonts w:hint="eastAsia"/>
        <w:sz w:val="20"/>
        <w:szCs w:val="20"/>
      </w:rPr>
      <w:t>3</w:t>
    </w:r>
    <w:r w:rsidRPr="0073714B">
      <w:rPr>
        <w:sz w:val="20"/>
        <w:szCs w:val="20"/>
      </w:rPr>
      <w:t>(</w:t>
    </w:r>
    <w:r w:rsidRPr="0073714B">
      <w:rPr>
        <w:rFonts w:hint="eastAsia"/>
        <w:sz w:val="20"/>
        <w:szCs w:val="20"/>
      </w:rPr>
      <w:t>3)</w:t>
    </w:r>
    <w:r w:rsidRPr="0073714B">
      <w:rPr>
        <w:color w:val="000000"/>
        <w:sz w:val="20"/>
        <w:szCs w:val="20"/>
      </w:rPr>
      <w:t xml:space="preserve"> </w:t>
    </w:r>
    <w:r w:rsidRPr="0073714B">
      <w:rPr>
        <w:rFonts w:hint="eastAsia"/>
        <w:color w:val="000000"/>
        <w:sz w:val="20"/>
        <w:szCs w:val="20"/>
      </w:rPr>
      <w:tab/>
    </w:r>
    <w:r w:rsidRPr="0073714B">
      <w:rPr>
        <w:color w:val="000000"/>
        <w:sz w:val="20"/>
        <w:szCs w:val="20"/>
      </w:rPr>
      <w:t xml:space="preserve"> </w:t>
    </w:r>
    <w:hyperlink r:id="rId1" w:history="1">
      <w:r w:rsidRPr="0073714B">
        <w:rPr>
          <w:rStyle w:val="Hyperlink"/>
          <w:color w:val="0000FF"/>
          <w:sz w:val="20"/>
          <w:szCs w:val="20"/>
        </w:rPr>
        <w:t>http://www.sciencepub.net/nature</w:t>
      </w:r>
    </w:hyperlink>
  </w:p>
  <w:p w:rsidR="0073714B" w:rsidRPr="0073714B" w:rsidRDefault="0073714B" w:rsidP="0073714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4344"/>
    <w:multiLevelType w:val="hybridMultilevel"/>
    <w:tmpl w:val="8D6276FC"/>
    <w:lvl w:ilvl="0" w:tplc="71B0FDC2">
      <w:start w:val="1"/>
      <w:numFmt w:val="decimal"/>
      <w:lvlText w:val="[%1]"/>
      <w:lvlJc w:val="left"/>
      <w:pPr>
        <w:tabs>
          <w:tab w:val="num" w:pos="504"/>
        </w:tabs>
        <w:ind w:left="504" w:hanging="504"/>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826F0D"/>
    <w:multiLevelType w:val="hybridMultilevel"/>
    <w:tmpl w:val="F1FA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36B96"/>
    <w:multiLevelType w:val="hybridMultilevel"/>
    <w:tmpl w:val="406E3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4527E"/>
    <w:multiLevelType w:val="hybridMultilevel"/>
    <w:tmpl w:val="D0A0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831A0"/>
    <w:multiLevelType w:val="hybridMultilevel"/>
    <w:tmpl w:val="16949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D745B"/>
    <w:multiLevelType w:val="hybridMultilevel"/>
    <w:tmpl w:val="3B62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01422"/>
    <w:multiLevelType w:val="hybridMultilevel"/>
    <w:tmpl w:val="69D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C6488"/>
    <w:multiLevelType w:val="hybridMultilevel"/>
    <w:tmpl w:val="CFC674F8"/>
    <w:lvl w:ilvl="0" w:tplc="3D94B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DC7526"/>
    <w:multiLevelType w:val="hybridMultilevel"/>
    <w:tmpl w:val="08FAE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F431DB"/>
    <w:multiLevelType w:val="hybridMultilevel"/>
    <w:tmpl w:val="406E3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4134F"/>
    <w:multiLevelType w:val="hybridMultilevel"/>
    <w:tmpl w:val="E49C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563993"/>
    <w:multiLevelType w:val="hybridMultilevel"/>
    <w:tmpl w:val="FB045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91508"/>
    <w:multiLevelType w:val="hybridMultilevel"/>
    <w:tmpl w:val="DDE67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FD47C1"/>
    <w:multiLevelType w:val="hybridMultilevel"/>
    <w:tmpl w:val="FE98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7"/>
  </w:num>
  <w:num w:numId="6">
    <w:abstractNumId w:val="3"/>
  </w:num>
  <w:num w:numId="7">
    <w:abstractNumId w:val="2"/>
  </w:num>
  <w:num w:numId="8">
    <w:abstractNumId w:val="11"/>
  </w:num>
  <w:num w:numId="9">
    <w:abstractNumId w:val="13"/>
  </w:num>
  <w:num w:numId="10">
    <w:abstractNumId w:val="8"/>
  </w:num>
  <w:num w:numId="11">
    <w:abstractNumId w:val="12"/>
  </w:num>
  <w:num w:numId="12">
    <w:abstractNumId w:val="10"/>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5362"/>
  </w:hdrShapeDefaults>
  <w:footnotePr>
    <w:pos w:val="beneathText"/>
    <w:footnote w:id="-1"/>
    <w:footnote w:id="0"/>
  </w:footnotePr>
  <w:endnotePr>
    <w:endnote w:id="-1"/>
    <w:endnote w:id="0"/>
  </w:endnotePr>
  <w:compat>
    <w:useFELayout/>
  </w:compat>
  <w:rsids>
    <w:rsidRoot w:val="00D15E42"/>
    <w:rsid w:val="00081C98"/>
    <w:rsid w:val="000A18F5"/>
    <w:rsid w:val="000C7F12"/>
    <w:rsid w:val="000E70A6"/>
    <w:rsid w:val="00126D11"/>
    <w:rsid w:val="0013477B"/>
    <w:rsid w:val="00142B54"/>
    <w:rsid w:val="00147B91"/>
    <w:rsid w:val="0017083C"/>
    <w:rsid w:val="001773EA"/>
    <w:rsid w:val="001A1E03"/>
    <w:rsid w:val="001A1F44"/>
    <w:rsid w:val="001D0304"/>
    <w:rsid w:val="001E2E25"/>
    <w:rsid w:val="001F5315"/>
    <w:rsid w:val="00237BB1"/>
    <w:rsid w:val="002B787E"/>
    <w:rsid w:val="003273E3"/>
    <w:rsid w:val="00347F48"/>
    <w:rsid w:val="00352A94"/>
    <w:rsid w:val="003F03A9"/>
    <w:rsid w:val="0040099C"/>
    <w:rsid w:val="004C42C8"/>
    <w:rsid w:val="00501203"/>
    <w:rsid w:val="005148AC"/>
    <w:rsid w:val="00533BA9"/>
    <w:rsid w:val="00554926"/>
    <w:rsid w:val="00560959"/>
    <w:rsid w:val="00572E25"/>
    <w:rsid w:val="005A2640"/>
    <w:rsid w:val="006425B2"/>
    <w:rsid w:val="006C5E04"/>
    <w:rsid w:val="006E55EC"/>
    <w:rsid w:val="006E7C63"/>
    <w:rsid w:val="0073714B"/>
    <w:rsid w:val="0076364B"/>
    <w:rsid w:val="00795C8D"/>
    <w:rsid w:val="007A3F92"/>
    <w:rsid w:val="007B077E"/>
    <w:rsid w:val="007F624B"/>
    <w:rsid w:val="0083511E"/>
    <w:rsid w:val="00857932"/>
    <w:rsid w:val="00883764"/>
    <w:rsid w:val="008A7CD3"/>
    <w:rsid w:val="00903728"/>
    <w:rsid w:val="00945A73"/>
    <w:rsid w:val="009868AA"/>
    <w:rsid w:val="009A0723"/>
    <w:rsid w:val="009E409D"/>
    <w:rsid w:val="00A37358"/>
    <w:rsid w:val="00A44C40"/>
    <w:rsid w:val="00A54F63"/>
    <w:rsid w:val="00A61BFA"/>
    <w:rsid w:val="00A70BDA"/>
    <w:rsid w:val="00A76137"/>
    <w:rsid w:val="00A83569"/>
    <w:rsid w:val="00AA5864"/>
    <w:rsid w:val="00AB4189"/>
    <w:rsid w:val="00AF7DF3"/>
    <w:rsid w:val="00B241B6"/>
    <w:rsid w:val="00B37631"/>
    <w:rsid w:val="00B422FD"/>
    <w:rsid w:val="00B441DD"/>
    <w:rsid w:val="00B44F1E"/>
    <w:rsid w:val="00B46AA8"/>
    <w:rsid w:val="00B47AB6"/>
    <w:rsid w:val="00B5182A"/>
    <w:rsid w:val="00B51D23"/>
    <w:rsid w:val="00B62FAA"/>
    <w:rsid w:val="00B74E67"/>
    <w:rsid w:val="00BB3AB3"/>
    <w:rsid w:val="00BB7014"/>
    <w:rsid w:val="00BF5122"/>
    <w:rsid w:val="00C152BD"/>
    <w:rsid w:val="00C405F5"/>
    <w:rsid w:val="00CC00F3"/>
    <w:rsid w:val="00CD591F"/>
    <w:rsid w:val="00D15E42"/>
    <w:rsid w:val="00D30FC9"/>
    <w:rsid w:val="00D35101"/>
    <w:rsid w:val="00D67499"/>
    <w:rsid w:val="00D70153"/>
    <w:rsid w:val="00D8613A"/>
    <w:rsid w:val="00D86681"/>
    <w:rsid w:val="00DA5F1B"/>
    <w:rsid w:val="00DB622B"/>
    <w:rsid w:val="00DC5F1F"/>
    <w:rsid w:val="00DF2E73"/>
    <w:rsid w:val="00E00167"/>
    <w:rsid w:val="00E142CA"/>
    <w:rsid w:val="00E154A1"/>
    <w:rsid w:val="00E45AC8"/>
    <w:rsid w:val="00E577E1"/>
    <w:rsid w:val="00E75CAE"/>
    <w:rsid w:val="00EC78AC"/>
    <w:rsid w:val="00EE6B6C"/>
    <w:rsid w:val="00F51587"/>
    <w:rsid w:val="00F636B3"/>
    <w:rsid w:val="00F6635A"/>
    <w:rsid w:val="00F81932"/>
    <w:rsid w:val="00FA09E2"/>
    <w:rsid w:val="00FD5701"/>
    <w:rsid w:val="00FF3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E42"/>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D15E42"/>
  </w:style>
  <w:style w:type="paragraph" w:styleId="NormalWeb">
    <w:name w:val="Normal (Web)"/>
    <w:basedOn w:val="Normal"/>
    <w:rsid w:val="00D15E42"/>
    <w:pPr>
      <w:spacing w:before="280" w:after="119"/>
    </w:pPr>
    <w:rPr>
      <w:lang w:val="en-US"/>
    </w:rPr>
  </w:style>
  <w:style w:type="paragraph" w:styleId="Footer">
    <w:name w:val="footer"/>
    <w:basedOn w:val="Normal"/>
    <w:link w:val="FooterChar"/>
    <w:rsid w:val="00D15E42"/>
    <w:pPr>
      <w:tabs>
        <w:tab w:val="center" w:pos="4320"/>
        <w:tab w:val="right" w:pos="8640"/>
      </w:tabs>
    </w:pPr>
  </w:style>
  <w:style w:type="character" w:customStyle="1" w:styleId="FooterChar">
    <w:name w:val="Footer Char"/>
    <w:basedOn w:val="DefaultParagraphFont"/>
    <w:link w:val="Footer"/>
    <w:rsid w:val="00D15E42"/>
    <w:rPr>
      <w:rFonts w:ascii="Times New Roman" w:eastAsia="Times New Roman" w:hAnsi="Times New Roman" w:cs="Times New Roman"/>
      <w:sz w:val="24"/>
      <w:szCs w:val="24"/>
      <w:lang w:val="en-GB" w:eastAsia="ar-SA"/>
    </w:rPr>
  </w:style>
  <w:style w:type="paragraph" w:styleId="Header">
    <w:name w:val="header"/>
    <w:basedOn w:val="Normal"/>
    <w:link w:val="HeaderChar"/>
    <w:rsid w:val="00D15E42"/>
    <w:pPr>
      <w:tabs>
        <w:tab w:val="center" w:pos="4513"/>
        <w:tab w:val="right" w:pos="9026"/>
      </w:tabs>
    </w:pPr>
    <w:rPr>
      <w:rFonts w:eastAsia="SimSun"/>
    </w:rPr>
  </w:style>
  <w:style w:type="character" w:customStyle="1" w:styleId="HeaderChar">
    <w:name w:val="Header Char"/>
    <w:basedOn w:val="DefaultParagraphFont"/>
    <w:link w:val="Header"/>
    <w:rsid w:val="00D15E42"/>
    <w:rPr>
      <w:rFonts w:ascii="Times New Roman" w:eastAsia="SimSun" w:hAnsi="Times New Roman" w:cs="Times New Roman"/>
      <w:sz w:val="24"/>
      <w:szCs w:val="24"/>
      <w:lang w:val="en-GB" w:eastAsia="ar-SA"/>
    </w:rPr>
  </w:style>
  <w:style w:type="paragraph" w:styleId="BalloonText">
    <w:name w:val="Balloon Text"/>
    <w:basedOn w:val="Normal"/>
    <w:link w:val="BalloonTextChar"/>
    <w:uiPriority w:val="99"/>
    <w:semiHidden/>
    <w:unhideWhenUsed/>
    <w:rsid w:val="00D15E42"/>
    <w:rPr>
      <w:rFonts w:ascii="Tahoma" w:hAnsi="Tahoma" w:cs="Tahoma"/>
      <w:sz w:val="16"/>
      <w:szCs w:val="16"/>
    </w:rPr>
  </w:style>
  <w:style w:type="character" w:customStyle="1" w:styleId="BalloonTextChar">
    <w:name w:val="Balloon Text Char"/>
    <w:basedOn w:val="DefaultParagraphFont"/>
    <w:link w:val="BalloonText"/>
    <w:uiPriority w:val="99"/>
    <w:semiHidden/>
    <w:rsid w:val="00D15E42"/>
    <w:rPr>
      <w:rFonts w:ascii="Tahoma" w:eastAsia="Times New Roman" w:hAnsi="Tahoma" w:cs="Tahoma"/>
      <w:sz w:val="16"/>
      <w:szCs w:val="16"/>
      <w:lang w:val="en-GB" w:eastAsia="ar-SA"/>
    </w:rPr>
  </w:style>
  <w:style w:type="table" w:styleId="TableGrid">
    <w:name w:val="Table Grid"/>
    <w:basedOn w:val="TableNormal"/>
    <w:rsid w:val="008837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1F44"/>
    <w:pPr>
      <w:ind w:left="720"/>
      <w:contextualSpacing/>
    </w:pPr>
  </w:style>
  <w:style w:type="character" w:styleId="Hyperlink">
    <w:name w:val="Hyperlink"/>
    <w:basedOn w:val="DefaultParagraphFont"/>
    <w:uiPriority w:val="99"/>
    <w:unhideWhenUsed/>
    <w:rsid w:val="00572E25"/>
    <w:rPr>
      <w:color w:val="0000FF" w:themeColor="hyperlink"/>
      <w:u w:val="single"/>
    </w:rPr>
  </w:style>
  <w:style w:type="paragraph" w:styleId="NoSpacing">
    <w:name w:val="No Spacing"/>
    <w:uiPriority w:val="1"/>
    <w:qFormat/>
    <w:rsid w:val="00C152BD"/>
    <w:pPr>
      <w:suppressAutoHyphens/>
      <w:spacing w:after="0" w:line="240" w:lineRule="auto"/>
    </w:pPr>
    <w:rPr>
      <w:rFonts w:ascii="Times New Roman" w:eastAsia="Times New Roman" w:hAnsi="Times New Roman" w:cs="Times New Roman"/>
      <w:sz w:val="24"/>
      <w:szCs w:val="24"/>
      <w:lang w:val="en-GB"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jpeg"/><Relationship Id="rId18" Type="http://schemas.openxmlformats.org/officeDocument/2006/relationships/hyperlink" Target="http://www.elsevier.com/locate/issn/00092797" TargetMode="External"/><Relationship Id="rId3" Type="http://schemas.openxmlformats.org/officeDocument/2006/relationships/settings" Target="settings.xml"/><Relationship Id="rId7" Type="http://schemas.openxmlformats.org/officeDocument/2006/relationships/hyperlink" Target="mailto:aoowoade@lautech.edu.ng" TargetMode="External"/><Relationship Id="rId12" Type="http://schemas.openxmlformats.org/officeDocument/2006/relationships/image" Target="media/image2.png"/><Relationship Id="rId17" Type="http://schemas.openxmlformats.org/officeDocument/2006/relationships/hyperlink" Target="http://www.elsevier.com/locate/jphotobiol" TargetMode="External"/><Relationship Id="rId2" Type="http://schemas.openxmlformats.org/officeDocument/2006/relationships/styles" Target="styles.xml"/><Relationship Id="rId16" Type="http://schemas.openxmlformats.org/officeDocument/2006/relationships/hyperlink" Target="mailto:aoowoade@lautech.edu.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4628</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Administrator</cp:lastModifiedBy>
  <cp:revision>4</cp:revision>
  <cp:lastPrinted>2015-02-23T02:48:00Z</cp:lastPrinted>
  <dcterms:created xsi:type="dcterms:W3CDTF">2015-02-22T08:19:00Z</dcterms:created>
  <dcterms:modified xsi:type="dcterms:W3CDTF">2015-02-23T03:17:00Z</dcterms:modified>
</cp:coreProperties>
</file>