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09E" w:rsidRPr="00D96F9F" w:rsidRDefault="0005702A" w:rsidP="00EB7ED6">
      <w:pPr>
        <w:autoSpaceDE w:val="0"/>
        <w:autoSpaceDN w:val="0"/>
        <w:adjustRightInd w:val="0"/>
        <w:snapToGrid w:val="0"/>
        <w:jc w:val="center"/>
        <w:rPr>
          <w:b/>
          <w:bCs/>
          <w:sz w:val="20"/>
          <w:szCs w:val="20"/>
          <w:lang w:val="en-IN" w:eastAsia="en-IN"/>
        </w:rPr>
      </w:pPr>
      <w:bookmarkStart w:id="0" w:name="OLE_LINK1"/>
      <w:bookmarkStart w:id="1" w:name="OLE_LINK2"/>
      <w:bookmarkStart w:id="2" w:name="OLE_LINK3"/>
      <w:r w:rsidRPr="00D96F9F">
        <w:rPr>
          <w:b/>
          <w:bCs/>
          <w:sz w:val="20"/>
          <w:szCs w:val="20"/>
          <w:lang w:val="en-IN" w:eastAsia="en-IN"/>
        </w:rPr>
        <w:t>Ionized Serum Calcium and Serum Total Magnesium, Predicts Outcome in Neonatal Hypoxic-Ischemic Encephalopathy</w:t>
      </w:r>
      <w:bookmarkEnd w:id="0"/>
      <w:bookmarkEnd w:id="1"/>
      <w:bookmarkEnd w:id="2"/>
    </w:p>
    <w:p w:rsidR="003A61C4" w:rsidRPr="00D96F9F" w:rsidRDefault="003A61C4" w:rsidP="00EB7ED6">
      <w:pPr>
        <w:autoSpaceDE w:val="0"/>
        <w:autoSpaceDN w:val="0"/>
        <w:adjustRightInd w:val="0"/>
        <w:snapToGrid w:val="0"/>
        <w:jc w:val="center"/>
        <w:rPr>
          <w:b/>
          <w:bCs/>
          <w:sz w:val="20"/>
          <w:szCs w:val="20"/>
          <w:lang w:eastAsia="en-IN"/>
        </w:rPr>
      </w:pPr>
    </w:p>
    <w:p w:rsidR="0005702A" w:rsidRPr="00D96F9F" w:rsidRDefault="006E1A61" w:rsidP="00EB7ED6">
      <w:pPr>
        <w:tabs>
          <w:tab w:val="left" w:pos="3465"/>
          <w:tab w:val="center" w:pos="4153"/>
        </w:tabs>
        <w:adjustRightInd w:val="0"/>
        <w:snapToGrid w:val="0"/>
        <w:jc w:val="center"/>
        <w:rPr>
          <w:sz w:val="20"/>
          <w:szCs w:val="20"/>
        </w:rPr>
      </w:pPr>
      <w:r w:rsidRPr="00D96F9F">
        <w:rPr>
          <w:sz w:val="20"/>
          <w:szCs w:val="20"/>
        </w:rPr>
        <w:t>Lila A, Abdrabuo</w:t>
      </w:r>
      <w:r w:rsidR="00304F5E" w:rsidRPr="00D96F9F">
        <w:rPr>
          <w:sz w:val="20"/>
          <w:szCs w:val="20"/>
          <w:vertAlign w:val="superscript"/>
        </w:rPr>
        <w:t>1</w:t>
      </w:r>
      <w:r w:rsidRPr="00D96F9F">
        <w:rPr>
          <w:sz w:val="20"/>
          <w:szCs w:val="20"/>
        </w:rPr>
        <w:t>, Ahmed M</w:t>
      </w:r>
      <w:r w:rsidR="0061062E" w:rsidRPr="00D96F9F">
        <w:rPr>
          <w:sz w:val="20"/>
          <w:szCs w:val="20"/>
        </w:rPr>
        <w:t xml:space="preserve">. </w:t>
      </w:r>
      <w:r w:rsidR="00845DF2" w:rsidRPr="00D96F9F">
        <w:rPr>
          <w:sz w:val="20"/>
          <w:szCs w:val="20"/>
        </w:rPr>
        <w:t>Ismail,</w:t>
      </w:r>
      <w:r w:rsidR="00432E98" w:rsidRPr="00D96F9F">
        <w:rPr>
          <w:sz w:val="20"/>
          <w:szCs w:val="20"/>
        </w:rPr>
        <w:t xml:space="preserve"> Ahme</w:t>
      </w:r>
      <w:r w:rsidR="00113385" w:rsidRPr="00D96F9F">
        <w:rPr>
          <w:sz w:val="20"/>
          <w:szCs w:val="20"/>
        </w:rPr>
        <w:t xml:space="preserve">d H. </w:t>
      </w:r>
      <w:proofErr w:type="spellStart"/>
      <w:r w:rsidR="00113385" w:rsidRPr="00D96F9F">
        <w:rPr>
          <w:sz w:val="20"/>
          <w:szCs w:val="20"/>
        </w:rPr>
        <w:t>Elsayed</w:t>
      </w:r>
      <w:proofErr w:type="spellEnd"/>
      <w:r w:rsidR="00113385" w:rsidRPr="00D96F9F">
        <w:rPr>
          <w:sz w:val="20"/>
          <w:szCs w:val="20"/>
        </w:rPr>
        <w:t xml:space="preserve">, </w:t>
      </w:r>
      <w:proofErr w:type="spellStart"/>
      <w:r w:rsidRPr="00D96F9F">
        <w:rPr>
          <w:sz w:val="20"/>
          <w:szCs w:val="20"/>
        </w:rPr>
        <w:t>Ga</w:t>
      </w:r>
      <w:r w:rsidR="00273B4E" w:rsidRPr="00D96F9F">
        <w:rPr>
          <w:sz w:val="20"/>
          <w:szCs w:val="20"/>
        </w:rPr>
        <w:t>mal</w:t>
      </w:r>
      <w:proofErr w:type="spellEnd"/>
      <w:r w:rsidR="00273B4E" w:rsidRPr="00D96F9F">
        <w:rPr>
          <w:sz w:val="20"/>
          <w:szCs w:val="20"/>
        </w:rPr>
        <w:t xml:space="preserve"> A. Alkheshen</w:t>
      </w:r>
      <w:r w:rsidR="00304F5E" w:rsidRPr="00D96F9F">
        <w:rPr>
          <w:sz w:val="20"/>
          <w:szCs w:val="20"/>
          <w:vertAlign w:val="superscript"/>
        </w:rPr>
        <w:t>2</w:t>
      </w:r>
      <w:r w:rsidR="00273B4E" w:rsidRPr="00D96F9F">
        <w:rPr>
          <w:sz w:val="20"/>
          <w:szCs w:val="20"/>
        </w:rPr>
        <w:t xml:space="preserve">, and Mohamed </w:t>
      </w:r>
      <w:r w:rsidRPr="00D96F9F">
        <w:rPr>
          <w:sz w:val="20"/>
          <w:szCs w:val="20"/>
        </w:rPr>
        <w:t>A. Ibrahim</w:t>
      </w:r>
      <w:r w:rsidR="00304F5E" w:rsidRPr="00D96F9F">
        <w:rPr>
          <w:sz w:val="20"/>
          <w:szCs w:val="20"/>
          <w:vertAlign w:val="superscript"/>
        </w:rPr>
        <w:t>1</w:t>
      </w:r>
    </w:p>
    <w:p w:rsidR="0005702A" w:rsidRPr="00D96F9F" w:rsidRDefault="0005702A" w:rsidP="00EB7ED6">
      <w:pPr>
        <w:tabs>
          <w:tab w:val="left" w:pos="3465"/>
          <w:tab w:val="center" w:pos="4153"/>
        </w:tabs>
        <w:adjustRightInd w:val="0"/>
        <w:snapToGrid w:val="0"/>
        <w:jc w:val="center"/>
        <w:rPr>
          <w:sz w:val="20"/>
          <w:szCs w:val="20"/>
        </w:rPr>
      </w:pPr>
    </w:p>
    <w:p w:rsidR="006E1A61" w:rsidRPr="00D96F9F" w:rsidRDefault="006E1A61" w:rsidP="00EB7ED6">
      <w:pPr>
        <w:tabs>
          <w:tab w:val="left" w:pos="3465"/>
          <w:tab w:val="center" w:pos="4153"/>
        </w:tabs>
        <w:adjustRightInd w:val="0"/>
        <w:snapToGrid w:val="0"/>
        <w:jc w:val="center"/>
        <w:rPr>
          <w:sz w:val="20"/>
          <w:szCs w:val="20"/>
        </w:rPr>
      </w:pPr>
      <w:r w:rsidRPr="00D96F9F">
        <w:rPr>
          <w:sz w:val="20"/>
          <w:szCs w:val="20"/>
        </w:rPr>
        <w:t>Pediatrics</w:t>
      </w:r>
      <w:r w:rsidR="00304F5E" w:rsidRPr="00D96F9F">
        <w:rPr>
          <w:sz w:val="20"/>
          <w:szCs w:val="20"/>
          <w:vertAlign w:val="superscript"/>
        </w:rPr>
        <w:t>1</w:t>
      </w:r>
      <w:r w:rsidRPr="00D96F9F">
        <w:rPr>
          <w:sz w:val="20"/>
          <w:szCs w:val="20"/>
        </w:rPr>
        <w:t xml:space="preserve"> and clinical patholog</w:t>
      </w:r>
      <w:r w:rsidR="00273B4E" w:rsidRPr="00D96F9F">
        <w:rPr>
          <w:sz w:val="20"/>
          <w:szCs w:val="20"/>
        </w:rPr>
        <w:t>y</w:t>
      </w:r>
      <w:r w:rsidR="00304F5E" w:rsidRPr="00D96F9F">
        <w:rPr>
          <w:sz w:val="20"/>
          <w:szCs w:val="20"/>
          <w:vertAlign w:val="superscript"/>
        </w:rPr>
        <w:t>2</w:t>
      </w:r>
      <w:r w:rsidR="0005702A" w:rsidRPr="00D96F9F">
        <w:rPr>
          <w:sz w:val="20"/>
          <w:szCs w:val="20"/>
        </w:rPr>
        <w:t xml:space="preserve">, Faculty of </w:t>
      </w:r>
      <w:proofErr w:type="spellStart"/>
      <w:r w:rsidR="0005702A" w:rsidRPr="00D96F9F">
        <w:rPr>
          <w:sz w:val="20"/>
          <w:szCs w:val="20"/>
        </w:rPr>
        <w:t>Medicen</w:t>
      </w:r>
      <w:proofErr w:type="spellEnd"/>
      <w:r w:rsidR="0005702A" w:rsidRPr="00D96F9F">
        <w:rPr>
          <w:sz w:val="20"/>
          <w:szCs w:val="20"/>
        </w:rPr>
        <w:t xml:space="preserve">, </w:t>
      </w:r>
      <w:r w:rsidRPr="00D96F9F">
        <w:rPr>
          <w:sz w:val="20"/>
          <w:szCs w:val="20"/>
        </w:rPr>
        <w:t>Al</w:t>
      </w:r>
      <w:r w:rsidR="00845DF2" w:rsidRPr="00D96F9F">
        <w:rPr>
          <w:sz w:val="20"/>
          <w:szCs w:val="20"/>
        </w:rPr>
        <w:t>-</w:t>
      </w:r>
      <w:proofErr w:type="spellStart"/>
      <w:r w:rsidR="00845DF2" w:rsidRPr="00D96F9F">
        <w:rPr>
          <w:sz w:val="20"/>
          <w:szCs w:val="20"/>
        </w:rPr>
        <w:t>azhar</w:t>
      </w:r>
      <w:proofErr w:type="spellEnd"/>
      <w:r w:rsidR="00845DF2" w:rsidRPr="00D96F9F">
        <w:rPr>
          <w:sz w:val="20"/>
          <w:szCs w:val="20"/>
        </w:rPr>
        <w:t xml:space="preserve"> University, Cairo, Egypt</w:t>
      </w:r>
    </w:p>
    <w:p w:rsidR="0005702A" w:rsidRPr="00D96F9F" w:rsidRDefault="0005702A" w:rsidP="00EB7ED6">
      <w:pPr>
        <w:pStyle w:val="NormalWeb"/>
        <w:adjustRightInd w:val="0"/>
        <w:snapToGrid w:val="0"/>
        <w:spacing w:before="0" w:beforeAutospacing="0" w:after="0" w:afterAutospacing="0"/>
        <w:jc w:val="center"/>
        <w:rPr>
          <w:b/>
          <w:bCs/>
          <w:sz w:val="20"/>
          <w:szCs w:val="20"/>
        </w:rPr>
      </w:pPr>
    </w:p>
    <w:p w:rsidR="00DD4DC0" w:rsidRPr="00D96F9F" w:rsidRDefault="00DD4DC0" w:rsidP="00EB7ED6">
      <w:pPr>
        <w:pStyle w:val="NormalWeb"/>
        <w:adjustRightInd w:val="0"/>
        <w:snapToGrid w:val="0"/>
        <w:spacing w:before="0" w:beforeAutospacing="0" w:after="0" w:afterAutospacing="0"/>
        <w:jc w:val="both"/>
        <w:rPr>
          <w:b/>
          <w:bCs/>
          <w:sz w:val="20"/>
          <w:szCs w:val="20"/>
        </w:rPr>
      </w:pPr>
      <w:r w:rsidRPr="00D96F9F">
        <w:rPr>
          <w:b/>
          <w:bCs/>
          <w:sz w:val="20"/>
          <w:szCs w:val="20"/>
        </w:rPr>
        <w:t>Abstract</w:t>
      </w:r>
      <w:r w:rsidR="0005702A" w:rsidRPr="00D96F9F">
        <w:rPr>
          <w:b/>
          <w:bCs/>
          <w:sz w:val="20"/>
          <w:szCs w:val="20"/>
        </w:rPr>
        <w:t xml:space="preserve">: </w:t>
      </w:r>
      <w:proofErr w:type="spellStart"/>
      <w:r w:rsidR="0076357C" w:rsidRPr="00D96F9F">
        <w:rPr>
          <w:sz w:val="20"/>
          <w:szCs w:val="20"/>
        </w:rPr>
        <w:t>Perinatal</w:t>
      </w:r>
      <w:proofErr w:type="spellEnd"/>
      <w:r w:rsidR="0076357C" w:rsidRPr="00D96F9F">
        <w:rPr>
          <w:sz w:val="20"/>
          <w:szCs w:val="20"/>
        </w:rPr>
        <w:t xml:space="preserve"> asphyxia, more appropriately known as</w:t>
      </w:r>
      <w:r w:rsidR="00EC1F18" w:rsidRPr="00D96F9F">
        <w:rPr>
          <w:sz w:val="20"/>
          <w:szCs w:val="20"/>
        </w:rPr>
        <w:t xml:space="preserve"> hypoxic ischemic encephalopat</w:t>
      </w:r>
      <w:r w:rsidR="005426F6" w:rsidRPr="00D96F9F">
        <w:rPr>
          <w:sz w:val="20"/>
          <w:szCs w:val="20"/>
        </w:rPr>
        <w:t>hy</w:t>
      </w:r>
      <w:r w:rsidR="0076357C" w:rsidRPr="00D96F9F">
        <w:rPr>
          <w:sz w:val="20"/>
          <w:szCs w:val="20"/>
        </w:rPr>
        <w:t xml:space="preserve"> </w:t>
      </w:r>
      <w:r w:rsidR="00EC1F18" w:rsidRPr="00D96F9F">
        <w:rPr>
          <w:sz w:val="20"/>
          <w:szCs w:val="20"/>
        </w:rPr>
        <w:t>(</w:t>
      </w:r>
      <w:r w:rsidR="0076357C" w:rsidRPr="00D96F9F">
        <w:rPr>
          <w:sz w:val="20"/>
          <w:szCs w:val="20"/>
        </w:rPr>
        <w:t>HIE</w:t>
      </w:r>
      <w:r w:rsidR="00EC1F18" w:rsidRPr="00D96F9F">
        <w:rPr>
          <w:sz w:val="20"/>
          <w:szCs w:val="20"/>
        </w:rPr>
        <w:t>)</w:t>
      </w:r>
      <w:r w:rsidR="0076357C" w:rsidRPr="00D96F9F">
        <w:rPr>
          <w:sz w:val="20"/>
          <w:szCs w:val="20"/>
        </w:rPr>
        <w:t xml:space="preserve">, is characterized by clinical and laboratory evidence of acute or </w:t>
      </w:r>
      <w:proofErr w:type="spellStart"/>
      <w:r w:rsidR="0076357C" w:rsidRPr="00D96F9F">
        <w:rPr>
          <w:sz w:val="20"/>
          <w:szCs w:val="20"/>
        </w:rPr>
        <w:t>subacute</w:t>
      </w:r>
      <w:proofErr w:type="spellEnd"/>
      <w:r w:rsidR="0076357C" w:rsidRPr="00D96F9F">
        <w:rPr>
          <w:sz w:val="20"/>
          <w:szCs w:val="20"/>
        </w:rPr>
        <w:t xml:space="preserve"> brain injury due to asphyxia. The primary causes of this condition are systemic hypoxemia and/or reduced cerebral blood flow. Birth asphyxia causes twenty three percent of all neonatal deaths worldwide. </w:t>
      </w:r>
      <w:r w:rsidR="009835ED" w:rsidRPr="00D96F9F">
        <w:rPr>
          <w:sz w:val="20"/>
          <w:szCs w:val="20"/>
        </w:rPr>
        <w:t>Hypoxic-ischemic cerebral injury is a recognized cause of permanent long-term neurologic disability in children.</w:t>
      </w:r>
      <w:r w:rsidR="00FE1535" w:rsidRPr="00D96F9F">
        <w:rPr>
          <w:sz w:val="20"/>
          <w:szCs w:val="20"/>
        </w:rPr>
        <w:t xml:space="preserve"> </w:t>
      </w:r>
      <w:r w:rsidR="009A009F" w:rsidRPr="00D96F9F">
        <w:rPr>
          <w:sz w:val="20"/>
          <w:szCs w:val="20"/>
        </w:rPr>
        <w:t>Data about changes of serum ionized calcium and total serum magnesium concentrations described in asphyxiated infants were controversial.</w:t>
      </w:r>
      <w:r w:rsidR="00B23F2E" w:rsidRPr="00D96F9F">
        <w:rPr>
          <w:sz w:val="20"/>
          <w:szCs w:val="20"/>
        </w:rPr>
        <w:t xml:space="preserve"> </w:t>
      </w:r>
      <w:r w:rsidR="009A009F" w:rsidRPr="00D96F9F">
        <w:rPr>
          <w:sz w:val="20"/>
          <w:szCs w:val="20"/>
        </w:rPr>
        <w:t>This study aimed to determine the serum levels of total serum magnesium</w:t>
      </w:r>
      <w:r w:rsidR="0040081F" w:rsidRPr="00D96F9F">
        <w:rPr>
          <w:sz w:val="20"/>
          <w:szCs w:val="20"/>
        </w:rPr>
        <w:t xml:space="preserve"> (Mg+2)</w:t>
      </w:r>
      <w:r w:rsidR="009A009F" w:rsidRPr="00D96F9F">
        <w:rPr>
          <w:sz w:val="20"/>
          <w:szCs w:val="20"/>
        </w:rPr>
        <w:t xml:space="preserve"> and ionized calcium</w:t>
      </w:r>
      <w:r w:rsidR="0040081F" w:rsidRPr="00D96F9F">
        <w:rPr>
          <w:sz w:val="20"/>
          <w:szCs w:val="20"/>
        </w:rPr>
        <w:t xml:space="preserve"> (Ca+2)</w:t>
      </w:r>
      <w:r w:rsidR="009A009F" w:rsidRPr="00D96F9F">
        <w:rPr>
          <w:sz w:val="20"/>
          <w:szCs w:val="20"/>
        </w:rPr>
        <w:t xml:space="preserve"> levels in newborn infants with hypoxic ischemic encephalopathy in the first two days of life </w:t>
      </w:r>
      <w:r w:rsidR="00694C24" w:rsidRPr="00D96F9F">
        <w:rPr>
          <w:sz w:val="20"/>
          <w:szCs w:val="20"/>
        </w:rPr>
        <w:t xml:space="preserve">and it is relation to </w:t>
      </w:r>
      <w:r w:rsidR="009A009F" w:rsidRPr="00D96F9F">
        <w:rPr>
          <w:sz w:val="20"/>
          <w:szCs w:val="20"/>
        </w:rPr>
        <w:t xml:space="preserve">the severity </w:t>
      </w:r>
      <w:r w:rsidR="00694C24" w:rsidRPr="00D96F9F">
        <w:rPr>
          <w:sz w:val="20"/>
          <w:szCs w:val="20"/>
        </w:rPr>
        <w:t xml:space="preserve">of hypoxic-ischemic encephalopathy </w:t>
      </w:r>
      <w:r w:rsidR="009A009F" w:rsidRPr="00D96F9F">
        <w:rPr>
          <w:sz w:val="20"/>
          <w:szCs w:val="20"/>
        </w:rPr>
        <w:t xml:space="preserve">and the disease outcome. </w:t>
      </w:r>
      <w:r w:rsidRPr="00D96F9F">
        <w:rPr>
          <w:sz w:val="20"/>
          <w:szCs w:val="20"/>
        </w:rPr>
        <w:t xml:space="preserve">Our study was </w:t>
      </w:r>
      <w:r w:rsidR="00B23F2E" w:rsidRPr="00D96F9F">
        <w:rPr>
          <w:sz w:val="20"/>
          <w:szCs w:val="20"/>
        </w:rPr>
        <w:t xml:space="preserve">case–control study </w:t>
      </w:r>
      <w:r w:rsidRPr="00D96F9F">
        <w:rPr>
          <w:sz w:val="20"/>
          <w:szCs w:val="20"/>
        </w:rPr>
        <w:t>conducted on</w:t>
      </w:r>
      <w:r w:rsidR="00B23F2E" w:rsidRPr="00D96F9F">
        <w:rPr>
          <w:sz w:val="20"/>
          <w:szCs w:val="20"/>
        </w:rPr>
        <w:t xml:space="preserve"> 25 term newborn infants in their first two days of life and </w:t>
      </w:r>
      <w:r w:rsidRPr="00D96F9F">
        <w:rPr>
          <w:sz w:val="20"/>
          <w:szCs w:val="20"/>
        </w:rPr>
        <w:t xml:space="preserve">born in </w:t>
      </w:r>
      <w:proofErr w:type="spellStart"/>
      <w:r w:rsidRPr="00D96F9F">
        <w:rPr>
          <w:sz w:val="20"/>
          <w:szCs w:val="20"/>
        </w:rPr>
        <w:t>Bab-Elsheria</w:t>
      </w:r>
      <w:proofErr w:type="spellEnd"/>
      <w:r w:rsidRPr="00D96F9F">
        <w:rPr>
          <w:sz w:val="20"/>
          <w:szCs w:val="20"/>
        </w:rPr>
        <w:t xml:space="preserve"> University Hospital and referred to the neonatology unit of pediatric department within the first 24 hours of life with the diagnosis of HIE.</w:t>
      </w:r>
      <w:r w:rsidR="00A21382" w:rsidRPr="00D96F9F">
        <w:rPr>
          <w:sz w:val="20"/>
          <w:szCs w:val="20"/>
        </w:rPr>
        <w:t xml:space="preserve"> </w:t>
      </w:r>
      <w:r w:rsidRPr="00D96F9F">
        <w:rPr>
          <w:sz w:val="20"/>
          <w:szCs w:val="20"/>
        </w:rPr>
        <w:t xml:space="preserve">A control group of </w:t>
      </w:r>
      <w:r w:rsidR="00B23F2E" w:rsidRPr="00D96F9F">
        <w:rPr>
          <w:sz w:val="20"/>
          <w:szCs w:val="20"/>
        </w:rPr>
        <w:t>2</w:t>
      </w:r>
      <w:r w:rsidRPr="00D96F9F">
        <w:rPr>
          <w:sz w:val="20"/>
          <w:szCs w:val="20"/>
        </w:rPr>
        <w:t xml:space="preserve">5 matched (weight and gestational age) full-term newborns with no history of </w:t>
      </w:r>
      <w:proofErr w:type="spellStart"/>
      <w:r w:rsidRPr="00D96F9F">
        <w:rPr>
          <w:sz w:val="20"/>
          <w:szCs w:val="20"/>
        </w:rPr>
        <w:t>perinatal</w:t>
      </w:r>
      <w:proofErr w:type="spellEnd"/>
      <w:r w:rsidRPr="00D96F9F">
        <w:rPr>
          <w:sz w:val="20"/>
          <w:szCs w:val="20"/>
        </w:rPr>
        <w:t xml:space="preserve"> asphyxia. Exclusion criteria included</w:t>
      </w:r>
      <w:r w:rsidR="00900C22" w:rsidRPr="00D96F9F">
        <w:rPr>
          <w:sz w:val="20"/>
          <w:szCs w:val="20"/>
        </w:rPr>
        <w:t xml:space="preserve"> n</w:t>
      </w:r>
      <w:r w:rsidR="00B0383C" w:rsidRPr="00D96F9F">
        <w:rPr>
          <w:sz w:val="20"/>
          <w:szCs w:val="20"/>
        </w:rPr>
        <w:t>e</w:t>
      </w:r>
      <w:r w:rsidR="00900C22" w:rsidRPr="00D96F9F">
        <w:rPr>
          <w:sz w:val="20"/>
          <w:szCs w:val="20"/>
        </w:rPr>
        <w:t xml:space="preserve">wborns with neonatal sepsis confirmed by laboratory </w:t>
      </w:r>
      <w:r w:rsidR="00537813" w:rsidRPr="00D96F9F">
        <w:rPr>
          <w:sz w:val="20"/>
          <w:szCs w:val="20"/>
        </w:rPr>
        <w:t>studies,</w:t>
      </w:r>
      <w:r w:rsidR="004358FD" w:rsidRPr="00D96F9F">
        <w:rPr>
          <w:sz w:val="20"/>
          <w:szCs w:val="20"/>
        </w:rPr>
        <w:t xml:space="preserve"> </w:t>
      </w:r>
      <w:r w:rsidR="00900C22" w:rsidRPr="00D96F9F">
        <w:rPr>
          <w:sz w:val="20"/>
          <w:szCs w:val="20"/>
        </w:rPr>
        <w:t>congenital anomalies, intrauterine growth reta</w:t>
      </w:r>
      <w:r w:rsidR="005B057B" w:rsidRPr="00D96F9F">
        <w:rPr>
          <w:sz w:val="20"/>
          <w:szCs w:val="20"/>
        </w:rPr>
        <w:t xml:space="preserve">rded newborns, and </w:t>
      </w:r>
      <w:r w:rsidR="00900C22" w:rsidRPr="00D96F9F">
        <w:rPr>
          <w:sz w:val="20"/>
          <w:szCs w:val="20"/>
        </w:rPr>
        <w:t>prematurity</w:t>
      </w:r>
      <w:r w:rsidRPr="00D96F9F">
        <w:rPr>
          <w:sz w:val="20"/>
          <w:szCs w:val="20"/>
        </w:rPr>
        <w:t xml:space="preserve">. All studied newborns were subjected to thorough history, full clinical examination, and </w:t>
      </w:r>
      <w:proofErr w:type="gramStart"/>
      <w:r w:rsidRPr="00D96F9F">
        <w:rPr>
          <w:sz w:val="20"/>
          <w:szCs w:val="20"/>
        </w:rPr>
        <w:t>clinical</w:t>
      </w:r>
      <w:proofErr w:type="gramEnd"/>
      <w:r w:rsidRPr="00D96F9F">
        <w:rPr>
          <w:sz w:val="20"/>
          <w:szCs w:val="20"/>
        </w:rPr>
        <w:t xml:space="preserve"> staging according to </w:t>
      </w:r>
      <w:proofErr w:type="spellStart"/>
      <w:r w:rsidRPr="00D96F9F">
        <w:rPr>
          <w:sz w:val="20"/>
          <w:szCs w:val="20"/>
        </w:rPr>
        <w:t>Sarnat</w:t>
      </w:r>
      <w:proofErr w:type="spellEnd"/>
      <w:r w:rsidRPr="00D96F9F">
        <w:rPr>
          <w:sz w:val="20"/>
          <w:szCs w:val="20"/>
        </w:rPr>
        <w:t xml:space="preserve"> and </w:t>
      </w:r>
      <w:proofErr w:type="spellStart"/>
      <w:r w:rsidRPr="00D96F9F">
        <w:rPr>
          <w:sz w:val="20"/>
          <w:szCs w:val="20"/>
        </w:rPr>
        <w:t>Sarnat’s</w:t>
      </w:r>
      <w:proofErr w:type="spellEnd"/>
      <w:r w:rsidRPr="00D96F9F">
        <w:rPr>
          <w:sz w:val="20"/>
          <w:szCs w:val="20"/>
        </w:rPr>
        <w:t xml:space="preserve"> criteria into 3 groups: group I (mild HIE;</w:t>
      </w:r>
      <w:r w:rsidR="00210D61" w:rsidRPr="00D96F9F">
        <w:rPr>
          <w:sz w:val="20"/>
          <w:szCs w:val="20"/>
        </w:rPr>
        <w:t xml:space="preserve"> 8</w:t>
      </w:r>
      <w:r w:rsidRPr="00D96F9F">
        <w:rPr>
          <w:sz w:val="20"/>
          <w:szCs w:val="20"/>
        </w:rPr>
        <w:t xml:space="preserve">), group II (moderate HIE; </w:t>
      </w:r>
      <w:r w:rsidR="00BF2134" w:rsidRPr="00D96F9F">
        <w:rPr>
          <w:sz w:val="20"/>
          <w:szCs w:val="20"/>
        </w:rPr>
        <w:t>8</w:t>
      </w:r>
      <w:r w:rsidRPr="00D96F9F">
        <w:rPr>
          <w:sz w:val="20"/>
          <w:szCs w:val="20"/>
        </w:rPr>
        <w:t>), group III</w:t>
      </w:r>
      <w:r w:rsidRPr="00D96F9F">
        <w:rPr>
          <w:i/>
          <w:iCs/>
          <w:sz w:val="20"/>
          <w:szCs w:val="20"/>
        </w:rPr>
        <w:t xml:space="preserve"> </w:t>
      </w:r>
      <w:r w:rsidRPr="00D96F9F">
        <w:rPr>
          <w:sz w:val="20"/>
          <w:szCs w:val="20"/>
        </w:rPr>
        <w:t xml:space="preserve">(severe HIE; </w:t>
      </w:r>
      <w:r w:rsidR="00BF2134" w:rsidRPr="00D96F9F">
        <w:rPr>
          <w:sz w:val="20"/>
          <w:szCs w:val="20"/>
        </w:rPr>
        <w:t>9</w:t>
      </w:r>
      <w:r w:rsidRPr="00D96F9F">
        <w:rPr>
          <w:sz w:val="20"/>
          <w:szCs w:val="20"/>
        </w:rPr>
        <w:t xml:space="preserve">). </w:t>
      </w:r>
      <w:r w:rsidR="001D1054" w:rsidRPr="00D96F9F">
        <w:rPr>
          <w:sz w:val="20"/>
          <w:szCs w:val="20"/>
        </w:rPr>
        <w:t>Serum l</w:t>
      </w:r>
      <w:r w:rsidRPr="00D96F9F">
        <w:rPr>
          <w:sz w:val="20"/>
          <w:szCs w:val="20"/>
        </w:rPr>
        <w:t xml:space="preserve">evels of </w:t>
      </w:r>
      <w:r w:rsidR="00BF2134" w:rsidRPr="00D96F9F">
        <w:rPr>
          <w:sz w:val="20"/>
          <w:szCs w:val="20"/>
        </w:rPr>
        <w:t>total magnesium and ionized calcium</w:t>
      </w:r>
      <w:r w:rsidRPr="00D96F9F">
        <w:rPr>
          <w:sz w:val="20"/>
          <w:szCs w:val="20"/>
        </w:rPr>
        <w:t xml:space="preserve"> were estimated via sampling during the 1</w:t>
      </w:r>
      <w:r w:rsidRPr="00D96F9F">
        <w:rPr>
          <w:sz w:val="20"/>
          <w:szCs w:val="20"/>
          <w:vertAlign w:val="superscript"/>
        </w:rPr>
        <w:t>st</w:t>
      </w:r>
      <w:r w:rsidRPr="00D96F9F">
        <w:rPr>
          <w:sz w:val="20"/>
          <w:szCs w:val="20"/>
        </w:rPr>
        <w:t xml:space="preserve"> 4</w:t>
      </w:r>
      <w:r w:rsidR="00B0383C" w:rsidRPr="00D96F9F">
        <w:rPr>
          <w:sz w:val="20"/>
          <w:szCs w:val="20"/>
        </w:rPr>
        <w:t>8</w:t>
      </w:r>
      <w:r w:rsidRPr="00D96F9F">
        <w:rPr>
          <w:sz w:val="20"/>
          <w:szCs w:val="20"/>
        </w:rPr>
        <w:t xml:space="preserve"> hr of life (median age of sampling was </w:t>
      </w:r>
      <w:r w:rsidR="00397A02" w:rsidRPr="00D96F9F">
        <w:rPr>
          <w:sz w:val="20"/>
          <w:szCs w:val="20"/>
        </w:rPr>
        <w:t>30</w:t>
      </w:r>
      <w:r w:rsidR="00EB7ED6">
        <w:rPr>
          <w:sz w:val="20"/>
          <w:szCs w:val="20"/>
        </w:rPr>
        <w:t xml:space="preserve"> </w:t>
      </w:r>
      <w:r w:rsidRPr="00D96F9F">
        <w:rPr>
          <w:sz w:val="20"/>
          <w:szCs w:val="20"/>
        </w:rPr>
        <w:t>hr). Babies were managed according to unit’s management protocol.</w:t>
      </w:r>
      <w:r w:rsidR="00EB7ED6">
        <w:rPr>
          <w:sz w:val="20"/>
          <w:szCs w:val="20"/>
        </w:rPr>
        <w:t xml:space="preserve"> </w:t>
      </w:r>
      <w:r w:rsidR="004358EF" w:rsidRPr="00D96F9F">
        <w:rPr>
          <w:sz w:val="20"/>
          <w:szCs w:val="20"/>
        </w:rPr>
        <w:t xml:space="preserve">From our study we concluded that </w:t>
      </w:r>
      <w:r w:rsidRPr="00D96F9F">
        <w:rPr>
          <w:sz w:val="20"/>
          <w:szCs w:val="20"/>
        </w:rPr>
        <w:t xml:space="preserve">significant correlation between severity of HIE and </w:t>
      </w:r>
      <w:r w:rsidR="004358EF" w:rsidRPr="00D96F9F">
        <w:rPr>
          <w:sz w:val="20"/>
          <w:szCs w:val="20"/>
        </w:rPr>
        <w:t>decreased</w:t>
      </w:r>
      <w:r w:rsidR="00EB7ED6">
        <w:rPr>
          <w:sz w:val="20"/>
          <w:szCs w:val="20"/>
        </w:rPr>
        <w:t xml:space="preserve"> </w:t>
      </w:r>
      <w:r w:rsidR="008C6E26" w:rsidRPr="00D96F9F">
        <w:rPr>
          <w:sz w:val="20"/>
          <w:szCs w:val="20"/>
        </w:rPr>
        <w:t xml:space="preserve">serum levels of </w:t>
      </w:r>
      <w:r w:rsidR="004358EF" w:rsidRPr="00D96F9F">
        <w:rPr>
          <w:sz w:val="20"/>
          <w:szCs w:val="20"/>
        </w:rPr>
        <w:t>total magnesium and ionized calcium</w:t>
      </w:r>
      <w:r w:rsidR="008C6E26" w:rsidRPr="00D96F9F">
        <w:rPr>
          <w:sz w:val="20"/>
          <w:szCs w:val="20"/>
        </w:rPr>
        <w:t xml:space="preserve">, </w:t>
      </w:r>
      <w:r w:rsidRPr="00D96F9F">
        <w:rPr>
          <w:sz w:val="20"/>
          <w:szCs w:val="20"/>
        </w:rPr>
        <w:t>signi</w:t>
      </w:r>
      <w:r w:rsidR="004358EF" w:rsidRPr="00D96F9F">
        <w:rPr>
          <w:sz w:val="20"/>
          <w:szCs w:val="20"/>
        </w:rPr>
        <w:t>ficant relation between</w:t>
      </w:r>
      <w:r w:rsidRPr="00D96F9F">
        <w:rPr>
          <w:sz w:val="20"/>
          <w:szCs w:val="20"/>
        </w:rPr>
        <w:t xml:space="preserve"> </w:t>
      </w:r>
      <w:r w:rsidR="004358EF" w:rsidRPr="00D96F9F">
        <w:rPr>
          <w:sz w:val="20"/>
          <w:szCs w:val="20"/>
        </w:rPr>
        <w:t>decreased</w:t>
      </w:r>
      <w:r w:rsidR="00EB7ED6">
        <w:rPr>
          <w:sz w:val="20"/>
          <w:szCs w:val="20"/>
        </w:rPr>
        <w:t xml:space="preserve"> </w:t>
      </w:r>
      <w:r w:rsidR="004358EF" w:rsidRPr="00D96F9F">
        <w:rPr>
          <w:sz w:val="20"/>
          <w:szCs w:val="20"/>
        </w:rPr>
        <w:t>serum levels of total magnesium and ionized calcium</w:t>
      </w:r>
      <w:r w:rsidRPr="00D96F9F">
        <w:rPr>
          <w:sz w:val="20"/>
          <w:szCs w:val="20"/>
        </w:rPr>
        <w:t xml:space="preserve"> decreased survival rate</w:t>
      </w:r>
      <w:r w:rsidR="004358EF" w:rsidRPr="00D96F9F">
        <w:rPr>
          <w:sz w:val="20"/>
          <w:szCs w:val="20"/>
        </w:rPr>
        <w:t>.</w:t>
      </w:r>
    </w:p>
    <w:p w:rsidR="00BC7FAE" w:rsidRPr="00D96F9F" w:rsidRDefault="0005702A" w:rsidP="00EB7ED6">
      <w:pPr>
        <w:adjustRightInd w:val="0"/>
        <w:snapToGrid w:val="0"/>
        <w:jc w:val="both"/>
        <w:rPr>
          <w:sz w:val="20"/>
          <w:szCs w:val="20"/>
          <w:lang w:eastAsia="zh-CN"/>
        </w:rPr>
      </w:pPr>
      <w:proofErr w:type="gramStart"/>
      <w:r w:rsidRPr="00D96F9F">
        <w:rPr>
          <w:b/>
          <w:bCs/>
          <w:sz w:val="20"/>
          <w:szCs w:val="20"/>
          <w:lang w:eastAsia="zh-CN" w:bidi="ar-EG"/>
        </w:rPr>
        <w:t>[</w:t>
      </w:r>
      <w:r w:rsidRPr="00D96F9F">
        <w:rPr>
          <w:sz w:val="20"/>
          <w:szCs w:val="20"/>
        </w:rPr>
        <w:t xml:space="preserve">Lila A, </w:t>
      </w:r>
      <w:proofErr w:type="spellStart"/>
      <w:r w:rsidRPr="00D96F9F">
        <w:rPr>
          <w:sz w:val="20"/>
          <w:szCs w:val="20"/>
        </w:rPr>
        <w:t>Abdrabuo</w:t>
      </w:r>
      <w:proofErr w:type="spellEnd"/>
      <w:r w:rsidRPr="00D96F9F">
        <w:rPr>
          <w:sz w:val="20"/>
          <w:szCs w:val="20"/>
        </w:rPr>
        <w:t xml:space="preserve">, Ahmed M. </w:t>
      </w:r>
      <w:r w:rsidR="001102AB" w:rsidRPr="00D96F9F">
        <w:rPr>
          <w:sz w:val="20"/>
          <w:szCs w:val="20"/>
        </w:rPr>
        <w:t>Ismail,</w:t>
      </w:r>
      <w:r w:rsidRPr="00D96F9F">
        <w:rPr>
          <w:sz w:val="20"/>
          <w:szCs w:val="20"/>
        </w:rPr>
        <w:t xml:space="preserve"> Ahmed H. </w:t>
      </w:r>
      <w:proofErr w:type="spellStart"/>
      <w:r w:rsidRPr="00D96F9F">
        <w:rPr>
          <w:sz w:val="20"/>
          <w:szCs w:val="20"/>
        </w:rPr>
        <w:t>Elsayed</w:t>
      </w:r>
      <w:proofErr w:type="spellEnd"/>
      <w:r w:rsidRPr="00D96F9F">
        <w:rPr>
          <w:sz w:val="20"/>
          <w:szCs w:val="20"/>
        </w:rPr>
        <w:t xml:space="preserve">, </w:t>
      </w:r>
      <w:proofErr w:type="spellStart"/>
      <w:r w:rsidRPr="00D96F9F">
        <w:rPr>
          <w:sz w:val="20"/>
          <w:szCs w:val="20"/>
        </w:rPr>
        <w:t>Gamal</w:t>
      </w:r>
      <w:proofErr w:type="spellEnd"/>
      <w:r w:rsidRPr="00D96F9F">
        <w:rPr>
          <w:sz w:val="20"/>
          <w:szCs w:val="20"/>
        </w:rPr>
        <w:t xml:space="preserve"> A. </w:t>
      </w:r>
      <w:proofErr w:type="spellStart"/>
      <w:r w:rsidRPr="00D96F9F">
        <w:rPr>
          <w:sz w:val="20"/>
          <w:szCs w:val="20"/>
        </w:rPr>
        <w:t>Alkheshen</w:t>
      </w:r>
      <w:proofErr w:type="spellEnd"/>
      <w:r w:rsidRPr="00D96F9F">
        <w:rPr>
          <w:sz w:val="20"/>
          <w:szCs w:val="20"/>
        </w:rPr>
        <w:t xml:space="preserve"> and Mohamed A. Ibrahim.</w:t>
      </w:r>
      <w:proofErr w:type="gramEnd"/>
      <w:r w:rsidRPr="00D96F9F">
        <w:rPr>
          <w:sz w:val="20"/>
          <w:szCs w:val="20"/>
        </w:rPr>
        <w:t xml:space="preserve"> </w:t>
      </w:r>
      <w:r w:rsidRPr="00D96F9F">
        <w:rPr>
          <w:b/>
          <w:bCs/>
          <w:sz w:val="20"/>
          <w:szCs w:val="20"/>
          <w:lang w:val="en-IN" w:eastAsia="en-IN"/>
        </w:rPr>
        <w:t>Ionized Serum Calcium and Serum Total Magnesium, Predicts Outcome in Neonatal Hypoxic-Ischemic Encephalopathy</w:t>
      </w:r>
      <w:r w:rsidR="00BC7FAE" w:rsidRPr="00D96F9F">
        <w:rPr>
          <w:rFonts w:eastAsia="Times New Roman"/>
          <w:b/>
          <w:bCs/>
          <w:sz w:val="20"/>
          <w:szCs w:val="20"/>
          <w:lang w:bidi="fa-IR"/>
        </w:rPr>
        <w:t>.</w:t>
      </w:r>
      <w:r w:rsidR="00BC7FAE" w:rsidRPr="00D96F9F">
        <w:rPr>
          <w:rFonts w:hint="eastAsia"/>
          <w:b/>
          <w:bCs/>
          <w:sz w:val="20"/>
          <w:szCs w:val="20"/>
        </w:rPr>
        <w:t xml:space="preserve"> </w:t>
      </w:r>
      <w:r w:rsidR="00BC7FAE" w:rsidRPr="00D96F9F">
        <w:rPr>
          <w:rFonts w:eastAsia="Times New Roman"/>
          <w:bCs/>
          <w:i/>
          <w:sz w:val="20"/>
          <w:szCs w:val="20"/>
        </w:rPr>
        <w:t xml:space="preserve">Nat </w:t>
      </w:r>
      <w:proofErr w:type="spellStart"/>
      <w:r w:rsidR="00BC7FAE" w:rsidRPr="00D96F9F">
        <w:rPr>
          <w:rFonts w:eastAsia="Times New Roman"/>
          <w:bCs/>
          <w:i/>
          <w:sz w:val="20"/>
          <w:szCs w:val="20"/>
        </w:rPr>
        <w:t>Sci</w:t>
      </w:r>
      <w:proofErr w:type="spellEnd"/>
      <w:r w:rsidR="00BC7FAE" w:rsidRPr="00D96F9F">
        <w:rPr>
          <w:rFonts w:eastAsiaTheme="minorEastAsia" w:hint="eastAsia"/>
          <w:bCs/>
          <w:i/>
          <w:sz w:val="20"/>
          <w:szCs w:val="20"/>
        </w:rPr>
        <w:t xml:space="preserve"> </w:t>
      </w:r>
      <w:r w:rsidR="00BC7FAE" w:rsidRPr="00D96F9F">
        <w:rPr>
          <w:sz w:val="20"/>
          <w:szCs w:val="20"/>
        </w:rPr>
        <w:t>201</w:t>
      </w:r>
      <w:r w:rsidR="00BC7FAE" w:rsidRPr="00D96F9F">
        <w:rPr>
          <w:rFonts w:hint="eastAsia"/>
          <w:sz w:val="20"/>
          <w:szCs w:val="20"/>
        </w:rPr>
        <w:t>5</w:t>
      </w:r>
      <w:r w:rsidR="00BC7FAE" w:rsidRPr="00D96F9F">
        <w:rPr>
          <w:sz w:val="20"/>
          <w:szCs w:val="20"/>
        </w:rPr>
        <w:t>;1</w:t>
      </w:r>
      <w:r w:rsidR="00BC7FAE" w:rsidRPr="00D96F9F">
        <w:rPr>
          <w:rFonts w:hint="eastAsia"/>
          <w:sz w:val="20"/>
          <w:szCs w:val="20"/>
        </w:rPr>
        <w:t>3</w:t>
      </w:r>
      <w:r w:rsidR="00BC7FAE" w:rsidRPr="00D96F9F">
        <w:rPr>
          <w:sz w:val="20"/>
          <w:szCs w:val="20"/>
        </w:rPr>
        <w:t>(</w:t>
      </w:r>
      <w:r w:rsidR="00BC7FAE" w:rsidRPr="00D96F9F">
        <w:rPr>
          <w:rFonts w:hint="eastAsia"/>
          <w:sz w:val="20"/>
          <w:szCs w:val="20"/>
        </w:rPr>
        <w:t>3)</w:t>
      </w:r>
      <w:r w:rsidR="00BC7FAE" w:rsidRPr="00D96F9F">
        <w:rPr>
          <w:sz w:val="20"/>
          <w:szCs w:val="20"/>
        </w:rPr>
        <w:t>:</w:t>
      </w:r>
      <w:r w:rsidR="008D23CC">
        <w:rPr>
          <w:noProof/>
          <w:color w:val="000000"/>
          <w:sz w:val="20"/>
          <w:szCs w:val="20"/>
        </w:rPr>
        <w:t>127</w:t>
      </w:r>
      <w:r w:rsidR="00BC7FAE" w:rsidRPr="00D96F9F">
        <w:rPr>
          <w:color w:val="000000"/>
          <w:sz w:val="20"/>
          <w:szCs w:val="20"/>
        </w:rPr>
        <w:t>-</w:t>
      </w:r>
      <w:r w:rsidR="008D23CC">
        <w:rPr>
          <w:noProof/>
          <w:color w:val="000000"/>
          <w:sz w:val="20"/>
          <w:szCs w:val="20"/>
        </w:rPr>
        <w:t>131</w:t>
      </w:r>
      <w:r w:rsidR="00BC7FAE" w:rsidRPr="00D96F9F">
        <w:rPr>
          <w:sz w:val="20"/>
          <w:szCs w:val="20"/>
        </w:rPr>
        <w:t>]</w:t>
      </w:r>
      <w:r w:rsidR="00BC7FAE" w:rsidRPr="00D96F9F">
        <w:rPr>
          <w:rFonts w:hint="eastAsia"/>
          <w:sz w:val="20"/>
          <w:szCs w:val="20"/>
        </w:rPr>
        <w:t>.</w:t>
      </w:r>
      <w:r w:rsidR="00BC7FAE" w:rsidRPr="00D96F9F">
        <w:rPr>
          <w:sz w:val="20"/>
          <w:szCs w:val="20"/>
        </w:rPr>
        <w:t xml:space="preserve"> (ISSN: 1545-0740).</w:t>
      </w:r>
      <w:r w:rsidR="00BC7FAE" w:rsidRPr="00D96F9F">
        <w:rPr>
          <w:color w:val="0000FF"/>
          <w:sz w:val="20"/>
          <w:szCs w:val="20"/>
        </w:rPr>
        <w:t xml:space="preserve"> </w:t>
      </w:r>
      <w:hyperlink r:id="rId8" w:history="1">
        <w:r w:rsidR="00BC7FAE" w:rsidRPr="00D96F9F">
          <w:rPr>
            <w:rStyle w:val="Hyperlink"/>
            <w:sz w:val="20"/>
            <w:szCs w:val="20"/>
          </w:rPr>
          <w:t>http://www.sciencepub.net/nature</w:t>
        </w:r>
      </w:hyperlink>
      <w:r w:rsidR="00BC7FAE" w:rsidRPr="00D96F9F">
        <w:rPr>
          <w:sz w:val="20"/>
          <w:szCs w:val="20"/>
        </w:rPr>
        <w:t>.</w:t>
      </w:r>
      <w:r w:rsidR="00BC7FAE" w:rsidRPr="00D96F9F">
        <w:rPr>
          <w:rFonts w:hint="eastAsia"/>
          <w:sz w:val="20"/>
          <w:szCs w:val="20"/>
        </w:rPr>
        <w:t xml:space="preserve"> </w:t>
      </w:r>
      <w:r w:rsidR="00D96F9F">
        <w:rPr>
          <w:rFonts w:hint="eastAsia"/>
          <w:sz w:val="20"/>
          <w:szCs w:val="20"/>
          <w:lang w:eastAsia="zh-CN"/>
        </w:rPr>
        <w:t>19</w:t>
      </w:r>
    </w:p>
    <w:p w:rsidR="0005702A" w:rsidRPr="00D96F9F" w:rsidRDefault="0005702A" w:rsidP="00EB7ED6">
      <w:pPr>
        <w:tabs>
          <w:tab w:val="left" w:pos="3465"/>
          <w:tab w:val="center" w:pos="4153"/>
        </w:tabs>
        <w:adjustRightInd w:val="0"/>
        <w:snapToGrid w:val="0"/>
        <w:jc w:val="both"/>
        <w:rPr>
          <w:b/>
          <w:bCs/>
          <w:sz w:val="20"/>
          <w:szCs w:val="20"/>
          <w:lang w:val="en-IN" w:eastAsia="en-IN"/>
        </w:rPr>
      </w:pPr>
    </w:p>
    <w:p w:rsidR="0005702A" w:rsidRPr="00D96F9F" w:rsidRDefault="0005702A" w:rsidP="00EB7ED6">
      <w:pPr>
        <w:pStyle w:val="FR1"/>
        <w:widowControl/>
        <w:snapToGrid w:val="0"/>
        <w:rPr>
          <w:rFonts w:ascii="Times New Roman" w:hAnsi="Times New Roman" w:cs="Times New Roman"/>
          <w:b/>
          <w:bCs/>
          <w:sz w:val="20"/>
          <w:szCs w:val="20"/>
          <w:lang w:eastAsia="zh-CN" w:bidi="ar-EG"/>
        </w:rPr>
      </w:pPr>
      <w:r w:rsidRPr="00D96F9F">
        <w:rPr>
          <w:rFonts w:ascii="Times New Roman" w:hAnsi="Times New Roman" w:cs="Times New Roman"/>
          <w:b/>
          <w:bCs/>
          <w:sz w:val="20"/>
          <w:szCs w:val="20"/>
          <w:lang w:eastAsia="zh-CN" w:bidi="ar-EG"/>
        </w:rPr>
        <w:t>Key words:</w:t>
      </w:r>
      <w:r w:rsidR="000327C1">
        <w:rPr>
          <w:rFonts w:ascii="Times New Roman" w:hAnsi="Times New Roman" w:cs="Times New Roman" w:hint="eastAsia"/>
          <w:b/>
          <w:bCs/>
          <w:sz w:val="20"/>
          <w:szCs w:val="20"/>
          <w:lang w:eastAsia="zh-CN" w:bidi="ar-EG"/>
        </w:rPr>
        <w:t xml:space="preserve"> </w:t>
      </w:r>
      <w:r w:rsidR="000327C1" w:rsidRPr="000327C1">
        <w:rPr>
          <w:rFonts w:ascii="Times New Roman" w:hAnsi="Times New Roman" w:cs="Times New Roman"/>
          <w:bCs/>
          <w:sz w:val="20"/>
          <w:szCs w:val="20"/>
          <w:lang w:val="en-IN" w:eastAsia="en-IN"/>
        </w:rPr>
        <w:t>Ionized Serum Calcium</w:t>
      </w:r>
      <w:r w:rsidR="000327C1">
        <w:rPr>
          <w:rFonts w:ascii="Times New Roman" w:hAnsi="Times New Roman" w:cs="Times New Roman" w:hint="eastAsia"/>
          <w:bCs/>
          <w:sz w:val="20"/>
          <w:szCs w:val="20"/>
          <w:lang w:val="en-IN" w:eastAsia="zh-CN"/>
        </w:rPr>
        <w:t>;</w:t>
      </w:r>
      <w:r w:rsidR="000327C1" w:rsidRPr="000327C1">
        <w:rPr>
          <w:rFonts w:ascii="Times New Roman" w:hAnsi="Times New Roman" w:cs="Times New Roman"/>
          <w:bCs/>
          <w:sz w:val="20"/>
          <w:szCs w:val="20"/>
          <w:lang w:val="en-IN" w:eastAsia="en-IN"/>
        </w:rPr>
        <w:t xml:space="preserve"> Magnesium, Neonatal Hypoxic-Ischemic Encephalopathy</w:t>
      </w:r>
    </w:p>
    <w:p w:rsidR="00D96F9F" w:rsidRDefault="00D96F9F" w:rsidP="00EB7ED6">
      <w:pPr>
        <w:pStyle w:val="FR1"/>
        <w:widowControl/>
        <w:snapToGrid w:val="0"/>
        <w:rPr>
          <w:rFonts w:ascii="Times New Roman" w:hAnsi="Times New Roman" w:cs="Times New Roman"/>
          <w:b/>
          <w:bCs/>
          <w:sz w:val="20"/>
          <w:szCs w:val="20"/>
          <w:lang w:eastAsia="zh-CN" w:bidi="ar-EG"/>
        </w:rPr>
      </w:pPr>
    </w:p>
    <w:p w:rsidR="00D96F9F" w:rsidRPr="00D96F9F" w:rsidRDefault="00D96F9F" w:rsidP="00EB7ED6">
      <w:pPr>
        <w:pStyle w:val="FR1"/>
        <w:widowControl/>
        <w:snapToGrid w:val="0"/>
        <w:rPr>
          <w:rFonts w:ascii="Times New Roman" w:hAnsi="Times New Roman" w:cs="Times New Roman"/>
          <w:b/>
          <w:bCs/>
          <w:sz w:val="20"/>
          <w:szCs w:val="20"/>
          <w:lang w:eastAsia="zh-CN" w:bidi="ar-EG"/>
        </w:rPr>
        <w:sectPr w:rsidR="00D96F9F" w:rsidRPr="00D96F9F" w:rsidSect="008D23CC">
          <w:headerReference w:type="default" r:id="rId9"/>
          <w:footerReference w:type="even" r:id="rId10"/>
          <w:footerReference w:type="default" r:id="rId11"/>
          <w:type w:val="continuous"/>
          <w:pgSz w:w="12242" w:h="15842" w:code="1"/>
          <w:pgMar w:top="1440" w:right="1440" w:bottom="1440" w:left="1440" w:header="720" w:footer="720" w:gutter="0"/>
          <w:pgNumType w:start="127"/>
          <w:cols w:space="708"/>
          <w:docGrid w:linePitch="360"/>
        </w:sectPr>
      </w:pPr>
    </w:p>
    <w:p w:rsidR="00A53520" w:rsidRPr="00D96F9F" w:rsidRDefault="0005702A" w:rsidP="00EB7ED6">
      <w:pPr>
        <w:pStyle w:val="FR1"/>
        <w:widowControl/>
        <w:snapToGrid w:val="0"/>
        <w:rPr>
          <w:rFonts w:ascii="Times New Roman" w:hAnsi="Times New Roman" w:cs="Times New Roman"/>
          <w:b/>
          <w:bCs/>
          <w:sz w:val="20"/>
          <w:szCs w:val="20"/>
          <w:lang w:eastAsia="zh-CN" w:bidi="ar-EG"/>
        </w:rPr>
      </w:pPr>
      <w:r w:rsidRPr="00D96F9F">
        <w:rPr>
          <w:rFonts w:ascii="Times New Roman" w:hAnsi="Times New Roman" w:cs="Times New Roman"/>
          <w:b/>
          <w:bCs/>
          <w:sz w:val="20"/>
          <w:szCs w:val="20"/>
          <w:lang w:eastAsia="zh-CN" w:bidi="ar-EG"/>
        </w:rPr>
        <w:lastRenderedPageBreak/>
        <w:t>1. Introduction</w:t>
      </w:r>
    </w:p>
    <w:p w:rsidR="00A53520" w:rsidRPr="00D96F9F" w:rsidRDefault="00030DED" w:rsidP="00EB7ED6">
      <w:pPr>
        <w:pStyle w:val="FR1"/>
        <w:snapToGrid w:val="0"/>
        <w:ind w:firstLine="425"/>
        <w:rPr>
          <w:rFonts w:ascii="Times New Roman" w:hAnsi="Times New Roman" w:cs="Times New Roman"/>
          <w:sz w:val="20"/>
          <w:szCs w:val="20"/>
          <w:lang w:eastAsia="zh-CN" w:bidi="ar-EG"/>
        </w:rPr>
      </w:pPr>
      <w:proofErr w:type="spellStart"/>
      <w:r w:rsidRPr="00D96F9F">
        <w:rPr>
          <w:rFonts w:ascii="Times New Roman" w:hAnsi="Times New Roman" w:cs="Times New Roman"/>
          <w:sz w:val="20"/>
          <w:szCs w:val="20"/>
          <w:lang w:eastAsia="zh-CN" w:bidi="ar-EG"/>
        </w:rPr>
        <w:t>P</w:t>
      </w:r>
      <w:r w:rsidR="00072B6A" w:rsidRPr="00D96F9F">
        <w:rPr>
          <w:rFonts w:ascii="Times New Roman" w:hAnsi="Times New Roman" w:cs="Times New Roman"/>
          <w:sz w:val="20"/>
          <w:szCs w:val="20"/>
          <w:lang w:eastAsia="zh-CN" w:bidi="ar-EG"/>
        </w:rPr>
        <w:t>erinatal</w:t>
      </w:r>
      <w:proofErr w:type="spellEnd"/>
      <w:r w:rsidR="00072B6A" w:rsidRPr="00D96F9F">
        <w:rPr>
          <w:rFonts w:ascii="Times New Roman" w:hAnsi="Times New Roman" w:cs="Times New Roman"/>
          <w:sz w:val="20"/>
          <w:szCs w:val="20"/>
          <w:lang w:eastAsia="zh-CN" w:bidi="ar-EG"/>
        </w:rPr>
        <w:t xml:space="preserve"> asphyxia is an insult to the fetus or newborn due to a lack of oxygen (hypoxia) and/or a lack of perfusion (ischemia) to various organs. Hypoxic-ischemic encephalopathy implies the interruption of supply of nutrients to the brain, mainly oxygen and glucose, sufficiently substantial to cause irreversible damage</w:t>
      </w:r>
      <w:r w:rsidR="00CB0F57" w:rsidRPr="00D96F9F">
        <w:rPr>
          <w:rFonts w:ascii="Times New Roman" w:hAnsi="Times New Roman" w:cs="Times New Roman"/>
          <w:sz w:val="20"/>
          <w:szCs w:val="20"/>
          <w:lang w:eastAsia="zh-CN" w:bidi="ar-EG"/>
        </w:rPr>
        <w:t xml:space="preserve"> </w:t>
      </w:r>
      <w:r w:rsidR="000F5945" w:rsidRPr="00D96F9F">
        <w:rPr>
          <w:rFonts w:ascii="Times New Roman" w:hAnsi="Times New Roman" w:cs="Times New Roman"/>
          <w:b/>
          <w:bCs/>
          <w:i/>
          <w:iCs/>
          <w:sz w:val="20"/>
          <w:szCs w:val="20"/>
          <w:lang w:eastAsia="zh-CN" w:bidi="ar-EG"/>
        </w:rPr>
        <w:t>(</w:t>
      </w:r>
      <w:r w:rsidR="00AB1EFD" w:rsidRPr="00D96F9F">
        <w:rPr>
          <w:rFonts w:ascii="Times New Roman" w:hAnsi="Times New Roman" w:cs="Times New Roman"/>
          <w:b/>
          <w:bCs/>
          <w:i/>
          <w:sz w:val="20"/>
          <w:szCs w:val="20"/>
          <w:lang w:val="en-IN"/>
        </w:rPr>
        <w:t>Martinez</w:t>
      </w:r>
      <w:r w:rsidR="00E84C13" w:rsidRPr="00D96F9F">
        <w:rPr>
          <w:rFonts w:ascii="Times New Roman" w:hAnsi="Times New Roman" w:cs="Times New Roman"/>
          <w:b/>
          <w:bCs/>
          <w:i/>
          <w:sz w:val="20"/>
          <w:szCs w:val="20"/>
          <w:lang w:val="en-IN"/>
        </w:rPr>
        <w:t xml:space="preserve"> </w:t>
      </w:r>
      <w:r w:rsidR="00AB1EFD" w:rsidRPr="00D96F9F">
        <w:rPr>
          <w:rFonts w:ascii="Times New Roman" w:hAnsi="Times New Roman" w:cs="Times New Roman"/>
          <w:b/>
          <w:bCs/>
          <w:i/>
          <w:sz w:val="20"/>
          <w:szCs w:val="20"/>
          <w:lang w:val="en-IN"/>
        </w:rPr>
        <w:t>et al., 2013</w:t>
      </w:r>
      <w:r w:rsidR="00E268E9" w:rsidRPr="00D96F9F">
        <w:rPr>
          <w:rFonts w:ascii="Times New Roman" w:hAnsi="Times New Roman" w:cs="Times New Roman"/>
          <w:b/>
          <w:bCs/>
          <w:i/>
          <w:iCs/>
          <w:sz w:val="20"/>
          <w:szCs w:val="20"/>
          <w:lang w:eastAsia="zh-CN" w:bidi="ar-EG"/>
        </w:rPr>
        <w:t>)</w:t>
      </w:r>
      <w:r w:rsidR="000F5945" w:rsidRPr="00D96F9F">
        <w:rPr>
          <w:rFonts w:ascii="Times New Roman" w:hAnsi="Times New Roman" w:cs="Times New Roman"/>
          <w:b/>
          <w:bCs/>
          <w:i/>
          <w:iCs/>
          <w:sz w:val="20"/>
          <w:szCs w:val="20"/>
          <w:lang w:eastAsia="zh-CN" w:bidi="ar-EG"/>
        </w:rPr>
        <w:t>.</w:t>
      </w:r>
    </w:p>
    <w:p w:rsidR="00A53520" w:rsidRPr="00D96F9F" w:rsidRDefault="000F5945" w:rsidP="00EB7ED6">
      <w:pPr>
        <w:pStyle w:val="FR1"/>
        <w:widowControl/>
        <w:snapToGrid w:val="0"/>
        <w:ind w:firstLine="425"/>
        <w:rPr>
          <w:rStyle w:val="BodyTextIndent2Char"/>
          <w:rFonts w:ascii="Times New Roman" w:hAnsi="Times New Roman" w:cs="Times New Roman"/>
          <w:b/>
          <w:bCs/>
          <w:i/>
          <w:iCs/>
          <w:sz w:val="20"/>
          <w:szCs w:val="20"/>
          <w:lang w:eastAsia="zh-CN" w:bidi="ar-EG"/>
        </w:rPr>
      </w:pPr>
      <w:r w:rsidRPr="00D96F9F">
        <w:rPr>
          <w:rFonts w:ascii="Times New Roman" w:hAnsi="Times New Roman" w:cs="Times New Roman"/>
          <w:sz w:val="20"/>
          <w:szCs w:val="20"/>
          <w:lang w:eastAsia="zh-CN" w:bidi="ar-EG"/>
        </w:rPr>
        <w:t xml:space="preserve">Fifteen percent to twenty percent of affected newborns will die in the postnatal period and an additional twenty five percent will develop severe and permanent neuropsychological </w:t>
      </w:r>
      <w:proofErr w:type="spellStart"/>
      <w:r w:rsidRPr="00D96F9F">
        <w:rPr>
          <w:rFonts w:ascii="Times New Roman" w:hAnsi="Times New Roman" w:cs="Times New Roman"/>
          <w:sz w:val="20"/>
          <w:szCs w:val="20"/>
          <w:lang w:eastAsia="zh-CN" w:bidi="ar-EG"/>
        </w:rPr>
        <w:t>sequelae</w:t>
      </w:r>
      <w:proofErr w:type="spellEnd"/>
      <w:r w:rsidRPr="00D96F9F">
        <w:rPr>
          <w:rFonts w:ascii="Times New Roman" w:hAnsi="Times New Roman" w:cs="Times New Roman"/>
          <w:sz w:val="20"/>
          <w:szCs w:val="20"/>
          <w:lang w:eastAsia="zh-CN" w:bidi="ar-EG"/>
        </w:rPr>
        <w:t xml:space="preserve">, including mental retardation, visual motor or visual perceptive dysfunction, increased hyperactivity, cerebral palsy and epilepsy </w:t>
      </w:r>
      <w:r w:rsidRPr="00D96F9F">
        <w:rPr>
          <w:rFonts w:ascii="Times New Roman" w:hAnsi="Times New Roman" w:cs="Times New Roman"/>
          <w:b/>
          <w:bCs/>
          <w:i/>
          <w:sz w:val="20"/>
          <w:szCs w:val="20"/>
          <w:lang w:eastAsia="zh-CN" w:bidi="ar-EG"/>
        </w:rPr>
        <w:t>(</w:t>
      </w:r>
      <w:r w:rsidRPr="00D96F9F">
        <w:rPr>
          <w:rFonts w:ascii="Times New Roman" w:hAnsi="Times New Roman" w:cs="Times New Roman"/>
          <w:b/>
          <w:i/>
          <w:sz w:val="20"/>
          <w:szCs w:val="20"/>
          <w:lang w:eastAsia="zh-CN" w:bidi="ar-EG"/>
        </w:rPr>
        <w:t xml:space="preserve">Wu, </w:t>
      </w:r>
      <w:proofErr w:type="gramStart"/>
      <w:r w:rsidRPr="00D96F9F">
        <w:rPr>
          <w:rFonts w:ascii="Times New Roman" w:hAnsi="Times New Roman" w:cs="Times New Roman"/>
          <w:b/>
          <w:i/>
          <w:sz w:val="20"/>
          <w:szCs w:val="20"/>
          <w:lang w:eastAsia="zh-CN" w:bidi="ar-EG"/>
        </w:rPr>
        <w:t>2012 )</w:t>
      </w:r>
      <w:proofErr w:type="gramEnd"/>
      <w:r w:rsidRPr="00D96F9F">
        <w:rPr>
          <w:rFonts w:ascii="Times New Roman" w:hAnsi="Times New Roman" w:cs="Times New Roman"/>
          <w:b/>
          <w:i/>
          <w:sz w:val="20"/>
          <w:szCs w:val="20"/>
          <w:lang w:eastAsia="zh-CN" w:bidi="ar-EG"/>
        </w:rPr>
        <w:t>.</w:t>
      </w:r>
    </w:p>
    <w:p w:rsidR="00665123" w:rsidRPr="00D96F9F" w:rsidRDefault="00A53520" w:rsidP="00EB7ED6">
      <w:pPr>
        <w:adjustRightInd w:val="0"/>
        <w:snapToGrid w:val="0"/>
        <w:ind w:firstLine="425"/>
        <w:jc w:val="both"/>
        <w:rPr>
          <w:sz w:val="20"/>
          <w:szCs w:val="20"/>
        </w:rPr>
      </w:pPr>
      <w:r w:rsidRPr="00D96F9F">
        <w:rPr>
          <w:rStyle w:val="BodyTextIndent2Char"/>
          <w:sz w:val="20"/>
          <w:szCs w:val="20"/>
        </w:rPr>
        <w:t xml:space="preserve">There are multiple, biochemical mechanisms and pathways that contribute to the progression of the brain damage that subsequently follows a hypoxic-ischemic insult. These events include energy failure, membrane depolarization, an increase of neurotransmitter release, an increase of intracellular calcium, the </w:t>
      </w:r>
      <w:r w:rsidRPr="00D96F9F">
        <w:rPr>
          <w:sz w:val="20"/>
          <w:szCs w:val="20"/>
          <w:lang w:eastAsia="zh-CN" w:bidi="ar-EG"/>
        </w:rPr>
        <w:t xml:space="preserve">production of oxygen-free radicals, </w:t>
      </w:r>
      <w:r w:rsidR="00483C66" w:rsidRPr="00D96F9F">
        <w:rPr>
          <w:sz w:val="20"/>
          <w:szCs w:val="20"/>
          <w:lang w:eastAsia="zh-CN" w:bidi="ar-EG"/>
        </w:rPr>
        <w:t xml:space="preserve">and </w:t>
      </w:r>
      <w:r w:rsidRPr="00D96F9F">
        <w:rPr>
          <w:sz w:val="20"/>
          <w:szCs w:val="20"/>
          <w:lang w:eastAsia="zh-CN" w:bidi="ar-EG"/>
        </w:rPr>
        <w:t xml:space="preserve">the </w:t>
      </w:r>
      <w:r w:rsidR="00483C66" w:rsidRPr="00D96F9F">
        <w:rPr>
          <w:sz w:val="20"/>
          <w:szCs w:val="20"/>
          <w:lang w:eastAsia="zh-CN" w:bidi="ar-EG"/>
        </w:rPr>
        <w:t>release</w:t>
      </w:r>
      <w:r w:rsidRPr="00D96F9F">
        <w:rPr>
          <w:sz w:val="20"/>
          <w:szCs w:val="20"/>
          <w:lang w:eastAsia="zh-CN" w:bidi="ar-EG"/>
        </w:rPr>
        <w:t xml:space="preserve"> of inflammatory mediators </w:t>
      </w:r>
      <w:r w:rsidR="00FB4ABD" w:rsidRPr="00D96F9F">
        <w:rPr>
          <w:b/>
          <w:bCs/>
          <w:i/>
          <w:sz w:val="20"/>
          <w:szCs w:val="20"/>
          <w:lang w:eastAsia="zh-CN" w:bidi="ar-EG"/>
        </w:rPr>
        <w:t>(</w:t>
      </w:r>
      <w:proofErr w:type="spellStart"/>
      <w:r w:rsidR="00B31786" w:rsidRPr="00D96F9F">
        <w:rPr>
          <w:b/>
          <w:bCs/>
          <w:i/>
          <w:sz w:val="20"/>
          <w:szCs w:val="20"/>
        </w:rPr>
        <w:t>Verklan</w:t>
      </w:r>
      <w:proofErr w:type="spellEnd"/>
      <w:r w:rsidR="00346160" w:rsidRPr="00D96F9F">
        <w:rPr>
          <w:b/>
          <w:bCs/>
          <w:i/>
          <w:sz w:val="20"/>
          <w:szCs w:val="20"/>
        </w:rPr>
        <w:t>,</w:t>
      </w:r>
      <w:r w:rsidR="00B31786" w:rsidRPr="00D96F9F">
        <w:rPr>
          <w:b/>
          <w:bCs/>
          <w:i/>
          <w:iCs/>
          <w:sz w:val="20"/>
          <w:szCs w:val="20"/>
          <w:lang w:eastAsia="zh-CN" w:bidi="ar-EG"/>
        </w:rPr>
        <w:t xml:space="preserve"> </w:t>
      </w:r>
      <w:r w:rsidR="00E268E9" w:rsidRPr="00D96F9F">
        <w:rPr>
          <w:b/>
          <w:bCs/>
          <w:i/>
          <w:iCs/>
          <w:sz w:val="20"/>
          <w:szCs w:val="20"/>
          <w:lang w:eastAsia="zh-CN" w:bidi="ar-EG"/>
        </w:rPr>
        <w:lastRenderedPageBreak/>
        <w:t>2009</w:t>
      </w:r>
      <w:r w:rsidRPr="00D96F9F">
        <w:rPr>
          <w:b/>
          <w:bCs/>
          <w:i/>
          <w:iCs/>
          <w:sz w:val="20"/>
          <w:szCs w:val="20"/>
          <w:lang w:eastAsia="zh-CN" w:bidi="ar-EG"/>
        </w:rPr>
        <w:t>).</w:t>
      </w:r>
      <w:r w:rsidR="009A70D0" w:rsidRPr="00D96F9F">
        <w:rPr>
          <w:sz w:val="20"/>
          <w:szCs w:val="20"/>
        </w:rPr>
        <w:t xml:space="preserve"> </w:t>
      </w:r>
      <w:r w:rsidR="00196107" w:rsidRPr="00D96F9F">
        <w:rPr>
          <w:rStyle w:val="st"/>
          <w:sz w:val="20"/>
          <w:szCs w:val="20"/>
        </w:rPr>
        <w:t>N-Methyl-D-aspartic</w:t>
      </w:r>
      <w:r w:rsidR="003C72A8" w:rsidRPr="00D96F9F">
        <w:rPr>
          <w:rStyle w:val="st"/>
          <w:sz w:val="20"/>
          <w:szCs w:val="20"/>
        </w:rPr>
        <w:t xml:space="preserve"> (NMDA)</w:t>
      </w:r>
      <w:r w:rsidR="00196107" w:rsidRPr="00D96F9F">
        <w:rPr>
          <w:rStyle w:val="st"/>
          <w:sz w:val="20"/>
          <w:szCs w:val="20"/>
        </w:rPr>
        <w:t xml:space="preserve"> acid</w:t>
      </w:r>
      <w:r w:rsidR="00196107" w:rsidRPr="00D96F9F">
        <w:rPr>
          <w:sz w:val="20"/>
          <w:szCs w:val="20"/>
        </w:rPr>
        <w:t xml:space="preserve"> </w:t>
      </w:r>
      <w:r w:rsidR="00125CD1" w:rsidRPr="00D96F9F">
        <w:rPr>
          <w:sz w:val="20"/>
          <w:szCs w:val="20"/>
        </w:rPr>
        <w:t>channel is normally closed by magnesium</w:t>
      </w:r>
      <w:r w:rsidR="00E6473C" w:rsidRPr="00D96F9F">
        <w:rPr>
          <w:sz w:val="20"/>
          <w:szCs w:val="20"/>
        </w:rPr>
        <w:t xml:space="preserve"> ions in a voltage dependent manner.</w:t>
      </w:r>
      <w:r w:rsidR="00B810C9" w:rsidRPr="00D96F9F">
        <w:rPr>
          <w:sz w:val="20"/>
          <w:szCs w:val="20"/>
        </w:rPr>
        <w:t xml:space="preserve"> </w:t>
      </w:r>
      <w:r w:rsidR="00E6473C" w:rsidRPr="00D96F9F">
        <w:rPr>
          <w:sz w:val="20"/>
          <w:szCs w:val="20"/>
        </w:rPr>
        <w:t xml:space="preserve">Hypoxia decreases the blocking effect of magnesium </w:t>
      </w:r>
      <w:r w:rsidR="00125CD1" w:rsidRPr="00D96F9F">
        <w:rPr>
          <w:sz w:val="20"/>
          <w:szCs w:val="20"/>
        </w:rPr>
        <w:t>i</w:t>
      </w:r>
      <w:r w:rsidR="00E6473C" w:rsidRPr="00D96F9F">
        <w:rPr>
          <w:sz w:val="20"/>
          <w:szCs w:val="20"/>
        </w:rPr>
        <w:t xml:space="preserve">on the channel thus causes a rapid influx of Ca+2 into the cell which has been reported to be the major cause of cell death </w:t>
      </w:r>
      <w:r w:rsidR="00CE4408" w:rsidRPr="00D96F9F">
        <w:rPr>
          <w:b/>
          <w:i/>
          <w:sz w:val="20"/>
          <w:szCs w:val="20"/>
        </w:rPr>
        <w:t>(</w:t>
      </w:r>
      <w:r w:rsidR="00931D4A" w:rsidRPr="00D96F9F">
        <w:rPr>
          <w:b/>
          <w:i/>
          <w:sz w:val="20"/>
          <w:szCs w:val="20"/>
        </w:rPr>
        <w:t>Calvert</w:t>
      </w:r>
      <w:r w:rsidR="00A34BE7" w:rsidRPr="00D96F9F">
        <w:rPr>
          <w:b/>
          <w:i/>
          <w:sz w:val="20"/>
          <w:szCs w:val="20"/>
        </w:rPr>
        <w:t>,</w:t>
      </w:r>
      <w:r w:rsidR="00931D4A" w:rsidRPr="00D96F9F">
        <w:rPr>
          <w:b/>
          <w:i/>
          <w:sz w:val="20"/>
          <w:szCs w:val="20"/>
        </w:rPr>
        <w:t xml:space="preserve"> 2005</w:t>
      </w:r>
      <w:r w:rsidR="00E6473C" w:rsidRPr="00D96F9F">
        <w:rPr>
          <w:b/>
          <w:i/>
          <w:sz w:val="20"/>
          <w:szCs w:val="20"/>
        </w:rPr>
        <w:t>)</w:t>
      </w:r>
      <w:r w:rsidR="00E6473C" w:rsidRPr="00D96F9F">
        <w:rPr>
          <w:sz w:val="20"/>
          <w:szCs w:val="20"/>
        </w:rPr>
        <w:t>.</w:t>
      </w:r>
    </w:p>
    <w:p w:rsidR="009A70D0" w:rsidRPr="00D96F9F" w:rsidRDefault="0005702A" w:rsidP="00EB7ED6">
      <w:pPr>
        <w:adjustRightInd w:val="0"/>
        <w:snapToGrid w:val="0"/>
        <w:jc w:val="both"/>
        <w:rPr>
          <w:b/>
          <w:bCs/>
          <w:sz w:val="20"/>
          <w:szCs w:val="20"/>
        </w:rPr>
      </w:pPr>
      <w:r w:rsidRPr="00D96F9F">
        <w:rPr>
          <w:b/>
          <w:bCs/>
          <w:sz w:val="20"/>
          <w:szCs w:val="20"/>
        </w:rPr>
        <w:t xml:space="preserve">Aim of </w:t>
      </w:r>
      <w:proofErr w:type="gramStart"/>
      <w:r w:rsidRPr="00D96F9F">
        <w:rPr>
          <w:b/>
          <w:bCs/>
          <w:sz w:val="20"/>
          <w:szCs w:val="20"/>
        </w:rPr>
        <w:t>The</w:t>
      </w:r>
      <w:proofErr w:type="gramEnd"/>
      <w:r w:rsidRPr="00D96F9F">
        <w:rPr>
          <w:b/>
          <w:bCs/>
          <w:sz w:val="20"/>
          <w:szCs w:val="20"/>
        </w:rPr>
        <w:t xml:space="preserve"> Work</w:t>
      </w:r>
    </w:p>
    <w:p w:rsidR="009A70D0" w:rsidRPr="00D96F9F" w:rsidRDefault="009A70D0" w:rsidP="00EB7ED6">
      <w:pPr>
        <w:adjustRightInd w:val="0"/>
        <w:snapToGrid w:val="0"/>
        <w:ind w:firstLine="425"/>
        <w:jc w:val="both"/>
        <w:rPr>
          <w:sz w:val="20"/>
          <w:szCs w:val="20"/>
        </w:rPr>
      </w:pPr>
      <w:r w:rsidRPr="00D96F9F">
        <w:rPr>
          <w:sz w:val="20"/>
          <w:szCs w:val="20"/>
        </w:rPr>
        <w:t xml:space="preserve">The aim of this study is to assess </w:t>
      </w:r>
      <w:r w:rsidR="0056263C" w:rsidRPr="00D96F9F">
        <w:rPr>
          <w:sz w:val="20"/>
          <w:szCs w:val="20"/>
        </w:rPr>
        <w:t xml:space="preserve">and correlate </w:t>
      </w:r>
      <w:r w:rsidRPr="00D96F9F">
        <w:rPr>
          <w:sz w:val="20"/>
          <w:szCs w:val="20"/>
        </w:rPr>
        <w:t xml:space="preserve">the serum </w:t>
      </w:r>
      <w:r w:rsidR="00D23064" w:rsidRPr="00D96F9F">
        <w:rPr>
          <w:sz w:val="20"/>
          <w:szCs w:val="20"/>
        </w:rPr>
        <w:t>levels of total serum magnesium and ionized calcium in full term newborns with hypoxic ischemic encephalopathy in the first two days of life</w:t>
      </w:r>
      <w:r w:rsidR="0056263C" w:rsidRPr="00D96F9F">
        <w:rPr>
          <w:sz w:val="20"/>
          <w:szCs w:val="20"/>
        </w:rPr>
        <w:t xml:space="preserve"> and compare </w:t>
      </w:r>
      <w:proofErr w:type="gramStart"/>
      <w:r w:rsidR="0056263C" w:rsidRPr="00D96F9F">
        <w:rPr>
          <w:sz w:val="20"/>
          <w:szCs w:val="20"/>
        </w:rPr>
        <w:t>th</w:t>
      </w:r>
      <w:r w:rsidR="006F6CEC" w:rsidRPr="00D96F9F">
        <w:rPr>
          <w:sz w:val="20"/>
          <w:szCs w:val="20"/>
        </w:rPr>
        <w:t>at levels</w:t>
      </w:r>
      <w:proofErr w:type="gramEnd"/>
      <w:r w:rsidR="006F6CEC" w:rsidRPr="00D96F9F">
        <w:rPr>
          <w:sz w:val="20"/>
          <w:szCs w:val="20"/>
        </w:rPr>
        <w:t xml:space="preserve"> to levels in healthy controls.</w:t>
      </w:r>
    </w:p>
    <w:p w:rsidR="0005702A" w:rsidRPr="00D96F9F" w:rsidRDefault="0005702A" w:rsidP="00EB7ED6">
      <w:pPr>
        <w:adjustRightInd w:val="0"/>
        <w:snapToGrid w:val="0"/>
        <w:jc w:val="both"/>
        <w:rPr>
          <w:b/>
          <w:bCs/>
          <w:sz w:val="20"/>
          <w:szCs w:val="20"/>
        </w:rPr>
      </w:pPr>
    </w:p>
    <w:p w:rsidR="002017BF" w:rsidRPr="00D96F9F" w:rsidRDefault="0005702A" w:rsidP="00EB7ED6">
      <w:pPr>
        <w:adjustRightInd w:val="0"/>
        <w:snapToGrid w:val="0"/>
        <w:jc w:val="both"/>
        <w:rPr>
          <w:b/>
          <w:bCs/>
          <w:sz w:val="20"/>
          <w:szCs w:val="20"/>
        </w:rPr>
      </w:pPr>
      <w:r w:rsidRPr="00D96F9F">
        <w:rPr>
          <w:b/>
          <w:bCs/>
          <w:sz w:val="20"/>
          <w:szCs w:val="20"/>
        </w:rPr>
        <w:t xml:space="preserve">2. </w:t>
      </w:r>
      <w:proofErr w:type="spellStart"/>
      <w:r w:rsidRPr="00D96F9F">
        <w:rPr>
          <w:b/>
          <w:bCs/>
          <w:sz w:val="20"/>
          <w:szCs w:val="20"/>
        </w:rPr>
        <w:t>Subgects</w:t>
      </w:r>
      <w:proofErr w:type="spellEnd"/>
      <w:r w:rsidRPr="00D96F9F">
        <w:rPr>
          <w:b/>
          <w:bCs/>
          <w:sz w:val="20"/>
          <w:szCs w:val="20"/>
        </w:rPr>
        <w:t xml:space="preserve"> and Methods</w:t>
      </w:r>
    </w:p>
    <w:p w:rsidR="002017BF" w:rsidRPr="00D96F9F" w:rsidRDefault="002017BF" w:rsidP="00EB7ED6">
      <w:pPr>
        <w:adjustRightInd w:val="0"/>
        <w:snapToGrid w:val="0"/>
        <w:jc w:val="both"/>
        <w:rPr>
          <w:b/>
          <w:bCs/>
          <w:sz w:val="20"/>
          <w:szCs w:val="20"/>
        </w:rPr>
      </w:pPr>
      <w:r w:rsidRPr="00D96F9F">
        <w:rPr>
          <w:b/>
          <w:bCs/>
          <w:sz w:val="20"/>
          <w:szCs w:val="20"/>
        </w:rPr>
        <w:t>Study design:</w:t>
      </w:r>
    </w:p>
    <w:p w:rsidR="00845D97" w:rsidRPr="00D96F9F" w:rsidRDefault="002017BF" w:rsidP="00EB7ED6">
      <w:pPr>
        <w:pStyle w:val="BodyText"/>
        <w:adjustRightInd w:val="0"/>
        <w:snapToGrid w:val="0"/>
        <w:ind w:firstLine="425"/>
        <w:jc w:val="both"/>
        <w:rPr>
          <w:rFonts w:cs="Times New Roman"/>
          <w:sz w:val="20"/>
          <w:szCs w:val="20"/>
        </w:rPr>
      </w:pPr>
      <w:r w:rsidRPr="00D96F9F">
        <w:rPr>
          <w:rFonts w:cs="Times New Roman"/>
          <w:sz w:val="20"/>
          <w:szCs w:val="20"/>
        </w:rPr>
        <w:t xml:space="preserve">Prospective study including twenty five full term newborn infants born in </w:t>
      </w:r>
      <w:proofErr w:type="spellStart"/>
      <w:r w:rsidRPr="00D96F9F">
        <w:rPr>
          <w:rFonts w:cs="Times New Roman"/>
          <w:sz w:val="20"/>
          <w:szCs w:val="20"/>
        </w:rPr>
        <w:t>Bab</w:t>
      </w:r>
      <w:proofErr w:type="spellEnd"/>
      <w:r w:rsidRPr="00D96F9F">
        <w:rPr>
          <w:rFonts w:cs="Times New Roman"/>
          <w:sz w:val="20"/>
          <w:szCs w:val="20"/>
        </w:rPr>
        <w:t xml:space="preserve"> El-</w:t>
      </w:r>
      <w:proofErr w:type="spellStart"/>
      <w:r w:rsidRPr="00D96F9F">
        <w:rPr>
          <w:rFonts w:cs="Times New Roman"/>
          <w:sz w:val="20"/>
          <w:szCs w:val="20"/>
        </w:rPr>
        <w:t>Sharyia</w:t>
      </w:r>
      <w:proofErr w:type="spellEnd"/>
      <w:r w:rsidRPr="00D96F9F">
        <w:rPr>
          <w:rFonts w:cs="Times New Roman"/>
          <w:sz w:val="20"/>
          <w:szCs w:val="20"/>
        </w:rPr>
        <w:t xml:space="preserve"> University Hospital and referred to the neonatology unit of pediatric department with the diagnosis of HIE during the period of October 2</w:t>
      </w:r>
      <w:r w:rsidR="006066B9" w:rsidRPr="00D96F9F">
        <w:rPr>
          <w:rFonts w:cs="Times New Roman"/>
          <w:sz w:val="20"/>
          <w:szCs w:val="20"/>
        </w:rPr>
        <w:t>013</w:t>
      </w:r>
      <w:r w:rsidR="004D6743" w:rsidRPr="00D96F9F">
        <w:rPr>
          <w:rFonts w:cs="Times New Roman"/>
          <w:sz w:val="20"/>
          <w:szCs w:val="20"/>
        </w:rPr>
        <w:t xml:space="preserve"> </w:t>
      </w:r>
      <w:r w:rsidRPr="00D96F9F">
        <w:rPr>
          <w:rFonts w:cs="Times New Roman"/>
          <w:sz w:val="20"/>
          <w:szCs w:val="20"/>
        </w:rPr>
        <w:t xml:space="preserve">- </w:t>
      </w:r>
      <w:r w:rsidR="006066B9" w:rsidRPr="00D96F9F">
        <w:rPr>
          <w:rFonts w:cs="Times New Roman"/>
          <w:sz w:val="20"/>
          <w:szCs w:val="20"/>
        </w:rPr>
        <w:t xml:space="preserve">September </w:t>
      </w:r>
      <w:r w:rsidRPr="00D96F9F">
        <w:rPr>
          <w:rFonts w:cs="Times New Roman"/>
          <w:sz w:val="20"/>
          <w:szCs w:val="20"/>
        </w:rPr>
        <w:t>20</w:t>
      </w:r>
      <w:r w:rsidR="006066B9" w:rsidRPr="00D96F9F">
        <w:rPr>
          <w:rFonts w:cs="Times New Roman"/>
          <w:sz w:val="20"/>
          <w:szCs w:val="20"/>
        </w:rPr>
        <w:t>14</w:t>
      </w:r>
      <w:r w:rsidRPr="00D96F9F">
        <w:rPr>
          <w:rFonts w:cs="Times New Roman"/>
          <w:sz w:val="20"/>
          <w:szCs w:val="20"/>
        </w:rPr>
        <w:t xml:space="preserve">. </w:t>
      </w:r>
      <w:proofErr w:type="gramStart"/>
      <w:r w:rsidRPr="00D96F9F">
        <w:rPr>
          <w:rFonts w:cs="Times New Roman"/>
          <w:sz w:val="20"/>
          <w:szCs w:val="20"/>
        </w:rPr>
        <w:t xml:space="preserve">A control group of </w:t>
      </w:r>
      <w:r w:rsidR="006066B9" w:rsidRPr="00D96F9F">
        <w:rPr>
          <w:rFonts w:cs="Times New Roman"/>
          <w:sz w:val="20"/>
          <w:szCs w:val="20"/>
        </w:rPr>
        <w:t>25</w:t>
      </w:r>
      <w:r w:rsidR="001F24B4" w:rsidRPr="00D96F9F">
        <w:rPr>
          <w:rFonts w:cs="Times New Roman"/>
          <w:sz w:val="20"/>
          <w:szCs w:val="20"/>
        </w:rPr>
        <w:t xml:space="preserve"> </w:t>
      </w:r>
      <w:r w:rsidRPr="00D96F9F">
        <w:rPr>
          <w:rFonts w:cs="Times New Roman"/>
          <w:sz w:val="20"/>
          <w:szCs w:val="20"/>
        </w:rPr>
        <w:t>matched</w:t>
      </w:r>
      <w:r w:rsidR="00845D97" w:rsidRPr="00D96F9F">
        <w:rPr>
          <w:rFonts w:cs="Times New Roman"/>
          <w:sz w:val="20"/>
          <w:szCs w:val="20"/>
        </w:rPr>
        <w:t xml:space="preserve"> healthy</w:t>
      </w:r>
      <w:r w:rsidRPr="00D96F9F">
        <w:rPr>
          <w:rFonts w:cs="Times New Roman"/>
          <w:sz w:val="20"/>
          <w:szCs w:val="20"/>
        </w:rPr>
        <w:t xml:space="preserve"> full-term newborns</w:t>
      </w:r>
      <w:r w:rsidR="006066B9" w:rsidRPr="00D96F9F">
        <w:rPr>
          <w:rFonts w:cs="Times New Roman"/>
          <w:sz w:val="20"/>
          <w:szCs w:val="20"/>
        </w:rPr>
        <w:t xml:space="preserve"> </w:t>
      </w:r>
      <w:r w:rsidRPr="00D96F9F">
        <w:rPr>
          <w:rFonts w:cs="Times New Roman"/>
          <w:sz w:val="20"/>
          <w:szCs w:val="20"/>
        </w:rPr>
        <w:t xml:space="preserve">with no history of </w:t>
      </w:r>
      <w:proofErr w:type="spellStart"/>
      <w:r w:rsidRPr="00D96F9F">
        <w:rPr>
          <w:rFonts w:cs="Times New Roman"/>
          <w:sz w:val="20"/>
          <w:szCs w:val="20"/>
        </w:rPr>
        <w:t>perinatal</w:t>
      </w:r>
      <w:proofErr w:type="spellEnd"/>
      <w:r w:rsidRPr="00D96F9F">
        <w:rPr>
          <w:rFonts w:cs="Times New Roman"/>
          <w:sz w:val="20"/>
          <w:szCs w:val="20"/>
        </w:rPr>
        <w:t xml:space="preserve"> asphyxia</w:t>
      </w:r>
      <w:r w:rsidR="00845D97" w:rsidRPr="00D96F9F">
        <w:rPr>
          <w:rFonts w:cs="Times New Roman"/>
          <w:sz w:val="20"/>
          <w:szCs w:val="20"/>
        </w:rPr>
        <w:t>.</w:t>
      </w:r>
      <w:proofErr w:type="gramEnd"/>
    </w:p>
    <w:p w:rsidR="002017BF" w:rsidRPr="00D96F9F" w:rsidRDefault="002017BF" w:rsidP="00EB7ED6">
      <w:pPr>
        <w:pStyle w:val="BodyText"/>
        <w:adjustRightInd w:val="0"/>
        <w:snapToGrid w:val="0"/>
        <w:ind w:firstLine="425"/>
        <w:jc w:val="both"/>
        <w:rPr>
          <w:rFonts w:cs="Times New Roman"/>
          <w:b/>
          <w:i/>
          <w:sz w:val="20"/>
          <w:szCs w:val="20"/>
        </w:rPr>
      </w:pPr>
      <w:r w:rsidRPr="00D96F9F">
        <w:rPr>
          <w:rFonts w:cs="Times New Roman"/>
          <w:sz w:val="20"/>
          <w:szCs w:val="20"/>
        </w:rPr>
        <w:lastRenderedPageBreak/>
        <w:t xml:space="preserve">The following criteria were used for the diagnosis of HIE, with one or more of the following: (1) 5 minutes </w:t>
      </w:r>
      <w:proofErr w:type="spellStart"/>
      <w:r w:rsidRPr="00D96F9F">
        <w:rPr>
          <w:rFonts w:cs="Times New Roman"/>
          <w:sz w:val="20"/>
          <w:szCs w:val="20"/>
        </w:rPr>
        <w:t>Apgar</w:t>
      </w:r>
      <w:proofErr w:type="spellEnd"/>
      <w:r w:rsidRPr="00D96F9F">
        <w:rPr>
          <w:rFonts w:cs="Times New Roman"/>
          <w:sz w:val="20"/>
          <w:szCs w:val="20"/>
        </w:rPr>
        <w:t xml:space="preserve"> score &lt; 6, </w:t>
      </w:r>
      <w:r w:rsidR="00C47229" w:rsidRPr="00D96F9F">
        <w:rPr>
          <w:rFonts w:cs="Times New Roman"/>
          <w:sz w:val="20"/>
          <w:szCs w:val="20"/>
        </w:rPr>
        <w:t xml:space="preserve">sever </w:t>
      </w:r>
      <w:r w:rsidRPr="00D96F9F">
        <w:rPr>
          <w:rFonts w:cs="Times New Roman"/>
          <w:sz w:val="20"/>
          <w:szCs w:val="20"/>
        </w:rPr>
        <w:t xml:space="preserve">metabolic acidosis (PH </w:t>
      </w:r>
      <w:r w:rsidRPr="00D96F9F">
        <w:rPr>
          <w:rFonts w:cs="Times New Roman"/>
          <w:sz w:val="20"/>
          <w:szCs w:val="20"/>
        </w:rPr>
        <w:sym w:font="Symbol" w:char="F0A3"/>
      </w:r>
      <w:r w:rsidRPr="00D96F9F">
        <w:rPr>
          <w:rFonts w:cs="Times New Roman"/>
          <w:sz w:val="20"/>
          <w:szCs w:val="20"/>
        </w:rPr>
        <w:t xml:space="preserve">7), and/or delayed first breath beyond 5 minutes after birth; (2) mechanical ventilation at birth; (3) evidence of encephalopathy and (4) evidence of multisystem involvement (i.e. encephalopathy and at least one other system) </w:t>
      </w:r>
      <w:r w:rsidRPr="00D96F9F">
        <w:rPr>
          <w:rFonts w:cs="Times New Roman"/>
          <w:b/>
          <w:i/>
          <w:sz w:val="20"/>
          <w:szCs w:val="20"/>
        </w:rPr>
        <w:t>(American Academy of Pediatrics, 1994).</w:t>
      </w:r>
    </w:p>
    <w:p w:rsidR="002017BF" w:rsidRPr="00D96F9F" w:rsidRDefault="002017BF" w:rsidP="00EB7ED6">
      <w:pPr>
        <w:adjustRightInd w:val="0"/>
        <w:snapToGrid w:val="0"/>
        <w:ind w:firstLine="425"/>
        <w:jc w:val="both"/>
        <w:rPr>
          <w:b/>
          <w:bCs/>
          <w:sz w:val="20"/>
          <w:szCs w:val="20"/>
        </w:rPr>
      </w:pPr>
      <w:r w:rsidRPr="00D96F9F">
        <w:rPr>
          <w:sz w:val="20"/>
          <w:szCs w:val="20"/>
        </w:rPr>
        <w:t>Infants were excluded f</w:t>
      </w:r>
      <w:r w:rsidR="00433CEC" w:rsidRPr="00D96F9F">
        <w:rPr>
          <w:sz w:val="20"/>
          <w:szCs w:val="20"/>
        </w:rPr>
        <w:t>ro</w:t>
      </w:r>
      <w:r w:rsidRPr="00D96F9F">
        <w:rPr>
          <w:sz w:val="20"/>
          <w:szCs w:val="20"/>
        </w:rPr>
        <w:t>m the study if they had any of the following:</w:t>
      </w:r>
    </w:p>
    <w:p w:rsidR="002017BF" w:rsidRPr="00D96F9F" w:rsidRDefault="002017BF" w:rsidP="00EB7ED6">
      <w:pPr>
        <w:adjustRightInd w:val="0"/>
        <w:snapToGrid w:val="0"/>
        <w:ind w:firstLine="425"/>
        <w:jc w:val="both"/>
        <w:rPr>
          <w:sz w:val="20"/>
          <w:szCs w:val="20"/>
        </w:rPr>
      </w:pPr>
      <w:r w:rsidRPr="00D96F9F">
        <w:rPr>
          <w:sz w:val="20"/>
          <w:szCs w:val="20"/>
        </w:rPr>
        <w:t>1. Premature &lt; 37 week</w:t>
      </w:r>
    </w:p>
    <w:p w:rsidR="002017BF" w:rsidRPr="00D96F9F" w:rsidRDefault="002017BF" w:rsidP="00EB7ED6">
      <w:pPr>
        <w:adjustRightInd w:val="0"/>
        <w:snapToGrid w:val="0"/>
        <w:ind w:firstLine="425"/>
        <w:jc w:val="both"/>
        <w:rPr>
          <w:sz w:val="20"/>
          <w:szCs w:val="20"/>
        </w:rPr>
      </w:pPr>
      <w:r w:rsidRPr="00D96F9F">
        <w:rPr>
          <w:sz w:val="20"/>
          <w:szCs w:val="20"/>
        </w:rPr>
        <w:t xml:space="preserve">2. Infant with </w:t>
      </w:r>
      <w:proofErr w:type="spellStart"/>
      <w:r w:rsidRPr="00D96F9F">
        <w:rPr>
          <w:sz w:val="20"/>
          <w:szCs w:val="20"/>
        </w:rPr>
        <w:t>Apgar</w:t>
      </w:r>
      <w:proofErr w:type="spellEnd"/>
      <w:r w:rsidRPr="00D96F9F">
        <w:rPr>
          <w:sz w:val="20"/>
          <w:szCs w:val="20"/>
        </w:rPr>
        <w:t xml:space="preserve"> score &gt; 6 at 5</w:t>
      </w:r>
      <w:r w:rsidRPr="00D96F9F">
        <w:rPr>
          <w:sz w:val="20"/>
          <w:szCs w:val="20"/>
          <w:vertAlign w:val="superscript"/>
        </w:rPr>
        <w:t xml:space="preserve"> </w:t>
      </w:r>
      <w:r w:rsidRPr="00D96F9F">
        <w:rPr>
          <w:sz w:val="20"/>
          <w:szCs w:val="20"/>
        </w:rPr>
        <w:t>minute</w:t>
      </w:r>
    </w:p>
    <w:p w:rsidR="002017BF" w:rsidRPr="00D96F9F" w:rsidRDefault="002017BF" w:rsidP="00EB7ED6">
      <w:pPr>
        <w:adjustRightInd w:val="0"/>
        <w:snapToGrid w:val="0"/>
        <w:ind w:firstLine="425"/>
        <w:jc w:val="both"/>
        <w:rPr>
          <w:sz w:val="20"/>
          <w:szCs w:val="20"/>
        </w:rPr>
      </w:pPr>
      <w:r w:rsidRPr="00D96F9F">
        <w:rPr>
          <w:sz w:val="20"/>
          <w:szCs w:val="20"/>
        </w:rPr>
        <w:t>3. Infant with early neonatal sepsis confirmed by positive sepsis screen was excluded later on from the study.</w:t>
      </w:r>
    </w:p>
    <w:p w:rsidR="009244F2" w:rsidRPr="00D96F9F" w:rsidRDefault="002017BF" w:rsidP="00EB7ED6">
      <w:pPr>
        <w:pStyle w:val="BodyText"/>
        <w:adjustRightInd w:val="0"/>
        <w:snapToGrid w:val="0"/>
        <w:ind w:firstLine="425"/>
        <w:jc w:val="both"/>
        <w:rPr>
          <w:rFonts w:cs="Times New Roman"/>
          <w:sz w:val="20"/>
          <w:szCs w:val="20"/>
        </w:rPr>
      </w:pPr>
      <w:r w:rsidRPr="00D96F9F">
        <w:rPr>
          <w:rFonts w:cs="Times New Roman"/>
          <w:sz w:val="20"/>
          <w:szCs w:val="20"/>
        </w:rPr>
        <w:t>4. Congenital malformations.</w:t>
      </w:r>
    </w:p>
    <w:p w:rsidR="002017BF" w:rsidRPr="00D96F9F" w:rsidRDefault="002017BF" w:rsidP="00EB7ED6">
      <w:pPr>
        <w:pStyle w:val="BodyText"/>
        <w:adjustRightInd w:val="0"/>
        <w:snapToGrid w:val="0"/>
        <w:ind w:firstLine="425"/>
        <w:jc w:val="both"/>
        <w:rPr>
          <w:rFonts w:cs="Times New Roman"/>
          <w:sz w:val="20"/>
          <w:szCs w:val="20"/>
        </w:rPr>
      </w:pPr>
      <w:r w:rsidRPr="00D96F9F">
        <w:rPr>
          <w:rFonts w:cs="Times New Roman"/>
          <w:sz w:val="20"/>
          <w:szCs w:val="20"/>
        </w:rPr>
        <w:t>5.</w:t>
      </w:r>
      <w:r w:rsidRPr="00D96F9F">
        <w:rPr>
          <w:rFonts w:cs="Times New Roman"/>
          <w:b/>
          <w:bCs/>
          <w:sz w:val="20"/>
          <w:szCs w:val="20"/>
        </w:rPr>
        <w:t xml:space="preserve"> </w:t>
      </w:r>
      <w:r w:rsidRPr="00D96F9F">
        <w:rPr>
          <w:rFonts w:cs="Times New Roman"/>
          <w:sz w:val="20"/>
          <w:szCs w:val="20"/>
        </w:rPr>
        <w:t>Intracranial hemorrhage</w:t>
      </w:r>
    </w:p>
    <w:p w:rsidR="002017BF" w:rsidRPr="00D96F9F" w:rsidRDefault="002017BF" w:rsidP="00EB7ED6">
      <w:pPr>
        <w:pStyle w:val="BodyText"/>
        <w:adjustRightInd w:val="0"/>
        <w:snapToGrid w:val="0"/>
        <w:jc w:val="both"/>
        <w:rPr>
          <w:rFonts w:cs="Times New Roman"/>
          <w:b/>
          <w:bCs/>
          <w:sz w:val="20"/>
          <w:szCs w:val="20"/>
        </w:rPr>
      </w:pPr>
      <w:r w:rsidRPr="00D96F9F">
        <w:rPr>
          <w:rFonts w:cs="Times New Roman"/>
          <w:b/>
          <w:bCs/>
          <w:sz w:val="20"/>
          <w:szCs w:val="20"/>
        </w:rPr>
        <w:t>Methods:</w:t>
      </w:r>
    </w:p>
    <w:p w:rsidR="002017BF" w:rsidRPr="00D96F9F" w:rsidRDefault="002017BF" w:rsidP="00EB7ED6">
      <w:pPr>
        <w:pStyle w:val="BodyText"/>
        <w:adjustRightInd w:val="0"/>
        <w:snapToGrid w:val="0"/>
        <w:ind w:firstLine="425"/>
        <w:jc w:val="both"/>
        <w:rPr>
          <w:rFonts w:cs="Times New Roman"/>
          <w:sz w:val="20"/>
          <w:szCs w:val="20"/>
        </w:rPr>
      </w:pPr>
      <w:r w:rsidRPr="00D96F9F">
        <w:rPr>
          <w:rFonts w:cs="Times New Roman"/>
          <w:sz w:val="20"/>
          <w:szCs w:val="20"/>
        </w:rPr>
        <w:t>All studied newborns were subjected to thorough history, full clinical examination with stress on neurologic evidence of HIE including reflexes, tone, posture, movement</w:t>
      </w:r>
      <w:r w:rsidR="00845D97" w:rsidRPr="00D96F9F">
        <w:rPr>
          <w:rFonts w:cs="Times New Roman"/>
          <w:sz w:val="20"/>
          <w:szCs w:val="20"/>
        </w:rPr>
        <w:t>, seizures</w:t>
      </w:r>
      <w:r w:rsidR="00EB7ED6">
        <w:rPr>
          <w:rFonts w:cs="Times New Roman"/>
          <w:sz w:val="20"/>
          <w:szCs w:val="20"/>
        </w:rPr>
        <w:t xml:space="preserve"> </w:t>
      </w:r>
      <w:r w:rsidRPr="00D96F9F">
        <w:rPr>
          <w:rFonts w:cs="Times New Roman"/>
          <w:sz w:val="20"/>
          <w:szCs w:val="20"/>
        </w:rPr>
        <w:t>and cranial nerve function,</w:t>
      </w:r>
    </w:p>
    <w:p w:rsidR="002017BF" w:rsidRPr="00D96F9F" w:rsidRDefault="002017BF" w:rsidP="00EB7ED6">
      <w:pPr>
        <w:pStyle w:val="BodyText"/>
        <w:adjustRightInd w:val="0"/>
        <w:snapToGrid w:val="0"/>
        <w:ind w:firstLine="425"/>
        <w:jc w:val="both"/>
        <w:rPr>
          <w:rFonts w:cs="Times New Roman"/>
          <w:sz w:val="20"/>
          <w:szCs w:val="20"/>
        </w:rPr>
      </w:pPr>
      <w:r w:rsidRPr="00D96F9F">
        <w:rPr>
          <w:rFonts w:cs="Times New Roman"/>
          <w:sz w:val="20"/>
          <w:szCs w:val="20"/>
        </w:rPr>
        <w:t xml:space="preserve">Patients group were classified according to </w:t>
      </w:r>
      <w:proofErr w:type="spellStart"/>
      <w:r w:rsidRPr="00D96F9F">
        <w:rPr>
          <w:rFonts w:cs="Times New Roman"/>
          <w:b/>
          <w:sz w:val="20"/>
          <w:szCs w:val="20"/>
        </w:rPr>
        <w:t>Sarnat</w:t>
      </w:r>
      <w:proofErr w:type="spellEnd"/>
      <w:r w:rsidRPr="00D96F9F">
        <w:rPr>
          <w:rFonts w:cs="Times New Roman"/>
          <w:b/>
          <w:sz w:val="20"/>
          <w:szCs w:val="20"/>
        </w:rPr>
        <w:t xml:space="preserve"> and </w:t>
      </w:r>
      <w:proofErr w:type="spellStart"/>
      <w:r w:rsidRPr="00D96F9F">
        <w:rPr>
          <w:rFonts w:cs="Times New Roman"/>
          <w:b/>
          <w:sz w:val="20"/>
          <w:szCs w:val="20"/>
        </w:rPr>
        <w:t>Sarnat’s</w:t>
      </w:r>
      <w:proofErr w:type="spellEnd"/>
      <w:r w:rsidRPr="00D96F9F">
        <w:rPr>
          <w:rFonts w:cs="Times New Roman"/>
          <w:b/>
          <w:sz w:val="20"/>
          <w:szCs w:val="20"/>
        </w:rPr>
        <w:t xml:space="preserve"> (1976)</w:t>
      </w:r>
      <w:r w:rsidRPr="00D96F9F">
        <w:rPr>
          <w:rFonts w:cs="Times New Roman"/>
          <w:sz w:val="20"/>
          <w:szCs w:val="20"/>
        </w:rPr>
        <w:t xml:space="preserve"> criteria into 3 groups:</w:t>
      </w:r>
    </w:p>
    <w:p w:rsidR="002017BF" w:rsidRPr="00D96F9F" w:rsidRDefault="002017BF" w:rsidP="00EB7ED6">
      <w:pPr>
        <w:pStyle w:val="BodyText"/>
        <w:adjustRightInd w:val="0"/>
        <w:snapToGrid w:val="0"/>
        <w:jc w:val="both"/>
        <w:rPr>
          <w:rFonts w:cs="Times New Roman"/>
          <w:sz w:val="20"/>
          <w:szCs w:val="20"/>
        </w:rPr>
      </w:pPr>
      <w:r w:rsidRPr="00D96F9F">
        <w:rPr>
          <w:rFonts w:cs="Times New Roman"/>
          <w:b/>
          <w:bCs/>
          <w:sz w:val="20"/>
          <w:szCs w:val="20"/>
        </w:rPr>
        <w:t>Group I (Mild HIE):</w:t>
      </w:r>
      <w:r w:rsidRPr="00D96F9F">
        <w:rPr>
          <w:rFonts w:cs="Times New Roman"/>
          <w:sz w:val="20"/>
          <w:szCs w:val="20"/>
        </w:rPr>
        <w:t xml:space="preserve"> This group included </w:t>
      </w:r>
      <w:r w:rsidR="006066B9" w:rsidRPr="00D96F9F">
        <w:rPr>
          <w:rFonts w:cs="Times New Roman"/>
          <w:sz w:val="20"/>
          <w:szCs w:val="20"/>
        </w:rPr>
        <w:t>8</w:t>
      </w:r>
      <w:r w:rsidR="001F24B4" w:rsidRPr="00D96F9F">
        <w:rPr>
          <w:rFonts w:cs="Times New Roman"/>
          <w:sz w:val="20"/>
          <w:szCs w:val="20"/>
        </w:rPr>
        <w:t xml:space="preserve"> full term newborn infant</w:t>
      </w:r>
      <w:r w:rsidRPr="00D96F9F">
        <w:rPr>
          <w:rFonts w:cs="Times New Roman"/>
          <w:sz w:val="20"/>
          <w:szCs w:val="20"/>
        </w:rPr>
        <w:t>.</w:t>
      </w:r>
    </w:p>
    <w:p w:rsidR="002017BF" w:rsidRPr="00D96F9F" w:rsidRDefault="002017BF" w:rsidP="00EB7ED6">
      <w:pPr>
        <w:pStyle w:val="BodyText"/>
        <w:adjustRightInd w:val="0"/>
        <w:snapToGrid w:val="0"/>
        <w:jc w:val="both"/>
        <w:rPr>
          <w:rFonts w:cs="Times New Roman"/>
          <w:sz w:val="20"/>
          <w:szCs w:val="20"/>
        </w:rPr>
      </w:pPr>
      <w:r w:rsidRPr="00D96F9F">
        <w:rPr>
          <w:rFonts w:cs="Times New Roman"/>
          <w:b/>
          <w:bCs/>
          <w:sz w:val="20"/>
          <w:szCs w:val="20"/>
        </w:rPr>
        <w:t>Group II</w:t>
      </w:r>
      <w:r w:rsidRPr="00D96F9F">
        <w:rPr>
          <w:rFonts w:cs="Times New Roman"/>
          <w:b/>
          <w:bCs/>
          <w:i/>
          <w:iCs/>
          <w:sz w:val="20"/>
          <w:szCs w:val="20"/>
        </w:rPr>
        <w:t xml:space="preserve"> (</w:t>
      </w:r>
      <w:r w:rsidRPr="00D96F9F">
        <w:rPr>
          <w:rFonts w:cs="Times New Roman"/>
          <w:b/>
          <w:bCs/>
          <w:sz w:val="20"/>
          <w:szCs w:val="20"/>
        </w:rPr>
        <w:t>Moderate HIE):</w:t>
      </w:r>
      <w:r w:rsidRPr="00D96F9F">
        <w:rPr>
          <w:rFonts w:cs="Times New Roman"/>
          <w:sz w:val="20"/>
          <w:szCs w:val="20"/>
        </w:rPr>
        <w:t xml:space="preserve"> This group included</w:t>
      </w:r>
      <w:r w:rsidR="00BA4441" w:rsidRPr="00D96F9F">
        <w:rPr>
          <w:rFonts w:cs="Times New Roman"/>
          <w:sz w:val="20"/>
          <w:szCs w:val="20"/>
        </w:rPr>
        <w:t xml:space="preserve"> </w:t>
      </w:r>
      <w:r w:rsidR="006066B9" w:rsidRPr="00D96F9F">
        <w:rPr>
          <w:rFonts w:cs="Times New Roman"/>
          <w:sz w:val="20"/>
          <w:szCs w:val="20"/>
        </w:rPr>
        <w:t>8</w:t>
      </w:r>
      <w:r w:rsidRPr="00D96F9F">
        <w:rPr>
          <w:rFonts w:cs="Times New Roman"/>
          <w:sz w:val="20"/>
          <w:szCs w:val="20"/>
        </w:rPr>
        <w:t xml:space="preserve"> full term newborn</w:t>
      </w:r>
      <w:r w:rsidR="001F24B4" w:rsidRPr="00D96F9F">
        <w:rPr>
          <w:rFonts w:cs="Times New Roman"/>
          <w:sz w:val="20"/>
          <w:szCs w:val="20"/>
        </w:rPr>
        <w:t xml:space="preserve"> infants</w:t>
      </w:r>
      <w:r w:rsidR="00EB7ED6">
        <w:rPr>
          <w:rFonts w:cs="Times New Roman"/>
          <w:sz w:val="20"/>
          <w:szCs w:val="20"/>
        </w:rPr>
        <w:t>.</w:t>
      </w:r>
    </w:p>
    <w:p w:rsidR="002017BF" w:rsidRPr="00D96F9F" w:rsidRDefault="002017BF" w:rsidP="00EB7ED6">
      <w:pPr>
        <w:pStyle w:val="BodyText"/>
        <w:adjustRightInd w:val="0"/>
        <w:snapToGrid w:val="0"/>
        <w:jc w:val="both"/>
        <w:rPr>
          <w:rFonts w:cs="Times New Roman"/>
          <w:sz w:val="20"/>
          <w:szCs w:val="20"/>
        </w:rPr>
      </w:pPr>
      <w:r w:rsidRPr="00D96F9F">
        <w:rPr>
          <w:rFonts w:cs="Times New Roman"/>
          <w:b/>
          <w:bCs/>
          <w:sz w:val="20"/>
          <w:szCs w:val="20"/>
        </w:rPr>
        <w:t>Group III</w:t>
      </w:r>
      <w:r w:rsidRPr="00D96F9F">
        <w:rPr>
          <w:rFonts w:cs="Times New Roman"/>
          <w:b/>
          <w:bCs/>
          <w:i/>
          <w:iCs/>
          <w:sz w:val="20"/>
          <w:szCs w:val="20"/>
        </w:rPr>
        <w:t xml:space="preserve"> </w:t>
      </w:r>
      <w:r w:rsidRPr="00D96F9F">
        <w:rPr>
          <w:rFonts w:cs="Times New Roman"/>
          <w:b/>
          <w:bCs/>
          <w:sz w:val="20"/>
          <w:szCs w:val="20"/>
        </w:rPr>
        <w:t>(Severe HIE):</w:t>
      </w:r>
      <w:r w:rsidRPr="00D96F9F">
        <w:rPr>
          <w:rFonts w:cs="Times New Roman"/>
          <w:sz w:val="20"/>
          <w:szCs w:val="20"/>
        </w:rPr>
        <w:t xml:space="preserve"> This group included </w:t>
      </w:r>
      <w:r w:rsidR="006066B9" w:rsidRPr="00D96F9F">
        <w:rPr>
          <w:rFonts w:cs="Times New Roman"/>
          <w:sz w:val="20"/>
          <w:szCs w:val="20"/>
        </w:rPr>
        <w:t xml:space="preserve">9 </w:t>
      </w:r>
      <w:r w:rsidRPr="00D96F9F">
        <w:rPr>
          <w:rFonts w:cs="Times New Roman"/>
          <w:sz w:val="20"/>
          <w:szCs w:val="20"/>
        </w:rPr>
        <w:t>full term newbor</w:t>
      </w:r>
      <w:r w:rsidR="001F24B4" w:rsidRPr="00D96F9F">
        <w:rPr>
          <w:rFonts w:cs="Times New Roman"/>
          <w:sz w:val="20"/>
          <w:szCs w:val="20"/>
        </w:rPr>
        <w:t>n infants</w:t>
      </w:r>
      <w:r w:rsidR="00EB7ED6">
        <w:rPr>
          <w:rFonts w:cs="Times New Roman"/>
          <w:sz w:val="20"/>
          <w:szCs w:val="20"/>
        </w:rPr>
        <w:t>.</w:t>
      </w:r>
    </w:p>
    <w:p w:rsidR="00592553" w:rsidRPr="00D96F9F" w:rsidRDefault="002017BF" w:rsidP="00EB7ED6">
      <w:pPr>
        <w:pStyle w:val="BodyText"/>
        <w:adjustRightInd w:val="0"/>
        <w:snapToGrid w:val="0"/>
        <w:ind w:firstLine="425"/>
        <w:jc w:val="both"/>
        <w:rPr>
          <w:rFonts w:cs="Times New Roman"/>
          <w:sz w:val="20"/>
          <w:szCs w:val="20"/>
        </w:rPr>
      </w:pPr>
      <w:r w:rsidRPr="00D96F9F">
        <w:rPr>
          <w:rFonts w:cs="Times New Roman"/>
          <w:sz w:val="20"/>
          <w:szCs w:val="20"/>
        </w:rPr>
        <w:lastRenderedPageBreak/>
        <w:t xml:space="preserve">Estimation of serum levels of </w:t>
      </w:r>
      <w:r w:rsidR="007F049B" w:rsidRPr="00D96F9F">
        <w:rPr>
          <w:rFonts w:cs="Times New Roman"/>
          <w:sz w:val="20"/>
          <w:szCs w:val="20"/>
        </w:rPr>
        <w:t>total magnesium and ionized calcium</w:t>
      </w:r>
      <w:r w:rsidRPr="00D96F9F">
        <w:rPr>
          <w:rFonts w:cs="Times New Roman"/>
          <w:sz w:val="20"/>
          <w:szCs w:val="20"/>
        </w:rPr>
        <w:t>, and other investigations as required.</w:t>
      </w:r>
      <w:r w:rsidR="00592553" w:rsidRPr="00D96F9F">
        <w:rPr>
          <w:rFonts w:cs="Times New Roman"/>
          <w:sz w:val="20"/>
          <w:szCs w:val="20"/>
        </w:rPr>
        <w:t xml:space="preserve"> Short term outcome was estimated at time of discharge as alive or death.</w:t>
      </w:r>
    </w:p>
    <w:p w:rsidR="004D1DDE" w:rsidRPr="00D96F9F" w:rsidRDefault="002017BF" w:rsidP="00EB7ED6">
      <w:pPr>
        <w:pStyle w:val="BodyText"/>
        <w:adjustRightInd w:val="0"/>
        <w:snapToGrid w:val="0"/>
        <w:jc w:val="both"/>
        <w:rPr>
          <w:rFonts w:cs="Times New Roman"/>
          <w:b/>
          <w:sz w:val="20"/>
          <w:szCs w:val="20"/>
        </w:rPr>
      </w:pPr>
      <w:r w:rsidRPr="00D96F9F">
        <w:rPr>
          <w:rFonts w:cs="Times New Roman"/>
          <w:b/>
          <w:bCs/>
          <w:iCs/>
          <w:sz w:val="20"/>
          <w:szCs w:val="20"/>
        </w:rPr>
        <w:t>Sample Collection</w:t>
      </w:r>
      <w:r w:rsidRPr="00D96F9F">
        <w:rPr>
          <w:rFonts w:cs="Times New Roman"/>
          <w:b/>
          <w:iCs/>
          <w:sz w:val="20"/>
          <w:szCs w:val="20"/>
        </w:rPr>
        <w:t>:</w:t>
      </w:r>
    </w:p>
    <w:p w:rsidR="00285F0E" w:rsidRPr="00D96F9F" w:rsidRDefault="002017BF" w:rsidP="00EB7ED6">
      <w:pPr>
        <w:pStyle w:val="BodyText"/>
        <w:adjustRightInd w:val="0"/>
        <w:snapToGrid w:val="0"/>
        <w:ind w:firstLine="425"/>
        <w:jc w:val="both"/>
        <w:rPr>
          <w:rFonts w:cs="Times New Roman"/>
          <w:sz w:val="20"/>
          <w:szCs w:val="20"/>
        </w:rPr>
      </w:pPr>
      <w:r w:rsidRPr="00D96F9F">
        <w:rPr>
          <w:rFonts w:cs="Times New Roman"/>
          <w:sz w:val="20"/>
          <w:szCs w:val="20"/>
        </w:rPr>
        <w:t xml:space="preserve">Blood samples were obtained by </w:t>
      </w:r>
      <w:proofErr w:type="spellStart"/>
      <w:r w:rsidR="00B152D3" w:rsidRPr="00D96F9F">
        <w:rPr>
          <w:rFonts w:cs="Times New Roman"/>
          <w:sz w:val="20"/>
          <w:szCs w:val="20"/>
        </w:rPr>
        <w:t>veinpuncture</w:t>
      </w:r>
      <w:proofErr w:type="spellEnd"/>
      <w:r w:rsidRPr="00D96F9F">
        <w:rPr>
          <w:rFonts w:cs="Times New Roman"/>
          <w:sz w:val="20"/>
          <w:szCs w:val="20"/>
        </w:rPr>
        <w:t xml:space="preserve"> of</w:t>
      </w:r>
      <w:r w:rsidR="00B152D3" w:rsidRPr="00D96F9F">
        <w:rPr>
          <w:rFonts w:cs="Times New Roman"/>
          <w:sz w:val="20"/>
          <w:szCs w:val="20"/>
        </w:rPr>
        <w:t xml:space="preserve"> </w:t>
      </w:r>
      <w:r w:rsidRPr="00D96F9F">
        <w:rPr>
          <w:rFonts w:cs="Times New Roman"/>
          <w:sz w:val="20"/>
          <w:szCs w:val="20"/>
        </w:rPr>
        <w:t>a peripheral vein under strict aseptic techniques. Samples obtained from patients and controls were allowed to clot in plastic test tubes for 30 minutes at room temperature. Next, the tubes were centrifuged for 5 minutes at room temperature.</w:t>
      </w:r>
    </w:p>
    <w:p w:rsidR="00285F0E" w:rsidRPr="00D96F9F" w:rsidRDefault="00285F0E" w:rsidP="00EB7ED6">
      <w:pPr>
        <w:autoSpaceDE w:val="0"/>
        <w:autoSpaceDN w:val="0"/>
        <w:adjustRightInd w:val="0"/>
        <w:snapToGrid w:val="0"/>
        <w:jc w:val="both"/>
        <w:rPr>
          <w:b/>
          <w:bCs/>
          <w:sz w:val="20"/>
          <w:szCs w:val="20"/>
        </w:rPr>
      </w:pPr>
      <w:r w:rsidRPr="00D96F9F">
        <w:rPr>
          <w:b/>
          <w:bCs/>
          <w:sz w:val="20"/>
          <w:szCs w:val="20"/>
        </w:rPr>
        <w:t>Principle of ionized calcium assay:</w:t>
      </w:r>
    </w:p>
    <w:p w:rsidR="00285F0E" w:rsidRPr="00D96F9F" w:rsidRDefault="00285F0E" w:rsidP="00EB7ED6">
      <w:pPr>
        <w:autoSpaceDE w:val="0"/>
        <w:autoSpaceDN w:val="0"/>
        <w:adjustRightInd w:val="0"/>
        <w:snapToGrid w:val="0"/>
        <w:ind w:firstLine="425"/>
        <w:jc w:val="both"/>
        <w:rPr>
          <w:sz w:val="20"/>
          <w:szCs w:val="20"/>
        </w:rPr>
      </w:pPr>
      <w:r w:rsidRPr="00D96F9F">
        <w:rPr>
          <w:sz w:val="20"/>
          <w:szCs w:val="20"/>
        </w:rPr>
        <w:t xml:space="preserve">Ionized calcium in the sample was determined by </w:t>
      </w:r>
      <w:proofErr w:type="spellStart"/>
      <w:r w:rsidRPr="00D96F9F">
        <w:rPr>
          <w:sz w:val="20"/>
          <w:szCs w:val="20"/>
        </w:rPr>
        <w:t>potentiometric</w:t>
      </w:r>
      <w:proofErr w:type="spellEnd"/>
      <w:r w:rsidRPr="00D96F9F">
        <w:rPr>
          <w:sz w:val="20"/>
          <w:szCs w:val="20"/>
        </w:rPr>
        <w:t xml:space="preserve"> ion</w:t>
      </w:r>
      <w:r w:rsidR="00E538FF" w:rsidRPr="00D96F9F">
        <w:rPr>
          <w:sz w:val="20"/>
          <w:szCs w:val="20"/>
        </w:rPr>
        <w:t xml:space="preserve"> selective </w:t>
      </w:r>
      <w:r w:rsidRPr="00D96F9F">
        <w:rPr>
          <w:sz w:val="20"/>
          <w:szCs w:val="20"/>
        </w:rPr>
        <w:t>electrode. It was done on AVL-908 (Roche diagnostic). It</w:t>
      </w:r>
      <w:r w:rsidR="00E538FF" w:rsidRPr="00D96F9F">
        <w:rPr>
          <w:sz w:val="20"/>
          <w:szCs w:val="20"/>
        </w:rPr>
        <w:t xml:space="preserve"> </w:t>
      </w:r>
      <w:r w:rsidRPr="00D96F9F">
        <w:rPr>
          <w:sz w:val="20"/>
          <w:szCs w:val="20"/>
        </w:rPr>
        <w:t>was based on the measurement of an electrical potential difference</w:t>
      </w:r>
      <w:r w:rsidR="00E538FF" w:rsidRPr="00D96F9F">
        <w:rPr>
          <w:sz w:val="20"/>
          <w:szCs w:val="20"/>
        </w:rPr>
        <w:t xml:space="preserve"> </w:t>
      </w:r>
      <w:r w:rsidRPr="00D96F9F">
        <w:rPr>
          <w:sz w:val="20"/>
          <w:szCs w:val="20"/>
        </w:rPr>
        <w:t xml:space="preserve">between 2 electrodes (half-cell) in an electrochemical cell </w:t>
      </w:r>
      <w:r w:rsidRPr="00D96F9F">
        <w:rPr>
          <w:b/>
          <w:bCs/>
          <w:i/>
          <w:iCs/>
          <w:sz w:val="20"/>
          <w:szCs w:val="20"/>
        </w:rPr>
        <w:t>(Baker et</w:t>
      </w:r>
      <w:r w:rsidR="00E538FF" w:rsidRPr="00D96F9F">
        <w:rPr>
          <w:sz w:val="20"/>
          <w:szCs w:val="20"/>
        </w:rPr>
        <w:t xml:space="preserve"> </w:t>
      </w:r>
      <w:r w:rsidRPr="00D96F9F">
        <w:rPr>
          <w:b/>
          <w:bCs/>
          <w:i/>
          <w:iCs/>
          <w:sz w:val="20"/>
          <w:szCs w:val="20"/>
        </w:rPr>
        <w:t>al., 2000)</w:t>
      </w:r>
      <w:r w:rsidRPr="00D96F9F">
        <w:rPr>
          <w:sz w:val="20"/>
          <w:szCs w:val="20"/>
        </w:rPr>
        <w:t>.</w:t>
      </w:r>
    </w:p>
    <w:p w:rsidR="00285F0E" w:rsidRPr="00D96F9F" w:rsidRDefault="00285F0E" w:rsidP="00EB7ED6">
      <w:pPr>
        <w:autoSpaceDE w:val="0"/>
        <w:autoSpaceDN w:val="0"/>
        <w:adjustRightInd w:val="0"/>
        <w:snapToGrid w:val="0"/>
        <w:jc w:val="both"/>
        <w:rPr>
          <w:b/>
          <w:bCs/>
          <w:sz w:val="20"/>
          <w:szCs w:val="20"/>
        </w:rPr>
      </w:pPr>
      <w:r w:rsidRPr="00D96F9F">
        <w:rPr>
          <w:b/>
          <w:bCs/>
          <w:sz w:val="20"/>
          <w:szCs w:val="20"/>
        </w:rPr>
        <w:t>Principle of magnesium:</w:t>
      </w:r>
    </w:p>
    <w:p w:rsidR="00285F0E" w:rsidRPr="00D96F9F" w:rsidRDefault="00285F0E" w:rsidP="00EB7ED6">
      <w:pPr>
        <w:autoSpaceDE w:val="0"/>
        <w:autoSpaceDN w:val="0"/>
        <w:adjustRightInd w:val="0"/>
        <w:snapToGrid w:val="0"/>
        <w:ind w:firstLine="425"/>
        <w:jc w:val="both"/>
        <w:rPr>
          <w:sz w:val="20"/>
          <w:szCs w:val="20"/>
        </w:rPr>
      </w:pPr>
      <w:r w:rsidRPr="00D96F9F">
        <w:rPr>
          <w:sz w:val="20"/>
          <w:szCs w:val="20"/>
        </w:rPr>
        <w:t xml:space="preserve">The magnesium ions in the sample is determined by </w:t>
      </w:r>
      <w:proofErr w:type="spellStart"/>
      <w:r w:rsidRPr="00D96F9F">
        <w:rPr>
          <w:sz w:val="20"/>
          <w:szCs w:val="20"/>
        </w:rPr>
        <w:t>xylidyl</w:t>
      </w:r>
      <w:proofErr w:type="spellEnd"/>
      <w:r w:rsidRPr="00D96F9F">
        <w:rPr>
          <w:sz w:val="20"/>
          <w:szCs w:val="20"/>
        </w:rPr>
        <w:t xml:space="preserve"> blue</w:t>
      </w:r>
      <w:r w:rsidR="00374167" w:rsidRPr="00D96F9F">
        <w:rPr>
          <w:sz w:val="20"/>
          <w:szCs w:val="20"/>
        </w:rPr>
        <w:t xml:space="preserve"> </w:t>
      </w:r>
      <w:r w:rsidRPr="00D96F9F">
        <w:rPr>
          <w:sz w:val="20"/>
          <w:szCs w:val="20"/>
        </w:rPr>
        <w:t xml:space="preserve">colorimetric method producing a </w:t>
      </w:r>
      <w:proofErr w:type="spellStart"/>
      <w:r w:rsidRPr="00D96F9F">
        <w:rPr>
          <w:sz w:val="20"/>
          <w:szCs w:val="20"/>
        </w:rPr>
        <w:t>coloured</w:t>
      </w:r>
      <w:proofErr w:type="spellEnd"/>
      <w:r w:rsidRPr="00D96F9F">
        <w:rPr>
          <w:sz w:val="20"/>
          <w:szCs w:val="20"/>
        </w:rPr>
        <w:t xml:space="preserve"> complex its intensity is</w:t>
      </w:r>
      <w:r w:rsidR="00374167" w:rsidRPr="00D96F9F">
        <w:rPr>
          <w:sz w:val="20"/>
          <w:szCs w:val="20"/>
        </w:rPr>
        <w:t xml:space="preserve"> </w:t>
      </w:r>
      <w:r w:rsidRPr="00D96F9F">
        <w:rPr>
          <w:sz w:val="20"/>
          <w:szCs w:val="20"/>
        </w:rPr>
        <w:t>directly proportional to the magnesium ions concentration present in</w:t>
      </w:r>
      <w:r w:rsidR="00374167" w:rsidRPr="00D96F9F">
        <w:rPr>
          <w:sz w:val="20"/>
          <w:szCs w:val="20"/>
        </w:rPr>
        <w:t xml:space="preserve"> </w:t>
      </w:r>
      <w:r w:rsidRPr="00D96F9F">
        <w:rPr>
          <w:sz w:val="20"/>
          <w:szCs w:val="20"/>
        </w:rPr>
        <w:t xml:space="preserve">the sample. </w:t>
      </w:r>
      <w:proofErr w:type="spellStart"/>
      <w:r w:rsidRPr="00D96F9F">
        <w:rPr>
          <w:sz w:val="20"/>
          <w:szCs w:val="20"/>
        </w:rPr>
        <w:t>Glycoletherdiamine</w:t>
      </w:r>
      <w:proofErr w:type="spellEnd"/>
      <w:r w:rsidRPr="00D96F9F">
        <w:rPr>
          <w:sz w:val="20"/>
          <w:szCs w:val="20"/>
        </w:rPr>
        <w:t xml:space="preserve">- </w:t>
      </w:r>
      <w:proofErr w:type="spellStart"/>
      <w:r w:rsidRPr="00D96F9F">
        <w:rPr>
          <w:sz w:val="20"/>
          <w:szCs w:val="20"/>
        </w:rPr>
        <w:t>N</w:t>
      </w:r>
      <w:proofErr w:type="gramStart"/>
      <w:r w:rsidRPr="00D96F9F">
        <w:rPr>
          <w:sz w:val="20"/>
          <w:szCs w:val="20"/>
        </w:rPr>
        <w:t>,N,N'N'</w:t>
      </w:r>
      <w:proofErr w:type="gramEnd"/>
      <w:r w:rsidRPr="00D96F9F">
        <w:rPr>
          <w:sz w:val="20"/>
          <w:szCs w:val="20"/>
        </w:rPr>
        <w:t>-tetracetic</w:t>
      </w:r>
      <w:proofErr w:type="spellEnd"/>
      <w:r w:rsidRPr="00D96F9F">
        <w:rPr>
          <w:sz w:val="20"/>
          <w:szCs w:val="20"/>
        </w:rPr>
        <w:t xml:space="preserve"> acid (GEDTA)</w:t>
      </w:r>
      <w:r w:rsidR="00374167" w:rsidRPr="00D96F9F">
        <w:rPr>
          <w:sz w:val="20"/>
          <w:szCs w:val="20"/>
        </w:rPr>
        <w:t xml:space="preserve"> </w:t>
      </w:r>
      <w:r w:rsidRPr="00D96F9F">
        <w:rPr>
          <w:sz w:val="20"/>
          <w:szCs w:val="20"/>
        </w:rPr>
        <w:t xml:space="preserve">performs as a chelating agent </w:t>
      </w:r>
      <w:r w:rsidRPr="00D96F9F">
        <w:rPr>
          <w:b/>
          <w:bCs/>
          <w:i/>
          <w:iCs/>
          <w:sz w:val="20"/>
          <w:szCs w:val="20"/>
        </w:rPr>
        <w:t>(</w:t>
      </w:r>
      <w:proofErr w:type="spellStart"/>
      <w:r w:rsidRPr="00D96F9F">
        <w:rPr>
          <w:b/>
          <w:bCs/>
          <w:i/>
          <w:iCs/>
          <w:sz w:val="20"/>
          <w:szCs w:val="20"/>
        </w:rPr>
        <w:t>Bohuon</w:t>
      </w:r>
      <w:proofErr w:type="spellEnd"/>
      <w:r w:rsidRPr="00D96F9F">
        <w:rPr>
          <w:b/>
          <w:bCs/>
          <w:i/>
          <w:iCs/>
          <w:sz w:val="20"/>
          <w:szCs w:val="20"/>
        </w:rPr>
        <w:t>, 1962)</w:t>
      </w:r>
      <w:r w:rsidRPr="00D96F9F">
        <w:rPr>
          <w:sz w:val="20"/>
          <w:szCs w:val="20"/>
        </w:rPr>
        <w:t>.</w:t>
      </w:r>
    </w:p>
    <w:p w:rsidR="0005702A" w:rsidRPr="00D96F9F" w:rsidRDefault="0005702A" w:rsidP="00EB7ED6">
      <w:pPr>
        <w:pStyle w:val="BodyText"/>
        <w:adjustRightInd w:val="0"/>
        <w:snapToGrid w:val="0"/>
        <w:jc w:val="both"/>
        <w:rPr>
          <w:rFonts w:cs="Times New Roman"/>
          <w:b/>
          <w:bCs/>
          <w:sz w:val="20"/>
          <w:szCs w:val="20"/>
        </w:rPr>
      </w:pPr>
    </w:p>
    <w:p w:rsidR="00B2032A" w:rsidRPr="00D96F9F" w:rsidRDefault="0005702A" w:rsidP="00EB7ED6">
      <w:pPr>
        <w:pStyle w:val="BodyText"/>
        <w:adjustRightInd w:val="0"/>
        <w:snapToGrid w:val="0"/>
        <w:jc w:val="both"/>
        <w:rPr>
          <w:rFonts w:cs="Times New Roman"/>
          <w:sz w:val="20"/>
          <w:szCs w:val="20"/>
        </w:rPr>
      </w:pPr>
      <w:r w:rsidRPr="00D96F9F">
        <w:rPr>
          <w:rFonts w:cs="Times New Roman"/>
          <w:b/>
          <w:bCs/>
          <w:sz w:val="20"/>
          <w:szCs w:val="20"/>
        </w:rPr>
        <w:t>3. Results</w:t>
      </w:r>
    </w:p>
    <w:p w:rsidR="0005702A" w:rsidRPr="00D96F9F" w:rsidRDefault="002017BF" w:rsidP="00EB7ED6">
      <w:pPr>
        <w:pStyle w:val="BodyText"/>
        <w:tabs>
          <w:tab w:val="right" w:pos="6692"/>
        </w:tabs>
        <w:adjustRightInd w:val="0"/>
        <w:snapToGrid w:val="0"/>
        <w:ind w:firstLine="425"/>
        <w:jc w:val="both"/>
        <w:rPr>
          <w:rFonts w:cs="Times New Roman"/>
          <w:sz w:val="20"/>
          <w:szCs w:val="20"/>
        </w:rPr>
      </w:pPr>
      <w:r w:rsidRPr="00D96F9F">
        <w:rPr>
          <w:rFonts w:cs="Times New Roman"/>
          <w:sz w:val="20"/>
          <w:szCs w:val="20"/>
        </w:rPr>
        <w:t>The results of this work were statistically analyzed and illustrated in the following table</w:t>
      </w:r>
      <w:r w:rsidR="00B76EB1" w:rsidRPr="00D96F9F">
        <w:rPr>
          <w:rFonts w:cs="Times New Roman"/>
          <w:sz w:val="20"/>
          <w:szCs w:val="20"/>
        </w:rPr>
        <w:t>s</w:t>
      </w:r>
      <w:r w:rsidRPr="00D96F9F">
        <w:rPr>
          <w:rFonts w:cs="Times New Roman"/>
          <w:sz w:val="20"/>
          <w:szCs w:val="20"/>
        </w:rPr>
        <w:t>:</w:t>
      </w:r>
    </w:p>
    <w:p w:rsidR="00D96F9F" w:rsidRPr="00D96F9F" w:rsidRDefault="00D96F9F" w:rsidP="00EB7ED6">
      <w:pPr>
        <w:pStyle w:val="BodyText"/>
        <w:tabs>
          <w:tab w:val="right" w:pos="6692"/>
        </w:tabs>
        <w:adjustRightInd w:val="0"/>
        <w:snapToGrid w:val="0"/>
        <w:ind w:firstLine="425"/>
        <w:jc w:val="both"/>
        <w:rPr>
          <w:rFonts w:cs="Times New Roman"/>
          <w:sz w:val="20"/>
          <w:szCs w:val="20"/>
        </w:rPr>
        <w:sectPr w:rsidR="00D96F9F" w:rsidRPr="00D96F9F" w:rsidSect="00D96F9F">
          <w:headerReference w:type="default" r:id="rId12"/>
          <w:footerReference w:type="even" r:id="rId13"/>
          <w:footerReference w:type="default" r:id="rId14"/>
          <w:type w:val="continuous"/>
          <w:pgSz w:w="12242" w:h="15842" w:code="1"/>
          <w:pgMar w:top="1440" w:right="1440" w:bottom="1440" w:left="1440" w:header="720" w:footer="720" w:gutter="0"/>
          <w:cols w:num="2" w:space="708"/>
          <w:docGrid w:linePitch="360"/>
        </w:sectPr>
      </w:pPr>
    </w:p>
    <w:p w:rsidR="0005702A" w:rsidRPr="00D96F9F" w:rsidRDefault="0005702A" w:rsidP="00EB7ED6">
      <w:pPr>
        <w:pStyle w:val="BodyText"/>
        <w:tabs>
          <w:tab w:val="right" w:pos="6692"/>
        </w:tabs>
        <w:adjustRightInd w:val="0"/>
        <w:snapToGrid w:val="0"/>
        <w:jc w:val="center"/>
        <w:rPr>
          <w:rFonts w:cs="Times New Roman"/>
          <w:sz w:val="20"/>
          <w:szCs w:val="20"/>
        </w:rPr>
      </w:pPr>
    </w:p>
    <w:p w:rsidR="002017BF" w:rsidRPr="00D96F9F" w:rsidRDefault="00D90B9E" w:rsidP="00EB7ED6">
      <w:pPr>
        <w:pStyle w:val="BodyText"/>
        <w:tabs>
          <w:tab w:val="right" w:pos="6692"/>
        </w:tabs>
        <w:adjustRightInd w:val="0"/>
        <w:snapToGrid w:val="0"/>
        <w:jc w:val="center"/>
        <w:rPr>
          <w:rFonts w:cs="Times New Roman"/>
          <w:b/>
          <w:bCs/>
          <w:sz w:val="20"/>
          <w:szCs w:val="20"/>
          <w:lang w:bidi="ar-EG"/>
        </w:rPr>
      </w:pPr>
      <w:r w:rsidRPr="00D96F9F">
        <w:rPr>
          <w:rFonts w:cs="Times New Roman"/>
          <w:b/>
          <w:bCs/>
          <w:sz w:val="20"/>
          <w:szCs w:val="20"/>
        </w:rPr>
        <w:t>Table (1)</w:t>
      </w:r>
      <w:proofErr w:type="gramStart"/>
      <w:r w:rsidRPr="00D96F9F">
        <w:rPr>
          <w:rFonts w:cs="Times New Roman"/>
          <w:b/>
          <w:bCs/>
          <w:sz w:val="20"/>
          <w:szCs w:val="20"/>
        </w:rPr>
        <w:t>:</w:t>
      </w:r>
      <w:r w:rsidR="00DF7A28" w:rsidRPr="00D96F9F">
        <w:rPr>
          <w:rFonts w:cs="Times New Roman"/>
          <w:b/>
          <w:bCs/>
          <w:sz w:val="20"/>
          <w:szCs w:val="20"/>
        </w:rPr>
        <w:t>Gender</w:t>
      </w:r>
      <w:proofErr w:type="gramEnd"/>
      <w:r w:rsidR="00DF7A28" w:rsidRPr="00D96F9F">
        <w:rPr>
          <w:rFonts w:cs="Times New Roman"/>
          <w:b/>
          <w:bCs/>
          <w:sz w:val="20"/>
          <w:szCs w:val="20"/>
        </w:rPr>
        <w:t xml:space="preserve">, </w:t>
      </w:r>
      <w:r w:rsidR="00240597" w:rsidRPr="00D96F9F">
        <w:rPr>
          <w:rFonts w:cs="Times New Roman"/>
          <w:b/>
          <w:bCs/>
          <w:sz w:val="20"/>
          <w:szCs w:val="20"/>
        </w:rPr>
        <w:t>b</w:t>
      </w:r>
      <w:r w:rsidR="002017BF" w:rsidRPr="00D96F9F">
        <w:rPr>
          <w:rFonts w:cs="Times New Roman"/>
          <w:b/>
          <w:bCs/>
          <w:sz w:val="20"/>
          <w:szCs w:val="20"/>
        </w:rPr>
        <w:t>irth</w:t>
      </w:r>
      <w:r w:rsidR="00DF7A28" w:rsidRPr="00D96F9F">
        <w:rPr>
          <w:rFonts w:cs="Times New Roman"/>
          <w:b/>
          <w:bCs/>
          <w:sz w:val="20"/>
          <w:szCs w:val="20"/>
        </w:rPr>
        <w:t>,</w:t>
      </w:r>
      <w:r w:rsidR="002017BF" w:rsidRPr="00D96F9F">
        <w:rPr>
          <w:rFonts w:cs="Times New Roman"/>
          <w:b/>
          <w:bCs/>
          <w:sz w:val="20"/>
          <w:szCs w:val="20"/>
        </w:rPr>
        <w:t xml:space="preserve"> weight and </w:t>
      </w:r>
      <w:r w:rsidR="00240597" w:rsidRPr="00D96F9F">
        <w:rPr>
          <w:rFonts w:cs="Times New Roman"/>
          <w:b/>
          <w:bCs/>
          <w:sz w:val="20"/>
          <w:szCs w:val="20"/>
        </w:rPr>
        <w:t>mode of delivery</w:t>
      </w:r>
      <w:r w:rsidR="002017BF" w:rsidRPr="00D96F9F">
        <w:rPr>
          <w:rFonts w:cs="Times New Roman"/>
          <w:b/>
          <w:bCs/>
          <w:sz w:val="20"/>
          <w:szCs w:val="20"/>
        </w:rPr>
        <w:t xml:space="preserve"> of controls and patients with different grades of HIE.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14"/>
        <w:gridCol w:w="980"/>
        <w:gridCol w:w="1202"/>
        <w:gridCol w:w="772"/>
        <w:gridCol w:w="1069"/>
        <w:gridCol w:w="772"/>
        <w:gridCol w:w="1474"/>
        <w:gridCol w:w="2163"/>
      </w:tblGrid>
      <w:tr w:rsidR="004E3BBC" w:rsidRPr="00D96F9F" w:rsidTr="00EB7ED6">
        <w:trPr>
          <w:cantSplit/>
          <w:jc w:val="center"/>
        </w:trPr>
        <w:tc>
          <w:tcPr>
            <w:tcW w:w="1138"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b/>
                <w:bCs/>
                <w:color w:val="000000"/>
                <w:sz w:val="20"/>
                <w:szCs w:val="20"/>
              </w:rPr>
              <w:t>Chi-square test</w:t>
            </w:r>
          </w:p>
        </w:tc>
        <w:tc>
          <w:tcPr>
            <w:tcW w:w="1023"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MS Mincho"/>
                <w:b/>
                <w:bCs/>
                <w:color w:val="000000"/>
                <w:sz w:val="20"/>
                <w:szCs w:val="20"/>
              </w:rPr>
            </w:pPr>
            <w:r w:rsidRPr="00D96F9F">
              <w:rPr>
                <w:rFonts w:eastAsia="MS Mincho"/>
                <w:b/>
                <w:bCs/>
                <w:color w:val="000000"/>
                <w:sz w:val="20"/>
                <w:szCs w:val="20"/>
              </w:rPr>
              <w:t>Patients</w:t>
            </w:r>
          </w:p>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b/>
                <w:bCs/>
                <w:color w:val="000000"/>
                <w:sz w:val="20"/>
                <w:szCs w:val="20"/>
              </w:rPr>
              <w:t>group</w:t>
            </w:r>
          </w:p>
        </w:tc>
        <w:tc>
          <w:tcPr>
            <w:tcW w:w="954"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MS Mincho"/>
                <w:b/>
                <w:bCs/>
                <w:color w:val="000000"/>
                <w:sz w:val="20"/>
                <w:szCs w:val="20"/>
              </w:rPr>
            </w:pPr>
            <w:r w:rsidRPr="00D96F9F">
              <w:rPr>
                <w:rFonts w:eastAsia="MS Mincho"/>
                <w:b/>
                <w:bCs/>
                <w:color w:val="000000"/>
                <w:sz w:val="20"/>
                <w:szCs w:val="20"/>
              </w:rPr>
              <w:t>Control</w:t>
            </w:r>
          </w:p>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b/>
                <w:bCs/>
                <w:color w:val="000000"/>
                <w:sz w:val="20"/>
                <w:szCs w:val="20"/>
              </w:rPr>
              <w:t>Group</w:t>
            </w:r>
          </w:p>
        </w:tc>
        <w:tc>
          <w:tcPr>
            <w:tcW w:w="1885" w:type="pct"/>
            <w:gridSpan w:val="2"/>
            <w:vMerge w:val="restar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rPr>
                <w:rFonts w:eastAsiaTheme="minorEastAsia"/>
                <w:color w:val="000000"/>
                <w:sz w:val="20"/>
                <w:szCs w:val="20"/>
              </w:rPr>
            </w:pPr>
          </w:p>
        </w:tc>
      </w:tr>
      <w:tr w:rsidR="004E3BBC" w:rsidRPr="00D96F9F" w:rsidTr="00EB7ED6">
        <w:trPr>
          <w:cantSplit/>
          <w:jc w:val="center"/>
        </w:trPr>
        <w:tc>
          <w:tcPr>
            <w:tcW w:w="63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b/>
                <w:bCs/>
                <w:i/>
                <w:iCs/>
                <w:color w:val="000000"/>
                <w:sz w:val="20"/>
                <w:szCs w:val="20"/>
              </w:rPr>
              <w:t>P</w:t>
            </w:r>
            <w:r w:rsidRPr="00D96F9F">
              <w:rPr>
                <w:rFonts w:eastAsia="MS Mincho"/>
                <w:b/>
                <w:bCs/>
                <w:color w:val="000000"/>
                <w:sz w:val="20"/>
                <w:szCs w:val="20"/>
              </w:rPr>
              <w:t xml:space="preserve"> value</w:t>
            </w:r>
          </w:p>
        </w:tc>
        <w:tc>
          <w:tcPr>
            <w:tcW w:w="508"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b/>
                <w:bCs/>
                <w:color w:val="000000"/>
                <w:sz w:val="20"/>
                <w:szCs w:val="20"/>
              </w:rPr>
              <w:t>X2</w:t>
            </w:r>
          </w:p>
        </w:tc>
        <w:tc>
          <w:tcPr>
            <w:tcW w:w="623"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b/>
                <w:bCs/>
                <w:color w:val="000000"/>
                <w:sz w:val="20"/>
                <w:szCs w:val="20"/>
              </w:rPr>
              <w:t>%</w:t>
            </w:r>
          </w:p>
        </w:tc>
        <w:tc>
          <w:tcPr>
            <w:tcW w:w="40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b/>
                <w:bCs/>
                <w:color w:val="000000"/>
                <w:sz w:val="20"/>
                <w:szCs w:val="20"/>
              </w:rPr>
              <w:t>No.</w:t>
            </w:r>
          </w:p>
        </w:tc>
        <w:tc>
          <w:tcPr>
            <w:tcW w:w="55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b/>
                <w:bCs/>
                <w:color w:val="000000"/>
                <w:sz w:val="20"/>
                <w:szCs w:val="20"/>
              </w:rPr>
              <w:t>%</w:t>
            </w:r>
          </w:p>
        </w:tc>
        <w:tc>
          <w:tcPr>
            <w:tcW w:w="40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b/>
                <w:bCs/>
                <w:color w:val="000000"/>
                <w:sz w:val="20"/>
                <w:szCs w:val="20"/>
              </w:rPr>
              <w:t>No.</w:t>
            </w:r>
          </w:p>
        </w:tc>
        <w:tc>
          <w:tcPr>
            <w:tcW w:w="1885" w:type="pct"/>
            <w:gridSpan w:val="2"/>
            <w:vMerge/>
            <w:vAlign w:val="center"/>
            <w:hideMark/>
          </w:tcPr>
          <w:p w:rsidR="004E3BBC" w:rsidRPr="00D96F9F" w:rsidRDefault="004E3BBC" w:rsidP="00EB7ED6">
            <w:pPr>
              <w:adjustRightInd w:val="0"/>
              <w:snapToGrid w:val="0"/>
              <w:jc w:val="both"/>
              <w:rPr>
                <w:rFonts w:eastAsiaTheme="minorEastAsia"/>
                <w:color w:val="000000"/>
                <w:sz w:val="20"/>
                <w:szCs w:val="20"/>
              </w:rPr>
            </w:pPr>
          </w:p>
        </w:tc>
      </w:tr>
      <w:tr w:rsidR="004E3BBC" w:rsidRPr="00D96F9F" w:rsidTr="00EB7ED6">
        <w:trPr>
          <w:cantSplit/>
          <w:jc w:val="center"/>
        </w:trPr>
        <w:tc>
          <w:tcPr>
            <w:tcW w:w="63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1.000</w:t>
            </w:r>
          </w:p>
        </w:tc>
        <w:tc>
          <w:tcPr>
            <w:tcW w:w="508"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0.000</w:t>
            </w:r>
          </w:p>
        </w:tc>
        <w:tc>
          <w:tcPr>
            <w:tcW w:w="623"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52.00%</w:t>
            </w:r>
          </w:p>
        </w:tc>
        <w:tc>
          <w:tcPr>
            <w:tcW w:w="40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13</w:t>
            </w:r>
          </w:p>
        </w:tc>
        <w:tc>
          <w:tcPr>
            <w:tcW w:w="55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52.0%</w:t>
            </w:r>
          </w:p>
        </w:tc>
        <w:tc>
          <w:tcPr>
            <w:tcW w:w="40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13</w:t>
            </w:r>
          </w:p>
        </w:tc>
        <w:tc>
          <w:tcPr>
            <w:tcW w:w="76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Female</w:t>
            </w:r>
          </w:p>
        </w:tc>
        <w:tc>
          <w:tcPr>
            <w:tcW w:w="1121" w:type="pct"/>
            <w:vMerge w:val="restar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Sex</w:t>
            </w:r>
          </w:p>
        </w:tc>
      </w:tr>
      <w:tr w:rsidR="004E3BBC" w:rsidRPr="00D96F9F" w:rsidTr="00EB7ED6">
        <w:trPr>
          <w:cantSplit/>
          <w:jc w:val="center"/>
        </w:trPr>
        <w:tc>
          <w:tcPr>
            <w:tcW w:w="630" w:type="pct"/>
            <w:vAlign w:val="center"/>
            <w:hideMark/>
          </w:tcPr>
          <w:p w:rsidR="004E3BBC" w:rsidRPr="00D96F9F" w:rsidRDefault="004E3BBC" w:rsidP="00EB7ED6">
            <w:pPr>
              <w:adjustRightInd w:val="0"/>
              <w:snapToGrid w:val="0"/>
              <w:jc w:val="both"/>
              <w:rPr>
                <w:rFonts w:eastAsiaTheme="minorEastAsia"/>
                <w:color w:val="000000"/>
                <w:sz w:val="20"/>
                <w:szCs w:val="20"/>
              </w:rPr>
            </w:pPr>
          </w:p>
        </w:tc>
        <w:tc>
          <w:tcPr>
            <w:tcW w:w="508" w:type="pct"/>
            <w:vAlign w:val="center"/>
            <w:hideMark/>
          </w:tcPr>
          <w:p w:rsidR="004E3BBC" w:rsidRPr="00D96F9F" w:rsidRDefault="004E3BBC" w:rsidP="00EB7ED6">
            <w:pPr>
              <w:adjustRightInd w:val="0"/>
              <w:snapToGrid w:val="0"/>
              <w:jc w:val="both"/>
              <w:rPr>
                <w:rFonts w:eastAsiaTheme="minorEastAsia"/>
                <w:color w:val="000000"/>
                <w:sz w:val="20"/>
                <w:szCs w:val="20"/>
              </w:rPr>
            </w:pPr>
          </w:p>
        </w:tc>
        <w:tc>
          <w:tcPr>
            <w:tcW w:w="623"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48.00%</w:t>
            </w:r>
          </w:p>
        </w:tc>
        <w:tc>
          <w:tcPr>
            <w:tcW w:w="40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12</w:t>
            </w:r>
          </w:p>
        </w:tc>
        <w:tc>
          <w:tcPr>
            <w:tcW w:w="55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48.0%</w:t>
            </w:r>
          </w:p>
        </w:tc>
        <w:tc>
          <w:tcPr>
            <w:tcW w:w="40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12</w:t>
            </w:r>
          </w:p>
        </w:tc>
        <w:tc>
          <w:tcPr>
            <w:tcW w:w="76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Male</w:t>
            </w:r>
          </w:p>
        </w:tc>
        <w:tc>
          <w:tcPr>
            <w:tcW w:w="1121" w:type="pct"/>
            <w:vMerge/>
            <w:vAlign w:val="center"/>
            <w:hideMark/>
          </w:tcPr>
          <w:p w:rsidR="004E3BBC" w:rsidRPr="00D96F9F" w:rsidRDefault="004E3BBC" w:rsidP="00EB7ED6">
            <w:pPr>
              <w:adjustRightInd w:val="0"/>
              <w:snapToGrid w:val="0"/>
              <w:jc w:val="both"/>
              <w:rPr>
                <w:rFonts w:eastAsiaTheme="minorEastAsia"/>
                <w:color w:val="000000"/>
                <w:sz w:val="20"/>
                <w:szCs w:val="20"/>
              </w:rPr>
            </w:pPr>
          </w:p>
        </w:tc>
      </w:tr>
      <w:tr w:rsidR="004E3BBC" w:rsidRPr="00D96F9F" w:rsidTr="00EB7ED6">
        <w:trPr>
          <w:cantSplit/>
          <w:jc w:val="center"/>
        </w:trPr>
        <w:tc>
          <w:tcPr>
            <w:tcW w:w="63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0.774</w:t>
            </w:r>
          </w:p>
        </w:tc>
        <w:tc>
          <w:tcPr>
            <w:tcW w:w="508"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0.082</w:t>
            </w:r>
          </w:p>
        </w:tc>
        <w:tc>
          <w:tcPr>
            <w:tcW w:w="623"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40.00%</w:t>
            </w:r>
          </w:p>
        </w:tc>
        <w:tc>
          <w:tcPr>
            <w:tcW w:w="40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10</w:t>
            </w:r>
          </w:p>
        </w:tc>
        <w:tc>
          <w:tcPr>
            <w:tcW w:w="55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44.0%</w:t>
            </w:r>
          </w:p>
        </w:tc>
        <w:tc>
          <w:tcPr>
            <w:tcW w:w="40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11</w:t>
            </w:r>
          </w:p>
        </w:tc>
        <w:tc>
          <w:tcPr>
            <w:tcW w:w="76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C.S</w:t>
            </w:r>
          </w:p>
        </w:tc>
        <w:tc>
          <w:tcPr>
            <w:tcW w:w="1121" w:type="pct"/>
            <w:vMerge w:val="restar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proofErr w:type="spellStart"/>
            <w:r w:rsidRPr="00D96F9F">
              <w:rPr>
                <w:rFonts w:eastAsia="MS Mincho"/>
                <w:color w:val="000000"/>
                <w:sz w:val="20"/>
                <w:szCs w:val="20"/>
              </w:rPr>
              <w:t>Modeof</w:t>
            </w:r>
            <w:proofErr w:type="spellEnd"/>
            <w:r w:rsidRPr="00D96F9F">
              <w:rPr>
                <w:rFonts w:eastAsia="MS Mincho"/>
                <w:color w:val="000000"/>
                <w:sz w:val="20"/>
                <w:szCs w:val="20"/>
              </w:rPr>
              <w:t xml:space="preserve"> delivery</w:t>
            </w:r>
          </w:p>
        </w:tc>
      </w:tr>
      <w:tr w:rsidR="004E3BBC" w:rsidRPr="00D96F9F" w:rsidTr="00EB7ED6">
        <w:trPr>
          <w:cantSplit/>
          <w:jc w:val="center"/>
        </w:trPr>
        <w:tc>
          <w:tcPr>
            <w:tcW w:w="630" w:type="pct"/>
            <w:vAlign w:val="center"/>
            <w:hideMark/>
          </w:tcPr>
          <w:p w:rsidR="004E3BBC" w:rsidRPr="00D96F9F" w:rsidRDefault="004E3BBC" w:rsidP="00EB7ED6">
            <w:pPr>
              <w:adjustRightInd w:val="0"/>
              <w:snapToGrid w:val="0"/>
              <w:jc w:val="both"/>
              <w:rPr>
                <w:rFonts w:eastAsiaTheme="minorEastAsia"/>
                <w:color w:val="000000"/>
                <w:sz w:val="20"/>
                <w:szCs w:val="20"/>
              </w:rPr>
            </w:pPr>
          </w:p>
        </w:tc>
        <w:tc>
          <w:tcPr>
            <w:tcW w:w="508" w:type="pct"/>
            <w:vAlign w:val="center"/>
            <w:hideMark/>
          </w:tcPr>
          <w:p w:rsidR="004E3BBC" w:rsidRPr="00D96F9F" w:rsidRDefault="004E3BBC" w:rsidP="00EB7ED6">
            <w:pPr>
              <w:adjustRightInd w:val="0"/>
              <w:snapToGrid w:val="0"/>
              <w:jc w:val="both"/>
              <w:rPr>
                <w:rFonts w:eastAsiaTheme="minorEastAsia"/>
                <w:color w:val="000000"/>
                <w:sz w:val="20"/>
                <w:szCs w:val="20"/>
              </w:rPr>
            </w:pPr>
          </w:p>
        </w:tc>
        <w:tc>
          <w:tcPr>
            <w:tcW w:w="623"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60.00%</w:t>
            </w:r>
          </w:p>
        </w:tc>
        <w:tc>
          <w:tcPr>
            <w:tcW w:w="40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15</w:t>
            </w:r>
          </w:p>
        </w:tc>
        <w:tc>
          <w:tcPr>
            <w:tcW w:w="55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56.0%</w:t>
            </w:r>
          </w:p>
        </w:tc>
        <w:tc>
          <w:tcPr>
            <w:tcW w:w="40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14</w:t>
            </w:r>
          </w:p>
        </w:tc>
        <w:tc>
          <w:tcPr>
            <w:tcW w:w="76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Vaginal</w:t>
            </w:r>
          </w:p>
        </w:tc>
        <w:tc>
          <w:tcPr>
            <w:tcW w:w="1121" w:type="pct"/>
            <w:vMerge/>
            <w:vAlign w:val="center"/>
            <w:hideMark/>
          </w:tcPr>
          <w:p w:rsidR="004E3BBC" w:rsidRPr="00D96F9F" w:rsidRDefault="004E3BBC" w:rsidP="00EB7ED6">
            <w:pPr>
              <w:adjustRightInd w:val="0"/>
              <w:snapToGrid w:val="0"/>
              <w:jc w:val="both"/>
              <w:rPr>
                <w:rFonts w:eastAsiaTheme="minorEastAsia"/>
                <w:color w:val="000000"/>
                <w:sz w:val="20"/>
                <w:szCs w:val="20"/>
              </w:rPr>
            </w:pPr>
          </w:p>
        </w:tc>
      </w:tr>
      <w:tr w:rsidR="004E3BBC" w:rsidRPr="00D96F9F" w:rsidTr="00EB7ED6">
        <w:trPr>
          <w:cantSplit/>
          <w:jc w:val="center"/>
        </w:trPr>
        <w:tc>
          <w:tcPr>
            <w:tcW w:w="63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0.637</w:t>
            </w:r>
          </w:p>
        </w:tc>
        <w:tc>
          <w:tcPr>
            <w:tcW w:w="508"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0.475</w:t>
            </w:r>
          </w:p>
        </w:tc>
        <w:tc>
          <w:tcPr>
            <w:tcW w:w="1023"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39.52±1.12</w:t>
            </w:r>
          </w:p>
        </w:tc>
        <w:tc>
          <w:tcPr>
            <w:tcW w:w="954"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39.36±1.25</w:t>
            </w:r>
          </w:p>
        </w:tc>
        <w:tc>
          <w:tcPr>
            <w:tcW w:w="76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proofErr w:type="spellStart"/>
            <w:r w:rsidRPr="00D96F9F">
              <w:rPr>
                <w:rFonts w:eastAsia="MS Mincho"/>
                <w:color w:val="000000"/>
                <w:sz w:val="20"/>
                <w:szCs w:val="20"/>
              </w:rPr>
              <w:t>Mean±SD</w:t>
            </w:r>
            <w:proofErr w:type="spellEnd"/>
          </w:p>
        </w:tc>
        <w:tc>
          <w:tcPr>
            <w:tcW w:w="1121" w:type="pct"/>
            <w:vMerge w:val="restar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Gestational age</w:t>
            </w:r>
          </w:p>
        </w:tc>
      </w:tr>
      <w:tr w:rsidR="004E3BBC" w:rsidRPr="00D96F9F" w:rsidTr="00EB7ED6">
        <w:trPr>
          <w:cantSplit/>
          <w:jc w:val="center"/>
        </w:trPr>
        <w:tc>
          <w:tcPr>
            <w:tcW w:w="630" w:type="pct"/>
            <w:vAlign w:val="center"/>
            <w:hideMark/>
          </w:tcPr>
          <w:p w:rsidR="004E3BBC" w:rsidRPr="00D96F9F" w:rsidRDefault="004E3BBC" w:rsidP="00EB7ED6">
            <w:pPr>
              <w:adjustRightInd w:val="0"/>
              <w:snapToGrid w:val="0"/>
              <w:jc w:val="both"/>
              <w:rPr>
                <w:rFonts w:eastAsiaTheme="minorEastAsia"/>
                <w:color w:val="000000"/>
                <w:sz w:val="20"/>
                <w:szCs w:val="20"/>
              </w:rPr>
            </w:pPr>
          </w:p>
        </w:tc>
        <w:tc>
          <w:tcPr>
            <w:tcW w:w="508" w:type="pct"/>
            <w:vAlign w:val="center"/>
            <w:hideMark/>
          </w:tcPr>
          <w:p w:rsidR="004E3BBC" w:rsidRPr="00D96F9F" w:rsidRDefault="004E3BBC" w:rsidP="00EB7ED6">
            <w:pPr>
              <w:adjustRightInd w:val="0"/>
              <w:snapToGrid w:val="0"/>
              <w:jc w:val="both"/>
              <w:rPr>
                <w:rFonts w:eastAsiaTheme="minorEastAsia"/>
                <w:color w:val="000000"/>
                <w:sz w:val="20"/>
                <w:szCs w:val="20"/>
              </w:rPr>
            </w:pPr>
          </w:p>
        </w:tc>
        <w:tc>
          <w:tcPr>
            <w:tcW w:w="1023"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38-41</w:t>
            </w:r>
          </w:p>
        </w:tc>
        <w:tc>
          <w:tcPr>
            <w:tcW w:w="954"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37-41</w:t>
            </w:r>
          </w:p>
        </w:tc>
        <w:tc>
          <w:tcPr>
            <w:tcW w:w="76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Range</w:t>
            </w:r>
          </w:p>
        </w:tc>
        <w:tc>
          <w:tcPr>
            <w:tcW w:w="1121" w:type="pct"/>
            <w:vMerge/>
            <w:vAlign w:val="center"/>
            <w:hideMark/>
          </w:tcPr>
          <w:p w:rsidR="004E3BBC" w:rsidRPr="00D96F9F" w:rsidRDefault="004E3BBC" w:rsidP="00EB7ED6">
            <w:pPr>
              <w:adjustRightInd w:val="0"/>
              <w:snapToGrid w:val="0"/>
              <w:jc w:val="both"/>
              <w:rPr>
                <w:rFonts w:eastAsiaTheme="minorEastAsia"/>
                <w:color w:val="000000"/>
                <w:sz w:val="20"/>
                <w:szCs w:val="20"/>
              </w:rPr>
            </w:pPr>
          </w:p>
        </w:tc>
      </w:tr>
      <w:tr w:rsidR="004E3BBC" w:rsidRPr="00D96F9F" w:rsidTr="00EB7ED6">
        <w:trPr>
          <w:cantSplit/>
          <w:jc w:val="center"/>
        </w:trPr>
        <w:tc>
          <w:tcPr>
            <w:tcW w:w="630"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0.783</w:t>
            </w:r>
          </w:p>
        </w:tc>
        <w:tc>
          <w:tcPr>
            <w:tcW w:w="508"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0.277</w:t>
            </w:r>
          </w:p>
        </w:tc>
        <w:tc>
          <w:tcPr>
            <w:tcW w:w="1023"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3.12±0.39</w:t>
            </w:r>
          </w:p>
        </w:tc>
        <w:tc>
          <w:tcPr>
            <w:tcW w:w="954"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3.09±0.37</w:t>
            </w:r>
          </w:p>
        </w:tc>
        <w:tc>
          <w:tcPr>
            <w:tcW w:w="76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proofErr w:type="spellStart"/>
            <w:r w:rsidRPr="00D96F9F">
              <w:rPr>
                <w:rFonts w:eastAsia="MS Mincho"/>
                <w:color w:val="000000"/>
                <w:sz w:val="20"/>
                <w:szCs w:val="20"/>
              </w:rPr>
              <w:t>Mean±SD</w:t>
            </w:r>
            <w:proofErr w:type="spellEnd"/>
          </w:p>
        </w:tc>
        <w:tc>
          <w:tcPr>
            <w:tcW w:w="1121" w:type="pct"/>
            <w:vMerge w:val="restar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Birth weight</w:t>
            </w:r>
          </w:p>
        </w:tc>
      </w:tr>
      <w:tr w:rsidR="004E3BBC" w:rsidRPr="00D96F9F" w:rsidTr="00EB7ED6">
        <w:trPr>
          <w:cantSplit/>
          <w:jc w:val="center"/>
        </w:trPr>
        <w:tc>
          <w:tcPr>
            <w:tcW w:w="630" w:type="pct"/>
            <w:vAlign w:val="center"/>
            <w:hideMark/>
          </w:tcPr>
          <w:p w:rsidR="004E3BBC" w:rsidRPr="00D96F9F" w:rsidRDefault="004E3BBC" w:rsidP="00EB7ED6">
            <w:pPr>
              <w:adjustRightInd w:val="0"/>
              <w:snapToGrid w:val="0"/>
              <w:jc w:val="both"/>
              <w:rPr>
                <w:rFonts w:eastAsiaTheme="minorEastAsia"/>
                <w:color w:val="000000"/>
                <w:sz w:val="20"/>
                <w:szCs w:val="20"/>
              </w:rPr>
            </w:pPr>
          </w:p>
        </w:tc>
        <w:tc>
          <w:tcPr>
            <w:tcW w:w="508" w:type="pct"/>
            <w:vAlign w:val="center"/>
            <w:hideMark/>
          </w:tcPr>
          <w:p w:rsidR="004E3BBC" w:rsidRPr="00D96F9F" w:rsidRDefault="004E3BBC" w:rsidP="00EB7ED6">
            <w:pPr>
              <w:adjustRightInd w:val="0"/>
              <w:snapToGrid w:val="0"/>
              <w:jc w:val="both"/>
              <w:rPr>
                <w:rFonts w:eastAsiaTheme="minorEastAsia"/>
                <w:color w:val="000000"/>
                <w:sz w:val="20"/>
                <w:szCs w:val="20"/>
              </w:rPr>
            </w:pPr>
          </w:p>
        </w:tc>
        <w:tc>
          <w:tcPr>
            <w:tcW w:w="1023"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2.66 – 3.9</w:t>
            </w:r>
          </w:p>
        </w:tc>
        <w:tc>
          <w:tcPr>
            <w:tcW w:w="954" w:type="pct"/>
            <w:gridSpan w:val="2"/>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2.63-3.85</w:t>
            </w:r>
          </w:p>
        </w:tc>
        <w:tc>
          <w:tcPr>
            <w:tcW w:w="764" w:type="pct"/>
            <w:shd w:val="clear" w:color="auto" w:fill="auto"/>
            <w:tcMar>
              <w:top w:w="74" w:type="dxa"/>
              <w:left w:w="142" w:type="dxa"/>
              <w:bottom w:w="74" w:type="dxa"/>
              <w:right w:w="142" w:type="dxa"/>
            </w:tcMar>
            <w:vAlign w:val="center"/>
            <w:hideMark/>
          </w:tcPr>
          <w:p w:rsidR="004E3BBC" w:rsidRPr="00D96F9F" w:rsidRDefault="004E3BBC" w:rsidP="00EB7ED6">
            <w:pPr>
              <w:adjustRightInd w:val="0"/>
              <w:snapToGrid w:val="0"/>
              <w:jc w:val="both"/>
              <w:textAlignment w:val="baseline"/>
              <w:rPr>
                <w:rFonts w:eastAsiaTheme="minorEastAsia"/>
                <w:color w:val="000000"/>
                <w:sz w:val="20"/>
                <w:szCs w:val="20"/>
              </w:rPr>
            </w:pPr>
            <w:r w:rsidRPr="00D96F9F">
              <w:rPr>
                <w:rFonts w:eastAsia="MS Mincho"/>
                <w:color w:val="000000"/>
                <w:sz w:val="20"/>
                <w:szCs w:val="20"/>
              </w:rPr>
              <w:t>Range</w:t>
            </w:r>
          </w:p>
        </w:tc>
        <w:tc>
          <w:tcPr>
            <w:tcW w:w="1121" w:type="pct"/>
            <w:vMerge/>
            <w:vAlign w:val="center"/>
            <w:hideMark/>
          </w:tcPr>
          <w:p w:rsidR="004E3BBC" w:rsidRPr="00D96F9F" w:rsidRDefault="004E3BBC" w:rsidP="00EB7ED6">
            <w:pPr>
              <w:adjustRightInd w:val="0"/>
              <w:snapToGrid w:val="0"/>
              <w:jc w:val="both"/>
              <w:rPr>
                <w:rFonts w:eastAsiaTheme="minorEastAsia"/>
                <w:color w:val="000000"/>
                <w:sz w:val="20"/>
                <w:szCs w:val="20"/>
              </w:rPr>
            </w:pPr>
          </w:p>
        </w:tc>
      </w:tr>
    </w:tbl>
    <w:p w:rsidR="00181639" w:rsidRPr="00D96F9F" w:rsidRDefault="002017BF" w:rsidP="00EB7ED6">
      <w:pPr>
        <w:tabs>
          <w:tab w:val="right" w:pos="8306"/>
        </w:tabs>
        <w:adjustRightInd w:val="0"/>
        <w:snapToGrid w:val="0"/>
        <w:jc w:val="both"/>
        <w:rPr>
          <w:sz w:val="20"/>
          <w:szCs w:val="20"/>
          <w:lang w:bidi="ar-EG"/>
        </w:rPr>
      </w:pPr>
      <w:r w:rsidRPr="00D96F9F">
        <w:rPr>
          <w:sz w:val="20"/>
          <w:szCs w:val="20"/>
          <w:lang w:bidi="ar-EG"/>
        </w:rPr>
        <w:t xml:space="preserve">This table shows </w:t>
      </w:r>
      <w:r w:rsidR="00EF3A4B" w:rsidRPr="00D96F9F">
        <w:rPr>
          <w:sz w:val="20"/>
          <w:szCs w:val="20"/>
          <w:lang w:bidi="ar-EG"/>
        </w:rPr>
        <w:t>gender</w:t>
      </w:r>
      <w:r w:rsidR="00A05364" w:rsidRPr="00D96F9F">
        <w:rPr>
          <w:sz w:val="20"/>
          <w:szCs w:val="20"/>
          <w:lang w:bidi="ar-EG"/>
        </w:rPr>
        <w:t>,</w:t>
      </w:r>
      <w:r w:rsidR="00EF3A4B" w:rsidRPr="00D96F9F">
        <w:rPr>
          <w:sz w:val="20"/>
          <w:szCs w:val="20"/>
          <w:lang w:bidi="ar-EG"/>
        </w:rPr>
        <w:t xml:space="preserve"> </w:t>
      </w:r>
      <w:r w:rsidRPr="00D96F9F">
        <w:rPr>
          <w:sz w:val="20"/>
          <w:szCs w:val="20"/>
          <w:lang w:bidi="ar-EG"/>
        </w:rPr>
        <w:t>birth weight</w:t>
      </w:r>
      <w:r w:rsidR="00FA1053" w:rsidRPr="00D96F9F">
        <w:rPr>
          <w:sz w:val="20"/>
          <w:szCs w:val="20"/>
          <w:lang w:bidi="ar-EG"/>
        </w:rPr>
        <w:t xml:space="preserve">, </w:t>
      </w:r>
      <w:proofErr w:type="gramStart"/>
      <w:r w:rsidR="00EF3A4B" w:rsidRPr="00D96F9F">
        <w:rPr>
          <w:sz w:val="20"/>
          <w:szCs w:val="20"/>
          <w:lang w:bidi="ar-EG"/>
        </w:rPr>
        <w:t>mode</w:t>
      </w:r>
      <w:proofErr w:type="gramEnd"/>
      <w:r w:rsidR="00EF3A4B" w:rsidRPr="00D96F9F">
        <w:rPr>
          <w:sz w:val="20"/>
          <w:szCs w:val="20"/>
          <w:lang w:bidi="ar-EG"/>
        </w:rPr>
        <w:t xml:space="preserve"> of delivery</w:t>
      </w:r>
      <w:r w:rsidRPr="00D96F9F">
        <w:rPr>
          <w:sz w:val="20"/>
          <w:szCs w:val="20"/>
          <w:lang w:bidi="ar-EG"/>
        </w:rPr>
        <w:t xml:space="preserve"> and gestational age of control group and patients with different grades of HIE. </w:t>
      </w:r>
      <w:r w:rsidR="00EF3A4B" w:rsidRPr="00D96F9F">
        <w:rPr>
          <w:sz w:val="20"/>
          <w:szCs w:val="20"/>
          <w:lang w:bidi="ar-EG"/>
        </w:rPr>
        <w:t>Chi-square test</w:t>
      </w:r>
      <w:r w:rsidRPr="00D96F9F">
        <w:rPr>
          <w:sz w:val="20"/>
          <w:szCs w:val="20"/>
          <w:lang w:bidi="ar-EG"/>
        </w:rPr>
        <w:t xml:space="preserve"> </w:t>
      </w:r>
      <w:proofErr w:type="spellStart"/>
      <w:r w:rsidRPr="00D96F9F">
        <w:rPr>
          <w:sz w:val="20"/>
          <w:szCs w:val="20"/>
          <w:lang w:bidi="ar-EG"/>
        </w:rPr>
        <w:t>test</w:t>
      </w:r>
      <w:proofErr w:type="spellEnd"/>
      <w:r w:rsidRPr="00D96F9F">
        <w:rPr>
          <w:sz w:val="20"/>
          <w:szCs w:val="20"/>
          <w:lang w:bidi="ar-EG"/>
        </w:rPr>
        <w:t xml:space="preserve"> was used where no significant difference is evident.</w:t>
      </w:r>
    </w:p>
    <w:p w:rsidR="004E3BBC" w:rsidRPr="00D96F9F" w:rsidRDefault="004E3BBC" w:rsidP="00EB7ED6">
      <w:pPr>
        <w:adjustRightInd w:val="0"/>
        <w:snapToGrid w:val="0"/>
        <w:jc w:val="both"/>
        <w:rPr>
          <w:b/>
          <w:bCs/>
          <w:sz w:val="20"/>
          <w:szCs w:val="18"/>
        </w:rPr>
      </w:pPr>
    </w:p>
    <w:p w:rsidR="004E3BBC" w:rsidRPr="00D96F9F" w:rsidRDefault="004E3BBC" w:rsidP="00EB7ED6">
      <w:pPr>
        <w:adjustRightInd w:val="0"/>
        <w:snapToGrid w:val="0"/>
        <w:jc w:val="both"/>
        <w:rPr>
          <w:b/>
          <w:bCs/>
          <w:sz w:val="20"/>
          <w:szCs w:val="18"/>
        </w:rPr>
      </w:pPr>
    </w:p>
    <w:p w:rsidR="002017BF" w:rsidRPr="00D96F9F" w:rsidRDefault="0060757A" w:rsidP="00EB7ED6">
      <w:pPr>
        <w:adjustRightInd w:val="0"/>
        <w:snapToGrid w:val="0"/>
        <w:jc w:val="center"/>
        <w:rPr>
          <w:sz w:val="20"/>
          <w:szCs w:val="20"/>
        </w:rPr>
      </w:pPr>
      <w:proofErr w:type="gramStart"/>
      <w:r w:rsidRPr="00D96F9F">
        <w:rPr>
          <w:b/>
          <w:bCs/>
          <w:sz w:val="20"/>
          <w:szCs w:val="20"/>
        </w:rPr>
        <w:lastRenderedPageBreak/>
        <w:t>Table (</w:t>
      </w:r>
      <w:r w:rsidR="00925741" w:rsidRPr="00D96F9F">
        <w:rPr>
          <w:b/>
          <w:bCs/>
          <w:sz w:val="20"/>
          <w:szCs w:val="20"/>
        </w:rPr>
        <w:t>2</w:t>
      </w:r>
      <w:r w:rsidR="002017BF" w:rsidRPr="00D96F9F">
        <w:rPr>
          <w:b/>
          <w:bCs/>
          <w:sz w:val="20"/>
          <w:szCs w:val="20"/>
        </w:rPr>
        <w:t>):</w:t>
      </w:r>
      <w:r w:rsidR="002017BF" w:rsidRPr="00D96F9F">
        <w:rPr>
          <w:sz w:val="20"/>
          <w:szCs w:val="20"/>
        </w:rPr>
        <w:t xml:space="preserve"> </w:t>
      </w:r>
      <w:r w:rsidRPr="00D96F9F">
        <w:rPr>
          <w:b/>
          <w:bCs/>
          <w:sz w:val="20"/>
          <w:szCs w:val="20"/>
        </w:rPr>
        <w:t xml:space="preserve">Comparison between the two studied </w:t>
      </w:r>
      <w:r w:rsidR="00934A1B" w:rsidRPr="00D96F9F">
        <w:rPr>
          <w:b/>
          <w:bCs/>
          <w:sz w:val="20"/>
          <w:szCs w:val="20"/>
        </w:rPr>
        <w:t>groups regarding ionized Ca+2</w:t>
      </w:r>
      <w:r w:rsidRPr="00D96F9F">
        <w:rPr>
          <w:b/>
          <w:bCs/>
          <w:sz w:val="20"/>
          <w:szCs w:val="20"/>
        </w:rPr>
        <w:t xml:space="preserve"> and serum</w:t>
      </w:r>
      <w:r w:rsidR="00934A1B" w:rsidRPr="00D96F9F">
        <w:rPr>
          <w:b/>
          <w:bCs/>
          <w:sz w:val="20"/>
          <w:szCs w:val="20"/>
        </w:rPr>
        <w:t xml:space="preserve"> total</w:t>
      </w:r>
      <w:r w:rsidRPr="00D96F9F">
        <w:rPr>
          <w:b/>
          <w:bCs/>
          <w:sz w:val="20"/>
          <w:szCs w:val="20"/>
        </w:rPr>
        <w:t xml:space="preserve"> </w:t>
      </w:r>
      <w:r w:rsidR="00934A1B" w:rsidRPr="00D96F9F">
        <w:rPr>
          <w:b/>
          <w:bCs/>
          <w:sz w:val="20"/>
          <w:szCs w:val="20"/>
        </w:rPr>
        <w:t>Mg+2</w:t>
      </w:r>
      <w:r w:rsidR="00EC1F18" w:rsidRPr="00D96F9F">
        <w:rPr>
          <w:sz w:val="20"/>
          <w:szCs w:val="20"/>
        </w:rPr>
        <w:t>.</w:t>
      </w:r>
      <w:proofErr w:type="gramEnd"/>
    </w:p>
    <w:tbl>
      <w:tblPr>
        <w:bidiVisual/>
        <w:tblW w:w="5000" w:type="pct"/>
        <w:jc w:val="center"/>
        <w:tblCellMar>
          <w:left w:w="0" w:type="dxa"/>
          <w:right w:w="0" w:type="dxa"/>
        </w:tblCellMar>
        <w:tblLook w:val="04A0"/>
      </w:tblPr>
      <w:tblGrid>
        <w:gridCol w:w="1572"/>
        <w:gridCol w:w="1273"/>
        <w:gridCol w:w="1080"/>
        <w:gridCol w:w="1283"/>
        <w:gridCol w:w="1065"/>
        <w:gridCol w:w="1266"/>
        <w:gridCol w:w="2107"/>
      </w:tblGrid>
      <w:tr w:rsidR="0060757A" w:rsidRPr="00D96F9F" w:rsidTr="00D96F9F">
        <w:trPr>
          <w:jc w:val="center"/>
        </w:trPr>
        <w:tc>
          <w:tcPr>
            <w:tcW w:w="1474" w:type="pct"/>
            <w:gridSpan w:val="2"/>
            <w:tcBorders>
              <w:top w:val="single" w:sz="1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Independent t-test</w:t>
            </w:r>
          </w:p>
        </w:tc>
        <w:tc>
          <w:tcPr>
            <w:tcW w:w="1225" w:type="pct"/>
            <w:gridSpan w:val="2"/>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Patients group</w:t>
            </w:r>
          </w:p>
        </w:tc>
        <w:tc>
          <w:tcPr>
            <w:tcW w:w="1207" w:type="pct"/>
            <w:gridSpan w:val="2"/>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Control group</w:t>
            </w:r>
          </w:p>
        </w:tc>
        <w:tc>
          <w:tcPr>
            <w:tcW w:w="1093" w:type="pct"/>
            <w:vMerge w:val="restart"/>
            <w:tcBorders>
              <w:top w:val="single" w:sz="1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60757A" w:rsidRPr="00D96F9F" w:rsidRDefault="0060757A" w:rsidP="00EB7ED6">
            <w:pPr>
              <w:adjustRightInd w:val="0"/>
              <w:snapToGrid w:val="0"/>
              <w:jc w:val="both"/>
              <w:rPr>
                <w:rFonts w:eastAsiaTheme="minorEastAsia"/>
                <w:color w:val="000000"/>
                <w:sz w:val="20"/>
                <w:szCs w:val="20"/>
              </w:rPr>
            </w:pPr>
          </w:p>
        </w:tc>
      </w:tr>
      <w:tr w:rsidR="0060757A" w:rsidRPr="00D96F9F" w:rsidTr="00D96F9F">
        <w:trPr>
          <w:jc w:val="center"/>
        </w:trPr>
        <w:tc>
          <w:tcPr>
            <w:tcW w:w="815" w:type="pct"/>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b/>
                <w:bCs/>
                <w:i/>
                <w:iCs/>
                <w:color w:val="000000"/>
                <w:sz w:val="20"/>
                <w:szCs w:val="20"/>
              </w:rPr>
              <w:t>p</w:t>
            </w:r>
            <w:r w:rsidRPr="00D96F9F">
              <w:rPr>
                <w:rFonts w:eastAsiaTheme="minorEastAsia"/>
                <w:b/>
                <w:bCs/>
                <w:color w:val="000000"/>
                <w:sz w:val="20"/>
                <w:szCs w:val="20"/>
              </w:rPr>
              <w:t>-value</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t</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304F5E" w:rsidP="00EB7ED6">
            <w:pPr>
              <w:adjustRightInd w:val="0"/>
              <w:snapToGrid w:val="0"/>
              <w:jc w:val="both"/>
              <w:rPr>
                <w:rFonts w:eastAsiaTheme="minorEastAsia"/>
                <w:color w:val="000000"/>
                <w:sz w:val="20"/>
                <w:szCs w:val="20"/>
              </w:rPr>
            </w:pPr>
            <w:r w:rsidRPr="00D96F9F">
              <w:rPr>
                <w:rFonts w:eastAsia="MS Mincho"/>
                <w:color w:val="000000"/>
                <w:sz w:val="20"/>
                <w:szCs w:val="20"/>
              </w:rPr>
              <w:t>±</w:t>
            </w:r>
            <w:r w:rsidR="0060757A" w:rsidRPr="00D96F9F">
              <w:rPr>
                <w:rFonts w:eastAsiaTheme="minorEastAsia"/>
                <w:b/>
                <w:bCs/>
                <w:color w:val="000000"/>
                <w:sz w:val="20"/>
                <w:szCs w:val="20"/>
              </w:rPr>
              <w:t>SD</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Mean</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304F5E" w:rsidP="00EB7ED6">
            <w:pPr>
              <w:adjustRightInd w:val="0"/>
              <w:snapToGrid w:val="0"/>
              <w:jc w:val="both"/>
              <w:rPr>
                <w:rFonts w:eastAsiaTheme="minorEastAsia"/>
                <w:color w:val="000000"/>
                <w:sz w:val="20"/>
                <w:szCs w:val="20"/>
              </w:rPr>
            </w:pPr>
            <w:r w:rsidRPr="00D96F9F">
              <w:rPr>
                <w:rFonts w:eastAsia="MS Mincho"/>
                <w:color w:val="000000"/>
                <w:sz w:val="20"/>
                <w:szCs w:val="20"/>
              </w:rPr>
              <w:t>±</w:t>
            </w:r>
            <w:r w:rsidR="0060757A" w:rsidRPr="00D96F9F">
              <w:rPr>
                <w:rFonts w:eastAsiaTheme="minorEastAsia"/>
                <w:b/>
                <w:bCs/>
                <w:color w:val="000000"/>
                <w:sz w:val="20"/>
                <w:szCs w:val="20"/>
              </w:rPr>
              <w:t>SD</w:t>
            </w:r>
          </w:p>
        </w:tc>
        <w:tc>
          <w:tcPr>
            <w:tcW w:w="65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Mean</w:t>
            </w:r>
          </w:p>
        </w:tc>
        <w:tc>
          <w:tcPr>
            <w:tcW w:w="1093" w:type="pct"/>
            <w:vMerge/>
            <w:tcBorders>
              <w:top w:val="single" w:sz="18" w:space="0" w:color="000000"/>
              <w:left w:val="single" w:sz="18" w:space="0" w:color="000000"/>
              <w:bottom w:val="single" w:sz="8" w:space="0" w:color="000000"/>
              <w:right w:val="single" w:sz="8" w:space="0" w:color="000000"/>
            </w:tcBorders>
            <w:vAlign w:val="center"/>
            <w:hideMark/>
          </w:tcPr>
          <w:p w:rsidR="0060757A" w:rsidRPr="00D96F9F" w:rsidRDefault="0060757A" w:rsidP="00EB7ED6">
            <w:pPr>
              <w:adjustRightInd w:val="0"/>
              <w:snapToGrid w:val="0"/>
              <w:jc w:val="both"/>
              <w:rPr>
                <w:rFonts w:eastAsiaTheme="minorEastAsia"/>
                <w:color w:val="000000"/>
                <w:sz w:val="20"/>
                <w:szCs w:val="20"/>
              </w:rPr>
            </w:pPr>
          </w:p>
        </w:tc>
      </w:tr>
      <w:tr w:rsidR="0060757A" w:rsidRPr="00D96F9F" w:rsidTr="00D96F9F">
        <w:trPr>
          <w:jc w:val="center"/>
        </w:trPr>
        <w:tc>
          <w:tcPr>
            <w:tcW w:w="815" w:type="pct"/>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0.000</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6.630</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0.15</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1.05</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0.08</w:t>
            </w:r>
          </w:p>
        </w:tc>
        <w:tc>
          <w:tcPr>
            <w:tcW w:w="65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1.27</w:t>
            </w:r>
          </w:p>
        </w:tc>
        <w:tc>
          <w:tcPr>
            <w:tcW w:w="1093" w:type="pct"/>
            <w:tcBorders>
              <w:top w:val="single" w:sz="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60757A" w:rsidRPr="00D96F9F" w:rsidRDefault="002239E8" w:rsidP="00EB7ED6">
            <w:pPr>
              <w:adjustRightInd w:val="0"/>
              <w:snapToGrid w:val="0"/>
              <w:jc w:val="both"/>
              <w:rPr>
                <w:rFonts w:eastAsiaTheme="minorEastAsia"/>
                <w:color w:val="000000"/>
                <w:sz w:val="20"/>
                <w:szCs w:val="20"/>
              </w:rPr>
            </w:pPr>
            <w:r w:rsidRPr="00D96F9F">
              <w:rPr>
                <w:rFonts w:eastAsiaTheme="minorEastAsia"/>
                <w:color w:val="000000"/>
                <w:sz w:val="20"/>
                <w:szCs w:val="20"/>
              </w:rPr>
              <w:t>Ionized Ca+2</w:t>
            </w:r>
          </w:p>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w:t>
            </w:r>
            <w:proofErr w:type="spellStart"/>
            <w:r w:rsidRPr="00D96F9F">
              <w:rPr>
                <w:rFonts w:eastAsiaTheme="minorEastAsia"/>
                <w:color w:val="000000"/>
                <w:sz w:val="20"/>
                <w:szCs w:val="20"/>
              </w:rPr>
              <w:t>mmol</w:t>
            </w:r>
            <w:proofErr w:type="spellEnd"/>
            <w:r w:rsidRPr="00D96F9F">
              <w:rPr>
                <w:rFonts w:eastAsiaTheme="minorEastAsia"/>
                <w:color w:val="000000"/>
                <w:sz w:val="20"/>
                <w:szCs w:val="20"/>
              </w:rPr>
              <w:t>/L)</w:t>
            </w:r>
          </w:p>
        </w:tc>
      </w:tr>
      <w:tr w:rsidR="0060757A" w:rsidRPr="00D96F9F" w:rsidTr="00D96F9F">
        <w:trPr>
          <w:jc w:val="center"/>
        </w:trPr>
        <w:tc>
          <w:tcPr>
            <w:tcW w:w="815" w:type="pct"/>
            <w:tcBorders>
              <w:top w:val="single" w:sz="8" w:space="0" w:color="000000"/>
              <w:left w:val="single" w:sz="8" w:space="0" w:color="000000"/>
              <w:bottom w:val="single" w:sz="1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0.000</w:t>
            </w:r>
          </w:p>
        </w:tc>
        <w:tc>
          <w:tcPr>
            <w:tcW w:w="660"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7.370</w:t>
            </w:r>
          </w:p>
        </w:tc>
        <w:tc>
          <w:tcPr>
            <w:tcW w:w="560"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0.42</w:t>
            </w:r>
          </w:p>
        </w:tc>
        <w:tc>
          <w:tcPr>
            <w:tcW w:w="665"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1.36</w:t>
            </w:r>
          </w:p>
        </w:tc>
        <w:tc>
          <w:tcPr>
            <w:tcW w:w="552"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0.13</w:t>
            </w:r>
          </w:p>
        </w:tc>
        <w:tc>
          <w:tcPr>
            <w:tcW w:w="656"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2.02</w:t>
            </w:r>
          </w:p>
        </w:tc>
        <w:tc>
          <w:tcPr>
            <w:tcW w:w="1093" w:type="pct"/>
            <w:tcBorders>
              <w:top w:val="single" w:sz="8" w:space="0" w:color="000000"/>
              <w:left w:val="single" w:sz="1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60757A" w:rsidRPr="00D96F9F" w:rsidRDefault="002239E8" w:rsidP="00EB7ED6">
            <w:pPr>
              <w:adjustRightInd w:val="0"/>
              <w:snapToGrid w:val="0"/>
              <w:jc w:val="both"/>
              <w:rPr>
                <w:rFonts w:eastAsiaTheme="minorEastAsia"/>
                <w:color w:val="000000"/>
                <w:sz w:val="20"/>
                <w:szCs w:val="20"/>
              </w:rPr>
            </w:pPr>
            <w:r w:rsidRPr="00D96F9F">
              <w:rPr>
                <w:rFonts w:eastAsiaTheme="minorEastAsia"/>
                <w:color w:val="000000"/>
                <w:sz w:val="20"/>
                <w:szCs w:val="20"/>
              </w:rPr>
              <w:t>Serum Mg+2</w:t>
            </w:r>
          </w:p>
          <w:p w:rsidR="00597825" w:rsidRPr="00D96F9F" w:rsidRDefault="0060757A" w:rsidP="00EB7ED6">
            <w:pPr>
              <w:adjustRightInd w:val="0"/>
              <w:snapToGrid w:val="0"/>
              <w:jc w:val="both"/>
              <w:rPr>
                <w:rFonts w:eastAsiaTheme="minorEastAsia"/>
                <w:color w:val="000000"/>
                <w:sz w:val="20"/>
                <w:szCs w:val="20"/>
              </w:rPr>
            </w:pPr>
            <w:r w:rsidRPr="00D96F9F">
              <w:rPr>
                <w:rFonts w:eastAsiaTheme="minorEastAsia"/>
                <w:color w:val="000000"/>
                <w:sz w:val="20"/>
                <w:szCs w:val="20"/>
              </w:rPr>
              <w:t>(mg/</w:t>
            </w:r>
            <w:proofErr w:type="spellStart"/>
            <w:r w:rsidRPr="00D96F9F">
              <w:rPr>
                <w:rFonts w:eastAsiaTheme="minorEastAsia"/>
                <w:color w:val="000000"/>
                <w:sz w:val="20"/>
                <w:szCs w:val="20"/>
              </w:rPr>
              <w:t>dL</w:t>
            </w:r>
            <w:proofErr w:type="spellEnd"/>
            <w:r w:rsidRPr="00D96F9F">
              <w:rPr>
                <w:rFonts w:eastAsiaTheme="minorEastAsia"/>
                <w:color w:val="000000"/>
                <w:sz w:val="20"/>
                <w:szCs w:val="20"/>
              </w:rPr>
              <w:t>)</w:t>
            </w:r>
          </w:p>
        </w:tc>
      </w:tr>
    </w:tbl>
    <w:p w:rsidR="002017BF" w:rsidRPr="00D96F9F" w:rsidRDefault="00786A87" w:rsidP="00EB7ED6">
      <w:pPr>
        <w:autoSpaceDE w:val="0"/>
        <w:autoSpaceDN w:val="0"/>
        <w:adjustRightInd w:val="0"/>
        <w:snapToGrid w:val="0"/>
        <w:jc w:val="both"/>
        <w:rPr>
          <w:sz w:val="20"/>
          <w:szCs w:val="20"/>
        </w:rPr>
      </w:pPr>
      <w:r w:rsidRPr="00D96F9F">
        <w:rPr>
          <w:sz w:val="20"/>
          <w:szCs w:val="20"/>
        </w:rPr>
        <w:t>This table shows highly significant differences between pat</w:t>
      </w:r>
      <w:r w:rsidR="002239E8" w:rsidRPr="00D96F9F">
        <w:rPr>
          <w:sz w:val="20"/>
          <w:szCs w:val="20"/>
        </w:rPr>
        <w:t xml:space="preserve">ients and controls </w:t>
      </w:r>
      <w:r w:rsidRPr="00D96F9F">
        <w:rPr>
          <w:sz w:val="20"/>
          <w:szCs w:val="20"/>
        </w:rPr>
        <w:t xml:space="preserve">regarding </w:t>
      </w:r>
      <w:r w:rsidR="004C5008" w:rsidRPr="00D96F9F">
        <w:rPr>
          <w:sz w:val="20"/>
          <w:szCs w:val="20"/>
        </w:rPr>
        <w:t>mean ionized Ca+2</w:t>
      </w:r>
      <w:r w:rsidR="00147469" w:rsidRPr="00D96F9F">
        <w:rPr>
          <w:sz w:val="20"/>
          <w:szCs w:val="20"/>
        </w:rPr>
        <w:t xml:space="preserve"> and mean serum</w:t>
      </w:r>
      <w:r w:rsidR="004C5008" w:rsidRPr="00D96F9F">
        <w:rPr>
          <w:sz w:val="20"/>
          <w:szCs w:val="20"/>
        </w:rPr>
        <w:t xml:space="preserve"> total</w:t>
      </w:r>
      <w:r w:rsidRPr="00D96F9F">
        <w:rPr>
          <w:sz w:val="20"/>
          <w:szCs w:val="20"/>
        </w:rPr>
        <w:t xml:space="preserve"> </w:t>
      </w:r>
      <w:r w:rsidR="004C5008" w:rsidRPr="00D96F9F">
        <w:rPr>
          <w:sz w:val="20"/>
          <w:szCs w:val="20"/>
        </w:rPr>
        <w:t>mg+2</w:t>
      </w:r>
      <w:r w:rsidRPr="00D96F9F">
        <w:rPr>
          <w:sz w:val="20"/>
          <w:szCs w:val="20"/>
        </w:rPr>
        <w:t>.</w:t>
      </w:r>
    </w:p>
    <w:p w:rsidR="00E16D5C" w:rsidRPr="00D96F9F" w:rsidRDefault="00E16D5C" w:rsidP="00EB7ED6">
      <w:pPr>
        <w:adjustRightInd w:val="0"/>
        <w:snapToGrid w:val="0"/>
        <w:jc w:val="center"/>
        <w:rPr>
          <w:b/>
          <w:bCs/>
          <w:sz w:val="20"/>
          <w:szCs w:val="20"/>
        </w:rPr>
      </w:pPr>
    </w:p>
    <w:p w:rsidR="002017BF" w:rsidRPr="00D96F9F" w:rsidRDefault="00093B80" w:rsidP="00EB7ED6">
      <w:pPr>
        <w:adjustRightInd w:val="0"/>
        <w:snapToGrid w:val="0"/>
        <w:jc w:val="both"/>
        <w:rPr>
          <w:b/>
          <w:sz w:val="20"/>
          <w:szCs w:val="20"/>
        </w:rPr>
      </w:pPr>
      <w:r w:rsidRPr="00D96F9F">
        <w:rPr>
          <w:b/>
          <w:bCs/>
          <w:sz w:val="20"/>
          <w:szCs w:val="20"/>
        </w:rPr>
        <w:t>Table (</w:t>
      </w:r>
      <w:r w:rsidR="00333267" w:rsidRPr="00D96F9F">
        <w:rPr>
          <w:b/>
          <w:bCs/>
          <w:sz w:val="20"/>
          <w:szCs w:val="20"/>
        </w:rPr>
        <w:t>3</w:t>
      </w:r>
      <w:r w:rsidR="002017BF" w:rsidRPr="00D96F9F">
        <w:rPr>
          <w:b/>
          <w:bCs/>
          <w:sz w:val="20"/>
          <w:szCs w:val="20"/>
        </w:rPr>
        <w:t>):</w:t>
      </w:r>
      <w:r w:rsidR="002017BF" w:rsidRPr="00D96F9F">
        <w:rPr>
          <w:b/>
          <w:sz w:val="20"/>
          <w:szCs w:val="20"/>
        </w:rPr>
        <w:t xml:space="preserve"> </w:t>
      </w:r>
      <w:r w:rsidR="0021284D" w:rsidRPr="00D96F9F">
        <w:rPr>
          <w:b/>
          <w:sz w:val="20"/>
          <w:szCs w:val="20"/>
        </w:rPr>
        <w:t xml:space="preserve">Comparison between patients with mild </w:t>
      </w:r>
      <w:proofErr w:type="gramStart"/>
      <w:r w:rsidR="0021284D" w:rsidRPr="00D96F9F">
        <w:rPr>
          <w:b/>
          <w:sz w:val="20"/>
          <w:szCs w:val="20"/>
        </w:rPr>
        <w:t>HIE</w:t>
      </w:r>
      <w:proofErr w:type="gramEnd"/>
      <w:r w:rsidR="0021284D" w:rsidRPr="00D96F9F">
        <w:rPr>
          <w:b/>
          <w:sz w:val="20"/>
          <w:szCs w:val="20"/>
        </w:rPr>
        <w:t xml:space="preserve"> and control g</w:t>
      </w:r>
      <w:r w:rsidR="002239E8" w:rsidRPr="00D96F9F">
        <w:rPr>
          <w:b/>
          <w:sz w:val="20"/>
          <w:szCs w:val="20"/>
        </w:rPr>
        <w:t xml:space="preserve">roups regarding ionized Ca+2 </w:t>
      </w:r>
      <w:r w:rsidR="0021284D" w:rsidRPr="00D96F9F">
        <w:rPr>
          <w:b/>
          <w:sz w:val="20"/>
          <w:szCs w:val="20"/>
        </w:rPr>
        <w:t>and serum</w:t>
      </w:r>
      <w:r w:rsidR="00CE3B04" w:rsidRPr="00D96F9F">
        <w:rPr>
          <w:b/>
          <w:sz w:val="20"/>
          <w:szCs w:val="20"/>
        </w:rPr>
        <w:t xml:space="preserve"> total Mg+2</w:t>
      </w:r>
    </w:p>
    <w:tbl>
      <w:tblPr>
        <w:bidiVisual/>
        <w:tblW w:w="5000" w:type="pct"/>
        <w:jc w:val="center"/>
        <w:tblCellMar>
          <w:left w:w="0" w:type="dxa"/>
          <w:right w:w="0" w:type="dxa"/>
        </w:tblCellMar>
        <w:tblLook w:val="04A0"/>
      </w:tblPr>
      <w:tblGrid>
        <w:gridCol w:w="1622"/>
        <w:gridCol w:w="1316"/>
        <w:gridCol w:w="1034"/>
        <w:gridCol w:w="1231"/>
        <w:gridCol w:w="1034"/>
        <w:gridCol w:w="1231"/>
        <w:gridCol w:w="2178"/>
      </w:tblGrid>
      <w:tr w:rsidR="00093B80" w:rsidRPr="00D96F9F" w:rsidTr="00D96F9F">
        <w:trPr>
          <w:jc w:val="center"/>
        </w:trPr>
        <w:tc>
          <w:tcPr>
            <w:tcW w:w="1523" w:type="pct"/>
            <w:gridSpan w:val="2"/>
            <w:tcBorders>
              <w:top w:val="single" w:sz="1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Independent t-test</w:t>
            </w:r>
          </w:p>
        </w:tc>
        <w:tc>
          <w:tcPr>
            <w:tcW w:w="1174" w:type="pct"/>
            <w:gridSpan w:val="2"/>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Mild HIE</w:t>
            </w:r>
          </w:p>
        </w:tc>
        <w:tc>
          <w:tcPr>
            <w:tcW w:w="1174" w:type="pct"/>
            <w:gridSpan w:val="2"/>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Control</w:t>
            </w:r>
          </w:p>
        </w:tc>
        <w:tc>
          <w:tcPr>
            <w:tcW w:w="1129" w:type="pct"/>
            <w:vMerge w:val="restart"/>
            <w:tcBorders>
              <w:top w:val="single" w:sz="1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093B80" w:rsidRPr="00D96F9F" w:rsidRDefault="00093B80" w:rsidP="00EB7ED6">
            <w:pPr>
              <w:adjustRightInd w:val="0"/>
              <w:snapToGrid w:val="0"/>
              <w:jc w:val="both"/>
              <w:rPr>
                <w:rFonts w:eastAsiaTheme="minorEastAsia"/>
                <w:color w:val="000000"/>
                <w:sz w:val="20"/>
                <w:szCs w:val="20"/>
              </w:rPr>
            </w:pPr>
          </w:p>
        </w:tc>
      </w:tr>
      <w:tr w:rsidR="00093B80" w:rsidRPr="00D96F9F" w:rsidTr="00D96F9F">
        <w:trPr>
          <w:jc w:val="center"/>
        </w:trPr>
        <w:tc>
          <w:tcPr>
            <w:tcW w:w="841" w:type="pct"/>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b/>
                <w:bCs/>
                <w:i/>
                <w:iCs/>
                <w:color w:val="000000"/>
                <w:sz w:val="20"/>
                <w:szCs w:val="20"/>
              </w:rPr>
              <w:t>p</w:t>
            </w:r>
            <w:r w:rsidRPr="00D96F9F">
              <w:rPr>
                <w:rFonts w:eastAsiaTheme="minorEastAsia"/>
                <w:b/>
                <w:bCs/>
                <w:color w:val="000000"/>
                <w:sz w:val="20"/>
                <w:szCs w:val="20"/>
              </w:rPr>
              <w:t>-value</w:t>
            </w:r>
          </w:p>
        </w:tc>
        <w:tc>
          <w:tcPr>
            <w:tcW w:w="681"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t</w:t>
            </w:r>
          </w:p>
        </w:tc>
        <w:tc>
          <w:tcPr>
            <w:tcW w:w="53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304F5E" w:rsidP="00EB7ED6">
            <w:pPr>
              <w:adjustRightInd w:val="0"/>
              <w:snapToGrid w:val="0"/>
              <w:jc w:val="both"/>
              <w:rPr>
                <w:rFonts w:eastAsiaTheme="minorEastAsia"/>
                <w:color w:val="000000"/>
                <w:sz w:val="20"/>
                <w:szCs w:val="20"/>
              </w:rPr>
            </w:pPr>
            <w:r w:rsidRPr="00D96F9F">
              <w:rPr>
                <w:rFonts w:eastAsia="MS Mincho"/>
                <w:color w:val="000000"/>
                <w:sz w:val="20"/>
                <w:szCs w:val="20"/>
              </w:rPr>
              <w:t>±</w:t>
            </w:r>
            <w:r w:rsidR="00093B80" w:rsidRPr="00D96F9F">
              <w:rPr>
                <w:rFonts w:eastAsiaTheme="minorEastAsia"/>
                <w:b/>
                <w:bCs/>
                <w:color w:val="000000"/>
                <w:sz w:val="20"/>
                <w:szCs w:val="20"/>
              </w:rPr>
              <w:t>SD</w:t>
            </w:r>
          </w:p>
        </w:tc>
        <w:tc>
          <w:tcPr>
            <w:tcW w:w="638"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Mean</w:t>
            </w:r>
          </w:p>
        </w:tc>
        <w:tc>
          <w:tcPr>
            <w:tcW w:w="53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304F5E" w:rsidP="00EB7ED6">
            <w:pPr>
              <w:adjustRightInd w:val="0"/>
              <w:snapToGrid w:val="0"/>
              <w:jc w:val="both"/>
              <w:rPr>
                <w:rFonts w:eastAsiaTheme="minorEastAsia"/>
                <w:color w:val="000000"/>
                <w:sz w:val="20"/>
                <w:szCs w:val="20"/>
              </w:rPr>
            </w:pPr>
            <w:r w:rsidRPr="00D96F9F">
              <w:rPr>
                <w:rFonts w:eastAsia="MS Mincho"/>
                <w:color w:val="000000"/>
                <w:sz w:val="20"/>
                <w:szCs w:val="20"/>
              </w:rPr>
              <w:t>±</w:t>
            </w:r>
            <w:r w:rsidR="00093B80" w:rsidRPr="00D96F9F">
              <w:rPr>
                <w:rFonts w:eastAsiaTheme="minorEastAsia"/>
                <w:b/>
                <w:bCs/>
                <w:color w:val="000000"/>
                <w:sz w:val="20"/>
                <w:szCs w:val="20"/>
              </w:rPr>
              <w:t>SD</w:t>
            </w:r>
          </w:p>
        </w:tc>
        <w:tc>
          <w:tcPr>
            <w:tcW w:w="638"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b/>
                <w:bCs/>
                <w:color w:val="000000"/>
                <w:sz w:val="20"/>
                <w:szCs w:val="20"/>
              </w:rPr>
              <w:t>Mean</w:t>
            </w:r>
          </w:p>
        </w:tc>
        <w:tc>
          <w:tcPr>
            <w:tcW w:w="1129" w:type="pct"/>
            <w:vMerge/>
            <w:tcBorders>
              <w:top w:val="single" w:sz="18" w:space="0" w:color="000000"/>
              <w:left w:val="single" w:sz="18" w:space="0" w:color="000000"/>
              <w:bottom w:val="single" w:sz="8" w:space="0" w:color="000000"/>
              <w:right w:val="single" w:sz="8" w:space="0" w:color="000000"/>
            </w:tcBorders>
            <w:vAlign w:val="center"/>
            <w:hideMark/>
          </w:tcPr>
          <w:p w:rsidR="00093B80" w:rsidRPr="00D96F9F" w:rsidRDefault="00093B80" w:rsidP="00EB7ED6">
            <w:pPr>
              <w:adjustRightInd w:val="0"/>
              <w:snapToGrid w:val="0"/>
              <w:jc w:val="both"/>
              <w:rPr>
                <w:rFonts w:eastAsiaTheme="minorEastAsia"/>
                <w:color w:val="000000"/>
                <w:sz w:val="20"/>
                <w:szCs w:val="20"/>
              </w:rPr>
            </w:pPr>
          </w:p>
        </w:tc>
      </w:tr>
      <w:tr w:rsidR="00093B80" w:rsidRPr="00D96F9F" w:rsidTr="00D96F9F">
        <w:trPr>
          <w:jc w:val="center"/>
        </w:trPr>
        <w:tc>
          <w:tcPr>
            <w:tcW w:w="841" w:type="pct"/>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0.000</w:t>
            </w:r>
          </w:p>
        </w:tc>
        <w:tc>
          <w:tcPr>
            <w:tcW w:w="681"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4.199</w:t>
            </w:r>
          </w:p>
        </w:tc>
        <w:tc>
          <w:tcPr>
            <w:tcW w:w="53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0.07</w:t>
            </w:r>
          </w:p>
        </w:tc>
        <w:tc>
          <w:tcPr>
            <w:tcW w:w="638"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1.14</w:t>
            </w:r>
          </w:p>
        </w:tc>
        <w:tc>
          <w:tcPr>
            <w:tcW w:w="53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0.08</w:t>
            </w:r>
          </w:p>
        </w:tc>
        <w:tc>
          <w:tcPr>
            <w:tcW w:w="638"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1.27</w:t>
            </w:r>
          </w:p>
        </w:tc>
        <w:tc>
          <w:tcPr>
            <w:tcW w:w="1129" w:type="pct"/>
            <w:tcBorders>
              <w:top w:val="single" w:sz="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093B80" w:rsidRPr="00D96F9F" w:rsidRDefault="00CE3B04" w:rsidP="00EB7ED6">
            <w:pPr>
              <w:adjustRightInd w:val="0"/>
              <w:snapToGrid w:val="0"/>
              <w:jc w:val="both"/>
              <w:rPr>
                <w:rFonts w:eastAsiaTheme="minorEastAsia"/>
                <w:color w:val="000000"/>
                <w:sz w:val="20"/>
                <w:szCs w:val="20"/>
              </w:rPr>
            </w:pPr>
            <w:r w:rsidRPr="00D96F9F">
              <w:rPr>
                <w:rFonts w:eastAsiaTheme="minorEastAsia"/>
                <w:color w:val="000000"/>
                <w:sz w:val="20"/>
                <w:szCs w:val="20"/>
              </w:rPr>
              <w:t>Ionized Ca+2</w:t>
            </w:r>
          </w:p>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w:t>
            </w:r>
            <w:proofErr w:type="spellStart"/>
            <w:r w:rsidRPr="00D96F9F">
              <w:rPr>
                <w:rFonts w:eastAsiaTheme="minorEastAsia"/>
                <w:color w:val="000000"/>
                <w:sz w:val="20"/>
                <w:szCs w:val="20"/>
              </w:rPr>
              <w:t>mmol</w:t>
            </w:r>
            <w:proofErr w:type="spellEnd"/>
            <w:r w:rsidRPr="00D96F9F">
              <w:rPr>
                <w:rFonts w:eastAsiaTheme="minorEastAsia"/>
                <w:color w:val="000000"/>
                <w:sz w:val="20"/>
                <w:szCs w:val="20"/>
              </w:rPr>
              <w:t>/L)</w:t>
            </w:r>
          </w:p>
        </w:tc>
      </w:tr>
      <w:tr w:rsidR="00093B80" w:rsidRPr="00D96F9F" w:rsidTr="00D96F9F">
        <w:trPr>
          <w:jc w:val="center"/>
        </w:trPr>
        <w:tc>
          <w:tcPr>
            <w:tcW w:w="841" w:type="pct"/>
            <w:tcBorders>
              <w:top w:val="single" w:sz="8" w:space="0" w:color="000000"/>
              <w:left w:val="single" w:sz="8" w:space="0" w:color="000000"/>
              <w:bottom w:val="single" w:sz="1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0.000</w:t>
            </w:r>
          </w:p>
        </w:tc>
        <w:tc>
          <w:tcPr>
            <w:tcW w:w="681"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6.986</w:t>
            </w:r>
          </w:p>
        </w:tc>
        <w:tc>
          <w:tcPr>
            <w:tcW w:w="536"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0.21</w:t>
            </w:r>
          </w:p>
        </w:tc>
        <w:tc>
          <w:tcPr>
            <w:tcW w:w="638"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1.58</w:t>
            </w:r>
          </w:p>
        </w:tc>
        <w:tc>
          <w:tcPr>
            <w:tcW w:w="536"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0.13</w:t>
            </w:r>
          </w:p>
        </w:tc>
        <w:tc>
          <w:tcPr>
            <w:tcW w:w="638"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2.02</w:t>
            </w:r>
          </w:p>
        </w:tc>
        <w:tc>
          <w:tcPr>
            <w:tcW w:w="1129" w:type="pct"/>
            <w:tcBorders>
              <w:top w:val="single" w:sz="8" w:space="0" w:color="000000"/>
              <w:left w:val="single" w:sz="1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093B80" w:rsidRPr="00D96F9F" w:rsidRDefault="00432E98" w:rsidP="00EB7ED6">
            <w:pPr>
              <w:adjustRightInd w:val="0"/>
              <w:snapToGrid w:val="0"/>
              <w:jc w:val="both"/>
              <w:rPr>
                <w:rFonts w:eastAsiaTheme="minorEastAsia"/>
                <w:color w:val="000000"/>
                <w:sz w:val="20"/>
                <w:szCs w:val="20"/>
              </w:rPr>
            </w:pPr>
            <w:r w:rsidRPr="00D96F9F">
              <w:rPr>
                <w:rFonts w:eastAsiaTheme="minorEastAsia"/>
                <w:color w:val="000000"/>
                <w:sz w:val="20"/>
                <w:szCs w:val="20"/>
              </w:rPr>
              <w:t>Serum Mg+2</w:t>
            </w:r>
          </w:p>
          <w:p w:rsidR="00597825" w:rsidRPr="00D96F9F" w:rsidRDefault="00093B80" w:rsidP="00EB7ED6">
            <w:pPr>
              <w:adjustRightInd w:val="0"/>
              <w:snapToGrid w:val="0"/>
              <w:jc w:val="both"/>
              <w:rPr>
                <w:rFonts w:eastAsiaTheme="minorEastAsia"/>
                <w:color w:val="000000"/>
                <w:sz w:val="20"/>
                <w:szCs w:val="20"/>
              </w:rPr>
            </w:pPr>
            <w:r w:rsidRPr="00D96F9F">
              <w:rPr>
                <w:rFonts w:eastAsiaTheme="minorEastAsia"/>
                <w:color w:val="000000"/>
                <w:sz w:val="20"/>
                <w:szCs w:val="20"/>
              </w:rPr>
              <w:t>(mg/</w:t>
            </w:r>
            <w:proofErr w:type="spellStart"/>
            <w:r w:rsidRPr="00D96F9F">
              <w:rPr>
                <w:rFonts w:eastAsiaTheme="minorEastAsia"/>
                <w:color w:val="000000"/>
                <w:sz w:val="20"/>
                <w:szCs w:val="20"/>
              </w:rPr>
              <w:t>dL</w:t>
            </w:r>
            <w:proofErr w:type="spellEnd"/>
            <w:r w:rsidRPr="00D96F9F">
              <w:rPr>
                <w:rFonts w:eastAsiaTheme="minorEastAsia"/>
                <w:color w:val="000000"/>
                <w:sz w:val="20"/>
                <w:szCs w:val="20"/>
              </w:rPr>
              <w:t>)</w:t>
            </w:r>
          </w:p>
        </w:tc>
      </w:tr>
    </w:tbl>
    <w:p w:rsidR="00B4535A" w:rsidRPr="00D96F9F" w:rsidRDefault="000F21F8" w:rsidP="00EB7ED6">
      <w:pPr>
        <w:autoSpaceDE w:val="0"/>
        <w:autoSpaceDN w:val="0"/>
        <w:adjustRightInd w:val="0"/>
        <w:snapToGrid w:val="0"/>
        <w:jc w:val="both"/>
        <w:rPr>
          <w:sz w:val="20"/>
          <w:szCs w:val="20"/>
        </w:rPr>
      </w:pPr>
      <w:r w:rsidRPr="00D96F9F">
        <w:rPr>
          <w:sz w:val="20"/>
          <w:szCs w:val="20"/>
        </w:rPr>
        <w:t>There is a h</w:t>
      </w:r>
      <w:r w:rsidR="00B4535A" w:rsidRPr="00D96F9F">
        <w:rPr>
          <w:sz w:val="20"/>
          <w:szCs w:val="20"/>
        </w:rPr>
        <w:t xml:space="preserve">ighly significant lower mean ionized </w:t>
      </w:r>
      <w:r w:rsidR="00CE3B04" w:rsidRPr="00D96F9F">
        <w:rPr>
          <w:sz w:val="20"/>
          <w:szCs w:val="20"/>
        </w:rPr>
        <w:t>Ca+2</w:t>
      </w:r>
      <w:r w:rsidR="00B4535A" w:rsidRPr="00D96F9F">
        <w:rPr>
          <w:sz w:val="20"/>
          <w:szCs w:val="20"/>
        </w:rPr>
        <w:t xml:space="preserve"> and mean serum</w:t>
      </w:r>
      <w:r w:rsidR="002239E8" w:rsidRPr="00D96F9F">
        <w:rPr>
          <w:sz w:val="20"/>
          <w:szCs w:val="20"/>
        </w:rPr>
        <w:t xml:space="preserve"> t</w:t>
      </w:r>
      <w:r w:rsidR="00CE3B04" w:rsidRPr="00D96F9F">
        <w:rPr>
          <w:sz w:val="20"/>
          <w:szCs w:val="20"/>
        </w:rPr>
        <w:t>otal Mg+2</w:t>
      </w:r>
      <w:r w:rsidR="00B4535A" w:rsidRPr="00D96F9F">
        <w:rPr>
          <w:sz w:val="20"/>
          <w:szCs w:val="20"/>
        </w:rPr>
        <w:t xml:space="preserve"> in patients with mild HIE compared to controls.</w:t>
      </w:r>
    </w:p>
    <w:p w:rsidR="0005702A" w:rsidRPr="00D96F9F" w:rsidRDefault="0005702A" w:rsidP="00EB7ED6">
      <w:pPr>
        <w:adjustRightInd w:val="0"/>
        <w:snapToGrid w:val="0"/>
        <w:jc w:val="center"/>
        <w:rPr>
          <w:b/>
          <w:bCs/>
          <w:sz w:val="20"/>
          <w:szCs w:val="20"/>
        </w:rPr>
      </w:pPr>
    </w:p>
    <w:p w:rsidR="002017BF" w:rsidRPr="00D96F9F" w:rsidRDefault="00B03CEB" w:rsidP="00EB7ED6">
      <w:pPr>
        <w:adjustRightInd w:val="0"/>
        <w:snapToGrid w:val="0"/>
        <w:jc w:val="both"/>
        <w:rPr>
          <w:b/>
          <w:bCs/>
          <w:sz w:val="20"/>
          <w:szCs w:val="20"/>
        </w:rPr>
      </w:pPr>
      <w:r w:rsidRPr="00D96F9F">
        <w:rPr>
          <w:b/>
          <w:bCs/>
          <w:sz w:val="20"/>
          <w:szCs w:val="20"/>
        </w:rPr>
        <w:t>Table (</w:t>
      </w:r>
      <w:r w:rsidR="00333267" w:rsidRPr="00D96F9F">
        <w:rPr>
          <w:b/>
          <w:bCs/>
          <w:sz w:val="20"/>
          <w:szCs w:val="20"/>
        </w:rPr>
        <w:t>4</w:t>
      </w:r>
      <w:r w:rsidR="002017BF" w:rsidRPr="00D96F9F">
        <w:rPr>
          <w:b/>
          <w:bCs/>
          <w:sz w:val="20"/>
          <w:szCs w:val="20"/>
        </w:rPr>
        <w:t>):</w:t>
      </w:r>
      <w:r w:rsidR="002017BF" w:rsidRPr="00D96F9F">
        <w:rPr>
          <w:sz w:val="20"/>
          <w:szCs w:val="20"/>
        </w:rPr>
        <w:t xml:space="preserve"> </w:t>
      </w:r>
      <w:r w:rsidRPr="00D96F9F">
        <w:rPr>
          <w:b/>
          <w:bCs/>
          <w:sz w:val="20"/>
          <w:szCs w:val="20"/>
        </w:rPr>
        <w:t xml:space="preserve">Comparison between patients with moderate </w:t>
      </w:r>
      <w:proofErr w:type="gramStart"/>
      <w:r w:rsidRPr="00D96F9F">
        <w:rPr>
          <w:b/>
          <w:bCs/>
          <w:sz w:val="20"/>
          <w:szCs w:val="20"/>
        </w:rPr>
        <w:t>HIE</w:t>
      </w:r>
      <w:proofErr w:type="gramEnd"/>
      <w:r w:rsidRPr="00D96F9F">
        <w:rPr>
          <w:b/>
          <w:bCs/>
          <w:sz w:val="20"/>
          <w:szCs w:val="20"/>
        </w:rPr>
        <w:t xml:space="preserve"> and control </w:t>
      </w:r>
      <w:r w:rsidR="007A71BF" w:rsidRPr="00D96F9F">
        <w:rPr>
          <w:b/>
          <w:bCs/>
          <w:sz w:val="20"/>
          <w:szCs w:val="20"/>
        </w:rPr>
        <w:t>groups regarding ionized Ca+2</w:t>
      </w:r>
      <w:r w:rsidRPr="00D96F9F">
        <w:rPr>
          <w:b/>
          <w:bCs/>
          <w:sz w:val="20"/>
          <w:szCs w:val="20"/>
        </w:rPr>
        <w:t xml:space="preserve"> and serum</w:t>
      </w:r>
      <w:r w:rsidR="007A71BF" w:rsidRPr="00D96F9F">
        <w:rPr>
          <w:b/>
          <w:bCs/>
          <w:sz w:val="20"/>
          <w:szCs w:val="20"/>
        </w:rPr>
        <w:t xml:space="preserve"> total Mg+2</w:t>
      </w:r>
      <w:r w:rsidR="00C91DFD" w:rsidRPr="00D96F9F">
        <w:rPr>
          <w:b/>
          <w:bCs/>
          <w:sz w:val="20"/>
          <w:szCs w:val="20"/>
        </w:rPr>
        <w:t>.</w:t>
      </w:r>
    </w:p>
    <w:tbl>
      <w:tblPr>
        <w:bidiVisual/>
        <w:tblW w:w="5000" w:type="pct"/>
        <w:jc w:val="center"/>
        <w:tblCellMar>
          <w:left w:w="0" w:type="dxa"/>
          <w:right w:w="0" w:type="dxa"/>
        </w:tblCellMar>
        <w:tblLook w:val="04A0"/>
      </w:tblPr>
      <w:tblGrid>
        <w:gridCol w:w="1564"/>
        <w:gridCol w:w="1437"/>
        <w:gridCol w:w="1138"/>
        <w:gridCol w:w="1354"/>
        <w:gridCol w:w="1055"/>
        <w:gridCol w:w="1256"/>
        <w:gridCol w:w="1842"/>
      </w:tblGrid>
      <w:tr w:rsidR="00B03CEB" w:rsidRPr="00D96F9F" w:rsidTr="00D96F9F">
        <w:trPr>
          <w:jc w:val="center"/>
        </w:trPr>
        <w:tc>
          <w:tcPr>
            <w:tcW w:w="1555" w:type="pct"/>
            <w:gridSpan w:val="2"/>
            <w:tcBorders>
              <w:top w:val="single" w:sz="1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b/>
                <w:bCs/>
                <w:color w:val="000000"/>
                <w:sz w:val="20"/>
                <w:szCs w:val="20"/>
              </w:rPr>
              <w:t>Independent t-test</w:t>
            </w:r>
          </w:p>
        </w:tc>
        <w:tc>
          <w:tcPr>
            <w:tcW w:w="1292" w:type="pct"/>
            <w:gridSpan w:val="2"/>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b/>
                <w:bCs/>
                <w:color w:val="000000"/>
                <w:sz w:val="20"/>
                <w:szCs w:val="20"/>
              </w:rPr>
              <w:t>Moderate HIE</w:t>
            </w:r>
          </w:p>
        </w:tc>
        <w:tc>
          <w:tcPr>
            <w:tcW w:w="1198" w:type="pct"/>
            <w:gridSpan w:val="2"/>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b/>
                <w:bCs/>
                <w:color w:val="000000"/>
                <w:sz w:val="20"/>
                <w:szCs w:val="20"/>
              </w:rPr>
              <w:t>Control</w:t>
            </w:r>
          </w:p>
        </w:tc>
        <w:tc>
          <w:tcPr>
            <w:tcW w:w="955" w:type="pct"/>
            <w:vMerge w:val="restart"/>
            <w:tcBorders>
              <w:top w:val="single" w:sz="1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B03CEB" w:rsidRPr="00D96F9F" w:rsidRDefault="00B03CEB" w:rsidP="00EB7ED6">
            <w:pPr>
              <w:adjustRightInd w:val="0"/>
              <w:snapToGrid w:val="0"/>
              <w:jc w:val="center"/>
              <w:rPr>
                <w:rFonts w:eastAsiaTheme="minorEastAsia"/>
                <w:color w:val="000000"/>
                <w:sz w:val="20"/>
                <w:szCs w:val="20"/>
              </w:rPr>
            </w:pPr>
          </w:p>
        </w:tc>
      </w:tr>
      <w:tr w:rsidR="00B03CEB" w:rsidRPr="00D96F9F" w:rsidTr="00D96F9F">
        <w:trPr>
          <w:jc w:val="center"/>
        </w:trPr>
        <w:tc>
          <w:tcPr>
            <w:tcW w:w="810" w:type="pct"/>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b/>
                <w:bCs/>
                <w:i/>
                <w:iCs/>
                <w:color w:val="000000"/>
                <w:sz w:val="20"/>
                <w:szCs w:val="20"/>
              </w:rPr>
              <w:t>p</w:t>
            </w:r>
            <w:r w:rsidRPr="00D96F9F">
              <w:rPr>
                <w:rFonts w:eastAsiaTheme="minorEastAsia"/>
                <w:b/>
                <w:bCs/>
                <w:color w:val="000000"/>
                <w:sz w:val="20"/>
                <w:szCs w:val="20"/>
              </w:rPr>
              <w:t>-value</w:t>
            </w:r>
          </w:p>
        </w:tc>
        <w:tc>
          <w:tcPr>
            <w:tcW w:w="744"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b/>
                <w:bCs/>
                <w:color w:val="000000"/>
                <w:sz w:val="20"/>
                <w:szCs w:val="20"/>
              </w:rPr>
              <w:t>t</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304F5E" w:rsidP="00EB7ED6">
            <w:pPr>
              <w:adjustRightInd w:val="0"/>
              <w:snapToGrid w:val="0"/>
              <w:jc w:val="center"/>
              <w:rPr>
                <w:rFonts w:eastAsiaTheme="minorEastAsia"/>
                <w:color w:val="000000"/>
                <w:sz w:val="20"/>
                <w:szCs w:val="20"/>
              </w:rPr>
            </w:pPr>
            <w:r w:rsidRPr="00D96F9F">
              <w:rPr>
                <w:rFonts w:eastAsia="MS Mincho"/>
                <w:color w:val="000000"/>
                <w:sz w:val="20"/>
                <w:szCs w:val="20"/>
              </w:rPr>
              <w:t>±</w:t>
            </w:r>
            <w:r w:rsidR="00B03CEB" w:rsidRPr="00D96F9F">
              <w:rPr>
                <w:rFonts w:eastAsiaTheme="minorEastAsia"/>
                <w:b/>
                <w:bCs/>
                <w:color w:val="000000"/>
                <w:sz w:val="20"/>
                <w:szCs w:val="20"/>
              </w:rPr>
              <w:t>SD</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b/>
                <w:bCs/>
                <w:color w:val="000000"/>
                <w:sz w:val="20"/>
                <w:szCs w:val="20"/>
              </w:rPr>
              <w:t>Mean</w:t>
            </w:r>
          </w:p>
        </w:tc>
        <w:tc>
          <w:tcPr>
            <w:tcW w:w="547"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304F5E" w:rsidP="00EB7ED6">
            <w:pPr>
              <w:adjustRightInd w:val="0"/>
              <w:snapToGrid w:val="0"/>
              <w:jc w:val="center"/>
              <w:rPr>
                <w:rFonts w:eastAsiaTheme="minorEastAsia"/>
                <w:color w:val="000000"/>
                <w:sz w:val="20"/>
                <w:szCs w:val="20"/>
              </w:rPr>
            </w:pPr>
            <w:r w:rsidRPr="00D96F9F">
              <w:rPr>
                <w:rFonts w:eastAsia="MS Mincho"/>
                <w:color w:val="000000"/>
                <w:sz w:val="20"/>
                <w:szCs w:val="20"/>
              </w:rPr>
              <w:t>±</w:t>
            </w:r>
            <w:r w:rsidR="00B03CEB" w:rsidRPr="00D96F9F">
              <w:rPr>
                <w:rFonts w:eastAsiaTheme="minorEastAsia"/>
                <w:b/>
                <w:bCs/>
                <w:color w:val="000000"/>
                <w:sz w:val="20"/>
                <w:szCs w:val="20"/>
              </w:rPr>
              <w:t>SD</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b/>
                <w:bCs/>
                <w:color w:val="000000"/>
                <w:sz w:val="20"/>
                <w:szCs w:val="20"/>
              </w:rPr>
              <w:t>Mean</w:t>
            </w:r>
          </w:p>
        </w:tc>
        <w:tc>
          <w:tcPr>
            <w:tcW w:w="955" w:type="pct"/>
            <w:vMerge/>
            <w:tcBorders>
              <w:top w:val="single" w:sz="18" w:space="0" w:color="000000"/>
              <w:left w:val="single" w:sz="18" w:space="0" w:color="000000"/>
              <w:bottom w:val="single" w:sz="8" w:space="0" w:color="000000"/>
              <w:right w:val="single" w:sz="8" w:space="0" w:color="000000"/>
            </w:tcBorders>
            <w:vAlign w:val="center"/>
            <w:hideMark/>
          </w:tcPr>
          <w:p w:rsidR="00B03CEB" w:rsidRPr="00D96F9F" w:rsidRDefault="00B03CEB" w:rsidP="00EB7ED6">
            <w:pPr>
              <w:adjustRightInd w:val="0"/>
              <w:snapToGrid w:val="0"/>
              <w:jc w:val="center"/>
              <w:rPr>
                <w:rFonts w:eastAsiaTheme="minorEastAsia"/>
                <w:color w:val="000000"/>
                <w:sz w:val="20"/>
                <w:szCs w:val="20"/>
              </w:rPr>
            </w:pPr>
          </w:p>
        </w:tc>
      </w:tr>
      <w:tr w:rsidR="00B03CEB" w:rsidRPr="00D96F9F" w:rsidTr="00D96F9F">
        <w:trPr>
          <w:jc w:val="center"/>
        </w:trPr>
        <w:tc>
          <w:tcPr>
            <w:tcW w:w="810" w:type="pct"/>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0.000</w:t>
            </w:r>
          </w:p>
        </w:tc>
        <w:tc>
          <w:tcPr>
            <w:tcW w:w="744"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5.572</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0.07</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1.10</w:t>
            </w:r>
          </w:p>
        </w:tc>
        <w:tc>
          <w:tcPr>
            <w:tcW w:w="547"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0.08</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1.27</w:t>
            </w:r>
          </w:p>
        </w:tc>
        <w:tc>
          <w:tcPr>
            <w:tcW w:w="955" w:type="pct"/>
            <w:tcBorders>
              <w:top w:val="single" w:sz="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B03CEB"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Ionized ca</w:t>
            </w:r>
          </w:p>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w:t>
            </w:r>
            <w:proofErr w:type="spellStart"/>
            <w:r w:rsidRPr="00D96F9F">
              <w:rPr>
                <w:rFonts w:eastAsiaTheme="minorEastAsia"/>
                <w:color w:val="000000"/>
                <w:sz w:val="20"/>
                <w:szCs w:val="20"/>
              </w:rPr>
              <w:t>mmol</w:t>
            </w:r>
            <w:proofErr w:type="spellEnd"/>
            <w:r w:rsidRPr="00D96F9F">
              <w:rPr>
                <w:rFonts w:eastAsiaTheme="minorEastAsia"/>
                <w:color w:val="000000"/>
                <w:sz w:val="20"/>
                <w:szCs w:val="20"/>
              </w:rPr>
              <w:t>/L)</w:t>
            </w:r>
          </w:p>
        </w:tc>
      </w:tr>
      <w:tr w:rsidR="00B03CEB" w:rsidRPr="00D96F9F" w:rsidTr="00D96F9F">
        <w:trPr>
          <w:jc w:val="center"/>
        </w:trPr>
        <w:tc>
          <w:tcPr>
            <w:tcW w:w="810" w:type="pct"/>
            <w:tcBorders>
              <w:top w:val="single" w:sz="8" w:space="0" w:color="000000"/>
              <w:left w:val="single" w:sz="8" w:space="0" w:color="000000"/>
              <w:bottom w:val="single" w:sz="18" w:space="0" w:color="000000"/>
              <w:right w:val="single" w:sz="1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0.000</w:t>
            </w:r>
          </w:p>
        </w:tc>
        <w:tc>
          <w:tcPr>
            <w:tcW w:w="744"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10.745</w:t>
            </w:r>
          </w:p>
        </w:tc>
        <w:tc>
          <w:tcPr>
            <w:tcW w:w="590"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0.18</w:t>
            </w:r>
          </w:p>
        </w:tc>
        <w:tc>
          <w:tcPr>
            <w:tcW w:w="702"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1.38</w:t>
            </w:r>
          </w:p>
        </w:tc>
        <w:tc>
          <w:tcPr>
            <w:tcW w:w="547"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0.13</w:t>
            </w:r>
          </w:p>
        </w:tc>
        <w:tc>
          <w:tcPr>
            <w:tcW w:w="651"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2.02</w:t>
            </w:r>
          </w:p>
        </w:tc>
        <w:tc>
          <w:tcPr>
            <w:tcW w:w="955" w:type="pct"/>
            <w:tcBorders>
              <w:top w:val="single" w:sz="8" w:space="0" w:color="000000"/>
              <w:left w:val="single" w:sz="1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B03CEB"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Serum Mg</w:t>
            </w:r>
          </w:p>
          <w:p w:rsidR="00597825" w:rsidRPr="00D96F9F" w:rsidRDefault="00B03CEB" w:rsidP="00EB7ED6">
            <w:pPr>
              <w:adjustRightInd w:val="0"/>
              <w:snapToGrid w:val="0"/>
              <w:jc w:val="center"/>
              <w:rPr>
                <w:rFonts w:eastAsiaTheme="minorEastAsia"/>
                <w:color w:val="000000"/>
                <w:sz w:val="20"/>
                <w:szCs w:val="20"/>
              </w:rPr>
            </w:pPr>
            <w:r w:rsidRPr="00D96F9F">
              <w:rPr>
                <w:rFonts w:eastAsiaTheme="minorEastAsia"/>
                <w:color w:val="000000"/>
                <w:sz w:val="20"/>
                <w:szCs w:val="20"/>
              </w:rPr>
              <w:t>(mg/</w:t>
            </w:r>
            <w:proofErr w:type="spellStart"/>
            <w:r w:rsidRPr="00D96F9F">
              <w:rPr>
                <w:rFonts w:eastAsiaTheme="minorEastAsia"/>
                <w:color w:val="000000"/>
                <w:sz w:val="20"/>
                <w:szCs w:val="20"/>
              </w:rPr>
              <w:t>dL</w:t>
            </w:r>
            <w:proofErr w:type="spellEnd"/>
            <w:r w:rsidRPr="00D96F9F">
              <w:rPr>
                <w:rFonts w:eastAsiaTheme="minorEastAsia"/>
                <w:color w:val="000000"/>
                <w:sz w:val="20"/>
                <w:szCs w:val="20"/>
              </w:rPr>
              <w:t>)</w:t>
            </w:r>
          </w:p>
        </w:tc>
      </w:tr>
    </w:tbl>
    <w:p w:rsidR="00B4535A" w:rsidRPr="00D96F9F" w:rsidRDefault="0039479E" w:rsidP="00EB7ED6">
      <w:pPr>
        <w:autoSpaceDE w:val="0"/>
        <w:autoSpaceDN w:val="0"/>
        <w:adjustRightInd w:val="0"/>
        <w:snapToGrid w:val="0"/>
        <w:jc w:val="both"/>
        <w:rPr>
          <w:sz w:val="20"/>
          <w:szCs w:val="20"/>
        </w:rPr>
      </w:pPr>
      <w:r w:rsidRPr="00D96F9F">
        <w:rPr>
          <w:sz w:val="20"/>
          <w:szCs w:val="20"/>
        </w:rPr>
        <w:t>There is a h</w:t>
      </w:r>
      <w:r w:rsidR="00B4535A" w:rsidRPr="00D96F9F">
        <w:rPr>
          <w:sz w:val="20"/>
          <w:szCs w:val="20"/>
        </w:rPr>
        <w:t>ighly signif</w:t>
      </w:r>
      <w:r w:rsidR="002239E8" w:rsidRPr="00D96F9F">
        <w:rPr>
          <w:sz w:val="20"/>
          <w:szCs w:val="20"/>
        </w:rPr>
        <w:t>icant lower mean ionized Ca+2</w:t>
      </w:r>
      <w:r w:rsidR="00B4535A" w:rsidRPr="00D96F9F">
        <w:rPr>
          <w:sz w:val="20"/>
          <w:szCs w:val="20"/>
        </w:rPr>
        <w:t xml:space="preserve"> and mean serum</w:t>
      </w:r>
      <w:r w:rsidR="002239E8" w:rsidRPr="00D96F9F">
        <w:rPr>
          <w:sz w:val="20"/>
          <w:szCs w:val="20"/>
        </w:rPr>
        <w:t xml:space="preserve"> total Mg+2 </w:t>
      </w:r>
      <w:r w:rsidR="00B4535A" w:rsidRPr="00D96F9F">
        <w:rPr>
          <w:sz w:val="20"/>
          <w:szCs w:val="20"/>
        </w:rPr>
        <w:t>in patients with moderate HIE compared to controls.</w:t>
      </w:r>
    </w:p>
    <w:p w:rsidR="002017BF" w:rsidRPr="00D96F9F" w:rsidRDefault="002017BF" w:rsidP="00EB7ED6">
      <w:pPr>
        <w:adjustRightInd w:val="0"/>
        <w:snapToGrid w:val="0"/>
        <w:jc w:val="center"/>
        <w:rPr>
          <w:sz w:val="20"/>
          <w:szCs w:val="20"/>
        </w:rPr>
      </w:pPr>
    </w:p>
    <w:p w:rsidR="00903B4F" w:rsidRPr="00D96F9F" w:rsidRDefault="00903B4F" w:rsidP="00EB7ED6">
      <w:pPr>
        <w:pStyle w:val="Title"/>
        <w:tabs>
          <w:tab w:val="left" w:pos="454"/>
        </w:tabs>
        <w:adjustRightInd w:val="0"/>
        <w:snapToGrid w:val="0"/>
        <w:jc w:val="both"/>
        <w:rPr>
          <w:sz w:val="20"/>
          <w:szCs w:val="20"/>
        </w:rPr>
      </w:pPr>
      <w:r w:rsidRPr="00D96F9F">
        <w:rPr>
          <w:sz w:val="20"/>
          <w:szCs w:val="20"/>
        </w:rPr>
        <w:t>Table (</w:t>
      </w:r>
      <w:r w:rsidR="007A71BF" w:rsidRPr="00D96F9F">
        <w:rPr>
          <w:sz w:val="20"/>
          <w:szCs w:val="20"/>
        </w:rPr>
        <w:t>5</w:t>
      </w:r>
      <w:r w:rsidRPr="00D96F9F">
        <w:rPr>
          <w:sz w:val="20"/>
          <w:szCs w:val="20"/>
        </w:rPr>
        <w:t>)</w:t>
      </w:r>
      <w:r w:rsidR="00EB7ED6">
        <w:rPr>
          <w:sz w:val="20"/>
          <w:szCs w:val="20"/>
        </w:rPr>
        <w:t>:</w:t>
      </w:r>
      <w:r w:rsidR="002371B6" w:rsidRPr="00D96F9F">
        <w:rPr>
          <w:sz w:val="20"/>
          <w:szCs w:val="20"/>
        </w:rPr>
        <w:t xml:space="preserve"> Comparison between patients with severe HIE and control groups regarding ionized </w:t>
      </w:r>
      <w:r w:rsidR="007A71BF" w:rsidRPr="00D96F9F">
        <w:rPr>
          <w:sz w:val="20"/>
          <w:szCs w:val="20"/>
        </w:rPr>
        <w:t>Ca+2</w:t>
      </w:r>
      <w:r w:rsidR="002371B6" w:rsidRPr="00D96F9F">
        <w:rPr>
          <w:sz w:val="20"/>
          <w:szCs w:val="20"/>
        </w:rPr>
        <w:t xml:space="preserve"> and serum</w:t>
      </w:r>
      <w:r w:rsidR="007A71BF" w:rsidRPr="00D96F9F">
        <w:rPr>
          <w:sz w:val="20"/>
          <w:szCs w:val="20"/>
        </w:rPr>
        <w:t xml:space="preserve"> total Mg+2</w:t>
      </w:r>
      <w:r w:rsidR="00F86C0F" w:rsidRPr="00D96F9F">
        <w:rPr>
          <w:sz w:val="20"/>
          <w:szCs w:val="20"/>
        </w:rPr>
        <w:t>.</w:t>
      </w:r>
    </w:p>
    <w:tbl>
      <w:tblPr>
        <w:bidiVisual/>
        <w:tblW w:w="5000" w:type="pct"/>
        <w:jc w:val="center"/>
        <w:tblCellMar>
          <w:left w:w="0" w:type="dxa"/>
          <w:right w:w="0" w:type="dxa"/>
        </w:tblCellMar>
        <w:tblLook w:val="04A0"/>
      </w:tblPr>
      <w:tblGrid>
        <w:gridCol w:w="1622"/>
        <w:gridCol w:w="1316"/>
        <w:gridCol w:w="1034"/>
        <w:gridCol w:w="1231"/>
        <w:gridCol w:w="1034"/>
        <w:gridCol w:w="1231"/>
        <w:gridCol w:w="2178"/>
      </w:tblGrid>
      <w:tr w:rsidR="00903B4F" w:rsidRPr="00D96F9F" w:rsidTr="00D96F9F">
        <w:trPr>
          <w:jc w:val="center"/>
        </w:trPr>
        <w:tc>
          <w:tcPr>
            <w:tcW w:w="1523" w:type="pct"/>
            <w:gridSpan w:val="2"/>
            <w:tcBorders>
              <w:top w:val="single" w:sz="1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color w:val="000000"/>
                <w:sz w:val="20"/>
                <w:szCs w:val="20"/>
              </w:rPr>
            </w:pPr>
            <w:r w:rsidRPr="00D96F9F">
              <w:rPr>
                <w:rFonts w:eastAsiaTheme="minorEastAsia"/>
                <w:color w:val="000000"/>
                <w:sz w:val="20"/>
                <w:szCs w:val="20"/>
              </w:rPr>
              <w:t>Independent t-test</w:t>
            </w:r>
          </w:p>
        </w:tc>
        <w:tc>
          <w:tcPr>
            <w:tcW w:w="1174" w:type="pct"/>
            <w:gridSpan w:val="2"/>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color w:val="000000"/>
                <w:sz w:val="20"/>
                <w:szCs w:val="20"/>
              </w:rPr>
            </w:pPr>
            <w:r w:rsidRPr="00D96F9F">
              <w:rPr>
                <w:rFonts w:eastAsiaTheme="minorEastAsia"/>
                <w:color w:val="000000"/>
                <w:sz w:val="20"/>
                <w:szCs w:val="20"/>
              </w:rPr>
              <w:t>Severe HIE</w:t>
            </w:r>
          </w:p>
        </w:tc>
        <w:tc>
          <w:tcPr>
            <w:tcW w:w="1174" w:type="pct"/>
            <w:gridSpan w:val="2"/>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color w:val="000000"/>
                <w:sz w:val="20"/>
                <w:szCs w:val="20"/>
              </w:rPr>
            </w:pPr>
            <w:r w:rsidRPr="00D96F9F">
              <w:rPr>
                <w:rFonts w:eastAsiaTheme="minorEastAsia"/>
                <w:color w:val="000000"/>
                <w:sz w:val="20"/>
                <w:szCs w:val="20"/>
              </w:rPr>
              <w:t>Control</w:t>
            </w:r>
          </w:p>
        </w:tc>
        <w:tc>
          <w:tcPr>
            <w:tcW w:w="1129" w:type="pct"/>
            <w:vMerge w:val="restart"/>
            <w:tcBorders>
              <w:top w:val="single" w:sz="1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903B4F" w:rsidRPr="00E66041" w:rsidRDefault="00903B4F" w:rsidP="00EB7ED6">
            <w:pPr>
              <w:pStyle w:val="Title"/>
              <w:adjustRightInd w:val="0"/>
              <w:snapToGrid w:val="0"/>
              <w:jc w:val="both"/>
              <w:rPr>
                <w:rFonts w:eastAsiaTheme="minorEastAsia"/>
                <w:color w:val="000000"/>
                <w:sz w:val="20"/>
                <w:szCs w:val="20"/>
              </w:rPr>
            </w:pPr>
          </w:p>
        </w:tc>
      </w:tr>
      <w:tr w:rsidR="00903B4F" w:rsidRPr="00D96F9F" w:rsidTr="00D96F9F">
        <w:trPr>
          <w:jc w:val="center"/>
        </w:trPr>
        <w:tc>
          <w:tcPr>
            <w:tcW w:w="841" w:type="pct"/>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color w:val="000000"/>
                <w:sz w:val="20"/>
                <w:szCs w:val="20"/>
              </w:rPr>
            </w:pPr>
            <w:proofErr w:type="gramStart"/>
            <w:r w:rsidRPr="00D96F9F">
              <w:rPr>
                <w:rFonts w:eastAsiaTheme="minorEastAsia"/>
                <w:i/>
                <w:iCs/>
                <w:color w:val="000000"/>
                <w:sz w:val="20"/>
                <w:szCs w:val="20"/>
              </w:rPr>
              <w:t>p</w:t>
            </w:r>
            <w:r w:rsidRPr="00D96F9F">
              <w:rPr>
                <w:rFonts w:eastAsiaTheme="minorEastAsia"/>
                <w:color w:val="000000"/>
                <w:sz w:val="20"/>
                <w:szCs w:val="20"/>
              </w:rPr>
              <w:t>-value</w:t>
            </w:r>
            <w:proofErr w:type="gramEnd"/>
          </w:p>
        </w:tc>
        <w:tc>
          <w:tcPr>
            <w:tcW w:w="681"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color w:val="000000"/>
                <w:sz w:val="20"/>
                <w:szCs w:val="20"/>
              </w:rPr>
            </w:pPr>
            <w:proofErr w:type="gramStart"/>
            <w:r w:rsidRPr="00D96F9F">
              <w:rPr>
                <w:rFonts w:eastAsiaTheme="minorEastAsia"/>
                <w:color w:val="000000"/>
                <w:sz w:val="20"/>
                <w:szCs w:val="20"/>
              </w:rPr>
              <w:t>t</w:t>
            </w:r>
            <w:proofErr w:type="gramEnd"/>
          </w:p>
        </w:tc>
        <w:tc>
          <w:tcPr>
            <w:tcW w:w="53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304F5E" w:rsidP="00EB7ED6">
            <w:pPr>
              <w:pStyle w:val="Title"/>
              <w:adjustRightInd w:val="0"/>
              <w:snapToGrid w:val="0"/>
              <w:jc w:val="both"/>
              <w:rPr>
                <w:rFonts w:eastAsiaTheme="minorEastAsia"/>
                <w:color w:val="000000"/>
                <w:sz w:val="20"/>
                <w:szCs w:val="20"/>
              </w:rPr>
            </w:pPr>
            <w:r w:rsidRPr="00D96F9F">
              <w:rPr>
                <w:rFonts w:eastAsia="MS Mincho"/>
                <w:color w:val="000000"/>
                <w:sz w:val="20"/>
                <w:szCs w:val="20"/>
              </w:rPr>
              <w:t>±</w:t>
            </w:r>
            <w:r w:rsidR="00903B4F" w:rsidRPr="00D96F9F">
              <w:rPr>
                <w:rFonts w:eastAsiaTheme="minorEastAsia"/>
                <w:color w:val="000000"/>
                <w:sz w:val="20"/>
                <w:szCs w:val="20"/>
              </w:rPr>
              <w:t>SD</w:t>
            </w:r>
          </w:p>
        </w:tc>
        <w:tc>
          <w:tcPr>
            <w:tcW w:w="638"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color w:val="000000"/>
                <w:sz w:val="20"/>
                <w:szCs w:val="20"/>
              </w:rPr>
            </w:pPr>
            <w:r w:rsidRPr="00D96F9F">
              <w:rPr>
                <w:rFonts w:eastAsiaTheme="minorEastAsia"/>
                <w:color w:val="000000"/>
                <w:sz w:val="20"/>
                <w:szCs w:val="20"/>
              </w:rPr>
              <w:t>Mean</w:t>
            </w:r>
          </w:p>
        </w:tc>
        <w:tc>
          <w:tcPr>
            <w:tcW w:w="53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304F5E" w:rsidP="00EB7ED6">
            <w:pPr>
              <w:pStyle w:val="Title"/>
              <w:adjustRightInd w:val="0"/>
              <w:snapToGrid w:val="0"/>
              <w:jc w:val="both"/>
              <w:rPr>
                <w:rFonts w:eastAsiaTheme="minorEastAsia"/>
                <w:color w:val="000000"/>
                <w:sz w:val="20"/>
                <w:szCs w:val="20"/>
              </w:rPr>
            </w:pPr>
            <w:r w:rsidRPr="00D96F9F">
              <w:rPr>
                <w:rFonts w:eastAsia="MS Mincho"/>
                <w:color w:val="000000"/>
                <w:sz w:val="20"/>
                <w:szCs w:val="20"/>
              </w:rPr>
              <w:t>±</w:t>
            </w:r>
            <w:r w:rsidR="00903B4F" w:rsidRPr="00D96F9F">
              <w:rPr>
                <w:rFonts w:eastAsiaTheme="minorEastAsia"/>
                <w:color w:val="000000"/>
                <w:sz w:val="20"/>
                <w:szCs w:val="20"/>
              </w:rPr>
              <w:t>SD</w:t>
            </w:r>
          </w:p>
        </w:tc>
        <w:tc>
          <w:tcPr>
            <w:tcW w:w="638"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color w:val="000000"/>
                <w:sz w:val="20"/>
                <w:szCs w:val="20"/>
              </w:rPr>
            </w:pPr>
            <w:r w:rsidRPr="00D96F9F">
              <w:rPr>
                <w:rFonts w:eastAsiaTheme="minorEastAsia"/>
                <w:color w:val="000000"/>
                <w:sz w:val="20"/>
                <w:szCs w:val="20"/>
              </w:rPr>
              <w:t>Mean</w:t>
            </w:r>
          </w:p>
        </w:tc>
        <w:tc>
          <w:tcPr>
            <w:tcW w:w="1129" w:type="pct"/>
            <w:vMerge/>
            <w:tcBorders>
              <w:top w:val="single" w:sz="18" w:space="0" w:color="000000"/>
              <w:left w:val="single" w:sz="18" w:space="0" w:color="000000"/>
              <w:bottom w:val="single" w:sz="8" w:space="0" w:color="000000"/>
              <w:right w:val="single" w:sz="8" w:space="0" w:color="000000"/>
            </w:tcBorders>
            <w:vAlign w:val="center"/>
            <w:hideMark/>
          </w:tcPr>
          <w:p w:rsidR="00903B4F" w:rsidRPr="00E66041" w:rsidRDefault="00903B4F" w:rsidP="00EB7ED6">
            <w:pPr>
              <w:pStyle w:val="Title"/>
              <w:adjustRightInd w:val="0"/>
              <w:snapToGrid w:val="0"/>
              <w:jc w:val="both"/>
              <w:rPr>
                <w:rFonts w:eastAsiaTheme="minorEastAsia"/>
                <w:color w:val="000000"/>
                <w:sz w:val="20"/>
                <w:szCs w:val="20"/>
              </w:rPr>
            </w:pPr>
          </w:p>
        </w:tc>
      </w:tr>
      <w:tr w:rsidR="00903B4F" w:rsidRPr="00D96F9F" w:rsidTr="00D96F9F">
        <w:trPr>
          <w:jc w:val="center"/>
        </w:trPr>
        <w:tc>
          <w:tcPr>
            <w:tcW w:w="841" w:type="pct"/>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0.000</w:t>
            </w:r>
          </w:p>
        </w:tc>
        <w:tc>
          <w:tcPr>
            <w:tcW w:w="681"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8.489</w:t>
            </w:r>
          </w:p>
        </w:tc>
        <w:tc>
          <w:tcPr>
            <w:tcW w:w="53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0.17</w:t>
            </w:r>
          </w:p>
        </w:tc>
        <w:tc>
          <w:tcPr>
            <w:tcW w:w="638"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0.92</w:t>
            </w:r>
          </w:p>
        </w:tc>
        <w:tc>
          <w:tcPr>
            <w:tcW w:w="53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0.08</w:t>
            </w:r>
          </w:p>
        </w:tc>
        <w:tc>
          <w:tcPr>
            <w:tcW w:w="638"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1.27</w:t>
            </w:r>
          </w:p>
        </w:tc>
        <w:tc>
          <w:tcPr>
            <w:tcW w:w="1129" w:type="pct"/>
            <w:tcBorders>
              <w:top w:val="single" w:sz="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903B4F" w:rsidRPr="00E66041" w:rsidRDefault="000203AD"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Ionized Ca+2</w:t>
            </w:r>
          </w:p>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w:t>
            </w:r>
            <w:proofErr w:type="spellStart"/>
            <w:proofErr w:type="gramStart"/>
            <w:r w:rsidRPr="00D96F9F">
              <w:rPr>
                <w:rFonts w:eastAsiaTheme="minorEastAsia"/>
                <w:b w:val="0"/>
                <w:bCs w:val="0"/>
                <w:color w:val="000000"/>
                <w:sz w:val="20"/>
                <w:szCs w:val="20"/>
              </w:rPr>
              <w:t>mmol</w:t>
            </w:r>
            <w:proofErr w:type="spellEnd"/>
            <w:r w:rsidRPr="00D96F9F">
              <w:rPr>
                <w:rFonts w:eastAsiaTheme="minorEastAsia"/>
                <w:b w:val="0"/>
                <w:bCs w:val="0"/>
                <w:color w:val="000000"/>
                <w:sz w:val="20"/>
                <w:szCs w:val="20"/>
              </w:rPr>
              <w:t>/L</w:t>
            </w:r>
            <w:proofErr w:type="gramEnd"/>
            <w:r w:rsidRPr="00D96F9F">
              <w:rPr>
                <w:rFonts w:eastAsiaTheme="minorEastAsia"/>
                <w:b w:val="0"/>
                <w:bCs w:val="0"/>
                <w:color w:val="000000"/>
                <w:sz w:val="20"/>
                <w:szCs w:val="20"/>
              </w:rPr>
              <w:t>)</w:t>
            </w:r>
          </w:p>
        </w:tc>
      </w:tr>
      <w:tr w:rsidR="00903B4F" w:rsidRPr="00D96F9F" w:rsidTr="00D96F9F">
        <w:trPr>
          <w:jc w:val="center"/>
        </w:trPr>
        <w:tc>
          <w:tcPr>
            <w:tcW w:w="841" w:type="pct"/>
            <w:tcBorders>
              <w:top w:val="single" w:sz="8" w:space="0" w:color="000000"/>
              <w:left w:val="single" w:sz="8" w:space="0" w:color="000000"/>
              <w:bottom w:val="single" w:sz="18" w:space="0" w:color="000000"/>
              <w:right w:val="single" w:sz="1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0.000</w:t>
            </w:r>
          </w:p>
        </w:tc>
        <w:tc>
          <w:tcPr>
            <w:tcW w:w="681"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6.736</w:t>
            </w:r>
          </w:p>
        </w:tc>
        <w:tc>
          <w:tcPr>
            <w:tcW w:w="536"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0.61</w:t>
            </w:r>
          </w:p>
        </w:tc>
        <w:tc>
          <w:tcPr>
            <w:tcW w:w="638"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1.16</w:t>
            </w:r>
          </w:p>
        </w:tc>
        <w:tc>
          <w:tcPr>
            <w:tcW w:w="536"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0.13</w:t>
            </w:r>
          </w:p>
        </w:tc>
        <w:tc>
          <w:tcPr>
            <w:tcW w:w="638"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2.02</w:t>
            </w:r>
          </w:p>
        </w:tc>
        <w:tc>
          <w:tcPr>
            <w:tcW w:w="1129" w:type="pct"/>
            <w:tcBorders>
              <w:top w:val="single" w:sz="8" w:space="0" w:color="000000"/>
              <w:left w:val="single" w:sz="1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903B4F"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Serum Mg</w:t>
            </w:r>
            <w:r w:rsidR="000203AD" w:rsidRPr="00D96F9F">
              <w:rPr>
                <w:rFonts w:eastAsiaTheme="minorEastAsia"/>
                <w:b w:val="0"/>
                <w:bCs w:val="0"/>
                <w:color w:val="000000"/>
                <w:sz w:val="20"/>
                <w:szCs w:val="20"/>
              </w:rPr>
              <w:t>+2</w:t>
            </w:r>
          </w:p>
          <w:p w:rsidR="00597825" w:rsidRPr="00E66041" w:rsidRDefault="00903B4F" w:rsidP="00EB7ED6">
            <w:pPr>
              <w:pStyle w:val="Title"/>
              <w:adjustRightInd w:val="0"/>
              <w:snapToGrid w:val="0"/>
              <w:jc w:val="both"/>
              <w:rPr>
                <w:rFonts w:eastAsiaTheme="minorEastAsia"/>
                <w:b w:val="0"/>
                <w:bCs w:val="0"/>
                <w:color w:val="000000"/>
                <w:sz w:val="20"/>
                <w:szCs w:val="20"/>
              </w:rPr>
            </w:pPr>
            <w:r w:rsidRPr="00D96F9F">
              <w:rPr>
                <w:rFonts w:eastAsiaTheme="minorEastAsia"/>
                <w:b w:val="0"/>
                <w:bCs w:val="0"/>
                <w:color w:val="000000"/>
                <w:sz w:val="20"/>
                <w:szCs w:val="20"/>
              </w:rPr>
              <w:t>(</w:t>
            </w:r>
            <w:proofErr w:type="gramStart"/>
            <w:r w:rsidRPr="00D96F9F">
              <w:rPr>
                <w:rFonts w:eastAsiaTheme="minorEastAsia"/>
                <w:b w:val="0"/>
                <w:bCs w:val="0"/>
                <w:color w:val="000000"/>
                <w:sz w:val="20"/>
                <w:szCs w:val="20"/>
              </w:rPr>
              <w:t>mg/</w:t>
            </w:r>
            <w:proofErr w:type="spellStart"/>
            <w:r w:rsidRPr="00D96F9F">
              <w:rPr>
                <w:rFonts w:eastAsiaTheme="minorEastAsia"/>
                <w:b w:val="0"/>
                <w:bCs w:val="0"/>
                <w:color w:val="000000"/>
                <w:sz w:val="20"/>
                <w:szCs w:val="20"/>
              </w:rPr>
              <w:t>dL</w:t>
            </w:r>
            <w:proofErr w:type="spellEnd"/>
            <w:proofErr w:type="gramEnd"/>
            <w:r w:rsidRPr="00D96F9F">
              <w:rPr>
                <w:rFonts w:eastAsiaTheme="minorEastAsia"/>
                <w:b w:val="0"/>
                <w:bCs w:val="0"/>
                <w:color w:val="000000"/>
                <w:sz w:val="20"/>
                <w:szCs w:val="20"/>
              </w:rPr>
              <w:t>)</w:t>
            </w:r>
          </w:p>
        </w:tc>
      </w:tr>
    </w:tbl>
    <w:p w:rsidR="00C54E2C" w:rsidRPr="00D96F9F" w:rsidRDefault="00F86C0F" w:rsidP="00EB7ED6">
      <w:pPr>
        <w:autoSpaceDE w:val="0"/>
        <w:autoSpaceDN w:val="0"/>
        <w:adjustRightInd w:val="0"/>
        <w:snapToGrid w:val="0"/>
        <w:jc w:val="both"/>
        <w:rPr>
          <w:sz w:val="20"/>
          <w:szCs w:val="20"/>
        </w:rPr>
      </w:pPr>
      <w:r w:rsidRPr="00D96F9F">
        <w:rPr>
          <w:sz w:val="20"/>
          <w:szCs w:val="20"/>
        </w:rPr>
        <w:t>There is a h</w:t>
      </w:r>
      <w:r w:rsidR="00C54E2C" w:rsidRPr="00D96F9F">
        <w:rPr>
          <w:sz w:val="20"/>
          <w:szCs w:val="20"/>
        </w:rPr>
        <w:t xml:space="preserve">ighly significant </w:t>
      </w:r>
      <w:r w:rsidR="007A71BF" w:rsidRPr="00D96F9F">
        <w:rPr>
          <w:sz w:val="20"/>
          <w:szCs w:val="20"/>
        </w:rPr>
        <w:t>lower mean ionized Ca+2</w:t>
      </w:r>
      <w:r w:rsidR="00C54E2C" w:rsidRPr="00D96F9F">
        <w:rPr>
          <w:sz w:val="20"/>
          <w:szCs w:val="20"/>
        </w:rPr>
        <w:t xml:space="preserve"> and mean serum</w:t>
      </w:r>
      <w:r w:rsidR="007A71BF" w:rsidRPr="00D96F9F">
        <w:rPr>
          <w:sz w:val="20"/>
          <w:szCs w:val="20"/>
        </w:rPr>
        <w:t xml:space="preserve"> total</w:t>
      </w:r>
      <w:r w:rsidR="002239E8" w:rsidRPr="00D96F9F">
        <w:rPr>
          <w:sz w:val="20"/>
          <w:szCs w:val="20"/>
        </w:rPr>
        <w:t xml:space="preserve"> </w:t>
      </w:r>
      <w:r w:rsidR="007A71BF" w:rsidRPr="00D96F9F">
        <w:rPr>
          <w:sz w:val="20"/>
          <w:szCs w:val="20"/>
        </w:rPr>
        <w:t>Mg+2</w:t>
      </w:r>
      <w:r w:rsidR="00C54E2C" w:rsidRPr="00D96F9F">
        <w:rPr>
          <w:sz w:val="20"/>
          <w:szCs w:val="20"/>
        </w:rPr>
        <w:t xml:space="preserve"> in patients with </w:t>
      </w:r>
      <w:proofErr w:type="spellStart"/>
      <w:r w:rsidR="007A71BF" w:rsidRPr="00D96F9F">
        <w:rPr>
          <w:sz w:val="20"/>
          <w:szCs w:val="20"/>
        </w:rPr>
        <w:t>sever</w:t>
      </w:r>
      <w:proofErr w:type="spellEnd"/>
      <w:r w:rsidR="00C54E2C" w:rsidRPr="00D96F9F">
        <w:rPr>
          <w:sz w:val="20"/>
          <w:szCs w:val="20"/>
        </w:rPr>
        <w:t xml:space="preserve"> HIE compared to controls.</w:t>
      </w:r>
    </w:p>
    <w:p w:rsidR="00F10596" w:rsidRPr="00D96F9F" w:rsidRDefault="00F10596" w:rsidP="00EB7ED6">
      <w:pPr>
        <w:pStyle w:val="Title"/>
        <w:adjustRightInd w:val="0"/>
        <w:snapToGrid w:val="0"/>
        <w:rPr>
          <w:sz w:val="20"/>
          <w:szCs w:val="20"/>
        </w:rPr>
      </w:pPr>
    </w:p>
    <w:p w:rsidR="00F10596" w:rsidRPr="00D96F9F" w:rsidRDefault="00F10596" w:rsidP="00EB7ED6">
      <w:pPr>
        <w:pStyle w:val="Title"/>
        <w:adjustRightInd w:val="0"/>
        <w:snapToGrid w:val="0"/>
        <w:jc w:val="both"/>
        <w:rPr>
          <w:sz w:val="20"/>
          <w:szCs w:val="18"/>
        </w:rPr>
      </w:pPr>
      <w:r w:rsidRPr="00D96F9F">
        <w:rPr>
          <w:sz w:val="20"/>
          <w:szCs w:val="18"/>
        </w:rPr>
        <w:lastRenderedPageBreak/>
        <w:t>Table (</w:t>
      </w:r>
      <w:r w:rsidR="000203AD" w:rsidRPr="00D96F9F">
        <w:rPr>
          <w:sz w:val="20"/>
          <w:szCs w:val="18"/>
        </w:rPr>
        <w:t>6</w:t>
      </w:r>
      <w:r w:rsidR="004E3BBC" w:rsidRPr="00D96F9F">
        <w:rPr>
          <w:sz w:val="20"/>
          <w:szCs w:val="18"/>
        </w:rPr>
        <w:t>):</w:t>
      </w:r>
      <w:r w:rsidRPr="00D96F9F">
        <w:rPr>
          <w:rFonts w:eastAsia="MS PGothic"/>
          <w:sz w:val="20"/>
          <w:szCs w:val="18"/>
        </w:rPr>
        <w:t xml:space="preserve"> </w:t>
      </w:r>
      <w:r w:rsidRPr="00D96F9F">
        <w:rPr>
          <w:sz w:val="20"/>
          <w:szCs w:val="18"/>
        </w:rPr>
        <w:t>Serum ionized Ca</w:t>
      </w:r>
      <w:r w:rsidR="000203AD" w:rsidRPr="00D96F9F">
        <w:rPr>
          <w:sz w:val="20"/>
          <w:szCs w:val="18"/>
        </w:rPr>
        <w:t>+2</w:t>
      </w:r>
      <w:r w:rsidRPr="00D96F9F">
        <w:rPr>
          <w:sz w:val="20"/>
          <w:szCs w:val="18"/>
        </w:rPr>
        <w:t xml:space="preserve"> and total serum Mg</w:t>
      </w:r>
      <w:r w:rsidR="000203AD" w:rsidRPr="00D96F9F">
        <w:rPr>
          <w:sz w:val="20"/>
          <w:szCs w:val="18"/>
        </w:rPr>
        <w:t>+2</w:t>
      </w:r>
      <w:r w:rsidRPr="00D96F9F">
        <w:rPr>
          <w:sz w:val="20"/>
          <w:szCs w:val="18"/>
        </w:rPr>
        <w:t xml:space="preserve"> levels in patients with favorable and unfavorable outcome</w:t>
      </w:r>
      <w:r w:rsidR="008522AA" w:rsidRPr="00D96F9F">
        <w:rPr>
          <w:sz w:val="20"/>
          <w:szCs w:val="18"/>
        </w:rPr>
        <w:t>.</w:t>
      </w:r>
    </w:p>
    <w:tbl>
      <w:tblPr>
        <w:bidiVisual/>
        <w:tblW w:w="5000" w:type="pct"/>
        <w:jc w:val="center"/>
        <w:tblCellMar>
          <w:left w:w="0" w:type="dxa"/>
          <w:right w:w="0" w:type="dxa"/>
        </w:tblCellMar>
        <w:tblLook w:val="04A0"/>
      </w:tblPr>
      <w:tblGrid>
        <w:gridCol w:w="1471"/>
        <w:gridCol w:w="1194"/>
        <w:gridCol w:w="938"/>
        <w:gridCol w:w="1117"/>
        <w:gridCol w:w="938"/>
        <w:gridCol w:w="1117"/>
        <w:gridCol w:w="2871"/>
      </w:tblGrid>
      <w:tr w:rsidR="00F10596" w:rsidRPr="006D383A" w:rsidTr="006D383A">
        <w:trPr>
          <w:jc w:val="center"/>
        </w:trPr>
        <w:tc>
          <w:tcPr>
            <w:tcW w:w="1382" w:type="pct"/>
            <w:gridSpan w:val="2"/>
            <w:tcBorders>
              <w:top w:val="single" w:sz="1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color w:val="000000"/>
                <w:sz w:val="20"/>
                <w:szCs w:val="18"/>
              </w:rPr>
            </w:pPr>
            <w:r w:rsidRPr="006D383A">
              <w:rPr>
                <w:rFonts w:eastAsiaTheme="minorEastAsia"/>
                <w:color w:val="000000"/>
                <w:sz w:val="20"/>
                <w:szCs w:val="18"/>
              </w:rPr>
              <w:t>Independent t-test</w:t>
            </w:r>
          </w:p>
        </w:tc>
        <w:tc>
          <w:tcPr>
            <w:tcW w:w="1065" w:type="pct"/>
            <w:gridSpan w:val="2"/>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color w:val="000000"/>
                <w:sz w:val="20"/>
                <w:szCs w:val="18"/>
              </w:rPr>
            </w:pPr>
            <w:r w:rsidRPr="006D383A">
              <w:rPr>
                <w:rFonts w:eastAsiaTheme="minorEastAsia"/>
                <w:color w:val="000000"/>
                <w:sz w:val="20"/>
                <w:szCs w:val="18"/>
              </w:rPr>
              <w:t>Favorable</w:t>
            </w:r>
          </w:p>
        </w:tc>
        <w:tc>
          <w:tcPr>
            <w:tcW w:w="1065" w:type="pct"/>
            <w:gridSpan w:val="2"/>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color w:val="000000"/>
                <w:sz w:val="20"/>
                <w:szCs w:val="18"/>
              </w:rPr>
            </w:pPr>
            <w:r w:rsidRPr="006D383A">
              <w:rPr>
                <w:rFonts w:eastAsiaTheme="minorEastAsia"/>
                <w:color w:val="000000"/>
                <w:sz w:val="20"/>
                <w:szCs w:val="18"/>
              </w:rPr>
              <w:t>Unfavorable</w:t>
            </w:r>
          </w:p>
        </w:tc>
        <w:tc>
          <w:tcPr>
            <w:tcW w:w="1489" w:type="pct"/>
            <w:vMerge w:val="restart"/>
            <w:tcBorders>
              <w:top w:val="single" w:sz="1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F10596" w:rsidRPr="00E66041" w:rsidRDefault="00F10596" w:rsidP="00EB7ED6">
            <w:pPr>
              <w:pStyle w:val="Title"/>
              <w:adjustRightInd w:val="0"/>
              <w:snapToGrid w:val="0"/>
              <w:jc w:val="both"/>
              <w:rPr>
                <w:rFonts w:eastAsiaTheme="minorEastAsia"/>
                <w:color w:val="000000"/>
                <w:sz w:val="20"/>
                <w:szCs w:val="18"/>
              </w:rPr>
            </w:pPr>
          </w:p>
        </w:tc>
      </w:tr>
      <w:tr w:rsidR="006D383A" w:rsidRPr="006D383A" w:rsidTr="006D383A">
        <w:trPr>
          <w:jc w:val="center"/>
        </w:trPr>
        <w:tc>
          <w:tcPr>
            <w:tcW w:w="763" w:type="pct"/>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color w:val="000000"/>
                <w:sz w:val="20"/>
                <w:szCs w:val="18"/>
              </w:rPr>
            </w:pPr>
            <w:proofErr w:type="gramStart"/>
            <w:r w:rsidRPr="006D383A">
              <w:rPr>
                <w:rFonts w:eastAsiaTheme="minorEastAsia"/>
                <w:i/>
                <w:iCs/>
                <w:color w:val="000000"/>
                <w:sz w:val="20"/>
                <w:szCs w:val="18"/>
              </w:rPr>
              <w:t>p</w:t>
            </w:r>
            <w:r w:rsidRPr="006D383A">
              <w:rPr>
                <w:rFonts w:eastAsiaTheme="minorEastAsia"/>
                <w:color w:val="000000"/>
                <w:sz w:val="20"/>
                <w:szCs w:val="18"/>
              </w:rPr>
              <w:t>-value</w:t>
            </w:r>
            <w:proofErr w:type="gramEnd"/>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color w:val="000000"/>
                <w:sz w:val="20"/>
                <w:szCs w:val="18"/>
              </w:rPr>
            </w:pPr>
            <w:proofErr w:type="gramStart"/>
            <w:r w:rsidRPr="006D383A">
              <w:rPr>
                <w:rFonts w:eastAsiaTheme="minorEastAsia"/>
                <w:color w:val="000000"/>
                <w:sz w:val="20"/>
                <w:szCs w:val="18"/>
              </w:rPr>
              <w:t>t</w:t>
            </w:r>
            <w:proofErr w:type="gramEnd"/>
          </w:p>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304F5E" w:rsidP="00EB7ED6">
            <w:pPr>
              <w:pStyle w:val="Title"/>
              <w:adjustRightInd w:val="0"/>
              <w:snapToGrid w:val="0"/>
              <w:jc w:val="both"/>
              <w:rPr>
                <w:rFonts w:eastAsiaTheme="minorEastAsia"/>
                <w:color w:val="000000"/>
                <w:sz w:val="20"/>
                <w:szCs w:val="18"/>
              </w:rPr>
            </w:pPr>
            <w:r w:rsidRPr="006D383A">
              <w:rPr>
                <w:rFonts w:eastAsia="MS Mincho"/>
                <w:color w:val="000000"/>
                <w:sz w:val="20"/>
                <w:szCs w:val="20"/>
              </w:rPr>
              <w:t>±</w:t>
            </w:r>
            <w:r w:rsidR="00F10596" w:rsidRPr="006D383A">
              <w:rPr>
                <w:rFonts w:eastAsiaTheme="minorEastAsia"/>
                <w:color w:val="000000"/>
                <w:sz w:val="20"/>
                <w:szCs w:val="18"/>
              </w:rPr>
              <w:t>SD</w:t>
            </w:r>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color w:val="000000"/>
                <w:sz w:val="20"/>
                <w:szCs w:val="18"/>
              </w:rPr>
            </w:pPr>
            <w:r w:rsidRPr="006D383A">
              <w:rPr>
                <w:rFonts w:eastAsiaTheme="minorEastAsia"/>
                <w:color w:val="000000"/>
                <w:sz w:val="20"/>
                <w:szCs w:val="18"/>
              </w:rPr>
              <w:t>Mean</w:t>
            </w:r>
          </w:p>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304F5E" w:rsidP="00EB7ED6">
            <w:pPr>
              <w:pStyle w:val="Title"/>
              <w:adjustRightInd w:val="0"/>
              <w:snapToGrid w:val="0"/>
              <w:jc w:val="both"/>
              <w:rPr>
                <w:rFonts w:eastAsiaTheme="minorEastAsia"/>
                <w:color w:val="000000"/>
                <w:sz w:val="20"/>
                <w:szCs w:val="18"/>
              </w:rPr>
            </w:pPr>
            <w:r w:rsidRPr="006D383A">
              <w:rPr>
                <w:rFonts w:eastAsia="MS Mincho"/>
                <w:color w:val="000000"/>
                <w:sz w:val="20"/>
                <w:szCs w:val="20"/>
              </w:rPr>
              <w:t>±</w:t>
            </w:r>
            <w:r w:rsidR="00F10596" w:rsidRPr="006D383A">
              <w:rPr>
                <w:rFonts w:eastAsiaTheme="minorEastAsia"/>
                <w:color w:val="000000"/>
                <w:sz w:val="20"/>
                <w:szCs w:val="18"/>
              </w:rPr>
              <w:t>SD</w:t>
            </w:r>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color w:val="000000"/>
                <w:sz w:val="20"/>
                <w:szCs w:val="18"/>
              </w:rPr>
            </w:pPr>
            <w:r w:rsidRPr="006D383A">
              <w:rPr>
                <w:rFonts w:eastAsiaTheme="minorEastAsia"/>
                <w:color w:val="000000"/>
                <w:sz w:val="20"/>
                <w:szCs w:val="18"/>
              </w:rPr>
              <w:t>Mean</w:t>
            </w:r>
          </w:p>
        </w:tc>
        <w:tc>
          <w:tcPr>
            <w:tcW w:w="1489" w:type="pct"/>
            <w:vMerge/>
            <w:tcBorders>
              <w:top w:val="single" w:sz="18" w:space="0" w:color="000000"/>
              <w:left w:val="single" w:sz="18" w:space="0" w:color="000000"/>
              <w:bottom w:val="single" w:sz="8" w:space="0" w:color="000000"/>
              <w:right w:val="single" w:sz="8" w:space="0" w:color="000000"/>
            </w:tcBorders>
            <w:vAlign w:val="center"/>
            <w:hideMark/>
          </w:tcPr>
          <w:p w:rsidR="00F10596" w:rsidRPr="00E66041" w:rsidRDefault="00F10596" w:rsidP="00EB7ED6">
            <w:pPr>
              <w:pStyle w:val="Title"/>
              <w:adjustRightInd w:val="0"/>
              <w:snapToGrid w:val="0"/>
              <w:jc w:val="both"/>
              <w:rPr>
                <w:rFonts w:eastAsiaTheme="minorEastAsia"/>
                <w:color w:val="000000"/>
                <w:sz w:val="20"/>
                <w:szCs w:val="18"/>
              </w:rPr>
            </w:pPr>
          </w:p>
        </w:tc>
      </w:tr>
      <w:tr w:rsidR="006D383A" w:rsidRPr="006D383A" w:rsidTr="006D383A">
        <w:trPr>
          <w:jc w:val="center"/>
        </w:trPr>
        <w:tc>
          <w:tcPr>
            <w:tcW w:w="763" w:type="pct"/>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0.000</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5.948</w:t>
            </w:r>
          </w:p>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0.10</w:t>
            </w:r>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1.23</w:t>
            </w:r>
          </w:p>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0.17</w:t>
            </w:r>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1.00</w:t>
            </w:r>
          </w:p>
        </w:tc>
        <w:tc>
          <w:tcPr>
            <w:tcW w:w="1489" w:type="pct"/>
            <w:tcBorders>
              <w:top w:val="single" w:sz="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Ionized ca</w:t>
            </w:r>
            <w:r w:rsidR="00EB7ED6">
              <w:rPr>
                <w:rFonts w:eastAsiaTheme="minorEastAsia"/>
                <w:b w:val="0"/>
                <w:bCs w:val="0"/>
                <w:color w:val="000000"/>
                <w:sz w:val="20"/>
                <w:szCs w:val="18"/>
              </w:rPr>
              <w:t xml:space="preserve"> </w:t>
            </w:r>
            <w:r w:rsidRPr="006D383A">
              <w:rPr>
                <w:rFonts w:eastAsiaTheme="minorEastAsia"/>
                <w:b w:val="0"/>
                <w:bCs w:val="0"/>
                <w:color w:val="000000"/>
                <w:sz w:val="20"/>
                <w:szCs w:val="18"/>
              </w:rPr>
              <w:t>(</w:t>
            </w:r>
            <w:proofErr w:type="spellStart"/>
            <w:r w:rsidRPr="006D383A">
              <w:rPr>
                <w:rFonts w:eastAsiaTheme="minorEastAsia"/>
                <w:b w:val="0"/>
                <w:bCs w:val="0"/>
                <w:color w:val="000000"/>
                <w:sz w:val="20"/>
                <w:szCs w:val="18"/>
              </w:rPr>
              <w:t>mmol</w:t>
            </w:r>
            <w:proofErr w:type="spellEnd"/>
            <w:r w:rsidRPr="006D383A">
              <w:rPr>
                <w:rFonts w:eastAsiaTheme="minorEastAsia"/>
                <w:b w:val="0"/>
                <w:bCs w:val="0"/>
                <w:color w:val="000000"/>
                <w:sz w:val="20"/>
                <w:szCs w:val="18"/>
              </w:rPr>
              <w:t>/L)</w:t>
            </w:r>
          </w:p>
        </w:tc>
      </w:tr>
      <w:tr w:rsidR="006D383A" w:rsidRPr="006D383A" w:rsidTr="006D383A">
        <w:trPr>
          <w:jc w:val="center"/>
        </w:trPr>
        <w:tc>
          <w:tcPr>
            <w:tcW w:w="763" w:type="pct"/>
            <w:tcBorders>
              <w:top w:val="single" w:sz="8" w:space="0" w:color="000000"/>
              <w:left w:val="single" w:sz="8" w:space="0" w:color="000000"/>
              <w:bottom w:val="single" w:sz="18" w:space="0" w:color="000000"/>
              <w:right w:val="single" w:sz="1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0.000</w:t>
            </w:r>
          </w:p>
        </w:tc>
        <w:tc>
          <w:tcPr>
            <w:tcW w:w="618"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3.793</w:t>
            </w:r>
          </w:p>
        </w:tc>
        <w:tc>
          <w:tcPr>
            <w:tcW w:w="486"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0.30</w:t>
            </w:r>
          </w:p>
        </w:tc>
        <w:tc>
          <w:tcPr>
            <w:tcW w:w="579"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1.86</w:t>
            </w:r>
          </w:p>
        </w:tc>
        <w:tc>
          <w:tcPr>
            <w:tcW w:w="486"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0.51</w:t>
            </w:r>
          </w:p>
        </w:tc>
        <w:tc>
          <w:tcPr>
            <w:tcW w:w="579" w:type="pct"/>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1.26</w:t>
            </w:r>
          </w:p>
        </w:tc>
        <w:tc>
          <w:tcPr>
            <w:tcW w:w="1489" w:type="pct"/>
            <w:tcBorders>
              <w:top w:val="single" w:sz="8" w:space="0" w:color="000000"/>
              <w:left w:val="single" w:sz="18" w:space="0" w:color="000000"/>
              <w:bottom w:val="single" w:sz="18" w:space="0" w:color="000000"/>
              <w:right w:val="single" w:sz="8" w:space="0" w:color="000000"/>
            </w:tcBorders>
            <w:shd w:val="clear" w:color="auto" w:fill="auto"/>
            <w:tcMar>
              <w:top w:w="74" w:type="dxa"/>
              <w:left w:w="142" w:type="dxa"/>
              <w:bottom w:w="74" w:type="dxa"/>
              <w:right w:w="142" w:type="dxa"/>
            </w:tcMar>
            <w:vAlign w:val="center"/>
            <w:hideMark/>
          </w:tcPr>
          <w:p w:rsidR="00597825" w:rsidRPr="00E66041" w:rsidRDefault="00F10596" w:rsidP="00EB7ED6">
            <w:pPr>
              <w:pStyle w:val="Title"/>
              <w:adjustRightInd w:val="0"/>
              <w:snapToGrid w:val="0"/>
              <w:jc w:val="both"/>
              <w:rPr>
                <w:rFonts w:eastAsiaTheme="minorEastAsia"/>
                <w:b w:val="0"/>
                <w:bCs w:val="0"/>
                <w:color w:val="000000"/>
                <w:sz w:val="20"/>
                <w:szCs w:val="18"/>
              </w:rPr>
            </w:pPr>
            <w:r w:rsidRPr="006D383A">
              <w:rPr>
                <w:rFonts w:eastAsiaTheme="minorEastAsia"/>
                <w:b w:val="0"/>
                <w:bCs w:val="0"/>
                <w:color w:val="000000"/>
                <w:sz w:val="20"/>
                <w:szCs w:val="18"/>
              </w:rPr>
              <w:t>Serum Mg</w:t>
            </w:r>
            <w:r w:rsidR="00EB7ED6">
              <w:rPr>
                <w:rFonts w:eastAsiaTheme="minorEastAsia"/>
                <w:b w:val="0"/>
                <w:bCs w:val="0"/>
                <w:color w:val="000000"/>
                <w:sz w:val="20"/>
                <w:szCs w:val="18"/>
              </w:rPr>
              <w:t xml:space="preserve"> </w:t>
            </w:r>
            <w:r w:rsidRPr="006D383A">
              <w:rPr>
                <w:rFonts w:eastAsiaTheme="minorEastAsia"/>
                <w:b w:val="0"/>
                <w:bCs w:val="0"/>
                <w:color w:val="000000"/>
                <w:sz w:val="20"/>
                <w:szCs w:val="18"/>
              </w:rPr>
              <w:t>(mg/</w:t>
            </w:r>
            <w:proofErr w:type="spellStart"/>
            <w:r w:rsidRPr="006D383A">
              <w:rPr>
                <w:rFonts w:eastAsiaTheme="minorEastAsia"/>
                <w:b w:val="0"/>
                <w:bCs w:val="0"/>
                <w:color w:val="000000"/>
                <w:sz w:val="20"/>
                <w:szCs w:val="18"/>
              </w:rPr>
              <w:t>dL</w:t>
            </w:r>
            <w:proofErr w:type="spellEnd"/>
            <w:r w:rsidRPr="006D383A">
              <w:rPr>
                <w:rFonts w:eastAsiaTheme="minorEastAsia"/>
                <w:b w:val="0"/>
                <w:bCs w:val="0"/>
                <w:color w:val="000000"/>
                <w:sz w:val="20"/>
                <w:szCs w:val="18"/>
              </w:rPr>
              <w:t>)</w:t>
            </w:r>
          </w:p>
        </w:tc>
      </w:tr>
    </w:tbl>
    <w:p w:rsidR="00D87F1F" w:rsidRPr="00D96F9F" w:rsidRDefault="00D87F1F" w:rsidP="00EB7ED6">
      <w:pPr>
        <w:autoSpaceDE w:val="0"/>
        <w:autoSpaceDN w:val="0"/>
        <w:adjustRightInd w:val="0"/>
        <w:snapToGrid w:val="0"/>
        <w:jc w:val="both"/>
        <w:rPr>
          <w:sz w:val="20"/>
          <w:szCs w:val="18"/>
        </w:rPr>
      </w:pPr>
      <w:r w:rsidRPr="00D96F9F">
        <w:rPr>
          <w:sz w:val="20"/>
          <w:szCs w:val="18"/>
        </w:rPr>
        <w:t>Patients with unfavorable outcome showed highly significant lower</w:t>
      </w:r>
      <w:r w:rsidR="000203AD" w:rsidRPr="00D96F9F">
        <w:rPr>
          <w:sz w:val="20"/>
          <w:szCs w:val="18"/>
        </w:rPr>
        <w:t xml:space="preserve"> </w:t>
      </w:r>
      <w:r w:rsidRPr="00D96F9F">
        <w:rPr>
          <w:sz w:val="20"/>
          <w:szCs w:val="18"/>
        </w:rPr>
        <w:t>serum ionized Ca</w:t>
      </w:r>
      <w:r w:rsidR="000203AD" w:rsidRPr="00D96F9F">
        <w:rPr>
          <w:sz w:val="20"/>
          <w:szCs w:val="18"/>
        </w:rPr>
        <w:t>+2</w:t>
      </w:r>
      <w:r w:rsidRPr="00D96F9F">
        <w:rPr>
          <w:sz w:val="20"/>
          <w:szCs w:val="18"/>
        </w:rPr>
        <w:t xml:space="preserve"> and total serum Mg</w:t>
      </w:r>
      <w:r w:rsidR="000203AD" w:rsidRPr="00D96F9F">
        <w:rPr>
          <w:sz w:val="20"/>
          <w:szCs w:val="18"/>
        </w:rPr>
        <w:t>+2</w:t>
      </w:r>
      <w:r w:rsidRPr="00D96F9F">
        <w:rPr>
          <w:sz w:val="20"/>
          <w:szCs w:val="18"/>
        </w:rPr>
        <w:t xml:space="preserve"> levels compared to those with</w:t>
      </w:r>
      <w:r w:rsidR="000203AD" w:rsidRPr="00D96F9F">
        <w:rPr>
          <w:sz w:val="20"/>
          <w:szCs w:val="18"/>
        </w:rPr>
        <w:t xml:space="preserve"> </w:t>
      </w:r>
      <w:r w:rsidRPr="00D96F9F">
        <w:rPr>
          <w:sz w:val="20"/>
          <w:szCs w:val="18"/>
        </w:rPr>
        <w:t>favorable outcome.</w:t>
      </w:r>
    </w:p>
    <w:p w:rsidR="00D96F9F" w:rsidRDefault="00D96F9F" w:rsidP="00EB7ED6">
      <w:pPr>
        <w:autoSpaceDE w:val="0"/>
        <w:autoSpaceDN w:val="0"/>
        <w:adjustRightInd w:val="0"/>
        <w:snapToGrid w:val="0"/>
        <w:jc w:val="both"/>
        <w:rPr>
          <w:b/>
          <w:bCs/>
          <w:sz w:val="20"/>
          <w:szCs w:val="20"/>
        </w:rPr>
      </w:pPr>
    </w:p>
    <w:p w:rsidR="00D96F9F" w:rsidRPr="00D96F9F" w:rsidRDefault="00D96F9F" w:rsidP="00EB7ED6">
      <w:pPr>
        <w:autoSpaceDE w:val="0"/>
        <w:autoSpaceDN w:val="0"/>
        <w:adjustRightInd w:val="0"/>
        <w:snapToGrid w:val="0"/>
        <w:jc w:val="both"/>
        <w:rPr>
          <w:b/>
          <w:bCs/>
          <w:sz w:val="20"/>
          <w:szCs w:val="20"/>
        </w:rPr>
        <w:sectPr w:rsidR="00D96F9F" w:rsidRPr="00D96F9F" w:rsidSect="00D96F9F">
          <w:headerReference w:type="default" r:id="rId15"/>
          <w:footerReference w:type="even" r:id="rId16"/>
          <w:footerReference w:type="default" r:id="rId17"/>
          <w:type w:val="continuous"/>
          <w:pgSz w:w="12242" w:h="15842" w:code="1"/>
          <w:pgMar w:top="1440" w:right="1440" w:bottom="1440" w:left="1440" w:header="720" w:footer="720" w:gutter="0"/>
          <w:cols w:space="708"/>
          <w:docGrid w:linePitch="360"/>
        </w:sectPr>
      </w:pPr>
    </w:p>
    <w:p w:rsidR="00597825" w:rsidRPr="00D96F9F" w:rsidRDefault="0005702A" w:rsidP="00EB7ED6">
      <w:pPr>
        <w:autoSpaceDE w:val="0"/>
        <w:autoSpaceDN w:val="0"/>
        <w:adjustRightInd w:val="0"/>
        <w:snapToGrid w:val="0"/>
        <w:jc w:val="both"/>
        <w:rPr>
          <w:b/>
          <w:bCs/>
          <w:sz w:val="20"/>
          <w:szCs w:val="20"/>
        </w:rPr>
      </w:pPr>
      <w:r w:rsidRPr="00D96F9F">
        <w:rPr>
          <w:b/>
          <w:bCs/>
          <w:sz w:val="20"/>
          <w:szCs w:val="20"/>
        </w:rPr>
        <w:lastRenderedPageBreak/>
        <w:t xml:space="preserve">4. </w:t>
      </w:r>
      <w:r w:rsidR="00597825" w:rsidRPr="00D96F9F">
        <w:rPr>
          <w:b/>
          <w:bCs/>
          <w:sz w:val="20"/>
          <w:szCs w:val="20"/>
        </w:rPr>
        <w:t>Discussion</w:t>
      </w:r>
    </w:p>
    <w:p w:rsidR="00597825" w:rsidRPr="00D96F9F" w:rsidRDefault="00033594" w:rsidP="00EB7ED6">
      <w:pPr>
        <w:pStyle w:val="NoSpacing"/>
        <w:adjustRightInd w:val="0"/>
        <w:snapToGrid w:val="0"/>
        <w:ind w:firstLine="425"/>
        <w:jc w:val="both"/>
        <w:rPr>
          <w:sz w:val="20"/>
          <w:szCs w:val="20"/>
        </w:rPr>
      </w:pPr>
      <w:r w:rsidRPr="00D96F9F">
        <w:rPr>
          <w:sz w:val="20"/>
          <w:szCs w:val="20"/>
        </w:rPr>
        <w:t>This</w:t>
      </w:r>
      <w:r w:rsidR="00597825" w:rsidRPr="00D96F9F">
        <w:rPr>
          <w:sz w:val="20"/>
          <w:szCs w:val="20"/>
        </w:rPr>
        <w:t xml:space="preserve"> </w:t>
      </w:r>
      <w:r w:rsidRPr="00D96F9F">
        <w:rPr>
          <w:sz w:val="20"/>
          <w:szCs w:val="20"/>
        </w:rPr>
        <w:t xml:space="preserve">study was </w:t>
      </w:r>
      <w:r w:rsidR="00597825" w:rsidRPr="00D96F9F">
        <w:rPr>
          <w:sz w:val="20"/>
          <w:szCs w:val="20"/>
        </w:rPr>
        <w:t>aim</w:t>
      </w:r>
      <w:r w:rsidRPr="00D96F9F">
        <w:rPr>
          <w:sz w:val="20"/>
          <w:szCs w:val="20"/>
        </w:rPr>
        <w:t>ed</w:t>
      </w:r>
      <w:r w:rsidR="00597825" w:rsidRPr="00D96F9F">
        <w:rPr>
          <w:sz w:val="20"/>
          <w:szCs w:val="20"/>
        </w:rPr>
        <w:t xml:space="preserve"> to determine serum ionized Ca and total</w:t>
      </w:r>
      <w:r w:rsidR="00D94CD2" w:rsidRPr="00D96F9F">
        <w:rPr>
          <w:sz w:val="20"/>
          <w:szCs w:val="20"/>
        </w:rPr>
        <w:t xml:space="preserve"> </w:t>
      </w:r>
      <w:r w:rsidR="00597825" w:rsidRPr="00D96F9F">
        <w:rPr>
          <w:sz w:val="20"/>
          <w:szCs w:val="20"/>
        </w:rPr>
        <w:t xml:space="preserve">serum Mg levels in term neonates with hypoxic-ischemic </w:t>
      </w:r>
      <w:proofErr w:type="spellStart"/>
      <w:r w:rsidR="00597825" w:rsidRPr="00D96F9F">
        <w:rPr>
          <w:sz w:val="20"/>
          <w:szCs w:val="20"/>
        </w:rPr>
        <w:t>encephalopatly</w:t>
      </w:r>
      <w:proofErr w:type="spellEnd"/>
      <w:r w:rsidR="00D94CD2" w:rsidRPr="00D96F9F">
        <w:rPr>
          <w:sz w:val="20"/>
          <w:szCs w:val="20"/>
        </w:rPr>
        <w:t xml:space="preserve"> </w:t>
      </w:r>
      <w:r w:rsidR="00597825" w:rsidRPr="00D96F9F">
        <w:rPr>
          <w:sz w:val="20"/>
          <w:szCs w:val="20"/>
        </w:rPr>
        <w:t xml:space="preserve">(HIE) </w:t>
      </w:r>
      <w:r w:rsidRPr="00D96F9F">
        <w:rPr>
          <w:sz w:val="20"/>
          <w:szCs w:val="20"/>
        </w:rPr>
        <w:t xml:space="preserve">and </w:t>
      </w:r>
      <w:r w:rsidR="00597825" w:rsidRPr="00D96F9F">
        <w:rPr>
          <w:sz w:val="20"/>
          <w:szCs w:val="20"/>
        </w:rPr>
        <w:t xml:space="preserve">correlating the results with the disease severity and </w:t>
      </w:r>
      <w:proofErr w:type="spellStart"/>
      <w:r w:rsidR="00597825" w:rsidRPr="00D96F9F">
        <w:rPr>
          <w:sz w:val="20"/>
          <w:szCs w:val="20"/>
        </w:rPr>
        <w:t>outcome.This</w:t>
      </w:r>
      <w:proofErr w:type="spellEnd"/>
      <w:r w:rsidR="00597825" w:rsidRPr="00D96F9F">
        <w:rPr>
          <w:sz w:val="20"/>
          <w:szCs w:val="20"/>
        </w:rPr>
        <w:t xml:space="preserve"> was done through evaluation of 25 term newborns diagnosed as HIE</w:t>
      </w:r>
      <w:r w:rsidR="00D94CD2" w:rsidRPr="00D96F9F">
        <w:rPr>
          <w:sz w:val="20"/>
          <w:szCs w:val="20"/>
        </w:rPr>
        <w:t xml:space="preserve"> </w:t>
      </w:r>
      <w:r w:rsidR="00597825" w:rsidRPr="00D96F9F">
        <w:rPr>
          <w:sz w:val="20"/>
          <w:szCs w:val="20"/>
        </w:rPr>
        <w:t>based on the inclusion criteria and 25 age and sex matched healthy full</w:t>
      </w:r>
      <w:r w:rsidR="00D94CD2" w:rsidRPr="00D96F9F">
        <w:rPr>
          <w:sz w:val="20"/>
          <w:szCs w:val="20"/>
        </w:rPr>
        <w:t xml:space="preserve"> </w:t>
      </w:r>
      <w:r w:rsidR="00597825" w:rsidRPr="00D96F9F">
        <w:rPr>
          <w:sz w:val="20"/>
          <w:szCs w:val="20"/>
        </w:rPr>
        <w:t>term newborns as control group recruited from NICU.</w:t>
      </w:r>
      <w:r w:rsidR="00A77946" w:rsidRPr="00D96F9F">
        <w:rPr>
          <w:sz w:val="20"/>
          <w:szCs w:val="20"/>
        </w:rPr>
        <w:t xml:space="preserve"> </w:t>
      </w:r>
      <w:r w:rsidR="00597825" w:rsidRPr="00D96F9F">
        <w:rPr>
          <w:sz w:val="20"/>
          <w:szCs w:val="20"/>
        </w:rPr>
        <w:t>Our results revealed that gestational age, birth weight, sex and mode of</w:t>
      </w:r>
      <w:r w:rsidR="00A77946" w:rsidRPr="00D96F9F">
        <w:rPr>
          <w:sz w:val="20"/>
          <w:szCs w:val="20"/>
        </w:rPr>
        <w:t xml:space="preserve"> </w:t>
      </w:r>
      <w:r w:rsidR="00597825" w:rsidRPr="00D96F9F">
        <w:rPr>
          <w:sz w:val="20"/>
          <w:szCs w:val="20"/>
        </w:rPr>
        <w:t>delivery were not significantly different in studied newborns.</w:t>
      </w:r>
    </w:p>
    <w:p w:rsidR="007C2E00" w:rsidRPr="00D96F9F" w:rsidRDefault="00597825" w:rsidP="00EB7ED6">
      <w:pPr>
        <w:pStyle w:val="NoSpacing"/>
        <w:adjustRightInd w:val="0"/>
        <w:snapToGrid w:val="0"/>
        <w:ind w:firstLine="425"/>
        <w:jc w:val="both"/>
        <w:rPr>
          <w:sz w:val="20"/>
          <w:szCs w:val="20"/>
        </w:rPr>
      </w:pPr>
      <w:r w:rsidRPr="00D96F9F">
        <w:rPr>
          <w:sz w:val="20"/>
          <w:szCs w:val="20"/>
        </w:rPr>
        <w:t xml:space="preserve">In our study we found that </w:t>
      </w:r>
      <w:proofErr w:type="spellStart"/>
      <w:r w:rsidRPr="00D96F9F">
        <w:rPr>
          <w:sz w:val="20"/>
          <w:szCs w:val="20"/>
        </w:rPr>
        <w:t>neonats</w:t>
      </w:r>
      <w:proofErr w:type="spellEnd"/>
      <w:r w:rsidRPr="00D96F9F">
        <w:rPr>
          <w:sz w:val="20"/>
          <w:szCs w:val="20"/>
        </w:rPr>
        <w:t xml:space="preserve"> with HIE had significantly lower</w:t>
      </w:r>
      <w:r w:rsidR="002C2EC2" w:rsidRPr="00D96F9F">
        <w:rPr>
          <w:sz w:val="20"/>
          <w:szCs w:val="20"/>
        </w:rPr>
        <w:t xml:space="preserve"> </w:t>
      </w:r>
      <w:r w:rsidRPr="00D96F9F">
        <w:rPr>
          <w:sz w:val="20"/>
          <w:szCs w:val="20"/>
        </w:rPr>
        <w:t>serum ionized Ca level (1.05±0.15mmol/L) as compared to control group</w:t>
      </w:r>
      <w:r w:rsidR="00757A50" w:rsidRPr="00D96F9F">
        <w:rPr>
          <w:sz w:val="20"/>
          <w:szCs w:val="20"/>
        </w:rPr>
        <w:t xml:space="preserve"> </w:t>
      </w:r>
      <w:r w:rsidRPr="00D96F9F">
        <w:rPr>
          <w:sz w:val="20"/>
          <w:szCs w:val="20"/>
        </w:rPr>
        <w:t>(1.27±0.08mmol/L).</w:t>
      </w:r>
      <w:r w:rsidR="001C7087" w:rsidRPr="00D96F9F">
        <w:rPr>
          <w:sz w:val="20"/>
          <w:szCs w:val="20"/>
        </w:rPr>
        <w:t xml:space="preserve"> </w:t>
      </w:r>
      <w:r w:rsidRPr="00D96F9F">
        <w:rPr>
          <w:sz w:val="20"/>
          <w:szCs w:val="20"/>
        </w:rPr>
        <w:t>Serum ion</w:t>
      </w:r>
      <w:r w:rsidR="001C7087" w:rsidRPr="00D96F9F">
        <w:rPr>
          <w:sz w:val="20"/>
          <w:szCs w:val="20"/>
        </w:rPr>
        <w:t xml:space="preserve">ized ca was lower in </w:t>
      </w:r>
      <w:r w:rsidRPr="00D96F9F">
        <w:rPr>
          <w:sz w:val="20"/>
          <w:szCs w:val="20"/>
        </w:rPr>
        <w:t>mild, moderate and severe cases than</w:t>
      </w:r>
      <w:r w:rsidR="001C7087" w:rsidRPr="00D96F9F">
        <w:rPr>
          <w:sz w:val="20"/>
          <w:szCs w:val="20"/>
        </w:rPr>
        <w:t xml:space="preserve"> </w:t>
      </w:r>
      <w:r w:rsidRPr="00D96F9F">
        <w:rPr>
          <w:sz w:val="20"/>
          <w:szCs w:val="20"/>
        </w:rPr>
        <w:t>control group.</w:t>
      </w:r>
    </w:p>
    <w:p w:rsidR="008F3A7A" w:rsidRPr="00D96F9F" w:rsidRDefault="00597825" w:rsidP="00EB7ED6">
      <w:pPr>
        <w:pStyle w:val="NoSpacing"/>
        <w:adjustRightInd w:val="0"/>
        <w:snapToGrid w:val="0"/>
        <w:ind w:firstLine="425"/>
        <w:jc w:val="both"/>
        <w:rPr>
          <w:sz w:val="20"/>
          <w:szCs w:val="20"/>
        </w:rPr>
      </w:pPr>
      <w:r w:rsidRPr="00D96F9F">
        <w:rPr>
          <w:sz w:val="20"/>
          <w:szCs w:val="20"/>
        </w:rPr>
        <w:t xml:space="preserve">This comes with agreement to </w:t>
      </w:r>
      <w:r w:rsidRPr="00D96F9F">
        <w:rPr>
          <w:b/>
          <w:bCs/>
          <w:i/>
          <w:iCs/>
          <w:sz w:val="20"/>
          <w:szCs w:val="20"/>
        </w:rPr>
        <w:t>Petersen et al. (1981),</w:t>
      </w:r>
      <w:r w:rsidR="008F3A7A" w:rsidRPr="00D96F9F">
        <w:rPr>
          <w:b/>
          <w:bCs/>
          <w:i/>
          <w:iCs/>
          <w:sz w:val="20"/>
          <w:szCs w:val="20"/>
        </w:rPr>
        <w:t xml:space="preserve"> </w:t>
      </w:r>
      <w:proofErr w:type="spellStart"/>
      <w:r w:rsidR="008F3A7A" w:rsidRPr="00D96F9F">
        <w:rPr>
          <w:b/>
          <w:bCs/>
          <w:i/>
          <w:iCs/>
          <w:sz w:val="20"/>
          <w:szCs w:val="20"/>
        </w:rPr>
        <w:t>Jajoo</w:t>
      </w:r>
      <w:proofErr w:type="spellEnd"/>
      <w:r w:rsidR="008F3A7A" w:rsidRPr="00D96F9F">
        <w:rPr>
          <w:b/>
          <w:bCs/>
          <w:i/>
          <w:iCs/>
          <w:sz w:val="20"/>
          <w:szCs w:val="20"/>
        </w:rPr>
        <w:t xml:space="preserve"> et al (1995)</w:t>
      </w:r>
      <w:r w:rsidRPr="00D96F9F">
        <w:rPr>
          <w:b/>
          <w:bCs/>
          <w:i/>
          <w:iCs/>
          <w:sz w:val="20"/>
          <w:szCs w:val="20"/>
        </w:rPr>
        <w:t xml:space="preserve"> </w:t>
      </w:r>
      <w:r w:rsidR="00673BD8" w:rsidRPr="00D96F9F">
        <w:rPr>
          <w:b/>
          <w:bCs/>
          <w:i/>
          <w:iCs/>
          <w:sz w:val="20"/>
          <w:szCs w:val="20"/>
          <w:lang w:val="en-IN"/>
        </w:rPr>
        <w:t>Mehta</w:t>
      </w:r>
      <w:r w:rsidRPr="00D96F9F">
        <w:rPr>
          <w:b/>
          <w:bCs/>
          <w:i/>
          <w:iCs/>
          <w:sz w:val="20"/>
          <w:szCs w:val="20"/>
        </w:rPr>
        <w:t xml:space="preserve"> et al.</w:t>
      </w:r>
      <w:r w:rsidR="001C7087" w:rsidRPr="00D96F9F">
        <w:rPr>
          <w:sz w:val="20"/>
          <w:szCs w:val="20"/>
        </w:rPr>
        <w:t xml:space="preserve"> </w:t>
      </w:r>
      <w:r w:rsidRPr="00D96F9F">
        <w:rPr>
          <w:b/>
          <w:bCs/>
          <w:i/>
          <w:iCs/>
          <w:sz w:val="20"/>
          <w:szCs w:val="20"/>
        </w:rPr>
        <w:t>(199</w:t>
      </w:r>
      <w:r w:rsidR="00DB4998" w:rsidRPr="00D96F9F">
        <w:rPr>
          <w:b/>
          <w:bCs/>
          <w:i/>
          <w:iCs/>
          <w:sz w:val="20"/>
          <w:szCs w:val="20"/>
        </w:rPr>
        <w:t>8</w:t>
      </w:r>
      <w:r w:rsidRPr="00D96F9F">
        <w:rPr>
          <w:b/>
          <w:bCs/>
          <w:i/>
          <w:iCs/>
          <w:sz w:val="20"/>
          <w:szCs w:val="20"/>
        </w:rPr>
        <w:t>)</w:t>
      </w:r>
      <w:proofErr w:type="gramStart"/>
      <w:r w:rsidRPr="00D96F9F">
        <w:rPr>
          <w:sz w:val="20"/>
          <w:szCs w:val="20"/>
        </w:rPr>
        <w:t>,</w:t>
      </w:r>
      <w:proofErr w:type="gramEnd"/>
      <w:r w:rsidR="00EB7ED6">
        <w:rPr>
          <w:b/>
          <w:bCs/>
          <w:sz w:val="20"/>
          <w:szCs w:val="20"/>
        </w:rPr>
        <w:t xml:space="preserve"> </w:t>
      </w:r>
      <w:r w:rsidR="008F3A7A" w:rsidRPr="00D96F9F">
        <w:rPr>
          <w:sz w:val="20"/>
          <w:szCs w:val="20"/>
        </w:rPr>
        <w:t xml:space="preserve">they described </w:t>
      </w:r>
      <w:proofErr w:type="spellStart"/>
      <w:r w:rsidR="008F3A7A" w:rsidRPr="00D96F9F">
        <w:rPr>
          <w:sz w:val="20"/>
          <w:szCs w:val="20"/>
        </w:rPr>
        <w:t>hypocalcemia</w:t>
      </w:r>
      <w:proofErr w:type="spellEnd"/>
      <w:r w:rsidR="008F3A7A" w:rsidRPr="00D96F9F">
        <w:rPr>
          <w:sz w:val="20"/>
          <w:szCs w:val="20"/>
        </w:rPr>
        <w:t xml:space="preserve"> in asphyxiated infants with more severe degrees of asphyxia. Also, </w:t>
      </w:r>
      <w:proofErr w:type="spellStart"/>
      <w:r w:rsidR="008F3A7A" w:rsidRPr="00D96F9F">
        <w:rPr>
          <w:b/>
          <w:bCs/>
          <w:i/>
          <w:iCs/>
          <w:sz w:val="20"/>
          <w:szCs w:val="20"/>
        </w:rPr>
        <w:t>Yoneda</w:t>
      </w:r>
      <w:proofErr w:type="spellEnd"/>
      <w:r w:rsidR="008F3A7A" w:rsidRPr="00D96F9F">
        <w:rPr>
          <w:b/>
          <w:bCs/>
          <w:i/>
          <w:iCs/>
          <w:sz w:val="20"/>
          <w:szCs w:val="20"/>
        </w:rPr>
        <w:t xml:space="preserve"> et al. (2004) </w:t>
      </w:r>
      <w:r w:rsidR="008F3A7A" w:rsidRPr="00D96F9F">
        <w:rPr>
          <w:sz w:val="20"/>
          <w:szCs w:val="20"/>
        </w:rPr>
        <w:t xml:space="preserve">showed that adjusted (Ca+2) shortly after birth was significantly lower in infants with HIE and that decrease in serum ionized Ca might be the result of hypoxic-ischemic reperfusion injury in the whole body. On the other hand, </w:t>
      </w:r>
      <w:proofErr w:type="spellStart"/>
      <w:r w:rsidR="008F3A7A" w:rsidRPr="00D96F9F">
        <w:rPr>
          <w:b/>
          <w:bCs/>
          <w:i/>
          <w:iCs/>
          <w:sz w:val="20"/>
          <w:szCs w:val="20"/>
        </w:rPr>
        <w:t>Jajoo</w:t>
      </w:r>
      <w:proofErr w:type="spellEnd"/>
      <w:r w:rsidR="008F3A7A" w:rsidRPr="00D96F9F">
        <w:rPr>
          <w:b/>
          <w:bCs/>
          <w:i/>
          <w:iCs/>
          <w:sz w:val="20"/>
          <w:szCs w:val="20"/>
        </w:rPr>
        <w:t xml:space="preserve"> et al. (1995) and </w:t>
      </w:r>
      <w:proofErr w:type="spellStart"/>
      <w:r w:rsidR="008F3A7A" w:rsidRPr="00D96F9F">
        <w:rPr>
          <w:b/>
          <w:bCs/>
          <w:i/>
          <w:iCs/>
          <w:sz w:val="20"/>
          <w:szCs w:val="20"/>
        </w:rPr>
        <w:t>Ilves</w:t>
      </w:r>
      <w:proofErr w:type="spellEnd"/>
      <w:r w:rsidR="008F3A7A" w:rsidRPr="00D96F9F">
        <w:rPr>
          <w:b/>
          <w:bCs/>
          <w:i/>
          <w:iCs/>
          <w:sz w:val="20"/>
          <w:szCs w:val="20"/>
        </w:rPr>
        <w:t xml:space="preserve"> et al., (2000) </w:t>
      </w:r>
      <w:r w:rsidR="008F3A7A" w:rsidRPr="00D96F9F">
        <w:rPr>
          <w:sz w:val="20"/>
          <w:szCs w:val="20"/>
        </w:rPr>
        <w:t>found that good portion of asphyxiated infants had initially normal (Ca+2) level in cord blood sample at birth however decreased (Ca+2) level</w:t>
      </w:r>
      <w:r w:rsidR="00EB7ED6">
        <w:rPr>
          <w:sz w:val="20"/>
          <w:szCs w:val="20"/>
        </w:rPr>
        <w:t xml:space="preserve"> </w:t>
      </w:r>
      <w:r w:rsidR="008F3A7A" w:rsidRPr="00D96F9F">
        <w:rPr>
          <w:sz w:val="20"/>
          <w:szCs w:val="20"/>
        </w:rPr>
        <w:t>occurs on the second day of life. The difference in the above results shown by both authors and our results can be explained by the fact that we did not obtain our samples from cord blood but from serum samples in the first two days of life.</w:t>
      </w:r>
    </w:p>
    <w:p w:rsidR="00597825" w:rsidRPr="00D96F9F" w:rsidRDefault="00597825" w:rsidP="00EB7ED6">
      <w:pPr>
        <w:pStyle w:val="NoSpacing"/>
        <w:adjustRightInd w:val="0"/>
        <w:snapToGrid w:val="0"/>
        <w:ind w:firstLine="425"/>
        <w:jc w:val="both"/>
        <w:rPr>
          <w:sz w:val="20"/>
          <w:szCs w:val="20"/>
        </w:rPr>
      </w:pPr>
      <w:r w:rsidRPr="00D96F9F">
        <w:rPr>
          <w:sz w:val="20"/>
          <w:szCs w:val="20"/>
        </w:rPr>
        <w:t>In o</w:t>
      </w:r>
      <w:r w:rsidR="00B44C30" w:rsidRPr="00D96F9F">
        <w:rPr>
          <w:sz w:val="20"/>
          <w:szCs w:val="20"/>
        </w:rPr>
        <w:t xml:space="preserve">ur study </w:t>
      </w:r>
      <w:r w:rsidRPr="00D96F9F">
        <w:rPr>
          <w:sz w:val="20"/>
          <w:szCs w:val="20"/>
        </w:rPr>
        <w:t>we found that neonates with HIE had significantly lower</w:t>
      </w:r>
      <w:r w:rsidR="00B30086" w:rsidRPr="00D96F9F">
        <w:rPr>
          <w:sz w:val="20"/>
          <w:szCs w:val="20"/>
        </w:rPr>
        <w:t xml:space="preserve"> </w:t>
      </w:r>
      <w:r w:rsidRPr="00D96F9F">
        <w:rPr>
          <w:sz w:val="20"/>
          <w:szCs w:val="20"/>
        </w:rPr>
        <w:t>mean total serum Mg</w:t>
      </w:r>
      <w:r w:rsidR="00682BD5" w:rsidRPr="00D96F9F">
        <w:rPr>
          <w:sz w:val="20"/>
          <w:szCs w:val="20"/>
        </w:rPr>
        <w:t>+2</w:t>
      </w:r>
      <w:r w:rsidRPr="00D96F9F">
        <w:rPr>
          <w:sz w:val="20"/>
          <w:szCs w:val="20"/>
        </w:rPr>
        <w:t xml:space="preserve"> level (1.36±0.42m/dl) as compared to mean</w:t>
      </w:r>
      <w:r w:rsidR="00B30086" w:rsidRPr="00D96F9F">
        <w:rPr>
          <w:sz w:val="20"/>
          <w:szCs w:val="20"/>
        </w:rPr>
        <w:t xml:space="preserve"> </w:t>
      </w:r>
      <w:r w:rsidRPr="00D96F9F">
        <w:rPr>
          <w:sz w:val="20"/>
          <w:szCs w:val="20"/>
        </w:rPr>
        <w:t>total serum Mg</w:t>
      </w:r>
      <w:r w:rsidR="00682BD5" w:rsidRPr="00D96F9F">
        <w:rPr>
          <w:sz w:val="20"/>
          <w:szCs w:val="20"/>
        </w:rPr>
        <w:t>+2</w:t>
      </w:r>
      <w:r w:rsidRPr="00D96F9F">
        <w:rPr>
          <w:sz w:val="20"/>
          <w:szCs w:val="20"/>
        </w:rPr>
        <w:t xml:space="preserve"> level of control group (2.02±0.13mg/dl).</w:t>
      </w:r>
      <w:r w:rsidR="007C2E00" w:rsidRPr="00D96F9F">
        <w:rPr>
          <w:sz w:val="20"/>
          <w:szCs w:val="20"/>
        </w:rPr>
        <w:t xml:space="preserve"> </w:t>
      </w:r>
      <w:r w:rsidRPr="00D96F9F">
        <w:rPr>
          <w:sz w:val="20"/>
          <w:szCs w:val="20"/>
        </w:rPr>
        <w:t>The data about changes in total serum Mg</w:t>
      </w:r>
      <w:r w:rsidR="00682BD5" w:rsidRPr="00D96F9F">
        <w:rPr>
          <w:sz w:val="20"/>
          <w:szCs w:val="20"/>
        </w:rPr>
        <w:t>+2</w:t>
      </w:r>
      <w:r w:rsidRPr="00D96F9F">
        <w:rPr>
          <w:sz w:val="20"/>
          <w:szCs w:val="20"/>
        </w:rPr>
        <w:t xml:space="preserve"> </w:t>
      </w:r>
      <w:proofErr w:type="gramStart"/>
      <w:r w:rsidRPr="00D96F9F">
        <w:rPr>
          <w:sz w:val="20"/>
          <w:szCs w:val="20"/>
        </w:rPr>
        <w:t>level</w:t>
      </w:r>
      <w:proofErr w:type="gramEnd"/>
      <w:r w:rsidRPr="00D96F9F">
        <w:rPr>
          <w:sz w:val="20"/>
          <w:szCs w:val="20"/>
        </w:rPr>
        <w:t xml:space="preserve"> in asphyxiated</w:t>
      </w:r>
      <w:r w:rsidR="001C7087" w:rsidRPr="00D96F9F">
        <w:rPr>
          <w:sz w:val="20"/>
          <w:szCs w:val="20"/>
        </w:rPr>
        <w:t xml:space="preserve"> </w:t>
      </w:r>
      <w:r w:rsidRPr="00D96F9F">
        <w:rPr>
          <w:sz w:val="20"/>
          <w:szCs w:val="20"/>
        </w:rPr>
        <w:t xml:space="preserve">term babies described by different authors were controversial </w:t>
      </w:r>
      <w:r w:rsidRPr="00D96F9F">
        <w:rPr>
          <w:b/>
          <w:bCs/>
          <w:i/>
          <w:iCs/>
          <w:sz w:val="20"/>
          <w:szCs w:val="20"/>
        </w:rPr>
        <w:t>(</w:t>
      </w:r>
      <w:proofErr w:type="spellStart"/>
      <w:r w:rsidRPr="00D96F9F">
        <w:rPr>
          <w:b/>
          <w:bCs/>
          <w:i/>
          <w:iCs/>
          <w:sz w:val="20"/>
          <w:szCs w:val="20"/>
        </w:rPr>
        <w:t>Ilves</w:t>
      </w:r>
      <w:proofErr w:type="spellEnd"/>
      <w:r w:rsidR="001C7087" w:rsidRPr="00D96F9F">
        <w:rPr>
          <w:sz w:val="20"/>
          <w:szCs w:val="20"/>
        </w:rPr>
        <w:t xml:space="preserve"> </w:t>
      </w:r>
      <w:r w:rsidRPr="00D96F9F">
        <w:rPr>
          <w:b/>
          <w:bCs/>
          <w:i/>
          <w:iCs/>
          <w:sz w:val="20"/>
          <w:szCs w:val="20"/>
        </w:rPr>
        <w:t>et al., 2000)</w:t>
      </w:r>
      <w:r w:rsidRPr="00D96F9F">
        <w:rPr>
          <w:sz w:val="20"/>
          <w:szCs w:val="20"/>
        </w:rPr>
        <w:t>.</w:t>
      </w:r>
    </w:p>
    <w:p w:rsidR="00597825" w:rsidRPr="00D96F9F" w:rsidRDefault="00597825" w:rsidP="00EB7ED6">
      <w:pPr>
        <w:pStyle w:val="NoSpacing"/>
        <w:adjustRightInd w:val="0"/>
        <w:snapToGrid w:val="0"/>
        <w:ind w:firstLine="425"/>
        <w:jc w:val="both"/>
        <w:rPr>
          <w:sz w:val="20"/>
          <w:szCs w:val="20"/>
        </w:rPr>
      </w:pPr>
      <w:r w:rsidRPr="00D96F9F">
        <w:rPr>
          <w:sz w:val="20"/>
          <w:szCs w:val="20"/>
        </w:rPr>
        <w:t>Mean serum total magnesium was lower in mild, moderate and severe</w:t>
      </w:r>
      <w:r w:rsidR="001C7087" w:rsidRPr="00D96F9F">
        <w:rPr>
          <w:sz w:val="20"/>
          <w:szCs w:val="20"/>
        </w:rPr>
        <w:t xml:space="preserve"> </w:t>
      </w:r>
      <w:r w:rsidRPr="00D96F9F">
        <w:rPr>
          <w:sz w:val="20"/>
          <w:szCs w:val="20"/>
        </w:rPr>
        <w:t>cases than control group.</w:t>
      </w:r>
      <w:r w:rsidR="001C7087" w:rsidRPr="00D96F9F">
        <w:rPr>
          <w:sz w:val="20"/>
          <w:szCs w:val="20"/>
        </w:rPr>
        <w:t xml:space="preserve"> </w:t>
      </w:r>
      <w:r w:rsidRPr="00D96F9F">
        <w:rPr>
          <w:sz w:val="20"/>
          <w:szCs w:val="20"/>
        </w:rPr>
        <w:lastRenderedPageBreak/>
        <w:t>This comes with agreement to</w:t>
      </w:r>
      <w:r w:rsidRPr="00D96F9F">
        <w:rPr>
          <w:b/>
          <w:bCs/>
          <w:i/>
          <w:iCs/>
          <w:sz w:val="20"/>
          <w:szCs w:val="20"/>
        </w:rPr>
        <w:t xml:space="preserve"> </w:t>
      </w:r>
      <w:proofErr w:type="spellStart"/>
      <w:r w:rsidRPr="00D96F9F">
        <w:rPr>
          <w:b/>
          <w:bCs/>
          <w:i/>
          <w:iCs/>
          <w:sz w:val="20"/>
          <w:szCs w:val="20"/>
        </w:rPr>
        <w:t>Geven</w:t>
      </w:r>
      <w:proofErr w:type="spellEnd"/>
      <w:r w:rsidRPr="00D96F9F">
        <w:rPr>
          <w:b/>
          <w:bCs/>
          <w:i/>
          <w:iCs/>
          <w:sz w:val="20"/>
          <w:szCs w:val="20"/>
        </w:rPr>
        <w:t xml:space="preserve"> et al. (1993)</w:t>
      </w:r>
      <w:proofErr w:type="gramStart"/>
      <w:r w:rsidRPr="00D96F9F">
        <w:rPr>
          <w:b/>
          <w:bCs/>
          <w:i/>
          <w:iCs/>
          <w:sz w:val="20"/>
          <w:szCs w:val="20"/>
        </w:rPr>
        <w:t>,</w:t>
      </w:r>
      <w:proofErr w:type="gramEnd"/>
      <w:r w:rsidRPr="00D96F9F">
        <w:rPr>
          <w:b/>
          <w:bCs/>
          <w:i/>
          <w:iCs/>
          <w:sz w:val="20"/>
          <w:szCs w:val="20"/>
        </w:rPr>
        <w:t xml:space="preserve"> </w:t>
      </w:r>
      <w:proofErr w:type="spellStart"/>
      <w:r w:rsidR="00B44C30" w:rsidRPr="00D96F9F">
        <w:rPr>
          <w:b/>
          <w:bCs/>
          <w:i/>
          <w:iCs/>
          <w:sz w:val="20"/>
          <w:szCs w:val="20"/>
        </w:rPr>
        <w:t>Jajoo</w:t>
      </w:r>
      <w:proofErr w:type="spellEnd"/>
      <w:r w:rsidRPr="00D96F9F">
        <w:rPr>
          <w:b/>
          <w:bCs/>
          <w:i/>
          <w:iCs/>
          <w:sz w:val="20"/>
          <w:szCs w:val="20"/>
        </w:rPr>
        <w:t xml:space="preserve"> et al. (1995) </w:t>
      </w:r>
      <w:r w:rsidRPr="00D96F9F">
        <w:rPr>
          <w:sz w:val="20"/>
          <w:szCs w:val="20"/>
        </w:rPr>
        <w:t>described</w:t>
      </w:r>
      <w:r w:rsidR="001C7087" w:rsidRPr="00D96F9F">
        <w:rPr>
          <w:sz w:val="20"/>
          <w:szCs w:val="20"/>
        </w:rPr>
        <w:t xml:space="preserve"> </w:t>
      </w:r>
      <w:proofErr w:type="spellStart"/>
      <w:r w:rsidRPr="00D96F9F">
        <w:rPr>
          <w:sz w:val="20"/>
          <w:szCs w:val="20"/>
        </w:rPr>
        <w:t>hypomagnesemia</w:t>
      </w:r>
      <w:proofErr w:type="spellEnd"/>
      <w:r w:rsidRPr="00D96F9F">
        <w:rPr>
          <w:sz w:val="20"/>
          <w:szCs w:val="20"/>
        </w:rPr>
        <w:t xml:space="preserve"> after birth asphyxia.</w:t>
      </w:r>
      <w:r w:rsidR="00B30086" w:rsidRPr="00D96F9F">
        <w:rPr>
          <w:sz w:val="20"/>
          <w:szCs w:val="20"/>
        </w:rPr>
        <w:t xml:space="preserve"> </w:t>
      </w:r>
      <w:r w:rsidR="005C2D82" w:rsidRPr="00D96F9F">
        <w:rPr>
          <w:sz w:val="20"/>
          <w:szCs w:val="20"/>
        </w:rPr>
        <w:t xml:space="preserve">Our data about lower Mg+2 </w:t>
      </w:r>
      <w:r w:rsidRPr="00D96F9F">
        <w:rPr>
          <w:sz w:val="20"/>
          <w:szCs w:val="20"/>
        </w:rPr>
        <w:t>concentration in severe HIE infants</w:t>
      </w:r>
      <w:r w:rsidR="00B30086" w:rsidRPr="00D96F9F">
        <w:rPr>
          <w:sz w:val="20"/>
          <w:szCs w:val="20"/>
        </w:rPr>
        <w:t xml:space="preserve"> </w:t>
      </w:r>
      <w:r w:rsidRPr="00D96F9F">
        <w:rPr>
          <w:sz w:val="20"/>
          <w:szCs w:val="20"/>
        </w:rPr>
        <w:t xml:space="preserve">support the suggestion of a possible </w:t>
      </w:r>
      <w:proofErr w:type="spellStart"/>
      <w:r w:rsidRPr="00D96F9F">
        <w:rPr>
          <w:sz w:val="20"/>
          <w:szCs w:val="20"/>
        </w:rPr>
        <w:t>neuroprotective</w:t>
      </w:r>
      <w:proofErr w:type="spellEnd"/>
      <w:r w:rsidRPr="00D96F9F">
        <w:rPr>
          <w:sz w:val="20"/>
          <w:szCs w:val="20"/>
        </w:rPr>
        <w:t xml:space="preserve"> effect of Mg</w:t>
      </w:r>
      <w:r w:rsidR="00B30086" w:rsidRPr="00D96F9F">
        <w:rPr>
          <w:sz w:val="20"/>
          <w:szCs w:val="20"/>
        </w:rPr>
        <w:t xml:space="preserve"> </w:t>
      </w:r>
      <w:r w:rsidRPr="00D96F9F">
        <w:rPr>
          <w:sz w:val="20"/>
          <w:szCs w:val="20"/>
        </w:rPr>
        <w:t xml:space="preserve">SO4 in asphyxiated infants </w:t>
      </w:r>
      <w:r w:rsidRPr="00D96F9F">
        <w:rPr>
          <w:b/>
          <w:bCs/>
          <w:i/>
          <w:iCs/>
          <w:sz w:val="20"/>
          <w:szCs w:val="20"/>
        </w:rPr>
        <w:t>(</w:t>
      </w:r>
      <w:proofErr w:type="spellStart"/>
      <w:r w:rsidRPr="00D96F9F">
        <w:rPr>
          <w:b/>
          <w:bCs/>
          <w:i/>
          <w:iCs/>
          <w:sz w:val="20"/>
          <w:szCs w:val="20"/>
        </w:rPr>
        <w:t>Grether</w:t>
      </w:r>
      <w:proofErr w:type="spellEnd"/>
      <w:r w:rsidRPr="00D96F9F">
        <w:rPr>
          <w:b/>
          <w:bCs/>
          <w:i/>
          <w:iCs/>
          <w:sz w:val="20"/>
          <w:szCs w:val="20"/>
        </w:rPr>
        <w:t xml:space="preserve"> et al., 1998; </w:t>
      </w:r>
      <w:proofErr w:type="spellStart"/>
      <w:r w:rsidRPr="00D96F9F">
        <w:rPr>
          <w:b/>
          <w:bCs/>
          <w:i/>
          <w:iCs/>
          <w:sz w:val="20"/>
          <w:szCs w:val="20"/>
        </w:rPr>
        <w:t>Ilves</w:t>
      </w:r>
      <w:proofErr w:type="spellEnd"/>
      <w:r w:rsidRPr="00D96F9F">
        <w:rPr>
          <w:b/>
          <w:bCs/>
          <w:i/>
          <w:iCs/>
          <w:sz w:val="20"/>
          <w:szCs w:val="20"/>
        </w:rPr>
        <w:t xml:space="preserve"> et al., 2000;</w:t>
      </w:r>
      <w:r w:rsidR="00B30086" w:rsidRPr="00D96F9F">
        <w:rPr>
          <w:sz w:val="20"/>
          <w:szCs w:val="20"/>
        </w:rPr>
        <w:t xml:space="preserve"> </w:t>
      </w:r>
      <w:r w:rsidRPr="00D96F9F">
        <w:rPr>
          <w:b/>
          <w:bCs/>
          <w:i/>
          <w:iCs/>
          <w:sz w:val="20"/>
          <w:szCs w:val="20"/>
        </w:rPr>
        <w:t xml:space="preserve">Berger and </w:t>
      </w:r>
      <w:proofErr w:type="spellStart"/>
      <w:r w:rsidRPr="00D96F9F">
        <w:rPr>
          <w:b/>
          <w:bCs/>
          <w:i/>
          <w:iCs/>
          <w:sz w:val="20"/>
          <w:szCs w:val="20"/>
        </w:rPr>
        <w:t>Garnier</w:t>
      </w:r>
      <w:proofErr w:type="spellEnd"/>
      <w:r w:rsidRPr="00D96F9F">
        <w:rPr>
          <w:b/>
          <w:bCs/>
          <w:i/>
          <w:iCs/>
          <w:sz w:val="20"/>
          <w:szCs w:val="20"/>
        </w:rPr>
        <w:t>, 2001).</w:t>
      </w:r>
      <w:r w:rsidR="001C7087" w:rsidRPr="00D96F9F">
        <w:rPr>
          <w:sz w:val="20"/>
          <w:szCs w:val="20"/>
        </w:rPr>
        <w:t xml:space="preserve"> </w:t>
      </w:r>
      <w:r w:rsidRPr="00D96F9F">
        <w:rPr>
          <w:sz w:val="20"/>
          <w:szCs w:val="20"/>
        </w:rPr>
        <w:t>After asphyxia, alterations in int</w:t>
      </w:r>
      <w:r w:rsidR="009D46A0" w:rsidRPr="00D96F9F">
        <w:rPr>
          <w:sz w:val="20"/>
          <w:szCs w:val="20"/>
        </w:rPr>
        <w:t>r</w:t>
      </w:r>
      <w:r w:rsidRPr="00D96F9F">
        <w:rPr>
          <w:sz w:val="20"/>
          <w:szCs w:val="20"/>
        </w:rPr>
        <w:t>a-and-extracellular Mg</w:t>
      </w:r>
      <w:r w:rsidR="001C7087" w:rsidRPr="00D96F9F">
        <w:rPr>
          <w:sz w:val="20"/>
          <w:szCs w:val="20"/>
        </w:rPr>
        <w:t xml:space="preserve"> </w:t>
      </w:r>
      <w:r w:rsidRPr="00D96F9F">
        <w:rPr>
          <w:sz w:val="20"/>
          <w:szCs w:val="20"/>
        </w:rPr>
        <w:t>concentrations affecting cell function through its interaction</w:t>
      </w:r>
      <w:r w:rsidR="001C7087" w:rsidRPr="00D96F9F">
        <w:rPr>
          <w:sz w:val="20"/>
          <w:szCs w:val="20"/>
        </w:rPr>
        <w:t xml:space="preserve"> </w:t>
      </w:r>
      <w:r w:rsidRPr="00D96F9F">
        <w:rPr>
          <w:sz w:val="20"/>
          <w:szCs w:val="20"/>
        </w:rPr>
        <w:t xml:space="preserve">with Ca+2 by binding competitively to its same sites and by </w:t>
      </w:r>
      <w:proofErr w:type="spellStart"/>
      <w:r w:rsidRPr="00D96F9F">
        <w:rPr>
          <w:sz w:val="20"/>
          <w:szCs w:val="20"/>
        </w:rPr>
        <w:t>alteringits</w:t>
      </w:r>
      <w:proofErr w:type="spellEnd"/>
      <w:r w:rsidRPr="00D96F9F">
        <w:rPr>
          <w:sz w:val="20"/>
          <w:szCs w:val="20"/>
        </w:rPr>
        <w:t xml:space="preserve"> distribution due to changes in Ca +2 influx across cell membrane</w:t>
      </w:r>
      <w:r w:rsidR="001C7087" w:rsidRPr="00D96F9F">
        <w:rPr>
          <w:sz w:val="20"/>
          <w:szCs w:val="20"/>
        </w:rPr>
        <w:t xml:space="preserve"> </w:t>
      </w:r>
      <w:r w:rsidRPr="00D96F9F">
        <w:rPr>
          <w:b/>
          <w:bCs/>
          <w:i/>
          <w:iCs/>
          <w:sz w:val="20"/>
          <w:szCs w:val="20"/>
        </w:rPr>
        <w:t>(Levine and Coburn, 19</w:t>
      </w:r>
      <w:r w:rsidR="007C2E00" w:rsidRPr="00D96F9F">
        <w:rPr>
          <w:b/>
          <w:bCs/>
          <w:i/>
          <w:iCs/>
          <w:sz w:val="20"/>
          <w:szCs w:val="20"/>
        </w:rPr>
        <w:t>9</w:t>
      </w:r>
      <w:r w:rsidRPr="00D96F9F">
        <w:rPr>
          <w:b/>
          <w:bCs/>
          <w:i/>
          <w:iCs/>
          <w:sz w:val="20"/>
          <w:szCs w:val="20"/>
        </w:rPr>
        <w:t>4).</w:t>
      </w:r>
    </w:p>
    <w:p w:rsidR="00597825" w:rsidRPr="00D96F9F" w:rsidRDefault="00597825" w:rsidP="00EB7ED6">
      <w:pPr>
        <w:pStyle w:val="NoSpacing"/>
        <w:adjustRightInd w:val="0"/>
        <w:snapToGrid w:val="0"/>
        <w:ind w:firstLine="425"/>
        <w:jc w:val="both"/>
        <w:rPr>
          <w:sz w:val="20"/>
          <w:szCs w:val="20"/>
        </w:rPr>
      </w:pPr>
      <w:r w:rsidRPr="00D96F9F">
        <w:rPr>
          <w:sz w:val="20"/>
          <w:szCs w:val="20"/>
        </w:rPr>
        <w:t>The decreased concentration of total Mg</w:t>
      </w:r>
      <w:r w:rsidR="005C2D82" w:rsidRPr="00D96F9F">
        <w:rPr>
          <w:sz w:val="20"/>
          <w:szCs w:val="20"/>
        </w:rPr>
        <w:t>+2</w:t>
      </w:r>
      <w:r w:rsidRPr="00D96F9F">
        <w:rPr>
          <w:sz w:val="20"/>
          <w:szCs w:val="20"/>
        </w:rPr>
        <w:t xml:space="preserve"> may be involved in the</w:t>
      </w:r>
      <w:r w:rsidR="001C7087" w:rsidRPr="00D96F9F">
        <w:rPr>
          <w:sz w:val="20"/>
          <w:szCs w:val="20"/>
        </w:rPr>
        <w:t xml:space="preserve"> </w:t>
      </w:r>
      <w:r w:rsidRPr="00D96F9F">
        <w:rPr>
          <w:sz w:val="20"/>
          <w:szCs w:val="20"/>
        </w:rPr>
        <w:t>development of HIE, as Mg</w:t>
      </w:r>
      <w:r w:rsidR="005C2D82" w:rsidRPr="00D96F9F">
        <w:rPr>
          <w:sz w:val="20"/>
          <w:szCs w:val="20"/>
        </w:rPr>
        <w:t>+2</w:t>
      </w:r>
      <w:r w:rsidRPr="00D96F9F">
        <w:rPr>
          <w:sz w:val="20"/>
          <w:szCs w:val="20"/>
        </w:rPr>
        <w:t xml:space="preserve"> takes part in the biochemical cascade</w:t>
      </w:r>
      <w:r w:rsidR="001C7087" w:rsidRPr="00D96F9F">
        <w:rPr>
          <w:sz w:val="20"/>
          <w:szCs w:val="20"/>
        </w:rPr>
        <w:t xml:space="preserve"> </w:t>
      </w:r>
      <w:r w:rsidRPr="00D96F9F">
        <w:rPr>
          <w:sz w:val="20"/>
          <w:szCs w:val="20"/>
        </w:rPr>
        <w:t xml:space="preserve">after hypoxic-ischemic insult. Asphyxia can disturb the </w:t>
      </w:r>
      <w:proofErr w:type="spellStart"/>
      <w:r w:rsidRPr="00D96F9F">
        <w:rPr>
          <w:sz w:val="20"/>
          <w:szCs w:val="20"/>
        </w:rPr>
        <w:t>neurone's</w:t>
      </w:r>
      <w:proofErr w:type="spellEnd"/>
      <w:r w:rsidR="001C7087" w:rsidRPr="00D96F9F">
        <w:rPr>
          <w:sz w:val="20"/>
          <w:szCs w:val="20"/>
        </w:rPr>
        <w:t xml:space="preserve"> </w:t>
      </w:r>
      <w:r w:rsidRPr="00D96F9F">
        <w:rPr>
          <w:sz w:val="20"/>
          <w:szCs w:val="20"/>
        </w:rPr>
        <w:t xml:space="preserve">ability to maintain its membrane </w:t>
      </w:r>
      <w:proofErr w:type="spellStart"/>
      <w:r w:rsidRPr="00D96F9F">
        <w:rPr>
          <w:sz w:val="20"/>
          <w:szCs w:val="20"/>
        </w:rPr>
        <w:t>protential</w:t>
      </w:r>
      <w:proofErr w:type="spellEnd"/>
      <w:r w:rsidRPr="00D96F9F">
        <w:rPr>
          <w:sz w:val="20"/>
          <w:szCs w:val="20"/>
        </w:rPr>
        <w:t xml:space="preserve"> and reduce Mg+2</w:t>
      </w:r>
      <w:r w:rsidR="001C7087" w:rsidRPr="00D96F9F">
        <w:rPr>
          <w:sz w:val="20"/>
          <w:szCs w:val="20"/>
        </w:rPr>
        <w:t xml:space="preserve"> </w:t>
      </w:r>
      <w:r w:rsidRPr="00D96F9F">
        <w:rPr>
          <w:sz w:val="20"/>
          <w:szCs w:val="20"/>
        </w:rPr>
        <w:t>blockade of the NMDA receptor resulting in increased Ca+2 entry</w:t>
      </w:r>
      <w:r w:rsidR="001C7087" w:rsidRPr="00D96F9F">
        <w:rPr>
          <w:sz w:val="20"/>
          <w:szCs w:val="20"/>
        </w:rPr>
        <w:t xml:space="preserve"> </w:t>
      </w:r>
      <w:r w:rsidRPr="00D96F9F">
        <w:rPr>
          <w:sz w:val="20"/>
          <w:szCs w:val="20"/>
        </w:rPr>
        <w:t>which is the key mechanism in delayed death in asphyxiated infants</w:t>
      </w:r>
      <w:r w:rsidR="001C7087" w:rsidRPr="00D96F9F">
        <w:rPr>
          <w:sz w:val="20"/>
          <w:szCs w:val="20"/>
        </w:rPr>
        <w:t xml:space="preserve"> </w:t>
      </w:r>
      <w:r w:rsidRPr="00D96F9F">
        <w:rPr>
          <w:b/>
          <w:bCs/>
          <w:i/>
          <w:iCs/>
          <w:sz w:val="20"/>
          <w:szCs w:val="20"/>
        </w:rPr>
        <w:t>(</w:t>
      </w:r>
      <w:proofErr w:type="spellStart"/>
      <w:r w:rsidRPr="00D96F9F">
        <w:rPr>
          <w:b/>
          <w:bCs/>
          <w:i/>
          <w:iCs/>
          <w:sz w:val="20"/>
          <w:szCs w:val="20"/>
        </w:rPr>
        <w:t>Delivoria</w:t>
      </w:r>
      <w:proofErr w:type="spellEnd"/>
      <w:r w:rsidRPr="00D96F9F">
        <w:rPr>
          <w:b/>
          <w:bCs/>
          <w:i/>
          <w:iCs/>
          <w:sz w:val="20"/>
          <w:szCs w:val="20"/>
        </w:rPr>
        <w:t xml:space="preserve">-Papadopoulos and </w:t>
      </w:r>
      <w:proofErr w:type="spellStart"/>
      <w:r w:rsidRPr="00D96F9F">
        <w:rPr>
          <w:b/>
          <w:bCs/>
          <w:i/>
          <w:iCs/>
          <w:sz w:val="20"/>
          <w:szCs w:val="20"/>
        </w:rPr>
        <w:t>Mishra</w:t>
      </w:r>
      <w:proofErr w:type="spellEnd"/>
      <w:r w:rsidRPr="00D96F9F">
        <w:rPr>
          <w:b/>
          <w:bCs/>
          <w:i/>
          <w:iCs/>
          <w:sz w:val="20"/>
          <w:szCs w:val="20"/>
        </w:rPr>
        <w:t>, 1998</w:t>
      </w:r>
      <w:r w:rsidR="00304F5E" w:rsidRPr="00D96F9F">
        <w:rPr>
          <w:sz w:val="20"/>
          <w:szCs w:val="20"/>
        </w:rPr>
        <w:t>,</w:t>
      </w:r>
      <w:r w:rsidR="001C7087" w:rsidRPr="00D96F9F">
        <w:rPr>
          <w:sz w:val="20"/>
          <w:szCs w:val="20"/>
        </w:rPr>
        <w:t xml:space="preserve"> </w:t>
      </w:r>
      <w:r w:rsidR="005D10A4" w:rsidRPr="00D96F9F">
        <w:rPr>
          <w:b/>
          <w:bCs/>
          <w:i/>
          <w:iCs/>
          <w:sz w:val="20"/>
          <w:szCs w:val="20"/>
        </w:rPr>
        <w:t>Mehta et al. (1998).</w:t>
      </w:r>
    </w:p>
    <w:p w:rsidR="00597825" w:rsidRPr="00D96F9F" w:rsidRDefault="00597825" w:rsidP="00EB7ED6">
      <w:pPr>
        <w:pStyle w:val="NoSpacing"/>
        <w:adjustRightInd w:val="0"/>
        <w:snapToGrid w:val="0"/>
        <w:ind w:firstLine="425"/>
        <w:jc w:val="both"/>
        <w:rPr>
          <w:b/>
          <w:bCs/>
          <w:i/>
          <w:iCs/>
          <w:sz w:val="20"/>
          <w:szCs w:val="20"/>
        </w:rPr>
      </w:pPr>
      <w:proofErr w:type="gramStart"/>
      <w:r w:rsidRPr="00D96F9F">
        <w:rPr>
          <w:sz w:val="20"/>
          <w:szCs w:val="20"/>
        </w:rPr>
        <w:t xml:space="preserve">On the other hand, </w:t>
      </w:r>
      <w:r w:rsidRPr="00D96F9F">
        <w:rPr>
          <w:b/>
          <w:bCs/>
          <w:i/>
          <w:iCs/>
          <w:sz w:val="20"/>
          <w:szCs w:val="20"/>
        </w:rPr>
        <w:t xml:space="preserve">(Engel and </w:t>
      </w:r>
      <w:proofErr w:type="spellStart"/>
      <w:r w:rsidRPr="00D96F9F">
        <w:rPr>
          <w:b/>
          <w:bCs/>
          <w:i/>
          <w:iCs/>
          <w:sz w:val="20"/>
          <w:szCs w:val="20"/>
        </w:rPr>
        <w:t>Elin</w:t>
      </w:r>
      <w:proofErr w:type="spellEnd"/>
      <w:r w:rsidRPr="00D96F9F">
        <w:rPr>
          <w:b/>
          <w:bCs/>
          <w:i/>
          <w:iCs/>
          <w:sz w:val="20"/>
          <w:szCs w:val="20"/>
        </w:rPr>
        <w:t xml:space="preserve">, 1970; </w:t>
      </w:r>
      <w:r w:rsidR="008F3A7A" w:rsidRPr="00D96F9F">
        <w:rPr>
          <w:b/>
          <w:bCs/>
          <w:i/>
          <w:iCs/>
          <w:sz w:val="20"/>
          <w:szCs w:val="20"/>
        </w:rPr>
        <w:t xml:space="preserve">Bachman et al., 1976; </w:t>
      </w:r>
      <w:proofErr w:type="spellStart"/>
      <w:r w:rsidRPr="00D96F9F">
        <w:rPr>
          <w:b/>
          <w:bCs/>
          <w:i/>
          <w:iCs/>
          <w:sz w:val="20"/>
          <w:szCs w:val="20"/>
        </w:rPr>
        <w:t>Jukarinen</w:t>
      </w:r>
      <w:proofErr w:type="spellEnd"/>
      <w:r w:rsidRPr="00D96F9F">
        <w:rPr>
          <w:b/>
          <w:bCs/>
          <w:i/>
          <w:iCs/>
          <w:sz w:val="20"/>
          <w:szCs w:val="20"/>
        </w:rPr>
        <w:t>, 197</w:t>
      </w:r>
      <w:r w:rsidR="000F2D3C" w:rsidRPr="00D96F9F">
        <w:rPr>
          <w:b/>
          <w:bCs/>
          <w:i/>
          <w:iCs/>
          <w:sz w:val="20"/>
          <w:szCs w:val="20"/>
        </w:rPr>
        <w:t>9</w:t>
      </w:r>
      <w:r w:rsidR="001C7087" w:rsidRPr="00D96F9F">
        <w:rPr>
          <w:b/>
          <w:bCs/>
          <w:i/>
          <w:iCs/>
          <w:sz w:val="20"/>
          <w:szCs w:val="20"/>
        </w:rPr>
        <w:t xml:space="preserve"> </w:t>
      </w:r>
      <w:r w:rsidRPr="00D96F9F">
        <w:rPr>
          <w:b/>
          <w:bCs/>
          <w:i/>
          <w:iCs/>
          <w:sz w:val="20"/>
          <w:szCs w:val="20"/>
        </w:rPr>
        <w:t xml:space="preserve">and </w:t>
      </w:r>
      <w:proofErr w:type="spellStart"/>
      <w:r w:rsidRPr="00D96F9F">
        <w:rPr>
          <w:b/>
          <w:bCs/>
          <w:i/>
          <w:iCs/>
          <w:sz w:val="20"/>
          <w:szCs w:val="20"/>
        </w:rPr>
        <w:t>Ilves</w:t>
      </w:r>
      <w:proofErr w:type="spellEnd"/>
      <w:r w:rsidRPr="00D96F9F">
        <w:rPr>
          <w:b/>
          <w:bCs/>
          <w:i/>
          <w:iCs/>
          <w:sz w:val="20"/>
          <w:szCs w:val="20"/>
        </w:rPr>
        <w:t xml:space="preserve"> et al., 2000)</w:t>
      </w:r>
      <w:r w:rsidRPr="00D96F9F">
        <w:rPr>
          <w:sz w:val="20"/>
          <w:szCs w:val="20"/>
        </w:rPr>
        <w:t>.</w:t>
      </w:r>
      <w:proofErr w:type="gramEnd"/>
      <w:r w:rsidRPr="00D96F9F">
        <w:rPr>
          <w:sz w:val="20"/>
          <w:szCs w:val="20"/>
        </w:rPr>
        <w:t xml:space="preserve"> Described</w:t>
      </w:r>
      <w:r w:rsidR="001C7087" w:rsidRPr="00D96F9F">
        <w:rPr>
          <w:b/>
          <w:bCs/>
          <w:i/>
          <w:iCs/>
          <w:sz w:val="20"/>
          <w:szCs w:val="20"/>
        </w:rPr>
        <w:t xml:space="preserve"> </w:t>
      </w:r>
      <w:proofErr w:type="spellStart"/>
      <w:r w:rsidRPr="00D96F9F">
        <w:rPr>
          <w:sz w:val="20"/>
          <w:szCs w:val="20"/>
        </w:rPr>
        <w:t>hypermagnesemia</w:t>
      </w:r>
      <w:proofErr w:type="spellEnd"/>
      <w:r w:rsidRPr="00D96F9F">
        <w:rPr>
          <w:sz w:val="20"/>
          <w:szCs w:val="20"/>
        </w:rPr>
        <w:t xml:space="preserve"> after birth, the cause of such </w:t>
      </w:r>
      <w:proofErr w:type="spellStart"/>
      <w:r w:rsidRPr="00D96F9F">
        <w:rPr>
          <w:sz w:val="20"/>
          <w:szCs w:val="20"/>
        </w:rPr>
        <w:t>hypermagnesemia</w:t>
      </w:r>
      <w:proofErr w:type="spellEnd"/>
      <w:r w:rsidR="001C7087" w:rsidRPr="00D96F9F">
        <w:rPr>
          <w:b/>
          <w:bCs/>
          <w:i/>
          <w:iCs/>
          <w:sz w:val="20"/>
          <w:szCs w:val="20"/>
        </w:rPr>
        <w:t xml:space="preserve"> </w:t>
      </w:r>
      <w:r w:rsidRPr="00D96F9F">
        <w:rPr>
          <w:sz w:val="20"/>
          <w:szCs w:val="20"/>
        </w:rPr>
        <w:t>may be attributed to acidosis which depolarizes the cell membrane</w:t>
      </w:r>
      <w:r w:rsidR="001C7087" w:rsidRPr="00D96F9F">
        <w:rPr>
          <w:b/>
          <w:bCs/>
          <w:i/>
          <w:iCs/>
          <w:sz w:val="20"/>
          <w:szCs w:val="20"/>
        </w:rPr>
        <w:t xml:space="preserve"> </w:t>
      </w:r>
      <w:r w:rsidRPr="00D96F9F">
        <w:rPr>
          <w:sz w:val="20"/>
          <w:szCs w:val="20"/>
        </w:rPr>
        <w:t>leading to some loss of intracellular Mg</w:t>
      </w:r>
      <w:r w:rsidR="005D10A4" w:rsidRPr="00D96F9F">
        <w:rPr>
          <w:sz w:val="20"/>
          <w:szCs w:val="20"/>
        </w:rPr>
        <w:t>+2</w:t>
      </w:r>
      <w:r w:rsidRPr="00D96F9F">
        <w:rPr>
          <w:sz w:val="20"/>
          <w:szCs w:val="20"/>
        </w:rPr>
        <w:t>.</w:t>
      </w:r>
      <w:r w:rsidR="001C7087" w:rsidRPr="00D96F9F">
        <w:rPr>
          <w:b/>
          <w:bCs/>
          <w:i/>
          <w:iCs/>
          <w:sz w:val="20"/>
          <w:szCs w:val="20"/>
        </w:rPr>
        <w:t xml:space="preserve"> </w:t>
      </w:r>
      <w:r w:rsidRPr="00D96F9F">
        <w:rPr>
          <w:b/>
          <w:bCs/>
          <w:i/>
          <w:iCs/>
          <w:sz w:val="20"/>
          <w:szCs w:val="20"/>
        </w:rPr>
        <w:t>(</w:t>
      </w:r>
      <w:proofErr w:type="spellStart"/>
      <w:r w:rsidRPr="00D96F9F">
        <w:rPr>
          <w:b/>
          <w:bCs/>
          <w:i/>
          <w:iCs/>
          <w:sz w:val="20"/>
          <w:szCs w:val="20"/>
        </w:rPr>
        <w:t>Cadell</w:t>
      </w:r>
      <w:proofErr w:type="spellEnd"/>
      <w:r w:rsidRPr="00D96F9F">
        <w:rPr>
          <w:b/>
          <w:bCs/>
          <w:i/>
          <w:iCs/>
          <w:sz w:val="20"/>
          <w:szCs w:val="20"/>
        </w:rPr>
        <w:t xml:space="preserve"> and Reed, 1989) </w:t>
      </w:r>
      <w:r w:rsidRPr="00D96F9F">
        <w:rPr>
          <w:sz w:val="20"/>
          <w:szCs w:val="20"/>
        </w:rPr>
        <w:t>suggested that total Mg</w:t>
      </w:r>
      <w:r w:rsidR="005D10A4" w:rsidRPr="00D96F9F">
        <w:rPr>
          <w:sz w:val="20"/>
          <w:szCs w:val="20"/>
        </w:rPr>
        <w:t>+</w:t>
      </w:r>
      <w:r w:rsidRPr="00D96F9F">
        <w:rPr>
          <w:sz w:val="20"/>
          <w:szCs w:val="20"/>
        </w:rPr>
        <w:t xml:space="preserve"> determination</w:t>
      </w:r>
      <w:r w:rsidR="001C7087" w:rsidRPr="00D96F9F">
        <w:rPr>
          <w:b/>
          <w:bCs/>
          <w:i/>
          <w:iCs/>
          <w:sz w:val="20"/>
          <w:szCs w:val="20"/>
        </w:rPr>
        <w:t xml:space="preserve"> </w:t>
      </w:r>
      <w:r w:rsidRPr="00D96F9F">
        <w:rPr>
          <w:sz w:val="20"/>
          <w:szCs w:val="20"/>
        </w:rPr>
        <w:t>during acidosis may give a falsely elevated value and may mask a</w:t>
      </w:r>
      <w:r w:rsidR="001C7087" w:rsidRPr="00D96F9F">
        <w:rPr>
          <w:b/>
          <w:bCs/>
          <w:i/>
          <w:iCs/>
          <w:sz w:val="20"/>
          <w:szCs w:val="20"/>
        </w:rPr>
        <w:t xml:space="preserve"> </w:t>
      </w:r>
      <w:r w:rsidRPr="00D96F9F">
        <w:rPr>
          <w:sz w:val="20"/>
          <w:szCs w:val="20"/>
        </w:rPr>
        <w:t>true total Mg deficiency which can be diagnosed only after</w:t>
      </w:r>
      <w:r w:rsidR="001C7087" w:rsidRPr="00D96F9F">
        <w:rPr>
          <w:b/>
          <w:bCs/>
          <w:i/>
          <w:iCs/>
          <w:sz w:val="20"/>
          <w:szCs w:val="20"/>
        </w:rPr>
        <w:t xml:space="preserve"> </w:t>
      </w:r>
      <w:r w:rsidRPr="00D96F9F">
        <w:rPr>
          <w:sz w:val="20"/>
          <w:szCs w:val="20"/>
        </w:rPr>
        <w:t>homeostasis is reestablished.</w:t>
      </w:r>
      <w:r w:rsidR="001C7087" w:rsidRPr="00D96F9F">
        <w:rPr>
          <w:b/>
          <w:bCs/>
          <w:i/>
          <w:iCs/>
          <w:sz w:val="20"/>
          <w:szCs w:val="20"/>
        </w:rPr>
        <w:t xml:space="preserve"> </w:t>
      </w:r>
      <w:proofErr w:type="spellStart"/>
      <w:r w:rsidRPr="00D96F9F">
        <w:rPr>
          <w:sz w:val="20"/>
          <w:szCs w:val="20"/>
        </w:rPr>
        <w:t>Hypermagnesemia</w:t>
      </w:r>
      <w:proofErr w:type="spellEnd"/>
      <w:r w:rsidRPr="00D96F9F">
        <w:rPr>
          <w:sz w:val="20"/>
          <w:szCs w:val="20"/>
        </w:rPr>
        <w:t xml:space="preserve"> may be a type of protective mechanism, through</w:t>
      </w:r>
      <w:r w:rsidR="001C7087" w:rsidRPr="00D96F9F">
        <w:rPr>
          <w:b/>
          <w:bCs/>
          <w:i/>
          <w:iCs/>
          <w:sz w:val="20"/>
          <w:szCs w:val="20"/>
        </w:rPr>
        <w:t xml:space="preserve"> </w:t>
      </w:r>
      <w:r w:rsidRPr="00D96F9F">
        <w:rPr>
          <w:sz w:val="20"/>
          <w:szCs w:val="20"/>
        </w:rPr>
        <w:t>which the body try to increase extracellular Mg</w:t>
      </w:r>
      <w:r w:rsidR="005D10A4" w:rsidRPr="00D96F9F">
        <w:rPr>
          <w:sz w:val="20"/>
          <w:szCs w:val="20"/>
        </w:rPr>
        <w:t>+2</w:t>
      </w:r>
      <w:r w:rsidRPr="00D96F9F">
        <w:rPr>
          <w:sz w:val="20"/>
          <w:szCs w:val="20"/>
        </w:rPr>
        <w:t xml:space="preserve"> which blocks</w:t>
      </w:r>
      <w:r w:rsidR="00C40F27" w:rsidRPr="00D96F9F">
        <w:rPr>
          <w:sz w:val="20"/>
          <w:szCs w:val="20"/>
        </w:rPr>
        <w:t xml:space="preserve"> </w:t>
      </w:r>
      <w:r w:rsidRPr="00D96F9F">
        <w:rPr>
          <w:sz w:val="20"/>
          <w:szCs w:val="20"/>
        </w:rPr>
        <w:t>NMDA receptors preventing Ca+2 entry to brain cells and thus</w:t>
      </w:r>
      <w:r w:rsidR="001C7087" w:rsidRPr="00D96F9F">
        <w:rPr>
          <w:b/>
          <w:bCs/>
          <w:i/>
          <w:iCs/>
          <w:sz w:val="20"/>
          <w:szCs w:val="20"/>
        </w:rPr>
        <w:t xml:space="preserve"> </w:t>
      </w:r>
      <w:r w:rsidRPr="00D96F9F">
        <w:rPr>
          <w:sz w:val="20"/>
          <w:szCs w:val="20"/>
        </w:rPr>
        <w:t xml:space="preserve">preventing its injury </w:t>
      </w:r>
      <w:r w:rsidRPr="00D96F9F">
        <w:rPr>
          <w:b/>
          <w:bCs/>
          <w:i/>
          <w:iCs/>
          <w:sz w:val="20"/>
          <w:szCs w:val="20"/>
        </w:rPr>
        <w:t>(Hoffman et al., 1994).</w:t>
      </w:r>
    </w:p>
    <w:p w:rsidR="00597825" w:rsidRPr="00D96F9F" w:rsidRDefault="001952F5" w:rsidP="00EB7ED6">
      <w:pPr>
        <w:pStyle w:val="NoSpacing"/>
        <w:adjustRightInd w:val="0"/>
        <w:snapToGrid w:val="0"/>
        <w:ind w:firstLine="425"/>
        <w:jc w:val="both"/>
        <w:rPr>
          <w:sz w:val="20"/>
          <w:szCs w:val="20"/>
        </w:rPr>
      </w:pPr>
      <w:r w:rsidRPr="00D96F9F">
        <w:rPr>
          <w:sz w:val="20"/>
          <w:szCs w:val="20"/>
        </w:rPr>
        <w:t>From our study w</w:t>
      </w:r>
      <w:r w:rsidR="00597825" w:rsidRPr="00D96F9F">
        <w:rPr>
          <w:sz w:val="20"/>
          <w:szCs w:val="20"/>
        </w:rPr>
        <w:t>e found that neonates with HIE who showed unfavorable outcome</w:t>
      </w:r>
      <w:r w:rsidR="001C7087" w:rsidRPr="00D96F9F">
        <w:rPr>
          <w:sz w:val="20"/>
          <w:szCs w:val="20"/>
        </w:rPr>
        <w:t xml:space="preserve"> </w:t>
      </w:r>
      <w:r w:rsidR="00597825" w:rsidRPr="00D96F9F">
        <w:rPr>
          <w:sz w:val="20"/>
          <w:szCs w:val="20"/>
        </w:rPr>
        <w:t>(neurological abnormality or death) had significantly lower serum</w:t>
      </w:r>
      <w:r w:rsidR="001C7087" w:rsidRPr="00D96F9F">
        <w:rPr>
          <w:sz w:val="20"/>
          <w:szCs w:val="20"/>
        </w:rPr>
        <w:t xml:space="preserve"> </w:t>
      </w:r>
      <w:r w:rsidR="00597825" w:rsidRPr="00D96F9F">
        <w:rPr>
          <w:sz w:val="20"/>
          <w:szCs w:val="20"/>
        </w:rPr>
        <w:t>ionized Ca</w:t>
      </w:r>
      <w:r w:rsidR="005D10A4" w:rsidRPr="00D96F9F">
        <w:rPr>
          <w:sz w:val="20"/>
          <w:szCs w:val="20"/>
        </w:rPr>
        <w:t>+2</w:t>
      </w:r>
      <w:r w:rsidR="00597825" w:rsidRPr="00D96F9F">
        <w:rPr>
          <w:sz w:val="20"/>
          <w:szCs w:val="20"/>
        </w:rPr>
        <w:t xml:space="preserve"> level compared to those with favorable outcome</w:t>
      </w:r>
      <w:r w:rsidR="001C7087" w:rsidRPr="00D96F9F">
        <w:rPr>
          <w:sz w:val="20"/>
          <w:szCs w:val="20"/>
        </w:rPr>
        <w:t xml:space="preserve"> </w:t>
      </w:r>
      <w:r w:rsidR="00597825" w:rsidRPr="00D96F9F">
        <w:rPr>
          <w:sz w:val="20"/>
          <w:szCs w:val="20"/>
        </w:rPr>
        <w:t>(clinically normal).</w:t>
      </w:r>
    </w:p>
    <w:p w:rsidR="00597825" w:rsidRPr="00D96F9F" w:rsidRDefault="00597825" w:rsidP="00EB7ED6">
      <w:pPr>
        <w:pStyle w:val="NoSpacing"/>
        <w:adjustRightInd w:val="0"/>
        <w:snapToGrid w:val="0"/>
        <w:ind w:firstLine="425"/>
        <w:jc w:val="both"/>
        <w:rPr>
          <w:sz w:val="20"/>
          <w:szCs w:val="20"/>
        </w:rPr>
      </w:pPr>
      <w:proofErr w:type="spellStart"/>
      <w:r w:rsidRPr="00D96F9F">
        <w:rPr>
          <w:b/>
          <w:bCs/>
          <w:i/>
          <w:iCs/>
          <w:sz w:val="20"/>
          <w:szCs w:val="20"/>
        </w:rPr>
        <w:lastRenderedPageBreak/>
        <w:t>Yoneda</w:t>
      </w:r>
      <w:proofErr w:type="spellEnd"/>
      <w:r w:rsidRPr="00D96F9F">
        <w:rPr>
          <w:b/>
          <w:bCs/>
          <w:i/>
          <w:iCs/>
          <w:sz w:val="20"/>
          <w:szCs w:val="20"/>
        </w:rPr>
        <w:t xml:space="preserve"> et al. (2004)</w:t>
      </w:r>
      <w:r w:rsidRPr="00D96F9F">
        <w:rPr>
          <w:sz w:val="20"/>
          <w:szCs w:val="20"/>
        </w:rPr>
        <w:t xml:space="preserve">, </w:t>
      </w:r>
      <w:r w:rsidR="00250C28" w:rsidRPr="00D96F9F">
        <w:rPr>
          <w:sz w:val="20"/>
          <w:szCs w:val="20"/>
        </w:rPr>
        <w:t xml:space="preserve">also </w:t>
      </w:r>
      <w:r w:rsidR="004D4AAF" w:rsidRPr="00D96F9F">
        <w:rPr>
          <w:sz w:val="20"/>
          <w:szCs w:val="20"/>
        </w:rPr>
        <w:t xml:space="preserve">found </w:t>
      </w:r>
      <w:r w:rsidRPr="00D96F9F">
        <w:rPr>
          <w:sz w:val="20"/>
          <w:szCs w:val="20"/>
        </w:rPr>
        <w:t>that a significant low serum ionized</w:t>
      </w:r>
      <w:r w:rsidR="001C7087" w:rsidRPr="00D96F9F">
        <w:rPr>
          <w:sz w:val="20"/>
          <w:szCs w:val="20"/>
        </w:rPr>
        <w:t xml:space="preserve"> </w:t>
      </w:r>
      <w:r w:rsidRPr="00D96F9F">
        <w:rPr>
          <w:sz w:val="20"/>
          <w:szCs w:val="20"/>
        </w:rPr>
        <w:t>calcium level occurs in infants with HIE who had abnormal outcome</w:t>
      </w:r>
      <w:r w:rsidR="001C7087" w:rsidRPr="00D96F9F">
        <w:rPr>
          <w:sz w:val="20"/>
          <w:szCs w:val="20"/>
        </w:rPr>
        <w:t xml:space="preserve"> </w:t>
      </w:r>
      <w:r w:rsidRPr="00D96F9F">
        <w:rPr>
          <w:sz w:val="20"/>
          <w:szCs w:val="20"/>
        </w:rPr>
        <w:t xml:space="preserve">(death or </w:t>
      </w:r>
      <w:r w:rsidR="00D63C97" w:rsidRPr="00D96F9F">
        <w:rPr>
          <w:sz w:val="20"/>
          <w:szCs w:val="20"/>
        </w:rPr>
        <w:t>cerebral palsy</w:t>
      </w:r>
      <w:r w:rsidRPr="00D96F9F">
        <w:rPr>
          <w:sz w:val="20"/>
          <w:szCs w:val="20"/>
        </w:rPr>
        <w:t xml:space="preserve"> development) compared to those with normal outcome</w:t>
      </w:r>
      <w:r w:rsidR="001C7087" w:rsidRPr="00D96F9F">
        <w:rPr>
          <w:sz w:val="20"/>
          <w:szCs w:val="20"/>
        </w:rPr>
        <w:t xml:space="preserve"> </w:t>
      </w:r>
      <w:r w:rsidRPr="00D96F9F">
        <w:rPr>
          <w:sz w:val="20"/>
          <w:szCs w:val="20"/>
        </w:rPr>
        <w:t>(full neurological recovery), suggesting greater intracellular shift of</w:t>
      </w:r>
      <w:r w:rsidR="001C7087" w:rsidRPr="00D96F9F">
        <w:rPr>
          <w:sz w:val="20"/>
          <w:szCs w:val="20"/>
        </w:rPr>
        <w:t xml:space="preserve"> </w:t>
      </w:r>
      <w:r w:rsidRPr="00D96F9F">
        <w:rPr>
          <w:sz w:val="20"/>
          <w:szCs w:val="20"/>
        </w:rPr>
        <w:t>Ca+2 into multiple organs, particularly the brain.</w:t>
      </w:r>
      <w:r w:rsidR="001C7087" w:rsidRPr="00D96F9F">
        <w:rPr>
          <w:sz w:val="20"/>
          <w:szCs w:val="20"/>
        </w:rPr>
        <w:t xml:space="preserve"> </w:t>
      </w:r>
      <w:r w:rsidRPr="00D96F9F">
        <w:rPr>
          <w:sz w:val="20"/>
          <w:szCs w:val="20"/>
        </w:rPr>
        <w:t>Different results suggest that serum ionized calcium may be useful</w:t>
      </w:r>
      <w:r w:rsidR="001C7087" w:rsidRPr="00D96F9F">
        <w:rPr>
          <w:sz w:val="20"/>
          <w:szCs w:val="20"/>
        </w:rPr>
        <w:t xml:space="preserve"> </w:t>
      </w:r>
      <w:r w:rsidRPr="00D96F9F">
        <w:rPr>
          <w:sz w:val="20"/>
          <w:szCs w:val="20"/>
        </w:rPr>
        <w:t xml:space="preserve">for predicting the outcome of infants with HIE </w:t>
      </w:r>
      <w:r w:rsidRPr="00D96F9F">
        <w:rPr>
          <w:b/>
          <w:bCs/>
          <w:i/>
          <w:iCs/>
          <w:sz w:val="20"/>
          <w:szCs w:val="20"/>
        </w:rPr>
        <w:t>(</w:t>
      </w:r>
      <w:proofErr w:type="spellStart"/>
      <w:r w:rsidRPr="00D96F9F">
        <w:rPr>
          <w:b/>
          <w:bCs/>
          <w:i/>
          <w:iCs/>
          <w:sz w:val="20"/>
          <w:szCs w:val="20"/>
        </w:rPr>
        <w:t>I</w:t>
      </w:r>
      <w:r w:rsidR="00360BC9" w:rsidRPr="00D96F9F">
        <w:rPr>
          <w:b/>
          <w:bCs/>
          <w:i/>
          <w:iCs/>
          <w:sz w:val="20"/>
          <w:szCs w:val="20"/>
        </w:rPr>
        <w:t>l</w:t>
      </w:r>
      <w:r w:rsidRPr="00D96F9F">
        <w:rPr>
          <w:b/>
          <w:bCs/>
          <w:i/>
          <w:iCs/>
          <w:sz w:val="20"/>
          <w:szCs w:val="20"/>
        </w:rPr>
        <w:t>ves</w:t>
      </w:r>
      <w:proofErr w:type="spellEnd"/>
      <w:r w:rsidRPr="00D96F9F">
        <w:rPr>
          <w:b/>
          <w:bCs/>
          <w:i/>
          <w:iCs/>
          <w:sz w:val="20"/>
          <w:szCs w:val="20"/>
        </w:rPr>
        <w:t xml:space="preserve"> et al., 2000)</w:t>
      </w:r>
      <w:r w:rsidRPr="00D96F9F">
        <w:rPr>
          <w:sz w:val="20"/>
          <w:szCs w:val="20"/>
        </w:rPr>
        <w:t>.</w:t>
      </w:r>
    </w:p>
    <w:p w:rsidR="00597825" w:rsidRPr="00D96F9F" w:rsidRDefault="00597825" w:rsidP="00EB7ED6">
      <w:pPr>
        <w:pStyle w:val="NoSpacing"/>
        <w:adjustRightInd w:val="0"/>
        <w:snapToGrid w:val="0"/>
        <w:ind w:firstLine="425"/>
        <w:jc w:val="both"/>
        <w:rPr>
          <w:sz w:val="20"/>
          <w:szCs w:val="20"/>
        </w:rPr>
      </w:pPr>
      <w:r w:rsidRPr="00D96F9F">
        <w:rPr>
          <w:sz w:val="20"/>
          <w:szCs w:val="20"/>
        </w:rPr>
        <w:t>Also we found in our results that neonates with HIE who showed</w:t>
      </w:r>
      <w:r w:rsidR="001C7087" w:rsidRPr="00D96F9F">
        <w:rPr>
          <w:sz w:val="20"/>
          <w:szCs w:val="20"/>
        </w:rPr>
        <w:t xml:space="preserve"> </w:t>
      </w:r>
      <w:r w:rsidRPr="00D96F9F">
        <w:rPr>
          <w:sz w:val="20"/>
          <w:szCs w:val="20"/>
        </w:rPr>
        <w:t>unfavorable outcome (neurological abnormality or death) had</w:t>
      </w:r>
      <w:r w:rsidR="001C7087" w:rsidRPr="00D96F9F">
        <w:rPr>
          <w:sz w:val="20"/>
          <w:szCs w:val="20"/>
        </w:rPr>
        <w:t xml:space="preserve"> </w:t>
      </w:r>
      <w:r w:rsidRPr="00D96F9F">
        <w:rPr>
          <w:sz w:val="20"/>
          <w:szCs w:val="20"/>
        </w:rPr>
        <w:t>significantly lower total serum Mg level compared to those with</w:t>
      </w:r>
      <w:r w:rsidR="001C7087" w:rsidRPr="00D96F9F">
        <w:rPr>
          <w:sz w:val="20"/>
          <w:szCs w:val="20"/>
        </w:rPr>
        <w:t xml:space="preserve"> </w:t>
      </w:r>
      <w:r w:rsidRPr="00D96F9F">
        <w:rPr>
          <w:sz w:val="20"/>
          <w:szCs w:val="20"/>
        </w:rPr>
        <w:t>favorable outcome (namely, clinically normal).</w:t>
      </w:r>
    </w:p>
    <w:p w:rsidR="00037B7D" w:rsidRPr="00D96F9F" w:rsidRDefault="00360BC9" w:rsidP="00EB7ED6">
      <w:pPr>
        <w:pStyle w:val="NoSpacing"/>
        <w:adjustRightInd w:val="0"/>
        <w:snapToGrid w:val="0"/>
        <w:ind w:firstLine="425"/>
        <w:jc w:val="both"/>
        <w:rPr>
          <w:sz w:val="20"/>
          <w:szCs w:val="20"/>
        </w:rPr>
      </w:pPr>
      <w:proofErr w:type="spellStart"/>
      <w:r w:rsidRPr="00D96F9F">
        <w:rPr>
          <w:b/>
          <w:bCs/>
          <w:sz w:val="20"/>
          <w:szCs w:val="20"/>
        </w:rPr>
        <w:t>Jajoo</w:t>
      </w:r>
      <w:proofErr w:type="spellEnd"/>
      <w:r w:rsidR="00597825" w:rsidRPr="00D96F9F">
        <w:rPr>
          <w:b/>
          <w:bCs/>
          <w:i/>
          <w:iCs/>
          <w:sz w:val="20"/>
          <w:szCs w:val="20"/>
        </w:rPr>
        <w:t xml:space="preserve"> et al. (1995) </w:t>
      </w:r>
      <w:r w:rsidR="00597825" w:rsidRPr="00D96F9F">
        <w:rPr>
          <w:sz w:val="20"/>
          <w:szCs w:val="20"/>
        </w:rPr>
        <w:t xml:space="preserve">also found that </w:t>
      </w:r>
      <w:proofErr w:type="spellStart"/>
      <w:r w:rsidR="00597825" w:rsidRPr="00D96F9F">
        <w:rPr>
          <w:sz w:val="20"/>
          <w:szCs w:val="20"/>
        </w:rPr>
        <w:t>hypomagnesemia</w:t>
      </w:r>
      <w:proofErr w:type="spellEnd"/>
      <w:r w:rsidR="00597825" w:rsidRPr="00D96F9F">
        <w:rPr>
          <w:sz w:val="20"/>
          <w:szCs w:val="20"/>
        </w:rPr>
        <w:t xml:space="preserve"> was a frequent</w:t>
      </w:r>
      <w:r w:rsidR="001C7087" w:rsidRPr="00D96F9F">
        <w:rPr>
          <w:sz w:val="20"/>
          <w:szCs w:val="20"/>
        </w:rPr>
        <w:t xml:space="preserve"> </w:t>
      </w:r>
      <w:r w:rsidR="00597825" w:rsidRPr="00D96F9F">
        <w:rPr>
          <w:sz w:val="20"/>
          <w:szCs w:val="20"/>
        </w:rPr>
        <w:t>finding in seizures resulting from asphyxia brain damage,</w:t>
      </w:r>
      <w:r w:rsidR="001C7087" w:rsidRPr="00D96F9F">
        <w:rPr>
          <w:sz w:val="20"/>
          <w:szCs w:val="20"/>
        </w:rPr>
        <w:t xml:space="preserve"> </w:t>
      </w:r>
      <w:r w:rsidR="00597825" w:rsidRPr="00D96F9F">
        <w:rPr>
          <w:sz w:val="20"/>
          <w:szCs w:val="20"/>
        </w:rPr>
        <w:t>highlighting the potential role of Mg as a predictor to the outcome</w:t>
      </w:r>
      <w:r w:rsidR="001C7087" w:rsidRPr="00D96F9F">
        <w:rPr>
          <w:sz w:val="20"/>
          <w:szCs w:val="20"/>
        </w:rPr>
        <w:t xml:space="preserve"> </w:t>
      </w:r>
      <w:r w:rsidR="00597825" w:rsidRPr="00D96F9F">
        <w:rPr>
          <w:sz w:val="20"/>
          <w:szCs w:val="20"/>
        </w:rPr>
        <w:t>of HIE.</w:t>
      </w:r>
      <w:r w:rsidR="001C7087" w:rsidRPr="00D96F9F">
        <w:rPr>
          <w:sz w:val="20"/>
          <w:szCs w:val="20"/>
        </w:rPr>
        <w:t xml:space="preserve"> </w:t>
      </w:r>
      <w:r w:rsidR="00597825" w:rsidRPr="00D96F9F">
        <w:rPr>
          <w:sz w:val="20"/>
          <w:szCs w:val="20"/>
        </w:rPr>
        <w:t xml:space="preserve">Also our results comes in agreement to </w:t>
      </w:r>
      <w:proofErr w:type="spellStart"/>
      <w:r w:rsidR="00597825" w:rsidRPr="00D96F9F">
        <w:rPr>
          <w:b/>
          <w:bCs/>
          <w:i/>
          <w:iCs/>
          <w:sz w:val="20"/>
          <w:szCs w:val="20"/>
        </w:rPr>
        <w:t>Ilves</w:t>
      </w:r>
      <w:proofErr w:type="spellEnd"/>
      <w:r w:rsidR="00597825" w:rsidRPr="00D96F9F">
        <w:rPr>
          <w:b/>
          <w:bCs/>
          <w:i/>
          <w:iCs/>
          <w:sz w:val="20"/>
          <w:szCs w:val="20"/>
        </w:rPr>
        <w:t xml:space="preserve"> et al. (2000) </w:t>
      </w:r>
      <w:r w:rsidR="00597825" w:rsidRPr="00D96F9F">
        <w:rPr>
          <w:sz w:val="20"/>
          <w:szCs w:val="20"/>
        </w:rPr>
        <w:t>who</w:t>
      </w:r>
      <w:r w:rsidR="001C7087" w:rsidRPr="00D96F9F">
        <w:rPr>
          <w:sz w:val="20"/>
          <w:szCs w:val="20"/>
        </w:rPr>
        <w:t xml:space="preserve"> </w:t>
      </w:r>
      <w:r w:rsidR="00597825" w:rsidRPr="00D96F9F">
        <w:rPr>
          <w:sz w:val="20"/>
          <w:szCs w:val="20"/>
        </w:rPr>
        <w:t xml:space="preserve">supported the link between </w:t>
      </w:r>
      <w:proofErr w:type="spellStart"/>
      <w:r w:rsidR="00597825" w:rsidRPr="00D96F9F">
        <w:rPr>
          <w:sz w:val="20"/>
          <w:szCs w:val="20"/>
        </w:rPr>
        <w:t>hypomagnesemia</w:t>
      </w:r>
      <w:proofErr w:type="spellEnd"/>
      <w:r w:rsidR="00597825" w:rsidRPr="00D96F9F">
        <w:rPr>
          <w:sz w:val="20"/>
          <w:szCs w:val="20"/>
        </w:rPr>
        <w:t xml:space="preserve"> and neuronal injury in</w:t>
      </w:r>
      <w:r w:rsidR="001C7087" w:rsidRPr="00D96F9F">
        <w:rPr>
          <w:sz w:val="20"/>
          <w:szCs w:val="20"/>
        </w:rPr>
        <w:t xml:space="preserve"> </w:t>
      </w:r>
      <w:r w:rsidR="00597825" w:rsidRPr="00D96F9F">
        <w:rPr>
          <w:sz w:val="20"/>
          <w:szCs w:val="20"/>
        </w:rPr>
        <w:t>severe HIE and hence poor outcome.</w:t>
      </w:r>
    </w:p>
    <w:p w:rsidR="00597825" w:rsidRPr="00D96F9F" w:rsidRDefault="00597825" w:rsidP="00EB7ED6">
      <w:pPr>
        <w:pStyle w:val="NoSpacing"/>
        <w:adjustRightInd w:val="0"/>
        <w:snapToGrid w:val="0"/>
        <w:ind w:firstLine="425"/>
        <w:jc w:val="both"/>
        <w:rPr>
          <w:sz w:val="20"/>
          <w:szCs w:val="20"/>
        </w:rPr>
      </w:pPr>
      <w:r w:rsidRPr="00D96F9F">
        <w:rPr>
          <w:sz w:val="20"/>
          <w:szCs w:val="20"/>
        </w:rPr>
        <w:t xml:space="preserve">In </w:t>
      </w:r>
      <w:r w:rsidR="00037B7D" w:rsidRPr="00D96F9F">
        <w:rPr>
          <w:sz w:val="20"/>
          <w:szCs w:val="20"/>
        </w:rPr>
        <w:t>conclusion</w:t>
      </w:r>
      <w:r w:rsidRPr="00D96F9F">
        <w:rPr>
          <w:sz w:val="20"/>
          <w:szCs w:val="20"/>
        </w:rPr>
        <w:t xml:space="preserve"> we </w:t>
      </w:r>
      <w:r w:rsidR="00037B7D" w:rsidRPr="00D96F9F">
        <w:rPr>
          <w:rFonts w:eastAsia="Calibri"/>
          <w:sz w:val="20"/>
          <w:szCs w:val="20"/>
        </w:rPr>
        <w:t>have determined that</w:t>
      </w:r>
      <w:r w:rsidRPr="00D96F9F">
        <w:rPr>
          <w:sz w:val="20"/>
          <w:szCs w:val="20"/>
        </w:rPr>
        <w:t xml:space="preserve"> </w:t>
      </w:r>
      <w:r w:rsidR="00037B7D" w:rsidRPr="00D96F9F">
        <w:rPr>
          <w:sz w:val="20"/>
          <w:szCs w:val="20"/>
        </w:rPr>
        <w:t xml:space="preserve">low </w:t>
      </w:r>
      <w:r w:rsidRPr="00D96F9F">
        <w:rPr>
          <w:sz w:val="20"/>
          <w:szCs w:val="20"/>
        </w:rPr>
        <w:t>serum</w:t>
      </w:r>
      <w:r w:rsidR="001C7087" w:rsidRPr="00D96F9F">
        <w:rPr>
          <w:sz w:val="20"/>
          <w:szCs w:val="20"/>
        </w:rPr>
        <w:t xml:space="preserve"> </w:t>
      </w:r>
      <w:r w:rsidR="005D10A4" w:rsidRPr="00D96F9F">
        <w:rPr>
          <w:sz w:val="20"/>
          <w:szCs w:val="20"/>
        </w:rPr>
        <w:t>ionized Ca+2 and total serum Mg+2</w:t>
      </w:r>
      <w:r w:rsidRPr="00D96F9F">
        <w:rPr>
          <w:sz w:val="20"/>
          <w:szCs w:val="20"/>
        </w:rPr>
        <w:t xml:space="preserve"> level</w:t>
      </w:r>
      <w:r w:rsidR="00A028F1" w:rsidRPr="00D96F9F">
        <w:rPr>
          <w:sz w:val="20"/>
          <w:szCs w:val="20"/>
        </w:rPr>
        <w:t>s</w:t>
      </w:r>
      <w:r w:rsidRPr="00D96F9F">
        <w:rPr>
          <w:sz w:val="20"/>
          <w:szCs w:val="20"/>
        </w:rPr>
        <w:t xml:space="preserve"> in neonates</w:t>
      </w:r>
      <w:r w:rsidR="001C7087" w:rsidRPr="00D96F9F">
        <w:rPr>
          <w:sz w:val="20"/>
          <w:szCs w:val="20"/>
        </w:rPr>
        <w:t xml:space="preserve"> </w:t>
      </w:r>
      <w:r w:rsidRPr="00D96F9F">
        <w:rPr>
          <w:sz w:val="20"/>
          <w:szCs w:val="20"/>
        </w:rPr>
        <w:t>with HIE.</w:t>
      </w:r>
      <w:r w:rsidR="001C7087" w:rsidRPr="00D96F9F">
        <w:rPr>
          <w:sz w:val="20"/>
          <w:szCs w:val="20"/>
        </w:rPr>
        <w:t xml:space="preserve"> </w:t>
      </w:r>
      <w:r w:rsidR="00DA7681" w:rsidRPr="00D96F9F">
        <w:rPr>
          <w:sz w:val="20"/>
          <w:szCs w:val="20"/>
        </w:rPr>
        <w:t>S</w:t>
      </w:r>
      <w:r w:rsidRPr="00D96F9F">
        <w:rPr>
          <w:sz w:val="20"/>
          <w:szCs w:val="20"/>
        </w:rPr>
        <w:t>ignificant correlation</w:t>
      </w:r>
      <w:r w:rsidR="00A028F1" w:rsidRPr="00D96F9F">
        <w:rPr>
          <w:sz w:val="20"/>
          <w:szCs w:val="20"/>
        </w:rPr>
        <w:t xml:space="preserve"> between </w:t>
      </w:r>
      <w:r w:rsidR="005D10A4" w:rsidRPr="00D96F9F">
        <w:rPr>
          <w:sz w:val="20"/>
          <w:szCs w:val="20"/>
        </w:rPr>
        <w:t xml:space="preserve">low </w:t>
      </w:r>
      <w:proofErr w:type="gramStart"/>
      <w:r w:rsidR="005D10A4" w:rsidRPr="00D96F9F">
        <w:rPr>
          <w:sz w:val="20"/>
          <w:szCs w:val="20"/>
        </w:rPr>
        <w:t>serum</w:t>
      </w:r>
      <w:proofErr w:type="gramEnd"/>
      <w:r w:rsidR="005D10A4" w:rsidRPr="00D96F9F">
        <w:rPr>
          <w:sz w:val="20"/>
          <w:szCs w:val="20"/>
        </w:rPr>
        <w:t xml:space="preserve"> ionized Ca+2 and total serum Mg+2</w:t>
      </w:r>
      <w:r w:rsidR="00A028F1" w:rsidRPr="00D96F9F">
        <w:rPr>
          <w:sz w:val="20"/>
          <w:szCs w:val="20"/>
        </w:rPr>
        <w:t xml:space="preserve"> levels</w:t>
      </w:r>
      <w:r w:rsidR="001C7087" w:rsidRPr="00D96F9F">
        <w:rPr>
          <w:sz w:val="20"/>
          <w:szCs w:val="20"/>
        </w:rPr>
        <w:t xml:space="preserve"> </w:t>
      </w:r>
      <w:r w:rsidRPr="00D96F9F">
        <w:rPr>
          <w:sz w:val="20"/>
          <w:szCs w:val="20"/>
        </w:rPr>
        <w:t>to HIE</w:t>
      </w:r>
      <w:r w:rsidR="00A028F1" w:rsidRPr="00D96F9F">
        <w:rPr>
          <w:sz w:val="20"/>
          <w:szCs w:val="20"/>
        </w:rPr>
        <w:t xml:space="preserve"> grade</w:t>
      </w:r>
      <w:r w:rsidRPr="00D96F9F">
        <w:rPr>
          <w:sz w:val="20"/>
          <w:szCs w:val="20"/>
        </w:rPr>
        <w:t xml:space="preserve"> and the disease outcome. Therefore, both serum ionized</w:t>
      </w:r>
      <w:r w:rsidR="001C7087" w:rsidRPr="00D96F9F">
        <w:rPr>
          <w:sz w:val="20"/>
          <w:szCs w:val="20"/>
        </w:rPr>
        <w:t xml:space="preserve"> </w:t>
      </w:r>
      <w:r w:rsidR="005D10A4" w:rsidRPr="00D96F9F">
        <w:rPr>
          <w:sz w:val="20"/>
          <w:szCs w:val="20"/>
        </w:rPr>
        <w:t>Ca+2 and total serum Mg+2</w:t>
      </w:r>
      <w:r w:rsidRPr="00D96F9F">
        <w:rPr>
          <w:sz w:val="20"/>
          <w:szCs w:val="20"/>
        </w:rPr>
        <w:t xml:space="preserve"> have combined diagnostic and</w:t>
      </w:r>
      <w:r w:rsidR="001C7087" w:rsidRPr="00D96F9F">
        <w:rPr>
          <w:sz w:val="20"/>
          <w:szCs w:val="20"/>
        </w:rPr>
        <w:t xml:space="preserve"> </w:t>
      </w:r>
      <w:r w:rsidRPr="00D96F9F">
        <w:rPr>
          <w:sz w:val="20"/>
          <w:szCs w:val="20"/>
        </w:rPr>
        <w:t>prognostic values in neonates with HIE.</w:t>
      </w:r>
    </w:p>
    <w:p w:rsidR="00B16BE1" w:rsidRPr="00D96F9F" w:rsidRDefault="00B16BE1" w:rsidP="00EB7ED6">
      <w:pPr>
        <w:autoSpaceDE w:val="0"/>
        <w:autoSpaceDN w:val="0"/>
        <w:adjustRightInd w:val="0"/>
        <w:snapToGrid w:val="0"/>
        <w:jc w:val="both"/>
        <w:rPr>
          <w:b/>
          <w:bCs/>
          <w:sz w:val="20"/>
          <w:szCs w:val="16"/>
        </w:rPr>
      </w:pPr>
    </w:p>
    <w:p w:rsidR="001B5976" w:rsidRPr="00D96F9F" w:rsidRDefault="00597825" w:rsidP="00EB7ED6">
      <w:pPr>
        <w:autoSpaceDE w:val="0"/>
        <w:autoSpaceDN w:val="0"/>
        <w:adjustRightInd w:val="0"/>
        <w:snapToGrid w:val="0"/>
        <w:jc w:val="both"/>
        <w:rPr>
          <w:rStyle w:val="Strong"/>
          <w:b w:val="0"/>
          <w:sz w:val="17"/>
          <w:szCs w:val="17"/>
        </w:rPr>
      </w:pPr>
      <w:r w:rsidRPr="00D96F9F">
        <w:rPr>
          <w:b/>
          <w:bCs/>
          <w:sz w:val="20"/>
          <w:szCs w:val="20"/>
        </w:rPr>
        <w:t>References</w:t>
      </w:r>
    </w:p>
    <w:p w:rsidR="001B5976" w:rsidRPr="00D96F9F" w:rsidRDefault="001B5976" w:rsidP="00EB7ED6">
      <w:pPr>
        <w:pStyle w:val="Heading2"/>
        <w:keepNext w:val="0"/>
        <w:numPr>
          <w:ilvl w:val="0"/>
          <w:numId w:val="29"/>
        </w:numPr>
        <w:adjustRightInd w:val="0"/>
        <w:snapToGrid w:val="0"/>
        <w:spacing w:before="0" w:after="0"/>
        <w:jc w:val="both"/>
        <w:rPr>
          <w:rStyle w:val="Strong"/>
          <w:rFonts w:ascii="Times New Roman" w:hAnsi="Times New Roman"/>
          <w:i w:val="0"/>
          <w:iCs w:val="0"/>
          <w:sz w:val="17"/>
          <w:szCs w:val="17"/>
        </w:rPr>
      </w:pPr>
      <w:r w:rsidRPr="00D96F9F">
        <w:rPr>
          <w:rFonts w:ascii="Times New Roman" w:hAnsi="Times New Roman"/>
          <w:b w:val="0"/>
          <w:i w:val="0"/>
          <w:iCs w:val="0"/>
          <w:sz w:val="17"/>
          <w:szCs w:val="17"/>
        </w:rPr>
        <w:t>American Academy of Pediatrics/American College of O</w:t>
      </w:r>
      <w:r w:rsidR="005D7BFC" w:rsidRPr="00D96F9F">
        <w:rPr>
          <w:rFonts w:ascii="Times New Roman" w:hAnsi="Times New Roman"/>
          <w:b w:val="0"/>
          <w:i w:val="0"/>
          <w:iCs w:val="0"/>
          <w:sz w:val="17"/>
          <w:szCs w:val="17"/>
        </w:rPr>
        <w:t>bstetricians and Gynecologists</w:t>
      </w:r>
      <w:r w:rsidRPr="00D96F9F">
        <w:rPr>
          <w:rFonts w:ascii="Times New Roman" w:hAnsi="Times New Roman"/>
          <w:b w:val="0"/>
          <w:bCs w:val="0"/>
          <w:i w:val="0"/>
          <w:iCs w:val="0"/>
          <w:sz w:val="17"/>
          <w:szCs w:val="17"/>
        </w:rPr>
        <w:t>:</w:t>
      </w:r>
      <w:r w:rsidR="00EB7ED6">
        <w:rPr>
          <w:rFonts w:ascii="Times New Roman" w:hAnsi="Times New Roman"/>
          <w:b w:val="0"/>
          <w:bCs w:val="0"/>
          <w:i w:val="0"/>
          <w:iCs w:val="0"/>
          <w:sz w:val="17"/>
          <w:szCs w:val="17"/>
        </w:rPr>
        <w:t xml:space="preserve"> </w:t>
      </w:r>
      <w:r w:rsidRPr="00D96F9F">
        <w:rPr>
          <w:rFonts w:ascii="Times New Roman" w:hAnsi="Times New Roman"/>
          <w:b w:val="0"/>
          <w:bCs w:val="0"/>
          <w:i w:val="0"/>
          <w:iCs w:val="0"/>
          <w:sz w:val="17"/>
          <w:szCs w:val="17"/>
        </w:rPr>
        <w:t xml:space="preserve">Relation between </w:t>
      </w:r>
      <w:proofErr w:type="spellStart"/>
      <w:r w:rsidRPr="00D96F9F">
        <w:rPr>
          <w:rFonts w:ascii="Times New Roman" w:hAnsi="Times New Roman"/>
          <w:b w:val="0"/>
          <w:bCs w:val="0"/>
          <w:i w:val="0"/>
          <w:iCs w:val="0"/>
          <w:sz w:val="17"/>
          <w:szCs w:val="17"/>
        </w:rPr>
        <w:t>perinatal</w:t>
      </w:r>
      <w:proofErr w:type="spellEnd"/>
      <w:r w:rsidRPr="00D96F9F">
        <w:rPr>
          <w:rFonts w:ascii="Times New Roman" w:hAnsi="Times New Roman"/>
          <w:b w:val="0"/>
          <w:bCs w:val="0"/>
          <w:i w:val="0"/>
          <w:iCs w:val="0"/>
          <w:sz w:val="17"/>
          <w:szCs w:val="17"/>
        </w:rPr>
        <w:t xml:space="preserve"> factors and neurological outcome. In</w:t>
      </w:r>
      <w:r w:rsidR="00EB7ED6">
        <w:rPr>
          <w:rFonts w:ascii="Times New Roman" w:hAnsi="Times New Roman"/>
          <w:b w:val="0"/>
          <w:bCs w:val="0"/>
          <w:i w:val="0"/>
          <w:iCs w:val="0"/>
          <w:sz w:val="17"/>
          <w:szCs w:val="17"/>
        </w:rPr>
        <w:t>:</w:t>
      </w:r>
      <w:r w:rsidRPr="00D96F9F">
        <w:rPr>
          <w:rFonts w:ascii="Times New Roman" w:hAnsi="Times New Roman"/>
          <w:b w:val="0"/>
          <w:bCs w:val="0"/>
          <w:i w:val="0"/>
          <w:iCs w:val="0"/>
          <w:sz w:val="17"/>
          <w:szCs w:val="17"/>
        </w:rPr>
        <w:t xml:space="preserve"> Guidelines for </w:t>
      </w:r>
      <w:proofErr w:type="spellStart"/>
      <w:r w:rsidRPr="00D96F9F">
        <w:rPr>
          <w:rFonts w:ascii="Times New Roman" w:hAnsi="Times New Roman"/>
          <w:b w:val="0"/>
          <w:bCs w:val="0"/>
          <w:i w:val="0"/>
          <w:iCs w:val="0"/>
          <w:sz w:val="17"/>
          <w:szCs w:val="17"/>
        </w:rPr>
        <w:t>Perinatal</w:t>
      </w:r>
      <w:proofErr w:type="spellEnd"/>
      <w:r w:rsidRPr="00D96F9F">
        <w:rPr>
          <w:rFonts w:ascii="Times New Roman" w:hAnsi="Times New Roman"/>
          <w:b w:val="0"/>
          <w:bCs w:val="0"/>
          <w:i w:val="0"/>
          <w:iCs w:val="0"/>
          <w:sz w:val="17"/>
          <w:szCs w:val="17"/>
        </w:rPr>
        <w:t xml:space="preserve"> Care. </w:t>
      </w:r>
      <w:proofErr w:type="gramStart"/>
      <w:r w:rsidRPr="00D96F9F">
        <w:rPr>
          <w:rFonts w:ascii="Times New Roman" w:hAnsi="Times New Roman"/>
          <w:b w:val="0"/>
          <w:bCs w:val="0"/>
          <w:i w:val="0"/>
          <w:iCs w:val="0"/>
          <w:sz w:val="17"/>
          <w:szCs w:val="17"/>
        </w:rPr>
        <w:t>3rd ed. Elk Grove Village, Ill</w:t>
      </w:r>
      <w:r w:rsidR="005D7BFC" w:rsidRPr="00D96F9F">
        <w:rPr>
          <w:rFonts w:ascii="Times New Roman" w:hAnsi="Times New Roman"/>
          <w:b w:val="0"/>
          <w:bCs w:val="0"/>
          <w:i w:val="0"/>
          <w:iCs w:val="0"/>
          <w:sz w:val="17"/>
          <w:szCs w:val="17"/>
        </w:rPr>
        <w:t xml:space="preserve"> </w:t>
      </w:r>
      <w:r w:rsidR="005D7BFC" w:rsidRPr="00D96F9F">
        <w:rPr>
          <w:rFonts w:ascii="Times New Roman" w:hAnsi="Times New Roman"/>
          <w:b w:val="0"/>
          <w:i w:val="0"/>
          <w:iCs w:val="0"/>
          <w:sz w:val="17"/>
          <w:szCs w:val="17"/>
        </w:rPr>
        <w:t>1994</w:t>
      </w:r>
      <w:r w:rsidRPr="00D96F9F">
        <w:rPr>
          <w:rFonts w:ascii="Times New Roman" w:hAnsi="Times New Roman"/>
          <w:b w:val="0"/>
          <w:bCs w:val="0"/>
          <w:i w:val="0"/>
          <w:iCs w:val="0"/>
          <w:sz w:val="17"/>
          <w:szCs w:val="17"/>
        </w:rPr>
        <w:t>; 221-34.</w:t>
      </w:r>
      <w:proofErr w:type="gramEnd"/>
    </w:p>
    <w:p w:rsidR="00597825" w:rsidRPr="00D96F9F" w:rsidRDefault="00597825" w:rsidP="00EB7ED6">
      <w:pPr>
        <w:numPr>
          <w:ilvl w:val="0"/>
          <w:numId w:val="29"/>
        </w:numPr>
        <w:autoSpaceDE w:val="0"/>
        <w:autoSpaceDN w:val="0"/>
        <w:adjustRightInd w:val="0"/>
        <w:snapToGrid w:val="0"/>
        <w:jc w:val="both"/>
        <w:rPr>
          <w:sz w:val="17"/>
          <w:szCs w:val="17"/>
        </w:rPr>
      </w:pPr>
      <w:r w:rsidRPr="00D96F9F">
        <w:rPr>
          <w:bCs/>
          <w:sz w:val="17"/>
          <w:szCs w:val="17"/>
        </w:rPr>
        <w:t xml:space="preserve">Bachman KD, </w:t>
      </w:r>
      <w:proofErr w:type="spellStart"/>
      <w:r w:rsidRPr="00D96F9F">
        <w:rPr>
          <w:bCs/>
          <w:sz w:val="17"/>
          <w:szCs w:val="17"/>
        </w:rPr>
        <w:t>Feenders</w:t>
      </w:r>
      <w:proofErr w:type="spellEnd"/>
      <w:r w:rsidRPr="00D96F9F">
        <w:rPr>
          <w:bCs/>
          <w:sz w:val="17"/>
          <w:szCs w:val="17"/>
        </w:rPr>
        <w:t xml:space="preserve"> O, and Dominick H </w:t>
      </w:r>
      <w:proofErr w:type="spellStart"/>
      <w:r w:rsidRPr="00D96F9F">
        <w:rPr>
          <w:bCs/>
          <w:sz w:val="17"/>
          <w:szCs w:val="17"/>
        </w:rPr>
        <w:t>Chr</w:t>
      </w:r>
      <w:proofErr w:type="spellEnd"/>
      <w:r w:rsidRPr="00D96F9F">
        <w:rPr>
          <w:bCs/>
          <w:sz w:val="17"/>
          <w:szCs w:val="17"/>
        </w:rPr>
        <w:t xml:space="preserve">: </w:t>
      </w:r>
      <w:r w:rsidRPr="00D96F9F">
        <w:rPr>
          <w:sz w:val="17"/>
          <w:szCs w:val="17"/>
        </w:rPr>
        <w:t xml:space="preserve">Die </w:t>
      </w:r>
      <w:proofErr w:type="spellStart"/>
      <w:r w:rsidRPr="00D96F9F">
        <w:rPr>
          <w:sz w:val="17"/>
          <w:szCs w:val="17"/>
        </w:rPr>
        <w:t>klinische</w:t>
      </w:r>
      <w:proofErr w:type="spellEnd"/>
      <w:r w:rsidR="008B48F8" w:rsidRPr="00D96F9F">
        <w:rPr>
          <w:sz w:val="17"/>
          <w:szCs w:val="17"/>
        </w:rPr>
        <w:t xml:space="preserve"> </w:t>
      </w:r>
      <w:proofErr w:type="spellStart"/>
      <w:r w:rsidRPr="00D96F9F">
        <w:rPr>
          <w:sz w:val="17"/>
          <w:szCs w:val="17"/>
        </w:rPr>
        <w:t>Bedeutung</w:t>
      </w:r>
      <w:proofErr w:type="spellEnd"/>
      <w:r w:rsidRPr="00D96F9F">
        <w:rPr>
          <w:sz w:val="17"/>
          <w:szCs w:val="17"/>
        </w:rPr>
        <w:t xml:space="preserve"> des </w:t>
      </w:r>
      <w:proofErr w:type="spellStart"/>
      <w:r w:rsidRPr="00D96F9F">
        <w:rPr>
          <w:sz w:val="17"/>
          <w:szCs w:val="17"/>
        </w:rPr>
        <w:t>Magnesiums</w:t>
      </w:r>
      <w:proofErr w:type="spellEnd"/>
      <w:r w:rsidRPr="00D96F9F">
        <w:rPr>
          <w:sz w:val="17"/>
          <w:szCs w:val="17"/>
        </w:rPr>
        <w:t xml:space="preserve"> in </w:t>
      </w:r>
      <w:proofErr w:type="spellStart"/>
      <w:r w:rsidRPr="00D96F9F">
        <w:rPr>
          <w:sz w:val="17"/>
          <w:szCs w:val="17"/>
        </w:rPr>
        <w:t>der</w:t>
      </w:r>
      <w:proofErr w:type="spellEnd"/>
      <w:r w:rsidRPr="00D96F9F">
        <w:rPr>
          <w:sz w:val="17"/>
          <w:szCs w:val="17"/>
        </w:rPr>
        <w:t xml:space="preserve"> </w:t>
      </w:r>
      <w:proofErr w:type="spellStart"/>
      <w:r w:rsidRPr="00D96F9F">
        <w:rPr>
          <w:sz w:val="17"/>
          <w:szCs w:val="17"/>
        </w:rPr>
        <w:t>Neugeborenenperiode</w:t>
      </w:r>
      <w:proofErr w:type="spellEnd"/>
      <w:r w:rsidRPr="00D96F9F">
        <w:rPr>
          <w:sz w:val="17"/>
          <w:szCs w:val="17"/>
        </w:rPr>
        <w:t xml:space="preserve">. </w:t>
      </w:r>
      <w:proofErr w:type="spellStart"/>
      <w:r w:rsidRPr="00D96F9F">
        <w:rPr>
          <w:sz w:val="17"/>
          <w:szCs w:val="17"/>
        </w:rPr>
        <w:t>Geburtsh</w:t>
      </w:r>
      <w:proofErr w:type="spellEnd"/>
      <w:r w:rsidRPr="00D96F9F">
        <w:rPr>
          <w:sz w:val="17"/>
          <w:szCs w:val="17"/>
        </w:rPr>
        <w:t xml:space="preserve"> und</w:t>
      </w:r>
      <w:r w:rsidR="008B48F8" w:rsidRPr="00D96F9F">
        <w:rPr>
          <w:sz w:val="17"/>
          <w:szCs w:val="17"/>
        </w:rPr>
        <w:t xml:space="preserve"> </w:t>
      </w:r>
      <w:proofErr w:type="spellStart"/>
      <w:r w:rsidRPr="00D96F9F">
        <w:rPr>
          <w:sz w:val="17"/>
          <w:szCs w:val="17"/>
        </w:rPr>
        <w:t>Frauenheilkunde</w:t>
      </w:r>
      <w:proofErr w:type="spellEnd"/>
      <w:r w:rsidRPr="00D96F9F">
        <w:rPr>
          <w:sz w:val="17"/>
          <w:szCs w:val="17"/>
        </w:rPr>
        <w:t xml:space="preserve"> 1976; 36: 308–13</w:t>
      </w:r>
      <w:r w:rsidR="00EB7ED6">
        <w:rPr>
          <w:rFonts w:hint="eastAsia"/>
          <w:sz w:val="17"/>
          <w:szCs w:val="17"/>
          <w:lang w:eastAsia="zh-CN"/>
        </w:rPr>
        <w:t>.</w:t>
      </w:r>
    </w:p>
    <w:p w:rsidR="00597825" w:rsidRPr="00D96F9F" w:rsidRDefault="00597825" w:rsidP="00EB7ED6">
      <w:pPr>
        <w:numPr>
          <w:ilvl w:val="0"/>
          <w:numId w:val="29"/>
        </w:numPr>
        <w:autoSpaceDE w:val="0"/>
        <w:autoSpaceDN w:val="0"/>
        <w:adjustRightInd w:val="0"/>
        <w:snapToGrid w:val="0"/>
        <w:jc w:val="both"/>
        <w:rPr>
          <w:sz w:val="17"/>
          <w:szCs w:val="17"/>
        </w:rPr>
      </w:pPr>
      <w:r w:rsidRPr="00D96F9F">
        <w:rPr>
          <w:bCs/>
          <w:sz w:val="17"/>
          <w:szCs w:val="17"/>
        </w:rPr>
        <w:t xml:space="preserve">Baker E, </w:t>
      </w:r>
      <w:proofErr w:type="spellStart"/>
      <w:r w:rsidRPr="00D96F9F">
        <w:rPr>
          <w:bCs/>
          <w:sz w:val="17"/>
          <w:szCs w:val="17"/>
        </w:rPr>
        <w:t>Pertsch</w:t>
      </w:r>
      <w:proofErr w:type="spellEnd"/>
      <w:r w:rsidRPr="00D96F9F">
        <w:rPr>
          <w:bCs/>
          <w:sz w:val="17"/>
          <w:szCs w:val="17"/>
        </w:rPr>
        <w:t xml:space="preserve"> E, and </w:t>
      </w:r>
      <w:proofErr w:type="spellStart"/>
      <w:r w:rsidRPr="00D96F9F">
        <w:rPr>
          <w:bCs/>
          <w:sz w:val="17"/>
          <w:szCs w:val="17"/>
        </w:rPr>
        <w:t>Buhlmann</w:t>
      </w:r>
      <w:proofErr w:type="spellEnd"/>
      <w:r w:rsidRPr="00D96F9F">
        <w:rPr>
          <w:bCs/>
          <w:sz w:val="17"/>
          <w:szCs w:val="17"/>
        </w:rPr>
        <w:t xml:space="preserve"> P.: </w:t>
      </w:r>
      <w:r w:rsidRPr="00D96F9F">
        <w:rPr>
          <w:sz w:val="17"/>
          <w:szCs w:val="17"/>
        </w:rPr>
        <w:t xml:space="preserve">Selectivity of </w:t>
      </w:r>
      <w:proofErr w:type="spellStart"/>
      <w:r w:rsidRPr="00D96F9F">
        <w:rPr>
          <w:sz w:val="17"/>
          <w:szCs w:val="17"/>
        </w:rPr>
        <w:t>potentiometric</w:t>
      </w:r>
      <w:proofErr w:type="spellEnd"/>
      <w:r w:rsidR="00E40953" w:rsidRPr="00D96F9F">
        <w:rPr>
          <w:sz w:val="17"/>
          <w:szCs w:val="17"/>
        </w:rPr>
        <w:t xml:space="preserve"> </w:t>
      </w:r>
      <w:r w:rsidRPr="00D96F9F">
        <w:rPr>
          <w:sz w:val="17"/>
          <w:szCs w:val="17"/>
        </w:rPr>
        <w:t>ion sensors, Anal Chem.; 72: 1127-1133, 2000.</w:t>
      </w:r>
    </w:p>
    <w:p w:rsidR="008C74A0" w:rsidRPr="00D96F9F" w:rsidRDefault="00597825" w:rsidP="00EB7ED6">
      <w:pPr>
        <w:numPr>
          <w:ilvl w:val="0"/>
          <w:numId w:val="29"/>
        </w:numPr>
        <w:autoSpaceDE w:val="0"/>
        <w:autoSpaceDN w:val="0"/>
        <w:adjustRightInd w:val="0"/>
        <w:snapToGrid w:val="0"/>
        <w:jc w:val="both"/>
        <w:rPr>
          <w:bCs/>
          <w:sz w:val="17"/>
          <w:szCs w:val="17"/>
          <w:lang w:val="en-IN" w:eastAsia="en-IN"/>
        </w:rPr>
      </w:pPr>
      <w:r w:rsidRPr="00D96F9F">
        <w:rPr>
          <w:bCs/>
          <w:sz w:val="17"/>
          <w:szCs w:val="17"/>
        </w:rPr>
        <w:t xml:space="preserve">Berger R and </w:t>
      </w:r>
      <w:proofErr w:type="spellStart"/>
      <w:r w:rsidRPr="00D96F9F">
        <w:rPr>
          <w:bCs/>
          <w:sz w:val="17"/>
          <w:szCs w:val="17"/>
        </w:rPr>
        <w:t>Garnier</w:t>
      </w:r>
      <w:proofErr w:type="spellEnd"/>
      <w:r w:rsidRPr="00D96F9F">
        <w:rPr>
          <w:bCs/>
          <w:sz w:val="17"/>
          <w:szCs w:val="17"/>
        </w:rPr>
        <w:t xml:space="preserve"> Y: </w:t>
      </w:r>
      <w:proofErr w:type="spellStart"/>
      <w:r w:rsidRPr="00D96F9F">
        <w:rPr>
          <w:sz w:val="17"/>
          <w:szCs w:val="17"/>
        </w:rPr>
        <w:t>Perinatal</w:t>
      </w:r>
      <w:proofErr w:type="spellEnd"/>
      <w:r w:rsidRPr="00D96F9F">
        <w:rPr>
          <w:sz w:val="17"/>
          <w:szCs w:val="17"/>
        </w:rPr>
        <w:t xml:space="preserve"> brain injury. J </w:t>
      </w:r>
      <w:proofErr w:type="spellStart"/>
      <w:r w:rsidRPr="00D96F9F">
        <w:rPr>
          <w:sz w:val="17"/>
          <w:szCs w:val="17"/>
        </w:rPr>
        <w:t>Perinat</w:t>
      </w:r>
      <w:proofErr w:type="spellEnd"/>
      <w:r w:rsidRPr="00D96F9F">
        <w:rPr>
          <w:sz w:val="17"/>
          <w:szCs w:val="17"/>
        </w:rPr>
        <w:t xml:space="preserve"> Med 2001; 29</w:t>
      </w:r>
      <w:r w:rsidR="0034612F" w:rsidRPr="00D96F9F">
        <w:rPr>
          <w:sz w:val="17"/>
          <w:szCs w:val="17"/>
        </w:rPr>
        <w:t xml:space="preserve"> </w:t>
      </w:r>
      <w:r w:rsidRPr="00D96F9F">
        <w:rPr>
          <w:sz w:val="17"/>
          <w:szCs w:val="17"/>
        </w:rPr>
        <w:t>(1): 85-6.</w:t>
      </w:r>
    </w:p>
    <w:p w:rsidR="00597825" w:rsidRPr="00D96F9F" w:rsidRDefault="008C74A0" w:rsidP="00EB7ED6">
      <w:pPr>
        <w:numPr>
          <w:ilvl w:val="0"/>
          <w:numId w:val="29"/>
        </w:numPr>
        <w:autoSpaceDE w:val="0"/>
        <w:autoSpaceDN w:val="0"/>
        <w:adjustRightInd w:val="0"/>
        <w:snapToGrid w:val="0"/>
        <w:jc w:val="both"/>
        <w:rPr>
          <w:sz w:val="17"/>
          <w:szCs w:val="17"/>
          <w:lang w:val="en-IN" w:eastAsia="en-IN"/>
        </w:rPr>
      </w:pPr>
      <w:proofErr w:type="spellStart"/>
      <w:r w:rsidRPr="00D96F9F">
        <w:rPr>
          <w:bCs/>
          <w:sz w:val="17"/>
          <w:szCs w:val="17"/>
          <w:lang w:val="en-IN" w:eastAsia="en-IN"/>
        </w:rPr>
        <w:t>Bohuon</w:t>
      </w:r>
      <w:proofErr w:type="spellEnd"/>
      <w:r w:rsidRPr="00D96F9F">
        <w:rPr>
          <w:bCs/>
          <w:sz w:val="17"/>
          <w:szCs w:val="17"/>
          <w:lang w:val="en-IN" w:eastAsia="en-IN"/>
        </w:rPr>
        <w:t xml:space="preserve">: </w:t>
      </w:r>
      <w:r w:rsidRPr="00D96F9F">
        <w:rPr>
          <w:sz w:val="17"/>
          <w:szCs w:val="17"/>
          <w:lang w:val="en-IN" w:eastAsia="en-IN"/>
        </w:rPr>
        <w:t xml:space="preserve">Magnesium assay with </w:t>
      </w:r>
      <w:proofErr w:type="spellStart"/>
      <w:r w:rsidRPr="00D96F9F">
        <w:rPr>
          <w:sz w:val="17"/>
          <w:szCs w:val="17"/>
          <w:lang w:val="en-IN" w:eastAsia="en-IN"/>
        </w:rPr>
        <w:t>calmagite</w:t>
      </w:r>
      <w:proofErr w:type="spellEnd"/>
      <w:r w:rsidRPr="00D96F9F">
        <w:rPr>
          <w:sz w:val="17"/>
          <w:szCs w:val="17"/>
          <w:lang w:val="en-IN" w:eastAsia="en-IN"/>
        </w:rPr>
        <w:t xml:space="preserve"> or </w:t>
      </w:r>
      <w:proofErr w:type="spellStart"/>
      <w:r w:rsidRPr="00D96F9F">
        <w:rPr>
          <w:sz w:val="17"/>
          <w:szCs w:val="17"/>
          <w:lang w:val="en-IN" w:eastAsia="en-IN"/>
        </w:rPr>
        <w:t>erichrome</w:t>
      </w:r>
      <w:proofErr w:type="spellEnd"/>
      <w:r w:rsidRPr="00D96F9F">
        <w:rPr>
          <w:sz w:val="17"/>
          <w:szCs w:val="17"/>
          <w:lang w:val="en-IN" w:eastAsia="en-IN"/>
        </w:rPr>
        <w:t xml:space="preserve"> black T reagents. Anal. </w:t>
      </w:r>
      <w:proofErr w:type="spellStart"/>
      <w:r w:rsidRPr="00D96F9F">
        <w:rPr>
          <w:sz w:val="17"/>
          <w:szCs w:val="17"/>
          <w:lang w:val="en-IN" w:eastAsia="en-IN"/>
        </w:rPr>
        <w:t>Chim</w:t>
      </w:r>
      <w:proofErr w:type="spellEnd"/>
      <w:r w:rsidRPr="00D96F9F">
        <w:rPr>
          <w:sz w:val="17"/>
          <w:szCs w:val="17"/>
          <w:lang w:val="en-IN" w:eastAsia="en-IN"/>
        </w:rPr>
        <w:t xml:space="preserve">, </w:t>
      </w:r>
      <w:proofErr w:type="spellStart"/>
      <w:r w:rsidRPr="00D96F9F">
        <w:rPr>
          <w:sz w:val="17"/>
          <w:szCs w:val="17"/>
          <w:lang w:val="en-IN" w:eastAsia="en-IN"/>
        </w:rPr>
        <w:t>Acta</w:t>
      </w:r>
      <w:proofErr w:type="spellEnd"/>
      <w:r w:rsidRPr="00D96F9F">
        <w:rPr>
          <w:sz w:val="17"/>
          <w:szCs w:val="17"/>
          <w:lang w:val="en-IN" w:eastAsia="en-IN"/>
        </w:rPr>
        <w:t>, 7: 811-817, 1962.</w:t>
      </w:r>
    </w:p>
    <w:p w:rsidR="00597825" w:rsidRPr="00D96F9F" w:rsidRDefault="00597825" w:rsidP="00EB7ED6">
      <w:pPr>
        <w:numPr>
          <w:ilvl w:val="0"/>
          <w:numId w:val="29"/>
        </w:numPr>
        <w:autoSpaceDE w:val="0"/>
        <w:autoSpaceDN w:val="0"/>
        <w:adjustRightInd w:val="0"/>
        <w:snapToGrid w:val="0"/>
        <w:jc w:val="both"/>
        <w:rPr>
          <w:sz w:val="17"/>
          <w:szCs w:val="17"/>
        </w:rPr>
      </w:pPr>
      <w:proofErr w:type="spellStart"/>
      <w:r w:rsidRPr="00D96F9F">
        <w:rPr>
          <w:bCs/>
          <w:sz w:val="17"/>
          <w:szCs w:val="17"/>
        </w:rPr>
        <w:t>Cadell</w:t>
      </w:r>
      <w:proofErr w:type="spellEnd"/>
      <w:r w:rsidRPr="00D96F9F">
        <w:rPr>
          <w:bCs/>
          <w:sz w:val="17"/>
          <w:szCs w:val="17"/>
        </w:rPr>
        <w:t xml:space="preserve"> JL and Reed </w:t>
      </w:r>
      <w:proofErr w:type="spellStart"/>
      <w:r w:rsidRPr="00D96F9F">
        <w:rPr>
          <w:bCs/>
          <w:sz w:val="17"/>
          <w:szCs w:val="17"/>
        </w:rPr>
        <w:t>GF.</w:t>
      </w:r>
      <w:r w:rsidRPr="00D96F9F">
        <w:rPr>
          <w:sz w:val="17"/>
          <w:szCs w:val="17"/>
        </w:rPr>
        <w:t>Unreliability</w:t>
      </w:r>
      <w:proofErr w:type="spellEnd"/>
      <w:r w:rsidRPr="00D96F9F">
        <w:rPr>
          <w:sz w:val="17"/>
          <w:szCs w:val="17"/>
        </w:rPr>
        <w:t xml:space="preserve"> of plasma magnesium value in</w:t>
      </w:r>
      <w:r w:rsidR="0034612F" w:rsidRPr="00D96F9F">
        <w:rPr>
          <w:sz w:val="17"/>
          <w:szCs w:val="17"/>
        </w:rPr>
        <w:t xml:space="preserve"> </w:t>
      </w:r>
      <w:r w:rsidRPr="00D96F9F">
        <w:rPr>
          <w:sz w:val="17"/>
          <w:szCs w:val="17"/>
        </w:rPr>
        <w:t>asphyxiated neonates. Magnesium 1998; 8: 11-6.</w:t>
      </w:r>
    </w:p>
    <w:p w:rsidR="003E360A" w:rsidRPr="00D96F9F" w:rsidRDefault="003E360A" w:rsidP="00EB7ED6">
      <w:pPr>
        <w:numPr>
          <w:ilvl w:val="0"/>
          <w:numId w:val="29"/>
        </w:numPr>
        <w:adjustRightInd w:val="0"/>
        <w:snapToGrid w:val="0"/>
        <w:jc w:val="both"/>
        <w:rPr>
          <w:bCs/>
          <w:sz w:val="17"/>
          <w:szCs w:val="17"/>
        </w:rPr>
      </w:pPr>
      <w:r w:rsidRPr="00D96F9F">
        <w:rPr>
          <w:bCs/>
          <w:sz w:val="17"/>
          <w:szCs w:val="17"/>
        </w:rPr>
        <w:t>Calvert</w:t>
      </w:r>
      <w:r w:rsidR="00EB7ED6">
        <w:rPr>
          <w:bCs/>
          <w:sz w:val="17"/>
          <w:szCs w:val="17"/>
        </w:rPr>
        <w:t xml:space="preserve"> </w:t>
      </w:r>
      <w:r w:rsidRPr="00D96F9F">
        <w:rPr>
          <w:bCs/>
          <w:sz w:val="17"/>
          <w:szCs w:val="17"/>
        </w:rPr>
        <w:t>J. W.</w:t>
      </w:r>
      <w:r w:rsidRPr="00D96F9F">
        <w:rPr>
          <w:rStyle w:val="Strong"/>
          <w:b w:val="0"/>
          <w:sz w:val="17"/>
          <w:szCs w:val="17"/>
        </w:rPr>
        <w:t>:</w:t>
      </w:r>
      <w:r w:rsidRPr="00D96F9F">
        <w:rPr>
          <w:rStyle w:val="Strong"/>
          <w:b w:val="0"/>
          <w:bCs w:val="0"/>
          <w:sz w:val="17"/>
          <w:szCs w:val="17"/>
        </w:rPr>
        <w:t xml:space="preserve"> </w:t>
      </w:r>
      <w:proofErr w:type="spellStart"/>
      <w:r w:rsidRPr="00D96F9F">
        <w:rPr>
          <w:rStyle w:val="Strong"/>
          <w:b w:val="0"/>
          <w:bCs w:val="0"/>
          <w:sz w:val="17"/>
          <w:szCs w:val="17"/>
        </w:rPr>
        <w:t>Pathophysiology</w:t>
      </w:r>
      <w:proofErr w:type="spellEnd"/>
      <w:r w:rsidRPr="00D96F9F">
        <w:rPr>
          <w:rStyle w:val="Strong"/>
          <w:b w:val="0"/>
          <w:bCs w:val="0"/>
          <w:sz w:val="17"/>
          <w:szCs w:val="17"/>
        </w:rPr>
        <w:t xml:space="preserve"> of </w:t>
      </w:r>
      <w:proofErr w:type="gramStart"/>
      <w:r w:rsidRPr="00D96F9F">
        <w:rPr>
          <w:rStyle w:val="Strong"/>
          <w:b w:val="0"/>
          <w:bCs w:val="0"/>
          <w:sz w:val="17"/>
          <w:szCs w:val="17"/>
        </w:rPr>
        <w:t>an</w:t>
      </w:r>
      <w:proofErr w:type="gramEnd"/>
      <w:r w:rsidRPr="00D96F9F">
        <w:rPr>
          <w:rStyle w:val="Strong"/>
          <w:b w:val="0"/>
          <w:bCs w:val="0"/>
          <w:sz w:val="17"/>
          <w:szCs w:val="17"/>
        </w:rPr>
        <w:t xml:space="preserve"> hypoxic-ischemic insult during the </w:t>
      </w:r>
      <w:proofErr w:type="spellStart"/>
      <w:r w:rsidRPr="00D96F9F">
        <w:rPr>
          <w:rStyle w:val="Strong"/>
          <w:b w:val="0"/>
          <w:bCs w:val="0"/>
          <w:sz w:val="17"/>
          <w:szCs w:val="17"/>
        </w:rPr>
        <w:t>perinatal</w:t>
      </w:r>
      <w:proofErr w:type="spellEnd"/>
      <w:r w:rsidRPr="00D96F9F">
        <w:rPr>
          <w:rStyle w:val="Strong"/>
          <w:b w:val="0"/>
          <w:bCs w:val="0"/>
          <w:sz w:val="17"/>
          <w:szCs w:val="17"/>
        </w:rPr>
        <w:t xml:space="preserve"> period</w:t>
      </w:r>
      <w:r w:rsidRPr="00D96F9F">
        <w:rPr>
          <w:bCs/>
          <w:sz w:val="17"/>
          <w:szCs w:val="17"/>
        </w:rPr>
        <w:t xml:space="preserve">: </w:t>
      </w:r>
      <w:proofErr w:type="spellStart"/>
      <w:r w:rsidRPr="00D96F9F">
        <w:rPr>
          <w:sz w:val="17"/>
          <w:szCs w:val="17"/>
        </w:rPr>
        <w:t>Neurol</w:t>
      </w:r>
      <w:proofErr w:type="spellEnd"/>
      <w:r w:rsidRPr="00D96F9F">
        <w:rPr>
          <w:sz w:val="17"/>
          <w:szCs w:val="17"/>
        </w:rPr>
        <w:t xml:space="preserve"> Res</w:t>
      </w:r>
      <w:r w:rsidR="00DE628D" w:rsidRPr="00D96F9F">
        <w:rPr>
          <w:sz w:val="17"/>
          <w:szCs w:val="17"/>
        </w:rPr>
        <w:t xml:space="preserve"> </w:t>
      </w:r>
      <w:r w:rsidR="00DE628D" w:rsidRPr="00D96F9F">
        <w:rPr>
          <w:bCs/>
          <w:sz w:val="17"/>
          <w:szCs w:val="17"/>
        </w:rPr>
        <w:t>2005</w:t>
      </w:r>
      <w:r w:rsidRPr="00D96F9F">
        <w:rPr>
          <w:sz w:val="17"/>
          <w:szCs w:val="17"/>
        </w:rPr>
        <w:t>; 27: 246-260</w:t>
      </w:r>
      <w:r w:rsidRPr="00D96F9F">
        <w:rPr>
          <w:bCs/>
          <w:sz w:val="17"/>
          <w:szCs w:val="17"/>
        </w:rPr>
        <w:t>.</w:t>
      </w:r>
    </w:p>
    <w:p w:rsidR="00597825" w:rsidRPr="00D96F9F" w:rsidRDefault="00597825" w:rsidP="00EB7ED6">
      <w:pPr>
        <w:numPr>
          <w:ilvl w:val="0"/>
          <w:numId w:val="29"/>
        </w:numPr>
        <w:autoSpaceDE w:val="0"/>
        <w:autoSpaceDN w:val="0"/>
        <w:adjustRightInd w:val="0"/>
        <w:snapToGrid w:val="0"/>
        <w:jc w:val="both"/>
        <w:rPr>
          <w:sz w:val="17"/>
          <w:szCs w:val="17"/>
        </w:rPr>
      </w:pPr>
      <w:proofErr w:type="spellStart"/>
      <w:r w:rsidRPr="00D96F9F">
        <w:rPr>
          <w:bCs/>
          <w:sz w:val="17"/>
          <w:szCs w:val="17"/>
        </w:rPr>
        <w:lastRenderedPageBreak/>
        <w:t>Delivoria</w:t>
      </w:r>
      <w:proofErr w:type="spellEnd"/>
      <w:r w:rsidRPr="00D96F9F">
        <w:rPr>
          <w:bCs/>
          <w:sz w:val="17"/>
          <w:szCs w:val="17"/>
        </w:rPr>
        <w:t xml:space="preserve">-Papadopoulos M and </w:t>
      </w:r>
      <w:proofErr w:type="spellStart"/>
      <w:r w:rsidRPr="00D96F9F">
        <w:rPr>
          <w:bCs/>
          <w:sz w:val="17"/>
          <w:szCs w:val="17"/>
        </w:rPr>
        <w:t>Mishra</w:t>
      </w:r>
      <w:proofErr w:type="spellEnd"/>
      <w:r w:rsidRPr="00D96F9F">
        <w:rPr>
          <w:bCs/>
          <w:sz w:val="17"/>
          <w:szCs w:val="17"/>
        </w:rPr>
        <w:t xml:space="preserve"> OP: </w:t>
      </w:r>
      <w:r w:rsidRPr="00D96F9F">
        <w:rPr>
          <w:sz w:val="17"/>
          <w:szCs w:val="17"/>
        </w:rPr>
        <w:t>Mechanisms of cerebral</w:t>
      </w:r>
      <w:r w:rsidR="0034612F" w:rsidRPr="00D96F9F">
        <w:rPr>
          <w:sz w:val="17"/>
          <w:szCs w:val="17"/>
        </w:rPr>
        <w:t xml:space="preserve"> </w:t>
      </w:r>
      <w:r w:rsidRPr="00D96F9F">
        <w:rPr>
          <w:sz w:val="17"/>
          <w:szCs w:val="17"/>
        </w:rPr>
        <w:t xml:space="preserve">injury in </w:t>
      </w:r>
      <w:proofErr w:type="spellStart"/>
      <w:r w:rsidRPr="00D96F9F">
        <w:rPr>
          <w:sz w:val="17"/>
          <w:szCs w:val="17"/>
        </w:rPr>
        <w:t>perinatal</w:t>
      </w:r>
      <w:proofErr w:type="spellEnd"/>
      <w:r w:rsidRPr="00D96F9F">
        <w:rPr>
          <w:sz w:val="17"/>
          <w:szCs w:val="17"/>
        </w:rPr>
        <w:t xml:space="preserve"> asphyxia and strategies for prevention. J </w:t>
      </w:r>
      <w:proofErr w:type="spellStart"/>
      <w:r w:rsidRPr="00D96F9F">
        <w:rPr>
          <w:sz w:val="17"/>
          <w:szCs w:val="17"/>
        </w:rPr>
        <w:t>Pediatr</w:t>
      </w:r>
      <w:proofErr w:type="spellEnd"/>
      <w:r w:rsidRPr="00D96F9F">
        <w:rPr>
          <w:sz w:val="17"/>
          <w:szCs w:val="17"/>
        </w:rPr>
        <w:t xml:space="preserve"> 1998</w:t>
      </w:r>
      <w:r w:rsidR="00571726" w:rsidRPr="00D96F9F">
        <w:rPr>
          <w:sz w:val="17"/>
          <w:szCs w:val="17"/>
        </w:rPr>
        <w:t xml:space="preserve"> </w:t>
      </w:r>
      <w:r w:rsidRPr="00D96F9F">
        <w:rPr>
          <w:sz w:val="17"/>
          <w:szCs w:val="17"/>
        </w:rPr>
        <w:t>132: 30S-4S.</w:t>
      </w:r>
    </w:p>
    <w:p w:rsidR="008C74A0" w:rsidRPr="00D96F9F" w:rsidRDefault="00597825" w:rsidP="00EB7ED6">
      <w:pPr>
        <w:numPr>
          <w:ilvl w:val="0"/>
          <w:numId w:val="29"/>
        </w:numPr>
        <w:autoSpaceDE w:val="0"/>
        <w:autoSpaceDN w:val="0"/>
        <w:adjustRightInd w:val="0"/>
        <w:snapToGrid w:val="0"/>
        <w:jc w:val="both"/>
        <w:rPr>
          <w:sz w:val="17"/>
          <w:szCs w:val="17"/>
          <w:lang w:val="en-IN" w:eastAsia="en-IN"/>
        </w:rPr>
      </w:pPr>
      <w:r w:rsidRPr="00D96F9F">
        <w:rPr>
          <w:bCs/>
          <w:sz w:val="17"/>
          <w:szCs w:val="17"/>
        </w:rPr>
        <w:t xml:space="preserve">Engel RR and </w:t>
      </w:r>
      <w:proofErr w:type="spellStart"/>
      <w:r w:rsidRPr="00D96F9F">
        <w:rPr>
          <w:bCs/>
          <w:sz w:val="17"/>
          <w:szCs w:val="17"/>
        </w:rPr>
        <w:t>Elin</w:t>
      </w:r>
      <w:proofErr w:type="spellEnd"/>
      <w:r w:rsidRPr="00D96F9F">
        <w:rPr>
          <w:bCs/>
          <w:sz w:val="17"/>
          <w:szCs w:val="17"/>
        </w:rPr>
        <w:t xml:space="preserve"> RJ.</w:t>
      </w:r>
      <w:r w:rsidR="00EB7ED6">
        <w:rPr>
          <w:bCs/>
          <w:sz w:val="17"/>
          <w:szCs w:val="17"/>
        </w:rPr>
        <w:t>:</w:t>
      </w:r>
      <w:r w:rsidRPr="00D96F9F">
        <w:rPr>
          <w:bCs/>
          <w:sz w:val="17"/>
          <w:szCs w:val="17"/>
        </w:rPr>
        <w:t xml:space="preserve"> </w:t>
      </w:r>
      <w:proofErr w:type="spellStart"/>
      <w:r w:rsidRPr="00D96F9F">
        <w:rPr>
          <w:sz w:val="17"/>
          <w:szCs w:val="17"/>
        </w:rPr>
        <w:t>Hypermagnesemia</w:t>
      </w:r>
      <w:proofErr w:type="spellEnd"/>
      <w:r w:rsidRPr="00D96F9F">
        <w:rPr>
          <w:sz w:val="17"/>
          <w:szCs w:val="17"/>
        </w:rPr>
        <w:t xml:space="preserve"> from birth asphyxia. J</w:t>
      </w:r>
      <w:r w:rsidR="00F71BCC" w:rsidRPr="00D96F9F">
        <w:rPr>
          <w:sz w:val="17"/>
          <w:szCs w:val="17"/>
        </w:rPr>
        <w:t xml:space="preserve"> </w:t>
      </w:r>
      <w:proofErr w:type="spellStart"/>
      <w:r w:rsidRPr="00D96F9F">
        <w:rPr>
          <w:sz w:val="17"/>
          <w:szCs w:val="17"/>
        </w:rPr>
        <w:t>Pediatr</w:t>
      </w:r>
      <w:proofErr w:type="spellEnd"/>
      <w:r w:rsidRPr="00D96F9F">
        <w:rPr>
          <w:sz w:val="17"/>
          <w:szCs w:val="17"/>
        </w:rPr>
        <w:t xml:space="preserve"> 1970; 77: 631-7.</w:t>
      </w:r>
    </w:p>
    <w:p w:rsidR="008C74A0" w:rsidRPr="00D96F9F" w:rsidRDefault="008C74A0" w:rsidP="00EB7ED6">
      <w:pPr>
        <w:numPr>
          <w:ilvl w:val="0"/>
          <w:numId w:val="29"/>
        </w:numPr>
        <w:autoSpaceDE w:val="0"/>
        <w:autoSpaceDN w:val="0"/>
        <w:adjustRightInd w:val="0"/>
        <w:snapToGrid w:val="0"/>
        <w:jc w:val="both"/>
        <w:rPr>
          <w:sz w:val="17"/>
          <w:szCs w:val="17"/>
          <w:lang w:val="en-IN" w:eastAsia="en-IN"/>
        </w:rPr>
      </w:pPr>
      <w:proofErr w:type="spellStart"/>
      <w:r w:rsidRPr="00D96F9F">
        <w:rPr>
          <w:bCs/>
          <w:sz w:val="17"/>
          <w:szCs w:val="17"/>
          <w:lang w:val="en-IN" w:eastAsia="en-IN"/>
        </w:rPr>
        <w:t>Geven</w:t>
      </w:r>
      <w:proofErr w:type="spellEnd"/>
      <w:r w:rsidRPr="00D96F9F">
        <w:rPr>
          <w:bCs/>
          <w:sz w:val="17"/>
          <w:szCs w:val="17"/>
          <w:lang w:val="en-IN" w:eastAsia="en-IN"/>
        </w:rPr>
        <w:t xml:space="preserve"> WB, </w:t>
      </w:r>
      <w:proofErr w:type="spellStart"/>
      <w:r w:rsidRPr="00D96F9F">
        <w:rPr>
          <w:bCs/>
          <w:sz w:val="17"/>
          <w:szCs w:val="17"/>
          <w:lang w:val="en-IN" w:eastAsia="en-IN"/>
        </w:rPr>
        <w:t>Monnens</w:t>
      </w:r>
      <w:proofErr w:type="spellEnd"/>
      <w:r w:rsidRPr="00D96F9F">
        <w:rPr>
          <w:bCs/>
          <w:sz w:val="17"/>
          <w:szCs w:val="17"/>
          <w:lang w:val="en-IN" w:eastAsia="en-IN"/>
        </w:rPr>
        <w:t xml:space="preserve"> LAH, </w:t>
      </w:r>
      <w:proofErr w:type="spellStart"/>
      <w:r w:rsidRPr="00D96F9F">
        <w:rPr>
          <w:bCs/>
          <w:sz w:val="17"/>
          <w:szCs w:val="17"/>
          <w:lang w:val="en-IN" w:eastAsia="en-IN"/>
        </w:rPr>
        <w:t>Willems</w:t>
      </w:r>
      <w:proofErr w:type="spellEnd"/>
      <w:r w:rsidRPr="00D96F9F">
        <w:rPr>
          <w:bCs/>
          <w:sz w:val="17"/>
          <w:szCs w:val="17"/>
          <w:lang w:val="en-IN" w:eastAsia="en-IN"/>
        </w:rPr>
        <w:t xml:space="preserve"> JL: </w:t>
      </w:r>
      <w:r w:rsidRPr="00D96F9F">
        <w:rPr>
          <w:sz w:val="17"/>
          <w:szCs w:val="17"/>
          <w:lang w:val="en-IN" w:eastAsia="en-IN"/>
        </w:rPr>
        <w:t xml:space="preserve">Magnesium metabolism in childhood. Miner Electrolyte </w:t>
      </w:r>
      <w:proofErr w:type="spellStart"/>
      <w:r w:rsidRPr="00D96F9F">
        <w:rPr>
          <w:sz w:val="17"/>
          <w:szCs w:val="17"/>
          <w:lang w:val="en-IN" w:eastAsia="en-IN"/>
        </w:rPr>
        <w:t>Metab</w:t>
      </w:r>
      <w:proofErr w:type="spellEnd"/>
      <w:r w:rsidRPr="00D96F9F">
        <w:rPr>
          <w:sz w:val="17"/>
          <w:szCs w:val="17"/>
          <w:lang w:val="en-IN" w:eastAsia="en-IN"/>
        </w:rPr>
        <w:t xml:space="preserve"> 1993; 19: 308–13</w:t>
      </w:r>
      <w:r w:rsidR="00EB7ED6">
        <w:rPr>
          <w:rFonts w:hint="eastAsia"/>
          <w:sz w:val="17"/>
          <w:szCs w:val="17"/>
          <w:lang w:val="en-IN" w:eastAsia="zh-CN"/>
        </w:rPr>
        <w:t>.</w:t>
      </w:r>
    </w:p>
    <w:p w:rsidR="00597825" w:rsidRPr="00D96F9F" w:rsidRDefault="009F416E" w:rsidP="00EB7ED6">
      <w:pPr>
        <w:numPr>
          <w:ilvl w:val="0"/>
          <w:numId w:val="29"/>
        </w:numPr>
        <w:autoSpaceDE w:val="0"/>
        <w:autoSpaceDN w:val="0"/>
        <w:adjustRightInd w:val="0"/>
        <w:snapToGrid w:val="0"/>
        <w:jc w:val="both"/>
        <w:rPr>
          <w:sz w:val="17"/>
          <w:szCs w:val="17"/>
          <w:lang w:val="en-IN" w:eastAsia="en-IN"/>
        </w:rPr>
      </w:pPr>
      <w:proofErr w:type="spellStart"/>
      <w:r w:rsidRPr="00D96F9F">
        <w:rPr>
          <w:bCs/>
          <w:sz w:val="17"/>
          <w:szCs w:val="17"/>
          <w:lang w:val="en-IN" w:eastAsia="en-IN"/>
        </w:rPr>
        <w:t>Grether</w:t>
      </w:r>
      <w:proofErr w:type="spellEnd"/>
      <w:r w:rsidRPr="00D96F9F">
        <w:rPr>
          <w:bCs/>
          <w:sz w:val="17"/>
          <w:szCs w:val="17"/>
          <w:lang w:val="en-IN" w:eastAsia="en-IN"/>
        </w:rPr>
        <w:t xml:space="preserve"> JK, </w:t>
      </w:r>
      <w:proofErr w:type="spellStart"/>
      <w:r w:rsidRPr="00D96F9F">
        <w:rPr>
          <w:bCs/>
          <w:sz w:val="17"/>
          <w:szCs w:val="17"/>
          <w:lang w:val="en-IN" w:eastAsia="en-IN"/>
        </w:rPr>
        <w:t>Hoogstrate</w:t>
      </w:r>
      <w:proofErr w:type="spellEnd"/>
      <w:r w:rsidRPr="00D96F9F">
        <w:rPr>
          <w:bCs/>
          <w:sz w:val="17"/>
          <w:szCs w:val="17"/>
          <w:lang w:val="en-IN" w:eastAsia="en-IN"/>
        </w:rPr>
        <w:t xml:space="preserve"> J, </w:t>
      </w:r>
      <w:proofErr w:type="spellStart"/>
      <w:r w:rsidRPr="00D96F9F">
        <w:rPr>
          <w:bCs/>
          <w:sz w:val="17"/>
          <w:szCs w:val="17"/>
          <w:lang w:val="en-IN" w:eastAsia="en-IN"/>
        </w:rPr>
        <w:t>Selvin</w:t>
      </w:r>
      <w:proofErr w:type="spellEnd"/>
      <w:r w:rsidRPr="00D96F9F">
        <w:rPr>
          <w:bCs/>
          <w:sz w:val="17"/>
          <w:szCs w:val="17"/>
          <w:lang w:val="en-IN" w:eastAsia="en-IN"/>
        </w:rPr>
        <w:t xml:space="preserve"> S </w:t>
      </w:r>
      <w:r w:rsidRPr="00D96F9F">
        <w:rPr>
          <w:bCs/>
          <w:i/>
          <w:iCs/>
          <w:sz w:val="17"/>
          <w:szCs w:val="17"/>
          <w:lang w:val="en-IN" w:eastAsia="en-IN"/>
        </w:rPr>
        <w:t>et al.</w:t>
      </w:r>
      <w:r w:rsidRPr="00D96F9F">
        <w:rPr>
          <w:sz w:val="17"/>
          <w:szCs w:val="17"/>
          <w:lang w:val="en-IN" w:eastAsia="en-IN"/>
        </w:rPr>
        <w:t xml:space="preserve">: Magnesium sulphate </w:t>
      </w:r>
      <w:proofErr w:type="spellStart"/>
      <w:r w:rsidRPr="00D96F9F">
        <w:rPr>
          <w:sz w:val="17"/>
          <w:szCs w:val="17"/>
          <w:lang w:val="en-IN" w:eastAsia="en-IN"/>
        </w:rPr>
        <w:t>tocolysis</w:t>
      </w:r>
      <w:proofErr w:type="spellEnd"/>
      <w:r w:rsidRPr="00D96F9F">
        <w:rPr>
          <w:sz w:val="17"/>
          <w:szCs w:val="17"/>
          <w:lang w:val="en-IN" w:eastAsia="en-IN"/>
        </w:rPr>
        <w:t xml:space="preserve"> and risk of neonatal death. </w:t>
      </w:r>
      <w:proofErr w:type="gramStart"/>
      <w:r w:rsidRPr="00D96F9F">
        <w:rPr>
          <w:sz w:val="17"/>
          <w:szCs w:val="17"/>
          <w:lang w:val="en-IN" w:eastAsia="en-IN"/>
        </w:rPr>
        <w:t>Am</w:t>
      </w:r>
      <w:proofErr w:type="gramEnd"/>
      <w:r w:rsidRPr="00D96F9F">
        <w:rPr>
          <w:sz w:val="17"/>
          <w:szCs w:val="17"/>
          <w:lang w:val="en-IN" w:eastAsia="en-IN"/>
        </w:rPr>
        <w:t xml:space="preserve"> J </w:t>
      </w:r>
      <w:proofErr w:type="spellStart"/>
      <w:r w:rsidRPr="00D96F9F">
        <w:rPr>
          <w:sz w:val="17"/>
          <w:szCs w:val="17"/>
          <w:lang w:val="en-IN" w:eastAsia="en-IN"/>
        </w:rPr>
        <w:t>Obstet</w:t>
      </w:r>
      <w:proofErr w:type="spellEnd"/>
      <w:r w:rsidRPr="00D96F9F">
        <w:rPr>
          <w:sz w:val="17"/>
          <w:szCs w:val="17"/>
          <w:lang w:val="en-IN" w:eastAsia="en-IN"/>
        </w:rPr>
        <w:t xml:space="preserve"> </w:t>
      </w:r>
      <w:proofErr w:type="spellStart"/>
      <w:r w:rsidRPr="00D96F9F">
        <w:rPr>
          <w:sz w:val="17"/>
          <w:szCs w:val="17"/>
          <w:lang w:val="en-IN" w:eastAsia="en-IN"/>
        </w:rPr>
        <w:t>Gynecol</w:t>
      </w:r>
      <w:proofErr w:type="spellEnd"/>
      <w:r w:rsidRPr="00D96F9F">
        <w:rPr>
          <w:sz w:val="17"/>
          <w:szCs w:val="17"/>
          <w:lang w:val="en-IN" w:eastAsia="en-IN"/>
        </w:rPr>
        <w:t xml:space="preserve"> 1998; 178: 1-6</w:t>
      </w:r>
      <w:r w:rsidR="00EB7ED6">
        <w:rPr>
          <w:rFonts w:hint="eastAsia"/>
          <w:sz w:val="17"/>
          <w:szCs w:val="17"/>
          <w:lang w:val="en-IN" w:eastAsia="zh-CN"/>
        </w:rPr>
        <w:t>.</w:t>
      </w:r>
    </w:p>
    <w:p w:rsidR="00597825" w:rsidRPr="00D96F9F" w:rsidRDefault="00597825" w:rsidP="00EB7ED6">
      <w:pPr>
        <w:numPr>
          <w:ilvl w:val="0"/>
          <w:numId w:val="29"/>
        </w:numPr>
        <w:autoSpaceDE w:val="0"/>
        <w:autoSpaceDN w:val="0"/>
        <w:adjustRightInd w:val="0"/>
        <w:snapToGrid w:val="0"/>
        <w:jc w:val="both"/>
        <w:rPr>
          <w:bCs/>
          <w:sz w:val="17"/>
          <w:szCs w:val="17"/>
        </w:rPr>
      </w:pPr>
      <w:r w:rsidRPr="00D96F9F">
        <w:rPr>
          <w:bCs/>
          <w:sz w:val="17"/>
          <w:szCs w:val="17"/>
        </w:rPr>
        <w:t xml:space="preserve">Hoffman DJ, </w:t>
      </w:r>
      <w:proofErr w:type="spellStart"/>
      <w:r w:rsidRPr="00D96F9F">
        <w:rPr>
          <w:bCs/>
          <w:sz w:val="17"/>
          <w:szCs w:val="17"/>
        </w:rPr>
        <w:t>Marro</w:t>
      </w:r>
      <w:proofErr w:type="spellEnd"/>
      <w:r w:rsidRPr="00D96F9F">
        <w:rPr>
          <w:bCs/>
          <w:sz w:val="17"/>
          <w:szCs w:val="17"/>
        </w:rPr>
        <w:t xml:space="preserve"> PJ, McGowan JE, </w:t>
      </w:r>
      <w:proofErr w:type="spellStart"/>
      <w:r w:rsidRPr="00D96F9F">
        <w:rPr>
          <w:bCs/>
          <w:sz w:val="17"/>
          <w:szCs w:val="17"/>
        </w:rPr>
        <w:t>Mishra</w:t>
      </w:r>
      <w:proofErr w:type="spellEnd"/>
      <w:r w:rsidRPr="00D96F9F">
        <w:rPr>
          <w:bCs/>
          <w:sz w:val="17"/>
          <w:szCs w:val="17"/>
        </w:rPr>
        <w:t xml:space="preserve"> OP, </w:t>
      </w:r>
      <w:proofErr w:type="spellStart"/>
      <w:r w:rsidRPr="00D96F9F">
        <w:rPr>
          <w:bCs/>
          <w:sz w:val="17"/>
          <w:szCs w:val="17"/>
        </w:rPr>
        <w:t>Delevoria</w:t>
      </w:r>
      <w:proofErr w:type="spellEnd"/>
      <w:r w:rsidRPr="00D96F9F">
        <w:rPr>
          <w:bCs/>
          <w:sz w:val="17"/>
          <w:szCs w:val="17"/>
        </w:rPr>
        <w:t>-</w:t>
      </w:r>
      <w:r w:rsidR="00E40953" w:rsidRPr="00D96F9F">
        <w:rPr>
          <w:bCs/>
          <w:sz w:val="17"/>
          <w:szCs w:val="17"/>
        </w:rPr>
        <w:t xml:space="preserve"> </w:t>
      </w:r>
      <w:r w:rsidRPr="00D96F9F">
        <w:rPr>
          <w:bCs/>
          <w:sz w:val="17"/>
          <w:szCs w:val="17"/>
        </w:rPr>
        <w:t xml:space="preserve">Papadopoulos M </w:t>
      </w:r>
      <w:r w:rsidR="005732D0" w:rsidRPr="00D96F9F">
        <w:rPr>
          <w:bCs/>
          <w:i/>
          <w:iCs/>
          <w:sz w:val="17"/>
          <w:szCs w:val="17"/>
          <w:lang w:val="en-IN" w:eastAsia="en-IN"/>
        </w:rPr>
        <w:t>et al.</w:t>
      </w:r>
      <w:r w:rsidRPr="00D96F9F">
        <w:rPr>
          <w:bCs/>
          <w:sz w:val="17"/>
          <w:szCs w:val="17"/>
        </w:rPr>
        <w:t xml:space="preserve"> </w:t>
      </w:r>
      <w:r w:rsidRPr="00D96F9F">
        <w:rPr>
          <w:sz w:val="17"/>
          <w:szCs w:val="17"/>
        </w:rPr>
        <w:t xml:space="preserve">Protective effect of Mg sulfate infusion </w:t>
      </w:r>
      <w:proofErr w:type="spellStart"/>
      <w:r w:rsidRPr="00D96F9F">
        <w:rPr>
          <w:sz w:val="17"/>
          <w:szCs w:val="17"/>
        </w:rPr>
        <w:t>onNMDA</w:t>
      </w:r>
      <w:proofErr w:type="spellEnd"/>
      <w:r w:rsidRPr="00D96F9F">
        <w:rPr>
          <w:sz w:val="17"/>
          <w:szCs w:val="17"/>
        </w:rPr>
        <w:t xml:space="preserve"> receptor binding characteristics during cerebral cortical hypoxia</w:t>
      </w:r>
      <w:r w:rsidR="00E40953" w:rsidRPr="00D96F9F">
        <w:rPr>
          <w:bCs/>
          <w:sz w:val="17"/>
          <w:szCs w:val="17"/>
        </w:rPr>
        <w:t xml:space="preserve"> </w:t>
      </w:r>
      <w:r w:rsidRPr="00D96F9F">
        <w:rPr>
          <w:sz w:val="17"/>
          <w:szCs w:val="17"/>
        </w:rPr>
        <w:t>in the newborn piglet. Brain Res 1994; 664:144-9.</w:t>
      </w:r>
    </w:p>
    <w:p w:rsidR="00597825" w:rsidRPr="00D96F9F" w:rsidRDefault="00597825" w:rsidP="00EB7ED6">
      <w:pPr>
        <w:numPr>
          <w:ilvl w:val="0"/>
          <w:numId w:val="29"/>
        </w:numPr>
        <w:autoSpaceDE w:val="0"/>
        <w:autoSpaceDN w:val="0"/>
        <w:adjustRightInd w:val="0"/>
        <w:snapToGrid w:val="0"/>
        <w:jc w:val="both"/>
        <w:rPr>
          <w:sz w:val="17"/>
          <w:szCs w:val="17"/>
        </w:rPr>
      </w:pPr>
      <w:proofErr w:type="spellStart"/>
      <w:r w:rsidRPr="00D96F9F">
        <w:rPr>
          <w:bCs/>
          <w:sz w:val="17"/>
          <w:szCs w:val="17"/>
        </w:rPr>
        <w:t>Ilves</w:t>
      </w:r>
      <w:proofErr w:type="spellEnd"/>
      <w:r w:rsidRPr="00D96F9F">
        <w:rPr>
          <w:bCs/>
          <w:sz w:val="17"/>
          <w:szCs w:val="17"/>
        </w:rPr>
        <w:t xml:space="preserve"> P, </w:t>
      </w:r>
      <w:proofErr w:type="spellStart"/>
      <w:r w:rsidRPr="00D96F9F">
        <w:rPr>
          <w:bCs/>
          <w:sz w:val="17"/>
          <w:szCs w:val="17"/>
        </w:rPr>
        <w:t>Kiisk</w:t>
      </w:r>
      <w:proofErr w:type="spellEnd"/>
      <w:r w:rsidRPr="00D96F9F">
        <w:rPr>
          <w:bCs/>
          <w:sz w:val="17"/>
          <w:szCs w:val="17"/>
        </w:rPr>
        <w:t xml:space="preserve"> M, </w:t>
      </w:r>
      <w:proofErr w:type="spellStart"/>
      <w:proofErr w:type="gramStart"/>
      <w:r w:rsidRPr="00D96F9F">
        <w:rPr>
          <w:bCs/>
          <w:sz w:val="17"/>
          <w:szCs w:val="17"/>
        </w:rPr>
        <w:t>Soopold</w:t>
      </w:r>
      <w:proofErr w:type="spellEnd"/>
      <w:proofErr w:type="gramEnd"/>
      <w:r w:rsidRPr="00D96F9F">
        <w:rPr>
          <w:bCs/>
          <w:sz w:val="17"/>
          <w:szCs w:val="17"/>
        </w:rPr>
        <w:t xml:space="preserve"> T, </w:t>
      </w:r>
      <w:r w:rsidR="005732D0" w:rsidRPr="00D96F9F">
        <w:rPr>
          <w:bCs/>
          <w:i/>
          <w:iCs/>
          <w:sz w:val="17"/>
          <w:szCs w:val="17"/>
          <w:lang w:val="en-IN" w:eastAsia="en-IN"/>
        </w:rPr>
        <w:t>et al.</w:t>
      </w:r>
      <w:r w:rsidR="00EB7ED6">
        <w:rPr>
          <w:bCs/>
          <w:sz w:val="17"/>
          <w:szCs w:val="17"/>
        </w:rPr>
        <w:t>:</w:t>
      </w:r>
      <w:r w:rsidRPr="00D96F9F">
        <w:rPr>
          <w:bCs/>
          <w:sz w:val="17"/>
          <w:szCs w:val="17"/>
        </w:rPr>
        <w:t xml:space="preserve"> </w:t>
      </w:r>
      <w:r w:rsidRPr="00D96F9F">
        <w:rPr>
          <w:sz w:val="17"/>
          <w:szCs w:val="17"/>
        </w:rPr>
        <w:t>Serum total magnesium and ionized</w:t>
      </w:r>
      <w:r w:rsidR="00571726" w:rsidRPr="00D96F9F">
        <w:rPr>
          <w:sz w:val="17"/>
          <w:szCs w:val="17"/>
        </w:rPr>
        <w:t xml:space="preserve"> </w:t>
      </w:r>
      <w:r w:rsidRPr="00D96F9F">
        <w:rPr>
          <w:sz w:val="17"/>
          <w:szCs w:val="17"/>
        </w:rPr>
        <w:t>calcium concentrations in asphyxiated term newborn infants with</w:t>
      </w:r>
      <w:r w:rsidR="00BF39FF" w:rsidRPr="00D96F9F">
        <w:rPr>
          <w:sz w:val="17"/>
          <w:szCs w:val="17"/>
        </w:rPr>
        <w:t xml:space="preserve"> </w:t>
      </w:r>
      <w:r w:rsidRPr="00D96F9F">
        <w:rPr>
          <w:sz w:val="17"/>
          <w:szCs w:val="17"/>
        </w:rPr>
        <w:t xml:space="preserve">hypoxic-ischemic encephalopathy. </w:t>
      </w:r>
      <w:proofErr w:type="spellStart"/>
      <w:r w:rsidRPr="00D96F9F">
        <w:rPr>
          <w:sz w:val="17"/>
          <w:szCs w:val="17"/>
        </w:rPr>
        <w:t>Acta</w:t>
      </w:r>
      <w:proofErr w:type="spellEnd"/>
      <w:r w:rsidRPr="00D96F9F">
        <w:rPr>
          <w:sz w:val="17"/>
          <w:szCs w:val="17"/>
        </w:rPr>
        <w:t xml:space="preserve"> </w:t>
      </w:r>
      <w:proofErr w:type="spellStart"/>
      <w:r w:rsidRPr="00D96F9F">
        <w:rPr>
          <w:sz w:val="17"/>
          <w:szCs w:val="17"/>
        </w:rPr>
        <w:t>Paeditr</w:t>
      </w:r>
      <w:proofErr w:type="spellEnd"/>
      <w:r w:rsidRPr="00D96F9F">
        <w:rPr>
          <w:sz w:val="17"/>
          <w:szCs w:val="17"/>
        </w:rPr>
        <w:t xml:space="preserve"> </w:t>
      </w:r>
      <w:proofErr w:type="gramStart"/>
      <w:r w:rsidRPr="00D96F9F">
        <w:rPr>
          <w:sz w:val="17"/>
          <w:szCs w:val="17"/>
        </w:rPr>
        <w:t>2000 ;89</w:t>
      </w:r>
      <w:proofErr w:type="gramEnd"/>
      <w:r w:rsidRPr="00D96F9F">
        <w:rPr>
          <w:sz w:val="17"/>
          <w:szCs w:val="17"/>
        </w:rPr>
        <w:t>: 680-5.</w:t>
      </w:r>
    </w:p>
    <w:p w:rsidR="00597825" w:rsidRPr="00D96F9F" w:rsidRDefault="00597825" w:rsidP="00EB7ED6">
      <w:pPr>
        <w:numPr>
          <w:ilvl w:val="0"/>
          <w:numId w:val="29"/>
        </w:numPr>
        <w:autoSpaceDE w:val="0"/>
        <w:autoSpaceDN w:val="0"/>
        <w:adjustRightInd w:val="0"/>
        <w:snapToGrid w:val="0"/>
        <w:jc w:val="both"/>
        <w:rPr>
          <w:sz w:val="17"/>
          <w:szCs w:val="17"/>
        </w:rPr>
      </w:pPr>
      <w:proofErr w:type="spellStart"/>
      <w:r w:rsidRPr="00D96F9F">
        <w:rPr>
          <w:bCs/>
          <w:sz w:val="17"/>
          <w:szCs w:val="17"/>
        </w:rPr>
        <w:t>Jajoo</w:t>
      </w:r>
      <w:proofErr w:type="spellEnd"/>
      <w:r w:rsidRPr="00D96F9F">
        <w:rPr>
          <w:bCs/>
          <w:sz w:val="17"/>
          <w:szCs w:val="17"/>
        </w:rPr>
        <w:t xml:space="preserve"> D, </w:t>
      </w:r>
      <w:proofErr w:type="spellStart"/>
      <w:r w:rsidR="00360BC9" w:rsidRPr="00D96F9F">
        <w:rPr>
          <w:bCs/>
          <w:sz w:val="17"/>
          <w:szCs w:val="17"/>
        </w:rPr>
        <w:t>Jajoo</w:t>
      </w:r>
      <w:proofErr w:type="spellEnd"/>
      <w:r w:rsidRPr="00D96F9F">
        <w:rPr>
          <w:bCs/>
          <w:sz w:val="17"/>
          <w:szCs w:val="17"/>
        </w:rPr>
        <w:t xml:space="preserve"> A, Shankar R, </w:t>
      </w:r>
      <w:r w:rsidR="005732D0" w:rsidRPr="00D96F9F">
        <w:rPr>
          <w:bCs/>
          <w:i/>
          <w:iCs/>
          <w:sz w:val="17"/>
          <w:szCs w:val="17"/>
          <w:lang w:val="en-IN" w:eastAsia="en-IN"/>
        </w:rPr>
        <w:t>et al.</w:t>
      </w:r>
      <w:r w:rsidR="00EB7ED6">
        <w:rPr>
          <w:bCs/>
          <w:sz w:val="17"/>
          <w:szCs w:val="17"/>
        </w:rPr>
        <w:t>:</w:t>
      </w:r>
      <w:r w:rsidRPr="00D96F9F">
        <w:rPr>
          <w:bCs/>
          <w:sz w:val="17"/>
          <w:szCs w:val="17"/>
        </w:rPr>
        <w:t xml:space="preserve"> </w:t>
      </w:r>
      <w:r w:rsidRPr="00D96F9F">
        <w:rPr>
          <w:sz w:val="17"/>
          <w:szCs w:val="17"/>
        </w:rPr>
        <w:t>Effects of birth asphyxia in</w:t>
      </w:r>
      <w:r w:rsidR="00E40953" w:rsidRPr="00D96F9F">
        <w:rPr>
          <w:sz w:val="17"/>
          <w:szCs w:val="17"/>
        </w:rPr>
        <w:t xml:space="preserve"> </w:t>
      </w:r>
      <w:r w:rsidRPr="00D96F9F">
        <w:rPr>
          <w:sz w:val="17"/>
          <w:szCs w:val="17"/>
        </w:rPr>
        <w:t xml:space="preserve">serum calcium levels in neonates. </w:t>
      </w:r>
      <w:proofErr w:type="spellStart"/>
      <w:r w:rsidRPr="00D96F9F">
        <w:rPr>
          <w:sz w:val="17"/>
          <w:szCs w:val="17"/>
        </w:rPr>
        <w:t>Indain</w:t>
      </w:r>
      <w:proofErr w:type="spellEnd"/>
      <w:r w:rsidRPr="00D96F9F">
        <w:rPr>
          <w:sz w:val="17"/>
          <w:szCs w:val="17"/>
        </w:rPr>
        <w:t xml:space="preserve"> J Pediatr</w:t>
      </w:r>
      <w:r w:rsidR="00AA3767" w:rsidRPr="00D96F9F">
        <w:rPr>
          <w:sz w:val="17"/>
          <w:szCs w:val="17"/>
        </w:rPr>
        <w:t>1995</w:t>
      </w:r>
      <w:r w:rsidRPr="00D96F9F">
        <w:rPr>
          <w:sz w:val="17"/>
          <w:szCs w:val="17"/>
        </w:rPr>
        <w:t>, 62(4): 455-9.</w:t>
      </w:r>
    </w:p>
    <w:p w:rsidR="00597825" w:rsidRPr="00D96F9F" w:rsidRDefault="00597825" w:rsidP="00EB7ED6">
      <w:pPr>
        <w:numPr>
          <w:ilvl w:val="0"/>
          <w:numId w:val="29"/>
        </w:numPr>
        <w:autoSpaceDE w:val="0"/>
        <w:autoSpaceDN w:val="0"/>
        <w:adjustRightInd w:val="0"/>
        <w:snapToGrid w:val="0"/>
        <w:jc w:val="both"/>
        <w:rPr>
          <w:sz w:val="17"/>
          <w:szCs w:val="17"/>
        </w:rPr>
      </w:pPr>
      <w:proofErr w:type="spellStart"/>
      <w:r w:rsidRPr="00D96F9F">
        <w:rPr>
          <w:bCs/>
          <w:sz w:val="17"/>
          <w:szCs w:val="17"/>
        </w:rPr>
        <w:t>Jukarinen</w:t>
      </w:r>
      <w:proofErr w:type="spellEnd"/>
      <w:r w:rsidRPr="00D96F9F">
        <w:rPr>
          <w:bCs/>
          <w:sz w:val="17"/>
          <w:szCs w:val="17"/>
        </w:rPr>
        <w:t xml:space="preserve"> J: </w:t>
      </w:r>
      <w:r w:rsidRPr="00D96F9F">
        <w:rPr>
          <w:sz w:val="17"/>
          <w:szCs w:val="17"/>
        </w:rPr>
        <w:t>Plasma magnesium concentrations during the first five days</w:t>
      </w:r>
      <w:r w:rsidR="00571726" w:rsidRPr="00D96F9F">
        <w:rPr>
          <w:sz w:val="17"/>
          <w:szCs w:val="17"/>
        </w:rPr>
        <w:t xml:space="preserve"> </w:t>
      </w:r>
      <w:r w:rsidRPr="00D96F9F">
        <w:rPr>
          <w:sz w:val="17"/>
          <w:szCs w:val="17"/>
        </w:rPr>
        <w:t xml:space="preserve">of live. </w:t>
      </w:r>
      <w:proofErr w:type="spellStart"/>
      <w:r w:rsidRPr="00D96F9F">
        <w:rPr>
          <w:sz w:val="17"/>
          <w:szCs w:val="17"/>
        </w:rPr>
        <w:t>Acta</w:t>
      </w:r>
      <w:proofErr w:type="spellEnd"/>
      <w:r w:rsidRPr="00D96F9F">
        <w:rPr>
          <w:sz w:val="17"/>
          <w:szCs w:val="17"/>
        </w:rPr>
        <w:t xml:space="preserve"> </w:t>
      </w:r>
      <w:proofErr w:type="spellStart"/>
      <w:r w:rsidRPr="00D96F9F">
        <w:rPr>
          <w:sz w:val="17"/>
          <w:szCs w:val="17"/>
        </w:rPr>
        <w:t>Paediater</w:t>
      </w:r>
      <w:proofErr w:type="spellEnd"/>
      <w:r w:rsidRPr="00D96F9F">
        <w:rPr>
          <w:sz w:val="17"/>
          <w:szCs w:val="17"/>
        </w:rPr>
        <w:t xml:space="preserve"> Scand 1979; S222: 5-55.</w:t>
      </w:r>
      <w:r w:rsidR="00BF39FF" w:rsidRPr="00D96F9F">
        <w:rPr>
          <w:sz w:val="17"/>
          <w:szCs w:val="17"/>
        </w:rPr>
        <w:t xml:space="preserve"> </w:t>
      </w:r>
      <w:proofErr w:type="gramStart"/>
      <w:r w:rsidRPr="00D96F9F">
        <w:rPr>
          <w:sz w:val="17"/>
          <w:szCs w:val="17"/>
        </w:rPr>
        <w:t>for</w:t>
      </w:r>
      <w:proofErr w:type="gramEnd"/>
      <w:r w:rsidRPr="00D96F9F">
        <w:rPr>
          <w:sz w:val="17"/>
          <w:szCs w:val="17"/>
        </w:rPr>
        <w:t xml:space="preserve"> reduction of birth asphyxia induced brain damage</w:t>
      </w:r>
      <w:r w:rsidR="00EB7ED6">
        <w:rPr>
          <w:rFonts w:hint="eastAsia"/>
          <w:sz w:val="17"/>
          <w:szCs w:val="17"/>
          <w:lang w:eastAsia="zh-CN"/>
        </w:rPr>
        <w:t>.</w:t>
      </w:r>
    </w:p>
    <w:p w:rsidR="007C2E00" w:rsidRPr="00D96F9F" w:rsidRDefault="007C2E00" w:rsidP="00EB7ED6">
      <w:pPr>
        <w:numPr>
          <w:ilvl w:val="0"/>
          <w:numId w:val="29"/>
        </w:numPr>
        <w:autoSpaceDE w:val="0"/>
        <w:autoSpaceDN w:val="0"/>
        <w:adjustRightInd w:val="0"/>
        <w:snapToGrid w:val="0"/>
        <w:jc w:val="both"/>
        <w:rPr>
          <w:sz w:val="17"/>
          <w:szCs w:val="17"/>
          <w:lang w:val="en-IN" w:eastAsia="en-IN"/>
        </w:rPr>
      </w:pPr>
      <w:r w:rsidRPr="00D96F9F">
        <w:rPr>
          <w:bCs/>
          <w:sz w:val="17"/>
          <w:szCs w:val="17"/>
          <w:lang w:val="en-IN" w:eastAsia="en-IN"/>
        </w:rPr>
        <w:t xml:space="preserve">Levine BS and Coburn JW: </w:t>
      </w:r>
      <w:r w:rsidRPr="00D96F9F">
        <w:rPr>
          <w:sz w:val="17"/>
          <w:szCs w:val="17"/>
          <w:lang w:val="en-IN" w:eastAsia="en-IN"/>
        </w:rPr>
        <w:t>Magnesium, the mimic/antagonist of</w:t>
      </w:r>
      <w:r w:rsidR="00571726" w:rsidRPr="00D96F9F">
        <w:rPr>
          <w:sz w:val="17"/>
          <w:szCs w:val="17"/>
          <w:lang w:val="en-IN" w:eastAsia="en-IN"/>
        </w:rPr>
        <w:t xml:space="preserve"> </w:t>
      </w:r>
      <w:r w:rsidRPr="00D96F9F">
        <w:rPr>
          <w:sz w:val="17"/>
          <w:szCs w:val="17"/>
          <w:lang w:val="en-IN" w:eastAsia="en-IN"/>
        </w:rPr>
        <w:t>calcium. N Eng J Med 1994; 310:1253-5.</w:t>
      </w:r>
    </w:p>
    <w:p w:rsidR="00340D8B" w:rsidRPr="00D96F9F" w:rsidRDefault="00340D8B" w:rsidP="00EB7ED6">
      <w:pPr>
        <w:numPr>
          <w:ilvl w:val="0"/>
          <w:numId w:val="29"/>
        </w:numPr>
        <w:autoSpaceDE w:val="0"/>
        <w:autoSpaceDN w:val="0"/>
        <w:adjustRightInd w:val="0"/>
        <w:snapToGrid w:val="0"/>
        <w:jc w:val="both"/>
        <w:rPr>
          <w:bCs/>
          <w:sz w:val="17"/>
          <w:szCs w:val="17"/>
          <w:lang w:val="en-IN" w:eastAsia="en-IN"/>
        </w:rPr>
      </w:pPr>
      <w:r w:rsidRPr="00D96F9F">
        <w:rPr>
          <w:bCs/>
          <w:sz w:val="17"/>
          <w:szCs w:val="17"/>
          <w:lang w:val="en-IN" w:eastAsia="en-IN"/>
        </w:rPr>
        <w:t>Martinez-</w:t>
      </w:r>
      <w:proofErr w:type="spellStart"/>
      <w:r w:rsidRPr="00D96F9F">
        <w:rPr>
          <w:bCs/>
          <w:sz w:val="17"/>
          <w:szCs w:val="17"/>
          <w:lang w:val="en-IN" w:eastAsia="en-IN"/>
        </w:rPr>
        <w:t>Biarge</w:t>
      </w:r>
      <w:proofErr w:type="spellEnd"/>
      <w:r w:rsidRPr="00D96F9F">
        <w:rPr>
          <w:bCs/>
          <w:sz w:val="17"/>
          <w:szCs w:val="17"/>
          <w:lang w:val="en-IN" w:eastAsia="en-IN"/>
        </w:rPr>
        <w:t xml:space="preserve"> M, </w:t>
      </w:r>
      <w:proofErr w:type="spellStart"/>
      <w:r w:rsidRPr="00D96F9F">
        <w:rPr>
          <w:bCs/>
          <w:sz w:val="17"/>
          <w:szCs w:val="17"/>
          <w:lang w:val="en-IN" w:eastAsia="en-IN"/>
        </w:rPr>
        <w:t>Diez</w:t>
      </w:r>
      <w:proofErr w:type="spellEnd"/>
      <w:r w:rsidRPr="00D96F9F">
        <w:rPr>
          <w:bCs/>
          <w:sz w:val="17"/>
          <w:szCs w:val="17"/>
          <w:lang w:val="en-IN" w:eastAsia="en-IN"/>
        </w:rPr>
        <w:t xml:space="preserve">-Sebastian J, </w:t>
      </w:r>
      <w:proofErr w:type="spellStart"/>
      <w:r w:rsidRPr="00D96F9F">
        <w:rPr>
          <w:bCs/>
          <w:sz w:val="17"/>
          <w:szCs w:val="17"/>
          <w:lang w:val="en-IN" w:eastAsia="en-IN"/>
        </w:rPr>
        <w:t>Wusthoff</w:t>
      </w:r>
      <w:proofErr w:type="spellEnd"/>
      <w:r w:rsidRPr="00D96F9F">
        <w:rPr>
          <w:bCs/>
          <w:sz w:val="17"/>
          <w:szCs w:val="17"/>
          <w:lang w:val="en-IN" w:eastAsia="en-IN"/>
        </w:rPr>
        <w:t xml:space="preserve"> CJ, </w:t>
      </w:r>
      <w:r w:rsidR="005732D0" w:rsidRPr="00D96F9F">
        <w:rPr>
          <w:bCs/>
          <w:i/>
          <w:iCs/>
          <w:sz w:val="17"/>
          <w:szCs w:val="17"/>
          <w:lang w:val="en-IN" w:eastAsia="en-IN"/>
        </w:rPr>
        <w:t>et al.</w:t>
      </w:r>
      <w:r w:rsidRPr="00D96F9F">
        <w:rPr>
          <w:bCs/>
          <w:sz w:val="17"/>
          <w:szCs w:val="17"/>
          <w:lang w:val="en-IN" w:eastAsia="en-IN"/>
        </w:rPr>
        <w:t xml:space="preserve">: </w:t>
      </w:r>
      <w:proofErr w:type="spellStart"/>
      <w:r w:rsidRPr="00D96F9F">
        <w:rPr>
          <w:sz w:val="17"/>
          <w:szCs w:val="17"/>
          <w:lang w:val="en-IN" w:eastAsia="en-IN"/>
        </w:rPr>
        <w:t>Antepartum</w:t>
      </w:r>
      <w:proofErr w:type="spellEnd"/>
      <w:r w:rsidRPr="00D96F9F">
        <w:rPr>
          <w:sz w:val="17"/>
          <w:szCs w:val="17"/>
          <w:lang w:val="en-IN" w:eastAsia="en-IN"/>
        </w:rPr>
        <w:t xml:space="preserve"> and </w:t>
      </w:r>
      <w:proofErr w:type="spellStart"/>
      <w:r w:rsidRPr="00D96F9F">
        <w:rPr>
          <w:sz w:val="17"/>
          <w:szCs w:val="17"/>
          <w:lang w:val="en-IN" w:eastAsia="en-IN"/>
        </w:rPr>
        <w:t>intrapartum</w:t>
      </w:r>
      <w:proofErr w:type="spellEnd"/>
      <w:r w:rsidRPr="00D96F9F">
        <w:rPr>
          <w:sz w:val="17"/>
          <w:szCs w:val="17"/>
          <w:lang w:val="en-IN" w:eastAsia="en-IN"/>
        </w:rPr>
        <w:t xml:space="preserve"> factors preceding neonatal hypoxic-ischemic</w:t>
      </w:r>
      <w:r w:rsidRPr="00D96F9F">
        <w:rPr>
          <w:bCs/>
          <w:sz w:val="17"/>
          <w:szCs w:val="17"/>
          <w:lang w:val="en-IN" w:eastAsia="en-IN"/>
        </w:rPr>
        <w:t xml:space="preserve"> </w:t>
      </w:r>
      <w:r w:rsidRPr="00D96F9F">
        <w:rPr>
          <w:sz w:val="17"/>
          <w:szCs w:val="17"/>
          <w:lang w:val="en-IN" w:eastAsia="en-IN"/>
        </w:rPr>
        <w:t xml:space="preserve">encephalopathy. </w:t>
      </w:r>
      <w:proofErr w:type="spellStart"/>
      <w:r w:rsidRPr="00D96F9F">
        <w:rPr>
          <w:sz w:val="17"/>
          <w:szCs w:val="17"/>
          <w:lang w:val="en-IN" w:eastAsia="en-IN"/>
        </w:rPr>
        <w:t>Pediatrics</w:t>
      </w:r>
      <w:proofErr w:type="spellEnd"/>
      <w:r w:rsidRPr="00D96F9F">
        <w:rPr>
          <w:sz w:val="17"/>
          <w:szCs w:val="17"/>
          <w:lang w:val="en-IN" w:eastAsia="en-IN"/>
        </w:rPr>
        <w:t xml:space="preserve"> 2013; 132:e952.</w:t>
      </w:r>
    </w:p>
    <w:p w:rsidR="00597825" w:rsidRPr="00D96F9F" w:rsidRDefault="00597825" w:rsidP="00EB7ED6">
      <w:pPr>
        <w:numPr>
          <w:ilvl w:val="0"/>
          <w:numId w:val="29"/>
        </w:numPr>
        <w:autoSpaceDE w:val="0"/>
        <w:autoSpaceDN w:val="0"/>
        <w:adjustRightInd w:val="0"/>
        <w:snapToGrid w:val="0"/>
        <w:jc w:val="both"/>
        <w:rPr>
          <w:sz w:val="17"/>
          <w:szCs w:val="17"/>
        </w:rPr>
      </w:pPr>
      <w:r w:rsidRPr="00D96F9F">
        <w:rPr>
          <w:bCs/>
          <w:sz w:val="17"/>
          <w:szCs w:val="17"/>
        </w:rPr>
        <w:t xml:space="preserve">Mehta KC, </w:t>
      </w:r>
      <w:proofErr w:type="spellStart"/>
      <w:r w:rsidRPr="00D96F9F">
        <w:rPr>
          <w:bCs/>
          <w:sz w:val="17"/>
          <w:szCs w:val="17"/>
        </w:rPr>
        <w:t>Kalkwarf</w:t>
      </w:r>
      <w:proofErr w:type="spellEnd"/>
      <w:r w:rsidRPr="00D96F9F">
        <w:rPr>
          <w:bCs/>
          <w:sz w:val="17"/>
          <w:szCs w:val="17"/>
        </w:rPr>
        <w:t xml:space="preserve"> HJ, </w:t>
      </w:r>
      <w:proofErr w:type="spellStart"/>
      <w:proofErr w:type="gramStart"/>
      <w:r w:rsidRPr="00D96F9F">
        <w:rPr>
          <w:bCs/>
          <w:sz w:val="17"/>
          <w:szCs w:val="17"/>
        </w:rPr>
        <w:t>Mimouni</w:t>
      </w:r>
      <w:proofErr w:type="spellEnd"/>
      <w:proofErr w:type="gramEnd"/>
      <w:r w:rsidRPr="00D96F9F">
        <w:rPr>
          <w:bCs/>
          <w:sz w:val="17"/>
          <w:szCs w:val="17"/>
        </w:rPr>
        <w:t xml:space="preserve"> F, </w:t>
      </w:r>
      <w:r w:rsidR="005732D0" w:rsidRPr="00D96F9F">
        <w:rPr>
          <w:bCs/>
          <w:i/>
          <w:iCs/>
          <w:sz w:val="17"/>
          <w:szCs w:val="17"/>
          <w:lang w:val="en-IN" w:eastAsia="en-IN"/>
        </w:rPr>
        <w:t>et al.</w:t>
      </w:r>
      <w:r w:rsidRPr="00D96F9F">
        <w:rPr>
          <w:bCs/>
          <w:sz w:val="17"/>
          <w:szCs w:val="17"/>
        </w:rPr>
        <w:t xml:space="preserve">: </w:t>
      </w:r>
      <w:r w:rsidRPr="00D96F9F">
        <w:rPr>
          <w:sz w:val="17"/>
          <w:szCs w:val="17"/>
        </w:rPr>
        <w:t>Randomized trial of</w:t>
      </w:r>
      <w:r w:rsidR="00571726" w:rsidRPr="00D96F9F">
        <w:rPr>
          <w:sz w:val="17"/>
          <w:szCs w:val="17"/>
        </w:rPr>
        <w:t xml:space="preserve"> </w:t>
      </w:r>
      <w:r w:rsidRPr="00D96F9F">
        <w:rPr>
          <w:sz w:val="17"/>
          <w:szCs w:val="17"/>
        </w:rPr>
        <w:t xml:space="preserve">magnesium administration to prevent </w:t>
      </w:r>
      <w:proofErr w:type="spellStart"/>
      <w:r w:rsidRPr="00D96F9F">
        <w:rPr>
          <w:sz w:val="17"/>
          <w:szCs w:val="17"/>
        </w:rPr>
        <w:t>hypocalcemia</w:t>
      </w:r>
      <w:proofErr w:type="spellEnd"/>
      <w:r w:rsidRPr="00D96F9F">
        <w:rPr>
          <w:sz w:val="17"/>
          <w:szCs w:val="17"/>
        </w:rPr>
        <w:t xml:space="preserve"> in infants of diabetic</w:t>
      </w:r>
      <w:r w:rsidR="00571726" w:rsidRPr="00D96F9F">
        <w:rPr>
          <w:sz w:val="17"/>
          <w:szCs w:val="17"/>
        </w:rPr>
        <w:t xml:space="preserve"> </w:t>
      </w:r>
      <w:r w:rsidRPr="00D96F9F">
        <w:rPr>
          <w:sz w:val="17"/>
          <w:szCs w:val="17"/>
        </w:rPr>
        <w:t xml:space="preserve">mothers. J </w:t>
      </w:r>
      <w:proofErr w:type="spellStart"/>
      <w:r w:rsidRPr="00D96F9F">
        <w:rPr>
          <w:sz w:val="17"/>
          <w:szCs w:val="17"/>
        </w:rPr>
        <w:t>Perinatol</w:t>
      </w:r>
      <w:proofErr w:type="spellEnd"/>
      <w:r w:rsidRPr="00D96F9F">
        <w:rPr>
          <w:sz w:val="17"/>
          <w:szCs w:val="17"/>
        </w:rPr>
        <w:t xml:space="preserve"> 1998; 18(5): 352-6.</w:t>
      </w:r>
    </w:p>
    <w:p w:rsidR="00634949" w:rsidRPr="00D96F9F" w:rsidRDefault="008C74A0" w:rsidP="00EB7ED6">
      <w:pPr>
        <w:numPr>
          <w:ilvl w:val="0"/>
          <w:numId w:val="29"/>
        </w:numPr>
        <w:autoSpaceDE w:val="0"/>
        <w:autoSpaceDN w:val="0"/>
        <w:adjustRightInd w:val="0"/>
        <w:snapToGrid w:val="0"/>
        <w:jc w:val="both"/>
        <w:rPr>
          <w:sz w:val="17"/>
          <w:szCs w:val="17"/>
          <w:lang w:val="en-IN" w:eastAsia="en-IN"/>
        </w:rPr>
      </w:pPr>
      <w:r w:rsidRPr="00D96F9F">
        <w:rPr>
          <w:bCs/>
          <w:sz w:val="17"/>
          <w:szCs w:val="17"/>
          <w:lang w:val="en-IN" w:eastAsia="en-IN"/>
        </w:rPr>
        <w:t xml:space="preserve">Petersen S, Christensen NC, </w:t>
      </w:r>
      <w:proofErr w:type="spellStart"/>
      <w:r w:rsidRPr="00D96F9F">
        <w:rPr>
          <w:bCs/>
          <w:sz w:val="17"/>
          <w:szCs w:val="17"/>
          <w:lang w:val="en-IN" w:eastAsia="en-IN"/>
        </w:rPr>
        <w:t>Fogh</w:t>
      </w:r>
      <w:proofErr w:type="spellEnd"/>
      <w:r w:rsidRPr="00D96F9F">
        <w:rPr>
          <w:bCs/>
          <w:sz w:val="17"/>
          <w:szCs w:val="17"/>
          <w:lang w:val="en-IN" w:eastAsia="en-IN"/>
        </w:rPr>
        <w:t xml:space="preserve">-Andersen N.: </w:t>
      </w:r>
      <w:r w:rsidRPr="00D96F9F">
        <w:rPr>
          <w:sz w:val="17"/>
          <w:szCs w:val="17"/>
          <w:lang w:val="en-IN" w:eastAsia="en-IN"/>
        </w:rPr>
        <w:t>Effect on serum calcium of 1</w:t>
      </w:r>
      <w:r w:rsidRPr="00D96F9F">
        <w:rPr>
          <w:sz w:val="17"/>
          <w:szCs w:val="17"/>
          <w:lang w:val="en-IN" w:eastAsia="en-IN"/>
        </w:rPr>
        <w:t>-</w:t>
      </w:r>
      <w:proofErr w:type="spellStart"/>
      <w:r w:rsidRPr="00D96F9F">
        <w:rPr>
          <w:sz w:val="17"/>
          <w:szCs w:val="17"/>
          <w:lang w:val="en-IN" w:eastAsia="en-IN"/>
        </w:rPr>
        <w:t>hydroxy</w:t>
      </w:r>
      <w:proofErr w:type="spellEnd"/>
      <w:r w:rsidRPr="00D96F9F">
        <w:rPr>
          <w:sz w:val="17"/>
          <w:szCs w:val="17"/>
          <w:lang w:val="en-IN" w:eastAsia="en-IN"/>
        </w:rPr>
        <w:t xml:space="preserve">-vitamin D3 supplementation in infants of low birth </w:t>
      </w:r>
      <w:proofErr w:type="spellStart"/>
      <w:r w:rsidRPr="00D96F9F">
        <w:rPr>
          <w:sz w:val="17"/>
          <w:szCs w:val="17"/>
          <w:lang w:val="en-IN" w:eastAsia="en-IN"/>
        </w:rPr>
        <w:t>weight</w:t>
      </w:r>
      <w:proofErr w:type="gramStart"/>
      <w:r w:rsidRPr="00D96F9F">
        <w:rPr>
          <w:sz w:val="17"/>
          <w:szCs w:val="17"/>
          <w:lang w:val="en-IN" w:eastAsia="en-IN"/>
        </w:rPr>
        <w:t>,infants</w:t>
      </w:r>
      <w:proofErr w:type="spellEnd"/>
      <w:proofErr w:type="gramEnd"/>
      <w:r w:rsidRPr="00D96F9F">
        <w:rPr>
          <w:sz w:val="17"/>
          <w:szCs w:val="17"/>
          <w:lang w:val="en-IN" w:eastAsia="en-IN"/>
        </w:rPr>
        <w:t xml:space="preserve"> with </w:t>
      </w:r>
      <w:proofErr w:type="spellStart"/>
      <w:r w:rsidRPr="00D96F9F">
        <w:rPr>
          <w:sz w:val="17"/>
          <w:szCs w:val="17"/>
          <w:lang w:val="en-IN" w:eastAsia="en-IN"/>
        </w:rPr>
        <w:t>perinatal</w:t>
      </w:r>
      <w:proofErr w:type="spellEnd"/>
      <w:r w:rsidRPr="00D96F9F">
        <w:rPr>
          <w:sz w:val="17"/>
          <w:szCs w:val="17"/>
          <w:lang w:val="en-IN" w:eastAsia="en-IN"/>
        </w:rPr>
        <w:t xml:space="preserve"> asphyxia, and infants of diabetic mothers. </w:t>
      </w:r>
      <w:proofErr w:type="spellStart"/>
      <w:r w:rsidRPr="00D96F9F">
        <w:rPr>
          <w:sz w:val="17"/>
          <w:szCs w:val="17"/>
          <w:lang w:val="en-IN" w:eastAsia="en-IN"/>
        </w:rPr>
        <w:t>Acta</w:t>
      </w:r>
      <w:proofErr w:type="spellEnd"/>
      <w:r w:rsidRPr="00D96F9F">
        <w:rPr>
          <w:sz w:val="17"/>
          <w:szCs w:val="17"/>
          <w:lang w:val="en-IN" w:eastAsia="en-IN"/>
        </w:rPr>
        <w:t xml:space="preserve"> </w:t>
      </w:r>
      <w:proofErr w:type="spellStart"/>
      <w:r w:rsidRPr="00D96F9F">
        <w:rPr>
          <w:sz w:val="17"/>
          <w:szCs w:val="17"/>
          <w:lang w:val="en-IN" w:eastAsia="en-IN"/>
        </w:rPr>
        <w:t>Paediatr</w:t>
      </w:r>
      <w:proofErr w:type="spellEnd"/>
      <w:r w:rsidRPr="00D96F9F">
        <w:rPr>
          <w:sz w:val="17"/>
          <w:szCs w:val="17"/>
          <w:lang w:val="en-IN" w:eastAsia="en-IN"/>
        </w:rPr>
        <w:t xml:space="preserve"> Scand 1981; 70: 897-901.</w:t>
      </w:r>
    </w:p>
    <w:p w:rsidR="00597825" w:rsidRPr="00D96F9F" w:rsidRDefault="00597825" w:rsidP="00EB7ED6">
      <w:pPr>
        <w:numPr>
          <w:ilvl w:val="0"/>
          <w:numId w:val="29"/>
        </w:numPr>
        <w:autoSpaceDE w:val="0"/>
        <w:autoSpaceDN w:val="0"/>
        <w:adjustRightInd w:val="0"/>
        <w:snapToGrid w:val="0"/>
        <w:jc w:val="both"/>
        <w:rPr>
          <w:sz w:val="17"/>
          <w:szCs w:val="17"/>
          <w:lang w:val="en-IN" w:eastAsia="en-IN"/>
        </w:rPr>
      </w:pPr>
      <w:proofErr w:type="spellStart"/>
      <w:r w:rsidRPr="00D96F9F">
        <w:rPr>
          <w:bCs/>
          <w:sz w:val="17"/>
          <w:szCs w:val="17"/>
        </w:rPr>
        <w:t>Sarnat</w:t>
      </w:r>
      <w:proofErr w:type="spellEnd"/>
      <w:r w:rsidRPr="00D96F9F">
        <w:rPr>
          <w:bCs/>
          <w:sz w:val="17"/>
          <w:szCs w:val="17"/>
        </w:rPr>
        <w:t xml:space="preserve"> HB and </w:t>
      </w:r>
      <w:proofErr w:type="spellStart"/>
      <w:r w:rsidRPr="00D96F9F">
        <w:rPr>
          <w:bCs/>
          <w:sz w:val="17"/>
          <w:szCs w:val="17"/>
        </w:rPr>
        <w:t>Sarnat</w:t>
      </w:r>
      <w:proofErr w:type="spellEnd"/>
      <w:r w:rsidRPr="00D96F9F">
        <w:rPr>
          <w:bCs/>
          <w:sz w:val="17"/>
          <w:szCs w:val="17"/>
        </w:rPr>
        <w:t xml:space="preserve"> M: </w:t>
      </w:r>
      <w:r w:rsidRPr="00D96F9F">
        <w:rPr>
          <w:sz w:val="17"/>
          <w:szCs w:val="17"/>
        </w:rPr>
        <w:t>Neonatal encephalopathy following fetal</w:t>
      </w:r>
      <w:r w:rsidR="00654566" w:rsidRPr="00D96F9F">
        <w:rPr>
          <w:sz w:val="17"/>
          <w:szCs w:val="17"/>
        </w:rPr>
        <w:t xml:space="preserve"> </w:t>
      </w:r>
      <w:proofErr w:type="spellStart"/>
      <w:r w:rsidR="00E40953" w:rsidRPr="00D96F9F">
        <w:rPr>
          <w:sz w:val="17"/>
          <w:szCs w:val="17"/>
        </w:rPr>
        <w:t>distressAclinical</w:t>
      </w:r>
      <w:proofErr w:type="spellEnd"/>
      <w:r w:rsidR="00E40953" w:rsidRPr="00D96F9F">
        <w:rPr>
          <w:sz w:val="17"/>
          <w:szCs w:val="17"/>
        </w:rPr>
        <w:t xml:space="preserve"> </w:t>
      </w:r>
      <w:r w:rsidRPr="00D96F9F">
        <w:rPr>
          <w:sz w:val="17"/>
          <w:szCs w:val="17"/>
        </w:rPr>
        <w:t>a</w:t>
      </w:r>
      <w:r w:rsidR="00AA3767" w:rsidRPr="00D96F9F">
        <w:rPr>
          <w:sz w:val="17"/>
          <w:szCs w:val="17"/>
        </w:rPr>
        <w:t xml:space="preserve">nd </w:t>
      </w:r>
      <w:r w:rsidRPr="00D96F9F">
        <w:rPr>
          <w:sz w:val="17"/>
          <w:szCs w:val="17"/>
        </w:rPr>
        <w:t xml:space="preserve">electro-encephalographic </w:t>
      </w:r>
      <w:proofErr w:type="spellStart"/>
      <w:r w:rsidRPr="00D96F9F">
        <w:rPr>
          <w:sz w:val="17"/>
          <w:szCs w:val="17"/>
        </w:rPr>
        <w:t>study.Arch</w:t>
      </w:r>
      <w:proofErr w:type="spellEnd"/>
      <w:r w:rsidR="00E40953" w:rsidRPr="00D96F9F">
        <w:rPr>
          <w:sz w:val="17"/>
          <w:szCs w:val="17"/>
        </w:rPr>
        <w:t xml:space="preserve"> </w:t>
      </w:r>
      <w:proofErr w:type="spellStart"/>
      <w:r w:rsidRPr="00D96F9F">
        <w:rPr>
          <w:sz w:val="17"/>
          <w:szCs w:val="17"/>
        </w:rPr>
        <w:t>Neurol</w:t>
      </w:r>
      <w:proofErr w:type="spellEnd"/>
      <w:r w:rsidR="00AA3767" w:rsidRPr="00D96F9F">
        <w:rPr>
          <w:sz w:val="17"/>
          <w:szCs w:val="17"/>
        </w:rPr>
        <w:t xml:space="preserve"> 1976</w:t>
      </w:r>
      <w:r w:rsidR="001102AB" w:rsidRPr="00D96F9F">
        <w:rPr>
          <w:sz w:val="17"/>
          <w:szCs w:val="17"/>
        </w:rPr>
        <w:t>; 33:696</w:t>
      </w:r>
      <w:r w:rsidRPr="00D96F9F">
        <w:rPr>
          <w:sz w:val="17"/>
          <w:szCs w:val="17"/>
        </w:rPr>
        <w:t>-705.</w:t>
      </w:r>
    </w:p>
    <w:p w:rsidR="00597825" w:rsidRPr="00D96F9F" w:rsidRDefault="00597825" w:rsidP="00EB7ED6">
      <w:pPr>
        <w:numPr>
          <w:ilvl w:val="0"/>
          <w:numId w:val="29"/>
        </w:numPr>
        <w:autoSpaceDE w:val="0"/>
        <w:autoSpaceDN w:val="0"/>
        <w:adjustRightInd w:val="0"/>
        <w:snapToGrid w:val="0"/>
        <w:jc w:val="both"/>
        <w:rPr>
          <w:sz w:val="17"/>
          <w:szCs w:val="17"/>
        </w:rPr>
      </w:pPr>
      <w:proofErr w:type="spellStart"/>
      <w:r w:rsidRPr="00D96F9F">
        <w:rPr>
          <w:bCs/>
          <w:sz w:val="17"/>
          <w:szCs w:val="17"/>
        </w:rPr>
        <w:t>Verklan</w:t>
      </w:r>
      <w:proofErr w:type="spellEnd"/>
      <w:r w:rsidRPr="00D96F9F">
        <w:rPr>
          <w:bCs/>
          <w:sz w:val="17"/>
          <w:szCs w:val="17"/>
        </w:rPr>
        <w:t xml:space="preserve"> MT</w:t>
      </w:r>
      <w:r w:rsidRPr="00D96F9F">
        <w:rPr>
          <w:sz w:val="17"/>
          <w:szCs w:val="17"/>
        </w:rPr>
        <w:t>: The Chilling Details: Hypoxic-Ischemic Encephalopathy. J</w:t>
      </w:r>
      <w:r w:rsidR="00654566" w:rsidRPr="00D96F9F">
        <w:rPr>
          <w:sz w:val="17"/>
          <w:szCs w:val="17"/>
        </w:rPr>
        <w:t xml:space="preserve"> </w:t>
      </w:r>
      <w:proofErr w:type="spellStart"/>
      <w:r w:rsidRPr="00D96F9F">
        <w:rPr>
          <w:sz w:val="17"/>
          <w:szCs w:val="17"/>
        </w:rPr>
        <w:t>Perinat</w:t>
      </w:r>
      <w:proofErr w:type="spellEnd"/>
      <w:r w:rsidRPr="00D96F9F">
        <w:rPr>
          <w:sz w:val="17"/>
          <w:szCs w:val="17"/>
        </w:rPr>
        <w:t xml:space="preserve"> Neonatal </w:t>
      </w:r>
      <w:proofErr w:type="spellStart"/>
      <w:r w:rsidRPr="00D96F9F">
        <w:rPr>
          <w:sz w:val="17"/>
          <w:szCs w:val="17"/>
        </w:rPr>
        <w:t>Nurs</w:t>
      </w:r>
      <w:proofErr w:type="spellEnd"/>
      <w:r w:rsidR="00DE628D" w:rsidRPr="00D96F9F">
        <w:rPr>
          <w:sz w:val="17"/>
          <w:szCs w:val="17"/>
        </w:rPr>
        <w:t xml:space="preserve"> 2009</w:t>
      </w:r>
      <w:r w:rsidRPr="00D96F9F">
        <w:rPr>
          <w:sz w:val="17"/>
          <w:szCs w:val="17"/>
        </w:rPr>
        <w:t>; 23 (1): 59-68.</w:t>
      </w:r>
    </w:p>
    <w:p w:rsidR="00597825" w:rsidRPr="00D96F9F" w:rsidRDefault="00597825" w:rsidP="00EB7ED6">
      <w:pPr>
        <w:numPr>
          <w:ilvl w:val="0"/>
          <w:numId w:val="29"/>
        </w:numPr>
        <w:autoSpaceDE w:val="0"/>
        <w:autoSpaceDN w:val="0"/>
        <w:adjustRightInd w:val="0"/>
        <w:snapToGrid w:val="0"/>
        <w:jc w:val="both"/>
        <w:rPr>
          <w:sz w:val="17"/>
          <w:szCs w:val="17"/>
        </w:rPr>
      </w:pPr>
      <w:r w:rsidRPr="00D96F9F">
        <w:rPr>
          <w:bCs/>
          <w:sz w:val="17"/>
          <w:szCs w:val="17"/>
        </w:rPr>
        <w:t>Wu Y</w:t>
      </w:r>
      <w:r w:rsidRPr="00D96F9F">
        <w:rPr>
          <w:sz w:val="17"/>
          <w:szCs w:val="17"/>
        </w:rPr>
        <w:t>: Brain injury in newborn babies: we can't afford to get it wrong.</w:t>
      </w:r>
      <w:r w:rsidR="00654566" w:rsidRPr="00D96F9F">
        <w:rPr>
          <w:sz w:val="17"/>
          <w:szCs w:val="17"/>
        </w:rPr>
        <w:t xml:space="preserve"> </w:t>
      </w:r>
      <w:r w:rsidRPr="00D96F9F">
        <w:rPr>
          <w:sz w:val="17"/>
          <w:szCs w:val="17"/>
        </w:rPr>
        <w:t xml:space="preserve">Ann </w:t>
      </w:r>
      <w:proofErr w:type="spellStart"/>
      <w:r w:rsidRPr="00D96F9F">
        <w:rPr>
          <w:sz w:val="17"/>
          <w:szCs w:val="17"/>
        </w:rPr>
        <w:t>Neurol</w:t>
      </w:r>
      <w:proofErr w:type="spellEnd"/>
      <w:r w:rsidRPr="00D96F9F">
        <w:rPr>
          <w:sz w:val="17"/>
          <w:szCs w:val="17"/>
        </w:rPr>
        <w:t xml:space="preserve"> 2012; 72:151.</w:t>
      </w:r>
    </w:p>
    <w:p w:rsidR="00A112A3" w:rsidRPr="00D96F9F" w:rsidRDefault="00597825" w:rsidP="00EB7ED6">
      <w:pPr>
        <w:numPr>
          <w:ilvl w:val="0"/>
          <w:numId w:val="29"/>
        </w:numPr>
        <w:autoSpaceDE w:val="0"/>
        <w:autoSpaceDN w:val="0"/>
        <w:adjustRightInd w:val="0"/>
        <w:snapToGrid w:val="0"/>
        <w:jc w:val="both"/>
        <w:rPr>
          <w:sz w:val="17"/>
          <w:szCs w:val="17"/>
          <w:lang w:val="en-IN" w:eastAsia="en-IN"/>
        </w:rPr>
      </w:pPr>
      <w:proofErr w:type="spellStart"/>
      <w:r w:rsidRPr="00D96F9F">
        <w:rPr>
          <w:bCs/>
          <w:sz w:val="17"/>
          <w:szCs w:val="17"/>
        </w:rPr>
        <w:t>Yoneda</w:t>
      </w:r>
      <w:proofErr w:type="spellEnd"/>
      <w:r w:rsidRPr="00D96F9F">
        <w:rPr>
          <w:bCs/>
          <w:sz w:val="17"/>
          <w:szCs w:val="17"/>
        </w:rPr>
        <w:t xml:space="preserve"> S, </w:t>
      </w:r>
      <w:proofErr w:type="spellStart"/>
      <w:r w:rsidRPr="00D96F9F">
        <w:rPr>
          <w:bCs/>
          <w:sz w:val="17"/>
          <w:szCs w:val="17"/>
        </w:rPr>
        <w:t>Ibara</w:t>
      </w:r>
      <w:proofErr w:type="spellEnd"/>
      <w:r w:rsidRPr="00D96F9F">
        <w:rPr>
          <w:bCs/>
          <w:sz w:val="17"/>
          <w:szCs w:val="17"/>
        </w:rPr>
        <w:t xml:space="preserve"> S, Kobayashi K, Kato E, Maruyama Y, Maruyama</w:t>
      </w:r>
      <w:r w:rsidR="00654566" w:rsidRPr="00D96F9F">
        <w:rPr>
          <w:bCs/>
          <w:sz w:val="17"/>
          <w:szCs w:val="17"/>
        </w:rPr>
        <w:t xml:space="preserve"> </w:t>
      </w:r>
      <w:r w:rsidRPr="00D96F9F">
        <w:rPr>
          <w:bCs/>
          <w:sz w:val="17"/>
          <w:szCs w:val="17"/>
        </w:rPr>
        <w:t xml:space="preserve">H, Sumida Y, </w:t>
      </w:r>
      <w:proofErr w:type="spellStart"/>
      <w:r w:rsidRPr="00D96F9F">
        <w:rPr>
          <w:bCs/>
          <w:sz w:val="17"/>
          <w:szCs w:val="17"/>
        </w:rPr>
        <w:t>Sunami</w:t>
      </w:r>
      <w:proofErr w:type="spellEnd"/>
      <w:r w:rsidRPr="00D96F9F">
        <w:rPr>
          <w:bCs/>
          <w:sz w:val="17"/>
          <w:szCs w:val="17"/>
        </w:rPr>
        <w:t xml:space="preserve"> R, Sakai M, </w:t>
      </w:r>
      <w:proofErr w:type="spellStart"/>
      <w:r w:rsidRPr="00D96F9F">
        <w:rPr>
          <w:bCs/>
          <w:sz w:val="17"/>
          <w:szCs w:val="17"/>
        </w:rPr>
        <w:t>Ikenoue</w:t>
      </w:r>
      <w:proofErr w:type="spellEnd"/>
      <w:r w:rsidRPr="00D96F9F">
        <w:rPr>
          <w:bCs/>
          <w:sz w:val="17"/>
          <w:szCs w:val="17"/>
        </w:rPr>
        <w:t xml:space="preserve"> T and Saito S </w:t>
      </w:r>
      <w:r w:rsidR="005732D0" w:rsidRPr="00D96F9F">
        <w:rPr>
          <w:bCs/>
          <w:i/>
          <w:iCs/>
          <w:sz w:val="17"/>
          <w:szCs w:val="17"/>
          <w:lang w:val="en-IN" w:eastAsia="en-IN"/>
        </w:rPr>
        <w:t>et al.</w:t>
      </w:r>
      <w:r w:rsidR="00EB7ED6">
        <w:rPr>
          <w:bCs/>
          <w:sz w:val="17"/>
          <w:szCs w:val="17"/>
        </w:rPr>
        <w:t>:</w:t>
      </w:r>
      <w:r w:rsidRPr="00D96F9F">
        <w:rPr>
          <w:bCs/>
          <w:sz w:val="17"/>
          <w:szCs w:val="17"/>
        </w:rPr>
        <w:t xml:space="preserve"> </w:t>
      </w:r>
      <w:r w:rsidRPr="00D96F9F">
        <w:rPr>
          <w:sz w:val="17"/>
          <w:szCs w:val="17"/>
        </w:rPr>
        <w:t>Low</w:t>
      </w:r>
      <w:r w:rsidR="00654566" w:rsidRPr="00D96F9F">
        <w:rPr>
          <w:bCs/>
          <w:sz w:val="17"/>
          <w:szCs w:val="17"/>
        </w:rPr>
        <w:t xml:space="preserve"> </w:t>
      </w:r>
      <w:r w:rsidRPr="00D96F9F">
        <w:rPr>
          <w:sz w:val="17"/>
          <w:szCs w:val="17"/>
        </w:rPr>
        <w:t>adjusted serum ionized calcium concentration shortly after birth predicts</w:t>
      </w:r>
      <w:r w:rsidR="00654566" w:rsidRPr="00D96F9F">
        <w:rPr>
          <w:sz w:val="17"/>
          <w:szCs w:val="17"/>
          <w:lang w:val="en-IN" w:eastAsia="en-IN"/>
        </w:rPr>
        <w:t xml:space="preserve"> poor outcome in neonatal hypoxic-ischemic encephalopathy. J </w:t>
      </w:r>
      <w:proofErr w:type="spellStart"/>
      <w:r w:rsidR="00654566" w:rsidRPr="00D96F9F">
        <w:rPr>
          <w:sz w:val="17"/>
          <w:szCs w:val="17"/>
          <w:lang w:val="en-IN" w:eastAsia="en-IN"/>
        </w:rPr>
        <w:t>Obste</w:t>
      </w:r>
      <w:proofErr w:type="spellEnd"/>
      <w:r w:rsidR="00654566" w:rsidRPr="00D96F9F">
        <w:rPr>
          <w:sz w:val="17"/>
          <w:szCs w:val="17"/>
          <w:lang w:val="en-IN" w:eastAsia="en-IN"/>
        </w:rPr>
        <w:t xml:space="preserve"> </w:t>
      </w:r>
      <w:proofErr w:type="spellStart"/>
      <w:r w:rsidR="00654566" w:rsidRPr="00D96F9F">
        <w:rPr>
          <w:sz w:val="17"/>
          <w:szCs w:val="17"/>
          <w:lang w:val="en-IN" w:eastAsia="en-IN"/>
        </w:rPr>
        <w:t>Gynecol</w:t>
      </w:r>
      <w:proofErr w:type="spellEnd"/>
      <w:r w:rsidR="00654566" w:rsidRPr="00D96F9F">
        <w:rPr>
          <w:sz w:val="17"/>
          <w:szCs w:val="17"/>
          <w:lang w:val="en-IN" w:eastAsia="en-IN"/>
        </w:rPr>
        <w:t xml:space="preserve"> Res Vol. 31, no. 2004; 6: 57-64.</w:t>
      </w:r>
    </w:p>
    <w:p w:rsidR="00D96F9F" w:rsidRPr="00D96F9F" w:rsidRDefault="00D96F9F" w:rsidP="00EB7ED6">
      <w:pPr>
        <w:adjustRightInd w:val="0"/>
        <w:snapToGrid w:val="0"/>
        <w:ind w:left="425" w:hanging="425"/>
        <w:jc w:val="both"/>
        <w:rPr>
          <w:sz w:val="17"/>
          <w:szCs w:val="17"/>
          <w:lang w:val="en-GB"/>
        </w:rPr>
        <w:sectPr w:rsidR="00D96F9F" w:rsidRPr="00D96F9F" w:rsidSect="00D96F9F">
          <w:headerReference w:type="default" r:id="rId18"/>
          <w:footerReference w:type="even" r:id="rId19"/>
          <w:footerReference w:type="default" r:id="rId20"/>
          <w:type w:val="continuous"/>
          <w:pgSz w:w="12242" w:h="15842" w:code="1"/>
          <w:pgMar w:top="1440" w:right="1440" w:bottom="1440" w:left="1440" w:header="720" w:footer="720" w:gutter="0"/>
          <w:cols w:num="2" w:space="708"/>
          <w:docGrid w:linePitch="360"/>
        </w:sectPr>
      </w:pPr>
    </w:p>
    <w:p w:rsidR="00D96F9F" w:rsidRPr="00D96F9F" w:rsidRDefault="00D96F9F" w:rsidP="00EB7ED6">
      <w:pPr>
        <w:pStyle w:val="Subtitle"/>
        <w:bidi w:val="0"/>
        <w:adjustRightInd w:val="0"/>
        <w:snapToGrid w:val="0"/>
        <w:ind w:left="425" w:hanging="425"/>
        <w:jc w:val="both"/>
        <w:rPr>
          <w:b w:val="0"/>
          <w:szCs w:val="20"/>
          <w:lang w:eastAsia="zh-CN" w:bidi="ar-EG"/>
        </w:rPr>
      </w:pPr>
    </w:p>
    <w:p w:rsidR="00D96F9F" w:rsidRDefault="00D96F9F" w:rsidP="00EB7ED6">
      <w:pPr>
        <w:pStyle w:val="Subtitle"/>
        <w:bidi w:val="0"/>
        <w:adjustRightInd w:val="0"/>
        <w:snapToGrid w:val="0"/>
        <w:ind w:left="425" w:hanging="425"/>
        <w:jc w:val="both"/>
        <w:rPr>
          <w:b w:val="0"/>
          <w:szCs w:val="20"/>
          <w:lang w:eastAsia="zh-CN" w:bidi="ar-EG"/>
        </w:rPr>
      </w:pPr>
    </w:p>
    <w:p w:rsidR="002017BF" w:rsidRPr="00D96F9F" w:rsidRDefault="00D96F9F" w:rsidP="00EB7ED6">
      <w:pPr>
        <w:pStyle w:val="Subtitle"/>
        <w:bidi w:val="0"/>
        <w:adjustRightInd w:val="0"/>
        <w:snapToGrid w:val="0"/>
        <w:ind w:left="425" w:hanging="425"/>
        <w:jc w:val="both"/>
        <w:rPr>
          <w:b w:val="0"/>
          <w:szCs w:val="20"/>
          <w:lang w:bidi="ar-EG"/>
        </w:rPr>
      </w:pPr>
      <w:r>
        <w:rPr>
          <w:b w:val="0"/>
          <w:szCs w:val="20"/>
          <w:lang w:bidi="ar-EG"/>
        </w:rPr>
        <w:t>3/21/2015</w:t>
      </w:r>
    </w:p>
    <w:sectPr w:rsidR="002017BF" w:rsidRPr="00D96F9F" w:rsidSect="0081729B">
      <w:headerReference w:type="default" r:id="rId21"/>
      <w:footerReference w:type="even" r:id="rId22"/>
      <w:footerReference w:type="default" r:id="rId23"/>
      <w:type w:val="continuous"/>
      <w:pgSz w:w="12242" w:h="15842" w:code="1"/>
      <w:pgMar w:top="1440" w:right="1440" w:bottom="1440" w:left="1440" w:header="720" w:footer="720"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041" w:rsidRDefault="00E66041">
      <w:r>
        <w:separator/>
      </w:r>
    </w:p>
  </w:endnote>
  <w:endnote w:type="continuationSeparator" w:id="0">
    <w:p w:rsidR="00E66041" w:rsidRDefault="00E660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Default="00BA1C44">
    <w:pPr>
      <w:pStyle w:val="Footer"/>
      <w:framePr w:wrap="around" w:vAnchor="text" w:hAnchor="margin" w:xAlign="center" w:y="1"/>
      <w:jc w:val="right"/>
      <w:rPr>
        <w:rStyle w:val="PageNumber"/>
        <w:rtl/>
      </w:rPr>
    </w:pPr>
    <w:r>
      <w:rPr>
        <w:rStyle w:val="PageNumber"/>
        <w:rtl/>
      </w:rPr>
      <w:fldChar w:fldCharType="begin"/>
    </w:r>
    <w:r w:rsidR="00D96F9F">
      <w:rPr>
        <w:rStyle w:val="PageNumber"/>
      </w:rPr>
      <w:instrText xml:space="preserve">PAGE  </w:instrText>
    </w:r>
    <w:r>
      <w:rPr>
        <w:rStyle w:val="PageNumber"/>
        <w:rtl/>
      </w:rPr>
      <w:fldChar w:fldCharType="end"/>
    </w:r>
  </w:p>
  <w:p w:rsidR="00D96F9F" w:rsidRDefault="00D96F9F">
    <w:pPr>
      <w:pStyle w:val="Footer"/>
      <w:jc w:val="right"/>
      <w:rPr>
        <w:rtl/>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25" w:rsidRPr="00BC7FAE" w:rsidRDefault="00BA1C44" w:rsidP="00BC7FAE">
    <w:pPr>
      <w:jc w:val="center"/>
      <w:rPr>
        <w:sz w:val="20"/>
      </w:rPr>
    </w:pPr>
    <w:r w:rsidRPr="00BC7FAE">
      <w:rPr>
        <w:sz w:val="20"/>
      </w:rPr>
      <w:fldChar w:fldCharType="begin"/>
    </w:r>
    <w:r w:rsidR="00BC7FAE" w:rsidRPr="00BC7FAE">
      <w:rPr>
        <w:sz w:val="20"/>
      </w:rPr>
      <w:instrText xml:space="preserve"> page </w:instrText>
    </w:r>
    <w:r w:rsidRPr="00BC7FAE">
      <w:rPr>
        <w:sz w:val="20"/>
      </w:rPr>
      <w:fldChar w:fldCharType="separate"/>
    </w:r>
    <w:r w:rsidR="00D96F9F">
      <w:rPr>
        <w:noProof/>
        <w:sz w:val="20"/>
      </w:rPr>
      <w:t>- 2 -</w:t>
    </w:r>
    <w:r w:rsidRPr="00BC7FA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Pr="00BC7FAE" w:rsidRDefault="00BA1C44" w:rsidP="00BC7FAE">
    <w:pPr>
      <w:jc w:val="center"/>
      <w:rPr>
        <w:sz w:val="20"/>
      </w:rPr>
    </w:pPr>
    <w:r w:rsidRPr="00BC7FAE">
      <w:rPr>
        <w:sz w:val="20"/>
      </w:rPr>
      <w:fldChar w:fldCharType="begin"/>
    </w:r>
    <w:r w:rsidR="00D96F9F" w:rsidRPr="00BC7FAE">
      <w:rPr>
        <w:sz w:val="20"/>
      </w:rPr>
      <w:instrText xml:space="preserve"> page </w:instrText>
    </w:r>
    <w:r w:rsidRPr="00BC7FAE">
      <w:rPr>
        <w:sz w:val="20"/>
      </w:rPr>
      <w:fldChar w:fldCharType="separate"/>
    </w:r>
    <w:r w:rsidR="00270AE1">
      <w:rPr>
        <w:noProof/>
        <w:sz w:val="20"/>
      </w:rPr>
      <w:t>127</w:t>
    </w:r>
    <w:r w:rsidRPr="00BC7FA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Default="00BA1C44">
    <w:pPr>
      <w:pStyle w:val="Footer"/>
      <w:framePr w:wrap="around" w:vAnchor="text" w:hAnchor="margin" w:xAlign="center" w:y="1"/>
      <w:jc w:val="right"/>
      <w:rPr>
        <w:rStyle w:val="PageNumber"/>
        <w:rtl/>
      </w:rPr>
    </w:pPr>
    <w:r>
      <w:rPr>
        <w:rStyle w:val="PageNumber"/>
        <w:rtl/>
      </w:rPr>
      <w:fldChar w:fldCharType="begin"/>
    </w:r>
    <w:r w:rsidR="00D96F9F">
      <w:rPr>
        <w:rStyle w:val="PageNumber"/>
      </w:rPr>
      <w:instrText xml:space="preserve">PAGE  </w:instrText>
    </w:r>
    <w:r>
      <w:rPr>
        <w:rStyle w:val="PageNumber"/>
        <w:rtl/>
      </w:rPr>
      <w:fldChar w:fldCharType="end"/>
    </w:r>
  </w:p>
  <w:p w:rsidR="00D96F9F" w:rsidRDefault="00D96F9F">
    <w:pPr>
      <w:pStyle w:val="Footer"/>
      <w:jc w:val="right"/>
      <w:rPr>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Pr="00D96F9F" w:rsidRDefault="00BA1C44" w:rsidP="00D96F9F">
    <w:pPr>
      <w:jc w:val="center"/>
      <w:rPr>
        <w:sz w:val="20"/>
      </w:rPr>
    </w:pPr>
    <w:r w:rsidRPr="00D96F9F">
      <w:rPr>
        <w:sz w:val="20"/>
      </w:rPr>
      <w:fldChar w:fldCharType="begin"/>
    </w:r>
    <w:r w:rsidR="00D96F9F" w:rsidRPr="00D96F9F">
      <w:rPr>
        <w:sz w:val="20"/>
      </w:rPr>
      <w:instrText xml:space="preserve"> page </w:instrText>
    </w:r>
    <w:r w:rsidRPr="00D96F9F">
      <w:rPr>
        <w:sz w:val="20"/>
      </w:rPr>
      <w:fldChar w:fldCharType="separate"/>
    </w:r>
    <w:r w:rsidR="00270AE1">
      <w:rPr>
        <w:noProof/>
        <w:sz w:val="20"/>
      </w:rPr>
      <w:t>128</w:t>
    </w:r>
    <w:r w:rsidRPr="00D96F9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Default="00BA1C44">
    <w:pPr>
      <w:pStyle w:val="Footer"/>
      <w:framePr w:wrap="around" w:vAnchor="text" w:hAnchor="margin" w:xAlign="center" w:y="1"/>
      <w:jc w:val="right"/>
      <w:rPr>
        <w:rStyle w:val="PageNumber"/>
        <w:rtl/>
      </w:rPr>
    </w:pPr>
    <w:r>
      <w:rPr>
        <w:rStyle w:val="PageNumber"/>
        <w:rtl/>
      </w:rPr>
      <w:fldChar w:fldCharType="begin"/>
    </w:r>
    <w:r w:rsidR="00D96F9F">
      <w:rPr>
        <w:rStyle w:val="PageNumber"/>
      </w:rPr>
      <w:instrText xml:space="preserve">PAGE  </w:instrText>
    </w:r>
    <w:r>
      <w:rPr>
        <w:rStyle w:val="PageNumber"/>
        <w:rtl/>
      </w:rPr>
      <w:fldChar w:fldCharType="end"/>
    </w:r>
  </w:p>
  <w:p w:rsidR="00D96F9F" w:rsidRDefault="00D96F9F">
    <w:pPr>
      <w:pStyle w:val="Footer"/>
      <w:jc w:val="right"/>
      <w:rPr>
        <w:rt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Pr="00BC7FAE" w:rsidRDefault="00BA1C44" w:rsidP="00BC7FAE">
    <w:pPr>
      <w:jc w:val="center"/>
      <w:rPr>
        <w:sz w:val="20"/>
      </w:rPr>
    </w:pPr>
    <w:r w:rsidRPr="00BC7FAE">
      <w:rPr>
        <w:sz w:val="20"/>
      </w:rPr>
      <w:fldChar w:fldCharType="begin"/>
    </w:r>
    <w:r w:rsidR="00D96F9F" w:rsidRPr="00BC7FAE">
      <w:rPr>
        <w:sz w:val="20"/>
      </w:rPr>
      <w:instrText xml:space="preserve"> page </w:instrText>
    </w:r>
    <w:r w:rsidRPr="00BC7FAE">
      <w:rPr>
        <w:sz w:val="20"/>
      </w:rPr>
      <w:fldChar w:fldCharType="separate"/>
    </w:r>
    <w:r w:rsidR="00270AE1">
      <w:rPr>
        <w:noProof/>
        <w:sz w:val="20"/>
      </w:rPr>
      <w:t>130</w:t>
    </w:r>
    <w:r w:rsidRPr="00BC7FA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Default="00BA1C44">
    <w:pPr>
      <w:pStyle w:val="Footer"/>
      <w:framePr w:wrap="around" w:vAnchor="text" w:hAnchor="margin" w:xAlign="center" w:y="1"/>
      <w:jc w:val="right"/>
      <w:rPr>
        <w:rStyle w:val="PageNumber"/>
        <w:rtl/>
      </w:rPr>
    </w:pPr>
    <w:r>
      <w:rPr>
        <w:rStyle w:val="PageNumber"/>
        <w:rtl/>
      </w:rPr>
      <w:fldChar w:fldCharType="begin"/>
    </w:r>
    <w:r w:rsidR="00D96F9F">
      <w:rPr>
        <w:rStyle w:val="PageNumber"/>
      </w:rPr>
      <w:instrText xml:space="preserve">PAGE  </w:instrText>
    </w:r>
    <w:r>
      <w:rPr>
        <w:rStyle w:val="PageNumber"/>
        <w:rtl/>
      </w:rPr>
      <w:fldChar w:fldCharType="end"/>
    </w:r>
  </w:p>
  <w:p w:rsidR="00D96F9F" w:rsidRDefault="00D96F9F">
    <w:pPr>
      <w:pStyle w:val="Footer"/>
      <w:jc w:val="right"/>
      <w:rPr>
        <w:rtl/>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Pr="00BC7FAE" w:rsidRDefault="00BA1C44" w:rsidP="00BC7FAE">
    <w:pPr>
      <w:jc w:val="center"/>
      <w:rPr>
        <w:sz w:val="20"/>
      </w:rPr>
    </w:pPr>
    <w:r w:rsidRPr="00BC7FAE">
      <w:rPr>
        <w:sz w:val="20"/>
      </w:rPr>
      <w:fldChar w:fldCharType="begin"/>
    </w:r>
    <w:r w:rsidR="00D96F9F" w:rsidRPr="00BC7FAE">
      <w:rPr>
        <w:sz w:val="20"/>
      </w:rPr>
      <w:instrText xml:space="preserve"> page </w:instrText>
    </w:r>
    <w:r w:rsidRPr="00BC7FAE">
      <w:rPr>
        <w:sz w:val="20"/>
      </w:rPr>
      <w:fldChar w:fldCharType="separate"/>
    </w:r>
    <w:r w:rsidR="00270AE1">
      <w:rPr>
        <w:noProof/>
        <w:sz w:val="20"/>
      </w:rPr>
      <w:t>131</w:t>
    </w:r>
    <w:r w:rsidRPr="00BC7FA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25" w:rsidRDefault="00BA1C44">
    <w:pPr>
      <w:pStyle w:val="Footer"/>
      <w:framePr w:wrap="around" w:vAnchor="text" w:hAnchor="margin" w:xAlign="center" w:y="1"/>
      <w:jc w:val="right"/>
      <w:rPr>
        <w:rStyle w:val="PageNumber"/>
        <w:rtl/>
      </w:rPr>
    </w:pPr>
    <w:r>
      <w:rPr>
        <w:rStyle w:val="PageNumber"/>
        <w:rtl/>
      </w:rPr>
      <w:fldChar w:fldCharType="begin"/>
    </w:r>
    <w:r w:rsidR="00597825">
      <w:rPr>
        <w:rStyle w:val="PageNumber"/>
      </w:rPr>
      <w:instrText xml:space="preserve">PAGE  </w:instrText>
    </w:r>
    <w:r>
      <w:rPr>
        <w:rStyle w:val="PageNumber"/>
        <w:rtl/>
      </w:rPr>
      <w:fldChar w:fldCharType="end"/>
    </w:r>
  </w:p>
  <w:p w:rsidR="00597825" w:rsidRDefault="00597825">
    <w:pPr>
      <w:pStyle w:val="Footer"/>
      <w:jc w:val="right"/>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041" w:rsidRDefault="00E66041">
      <w:r>
        <w:separator/>
      </w:r>
    </w:p>
  </w:footnote>
  <w:footnote w:type="continuationSeparator" w:id="0">
    <w:p w:rsidR="00E66041" w:rsidRDefault="00E66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Pr="00BC7FAE" w:rsidRDefault="00D96F9F" w:rsidP="00BC7FAE">
    <w:pPr>
      <w:pBdr>
        <w:bottom w:val="thinThickMediumGap" w:sz="12" w:space="1" w:color="auto"/>
      </w:pBdr>
      <w:tabs>
        <w:tab w:val="left" w:pos="851"/>
        <w:tab w:val="right" w:pos="8364"/>
      </w:tabs>
      <w:adjustRightInd w:val="0"/>
      <w:snapToGrid w:val="0"/>
      <w:jc w:val="both"/>
      <w:rPr>
        <w:sz w:val="20"/>
        <w:szCs w:val="20"/>
      </w:rPr>
    </w:pPr>
    <w:r w:rsidRPr="00BC7FAE">
      <w:rPr>
        <w:rFonts w:hint="eastAsia"/>
        <w:iCs/>
        <w:color w:val="000000"/>
        <w:sz w:val="20"/>
        <w:szCs w:val="20"/>
      </w:rPr>
      <w:tab/>
    </w:r>
    <w:r w:rsidRPr="00BC7FAE">
      <w:rPr>
        <w:sz w:val="20"/>
        <w:szCs w:val="20"/>
      </w:rPr>
      <w:t>Nature and Science 201</w:t>
    </w:r>
    <w:r w:rsidRPr="00BC7FAE">
      <w:rPr>
        <w:rFonts w:hint="eastAsia"/>
        <w:sz w:val="20"/>
        <w:szCs w:val="20"/>
      </w:rPr>
      <w:t>5</w:t>
    </w:r>
    <w:proofErr w:type="gramStart"/>
    <w:r w:rsidRPr="00BC7FAE">
      <w:rPr>
        <w:sz w:val="20"/>
        <w:szCs w:val="20"/>
      </w:rPr>
      <w:t>;1</w:t>
    </w:r>
    <w:r w:rsidRPr="00BC7FAE">
      <w:rPr>
        <w:rFonts w:hint="eastAsia"/>
        <w:sz w:val="20"/>
        <w:szCs w:val="20"/>
      </w:rPr>
      <w:t>3</w:t>
    </w:r>
    <w:proofErr w:type="gramEnd"/>
    <w:r w:rsidRPr="00BC7FAE">
      <w:rPr>
        <w:sz w:val="20"/>
        <w:szCs w:val="20"/>
      </w:rPr>
      <w:t>(</w:t>
    </w:r>
    <w:r w:rsidRPr="00BC7FAE">
      <w:rPr>
        <w:rFonts w:hint="eastAsia"/>
        <w:sz w:val="20"/>
        <w:szCs w:val="20"/>
      </w:rPr>
      <w:t>3)</w:t>
    </w:r>
    <w:r w:rsidRPr="00BC7FAE">
      <w:rPr>
        <w:color w:val="000000"/>
        <w:sz w:val="20"/>
        <w:szCs w:val="20"/>
      </w:rPr>
      <w:t xml:space="preserve"> </w:t>
    </w:r>
    <w:r w:rsidRPr="00BC7FAE">
      <w:rPr>
        <w:rFonts w:hint="eastAsia"/>
        <w:color w:val="000000"/>
        <w:sz w:val="20"/>
        <w:szCs w:val="20"/>
      </w:rPr>
      <w:tab/>
    </w:r>
    <w:r w:rsidRPr="00BC7FAE">
      <w:rPr>
        <w:color w:val="000000"/>
        <w:sz w:val="20"/>
        <w:szCs w:val="20"/>
      </w:rPr>
      <w:t xml:space="preserve"> </w:t>
    </w:r>
    <w:hyperlink r:id="rId1" w:history="1">
      <w:r w:rsidRPr="00BC7FAE">
        <w:rPr>
          <w:rStyle w:val="Hyperlink"/>
          <w:sz w:val="20"/>
          <w:szCs w:val="20"/>
        </w:rPr>
        <w:t>http://www.sciencepub.net/nature</w:t>
      </w:r>
    </w:hyperlink>
  </w:p>
  <w:p w:rsidR="00D96F9F" w:rsidRPr="00BC7FAE" w:rsidRDefault="00D96F9F" w:rsidP="00BC7FA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Pr="00D96F9F" w:rsidRDefault="00D96F9F" w:rsidP="00D96F9F">
    <w:pPr>
      <w:pBdr>
        <w:bottom w:val="thinThickMediumGap" w:sz="12" w:space="1" w:color="auto"/>
      </w:pBdr>
      <w:tabs>
        <w:tab w:val="left" w:pos="851"/>
        <w:tab w:val="right" w:pos="8364"/>
      </w:tabs>
      <w:adjustRightInd w:val="0"/>
      <w:snapToGrid w:val="0"/>
      <w:jc w:val="both"/>
      <w:rPr>
        <w:sz w:val="20"/>
        <w:szCs w:val="20"/>
      </w:rPr>
    </w:pPr>
    <w:r w:rsidRPr="00D96F9F">
      <w:rPr>
        <w:rFonts w:hint="eastAsia"/>
        <w:iCs/>
        <w:color w:val="000000"/>
        <w:sz w:val="20"/>
        <w:szCs w:val="20"/>
      </w:rPr>
      <w:tab/>
    </w:r>
    <w:r w:rsidRPr="00D96F9F">
      <w:rPr>
        <w:sz w:val="20"/>
        <w:szCs w:val="20"/>
      </w:rPr>
      <w:t>Nature and Science 201</w:t>
    </w:r>
    <w:r w:rsidRPr="00D96F9F">
      <w:rPr>
        <w:rFonts w:hint="eastAsia"/>
        <w:sz w:val="20"/>
        <w:szCs w:val="20"/>
      </w:rPr>
      <w:t>5</w:t>
    </w:r>
    <w:proofErr w:type="gramStart"/>
    <w:r w:rsidRPr="00D96F9F">
      <w:rPr>
        <w:sz w:val="20"/>
        <w:szCs w:val="20"/>
      </w:rPr>
      <w:t>;1</w:t>
    </w:r>
    <w:r w:rsidRPr="00D96F9F">
      <w:rPr>
        <w:rFonts w:hint="eastAsia"/>
        <w:sz w:val="20"/>
        <w:szCs w:val="20"/>
      </w:rPr>
      <w:t>3</w:t>
    </w:r>
    <w:proofErr w:type="gramEnd"/>
    <w:r w:rsidRPr="00D96F9F">
      <w:rPr>
        <w:sz w:val="20"/>
        <w:szCs w:val="20"/>
      </w:rPr>
      <w:t>(</w:t>
    </w:r>
    <w:r w:rsidRPr="00D96F9F">
      <w:rPr>
        <w:rFonts w:hint="eastAsia"/>
        <w:sz w:val="20"/>
        <w:szCs w:val="20"/>
      </w:rPr>
      <w:t>3)</w:t>
    </w:r>
    <w:r w:rsidRPr="00D96F9F">
      <w:rPr>
        <w:color w:val="000000"/>
        <w:sz w:val="20"/>
        <w:szCs w:val="20"/>
      </w:rPr>
      <w:t xml:space="preserve"> </w:t>
    </w:r>
    <w:r w:rsidRPr="00D96F9F">
      <w:rPr>
        <w:rFonts w:hint="eastAsia"/>
        <w:color w:val="000000"/>
        <w:sz w:val="20"/>
        <w:szCs w:val="20"/>
      </w:rPr>
      <w:tab/>
    </w:r>
    <w:r w:rsidRPr="00D96F9F">
      <w:rPr>
        <w:color w:val="000000"/>
        <w:sz w:val="20"/>
        <w:szCs w:val="20"/>
      </w:rPr>
      <w:t xml:space="preserve"> </w:t>
    </w:r>
    <w:hyperlink r:id="rId1" w:history="1">
      <w:r w:rsidRPr="00D96F9F">
        <w:rPr>
          <w:rStyle w:val="Hyperlink"/>
          <w:sz w:val="20"/>
          <w:szCs w:val="20"/>
        </w:rPr>
        <w:t>http://www.sciencepub.net/nature</w:t>
      </w:r>
    </w:hyperlink>
  </w:p>
  <w:p w:rsidR="00D96F9F" w:rsidRPr="00D96F9F" w:rsidRDefault="00D96F9F" w:rsidP="00D96F9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Pr="00BC7FAE" w:rsidRDefault="00D96F9F" w:rsidP="00BC7FAE">
    <w:pPr>
      <w:pBdr>
        <w:bottom w:val="thinThickMediumGap" w:sz="12" w:space="1" w:color="auto"/>
      </w:pBdr>
      <w:tabs>
        <w:tab w:val="left" w:pos="851"/>
        <w:tab w:val="right" w:pos="8364"/>
      </w:tabs>
      <w:adjustRightInd w:val="0"/>
      <w:snapToGrid w:val="0"/>
      <w:jc w:val="both"/>
      <w:rPr>
        <w:sz w:val="20"/>
        <w:szCs w:val="20"/>
      </w:rPr>
    </w:pPr>
    <w:r w:rsidRPr="00BC7FAE">
      <w:rPr>
        <w:rFonts w:hint="eastAsia"/>
        <w:iCs/>
        <w:color w:val="000000"/>
        <w:sz w:val="20"/>
        <w:szCs w:val="20"/>
      </w:rPr>
      <w:tab/>
    </w:r>
    <w:r w:rsidRPr="00BC7FAE">
      <w:rPr>
        <w:sz w:val="20"/>
        <w:szCs w:val="20"/>
      </w:rPr>
      <w:t>Nature and Science 201</w:t>
    </w:r>
    <w:r w:rsidRPr="00BC7FAE">
      <w:rPr>
        <w:rFonts w:hint="eastAsia"/>
        <w:sz w:val="20"/>
        <w:szCs w:val="20"/>
      </w:rPr>
      <w:t>5</w:t>
    </w:r>
    <w:proofErr w:type="gramStart"/>
    <w:r w:rsidRPr="00BC7FAE">
      <w:rPr>
        <w:sz w:val="20"/>
        <w:szCs w:val="20"/>
      </w:rPr>
      <w:t>;1</w:t>
    </w:r>
    <w:r w:rsidRPr="00BC7FAE">
      <w:rPr>
        <w:rFonts w:hint="eastAsia"/>
        <w:sz w:val="20"/>
        <w:szCs w:val="20"/>
      </w:rPr>
      <w:t>3</w:t>
    </w:r>
    <w:proofErr w:type="gramEnd"/>
    <w:r w:rsidRPr="00BC7FAE">
      <w:rPr>
        <w:sz w:val="20"/>
        <w:szCs w:val="20"/>
      </w:rPr>
      <w:t>(</w:t>
    </w:r>
    <w:r w:rsidRPr="00BC7FAE">
      <w:rPr>
        <w:rFonts w:hint="eastAsia"/>
        <w:sz w:val="20"/>
        <w:szCs w:val="20"/>
      </w:rPr>
      <w:t>3)</w:t>
    </w:r>
    <w:r w:rsidRPr="00BC7FAE">
      <w:rPr>
        <w:color w:val="000000"/>
        <w:sz w:val="20"/>
        <w:szCs w:val="20"/>
      </w:rPr>
      <w:t xml:space="preserve"> </w:t>
    </w:r>
    <w:r w:rsidRPr="00BC7FAE">
      <w:rPr>
        <w:rFonts w:hint="eastAsia"/>
        <w:color w:val="000000"/>
        <w:sz w:val="20"/>
        <w:szCs w:val="20"/>
      </w:rPr>
      <w:tab/>
    </w:r>
    <w:r w:rsidRPr="00BC7FAE">
      <w:rPr>
        <w:color w:val="000000"/>
        <w:sz w:val="20"/>
        <w:szCs w:val="20"/>
      </w:rPr>
      <w:t xml:space="preserve"> </w:t>
    </w:r>
    <w:hyperlink r:id="rId1" w:history="1">
      <w:r w:rsidRPr="00BC7FAE">
        <w:rPr>
          <w:rStyle w:val="Hyperlink"/>
          <w:sz w:val="20"/>
          <w:szCs w:val="20"/>
        </w:rPr>
        <w:t>http://www.sciencepub.net/nature</w:t>
      </w:r>
    </w:hyperlink>
  </w:p>
  <w:p w:rsidR="00D96F9F" w:rsidRPr="00BC7FAE" w:rsidRDefault="00D96F9F" w:rsidP="00BC7FAE">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F" w:rsidRPr="00BC7FAE" w:rsidRDefault="00D96F9F" w:rsidP="00BC7FAE">
    <w:pPr>
      <w:pBdr>
        <w:bottom w:val="thinThickMediumGap" w:sz="12" w:space="1" w:color="auto"/>
      </w:pBdr>
      <w:tabs>
        <w:tab w:val="left" w:pos="851"/>
        <w:tab w:val="right" w:pos="8364"/>
      </w:tabs>
      <w:adjustRightInd w:val="0"/>
      <w:snapToGrid w:val="0"/>
      <w:jc w:val="both"/>
      <w:rPr>
        <w:sz w:val="20"/>
        <w:szCs w:val="20"/>
      </w:rPr>
    </w:pPr>
    <w:r w:rsidRPr="00BC7FAE">
      <w:rPr>
        <w:rFonts w:hint="eastAsia"/>
        <w:iCs/>
        <w:color w:val="000000"/>
        <w:sz w:val="20"/>
        <w:szCs w:val="20"/>
      </w:rPr>
      <w:tab/>
    </w:r>
    <w:r w:rsidRPr="00BC7FAE">
      <w:rPr>
        <w:sz w:val="20"/>
        <w:szCs w:val="20"/>
      </w:rPr>
      <w:t>Nature and Science 201</w:t>
    </w:r>
    <w:r w:rsidRPr="00BC7FAE">
      <w:rPr>
        <w:rFonts w:hint="eastAsia"/>
        <w:sz w:val="20"/>
        <w:szCs w:val="20"/>
      </w:rPr>
      <w:t>5</w:t>
    </w:r>
    <w:proofErr w:type="gramStart"/>
    <w:r w:rsidRPr="00BC7FAE">
      <w:rPr>
        <w:sz w:val="20"/>
        <w:szCs w:val="20"/>
      </w:rPr>
      <w:t>;1</w:t>
    </w:r>
    <w:r w:rsidRPr="00BC7FAE">
      <w:rPr>
        <w:rFonts w:hint="eastAsia"/>
        <w:sz w:val="20"/>
        <w:szCs w:val="20"/>
      </w:rPr>
      <w:t>3</w:t>
    </w:r>
    <w:proofErr w:type="gramEnd"/>
    <w:r w:rsidRPr="00BC7FAE">
      <w:rPr>
        <w:sz w:val="20"/>
        <w:szCs w:val="20"/>
      </w:rPr>
      <w:t>(</w:t>
    </w:r>
    <w:r w:rsidRPr="00BC7FAE">
      <w:rPr>
        <w:rFonts w:hint="eastAsia"/>
        <w:sz w:val="20"/>
        <w:szCs w:val="20"/>
      </w:rPr>
      <w:t>3)</w:t>
    </w:r>
    <w:r w:rsidRPr="00BC7FAE">
      <w:rPr>
        <w:color w:val="000000"/>
        <w:sz w:val="20"/>
        <w:szCs w:val="20"/>
      </w:rPr>
      <w:t xml:space="preserve"> </w:t>
    </w:r>
    <w:r w:rsidRPr="00BC7FAE">
      <w:rPr>
        <w:rFonts w:hint="eastAsia"/>
        <w:color w:val="000000"/>
        <w:sz w:val="20"/>
        <w:szCs w:val="20"/>
      </w:rPr>
      <w:tab/>
    </w:r>
    <w:r w:rsidRPr="00BC7FAE">
      <w:rPr>
        <w:color w:val="000000"/>
        <w:sz w:val="20"/>
        <w:szCs w:val="20"/>
      </w:rPr>
      <w:t xml:space="preserve"> </w:t>
    </w:r>
    <w:hyperlink r:id="rId1" w:history="1">
      <w:r w:rsidRPr="00BC7FAE">
        <w:rPr>
          <w:rStyle w:val="Hyperlink"/>
          <w:sz w:val="20"/>
          <w:szCs w:val="20"/>
        </w:rPr>
        <w:t>http://www.sciencepub.net/nature</w:t>
      </w:r>
    </w:hyperlink>
  </w:p>
  <w:p w:rsidR="00D96F9F" w:rsidRPr="00BC7FAE" w:rsidRDefault="00D96F9F" w:rsidP="00BC7FAE">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AE" w:rsidRPr="00BC7FAE" w:rsidRDefault="00BC7FAE" w:rsidP="00BC7FAE">
    <w:pPr>
      <w:pBdr>
        <w:bottom w:val="thinThickMediumGap" w:sz="12" w:space="1" w:color="auto"/>
      </w:pBdr>
      <w:tabs>
        <w:tab w:val="left" w:pos="851"/>
        <w:tab w:val="right" w:pos="8364"/>
      </w:tabs>
      <w:adjustRightInd w:val="0"/>
      <w:snapToGrid w:val="0"/>
      <w:jc w:val="both"/>
      <w:rPr>
        <w:sz w:val="20"/>
        <w:szCs w:val="20"/>
      </w:rPr>
    </w:pPr>
    <w:r w:rsidRPr="00BC7FAE">
      <w:rPr>
        <w:rFonts w:hint="eastAsia"/>
        <w:iCs/>
        <w:color w:val="000000"/>
        <w:sz w:val="20"/>
        <w:szCs w:val="20"/>
      </w:rPr>
      <w:tab/>
    </w:r>
    <w:r w:rsidRPr="00BC7FAE">
      <w:rPr>
        <w:sz w:val="20"/>
        <w:szCs w:val="20"/>
      </w:rPr>
      <w:t>Nature and Science 201</w:t>
    </w:r>
    <w:r w:rsidRPr="00BC7FAE">
      <w:rPr>
        <w:rFonts w:hint="eastAsia"/>
        <w:sz w:val="20"/>
        <w:szCs w:val="20"/>
      </w:rPr>
      <w:t>5</w:t>
    </w:r>
    <w:proofErr w:type="gramStart"/>
    <w:r w:rsidRPr="00BC7FAE">
      <w:rPr>
        <w:sz w:val="20"/>
        <w:szCs w:val="20"/>
      </w:rPr>
      <w:t>;1</w:t>
    </w:r>
    <w:r w:rsidRPr="00BC7FAE">
      <w:rPr>
        <w:rFonts w:hint="eastAsia"/>
        <w:sz w:val="20"/>
        <w:szCs w:val="20"/>
      </w:rPr>
      <w:t>3</w:t>
    </w:r>
    <w:proofErr w:type="gramEnd"/>
    <w:r w:rsidRPr="00BC7FAE">
      <w:rPr>
        <w:sz w:val="20"/>
        <w:szCs w:val="20"/>
      </w:rPr>
      <w:t>(</w:t>
    </w:r>
    <w:r w:rsidRPr="00BC7FAE">
      <w:rPr>
        <w:rFonts w:hint="eastAsia"/>
        <w:sz w:val="20"/>
        <w:szCs w:val="20"/>
      </w:rPr>
      <w:t>3)</w:t>
    </w:r>
    <w:r w:rsidRPr="00BC7FAE">
      <w:rPr>
        <w:color w:val="000000"/>
        <w:sz w:val="20"/>
        <w:szCs w:val="20"/>
      </w:rPr>
      <w:t xml:space="preserve"> </w:t>
    </w:r>
    <w:r w:rsidRPr="00BC7FAE">
      <w:rPr>
        <w:rFonts w:hint="eastAsia"/>
        <w:color w:val="000000"/>
        <w:sz w:val="20"/>
        <w:szCs w:val="20"/>
      </w:rPr>
      <w:tab/>
    </w:r>
    <w:r w:rsidRPr="00BC7FAE">
      <w:rPr>
        <w:color w:val="000000"/>
        <w:sz w:val="20"/>
        <w:szCs w:val="20"/>
      </w:rPr>
      <w:t xml:space="preserve"> </w:t>
    </w:r>
    <w:hyperlink r:id="rId1" w:history="1">
      <w:r w:rsidRPr="00BC7FAE">
        <w:rPr>
          <w:rStyle w:val="Hyperlink"/>
          <w:sz w:val="20"/>
          <w:szCs w:val="20"/>
        </w:rPr>
        <w:t>http://www.sciencepub.net/nature</w:t>
      </w:r>
    </w:hyperlink>
  </w:p>
  <w:p w:rsidR="00BC7FAE" w:rsidRPr="00BC7FAE" w:rsidRDefault="00BC7FAE" w:rsidP="00BC7FA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F90"/>
    <w:multiLevelType w:val="hybridMultilevel"/>
    <w:tmpl w:val="146E2B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453B1"/>
    <w:multiLevelType w:val="hybridMultilevel"/>
    <w:tmpl w:val="ECD09EE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627E5D"/>
    <w:multiLevelType w:val="hybridMultilevel"/>
    <w:tmpl w:val="5BA4155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A07ECD"/>
    <w:multiLevelType w:val="hybridMultilevel"/>
    <w:tmpl w:val="ECD09EE8"/>
    <w:lvl w:ilvl="0" w:tplc="0409000F">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3A3049"/>
    <w:multiLevelType w:val="hybridMultilevel"/>
    <w:tmpl w:val="3ED26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F77A3"/>
    <w:multiLevelType w:val="hybridMultilevel"/>
    <w:tmpl w:val="E8F8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B0BE4"/>
    <w:multiLevelType w:val="hybridMultilevel"/>
    <w:tmpl w:val="A4A4C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2D1DCE"/>
    <w:multiLevelType w:val="hybridMultilevel"/>
    <w:tmpl w:val="5BA4155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5932F7"/>
    <w:multiLevelType w:val="hybridMultilevel"/>
    <w:tmpl w:val="D97878E2"/>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07245C"/>
    <w:multiLevelType w:val="hybridMultilevel"/>
    <w:tmpl w:val="51D0E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812492"/>
    <w:multiLevelType w:val="hybridMultilevel"/>
    <w:tmpl w:val="21FE6F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7F80936"/>
    <w:multiLevelType w:val="singleLevel"/>
    <w:tmpl w:val="E50C90E2"/>
    <w:lvl w:ilvl="0">
      <w:numFmt w:val="bullet"/>
      <w:lvlText w:val=""/>
      <w:lvlJc w:val="left"/>
      <w:pPr>
        <w:tabs>
          <w:tab w:val="num" w:pos="302"/>
        </w:tabs>
        <w:ind w:right="302" w:hanging="360"/>
      </w:pPr>
      <w:rPr>
        <w:rFonts w:ascii="Symbol" w:hAnsi="Symbol" w:hint="default"/>
        <w:sz w:val="36"/>
        <w:lang w:bidi="ar-SA"/>
      </w:rPr>
    </w:lvl>
  </w:abstractNum>
  <w:abstractNum w:abstractNumId="12">
    <w:nsid w:val="30AF74EF"/>
    <w:multiLevelType w:val="hybridMultilevel"/>
    <w:tmpl w:val="3D6CE192"/>
    <w:lvl w:ilvl="0" w:tplc="C1A67F7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6506A28"/>
    <w:multiLevelType w:val="hybridMultilevel"/>
    <w:tmpl w:val="F17010F2"/>
    <w:lvl w:ilvl="0" w:tplc="04090001">
      <w:start w:val="1"/>
      <w:numFmt w:val="bullet"/>
      <w:lvlText w:val=""/>
      <w:lvlJc w:val="left"/>
      <w:pPr>
        <w:ind w:left="720" w:hanging="360"/>
      </w:pPr>
      <w:rPr>
        <w:rFonts w:ascii="Symbol" w:hAnsi="Symbol" w:hint="default"/>
      </w:rPr>
    </w:lvl>
    <w:lvl w:ilvl="1" w:tplc="8AAC51EC">
      <w:start w:val="13"/>
      <w:numFmt w:val="bullet"/>
      <w:lvlText w:val="-"/>
      <w:lvlJc w:val="left"/>
      <w:pPr>
        <w:ind w:left="1440" w:hanging="360"/>
      </w:pPr>
      <w:rPr>
        <w:rFonts w:ascii="Times New Roman" w:eastAsia="Times New Roman" w:hAnsi="Times New Roman" w:cs="Times New Roman"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A1252"/>
    <w:multiLevelType w:val="hybridMultilevel"/>
    <w:tmpl w:val="188C1C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7C254B6"/>
    <w:multiLevelType w:val="hybridMultilevel"/>
    <w:tmpl w:val="140A1DEE"/>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9746578"/>
    <w:multiLevelType w:val="hybridMultilevel"/>
    <w:tmpl w:val="E21E5406"/>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3FE44D1F"/>
    <w:multiLevelType w:val="hybridMultilevel"/>
    <w:tmpl w:val="A66CFC02"/>
    <w:lvl w:ilvl="0" w:tplc="6A46635A">
      <w:start w:val="1"/>
      <w:numFmt w:val="decimal"/>
      <w:lvlText w:val="%1."/>
      <w:lvlJc w:val="left"/>
      <w:pPr>
        <w:ind w:left="720" w:hanging="360"/>
      </w:pPr>
      <w:rPr>
        <w:lang w:val="en-I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5005ACC"/>
    <w:multiLevelType w:val="hybridMultilevel"/>
    <w:tmpl w:val="354647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7026DEA"/>
    <w:multiLevelType w:val="hybridMultilevel"/>
    <w:tmpl w:val="E0E8A2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354362"/>
    <w:multiLevelType w:val="hybridMultilevel"/>
    <w:tmpl w:val="A66CFC02"/>
    <w:lvl w:ilvl="0" w:tplc="6A46635A">
      <w:start w:val="1"/>
      <w:numFmt w:val="decimal"/>
      <w:lvlText w:val="%1."/>
      <w:lvlJc w:val="left"/>
      <w:pPr>
        <w:ind w:left="720" w:hanging="360"/>
      </w:pPr>
      <w:rPr>
        <w:lang w:val="en-I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A62446B"/>
    <w:multiLevelType w:val="hybridMultilevel"/>
    <w:tmpl w:val="87D47362"/>
    <w:lvl w:ilvl="0" w:tplc="C3E0E09E">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2">
    <w:nsid w:val="4C1A4586"/>
    <w:multiLevelType w:val="hybridMultilevel"/>
    <w:tmpl w:val="D172B0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1253E88"/>
    <w:multiLevelType w:val="hybridMultilevel"/>
    <w:tmpl w:val="62C21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563908"/>
    <w:multiLevelType w:val="hybridMultilevel"/>
    <w:tmpl w:val="ECD09EE8"/>
    <w:lvl w:ilvl="0" w:tplc="0409000F">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01B2AD5"/>
    <w:multiLevelType w:val="hybridMultilevel"/>
    <w:tmpl w:val="D3B44C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7987E7C"/>
    <w:multiLevelType w:val="hybridMultilevel"/>
    <w:tmpl w:val="5BA41558"/>
    <w:lvl w:ilvl="0" w:tplc="04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nsid w:val="716F02AC"/>
    <w:multiLevelType w:val="hybridMultilevel"/>
    <w:tmpl w:val="5770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BD1B31"/>
    <w:multiLevelType w:val="hybridMultilevel"/>
    <w:tmpl w:val="ECD09EE8"/>
    <w:lvl w:ilvl="0" w:tplc="0409000F">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6"/>
  </w:num>
  <w:num w:numId="3">
    <w:abstractNumId w:val="27"/>
  </w:num>
  <w:num w:numId="4">
    <w:abstractNumId w:val="23"/>
  </w:num>
  <w:num w:numId="5">
    <w:abstractNumId w:val="0"/>
  </w:num>
  <w:num w:numId="6">
    <w:abstractNumId w:val="11"/>
  </w:num>
  <w:num w:numId="7">
    <w:abstractNumId w:val="18"/>
  </w:num>
  <w:num w:numId="8">
    <w:abstractNumId w:val="22"/>
  </w:num>
  <w:num w:numId="9">
    <w:abstractNumId w:val="25"/>
  </w:num>
  <w:num w:numId="10">
    <w:abstractNumId w:val="10"/>
  </w:num>
  <w:num w:numId="11">
    <w:abstractNumId w:val="12"/>
  </w:num>
  <w:num w:numId="12">
    <w:abstractNumId w:val="9"/>
  </w:num>
  <w:num w:numId="13">
    <w:abstractNumId w:val="13"/>
  </w:num>
  <w:num w:numId="14">
    <w:abstractNumId w:val="4"/>
  </w:num>
  <w:num w:numId="15">
    <w:abstractNumId w:val="5"/>
  </w:num>
  <w:num w:numId="16">
    <w:abstractNumId w:val="21"/>
  </w:num>
  <w:num w:numId="17">
    <w:abstractNumId w:val="14"/>
  </w:num>
  <w:num w:numId="18">
    <w:abstractNumId w:val="26"/>
  </w:num>
  <w:num w:numId="19">
    <w:abstractNumId w:val="7"/>
  </w:num>
  <w:num w:numId="20">
    <w:abstractNumId w:val="2"/>
  </w:num>
  <w:num w:numId="21">
    <w:abstractNumId w:val="1"/>
  </w:num>
  <w:num w:numId="22">
    <w:abstractNumId w:val="28"/>
  </w:num>
  <w:num w:numId="23">
    <w:abstractNumId w:val="24"/>
  </w:num>
  <w:num w:numId="24">
    <w:abstractNumId w:val="3"/>
  </w:num>
  <w:num w:numId="25">
    <w:abstractNumId w:val="20"/>
  </w:num>
  <w:num w:numId="26">
    <w:abstractNumId w:val="17"/>
  </w:num>
  <w:num w:numId="27">
    <w:abstractNumId w:val="15"/>
  </w:num>
  <w:num w:numId="28">
    <w:abstractNumId w:val="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oNotTrackMoves/>
  <w:documentProtection w:edit="readOnly" w:enforcement="0"/>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241"/>
    <w:rsid w:val="000022D7"/>
    <w:rsid w:val="00004AAE"/>
    <w:rsid w:val="0000502E"/>
    <w:rsid w:val="00006ED7"/>
    <w:rsid w:val="000203AD"/>
    <w:rsid w:val="00025D9F"/>
    <w:rsid w:val="00030518"/>
    <w:rsid w:val="00030DED"/>
    <w:rsid w:val="00031FC0"/>
    <w:rsid w:val="000327C1"/>
    <w:rsid w:val="00033594"/>
    <w:rsid w:val="00037B7D"/>
    <w:rsid w:val="000462CC"/>
    <w:rsid w:val="00046393"/>
    <w:rsid w:val="00046EAB"/>
    <w:rsid w:val="00052FEA"/>
    <w:rsid w:val="000569A7"/>
    <w:rsid w:val="0005702A"/>
    <w:rsid w:val="0006174B"/>
    <w:rsid w:val="00066696"/>
    <w:rsid w:val="00072B6A"/>
    <w:rsid w:val="000731D8"/>
    <w:rsid w:val="0007429E"/>
    <w:rsid w:val="00083B26"/>
    <w:rsid w:val="00084037"/>
    <w:rsid w:val="0008572F"/>
    <w:rsid w:val="00090858"/>
    <w:rsid w:val="00093B80"/>
    <w:rsid w:val="000A19A2"/>
    <w:rsid w:val="000B58EC"/>
    <w:rsid w:val="000C121F"/>
    <w:rsid w:val="000C463E"/>
    <w:rsid w:val="000D42B5"/>
    <w:rsid w:val="000D691B"/>
    <w:rsid w:val="000D7151"/>
    <w:rsid w:val="000E3C15"/>
    <w:rsid w:val="000F0257"/>
    <w:rsid w:val="000F21F8"/>
    <w:rsid w:val="000F2D3C"/>
    <w:rsid w:val="000F5945"/>
    <w:rsid w:val="0010139B"/>
    <w:rsid w:val="00102755"/>
    <w:rsid w:val="00103142"/>
    <w:rsid w:val="001102AB"/>
    <w:rsid w:val="00110552"/>
    <w:rsid w:val="00110585"/>
    <w:rsid w:val="00111CEF"/>
    <w:rsid w:val="00112E37"/>
    <w:rsid w:val="00113385"/>
    <w:rsid w:val="00113FF9"/>
    <w:rsid w:val="00114E1E"/>
    <w:rsid w:val="001153F8"/>
    <w:rsid w:val="001212F1"/>
    <w:rsid w:val="001231FE"/>
    <w:rsid w:val="00125CD1"/>
    <w:rsid w:val="00126E3B"/>
    <w:rsid w:val="00133E57"/>
    <w:rsid w:val="00137207"/>
    <w:rsid w:val="001416A2"/>
    <w:rsid w:val="0014187B"/>
    <w:rsid w:val="00147469"/>
    <w:rsid w:val="001505C1"/>
    <w:rsid w:val="00150D69"/>
    <w:rsid w:val="00150EB6"/>
    <w:rsid w:val="00151A2E"/>
    <w:rsid w:val="00156CAA"/>
    <w:rsid w:val="00161E72"/>
    <w:rsid w:val="00162CA0"/>
    <w:rsid w:val="00173859"/>
    <w:rsid w:val="001769C5"/>
    <w:rsid w:val="00177663"/>
    <w:rsid w:val="001776F0"/>
    <w:rsid w:val="00181639"/>
    <w:rsid w:val="001843BE"/>
    <w:rsid w:val="00185241"/>
    <w:rsid w:val="0018746F"/>
    <w:rsid w:val="00193713"/>
    <w:rsid w:val="001952F5"/>
    <w:rsid w:val="00196107"/>
    <w:rsid w:val="00197537"/>
    <w:rsid w:val="001A1DE7"/>
    <w:rsid w:val="001A35D7"/>
    <w:rsid w:val="001A6AF7"/>
    <w:rsid w:val="001A6FAF"/>
    <w:rsid w:val="001B0084"/>
    <w:rsid w:val="001B43EF"/>
    <w:rsid w:val="001B5976"/>
    <w:rsid w:val="001B7973"/>
    <w:rsid w:val="001C328A"/>
    <w:rsid w:val="001C381B"/>
    <w:rsid w:val="001C3D66"/>
    <w:rsid w:val="001C546A"/>
    <w:rsid w:val="001C7087"/>
    <w:rsid w:val="001D1054"/>
    <w:rsid w:val="001D5AB1"/>
    <w:rsid w:val="001E3ADB"/>
    <w:rsid w:val="001F24B4"/>
    <w:rsid w:val="001F5228"/>
    <w:rsid w:val="001F57A3"/>
    <w:rsid w:val="001F58EC"/>
    <w:rsid w:val="002017BF"/>
    <w:rsid w:val="00202DE5"/>
    <w:rsid w:val="00206C78"/>
    <w:rsid w:val="00206D7A"/>
    <w:rsid w:val="00210D61"/>
    <w:rsid w:val="0021284D"/>
    <w:rsid w:val="00216F2E"/>
    <w:rsid w:val="00223124"/>
    <w:rsid w:val="002239E8"/>
    <w:rsid w:val="002371B6"/>
    <w:rsid w:val="00240597"/>
    <w:rsid w:val="0024270E"/>
    <w:rsid w:val="00250C28"/>
    <w:rsid w:val="00270AE1"/>
    <w:rsid w:val="00273B4E"/>
    <w:rsid w:val="00274C76"/>
    <w:rsid w:val="00274CA8"/>
    <w:rsid w:val="00276410"/>
    <w:rsid w:val="0027777C"/>
    <w:rsid w:val="00282D61"/>
    <w:rsid w:val="00285F0E"/>
    <w:rsid w:val="002968B4"/>
    <w:rsid w:val="00296AF7"/>
    <w:rsid w:val="002A3F86"/>
    <w:rsid w:val="002A792C"/>
    <w:rsid w:val="002B1327"/>
    <w:rsid w:val="002B1FB8"/>
    <w:rsid w:val="002C1808"/>
    <w:rsid w:val="002C2E0F"/>
    <w:rsid w:val="002C2EC2"/>
    <w:rsid w:val="002C4894"/>
    <w:rsid w:val="002C4D8F"/>
    <w:rsid w:val="002C53FC"/>
    <w:rsid w:val="002D170F"/>
    <w:rsid w:val="002D1F20"/>
    <w:rsid w:val="002D28CC"/>
    <w:rsid w:val="002D4230"/>
    <w:rsid w:val="002E3910"/>
    <w:rsid w:val="002E48D5"/>
    <w:rsid w:val="002E65F7"/>
    <w:rsid w:val="002F4090"/>
    <w:rsid w:val="00302543"/>
    <w:rsid w:val="00302BBD"/>
    <w:rsid w:val="00304F5E"/>
    <w:rsid w:val="00324308"/>
    <w:rsid w:val="00330F90"/>
    <w:rsid w:val="00333267"/>
    <w:rsid w:val="00340D8B"/>
    <w:rsid w:val="00343968"/>
    <w:rsid w:val="0034612F"/>
    <w:rsid w:val="00346160"/>
    <w:rsid w:val="00347C82"/>
    <w:rsid w:val="0035798C"/>
    <w:rsid w:val="003607E9"/>
    <w:rsid w:val="00360BC9"/>
    <w:rsid w:val="003639CD"/>
    <w:rsid w:val="003707BF"/>
    <w:rsid w:val="0037321A"/>
    <w:rsid w:val="00374167"/>
    <w:rsid w:val="003745EB"/>
    <w:rsid w:val="00374CF2"/>
    <w:rsid w:val="00376EEE"/>
    <w:rsid w:val="00385E73"/>
    <w:rsid w:val="0039479E"/>
    <w:rsid w:val="00397A02"/>
    <w:rsid w:val="003A610D"/>
    <w:rsid w:val="003A61C4"/>
    <w:rsid w:val="003B127F"/>
    <w:rsid w:val="003B6C5B"/>
    <w:rsid w:val="003C6494"/>
    <w:rsid w:val="003C72A8"/>
    <w:rsid w:val="003C78D6"/>
    <w:rsid w:val="003D1807"/>
    <w:rsid w:val="003D6B93"/>
    <w:rsid w:val="003D7774"/>
    <w:rsid w:val="003E360A"/>
    <w:rsid w:val="003F4467"/>
    <w:rsid w:val="0040044A"/>
    <w:rsid w:val="0040081F"/>
    <w:rsid w:val="004054E2"/>
    <w:rsid w:val="00411297"/>
    <w:rsid w:val="00411B7F"/>
    <w:rsid w:val="0041350C"/>
    <w:rsid w:val="00414608"/>
    <w:rsid w:val="00416F0A"/>
    <w:rsid w:val="00417D7F"/>
    <w:rsid w:val="00421772"/>
    <w:rsid w:val="00422AF1"/>
    <w:rsid w:val="00425A37"/>
    <w:rsid w:val="00431F4B"/>
    <w:rsid w:val="00432E98"/>
    <w:rsid w:val="00433CEC"/>
    <w:rsid w:val="004358EF"/>
    <w:rsid w:val="004358FD"/>
    <w:rsid w:val="00437776"/>
    <w:rsid w:val="00442B8C"/>
    <w:rsid w:val="00443511"/>
    <w:rsid w:val="00446BFB"/>
    <w:rsid w:val="004479EB"/>
    <w:rsid w:val="00447B5A"/>
    <w:rsid w:val="00454B03"/>
    <w:rsid w:val="00461E90"/>
    <w:rsid w:val="00462EE0"/>
    <w:rsid w:val="004635C4"/>
    <w:rsid w:val="00463F91"/>
    <w:rsid w:val="0047680C"/>
    <w:rsid w:val="00483C66"/>
    <w:rsid w:val="004850D7"/>
    <w:rsid w:val="00491366"/>
    <w:rsid w:val="004B299B"/>
    <w:rsid w:val="004B6BB6"/>
    <w:rsid w:val="004C0476"/>
    <w:rsid w:val="004C0902"/>
    <w:rsid w:val="004C1022"/>
    <w:rsid w:val="004C4DD8"/>
    <w:rsid w:val="004C5008"/>
    <w:rsid w:val="004D0DD4"/>
    <w:rsid w:val="004D0EF7"/>
    <w:rsid w:val="004D1DDE"/>
    <w:rsid w:val="004D39F5"/>
    <w:rsid w:val="004D4AAF"/>
    <w:rsid w:val="004D6316"/>
    <w:rsid w:val="004D6743"/>
    <w:rsid w:val="004E3BBC"/>
    <w:rsid w:val="004E5FFD"/>
    <w:rsid w:val="004F00B8"/>
    <w:rsid w:val="004F32AB"/>
    <w:rsid w:val="004F67A3"/>
    <w:rsid w:val="005028D8"/>
    <w:rsid w:val="005028E5"/>
    <w:rsid w:val="0050460F"/>
    <w:rsid w:val="00505D2A"/>
    <w:rsid w:val="00507234"/>
    <w:rsid w:val="00507604"/>
    <w:rsid w:val="00507E9C"/>
    <w:rsid w:val="005106FB"/>
    <w:rsid w:val="0052334C"/>
    <w:rsid w:val="00530EC5"/>
    <w:rsid w:val="0053285B"/>
    <w:rsid w:val="00537813"/>
    <w:rsid w:val="00541FA1"/>
    <w:rsid w:val="005426F6"/>
    <w:rsid w:val="005500A2"/>
    <w:rsid w:val="005513CC"/>
    <w:rsid w:val="00553B06"/>
    <w:rsid w:val="0056263C"/>
    <w:rsid w:val="005638AC"/>
    <w:rsid w:val="00570D67"/>
    <w:rsid w:val="00570FD4"/>
    <w:rsid w:val="00571726"/>
    <w:rsid w:val="005732D0"/>
    <w:rsid w:val="00575923"/>
    <w:rsid w:val="00576EFC"/>
    <w:rsid w:val="00581CB0"/>
    <w:rsid w:val="005838AE"/>
    <w:rsid w:val="005844AC"/>
    <w:rsid w:val="00586368"/>
    <w:rsid w:val="00592553"/>
    <w:rsid w:val="00597825"/>
    <w:rsid w:val="005A0A35"/>
    <w:rsid w:val="005A379A"/>
    <w:rsid w:val="005B0112"/>
    <w:rsid w:val="005B057B"/>
    <w:rsid w:val="005B32CE"/>
    <w:rsid w:val="005B540A"/>
    <w:rsid w:val="005C2D82"/>
    <w:rsid w:val="005C4B48"/>
    <w:rsid w:val="005D10A4"/>
    <w:rsid w:val="005D7BFC"/>
    <w:rsid w:val="005E030C"/>
    <w:rsid w:val="005E386B"/>
    <w:rsid w:val="005F42AD"/>
    <w:rsid w:val="0060414D"/>
    <w:rsid w:val="006066B9"/>
    <w:rsid w:val="0060757A"/>
    <w:rsid w:val="0061062E"/>
    <w:rsid w:val="00613B9A"/>
    <w:rsid w:val="00621020"/>
    <w:rsid w:val="00621AE0"/>
    <w:rsid w:val="00630D34"/>
    <w:rsid w:val="00634949"/>
    <w:rsid w:val="006400D9"/>
    <w:rsid w:val="00642200"/>
    <w:rsid w:val="0064264A"/>
    <w:rsid w:val="00647D2F"/>
    <w:rsid w:val="00650988"/>
    <w:rsid w:val="006544A6"/>
    <w:rsid w:val="00654566"/>
    <w:rsid w:val="00660988"/>
    <w:rsid w:val="00660A66"/>
    <w:rsid w:val="006630B7"/>
    <w:rsid w:val="00663404"/>
    <w:rsid w:val="00665123"/>
    <w:rsid w:val="0066517B"/>
    <w:rsid w:val="006723D0"/>
    <w:rsid w:val="00673BD8"/>
    <w:rsid w:val="00675623"/>
    <w:rsid w:val="006765CB"/>
    <w:rsid w:val="00682BD5"/>
    <w:rsid w:val="00686697"/>
    <w:rsid w:val="006925D1"/>
    <w:rsid w:val="00692E6A"/>
    <w:rsid w:val="00694C24"/>
    <w:rsid w:val="0069564E"/>
    <w:rsid w:val="006A0EAF"/>
    <w:rsid w:val="006B797E"/>
    <w:rsid w:val="006C7085"/>
    <w:rsid w:val="006D383A"/>
    <w:rsid w:val="006D461F"/>
    <w:rsid w:val="006E1A61"/>
    <w:rsid w:val="006E707A"/>
    <w:rsid w:val="006F6CEC"/>
    <w:rsid w:val="00705650"/>
    <w:rsid w:val="007106B6"/>
    <w:rsid w:val="00724ED7"/>
    <w:rsid w:val="007277D5"/>
    <w:rsid w:val="00731D55"/>
    <w:rsid w:val="00741977"/>
    <w:rsid w:val="00743EFC"/>
    <w:rsid w:val="007504FA"/>
    <w:rsid w:val="00756947"/>
    <w:rsid w:val="00757A50"/>
    <w:rsid w:val="00757BBE"/>
    <w:rsid w:val="007622F9"/>
    <w:rsid w:val="00762D8F"/>
    <w:rsid w:val="0076357C"/>
    <w:rsid w:val="00764DA4"/>
    <w:rsid w:val="007679A7"/>
    <w:rsid w:val="00776A63"/>
    <w:rsid w:val="007866E6"/>
    <w:rsid w:val="00786A87"/>
    <w:rsid w:val="0079072C"/>
    <w:rsid w:val="00791967"/>
    <w:rsid w:val="007929C6"/>
    <w:rsid w:val="00793636"/>
    <w:rsid w:val="00793D72"/>
    <w:rsid w:val="00793FB7"/>
    <w:rsid w:val="007A58FA"/>
    <w:rsid w:val="007A6920"/>
    <w:rsid w:val="007A71BF"/>
    <w:rsid w:val="007B0DCD"/>
    <w:rsid w:val="007B6117"/>
    <w:rsid w:val="007C2E00"/>
    <w:rsid w:val="007C3DD7"/>
    <w:rsid w:val="007F049B"/>
    <w:rsid w:val="007F2AE9"/>
    <w:rsid w:val="007F550B"/>
    <w:rsid w:val="007F724F"/>
    <w:rsid w:val="008017A8"/>
    <w:rsid w:val="00803C4E"/>
    <w:rsid w:val="0081729B"/>
    <w:rsid w:val="0084151B"/>
    <w:rsid w:val="00842646"/>
    <w:rsid w:val="00843CC3"/>
    <w:rsid w:val="00845D97"/>
    <w:rsid w:val="00845DF2"/>
    <w:rsid w:val="008522AA"/>
    <w:rsid w:val="008529A3"/>
    <w:rsid w:val="00855E26"/>
    <w:rsid w:val="00864C27"/>
    <w:rsid w:val="00865C6F"/>
    <w:rsid w:val="00880D5A"/>
    <w:rsid w:val="00883D92"/>
    <w:rsid w:val="00887E9A"/>
    <w:rsid w:val="00891676"/>
    <w:rsid w:val="00893303"/>
    <w:rsid w:val="008973B0"/>
    <w:rsid w:val="008A263B"/>
    <w:rsid w:val="008A5AB4"/>
    <w:rsid w:val="008B1B4B"/>
    <w:rsid w:val="008B4709"/>
    <w:rsid w:val="008B48F8"/>
    <w:rsid w:val="008C1130"/>
    <w:rsid w:val="008C6E26"/>
    <w:rsid w:val="008C74A0"/>
    <w:rsid w:val="008D15D6"/>
    <w:rsid w:val="008D23CC"/>
    <w:rsid w:val="008D56C0"/>
    <w:rsid w:val="008D66B0"/>
    <w:rsid w:val="008E041D"/>
    <w:rsid w:val="008E079F"/>
    <w:rsid w:val="008E140E"/>
    <w:rsid w:val="008E1B00"/>
    <w:rsid w:val="008F0A7E"/>
    <w:rsid w:val="008F2576"/>
    <w:rsid w:val="008F3A7A"/>
    <w:rsid w:val="008F7418"/>
    <w:rsid w:val="00900C16"/>
    <w:rsid w:val="00900C22"/>
    <w:rsid w:val="00903B4F"/>
    <w:rsid w:val="00906A6A"/>
    <w:rsid w:val="009118C3"/>
    <w:rsid w:val="00914A6C"/>
    <w:rsid w:val="00916317"/>
    <w:rsid w:val="00917E71"/>
    <w:rsid w:val="00921B39"/>
    <w:rsid w:val="00921D8D"/>
    <w:rsid w:val="009244F2"/>
    <w:rsid w:val="0092455D"/>
    <w:rsid w:val="00925741"/>
    <w:rsid w:val="00931D4A"/>
    <w:rsid w:val="0093333E"/>
    <w:rsid w:val="00934A1B"/>
    <w:rsid w:val="00935A5B"/>
    <w:rsid w:val="009365E8"/>
    <w:rsid w:val="00940A3C"/>
    <w:rsid w:val="00945B2E"/>
    <w:rsid w:val="00950F96"/>
    <w:rsid w:val="00955575"/>
    <w:rsid w:val="009570B3"/>
    <w:rsid w:val="0098006F"/>
    <w:rsid w:val="009835ED"/>
    <w:rsid w:val="00984238"/>
    <w:rsid w:val="00984E2F"/>
    <w:rsid w:val="00987E95"/>
    <w:rsid w:val="0099719A"/>
    <w:rsid w:val="009A009F"/>
    <w:rsid w:val="009A403B"/>
    <w:rsid w:val="009A70D0"/>
    <w:rsid w:val="009C425C"/>
    <w:rsid w:val="009C4266"/>
    <w:rsid w:val="009C4990"/>
    <w:rsid w:val="009C4BFE"/>
    <w:rsid w:val="009D2264"/>
    <w:rsid w:val="009D2647"/>
    <w:rsid w:val="009D37A7"/>
    <w:rsid w:val="009D46A0"/>
    <w:rsid w:val="009F0B61"/>
    <w:rsid w:val="009F152B"/>
    <w:rsid w:val="009F2BE0"/>
    <w:rsid w:val="009F416E"/>
    <w:rsid w:val="009F4D0E"/>
    <w:rsid w:val="009F5B26"/>
    <w:rsid w:val="00A028F1"/>
    <w:rsid w:val="00A05364"/>
    <w:rsid w:val="00A112A3"/>
    <w:rsid w:val="00A12512"/>
    <w:rsid w:val="00A21382"/>
    <w:rsid w:val="00A23BB4"/>
    <w:rsid w:val="00A24DF3"/>
    <w:rsid w:val="00A27AAD"/>
    <w:rsid w:val="00A34BE7"/>
    <w:rsid w:val="00A34FCA"/>
    <w:rsid w:val="00A37CF0"/>
    <w:rsid w:val="00A46552"/>
    <w:rsid w:val="00A46C8D"/>
    <w:rsid w:val="00A53520"/>
    <w:rsid w:val="00A64BFC"/>
    <w:rsid w:val="00A65A3F"/>
    <w:rsid w:val="00A66ACA"/>
    <w:rsid w:val="00A705FF"/>
    <w:rsid w:val="00A73207"/>
    <w:rsid w:val="00A760BF"/>
    <w:rsid w:val="00A77946"/>
    <w:rsid w:val="00A84F64"/>
    <w:rsid w:val="00AA12D1"/>
    <w:rsid w:val="00AA3767"/>
    <w:rsid w:val="00AA4449"/>
    <w:rsid w:val="00AB13FB"/>
    <w:rsid w:val="00AB1EFD"/>
    <w:rsid w:val="00AC1305"/>
    <w:rsid w:val="00AC323D"/>
    <w:rsid w:val="00AC3597"/>
    <w:rsid w:val="00AC716A"/>
    <w:rsid w:val="00AD4324"/>
    <w:rsid w:val="00AE66EE"/>
    <w:rsid w:val="00AF42E3"/>
    <w:rsid w:val="00AF7674"/>
    <w:rsid w:val="00B0383C"/>
    <w:rsid w:val="00B03CEB"/>
    <w:rsid w:val="00B067D3"/>
    <w:rsid w:val="00B1271C"/>
    <w:rsid w:val="00B152D3"/>
    <w:rsid w:val="00B16BE1"/>
    <w:rsid w:val="00B2032A"/>
    <w:rsid w:val="00B23F2E"/>
    <w:rsid w:val="00B25EB7"/>
    <w:rsid w:val="00B26BB7"/>
    <w:rsid w:val="00B30086"/>
    <w:rsid w:val="00B31786"/>
    <w:rsid w:val="00B40B6B"/>
    <w:rsid w:val="00B410A1"/>
    <w:rsid w:val="00B413A5"/>
    <w:rsid w:val="00B4151A"/>
    <w:rsid w:val="00B44C30"/>
    <w:rsid w:val="00B4535A"/>
    <w:rsid w:val="00B5377C"/>
    <w:rsid w:val="00B57484"/>
    <w:rsid w:val="00B63F6A"/>
    <w:rsid w:val="00B76EB1"/>
    <w:rsid w:val="00B810C9"/>
    <w:rsid w:val="00B879C1"/>
    <w:rsid w:val="00B93871"/>
    <w:rsid w:val="00B94C50"/>
    <w:rsid w:val="00BA1C44"/>
    <w:rsid w:val="00BA3B75"/>
    <w:rsid w:val="00BA4441"/>
    <w:rsid w:val="00BA4F88"/>
    <w:rsid w:val="00BB36B2"/>
    <w:rsid w:val="00BB4B6D"/>
    <w:rsid w:val="00BB7370"/>
    <w:rsid w:val="00BC4DB0"/>
    <w:rsid w:val="00BC7FAE"/>
    <w:rsid w:val="00BD07B5"/>
    <w:rsid w:val="00BE048A"/>
    <w:rsid w:val="00BF2134"/>
    <w:rsid w:val="00BF39FF"/>
    <w:rsid w:val="00C03FF4"/>
    <w:rsid w:val="00C0404E"/>
    <w:rsid w:val="00C10697"/>
    <w:rsid w:val="00C2214A"/>
    <w:rsid w:val="00C30881"/>
    <w:rsid w:val="00C33478"/>
    <w:rsid w:val="00C40F27"/>
    <w:rsid w:val="00C47229"/>
    <w:rsid w:val="00C512D4"/>
    <w:rsid w:val="00C54E2C"/>
    <w:rsid w:val="00C72765"/>
    <w:rsid w:val="00C7489D"/>
    <w:rsid w:val="00C75ACF"/>
    <w:rsid w:val="00C75EE4"/>
    <w:rsid w:val="00C7649C"/>
    <w:rsid w:val="00C7709C"/>
    <w:rsid w:val="00C77BE3"/>
    <w:rsid w:val="00C82EAC"/>
    <w:rsid w:val="00C83523"/>
    <w:rsid w:val="00C9191E"/>
    <w:rsid w:val="00C91DFD"/>
    <w:rsid w:val="00C970C5"/>
    <w:rsid w:val="00CB0116"/>
    <w:rsid w:val="00CB0F57"/>
    <w:rsid w:val="00CB16B9"/>
    <w:rsid w:val="00CB64F8"/>
    <w:rsid w:val="00CC0180"/>
    <w:rsid w:val="00CC3E09"/>
    <w:rsid w:val="00CE0D71"/>
    <w:rsid w:val="00CE1C59"/>
    <w:rsid w:val="00CE3B04"/>
    <w:rsid w:val="00CE4408"/>
    <w:rsid w:val="00CE4E36"/>
    <w:rsid w:val="00CF2E23"/>
    <w:rsid w:val="00CF51F3"/>
    <w:rsid w:val="00D0037E"/>
    <w:rsid w:val="00D00488"/>
    <w:rsid w:val="00D1378F"/>
    <w:rsid w:val="00D23064"/>
    <w:rsid w:val="00D242D5"/>
    <w:rsid w:val="00D316A1"/>
    <w:rsid w:val="00D32BBC"/>
    <w:rsid w:val="00D34B09"/>
    <w:rsid w:val="00D54BAC"/>
    <w:rsid w:val="00D63C97"/>
    <w:rsid w:val="00D711D7"/>
    <w:rsid w:val="00D75AF0"/>
    <w:rsid w:val="00D80959"/>
    <w:rsid w:val="00D8142A"/>
    <w:rsid w:val="00D8521F"/>
    <w:rsid w:val="00D87F1F"/>
    <w:rsid w:val="00D90B9E"/>
    <w:rsid w:val="00D9109E"/>
    <w:rsid w:val="00D94CD2"/>
    <w:rsid w:val="00D96F9F"/>
    <w:rsid w:val="00DA65B3"/>
    <w:rsid w:val="00DA695E"/>
    <w:rsid w:val="00DA6E17"/>
    <w:rsid w:val="00DA7681"/>
    <w:rsid w:val="00DB0D3C"/>
    <w:rsid w:val="00DB4998"/>
    <w:rsid w:val="00DC239E"/>
    <w:rsid w:val="00DC24A9"/>
    <w:rsid w:val="00DC4032"/>
    <w:rsid w:val="00DC66BD"/>
    <w:rsid w:val="00DD01CB"/>
    <w:rsid w:val="00DD077D"/>
    <w:rsid w:val="00DD1C49"/>
    <w:rsid w:val="00DD4DC0"/>
    <w:rsid w:val="00DD56F7"/>
    <w:rsid w:val="00DE5E0B"/>
    <w:rsid w:val="00DE628D"/>
    <w:rsid w:val="00DF7A28"/>
    <w:rsid w:val="00E00EBE"/>
    <w:rsid w:val="00E02DFA"/>
    <w:rsid w:val="00E0756B"/>
    <w:rsid w:val="00E13583"/>
    <w:rsid w:val="00E14B1F"/>
    <w:rsid w:val="00E16D5C"/>
    <w:rsid w:val="00E24979"/>
    <w:rsid w:val="00E24B36"/>
    <w:rsid w:val="00E263E2"/>
    <w:rsid w:val="00E268E9"/>
    <w:rsid w:val="00E27748"/>
    <w:rsid w:val="00E40953"/>
    <w:rsid w:val="00E410C2"/>
    <w:rsid w:val="00E4532F"/>
    <w:rsid w:val="00E51B08"/>
    <w:rsid w:val="00E538FF"/>
    <w:rsid w:val="00E55451"/>
    <w:rsid w:val="00E6473C"/>
    <w:rsid w:val="00E65AF7"/>
    <w:rsid w:val="00E66041"/>
    <w:rsid w:val="00E729DC"/>
    <w:rsid w:val="00E7475C"/>
    <w:rsid w:val="00E84214"/>
    <w:rsid w:val="00E84C13"/>
    <w:rsid w:val="00E92DCD"/>
    <w:rsid w:val="00EB314B"/>
    <w:rsid w:val="00EB7ED6"/>
    <w:rsid w:val="00EC1A5D"/>
    <w:rsid w:val="00EC1F18"/>
    <w:rsid w:val="00EC3DD0"/>
    <w:rsid w:val="00EC4046"/>
    <w:rsid w:val="00EC596B"/>
    <w:rsid w:val="00ED1D46"/>
    <w:rsid w:val="00EE5263"/>
    <w:rsid w:val="00EF1A98"/>
    <w:rsid w:val="00EF3A4B"/>
    <w:rsid w:val="00EF58BF"/>
    <w:rsid w:val="00EF7A7D"/>
    <w:rsid w:val="00F06F70"/>
    <w:rsid w:val="00F074FB"/>
    <w:rsid w:val="00F10596"/>
    <w:rsid w:val="00F11A18"/>
    <w:rsid w:val="00F13CAF"/>
    <w:rsid w:val="00F17643"/>
    <w:rsid w:val="00F26A1E"/>
    <w:rsid w:val="00F42473"/>
    <w:rsid w:val="00F43A14"/>
    <w:rsid w:val="00F4627A"/>
    <w:rsid w:val="00F500EF"/>
    <w:rsid w:val="00F55781"/>
    <w:rsid w:val="00F57665"/>
    <w:rsid w:val="00F66000"/>
    <w:rsid w:val="00F6638E"/>
    <w:rsid w:val="00F66F11"/>
    <w:rsid w:val="00F71BCC"/>
    <w:rsid w:val="00F7653D"/>
    <w:rsid w:val="00F82949"/>
    <w:rsid w:val="00F86C0F"/>
    <w:rsid w:val="00F900D5"/>
    <w:rsid w:val="00FA1053"/>
    <w:rsid w:val="00FA39D8"/>
    <w:rsid w:val="00FA424C"/>
    <w:rsid w:val="00FB4ABD"/>
    <w:rsid w:val="00FB7CF4"/>
    <w:rsid w:val="00FD091C"/>
    <w:rsid w:val="00FE1535"/>
    <w:rsid w:val="00FE3F9E"/>
    <w:rsid w:val="00FE4719"/>
    <w:rsid w:val="00FF27FF"/>
    <w:rsid w:val="00FF74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4F"/>
    <w:rPr>
      <w:sz w:val="24"/>
      <w:szCs w:val="24"/>
      <w:lang w:eastAsia="en-US"/>
    </w:rPr>
  </w:style>
  <w:style w:type="paragraph" w:styleId="Heading1">
    <w:name w:val="heading 1"/>
    <w:basedOn w:val="Normal"/>
    <w:next w:val="Normal"/>
    <w:qFormat/>
    <w:rsid w:val="007F724F"/>
    <w:pPr>
      <w:keepNext/>
      <w:spacing w:line="360" w:lineRule="auto"/>
      <w:jc w:val="center"/>
      <w:outlineLvl w:val="0"/>
    </w:pPr>
    <w:rPr>
      <w:rFonts w:ascii="Arial Black" w:hAnsi="Arial Black"/>
      <w:sz w:val="32"/>
      <w:szCs w:val="32"/>
    </w:rPr>
  </w:style>
  <w:style w:type="paragraph" w:styleId="Heading2">
    <w:name w:val="heading 2"/>
    <w:basedOn w:val="Normal"/>
    <w:next w:val="Normal"/>
    <w:link w:val="Heading2Char"/>
    <w:uiPriority w:val="9"/>
    <w:semiHidden/>
    <w:unhideWhenUsed/>
    <w:qFormat/>
    <w:rsid w:val="002017B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017B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017BF"/>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rsid w:val="007F724F"/>
    <w:pPr>
      <w:keepNext/>
      <w:spacing w:line="360" w:lineRule="auto"/>
      <w:jc w:val="lowKashida"/>
      <w:outlineLvl w:val="4"/>
    </w:pPr>
    <w:rPr>
      <w:b/>
      <w:bCs/>
      <w:sz w:val="28"/>
      <w:szCs w:val="28"/>
    </w:rPr>
  </w:style>
  <w:style w:type="paragraph" w:styleId="Heading6">
    <w:name w:val="heading 6"/>
    <w:basedOn w:val="Normal"/>
    <w:next w:val="Normal"/>
    <w:link w:val="Heading6Char"/>
    <w:uiPriority w:val="9"/>
    <w:semiHidden/>
    <w:unhideWhenUsed/>
    <w:qFormat/>
    <w:rsid w:val="002017BF"/>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2017BF"/>
    <w:pPr>
      <w:spacing w:before="240" w:after="60"/>
      <w:outlineLvl w:val="6"/>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7F724F"/>
    <w:pPr>
      <w:spacing w:before="100" w:beforeAutospacing="1" w:after="100" w:afterAutospacing="1"/>
    </w:pPr>
  </w:style>
  <w:style w:type="character" w:styleId="Hyperlink">
    <w:name w:val="Hyperlink"/>
    <w:rsid w:val="007F724F"/>
    <w:rPr>
      <w:color w:val="0000FF"/>
      <w:u w:val="single"/>
    </w:rPr>
  </w:style>
  <w:style w:type="paragraph" w:styleId="BodyText">
    <w:name w:val="Body Text"/>
    <w:basedOn w:val="Normal"/>
    <w:semiHidden/>
    <w:rsid w:val="007F724F"/>
    <w:rPr>
      <w:rFonts w:cs="Traditional Arabic"/>
      <w:sz w:val="28"/>
      <w:szCs w:val="33"/>
    </w:rPr>
  </w:style>
  <w:style w:type="paragraph" w:styleId="Footer">
    <w:name w:val="footer"/>
    <w:basedOn w:val="Normal"/>
    <w:link w:val="FooterChar"/>
    <w:uiPriority w:val="99"/>
    <w:rsid w:val="007F724F"/>
    <w:pPr>
      <w:tabs>
        <w:tab w:val="center" w:pos="4153"/>
        <w:tab w:val="right" w:pos="8306"/>
      </w:tabs>
      <w:bidi/>
    </w:pPr>
  </w:style>
  <w:style w:type="character" w:styleId="PageNumber">
    <w:name w:val="page number"/>
    <w:basedOn w:val="DefaultParagraphFont"/>
    <w:semiHidden/>
    <w:rsid w:val="007F724F"/>
  </w:style>
  <w:style w:type="paragraph" w:styleId="Header">
    <w:name w:val="header"/>
    <w:basedOn w:val="Normal"/>
    <w:link w:val="HeaderChar"/>
    <w:uiPriority w:val="99"/>
    <w:rsid w:val="007F724F"/>
    <w:pPr>
      <w:tabs>
        <w:tab w:val="center" w:pos="4153"/>
        <w:tab w:val="right" w:pos="8306"/>
      </w:tabs>
    </w:pPr>
  </w:style>
  <w:style w:type="paragraph" w:styleId="BodyTextIndent2">
    <w:name w:val="Body Text Indent 2"/>
    <w:basedOn w:val="Normal"/>
    <w:link w:val="BodyTextIndent2Char"/>
    <w:semiHidden/>
    <w:unhideWhenUsed/>
    <w:rsid w:val="00A53520"/>
    <w:pPr>
      <w:spacing w:after="120" w:line="480" w:lineRule="auto"/>
      <w:ind w:left="283"/>
    </w:pPr>
  </w:style>
  <w:style w:type="character" w:customStyle="1" w:styleId="BodyTextIndent2Char">
    <w:name w:val="Body Text Indent 2 Char"/>
    <w:link w:val="BodyTextIndent2"/>
    <w:rsid w:val="00A53520"/>
    <w:rPr>
      <w:sz w:val="24"/>
      <w:szCs w:val="24"/>
    </w:rPr>
  </w:style>
  <w:style w:type="paragraph" w:customStyle="1" w:styleId="FR1">
    <w:name w:val="FR1"/>
    <w:rsid w:val="00A53520"/>
    <w:pPr>
      <w:widowControl w:val="0"/>
      <w:autoSpaceDE w:val="0"/>
      <w:autoSpaceDN w:val="0"/>
      <w:adjustRightInd w:val="0"/>
      <w:jc w:val="both"/>
    </w:pPr>
    <w:rPr>
      <w:rFonts w:ascii="Arial" w:hAnsi="Arial" w:cs="Arial"/>
      <w:sz w:val="16"/>
      <w:szCs w:val="16"/>
      <w:lang w:eastAsia="ar-SA"/>
    </w:rPr>
  </w:style>
  <w:style w:type="paragraph" w:styleId="Title">
    <w:name w:val="Title"/>
    <w:basedOn w:val="Normal"/>
    <w:link w:val="TitleChar"/>
    <w:uiPriority w:val="10"/>
    <w:qFormat/>
    <w:rsid w:val="002017BF"/>
    <w:pPr>
      <w:jc w:val="center"/>
    </w:pPr>
    <w:rPr>
      <w:b/>
      <w:bCs/>
      <w:sz w:val="32"/>
      <w:szCs w:val="32"/>
    </w:rPr>
  </w:style>
  <w:style w:type="character" w:customStyle="1" w:styleId="TitleChar">
    <w:name w:val="Title Char"/>
    <w:link w:val="Title"/>
    <w:uiPriority w:val="10"/>
    <w:rsid w:val="002017BF"/>
    <w:rPr>
      <w:b/>
      <w:bCs/>
      <w:sz w:val="32"/>
      <w:szCs w:val="32"/>
    </w:rPr>
  </w:style>
  <w:style w:type="character" w:customStyle="1" w:styleId="Heading2Char">
    <w:name w:val="Heading 2 Char"/>
    <w:link w:val="Heading2"/>
    <w:uiPriority w:val="9"/>
    <w:semiHidden/>
    <w:rsid w:val="002017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017BF"/>
    <w:rPr>
      <w:rFonts w:ascii="Cambria" w:eastAsia="Times New Roman" w:hAnsi="Cambria" w:cs="Times New Roman"/>
      <w:b/>
      <w:bCs/>
      <w:sz w:val="26"/>
      <w:szCs w:val="26"/>
    </w:rPr>
  </w:style>
  <w:style w:type="character" w:customStyle="1" w:styleId="Heading4Char">
    <w:name w:val="Heading 4 Char"/>
    <w:link w:val="Heading4"/>
    <w:uiPriority w:val="9"/>
    <w:semiHidden/>
    <w:rsid w:val="002017BF"/>
    <w:rPr>
      <w:rFonts w:ascii="Calibri" w:eastAsia="Times New Roman" w:hAnsi="Calibri" w:cs="Arial"/>
      <w:b/>
      <w:bCs/>
      <w:sz w:val="28"/>
      <w:szCs w:val="28"/>
    </w:rPr>
  </w:style>
  <w:style w:type="character" w:customStyle="1" w:styleId="Heading6Char">
    <w:name w:val="Heading 6 Char"/>
    <w:link w:val="Heading6"/>
    <w:uiPriority w:val="9"/>
    <w:semiHidden/>
    <w:rsid w:val="002017BF"/>
    <w:rPr>
      <w:rFonts w:ascii="Calibri" w:eastAsia="Times New Roman" w:hAnsi="Calibri" w:cs="Arial"/>
      <w:b/>
      <w:bCs/>
      <w:sz w:val="22"/>
      <w:szCs w:val="22"/>
    </w:rPr>
  </w:style>
  <w:style w:type="character" w:customStyle="1" w:styleId="Heading7Char">
    <w:name w:val="Heading 7 Char"/>
    <w:link w:val="Heading7"/>
    <w:uiPriority w:val="9"/>
    <w:semiHidden/>
    <w:rsid w:val="002017BF"/>
    <w:rPr>
      <w:rFonts w:ascii="Calibri" w:eastAsia="Times New Roman" w:hAnsi="Calibri" w:cs="Arial"/>
      <w:sz w:val="24"/>
      <w:szCs w:val="24"/>
    </w:rPr>
  </w:style>
  <w:style w:type="character" w:styleId="Strong">
    <w:name w:val="Strong"/>
    <w:qFormat/>
    <w:rsid w:val="002017BF"/>
    <w:rPr>
      <w:b/>
      <w:bCs/>
    </w:rPr>
  </w:style>
  <w:style w:type="paragraph" w:styleId="BlockText">
    <w:name w:val="Block Text"/>
    <w:basedOn w:val="Normal"/>
    <w:semiHidden/>
    <w:rsid w:val="002017BF"/>
    <w:pPr>
      <w:widowControl w:val="0"/>
      <w:spacing w:before="120" w:after="120" w:line="360" w:lineRule="auto"/>
      <w:ind w:left="142" w:right="-215" w:hanging="357"/>
      <w:jc w:val="lowKashida"/>
    </w:pPr>
    <w:rPr>
      <w:rFonts w:cs="Traditional Arabic"/>
      <w:noProof/>
      <w:sz w:val="28"/>
      <w:szCs w:val="33"/>
    </w:rPr>
  </w:style>
  <w:style w:type="paragraph" w:styleId="Subtitle">
    <w:name w:val="Subtitle"/>
    <w:basedOn w:val="Normal"/>
    <w:link w:val="SubtitleChar"/>
    <w:qFormat/>
    <w:rsid w:val="002017BF"/>
    <w:pPr>
      <w:bidi/>
      <w:jc w:val="lowKashida"/>
    </w:pPr>
    <w:rPr>
      <w:b/>
      <w:bCs/>
      <w:noProof/>
      <w:sz w:val="20"/>
      <w:szCs w:val="28"/>
    </w:rPr>
  </w:style>
  <w:style w:type="character" w:customStyle="1" w:styleId="SubtitleChar">
    <w:name w:val="Subtitle Char"/>
    <w:link w:val="Subtitle"/>
    <w:rsid w:val="002017BF"/>
    <w:rPr>
      <w:rFonts w:cs="Simplified Arabic"/>
      <w:b/>
      <w:bCs/>
      <w:noProof/>
      <w:szCs w:val="28"/>
    </w:rPr>
  </w:style>
  <w:style w:type="character" w:customStyle="1" w:styleId="FooterChar">
    <w:name w:val="Footer Char"/>
    <w:link w:val="Footer"/>
    <w:uiPriority w:val="99"/>
    <w:rsid w:val="006C7085"/>
    <w:rPr>
      <w:sz w:val="24"/>
      <w:szCs w:val="24"/>
    </w:rPr>
  </w:style>
  <w:style w:type="character" w:customStyle="1" w:styleId="HeaderChar">
    <w:name w:val="Header Char"/>
    <w:link w:val="Header"/>
    <w:uiPriority w:val="99"/>
    <w:rsid w:val="000B58EC"/>
    <w:rPr>
      <w:sz w:val="24"/>
      <w:szCs w:val="24"/>
    </w:rPr>
  </w:style>
  <w:style w:type="character" w:styleId="Emphasis">
    <w:name w:val="Emphasis"/>
    <w:uiPriority w:val="20"/>
    <w:qFormat/>
    <w:rsid w:val="00803C4E"/>
    <w:rPr>
      <w:i/>
      <w:iCs/>
    </w:rPr>
  </w:style>
  <w:style w:type="paragraph" w:styleId="ListParagraph">
    <w:name w:val="List Paragraph"/>
    <w:basedOn w:val="Normal"/>
    <w:uiPriority w:val="34"/>
    <w:qFormat/>
    <w:rsid w:val="00803C4E"/>
    <w:pPr>
      <w:ind w:left="720"/>
    </w:pPr>
  </w:style>
  <w:style w:type="paragraph" w:styleId="NoSpacing">
    <w:name w:val="No Spacing"/>
    <w:uiPriority w:val="1"/>
    <w:qFormat/>
    <w:rsid w:val="004C0476"/>
    <w:rPr>
      <w:sz w:val="24"/>
      <w:szCs w:val="24"/>
      <w:lang w:eastAsia="en-US"/>
    </w:rPr>
  </w:style>
  <w:style w:type="character" w:customStyle="1" w:styleId="st">
    <w:name w:val="st"/>
    <w:basedOn w:val="DefaultParagraphFont"/>
    <w:rsid w:val="00196107"/>
  </w:style>
  <w:style w:type="table" w:styleId="TableGrid">
    <w:name w:val="Table Grid"/>
    <w:basedOn w:val="TableNormal"/>
    <w:uiPriority w:val="59"/>
    <w:rsid w:val="00181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04F5E"/>
    <w:rPr>
      <w:sz w:val="16"/>
      <w:szCs w:val="16"/>
    </w:rPr>
  </w:style>
  <w:style w:type="paragraph" w:styleId="CommentText">
    <w:name w:val="annotation text"/>
    <w:basedOn w:val="Normal"/>
    <w:link w:val="CommentTextChar"/>
    <w:uiPriority w:val="99"/>
    <w:semiHidden/>
    <w:unhideWhenUsed/>
    <w:rsid w:val="00304F5E"/>
    <w:rPr>
      <w:sz w:val="20"/>
      <w:szCs w:val="20"/>
    </w:rPr>
  </w:style>
  <w:style w:type="character" w:customStyle="1" w:styleId="CommentTextChar">
    <w:name w:val="Comment Text Char"/>
    <w:basedOn w:val="DefaultParagraphFont"/>
    <w:link w:val="CommentText"/>
    <w:uiPriority w:val="99"/>
    <w:semiHidden/>
    <w:rsid w:val="00304F5E"/>
  </w:style>
  <w:style w:type="paragraph" w:styleId="CommentSubject">
    <w:name w:val="annotation subject"/>
    <w:basedOn w:val="CommentText"/>
    <w:next w:val="CommentText"/>
    <w:link w:val="CommentSubjectChar"/>
    <w:uiPriority w:val="99"/>
    <w:semiHidden/>
    <w:unhideWhenUsed/>
    <w:rsid w:val="00304F5E"/>
    <w:rPr>
      <w:b/>
      <w:bCs/>
    </w:rPr>
  </w:style>
  <w:style w:type="character" w:customStyle="1" w:styleId="CommentSubjectChar">
    <w:name w:val="Comment Subject Char"/>
    <w:link w:val="CommentSubject"/>
    <w:uiPriority w:val="99"/>
    <w:semiHidden/>
    <w:rsid w:val="00304F5E"/>
    <w:rPr>
      <w:b/>
      <w:bCs/>
    </w:rPr>
  </w:style>
  <w:style w:type="paragraph" w:styleId="BalloonText">
    <w:name w:val="Balloon Text"/>
    <w:basedOn w:val="Normal"/>
    <w:link w:val="BalloonTextChar"/>
    <w:uiPriority w:val="99"/>
    <w:semiHidden/>
    <w:unhideWhenUsed/>
    <w:rsid w:val="00304F5E"/>
    <w:rPr>
      <w:rFonts w:ascii="Tahoma" w:hAnsi="Tahoma"/>
      <w:sz w:val="16"/>
      <w:szCs w:val="16"/>
    </w:rPr>
  </w:style>
  <w:style w:type="character" w:customStyle="1" w:styleId="BalloonTextChar">
    <w:name w:val="Balloon Text Char"/>
    <w:link w:val="BalloonText"/>
    <w:uiPriority w:val="99"/>
    <w:semiHidden/>
    <w:rsid w:val="00304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14778">
      <w:bodyDiv w:val="1"/>
      <w:marLeft w:val="0"/>
      <w:marRight w:val="0"/>
      <w:marTop w:val="0"/>
      <w:marBottom w:val="0"/>
      <w:divBdr>
        <w:top w:val="none" w:sz="0" w:space="0" w:color="auto"/>
        <w:left w:val="none" w:sz="0" w:space="0" w:color="auto"/>
        <w:bottom w:val="none" w:sz="0" w:space="0" w:color="auto"/>
        <w:right w:val="none" w:sz="0" w:space="0" w:color="auto"/>
      </w:divBdr>
    </w:div>
    <w:div w:id="399642411">
      <w:bodyDiv w:val="1"/>
      <w:marLeft w:val="0"/>
      <w:marRight w:val="0"/>
      <w:marTop w:val="0"/>
      <w:marBottom w:val="0"/>
      <w:divBdr>
        <w:top w:val="none" w:sz="0" w:space="0" w:color="auto"/>
        <w:left w:val="none" w:sz="0" w:space="0" w:color="auto"/>
        <w:bottom w:val="none" w:sz="0" w:space="0" w:color="auto"/>
        <w:right w:val="none" w:sz="0" w:space="0" w:color="auto"/>
      </w:divBdr>
    </w:div>
    <w:div w:id="430049081">
      <w:bodyDiv w:val="1"/>
      <w:marLeft w:val="0"/>
      <w:marRight w:val="0"/>
      <w:marTop w:val="0"/>
      <w:marBottom w:val="0"/>
      <w:divBdr>
        <w:top w:val="none" w:sz="0" w:space="0" w:color="auto"/>
        <w:left w:val="none" w:sz="0" w:space="0" w:color="auto"/>
        <w:bottom w:val="none" w:sz="0" w:space="0" w:color="auto"/>
        <w:right w:val="none" w:sz="0" w:space="0" w:color="auto"/>
      </w:divBdr>
    </w:div>
    <w:div w:id="464396471">
      <w:bodyDiv w:val="1"/>
      <w:marLeft w:val="0"/>
      <w:marRight w:val="0"/>
      <w:marTop w:val="0"/>
      <w:marBottom w:val="0"/>
      <w:divBdr>
        <w:top w:val="none" w:sz="0" w:space="0" w:color="auto"/>
        <w:left w:val="none" w:sz="0" w:space="0" w:color="auto"/>
        <w:bottom w:val="none" w:sz="0" w:space="0" w:color="auto"/>
        <w:right w:val="none" w:sz="0" w:space="0" w:color="auto"/>
      </w:divBdr>
      <w:divsChild>
        <w:div w:id="107282820">
          <w:marLeft w:val="547"/>
          <w:marRight w:val="0"/>
          <w:marTop w:val="134"/>
          <w:marBottom w:val="0"/>
          <w:divBdr>
            <w:top w:val="none" w:sz="0" w:space="0" w:color="auto"/>
            <w:left w:val="none" w:sz="0" w:space="0" w:color="auto"/>
            <w:bottom w:val="none" w:sz="0" w:space="0" w:color="auto"/>
            <w:right w:val="none" w:sz="0" w:space="0" w:color="auto"/>
          </w:divBdr>
        </w:div>
        <w:div w:id="232205352">
          <w:marLeft w:val="547"/>
          <w:marRight w:val="0"/>
          <w:marTop w:val="134"/>
          <w:marBottom w:val="0"/>
          <w:divBdr>
            <w:top w:val="none" w:sz="0" w:space="0" w:color="auto"/>
            <w:left w:val="none" w:sz="0" w:space="0" w:color="auto"/>
            <w:bottom w:val="none" w:sz="0" w:space="0" w:color="auto"/>
            <w:right w:val="none" w:sz="0" w:space="0" w:color="auto"/>
          </w:divBdr>
        </w:div>
      </w:divsChild>
    </w:div>
    <w:div w:id="502549259">
      <w:bodyDiv w:val="1"/>
      <w:marLeft w:val="0"/>
      <w:marRight w:val="0"/>
      <w:marTop w:val="0"/>
      <w:marBottom w:val="0"/>
      <w:divBdr>
        <w:top w:val="none" w:sz="0" w:space="0" w:color="auto"/>
        <w:left w:val="none" w:sz="0" w:space="0" w:color="auto"/>
        <w:bottom w:val="none" w:sz="0" w:space="0" w:color="auto"/>
        <w:right w:val="none" w:sz="0" w:space="0" w:color="auto"/>
      </w:divBdr>
      <w:divsChild>
        <w:div w:id="1961179981">
          <w:marLeft w:val="547"/>
          <w:marRight w:val="0"/>
          <w:marTop w:val="134"/>
          <w:marBottom w:val="0"/>
          <w:divBdr>
            <w:top w:val="none" w:sz="0" w:space="0" w:color="auto"/>
            <w:left w:val="none" w:sz="0" w:space="0" w:color="auto"/>
            <w:bottom w:val="none" w:sz="0" w:space="0" w:color="auto"/>
            <w:right w:val="none" w:sz="0" w:space="0" w:color="auto"/>
          </w:divBdr>
        </w:div>
      </w:divsChild>
    </w:div>
    <w:div w:id="752169609">
      <w:bodyDiv w:val="1"/>
      <w:marLeft w:val="0"/>
      <w:marRight w:val="0"/>
      <w:marTop w:val="0"/>
      <w:marBottom w:val="0"/>
      <w:divBdr>
        <w:top w:val="none" w:sz="0" w:space="0" w:color="auto"/>
        <w:left w:val="none" w:sz="0" w:space="0" w:color="auto"/>
        <w:bottom w:val="none" w:sz="0" w:space="0" w:color="auto"/>
        <w:right w:val="none" w:sz="0" w:space="0" w:color="auto"/>
      </w:divBdr>
    </w:div>
    <w:div w:id="763459801">
      <w:bodyDiv w:val="1"/>
      <w:marLeft w:val="0"/>
      <w:marRight w:val="0"/>
      <w:marTop w:val="0"/>
      <w:marBottom w:val="0"/>
      <w:divBdr>
        <w:top w:val="none" w:sz="0" w:space="0" w:color="auto"/>
        <w:left w:val="none" w:sz="0" w:space="0" w:color="auto"/>
        <w:bottom w:val="none" w:sz="0" w:space="0" w:color="auto"/>
        <w:right w:val="none" w:sz="0" w:space="0" w:color="auto"/>
      </w:divBdr>
    </w:div>
    <w:div w:id="881209967">
      <w:bodyDiv w:val="1"/>
      <w:marLeft w:val="0"/>
      <w:marRight w:val="0"/>
      <w:marTop w:val="0"/>
      <w:marBottom w:val="0"/>
      <w:divBdr>
        <w:top w:val="none" w:sz="0" w:space="0" w:color="auto"/>
        <w:left w:val="none" w:sz="0" w:space="0" w:color="auto"/>
        <w:bottom w:val="none" w:sz="0" w:space="0" w:color="auto"/>
        <w:right w:val="none" w:sz="0" w:space="0" w:color="auto"/>
      </w:divBdr>
      <w:divsChild>
        <w:div w:id="2105568502">
          <w:marLeft w:val="547"/>
          <w:marRight w:val="0"/>
          <w:marTop w:val="154"/>
          <w:marBottom w:val="0"/>
          <w:divBdr>
            <w:top w:val="none" w:sz="0" w:space="0" w:color="auto"/>
            <w:left w:val="none" w:sz="0" w:space="0" w:color="auto"/>
            <w:bottom w:val="none" w:sz="0" w:space="0" w:color="auto"/>
            <w:right w:val="none" w:sz="0" w:space="0" w:color="auto"/>
          </w:divBdr>
        </w:div>
      </w:divsChild>
    </w:div>
    <w:div w:id="944650514">
      <w:bodyDiv w:val="1"/>
      <w:marLeft w:val="0"/>
      <w:marRight w:val="0"/>
      <w:marTop w:val="0"/>
      <w:marBottom w:val="0"/>
      <w:divBdr>
        <w:top w:val="none" w:sz="0" w:space="0" w:color="auto"/>
        <w:left w:val="none" w:sz="0" w:space="0" w:color="auto"/>
        <w:bottom w:val="none" w:sz="0" w:space="0" w:color="auto"/>
        <w:right w:val="none" w:sz="0" w:space="0" w:color="auto"/>
      </w:divBdr>
    </w:div>
    <w:div w:id="970475172">
      <w:bodyDiv w:val="1"/>
      <w:marLeft w:val="0"/>
      <w:marRight w:val="0"/>
      <w:marTop w:val="0"/>
      <w:marBottom w:val="0"/>
      <w:divBdr>
        <w:top w:val="none" w:sz="0" w:space="0" w:color="auto"/>
        <w:left w:val="none" w:sz="0" w:space="0" w:color="auto"/>
        <w:bottom w:val="none" w:sz="0" w:space="0" w:color="auto"/>
        <w:right w:val="none" w:sz="0" w:space="0" w:color="auto"/>
      </w:divBdr>
    </w:div>
    <w:div w:id="971716871">
      <w:bodyDiv w:val="1"/>
      <w:marLeft w:val="0"/>
      <w:marRight w:val="0"/>
      <w:marTop w:val="0"/>
      <w:marBottom w:val="0"/>
      <w:divBdr>
        <w:top w:val="none" w:sz="0" w:space="0" w:color="auto"/>
        <w:left w:val="none" w:sz="0" w:space="0" w:color="auto"/>
        <w:bottom w:val="none" w:sz="0" w:space="0" w:color="auto"/>
        <w:right w:val="none" w:sz="0" w:space="0" w:color="auto"/>
      </w:divBdr>
      <w:divsChild>
        <w:div w:id="2001736697">
          <w:marLeft w:val="547"/>
          <w:marRight w:val="0"/>
          <w:marTop w:val="154"/>
          <w:marBottom w:val="0"/>
          <w:divBdr>
            <w:top w:val="none" w:sz="0" w:space="0" w:color="auto"/>
            <w:left w:val="none" w:sz="0" w:space="0" w:color="auto"/>
            <w:bottom w:val="none" w:sz="0" w:space="0" w:color="auto"/>
            <w:right w:val="none" w:sz="0" w:space="0" w:color="auto"/>
          </w:divBdr>
        </w:div>
      </w:divsChild>
    </w:div>
    <w:div w:id="1052383732">
      <w:bodyDiv w:val="1"/>
      <w:marLeft w:val="0"/>
      <w:marRight w:val="0"/>
      <w:marTop w:val="0"/>
      <w:marBottom w:val="0"/>
      <w:divBdr>
        <w:top w:val="none" w:sz="0" w:space="0" w:color="auto"/>
        <w:left w:val="none" w:sz="0" w:space="0" w:color="auto"/>
        <w:bottom w:val="none" w:sz="0" w:space="0" w:color="auto"/>
        <w:right w:val="none" w:sz="0" w:space="0" w:color="auto"/>
      </w:divBdr>
      <w:divsChild>
        <w:div w:id="108165288">
          <w:marLeft w:val="547"/>
          <w:marRight w:val="0"/>
          <w:marTop w:val="154"/>
          <w:marBottom w:val="0"/>
          <w:divBdr>
            <w:top w:val="none" w:sz="0" w:space="0" w:color="auto"/>
            <w:left w:val="none" w:sz="0" w:space="0" w:color="auto"/>
            <w:bottom w:val="none" w:sz="0" w:space="0" w:color="auto"/>
            <w:right w:val="none" w:sz="0" w:space="0" w:color="auto"/>
          </w:divBdr>
        </w:div>
        <w:div w:id="602035560">
          <w:marLeft w:val="547"/>
          <w:marRight w:val="0"/>
          <w:marTop w:val="154"/>
          <w:marBottom w:val="0"/>
          <w:divBdr>
            <w:top w:val="none" w:sz="0" w:space="0" w:color="auto"/>
            <w:left w:val="none" w:sz="0" w:space="0" w:color="auto"/>
            <w:bottom w:val="none" w:sz="0" w:space="0" w:color="auto"/>
            <w:right w:val="none" w:sz="0" w:space="0" w:color="auto"/>
          </w:divBdr>
        </w:div>
        <w:div w:id="1747610303">
          <w:marLeft w:val="547"/>
          <w:marRight w:val="0"/>
          <w:marTop w:val="154"/>
          <w:marBottom w:val="0"/>
          <w:divBdr>
            <w:top w:val="none" w:sz="0" w:space="0" w:color="auto"/>
            <w:left w:val="none" w:sz="0" w:space="0" w:color="auto"/>
            <w:bottom w:val="none" w:sz="0" w:space="0" w:color="auto"/>
            <w:right w:val="none" w:sz="0" w:space="0" w:color="auto"/>
          </w:divBdr>
        </w:div>
      </w:divsChild>
    </w:div>
    <w:div w:id="1065683143">
      <w:bodyDiv w:val="1"/>
      <w:marLeft w:val="0"/>
      <w:marRight w:val="0"/>
      <w:marTop w:val="0"/>
      <w:marBottom w:val="0"/>
      <w:divBdr>
        <w:top w:val="none" w:sz="0" w:space="0" w:color="auto"/>
        <w:left w:val="none" w:sz="0" w:space="0" w:color="auto"/>
        <w:bottom w:val="none" w:sz="0" w:space="0" w:color="auto"/>
        <w:right w:val="none" w:sz="0" w:space="0" w:color="auto"/>
      </w:divBdr>
    </w:div>
    <w:div w:id="1111432767">
      <w:bodyDiv w:val="1"/>
      <w:marLeft w:val="0"/>
      <w:marRight w:val="0"/>
      <w:marTop w:val="0"/>
      <w:marBottom w:val="0"/>
      <w:divBdr>
        <w:top w:val="none" w:sz="0" w:space="0" w:color="auto"/>
        <w:left w:val="none" w:sz="0" w:space="0" w:color="auto"/>
        <w:bottom w:val="none" w:sz="0" w:space="0" w:color="auto"/>
        <w:right w:val="none" w:sz="0" w:space="0" w:color="auto"/>
      </w:divBdr>
      <w:divsChild>
        <w:div w:id="374085252">
          <w:marLeft w:val="547"/>
          <w:marRight w:val="0"/>
          <w:marTop w:val="154"/>
          <w:marBottom w:val="0"/>
          <w:divBdr>
            <w:top w:val="none" w:sz="0" w:space="0" w:color="auto"/>
            <w:left w:val="none" w:sz="0" w:space="0" w:color="auto"/>
            <w:bottom w:val="none" w:sz="0" w:space="0" w:color="auto"/>
            <w:right w:val="none" w:sz="0" w:space="0" w:color="auto"/>
          </w:divBdr>
        </w:div>
      </w:divsChild>
    </w:div>
    <w:div w:id="1117138401">
      <w:bodyDiv w:val="1"/>
      <w:marLeft w:val="0"/>
      <w:marRight w:val="0"/>
      <w:marTop w:val="0"/>
      <w:marBottom w:val="0"/>
      <w:divBdr>
        <w:top w:val="none" w:sz="0" w:space="0" w:color="auto"/>
        <w:left w:val="none" w:sz="0" w:space="0" w:color="auto"/>
        <w:bottom w:val="none" w:sz="0" w:space="0" w:color="auto"/>
        <w:right w:val="none" w:sz="0" w:space="0" w:color="auto"/>
      </w:divBdr>
    </w:div>
    <w:div w:id="1208835436">
      <w:bodyDiv w:val="1"/>
      <w:marLeft w:val="0"/>
      <w:marRight w:val="0"/>
      <w:marTop w:val="0"/>
      <w:marBottom w:val="0"/>
      <w:divBdr>
        <w:top w:val="none" w:sz="0" w:space="0" w:color="auto"/>
        <w:left w:val="none" w:sz="0" w:space="0" w:color="auto"/>
        <w:bottom w:val="none" w:sz="0" w:space="0" w:color="auto"/>
        <w:right w:val="none" w:sz="0" w:space="0" w:color="auto"/>
      </w:divBdr>
    </w:div>
    <w:div w:id="1209027677">
      <w:bodyDiv w:val="1"/>
      <w:marLeft w:val="0"/>
      <w:marRight w:val="0"/>
      <w:marTop w:val="0"/>
      <w:marBottom w:val="0"/>
      <w:divBdr>
        <w:top w:val="none" w:sz="0" w:space="0" w:color="auto"/>
        <w:left w:val="none" w:sz="0" w:space="0" w:color="auto"/>
        <w:bottom w:val="none" w:sz="0" w:space="0" w:color="auto"/>
        <w:right w:val="none" w:sz="0" w:space="0" w:color="auto"/>
      </w:divBdr>
    </w:div>
    <w:div w:id="1209874297">
      <w:bodyDiv w:val="1"/>
      <w:marLeft w:val="0"/>
      <w:marRight w:val="0"/>
      <w:marTop w:val="0"/>
      <w:marBottom w:val="0"/>
      <w:divBdr>
        <w:top w:val="none" w:sz="0" w:space="0" w:color="auto"/>
        <w:left w:val="none" w:sz="0" w:space="0" w:color="auto"/>
        <w:bottom w:val="none" w:sz="0" w:space="0" w:color="auto"/>
        <w:right w:val="none" w:sz="0" w:space="0" w:color="auto"/>
      </w:divBdr>
    </w:div>
    <w:div w:id="1307391749">
      <w:bodyDiv w:val="1"/>
      <w:marLeft w:val="0"/>
      <w:marRight w:val="0"/>
      <w:marTop w:val="0"/>
      <w:marBottom w:val="0"/>
      <w:divBdr>
        <w:top w:val="none" w:sz="0" w:space="0" w:color="auto"/>
        <w:left w:val="none" w:sz="0" w:space="0" w:color="auto"/>
        <w:bottom w:val="none" w:sz="0" w:space="0" w:color="auto"/>
        <w:right w:val="none" w:sz="0" w:space="0" w:color="auto"/>
      </w:divBdr>
    </w:div>
    <w:div w:id="1418331230">
      <w:bodyDiv w:val="1"/>
      <w:marLeft w:val="0"/>
      <w:marRight w:val="0"/>
      <w:marTop w:val="0"/>
      <w:marBottom w:val="0"/>
      <w:divBdr>
        <w:top w:val="none" w:sz="0" w:space="0" w:color="auto"/>
        <w:left w:val="none" w:sz="0" w:space="0" w:color="auto"/>
        <w:bottom w:val="none" w:sz="0" w:space="0" w:color="auto"/>
        <w:right w:val="none" w:sz="0" w:space="0" w:color="auto"/>
      </w:divBdr>
    </w:div>
    <w:div w:id="1560172519">
      <w:bodyDiv w:val="1"/>
      <w:marLeft w:val="0"/>
      <w:marRight w:val="0"/>
      <w:marTop w:val="0"/>
      <w:marBottom w:val="0"/>
      <w:divBdr>
        <w:top w:val="none" w:sz="0" w:space="0" w:color="auto"/>
        <w:left w:val="none" w:sz="0" w:space="0" w:color="auto"/>
        <w:bottom w:val="none" w:sz="0" w:space="0" w:color="auto"/>
        <w:right w:val="none" w:sz="0" w:space="0" w:color="auto"/>
      </w:divBdr>
    </w:div>
    <w:div w:id="1650211886">
      <w:bodyDiv w:val="1"/>
      <w:marLeft w:val="0"/>
      <w:marRight w:val="0"/>
      <w:marTop w:val="0"/>
      <w:marBottom w:val="0"/>
      <w:divBdr>
        <w:top w:val="none" w:sz="0" w:space="0" w:color="auto"/>
        <w:left w:val="none" w:sz="0" w:space="0" w:color="auto"/>
        <w:bottom w:val="none" w:sz="0" w:space="0" w:color="auto"/>
        <w:right w:val="none" w:sz="0" w:space="0" w:color="auto"/>
      </w:divBdr>
    </w:div>
    <w:div w:id="1701393214">
      <w:bodyDiv w:val="1"/>
      <w:marLeft w:val="0"/>
      <w:marRight w:val="0"/>
      <w:marTop w:val="0"/>
      <w:marBottom w:val="0"/>
      <w:divBdr>
        <w:top w:val="none" w:sz="0" w:space="0" w:color="auto"/>
        <w:left w:val="none" w:sz="0" w:space="0" w:color="auto"/>
        <w:bottom w:val="none" w:sz="0" w:space="0" w:color="auto"/>
        <w:right w:val="none" w:sz="0" w:space="0" w:color="auto"/>
      </w:divBdr>
      <w:divsChild>
        <w:div w:id="632294182">
          <w:marLeft w:val="547"/>
          <w:marRight w:val="0"/>
          <w:marTop w:val="154"/>
          <w:marBottom w:val="0"/>
          <w:divBdr>
            <w:top w:val="none" w:sz="0" w:space="0" w:color="auto"/>
            <w:left w:val="none" w:sz="0" w:space="0" w:color="auto"/>
            <w:bottom w:val="none" w:sz="0" w:space="0" w:color="auto"/>
            <w:right w:val="none" w:sz="0" w:space="0" w:color="auto"/>
          </w:divBdr>
        </w:div>
        <w:div w:id="1304576968">
          <w:marLeft w:val="547"/>
          <w:marRight w:val="0"/>
          <w:marTop w:val="154"/>
          <w:marBottom w:val="0"/>
          <w:divBdr>
            <w:top w:val="none" w:sz="0" w:space="0" w:color="auto"/>
            <w:left w:val="none" w:sz="0" w:space="0" w:color="auto"/>
            <w:bottom w:val="none" w:sz="0" w:space="0" w:color="auto"/>
            <w:right w:val="none" w:sz="0" w:space="0" w:color="auto"/>
          </w:divBdr>
        </w:div>
      </w:divsChild>
    </w:div>
    <w:div w:id="1713338210">
      <w:bodyDiv w:val="1"/>
      <w:marLeft w:val="0"/>
      <w:marRight w:val="0"/>
      <w:marTop w:val="0"/>
      <w:marBottom w:val="0"/>
      <w:divBdr>
        <w:top w:val="none" w:sz="0" w:space="0" w:color="auto"/>
        <w:left w:val="none" w:sz="0" w:space="0" w:color="auto"/>
        <w:bottom w:val="none" w:sz="0" w:space="0" w:color="auto"/>
        <w:right w:val="none" w:sz="0" w:space="0" w:color="auto"/>
      </w:divBdr>
    </w:div>
    <w:div w:id="1730763199">
      <w:bodyDiv w:val="1"/>
      <w:marLeft w:val="0"/>
      <w:marRight w:val="0"/>
      <w:marTop w:val="0"/>
      <w:marBottom w:val="0"/>
      <w:divBdr>
        <w:top w:val="none" w:sz="0" w:space="0" w:color="auto"/>
        <w:left w:val="none" w:sz="0" w:space="0" w:color="auto"/>
        <w:bottom w:val="none" w:sz="0" w:space="0" w:color="auto"/>
        <w:right w:val="none" w:sz="0" w:space="0" w:color="auto"/>
      </w:divBdr>
    </w:div>
    <w:div w:id="1748185248">
      <w:bodyDiv w:val="1"/>
      <w:marLeft w:val="0"/>
      <w:marRight w:val="0"/>
      <w:marTop w:val="0"/>
      <w:marBottom w:val="0"/>
      <w:divBdr>
        <w:top w:val="none" w:sz="0" w:space="0" w:color="auto"/>
        <w:left w:val="none" w:sz="0" w:space="0" w:color="auto"/>
        <w:bottom w:val="none" w:sz="0" w:space="0" w:color="auto"/>
        <w:right w:val="none" w:sz="0" w:space="0" w:color="auto"/>
      </w:divBdr>
    </w:div>
    <w:div w:id="1750270601">
      <w:bodyDiv w:val="1"/>
      <w:marLeft w:val="0"/>
      <w:marRight w:val="0"/>
      <w:marTop w:val="0"/>
      <w:marBottom w:val="0"/>
      <w:divBdr>
        <w:top w:val="none" w:sz="0" w:space="0" w:color="auto"/>
        <w:left w:val="none" w:sz="0" w:space="0" w:color="auto"/>
        <w:bottom w:val="none" w:sz="0" w:space="0" w:color="auto"/>
        <w:right w:val="none" w:sz="0" w:space="0" w:color="auto"/>
      </w:divBdr>
    </w:div>
    <w:div w:id="1752308188">
      <w:bodyDiv w:val="1"/>
      <w:marLeft w:val="0"/>
      <w:marRight w:val="0"/>
      <w:marTop w:val="0"/>
      <w:marBottom w:val="0"/>
      <w:divBdr>
        <w:top w:val="none" w:sz="0" w:space="0" w:color="auto"/>
        <w:left w:val="none" w:sz="0" w:space="0" w:color="auto"/>
        <w:bottom w:val="none" w:sz="0" w:space="0" w:color="auto"/>
        <w:right w:val="none" w:sz="0" w:space="0" w:color="auto"/>
      </w:divBdr>
    </w:div>
    <w:div w:id="1754812342">
      <w:bodyDiv w:val="1"/>
      <w:marLeft w:val="0"/>
      <w:marRight w:val="0"/>
      <w:marTop w:val="0"/>
      <w:marBottom w:val="0"/>
      <w:divBdr>
        <w:top w:val="none" w:sz="0" w:space="0" w:color="auto"/>
        <w:left w:val="none" w:sz="0" w:space="0" w:color="auto"/>
        <w:bottom w:val="none" w:sz="0" w:space="0" w:color="auto"/>
        <w:right w:val="none" w:sz="0" w:space="0" w:color="auto"/>
      </w:divBdr>
      <w:divsChild>
        <w:div w:id="2083289576">
          <w:marLeft w:val="547"/>
          <w:marRight w:val="0"/>
          <w:marTop w:val="154"/>
          <w:marBottom w:val="0"/>
          <w:divBdr>
            <w:top w:val="none" w:sz="0" w:space="0" w:color="auto"/>
            <w:left w:val="none" w:sz="0" w:space="0" w:color="auto"/>
            <w:bottom w:val="none" w:sz="0" w:space="0" w:color="auto"/>
            <w:right w:val="none" w:sz="0" w:space="0" w:color="auto"/>
          </w:divBdr>
        </w:div>
      </w:divsChild>
    </w:div>
    <w:div w:id="1796631579">
      <w:bodyDiv w:val="1"/>
      <w:marLeft w:val="0"/>
      <w:marRight w:val="0"/>
      <w:marTop w:val="0"/>
      <w:marBottom w:val="0"/>
      <w:divBdr>
        <w:top w:val="none" w:sz="0" w:space="0" w:color="auto"/>
        <w:left w:val="none" w:sz="0" w:space="0" w:color="auto"/>
        <w:bottom w:val="none" w:sz="0" w:space="0" w:color="auto"/>
        <w:right w:val="none" w:sz="0" w:space="0" w:color="auto"/>
      </w:divBdr>
      <w:divsChild>
        <w:div w:id="709841688">
          <w:marLeft w:val="547"/>
          <w:marRight w:val="0"/>
          <w:marTop w:val="154"/>
          <w:marBottom w:val="0"/>
          <w:divBdr>
            <w:top w:val="none" w:sz="0" w:space="0" w:color="auto"/>
            <w:left w:val="none" w:sz="0" w:space="0" w:color="auto"/>
            <w:bottom w:val="none" w:sz="0" w:space="0" w:color="auto"/>
            <w:right w:val="none" w:sz="0" w:space="0" w:color="auto"/>
          </w:divBdr>
        </w:div>
      </w:divsChild>
    </w:div>
    <w:div w:id="19336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6559-B70E-42DA-8A89-A575D032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2954</Words>
  <Characters>16446</Characters>
  <Application>Microsoft Office Word</Application>
  <DocSecurity>0</DocSecurity>
  <Lines>137</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19362</CharactersWithSpaces>
  <SharedDoc>false</SharedDoc>
  <HLinks>
    <vt:vector size="12" baseType="variant">
      <vt:variant>
        <vt:i4>5898325</vt:i4>
      </vt:variant>
      <vt:variant>
        <vt:i4>0</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dc:creator>
  <cp:lastModifiedBy>Administrator</cp:lastModifiedBy>
  <cp:revision>6</cp:revision>
  <cp:lastPrinted>2015-03-23T03:56:00Z</cp:lastPrinted>
  <dcterms:created xsi:type="dcterms:W3CDTF">2015-03-23T12:38:00Z</dcterms:created>
  <dcterms:modified xsi:type="dcterms:W3CDTF">2015-03-23T03:56:00Z</dcterms:modified>
</cp:coreProperties>
</file>