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C8" w:rsidRPr="00153E12" w:rsidRDefault="005272C8" w:rsidP="008B7439">
      <w:pPr>
        <w:pStyle w:val="NoSpacing"/>
        <w:snapToGrid w:val="0"/>
        <w:jc w:val="center"/>
        <w:rPr>
          <w:rFonts w:ascii="Times New Roman" w:hAnsi="Times New Roman" w:cs="Times New Roman"/>
          <w:b/>
          <w:bCs/>
          <w:sz w:val="20"/>
          <w:szCs w:val="20"/>
        </w:rPr>
      </w:pPr>
      <w:proofErr w:type="spellStart"/>
      <w:r w:rsidRPr="00153E12">
        <w:rPr>
          <w:rFonts w:ascii="Times New Roman" w:hAnsi="Times New Roman" w:cs="Times New Roman"/>
          <w:b/>
          <w:bCs/>
          <w:sz w:val="20"/>
          <w:szCs w:val="20"/>
        </w:rPr>
        <w:t>Pentraxin</w:t>
      </w:r>
      <w:proofErr w:type="spellEnd"/>
      <w:r w:rsidRPr="00153E12">
        <w:rPr>
          <w:rFonts w:ascii="Times New Roman" w:hAnsi="Times New Roman" w:cs="Times New Roman"/>
          <w:b/>
          <w:bCs/>
          <w:sz w:val="20"/>
          <w:szCs w:val="20"/>
        </w:rPr>
        <w:t xml:space="preserve"> 3 in </w:t>
      </w:r>
      <w:proofErr w:type="spellStart"/>
      <w:r w:rsidRPr="00153E12">
        <w:rPr>
          <w:rFonts w:ascii="Times New Roman" w:hAnsi="Times New Roman" w:cs="Times New Roman"/>
          <w:b/>
          <w:bCs/>
          <w:sz w:val="20"/>
          <w:szCs w:val="20"/>
        </w:rPr>
        <w:t>Hemodialysis</w:t>
      </w:r>
      <w:proofErr w:type="spellEnd"/>
      <w:r w:rsidRPr="00153E12">
        <w:rPr>
          <w:rFonts w:ascii="Times New Roman" w:hAnsi="Times New Roman" w:cs="Times New Roman"/>
          <w:b/>
          <w:bCs/>
          <w:sz w:val="20"/>
          <w:szCs w:val="20"/>
        </w:rPr>
        <w:t xml:space="preserve"> Patients: Relationship to Co-morbidities</w:t>
      </w:r>
    </w:p>
    <w:p w:rsidR="008B7439" w:rsidRPr="00153E12" w:rsidRDefault="008B7439" w:rsidP="008B7439">
      <w:pPr>
        <w:snapToGrid w:val="0"/>
        <w:jc w:val="center"/>
        <w:rPr>
          <w:rFonts w:eastAsiaTheme="minorEastAsia"/>
          <w:sz w:val="20"/>
          <w:szCs w:val="20"/>
          <w:lang w:eastAsia="zh-CN"/>
        </w:rPr>
      </w:pPr>
    </w:p>
    <w:p w:rsidR="005272C8" w:rsidRPr="00153E12" w:rsidRDefault="005272C8" w:rsidP="008B7439">
      <w:pPr>
        <w:snapToGrid w:val="0"/>
        <w:jc w:val="center"/>
        <w:rPr>
          <w:rFonts w:eastAsiaTheme="minorEastAsia"/>
          <w:b/>
          <w:bCs/>
          <w:sz w:val="20"/>
          <w:szCs w:val="20"/>
          <w:vertAlign w:val="superscript"/>
          <w:lang w:eastAsia="zh-CN"/>
        </w:rPr>
      </w:pPr>
      <w:r w:rsidRPr="00153E12">
        <w:rPr>
          <w:bCs/>
          <w:sz w:val="20"/>
          <w:szCs w:val="20"/>
        </w:rPr>
        <w:t xml:space="preserve">Aziza Ahmed El </w:t>
      </w:r>
      <w:proofErr w:type="spellStart"/>
      <w:r w:rsidRPr="00153E12">
        <w:rPr>
          <w:bCs/>
          <w:sz w:val="20"/>
          <w:szCs w:val="20"/>
        </w:rPr>
        <w:t>Sebai</w:t>
      </w:r>
      <w:proofErr w:type="spellEnd"/>
      <w:r w:rsidRPr="00153E12">
        <w:rPr>
          <w:bCs/>
          <w:sz w:val="20"/>
          <w:szCs w:val="20"/>
        </w:rPr>
        <w:t xml:space="preserve">, </w:t>
      </w:r>
      <w:proofErr w:type="spellStart"/>
      <w:r w:rsidRPr="00153E12">
        <w:rPr>
          <w:bCs/>
          <w:sz w:val="20"/>
          <w:szCs w:val="20"/>
        </w:rPr>
        <w:t>Eman</w:t>
      </w:r>
      <w:proofErr w:type="spellEnd"/>
      <w:r w:rsidR="00153E12" w:rsidRPr="00153E12">
        <w:rPr>
          <w:rFonts w:eastAsiaTheme="minorEastAsia" w:hint="eastAsia"/>
          <w:bCs/>
          <w:sz w:val="20"/>
          <w:szCs w:val="20"/>
          <w:lang w:eastAsia="zh-CN"/>
        </w:rPr>
        <w:t xml:space="preserve"> </w:t>
      </w:r>
      <w:proofErr w:type="spellStart"/>
      <w:r w:rsidRPr="00153E12">
        <w:rPr>
          <w:bCs/>
          <w:sz w:val="20"/>
          <w:szCs w:val="20"/>
        </w:rPr>
        <w:t>Saleh</w:t>
      </w:r>
      <w:proofErr w:type="spellEnd"/>
      <w:r w:rsidRPr="00153E12">
        <w:rPr>
          <w:bCs/>
          <w:sz w:val="20"/>
          <w:szCs w:val="20"/>
        </w:rPr>
        <w:t xml:space="preserve"> El </w:t>
      </w:r>
      <w:proofErr w:type="spellStart"/>
      <w:r w:rsidRPr="00153E12">
        <w:rPr>
          <w:bCs/>
          <w:sz w:val="20"/>
          <w:szCs w:val="20"/>
        </w:rPr>
        <w:t>Hadidi</w:t>
      </w:r>
      <w:proofErr w:type="spellEnd"/>
      <w:r w:rsidRPr="00153E12">
        <w:rPr>
          <w:bCs/>
          <w:sz w:val="20"/>
          <w:szCs w:val="20"/>
        </w:rPr>
        <w:t>,</w:t>
      </w:r>
      <w:r w:rsidR="00153E12">
        <w:rPr>
          <w:bCs/>
          <w:sz w:val="20"/>
          <w:szCs w:val="20"/>
        </w:rPr>
        <w:t xml:space="preserve"> </w:t>
      </w:r>
      <w:proofErr w:type="spellStart"/>
      <w:r w:rsidRPr="00153E12">
        <w:rPr>
          <w:bCs/>
          <w:sz w:val="20"/>
          <w:szCs w:val="20"/>
        </w:rPr>
        <w:t>Hala</w:t>
      </w:r>
      <w:proofErr w:type="spellEnd"/>
      <w:r w:rsidRPr="00153E12">
        <w:rPr>
          <w:bCs/>
          <w:sz w:val="20"/>
          <w:szCs w:val="20"/>
        </w:rPr>
        <w:t xml:space="preserve"> Abdel Al </w:t>
      </w:r>
      <w:r w:rsidRPr="00153E12">
        <w:rPr>
          <w:bCs/>
          <w:sz w:val="20"/>
          <w:szCs w:val="20"/>
          <w:vertAlign w:val="superscript"/>
        </w:rPr>
        <w:sym w:font="Symbol" w:char="F02A"/>
      </w:r>
      <w:r w:rsidRPr="00153E12">
        <w:rPr>
          <w:bCs/>
          <w:sz w:val="20"/>
          <w:szCs w:val="20"/>
        </w:rPr>
        <w:t>and</w:t>
      </w:r>
      <w:r w:rsidR="00153E12" w:rsidRPr="00153E12">
        <w:rPr>
          <w:rFonts w:eastAsiaTheme="minorEastAsia" w:hint="eastAsia"/>
          <w:bCs/>
          <w:sz w:val="20"/>
          <w:szCs w:val="20"/>
          <w:lang w:eastAsia="zh-CN"/>
        </w:rPr>
        <w:t xml:space="preserve"> </w:t>
      </w:r>
      <w:proofErr w:type="spellStart"/>
      <w:r w:rsidRPr="00153E12">
        <w:rPr>
          <w:bCs/>
          <w:sz w:val="20"/>
          <w:szCs w:val="20"/>
        </w:rPr>
        <w:t>Engy</w:t>
      </w:r>
      <w:proofErr w:type="spellEnd"/>
      <w:r w:rsidR="00153E12" w:rsidRPr="00153E12">
        <w:rPr>
          <w:rFonts w:eastAsiaTheme="minorEastAsia" w:hint="eastAsia"/>
          <w:bCs/>
          <w:sz w:val="20"/>
          <w:szCs w:val="20"/>
          <w:lang w:eastAsia="zh-CN"/>
        </w:rPr>
        <w:t xml:space="preserve"> </w:t>
      </w:r>
      <w:proofErr w:type="spellStart"/>
      <w:r w:rsidRPr="00153E12">
        <w:rPr>
          <w:bCs/>
          <w:sz w:val="20"/>
          <w:szCs w:val="20"/>
        </w:rPr>
        <w:t>Yousry</w:t>
      </w:r>
      <w:proofErr w:type="spellEnd"/>
      <w:r w:rsidRPr="00153E12">
        <w:rPr>
          <w:bCs/>
          <w:sz w:val="20"/>
          <w:szCs w:val="20"/>
        </w:rPr>
        <w:t xml:space="preserve"> El </w:t>
      </w:r>
      <w:proofErr w:type="spellStart"/>
      <w:r w:rsidRPr="00153E12">
        <w:rPr>
          <w:bCs/>
          <w:sz w:val="20"/>
          <w:szCs w:val="20"/>
        </w:rPr>
        <w:t>Sayed</w:t>
      </w:r>
      <w:proofErr w:type="spellEnd"/>
      <w:r w:rsidRPr="00153E12">
        <w:rPr>
          <w:bCs/>
          <w:sz w:val="20"/>
          <w:szCs w:val="20"/>
          <w:vertAlign w:val="superscript"/>
        </w:rPr>
        <w:t xml:space="preserve"> *</w:t>
      </w:r>
      <w:r w:rsidRPr="00153E12">
        <w:rPr>
          <w:b/>
          <w:bCs/>
          <w:sz w:val="20"/>
          <w:szCs w:val="20"/>
          <w:vertAlign w:val="superscript"/>
        </w:rPr>
        <w:t>*</w:t>
      </w:r>
    </w:p>
    <w:p w:rsidR="008B7439" w:rsidRPr="00153E12" w:rsidRDefault="008B7439" w:rsidP="008B7439">
      <w:pPr>
        <w:snapToGrid w:val="0"/>
        <w:jc w:val="center"/>
        <w:rPr>
          <w:rFonts w:eastAsiaTheme="minorEastAsia"/>
          <w:b/>
          <w:bCs/>
          <w:sz w:val="20"/>
          <w:szCs w:val="20"/>
          <w:lang w:eastAsia="zh-CN"/>
        </w:rPr>
      </w:pPr>
    </w:p>
    <w:p w:rsidR="005272C8" w:rsidRPr="00153E12" w:rsidRDefault="005272C8" w:rsidP="008B7439">
      <w:pPr>
        <w:snapToGrid w:val="0"/>
        <w:jc w:val="center"/>
        <w:rPr>
          <w:sz w:val="20"/>
          <w:szCs w:val="20"/>
        </w:rPr>
      </w:pPr>
      <w:r w:rsidRPr="00153E12">
        <w:rPr>
          <w:sz w:val="20"/>
          <w:szCs w:val="20"/>
        </w:rPr>
        <w:t xml:space="preserve">*Departments of Clinical and Chemical Pathology and </w:t>
      </w:r>
      <w:r w:rsidRPr="00153E12">
        <w:rPr>
          <w:sz w:val="20"/>
          <w:szCs w:val="20"/>
          <w:vertAlign w:val="superscript"/>
        </w:rPr>
        <w:t>**</w:t>
      </w:r>
      <w:r w:rsidRPr="00153E12">
        <w:rPr>
          <w:sz w:val="20"/>
          <w:szCs w:val="20"/>
        </w:rPr>
        <w:t xml:space="preserve">Internal Medicine, Faculty of Medicine </w:t>
      </w:r>
      <w:proofErr w:type="spellStart"/>
      <w:r w:rsidRPr="00153E12">
        <w:rPr>
          <w:sz w:val="20"/>
          <w:szCs w:val="20"/>
        </w:rPr>
        <w:t>Ain</w:t>
      </w:r>
      <w:proofErr w:type="spellEnd"/>
      <w:r w:rsidRPr="00153E12">
        <w:rPr>
          <w:sz w:val="20"/>
          <w:szCs w:val="20"/>
        </w:rPr>
        <w:t xml:space="preserve"> Shams University</w:t>
      </w:r>
    </w:p>
    <w:p w:rsidR="005272C8" w:rsidRPr="00153E12" w:rsidRDefault="005272C8" w:rsidP="008B7439">
      <w:pPr>
        <w:snapToGrid w:val="0"/>
        <w:jc w:val="center"/>
        <w:rPr>
          <w:b/>
          <w:bCs/>
          <w:sz w:val="20"/>
          <w:szCs w:val="20"/>
        </w:rPr>
      </w:pPr>
    </w:p>
    <w:p w:rsidR="00101733" w:rsidRPr="00153E12" w:rsidRDefault="005272C8" w:rsidP="008B7439">
      <w:pPr>
        <w:autoSpaceDE w:val="0"/>
        <w:autoSpaceDN w:val="0"/>
        <w:adjustRightInd w:val="0"/>
        <w:snapToGrid w:val="0"/>
        <w:jc w:val="both"/>
        <w:rPr>
          <w:rFonts w:eastAsiaTheme="minorEastAsia"/>
          <w:sz w:val="20"/>
          <w:szCs w:val="20"/>
          <w:lang w:eastAsia="zh-CN"/>
        </w:rPr>
      </w:pPr>
      <w:r w:rsidRPr="00153E12">
        <w:rPr>
          <w:b/>
          <w:bCs/>
          <w:sz w:val="20"/>
          <w:szCs w:val="20"/>
        </w:rPr>
        <w:t>Abstract</w:t>
      </w:r>
      <w:r w:rsidR="008B7439" w:rsidRPr="00153E12">
        <w:rPr>
          <w:rFonts w:eastAsiaTheme="minorEastAsia" w:hint="eastAsia"/>
          <w:b/>
          <w:bCs/>
          <w:sz w:val="20"/>
          <w:szCs w:val="20"/>
          <w:lang w:eastAsia="zh-CN"/>
        </w:rPr>
        <w:t xml:space="preserve">: </w:t>
      </w:r>
      <w:proofErr w:type="spellStart"/>
      <w:r w:rsidRPr="00153E12">
        <w:rPr>
          <w:sz w:val="20"/>
          <w:szCs w:val="20"/>
        </w:rPr>
        <w:t>Hemodialysis</w:t>
      </w:r>
      <w:proofErr w:type="spellEnd"/>
      <w:r w:rsidRPr="00153E12">
        <w:rPr>
          <w:sz w:val="20"/>
          <w:szCs w:val="20"/>
        </w:rPr>
        <w:t xml:space="preserve"> (HD), despite being the most common treatment modality for end stage renal disease (ESRD); the mortality rate in HD patients from co-morbidities still remains higher than 20-50 % per year. The aim of this study was to measure the plasma level of </w:t>
      </w:r>
      <w:proofErr w:type="spellStart"/>
      <w:r w:rsidRPr="00153E12">
        <w:rPr>
          <w:sz w:val="20"/>
          <w:szCs w:val="20"/>
        </w:rPr>
        <w:t>pentraxin</w:t>
      </w:r>
      <w:proofErr w:type="spellEnd"/>
      <w:r w:rsidRPr="00153E12">
        <w:rPr>
          <w:sz w:val="20"/>
          <w:szCs w:val="20"/>
        </w:rPr>
        <w:t xml:space="preserve"> 3 (PXT3) in patients on maintenance HD and to assess its relationships to co-morbidities such as malnutrition and associated co-morbid diseases. This case-control study included 50 HD patients, 30 ESRD patients and 30 healthy controls. HD patients were classified into different subgroups according to the Davies co-morbidity index and malnutrition score. Plasma pentraxin3 (PTX3) was analyzed by a sandwich ELISA technique. Plasma level of PTX3 reached its highest levels in HD patients followed by ESRD patients as compared to healthy controls. Moreover, within the different subgroups, the highest levels and the highest odd ratio of PTX3 were detected in the subgroups having the highest Davies co-morbidity index, or the highest malnutrition score as compared to the other subgroups. At a cutoff 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xml:space="preserve">, PTX3 was able to discriminate HD patients with low Davies co-morbidity index from those with both medium and high Davies co-morbidity index with a diagnostic sensitivity of 92.5% and a diagnostic specificity of 70.0%. Meanwhile, the best cutoff of plasma PTX3 for discriminating patients with mild malnutrition from severe and moderate malnutrition was </w:t>
      </w:r>
      <w:proofErr w:type="gramStart"/>
      <w:r w:rsidRPr="00153E12">
        <w:rPr>
          <w:sz w:val="20"/>
          <w:szCs w:val="20"/>
        </w:rPr>
        <w:t xml:space="preserve">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xml:space="preserve"> with a diagnostic </w:t>
      </w:r>
      <w:bookmarkStart w:id="0" w:name="_GoBack"/>
      <w:bookmarkEnd w:id="0"/>
      <w:r w:rsidRPr="00153E12">
        <w:rPr>
          <w:sz w:val="20"/>
          <w:szCs w:val="20"/>
        </w:rPr>
        <w:t>sensitivity 90.9% and a diagnostic specificity 41.2%</w:t>
      </w:r>
      <w:proofErr w:type="gramEnd"/>
      <w:r w:rsidRPr="00153E12">
        <w:rPr>
          <w:sz w:val="20"/>
          <w:szCs w:val="20"/>
        </w:rPr>
        <w:t xml:space="preserve">. </w:t>
      </w:r>
      <w:r w:rsidRPr="00153E12">
        <w:rPr>
          <w:color w:val="000000"/>
          <w:sz w:val="20"/>
          <w:szCs w:val="20"/>
        </w:rPr>
        <w:t xml:space="preserve">In conclusion: </w:t>
      </w:r>
      <w:proofErr w:type="spellStart"/>
      <w:r w:rsidRPr="00153E12">
        <w:rPr>
          <w:sz w:val="20"/>
          <w:szCs w:val="20"/>
        </w:rPr>
        <w:t>Pentraxin</w:t>
      </w:r>
      <w:proofErr w:type="spellEnd"/>
      <w:r w:rsidRPr="00153E12">
        <w:rPr>
          <w:sz w:val="20"/>
          <w:szCs w:val="20"/>
        </w:rPr>
        <w:t xml:space="preserve"> 3 appears to be a clinically useful marker for early identification of patients with renal failure</w:t>
      </w:r>
      <w:r w:rsidR="00153E12">
        <w:rPr>
          <w:sz w:val="20"/>
          <w:szCs w:val="20"/>
        </w:rPr>
        <w:t xml:space="preserve"> </w:t>
      </w:r>
      <w:r w:rsidRPr="00153E12">
        <w:rPr>
          <w:sz w:val="20"/>
          <w:szCs w:val="20"/>
        </w:rPr>
        <w:t>on maintenance</w:t>
      </w:r>
      <w:r w:rsidR="00153E12">
        <w:rPr>
          <w:sz w:val="20"/>
          <w:szCs w:val="20"/>
        </w:rPr>
        <w:t xml:space="preserve"> </w:t>
      </w:r>
      <w:r w:rsidRPr="00153E12">
        <w:rPr>
          <w:sz w:val="20"/>
          <w:szCs w:val="20"/>
        </w:rPr>
        <w:t>HD who are at substantially increased risk of morbidity. These patients may require care and aggressive follow-up in more specialized units. Such patients would also probably benefit from early referral to a renal transplant center for consideration of candidacy for transplantation and expedited evaluation</w:t>
      </w:r>
    </w:p>
    <w:p w:rsidR="008B7439" w:rsidRPr="00153E12" w:rsidRDefault="008B7439" w:rsidP="008B7439">
      <w:pPr>
        <w:snapToGrid w:val="0"/>
        <w:jc w:val="both"/>
        <w:rPr>
          <w:rFonts w:eastAsiaTheme="minorEastAsia"/>
          <w:sz w:val="20"/>
          <w:szCs w:val="20"/>
          <w:lang w:eastAsia="zh-CN"/>
        </w:rPr>
      </w:pPr>
      <w:proofErr w:type="gramStart"/>
      <w:r w:rsidRPr="00153E12">
        <w:rPr>
          <w:rFonts w:hint="eastAsia"/>
          <w:b/>
          <w:bCs/>
          <w:sz w:val="20"/>
          <w:szCs w:val="20"/>
        </w:rPr>
        <w:t>[</w:t>
      </w:r>
      <w:r w:rsidRPr="00153E12">
        <w:rPr>
          <w:bCs/>
          <w:sz w:val="20"/>
          <w:szCs w:val="20"/>
        </w:rPr>
        <w:t xml:space="preserve">Aziza Ahmed El </w:t>
      </w:r>
      <w:proofErr w:type="spellStart"/>
      <w:r w:rsidRPr="00153E12">
        <w:rPr>
          <w:bCs/>
          <w:sz w:val="20"/>
          <w:szCs w:val="20"/>
        </w:rPr>
        <w:t>Sebai</w:t>
      </w:r>
      <w:proofErr w:type="spellEnd"/>
      <w:r w:rsidRPr="00153E12">
        <w:rPr>
          <w:bCs/>
          <w:sz w:val="20"/>
          <w:szCs w:val="20"/>
        </w:rPr>
        <w:t xml:space="preserve">, </w:t>
      </w:r>
      <w:proofErr w:type="spellStart"/>
      <w:r w:rsidRPr="00153E12">
        <w:rPr>
          <w:bCs/>
          <w:sz w:val="20"/>
          <w:szCs w:val="20"/>
        </w:rPr>
        <w:t>Eman</w:t>
      </w:r>
      <w:proofErr w:type="spellEnd"/>
      <w:r w:rsidR="006E4481">
        <w:rPr>
          <w:rFonts w:eastAsiaTheme="minorEastAsia" w:hint="eastAsia"/>
          <w:bCs/>
          <w:sz w:val="20"/>
          <w:szCs w:val="20"/>
          <w:lang w:eastAsia="zh-CN"/>
        </w:rPr>
        <w:t xml:space="preserve"> </w:t>
      </w:r>
      <w:proofErr w:type="spellStart"/>
      <w:r w:rsidRPr="00153E12">
        <w:rPr>
          <w:bCs/>
          <w:sz w:val="20"/>
          <w:szCs w:val="20"/>
        </w:rPr>
        <w:t>Saleh</w:t>
      </w:r>
      <w:proofErr w:type="spellEnd"/>
      <w:r w:rsidRPr="00153E12">
        <w:rPr>
          <w:bCs/>
          <w:sz w:val="20"/>
          <w:szCs w:val="20"/>
        </w:rPr>
        <w:t xml:space="preserve"> El </w:t>
      </w:r>
      <w:proofErr w:type="spellStart"/>
      <w:r w:rsidRPr="00153E12">
        <w:rPr>
          <w:bCs/>
          <w:sz w:val="20"/>
          <w:szCs w:val="20"/>
        </w:rPr>
        <w:t>Hadidi</w:t>
      </w:r>
      <w:proofErr w:type="spellEnd"/>
      <w:r w:rsidRPr="00153E12">
        <w:rPr>
          <w:bCs/>
          <w:sz w:val="20"/>
          <w:szCs w:val="20"/>
        </w:rPr>
        <w:t xml:space="preserve">, </w:t>
      </w:r>
      <w:proofErr w:type="spellStart"/>
      <w:r w:rsidRPr="00153E12">
        <w:rPr>
          <w:bCs/>
          <w:sz w:val="20"/>
          <w:szCs w:val="20"/>
        </w:rPr>
        <w:t>Hala</w:t>
      </w:r>
      <w:proofErr w:type="spellEnd"/>
      <w:r w:rsidRPr="00153E12">
        <w:rPr>
          <w:bCs/>
          <w:sz w:val="20"/>
          <w:szCs w:val="20"/>
        </w:rPr>
        <w:t xml:space="preserve"> Abdel Al and</w:t>
      </w:r>
      <w:r w:rsidR="00871EB9" w:rsidRPr="00153E12">
        <w:rPr>
          <w:rFonts w:eastAsiaTheme="minorEastAsia" w:hint="eastAsia"/>
          <w:bCs/>
          <w:sz w:val="20"/>
          <w:szCs w:val="20"/>
          <w:lang w:eastAsia="zh-CN"/>
        </w:rPr>
        <w:t xml:space="preserve"> </w:t>
      </w:r>
      <w:proofErr w:type="spellStart"/>
      <w:r w:rsidRPr="00153E12">
        <w:rPr>
          <w:bCs/>
          <w:sz w:val="20"/>
          <w:szCs w:val="20"/>
        </w:rPr>
        <w:t>EngyYousry</w:t>
      </w:r>
      <w:proofErr w:type="spellEnd"/>
      <w:r w:rsidRPr="00153E12">
        <w:rPr>
          <w:bCs/>
          <w:sz w:val="20"/>
          <w:szCs w:val="20"/>
        </w:rPr>
        <w:t xml:space="preserve"> El </w:t>
      </w:r>
      <w:proofErr w:type="spellStart"/>
      <w:r w:rsidRPr="00153E12">
        <w:rPr>
          <w:bCs/>
          <w:sz w:val="20"/>
          <w:szCs w:val="20"/>
        </w:rPr>
        <w:t>Sayed</w:t>
      </w:r>
      <w:proofErr w:type="spellEnd"/>
      <w:r w:rsidRPr="00153E12">
        <w:rPr>
          <w:sz w:val="20"/>
          <w:szCs w:val="20"/>
        </w:rPr>
        <w:t>.</w:t>
      </w:r>
      <w:proofErr w:type="gramEnd"/>
      <w:r w:rsidRPr="00153E12">
        <w:rPr>
          <w:rFonts w:eastAsiaTheme="minorEastAsia" w:hint="eastAsia"/>
          <w:b/>
          <w:bCs/>
          <w:sz w:val="20"/>
          <w:szCs w:val="20"/>
          <w:lang w:bidi="fa-IR"/>
        </w:rPr>
        <w:t xml:space="preserve"> </w:t>
      </w:r>
      <w:proofErr w:type="spellStart"/>
      <w:r w:rsidRPr="00153E12">
        <w:rPr>
          <w:b/>
          <w:bCs/>
          <w:sz w:val="20"/>
          <w:szCs w:val="20"/>
        </w:rPr>
        <w:t>Pentraxin</w:t>
      </w:r>
      <w:proofErr w:type="spellEnd"/>
      <w:r w:rsidRPr="00153E12">
        <w:rPr>
          <w:b/>
          <w:bCs/>
          <w:sz w:val="20"/>
          <w:szCs w:val="20"/>
        </w:rPr>
        <w:t xml:space="preserve"> 3 in </w:t>
      </w:r>
      <w:proofErr w:type="spellStart"/>
      <w:r w:rsidRPr="00153E12">
        <w:rPr>
          <w:b/>
          <w:bCs/>
          <w:sz w:val="20"/>
          <w:szCs w:val="20"/>
        </w:rPr>
        <w:t>Hemodialysis</w:t>
      </w:r>
      <w:proofErr w:type="spellEnd"/>
      <w:r w:rsidRPr="00153E12">
        <w:rPr>
          <w:b/>
          <w:bCs/>
          <w:sz w:val="20"/>
          <w:szCs w:val="20"/>
        </w:rPr>
        <w:t xml:space="preserve"> Patients: Relationship to Co-morbidities</w:t>
      </w:r>
      <w:r w:rsidRPr="00153E12">
        <w:rPr>
          <w:b/>
          <w:bCs/>
          <w:sz w:val="20"/>
          <w:szCs w:val="20"/>
          <w:lang w:bidi="fa-IR"/>
        </w:rPr>
        <w:t>.</w:t>
      </w:r>
      <w:r w:rsidRPr="00153E12">
        <w:rPr>
          <w:rFonts w:hint="eastAsia"/>
          <w:b/>
          <w:bCs/>
          <w:sz w:val="20"/>
          <w:szCs w:val="20"/>
        </w:rPr>
        <w:t xml:space="preserve"> </w:t>
      </w:r>
      <w:r w:rsidRPr="00153E12">
        <w:rPr>
          <w:bCs/>
          <w:i/>
          <w:sz w:val="20"/>
          <w:szCs w:val="20"/>
        </w:rPr>
        <w:t xml:space="preserve">Nat </w:t>
      </w:r>
      <w:proofErr w:type="spellStart"/>
      <w:r w:rsidRPr="00153E12">
        <w:rPr>
          <w:bCs/>
          <w:i/>
          <w:sz w:val="20"/>
          <w:szCs w:val="20"/>
        </w:rPr>
        <w:t>Sci</w:t>
      </w:r>
      <w:proofErr w:type="spellEnd"/>
      <w:r w:rsidRPr="00153E12">
        <w:rPr>
          <w:rFonts w:eastAsiaTheme="minorEastAsia" w:hint="eastAsia"/>
          <w:bCs/>
          <w:i/>
          <w:sz w:val="20"/>
          <w:szCs w:val="20"/>
        </w:rPr>
        <w:t xml:space="preserve"> </w:t>
      </w:r>
      <w:r w:rsidRPr="00153E12">
        <w:rPr>
          <w:sz w:val="20"/>
          <w:szCs w:val="20"/>
        </w:rPr>
        <w:t>201</w:t>
      </w:r>
      <w:r w:rsidRPr="00153E12">
        <w:rPr>
          <w:rFonts w:hint="eastAsia"/>
          <w:sz w:val="20"/>
          <w:szCs w:val="20"/>
        </w:rPr>
        <w:t>5</w:t>
      </w:r>
      <w:proofErr w:type="gramStart"/>
      <w:r w:rsidRPr="00153E12">
        <w:rPr>
          <w:sz w:val="20"/>
          <w:szCs w:val="20"/>
        </w:rPr>
        <w:t>;1</w:t>
      </w:r>
      <w:r w:rsidRPr="00153E12">
        <w:rPr>
          <w:rFonts w:hint="eastAsia"/>
          <w:sz w:val="20"/>
          <w:szCs w:val="20"/>
        </w:rPr>
        <w:t>3</w:t>
      </w:r>
      <w:proofErr w:type="gramEnd"/>
      <w:r w:rsidRPr="00153E12">
        <w:rPr>
          <w:sz w:val="20"/>
          <w:szCs w:val="20"/>
        </w:rPr>
        <w:t>(</w:t>
      </w:r>
      <w:r w:rsidRPr="00153E12">
        <w:rPr>
          <w:rFonts w:hint="eastAsia"/>
          <w:sz w:val="20"/>
          <w:szCs w:val="20"/>
        </w:rPr>
        <w:t>7)</w:t>
      </w:r>
      <w:r w:rsidRPr="00153E12">
        <w:rPr>
          <w:sz w:val="20"/>
          <w:szCs w:val="20"/>
        </w:rPr>
        <w:t>:</w:t>
      </w:r>
      <w:r w:rsidR="002C0504" w:rsidRPr="00153E12">
        <w:rPr>
          <w:noProof/>
          <w:color w:val="000000"/>
          <w:sz w:val="20"/>
          <w:szCs w:val="20"/>
        </w:rPr>
        <w:t>12</w:t>
      </w:r>
      <w:r w:rsidRPr="00153E12">
        <w:rPr>
          <w:color w:val="000000"/>
          <w:sz w:val="20"/>
          <w:szCs w:val="20"/>
        </w:rPr>
        <w:t>-</w:t>
      </w:r>
      <w:r w:rsidR="002C0504" w:rsidRPr="00153E12">
        <w:rPr>
          <w:noProof/>
          <w:color w:val="000000"/>
          <w:sz w:val="20"/>
          <w:szCs w:val="20"/>
        </w:rPr>
        <w:t>18</w:t>
      </w:r>
      <w:r w:rsidRPr="00153E12">
        <w:rPr>
          <w:sz w:val="20"/>
          <w:szCs w:val="20"/>
        </w:rPr>
        <w:t>]</w:t>
      </w:r>
      <w:r w:rsidRPr="00153E12">
        <w:rPr>
          <w:rFonts w:hint="eastAsia"/>
          <w:sz w:val="20"/>
          <w:szCs w:val="20"/>
        </w:rPr>
        <w:t>.</w:t>
      </w:r>
      <w:r w:rsidRPr="00153E12">
        <w:rPr>
          <w:sz w:val="20"/>
          <w:szCs w:val="20"/>
        </w:rPr>
        <w:t xml:space="preserve"> (ISSN: 1545-0740).</w:t>
      </w:r>
      <w:r w:rsidRPr="00153E12">
        <w:rPr>
          <w:color w:val="0000FF"/>
          <w:sz w:val="20"/>
          <w:szCs w:val="20"/>
        </w:rPr>
        <w:t xml:space="preserve"> </w:t>
      </w:r>
      <w:hyperlink r:id="rId8" w:history="1">
        <w:r w:rsidRPr="00153E12">
          <w:rPr>
            <w:rStyle w:val="Hyperlink"/>
            <w:rFonts w:eastAsia="Calibri"/>
            <w:color w:val="0000FF"/>
            <w:sz w:val="20"/>
            <w:szCs w:val="20"/>
          </w:rPr>
          <w:t>http://www.sciencepub.net/nature</w:t>
        </w:r>
      </w:hyperlink>
      <w:r w:rsidRPr="00153E12">
        <w:rPr>
          <w:sz w:val="20"/>
          <w:szCs w:val="20"/>
        </w:rPr>
        <w:t>.</w:t>
      </w:r>
      <w:r w:rsidRPr="00153E12">
        <w:rPr>
          <w:rFonts w:hint="eastAsia"/>
          <w:sz w:val="20"/>
          <w:szCs w:val="20"/>
        </w:rPr>
        <w:t xml:space="preserve"> </w:t>
      </w:r>
      <w:r w:rsidRPr="00153E12">
        <w:rPr>
          <w:rFonts w:eastAsiaTheme="minorEastAsia" w:hint="eastAsia"/>
          <w:sz w:val="20"/>
          <w:szCs w:val="20"/>
          <w:lang w:eastAsia="zh-CN"/>
        </w:rPr>
        <w:t>2</w:t>
      </w:r>
    </w:p>
    <w:p w:rsidR="008B7439" w:rsidRPr="00153E12" w:rsidRDefault="008B7439" w:rsidP="008B7439">
      <w:pPr>
        <w:snapToGrid w:val="0"/>
        <w:ind w:firstLine="425"/>
        <w:jc w:val="both"/>
        <w:rPr>
          <w:rFonts w:eastAsiaTheme="minorEastAsia"/>
          <w:sz w:val="20"/>
          <w:szCs w:val="20"/>
          <w:lang w:eastAsia="zh-CN"/>
        </w:rPr>
      </w:pPr>
    </w:p>
    <w:p w:rsidR="00101733" w:rsidRPr="00153E12" w:rsidRDefault="00871EB9" w:rsidP="00871EB9">
      <w:pPr>
        <w:snapToGrid w:val="0"/>
        <w:jc w:val="both"/>
        <w:rPr>
          <w:sz w:val="20"/>
          <w:szCs w:val="20"/>
        </w:rPr>
      </w:pPr>
      <w:r w:rsidRPr="00153E12">
        <w:rPr>
          <w:b/>
          <w:sz w:val="20"/>
          <w:szCs w:val="20"/>
        </w:rPr>
        <w:t>Key Words:</w:t>
      </w:r>
      <w:r w:rsidR="00101733" w:rsidRPr="00153E12">
        <w:rPr>
          <w:sz w:val="20"/>
          <w:szCs w:val="20"/>
        </w:rPr>
        <w:t xml:space="preserve"> Renal failure</w:t>
      </w:r>
      <w:r w:rsidR="00153E12">
        <w:rPr>
          <w:sz w:val="20"/>
          <w:szCs w:val="20"/>
        </w:rPr>
        <w:t>,</w:t>
      </w:r>
      <w:r w:rsidR="00101733" w:rsidRPr="00153E12">
        <w:rPr>
          <w:sz w:val="20"/>
          <w:szCs w:val="20"/>
        </w:rPr>
        <w:t xml:space="preserve"> end stage renal disease, malnutrition, </w:t>
      </w:r>
      <w:proofErr w:type="spellStart"/>
      <w:r w:rsidR="00101733" w:rsidRPr="00153E12">
        <w:rPr>
          <w:sz w:val="20"/>
          <w:szCs w:val="20"/>
        </w:rPr>
        <w:t>pentarexin</w:t>
      </w:r>
      <w:proofErr w:type="spellEnd"/>
      <w:r w:rsidR="00101733" w:rsidRPr="00153E12">
        <w:rPr>
          <w:sz w:val="20"/>
          <w:szCs w:val="20"/>
        </w:rPr>
        <w:t xml:space="preserve"> 3</w:t>
      </w:r>
    </w:p>
    <w:p w:rsidR="005272C8" w:rsidRPr="00153E12" w:rsidRDefault="005272C8" w:rsidP="008B7439">
      <w:pPr>
        <w:autoSpaceDE w:val="0"/>
        <w:autoSpaceDN w:val="0"/>
        <w:adjustRightInd w:val="0"/>
        <w:snapToGrid w:val="0"/>
        <w:jc w:val="both"/>
        <w:rPr>
          <w:sz w:val="20"/>
          <w:szCs w:val="20"/>
        </w:rPr>
      </w:pPr>
    </w:p>
    <w:p w:rsidR="00871EB9" w:rsidRPr="00153E12" w:rsidRDefault="00871EB9" w:rsidP="008B7439">
      <w:pPr>
        <w:snapToGrid w:val="0"/>
        <w:jc w:val="both"/>
        <w:rPr>
          <w:b/>
          <w:bCs/>
          <w:sz w:val="20"/>
          <w:szCs w:val="20"/>
        </w:rPr>
        <w:sectPr w:rsidR="00871EB9" w:rsidRPr="00153E12" w:rsidSect="002C0504">
          <w:headerReference w:type="default" r:id="rId9"/>
          <w:footerReference w:type="default" r:id="rId10"/>
          <w:type w:val="continuous"/>
          <w:pgSz w:w="12240" w:h="15840" w:code="1"/>
          <w:pgMar w:top="1440" w:right="1440" w:bottom="1440" w:left="1440" w:header="720" w:footer="720" w:gutter="0"/>
          <w:pgNumType w:start="12"/>
          <w:cols w:space="720"/>
          <w:docGrid w:linePitch="360"/>
        </w:sectPr>
      </w:pPr>
    </w:p>
    <w:p w:rsidR="005272C8" w:rsidRPr="00153E12" w:rsidRDefault="008B7439" w:rsidP="008B7439">
      <w:pPr>
        <w:snapToGrid w:val="0"/>
        <w:jc w:val="both"/>
        <w:rPr>
          <w:b/>
          <w:bCs/>
          <w:sz w:val="20"/>
          <w:szCs w:val="20"/>
        </w:rPr>
      </w:pPr>
      <w:r w:rsidRPr="00153E12">
        <w:rPr>
          <w:b/>
          <w:bCs/>
          <w:sz w:val="20"/>
          <w:szCs w:val="20"/>
        </w:rPr>
        <w:lastRenderedPageBreak/>
        <w:t>Introduction</w:t>
      </w:r>
    </w:p>
    <w:p w:rsidR="005272C8" w:rsidRPr="00153E12" w:rsidRDefault="005272C8" w:rsidP="008B7439">
      <w:pPr>
        <w:autoSpaceDE w:val="0"/>
        <w:autoSpaceDN w:val="0"/>
        <w:adjustRightInd w:val="0"/>
        <w:snapToGrid w:val="0"/>
        <w:ind w:firstLine="425"/>
        <w:jc w:val="both"/>
        <w:rPr>
          <w:rStyle w:val="apple-style-span"/>
          <w:sz w:val="20"/>
          <w:szCs w:val="20"/>
        </w:rPr>
      </w:pPr>
      <w:r w:rsidRPr="00153E12">
        <w:rPr>
          <w:rStyle w:val="apple-style-span"/>
          <w:sz w:val="20"/>
          <w:szCs w:val="20"/>
        </w:rPr>
        <w:t xml:space="preserve">It is generally admitted that alterations in the immune and host defense system occur in patients with end-stage renal disease (ESRD). Moreover a chronic inflammatory condition, associated with a state of malnutrition and cardiovascular complications are often prevalent in </w:t>
      </w:r>
      <w:proofErr w:type="spellStart"/>
      <w:r w:rsidRPr="00153E12">
        <w:rPr>
          <w:rStyle w:val="apple-style-span"/>
          <w:sz w:val="20"/>
          <w:szCs w:val="20"/>
        </w:rPr>
        <w:t>hemodialysis</w:t>
      </w:r>
      <w:proofErr w:type="spellEnd"/>
      <w:r w:rsidRPr="00153E12">
        <w:rPr>
          <w:rStyle w:val="apple-style-span"/>
          <w:sz w:val="20"/>
          <w:szCs w:val="20"/>
        </w:rPr>
        <w:t xml:space="preserve"> (HD) patients and could be responsible for more than 50% of the morbidity and mortality observed in these patients </w:t>
      </w:r>
      <w:r w:rsidR="000D032D" w:rsidRPr="00153E12">
        <w:rPr>
          <w:rStyle w:val="apple-style-span"/>
          <w:sz w:val="20"/>
          <w:szCs w:val="20"/>
          <w:vertAlign w:val="superscript"/>
        </w:rPr>
        <w:t>(11,1</w:t>
      </w:r>
      <w:r w:rsidR="00BA0F98" w:rsidRPr="00153E12">
        <w:rPr>
          <w:rStyle w:val="apple-style-span"/>
          <w:sz w:val="20"/>
          <w:szCs w:val="20"/>
          <w:vertAlign w:val="superscript"/>
        </w:rPr>
        <w:t>9</w:t>
      </w:r>
      <w:r w:rsidR="000D032D" w:rsidRPr="00153E12">
        <w:rPr>
          <w:rStyle w:val="apple-style-span"/>
          <w:sz w:val="20"/>
          <w:szCs w:val="20"/>
          <w:vertAlign w:val="superscript"/>
        </w:rPr>
        <w:t>)</w:t>
      </w:r>
      <w:r w:rsidR="000D032D" w:rsidRPr="00153E12">
        <w:rPr>
          <w:rStyle w:val="apple-style-span"/>
          <w:sz w:val="20"/>
          <w:szCs w:val="20"/>
        </w:rPr>
        <w:t>.</w:t>
      </w:r>
    </w:p>
    <w:p w:rsidR="005272C8" w:rsidRPr="00153E12" w:rsidRDefault="005272C8" w:rsidP="008B7439">
      <w:pPr>
        <w:autoSpaceDE w:val="0"/>
        <w:autoSpaceDN w:val="0"/>
        <w:adjustRightInd w:val="0"/>
        <w:snapToGrid w:val="0"/>
        <w:ind w:firstLine="425"/>
        <w:jc w:val="both"/>
        <w:rPr>
          <w:rStyle w:val="apple-style-span"/>
          <w:b/>
          <w:bCs/>
          <w:sz w:val="20"/>
          <w:szCs w:val="20"/>
        </w:rPr>
      </w:pPr>
      <w:proofErr w:type="spellStart"/>
      <w:r w:rsidRPr="00153E12">
        <w:rPr>
          <w:rStyle w:val="apple-style-span"/>
          <w:sz w:val="20"/>
          <w:szCs w:val="20"/>
        </w:rPr>
        <w:t>Pentraxin</w:t>
      </w:r>
      <w:proofErr w:type="spellEnd"/>
      <w:r w:rsidRPr="00153E12">
        <w:rPr>
          <w:rStyle w:val="apple-style-span"/>
          <w:sz w:val="20"/>
          <w:szCs w:val="20"/>
        </w:rPr>
        <w:t xml:space="preserve"> 3 (PTX-3) is a long </w:t>
      </w:r>
      <w:proofErr w:type="spellStart"/>
      <w:r w:rsidRPr="00153E12">
        <w:rPr>
          <w:rStyle w:val="apple-style-span"/>
          <w:sz w:val="20"/>
          <w:szCs w:val="20"/>
        </w:rPr>
        <w:t>pentraxin</w:t>
      </w:r>
      <w:proofErr w:type="spellEnd"/>
      <w:r w:rsidRPr="00153E12">
        <w:rPr>
          <w:rStyle w:val="apple-style-span"/>
          <w:sz w:val="20"/>
          <w:szCs w:val="20"/>
        </w:rPr>
        <w:t xml:space="preserve"> structurally related to, although distinct from, classic short </w:t>
      </w:r>
      <w:proofErr w:type="spellStart"/>
      <w:r w:rsidRPr="00153E12">
        <w:rPr>
          <w:rStyle w:val="apple-style-span"/>
          <w:sz w:val="20"/>
          <w:szCs w:val="20"/>
        </w:rPr>
        <w:t>pentraxins</w:t>
      </w:r>
      <w:proofErr w:type="spellEnd"/>
      <w:r w:rsidRPr="00153E12">
        <w:rPr>
          <w:rStyle w:val="apple-style-span"/>
          <w:sz w:val="20"/>
          <w:szCs w:val="20"/>
        </w:rPr>
        <w:t xml:space="preserve">, such as CRP and serum </w:t>
      </w:r>
      <w:proofErr w:type="spellStart"/>
      <w:r w:rsidRPr="00153E12">
        <w:rPr>
          <w:rStyle w:val="apple-style-span"/>
          <w:sz w:val="20"/>
          <w:szCs w:val="20"/>
        </w:rPr>
        <w:t>amyloid</w:t>
      </w:r>
      <w:proofErr w:type="spellEnd"/>
      <w:r w:rsidRPr="00153E12">
        <w:rPr>
          <w:rStyle w:val="apple-style-span"/>
          <w:sz w:val="20"/>
          <w:szCs w:val="20"/>
        </w:rPr>
        <w:t xml:space="preserve"> </w:t>
      </w:r>
      <w:proofErr w:type="gramStart"/>
      <w:r w:rsidRPr="00153E12">
        <w:rPr>
          <w:rStyle w:val="apple-style-span"/>
          <w:sz w:val="20"/>
          <w:szCs w:val="20"/>
        </w:rPr>
        <w:t>P</w:t>
      </w:r>
      <w:r w:rsidR="000D032D" w:rsidRPr="00153E12">
        <w:rPr>
          <w:rStyle w:val="apple-style-span"/>
          <w:sz w:val="20"/>
          <w:szCs w:val="20"/>
          <w:vertAlign w:val="superscript"/>
        </w:rPr>
        <w:t>(</w:t>
      </w:r>
      <w:proofErr w:type="gramEnd"/>
      <w:r w:rsidR="000D032D" w:rsidRPr="00153E12">
        <w:rPr>
          <w:rStyle w:val="apple-style-span"/>
          <w:sz w:val="20"/>
          <w:szCs w:val="20"/>
          <w:vertAlign w:val="superscript"/>
        </w:rPr>
        <w:t>12)</w:t>
      </w:r>
      <w:r w:rsidR="00153E12">
        <w:rPr>
          <w:rStyle w:val="apple-style-span"/>
          <w:sz w:val="20"/>
          <w:szCs w:val="20"/>
        </w:rPr>
        <w:t>.</w:t>
      </w:r>
      <w:r w:rsidRPr="00153E12">
        <w:rPr>
          <w:rStyle w:val="apple-style-span"/>
          <w:sz w:val="20"/>
          <w:szCs w:val="20"/>
        </w:rPr>
        <w:t xml:space="preserve"> PTX-3 is the first cloned long </w:t>
      </w:r>
      <w:proofErr w:type="spellStart"/>
      <w:r w:rsidRPr="00153E12">
        <w:rPr>
          <w:rStyle w:val="apple-style-span"/>
          <w:sz w:val="20"/>
          <w:szCs w:val="20"/>
        </w:rPr>
        <w:t>pentraxin</w:t>
      </w:r>
      <w:proofErr w:type="spellEnd"/>
      <w:r w:rsidRPr="00153E12">
        <w:rPr>
          <w:rStyle w:val="apple-style-span"/>
          <w:sz w:val="20"/>
          <w:szCs w:val="20"/>
        </w:rPr>
        <w:t xml:space="preserve"> as an interleukin-1b (IL-1b)-inducible gene in endothelial cells and a tumor necrosis factor (</w:t>
      </w:r>
      <w:r w:rsidRPr="00153E12">
        <w:rPr>
          <w:sz w:val="20"/>
          <w:szCs w:val="20"/>
        </w:rPr>
        <w:t>TNF-α</w:t>
      </w:r>
      <w:r w:rsidRPr="00153E12">
        <w:rPr>
          <w:rStyle w:val="apple-style-span"/>
          <w:sz w:val="20"/>
          <w:szCs w:val="20"/>
        </w:rPr>
        <w:t xml:space="preserve">)-a stimulated gene (TSG14) in fibroblasts. PTX-3 expression occurs in a variety of cell types, including endothelial cells, mononuclear phagocytes, </w:t>
      </w:r>
      <w:proofErr w:type="spellStart"/>
      <w:r w:rsidRPr="00153E12">
        <w:rPr>
          <w:rStyle w:val="apple-style-span"/>
          <w:sz w:val="20"/>
          <w:szCs w:val="20"/>
        </w:rPr>
        <w:t>dendritic</w:t>
      </w:r>
      <w:proofErr w:type="spellEnd"/>
      <w:r w:rsidRPr="00153E12">
        <w:rPr>
          <w:rStyle w:val="apple-style-span"/>
          <w:sz w:val="20"/>
          <w:szCs w:val="20"/>
        </w:rPr>
        <w:t xml:space="preserve"> cells, smooth muscle cells, fibroblasts, </w:t>
      </w:r>
      <w:proofErr w:type="spellStart"/>
      <w:r w:rsidRPr="00153E12">
        <w:rPr>
          <w:rStyle w:val="apple-style-span"/>
          <w:sz w:val="20"/>
          <w:szCs w:val="20"/>
        </w:rPr>
        <w:t>adipocytes</w:t>
      </w:r>
      <w:proofErr w:type="spellEnd"/>
      <w:r w:rsidRPr="00153E12">
        <w:rPr>
          <w:rStyle w:val="apple-style-span"/>
          <w:sz w:val="20"/>
          <w:szCs w:val="20"/>
        </w:rPr>
        <w:t xml:space="preserve"> and epithelial cells in response to inflammatory cytokines </w:t>
      </w:r>
      <w:r w:rsidR="00BA0F98" w:rsidRPr="00153E12">
        <w:rPr>
          <w:rStyle w:val="apple-style-span"/>
          <w:sz w:val="20"/>
          <w:szCs w:val="20"/>
          <w:vertAlign w:val="superscript"/>
        </w:rPr>
        <w:t>(8,14)</w:t>
      </w:r>
      <w:r w:rsidR="00BA0F98" w:rsidRPr="00153E12">
        <w:rPr>
          <w:rStyle w:val="apple-style-span"/>
          <w:sz w:val="20"/>
          <w:szCs w:val="20"/>
        </w:rPr>
        <w:t>.</w:t>
      </w:r>
      <w:r w:rsidRPr="00153E12">
        <w:rPr>
          <w:sz w:val="20"/>
          <w:szCs w:val="20"/>
        </w:rPr>
        <w:t xml:space="preserve">A dramatic increase in the levels of PXT3 have been reported in critically ill patients, with a gradient from systemic inflammatory response syndrome to septic shock, in addition to several other diseases as acute </w:t>
      </w:r>
      <w:r w:rsidRPr="00153E12">
        <w:rPr>
          <w:sz w:val="20"/>
          <w:szCs w:val="20"/>
        </w:rPr>
        <w:lastRenderedPageBreak/>
        <w:t>coronary syndrome, acute respiratory distress syndrome, lung disease and</w:t>
      </w:r>
      <w:r w:rsidR="00153E12">
        <w:rPr>
          <w:sz w:val="20"/>
          <w:szCs w:val="20"/>
        </w:rPr>
        <w:t xml:space="preserve"> </w:t>
      </w:r>
      <w:proofErr w:type="spellStart"/>
      <w:r w:rsidRPr="00153E12">
        <w:rPr>
          <w:sz w:val="20"/>
          <w:szCs w:val="20"/>
        </w:rPr>
        <w:t>eclampsia</w:t>
      </w:r>
      <w:proofErr w:type="spellEnd"/>
      <w:r w:rsidR="00BA0F98" w:rsidRPr="00153E12">
        <w:rPr>
          <w:b/>
          <w:bCs/>
          <w:sz w:val="20"/>
          <w:szCs w:val="20"/>
          <w:vertAlign w:val="superscript"/>
        </w:rPr>
        <w:t>(14,17)</w:t>
      </w:r>
      <w:r w:rsidR="00BA0F98" w:rsidRPr="00153E12">
        <w:rPr>
          <w:b/>
          <w:bCs/>
          <w:sz w:val="20"/>
          <w:szCs w:val="20"/>
        </w:rPr>
        <w:t>.</w:t>
      </w:r>
    </w:p>
    <w:p w:rsidR="005272C8" w:rsidRPr="00153E12" w:rsidRDefault="008B7439" w:rsidP="008B7439">
      <w:pPr>
        <w:snapToGrid w:val="0"/>
        <w:jc w:val="both"/>
        <w:rPr>
          <w:sz w:val="20"/>
          <w:szCs w:val="20"/>
        </w:rPr>
      </w:pPr>
      <w:r w:rsidRPr="00153E12">
        <w:rPr>
          <w:b/>
          <w:bCs/>
          <w:sz w:val="20"/>
          <w:szCs w:val="20"/>
        </w:rPr>
        <w:t xml:space="preserve">Aim </w:t>
      </w:r>
      <w:proofErr w:type="gramStart"/>
      <w:r w:rsidRPr="00153E12">
        <w:rPr>
          <w:b/>
          <w:bCs/>
          <w:sz w:val="20"/>
          <w:szCs w:val="20"/>
        </w:rPr>
        <w:t>Of</w:t>
      </w:r>
      <w:proofErr w:type="gramEnd"/>
      <w:r w:rsidRPr="00153E12">
        <w:rPr>
          <w:b/>
          <w:bCs/>
          <w:sz w:val="20"/>
          <w:szCs w:val="20"/>
        </w:rPr>
        <w:t xml:space="preserve"> The Work</w:t>
      </w:r>
      <w:r w:rsidR="005272C8" w:rsidRPr="00153E12">
        <w:rPr>
          <w:b/>
          <w:bCs/>
          <w:sz w:val="20"/>
          <w:szCs w:val="20"/>
        </w:rPr>
        <w:t>:</w:t>
      </w:r>
      <w:r w:rsidR="005272C8" w:rsidRPr="00153E12">
        <w:rPr>
          <w:sz w:val="20"/>
          <w:szCs w:val="20"/>
        </w:rPr>
        <w:t xml:space="preserve"> The aim of this work was to measure the plasma level of </w:t>
      </w:r>
      <w:proofErr w:type="spellStart"/>
      <w:r w:rsidR="005272C8" w:rsidRPr="00153E12">
        <w:rPr>
          <w:sz w:val="20"/>
          <w:szCs w:val="20"/>
        </w:rPr>
        <w:t>pentraxin</w:t>
      </w:r>
      <w:proofErr w:type="spellEnd"/>
      <w:r w:rsidR="005272C8" w:rsidRPr="00153E12">
        <w:rPr>
          <w:sz w:val="20"/>
          <w:szCs w:val="20"/>
        </w:rPr>
        <w:t xml:space="preserve"> 3 (PXT3) in patients on maintenance </w:t>
      </w:r>
      <w:proofErr w:type="spellStart"/>
      <w:r w:rsidR="005272C8" w:rsidRPr="00153E12">
        <w:rPr>
          <w:sz w:val="20"/>
          <w:szCs w:val="20"/>
        </w:rPr>
        <w:t>hemodialysis</w:t>
      </w:r>
      <w:proofErr w:type="spellEnd"/>
      <w:r w:rsidR="005272C8" w:rsidRPr="00153E12">
        <w:rPr>
          <w:sz w:val="20"/>
          <w:szCs w:val="20"/>
        </w:rPr>
        <w:t xml:space="preserve"> and to assess its relationships to co-morbidities such as malnutrition and associated co-morbid diseases.</w:t>
      </w:r>
    </w:p>
    <w:p w:rsidR="005272C8" w:rsidRPr="00153E12" w:rsidRDefault="008B7439" w:rsidP="008B7439">
      <w:pPr>
        <w:snapToGrid w:val="0"/>
        <w:jc w:val="both"/>
        <w:rPr>
          <w:b/>
          <w:bCs/>
          <w:sz w:val="20"/>
          <w:szCs w:val="20"/>
        </w:rPr>
      </w:pPr>
      <w:r w:rsidRPr="00153E12">
        <w:rPr>
          <w:b/>
          <w:bCs/>
          <w:sz w:val="20"/>
          <w:szCs w:val="20"/>
        </w:rPr>
        <w:t xml:space="preserve">Subjects </w:t>
      </w:r>
      <w:proofErr w:type="gramStart"/>
      <w:r w:rsidRPr="00153E12">
        <w:rPr>
          <w:b/>
          <w:bCs/>
          <w:sz w:val="20"/>
          <w:szCs w:val="20"/>
        </w:rPr>
        <w:t>And</w:t>
      </w:r>
      <w:proofErr w:type="gramEnd"/>
      <w:r w:rsidRPr="00153E12">
        <w:rPr>
          <w:b/>
          <w:bCs/>
          <w:sz w:val="20"/>
          <w:szCs w:val="20"/>
        </w:rPr>
        <w:t xml:space="preserve"> Methods:</w:t>
      </w:r>
    </w:p>
    <w:p w:rsidR="005272C8" w:rsidRPr="00153E12" w:rsidRDefault="005272C8" w:rsidP="008B7439">
      <w:pPr>
        <w:tabs>
          <w:tab w:val="left" w:pos="284"/>
        </w:tabs>
        <w:autoSpaceDE w:val="0"/>
        <w:autoSpaceDN w:val="0"/>
        <w:adjustRightInd w:val="0"/>
        <w:snapToGrid w:val="0"/>
        <w:jc w:val="both"/>
        <w:rPr>
          <w:b/>
          <w:bCs/>
          <w:sz w:val="20"/>
          <w:szCs w:val="20"/>
          <w:u w:val="single"/>
        </w:rPr>
      </w:pPr>
      <w:r w:rsidRPr="00153E12">
        <w:rPr>
          <w:b/>
          <w:bCs/>
          <w:sz w:val="20"/>
          <w:szCs w:val="20"/>
        </w:rPr>
        <w:t>Subjects:</w:t>
      </w:r>
    </w:p>
    <w:p w:rsidR="005272C8" w:rsidRPr="00153E12" w:rsidRDefault="005272C8" w:rsidP="008B7439">
      <w:pPr>
        <w:pStyle w:val="ListParagraph"/>
        <w:tabs>
          <w:tab w:val="left" w:pos="284"/>
        </w:tabs>
        <w:autoSpaceDE w:val="0"/>
        <w:autoSpaceDN w:val="0"/>
        <w:adjustRightInd w:val="0"/>
        <w:snapToGrid w:val="0"/>
        <w:ind w:left="0" w:firstLine="425"/>
        <w:jc w:val="both"/>
        <w:rPr>
          <w:sz w:val="20"/>
          <w:szCs w:val="20"/>
        </w:rPr>
      </w:pPr>
      <w:r w:rsidRPr="00153E12">
        <w:rPr>
          <w:sz w:val="20"/>
          <w:szCs w:val="20"/>
        </w:rPr>
        <w:t xml:space="preserve">This study was conducted at the internal medicine department and the renal dialysis unit of </w:t>
      </w:r>
      <w:proofErr w:type="spellStart"/>
      <w:r w:rsidRPr="00153E12">
        <w:rPr>
          <w:sz w:val="20"/>
          <w:szCs w:val="20"/>
        </w:rPr>
        <w:t>Ain</w:t>
      </w:r>
      <w:proofErr w:type="spellEnd"/>
      <w:r w:rsidRPr="00153E12">
        <w:rPr>
          <w:sz w:val="20"/>
          <w:szCs w:val="20"/>
        </w:rPr>
        <w:t xml:space="preserve"> Shams University Hospitals. All participants granted their consent to share in this study.</w:t>
      </w:r>
    </w:p>
    <w:p w:rsidR="005272C8" w:rsidRPr="00153E12" w:rsidRDefault="005272C8" w:rsidP="008B7439">
      <w:pPr>
        <w:pStyle w:val="ListParagraph"/>
        <w:tabs>
          <w:tab w:val="left" w:pos="0"/>
        </w:tabs>
        <w:snapToGrid w:val="0"/>
        <w:ind w:left="0"/>
        <w:jc w:val="both"/>
        <w:rPr>
          <w:sz w:val="20"/>
          <w:szCs w:val="20"/>
        </w:rPr>
      </w:pPr>
      <w:r w:rsidRPr="00153E12">
        <w:rPr>
          <w:b/>
          <w:bCs/>
          <w:sz w:val="20"/>
          <w:szCs w:val="20"/>
          <w:u w:val="single"/>
        </w:rPr>
        <w:t xml:space="preserve">Group I: </w:t>
      </w:r>
      <w:proofErr w:type="spellStart"/>
      <w:r w:rsidRPr="00153E12">
        <w:rPr>
          <w:b/>
          <w:bCs/>
          <w:sz w:val="20"/>
          <w:szCs w:val="20"/>
          <w:u w:val="single"/>
        </w:rPr>
        <w:t>Hemodialysis</w:t>
      </w:r>
      <w:proofErr w:type="spellEnd"/>
      <w:r w:rsidRPr="00153E12">
        <w:rPr>
          <w:b/>
          <w:bCs/>
          <w:sz w:val="20"/>
          <w:szCs w:val="20"/>
          <w:u w:val="single"/>
        </w:rPr>
        <w:t xml:space="preserve"> Patients (n = 50):</w:t>
      </w:r>
    </w:p>
    <w:p w:rsidR="005272C8" w:rsidRPr="00153E12" w:rsidRDefault="005272C8" w:rsidP="008B7439">
      <w:pPr>
        <w:snapToGrid w:val="0"/>
        <w:ind w:firstLine="425"/>
        <w:jc w:val="both"/>
        <w:rPr>
          <w:sz w:val="20"/>
          <w:szCs w:val="20"/>
        </w:rPr>
      </w:pPr>
      <w:r w:rsidRPr="00153E12">
        <w:rPr>
          <w:sz w:val="20"/>
          <w:szCs w:val="20"/>
        </w:rPr>
        <w:t xml:space="preserve">This group included fifty (50) adult patients with ESRD who were on maintenance </w:t>
      </w:r>
      <w:proofErr w:type="spellStart"/>
      <w:r w:rsidRPr="00153E12">
        <w:rPr>
          <w:sz w:val="20"/>
          <w:szCs w:val="20"/>
        </w:rPr>
        <w:t>hemodialysis</w:t>
      </w:r>
      <w:proofErr w:type="spellEnd"/>
      <w:r w:rsidRPr="00153E12">
        <w:rPr>
          <w:sz w:val="20"/>
          <w:szCs w:val="20"/>
        </w:rPr>
        <w:t xml:space="preserve"> for more than 3 months. They were 26 females and 24 males who were recruited from the renal dialysis unit at </w:t>
      </w:r>
      <w:proofErr w:type="spellStart"/>
      <w:r w:rsidRPr="00153E12">
        <w:rPr>
          <w:sz w:val="20"/>
          <w:szCs w:val="20"/>
        </w:rPr>
        <w:t>Ain</w:t>
      </w:r>
      <w:proofErr w:type="spellEnd"/>
      <w:r w:rsidRPr="00153E12">
        <w:rPr>
          <w:sz w:val="20"/>
          <w:szCs w:val="20"/>
        </w:rPr>
        <w:t xml:space="preserve"> Shams university hospitals.</w:t>
      </w:r>
    </w:p>
    <w:p w:rsidR="005272C8" w:rsidRPr="00153E12" w:rsidRDefault="005272C8" w:rsidP="008B7439">
      <w:pPr>
        <w:snapToGrid w:val="0"/>
        <w:ind w:firstLine="425"/>
        <w:jc w:val="both"/>
        <w:rPr>
          <w:b/>
          <w:bCs/>
          <w:sz w:val="20"/>
          <w:szCs w:val="20"/>
        </w:rPr>
      </w:pPr>
      <w:r w:rsidRPr="00153E12">
        <w:rPr>
          <w:sz w:val="20"/>
          <w:szCs w:val="20"/>
        </w:rPr>
        <w:t xml:space="preserve">Patients of this group were further categorized according to Davis Co-morbidity index into low, medium and high co-morbidity </w:t>
      </w:r>
      <w:proofErr w:type="gramStart"/>
      <w:r w:rsidRPr="00153E12">
        <w:rPr>
          <w:sz w:val="20"/>
          <w:szCs w:val="20"/>
        </w:rPr>
        <w:t>subgroups</w:t>
      </w:r>
      <w:r w:rsidR="00BA0F98" w:rsidRPr="00153E12">
        <w:rPr>
          <w:sz w:val="20"/>
          <w:szCs w:val="20"/>
          <w:vertAlign w:val="superscript"/>
        </w:rPr>
        <w:t>(</w:t>
      </w:r>
      <w:proofErr w:type="gramEnd"/>
      <w:r w:rsidR="00BA0F98" w:rsidRPr="00153E12">
        <w:rPr>
          <w:sz w:val="20"/>
          <w:szCs w:val="20"/>
          <w:vertAlign w:val="superscript"/>
        </w:rPr>
        <w:t>7)</w:t>
      </w:r>
      <w:r w:rsidR="00153E12">
        <w:rPr>
          <w:sz w:val="20"/>
          <w:szCs w:val="20"/>
        </w:rPr>
        <w:t>.</w:t>
      </w:r>
      <w:r w:rsidRPr="00153E12">
        <w:rPr>
          <w:sz w:val="20"/>
          <w:szCs w:val="20"/>
        </w:rPr>
        <w:t xml:space="preserve"> Moreover, patients were classified according to the malnutrition score into 3 classes; mild malnutrition, </w:t>
      </w:r>
      <w:r w:rsidRPr="00153E12">
        <w:rPr>
          <w:sz w:val="20"/>
          <w:szCs w:val="20"/>
        </w:rPr>
        <w:lastRenderedPageBreak/>
        <w:t xml:space="preserve">moderate malnutrition and severe malnutrition </w:t>
      </w:r>
      <w:proofErr w:type="gramStart"/>
      <w:r w:rsidRPr="00153E12">
        <w:rPr>
          <w:sz w:val="20"/>
          <w:szCs w:val="20"/>
        </w:rPr>
        <w:t>subgroups</w:t>
      </w:r>
      <w:r w:rsidR="00BA0F98" w:rsidRPr="00153E12">
        <w:rPr>
          <w:sz w:val="20"/>
          <w:szCs w:val="20"/>
          <w:vertAlign w:val="superscript"/>
        </w:rPr>
        <w:t>(</w:t>
      </w:r>
      <w:proofErr w:type="gramEnd"/>
      <w:r w:rsidR="00BA0F98" w:rsidRPr="00153E12">
        <w:rPr>
          <w:sz w:val="20"/>
          <w:szCs w:val="20"/>
          <w:vertAlign w:val="superscript"/>
        </w:rPr>
        <w:t>4)</w:t>
      </w:r>
      <w:r w:rsidR="00BA0F98" w:rsidRPr="00153E12">
        <w:rPr>
          <w:b/>
          <w:bCs/>
          <w:sz w:val="20"/>
          <w:szCs w:val="20"/>
        </w:rPr>
        <w:t>.</w:t>
      </w:r>
    </w:p>
    <w:p w:rsidR="005272C8" w:rsidRPr="00153E12" w:rsidRDefault="005272C8" w:rsidP="008B7439">
      <w:pPr>
        <w:pStyle w:val="ListParagraph"/>
        <w:tabs>
          <w:tab w:val="left" w:pos="0"/>
        </w:tabs>
        <w:snapToGrid w:val="0"/>
        <w:ind w:left="0"/>
        <w:jc w:val="both"/>
        <w:rPr>
          <w:b/>
          <w:bCs/>
          <w:sz w:val="20"/>
          <w:szCs w:val="20"/>
          <w:u w:val="single"/>
        </w:rPr>
      </w:pPr>
      <w:r w:rsidRPr="00153E12">
        <w:rPr>
          <w:b/>
          <w:bCs/>
          <w:sz w:val="20"/>
          <w:szCs w:val="20"/>
          <w:u w:val="single"/>
        </w:rPr>
        <w:t>Group II: ESRD Patients (n = 30):</w:t>
      </w:r>
    </w:p>
    <w:p w:rsidR="005272C8" w:rsidRPr="00153E12" w:rsidRDefault="005272C8" w:rsidP="008B7439">
      <w:pPr>
        <w:tabs>
          <w:tab w:val="left" w:pos="0"/>
        </w:tabs>
        <w:snapToGrid w:val="0"/>
        <w:ind w:firstLine="425"/>
        <w:jc w:val="both"/>
        <w:rPr>
          <w:sz w:val="20"/>
          <w:szCs w:val="20"/>
        </w:rPr>
      </w:pPr>
      <w:r w:rsidRPr="00153E12">
        <w:rPr>
          <w:sz w:val="20"/>
          <w:szCs w:val="20"/>
        </w:rPr>
        <w:t xml:space="preserve">This group included thirty (30) adult patients with ESRD defined by a </w:t>
      </w:r>
      <w:proofErr w:type="spellStart"/>
      <w:r w:rsidRPr="00153E12">
        <w:rPr>
          <w:sz w:val="20"/>
          <w:szCs w:val="20"/>
        </w:rPr>
        <w:t>glomerular</w:t>
      </w:r>
      <w:proofErr w:type="spellEnd"/>
      <w:r w:rsidRPr="00153E12">
        <w:rPr>
          <w:sz w:val="20"/>
          <w:szCs w:val="20"/>
        </w:rPr>
        <w:t xml:space="preserve"> filtration rate (GFR) &lt; 15mL/min and who did not start any renal replacement therapy. They were 13 females and 17 males, who were recruited from the internal medicine department</w:t>
      </w:r>
      <w:r w:rsidR="00153E12">
        <w:rPr>
          <w:sz w:val="20"/>
          <w:szCs w:val="20"/>
        </w:rPr>
        <w:t xml:space="preserve"> </w:t>
      </w:r>
      <w:r w:rsidRPr="00153E12">
        <w:rPr>
          <w:sz w:val="20"/>
          <w:szCs w:val="20"/>
        </w:rPr>
        <w:t>at</w:t>
      </w:r>
      <w:r w:rsidR="00153E12">
        <w:rPr>
          <w:rFonts w:eastAsiaTheme="minorEastAsia" w:hint="eastAsia"/>
          <w:sz w:val="20"/>
          <w:szCs w:val="20"/>
          <w:lang w:eastAsia="zh-CN"/>
        </w:rPr>
        <w:t xml:space="preserve"> </w:t>
      </w:r>
      <w:proofErr w:type="spellStart"/>
      <w:r w:rsidRPr="00153E12">
        <w:rPr>
          <w:sz w:val="20"/>
          <w:szCs w:val="20"/>
        </w:rPr>
        <w:t>Ain</w:t>
      </w:r>
      <w:proofErr w:type="spellEnd"/>
      <w:r w:rsidRPr="00153E12">
        <w:rPr>
          <w:sz w:val="20"/>
          <w:szCs w:val="20"/>
        </w:rPr>
        <w:t xml:space="preserve"> Shams University Hospitals.</w:t>
      </w:r>
    </w:p>
    <w:p w:rsidR="005272C8" w:rsidRPr="00153E12" w:rsidRDefault="005272C8" w:rsidP="008B7439">
      <w:pPr>
        <w:tabs>
          <w:tab w:val="left" w:pos="0"/>
        </w:tabs>
        <w:snapToGrid w:val="0"/>
        <w:jc w:val="both"/>
        <w:rPr>
          <w:b/>
          <w:bCs/>
          <w:sz w:val="20"/>
          <w:szCs w:val="20"/>
          <w:u w:val="single"/>
        </w:rPr>
      </w:pPr>
      <w:r w:rsidRPr="00153E12">
        <w:rPr>
          <w:b/>
          <w:bCs/>
          <w:sz w:val="20"/>
          <w:szCs w:val="20"/>
          <w:u w:val="single"/>
        </w:rPr>
        <w:t>Group III: Healthy Controls (n= 30):</w:t>
      </w:r>
    </w:p>
    <w:p w:rsidR="005272C8" w:rsidRPr="00153E12" w:rsidRDefault="005272C8" w:rsidP="008B7439">
      <w:pPr>
        <w:tabs>
          <w:tab w:val="left" w:pos="0"/>
        </w:tabs>
        <w:snapToGrid w:val="0"/>
        <w:ind w:firstLine="425"/>
        <w:jc w:val="both"/>
        <w:rPr>
          <w:sz w:val="20"/>
          <w:szCs w:val="20"/>
        </w:rPr>
      </w:pPr>
      <w:r w:rsidRPr="00153E12">
        <w:rPr>
          <w:sz w:val="20"/>
          <w:szCs w:val="20"/>
        </w:rPr>
        <w:t xml:space="preserve">This group included thirty (30) </w:t>
      </w:r>
      <w:proofErr w:type="gramStart"/>
      <w:r w:rsidRPr="00153E12">
        <w:rPr>
          <w:sz w:val="20"/>
          <w:szCs w:val="20"/>
        </w:rPr>
        <w:t>age</w:t>
      </w:r>
      <w:proofErr w:type="gramEnd"/>
      <w:r w:rsidRPr="00153E12">
        <w:rPr>
          <w:sz w:val="20"/>
          <w:szCs w:val="20"/>
        </w:rPr>
        <w:t xml:space="preserve"> - and sex- matched healthy subjects serving as a control group. They were 16 females and 14 males.</w:t>
      </w:r>
    </w:p>
    <w:p w:rsidR="005272C8" w:rsidRPr="00153E12" w:rsidRDefault="005272C8" w:rsidP="008B7439">
      <w:pPr>
        <w:tabs>
          <w:tab w:val="left" w:pos="0"/>
        </w:tabs>
        <w:snapToGrid w:val="0"/>
        <w:jc w:val="both"/>
        <w:rPr>
          <w:sz w:val="20"/>
          <w:szCs w:val="20"/>
        </w:rPr>
      </w:pPr>
      <w:r w:rsidRPr="00153E12">
        <w:rPr>
          <w:b/>
          <w:bCs/>
          <w:sz w:val="20"/>
          <w:szCs w:val="20"/>
        </w:rPr>
        <w:t>Exclusion criteria:</w:t>
      </w:r>
      <w:r w:rsidR="00153E12">
        <w:rPr>
          <w:rFonts w:eastAsiaTheme="minorEastAsia" w:hint="eastAsia"/>
          <w:b/>
          <w:bCs/>
          <w:sz w:val="20"/>
          <w:szCs w:val="20"/>
          <w:lang w:eastAsia="zh-CN"/>
        </w:rPr>
        <w:t xml:space="preserve"> </w:t>
      </w:r>
      <w:r w:rsidRPr="00153E12">
        <w:rPr>
          <w:sz w:val="20"/>
          <w:szCs w:val="20"/>
        </w:rPr>
        <w:t xml:space="preserve">Patients who received inadequate </w:t>
      </w:r>
      <w:proofErr w:type="spellStart"/>
      <w:r w:rsidRPr="00153E12">
        <w:rPr>
          <w:sz w:val="20"/>
          <w:szCs w:val="20"/>
        </w:rPr>
        <w:t>hemodialysis</w:t>
      </w:r>
      <w:proofErr w:type="spellEnd"/>
      <w:r w:rsidRPr="00153E12">
        <w:rPr>
          <w:sz w:val="20"/>
          <w:szCs w:val="20"/>
        </w:rPr>
        <w:t xml:space="preserve"> (defined as a urea reduction ratio </w:t>
      </w:r>
      <w:r w:rsidRPr="00153E12">
        <w:rPr>
          <w:rFonts w:hint="cs"/>
          <w:sz w:val="20"/>
          <w:szCs w:val="20"/>
        </w:rPr>
        <w:t>&gt;</w:t>
      </w:r>
      <w:r w:rsidRPr="00153E12">
        <w:rPr>
          <w:sz w:val="20"/>
          <w:szCs w:val="20"/>
        </w:rPr>
        <w:t xml:space="preserve">65 %) or who were on maintenance </w:t>
      </w:r>
      <w:proofErr w:type="spellStart"/>
      <w:r w:rsidRPr="00153E12">
        <w:rPr>
          <w:sz w:val="20"/>
          <w:szCs w:val="20"/>
        </w:rPr>
        <w:t>hemodialysis</w:t>
      </w:r>
      <w:proofErr w:type="spellEnd"/>
      <w:r w:rsidRPr="00153E12">
        <w:rPr>
          <w:sz w:val="20"/>
          <w:szCs w:val="20"/>
        </w:rPr>
        <w:t xml:space="preserve"> for less than 3 months and patients with acute infections were excluded from the </w:t>
      </w:r>
      <w:proofErr w:type="gramStart"/>
      <w:r w:rsidRPr="00153E12">
        <w:rPr>
          <w:sz w:val="20"/>
          <w:szCs w:val="20"/>
        </w:rPr>
        <w:t>study</w:t>
      </w:r>
      <w:r w:rsidR="00BA0F98" w:rsidRPr="00153E12">
        <w:rPr>
          <w:sz w:val="20"/>
          <w:szCs w:val="20"/>
          <w:vertAlign w:val="superscript"/>
        </w:rPr>
        <w:t>(</w:t>
      </w:r>
      <w:proofErr w:type="gramEnd"/>
      <w:r w:rsidR="00BA0F98" w:rsidRPr="00153E12">
        <w:rPr>
          <w:sz w:val="20"/>
          <w:szCs w:val="20"/>
          <w:vertAlign w:val="superscript"/>
        </w:rPr>
        <w:t>3)</w:t>
      </w:r>
      <w:r w:rsidR="00153E12">
        <w:rPr>
          <w:sz w:val="20"/>
          <w:szCs w:val="20"/>
        </w:rPr>
        <w:t>.</w:t>
      </w:r>
    </w:p>
    <w:p w:rsidR="005272C8" w:rsidRPr="00153E12" w:rsidRDefault="005272C8" w:rsidP="008B7439">
      <w:pPr>
        <w:tabs>
          <w:tab w:val="left" w:pos="0"/>
        </w:tabs>
        <w:snapToGrid w:val="0"/>
        <w:ind w:firstLine="425"/>
        <w:jc w:val="both"/>
        <w:rPr>
          <w:sz w:val="20"/>
          <w:szCs w:val="20"/>
        </w:rPr>
      </w:pPr>
      <w:r w:rsidRPr="00153E12">
        <w:rPr>
          <w:sz w:val="20"/>
          <w:szCs w:val="20"/>
        </w:rPr>
        <w:t>All participants in this study were subjected to full history taking</w:t>
      </w:r>
      <w:r w:rsidR="00153E12">
        <w:rPr>
          <w:sz w:val="20"/>
          <w:szCs w:val="20"/>
        </w:rPr>
        <w:t xml:space="preserve"> </w:t>
      </w:r>
      <w:r w:rsidRPr="00153E12">
        <w:rPr>
          <w:sz w:val="20"/>
          <w:szCs w:val="20"/>
        </w:rPr>
        <w:t>and clinical examination with special emphasis on the nutritional state,</w:t>
      </w:r>
      <w:r w:rsidR="00153E12">
        <w:rPr>
          <w:sz w:val="20"/>
          <w:szCs w:val="20"/>
        </w:rPr>
        <w:t xml:space="preserve"> </w:t>
      </w:r>
      <w:r w:rsidRPr="00153E12">
        <w:rPr>
          <w:sz w:val="20"/>
          <w:szCs w:val="20"/>
        </w:rPr>
        <w:t>DM</w:t>
      </w:r>
      <w:r w:rsidR="00153E12">
        <w:rPr>
          <w:sz w:val="20"/>
          <w:szCs w:val="20"/>
        </w:rPr>
        <w:t>,</w:t>
      </w:r>
      <w:r w:rsidR="00153E12">
        <w:rPr>
          <w:rFonts w:eastAsiaTheme="minorEastAsia" w:hint="eastAsia"/>
          <w:sz w:val="20"/>
          <w:szCs w:val="20"/>
          <w:lang w:eastAsia="zh-CN"/>
        </w:rPr>
        <w:t xml:space="preserve"> </w:t>
      </w:r>
      <w:r w:rsidRPr="00153E12">
        <w:rPr>
          <w:sz w:val="20"/>
          <w:szCs w:val="20"/>
        </w:rPr>
        <w:t>obstructive pulmonary disease,</w:t>
      </w:r>
      <w:r w:rsidR="00153E12">
        <w:rPr>
          <w:sz w:val="20"/>
          <w:szCs w:val="20"/>
        </w:rPr>
        <w:t xml:space="preserve"> </w:t>
      </w:r>
      <w:r w:rsidRPr="00153E12">
        <w:rPr>
          <w:sz w:val="20"/>
          <w:szCs w:val="20"/>
        </w:rPr>
        <w:t>cardiovascular complications, collagen diseases, peripheral ischemia</w:t>
      </w:r>
      <w:r w:rsidR="00153E12">
        <w:rPr>
          <w:sz w:val="20"/>
          <w:szCs w:val="20"/>
        </w:rPr>
        <w:t>,</w:t>
      </w:r>
      <w:r w:rsidRPr="00153E12">
        <w:rPr>
          <w:sz w:val="20"/>
          <w:szCs w:val="20"/>
        </w:rPr>
        <w:t xml:space="preserve"> malignancy, the assay of plasma </w:t>
      </w:r>
      <w:proofErr w:type="spellStart"/>
      <w:r w:rsidRPr="00153E12">
        <w:rPr>
          <w:sz w:val="20"/>
          <w:szCs w:val="20"/>
        </w:rPr>
        <w:t>pentraxin</w:t>
      </w:r>
      <w:proofErr w:type="spellEnd"/>
      <w:r w:rsidRPr="00153E12">
        <w:rPr>
          <w:sz w:val="20"/>
          <w:szCs w:val="20"/>
        </w:rPr>
        <w:t xml:space="preserve"> 3 (PTX3) and routine laboratory investigations (Hemoglobin concentration, ESR, </w:t>
      </w:r>
      <w:proofErr w:type="spellStart"/>
      <w:r w:rsidRPr="00153E12">
        <w:rPr>
          <w:sz w:val="20"/>
          <w:szCs w:val="20"/>
        </w:rPr>
        <w:t>hs</w:t>
      </w:r>
      <w:proofErr w:type="spellEnd"/>
      <w:r w:rsidRPr="00153E12">
        <w:rPr>
          <w:sz w:val="20"/>
          <w:szCs w:val="20"/>
        </w:rPr>
        <w:t xml:space="preserve"> CRP,</w:t>
      </w:r>
      <w:r w:rsidR="00153E12">
        <w:rPr>
          <w:sz w:val="20"/>
          <w:szCs w:val="20"/>
        </w:rPr>
        <w:t xml:space="preserve"> </w:t>
      </w:r>
      <w:r w:rsidRPr="00153E12">
        <w:rPr>
          <w:sz w:val="20"/>
          <w:szCs w:val="20"/>
        </w:rPr>
        <w:t>FBS, 2 h PP blood sugar</w:t>
      </w:r>
      <w:r w:rsidR="00153E12">
        <w:rPr>
          <w:sz w:val="20"/>
          <w:szCs w:val="20"/>
        </w:rPr>
        <w:t>,</w:t>
      </w:r>
      <w:r w:rsidRPr="00153E12">
        <w:rPr>
          <w:sz w:val="20"/>
          <w:szCs w:val="20"/>
        </w:rPr>
        <w:t xml:space="preserve"> liver profile, serum urea and </w:t>
      </w:r>
      <w:proofErr w:type="spellStart"/>
      <w:r w:rsidRPr="00153E12">
        <w:rPr>
          <w:sz w:val="20"/>
          <w:szCs w:val="20"/>
        </w:rPr>
        <w:t>creatinine</w:t>
      </w:r>
      <w:proofErr w:type="spellEnd"/>
      <w:r w:rsidRPr="00153E12">
        <w:rPr>
          <w:sz w:val="20"/>
          <w:szCs w:val="20"/>
        </w:rPr>
        <w:t xml:space="preserve">). In addition, group I was subjected to the estimation of efficiency of </w:t>
      </w:r>
      <w:proofErr w:type="spellStart"/>
      <w:r w:rsidRPr="00153E12">
        <w:rPr>
          <w:sz w:val="20"/>
          <w:szCs w:val="20"/>
        </w:rPr>
        <w:t>hemodialysis</w:t>
      </w:r>
      <w:proofErr w:type="spellEnd"/>
      <w:r w:rsidRPr="00153E12">
        <w:rPr>
          <w:sz w:val="20"/>
          <w:szCs w:val="20"/>
        </w:rPr>
        <w:t xml:space="preserve"> by the calculation of urea reduction ratio (URR), assessment of co-morbidity score according to Davies co-morbidity index and calculation of malnutrition score.</w:t>
      </w:r>
      <w:r w:rsidR="00153E12">
        <w:rPr>
          <w:rFonts w:eastAsiaTheme="minorEastAsia" w:hint="eastAsia"/>
          <w:sz w:val="20"/>
          <w:szCs w:val="20"/>
          <w:lang w:eastAsia="zh-CN"/>
        </w:rPr>
        <w:t xml:space="preserve"> </w:t>
      </w:r>
      <w:r w:rsidRPr="00153E12">
        <w:rPr>
          <w:sz w:val="20"/>
          <w:szCs w:val="20"/>
        </w:rPr>
        <w:t xml:space="preserve">Finally, group II was subjected to the measurement of the GFR by the calculation of the corrected </w:t>
      </w:r>
      <w:proofErr w:type="spellStart"/>
      <w:r w:rsidRPr="00153E12">
        <w:rPr>
          <w:sz w:val="20"/>
          <w:szCs w:val="20"/>
        </w:rPr>
        <w:t>creatinine</w:t>
      </w:r>
      <w:proofErr w:type="spellEnd"/>
      <w:r w:rsidRPr="00153E12">
        <w:rPr>
          <w:sz w:val="20"/>
          <w:szCs w:val="20"/>
        </w:rPr>
        <w:t xml:space="preserve"> clearance.</w:t>
      </w:r>
    </w:p>
    <w:p w:rsidR="005272C8" w:rsidRPr="00153E12" w:rsidRDefault="005272C8" w:rsidP="008B7439">
      <w:pPr>
        <w:snapToGrid w:val="0"/>
        <w:jc w:val="both"/>
        <w:rPr>
          <w:b/>
          <w:bCs/>
          <w:sz w:val="20"/>
          <w:szCs w:val="20"/>
        </w:rPr>
      </w:pPr>
      <w:r w:rsidRPr="00153E12">
        <w:rPr>
          <w:b/>
          <w:bCs/>
          <w:sz w:val="20"/>
          <w:szCs w:val="20"/>
        </w:rPr>
        <w:t>Sampling:</w:t>
      </w:r>
    </w:p>
    <w:p w:rsidR="005272C8" w:rsidRPr="00153E12" w:rsidRDefault="005272C8" w:rsidP="008B7439">
      <w:pPr>
        <w:tabs>
          <w:tab w:val="left" w:pos="0"/>
        </w:tabs>
        <w:snapToGrid w:val="0"/>
        <w:ind w:firstLine="425"/>
        <w:jc w:val="both"/>
        <w:rPr>
          <w:sz w:val="20"/>
          <w:szCs w:val="20"/>
        </w:rPr>
      </w:pPr>
      <w:r w:rsidRPr="00153E12">
        <w:rPr>
          <w:sz w:val="20"/>
          <w:szCs w:val="20"/>
        </w:rPr>
        <w:t>-Five milliliters of fasting morning venous blood (</w:t>
      </w:r>
      <w:proofErr w:type="spellStart"/>
      <w:r w:rsidRPr="00153E12">
        <w:rPr>
          <w:sz w:val="20"/>
          <w:szCs w:val="20"/>
        </w:rPr>
        <w:t>predialysis</w:t>
      </w:r>
      <w:proofErr w:type="spellEnd"/>
      <w:r w:rsidRPr="00153E12">
        <w:rPr>
          <w:sz w:val="20"/>
          <w:szCs w:val="20"/>
        </w:rPr>
        <w:t xml:space="preserve"> in case of group I) were withdrawn under complete aseptic conditions from each participant. Three </w:t>
      </w:r>
      <w:proofErr w:type="spellStart"/>
      <w:r w:rsidRPr="00153E12">
        <w:rPr>
          <w:sz w:val="20"/>
          <w:szCs w:val="20"/>
        </w:rPr>
        <w:t>mL</w:t>
      </w:r>
      <w:proofErr w:type="spellEnd"/>
      <w:r w:rsidRPr="00153E12">
        <w:rPr>
          <w:sz w:val="20"/>
          <w:szCs w:val="20"/>
        </w:rPr>
        <w:t xml:space="preserve"> of them were collected in a sterile dry </w:t>
      </w:r>
      <w:proofErr w:type="spellStart"/>
      <w:r w:rsidRPr="00153E12">
        <w:rPr>
          <w:sz w:val="20"/>
          <w:szCs w:val="20"/>
        </w:rPr>
        <w:t>vacutainer</w:t>
      </w:r>
      <w:proofErr w:type="spellEnd"/>
      <w:r w:rsidRPr="00153E12">
        <w:rPr>
          <w:sz w:val="20"/>
          <w:szCs w:val="20"/>
        </w:rPr>
        <w:t xml:space="preserve">; serum was then separated by centrifugation and was used for the immediate assay of serum urea and </w:t>
      </w:r>
      <w:proofErr w:type="spellStart"/>
      <w:r w:rsidRPr="00153E12">
        <w:rPr>
          <w:sz w:val="20"/>
          <w:szCs w:val="20"/>
        </w:rPr>
        <w:t>creatinine</w:t>
      </w:r>
      <w:proofErr w:type="spellEnd"/>
      <w:r w:rsidRPr="00153E12">
        <w:rPr>
          <w:sz w:val="20"/>
          <w:szCs w:val="20"/>
        </w:rPr>
        <w:t xml:space="preserve">. The remaining two </w:t>
      </w:r>
      <w:proofErr w:type="spellStart"/>
      <w:r w:rsidRPr="00153E12">
        <w:rPr>
          <w:sz w:val="20"/>
          <w:szCs w:val="20"/>
        </w:rPr>
        <w:t>mL</w:t>
      </w:r>
      <w:proofErr w:type="spellEnd"/>
      <w:r w:rsidRPr="00153E12">
        <w:rPr>
          <w:sz w:val="20"/>
          <w:szCs w:val="20"/>
        </w:rPr>
        <w:t xml:space="preserve"> were collected into an EDTA tube for the immediate estimation of hemoglobin concentration followed by sample centrifugation at 1000 </w:t>
      </w:r>
      <w:proofErr w:type="spellStart"/>
      <w:r w:rsidRPr="00153E12">
        <w:rPr>
          <w:sz w:val="20"/>
          <w:szCs w:val="20"/>
        </w:rPr>
        <w:t>xg</w:t>
      </w:r>
      <w:proofErr w:type="spellEnd"/>
      <w:r w:rsidRPr="00153E12">
        <w:rPr>
          <w:sz w:val="20"/>
          <w:szCs w:val="20"/>
        </w:rPr>
        <w:t xml:space="preserve"> for 15 minutes within 30 minutes of collection. The separated plasma was stored at -70ºC for subsequent assay of plasma PTX3.</w:t>
      </w:r>
    </w:p>
    <w:p w:rsidR="005272C8" w:rsidRPr="00153E12" w:rsidRDefault="005272C8" w:rsidP="008B7439">
      <w:pPr>
        <w:tabs>
          <w:tab w:val="left" w:pos="0"/>
        </w:tabs>
        <w:snapToGrid w:val="0"/>
        <w:ind w:firstLine="425"/>
        <w:jc w:val="both"/>
        <w:rPr>
          <w:sz w:val="20"/>
          <w:szCs w:val="20"/>
        </w:rPr>
      </w:pPr>
      <w:r w:rsidRPr="00153E12">
        <w:rPr>
          <w:sz w:val="20"/>
          <w:szCs w:val="20"/>
        </w:rPr>
        <w:t>-For group</w:t>
      </w:r>
      <w:r w:rsidR="00E0794C" w:rsidRPr="00153E12">
        <w:rPr>
          <w:sz w:val="20"/>
          <w:szCs w:val="20"/>
        </w:rPr>
        <w:t xml:space="preserve"> </w:t>
      </w:r>
      <w:r w:rsidRPr="00153E12">
        <w:rPr>
          <w:sz w:val="20"/>
          <w:szCs w:val="20"/>
        </w:rPr>
        <w:t>II patients, a</w:t>
      </w:r>
      <w:r w:rsidR="00E0794C" w:rsidRPr="00153E12">
        <w:rPr>
          <w:sz w:val="20"/>
          <w:szCs w:val="20"/>
        </w:rPr>
        <w:t xml:space="preserve"> </w:t>
      </w:r>
      <w:r w:rsidRPr="00153E12">
        <w:rPr>
          <w:sz w:val="20"/>
          <w:szCs w:val="20"/>
        </w:rPr>
        <w:t xml:space="preserve">24-hour urine sample was collected for the immediate measurement of GFR measured as corrected </w:t>
      </w:r>
      <w:proofErr w:type="spellStart"/>
      <w:r w:rsidRPr="00153E12">
        <w:rPr>
          <w:sz w:val="20"/>
          <w:szCs w:val="20"/>
        </w:rPr>
        <w:t>creatinine</w:t>
      </w:r>
      <w:proofErr w:type="spellEnd"/>
      <w:r w:rsidRPr="00153E12">
        <w:rPr>
          <w:sz w:val="20"/>
          <w:szCs w:val="20"/>
        </w:rPr>
        <w:t xml:space="preserve"> clearance in addition group I patients were subjected to a post-dialysis venous blood sample collection for assay of serum urea.</w:t>
      </w:r>
    </w:p>
    <w:p w:rsidR="005272C8" w:rsidRPr="00153E12" w:rsidRDefault="005272C8" w:rsidP="008B7439">
      <w:pPr>
        <w:tabs>
          <w:tab w:val="left" w:pos="0"/>
        </w:tabs>
        <w:snapToGrid w:val="0"/>
        <w:jc w:val="both"/>
        <w:rPr>
          <w:b/>
          <w:bCs/>
          <w:sz w:val="20"/>
          <w:szCs w:val="20"/>
        </w:rPr>
      </w:pPr>
      <w:r w:rsidRPr="00153E12">
        <w:rPr>
          <w:b/>
          <w:bCs/>
          <w:sz w:val="20"/>
          <w:szCs w:val="20"/>
        </w:rPr>
        <w:t>Methods:</w:t>
      </w:r>
    </w:p>
    <w:p w:rsidR="005272C8" w:rsidRPr="00153E12" w:rsidRDefault="005272C8" w:rsidP="008B7439">
      <w:pPr>
        <w:pStyle w:val="ListParagraph"/>
        <w:numPr>
          <w:ilvl w:val="0"/>
          <w:numId w:val="1"/>
        </w:numPr>
        <w:tabs>
          <w:tab w:val="left" w:pos="0"/>
        </w:tabs>
        <w:snapToGrid w:val="0"/>
        <w:ind w:left="0" w:firstLine="0"/>
        <w:jc w:val="both"/>
        <w:rPr>
          <w:b/>
          <w:bCs/>
          <w:sz w:val="20"/>
          <w:szCs w:val="20"/>
        </w:rPr>
      </w:pPr>
      <w:r w:rsidRPr="00153E12">
        <w:rPr>
          <w:b/>
          <w:bCs/>
          <w:sz w:val="20"/>
          <w:szCs w:val="20"/>
        </w:rPr>
        <w:t>Analytical Methods:</w:t>
      </w:r>
    </w:p>
    <w:p w:rsidR="005272C8" w:rsidRPr="00153E12" w:rsidRDefault="005272C8" w:rsidP="008B7439">
      <w:pPr>
        <w:pStyle w:val="ListParagraph"/>
        <w:numPr>
          <w:ilvl w:val="0"/>
          <w:numId w:val="2"/>
        </w:numPr>
        <w:tabs>
          <w:tab w:val="left" w:pos="0"/>
        </w:tabs>
        <w:snapToGrid w:val="0"/>
        <w:ind w:left="0" w:firstLine="0"/>
        <w:jc w:val="both"/>
        <w:rPr>
          <w:b/>
          <w:bCs/>
          <w:sz w:val="20"/>
          <w:szCs w:val="20"/>
        </w:rPr>
      </w:pPr>
      <w:r w:rsidRPr="00153E12">
        <w:rPr>
          <w:b/>
          <w:bCs/>
          <w:sz w:val="20"/>
          <w:szCs w:val="20"/>
        </w:rPr>
        <w:lastRenderedPageBreak/>
        <w:t xml:space="preserve">Assay of serum urea and both serum and urinary </w:t>
      </w:r>
      <w:proofErr w:type="spellStart"/>
      <w:r w:rsidRPr="00153E12">
        <w:rPr>
          <w:b/>
          <w:bCs/>
          <w:sz w:val="20"/>
          <w:szCs w:val="20"/>
        </w:rPr>
        <w:t>creatinine</w:t>
      </w:r>
      <w:proofErr w:type="spellEnd"/>
      <w:r w:rsidR="00E0794C" w:rsidRPr="00153E12">
        <w:rPr>
          <w:sz w:val="20"/>
          <w:szCs w:val="20"/>
        </w:rPr>
        <w:t xml:space="preserve"> </w:t>
      </w:r>
      <w:r w:rsidRPr="00153E12">
        <w:rPr>
          <w:sz w:val="20"/>
          <w:szCs w:val="20"/>
        </w:rPr>
        <w:t xml:space="preserve">was performed on </w:t>
      </w:r>
      <w:proofErr w:type="spellStart"/>
      <w:r w:rsidRPr="00153E12">
        <w:rPr>
          <w:sz w:val="20"/>
          <w:szCs w:val="20"/>
        </w:rPr>
        <w:t>Synchron</w:t>
      </w:r>
      <w:proofErr w:type="spellEnd"/>
      <w:r w:rsidRPr="00153E12">
        <w:rPr>
          <w:sz w:val="20"/>
          <w:szCs w:val="20"/>
        </w:rPr>
        <w:t xml:space="preserve"> CX-9 </w:t>
      </w:r>
      <w:proofErr w:type="spellStart"/>
      <w:r w:rsidRPr="00153E12">
        <w:rPr>
          <w:sz w:val="20"/>
          <w:szCs w:val="20"/>
        </w:rPr>
        <w:t>autoanalyser</w:t>
      </w:r>
      <w:proofErr w:type="spellEnd"/>
      <w:r w:rsidRPr="00153E12">
        <w:rPr>
          <w:sz w:val="20"/>
          <w:szCs w:val="20"/>
        </w:rPr>
        <w:t xml:space="preserve"> (Beckman Instruments Inc., Scientific Instruments Division, Fullerton, CA92634-3100, </w:t>
      </w:r>
      <w:proofErr w:type="gramStart"/>
      <w:r w:rsidRPr="00153E12">
        <w:rPr>
          <w:sz w:val="20"/>
          <w:szCs w:val="20"/>
        </w:rPr>
        <w:t>USA</w:t>
      </w:r>
      <w:proofErr w:type="gramEnd"/>
      <w:r w:rsidRPr="00153E12">
        <w:rPr>
          <w:sz w:val="20"/>
          <w:szCs w:val="20"/>
        </w:rPr>
        <w:t>.</w:t>
      </w:r>
    </w:p>
    <w:p w:rsidR="005272C8" w:rsidRPr="00153E12" w:rsidRDefault="005272C8" w:rsidP="008B7439">
      <w:pPr>
        <w:pStyle w:val="ListParagraph"/>
        <w:numPr>
          <w:ilvl w:val="0"/>
          <w:numId w:val="2"/>
        </w:numPr>
        <w:tabs>
          <w:tab w:val="left" w:pos="0"/>
        </w:tabs>
        <w:snapToGrid w:val="0"/>
        <w:ind w:left="0" w:firstLine="0"/>
        <w:jc w:val="both"/>
        <w:rPr>
          <w:b/>
          <w:bCs/>
          <w:sz w:val="20"/>
          <w:szCs w:val="20"/>
        </w:rPr>
      </w:pPr>
      <w:r w:rsidRPr="00153E12">
        <w:rPr>
          <w:b/>
          <w:bCs/>
          <w:sz w:val="20"/>
          <w:szCs w:val="20"/>
        </w:rPr>
        <w:t>Hemoglobin concentration</w:t>
      </w:r>
      <w:r w:rsidR="00E0794C" w:rsidRPr="00153E12">
        <w:rPr>
          <w:rFonts w:eastAsia="Calibri"/>
          <w:color w:val="000000"/>
          <w:sz w:val="20"/>
          <w:szCs w:val="20"/>
        </w:rPr>
        <w:t xml:space="preserve"> </w:t>
      </w:r>
      <w:r w:rsidRPr="00153E12">
        <w:rPr>
          <w:rFonts w:eastAsia="Calibri"/>
          <w:color w:val="000000"/>
          <w:sz w:val="20"/>
          <w:szCs w:val="20"/>
        </w:rPr>
        <w:t xml:space="preserve">was done </w:t>
      </w:r>
      <w:r w:rsidRPr="00153E12">
        <w:rPr>
          <w:sz w:val="20"/>
          <w:szCs w:val="20"/>
        </w:rPr>
        <w:t xml:space="preserve">using Max M Coulter (Beckman Coulter, Inc., 22 </w:t>
      </w:r>
      <w:proofErr w:type="spellStart"/>
      <w:r w:rsidRPr="00153E12">
        <w:rPr>
          <w:sz w:val="20"/>
          <w:szCs w:val="20"/>
        </w:rPr>
        <w:t>RaioJuste</w:t>
      </w:r>
      <w:proofErr w:type="spellEnd"/>
      <w:r w:rsidRPr="00153E12">
        <w:rPr>
          <w:sz w:val="20"/>
          <w:szCs w:val="20"/>
        </w:rPr>
        <w:t xml:space="preserve">-Olivier, </w:t>
      </w:r>
      <w:proofErr w:type="gramStart"/>
      <w:r w:rsidRPr="00153E12">
        <w:rPr>
          <w:sz w:val="20"/>
          <w:szCs w:val="20"/>
        </w:rPr>
        <w:t>1260</w:t>
      </w:r>
      <w:proofErr w:type="gramEnd"/>
      <w:r w:rsidRPr="00153E12">
        <w:rPr>
          <w:sz w:val="20"/>
          <w:szCs w:val="20"/>
        </w:rPr>
        <w:t xml:space="preserve"> </w:t>
      </w:r>
      <w:proofErr w:type="spellStart"/>
      <w:r w:rsidRPr="00153E12">
        <w:rPr>
          <w:sz w:val="20"/>
          <w:szCs w:val="20"/>
        </w:rPr>
        <w:t>Nyon</w:t>
      </w:r>
      <w:proofErr w:type="spellEnd"/>
      <w:r w:rsidRPr="00153E12">
        <w:rPr>
          <w:sz w:val="20"/>
          <w:szCs w:val="20"/>
        </w:rPr>
        <w:t>-Switzerland</w:t>
      </w:r>
      <w:r w:rsidRPr="00153E12">
        <w:rPr>
          <w:rFonts w:eastAsia="Calibri"/>
          <w:sz w:val="20"/>
          <w:szCs w:val="20"/>
        </w:rPr>
        <w:t>)</w:t>
      </w:r>
      <w:r w:rsidRPr="00153E12">
        <w:rPr>
          <w:rFonts w:eastAsia="Calibri"/>
          <w:color w:val="000000"/>
          <w:sz w:val="20"/>
          <w:szCs w:val="20"/>
        </w:rPr>
        <w:t>.</w:t>
      </w:r>
    </w:p>
    <w:p w:rsidR="005272C8" w:rsidRPr="00153E12" w:rsidRDefault="005272C8" w:rsidP="008B7439">
      <w:pPr>
        <w:pStyle w:val="ListParagraph"/>
        <w:numPr>
          <w:ilvl w:val="0"/>
          <w:numId w:val="2"/>
        </w:numPr>
        <w:autoSpaceDE w:val="0"/>
        <w:autoSpaceDN w:val="0"/>
        <w:adjustRightInd w:val="0"/>
        <w:snapToGrid w:val="0"/>
        <w:ind w:left="0" w:firstLine="0"/>
        <w:jc w:val="both"/>
        <w:rPr>
          <w:rFonts w:eastAsia="Calibri"/>
          <w:color w:val="000000"/>
          <w:sz w:val="20"/>
          <w:szCs w:val="20"/>
        </w:rPr>
      </w:pPr>
      <w:r w:rsidRPr="00153E12">
        <w:rPr>
          <w:b/>
          <w:bCs/>
          <w:color w:val="000000"/>
          <w:sz w:val="20"/>
          <w:szCs w:val="20"/>
        </w:rPr>
        <w:t xml:space="preserve">Plasma </w:t>
      </w:r>
      <w:proofErr w:type="spellStart"/>
      <w:r w:rsidRPr="00153E12">
        <w:rPr>
          <w:b/>
          <w:bCs/>
          <w:color w:val="000000"/>
          <w:sz w:val="20"/>
          <w:szCs w:val="20"/>
        </w:rPr>
        <w:t>Pentraxin</w:t>
      </w:r>
      <w:proofErr w:type="spellEnd"/>
      <w:r w:rsidRPr="00153E12">
        <w:rPr>
          <w:b/>
          <w:bCs/>
          <w:color w:val="000000"/>
          <w:sz w:val="20"/>
          <w:szCs w:val="20"/>
        </w:rPr>
        <w:t xml:space="preserve"> 3 (PTX3)</w:t>
      </w:r>
      <w:r w:rsidRPr="00153E12">
        <w:rPr>
          <w:rFonts w:eastAsia="Calibri"/>
          <w:color w:val="000000"/>
          <w:sz w:val="20"/>
          <w:szCs w:val="20"/>
        </w:rPr>
        <w:t xml:space="preserve"> was carried by a sandwich a commercially available ELISA kit provided by </w:t>
      </w:r>
      <w:proofErr w:type="spellStart"/>
      <w:r w:rsidRPr="00153E12">
        <w:rPr>
          <w:rFonts w:eastAsia="Calibri"/>
          <w:color w:val="000000"/>
          <w:sz w:val="20"/>
          <w:szCs w:val="20"/>
        </w:rPr>
        <w:t>Quantikine</w:t>
      </w:r>
      <w:proofErr w:type="spellEnd"/>
      <w:r w:rsidRPr="00153E12">
        <w:rPr>
          <w:rFonts w:eastAsia="Calibri"/>
          <w:color w:val="000000"/>
          <w:sz w:val="20"/>
          <w:szCs w:val="20"/>
        </w:rPr>
        <w:t xml:space="preserve"> R&amp;D International, Inc. (R&amp;D International, Inc., 614 </w:t>
      </w:r>
      <w:proofErr w:type="spellStart"/>
      <w:r w:rsidRPr="00153E12">
        <w:rPr>
          <w:rFonts w:eastAsia="Calibri"/>
          <w:color w:val="000000"/>
          <w:sz w:val="20"/>
          <w:szCs w:val="20"/>
        </w:rPr>
        <w:t>McKinly</w:t>
      </w:r>
      <w:proofErr w:type="spellEnd"/>
      <w:r w:rsidRPr="00153E12">
        <w:rPr>
          <w:rFonts w:eastAsia="Calibri"/>
          <w:color w:val="000000"/>
          <w:sz w:val="20"/>
          <w:szCs w:val="20"/>
        </w:rPr>
        <w:t xml:space="preserve"> Place N.E., </w:t>
      </w:r>
      <w:proofErr w:type="spellStart"/>
      <w:r w:rsidRPr="00153E12">
        <w:rPr>
          <w:rFonts w:eastAsia="Calibri"/>
          <w:color w:val="000000"/>
          <w:sz w:val="20"/>
          <w:szCs w:val="20"/>
        </w:rPr>
        <w:t>Minnespolis</w:t>
      </w:r>
      <w:proofErr w:type="spellEnd"/>
      <w:r w:rsidRPr="00153E12">
        <w:rPr>
          <w:rFonts w:eastAsia="Calibri"/>
          <w:color w:val="000000"/>
          <w:sz w:val="20"/>
          <w:szCs w:val="20"/>
        </w:rPr>
        <w:t xml:space="preserve">, </w:t>
      </w:r>
      <w:proofErr w:type="gramStart"/>
      <w:r w:rsidRPr="00153E12">
        <w:rPr>
          <w:rFonts w:eastAsia="Calibri"/>
          <w:color w:val="000000"/>
          <w:sz w:val="20"/>
          <w:szCs w:val="20"/>
        </w:rPr>
        <w:t>MN55413</w:t>
      </w:r>
      <w:proofErr w:type="gramEnd"/>
      <w:r w:rsidRPr="00153E12">
        <w:rPr>
          <w:rFonts w:eastAsia="Calibri"/>
          <w:color w:val="000000"/>
          <w:sz w:val="20"/>
          <w:szCs w:val="20"/>
        </w:rPr>
        <w:t xml:space="preserve"> USA). The detection limit is</w:t>
      </w:r>
      <w:r w:rsidR="00153E12">
        <w:rPr>
          <w:rFonts w:eastAsia="Calibri"/>
          <w:color w:val="000000"/>
          <w:sz w:val="20"/>
          <w:szCs w:val="20"/>
        </w:rPr>
        <w:t xml:space="preserve"> </w:t>
      </w:r>
      <w:r w:rsidRPr="00153E12">
        <w:rPr>
          <w:rFonts w:eastAsia="Calibri"/>
          <w:color w:val="000000"/>
          <w:sz w:val="20"/>
          <w:szCs w:val="20"/>
        </w:rPr>
        <w:t>100 pg/</w:t>
      </w:r>
      <w:proofErr w:type="spellStart"/>
      <w:r w:rsidRPr="00153E12">
        <w:rPr>
          <w:rFonts w:eastAsia="Calibri"/>
          <w:color w:val="000000"/>
          <w:sz w:val="20"/>
          <w:szCs w:val="20"/>
        </w:rPr>
        <w:t>mL</w:t>
      </w:r>
      <w:proofErr w:type="spellEnd"/>
      <w:r w:rsidRPr="00153E12">
        <w:rPr>
          <w:rFonts w:eastAsia="Calibri"/>
          <w:color w:val="000000"/>
          <w:sz w:val="20"/>
          <w:szCs w:val="20"/>
        </w:rPr>
        <w:t xml:space="preserve"> and inter</w:t>
      </w:r>
      <w:r w:rsidR="00750456" w:rsidRPr="00153E12">
        <w:rPr>
          <w:rFonts w:eastAsia="Calibri"/>
          <w:color w:val="000000"/>
          <w:sz w:val="20"/>
          <w:szCs w:val="20"/>
        </w:rPr>
        <w:t xml:space="preserve"> </w:t>
      </w:r>
      <w:r w:rsidRPr="00153E12">
        <w:rPr>
          <w:rFonts w:eastAsia="Calibri"/>
          <w:color w:val="000000"/>
          <w:sz w:val="20"/>
          <w:szCs w:val="20"/>
        </w:rPr>
        <w:t xml:space="preserve">assay variability is 8%-10%. In this technique, a </w:t>
      </w:r>
      <w:proofErr w:type="spellStart"/>
      <w:r w:rsidRPr="00153E12">
        <w:rPr>
          <w:rFonts w:eastAsia="Calibri"/>
          <w:color w:val="000000"/>
          <w:sz w:val="20"/>
          <w:szCs w:val="20"/>
        </w:rPr>
        <w:t>streptavidin</w:t>
      </w:r>
      <w:proofErr w:type="spellEnd"/>
      <w:r w:rsidRPr="00153E12">
        <w:rPr>
          <w:rFonts w:eastAsia="Calibri"/>
          <w:color w:val="000000"/>
          <w:sz w:val="20"/>
          <w:szCs w:val="20"/>
        </w:rPr>
        <w:t xml:space="preserve">-coated plate is incubated with a </w:t>
      </w:r>
      <w:proofErr w:type="spellStart"/>
      <w:r w:rsidRPr="00153E12">
        <w:rPr>
          <w:rFonts w:eastAsia="Calibri"/>
          <w:color w:val="000000"/>
          <w:sz w:val="20"/>
          <w:szCs w:val="20"/>
        </w:rPr>
        <w:t>biotinylated</w:t>
      </w:r>
      <w:proofErr w:type="spellEnd"/>
      <w:r w:rsidRPr="00153E12">
        <w:rPr>
          <w:rFonts w:eastAsia="Calibri"/>
          <w:color w:val="000000"/>
          <w:sz w:val="20"/>
          <w:szCs w:val="20"/>
        </w:rPr>
        <w:t xml:space="preserve"> monoclonal antibody specific for PTX3. Plate wells are washed and pretreated standards and samples are added to the wells. Any PTX3 present is bound by the immobilized </w:t>
      </w:r>
      <w:proofErr w:type="spellStart"/>
      <w:r w:rsidRPr="00153E12">
        <w:rPr>
          <w:rFonts w:eastAsia="Calibri"/>
          <w:color w:val="000000"/>
          <w:sz w:val="20"/>
          <w:szCs w:val="20"/>
        </w:rPr>
        <w:t>biotinylated</w:t>
      </w:r>
      <w:proofErr w:type="spellEnd"/>
      <w:r w:rsidRPr="00153E12">
        <w:rPr>
          <w:rFonts w:eastAsia="Calibri"/>
          <w:color w:val="000000"/>
          <w:sz w:val="20"/>
          <w:szCs w:val="20"/>
        </w:rPr>
        <w:t xml:space="preserve"> antibody.</w:t>
      </w:r>
      <w:r w:rsidR="00153E12">
        <w:rPr>
          <w:rFonts w:eastAsia="Calibri"/>
          <w:color w:val="000000"/>
          <w:sz w:val="20"/>
          <w:szCs w:val="20"/>
        </w:rPr>
        <w:t xml:space="preserve"> </w:t>
      </w:r>
      <w:r w:rsidRPr="00153E12">
        <w:rPr>
          <w:rFonts w:eastAsia="Calibri"/>
          <w:color w:val="000000"/>
          <w:sz w:val="20"/>
          <w:szCs w:val="20"/>
        </w:rPr>
        <w:t>After washing away any unbound substance, an enzyme-linked conjugate specific for PTX3 is added to the wells. Following a wash to remove any unbound conjugate, a substrate solution is added to the wells and color develops in proportion to the amount of PTX3 bound. The color development is stopped and the intensity of the color is measured. A standard curve was constructed and from which concentration of PTX3 (</w:t>
      </w:r>
      <w:proofErr w:type="spellStart"/>
      <w:r w:rsidRPr="00153E12">
        <w:rPr>
          <w:rFonts w:eastAsia="Calibri"/>
          <w:color w:val="000000"/>
          <w:sz w:val="20"/>
          <w:szCs w:val="20"/>
        </w:rPr>
        <w:t>ng</w:t>
      </w:r>
      <w:proofErr w:type="spellEnd"/>
      <w:r w:rsidRPr="00153E12">
        <w:rPr>
          <w:rFonts w:eastAsia="Calibri"/>
          <w:color w:val="000000"/>
          <w:sz w:val="20"/>
          <w:szCs w:val="20"/>
        </w:rPr>
        <w:t>/</w:t>
      </w:r>
      <w:proofErr w:type="spellStart"/>
      <w:r w:rsidRPr="00153E12">
        <w:rPr>
          <w:rFonts w:eastAsia="Calibri"/>
          <w:color w:val="000000"/>
          <w:sz w:val="20"/>
          <w:szCs w:val="20"/>
        </w:rPr>
        <w:t>mL</w:t>
      </w:r>
      <w:proofErr w:type="spellEnd"/>
      <w:r w:rsidRPr="00153E12">
        <w:rPr>
          <w:rFonts w:eastAsia="Calibri"/>
          <w:color w:val="000000"/>
          <w:sz w:val="20"/>
          <w:szCs w:val="20"/>
        </w:rPr>
        <w:t xml:space="preserve">) was deduced by </w:t>
      </w:r>
      <w:proofErr w:type="gramStart"/>
      <w:r w:rsidRPr="00153E12">
        <w:rPr>
          <w:rFonts w:eastAsia="Calibri"/>
          <w:color w:val="000000"/>
          <w:sz w:val="20"/>
          <w:szCs w:val="20"/>
        </w:rPr>
        <w:t>interpolation</w:t>
      </w:r>
      <w:r w:rsidR="00BA0F98" w:rsidRPr="00153E12">
        <w:rPr>
          <w:rFonts w:eastAsia="Calibri"/>
          <w:color w:val="000000"/>
          <w:sz w:val="20"/>
          <w:szCs w:val="20"/>
          <w:vertAlign w:val="superscript"/>
        </w:rPr>
        <w:t>(</w:t>
      </w:r>
      <w:proofErr w:type="gramEnd"/>
      <w:r w:rsidR="00BA0F98" w:rsidRPr="00153E12">
        <w:rPr>
          <w:rFonts w:eastAsia="Calibri"/>
          <w:color w:val="000000"/>
          <w:sz w:val="20"/>
          <w:szCs w:val="20"/>
          <w:vertAlign w:val="superscript"/>
        </w:rPr>
        <w:t>9)</w:t>
      </w:r>
      <w:r w:rsidR="00153E12">
        <w:rPr>
          <w:rFonts w:eastAsia="Calibri"/>
          <w:color w:val="000000"/>
          <w:sz w:val="20"/>
          <w:szCs w:val="20"/>
        </w:rPr>
        <w:t>.</w:t>
      </w:r>
    </w:p>
    <w:p w:rsidR="005272C8" w:rsidRPr="00153E12" w:rsidRDefault="005272C8" w:rsidP="008B7439">
      <w:pPr>
        <w:pStyle w:val="ListParagraph"/>
        <w:numPr>
          <w:ilvl w:val="0"/>
          <w:numId w:val="1"/>
        </w:numPr>
        <w:tabs>
          <w:tab w:val="left" w:pos="0"/>
        </w:tabs>
        <w:snapToGrid w:val="0"/>
        <w:ind w:left="0" w:firstLine="0"/>
        <w:jc w:val="both"/>
        <w:rPr>
          <w:b/>
          <w:bCs/>
          <w:sz w:val="20"/>
          <w:szCs w:val="20"/>
        </w:rPr>
      </w:pPr>
      <w:r w:rsidRPr="00153E12">
        <w:rPr>
          <w:b/>
          <w:bCs/>
          <w:sz w:val="20"/>
          <w:szCs w:val="20"/>
        </w:rPr>
        <w:t>Methods of Calculated Parameters:</w:t>
      </w:r>
    </w:p>
    <w:p w:rsidR="005272C8" w:rsidRPr="00153E12" w:rsidRDefault="005272C8" w:rsidP="008B7439">
      <w:pPr>
        <w:pStyle w:val="ListParagraph"/>
        <w:numPr>
          <w:ilvl w:val="0"/>
          <w:numId w:val="3"/>
        </w:numPr>
        <w:tabs>
          <w:tab w:val="left" w:pos="0"/>
        </w:tabs>
        <w:snapToGrid w:val="0"/>
        <w:ind w:left="0" w:firstLine="0"/>
        <w:jc w:val="both"/>
        <w:rPr>
          <w:b/>
          <w:bCs/>
          <w:sz w:val="20"/>
          <w:szCs w:val="20"/>
        </w:rPr>
      </w:pPr>
      <w:r w:rsidRPr="00153E12">
        <w:rPr>
          <w:b/>
          <w:bCs/>
          <w:sz w:val="20"/>
          <w:szCs w:val="20"/>
        </w:rPr>
        <w:t>Calculation of urea reduction ratio (URR)</w:t>
      </w:r>
      <w:r w:rsidRPr="00153E12">
        <w:rPr>
          <w:rFonts w:eastAsia="Calibri"/>
          <w:color w:val="000000"/>
          <w:sz w:val="20"/>
          <w:szCs w:val="20"/>
        </w:rPr>
        <w:t>by the following equation</w:t>
      </w:r>
      <w:r w:rsidRPr="00153E12">
        <w:rPr>
          <w:sz w:val="20"/>
          <w:szCs w:val="20"/>
          <w:lang w:bidi="ar-EG"/>
        </w:rPr>
        <w:t>:</w:t>
      </w:r>
    </w:p>
    <w:p w:rsidR="005272C8" w:rsidRPr="00153E12" w:rsidRDefault="005272C8" w:rsidP="00153E12">
      <w:pPr>
        <w:pStyle w:val="ListParagraph"/>
        <w:tabs>
          <w:tab w:val="left" w:pos="0"/>
        </w:tabs>
        <w:snapToGrid w:val="0"/>
        <w:ind w:left="0"/>
        <w:jc w:val="both"/>
        <w:rPr>
          <w:b/>
          <w:bCs/>
          <w:sz w:val="20"/>
          <w:szCs w:val="20"/>
        </w:rPr>
      </w:pPr>
      <w:r w:rsidRPr="00153E12">
        <w:rPr>
          <w:sz w:val="20"/>
          <w:szCs w:val="20"/>
          <w:lang w:bidi="ar-EG"/>
        </w:rPr>
        <w:t>URR = {(pre</w:t>
      </w:r>
      <w:r w:rsidR="00750456" w:rsidRPr="00153E12">
        <w:rPr>
          <w:sz w:val="20"/>
          <w:szCs w:val="20"/>
          <w:lang w:bidi="ar-EG"/>
        </w:rPr>
        <w:t xml:space="preserve"> </w:t>
      </w:r>
      <w:r w:rsidRPr="00153E12">
        <w:rPr>
          <w:sz w:val="20"/>
          <w:szCs w:val="20"/>
          <w:lang w:bidi="ar-EG"/>
        </w:rPr>
        <w:t>dialysis blood urea nitrogen “BUN” – post</w:t>
      </w:r>
      <w:r w:rsidR="00750456" w:rsidRPr="00153E12">
        <w:rPr>
          <w:sz w:val="20"/>
          <w:szCs w:val="20"/>
          <w:lang w:bidi="ar-EG"/>
        </w:rPr>
        <w:t xml:space="preserve"> </w:t>
      </w:r>
      <w:r w:rsidRPr="00153E12">
        <w:rPr>
          <w:sz w:val="20"/>
          <w:szCs w:val="20"/>
          <w:lang w:bidi="ar-EG"/>
        </w:rPr>
        <w:t>dialysis BUN)/</w:t>
      </w:r>
      <w:r w:rsidR="00750456" w:rsidRPr="00153E12">
        <w:rPr>
          <w:sz w:val="20"/>
          <w:szCs w:val="20"/>
          <w:lang w:bidi="ar-EG"/>
        </w:rPr>
        <w:t xml:space="preserve"> </w:t>
      </w:r>
      <w:r w:rsidRPr="00153E12">
        <w:rPr>
          <w:sz w:val="20"/>
          <w:szCs w:val="20"/>
          <w:lang w:bidi="ar-EG"/>
        </w:rPr>
        <w:t>pre</w:t>
      </w:r>
      <w:r w:rsidR="00750456" w:rsidRPr="00153E12">
        <w:rPr>
          <w:sz w:val="20"/>
          <w:szCs w:val="20"/>
          <w:lang w:bidi="ar-EG"/>
        </w:rPr>
        <w:t xml:space="preserve"> </w:t>
      </w:r>
      <w:r w:rsidRPr="00153E12">
        <w:rPr>
          <w:sz w:val="20"/>
          <w:szCs w:val="20"/>
          <w:lang w:bidi="ar-EG"/>
        </w:rPr>
        <w:t>dialysis BUN} %</w:t>
      </w:r>
      <w:proofErr w:type="gramStart"/>
      <w:r w:rsidR="00BA0F98" w:rsidRPr="00153E12">
        <w:rPr>
          <w:sz w:val="20"/>
          <w:szCs w:val="20"/>
          <w:vertAlign w:val="superscript"/>
          <w:lang w:bidi="ar-EG"/>
        </w:rPr>
        <w:t>(10</w:t>
      </w:r>
      <w:proofErr w:type="gramEnd"/>
      <w:r w:rsidR="00BA0F98" w:rsidRPr="00153E12">
        <w:rPr>
          <w:sz w:val="20"/>
          <w:szCs w:val="20"/>
          <w:vertAlign w:val="superscript"/>
          <w:lang w:bidi="ar-EG"/>
        </w:rPr>
        <w:t>)</w:t>
      </w:r>
      <w:r w:rsidR="00153E12">
        <w:rPr>
          <w:b/>
          <w:bCs/>
          <w:sz w:val="20"/>
          <w:szCs w:val="20"/>
        </w:rPr>
        <w:t>.</w:t>
      </w:r>
    </w:p>
    <w:p w:rsidR="005272C8" w:rsidRPr="00153E12" w:rsidRDefault="005272C8" w:rsidP="008B7439">
      <w:pPr>
        <w:pStyle w:val="ListParagraph"/>
        <w:numPr>
          <w:ilvl w:val="0"/>
          <w:numId w:val="3"/>
        </w:numPr>
        <w:tabs>
          <w:tab w:val="left" w:pos="0"/>
        </w:tabs>
        <w:snapToGrid w:val="0"/>
        <w:ind w:left="0" w:firstLine="0"/>
        <w:jc w:val="both"/>
        <w:rPr>
          <w:b/>
          <w:bCs/>
          <w:sz w:val="20"/>
          <w:szCs w:val="20"/>
        </w:rPr>
      </w:pPr>
      <w:r w:rsidRPr="00153E12">
        <w:rPr>
          <w:b/>
          <w:bCs/>
          <w:sz w:val="20"/>
          <w:szCs w:val="20"/>
        </w:rPr>
        <w:t xml:space="preserve">Calculation of corrected </w:t>
      </w:r>
      <w:proofErr w:type="spellStart"/>
      <w:r w:rsidRPr="00153E12">
        <w:rPr>
          <w:b/>
          <w:bCs/>
          <w:sz w:val="20"/>
          <w:szCs w:val="20"/>
        </w:rPr>
        <w:t>creatinine</w:t>
      </w:r>
      <w:proofErr w:type="spellEnd"/>
      <w:r w:rsidRPr="00153E12">
        <w:rPr>
          <w:b/>
          <w:bCs/>
          <w:sz w:val="20"/>
          <w:szCs w:val="20"/>
        </w:rPr>
        <w:t xml:space="preserve"> clearance </w:t>
      </w:r>
      <w:r w:rsidRPr="00153E12">
        <w:rPr>
          <w:sz w:val="20"/>
          <w:szCs w:val="20"/>
          <w:lang w:bidi="ar-EG"/>
        </w:rPr>
        <w:t xml:space="preserve">by the </w:t>
      </w:r>
      <w:proofErr w:type="spellStart"/>
      <w:r w:rsidRPr="00153E12">
        <w:rPr>
          <w:sz w:val="20"/>
          <w:szCs w:val="20"/>
          <w:lang w:bidi="ar-EG"/>
        </w:rPr>
        <w:t>followingequation</w:t>
      </w:r>
      <w:proofErr w:type="spellEnd"/>
      <w:r w:rsidRPr="00153E12">
        <w:rPr>
          <w:sz w:val="20"/>
          <w:szCs w:val="20"/>
          <w:lang w:bidi="ar-EG"/>
        </w:rPr>
        <w:t>:</w:t>
      </w:r>
    </w:p>
    <w:p w:rsidR="005272C8" w:rsidRPr="00153E12" w:rsidRDefault="005272C8" w:rsidP="00153E12">
      <w:pPr>
        <w:pStyle w:val="ListParagraph"/>
        <w:tabs>
          <w:tab w:val="left" w:pos="0"/>
        </w:tabs>
        <w:snapToGrid w:val="0"/>
        <w:ind w:left="0"/>
        <w:jc w:val="both"/>
        <w:rPr>
          <w:rStyle w:val="Emphasis"/>
          <w:bCs/>
          <w:i w:val="0"/>
          <w:iCs w:val="0"/>
          <w:caps/>
          <w:sz w:val="20"/>
          <w:szCs w:val="20"/>
          <w:vertAlign w:val="superscript"/>
        </w:rPr>
      </w:pPr>
      <w:r w:rsidRPr="00153E12">
        <w:rPr>
          <w:rStyle w:val="Emphasis"/>
          <w:bCs/>
          <w:i w:val="0"/>
          <w:iCs w:val="0"/>
          <w:caps/>
          <w:sz w:val="20"/>
          <w:szCs w:val="20"/>
        </w:rPr>
        <w:t>[</w:t>
      </w:r>
      <w:proofErr w:type="gramStart"/>
      <w:r w:rsidRPr="00153E12">
        <w:rPr>
          <w:rStyle w:val="Emphasis"/>
          <w:bCs/>
          <w:i w:val="0"/>
          <w:iCs w:val="0"/>
          <w:sz w:val="20"/>
          <w:szCs w:val="20"/>
        </w:rPr>
        <w:t>urine</w:t>
      </w:r>
      <w:proofErr w:type="gramEnd"/>
      <w:r w:rsidR="00750456" w:rsidRPr="00153E12">
        <w:rPr>
          <w:rStyle w:val="Emphasis"/>
          <w:bCs/>
          <w:i w:val="0"/>
          <w:iCs w:val="0"/>
          <w:sz w:val="20"/>
          <w:szCs w:val="20"/>
        </w:rPr>
        <w:t xml:space="preserve"> </w:t>
      </w:r>
      <w:proofErr w:type="spellStart"/>
      <w:r w:rsidRPr="00153E12">
        <w:rPr>
          <w:rStyle w:val="Emphasis"/>
          <w:bCs/>
          <w:i w:val="0"/>
          <w:iCs w:val="0"/>
          <w:sz w:val="20"/>
          <w:szCs w:val="20"/>
        </w:rPr>
        <w:t>creatinine</w:t>
      </w:r>
      <w:proofErr w:type="spellEnd"/>
      <w:r w:rsidRPr="00153E12">
        <w:rPr>
          <w:rStyle w:val="Emphasis"/>
          <w:bCs/>
          <w:i w:val="0"/>
          <w:iCs w:val="0"/>
          <w:sz w:val="20"/>
          <w:szCs w:val="20"/>
        </w:rPr>
        <w:t xml:space="preserve"> x urine volume/serum </w:t>
      </w:r>
      <w:proofErr w:type="spellStart"/>
      <w:r w:rsidRPr="00153E12">
        <w:rPr>
          <w:rStyle w:val="Emphasis"/>
          <w:bCs/>
          <w:i w:val="0"/>
          <w:iCs w:val="0"/>
          <w:sz w:val="20"/>
          <w:szCs w:val="20"/>
        </w:rPr>
        <w:t>creatinine</w:t>
      </w:r>
      <w:proofErr w:type="spellEnd"/>
      <w:r w:rsidRPr="00153E12">
        <w:rPr>
          <w:rStyle w:val="Emphasis"/>
          <w:bCs/>
          <w:i w:val="0"/>
          <w:iCs w:val="0"/>
          <w:sz w:val="20"/>
          <w:szCs w:val="20"/>
        </w:rPr>
        <w:t>]x[</w:t>
      </w:r>
      <w:r w:rsidRPr="00153E12">
        <w:rPr>
          <w:rStyle w:val="Emphasis"/>
          <w:bCs/>
          <w:i w:val="0"/>
          <w:iCs w:val="0"/>
          <w:caps/>
          <w:sz w:val="20"/>
          <w:szCs w:val="20"/>
        </w:rPr>
        <w:t>1.73/s.A</w:t>
      </w:r>
      <w:r w:rsidR="00153E12">
        <w:rPr>
          <w:rStyle w:val="Emphasis"/>
          <w:bCs/>
          <w:i w:val="0"/>
          <w:iCs w:val="0"/>
          <w:caps/>
          <w:sz w:val="20"/>
          <w:szCs w:val="20"/>
        </w:rPr>
        <w:t xml:space="preserve"> </w:t>
      </w:r>
      <w:r w:rsidRPr="00153E12">
        <w:rPr>
          <w:rStyle w:val="Emphasis"/>
          <w:bCs/>
          <w:i w:val="0"/>
          <w:iCs w:val="0"/>
          <w:sz w:val="20"/>
          <w:szCs w:val="20"/>
        </w:rPr>
        <w:t>x1440</w:t>
      </w:r>
      <w:r w:rsidRPr="00153E12">
        <w:rPr>
          <w:rStyle w:val="Emphasis"/>
          <w:bCs/>
          <w:i w:val="0"/>
          <w:iCs w:val="0"/>
          <w:caps/>
          <w:sz w:val="20"/>
          <w:szCs w:val="20"/>
        </w:rPr>
        <w:t>]</w:t>
      </w:r>
      <w:r w:rsidR="00BA0F98" w:rsidRPr="00153E12">
        <w:rPr>
          <w:rStyle w:val="Emphasis"/>
          <w:bCs/>
          <w:i w:val="0"/>
          <w:iCs w:val="0"/>
          <w:caps/>
          <w:sz w:val="20"/>
          <w:szCs w:val="20"/>
          <w:vertAlign w:val="superscript"/>
        </w:rPr>
        <w:t>(13)</w:t>
      </w:r>
    </w:p>
    <w:p w:rsidR="005272C8" w:rsidRPr="00153E12" w:rsidRDefault="005272C8" w:rsidP="008B7439">
      <w:pPr>
        <w:pStyle w:val="ListParagraph"/>
        <w:numPr>
          <w:ilvl w:val="0"/>
          <w:numId w:val="3"/>
        </w:numPr>
        <w:tabs>
          <w:tab w:val="left" w:pos="0"/>
        </w:tabs>
        <w:snapToGrid w:val="0"/>
        <w:ind w:left="0" w:firstLine="0"/>
        <w:jc w:val="both"/>
        <w:rPr>
          <w:b/>
          <w:bCs/>
          <w:sz w:val="20"/>
          <w:szCs w:val="20"/>
        </w:rPr>
      </w:pPr>
      <w:r w:rsidRPr="00153E12">
        <w:rPr>
          <w:b/>
          <w:bCs/>
          <w:sz w:val="20"/>
          <w:szCs w:val="20"/>
        </w:rPr>
        <w:t xml:space="preserve">Davies Co-morbidity Index Score: </w:t>
      </w:r>
      <w:r w:rsidRPr="00153E12">
        <w:rPr>
          <w:sz w:val="20"/>
          <w:szCs w:val="20"/>
        </w:rPr>
        <w:t>the</w:t>
      </w:r>
      <w:r w:rsidR="00CB1829" w:rsidRPr="00153E12">
        <w:rPr>
          <w:sz w:val="20"/>
          <w:szCs w:val="20"/>
        </w:rPr>
        <w:t xml:space="preserve"> </w:t>
      </w:r>
      <w:r w:rsidRPr="00153E12">
        <w:rPr>
          <w:sz w:val="20"/>
          <w:szCs w:val="20"/>
        </w:rPr>
        <w:t>score assigns 1 point for each of the following conditions; ischemic heart disease, left ventricular dysfunction, peripheral vascular disease, malignancy, diabetes, collagen vascular disease, and other significant pathology (e.g., chronic obstructive pulmonary disease). The theoretical range is zero to seven. Accordingly,</w:t>
      </w:r>
      <w:r w:rsidR="00153E12" w:rsidRPr="00153E12">
        <w:rPr>
          <w:rFonts w:eastAsiaTheme="minorEastAsia" w:hint="eastAsia"/>
          <w:sz w:val="20"/>
          <w:szCs w:val="20"/>
          <w:lang w:eastAsia="zh-CN"/>
        </w:rPr>
        <w:t xml:space="preserve"> </w:t>
      </w:r>
      <w:r w:rsidRPr="00153E12">
        <w:rPr>
          <w:sz w:val="20"/>
          <w:szCs w:val="20"/>
        </w:rPr>
        <w:t>patients were categorized into; patients with low Davies Co-morbidity index score (score 0), patients with medium Davies Co-morbidity index score (score from 1-3) and patients with high Davies Co-morbidity index score (score more than 3</w:t>
      </w:r>
      <w:proofErr w:type="gramStart"/>
      <w:r w:rsidRPr="00153E12">
        <w:rPr>
          <w:sz w:val="20"/>
          <w:szCs w:val="20"/>
        </w:rPr>
        <w:t>)</w:t>
      </w:r>
      <w:r w:rsidR="00BA0F98" w:rsidRPr="00153E12">
        <w:rPr>
          <w:b/>
          <w:bCs/>
          <w:sz w:val="20"/>
          <w:szCs w:val="20"/>
          <w:vertAlign w:val="superscript"/>
        </w:rPr>
        <w:t>(</w:t>
      </w:r>
      <w:proofErr w:type="gramEnd"/>
      <w:r w:rsidR="00BA0F98" w:rsidRPr="00153E12">
        <w:rPr>
          <w:b/>
          <w:bCs/>
          <w:sz w:val="20"/>
          <w:szCs w:val="20"/>
          <w:vertAlign w:val="superscript"/>
        </w:rPr>
        <w:t>5)</w:t>
      </w:r>
      <w:r w:rsidR="00153E12">
        <w:rPr>
          <w:b/>
          <w:bCs/>
          <w:sz w:val="20"/>
          <w:szCs w:val="20"/>
        </w:rPr>
        <w:t>.</w:t>
      </w:r>
    </w:p>
    <w:p w:rsidR="005272C8" w:rsidRPr="00153E12" w:rsidRDefault="005272C8" w:rsidP="008B7439">
      <w:pPr>
        <w:pStyle w:val="ListParagraph"/>
        <w:numPr>
          <w:ilvl w:val="0"/>
          <w:numId w:val="3"/>
        </w:numPr>
        <w:tabs>
          <w:tab w:val="left" w:pos="0"/>
        </w:tabs>
        <w:snapToGrid w:val="0"/>
        <w:ind w:left="0" w:firstLine="0"/>
        <w:jc w:val="both"/>
        <w:rPr>
          <w:color w:val="000000"/>
          <w:sz w:val="20"/>
          <w:szCs w:val="20"/>
        </w:rPr>
      </w:pPr>
      <w:r w:rsidRPr="00153E12">
        <w:rPr>
          <w:rFonts w:eastAsia="Calibri"/>
          <w:b/>
          <w:bCs/>
          <w:color w:val="000000"/>
          <w:sz w:val="20"/>
          <w:szCs w:val="20"/>
        </w:rPr>
        <w:t>Malnutrition Score</w:t>
      </w:r>
      <w:r w:rsidR="00750456" w:rsidRPr="00153E12">
        <w:rPr>
          <w:rFonts w:eastAsia="Calibri"/>
          <w:b/>
          <w:bCs/>
          <w:color w:val="000000"/>
          <w:sz w:val="20"/>
          <w:szCs w:val="20"/>
        </w:rPr>
        <w:t xml:space="preserve"> </w:t>
      </w:r>
      <w:r w:rsidRPr="00153E12">
        <w:rPr>
          <w:color w:val="000000"/>
          <w:sz w:val="20"/>
          <w:szCs w:val="20"/>
        </w:rPr>
        <w:t>was applied to asse</w:t>
      </w:r>
      <w:r w:rsidR="00E453D0" w:rsidRPr="00153E12">
        <w:rPr>
          <w:color w:val="000000"/>
          <w:sz w:val="20"/>
          <w:szCs w:val="20"/>
        </w:rPr>
        <w:t>ss the degree of malnutrition b</w:t>
      </w:r>
      <w:r w:rsidRPr="00153E12">
        <w:rPr>
          <w:color w:val="000000"/>
          <w:sz w:val="20"/>
          <w:szCs w:val="20"/>
        </w:rPr>
        <w:t xml:space="preserve">ased on five parameters </w:t>
      </w:r>
      <w:proofErr w:type="gramStart"/>
      <w:r w:rsidRPr="00153E12">
        <w:rPr>
          <w:color w:val="000000"/>
          <w:sz w:val="20"/>
          <w:szCs w:val="20"/>
        </w:rPr>
        <w:t>[ body</w:t>
      </w:r>
      <w:proofErr w:type="gramEnd"/>
      <w:r w:rsidRPr="00153E12">
        <w:rPr>
          <w:color w:val="000000"/>
          <w:sz w:val="20"/>
          <w:szCs w:val="20"/>
        </w:rPr>
        <w:t xml:space="preserve"> mass index (BMI), mid-upper arm circumference (MUAC), hemoglobin level, clinical examination for signs of nutritional deficiencies and gastrointestinal tract (GIT) manifestations]. Each </w:t>
      </w:r>
      <w:r w:rsidRPr="00153E12">
        <w:rPr>
          <w:color w:val="000000"/>
          <w:sz w:val="20"/>
          <w:szCs w:val="20"/>
        </w:rPr>
        <w:lastRenderedPageBreak/>
        <w:t xml:space="preserve">parameter was given a score ranging from 3-6. The total score of malnutrition score ranged from a minimum of 15 to a maximum of 30, and accordingly patients were divided into; patients with no malnutrition (score15 - </w:t>
      </w:r>
      <w:r w:rsidRPr="00153E12">
        <w:rPr>
          <w:rFonts w:hint="cs"/>
          <w:color w:val="000000"/>
          <w:sz w:val="20"/>
          <w:szCs w:val="20"/>
          <w:lang w:bidi="ar-EG"/>
        </w:rPr>
        <w:t>&gt;</w:t>
      </w:r>
      <w:r w:rsidRPr="00153E12">
        <w:rPr>
          <w:color w:val="000000"/>
          <w:sz w:val="20"/>
          <w:szCs w:val="20"/>
        </w:rPr>
        <w:t xml:space="preserve"> 21), patients with mild malnutrition (score 21- &lt; 24), patients with moderate malnutrition (score 24- </w:t>
      </w:r>
      <w:r w:rsidRPr="00153E12">
        <w:rPr>
          <w:rFonts w:hint="cs"/>
          <w:color w:val="000000"/>
          <w:sz w:val="20"/>
          <w:szCs w:val="20"/>
          <w:lang w:bidi="ar-EG"/>
        </w:rPr>
        <w:t>&gt;</w:t>
      </w:r>
      <w:r w:rsidRPr="00153E12">
        <w:rPr>
          <w:color w:val="000000"/>
          <w:sz w:val="20"/>
          <w:szCs w:val="20"/>
        </w:rPr>
        <w:t>27) and patients with severe malnutrition (score 27-30</w:t>
      </w:r>
      <w:proofErr w:type="gramStart"/>
      <w:r w:rsidRPr="00153E12">
        <w:rPr>
          <w:color w:val="000000"/>
          <w:sz w:val="20"/>
          <w:szCs w:val="20"/>
        </w:rPr>
        <w:t>)</w:t>
      </w:r>
      <w:r w:rsidR="00BA0F98" w:rsidRPr="00153E12">
        <w:rPr>
          <w:color w:val="000000"/>
          <w:sz w:val="20"/>
          <w:szCs w:val="20"/>
          <w:vertAlign w:val="superscript"/>
        </w:rPr>
        <w:t>(</w:t>
      </w:r>
      <w:proofErr w:type="gramEnd"/>
      <w:r w:rsidR="00BA0F98" w:rsidRPr="00153E12">
        <w:rPr>
          <w:color w:val="000000"/>
          <w:sz w:val="20"/>
          <w:szCs w:val="20"/>
          <w:vertAlign w:val="superscript"/>
        </w:rPr>
        <w:t>4)</w:t>
      </w:r>
      <w:r w:rsidR="00153E12">
        <w:rPr>
          <w:color w:val="000000"/>
          <w:sz w:val="20"/>
          <w:szCs w:val="20"/>
        </w:rPr>
        <w:t>.</w:t>
      </w:r>
    </w:p>
    <w:p w:rsidR="005272C8" w:rsidRPr="00153E12" w:rsidRDefault="005272C8" w:rsidP="008B7439">
      <w:pPr>
        <w:pStyle w:val="ListParagraph"/>
        <w:numPr>
          <w:ilvl w:val="0"/>
          <w:numId w:val="1"/>
        </w:numPr>
        <w:tabs>
          <w:tab w:val="left" w:pos="284"/>
          <w:tab w:val="left" w:pos="709"/>
          <w:tab w:val="center" w:pos="3362"/>
          <w:tab w:val="right" w:pos="6725"/>
        </w:tabs>
        <w:snapToGrid w:val="0"/>
        <w:ind w:left="0" w:firstLine="0"/>
        <w:jc w:val="both"/>
        <w:rPr>
          <w:sz w:val="20"/>
          <w:szCs w:val="20"/>
        </w:rPr>
      </w:pPr>
      <w:r w:rsidRPr="00153E12">
        <w:rPr>
          <w:b/>
          <w:bCs/>
          <w:sz w:val="20"/>
          <w:szCs w:val="20"/>
        </w:rPr>
        <w:t xml:space="preserve">Statistical Methods: </w:t>
      </w:r>
      <w:r w:rsidRPr="00153E12">
        <w:rPr>
          <w:sz w:val="20"/>
          <w:szCs w:val="20"/>
        </w:rPr>
        <w:t xml:space="preserve">statistical analysis was carried out on personal computer using SPSS software version8, USA. Non-parametric data were expressed as median and </w:t>
      </w:r>
      <w:proofErr w:type="spellStart"/>
      <w:r w:rsidRPr="00153E12">
        <w:rPr>
          <w:sz w:val="20"/>
          <w:szCs w:val="20"/>
        </w:rPr>
        <w:t>interquartile</w:t>
      </w:r>
      <w:proofErr w:type="spellEnd"/>
      <w:r w:rsidRPr="00153E12">
        <w:rPr>
          <w:sz w:val="20"/>
          <w:szCs w:val="20"/>
        </w:rPr>
        <w:t xml:space="preserve"> range (IQR). Comparative statistics was done by </w:t>
      </w:r>
      <w:proofErr w:type="spellStart"/>
      <w:r w:rsidRPr="00153E12">
        <w:rPr>
          <w:sz w:val="20"/>
          <w:szCs w:val="20"/>
        </w:rPr>
        <w:t>Kruskal</w:t>
      </w:r>
      <w:proofErr w:type="spellEnd"/>
      <w:r w:rsidRPr="00153E12">
        <w:rPr>
          <w:sz w:val="20"/>
          <w:szCs w:val="20"/>
        </w:rPr>
        <w:t xml:space="preserve">- Wallis test, </w:t>
      </w:r>
      <w:proofErr w:type="spellStart"/>
      <w:r w:rsidRPr="00153E12">
        <w:rPr>
          <w:sz w:val="20"/>
          <w:szCs w:val="20"/>
        </w:rPr>
        <w:t>Wilcoxon’s</w:t>
      </w:r>
      <w:proofErr w:type="spellEnd"/>
      <w:r w:rsidRPr="00153E12">
        <w:rPr>
          <w:sz w:val="20"/>
          <w:szCs w:val="20"/>
        </w:rPr>
        <w:t xml:space="preserve"> rank sum and Chi-squared test. The Odd ratio was calculated in order to study the relationship between two characteristics Receiver operating characteristic curve (ROC) analysis was applied to assess the overall diagnostic performance of PTX3 in the study.</w:t>
      </w:r>
      <w:r w:rsidR="00153E12" w:rsidRPr="00153E12">
        <w:rPr>
          <w:rFonts w:eastAsiaTheme="minorEastAsia" w:hint="eastAsia"/>
          <w:sz w:val="20"/>
          <w:szCs w:val="20"/>
          <w:lang w:eastAsia="zh-CN"/>
        </w:rPr>
        <w:t xml:space="preserve"> </w:t>
      </w:r>
      <w:r w:rsidRPr="00153E12">
        <w:rPr>
          <w:color w:val="000000"/>
          <w:sz w:val="20"/>
          <w:szCs w:val="20"/>
        </w:rPr>
        <w:t>P&gt; 0.05 was considered non significant, P &lt; 0.05 was considered significant and P &lt; 0.01 conclusion and recommendation: was considered highly significant.</w:t>
      </w:r>
    </w:p>
    <w:p w:rsidR="005272C8" w:rsidRPr="00153E12" w:rsidRDefault="008B7439" w:rsidP="008B7439">
      <w:pPr>
        <w:snapToGrid w:val="0"/>
        <w:jc w:val="both"/>
        <w:rPr>
          <w:b/>
          <w:bCs/>
          <w:sz w:val="20"/>
          <w:szCs w:val="20"/>
        </w:rPr>
      </w:pPr>
      <w:r w:rsidRPr="00153E12">
        <w:rPr>
          <w:b/>
          <w:bCs/>
          <w:sz w:val="20"/>
          <w:szCs w:val="20"/>
        </w:rPr>
        <w:t>Results</w:t>
      </w:r>
    </w:p>
    <w:p w:rsidR="005272C8" w:rsidRPr="00153E12" w:rsidRDefault="005272C8" w:rsidP="008B7439">
      <w:pPr>
        <w:snapToGrid w:val="0"/>
        <w:ind w:firstLine="425"/>
        <w:jc w:val="both"/>
        <w:rPr>
          <w:sz w:val="20"/>
          <w:szCs w:val="20"/>
        </w:rPr>
      </w:pPr>
      <w:r w:rsidRPr="00153E12">
        <w:rPr>
          <w:sz w:val="20"/>
          <w:szCs w:val="20"/>
        </w:rPr>
        <w:t>The results obtained in the present study are presented in tables (1-5) and figures (1 and 2).</w:t>
      </w:r>
    </w:p>
    <w:p w:rsidR="005272C8" w:rsidRPr="00153E12" w:rsidRDefault="005272C8" w:rsidP="008B7439">
      <w:pPr>
        <w:snapToGrid w:val="0"/>
        <w:ind w:firstLine="425"/>
        <w:jc w:val="both"/>
        <w:rPr>
          <w:sz w:val="20"/>
          <w:szCs w:val="20"/>
        </w:rPr>
      </w:pPr>
      <w:r w:rsidRPr="00153E12">
        <w:rPr>
          <w:sz w:val="20"/>
          <w:szCs w:val="20"/>
        </w:rPr>
        <w:t xml:space="preserve">Descriptive and comparative statistics of the various measured parameters in the different studied groups are shown in </w:t>
      </w:r>
      <w:r w:rsidRPr="00153E12">
        <w:rPr>
          <w:b/>
          <w:bCs/>
          <w:sz w:val="20"/>
          <w:szCs w:val="20"/>
        </w:rPr>
        <w:t xml:space="preserve">table (1). </w:t>
      </w:r>
      <w:r w:rsidRPr="00153E12">
        <w:rPr>
          <w:sz w:val="20"/>
          <w:szCs w:val="20"/>
        </w:rPr>
        <w:t>A significant difference was found between the three groups as compared to each other regarding serum urea, hemoglobin and</w:t>
      </w:r>
      <w:r w:rsidR="00153E12">
        <w:rPr>
          <w:sz w:val="20"/>
          <w:szCs w:val="20"/>
        </w:rPr>
        <w:t xml:space="preserve"> </w:t>
      </w:r>
      <w:r w:rsidRPr="00153E12">
        <w:rPr>
          <w:sz w:val="20"/>
          <w:szCs w:val="20"/>
        </w:rPr>
        <w:t xml:space="preserve">plasma PTX3 (p &lt;0.001), while a non significant difference was found between the three groups as regards age and sex (p &gt; 0.05 respectively). Meanwhile, a significant difference was found regarding serum </w:t>
      </w:r>
      <w:proofErr w:type="spellStart"/>
      <w:r w:rsidRPr="00153E12">
        <w:rPr>
          <w:sz w:val="20"/>
          <w:szCs w:val="20"/>
        </w:rPr>
        <w:t>creatinine</w:t>
      </w:r>
      <w:proofErr w:type="spellEnd"/>
      <w:r w:rsidRPr="00153E12">
        <w:rPr>
          <w:sz w:val="20"/>
          <w:szCs w:val="20"/>
        </w:rPr>
        <w:t xml:space="preserve"> in control group when compared to either HD or ESRD patient groups (p &lt;0.001 respectively).</w:t>
      </w:r>
    </w:p>
    <w:p w:rsidR="005272C8" w:rsidRPr="00153E12" w:rsidRDefault="005272C8" w:rsidP="008B7439">
      <w:pPr>
        <w:snapToGrid w:val="0"/>
        <w:ind w:firstLine="425"/>
        <w:jc w:val="both"/>
        <w:rPr>
          <w:sz w:val="20"/>
          <w:szCs w:val="20"/>
        </w:rPr>
      </w:pPr>
      <w:r w:rsidRPr="00153E12">
        <w:rPr>
          <w:sz w:val="20"/>
          <w:szCs w:val="20"/>
        </w:rPr>
        <w:t xml:space="preserve">The descriptive and comparative statistics between the different HD patient subgroups regarding </w:t>
      </w:r>
      <w:r w:rsidRPr="00153E12">
        <w:rPr>
          <w:sz w:val="20"/>
          <w:szCs w:val="20"/>
        </w:rPr>
        <w:lastRenderedPageBreak/>
        <w:t xml:space="preserve">plasma PTX3 are shown in tables (2 and 3). When HD patients were classified according to the Davies co-morbidity index, a highly significant difference was found between the three subgroups as regards plasma level of PTX3 (p &lt;0.001), being highest in patients with high co-morbidity index and lowest in patients with low co-morbidity index (median 36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xml:space="preserve"> </w:t>
      </w:r>
      <w:proofErr w:type="spellStart"/>
      <w:r w:rsidRPr="00153E12">
        <w:rPr>
          <w:sz w:val="20"/>
          <w:szCs w:val="20"/>
        </w:rPr>
        <w:t>vs</w:t>
      </w:r>
      <w:proofErr w:type="spellEnd"/>
      <w:r w:rsidRPr="00153E12">
        <w:rPr>
          <w:sz w:val="20"/>
          <w:szCs w:val="20"/>
        </w:rPr>
        <w:t xml:space="preserve"> 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Classification of HD patients according to the malnutrition score revealed the presence of</w:t>
      </w:r>
      <w:r w:rsidR="00153E12">
        <w:rPr>
          <w:sz w:val="20"/>
          <w:szCs w:val="20"/>
        </w:rPr>
        <w:t xml:space="preserve"> </w:t>
      </w:r>
      <w:r w:rsidRPr="00153E12">
        <w:rPr>
          <w:sz w:val="20"/>
          <w:szCs w:val="20"/>
        </w:rPr>
        <w:t xml:space="preserve">a highly significant difference in plasma PTX3 only between patients with severe malnutrition as compared to either those with mild or moderate malnutrition (p &lt;0.001 respectively), being highest in the former subgroup (median 41.5 </w:t>
      </w:r>
      <w:proofErr w:type="spellStart"/>
      <w:r w:rsidRPr="00153E12">
        <w:rPr>
          <w:sz w:val="20"/>
          <w:szCs w:val="20"/>
        </w:rPr>
        <w:t>ng</w:t>
      </w:r>
      <w:proofErr w:type="spellEnd"/>
      <w:r w:rsidRPr="00153E12">
        <w:rPr>
          <w:sz w:val="20"/>
          <w:szCs w:val="20"/>
        </w:rPr>
        <w:t>/</w:t>
      </w:r>
      <w:proofErr w:type="spellStart"/>
      <w:r w:rsidRPr="00153E12">
        <w:rPr>
          <w:sz w:val="20"/>
          <w:szCs w:val="20"/>
        </w:rPr>
        <w:t>dLvs</w:t>
      </w:r>
      <w:proofErr w:type="spellEnd"/>
      <w:r w:rsidRPr="00153E12">
        <w:rPr>
          <w:sz w:val="20"/>
          <w:szCs w:val="20"/>
        </w:rPr>
        <w:t xml:space="preserve"> 0.95 and 1.2 </w:t>
      </w:r>
      <w:proofErr w:type="spellStart"/>
      <w:r w:rsidRPr="00153E12">
        <w:rPr>
          <w:sz w:val="20"/>
          <w:szCs w:val="20"/>
        </w:rPr>
        <w:t>ng</w:t>
      </w:r>
      <w:proofErr w:type="spellEnd"/>
      <w:r w:rsidRPr="00153E12">
        <w:rPr>
          <w:sz w:val="20"/>
          <w:szCs w:val="20"/>
        </w:rPr>
        <w:t>/</w:t>
      </w:r>
      <w:proofErr w:type="spellStart"/>
      <w:r w:rsidRPr="00153E12">
        <w:rPr>
          <w:sz w:val="20"/>
          <w:szCs w:val="20"/>
        </w:rPr>
        <w:t>dL</w:t>
      </w:r>
      <w:proofErr w:type="spellEnd"/>
      <w:r w:rsidRPr="00153E12">
        <w:rPr>
          <w:sz w:val="20"/>
          <w:szCs w:val="20"/>
        </w:rPr>
        <w:t>).</w:t>
      </w:r>
    </w:p>
    <w:p w:rsidR="005272C8" w:rsidRPr="00153E12" w:rsidRDefault="005272C8" w:rsidP="008B7439">
      <w:pPr>
        <w:snapToGrid w:val="0"/>
        <w:ind w:firstLine="425"/>
        <w:jc w:val="both"/>
        <w:rPr>
          <w:sz w:val="20"/>
          <w:szCs w:val="20"/>
        </w:rPr>
      </w:pPr>
      <w:r w:rsidRPr="00153E12">
        <w:rPr>
          <w:sz w:val="20"/>
          <w:szCs w:val="20"/>
        </w:rPr>
        <w:t xml:space="preserve">In the present study, the odds ratio for plasma PTX3 were calculated in order to study the degree of its association with each of Davis co-morbidity index and malnutrition score (Table 4). The analysis showed that plasma PTX3 was significantly associated with high odds ratio for Davis co-morbidity index (odds ratio 28; p </w:t>
      </w:r>
      <w:r w:rsidRPr="00153E12">
        <w:rPr>
          <w:rFonts w:hint="cs"/>
          <w:sz w:val="20"/>
          <w:szCs w:val="20"/>
          <w:lang w:bidi="ar-EG"/>
        </w:rPr>
        <w:t>&gt;</w:t>
      </w:r>
      <w:r w:rsidRPr="00153E12">
        <w:rPr>
          <w:sz w:val="20"/>
          <w:szCs w:val="20"/>
        </w:rPr>
        <w:t xml:space="preserve">0.001) and malnutrition score (odds ratio 7; p </w:t>
      </w:r>
      <w:r w:rsidRPr="00153E12">
        <w:rPr>
          <w:rFonts w:hint="cs"/>
          <w:sz w:val="20"/>
          <w:szCs w:val="20"/>
          <w:lang w:bidi="ar-EG"/>
        </w:rPr>
        <w:t>&gt;</w:t>
      </w:r>
      <w:r w:rsidRPr="00153E12">
        <w:rPr>
          <w:sz w:val="20"/>
          <w:szCs w:val="20"/>
        </w:rPr>
        <w:t>0.05).</w:t>
      </w:r>
    </w:p>
    <w:p w:rsidR="005272C8" w:rsidRPr="00153E12" w:rsidRDefault="005272C8" w:rsidP="008B7439">
      <w:pPr>
        <w:snapToGrid w:val="0"/>
        <w:ind w:firstLine="425"/>
        <w:jc w:val="both"/>
        <w:rPr>
          <w:sz w:val="20"/>
          <w:szCs w:val="20"/>
        </w:rPr>
      </w:pPr>
      <w:r w:rsidRPr="00153E12">
        <w:rPr>
          <w:sz w:val="20"/>
          <w:szCs w:val="20"/>
        </w:rPr>
        <w:t xml:space="preserve">The study of </w:t>
      </w:r>
      <w:r w:rsidR="00E453D0" w:rsidRPr="00153E12">
        <w:rPr>
          <w:sz w:val="20"/>
          <w:szCs w:val="20"/>
        </w:rPr>
        <w:t xml:space="preserve">the </w:t>
      </w:r>
      <w:r w:rsidRPr="00153E12">
        <w:rPr>
          <w:sz w:val="20"/>
          <w:szCs w:val="20"/>
        </w:rPr>
        <w:t xml:space="preserve">diagnostic performance of plasma PTX3 in the discrimination between different HD subgroups revealed that the best ROC cutoff of plasma PTX3 in discriminating patients with high and medium Davis co-morbidity index from those with low Davis co-morbidity index was 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xml:space="preserve"> with a diagnostic efficacy of 86.0%, sensitivity 92.5%, specificity 70%, PPV 92.5%, NPV 70.0%, and AUC 0.92 (Table 5 and figure 1).</w:t>
      </w:r>
      <w:r w:rsidR="00153E12">
        <w:rPr>
          <w:sz w:val="20"/>
          <w:szCs w:val="20"/>
        </w:rPr>
        <w:t xml:space="preserve"> </w:t>
      </w:r>
      <w:r w:rsidRPr="00153E12">
        <w:rPr>
          <w:sz w:val="20"/>
          <w:szCs w:val="20"/>
        </w:rPr>
        <w:t xml:space="preserve">Meanwhile when patients were classified according to the malnutrition score, a cutoff 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xml:space="preserve"> was found to discriminate patients with severe and moderate malnutrition from those with mild malnutrition with diagnostic efficacy of 74%, sensitivity 90.9%, specificity 41.2%, PPV 75%, NPV 70%, and AUC 0.75 ( Table 5 and figure 2).</w:t>
      </w:r>
    </w:p>
    <w:p w:rsidR="00871EB9" w:rsidRPr="00153E12" w:rsidRDefault="00871EB9" w:rsidP="008B7439">
      <w:pPr>
        <w:snapToGrid w:val="0"/>
        <w:jc w:val="center"/>
        <w:rPr>
          <w:b/>
          <w:bCs/>
          <w:sz w:val="20"/>
          <w:szCs w:val="20"/>
        </w:rPr>
        <w:sectPr w:rsidR="00871EB9" w:rsidRPr="00153E12" w:rsidSect="00153E12">
          <w:type w:val="continuous"/>
          <w:pgSz w:w="12240" w:h="15840" w:code="1"/>
          <w:pgMar w:top="1440" w:right="1440" w:bottom="1440" w:left="1440" w:header="720" w:footer="720" w:gutter="0"/>
          <w:cols w:num="2" w:space="576"/>
          <w:docGrid w:linePitch="360"/>
        </w:sectPr>
      </w:pPr>
    </w:p>
    <w:p w:rsidR="005272C8" w:rsidRPr="00153E12" w:rsidRDefault="005272C8" w:rsidP="008B7439">
      <w:pPr>
        <w:snapToGrid w:val="0"/>
        <w:jc w:val="center"/>
        <w:rPr>
          <w:b/>
          <w:bCs/>
          <w:sz w:val="20"/>
          <w:szCs w:val="20"/>
        </w:rPr>
      </w:pPr>
    </w:p>
    <w:p w:rsidR="005272C8" w:rsidRPr="00153E12" w:rsidRDefault="005272C8" w:rsidP="008B7439">
      <w:pPr>
        <w:snapToGrid w:val="0"/>
        <w:jc w:val="center"/>
        <w:rPr>
          <w:sz w:val="20"/>
          <w:szCs w:val="20"/>
        </w:rPr>
      </w:pPr>
      <w:r w:rsidRPr="00153E12">
        <w:rPr>
          <w:b/>
          <w:bCs/>
          <w:sz w:val="20"/>
          <w:szCs w:val="20"/>
        </w:rPr>
        <w:t>Table (1)</w:t>
      </w:r>
      <w:proofErr w:type="gramStart"/>
      <w:r w:rsidRPr="00153E12">
        <w:rPr>
          <w:b/>
          <w:bCs/>
          <w:sz w:val="20"/>
          <w:szCs w:val="20"/>
        </w:rPr>
        <w:t>:</w:t>
      </w:r>
      <w:r w:rsidRPr="00153E12">
        <w:rPr>
          <w:sz w:val="20"/>
          <w:szCs w:val="20"/>
        </w:rPr>
        <w:t>Descriptive</w:t>
      </w:r>
      <w:proofErr w:type="gramEnd"/>
      <w:r w:rsidRPr="00153E12">
        <w:rPr>
          <w:sz w:val="20"/>
          <w:szCs w:val="20"/>
        </w:rPr>
        <w:t xml:space="preserve"> and comparative statistics of the measured parameters between different studied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1"/>
        <w:gridCol w:w="1302"/>
        <w:gridCol w:w="1302"/>
        <w:gridCol w:w="1302"/>
        <w:gridCol w:w="1831"/>
        <w:gridCol w:w="1000"/>
        <w:gridCol w:w="988"/>
      </w:tblGrid>
      <w:tr w:rsidR="005272C8" w:rsidRPr="00153E12" w:rsidTr="00153E12">
        <w:trPr>
          <w:jc w:val="center"/>
        </w:trPr>
        <w:tc>
          <w:tcPr>
            <w:tcW w:w="966" w:type="pct"/>
            <w:vMerge w:val="restar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Parameters</w:t>
            </w:r>
          </w:p>
          <w:p w:rsidR="005272C8" w:rsidRPr="00153E12" w:rsidRDefault="005272C8" w:rsidP="008B7439">
            <w:pPr>
              <w:snapToGrid w:val="0"/>
              <w:jc w:val="both"/>
              <w:rPr>
                <w:b/>
                <w:bCs/>
                <w:color w:val="000000"/>
                <w:sz w:val="16"/>
                <w:szCs w:val="16"/>
              </w:rPr>
            </w:pPr>
            <w:r w:rsidRPr="00153E12">
              <w:rPr>
                <w:b/>
                <w:bCs/>
                <w:color w:val="000000"/>
                <w:sz w:val="16"/>
                <w:szCs w:val="16"/>
              </w:rPr>
              <w:t>Parameters</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Group І</w:t>
            </w:r>
          </w:p>
          <w:p w:rsidR="005272C8" w:rsidRPr="00153E12" w:rsidRDefault="005272C8" w:rsidP="008B7439">
            <w:pPr>
              <w:snapToGrid w:val="0"/>
              <w:jc w:val="both"/>
              <w:rPr>
                <w:color w:val="000000"/>
                <w:sz w:val="16"/>
                <w:szCs w:val="16"/>
              </w:rPr>
            </w:pPr>
            <w:r w:rsidRPr="00153E12">
              <w:rPr>
                <w:color w:val="000000"/>
                <w:sz w:val="16"/>
                <w:szCs w:val="16"/>
              </w:rPr>
              <w:t>(n=50)</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Group II</w:t>
            </w:r>
          </w:p>
          <w:p w:rsidR="005272C8" w:rsidRPr="00153E12" w:rsidRDefault="005272C8" w:rsidP="008B7439">
            <w:pPr>
              <w:snapToGrid w:val="0"/>
              <w:jc w:val="both"/>
              <w:rPr>
                <w:color w:val="000000"/>
                <w:sz w:val="16"/>
                <w:szCs w:val="16"/>
              </w:rPr>
            </w:pPr>
            <w:r w:rsidRPr="00153E12">
              <w:rPr>
                <w:color w:val="000000"/>
                <w:sz w:val="16"/>
                <w:szCs w:val="16"/>
              </w:rPr>
              <w:t>(n=30)</w:t>
            </w:r>
          </w:p>
        </w:tc>
        <w:tc>
          <w:tcPr>
            <w:tcW w:w="680" w:type="pct"/>
            <w:tcBorders>
              <w:top w:val="single" w:sz="4" w:space="0" w:color="000000"/>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Control</w:t>
            </w:r>
          </w:p>
          <w:p w:rsidR="005272C8" w:rsidRPr="00153E12" w:rsidRDefault="005272C8" w:rsidP="008B7439">
            <w:pPr>
              <w:snapToGrid w:val="0"/>
              <w:jc w:val="both"/>
              <w:rPr>
                <w:b/>
                <w:bCs/>
                <w:color w:val="000000"/>
                <w:sz w:val="16"/>
                <w:szCs w:val="16"/>
              </w:rPr>
            </w:pPr>
            <w:r w:rsidRPr="00153E12">
              <w:rPr>
                <w:color w:val="000000"/>
                <w:sz w:val="16"/>
                <w:szCs w:val="16"/>
              </w:rPr>
              <w:t>(n=30)</w:t>
            </w:r>
          </w:p>
        </w:tc>
        <w:tc>
          <w:tcPr>
            <w:tcW w:w="956" w:type="pct"/>
            <w:vMerge w:val="restar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b/>
                <w:bCs/>
                <w:color w:val="000000"/>
                <w:sz w:val="16"/>
                <w:szCs w:val="16"/>
              </w:rPr>
              <w:t xml:space="preserve">Group І </w:t>
            </w:r>
            <w:proofErr w:type="spellStart"/>
            <w:r w:rsidRPr="00153E12">
              <w:rPr>
                <w:b/>
                <w:bCs/>
                <w:color w:val="000000"/>
                <w:sz w:val="16"/>
                <w:szCs w:val="16"/>
              </w:rPr>
              <w:t>vs</w:t>
            </w:r>
            <w:proofErr w:type="spellEnd"/>
            <w:r w:rsidR="00153E12" w:rsidRPr="00153E12">
              <w:rPr>
                <w:b/>
                <w:bCs/>
                <w:color w:val="000000"/>
                <w:sz w:val="16"/>
                <w:szCs w:val="16"/>
              </w:rPr>
              <w:t xml:space="preserve"> </w:t>
            </w:r>
            <w:r w:rsidRPr="00153E12">
              <w:rPr>
                <w:b/>
                <w:bCs/>
                <w:color w:val="000000"/>
                <w:sz w:val="16"/>
                <w:szCs w:val="16"/>
              </w:rPr>
              <w:t>Control</w:t>
            </w:r>
          </w:p>
        </w:tc>
        <w:tc>
          <w:tcPr>
            <w:tcW w:w="522" w:type="pct"/>
            <w:vMerge w:val="restar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153E12">
            <w:pPr>
              <w:snapToGrid w:val="0"/>
              <w:jc w:val="both"/>
              <w:rPr>
                <w:b/>
                <w:bCs/>
                <w:color w:val="000000"/>
                <w:sz w:val="16"/>
                <w:szCs w:val="16"/>
              </w:rPr>
            </w:pPr>
            <w:r w:rsidRPr="00153E12">
              <w:rPr>
                <w:b/>
                <w:bCs/>
                <w:color w:val="000000"/>
                <w:sz w:val="16"/>
                <w:szCs w:val="16"/>
              </w:rPr>
              <w:t>Group І</w:t>
            </w:r>
            <w:r w:rsidR="00153E12">
              <w:rPr>
                <w:rFonts w:eastAsiaTheme="minorEastAsia" w:hint="eastAsia"/>
                <w:b/>
                <w:bCs/>
                <w:color w:val="000000"/>
                <w:sz w:val="16"/>
                <w:szCs w:val="16"/>
                <w:lang w:eastAsia="zh-CN"/>
              </w:rPr>
              <w:t xml:space="preserve"> </w:t>
            </w:r>
            <w:r w:rsidR="00153E12" w:rsidRPr="00153E12">
              <w:rPr>
                <w:b/>
                <w:bCs/>
                <w:color w:val="000000"/>
                <w:sz w:val="16"/>
                <w:szCs w:val="16"/>
              </w:rPr>
              <w:t>V</w:t>
            </w:r>
            <w:r w:rsidRPr="00153E12">
              <w:rPr>
                <w:b/>
                <w:bCs/>
                <w:color w:val="000000"/>
                <w:sz w:val="16"/>
                <w:szCs w:val="16"/>
              </w:rPr>
              <w:t>s</w:t>
            </w:r>
            <w:r w:rsidR="00153E12">
              <w:rPr>
                <w:rFonts w:eastAsiaTheme="minorEastAsia" w:hint="eastAsia"/>
                <w:b/>
                <w:bCs/>
                <w:color w:val="000000"/>
                <w:sz w:val="16"/>
                <w:szCs w:val="16"/>
                <w:lang w:eastAsia="zh-CN"/>
              </w:rPr>
              <w:t xml:space="preserve"> </w:t>
            </w:r>
            <w:r w:rsidRPr="00153E12">
              <w:rPr>
                <w:b/>
                <w:bCs/>
                <w:color w:val="000000"/>
                <w:sz w:val="16"/>
                <w:szCs w:val="16"/>
              </w:rPr>
              <w:t>Group</w:t>
            </w:r>
            <w:r w:rsidR="00153E12" w:rsidRPr="00153E12">
              <w:rPr>
                <w:b/>
                <w:bCs/>
                <w:color w:val="000000"/>
                <w:sz w:val="16"/>
                <w:szCs w:val="16"/>
              </w:rPr>
              <w:t xml:space="preserve"> </w:t>
            </w:r>
            <w:r w:rsidRPr="00153E12">
              <w:rPr>
                <w:b/>
                <w:bCs/>
                <w:color w:val="000000"/>
                <w:sz w:val="16"/>
                <w:szCs w:val="16"/>
              </w:rPr>
              <w:t>II</w:t>
            </w:r>
          </w:p>
        </w:tc>
        <w:tc>
          <w:tcPr>
            <w:tcW w:w="517" w:type="pct"/>
            <w:vMerge w:val="restar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153E12">
            <w:pPr>
              <w:snapToGrid w:val="0"/>
              <w:jc w:val="both"/>
              <w:rPr>
                <w:b/>
                <w:bCs/>
                <w:color w:val="000000"/>
                <w:sz w:val="16"/>
                <w:szCs w:val="16"/>
              </w:rPr>
            </w:pPr>
            <w:r w:rsidRPr="00153E12">
              <w:rPr>
                <w:b/>
                <w:bCs/>
                <w:color w:val="000000"/>
                <w:sz w:val="16"/>
                <w:szCs w:val="16"/>
              </w:rPr>
              <w:t>Group</w:t>
            </w:r>
            <w:r w:rsidR="00153E12">
              <w:rPr>
                <w:rFonts w:eastAsiaTheme="minorEastAsia" w:hint="eastAsia"/>
                <w:b/>
                <w:bCs/>
                <w:color w:val="000000"/>
                <w:sz w:val="16"/>
                <w:szCs w:val="16"/>
                <w:lang w:eastAsia="zh-CN"/>
              </w:rPr>
              <w:t xml:space="preserve"> </w:t>
            </w:r>
            <w:r w:rsidRPr="00153E12">
              <w:rPr>
                <w:b/>
                <w:bCs/>
                <w:color w:val="000000"/>
                <w:sz w:val="16"/>
                <w:szCs w:val="16"/>
              </w:rPr>
              <w:t>II</w:t>
            </w:r>
            <w:r w:rsidR="00153E12">
              <w:rPr>
                <w:rFonts w:eastAsiaTheme="minorEastAsia" w:hint="eastAsia"/>
                <w:b/>
                <w:bCs/>
                <w:color w:val="000000"/>
                <w:sz w:val="16"/>
                <w:szCs w:val="16"/>
                <w:lang w:eastAsia="zh-CN"/>
              </w:rPr>
              <w:t xml:space="preserve"> </w:t>
            </w:r>
            <w:r w:rsidR="00153E12" w:rsidRPr="00153E12">
              <w:rPr>
                <w:b/>
                <w:bCs/>
                <w:color w:val="000000"/>
                <w:sz w:val="16"/>
                <w:szCs w:val="16"/>
              </w:rPr>
              <w:t>V</w:t>
            </w:r>
            <w:r w:rsidRPr="00153E12">
              <w:rPr>
                <w:b/>
                <w:bCs/>
                <w:color w:val="000000"/>
                <w:sz w:val="16"/>
                <w:szCs w:val="16"/>
              </w:rPr>
              <w:t>s</w:t>
            </w:r>
            <w:r w:rsidR="00153E12">
              <w:rPr>
                <w:rFonts w:eastAsiaTheme="minorEastAsia" w:hint="eastAsia"/>
                <w:b/>
                <w:bCs/>
                <w:color w:val="000000"/>
                <w:sz w:val="16"/>
                <w:szCs w:val="16"/>
                <w:lang w:eastAsia="zh-CN"/>
              </w:rPr>
              <w:t xml:space="preserve"> </w:t>
            </w:r>
            <w:r w:rsidRPr="00153E12">
              <w:rPr>
                <w:b/>
                <w:bCs/>
                <w:color w:val="000000"/>
                <w:sz w:val="16"/>
                <w:szCs w:val="16"/>
              </w:rPr>
              <w:t>Control</w:t>
            </w:r>
          </w:p>
        </w:tc>
      </w:tr>
      <w:tr w:rsidR="005272C8" w:rsidRPr="00153E12" w:rsidTr="00153E12">
        <w:trPr>
          <w:jc w:val="center"/>
        </w:trPr>
        <w:tc>
          <w:tcPr>
            <w:tcW w:w="966" w:type="pct"/>
            <w:vMerge/>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color w:val="000000"/>
                <w:sz w:val="16"/>
                <w:szCs w:val="16"/>
              </w:rPr>
              <w:t>Median(IQR)</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color w:val="000000"/>
                <w:sz w:val="16"/>
                <w:szCs w:val="16"/>
              </w:rPr>
              <w:t>Median(IQR)</w:t>
            </w:r>
          </w:p>
        </w:tc>
        <w:tc>
          <w:tcPr>
            <w:tcW w:w="680" w:type="pct"/>
            <w:tcBorders>
              <w:top w:val="single" w:sz="4" w:space="0" w:color="auto"/>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color w:val="000000"/>
                <w:sz w:val="16"/>
                <w:szCs w:val="16"/>
              </w:rPr>
              <w:t>Median(IQR)</w:t>
            </w:r>
          </w:p>
        </w:tc>
        <w:tc>
          <w:tcPr>
            <w:tcW w:w="956" w:type="pct"/>
            <w:vMerge/>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color w:val="000000"/>
                <w:sz w:val="16"/>
                <w:szCs w:val="16"/>
              </w:rPr>
            </w:pPr>
          </w:p>
        </w:tc>
        <w:tc>
          <w:tcPr>
            <w:tcW w:w="522" w:type="pct"/>
            <w:vMerge/>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p>
        </w:tc>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p>
        </w:tc>
      </w:tr>
      <w:tr w:rsidR="005272C8" w:rsidRPr="00153E12" w:rsidTr="00153E12">
        <w:trPr>
          <w:jc w:val="center"/>
        </w:trPr>
        <w:tc>
          <w:tcPr>
            <w:tcW w:w="966"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Age</w:t>
            </w:r>
          </w:p>
          <w:p w:rsidR="005272C8" w:rsidRPr="00153E12" w:rsidRDefault="005272C8" w:rsidP="008B7439">
            <w:pPr>
              <w:snapToGrid w:val="0"/>
              <w:jc w:val="both"/>
              <w:rPr>
                <w:b/>
                <w:bCs/>
                <w:color w:val="000000"/>
                <w:sz w:val="16"/>
                <w:szCs w:val="16"/>
              </w:rPr>
            </w:pPr>
            <w:r w:rsidRPr="00153E12">
              <w:rPr>
                <w:b/>
                <w:bCs/>
                <w:color w:val="000000"/>
                <w:sz w:val="16"/>
                <w:szCs w:val="16"/>
              </w:rPr>
              <w:t>(years)</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53.5</w:t>
            </w:r>
          </w:p>
          <w:p w:rsidR="005272C8" w:rsidRPr="00153E12" w:rsidRDefault="005272C8" w:rsidP="008B7439">
            <w:pPr>
              <w:snapToGrid w:val="0"/>
              <w:jc w:val="both"/>
              <w:rPr>
                <w:color w:val="000000"/>
                <w:sz w:val="16"/>
                <w:szCs w:val="16"/>
              </w:rPr>
            </w:pPr>
            <w:r w:rsidRPr="00153E12">
              <w:rPr>
                <w:color w:val="000000"/>
                <w:sz w:val="16"/>
                <w:szCs w:val="16"/>
              </w:rPr>
              <w:t>(44.5-63.3)</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50</w:t>
            </w:r>
          </w:p>
          <w:p w:rsidR="005272C8" w:rsidRPr="00153E12" w:rsidRDefault="005272C8" w:rsidP="008B7439">
            <w:pPr>
              <w:snapToGrid w:val="0"/>
              <w:jc w:val="both"/>
              <w:rPr>
                <w:color w:val="000000"/>
                <w:sz w:val="16"/>
                <w:szCs w:val="16"/>
              </w:rPr>
            </w:pPr>
            <w:r w:rsidRPr="00153E12">
              <w:rPr>
                <w:color w:val="000000"/>
                <w:sz w:val="16"/>
                <w:szCs w:val="16"/>
              </w:rPr>
              <w:t>(37.5-58)</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51</w:t>
            </w:r>
          </w:p>
          <w:p w:rsidR="005272C8" w:rsidRPr="00153E12" w:rsidRDefault="005272C8" w:rsidP="008B7439">
            <w:pPr>
              <w:snapToGrid w:val="0"/>
              <w:jc w:val="both"/>
              <w:rPr>
                <w:color w:val="000000"/>
                <w:sz w:val="16"/>
                <w:szCs w:val="16"/>
              </w:rPr>
            </w:pPr>
            <w:r w:rsidRPr="00153E12">
              <w:rPr>
                <w:color w:val="000000"/>
                <w:sz w:val="16"/>
                <w:szCs w:val="16"/>
              </w:rPr>
              <w:t>(49-60.5)</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0.57</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&gt; 0.05</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0.52</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&gt; 0.05</w:t>
            </w:r>
          </w:p>
        </w:tc>
        <w:tc>
          <w:tcPr>
            <w:tcW w:w="517"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0.25</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&gt; 0.05</w:t>
            </w:r>
          </w:p>
        </w:tc>
      </w:tr>
      <w:tr w:rsidR="005272C8" w:rsidRPr="00153E12" w:rsidTr="00153E12">
        <w:trPr>
          <w:jc w:val="center"/>
        </w:trPr>
        <w:tc>
          <w:tcPr>
            <w:tcW w:w="966" w:type="pct"/>
            <w:vMerge w:val="restart"/>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Sex</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M</w:t>
            </w:r>
            <w:r w:rsidR="00153E12" w:rsidRPr="00153E12">
              <w:rPr>
                <w:color w:val="000000"/>
                <w:sz w:val="16"/>
                <w:szCs w:val="16"/>
              </w:rPr>
              <w:t xml:space="preserve"> </w:t>
            </w:r>
            <w:r w:rsidRPr="00153E12">
              <w:rPr>
                <w:color w:val="000000"/>
                <w:sz w:val="16"/>
                <w:szCs w:val="16"/>
              </w:rPr>
              <w:t>48%</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M</w:t>
            </w:r>
            <w:r w:rsidR="00153E12" w:rsidRPr="00153E12">
              <w:rPr>
                <w:color w:val="000000"/>
                <w:sz w:val="16"/>
                <w:szCs w:val="16"/>
              </w:rPr>
              <w:t xml:space="preserve"> </w:t>
            </w:r>
            <w:r w:rsidRPr="00153E12">
              <w:rPr>
                <w:color w:val="000000"/>
                <w:sz w:val="16"/>
                <w:szCs w:val="16"/>
              </w:rPr>
              <w:t>56.7%</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M</w:t>
            </w:r>
            <w:r w:rsidR="00153E12" w:rsidRPr="00153E12">
              <w:rPr>
                <w:color w:val="000000"/>
                <w:sz w:val="16"/>
                <w:szCs w:val="16"/>
              </w:rPr>
              <w:t xml:space="preserve"> </w:t>
            </w:r>
            <w:r w:rsidRPr="00153E12">
              <w:rPr>
                <w:color w:val="000000"/>
                <w:sz w:val="16"/>
                <w:szCs w:val="16"/>
              </w:rPr>
              <w:t>46.7%</w:t>
            </w:r>
          </w:p>
        </w:tc>
        <w:tc>
          <w:tcPr>
            <w:tcW w:w="956" w:type="pct"/>
            <w:vMerge w:val="restart"/>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rStyle w:val="texhtml"/>
                <w:color w:val="000000"/>
                <w:sz w:val="16"/>
                <w:szCs w:val="16"/>
              </w:rPr>
              <w:t>χ</w:t>
            </w:r>
            <w:r w:rsidRPr="00153E12">
              <w:rPr>
                <w:rStyle w:val="texhtml"/>
                <w:b/>
                <w:bCs/>
                <w:color w:val="000000"/>
                <w:sz w:val="16"/>
                <w:szCs w:val="16"/>
                <w:vertAlign w:val="superscript"/>
              </w:rPr>
              <w:t>2</w:t>
            </w:r>
            <w:r w:rsidR="00153E12" w:rsidRPr="00153E12">
              <w:rPr>
                <w:rStyle w:val="texhtml"/>
                <w:b/>
                <w:bCs/>
                <w:color w:val="000000"/>
                <w:sz w:val="16"/>
                <w:szCs w:val="16"/>
                <w:vertAlign w:val="superscript"/>
              </w:rPr>
              <w:t xml:space="preserve"> </w:t>
            </w:r>
            <w:r w:rsidRPr="00153E12">
              <w:rPr>
                <w:color w:val="000000"/>
                <w:sz w:val="16"/>
                <w:szCs w:val="16"/>
              </w:rPr>
              <w:t>-0.01</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&gt; 0.05</w:t>
            </w:r>
          </w:p>
        </w:tc>
        <w:tc>
          <w:tcPr>
            <w:tcW w:w="522" w:type="pct"/>
            <w:vMerge w:val="restart"/>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rStyle w:val="texhtml"/>
                <w:color w:val="000000"/>
                <w:sz w:val="16"/>
                <w:szCs w:val="16"/>
              </w:rPr>
              <w:t>χ</w:t>
            </w:r>
            <w:r w:rsidRPr="00153E12">
              <w:rPr>
                <w:rStyle w:val="texhtml"/>
                <w:b/>
                <w:bCs/>
                <w:color w:val="000000"/>
                <w:sz w:val="16"/>
                <w:szCs w:val="16"/>
                <w:vertAlign w:val="superscript"/>
              </w:rPr>
              <w:t>2</w:t>
            </w:r>
            <w:r w:rsidR="00153E12" w:rsidRPr="00153E12">
              <w:rPr>
                <w:rStyle w:val="texhtml"/>
                <w:b/>
                <w:bCs/>
                <w:color w:val="000000"/>
                <w:sz w:val="16"/>
                <w:szCs w:val="16"/>
                <w:vertAlign w:val="superscript"/>
              </w:rPr>
              <w:t xml:space="preserve"> </w:t>
            </w:r>
            <w:r w:rsidRPr="00153E12">
              <w:rPr>
                <w:color w:val="000000"/>
                <w:sz w:val="16"/>
                <w:szCs w:val="16"/>
              </w:rPr>
              <w:t>0.27</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&gt; 0.05</w:t>
            </w:r>
          </w:p>
        </w:tc>
        <w:tc>
          <w:tcPr>
            <w:tcW w:w="517" w:type="pct"/>
            <w:vMerge w:val="restart"/>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color w:val="000000"/>
                <w:sz w:val="16"/>
                <w:szCs w:val="16"/>
              </w:rPr>
            </w:pPr>
            <w:r w:rsidRPr="00153E12">
              <w:rPr>
                <w:rStyle w:val="texhtml"/>
                <w:color w:val="000000"/>
                <w:sz w:val="16"/>
                <w:szCs w:val="16"/>
              </w:rPr>
              <w:t>χ</w:t>
            </w:r>
            <w:r w:rsidRPr="00153E12">
              <w:rPr>
                <w:rStyle w:val="texhtml"/>
                <w:b/>
                <w:bCs/>
                <w:color w:val="000000"/>
                <w:sz w:val="16"/>
                <w:szCs w:val="16"/>
                <w:vertAlign w:val="superscript"/>
              </w:rPr>
              <w:t>2</w:t>
            </w:r>
            <w:r w:rsidR="00153E12" w:rsidRPr="00153E12">
              <w:rPr>
                <w:color w:val="000000"/>
                <w:sz w:val="16"/>
                <w:szCs w:val="16"/>
              </w:rPr>
              <w:t xml:space="preserve"> </w:t>
            </w:r>
            <w:r w:rsidRPr="00153E12">
              <w:rPr>
                <w:color w:val="000000"/>
                <w:sz w:val="16"/>
                <w:szCs w:val="16"/>
              </w:rPr>
              <w:t>-0.16</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&gt; 0.05</w:t>
            </w:r>
          </w:p>
        </w:tc>
      </w:tr>
      <w:tr w:rsidR="005272C8" w:rsidRPr="00153E12" w:rsidTr="00153E12">
        <w:trPr>
          <w:jc w:val="center"/>
        </w:trPr>
        <w:tc>
          <w:tcPr>
            <w:tcW w:w="966" w:type="pct"/>
            <w:vMerge/>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b/>
                <w:bCs/>
                <w:color w:val="000000"/>
                <w:sz w:val="16"/>
                <w:szCs w:val="16"/>
              </w:rPr>
            </w:pPr>
          </w:p>
        </w:tc>
        <w:tc>
          <w:tcPr>
            <w:tcW w:w="680"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F</w:t>
            </w:r>
            <w:r w:rsidR="00153E12" w:rsidRPr="00153E12">
              <w:rPr>
                <w:color w:val="000000"/>
                <w:sz w:val="16"/>
                <w:szCs w:val="16"/>
              </w:rPr>
              <w:t xml:space="preserve"> </w:t>
            </w:r>
            <w:r w:rsidRPr="00153E12">
              <w:rPr>
                <w:color w:val="000000"/>
                <w:sz w:val="16"/>
                <w:szCs w:val="16"/>
              </w:rPr>
              <w:t>52%</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F</w:t>
            </w:r>
            <w:r w:rsidR="00153E12" w:rsidRPr="00153E12">
              <w:rPr>
                <w:color w:val="000000"/>
                <w:sz w:val="16"/>
                <w:szCs w:val="16"/>
              </w:rPr>
              <w:t xml:space="preserve"> </w:t>
            </w:r>
            <w:r w:rsidRPr="00153E12">
              <w:rPr>
                <w:color w:val="000000"/>
                <w:sz w:val="16"/>
                <w:szCs w:val="16"/>
              </w:rPr>
              <w:t>43.3%</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F</w:t>
            </w:r>
            <w:r w:rsidR="00153E12" w:rsidRPr="00153E12">
              <w:rPr>
                <w:color w:val="000000"/>
                <w:sz w:val="16"/>
                <w:szCs w:val="16"/>
              </w:rPr>
              <w:t xml:space="preserve"> </w:t>
            </w:r>
            <w:r w:rsidRPr="00153E12">
              <w:rPr>
                <w:color w:val="000000"/>
                <w:sz w:val="16"/>
                <w:szCs w:val="16"/>
              </w:rPr>
              <w:t>53.3%</w:t>
            </w:r>
          </w:p>
        </w:tc>
        <w:tc>
          <w:tcPr>
            <w:tcW w:w="956" w:type="pct"/>
            <w:vMerge/>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color w:val="000000"/>
                <w:sz w:val="16"/>
                <w:szCs w:val="16"/>
              </w:rPr>
            </w:pPr>
          </w:p>
        </w:tc>
        <w:tc>
          <w:tcPr>
            <w:tcW w:w="522" w:type="pct"/>
            <w:vMerge/>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color w:val="000000"/>
                <w:sz w:val="16"/>
                <w:szCs w:val="16"/>
              </w:rPr>
            </w:pPr>
          </w:p>
        </w:tc>
        <w:tc>
          <w:tcPr>
            <w:tcW w:w="517" w:type="pct"/>
            <w:vMerge/>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color w:val="000000"/>
                <w:sz w:val="16"/>
                <w:szCs w:val="16"/>
              </w:rPr>
            </w:pPr>
          </w:p>
        </w:tc>
      </w:tr>
      <w:tr w:rsidR="005272C8" w:rsidRPr="00153E12" w:rsidTr="00153E12">
        <w:trPr>
          <w:jc w:val="center"/>
        </w:trPr>
        <w:tc>
          <w:tcPr>
            <w:tcW w:w="966" w:type="pct"/>
            <w:tcBorders>
              <w:top w:val="single" w:sz="4" w:space="0" w:color="auto"/>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r w:rsidRPr="00153E12">
              <w:rPr>
                <w:b/>
                <w:bCs/>
                <w:color w:val="000000"/>
                <w:sz w:val="16"/>
                <w:szCs w:val="16"/>
              </w:rPr>
              <w:t>Urea</w:t>
            </w:r>
          </w:p>
          <w:p w:rsidR="005272C8" w:rsidRPr="00153E12" w:rsidRDefault="005272C8" w:rsidP="008B7439">
            <w:pPr>
              <w:snapToGrid w:val="0"/>
              <w:jc w:val="both"/>
              <w:rPr>
                <w:b/>
                <w:bCs/>
                <w:color w:val="000000"/>
                <w:sz w:val="16"/>
                <w:szCs w:val="16"/>
              </w:rPr>
            </w:pPr>
            <w:r w:rsidRPr="00153E12">
              <w:rPr>
                <w:b/>
                <w:bCs/>
                <w:color w:val="000000"/>
                <w:sz w:val="16"/>
                <w:szCs w:val="16"/>
              </w:rPr>
              <w:t>(mg/</w:t>
            </w:r>
            <w:proofErr w:type="spellStart"/>
            <w:r w:rsidRPr="00153E12">
              <w:rPr>
                <w:b/>
                <w:bCs/>
                <w:color w:val="000000"/>
                <w:sz w:val="16"/>
                <w:szCs w:val="16"/>
              </w:rPr>
              <w:t>dL</w:t>
            </w:r>
            <w:proofErr w:type="spellEnd"/>
            <w:r w:rsidRPr="00153E12">
              <w:rPr>
                <w:b/>
                <w:bCs/>
                <w:color w:val="000000"/>
                <w:sz w:val="16"/>
                <w:szCs w:val="16"/>
              </w:rPr>
              <w:t>)</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181</w:t>
            </w:r>
          </w:p>
          <w:p w:rsidR="005272C8" w:rsidRPr="00153E12" w:rsidRDefault="005272C8" w:rsidP="008B7439">
            <w:pPr>
              <w:snapToGrid w:val="0"/>
              <w:jc w:val="both"/>
              <w:rPr>
                <w:color w:val="000000"/>
                <w:sz w:val="16"/>
                <w:szCs w:val="16"/>
              </w:rPr>
            </w:pPr>
            <w:r w:rsidRPr="00153E12">
              <w:rPr>
                <w:color w:val="000000"/>
                <w:sz w:val="16"/>
                <w:szCs w:val="16"/>
              </w:rPr>
              <w:t>(105-223)</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90</w:t>
            </w:r>
          </w:p>
          <w:p w:rsidR="005272C8" w:rsidRPr="00153E12" w:rsidRDefault="005272C8" w:rsidP="008B7439">
            <w:pPr>
              <w:snapToGrid w:val="0"/>
              <w:jc w:val="both"/>
              <w:rPr>
                <w:color w:val="000000"/>
                <w:sz w:val="16"/>
                <w:szCs w:val="16"/>
              </w:rPr>
            </w:pPr>
            <w:r w:rsidRPr="00153E12">
              <w:rPr>
                <w:color w:val="000000"/>
                <w:sz w:val="16"/>
                <w:szCs w:val="16"/>
              </w:rPr>
              <w:t>(60-100)</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20</w:t>
            </w:r>
          </w:p>
          <w:p w:rsidR="005272C8" w:rsidRPr="00153E12" w:rsidRDefault="005272C8" w:rsidP="008B7439">
            <w:pPr>
              <w:snapToGrid w:val="0"/>
              <w:jc w:val="both"/>
              <w:rPr>
                <w:color w:val="000000"/>
                <w:sz w:val="16"/>
                <w:szCs w:val="16"/>
              </w:rPr>
            </w:pPr>
            <w:r w:rsidRPr="00153E12">
              <w:rPr>
                <w:color w:val="000000"/>
                <w:sz w:val="16"/>
                <w:szCs w:val="16"/>
              </w:rPr>
              <w:t>(15-25)</w:t>
            </w:r>
          </w:p>
        </w:tc>
        <w:tc>
          <w:tcPr>
            <w:tcW w:w="956"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8.78</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c>
          <w:tcPr>
            <w:tcW w:w="522"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13.72</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c>
          <w:tcPr>
            <w:tcW w:w="517"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7.06</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r>
      <w:tr w:rsidR="005272C8" w:rsidRPr="00153E12" w:rsidTr="00153E12">
        <w:trPr>
          <w:jc w:val="center"/>
        </w:trPr>
        <w:tc>
          <w:tcPr>
            <w:tcW w:w="966" w:type="pct"/>
            <w:tcBorders>
              <w:top w:val="single" w:sz="4" w:space="0" w:color="auto"/>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b/>
                <w:bCs/>
                <w:color w:val="000000"/>
                <w:sz w:val="16"/>
                <w:szCs w:val="16"/>
              </w:rPr>
            </w:pPr>
            <w:proofErr w:type="spellStart"/>
            <w:r w:rsidRPr="00153E12">
              <w:rPr>
                <w:b/>
                <w:bCs/>
                <w:color w:val="000000"/>
                <w:sz w:val="16"/>
                <w:szCs w:val="16"/>
              </w:rPr>
              <w:t>Creatinine</w:t>
            </w:r>
            <w:proofErr w:type="spellEnd"/>
            <w:r w:rsidRPr="00153E12">
              <w:rPr>
                <w:b/>
                <w:bCs/>
                <w:color w:val="000000"/>
                <w:sz w:val="16"/>
                <w:szCs w:val="16"/>
              </w:rPr>
              <w:t xml:space="preserve"> (mg/</w:t>
            </w:r>
            <w:proofErr w:type="spellStart"/>
            <w:r w:rsidRPr="00153E12">
              <w:rPr>
                <w:b/>
                <w:bCs/>
                <w:color w:val="000000"/>
                <w:sz w:val="16"/>
                <w:szCs w:val="16"/>
              </w:rPr>
              <w:t>dL</w:t>
            </w:r>
            <w:proofErr w:type="spellEnd"/>
            <w:r w:rsidRPr="00153E12">
              <w:rPr>
                <w:b/>
                <w:bCs/>
                <w:color w:val="000000"/>
                <w:sz w:val="16"/>
                <w:szCs w:val="16"/>
              </w:rPr>
              <w:t>)</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9.1</w:t>
            </w:r>
          </w:p>
          <w:p w:rsidR="005272C8" w:rsidRPr="00153E12" w:rsidRDefault="005272C8" w:rsidP="008B7439">
            <w:pPr>
              <w:snapToGrid w:val="0"/>
              <w:jc w:val="both"/>
              <w:rPr>
                <w:color w:val="000000"/>
                <w:sz w:val="16"/>
                <w:szCs w:val="16"/>
              </w:rPr>
            </w:pPr>
            <w:r w:rsidRPr="00153E12">
              <w:rPr>
                <w:color w:val="000000"/>
                <w:sz w:val="16"/>
                <w:szCs w:val="16"/>
              </w:rPr>
              <w:t>(7.8-12.8)</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lang w:val="de-DE"/>
              </w:rPr>
            </w:pPr>
            <w:r w:rsidRPr="00153E12">
              <w:rPr>
                <w:color w:val="000000"/>
                <w:sz w:val="16"/>
                <w:szCs w:val="16"/>
                <w:lang w:val="de-DE"/>
              </w:rPr>
              <w:t>10.1</w:t>
            </w:r>
          </w:p>
          <w:p w:rsidR="005272C8" w:rsidRPr="00153E12" w:rsidRDefault="005272C8" w:rsidP="008B7439">
            <w:pPr>
              <w:snapToGrid w:val="0"/>
              <w:jc w:val="both"/>
              <w:rPr>
                <w:color w:val="000000"/>
                <w:sz w:val="16"/>
                <w:szCs w:val="16"/>
                <w:lang w:val="de-DE"/>
              </w:rPr>
            </w:pPr>
            <w:r w:rsidRPr="00153E12">
              <w:rPr>
                <w:color w:val="000000"/>
                <w:sz w:val="16"/>
                <w:szCs w:val="16"/>
                <w:lang w:val="de-DE"/>
              </w:rPr>
              <w:t>(8.5-13.0)</w:t>
            </w:r>
          </w:p>
        </w:tc>
        <w:tc>
          <w:tcPr>
            <w:tcW w:w="680"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lang w:val="de-DE"/>
              </w:rPr>
            </w:pPr>
            <w:r w:rsidRPr="00153E12">
              <w:rPr>
                <w:color w:val="000000"/>
                <w:sz w:val="16"/>
                <w:szCs w:val="16"/>
                <w:lang w:val="de-DE"/>
              </w:rPr>
              <w:t>0.5</w:t>
            </w:r>
          </w:p>
          <w:p w:rsidR="005272C8" w:rsidRPr="00153E12" w:rsidRDefault="005272C8" w:rsidP="008B7439">
            <w:pPr>
              <w:snapToGrid w:val="0"/>
              <w:jc w:val="both"/>
              <w:rPr>
                <w:color w:val="000000"/>
                <w:sz w:val="16"/>
                <w:szCs w:val="16"/>
                <w:lang w:val="de-DE"/>
              </w:rPr>
            </w:pPr>
            <w:r w:rsidRPr="00153E12">
              <w:rPr>
                <w:color w:val="000000"/>
                <w:sz w:val="16"/>
                <w:szCs w:val="16"/>
                <w:lang w:val="de-DE"/>
              </w:rPr>
              <w:t>(0.4-0.8)</w:t>
            </w:r>
          </w:p>
        </w:tc>
        <w:tc>
          <w:tcPr>
            <w:tcW w:w="956"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lang w:val="de-DE"/>
              </w:rPr>
            </w:pPr>
            <w:r w:rsidRPr="00153E12">
              <w:rPr>
                <w:color w:val="000000"/>
                <w:sz w:val="16"/>
                <w:szCs w:val="16"/>
              </w:rPr>
              <w:t>z</w:t>
            </w:r>
            <w:r w:rsidR="00153E12" w:rsidRPr="00153E12">
              <w:rPr>
                <w:color w:val="000000"/>
                <w:sz w:val="16"/>
                <w:szCs w:val="16"/>
                <w:lang w:val="de-DE"/>
              </w:rPr>
              <w:t xml:space="preserve"> </w:t>
            </w:r>
            <w:r w:rsidRPr="00153E12">
              <w:rPr>
                <w:color w:val="000000"/>
                <w:sz w:val="16"/>
                <w:szCs w:val="16"/>
                <w:lang w:val="de-DE"/>
              </w:rPr>
              <w:t>25.90</w:t>
            </w:r>
          </w:p>
          <w:p w:rsidR="005272C8" w:rsidRPr="00153E12" w:rsidRDefault="005272C8" w:rsidP="008B7439">
            <w:pPr>
              <w:snapToGrid w:val="0"/>
              <w:jc w:val="both"/>
              <w:rPr>
                <w:color w:val="000000"/>
                <w:sz w:val="16"/>
                <w:szCs w:val="16"/>
                <w:lang w:val="de-DE"/>
              </w:rPr>
            </w:pPr>
            <w:r w:rsidRPr="00153E12">
              <w:rPr>
                <w:color w:val="000000"/>
                <w:sz w:val="16"/>
                <w:szCs w:val="16"/>
              </w:rPr>
              <w:t>p&lt;0.001</w:t>
            </w:r>
          </w:p>
        </w:tc>
        <w:tc>
          <w:tcPr>
            <w:tcW w:w="52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5272C8" w:rsidRPr="00153E12" w:rsidRDefault="005272C8" w:rsidP="008B7439">
            <w:pPr>
              <w:snapToGrid w:val="0"/>
              <w:jc w:val="both"/>
              <w:rPr>
                <w:color w:val="000000"/>
                <w:sz w:val="16"/>
                <w:szCs w:val="16"/>
                <w:lang w:val="de-DE"/>
              </w:rPr>
            </w:pPr>
            <w:r w:rsidRPr="00153E12">
              <w:rPr>
                <w:color w:val="000000"/>
                <w:sz w:val="16"/>
                <w:szCs w:val="16"/>
              </w:rPr>
              <w:t>z</w:t>
            </w:r>
            <w:r w:rsidR="00153E12" w:rsidRPr="00153E12">
              <w:rPr>
                <w:color w:val="000000"/>
                <w:sz w:val="16"/>
                <w:szCs w:val="16"/>
                <w:lang w:val="de-DE"/>
              </w:rPr>
              <w:t xml:space="preserve"> </w:t>
            </w:r>
            <w:r w:rsidRPr="00153E12">
              <w:rPr>
                <w:color w:val="000000"/>
                <w:sz w:val="16"/>
                <w:szCs w:val="16"/>
                <w:lang w:val="de-DE"/>
              </w:rPr>
              <w:t>-1.60</w:t>
            </w:r>
          </w:p>
          <w:p w:rsidR="005272C8" w:rsidRPr="00153E12" w:rsidRDefault="005272C8" w:rsidP="008B7439">
            <w:pPr>
              <w:snapToGrid w:val="0"/>
              <w:jc w:val="both"/>
              <w:rPr>
                <w:color w:val="000000"/>
                <w:sz w:val="16"/>
                <w:szCs w:val="16"/>
                <w:lang w:val="de-DE"/>
              </w:rPr>
            </w:pPr>
            <w:r w:rsidRPr="00153E12">
              <w:rPr>
                <w:color w:val="000000"/>
                <w:sz w:val="16"/>
                <w:szCs w:val="16"/>
              </w:rPr>
              <w:t>p</w:t>
            </w:r>
            <w:r w:rsidRPr="00153E12">
              <w:rPr>
                <w:color w:val="000000"/>
                <w:sz w:val="16"/>
                <w:szCs w:val="16"/>
                <w:lang w:val="de-DE"/>
              </w:rPr>
              <w:t>&gt; 0.05</w:t>
            </w:r>
          </w:p>
        </w:tc>
        <w:tc>
          <w:tcPr>
            <w:tcW w:w="517"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lang w:val="de-DE"/>
              </w:rPr>
            </w:pPr>
            <w:r w:rsidRPr="00153E12">
              <w:rPr>
                <w:color w:val="000000"/>
                <w:sz w:val="16"/>
                <w:szCs w:val="16"/>
              </w:rPr>
              <w:t>z</w:t>
            </w:r>
            <w:r w:rsidR="00153E12" w:rsidRPr="00153E12">
              <w:rPr>
                <w:color w:val="000000"/>
                <w:sz w:val="16"/>
                <w:szCs w:val="16"/>
                <w:lang w:val="de-DE"/>
              </w:rPr>
              <w:t xml:space="preserve"> </w:t>
            </w:r>
            <w:r w:rsidRPr="00153E12">
              <w:rPr>
                <w:color w:val="000000"/>
                <w:sz w:val="16"/>
                <w:szCs w:val="16"/>
                <w:lang w:val="de-DE"/>
              </w:rPr>
              <w:t>18.55</w:t>
            </w:r>
          </w:p>
          <w:p w:rsidR="005272C8" w:rsidRPr="00153E12" w:rsidRDefault="005272C8" w:rsidP="008B7439">
            <w:pPr>
              <w:snapToGrid w:val="0"/>
              <w:jc w:val="both"/>
              <w:rPr>
                <w:color w:val="000000"/>
                <w:sz w:val="16"/>
                <w:szCs w:val="16"/>
                <w:lang w:val="de-DE"/>
              </w:rPr>
            </w:pPr>
            <w:r w:rsidRPr="00153E12">
              <w:rPr>
                <w:color w:val="000000"/>
                <w:sz w:val="16"/>
                <w:szCs w:val="16"/>
              </w:rPr>
              <w:t>p</w:t>
            </w:r>
            <w:r w:rsidRPr="00153E12">
              <w:rPr>
                <w:color w:val="000000"/>
                <w:sz w:val="16"/>
                <w:szCs w:val="16"/>
                <w:lang w:val="de-DE"/>
              </w:rPr>
              <w:t>&lt;0.001</w:t>
            </w:r>
          </w:p>
        </w:tc>
      </w:tr>
      <w:tr w:rsidR="005272C8" w:rsidRPr="00153E12" w:rsidTr="00153E12">
        <w:trPr>
          <w:jc w:val="center"/>
        </w:trPr>
        <w:tc>
          <w:tcPr>
            <w:tcW w:w="966" w:type="pct"/>
            <w:tcBorders>
              <w:top w:val="single" w:sz="4" w:space="0" w:color="000000"/>
              <w:left w:val="single" w:sz="4" w:space="0" w:color="000000"/>
              <w:bottom w:val="single" w:sz="4" w:space="0" w:color="000000"/>
              <w:right w:val="single" w:sz="4" w:space="0" w:color="000000"/>
            </w:tcBorders>
            <w:vAlign w:val="center"/>
            <w:hideMark/>
          </w:tcPr>
          <w:p w:rsidR="005272C8" w:rsidRPr="00153E12" w:rsidRDefault="005272C8" w:rsidP="008B7439">
            <w:pPr>
              <w:snapToGrid w:val="0"/>
              <w:jc w:val="both"/>
              <w:rPr>
                <w:rFonts w:eastAsiaTheme="minorHAnsi"/>
                <w:color w:val="000000"/>
                <w:sz w:val="16"/>
                <w:szCs w:val="16"/>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rFonts w:eastAsiaTheme="minorHAnsi"/>
                <w:color w:val="000000"/>
                <w:sz w:val="16"/>
                <w:szCs w:val="16"/>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rFonts w:eastAsiaTheme="minorHAnsi"/>
                <w:color w:val="000000"/>
                <w:sz w:val="16"/>
                <w:szCs w:val="16"/>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72C8" w:rsidRPr="00153E12" w:rsidRDefault="005272C8" w:rsidP="008B7439">
            <w:pPr>
              <w:snapToGrid w:val="0"/>
              <w:jc w:val="both"/>
              <w:rPr>
                <w:rFonts w:eastAsiaTheme="minorHAnsi"/>
                <w:color w:val="000000"/>
                <w:sz w:val="16"/>
                <w:szCs w:val="16"/>
              </w:rPr>
            </w:pPr>
          </w:p>
        </w:tc>
        <w:tc>
          <w:tcPr>
            <w:tcW w:w="9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rFonts w:eastAsiaTheme="minorHAnsi"/>
                <w:color w:val="000000"/>
                <w:sz w:val="16"/>
                <w:szCs w:val="16"/>
              </w:rPr>
            </w:pP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rFonts w:eastAsiaTheme="minorHAnsi"/>
                <w:color w:val="000000"/>
                <w:sz w:val="16"/>
                <w:szCs w:val="16"/>
              </w:rPr>
            </w:pPr>
          </w:p>
        </w:tc>
        <w:tc>
          <w:tcPr>
            <w:tcW w:w="5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272C8" w:rsidRPr="00153E12" w:rsidRDefault="005272C8" w:rsidP="008B7439">
            <w:pPr>
              <w:snapToGrid w:val="0"/>
              <w:jc w:val="both"/>
              <w:rPr>
                <w:rFonts w:eastAsiaTheme="minorHAnsi"/>
                <w:color w:val="000000"/>
                <w:sz w:val="16"/>
                <w:szCs w:val="16"/>
              </w:rPr>
            </w:pPr>
          </w:p>
        </w:tc>
      </w:tr>
      <w:tr w:rsidR="005272C8" w:rsidRPr="00153E12" w:rsidTr="00153E12">
        <w:trPr>
          <w:jc w:val="center"/>
        </w:trPr>
        <w:tc>
          <w:tcPr>
            <w:tcW w:w="966" w:type="pct"/>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b/>
                <w:bCs/>
                <w:color w:val="000000"/>
                <w:sz w:val="16"/>
                <w:szCs w:val="16"/>
              </w:rPr>
            </w:pPr>
            <w:proofErr w:type="spellStart"/>
            <w:r w:rsidRPr="00153E12">
              <w:rPr>
                <w:b/>
                <w:bCs/>
                <w:color w:val="000000"/>
                <w:sz w:val="16"/>
                <w:szCs w:val="16"/>
              </w:rPr>
              <w:t>Hb</w:t>
            </w:r>
            <w:proofErr w:type="spellEnd"/>
          </w:p>
          <w:p w:rsidR="005272C8" w:rsidRPr="00153E12" w:rsidRDefault="005272C8" w:rsidP="008B7439">
            <w:pPr>
              <w:snapToGrid w:val="0"/>
              <w:jc w:val="both"/>
              <w:rPr>
                <w:b/>
                <w:bCs/>
                <w:color w:val="000000"/>
                <w:sz w:val="16"/>
                <w:szCs w:val="16"/>
              </w:rPr>
            </w:pPr>
            <w:r w:rsidRPr="00153E12">
              <w:rPr>
                <w:b/>
                <w:bCs/>
                <w:color w:val="000000"/>
                <w:sz w:val="16"/>
                <w:szCs w:val="16"/>
              </w:rPr>
              <w:t>(g/</w:t>
            </w:r>
            <w:proofErr w:type="spellStart"/>
            <w:r w:rsidRPr="00153E12">
              <w:rPr>
                <w:b/>
                <w:bCs/>
                <w:color w:val="000000"/>
                <w:sz w:val="16"/>
                <w:szCs w:val="16"/>
              </w:rPr>
              <w:t>dL</w:t>
            </w:r>
            <w:proofErr w:type="spellEnd"/>
            <w:r w:rsidRPr="00153E12">
              <w:rPr>
                <w:b/>
                <w:bCs/>
                <w:color w:val="000000"/>
                <w:sz w:val="16"/>
                <w:szCs w:val="16"/>
              </w:rPr>
              <w:t>)</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9.2</w:t>
            </w:r>
          </w:p>
          <w:p w:rsidR="005272C8" w:rsidRPr="00153E12" w:rsidRDefault="005272C8" w:rsidP="008B7439">
            <w:pPr>
              <w:snapToGrid w:val="0"/>
              <w:jc w:val="both"/>
              <w:rPr>
                <w:color w:val="000000"/>
                <w:sz w:val="16"/>
                <w:szCs w:val="16"/>
              </w:rPr>
            </w:pPr>
            <w:r w:rsidRPr="00153E12">
              <w:rPr>
                <w:color w:val="000000"/>
                <w:sz w:val="16"/>
                <w:szCs w:val="16"/>
              </w:rPr>
              <w:t>(8.9-10.6)</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11.4</w:t>
            </w:r>
          </w:p>
          <w:p w:rsidR="005272C8" w:rsidRPr="00153E12" w:rsidRDefault="005272C8" w:rsidP="008B7439">
            <w:pPr>
              <w:snapToGrid w:val="0"/>
              <w:jc w:val="both"/>
              <w:rPr>
                <w:color w:val="000000"/>
                <w:sz w:val="16"/>
                <w:szCs w:val="16"/>
              </w:rPr>
            </w:pPr>
            <w:r w:rsidRPr="00153E12">
              <w:rPr>
                <w:color w:val="000000"/>
                <w:sz w:val="16"/>
                <w:szCs w:val="16"/>
              </w:rPr>
              <w:t>(9.6-12.9)</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12.4</w:t>
            </w:r>
          </w:p>
          <w:p w:rsidR="005272C8" w:rsidRPr="00153E12" w:rsidRDefault="005272C8" w:rsidP="008B7439">
            <w:pPr>
              <w:snapToGrid w:val="0"/>
              <w:jc w:val="both"/>
              <w:rPr>
                <w:color w:val="000000"/>
                <w:sz w:val="16"/>
                <w:szCs w:val="16"/>
              </w:rPr>
            </w:pPr>
            <w:r w:rsidRPr="00153E12">
              <w:rPr>
                <w:color w:val="000000"/>
                <w:sz w:val="16"/>
                <w:szCs w:val="16"/>
              </w:rPr>
              <w:t>(11.3-13.0)</w:t>
            </w:r>
          </w:p>
        </w:tc>
        <w:tc>
          <w:tcPr>
            <w:tcW w:w="956" w:type="pc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- 6.15</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c>
          <w:tcPr>
            <w:tcW w:w="522" w:type="pc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-4.83</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c>
          <w:tcPr>
            <w:tcW w:w="517" w:type="pc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-10.37</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r>
      <w:tr w:rsidR="005272C8" w:rsidRPr="00153E12" w:rsidTr="00153E12">
        <w:trPr>
          <w:jc w:val="center"/>
        </w:trPr>
        <w:tc>
          <w:tcPr>
            <w:tcW w:w="966" w:type="pct"/>
            <w:tcBorders>
              <w:top w:val="single" w:sz="4" w:space="0" w:color="auto"/>
              <w:left w:val="single" w:sz="4" w:space="0" w:color="000000"/>
              <w:bottom w:val="single" w:sz="4" w:space="0" w:color="auto"/>
              <w:right w:val="single" w:sz="4" w:space="0" w:color="000000"/>
            </w:tcBorders>
            <w:vAlign w:val="center"/>
            <w:hideMark/>
          </w:tcPr>
          <w:p w:rsidR="005272C8" w:rsidRPr="00153E12" w:rsidRDefault="005272C8" w:rsidP="008B7439">
            <w:pPr>
              <w:snapToGrid w:val="0"/>
              <w:jc w:val="both"/>
              <w:rPr>
                <w:b/>
                <w:bCs/>
                <w:color w:val="000000"/>
                <w:sz w:val="16"/>
                <w:szCs w:val="16"/>
              </w:rPr>
            </w:pPr>
            <w:proofErr w:type="spellStart"/>
            <w:r w:rsidRPr="00153E12">
              <w:rPr>
                <w:b/>
                <w:bCs/>
                <w:color w:val="000000"/>
                <w:sz w:val="16"/>
                <w:szCs w:val="16"/>
              </w:rPr>
              <w:t>Pentraxin</w:t>
            </w:r>
            <w:proofErr w:type="spellEnd"/>
            <w:r w:rsidRPr="00153E12">
              <w:rPr>
                <w:b/>
                <w:bCs/>
                <w:color w:val="000000"/>
                <w:sz w:val="16"/>
                <w:szCs w:val="16"/>
              </w:rPr>
              <w:t xml:space="preserve"> 3</w:t>
            </w:r>
          </w:p>
          <w:p w:rsidR="005272C8" w:rsidRPr="00153E12" w:rsidRDefault="005272C8" w:rsidP="008B7439">
            <w:pPr>
              <w:snapToGrid w:val="0"/>
              <w:jc w:val="both"/>
              <w:rPr>
                <w:b/>
                <w:bCs/>
                <w:color w:val="000000"/>
                <w:sz w:val="16"/>
                <w:szCs w:val="16"/>
              </w:rPr>
            </w:pPr>
            <w:r w:rsidRPr="00153E12">
              <w:rPr>
                <w:b/>
                <w:bCs/>
                <w:color w:val="000000"/>
                <w:sz w:val="16"/>
                <w:szCs w:val="16"/>
              </w:rPr>
              <w:t>(</w:t>
            </w:r>
            <w:proofErr w:type="spellStart"/>
            <w:r w:rsidRPr="00153E12">
              <w:rPr>
                <w:b/>
                <w:bCs/>
                <w:color w:val="000000"/>
                <w:sz w:val="16"/>
                <w:szCs w:val="16"/>
              </w:rPr>
              <w:t>ng</w:t>
            </w:r>
            <w:proofErr w:type="spellEnd"/>
            <w:r w:rsidRPr="00153E12">
              <w:rPr>
                <w:b/>
                <w:bCs/>
                <w:color w:val="000000"/>
                <w:sz w:val="16"/>
                <w:szCs w:val="16"/>
              </w:rPr>
              <w:t>/</w:t>
            </w:r>
            <w:proofErr w:type="spellStart"/>
            <w:r w:rsidRPr="00153E12">
              <w:rPr>
                <w:b/>
                <w:bCs/>
                <w:color w:val="000000"/>
                <w:sz w:val="16"/>
                <w:szCs w:val="16"/>
              </w:rPr>
              <w:t>mL</w:t>
            </w:r>
            <w:proofErr w:type="spellEnd"/>
            <w:r w:rsidRPr="00153E12">
              <w:rPr>
                <w:b/>
                <w:bCs/>
                <w:color w:val="000000"/>
                <w:sz w:val="16"/>
                <w:szCs w:val="16"/>
              </w:rPr>
              <w:t>)</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2.3</w:t>
            </w:r>
          </w:p>
          <w:p w:rsidR="005272C8" w:rsidRPr="00153E12" w:rsidRDefault="005272C8" w:rsidP="008B7439">
            <w:pPr>
              <w:snapToGrid w:val="0"/>
              <w:jc w:val="both"/>
              <w:rPr>
                <w:color w:val="000000"/>
                <w:sz w:val="16"/>
                <w:szCs w:val="16"/>
              </w:rPr>
            </w:pPr>
            <w:r w:rsidRPr="00153E12">
              <w:rPr>
                <w:color w:val="000000"/>
                <w:sz w:val="16"/>
                <w:szCs w:val="16"/>
              </w:rPr>
              <w:t>(0.9-33.0)</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0.8</w:t>
            </w:r>
          </w:p>
          <w:p w:rsidR="005272C8" w:rsidRPr="00153E12" w:rsidRDefault="005272C8" w:rsidP="008B7439">
            <w:pPr>
              <w:snapToGrid w:val="0"/>
              <w:jc w:val="both"/>
              <w:rPr>
                <w:color w:val="000000"/>
                <w:sz w:val="16"/>
                <w:szCs w:val="16"/>
              </w:rPr>
            </w:pPr>
            <w:r w:rsidRPr="00153E12">
              <w:rPr>
                <w:color w:val="000000"/>
                <w:sz w:val="16"/>
                <w:szCs w:val="16"/>
              </w:rPr>
              <w:t>(0.6-1.5)</w:t>
            </w:r>
          </w:p>
        </w:tc>
        <w:tc>
          <w:tcPr>
            <w:tcW w:w="680"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5272C8" w:rsidRPr="00153E12" w:rsidRDefault="005272C8" w:rsidP="008B7439">
            <w:pPr>
              <w:snapToGrid w:val="0"/>
              <w:jc w:val="both"/>
              <w:rPr>
                <w:color w:val="000000"/>
                <w:sz w:val="16"/>
                <w:szCs w:val="16"/>
              </w:rPr>
            </w:pPr>
            <w:r w:rsidRPr="00153E12">
              <w:rPr>
                <w:color w:val="000000"/>
                <w:sz w:val="16"/>
                <w:szCs w:val="16"/>
              </w:rPr>
              <w:t>0.4</w:t>
            </w:r>
          </w:p>
          <w:p w:rsidR="005272C8" w:rsidRPr="00153E12" w:rsidRDefault="005272C8" w:rsidP="008B7439">
            <w:pPr>
              <w:snapToGrid w:val="0"/>
              <w:jc w:val="both"/>
              <w:rPr>
                <w:color w:val="000000"/>
                <w:sz w:val="16"/>
                <w:szCs w:val="16"/>
              </w:rPr>
            </w:pPr>
            <w:r w:rsidRPr="00153E12">
              <w:rPr>
                <w:color w:val="000000"/>
                <w:sz w:val="16"/>
                <w:szCs w:val="16"/>
              </w:rPr>
              <w:t>(0.3-0.5)</w:t>
            </w:r>
          </w:p>
        </w:tc>
        <w:tc>
          <w:tcPr>
            <w:tcW w:w="956" w:type="pc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5.71</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c>
          <w:tcPr>
            <w:tcW w:w="522" w:type="pc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4.85</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&lt;0.001</w:t>
            </w:r>
          </w:p>
        </w:tc>
        <w:tc>
          <w:tcPr>
            <w:tcW w:w="517" w:type="pc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5272C8" w:rsidRPr="00153E12" w:rsidRDefault="005272C8" w:rsidP="008B7439">
            <w:pPr>
              <w:snapToGrid w:val="0"/>
              <w:jc w:val="both"/>
              <w:rPr>
                <w:color w:val="000000"/>
                <w:sz w:val="16"/>
                <w:szCs w:val="16"/>
              </w:rPr>
            </w:pPr>
            <w:r w:rsidRPr="00153E12">
              <w:rPr>
                <w:color w:val="000000"/>
                <w:sz w:val="16"/>
                <w:szCs w:val="16"/>
              </w:rPr>
              <w:t>z</w:t>
            </w:r>
            <w:r w:rsidR="00153E12" w:rsidRPr="00153E12">
              <w:rPr>
                <w:color w:val="000000"/>
                <w:sz w:val="16"/>
                <w:szCs w:val="16"/>
              </w:rPr>
              <w:t xml:space="preserve"> </w:t>
            </w:r>
            <w:r w:rsidRPr="00153E12">
              <w:rPr>
                <w:color w:val="000000"/>
                <w:sz w:val="16"/>
                <w:szCs w:val="16"/>
              </w:rPr>
              <w:t>4.35</w:t>
            </w:r>
          </w:p>
          <w:p w:rsidR="005272C8" w:rsidRPr="00153E12" w:rsidRDefault="005272C8" w:rsidP="008B7439">
            <w:pPr>
              <w:snapToGrid w:val="0"/>
              <w:jc w:val="both"/>
              <w:rPr>
                <w:color w:val="000000"/>
                <w:sz w:val="16"/>
                <w:szCs w:val="16"/>
              </w:rPr>
            </w:pPr>
            <w:r w:rsidRPr="00153E12">
              <w:rPr>
                <w:color w:val="000000"/>
                <w:sz w:val="16"/>
                <w:szCs w:val="16"/>
              </w:rPr>
              <w:t>p</w:t>
            </w:r>
            <w:r w:rsidR="00153E12" w:rsidRPr="00153E12">
              <w:rPr>
                <w:color w:val="000000"/>
                <w:sz w:val="16"/>
                <w:szCs w:val="16"/>
              </w:rPr>
              <w:t xml:space="preserve"> </w:t>
            </w:r>
            <w:r w:rsidRPr="00153E12">
              <w:rPr>
                <w:color w:val="000000"/>
                <w:sz w:val="16"/>
                <w:szCs w:val="16"/>
              </w:rPr>
              <w:t>&lt; 0.001</w:t>
            </w:r>
          </w:p>
        </w:tc>
      </w:tr>
    </w:tbl>
    <w:p w:rsidR="005272C8" w:rsidRPr="00153E12" w:rsidRDefault="005272C8" w:rsidP="00871EB9">
      <w:pPr>
        <w:snapToGrid w:val="0"/>
        <w:jc w:val="both"/>
        <w:rPr>
          <w:sz w:val="16"/>
          <w:szCs w:val="16"/>
        </w:rPr>
      </w:pPr>
      <w:r w:rsidRPr="00153E12">
        <w:rPr>
          <w:sz w:val="16"/>
          <w:szCs w:val="16"/>
        </w:rPr>
        <w:t xml:space="preserve">Group І: </w:t>
      </w:r>
      <w:proofErr w:type="spellStart"/>
      <w:r w:rsidRPr="00153E12">
        <w:rPr>
          <w:sz w:val="16"/>
          <w:szCs w:val="16"/>
        </w:rPr>
        <w:t>Hemodialysis</w:t>
      </w:r>
      <w:proofErr w:type="spellEnd"/>
      <w:r w:rsidRPr="00153E12">
        <w:rPr>
          <w:sz w:val="16"/>
          <w:szCs w:val="16"/>
        </w:rPr>
        <w:t xml:space="preserve"> patients;</w:t>
      </w:r>
      <w:r w:rsidR="00153E12" w:rsidRPr="00153E12">
        <w:rPr>
          <w:sz w:val="16"/>
          <w:szCs w:val="16"/>
        </w:rPr>
        <w:t xml:space="preserve"> </w:t>
      </w:r>
      <w:r w:rsidRPr="00153E12">
        <w:rPr>
          <w:sz w:val="16"/>
          <w:szCs w:val="16"/>
        </w:rPr>
        <w:t>Group II: ESRD patients;</w:t>
      </w:r>
      <w:r w:rsidR="00153E12" w:rsidRPr="00153E12">
        <w:rPr>
          <w:sz w:val="16"/>
          <w:szCs w:val="16"/>
        </w:rPr>
        <w:t xml:space="preserve"> </w:t>
      </w:r>
      <w:proofErr w:type="spellStart"/>
      <w:r w:rsidRPr="00153E12">
        <w:rPr>
          <w:sz w:val="16"/>
          <w:szCs w:val="16"/>
        </w:rPr>
        <w:t>Hb</w:t>
      </w:r>
      <w:proofErr w:type="spellEnd"/>
      <w:r w:rsidRPr="00153E12">
        <w:rPr>
          <w:sz w:val="16"/>
          <w:szCs w:val="16"/>
        </w:rPr>
        <w:t>: hemoglobin;</w:t>
      </w:r>
    </w:p>
    <w:p w:rsidR="005272C8" w:rsidRPr="00153E12" w:rsidRDefault="005272C8" w:rsidP="00871EB9">
      <w:pPr>
        <w:snapToGrid w:val="0"/>
        <w:jc w:val="both"/>
        <w:rPr>
          <w:sz w:val="16"/>
          <w:szCs w:val="16"/>
        </w:rPr>
      </w:pPr>
      <w:r w:rsidRPr="00153E12">
        <w:rPr>
          <w:sz w:val="16"/>
          <w:szCs w:val="16"/>
        </w:rPr>
        <w:t xml:space="preserve">IQR: </w:t>
      </w:r>
      <w:proofErr w:type="spellStart"/>
      <w:r w:rsidRPr="00153E12">
        <w:rPr>
          <w:sz w:val="16"/>
          <w:szCs w:val="16"/>
        </w:rPr>
        <w:t>Interquartile</w:t>
      </w:r>
      <w:proofErr w:type="spellEnd"/>
      <w:r w:rsidRPr="00153E12">
        <w:rPr>
          <w:sz w:val="16"/>
          <w:szCs w:val="16"/>
        </w:rPr>
        <w:t xml:space="preserve"> range; p &gt; 0.05: Non-significant difference;</w:t>
      </w:r>
      <w:r w:rsidR="00153E12" w:rsidRPr="00153E12">
        <w:rPr>
          <w:sz w:val="16"/>
          <w:szCs w:val="16"/>
        </w:rPr>
        <w:t xml:space="preserve"> </w:t>
      </w:r>
      <w:r w:rsidRPr="00153E12">
        <w:rPr>
          <w:sz w:val="16"/>
          <w:szCs w:val="16"/>
        </w:rPr>
        <w:t>p&lt;0.001:</w:t>
      </w:r>
      <w:r w:rsidR="00153E12" w:rsidRPr="00153E12">
        <w:rPr>
          <w:sz w:val="16"/>
          <w:szCs w:val="16"/>
        </w:rPr>
        <w:t xml:space="preserve"> </w:t>
      </w:r>
      <w:r w:rsidRPr="00153E12">
        <w:rPr>
          <w:sz w:val="16"/>
          <w:szCs w:val="16"/>
        </w:rPr>
        <w:t>Highly significant difference.</w:t>
      </w:r>
    </w:p>
    <w:p w:rsidR="005272C8" w:rsidRPr="00153E12" w:rsidRDefault="005272C8" w:rsidP="00871EB9">
      <w:pPr>
        <w:snapToGrid w:val="0"/>
        <w:jc w:val="both"/>
        <w:rPr>
          <w:sz w:val="20"/>
          <w:szCs w:val="20"/>
        </w:rPr>
      </w:pPr>
      <w:r w:rsidRPr="00153E12">
        <w:rPr>
          <w:b/>
          <w:bCs/>
          <w:sz w:val="20"/>
          <w:szCs w:val="20"/>
        </w:rPr>
        <w:lastRenderedPageBreak/>
        <w:t>Table (2):</w:t>
      </w:r>
      <w:r w:rsidRPr="00153E12">
        <w:rPr>
          <w:sz w:val="20"/>
          <w:szCs w:val="20"/>
        </w:rPr>
        <w:t xml:space="preserve"> Descriptive and comparative statistics of PTX3 levels among different</w:t>
      </w:r>
      <w:r w:rsidR="00871EB9" w:rsidRPr="00153E12">
        <w:rPr>
          <w:rFonts w:eastAsiaTheme="minorEastAsia" w:hint="eastAsia"/>
          <w:sz w:val="20"/>
          <w:szCs w:val="20"/>
          <w:lang w:eastAsia="zh-CN"/>
        </w:rPr>
        <w:t xml:space="preserve"> </w:t>
      </w:r>
      <w:r w:rsidRPr="00153E12">
        <w:rPr>
          <w:sz w:val="20"/>
          <w:szCs w:val="20"/>
        </w:rPr>
        <w:t>HD patient subgroups according to Davis co-morbidity index and malnutrition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4"/>
        <w:gridCol w:w="2427"/>
        <w:gridCol w:w="1316"/>
        <w:gridCol w:w="1789"/>
      </w:tblGrid>
      <w:tr w:rsidR="005272C8" w:rsidRPr="00153E12" w:rsidTr="00871EB9">
        <w:trPr>
          <w:jc w:val="center"/>
        </w:trPr>
        <w:tc>
          <w:tcPr>
            <w:tcW w:w="21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b/>
                <w:bCs/>
                <w:color w:val="000000"/>
                <w:sz w:val="20"/>
                <w:szCs w:val="20"/>
              </w:rPr>
            </w:pPr>
            <w:r w:rsidRPr="00153E12">
              <w:rPr>
                <w:b/>
                <w:bCs/>
                <w:color w:val="000000"/>
                <w:sz w:val="20"/>
                <w:szCs w:val="20"/>
              </w:rPr>
              <w:t>Parameters</w:t>
            </w:r>
          </w:p>
        </w:tc>
        <w:tc>
          <w:tcPr>
            <w:tcW w:w="12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72C8" w:rsidRPr="00153E12" w:rsidRDefault="005272C8" w:rsidP="008B7439">
            <w:pPr>
              <w:snapToGrid w:val="0"/>
              <w:jc w:val="both"/>
              <w:rPr>
                <w:b/>
                <w:bCs/>
                <w:color w:val="000000"/>
                <w:sz w:val="20"/>
                <w:szCs w:val="20"/>
              </w:rPr>
            </w:pPr>
            <w:r w:rsidRPr="00153E12">
              <w:rPr>
                <w:b/>
                <w:bCs/>
                <w:color w:val="000000"/>
                <w:sz w:val="20"/>
                <w:szCs w:val="20"/>
              </w:rPr>
              <w:t>PTX3</w:t>
            </w:r>
          </w:p>
          <w:p w:rsidR="005272C8" w:rsidRPr="00153E12" w:rsidRDefault="005272C8" w:rsidP="008B7439">
            <w:pPr>
              <w:snapToGrid w:val="0"/>
              <w:jc w:val="both"/>
              <w:rPr>
                <w:color w:val="000000"/>
                <w:sz w:val="20"/>
                <w:szCs w:val="20"/>
              </w:rPr>
            </w:pPr>
            <w:r w:rsidRPr="00153E12">
              <w:rPr>
                <w:color w:val="000000"/>
                <w:sz w:val="20"/>
                <w:szCs w:val="20"/>
              </w:rPr>
              <w:t>Median (IQR)</w:t>
            </w:r>
          </w:p>
        </w:tc>
        <w:tc>
          <w:tcPr>
            <w:tcW w:w="1621" w:type="pct"/>
            <w:gridSpan w:val="2"/>
            <w:tcBorders>
              <w:top w:val="single" w:sz="4" w:space="0" w:color="auto"/>
              <w:left w:val="single" w:sz="4" w:space="0" w:color="auto"/>
              <w:bottom w:val="single" w:sz="6" w:space="0" w:color="auto"/>
              <w:right w:val="single" w:sz="12" w:space="0" w:color="auto"/>
            </w:tcBorders>
            <w:shd w:val="clear" w:color="auto" w:fill="FFFFFF"/>
            <w:vAlign w:val="center"/>
            <w:hideMark/>
          </w:tcPr>
          <w:p w:rsidR="005272C8" w:rsidRPr="00153E12" w:rsidRDefault="005272C8" w:rsidP="008B7439">
            <w:pPr>
              <w:snapToGrid w:val="0"/>
              <w:jc w:val="both"/>
              <w:rPr>
                <w:b/>
                <w:bCs/>
                <w:color w:val="000000"/>
                <w:sz w:val="20"/>
                <w:szCs w:val="20"/>
              </w:rPr>
            </w:pPr>
            <w:r w:rsidRPr="00153E12">
              <w:rPr>
                <w:b/>
                <w:bCs/>
                <w:color w:val="000000"/>
                <w:sz w:val="20"/>
                <w:szCs w:val="20"/>
              </w:rPr>
              <w:t>Test of Significance</w:t>
            </w:r>
          </w:p>
        </w:tc>
      </w:tr>
      <w:tr w:rsidR="005272C8" w:rsidRPr="00153E12" w:rsidTr="00871EB9">
        <w:trPr>
          <w:jc w:val="center"/>
        </w:trPr>
        <w:tc>
          <w:tcPr>
            <w:tcW w:w="2112" w:type="pct"/>
            <w:vMerge/>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b/>
                <w:bCs/>
                <w:color w:val="000000"/>
                <w:sz w:val="20"/>
                <w:szCs w:val="20"/>
              </w:rPr>
            </w:pPr>
          </w:p>
        </w:tc>
        <w:tc>
          <w:tcPr>
            <w:tcW w:w="1267" w:type="pct"/>
            <w:vMerge/>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color w:val="000000"/>
                <w:sz w:val="20"/>
                <w:szCs w:val="20"/>
              </w:rPr>
            </w:pPr>
          </w:p>
        </w:tc>
        <w:tc>
          <w:tcPr>
            <w:tcW w:w="687" w:type="pct"/>
            <w:tcBorders>
              <w:top w:val="single" w:sz="6" w:space="0" w:color="auto"/>
              <w:left w:val="single" w:sz="4" w:space="0" w:color="auto"/>
              <w:bottom w:val="single" w:sz="4" w:space="0" w:color="auto"/>
              <w:right w:val="single" w:sz="4" w:space="0" w:color="auto"/>
            </w:tcBorders>
            <w:shd w:val="clear" w:color="auto" w:fill="FFFFFF"/>
            <w:vAlign w:val="center"/>
            <w:hideMark/>
          </w:tcPr>
          <w:p w:rsidR="005272C8" w:rsidRPr="00153E12" w:rsidRDefault="005272C8" w:rsidP="008B7439">
            <w:pPr>
              <w:snapToGrid w:val="0"/>
              <w:jc w:val="both"/>
              <w:rPr>
                <w:color w:val="000000"/>
                <w:sz w:val="20"/>
                <w:szCs w:val="20"/>
              </w:rPr>
            </w:pPr>
            <w:r w:rsidRPr="00153E12">
              <w:rPr>
                <w:color w:val="000000"/>
                <w:sz w:val="20"/>
                <w:szCs w:val="20"/>
              </w:rPr>
              <w:t>H</w:t>
            </w:r>
          </w:p>
        </w:tc>
        <w:tc>
          <w:tcPr>
            <w:tcW w:w="934" w:type="pct"/>
            <w:tcBorders>
              <w:top w:val="single" w:sz="6" w:space="0" w:color="auto"/>
              <w:left w:val="single" w:sz="4" w:space="0" w:color="auto"/>
              <w:bottom w:val="single" w:sz="4" w:space="0" w:color="auto"/>
              <w:right w:val="single" w:sz="12" w:space="0" w:color="auto"/>
            </w:tcBorders>
            <w:shd w:val="clear" w:color="auto" w:fill="FFFFFF"/>
            <w:vAlign w:val="center"/>
            <w:hideMark/>
          </w:tcPr>
          <w:p w:rsidR="005272C8" w:rsidRPr="00153E12" w:rsidRDefault="005272C8" w:rsidP="008B7439">
            <w:pPr>
              <w:snapToGrid w:val="0"/>
              <w:jc w:val="both"/>
              <w:rPr>
                <w:color w:val="000000"/>
                <w:sz w:val="20"/>
                <w:szCs w:val="20"/>
              </w:rPr>
            </w:pPr>
            <w:r w:rsidRPr="00153E12">
              <w:rPr>
                <w:color w:val="000000"/>
                <w:sz w:val="20"/>
                <w:szCs w:val="20"/>
              </w:rPr>
              <w:t>p</w:t>
            </w:r>
          </w:p>
        </w:tc>
      </w:tr>
      <w:tr w:rsidR="005272C8" w:rsidRPr="00153E12" w:rsidTr="00871EB9">
        <w:trPr>
          <w:jc w:val="center"/>
        </w:trPr>
        <w:tc>
          <w:tcPr>
            <w:tcW w:w="2112"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rFonts w:eastAsia="Calibri"/>
                <w:b/>
                <w:bCs/>
                <w:color w:val="000000"/>
                <w:sz w:val="20"/>
                <w:szCs w:val="20"/>
                <w:u w:val="single"/>
              </w:rPr>
            </w:pPr>
            <w:r w:rsidRPr="00153E12">
              <w:rPr>
                <w:b/>
                <w:bCs/>
                <w:color w:val="000000"/>
                <w:sz w:val="20"/>
                <w:szCs w:val="20"/>
                <w:u w:val="single"/>
              </w:rPr>
              <w:t>Davies co-morbidity index</w:t>
            </w:r>
          </w:p>
          <w:p w:rsidR="005272C8" w:rsidRPr="00153E12" w:rsidRDefault="005272C8" w:rsidP="008B7439">
            <w:pPr>
              <w:snapToGrid w:val="0"/>
              <w:jc w:val="both"/>
              <w:rPr>
                <w:color w:val="000000"/>
                <w:sz w:val="20"/>
                <w:szCs w:val="20"/>
              </w:rPr>
            </w:pPr>
            <w:r w:rsidRPr="00153E12">
              <w:rPr>
                <w:color w:val="000000"/>
                <w:sz w:val="20"/>
                <w:szCs w:val="20"/>
              </w:rPr>
              <w:t>Low (n=10)</w:t>
            </w:r>
          </w:p>
        </w:tc>
        <w:tc>
          <w:tcPr>
            <w:tcW w:w="1267" w:type="pct"/>
            <w:tcBorders>
              <w:top w:val="single" w:sz="4" w:space="0" w:color="auto"/>
              <w:left w:val="single" w:sz="4" w:space="0" w:color="auto"/>
              <w:bottom w:val="single" w:sz="4" w:space="0" w:color="auto"/>
              <w:right w:val="single" w:sz="4" w:space="0" w:color="auto"/>
            </w:tcBorders>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0.6(0.5-0.9)</w:t>
            </w:r>
          </w:p>
        </w:tc>
        <w:tc>
          <w:tcPr>
            <w:tcW w:w="687" w:type="pct"/>
            <w:vMerge w:val="restart"/>
            <w:tcBorders>
              <w:top w:val="single" w:sz="4" w:space="0" w:color="auto"/>
              <w:left w:val="single" w:sz="4" w:space="0" w:color="auto"/>
              <w:bottom w:val="single" w:sz="18" w:space="0" w:color="auto"/>
              <w:right w:val="single" w:sz="4" w:space="0" w:color="auto"/>
            </w:tcBorders>
            <w:shd w:val="clear" w:color="auto" w:fill="BFBFBF"/>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45.0</w:t>
            </w:r>
          </w:p>
        </w:tc>
        <w:tc>
          <w:tcPr>
            <w:tcW w:w="934" w:type="pct"/>
            <w:vMerge w:val="restart"/>
            <w:tcBorders>
              <w:top w:val="single" w:sz="4" w:space="0" w:color="auto"/>
              <w:left w:val="single" w:sz="4" w:space="0" w:color="auto"/>
              <w:bottom w:val="single" w:sz="18" w:space="0" w:color="auto"/>
              <w:right w:val="single" w:sz="12" w:space="0" w:color="auto"/>
            </w:tcBorders>
            <w:shd w:val="clear" w:color="auto" w:fill="BFBFBF"/>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0.001</w:t>
            </w:r>
          </w:p>
        </w:tc>
      </w:tr>
      <w:tr w:rsidR="005272C8" w:rsidRPr="00153E12" w:rsidTr="00871EB9">
        <w:trPr>
          <w:jc w:val="center"/>
        </w:trPr>
        <w:tc>
          <w:tcPr>
            <w:tcW w:w="2112"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Medium (n=15)</w:t>
            </w:r>
          </w:p>
        </w:tc>
        <w:tc>
          <w:tcPr>
            <w:tcW w:w="1267"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1.4(0.7-3.0)</w:t>
            </w:r>
          </w:p>
        </w:tc>
        <w:tc>
          <w:tcPr>
            <w:tcW w:w="687" w:type="pct"/>
            <w:vMerge/>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p>
        </w:tc>
        <w:tc>
          <w:tcPr>
            <w:tcW w:w="934" w:type="pct"/>
            <w:vMerge/>
            <w:tcBorders>
              <w:top w:val="single" w:sz="4" w:space="0" w:color="auto"/>
              <w:left w:val="single" w:sz="4" w:space="0" w:color="auto"/>
              <w:bottom w:val="single" w:sz="18" w:space="0" w:color="auto"/>
              <w:right w:val="single" w:sz="12" w:space="0" w:color="auto"/>
            </w:tcBorders>
            <w:vAlign w:val="center"/>
            <w:hideMark/>
          </w:tcPr>
          <w:p w:rsidR="005272C8" w:rsidRPr="00153E12" w:rsidRDefault="005272C8" w:rsidP="008B7439">
            <w:pPr>
              <w:snapToGrid w:val="0"/>
              <w:jc w:val="both"/>
              <w:rPr>
                <w:color w:val="000000"/>
                <w:sz w:val="20"/>
                <w:szCs w:val="20"/>
              </w:rPr>
            </w:pPr>
          </w:p>
        </w:tc>
      </w:tr>
      <w:tr w:rsidR="005272C8" w:rsidRPr="00153E12" w:rsidTr="00871EB9">
        <w:trPr>
          <w:jc w:val="center"/>
        </w:trPr>
        <w:tc>
          <w:tcPr>
            <w:tcW w:w="2112" w:type="pct"/>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High (n= 25)</w:t>
            </w:r>
          </w:p>
        </w:tc>
        <w:tc>
          <w:tcPr>
            <w:tcW w:w="1267" w:type="pct"/>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36.0(10.0-40.0)</w:t>
            </w:r>
          </w:p>
        </w:tc>
        <w:tc>
          <w:tcPr>
            <w:tcW w:w="687" w:type="pct"/>
            <w:vMerge/>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p>
        </w:tc>
        <w:tc>
          <w:tcPr>
            <w:tcW w:w="934" w:type="pct"/>
            <w:vMerge/>
            <w:tcBorders>
              <w:top w:val="single" w:sz="4" w:space="0" w:color="auto"/>
              <w:left w:val="single" w:sz="4" w:space="0" w:color="auto"/>
              <w:bottom w:val="single" w:sz="18" w:space="0" w:color="auto"/>
              <w:right w:val="single" w:sz="12" w:space="0" w:color="auto"/>
            </w:tcBorders>
            <w:vAlign w:val="center"/>
            <w:hideMark/>
          </w:tcPr>
          <w:p w:rsidR="005272C8" w:rsidRPr="00153E12" w:rsidRDefault="005272C8" w:rsidP="008B7439">
            <w:pPr>
              <w:snapToGrid w:val="0"/>
              <w:jc w:val="both"/>
              <w:rPr>
                <w:color w:val="000000"/>
                <w:sz w:val="20"/>
                <w:szCs w:val="20"/>
              </w:rPr>
            </w:pPr>
          </w:p>
        </w:tc>
      </w:tr>
      <w:tr w:rsidR="005272C8" w:rsidRPr="00153E12" w:rsidTr="00871EB9">
        <w:trPr>
          <w:jc w:val="center"/>
        </w:trPr>
        <w:tc>
          <w:tcPr>
            <w:tcW w:w="2112" w:type="pct"/>
            <w:tcBorders>
              <w:top w:val="single" w:sz="18"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rFonts w:eastAsia="Calibri"/>
                <w:b/>
                <w:bCs/>
                <w:color w:val="000000"/>
                <w:sz w:val="20"/>
                <w:szCs w:val="20"/>
                <w:u w:val="single"/>
              </w:rPr>
            </w:pPr>
            <w:r w:rsidRPr="00153E12">
              <w:rPr>
                <w:b/>
                <w:bCs/>
                <w:color w:val="000000"/>
                <w:sz w:val="20"/>
                <w:szCs w:val="20"/>
                <w:u w:val="single"/>
              </w:rPr>
              <w:t>Malnutrition Score</w:t>
            </w:r>
          </w:p>
          <w:p w:rsidR="005272C8" w:rsidRPr="00153E12" w:rsidRDefault="005272C8" w:rsidP="008B7439">
            <w:pPr>
              <w:snapToGrid w:val="0"/>
              <w:jc w:val="both"/>
              <w:rPr>
                <w:color w:val="000000"/>
                <w:sz w:val="20"/>
                <w:szCs w:val="20"/>
              </w:rPr>
            </w:pPr>
            <w:r w:rsidRPr="00153E12">
              <w:rPr>
                <w:color w:val="000000"/>
                <w:sz w:val="20"/>
                <w:szCs w:val="20"/>
              </w:rPr>
              <w:t>Mild (n=16)</w:t>
            </w:r>
          </w:p>
        </w:tc>
        <w:tc>
          <w:tcPr>
            <w:tcW w:w="1267" w:type="pct"/>
            <w:tcBorders>
              <w:top w:val="single" w:sz="18" w:space="0" w:color="auto"/>
              <w:left w:val="single" w:sz="4" w:space="0" w:color="auto"/>
              <w:bottom w:val="single" w:sz="4" w:space="0" w:color="auto"/>
              <w:right w:val="single" w:sz="4" w:space="0" w:color="auto"/>
            </w:tcBorders>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0.95(0.5-3.0)</w:t>
            </w:r>
          </w:p>
        </w:tc>
        <w:tc>
          <w:tcPr>
            <w:tcW w:w="687" w:type="pct"/>
            <w:vMerge w:val="restart"/>
            <w:tcBorders>
              <w:top w:val="single" w:sz="18" w:space="0" w:color="auto"/>
              <w:left w:val="single" w:sz="4" w:space="0" w:color="auto"/>
              <w:bottom w:val="single" w:sz="18" w:space="0" w:color="auto"/>
              <w:right w:val="single" w:sz="4" w:space="0" w:color="auto"/>
            </w:tcBorders>
            <w:shd w:val="clear" w:color="auto" w:fill="BFBFBF"/>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46.9</w:t>
            </w:r>
          </w:p>
        </w:tc>
        <w:tc>
          <w:tcPr>
            <w:tcW w:w="934" w:type="pct"/>
            <w:vMerge w:val="restart"/>
            <w:tcBorders>
              <w:top w:val="single" w:sz="18" w:space="0" w:color="auto"/>
              <w:left w:val="single" w:sz="4" w:space="0" w:color="auto"/>
              <w:bottom w:val="single" w:sz="18" w:space="0" w:color="auto"/>
              <w:right w:val="single" w:sz="12" w:space="0" w:color="auto"/>
            </w:tcBorders>
            <w:shd w:val="clear" w:color="auto" w:fill="BFBFBF"/>
            <w:vAlign w:val="center"/>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0.001</w:t>
            </w:r>
          </w:p>
        </w:tc>
      </w:tr>
      <w:tr w:rsidR="005272C8" w:rsidRPr="00153E12" w:rsidTr="00871EB9">
        <w:trPr>
          <w:jc w:val="center"/>
        </w:trPr>
        <w:tc>
          <w:tcPr>
            <w:tcW w:w="2112"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Moderate (n=20)</w:t>
            </w:r>
          </w:p>
        </w:tc>
        <w:tc>
          <w:tcPr>
            <w:tcW w:w="1267" w:type="pct"/>
            <w:tcBorders>
              <w:top w:val="single" w:sz="4" w:space="0" w:color="auto"/>
              <w:left w:val="single" w:sz="4" w:space="0" w:color="auto"/>
              <w:bottom w:val="single" w:sz="4" w:space="0" w:color="auto"/>
              <w:right w:val="single" w:sz="2"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1.2(0.7-6.0)</w:t>
            </w:r>
          </w:p>
        </w:tc>
        <w:tc>
          <w:tcPr>
            <w:tcW w:w="687" w:type="pct"/>
            <w:vMerge/>
            <w:tcBorders>
              <w:top w:val="single" w:sz="18"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p>
        </w:tc>
        <w:tc>
          <w:tcPr>
            <w:tcW w:w="934" w:type="pct"/>
            <w:vMerge/>
            <w:tcBorders>
              <w:top w:val="single" w:sz="18" w:space="0" w:color="auto"/>
              <w:left w:val="single" w:sz="4" w:space="0" w:color="auto"/>
              <w:bottom w:val="single" w:sz="18" w:space="0" w:color="auto"/>
              <w:right w:val="single" w:sz="12" w:space="0" w:color="auto"/>
            </w:tcBorders>
            <w:vAlign w:val="center"/>
            <w:hideMark/>
          </w:tcPr>
          <w:p w:rsidR="005272C8" w:rsidRPr="00153E12" w:rsidRDefault="005272C8" w:rsidP="008B7439">
            <w:pPr>
              <w:snapToGrid w:val="0"/>
              <w:jc w:val="both"/>
              <w:rPr>
                <w:color w:val="000000"/>
                <w:sz w:val="20"/>
                <w:szCs w:val="20"/>
              </w:rPr>
            </w:pPr>
          </w:p>
        </w:tc>
      </w:tr>
      <w:tr w:rsidR="005272C8" w:rsidRPr="00153E12" w:rsidTr="00871EB9">
        <w:trPr>
          <w:jc w:val="center"/>
        </w:trPr>
        <w:tc>
          <w:tcPr>
            <w:tcW w:w="2112" w:type="pct"/>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Severe (n=14)</w:t>
            </w:r>
          </w:p>
        </w:tc>
        <w:tc>
          <w:tcPr>
            <w:tcW w:w="1267" w:type="pct"/>
            <w:tcBorders>
              <w:top w:val="single" w:sz="4" w:space="0" w:color="auto"/>
              <w:left w:val="single" w:sz="4" w:space="0" w:color="auto"/>
              <w:bottom w:val="single" w:sz="18" w:space="0" w:color="auto"/>
              <w:right w:val="single" w:sz="2"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41.5(25.0-60.0)</w:t>
            </w:r>
          </w:p>
        </w:tc>
        <w:tc>
          <w:tcPr>
            <w:tcW w:w="687" w:type="pct"/>
            <w:vMerge/>
            <w:tcBorders>
              <w:top w:val="single" w:sz="18"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color w:val="000000"/>
                <w:sz w:val="20"/>
                <w:szCs w:val="20"/>
              </w:rPr>
            </w:pPr>
          </w:p>
        </w:tc>
        <w:tc>
          <w:tcPr>
            <w:tcW w:w="934" w:type="pct"/>
            <w:vMerge/>
            <w:tcBorders>
              <w:top w:val="single" w:sz="18" w:space="0" w:color="auto"/>
              <w:left w:val="single" w:sz="4" w:space="0" w:color="auto"/>
              <w:bottom w:val="single" w:sz="18" w:space="0" w:color="auto"/>
              <w:right w:val="single" w:sz="12" w:space="0" w:color="auto"/>
            </w:tcBorders>
            <w:vAlign w:val="center"/>
            <w:hideMark/>
          </w:tcPr>
          <w:p w:rsidR="005272C8" w:rsidRPr="00153E12" w:rsidRDefault="005272C8" w:rsidP="008B7439">
            <w:pPr>
              <w:snapToGrid w:val="0"/>
              <w:jc w:val="both"/>
              <w:rPr>
                <w:color w:val="000000"/>
                <w:sz w:val="20"/>
                <w:szCs w:val="20"/>
              </w:rPr>
            </w:pPr>
          </w:p>
        </w:tc>
      </w:tr>
    </w:tbl>
    <w:p w:rsidR="005272C8" w:rsidRPr="00153E12" w:rsidRDefault="005272C8" w:rsidP="008B7439">
      <w:pPr>
        <w:snapToGrid w:val="0"/>
        <w:jc w:val="center"/>
        <w:rPr>
          <w:sz w:val="20"/>
          <w:szCs w:val="20"/>
        </w:rPr>
      </w:pPr>
      <w:r w:rsidRPr="00153E12">
        <w:rPr>
          <w:sz w:val="20"/>
          <w:szCs w:val="20"/>
        </w:rPr>
        <w:t xml:space="preserve">PTX3: </w:t>
      </w:r>
      <w:proofErr w:type="spellStart"/>
      <w:r w:rsidRPr="00153E12">
        <w:rPr>
          <w:sz w:val="20"/>
          <w:szCs w:val="20"/>
        </w:rPr>
        <w:t>pentraxin</w:t>
      </w:r>
      <w:proofErr w:type="spellEnd"/>
      <w:r w:rsidRPr="00153E12">
        <w:rPr>
          <w:sz w:val="20"/>
          <w:szCs w:val="20"/>
        </w:rPr>
        <w:t xml:space="preserve"> 3;</w:t>
      </w:r>
      <w:r w:rsidR="00153E12">
        <w:rPr>
          <w:sz w:val="20"/>
          <w:szCs w:val="20"/>
        </w:rPr>
        <w:t xml:space="preserve"> </w:t>
      </w:r>
      <w:r w:rsidRPr="00153E12">
        <w:rPr>
          <w:sz w:val="20"/>
          <w:szCs w:val="20"/>
        </w:rPr>
        <w:t xml:space="preserve">IQR: </w:t>
      </w:r>
      <w:proofErr w:type="spellStart"/>
      <w:r w:rsidRPr="00153E12">
        <w:rPr>
          <w:sz w:val="20"/>
          <w:szCs w:val="20"/>
        </w:rPr>
        <w:t>interquartile</w:t>
      </w:r>
      <w:proofErr w:type="spellEnd"/>
      <w:r w:rsidRPr="00153E12">
        <w:rPr>
          <w:sz w:val="20"/>
          <w:szCs w:val="20"/>
        </w:rPr>
        <w:t xml:space="preserve"> range; p </w:t>
      </w:r>
      <w:r w:rsidRPr="00153E12">
        <w:rPr>
          <w:rFonts w:hint="cs"/>
          <w:sz w:val="20"/>
          <w:szCs w:val="20"/>
        </w:rPr>
        <w:t>&gt;</w:t>
      </w:r>
      <w:r w:rsidRPr="00153E12">
        <w:rPr>
          <w:sz w:val="20"/>
          <w:szCs w:val="20"/>
        </w:rPr>
        <w:t>0.001: highly significant difference.</w:t>
      </w:r>
    </w:p>
    <w:p w:rsidR="008B7439" w:rsidRPr="00153E12" w:rsidRDefault="008B7439" w:rsidP="008B7439">
      <w:pPr>
        <w:snapToGrid w:val="0"/>
        <w:jc w:val="center"/>
        <w:rPr>
          <w:rFonts w:eastAsiaTheme="minorEastAsia"/>
          <w:b/>
          <w:bCs/>
          <w:sz w:val="20"/>
          <w:szCs w:val="20"/>
          <w:lang w:eastAsia="zh-CN"/>
        </w:rPr>
      </w:pPr>
    </w:p>
    <w:p w:rsidR="005272C8" w:rsidRPr="00153E12" w:rsidRDefault="005272C8" w:rsidP="00871EB9">
      <w:pPr>
        <w:snapToGrid w:val="0"/>
        <w:jc w:val="both"/>
        <w:rPr>
          <w:sz w:val="20"/>
          <w:szCs w:val="20"/>
        </w:rPr>
      </w:pPr>
      <w:r w:rsidRPr="00153E12">
        <w:rPr>
          <w:b/>
          <w:bCs/>
          <w:sz w:val="20"/>
          <w:szCs w:val="20"/>
        </w:rPr>
        <w:t>Table (3):</w:t>
      </w:r>
      <w:r w:rsidRPr="00153E12">
        <w:rPr>
          <w:sz w:val="20"/>
          <w:szCs w:val="20"/>
        </w:rPr>
        <w:t xml:space="preserve"> Between- two groups- comparison of PTX 3 levels in the different HD patient subgroups according to Davis co-morbidity index and malnutrition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1"/>
        <w:gridCol w:w="1593"/>
        <w:gridCol w:w="1952"/>
      </w:tblGrid>
      <w:tr w:rsidR="005272C8" w:rsidRPr="00153E12" w:rsidTr="00871EB9">
        <w:trPr>
          <w:jc w:val="center"/>
        </w:trPr>
        <w:tc>
          <w:tcPr>
            <w:tcW w:w="3149" w:type="pct"/>
            <w:vMerge w:val="restart"/>
            <w:tcBorders>
              <w:top w:val="single" w:sz="4" w:space="0" w:color="auto"/>
              <w:left w:val="single" w:sz="4" w:space="0" w:color="auto"/>
              <w:bottom w:val="single" w:sz="4" w:space="0" w:color="auto"/>
              <w:right w:val="single" w:sz="4" w:space="0" w:color="auto"/>
            </w:tcBorders>
            <w:vAlign w:val="center"/>
          </w:tcPr>
          <w:p w:rsidR="005272C8" w:rsidRPr="00153E12" w:rsidRDefault="005272C8" w:rsidP="008B7439">
            <w:pPr>
              <w:snapToGrid w:val="0"/>
              <w:jc w:val="both"/>
              <w:rPr>
                <w:b/>
                <w:bCs/>
                <w:color w:val="000000"/>
                <w:sz w:val="20"/>
                <w:szCs w:val="20"/>
              </w:rPr>
            </w:pPr>
            <w:r w:rsidRPr="00153E12">
              <w:rPr>
                <w:b/>
                <w:bCs/>
                <w:color w:val="000000"/>
                <w:sz w:val="20"/>
                <w:szCs w:val="20"/>
              </w:rPr>
              <w:t>Parameters</w:t>
            </w:r>
          </w:p>
        </w:tc>
        <w:tc>
          <w:tcPr>
            <w:tcW w:w="1851" w:type="pct"/>
            <w:gridSpan w:val="2"/>
            <w:tcBorders>
              <w:top w:val="single" w:sz="4" w:space="0" w:color="auto"/>
              <w:left w:val="single" w:sz="4" w:space="0" w:color="auto"/>
              <w:bottom w:val="single" w:sz="4" w:space="0" w:color="auto"/>
              <w:right w:val="single" w:sz="18" w:space="0" w:color="auto"/>
            </w:tcBorders>
            <w:vAlign w:val="center"/>
          </w:tcPr>
          <w:p w:rsidR="005272C8" w:rsidRPr="00153E12" w:rsidRDefault="005272C8" w:rsidP="00871EB9">
            <w:pPr>
              <w:snapToGrid w:val="0"/>
              <w:jc w:val="both"/>
              <w:rPr>
                <w:b/>
                <w:bCs/>
                <w:color w:val="000000"/>
                <w:sz w:val="20"/>
                <w:szCs w:val="20"/>
              </w:rPr>
            </w:pPr>
            <w:r w:rsidRPr="00153E12">
              <w:rPr>
                <w:b/>
                <w:bCs/>
                <w:color w:val="000000"/>
                <w:sz w:val="20"/>
                <w:szCs w:val="20"/>
              </w:rPr>
              <w:t>PTX3</w:t>
            </w:r>
          </w:p>
        </w:tc>
      </w:tr>
      <w:tr w:rsidR="005272C8" w:rsidRPr="00153E12" w:rsidTr="00871EB9">
        <w:trPr>
          <w:jc w:val="center"/>
        </w:trPr>
        <w:tc>
          <w:tcPr>
            <w:tcW w:w="3149" w:type="pct"/>
            <w:vMerge/>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b/>
                <w:bCs/>
                <w:color w:val="000000"/>
                <w:sz w:val="20"/>
                <w:szCs w:val="20"/>
              </w:rPr>
            </w:pPr>
          </w:p>
        </w:tc>
        <w:tc>
          <w:tcPr>
            <w:tcW w:w="832"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b/>
                <w:bCs/>
                <w:color w:val="000000"/>
                <w:sz w:val="20"/>
                <w:szCs w:val="20"/>
              </w:rPr>
            </w:pPr>
            <w:r w:rsidRPr="00153E12">
              <w:rPr>
                <w:b/>
                <w:bCs/>
                <w:color w:val="000000"/>
                <w:sz w:val="20"/>
                <w:szCs w:val="20"/>
              </w:rPr>
              <w:t>Z</w:t>
            </w:r>
          </w:p>
        </w:tc>
        <w:tc>
          <w:tcPr>
            <w:tcW w:w="1018" w:type="pct"/>
            <w:tcBorders>
              <w:top w:val="single" w:sz="4" w:space="0" w:color="auto"/>
              <w:left w:val="single" w:sz="4" w:space="0" w:color="auto"/>
              <w:bottom w:val="single" w:sz="4" w:space="0" w:color="auto"/>
              <w:right w:val="single" w:sz="18" w:space="0" w:color="auto"/>
            </w:tcBorders>
            <w:vAlign w:val="center"/>
            <w:hideMark/>
          </w:tcPr>
          <w:p w:rsidR="005272C8" w:rsidRPr="00153E12" w:rsidRDefault="005272C8" w:rsidP="008B7439">
            <w:pPr>
              <w:snapToGrid w:val="0"/>
              <w:jc w:val="both"/>
              <w:rPr>
                <w:b/>
                <w:bCs/>
                <w:color w:val="000000"/>
                <w:sz w:val="20"/>
                <w:szCs w:val="20"/>
              </w:rPr>
            </w:pPr>
            <w:r w:rsidRPr="00153E12">
              <w:rPr>
                <w:b/>
                <w:bCs/>
                <w:color w:val="000000"/>
                <w:sz w:val="20"/>
                <w:szCs w:val="20"/>
              </w:rPr>
              <w:t>p</w:t>
            </w:r>
          </w:p>
        </w:tc>
      </w:tr>
      <w:tr w:rsidR="005272C8" w:rsidRPr="00153E12" w:rsidTr="00871EB9">
        <w:trPr>
          <w:jc w:val="center"/>
        </w:trPr>
        <w:tc>
          <w:tcPr>
            <w:tcW w:w="3149"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rFonts w:eastAsia="Calibri"/>
                <w:b/>
                <w:bCs/>
                <w:color w:val="000000"/>
                <w:sz w:val="20"/>
                <w:szCs w:val="20"/>
              </w:rPr>
            </w:pPr>
            <w:r w:rsidRPr="00153E12">
              <w:rPr>
                <w:b/>
                <w:bCs/>
                <w:color w:val="000000"/>
                <w:sz w:val="20"/>
                <w:szCs w:val="20"/>
              </w:rPr>
              <w:t>Davies co-morbidity index</w:t>
            </w:r>
          </w:p>
          <w:p w:rsidR="005272C8" w:rsidRPr="00153E12" w:rsidRDefault="005272C8" w:rsidP="008B7439">
            <w:pPr>
              <w:snapToGrid w:val="0"/>
              <w:jc w:val="both"/>
              <w:rPr>
                <w:color w:val="000000"/>
                <w:sz w:val="20"/>
                <w:szCs w:val="20"/>
              </w:rPr>
            </w:pPr>
            <w:r w:rsidRPr="00153E12">
              <w:rPr>
                <w:color w:val="000000"/>
                <w:sz w:val="20"/>
                <w:szCs w:val="20"/>
              </w:rPr>
              <w:t xml:space="preserve">Low </w:t>
            </w:r>
            <w:proofErr w:type="spellStart"/>
            <w:r w:rsidRPr="00153E12">
              <w:rPr>
                <w:color w:val="000000"/>
                <w:sz w:val="20"/>
                <w:szCs w:val="20"/>
              </w:rPr>
              <w:t>vs</w:t>
            </w:r>
            <w:proofErr w:type="spellEnd"/>
            <w:r w:rsidRPr="00153E12">
              <w:rPr>
                <w:color w:val="000000"/>
                <w:sz w:val="20"/>
                <w:szCs w:val="20"/>
              </w:rPr>
              <w:t xml:space="preserve"> Medium</w:t>
            </w:r>
          </w:p>
        </w:tc>
        <w:tc>
          <w:tcPr>
            <w:tcW w:w="832" w:type="pct"/>
            <w:tcBorders>
              <w:top w:val="single" w:sz="4" w:space="0" w:color="auto"/>
              <w:left w:val="single" w:sz="4" w:space="0" w:color="auto"/>
              <w:bottom w:val="single" w:sz="4" w:space="0" w:color="auto"/>
              <w:right w:val="single" w:sz="4" w:space="0" w:color="auto"/>
            </w:tcBorders>
            <w:shd w:val="clear" w:color="auto" w:fill="BFBFBF"/>
            <w:vAlign w:val="center"/>
          </w:tcPr>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-2.50</w:t>
            </w:r>
          </w:p>
        </w:tc>
        <w:tc>
          <w:tcPr>
            <w:tcW w:w="1018" w:type="pct"/>
            <w:tcBorders>
              <w:top w:val="single" w:sz="4" w:space="0" w:color="auto"/>
              <w:left w:val="single" w:sz="4" w:space="0" w:color="auto"/>
              <w:bottom w:val="single" w:sz="4" w:space="0" w:color="auto"/>
              <w:right w:val="single" w:sz="18" w:space="0" w:color="auto"/>
            </w:tcBorders>
            <w:shd w:val="clear" w:color="auto" w:fill="BFBFBF"/>
            <w:vAlign w:val="center"/>
          </w:tcPr>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0.05</w:t>
            </w:r>
          </w:p>
        </w:tc>
      </w:tr>
      <w:tr w:rsidR="005272C8" w:rsidRPr="00153E12" w:rsidTr="00871EB9">
        <w:trPr>
          <w:jc w:val="center"/>
        </w:trPr>
        <w:tc>
          <w:tcPr>
            <w:tcW w:w="3149"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color w:val="000000"/>
                <w:sz w:val="20"/>
                <w:szCs w:val="20"/>
              </w:rPr>
            </w:pPr>
            <w:r w:rsidRPr="00153E12">
              <w:rPr>
                <w:color w:val="000000"/>
                <w:sz w:val="20"/>
                <w:szCs w:val="20"/>
              </w:rPr>
              <w:t xml:space="preserve">Low </w:t>
            </w:r>
            <w:proofErr w:type="spellStart"/>
            <w:r w:rsidRPr="00153E12">
              <w:rPr>
                <w:color w:val="000000"/>
                <w:sz w:val="20"/>
                <w:szCs w:val="20"/>
              </w:rPr>
              <w:t>vs</w:t>
            </w:r>
            <w:proofErr w:type="spellEnd"/>
            <w:r w:rsidRPr="00153E12">
              <w:rPr>
                <w:color w:val="000000"/>
                <w:sz w:val="20"/>
                <w:szCs w:val="20"/>
              </w:rPr>
              <w:t xml:space="preserve"> High</w:t>
            </w:r>
          </w:p>
        </w:tc>
        <w:tc>
          <w:tcPr>
            <w:tcW w:w="832" w:type="pct"/>
            <w:tcBorders>
              <w:top w:val="single" w:sz="4" w:space="0" w:color="auto"/>
              <w:left w:val="single" w:sz="4" w:space="0" w:color="auto"/>
              <w:bottom w:val="single" w:sz="4" w:space="0" w:color="auto"/>
              <w:right w:val="single" w:sz="4"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color w:val="000000"/>
                <w:sz w:val="20"/>
                <w:szCs w:val="20"/>
              </w:rPr>
              <w:t>-4.38</w:t>
            </w:r>
          </w:p>
        </w:tc>
        <w:tc>
          <w:tcPr>
            <w:tcW w:w="1018" w:type="pct"/>
            <w:tcBorders>
              <w:top w:val="single" w:sz="4" w:space="0" w:color="auto"/>
              <w:left w:val="single" w:sz="4" w:space="0" w:color="auto"/>
              <w:bottom w:val="single" w:sz="4" w:space="0" w:color="auto"/>
              <w:right w:val="single" w:sz="18"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0.001</w:t>
            </w:r>
          </w:p>
        </w:tc>
      </w:tr>
      <w:tr w:rsidR="005272C8" w:rsidRPr="00153E12" w:rsidTr="00871EB9">
        <w:trPr>
          <w:jc w:val="center"/>
        </w:trPr>
        <w:tc>
          <w:tcPr>
            <w:tcW w:w="3149" w:type="pct"/>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rFonts w:eastAsia="Calibri"/>
                <w:color w:val="000000"/>
                <w:sz w:val="20"/>
                <w:szCs w:val="20"/>
              </w:rPr>
            </w:pPr>
            <w:proofErr w:type="spellStart"/>
            <w:r w:rsidRPr="00153E12">
              <w:rPr>
                <w:color w:val="000000"/>
                <w:sz w:val="20"/>
                <w:szCs w:val="20"/>
              </w:rPr>
              <w:t>MediumvsHigh</w:t>
            </w:r>
            <w:proofErr w:type="spellEnd"/>
          </w:p>
        </w:tc>
        <w:tc>
          <w:tcPr>
            <w:tcW w:w="832" w:type="pct"/>
            <w:tcBorders>
              <w:top w:val="single" w:sz="4" w:space="0" w:color="auto"/>
              <w:left w:val="single" w:sz="4" w:space="0" w:color="auto"/>
              <w:bottom w:val="single" w:sz="18" w:space="0" w:color="auto"/>
              <w:right w:val="single" w:sz="4"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color w:val="000000"/>
                <w:sz w:val="20"/>
                <w:szCs w:val="20"/>
              </w:rPr>
              <w:t>-4.49</w:t>
            </w:r>
          </w:p>
        </w:tc>
        <w:tc>
          <w:tcPr>
            <w:tcW w:w="1018" w:type="pct"/>
            <w:tcBorders>
              <w:top w:val="single" w:sz="4" w:space="0" w:color="auto"/>
              <w:left w:val="single" w:sz="4" w:space="0" w:color="auto"/>
              <w:bottom w:val="single" w:sz="18" w:space="0" w:color="auto"/>
              <w:right w:val="single" w:sz="18"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0.001</w:t>
            </w:r>
          </w:p>
        </w:tc>
      </w:tr>
      <w:tr w:rsidR="005272C8" w:rsidRPr="00153E12" w:rsidTr="00871EB9">
        <w:trPr>
          <w:jc w:val="center"/>
        </w:trPr>
        <w:tc>
          <w:tcPr>
            <w:tcW w:w="3149" w:type="pct"/>
            <w:tcBorders>
              <w:top w:val="single" w:sz="18"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rFonts w:eastAsia="Calibri"/>
                <w:b/>
                <w:bCs/>
                <w:color w:val="000000"/>
                <w:sz w:val="20"/>
                <w:szCs w:val="20"/>
              </w:rPr>
            </w:pPr>
            <w:r w:rsidRPr="00153E12">
              <w:rPr>
                <w:b/>
                <w:bCs/>
                <w:color w:val="000000"/>
                <w:sz w:val="20"/>
                <w:szCs w:val="20"/>
              </w:rPr>
              <w:t>Malnutrition Score</w:t>
            </w:r>
          </w:p>
          <w:p w:rsidR="005272C8" w:rsidRPr="00153E12" w:rsidRDefault="005272C8" w:rsidP="008B7439">
            <w:pPr>
              <w:snapToGrid w:val="0"/>
              <w:jc w:val="both"/>
              <w:rPr>
                <w:color w:val="000000"/>
                <w:sz w:val="20"/>
                <w:szCs w:val="20"/>
              </w:rPr>
            </w:pPr>
            <w:r w:rsidRPr="00153E12">
              <w:rPr>
                <w:color w:val="000000"/>
                <w:sz w:val="20"/>
                <w:szCs w:val="20"/>
              </w:rPr>
              <w:t xml:space="preserve">Mild </w:t>
            </w:r>
            <w:proofErr w:type="spellStart"/>
            <w:r w:rsidRPr="00153E12">
              <w:rPr>
                <w:color w:val="000000"/>
                <w:sz w:val="20"/>
                <w:szCs w:val="20"/>
              </w:rPr>
              <w:t>vs</w:t>
            </w:r>
            <w:proofErr w:type="spellEnd"/>
            <w:r w:rsidRPr="00153E12">
              <w:rPr>
                <w:color w:val="000000"/>
                <w:sz w:val="20"/>
                <w:szCs w:val="20"/>
              </w:rPr>
              <w:t xml:space="preserve"> Moderate</w:t>
            </w:r>
          </w:p>
        </w:tc>
        <w:tc>
          <w:tcPr>
            <w:tcW w:w="832" w:type="pct"/>
            <w:tcBorders>
              <w:top w:val="single" w:sz="18" w:space="0" w:color="auto"/>
              <w:left w:val="single" w:sz="4" w:space="0" w:color="auto"/>
              <w:bottom w:val="single" w:sz="4" w:space="0" w:color="auto"/>
              <w:right w:val="single" w:sz="4" w:space="0" w:color="auto"/>
            </w:tcBorders>
            <w:vAlign w:val="center"/>
          </w:tcPr>
          <w:p w:rsidR="005272C8" w:rsidRPr="00153E12" w:rsidRDefault="005272C8" w:rsidP="008B7439">
            <w:pPr>
              <w:snapToGrid w:val="0"/>
              <w:jc w:val="both"/>
              <w:rPr>
                <w:color w:val="000000"/>
                <w:sz w:val="20"/>
                <w:szCs w:val="20"/>
              </w:rPr>
            </w:pPr>
            <w:r w:rsidRPr="00153E12">
              <w:rPr>
                <w:color w:val="000000"/>
                <w:sz w:val="20"/>
                <w:szCs w:val="20"/>
              </w:rPr>
              <w:t>-1.55</w:t>
            </w:r>
          </w:p>
        </w:tc>
        <w:tc>
          <w:tcPr>
            <w:tcW w:w="1018" w:type="pct"/>
            <w:tcBorders>
              <w:top w:val="single" w:sz="18" w:space="0" w:color="auto"/>
              <w:left w:val="single" w:sz="4" w:space="0" w:color="auto"/>
              <w:bottom w:val="single" w:sz="4" w:space="0" w:color="auto"/>
              <w:right w:val="single" w:sz="18" w:space="0" w:color="auto"/>
            </w:tcBorders>
            <w:vAlign w:val="center"/>
          </w:tcPr>
          <w:p w:rsidR="005272C8" w:rsidRPr="00153E12" w:rsidRDefault="005272C8" w:rsidP="008B7439">
            <w:pPr>
              <w:snapToGrid w:val="0"/>
              <w:jc w:val="both"/>
              <w:rPr>
                <w:color w:val="000000"/>
                <w:sz w:val="20"/>
                <w:szCs w:val="20"/>
              </w:rPr>
            </w:pPr>
            <w:r w:rsidRPr="00153E12">
              <w:rPr>
                <w:rFonts w:hint="cs"/>
                <w:color w:val="000000"/>
                <w:sz w:val="20"/>
                <w:szCs w:val="20"/>
              </w:rPr>
              <w:t>&lt;</w:t>
            </w:r>
            <w:r w:rsidRPr="00153E12">
              <w:rPr>
                <w:color w:val="000000"/>
                <w:sz w:val="20"/>
                <w:szCs w:val="20"/>
              </w:rPr>
              <w:t>0.05</w:t>
            </w:r>
          </w:p>
        </w:tc>
      </w:tr>
      <w:tr w:rsidR="005272C8" w:rsidRPr="00153E12" w:rsidTr="00871EB9">
        <w:trPr>
          <w:jc w:val="center"/>
        </w:trPr>
        <w:tc>
          <w:tcPr>
            <w:tcW w:w="3149" w:type="pct"/>
            <w:tcBorders>
              <w:top w:val="single" w:sz="4" w:space="0" w:color="auto"/>
              <w:left w:val="single" w:sz="4" w:space="0" w:color="auto"/>
              <w:bottom w:val="single" w:sz="4" w:space="0" w:color="auto"/>
              <w:right w:val="single" w:sz="4" w:space="0" w:color="auto"/>
            </w:tcBorders>
            <w:vAlign w:val="center"/>
            <w:hideMark/>
          </w:tcPr>
          <w:p w:rsidR="005272C8" w:rsidRPr="00153E12" w:rsidRDefault="005272C8" w:rsidP="008B7439">
            <w:pPr>
              <w:snapToGrid w:val="0"/>
              <w:jc w:val="both"/>
              <w:rPr>
                <w:rFonts w:eastAsia="Calibri"/>
                <w:color w:val="000000"/>
                <w:sz w:val="20"/>
                <w:szCs w:val="20"/>
              </w:rPr>
            </w:pPr>
            <w:proofErr w:type="spellStart"/>
            <w:r w:rsidRPr="00153E12">
              <w:rPr>
                <w:color w:val="000000"/>
                <w:sz w:val="20"/>
                <w:szCs w:val="20"/>
              </w:rPr>
              <w:t>Mildvs</w:t>
            </w:r>
            <w:proofErr w:type="spellEnd"/>
            <w:r w:rsidRPr="00153E12">
              <w:rPr>
                <w:color w:val="000000"/>
                <w:sz w:val="20"/>
                <w:szCs w:val="20"/>
              </w:rPr>
              <w:t xml:space="preserve"> Severe</w:t>
            </w:r>
          </w:p>
        </w:tc>
        <w:tc>
          <w:tcPr>
            <w:tcW w:w="832" w:type="pct"/>
            <w:tcBorders>
              <w:top w:val="single" w:sz="4" w:space="0" w:color="auto"/>
              <w:left w:val="single" w:sz="4" w:space="0" w:color="auto"/>
              <w:bottom w:val="single" w:sz="4" w:space="0" w:color="auto"/>
              <w:right w:val="single" w:sz="4"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color w:val="000000"/>
                <w:sz w:val="20"/>
                <w:szCs w:val="20"/>
              </w:rPr>
              <w:t>-4.14</w:t>
            </w:r>
          </w:p>
        </w:tc>
        <w:tc>
          <w:tcPr>
            <w:tcW w:w="1018" w:type="pct"/>
            <w:tcBorders>
              <w:top w:val="single" w:sz="4" w:space="0" w:color="auto"/>
              <w:left w:val="single" w:sz="4" w:space="0" w:color="auto"/>
              <w:bottom w:val="single" w:sz="4" w:space="0" w:color="auto"/>
              <w:right w:val="single" w:sz="18"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0.001</w:t>
            </w:r>
          </w:p>
        </w:tc>
      </w:tr>
      <w:tr w:rsidR="005272C8" w:rsidRPr="00153E12" w:rsidTr="00871EB9">
        <w:trPr>
          <w:jc w:val="center"/>
        </w:trPr>
        <w:tc>
          <w:tcPr>
            <w:tcW w:w="3149" w:type="pct"/>
            <w:tcBorders>
              <w:top w:val="single" w:sz="4" w:space="0" w:color="auto"/>
              <w:left w:val="single" w:sz="4" w:space="0" w:color="auto"/>
              <w:bottom w:val="single" w:sz="18" w:space="0" w:color="auto"/>
              <w:right w:val="single" w:sz="4" w:space="0" w:color="auto"/>
            </w:tcBorders>
            <w:vAlign w:val="center"/>
            <w:hideMark/>
          </w:tcPr>
          <w:p w:rsidR="005272C8" w:rsidRPr="00153E12" w:rsidRDefault="005272C8" w:rsidP="008B7439">
            <w:pPr>
              <w:snapToGrid w:val="0"/>
              <w:jc w:val="both"/>
              <w:rPr>
                <w:rFonts w:eastAsia="Calibri"/>
                <w:color w:val="000000"/>
                <w:sz w:val="20"/>
                <w:szCs w:val="20"/>
              </w:rPr>
            </w:pPr>
            <w:proofErr w:type="spellStart"/>
            <w:r w:rsidRPr="00153E12">
              <w:rPr>
                <w:color w:val="000000"/>
                <w:sz w:val="20"/>
                <w:szCs w:val="20"/>
              </w:rPr>
              <w:t>ModerateVs</w:t>
            </w:r>
            <w:proofErr w:type="spellEnd"/>
            <w:r w:rsidRPr="00153E12">
              <w:rPr>
                <w:color w:val="000000"/>
                <w:sz w:val="20"/>
                <w:szCs w:val="20"/>
              </w:rPr>
              <w:t xml:space="preserve"> Severe</w:t>
            </w:r>
          </w:p>
        </w:tc>
        <w:tc>
          <w:tcPr>
            <w:tcW w:w="832" w:type="pct"/>
            <w:tcBorders>
              <w:top w:val="single" w:sz="4" w:space="0" w:color="auto"/>
              <w:left w:val="single" w:sz="4" w:space="0" w:color="auto"/>
              <w:bottom w:val="single" w:sz="18" w:space="0" w:color="auto"/>
              <w:right w:val="single" w:sz="4"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color w:val="000000"/>
                <w:sz w:val="20"/>
                <w:szCs w:val="20"/>
              </w:rPr>
              <w:t>-3.92</w:t>
            </w:r>
          </w:p>
        </w:tc>
        <w:tc>
          <w:tcPr>
            <w:tcW w:w="1018" w:type="pct"/>
            <w:tcBorders>
              <w:top w:val="single" w:sz="4" w:space="0" w:color="auto"/>
              <w:left w:val="single" w:sz="4" w:space="0" w:color="auto"/>
              <w:bottom w:val="single" w:sz="18" w:space="0" w:color="auto"/>
              <w:right w:val="single" w:sz="18" w:space="0" w:color="auto"/>
            </w:tcBorders>
            <w:shd w:val="clear" w:color="auto" w:fill="BFBFBF"/>
            <w:vAlign w:val="center"/>
          </w:tcPr>
          <w:p w:rsidR="005272C8" w:rsidRPr="00153E12" w:rsidRDefault="005272C8" w:rsidP="008B7439">
            <w:pPr>
              <w:snapToGrid w:val="0"/>
              <w:jc w:val="both"/>
              <w:rPr>
                <w:color w:val="000000"/>
                <w:sz w:val="20"/>
                <w:szCs w:val="20"/>
              </w:rPr>
            </w:pPr>
            <w:r w:rsidRPr="00153E12">
              <w:rPr>
                <w:rFonts w:hint="cs"/>
                <w:color w:val="000000"/>
                <w:sz w:val="20"/>
                <w:szCs w:val="20"/>
              </w:rPr>
              <w:t>&gt;</w:t>
            </w:r>
            <w:r w:rsidRPr="00153E12">
              <w:rPr>
                <w:color w:val="000000"/>
                <w:sz w:val="20"/>
                <w:szCs w:val="20"/>
              </w:rPr>
              <w:t>0.001</w:t>
            </w:r>
          </w:p>
        </w:tc>
      </w:tr>
    </w:tbl>
    <w:p w:rsidR="005272C8" w:rsidRPr="00153E12" w:rsidRDefault="005272C8" w:rsidP="008B7439">
      <w:pPr>
        <w:snapToGrid w:val="0"/>
        <w:ind w:firstLine="425"/>
        <w:jc w:val="both"/>
        <w:rPr>
          <w:sz w:val="20"/>
          <w:szCs w:val="20"/>
        </w:rPr>
      </w:pPr>
      <w:r w:rsidRPr="00153E12">
        <w:rPr>
          <w:sz w:val="20"/>
          <w:szCs w:val="20"/>
        </w:rPr>
        <w:t xml:space="preserve">PTX3: </w:t>
      </w:r>
      <w:proofErr w:type="spellStart"/>
      <w:r w:rsidRPr="00153E12">
        <w:rPr>
          <w:sz w:val="20"/>
          <w:szCs w:val="20"/>
        </w:rPr>
        <w:t>pentraxin</w:t>
      </w:r>
      <w:proofErr w:type="spellEnd"/>
      <w:r w:rsidRPr="00153E12">
        <w:rPr>
          <w:sz w:val="20"/>
          <w:szCs w:val="20"/>
        </w:rPr>
        <w:t xml:space="preserve"> 3; HD: </w:t>
      </w:r>
      <w:proofErr w:type="spellStart"/>
      <w:r w:rsidRPr="00153E12">
        <w:rPr>
          <w:sz w:val="20"/>
          <w:szCs w:val="20"/>
        </w:rPr>
        <w:t>hemodialysis</w:t>
      </w:r>
      <w:proofErr w:type="spellEnd"/>
      <w:r w:rsidRPr="00153E12">
        <w:rPr>
          <w:sz w:val="20"/>
          <w:szCs w:val="20"/>
        </w:rPr>
        <w:t xml:space="preserve">; P </w:t>
      </w:r>
      <w:r w:rsidRPr="00153E12">
        <w:rPr>
          <w:rFonts w:hint="cs"/>
          <w:sz w:val="20"/>
          <w:szCs w:val="20"/>
        </w:rPr>
        <w:t>&lt;</w:t>
      </w:r>
      <w:r w:rsidRPr="00153E12">
        <w:rPr>
          <w:sz w:val="20"/>
          <w:szCs w:val="20"/>
        </w:rPr>
        <w:t>0.05: non-significant difference</w:t>
      </w:r>
    </w:p>
    <w:p w:rsidR="005272C8" w:rsidRPr="00153E12" w:rsidRDefault="005272C8" w:rsidP="008B7439">
      <w:pPr>
        <w:snapToGrid w:val="0"/>
        <w:ind w:firstLine="425"/>
        <w:jc w:val="both"/>
        <w:rPr>
          <w:sz w:val="20"/>
          <w:szCs w:val="20"/>
        </w:rPr>
      </w:pPr>
      <w:r w:rsidRPr="00153E12">
        <w:rPr>
          <w:sz w:val="20"/>
          <w:szCs w:val="20"/>
        </w:rPr>
        <w:t>p</w:t>
      </w:r>
      <w:r w:rsidRPr="00153E12">
        <w:rPr>
          <w:rFonts w:hint="cs"/>
          <w:sz w:val="20"/>
          <w:szCs w:val="20"/>
        </w:rPr>
        <w:t>&gt;</w:t>
      </w:r>
      <w:r w:rsidRPr="00153E12">
        <w:rPr>
          <w:sz w:val="20"/>
          <w:szCs w:val="20"/>
        </w:rPr>
        <w:t xml:space="preserve">0.05: significant difference; p </w:t>
      </w:r>
      <w:r w:rsidRPr="00153E12">
        <w:rPr>
          <w:rFonts w:hint="cs"/>
          <w:sz w:val="20"/>
          <w:szCs w:val="20"/>
        </w:rPr>
        <w:t>&gt;</w:t>
      </w:r>
      <w:r w:rsidRPr="00153E12">
        <w:rPr>
          <w:sz w:val="20"/>
          <w:szCs w:val="20"/>
        </w:rPr>
        <w:t>0.001: highly significant difference.</w:t>
      </w:r>
    </w:p>
    <w:p w:rsidR="005272C8" w:rsidRPr="00153E12" w:rsidRDefault="005272C8" w:rsidP="008B7439">
      <w:pPr>
        <w:snapToGrid w:val="0"/>
        <w:ind w:firstLine="425"/>
        <w:jc w:val="both"/>
        <w:rPr>
          <w:sz w:val="20"/>
          <w:szCs w:val="20"/>
        </w:rPr>
      </w:pPr>
    </w:p>
    <w:p w:rsidR="005272C8" w:rsidRPr="00153E12" w:rsidRDefault="005272C8" w:rsidP="00871EB9">
      <w:pPr>
        <w:snapToGrid w:val="0"/>
        <w:jc w:val="center"/>
        <w:rPr>
          <w:b/>
          <w:bCs/>
          <w:sz w:val="20"/>
          <w:szCs w:val="20"/>
        </w:rPr>
      </w:pPr>
      <w:r w:rsidRPr="00153E12">
        <w:rPr>
          <w:b/>
          <w:bCs/>
          <w:sz w:val="20"/>
          <w:szCs w:val="20"/>
        </w:rPr>
        <w:t>Table (4):</w:t>
      </w:r>
      <w:r w:rsidRPr="00153E12">
        <w:rPr>
          <w:sz w:val="20"/>
          <w:szCs w:val="20"/>
        </w:rPr>
        <w:t xml:space="preserve"> Odds ratio of </w:t>
      </w:r>
      <w:proofErr w:type="spellStart"/>
      <w:r w:rsidRPr="00153E12">
        <w:rPr>
          <w:sz w:val="20"/>
          <w:szCs w:val="20"/>
        </w:rPr>
        <w:t>pentraxin</w:t>
      </w:r>
      <w:proofErr w:type="spellEnd"/>
      <w:r w:rsidRPr="00153E12">
        <w:rPr>
          <w:sz w:val="20"/>
          <w:szCs w:val="20"/>
        </w:rPr>
        <w:t xml:space="preserve"> 3 in different HD patient subgroups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9"/>
        <w:gridCol w:w="1885"/>
        <w:gridCol w:w="1235"/>
        <w:gridCol w:w="1228"/>
        <w:gridCol w:w="1249"/>
      </w:tblGrid>
      <w:tr w:rsidR="008B7439" w:rsidRPr="00153E12" w:rsidTr="00871EB9">
        <w:trPr>
          <w:jc w:val="center"/>
        </w:trPr>
        <w:tc>
          <w:tcPr>
            <w:tcW w:w="2078" w:type="pct"/>
            <w:vMerge w:val="restart"/>
            <w:tcBorders>
              <w:top w:val="single" w:sz="4"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tc>
        <w:tc>
          <w:tcPr>
            <w:tcW w:w="984" w:type="pct"/>
            <w:vMerge w:val="restart"/>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lang w:bidi="ar-EG"/>
              </w:rPr>
            </w:pPr>
            <w:r w:rsidRPr="00153E12">
              <w:rPr>
                <w:b/>
                <w:bCs/>
                <w:color w:val="000000"/>
                <w:sz w:val="20"/>
                <w:szCs w:val="20"/>
                <w:lang w:bidi="ar-EG"/>
              </w:rPr>
              <w:t>Odds Ratio</w:t>
            </w:r>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lang w:bidi="ar-EG"/>
              </w:rPr>
            </w:pPr>
            <w:r w:rsidRPr="00153E12">
              <w:rPr>
                <w:b/>
                <w:bCs/>
                <w:color w:val="000000"/>
                <w:sz w:val="20"/>
                <w:szCs w:val="20"/>
                <w:lang w:bidi="ar-EG"/>
              </w:rPr>
              <w:t xml:space="preserve">95% </w:t>
            </w:r>
            <w:proofErr w:type="spellStart"/>
            <w:r w:rsidRPr="00153E12">
              <w:rPr>
                <w:b/>
                <w:bCs/>
                <w:color w:val="000000"/>
                <w:sz w:val="20"/>
                <w:szCs w:val="20"/>
                <w:lang w:bidi="ar-EG"/>
              </w:rPr>
              <w:t>Cl</w:t>
            </w:r>
            <w:proofErr w:type="spellEnd"/>
          </w:p>
        </w:tc>
        <w:tc>
          <w:tcPr>
            <w:tcW w:w="652" w:type="pct"/>
            <w:vMerge w:val="restart"/>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rPr>
            </w:pPr>
            <w:r w:rsidRPr="00153E12">
              <w:rPr>
                <w:b/>
                <w:bCs/>
                <w:color w:val="000000"/>
                <w:sz w:val="20"/>
                <w:szCs w:val="20"/>
                <w:lang w:bidi="ar-EG"/>
              </w:rPr>
              <w:t>p</w:t>
            </w:r>
          </w:p>
        </w:tc>
      </w:tr>
      <w:tr w:rsidR="008B7439" w:rsidRPr="00153E12" w:rsidTr="00871EB9">
        <w:trPr>
          <w:jc w:val="center"/>
        </w:trPr>
        <w:tc>
          <w:tcPr>
            <w:tcW w:w="2078" w:type="pct"/>
            <w:vMerge/>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color w:val="000000"/>
                <w:sz w:val="20"/>
                <w:szCs w:val="20"/>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lang w:bidi="ar-EG"/>
              </w:rPr>
            </w:pPr>
          </w:p>
        </w:tc>
        <w:tc>
          <w:tcPr>
            <w:tcW w:w="645" w:type="pct"/>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lang w:bidi="ar-EG"/>
              </w:rPr>
            </w:pPr>
            <w:r w:rsidRPr="00153E12">
              <w:rPr>
                <w:b/>
                <w:bCs/>
                <w:color w:val="000000"/>
                <w:sz w:val="20"/>
                <w:szCs w:val="20"/>
                <w:lang w:bidi="ar-EG"/>
              </w:rPr>
              <w:t>Lower</w:t>
            </w:r>
          </w:p>
        </w:tc>
        <w:tc>
          <w:tcPr>
            <w:tcW w:w="641" w:type="pct"/>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lang w:bidi="ar-EG"/>
              </w:rPr>
            </w:pPr>
            <w:r w:rsidRPr="00153E12">
              <w:rPr>
                <w:b/>
                <w:bCs/>
                <w:color w:val="000000"/>
                <w:sz w:val="20"/>
                <w:szCs w:val="20"/>
                <w:lang w:bidi="ar-EG"/>
              </w:rPr>
              <w:t>Upper</w:t>
            </w: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rPr>
            </w:pPr>
          </w:p>
        </w:tc>
      </w:tr>
      <w:tr w:rsidR="008B7439" w:rsidRPr="00153E12" w:rsidTr="00871EB9">
        <w:trPr>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u w:val="single"/>
                <w:lang w:bidi="ar-EG"/>
              </w:rPr>
            </w:pPr>
            <w:r w:rsidRPr="00153E12">
              <w:rPr>
                <w:b/>
                <w:bCs/>
                <w:color w:val="000000"/>
                <w:sz w:val="20"/>
                <w:szCs w:val="20"/>
                <w:u w:val="single"/>
                <w:lang w:bidi="ar-EG"/>
              </w:rPr>
              <w:t>Davis co-morbidity score</w:t>
            </w:r>
          </w:p>
          <w:p w:rsidR="008B7439" w:rsidRPr="00153E12" w:rsidRDefault="008B7439" w:rsidP="008B7439">
            <w:pPr>
              <w:snapToGrid w:val="0"/>
              <w:jc w:val="both"/>
              <w:rPr>
                <w:color w:val="000000"/>
                <w:sz w:val="20"/>
                <w:szCs w:val="20"/>
                <w:lang w:bidi="ar-EG"/>
              </w:rPr>
            </w:pPr>
            <w:r w:rsidRPr="00153E12">
              <w:rPr>
                <w:color w:val="000000"/>
                <w:sz w:val="20"/>
                <w:szCs w:val="20"/>
                <w:lang w:bidi="ar-EG"/>
              </w:rPr>
              <w:t>High and medium</w:t>
            </w:r>
            <w:r w:rsidR="00153E12">
              <w:rPr>
                <w:color w:val="000000"/>
                <w:sz w:val="20"/>
                <w:szCs w:val="20"/>
                <w:lang w:bidi="ar-EG"/>
              </w:rPr>
              <w:t xml:space="preserve"> </w:t>
            </w:r>
            <w:proofErr w:type="spellStart"/>
            <w:r w:rsidRPr="00153E12">
              <w:rPr>
                <w:color w:val="000000"/>
                <w:sz w:val="20"/>
                <w:szCs w:val="20"/>
                <w:lang w:bidi="ar-EG"/>
              </w:rPr>
              <w:t>vs</w:t>
            </w:r>
            <w:proofErr w:type="spellEnd"/>
            <w:r w:rsidR="00153E12">
              <w:rPr>
                <w:color w:val="000000"/>
                <w:sz w:val="20"/>
                <w:szCs w:val="20"/>
                <w:lang w:bidi="ar-EG"/>
              </w:rPr>
              <w:t xml:space="preserve"> </w:t>
            </w:r>
            <w:r w:rsidRPr="00153E12">
              <w:rPr>
                <w:color w:val="000000"/>
                <w:sz w:val="20"/>
                <w:szCs w:val="20"/>
                <w:lang w:bidi="ar-EG"/>
              </w:rPr>
              <w:t>low</w:t>
            </w:r>
          </w:p>
        </w:tc>
        <w:tc>
          <w:tcPr>
            <w:tcW w:w="984" w:type="pct"/>
            <w:tcBorders>
              <w:top w:val="single" w:sz="4"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rPr>
            </w:pPr>
            <w:r w:rsidRPr="00153E12">
              <w:rPr>
                <w:color w:val="000000"/>
                <w:sz w:val="20"/>
                <w:szCs w:val="20"/>
              </w:rPr>
              <w:t>28.78</w:t>
            </w:r>
          </w:p>
        </w:tc>
        <w:tc>
          <w:tcPr>
            <w:tcW w:w="645" w:type="pct"/>
            <w:tcBorders>
              <w:top w:val="single" w:sz="4"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rPr>
            </w:pPr>
            <w:r w:rsidRPr="00153E12">
              <w:rPr>
                <w:color w:val="000000"/>
                <w:sz w:val="20"/>
                <w:szCs w:val="20"/>
              </w:rPr>
              <w:t>4.79</w:t>
            </w:r>
          </w:p>
        </w:tc>
        <w:tc>
          <w:tcPr>
            <w:tcW w:w="641" w:type="pct"/>
            <w:tcBorders>
              <w:top w:val="single" w:sz="4"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rPr>
            </w:pPr>
            <w:r w:rsidRPr="00153E12">
              <w:rPr>
                <w:color w:val="000000"/>
                <w:sz w:val="20"/>
                <w:szCs w:val="20"/>
              </w:rPr>
              <w:t>172.82</w:t>
            </w:r>
          </w:p>
        </w:tc>
        <w:tc>
          <w:tcPr>
            <w:tcW w:w="652" w:type="pct"/>
            <w:tcBorders>
              <w:top w:val="single" w:sz="4" w:space="0" w:color="auto"/>
              <w:left w:val="single" w:sz="4" w:space="0" w:color="auto"/>
              <w:bottom w:val="single" w:sz="4" w:space="0" w:color="auto"/>
              <w:right w:val="single" w:sz="4" w:space="0" w:color="auto"/>
            </w:tcBorders>
            <w:shd w:val="clear" w:color="auto" w:fill="BFBFBF"/>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lang w:bidi="ar-EG"/>
              </w:rPr>
            </w:pPr>
            <w:r w:rsidRPr="00153E12">
              <w:rPr>
                <w:color w:val="000000"/>
                <w:sz w:val="20"/>
                <w:szCs w:val="20"/>
              </w:rPr>
              <w:t>&lt;0.001</w:t>
            </w:r>
          </w:p>
        </w:tc>
      </w:tr>
      <w:tr w:rsidR="008B7439" w:rsidRPr="00153E12" w:rsidTr="00871EB9">
        <w:trPr>
          <w:jc w:val="center"/>
        </w:trPr>
        <w:tc>
          <w:tcPr>
            <w:tcW w:w="2078" w:type="pct"/>
            <w:tcBorders>
              <w:top w:val="single" w:sz="18" w:space="0" w:color="auto"/>
              <w:left w:val="single" w:sz="4" w:space="0" w:color="auto"/>
              <w:bottom w:val="single" w:sz="4" w:space="0" w:color="auto"/>
              <w:right w:val="single" w:sz="4" w:space="0" w:color="auto"/>
            </w:tcBorders>
            <w:vAlign w:val="center"/>
            <w:hideMark/>
          </w:tcPr>
          <w:p w:rsidR="008B7439" w:rsidRPr="00153E12" w:rsidRDefault="008B7439" w:rsidP="008B7439">
            <w:pPr>
              <w:snapToGrid w:val="0"/>
              <w:jc w:val="both"/>
              <w:rPr>
                <w:b/>
                <w:bCs/>
                <w:color w:val="000000"/>
                <w:sz w:val="20"/>
                <w:szCs w:val="20"/>
                <w:u w:val="single"/>
                <w:lang w:bidi="ar-EG"/>
              </w:rPr>
            </w:pPr>
            <w:r w:rsidRPr="00153E12">
              <w:rPr>
                <w:b/>
                <w:bCs/>
                <w:color w:val="000000"/>
                <w:sz w:val="20"/>
                <w:szCs w:val="20"/>
                <w:u w:val="single"/>
                <w:lang w:bidi="ar-EG"/>
              </w:rPr>
              <w:t>Malnutrition score</w:t>
            </w:r>
          </w:p>
          <w:p w:rsidR="008B7439" w:rsidRPr="00153E12" w:rsidRDefault="008B7439" w:rsidP="008B7439">
            <w:pPr>
              <w:snapToGrid w:val="0"/>
              <w:jc w:val="both"/>
              <w:rPr>
                <w:color w:val="000000"/>
                <w:sz w:val="20"/>
                <w:szCs w:val="20"/>
                <w:lang w:bidi="ar-EG"/>
              </w:rPr>
            </w:pPr>
            <w:r w:rsidRPr="00153E12">
              <w:rPr>
                <w:color w:val="000000"/>
                <w:sz w:val="20"/>
                <w:szCs w:val="20"/>
                <w:lang w:bidi="ar-EG"/>
              </w:rPr>
              <w:t xml:space="preserve">Severe and moderate </w:t>
            </w:r>
            <w:proofErr w:type="spellStart"/>
            <w:r w:rsidRPr="00153E12">
              <w:rPr>
                <w:color w:val="000000"/>
                <w:sz w:val="20"/>
                <w:szCs w:val="20"/>
                <w:lang w:bidi="ar-EG"/>
              </w:rPr>
              <w:t>vs</w:t>
            </w:r>
            <w:proofErr w:type="spellEnd"/>
            <w:r w:rsidRPr="00153E12">
              <w:rPr>
                <w:color w:val="000000"/>
                <w:sz w:val="20"/>
                <w:szCs w:val="20"/>
                <w:lang w:bidi="ar-EG"/>
              </w:rPr>
              <w:t xml:space="preserve"> mild</w:t>
            </w:r>
          </w:p>
        </w:tc>
        <w:tc>
          <w:tcPr>
            <w:tcW w:w="984" w:type="pct"/>
            <w:tcBorders>
              <w:top w:val="single" w:sz="18"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rPr>
            </w:pPr>
            <w:r w:rsidRPr="00153E12">
              <w:rPr>
                <w:color w:val="000000"/>
                <w:sz w:val="20"/>
                <w:szCs w:val="20"/>
              </w:rPr>
              <w:t>7.00</w:t>
            </w:r>
          </w:p>
        </w:tc>
        <w:tc>
          <w:tcPr>
            <w:tcW w:w="645" w:type="pct"/>
            <w:tcBorders>
              <w:top w:val="single" w:sz="18"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rPr>
            </w:pPr>
            <w:r w:rsidRPr="00153E12">
              <w:rPr>
                <w:color w:val="000000"/>
                <w:sz w:val="20"/>
                <w:szCs w:val="20"/>
              </w:rPr>
              <w:t>1.52</w:t>
            </w:r>
          </w:p>
        </w:tc>
        <w:tc>
          <w:tcPr>
            <w:tcW w:w="641" w:type="pct"/>
            <w:tcBorders>
              <w:top w:val="single" w:sz="18" w:space="0" w:color="auto"/>
              <w:left w:val="single" w:sz="4" w:space="0" w:color="auto"/>
              <w:bottom w:val="single" w:sz="4" w:space="0" w:color="auto"/>
              <w:right w:val="single" w:sz="4" w:space="0" w:color="auto"/>
            </w:tcBorders>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rPr>
            </w:pPr>
            <w:r w:rsidRPr="00153E12">
              <w:rPr>
                <w:color w:val="000000"/>
                <w:sz w:val="20"/>
                <w:szCs w:val="20"/>
              </w:rPr>
              <w:t>32.33</w:t>
            </w:r>
          </w:p>
        </w:tc>
        <w:tc>
          <w:tcPr>
            <w:tcW w:w="652" w:type="pct"/>
            <w:tcBorders>
              <w:top w:val="single" w:sz="18" w:space="0" w:color="auto"/>
              <w:left w:val="single" w:sz="4" w:space="0" w:color="auto"/>
              <w:bottom w:val="single" w:sz="4" w:space="0" w:color="auto"/>
              <w:right w:val="single" w:sz="4" w:space="0" w:color="auto"/>
            </w:tcBorders>
            <w:shd w:val="clear" w:color="auto" w:fill="BFBFBF"/>
            <w:vAlign w:val="center"/>
          </w:tcPr>
          <w:p w:rsidR="008B7439" w:rsidRPr="00153E12" w:rsidRDefault="008B7439" w:rsidP="008B7439">
            <w:pPr>
              <w:snapToGrid w:val="0"/>
              <w:jc w:val="both"/>
              <w:rPr>
                <w:color w:val="000000"/>
                <w:sz w:val="20"/>
                <w:szCs w:val="20"/>
              </w:rPr>
            </w:pPr>
          </w:p>
          <w:p w:rsidR="008B7439" w:rsidRPr="00153E12" w:rsidRDefault="008B7439" w:rsidP="008B7439">
            <w:pPr>
              <w:snapToGrid w:val="0"/>
              <w:jc w:val="both"/>
              <w:rPr>
                <w:color w:val="000000"/>
                <w:sz w:val="20"/>
                <w:szCs w:val="20"/>
                <w:lang w:bidi="ar-EG"/>
              </w:rPr>
            </w:pPr>
            <w:r w:rsidRPr="00153E12">
              <w:rPr>
                <w:rFonts w:hint="cs"/>
                <w:color w:val="000000"/>
                <w:sz w:val="20"/>
                <w:szCs w:val="20"/>
              </w:rPr>
              <w:t>&gt;</w:t>
            </w:r>
            <w:r w:rsidRPr="00153E12">
              <w:rPr>
                <w:color w:val="000000"/>
                <w:sz w:val="20"/>
                <w:szCs w:val="20"/>
              </w:rPr>
              <w:t>0.05</w:t>
            </w:r>
          </w:p>
        </w:tc>
      </w:tr>
    </w:tbl>
    <w:p w:rsidR="005272C8" w:rsidRPr="00153E12" w:rsidRDefault="005272C8" w:rsidP="008B7439">
      <w:pPr>
        <w:tabs>
          <w:tab w:val="left" w:pos="90"/>
          <w:tab w:val="left" w:pos="180"/>
        </w:tabs>
        <w:snapToGrid w:val="0"/>
        <w:ind w:firstLine="425"/>
        <w:jc w:val="both"/>
        <w:rPr>
          <w:sz w:val="20"/>
          <w:szCs w:val="20"/>
        </w:rPr>
      </w:pPr>
      <w:r w:rsidRPr="00153E12">
        <w:rPr>
          <w:sz w:val="20"/>
          <w:szCs w:val="20"/>
        </w:rPr>
        <w:t>95% CI: 95% confidence interval; H.D.:</w:t>
      </w:r>
      <w:r w:rsidR="00153E12">
        <w:rPr>
          <w:sz w:val="20"/>
          <w:szCs w:val="20"/>
        </w:rPr>
        <w:t xml:space="preserve"> </w:t>
      </w:r>
      <w:proofErr w:type="spellStart"/>
      <w:r w:rsidRPr="00153E12">
        <w:rPr>
          <w:sz w:val="20"/>
          <w:szCs w:val="20"/>
        </w:rPr>
        <w:t>hemodialysis</w:t>
      </w:r>
      <w:proofErr w:type="spellEnd"/>
      <w:r w:rsidRPr="00153E12">
        <w:rPr>
          <w:sz w:val="20"/>
          <w:szCs w:val="20"/>
        </w:rPr>
        <w:t>;</w:t>
      </w:r>
    </w:p>
    <w:p w:rsidR="005272C8" w:rsidRPr="00153E12" w:rsidRDefault="005272C8" w:rsidP="008B7439">
      <w:pPr>
        <w:tabs>
          <w:tab w:val="left" w:pos="90"/>
          <w:tab w:val="left" w:pos="180"/>
        </w:tabs>
        <w:snapToGrid w:val="0"/>
        <w:ind w:firstLine="425"/>
        <w:jc w:val="both"/>
        <w:rPr>
          <w:sz w:val="20"/>
          <w:szCs w:val="20"/>
        </w:rPr>
      </w:pPr>
      <w:r w:rsidRPr="00153E12">
        <w:rPr>
          <w:sz w:val="20"/>
          <w:szCs w:val="20"/>
        </w:rPr>
        <w:t>p</w:t>
      </w:r>
      <w:r w:rsidRPr="00153E12">
        <w:rPr>
          <w:b/>
          <w:bCs/>
          <w:sz w:val="20"/>
          <w:szCs w:val="20"/>
        </w:rPr>
        <w:t>&lt;</w:t>
      </w:r>
      <w:r w:rsidRPr="00153E12">
        <w:rPr>
          <w:sz w:val="20"/>
          <w:szCs w:val="20"/>
        </w:rPr>
        <w:t xml:space="preserve">0.05: significant difference; p </w:t>
      </w:r>
      <w:r w:rsidRPr="00153E12">
        <w:rPr>
          <w:rFonts w:hint="cs"/>
          <w:b/>
          <w:bCs/>
          <w:sz w:val="20"/>
          <w:szCs w:val="20"/>
        </w:rPr>
        <w:t>&gt;</w:t>
      </w:r>
      <w:r w:rsidRPr="00153E12">
        <w:rPr>
          <w:sz w:val="20"/>
          <w:szCs w:val="20"/>
        </w:rPr>
        <w:t>0.001: highly significant</w:t>
      </w:r>
      <w:r w:rsidR="00153E12">
        <w:rPr>
          <w:sz w:val="20"/>
          <w:szCs w:val="20"/>
        </w:rPr>
        <w:t xml:space="preserve"> </w:t>
      </w:r>
      <w:r w:rsidRPr="00153E12">
        <w:rPr>
          <w:sz w:val="20"/>
          <w:szCs w:val="20"/>
        </w:rPr>
        <w:t>difference</w:t>
      </w:r>
    </w:p>
    <w:p w:rsidR="00871EB9" w:rsidRPr="00153E12" w:rsidRDefault="00871EB9" w:rsidP="00871EB9">
      <w:pPr>
        <w:snapToGrid w:val="0"/>
        <w:jc w:val="both"/>
        <w:rPr>
          <w:rFonts w:eastAsiaTheme="minorEastAsia"/>
          <w:b/>
          <w:bCs/>
          <w:sz w:val="20"/>
          <w:szCs w:val="20"/>
          <w:lang w:eastAsia="zh-CN"/>
        </w:rPr>
      </w:pPr>
    </w:p>
    <w:p w:rsidR="005272C8" w:rsidRPr="00153E12" w:rsidRDefault="005272C8" w:rsidP="00871EB9">
      <w:pPr>
        <w:snapToGrid w:val="0"/>
        <w:jc w:val="both"/>
        <w:rPr>
          <w:sz w:val="20"/>
          <w:szCs w:val="20"/>
        </w:rPr>
      </w:pPr>
      <w:r w:rsidRPr="00153E12">
        <w:rPr>
          <w:b/>
          <w:bCs/>
          <w:sz w:val="20"/>
          <w:szCs w:val="20"/>
        </w:rPr>
        <w:t>Table (5):</w:t>
      </w:r>
      <w:r w:rsidRPr="00153E12">
        <w:rPr>
          <w:sz w:val="20"/>
          <w:szCs w:val="20"/>
        </w:rPr>
        <w:t xml:space="preserve"> Diagnostic performance of </w:t>
      </w:r>
      <w:proofErr w:type="spellStart"/>
      <w:r w:rsidRPr="00153E12">
        <w:rPr>
          <w:sz w:val="20"/>
          <w:szCs w:val="20"/>
        </w:rPr>
        <w:t>pentraxin</w:t>
      </w:r>
      <w:proofErr w:type="spellEnd"/>
      <w:r w:rsidRPr="00153E12">
        <w:rPr>
          <w:sz w:val="20"/>
          <w:szCs w:val="20"/>
        </w:rPr>
        <w:t xml:space="preserve"> 3 levels in different H.D. patient subgroups according to Davis co-morbidity index and malnutrition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4"/>
        <w:gridCol w:w="887"/>
        <w:gridCol w:w="1436"/>
        <w:gridCol w:w="1383"/>
        <w:gridCol w:w="1157"/>
        <w:gridCol w:w="1147"/>
        <w:gridCol w:w="1402"/>
      </w:tblGrid>
      <w:tr w:rsidR="005272C8" w:rsidRPr="00153E12" w:rsidTr="00871EB9">
        <w:trPr>
          <w:jc w:val="center"/>
        </w:trPr>
        <w:tc>
          <w:tcPr>
            <w:tcW w:w="1130"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b/>
                <w:bCs/>
                <w:color w:val="000000"/>
                <w:sz w:val="20"/>
                <w:szCs w:val="20"/>
              </w:rPr>
            </w:pPr>
          </w:p>
          <w:p w:rsidR="005272C8" w:rsidRPr="00153E12" w:rsidRDefault="005272C8" w:rsidP="008B7439">
            <w:pPr>
              <w:snapToGrid w:val="0"/>
              <w:jc w:val="both"/>
              <w:rPr>
                <w:color w:val="000000"/>
                <w:sz w:val="20"/>
                <w:szCs w:val="20"/>
              </w:rPr>
            </w:pPr>
            <w:r w:rsidRPr="00153E12">
              <w:rPr>
                <w:b/>
                <w:bCs/>
                <w:color w:val="000000"/>
                <w:sz w:val="20"/>
                <w:szCs w:val="20"/>
              </w:rPr>
              <w:t>Parameter</w:t>
            </w:r>
          </w:p>
        </w:tc>
        <w:tc>
          <w:tcPr>
            <w:tcW w:w="463"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rFonts w:eastAsia="Calibri"/>
                <w:b/>
                <w:bCs/>
                <w:color w:val="000000"/>
                <w:sz w:val="20"/>
                <w:szCs w:val="20"/>
              </w:rPr>
            </w:pPr>
            <w:r w:rsidRPr="00153E12">
              <w:rPr>
                <w:b/>
                <w:bCs/>
                <w:color w:val="000000"/>
                <w:sz w:val="20"/>
                <w:szCs w:val="20"/>
              </w:rPr>
              <w:t>ROC Cutoff</w:t>
            </w:r>
          </w:p>
          <w:p w:rsidR="005272C8" w:rsidRPr="00153E12" w:rsidRDefault="005272C8" w:rsidP="008B7439">
            <w:pPr>
              <w:snapToGrid w:val="0"/>
              <w:jc w:val="both"/>
              <w:rPr>
                <w:b/>
                <w:bCs/>
                <w:color w:val="000000"/>
                <w:sz w:val="20"/>
                <w:szCs w:val="20"/>
              </w:rPr>
            </w:pPr>
            <w:proofErr w:type="spellStart"/>
            <w:r w:rsidRPr="00153E12">
              <w:rPr>
                <w:b/>
                <w:bCs/>
                <w:color w:val="000000"/>
                <w:sz w:val="20"/>
                <w:szCs w:val="20"/>
              </w:rPr>
              <w:t>ng</w:t>
            </w:r>
            <w:proofErr w:type="spellEnd"/>
            <w:r w:rsidRPr="00153E12">
              <w:rPr>
                <w:b/>
                <w:bCs/>
                <w:color w:val="000000"/>
                <w:sz w:val="20"/>
                <w:szCs w:val="20"/>
              </w:rPr>
              <w:t>/</w:t>
            </w:r>
            <w:proofErr w:type="spellStart"/>
            <w:r w:rsidRPr="00153E12">
              <w:rPr>
                <w:b/>
                <w:bCs/>
                <w:color w:val="000000"/>
                <w:sz w:val="20"/>
                <w:szCs w:val="20"/>
              </w:rPr>
              <w:t>mL</w:t>
            </w:r>
            <w:proofErr w:type="spellEnd"/>
          </w:p>
        </w:tc>
        <w:tc>
          <w:tcPr>
            <w:tcW w:w="750"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b/>
                <w:bCs/>
                <w:color w:val="000000"/>
                <w:sz w:val="20"/>
                <w:szCs w:val="20"/>
              </w:rPr>
            </w:pPr>
            <w:r w:rsidRPr="00153E12">
              <w:rPr>
                <w:b/>
                <w:bCs/>
                <w:color w:val="000000"/>
                <w:sz w:val="20"/>
                <w:szCs w:val="20"/>
              </w:rPr>
              <w:t>Diagnostic Sensitivity %</w:t>
            </w:r>
          </w:p>
        </w:tc>
        <w:tc>
          <w:tcPr>
            <w:tcW w:w="722"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b/>
                <w:bCs/>
                <w:color w:val="000000"/>
                <w:sz w:val="20"/>
                <w:szCs w:val="20"/>
              </w:rPr>
            </w:pPr>
            <w:r w:rsidRPr="00153E12">
              <w:rPr>
                <w:b/>
                <w:bCs/>
                <w:color w:val="000000"/>
                <w:sz w:val="20"/>
                <w:szCs w:val="20"/>
              </w:rPr>
              <w:t>Diagnostic Specificity%</w:t>
            </w:r>
          </w:p>
        </w:tc>
        <w:tc>
          <w:tcPr>
            <w:tcW w:w="604"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b/>
                <w:bCs/>
                <w:color w:val="000000"/>
                <w:sz w:val="20"/>
                <w:szCs w:val="20"/>
              </w:rPr>
            </w:pPr>
            <w:r w:rsidRPr="00153E12">
              <w:rPr>
                <w:b/>
                <w:bCs/>
                <w:color w:val="000000"/>
                <w:sz w:val="20"/>
                <w:szCs w:val="20"/>
              </w:rPr>
              <w:t>Positive Predictive Value %</w:t>
            </w:r>
          </w:p>
        </w:tc>
        <w:tc>
          <w:tcPr>
            <w:tcW w:w="599"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b/>
                <w:bCs/>
                <w:color w:val="000000"/>
                <w:sz w:val="20"/>
                <w:szCs w:val="20"/>
              </w:rPr>
            </w:pPr>
            <w:r w:rsidRPr="00153E12">
              <w:rPr>
                <w:b/>
                <w:bCs/>
                <w:color w:val="000000"/>
                <w:sz w:val="20"/>
                <w:szCs w:val="20"/>
              </w:rPr>
              <w:t>Negative Predictive Value %</w:t>
            </w:r>
          </w:p>
        </w:tc>
        <w:tc>
          <w:tcPr>
            <w:tcW w:w="732"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b/>
                <w:bCs/>
                <w:color w:val="000000"/>
                <w:sz w:val="20"/>
                <w:szCs w:val="20"/>
              </w:rPr>
            </w:pPr>
            <w:r w:rsidRPr="00153E12">
              <w:rPr>
                <w:b/>
                <w:bCs/>
                <w:color w:val="000000"/>
                <w:sz w:val="20"/>
                <w:szCs w:val="20"/>
              </w:rPr>
              <w:t>Diagnostic Efficiency %</w:t>
            </w:r>
          </w:p>
        </w:tc>
      </w:tr>
      <w:tr w:rsidR="005272C8" w:rsidRPr="00153E12" w:rsidTr="00871EB9">
        <w:trPr>
          <w:trHeight w:val="598"/>
          <w:jc w:val="center"/>
        </w:trPr>
        <w:tc>
          <w:tcPr>
            <w:tcW w:w="1130" w:type="pct"/>
            <w:tcBorders>
              <w:top w:val="single" w:sz="4"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rFonts w:eastAsia="Calibri"/>
                <w:b/>
                <w:bCs/>
                <w:color w:val="000000"/>
                <w:sz w:val="20"/>
                <w:szCs w:val="20"/>
                <w:u w:val="single"/>
                <w:lang w:bidi="ar-EG"/>
              </w:rPr>
            </w:pPr>
            <w:r w:rsidRPr="00153E12">
              <w:rPr>
                <w:b/>
                <w:bCs/>
                <w:color w:val="000000"/>
                <w:sz w:val="20"/>
                <w:szCs w:val="20"/>
                <w:u w:val="single"/>
                <w:lang w:bidi="ar-EG"/>
              </w:rPr>
              <w:t>Davies co-morbidity score</w:t>
            </w:r>
          </w:p>
          <w:p w:rsidR="005272C8" w:rsidRPr="00153E12" w:rsidRDefault="005272C8" w:rsidP="008B7439">
            <w:pPr>
              <w:snapToGrid w:val="0"/>
              <w:jc w:val="both"/>
              <w:rPr>
                <w:color w:val="000000"/>
                <w:sz w:val="20"/>
                <w:szCs w:val="20"/>
                <w:lang w:bidi="ar-EG"/>
              </w:rPr>
            </w:pPr>
            <w:r w:rsidRPr="00153E12">
              <w:rPr>
                <w:color w:val="000000"/>
                <w:sz w:val="20"/>
                <w:szCs w:val="20"/>
                <w:lang w:bidi="ar-EG"/>
              </w:rPr>
              <w:t>High and medium</w:t>
            </w:r>
          </w:p>
          <w:p w:rsidR="005272C8" w:rsidRPr="00153E12" w:rsidRDefault="00815A9F" w:rsidP="00815A9F">
            <w:pPr>
              <w:snapToGrid w:val="0"/>
              <w:jc w:val="both"/>
              <w:rPr>
                <w:color w:val="000000"/>
                <w:sz w:val="20"/>
                <w:szCs w:val="20"/>
              </w:rPr>
            </w:pPr>
            <w:r w:rsidRPr="00153E12">
              <w:rPr>
                <w:color w:val="000000"/>
                <w:sz w:val="20"/>
                <w:szCs w:val="20"/>
                <w:lang w:bidi="ar-EG"/>
              </w:rPr>
              <w:t>V</w:t>
            </w:r>
            <w:r w:rsidR="005272C8" w:rsidRPr="00153E12">
              <w:rPr>
                <w:color w:val="000000"/>
                <w:sz w:val="20"/>
                <w:szCs w:val="20"/>
                <w:lang w:bidi="ar-EG"/>
              </w:rPr>
              <w:t>s</w:t>
            </w:r>
            <w:r>
              <w:rPr>
                <w:rFonts w:eastAsiaTheme="minorEastAsia" w:hint="eastAsia"/>
                <w:color w:val="000000"/>
                <w:sz w:val="20"/>
                <w:szCs w:val="20"/>
                <w:lang w:eastAsia="zh-CN" w:bidi="ar-EG"/>
              </w:rPr>
              <w:t xml:space="preserve"> </w:t>
            </w:r>
            <w:r w:rsidR="005272C8" w:rsidRPr="00153E12">
              <w:rPr>
                <w:color w:val="000000"/>
                <w:sz w:val="20"/>
                <w:szCs w:val="20"/>
                <w:lang w:bidi="ar-EG"/>
              </w:rPr>
              <w:t>low</w:t>
            </w:r>
          </w:p>
        </w:tc>
        <w:tc>
          <w:tcPr>
            <w:tcW w:w="463"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0.6</w:t>
            </w:r>
          </w:p>
        </w:tc>
        <w:tc>
          <w:tcPr>
            <w:tcW w:w="750"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92.5</w:t>
            </w:r>
          </w:p>
        </w:tc>
        <w:tc>
          <w:tcPr>
            <w:tcW w:w="722"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70.0</w:t>
            </w:r>
          </w:p>
        </w:tc>
        <w:tc>
          <w:tcPr>
            <w:tcW w:w="604"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92.5</w:t>
            </w:r>
          </w:p>
        </w:tc>
        <w:tc>
          <w:tcPr>
            <w:tcW w:w="599"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70.0</w:t>
            </w:r>
          </w:p>
        </w:tc>
        <w:tc>
          <w:tcPr>
            <w:tcW w:w="732" w:type="pct"/>
            <w:tcBorders>
              <w:top w:val="single" w:sz="4"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86.0</w:t>
            </w:r>
          </w:p>
        </w:tc>
      </w:tr>
      <w:tr w:rsidR="005272C8" w:rsidRPr="00153E12" w:rsidTr="00871EB9">
        <w:trPr>
          <w:trHeight w:val="380"/>
          <w:jc w:val="center"/>
        </w:trPr>
        <w:tc>
          <w:tcPr>
            <w:tcW w:w="1130" w:type="pct"/>
            <w:tcBorders>
              <w:top w:val="single" w:sz="18" w:space="0" w:color="auto"/>
              <w:left w:val="single" w:sz="4" w:space="0" w:color="auto"/>
              <w:bottom w:val="single" w:sz="4" w:space="0" w:color="auto"/>
              <w:right w:val="single" w:sz="4" w:space="0" w:color="auto"/>
            </w:tcBorders>
            <w:hideMark/>
          </w:tcPr>
          <w:p w:rsidR="005272C8" w:rsidRPr="00153E12" w:rsidRDefault="005272C8" w:rsidP="008B7439">
            <w:pPr>
              <w:snapToGrid w:val="0"/>
              <w:jc w:val="both"/>
              <w:rPr>
                <w:rFonts w:eastAsia="Calibri"/>
                <w:b/>
                <w:bCs/>
                <w:color w:val="000000"/>
                <w:sz w:val="20"/>
                <w:szCs w:val="20"/>
                <w:u w:val="single"/>
                <w:lang w:bidi="ar-EG"/>
              </w:rPr>
            </w:pPr>
            <w:r w:rsidRPr="00153E12">
              <w:rPr>
                <w:b/>
                <w:bCs/>
                <w:color w:val="000000"/>
                <w:sz w:val="20"/>
                <w:szCs w:val="20"/>
                <w:u w:val="single"/>
                <w:lang w:bidi="ar-EG"/>
              </w:rPr>
              <w:t>Malnutrition score</w:t>
            </w:r>
          </w:p>
          <w:p w:rsidR="005272C8" w:rsidRPr="00153E12" w:rsidRDefault="005272C8" w:rsidP="008B7439">
            <w:pPr>
              <w:snapToGrid w:val="0"/>
              <w:jc w:val="both"/>
              <w:rPr>
                <w:color w:val="000000"/>
                <w:sz w:val="20"/>
                <w:szCs w:val="20"/>
                <w:lang w:bidi="ar-EG"/>
              </w:rPr>
            </w:pPr>
            <w:r w:rsidRPr="00153E12">
              <w:rPr>
                <w:color w:val="000000"/>
                <w:sz w:val="20"/>
                <w:szCs w:val="20"/>
                <w:lang w:bidi="ar-EG"/>
              </w:rPr>
              <w:t>Severe and moderate</w:t>
            </w:r>
          </w:p>
          <w:p w:rsidR="005272C8" w:rsidRPr="00153E12" w:rsidRDefault="00815A9F" w:rsidP="00815A9F">
            <w:pPr>
              <w:snapToGrid w:val="0"/>
              <w:jc w:val="both"/>
              <w:rPr>
                <w:color w:val="000000"/>
                <w:sz w:val="20"/>
                <w:szCs w:val="20"/>
                <w:lang w:bidi="ar-EG"/>
              </w:rPr>
            </w:pPr>
            <w:r w:rsidRPr="00153E12">
              <w:rPr>
                <w:color w:val="000000"/>
                <w:sz w:val="20"/>
                <w:szCs w:val="20"/>
                <w:lang w:bidi="ar-EG"/>
              </w:rPr>
              <w:t>V</w:t>
            </w:r>
            <w:r w:rsidR="005272C8" w:rsidRPr="00153E12">
              <w:rPr>
                <w:color w:val="000000"/>
                <w:sz w:val="20"/>
                <w:szCs w:val="20"/>
                <w:lang w:bidi="ar-EG"/>
              </w:rPr>
              <w:t>s</w:t>
            </w:r>
            <w:r>
              <w:rPr>
                <w:rFonts w:eastAsiaTheme="minorEastAsia" w:hint="eastAsia"/>
                <w:color w:val="000000"/>
                <w:sz w:val="20"/>
                <w:szCs w:val="20"/>
                <w:lang w:eastAsia="zh-CN" w:bidi="ar-EG"/>
              </w:rPr>
              <w:t xml:space="preserve"> </w:t>
            </w:r>
            <w:r w:rsidR="005272C8" w:rsidRPr="00153E12">
              <w:rPr>
                <w:color w:val="000000"/>
                <w:sz w:val="20"/>
                <w:szCs w:val="20"/>
                <w:lang w:bidi="ar-EG"/>
              </w:rPr>
              <w:t>mild</w:t>
            </w:r>
          </w:p>
        </w:tc>
        <w:tc>
          <w:tcPr>
            <w:tcW w:w="463" w:type="pct"/>
            <w:tcBorders>
              <w:top w:val="single" w:sz="18"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0.6</w:t>
            </w:r>
          </w:p>
        </w:tc>
        <w:tc>
          <w:tcPr>
            <w:tcW w:w="750" w:type="pct"/>
            <w:tcBorders>
              <w:top w:val="single" w:sz="18"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90.9</w:t>
            </w:r>
          </w:p>
        </w:tc>
        <w:tc>
          <w:tcPr>
            <w:tcW w:w="722" w:type="pct"/>
            <w:tcBorders>
              <w:top w:val="single" w:sz="18"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41.2</w:t>
            </w:r>
          </w:p>
        </w:tc>
        <w:tc>
          <w:tcPr>
            <w:tcW w:w="604" w:type="pct"/>
            <w:tcBorders>
              <w:top w:val="single" w:sz="18"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75.0</w:t>
            </w:r>
          </w:p>
        </w:tc>
        <w:tc>
          <w:tcPr>
            <w:tcW w:w="599" w:type="pct"/>
            <w:tcBorders>
              <w:top w:val="single" w:sz="18"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70.0</w:t>
            </w:r>
          </w:p>
        </w:tc>
        <w:tc>
          <w:tcPr>
            <w:tcW w:w="732" w:type="pct"/>
            <w:tcBorders>
              <w:top w:val="single" w:sz="18" w:space="0" w:color="auto"/>
              <w:left w:val="single" w:sz="4" w:space="0" w:color="auto"/>
              <w:bottom w:val="single" w:sz="4" w:space="0" w:color="auto"/>
              <w:right w:val="single" w:sz="4" w:space="0" w:color="auto"/>
            </w:tcBorders>
          </w:tcPr>
          <w:p w:rsidR="005272C8" w:rsidRPr="00153E12" w:rsidRDefault="005272C8" w:rsidP="008B7439">
            <w:pPr>
              <w:snapToGrid w:val="0"/>
              <w:jc w:val="both"/>
              <w:rPr>
                <w:rFonts w:eastAsia="Calibri"/>
                <w:color w:val="000000"/>
                <w:sz w:val="20"/>
                <w:szCs w:val="20"/>
              </w:rPr>
            </w:pPr>
          </w:p>
          <w:p w:rsidR="005272C8" w:rsidRPr="00153E12" w:rsidRDefault="005272C8" w:rsidP="008B7439">
            <w:pPr>
              <w:snapToGrid w:val="0"/>
              <w:jc w:val="both"/>
              <w:rPr>
                <w:color w:val="000000"/>
                <w:sz w:val="20"/>
                <w:szCs w:val="20"/>
              </w:rPr>
            </w:pPr>
          </w:p>
          <w:p w:rsidR="005272C8" w:rsidRPr="00153E12" w:rsidRDefault="005272C8" w:rsidP="008B7439">
            <w:pPr>
              <w:snapToGrid w:val="0"/>
              <w:jc w:val="both"/>
              <w:rPr>
                <w:color w:val="000000"/>
                <w:sz w:val="20"/>
                <w:szCs w:val="20"/>
              </w:rPr>
            </w:pPr>
            <w:r w:rsidRPr="00153E12">
              <w:rPr>
                <w:color w:val="000000"/>
                <w:sz w:val="20"/>
                <w:szCs w:val="20"/>
              </w:rPr>
              <w:t>74.0</w:t>
            </w:r>
          </w:p>
        </w:tc>
      </w:tr>
    </w:tbl>
    <w:p w:rsidR="005272C8" w:rsidRPr="00153E12" w:rsidRDefault="005272C8" w:rsidP="008B7439">
      <w:pPr>
        <w:snapToGrid w:val="0"/>
        <w:ind w:firstLine="425"/>
        <w:jc w:val="both"/>
        <w:rPr>
          <w:rFonts w:eastAsiaTheme="minorEastAsia"/>
          <w:sz w:val="20"/>
          <w:szCs w:val="20"/>
          <w:lang w:eastAsia="zh-CN"/>
        </w:rPr>
      </w:pPr>
      <w:r w:rsidRPr="00153E12">
        <w:rPr>
          <w:sz w:val="20"/>
          <w:szCs w:val="20"/>
        </w:rPr>
        <w:t xml:space="preserve">HD: </w:t>
      </w:r>
      <w:proofErr w:type="spellStart"/>
      <w:r w:rsidRPr="00153E12">
        <w:rPr>
          <w:sz w:val="20"/>
          <w:szCs w:val="20"/>
        </w:rPr>
        <w:t>hemodialysis</w:t>
      </w:r>
      <w:proofErr w:type="spellEnd"/>
      <w:r w:rsidRPr="00153E12">
        <w:rPr>
          <w:sz w:val="20"/>
          <w:szCs w:val="20"/>
        </w:rPr>
        <w:t>; ROC: receiver operating characteristic.</w:t>
      </w:r>
    </w:p>
    <w:p w:rsidR="005272C8" w:rsidRPr="00153E12" w:rsidRDefault="005272C8" w:rsidP="008B7439">
      <w:pPr>
        <w:snapToGrid w:val="0"/>
        <w:ind w:firstLine="425"/>
        <w:jc w:val="both"/>
        <w:rPr>
          <w:b/>
          <w:bCs/>
          <w:sz w:val="20"/>
          <w:szCs w:val="20"/>
        </w:rPr>
      </w:pPr>
    </w:p>
    <w:p w:rsidR="00871EB9" w:rsidRPr="00153E12" w:rsidRDefault="00871EB9" w:rsidP="008B7439">
      <w:pPr>
        <w:snapToGrid w:val="0"/>
        <w:jc w:val="both"/>
        <w:rPr>
          <w:b/>
          <w:bCs/>
          <w:sz w:val="20"/>
          <w:szCs w:val="20"/>
        </w:rPr>
        <w:sectPr w:rsidR="00871EB9" w:rsidRPr="00153E12" w:rsidSect="00E83ED5">
          <w:type w:val="continuous"/>
          <w:pgSz w:w="12240" w:h="15840" w:code="1"/>
          <w:pgMar w:top="1440" w:right="1440" w:bottom="1440" w:left="1440" w:header="720" w:footer="720" w:gutter="0"/>
          <w:cols w:space="720"/>
          <w:docGrid w:linePitch="360"/>
        </w:sectPr>
      </w:pPr>
    </w:p>
    <w:p w:rsidR="00674D7B" w:rsidRDefault="00674D7B" w:rsidP="00871EB9">
      <w:pPr>
        <w:snapToGrid w:val="0"/>
        <w:jc w:val="center"/>
        <w:rPr>
          <w:rFonts w:eastAsiaTheme="minorEastAsia"/>
          <w:sz w:val="20"/>
          <w:szCs w:val="20"/>
          <w:lang w:eastAsia="zh-CN"/>
        </w:rPr>
      </w:pPr>
    </w:p>
    <w:p w:rsidR="00871EB9" w:rsidRPr="00153E12" w:rsidRDefault="00871EB9" w:rsidP="00871EB9">
      <w:pPr>
        <w:snapToGrid w:val="0"/>
        <w:jc w:val="center"/>
        <w:rPr>
          <w:sz w:val="20"/>
          <w:szCs w:val="20"/>
        </w:rPr>
      </w:pPr>
      <w:r w:rsidRPr="00153E12">
        <w:rPr>
          <w:noProof/>
          <w:sz w:val="20"/>
          <w:szCs w:val="20"/>
          <w:lang w:eastAsia="zh-CN"/>
        </w:rPr>
        <w:drawing>
          <wp:inline distT="0" distB="0" distL="0" distR="0">
            <wp:extent cx="2618388" cy="235358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3333" cy="2358031"/>
                    </a:xfrm>
                    <a:prstGeom prst="rect">
                      <a:avLst/>
                    </a:prstGeom>
                    <a:noFill/>
                  </pic:spPr>
                </pic:pic>
              </a:graphicData>
            </a:graphic>
          </wp:inline>
        </w:drawing>
      </w:r>
    </w:p>
    <w:p w:rsidR="00871EB9" w:rsidRPr="00153E12" w:rsidRDefault="00871EB9" w:rsidP="00871EB9">
      <w:pPr>
        <w:snapToGrid w:val="0"/>
        <w:jc w:val="both"/>
        <w:rPr>
          <w:sz w:val="20"/>
          <w:szCs w:val="20"/>
        </w:rPr>
      </w:pPr>
      <w:r w:rsidRPr="00153E12">
        <w:rPr>
          <w:b/>
          <w:bCs/>
          <w:sz w:val="20"/>
          <w:szCs w:val="20"/>
        </w:rPr>
        <w:t>Figure (1):</w:t>
      </w:r>
      <w:r w:rsidRPr="00153E12">
        <w:rPr>
          <w:sz w:val="20"/>
          <w:szCs w:val="20"/>
        </w:rPr>
        <w:t xml:space="preserve"> ROC curve analysis showing the diagnostic performance of PTX3 for discriminating patients with high and medium Davis co-morbidity index from those with low Davis co-morbidity index.</w:t>
      </w:r>
    </w:p>
    <w:p w:rsidR="00871EB9" w:rsidRPr="00153E12" w:rsidRDefault="00871EB9" w:rsidP="00871EB9">
      <w:pPr>
        <w:snapToGrid w:val="0"/>
        <w:ind w:firstLine="425"/>
        <w:jc w:val="both"/>
        <w:rPr>
          <w:b/>
          <w:bCs/>
          <w:sz w:val="20"/>
          <w:szCs w:val="20"/>
        </w:rPr>
      </w:pPr>
    </w:p>
    <w:p w:rsidR="00871EB9" w:rsidRPr="00153E12" w:rsidRDefault="00871EB9" w:rsidP="00871EB9">
      <w:pPr>
        <w:snapToGrid w:val="0"/>
        <w:jc w:val="center"/>
        <w:rPr>
          <w:b/>
          <w:bCs/>
          <w:sz w:val="20"/>
          <w:szCs w:val="20"/>
        </w:rPr>
      </w:pPr>
      <w:r w:rsidRPr="00153E12">
        <w:rPr>
          <w:noProof/>
          <w:sz w:val="20"/>
          <w:szCs w:val="20"/>
          <w:lang w:eastAsia="zh-CN"/>
        </w:rPr>
        <w:drawing>
          <wp:inline distT="0" distB="0" distL="0" distR="0">
            <wp:extent cx="2652588" cy="2027582"/>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1118" cy="2026458"/>
                    </a:xfrm>
                    <a:prstGeom prst="rect">
                      <a:avLst/>
                    </a:prstGeom>
                    <a:noFill/>
                  </pic:spPr>
                </pic:pic>
              </a:graphicData>
            </a:graphic>
          </wp:inline>
        </w:drawing>
      </w:r>
    </w:p>
    <w:p w:rsidR="00871EB9" w:rsidRPr="00153E12" w:rsidRDefault="00871EB9" w:rsidP="00871EB9">
      <w:pPr>
        <w:snapToGrid w:val="0"/>
        <w:jc w:val="both"/>
        <w:rPr>
          <w:rFonts w:eastAsiaTheme="minorEastAsia"/>
          <w:b/>
          <w:bCs/>
          <w:sz w:val="20"/>
          <w:szCs w:val="20"/>
          <w:lang w:eastAsia="zh-CN"/>
        </w:rPr>
      </w:pPr>
      <w:r w:rsidRPr="00153E12">
        <w:rPr>
          <w:b/>
          <w:bCs/>
          <w:sz w:val="20"/>
          <w:szCs w:val="20"/>
        </w:rPr>
        <w:t>Figure (2):</w:t>
      </w:r>
      <w:r w:rsidRPr="00153E12">
        <w:rPr>
          <w:sz w:val="20"/>
          <w:szCs w:val="20"/>
        </w:rPr>
        <w:t xml:space="preserve"> ROC curve analysis showing the diagnostic performance of PTX3 for discriminating patients with severe and moderate malnutrition score from those with mild malnutrition score.</w:t>
      </w:r>
    </w:p>
    <w:p w:rsidR="00871EB9" w:rsidRPr="00153E12" w:rsidRDefault="00871EB9" w:rsidP="008B7439">
      <w:pPr>
        <w:snapToGrid w:val="0"/>
        <w:jc w:val="both"/>
        <w:rPr>
          <w:rFonts w:eastAsiaTheme="minorEastAsia"/>
          <w:b/>
          <w:bCs/>
          <w:sz w:val="20"/>
          <w:szCs w:val="20"/>
          <w:lang w:eastAsia="zh-CN"/>
        </w:rPr>
      </w:pPr>
    </w:p>
    <w:p w:rsidR="005272C8" w:rsidRPr="00153E12" w:rsidRDefault="008B7439" w:rsidP="008B7439">
      <w:pPr>
        <w:snapToGrid w:val="0"/>
        <w:jc w:val="both"/>
        <w:rPr>
          <w:b/>
          <w:bCs/>
          <w:sz w:val="20"/>
          <w:szCs w:val="20"/>
        </w:rPr>
      </w:pPr>
      <w:r w:rsidRPr="00153E12">
        <w:rPr>
          <w:b/>
          <w:bCs/>
          <w:sz w:val="20"/>
          <w:szCs w:val="20"/>
        </w:rPr>
        <w:t>Discussion</w:t>
      </w:r>
    </w:p>
    <w:p w:rsidR="005272C8" w:rsidRPr="00153E12" w:rsidRDefault="005272C8" w:rsidP="008B7439">
      <w:pPr>
        <w:autoSpaceDE w:val="0"/>
        <w:autoSpaceDN w:val="0"/>
        <w:adjustRightInd w:val="0"/>
        <w:snapToGrid w:val="0"/>
        <w:ind w:firstLine="425"/>
        <w:jc w:val="both"/>
        <w:rPr>
          <w:rFonts w:eastAsiaTheme="minorHAnsi"/>
          <w:sz w:val="20"/>
          <w:szCs w:val="20"/>
        </w:rPr>
      </w:pPr>
      <w:r w:rsidRPr="00153E12">
        <w:rPr>
          <w:sz w:val="20"/>
          <w:szCs w:val="20"/>
        </w:rPr>
        <w:t>In the present study, plasma PTX3 demonstrated higher levels among ESRD group as compared to controls. This finding was supported by a study performed by</w:t>
      </w:r>
      <w:r w:rsidR="00BA0F98" w:rsidRPr="00153E12">
        <w:rPr>
          <w:sz w:val="20"/>
          <w:szCs w:val="20"/>
        </w:rPr>
        <w:t xml:space="preserve"> </w:t>
      </w:r>
      <w:r w:rsidRPr="00153E12">
        <w:rPr>
          <w:b/>
          <w:bCs/>
          <w:sz w:val="20"/>
          <w:szCs w:val="20"/>
        </w:rPr>
        <w:t xml:space="preserve">Zhou et al. </w:t>
      </w:r>
      <w:r w:rsidR="00BA0F98" w:rsidRPr="00153E12">
        <w:rPr>
          <w:sz w:val="20"/>
          <w:szCs w:val="20"/>
          <w:vertAlign w:val="superscript"/>
        </w:rPr>
        <w:t>(19)</w:t>
      </w:r>
      <w:r w:rsidR="00BA0F98" w:rsidRPr="00153E12">
        <w:rPr>
          <w:sz w:val="20"/>
          <w:szCs w:val="20"/>
        </w:rPr>
        <w:t xml:space="preserve"> </w:t>
      </w:r>
      <w:r w:rsidRPr="00153E12">
        <w:rPr>
          <w:rFonts w:eastAsiaTheme="minorHAnsi"/>
          <w:sz w:val="20"/>
          <w:szCs w:val="20"/>
        </w:rPr>
        <w:t>showing the ability of PTX-3 to bind to the C1q component of the complement cascade and to participate in the clearance of apoptotic cells;</w:t>
      </w:r>
      <w:r w:rsidRPr="00153E12">
        <w:rPr>
          <w:sz w:val="20"/>
          <w:szCs w:val="20"/>
        </w:rPr>
        <w:t xml:space="preserve"> hence </w:t>
      </w:r>
      <w:r w:rsidRPr="00153E12">
        <w:rPr>
          <w:rFonts w:eastAsiaTheme="minorHAnsi"/>
          <w:sz w:val="20"/>
          <w:szCs w:val="20"/>
        </w:rPr>
        <w:t>suggesting an important role for PTX-3 in the regulation of inflammatory reactions and innate immunity. In addition, because PTX-3 is produced from vascular endothelial cells and macrophages, PTX-3 levels may directly reflect the inflammatory status.</w:t>
      </w:r>
    </w:p>
    <w:p w:rsidR="005272C8" w:rsidRPr="00153E12" w:rsidRDefault="005272C8" w:rsidP="008B7439">
      <w:pPr>
        <w:snapToGrid w:val="0"/>
        <w:ind w:firstLine="425"/>
        <w:jc w:val="both"/>
        <w:rPr>
          <w:sz w:val="20"/>
          <w:szCs w:val="20"/>
        </w:rPr>
      </w:pPr>
      <w:r w:rsidRPr="00153E12">
        <w:rPr>
          <w:sz w:val="20"/>
          <w:szCs w:val="20"/>
        </w:rPr>
        <w:t xml:space="preserve">The present study revealed the presence of higher plasma PTX3 levels in HD patients than in </w:t>
      </w:r>
      <w:r w:rsidRPr="00153E12">
        <w:rPr>
          <w:sz w:val="20"/>
          <w:szCs w:val="20"/>
        </w:rPr>
        <w:lastRenderedPageBreak/>
        <w:t xml:space="preserve">those with ESRD. This finding were strengthened by </w:t>
      </w:r>
      <w:r w:rsidRPr="00153E12">
        <w:rPr>
          <w:b/>
          <w:bCs/>
          <w:sz w:val="20"/>
          <w:szCs w:val="20"/>
        </w:rPr>
        <w:t xml:space="preserve">Boehme et al. </w:t>
      </w:r>
      <w:r w:rsidR="00BA0F98" w:rsidRPr="00153E12">
        <w:rPr>
          <w:b/>
          <w:bCs/>
          <w:sz w:val="20"/>
          <w:szCs w:val="20"/>
          <w:vertAlign w:val="superscript"/>
        </w:rPr>
        <w:t>(1)</w:t>
      </w:r>
      <w:r w:rsidRPr="00153E12">
        <w:rPr>
          <w:b/>
          <w:bCs/>
          <w:sz w:val="20"/>
          <w:szCs w:val="20"/>
        </w:rPr>
        <w:t>,</w:t>
      </w:r>
      <w:r w:rsidR="00153E12">
        <w:rPr>
          <w:b/>
          <w:bCs/>
          <w:sz w:val="20"/>
          <w:szCs w:val="20"/>
        </w:rPr>
        <w:t xml:space="preserve"> </w:t>
      </w:r>
      <w:r w:rsidRPr="00153E12">
        <w:rPr>
          <w:b/>
          <w:bCs/>
          <w:sz w:val="20"/>
          <w:szCs w:val="20"/>
        </w:rPr>
        <w:t xml:space="preserve">Tong et al. </w:t>
      </w:r>
      <w:r w:rsidR="00BA0F98" w:rsidRPr="00153E12">
        <w:rPr>
          <w:b/>
          <w:bCs/>
          <w:sz w:val="20"/>
          <w:szCs w:val="20"/>
          <w:vertAlign w:val="superscript"/>
        </w:rPr>
        <w:t>(18)</w:t>
      </w:r>
      <w:r w:rsidR="00153E12">
        <w:rPr>
          <w:rFonts w:eastAsiaTheme="minorEastAsia" w:hint="eastAsia"/>
          <w:b/>
          <w:bCs/>
          <w:sz w:val="20"/>
          <w:szCs w:val="20"/>
          <w:vertAlign w:val="superscript"/>
          <w:lang w:eastAsia="zh-CN"/>
        </w:rPr>
        <w:t xml:space="preserve"> </w:t>
      </w:r>
      <w:r w:rsidRPr="00153E12">
        <w:rPr>
          <w:b/>
          <w:bCs/>
          <w:sz w:val="20"/>
          <w:szCs w:val="20"/>
        </w:rPr>
        <w:t xml:space="preserve">and </w:t>
      </w:r>
      <w:proofErr w:type="spellStart"/>
      <w:r w:rsidRPr="00153E12">
        <w:rPr>
          <w:b/>
          <w:bCs/>
          <w:sz w:val="20"/>
          <w:szCs w:val="20"/>
        </w:rPr>
        <w:t>Oldani</w:t>
      </w:r>
      <w:proofErr w:type="spellEnd"/>
      <w:r w:rsidRPr="00153E12">
        <w:rPr>
          <w:b/>
          <w:bCs/>
          <w:sz w:val="20"/>
          <w:szCs w:val="20"/>
        </w:rPr>
        <w:t xml:space="preserve"> et al. </w:t>
      </w:r>
      <w:r w:rsidR="00BA0F98" w:rsidRPr="00153E12">
        <w:rPr>
          <w:b/>
          <w:bCs/>
          <w:sz w:val="20"/>
          <w:szCs w:val="20"/>
          <w:vertAlign w:val="superscript"/>
        </w:rPr>
        <w:t>(14)</w:t>
      </w:r>
      <w:r w:rsidRPr="00153E12">
        <w:rPr>
          <w:sz w:val="20"/>
          <w:szCs w:val="20"/>
        </w:rPr>
        <w:t xml:space="preserve"> who demonstrated the ability of HD procedure itself to exaggerate the already present pro-inflammatory state likely by the bio-incompatibility from HD membrane, exposure to </w:t>
      </w:r>
      <w:proofErr w:type="spellStart"/>
      <w:r w:rsidRPr="00153E12">
        <w:rPr>
          <w:sz w:val="20"/>
          <w:szCs w:val="20"/>
        </w:rPr>
        <w:t>exotoxins</w:t>
      </w:r>
      <w:proofErr w:type="spellEnd"/>
      <w:r w:rsidRPr="00153E12">
        <w:rPr>
          <w:sz w:val="20"/>
          <w:szCs w:val="20"/>
        </w:rPr>
        <w:t xml:space="preserve"> from </w:t>
      </w:r>
      <w:proofErr w:type="spellStart"/>
      <w:r w:rsidRPr="00153E12">
        <w:rPr>
          <w:sz w:val="20"/>
          <w:szCs w:val="20"/>
        </w:rPr>
        <w:t>dialysate</w:t>
      </w:r>
      <w:proofErr w:type="spellEnd"/>
      <w:r w:rsidRPr="00153E12">
        <w:rPr>
          <w:sz w:val="20"/>
          <w:szCs w:val="20"/>
        </w:rPr>
        <w:t xml:space="preserve"> water and infected vascular access during the extracorporeal procedure. As a consequence, an increase in different pro-inflammatory cytokines such as IL-1β, IL-6, TNF-α, and IL-17 occurs with subsequent enhanced over-expression of PTX3 in primary proximal tubular epithelial cells (PTECs), primary </w:t>
      </w:r>
      <w:proofErr w:type="spellStart"/>
      <w:r w:rsidRPr="00153E12">
        <w:rPr>
          <w:sz w:val="20"/>
          <w:szCs w:val="20"/>
        </w:rPr>
        <w:t>mesangial</w:t>
      </w:r>
      <w:proofErr w:type="spellEnd"/>
      <w:r w:rsidRPr="00153E12">
        <w:rPr>
          <w:sz w:val="20"/>
          <w:szCs w:val="20"/>
        </w:rPr>
        <w:t xml:space="preserve"> cells and renal fibroblasts, followed by its release into the systemic circulation in high concentrations. Being produced locally at the site of inflammation, the PTX3 level is believed to be a true independent indicator of disease </w:t>
      </w:r>
      <w:proofErr w:type="gramStart"/>
      <w:r w:rsidRPr="00153E12">
        <w:rPr>
          <w:sz w:val="20"/>
          <w:szCs w:val="20"/>
        </w:rPr>
        <w:t>activity</w:t>
      </w:r>
      <w:r w:rsidR="00BA0F98" w:rsidRPr="00153E12">
        <w:rPr>
          <w:sz w:val="20"/>
          <w:szCs w:val="20"/>
          <w:vertAlign w:val="superscript"/>
        </w:rPr>
        <w:t>(</w:t>
      </w:r>
      <w:proofErr w:type="gramEnd"/>
      <w:r w:rsidR="00BA0F98" w:rsidRPr="00153E12">
        <w:rPr>
          <w:sz w:val="20"/>
          <w:szCs w:val="20"/>
          <w:vertAlign w:val="superscript"/>
        </w:rPr>
        <w:t>12, 16)</w:t>
      </w:r>
      <w:r w:rsidR="00153E12">
        <w:rPr>
          <w:sz w:val="20"/>
          <w:szCs w:val="20"/>
        </w:rPr>
        <w:t>.</w:t>
      </w:r>
    </w:p>
    <w:p w:rsidR="005272C8" w:rsidRPr="00153E12" w:rsidRDefault="005272C8" w:rsidP="008B7439">
      <w:pPr>
        <w:snapToGrid w:val="0"/>
        <w:ind w:firstLine="425"/>
        <w:jc w:val="both"/>
        <w:rPr>
          <w:sz w:val="20"/>
          <w:szCs w:val="20"/>
        </w:rPr>
      </w:pPr>
      <w:r w:rsidRPr="00153E12">
        <w:rPr>
          <w:sz w:val="20"/>
          <w:szCs w:val="20"/>
        </w:rPr>
        <w:t xml:space="preserve">Aiming to evaluate the relationship between the plasma PTX3 level and the co-morbid diseases, HD patient group was divided according to Davies co-morbidity index into three subgroups (low, medium and high Davies co-morbidity index) </w:t>
      </w:r>
      <w:r w:rsidR="00BA0F98" w:rsidRPr="00153E12">
        <w:rPr>
          <w:sz w:val="20"/>
          <w:szCs w:val="20"/>
          <w:vertAlign w:val="superscript"/>
        </w:rPr>
        <w:t>(7)</w:t>
      </w:r>
      <w:r w:rsidR="00BA0F98" w:rsidRPr="00153E12">
        <w:rPr>
          <w:sz w:val="20"/>
          <w:szCs w:val="20"/>
        </w:rPr>
        <w:t>.</w:t>
      </w:r>
      <w:r w:rsidRPr="00153E12">
        <w:rPr>
          <w:sz w:val="20"/>
          <w:szCs w:val="20"/>
        </w:rPr>
        <w:t xml:space="preserve"> Accordingly, the highest level of PTX3 was detected in the high Davies co-morbidity index followed by the medium Davies co-morbidity index then the low Davies co-morbidity index.</w:t>
      </w:r>
      <w:r w:rsidR="00153E12">
        <w:rPr>
          <w:sz w:val="20"/>
          <w:szCs w:val="20"/>
        </w:rPr>
        <w:t xml:space="preserve"> </w:t>
      </w:r>
      <w:r w:rsidRPr="00153E12">
        <w:rPr>
          <w:sz w:val="20"/>
          <w:szCs w:val="20"/>
        </w:rPr>
        <w:t xml:space="preserve">Similar data were reported by </w:t>
      </w:r>
      <w:r w:rsidRPr="00153E12">
        <w:rPr>
          <w:b/>
          <w:bCs/>
          <w:sz w:val="20"/>
          <w:szCs w:val="20"/>
        </w:rPr>
        <w:t>Davies et al.</w:t>
      </w:r>
      <w:r w:rsidR="00BA0F98" w:rsidRPr="00153E12">
        <w:rPr>
          <w:b/>
          <w:bCs/>
          <w:sz w:val="20"/>
          <w:szCs w:val="20"/>
          <w:vertAlign w:val="superscript"/>
        </w:rPr>
        <w:t>(6)</w:t>
      </w:r>
      <w:r w:rsidRPr="00153E12">
        <w:rPr>
          <w:b/>
          <w:bCs/>
          <w:sz w:val="20"/>
          <w:szCs w:val="20"/>
        </w:rPr>
        <w:t xml:space="preserve"> </w:t>
      </w:r>
      <w:r w:rsidR="00BA0F98" w:rsidRPr="00153E12">
        <w:rPr>
          <w:b/>
          <w:bCs/>
          <w:sz w:val="20"/>
          <w:szCs w:val="20"/>
        </w:rPr>
        <w:t>and</w:t>
      </w:r>
      <w:r w:rsidR="00153E12">
        <w:rPr>
          <w:b/>
          <w:bCs/>
          <w:sz w:val="20"/>
          <w:szCs w:val="20"/>
        </w:rPr>
        <w:t xml:space="preserve"> </w:t>
      </w:r>
      <w:proofErr w:type="spellStart"/>
      <w:r w:rsidRPr="00153E12">
        <w:rPr>
          <w:b/>
          <w:bCs/>
          <w:sz w:val="20"/>
          <w:szCs w:val="20"/>
        </w:rPr>
        <w:t>Suliman</w:t>
      </w:r>
      <w:proofErr w:type="spellEnd"/>
      <w:r w:rsidRPr="00153E12">
        <w:rPr>
          <w:b/>
          <w:bCs/>
          <w:sz w:val="20"/>
          <w:szCs w:val="20"/>
        </w:rPr>
        <w:t xml:space="preserve"> et al.</w:t>
      </w:r>
      <w:r w:rsidR="00BA0F98" w:rsidRPr="00153E12">
        <w:rPr>
          <w:b/>
          <w:bCs/>
          <w:sz w:val="20"/>
          <w:szCs w:val="20"/>
          <w:vertAlign w:val="superscript"/>
        </w:rPr>
        <w:t>(17)</w:t>
      </w:r>
      <w:r w:rsidR="00153E12">
        <w:rPr>
          <w:b/>
          <w:bCs/>
          <w:sz w:val="20"/>
          <w:szCs w:val="20"/>
        </w:rPr>
        <w:t>,</w:t>
      </w:r>
      <w:r w:rsidRPr="00153E12">
        <w:rPr>
          <w:b/>
          <w:bCs/>
          <w:sz w:val="20"/>
          <w:szCs w:val="20"/>
        </w:rPr>
        <w:t xml:space="preserve"> </w:t>
      </w:r>
      <w:r w:rsidRPr="00153E12">
        <w:rPr>
          <w:sz w:val="20"/>
          <w:szCs w:val="20"/>
        </w:rPr>
        <w:t>who added that the association between PTX3 and co-morbidities is not surprising as the chronic inflammation may increase the pro-oxidant activity usually in generalized tissue damage which could definitely trigger the occurrence of co-morbid diseases such as ischemic heart disease, left ventricular dysfunction, peripheral vascular disease, malignancy, diabetes, systemic collagen disease and other significant pathology (e.g., chronic obstructive pulmonary disease, cirrhosis), in HD patients.</w:t>
      </w:r>
    </w:p>
    <w:p w:rsidR="005272C8" w:rsidRPr="00153E12" w:rsidRDefault="005272C8" w:rsidP="008B7439">
      <w:pPr>
        <w:snapToGrid w:val="0"/>
        <w:ind w:firstLine="425"/>
        <w:jc w:val="both"/>
        <w:rPr>
          <w:sz w:val="20"/>
          <w:szCs w:val="20"/>
        </w:rPr>
      </w:pPr>
      <w:r w:rsidRPr="00153E12">
        <w:rPr>
          <w:sz w:val="20"/>
          <w:szCs w:val="20"/>
        </w:rPr>
        <w:t>In order to evaluate the relationship between the level of plasma PTX3 and the degree of severity of malnutrition in HD patients, the HD patients were divided according to malnutrition score into mild, moderate and severe subgroups</w:t>
      </w:r>
      <w:r w:rsidR="00BA0F98" w:rsidRPr="00153E12">
        <w:rPr>
          <w:sz w:val="20"/>
          <w:szCs w:val="20"/>
          <w:vertAlign w:val="superscript"/>
        </w:rPr>
        <w:t>(4)</w:t>
      </w:r>
      <w:r w:rsidR="00153E12">
        <w:rPr>
          <w:sz w:val="20"/>
          <w:szCs w:val="20"/>
        </w:rPr>
        <w:t>.</w:t>
      </w:r>
      <w:r w:rsidRPr="00153E12">
        <w:rPr>
          <w:sz w:val="20"/>
          <w:szCs w:val="20"/>
        </w:rPr>
        <w:t xml:space="preserve"> Accordingly, the plasma level of PTX3 was significantly higher in, severe malnutrition subgroup than in moderate or mild malnutrition. These finding were in accordance with that of </w:t>
      </w:r>
      <w:proofErr w:type="spellStart"/>
      <w:r w:rsidRPr="00153E12">
        <w:rPr>
          <w:b/>
          <w:bCs/>
          <w:sz w:val="20"/>
          <w:szCs w:val="20"/>
        </w:rPr>
        <w:t>Suliman</w:t>
      </w:r>
      <w:proofErr w:type="spellEnd"/>
      <w:r w:rsidRPr="00153E12">
        <w:rPr>
          <w:b/>
          <w:bCs/>
          <w:sz w:val="20"/>
          <w:szCs w:val="20"/>
        </w:rPr>
        <w:t xml:space="preserve"> et al. </w:t>
      </w:r>
      <w:r w:rsidR="00BA0F98" w:rsidRPr="00153E12">
        <w:rPr>
          <w:b/>
          <w:bCs/>
          <w:sz w:val="20"/>
          <w:szCs w:val="20"/>
          <w:vertAlign w:val="superscript"/>
        </w:rPr>
        <w:t>(17)</w:t>
      </w:r>
      <w:r w:rsidRPr="00153E12">
        <w:rPr>
          <w:b/>
          <w:bCs/>
          <w:sz w:val="20"/>
          <w:szCs w:val="20"/>
        </w:rPr>
        <w:t xml:space="preserve"> and </w:t>
      </w:r>
      <w:proofErr w:type="spellStart"/>
      <w:r w:rsidRPr="00153E12">
        <w:rPr>
          <w:b/>
          <w:bCs/>
          <w:sz w:val="20"/>
          <w:szCs w:val="20"/>
        </w:rPr>
        <w:t>Bonanni</w:t>
      </w:r>
      <w:proofErr w:type="spellEnd"/>
      <w:r w:rsidRPr="00153E12">
        <w:rPr>
          <w:b/>
          <w:bCs/>
          <w:sz w:val="20"/>
          <w:szCs w:val="20"/>
        </w:rPr>
        <w:t xml:space="preserve"> et al. </w:t>
      </w:r>
      <w:r w:rsidR="00BA0F98" w:rsidRPr="00153E12">
        <w:rPr>
          <w:b/>
          <w:bCs/>
          <w:sz w:val="20"/>
          <w:szCs w:val="20"/>
          <w:vertAlign w:val="superscript"/>
        </w:rPr>
        <w:t>(2)</w:t>
      </w:r>
      <w:r w:rsidR="00BA0F98" w:rsidRPr="00153E12">
        <w:rPr>
          <w:b/>
          <w:bCs/>
          <w:sz w:val="20"/>
          <w:szCs w:val="20"/>
        </w:rPr>
        <w:t xml:space="preserve"> </w:t>
      </w:r>
      <w:r w:rsidRPr="00153E12">
        <w:rPr>
          <w:sz w:val="20"/>
          <w:szCs w:val="20"/>
        </w:rPr>
        <w:t>who mentioned that the occurrence of malnutrition in HD patients is not entirely accounted for by inadequate nutrient intake but increases progressively along with the loss of residual renal function. Moreover, the uremia-induced alterations in both protein metabolism ( negative protein balance and negative energy balance) and gastrointestinal tract function (anorexia, hiccups, nausea, vomiting, uremic fetor associated with unpleasant taste, mucosal ulceration</w:t>
      </w:r>
      <w:r w:rsidR="00153E12">
        <w:rPr>
          <w:sz w:val="20"/>
          <w:szCs w:val="20"/>
        </w:rPr>
        <w:t>,</w:t>
      </w:r>
      <w:r w:rsidRPr="00153E12">
        <w:rPr>
          <w:sz w:val="20"/>
          <w:szCs w:val="20"/>
        </w:rPr>
        <w:t xml:space="preserve"> peptic ulcer</w:t>
      </w:r>
      <w:r w:rsidR="00153E12">
        <w:rPr>
          <w:sz w:val="20"/>
          <w:szCs w:val="20"/>
        </w:rPr>
        <w:t>,</w:t>
      </w:r>
      <w:r w:rsidRPr="00153E12">
        <w:rPr>
          <w:sz w:val="20"/>
          <w:szCs w:val="20"/>
        </w:rPr>
        <w:t xml:space="preserve"> diarrhea due to antibiotic treatment, and constipation) </w:t>
      </w:r>
      <w:r w:rsidRPr="00153E12">
        <w:rPr>
          <w:sz w:val="20"/>
          <w:szCs w:val="20"/>
        </w:rPr>
        <w:lastRenderedPageBreak/>
        <w:t>can exaggerate the malnutrition status</w:t>
      </w:r>
      <w:r w:rsidR="00153E12">
        <w:rPr>
          <w:sz w:val="20"/>
          <w:szCs w:val="20"/>
        </w:rPr>
        <w:t>,</w:t>
      </w:r>
      <w:r w:rsidRPr="00153E12">
        <w:rPr>
          <w:sz w:val="20"/>
          <w:szCs w:val="20"/>
        </w:rPr>
        <w:t xml:space="preserve"> which in turn aggravates the inflammation leading to a decrease synthesis of negative acute-phase proteins (albumin, pre albumin, transferring, retinol binding protein and insulin growth factor-1) by liver.</w:t>
      </w:r>
    </w:p>
    <w:p w:rsidR="005272C8" w:rsidRPr="00153E12" w:rsidRDefault="005272C8" w:rsidP="008B7439">
      <w:pPr>
        <w:snapToGrid w:val="0"/>
        <w:ind w:firstLine="425"/>
        <w:jc w:val="both"/>
        <w:rPr>
          <w:sz w:val="20"/>
          <w:szCs w:val="20"/>
        </w:rPr>
      </w:pPr>
      <w:r w:rsidRPr="00153E12">
        <w:rPr>
          <w:sz w:val="20"/>
          <w:szCs w:val="20"/>
        </w:rPr>
        <w:t>In the present study, the degree of association between PTX3 level and each of Davies co- morbidity index and malnutrition score was evaluated by the calculation of the odds ratios. The analysis showed that high plasma PTX3 was significantly associated with high odds ratio for high Davies co-morbidity index and severe malnutrition score (odd ratio 28 and 7 respectively).</w:t>
      </w:r>
    </w:p>
    <w:p w:rsidR="005272C8" w:rsidRPr="00153E12" w:rsidRDefault="005272C8" w:rsidP="008B7439">
      <w:pPr>
        <w:snapToGrid w:val="0"/>
        <w:ind w:firstLine="425"/>
        <w:jc w:val="both"/>
        <w:rPr>
          <w:sz w:val="20"/>
          <w:szCs w:val="20"/>
        </w:rPr>
      </w:pPr>
      <w:r w:rsidRPr="00153E12">
        <w:rPr>
          <w:sz w:val="20"/>
          <w:szCs w:val="20"/>
        </w:rPr>
        <w:t xml:space="preserve">In the present study, assessment of the diagnostic performance of plasma PTX3 in discriminating between different HD subgroups was assessed. The best plasma PTX3 cutoff for discriminating patients with low Davies co-morbidity index from those with both medium and high Davies co-morbidity index was </w:t>
      </w:r>
      <w:proofErr w:type="gramStart"/>
      <w:r w:rsidRPr="00153E12">
        <w:rPr>
          <w:sz w:val="20"/>
          <w:szCs w:val="20"/>
        </w:rPr>
        <w:t xml:space="preserve">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gramEnd"/>
      <w:r w:rsidRPr="00153E12">
        <w:rPr>
          <w:sz w:val="20"/>
          <w:szCs w:val="20"/>
        </w:rPr>
        <w:t>.</w:t>
      </w:r>
      <w:proofErr w:type="spellEnd"/>
      <w:r w:rsidRPr="00153E12">
        <w:rPr>
          <w:sz w:val="20"/>
          <w:szCs w:val="20"/>
        </w:rPr>
        <w:t xml:space="preserve"> This cutoff showed a diagnostic sensitivity of 92.5%, diagnostic specificity of 70.0%, negative predictive value of 70.0%, </w:t>
      </w:r>
      <w:proofErr w:type="gramStart"/>
      <w:r w:rsidRPr="00153E12">
        <w:rPr>
          <w:sz w:val="20"/>
          <w:szCs w:val="20"/>
        </w:rPr>
        <w:t>positive</w:t>
      </w:r>
      <w:proofErr w:type="gramEnd"/>
      <w:r w:rsidRPr="00153E12">
        <w:rPr>
          <w:sz w:val="20"/>
          <w:szCs w:val="20"/>
        </w:rPr>
        <w:t xml:space="preserve"> predictive value of 92.5%, the diagnostic efficacy of 86.0% and an AUC of 0.92. Meanwhile, the best cutoff of plasma PTX3 for discriminating patients with mild malnutrition from severe and moderate malnutrition was </w:t>
      </w:r>
      <w:proofErr w:type="gramStart"/>
      <w:r w:rsidRPr="00153E12">
        <w:rPr>
          <w:sz w:val="20"/>
          <w:szCs w:val="20"/>
        </w:rPr>
        <w:t xml:space="preserve">0.6 </w:t>
      </w:r>
      <w:proofErr w:type="spellStart"/>
      <w:r w:rsidRPr="00153E12">
        <w:rPr>
          <w:sz w:val="20"/>
          <w:szCs w:val="20"/>
        </w:rPr>
        <w:t>ng</w:t>
      </w:r>
      <w:proofErr w:type="spellEnd"/>
      <w:r w:rsidRPr="00153E12">
        <w:rPr>
          <w:sz w:val="20"/>
          <w:szCs w:val="20"/>
        </w:rPr>
        <w:t>/</w:t>
      </w:r>
      <w:proofErr w:type="spellStart"/>
      <w:r w:rsidRPr="00153E12">
        <w:rPr>
          <w:sz w:val="20"/>
          <w:szCs w:val="20"/>
        </w:rPr>
        <w:t>mL</w:t>
      </w:r>
      <w:proofErr w:type="spellEnd"/>
      <w:r w:rsidRPr="00153E12">
        <w:rPr>
          <w:sz w:val="20"/>
          <w:szCs w:val="20"/>
        </w:rPr>
        <w:t xml:space="preserve"> with diagnostic sensitivity 90.9%, diagnostic specificity 41.2%, negative predictive value 70.0%, positive predictive value 75.0%, diagnostic efficacy 74.0% and an AUC was</w:t>
      </w:r>
      <w:r w:rsidR="00153E12">
        <w:rPr>
          <w:sz w:val="20"/>
          <w:szCs w:val="20"/>
        </w:rPr>
        <w:t>.</w:t>
      </w:r>
      <w:r w:rsidRPr="00153E12">
        <w:rPr>
          <w:sz w:val="20"/>
          <w:szCs w:val="20"/>
        </w:rPr>
        <w:t>0.75</w:t>
      </w:r>
      <w:proofErr w:type="gramEnd"/>
      <w:r w:rsidRPr="00153E12">
        <w:rPr>
          <w:sz w:val="20"/>
          <w:szCs w:val="20"/>
        </w:rPr>
        <w:t>.</w:t>
      </w:r>
    </w:p>
    <w:p w:rsidR="005272C8" w:rsidRPr="00153E12" w:rsidRDefault="005272C8" w:rsidP="008B7439">
      <w:pPr>
        <w:snapToGrid w:val="0"/>
        <w:ind w:firstLine="425"/>
        <w:jc w:val="both"/>
        <w:rPr>
          <w:rFonts w:eastAsiaTheme="minorEastAsia"/>
          <w:sz w:val="20"/>
          <w:szCs w:val="20"/>
          <w:lang w:eastAsia="zh-CN"/>
        </w:rPr>
      </w:pPr>
      <w:r w:rsidRPr="00153E12">
        <w:rPr>
          <w:color w:val="000000"/>
          <w:sz w:val="20"/>
          <w:szCs w:val="20"/>
        </w:rPr>
        <w:t xml:space="preserve">In conclusion: </w:t>
      </w:r>
      <w:proofErr w:type="spellStart"/>
      <w:r w:rsidRPr="00153E12">
        <w:rPr>
          <w:sz w:val="20"/>
          <w:szCs w:val="20"/>
        </w:rPr>
        <w:t>Pentraxin</w:t>
      </w:r>
      <w:proofErr w:type="spellEnd"/>
      <w:r w:rsidRPr="00153E12">
        <w:rPr>
          <w:sz w:val="20"/>
          <w:szCs w:val="20"/>
        </w:rPr>
        <w:t xml:space="preserve"> 3 appears to be a clinically useful marker for early identification of patients with renal failure</w:t>
      </w:r>
      <w:r w:rsidR="00153E12">
        <w:rPr>
          <w:sz w:val="20"/>
          <w:szCs w:val="20"/>
        </w:rPr>
        <w:t xml:space="preserve"> </w:t>
      </w:r>
      <w:r w:rsidRPr="00153E12">
        <w:rPr>
          <w:sz w:val="20"/>
          <w:szCs w:val="20"/>
        </w:rPr>
        <w:t>on maintenance</w:t>
      </w:r>
      <w:r w:rsidR="00153E12">
        <w:rPr>
          <w:sz w:val="20"/>
          <w:szCs w:val="20"/>
        </w:rPr>
        <w:t xml:space="preserve"> </w:t>
      </w:r>
      <w:r w:rsidRPr="00153E12">
        <w:rPr>
          <w:sz w:val="20"/>
          <w:szCs w:val="20"/>
        </w:rPr>
        <w:t>HD who are at substantially increased risk of morbidity. These patients may require care and aggressive follow-up in more specialized units. Such patients would also probably benefit from early referral to a renal transplant center for consideration of candidacy for transplantation and expedited evaluation</w:t>
      </w:r>
      <w:r w:rsidR="00153E12">
        <w:rPr>
          <w:rFonts w:eastAsiaTheme="minorEastAsia" w:hint="eastAsia"/>
          <w:sz w:val="20"/>
          <w:szCs w:val="20"/>
          <w:lang w:eastAsia="zh-CN"/>
        </w:rPr>
        <w:t>.</w:t>
      </w:r>
    </w:p>
    <w:p w:rsidR="008B7439" w:rsidRPr="00153E12" w:rsidRDefault="008B7439" w:rsidP="008B7439">
      <w:pPr>
        <w:snapToGrid w:val="0"/>
        <w:ind w:firstLine="425"/>
        <w:jc w:val="both"/>
        <w:rPr>
          <w:rFonts w:eastAsiaTheme="minorEastAsia"/>
          <w:color w:val="000000"/>
          <w:sz w:val="20"/>
          <w:szCs w:val="20"/>
          <w:lang w:eastAsia="zh-CN"/>
        </w:rPr>
      </w:pPr>
    </w:p>
    <w:p w:rsidR="008B7439" w:rsidRPr="00153E12" w:rsidRDefault="008B7439" w:rsidP="008B7439">
      <w:pPr>
        <w:snapToGrid w:val="0"/>
        <w:jc w:val="both"/>
        <w:rPr>
          <w:b/>
          <w:bCs/>
          <w:sz w:val="20"/>
          <w:szCs w:val="20"/>
        </w:rPr>
      </w:pPr>
      <w:r w:rsidRPr="00153E12">
        <w:rPr>
          <w:b/>
          <w:bCs/>
          <w:sz w:val="20"/>
          <w:szCs w:val="20"/>
        </w:rPr>
        <w:t>References</w:t>
      </w:r>
    </w:p>
    <w:p w:rsidR="008B7439" w:rsidRPr="00153E12" w:rsidRDefault="008B7439" w:rsidP="008B7439">
      <w:pPr>
        <w:pStyle w:val="ListParagraph"/>
        <w:numPr>
          <w:ilvl w:val="0"/>
          <w:numId w:val="5"/>
        </w:numPr>
        <w:snapToGrid w:val="0"/>
        <w:jc w:val="both"/>
        <w:rPr>
          <w:sz w:val="20"/>
          <w:szCs w:val="20"/>
        </w:rPr>
      </w:pPr>
      <w:r w:rsidRPr="00153E12">
        <w:rPr>
          <w:rStyle w:val="Hyperlink"/>
          <w:color w:val="auto"/>
          <w:sz w:val="20"/>
          <w:szCs w:val="20"/>
          <w:u w:val="none"/>
        </w:rPr>
        <w:t>B</w:t>
      </w:r>
      <w:r w:rsidR="000D032D" w:rsidRPr="00153E12">
        <w:rPr>
          <w:sz w:val="20"/>
          <w:szCs w:val="20"/>
        </w:rPr>
        <w:t xml:space="preserve">.; </w:t>
      </w:r>
      <w:hyperlink r:id="rId13" w:history="1">
        <w:proofErr w:type="spellStart"/>
        <w:r w:rsidR="000D032D" w:rsidRPr="00153E12">
          <w:rPr>
            <w:rStyle w:val="Hyperlink"/>
            <w:color w:val="auto"/>
            <w:sz w:val="20"/>
            <w:szCs w:val="20"/>
            <w:u w:val="none"/>
          </w:rPr>
          <w:t>Kaehne</w:t>
        </w:r>
        <w:proofErr w:type="spellEnd"/>
        <w:r w:rsidR="000D032D" w:rsidRPr="00153E12">
          <w:rPr>
            <w:rStyle w:val="Hyperlink"/>
            <w:color w:val="auto"/>
            <w:sz w:val="20"/>
            <w:szCs w:val="20"/>
            <w:u w:val="none"/>
          </w:rPr>
          <w:t>, F</w:t>
        </w:r>
      </w:hyperlink>
      <w:r w:rsidR="000D032D" w:rsidRPr="00153E12">
        <w:rPr>
          <w:sz w:val="20"/>
          <w:szCs w:val="20"/>
        </w:rPr>
        <w:t xml:space="preserve">.; </w:t>
      </w:r>
      <w:hyperlink r:id="rId14" w:history="1">
        <w:proofErr w:type="spellStart"/>
        <w:r w:rsidR="000D032D" w:rsidRPr="00153E12">
          <w:rPr>
            <w:rStyle w:val="Hyperlink"/>
            <w:color w:val="auto"/>
            <w:sz w:val="20"/>
            <w:szCs w:val="20"/>
            <w:u w:val="none"/>
          </w:rPr>
          <w:t>Kuehne</w:t>
        </w:r>
        <w:proofErr w:type="spellEnd"/>
        <w:r w:rsidR="000D032D" w:rsidRPr="00153E12">
          <w:rPr>
            <w:rStyle w:val="Hyperlink"/>
            <w:color w:val="auto"/>
            <w:sz w:val="20"/>
            <w:szCs w:val="20"/>
            <w:u w:val="none"/>
          </w:rPr>
          <w:t>, A</w:t>
        </w:r>
      </w:hyperlink>
      <w:r w:rsidR="000D032D" w:rsidRPr="00153E12">
        <w:rPr>
          <w:sz w:val="20"/>
          <w:szCs w:val="20"/>
        </w:rPr>
        <w:t xml:space="preserve">.; </w:t>
      </w:r>
      <w:hyperlink r:id="rId15" w:history="1">
        <w:r w:rsidR="000D032D" w:rsidRPr="00153E12">
          <w:rPr>
            <w:rStyle w:val="Hyperlink"/>
            <w:color w:val="auto"/>
            <w:sz w:val="20"/>
            <w:szCs w:val="20"/>
            <w:u w:val="none"/>
          </w:rPr>
          <w:t>Bernhardt, W</w:t>
        </w:r>
      </w:hyperlink>
      <w:r w:rsidR="000D032D" w:rsidRPr="00153E12">
        <w:rPr>
          <w:sz w:val="20"/>
          <w:szCs w:val="20"/>
        </w:rPr>
        <w:t xml:space="preserve">.; </w:t>
      </w:r>
      <w:hyperlink r:id="rId16" w:history="1">
        <w:proofErr w:type="spellStart"/>
        <w:r w:rsidR="000D032D" w:rsidRPr="00153E12">
          <w:rPr>
            <w:rStyle w:val="Hyperlink"/>
            <w:color w:val="auto"/>
            <w:sz w:val="20"/>
            <w:szCs w:val="20"/>
            <w:u w:val="none"/>
          </w:rPr>
          <w:t>Schröder</w:t>
        </w:r>
        <w:proofErr w:type="spellEnd"/>
        <w:r w:rsidR="000D032D" w:rsidRPr="00153E12">
          <w:rPr>
            <w:rStyle w:val="Hyperlink"/>
            <w:color w:val="auto"/>
            <w:sz w:val="20"/>
            <w:szCs w:val="20"/>
            <w:u w:val="none"/>
          </w:rPr>
          <w:t>, M</w:t>
        </w:r>
      </w:hyperlink>
      <w:r w:rsidR="000D032D" w:rsidRPr="00153E12">
        <w:rPr>
          <w:sz w:val="20"/>
          <w:szCs w:val="20"/>
        </w:rPr>
        <w:t xml:space="preserve">. </w:t>
      </w:r>
      <w:proofErr w:type="gramStart"/>
      <w:r w:rsidR="000D032D" w:rsidRPr="00153E12">
        <w:rPr>
          <w:sz w:val="20"/>
          <w:szCs w:val="20"/>
        </w:rPr>
        <w:t>et</w:t>
      </w:r>
      <w:proofErr w:type="gramEnd"/>
      <w:r w:rsidR="000D032D" w:rsidRPr="00153E12">
        <w:rPr>
          <w:sz w:val="20"/>
          <w:szCs w:val="20"/>
        </w:rPr>
        <w:t xml:space="preserve"> al. (2007):</w:t>
      </w:r>
      <w:r w:rsidR="00153E12">
        <w:rPr>
          <w:sz w:val="20"/>
          <w:szCs w:val="20"/>
        </w:rPr>
        <w:t xml:space="preserve"> </w:t>
      </w:r>
      <w:proofErr w:type="spellStart"/>
      <w:r w:rsidR="000D032D" w:rsidRPr="00153E12">
        <w:rPr>
          <w:sz w:val="20"/>
          <w:szCs w:val="20"/>
        </w:rPr>
        <w:t>Pentraxin</w:t>
      </w:r>
      <w:proofErr w:type="spellEnd"/>
      <w:r w:rsidR="000D032D" w:rsidRPr="00153E12">
        <w:rPr>
          <w:sz w:val="20"/>
          <w:szCs w:val="20"/>
        </w:rPr>
        <w:t xml:space="preserve"> 3 is elevated in </w:t>
      </w:r>
      <w:proofErr w:type="spellStart"/>
      <w:r w:rsidR="000D032D" w:rsidRPr="00153E12">
        <w:rPr>
          <w:sz w:val="20"/>
          <w:szCs w:val="20"/>
        </w:rPr>
        <w:t>haemodialysis</w:t>
      </w:r>
      <w:proofErr w:type="spellEnd"/>
      <w:r w:rsidR="000D032D" w:rsidRPr="00153E12">
        <w:rPr>
          <w:sz w:val="20"/>
          <w:szCs w:val="20"/>
        </w:rPr>
        <w:t xml:space="preserve"> patients and is associated with cardiovascular disease. </w:t>
      </w:r>
      <w:hyperlink r:id="rId17" w:tooltip="Nephrology, dialysis, transplantation : official publication of the European Dialysis and Transplant Association - European Renal Association." w:history="1">
        <w:proofErr w:type="spellStart"/>
        <w:r w:rsidR="000D032D" w:rsidRPr="00153E12">
          <w:rPr>
            <w:rStyle w:val="Hyperlink"/>
            <w:color w:val="auto"/>
            <w:sz w:val="20"/>
            <w:szCs w:val="20"/>
            <w:u w:val="none"/>
          </w:rPr>
          <w:t>Nephrol</w:t>
        </w:r>
        <w:proofErr w:type="spellEnd"/>
        <w:r w:rsidR="000D032D" w:rsidRPr="00153E12">
          <w:rPr>
            <w:rStyle w:val="Hyperlink"/>
            <w:color w:val="auto"/>
            <w:sz w:val="20"/>
            <w:szCs w:val="20"/>
            <w:u w:val="none"/>
          </w:rPr>
          <w:t>. Dial. Transplant</w:t>
        </w:r>
      </w:hyperlink>
      <w:r w:rsidR="000D032D" w:rsidRPr="00153E12">
        <w:rPr>
          <w:sz w:val="20"/>
          <w:szCs w:val="20"/>
        </w:rPr>
        <w:t>; 22(8):2224-2229.</w:t>
      </w:r>
    </w:p>
    <w:p w:rsidR="008B7439" w:rsidRPr="00153E12" w:rsidRDefault="008B7439" w:rsidP="008B7439">
      <w:pPr>
        <w:pStyle w:val="ListParagraph"/>
        <w:numPr>
          <w:ilvl w:val="0"/>
          <w:numId w:val="5"/>
        </w:numPr>
        <w:snapToGrid w:val="0"/>
        <w:jc w:val="both"/>
        <w:rPr>
          <w:sz w:val="20"/>
          <w:szCs w:val="20"/>
        </w:rPr>
      </w:pPr>
      <w:proofErr w:type="spellStart"/>
      <w:r w:rsidRPr="00153E12">
        <w:rPr>
          <w:sz w:val="20"/>
          <w:szCs w:val="20"/>
        </w:rPr>
        <w:t>B</w:t>
      </w:r>
      <w:r w:rsidR="000D032D" w:rsidRPr="00153E12">
        <w:rPr>
          <w:sz w:val="20"/>
          <w:szCs w:val="20"/>
        </w:rPr>
        <w:t>onanni</w:t>
      </w:r>
      <w:proofErr w:type="spellEnd"/>
      <w:r w:rsidR="000D032D" w:rsidRPr="00153E12">
        <w:rPr>
          <w:sz w:val="20"/>
          <w:szCs w:val="20"/>
        </w:rPr>
        <w:t xml:space="preserve">, A.; </w:t>
      </w:r>
      <w:proofErr w:type="spellStart"/>
      <w:r w:rsidR="000D032D" w:rsidRPr="00153E12">
        <w:rPr>
          <w:sz w:val="20"/>
          <w:szCs w:val="20"/>
        </w:rPr>
        <w:t>Mannucci</w:t>
      </w:r>
      <w:proofErr w:type="spellEnd"/>
      <w:r w:rsidR="000D032D" w:rsidRPr="00153E12">
        <w:rPr>
          <w:sz w:val="20"/>
          <w:szCs w:val="20"/>
        </w:rPr>
        <w:t xml:space="preserve">, I.; </w:t>
      </w:r>
      <w:proofErr w:type="spellStart"/>
      <w:r w:rsidR="000D032D" w:rsidRPr="00153E12">
        <w:rPr>
          <w:sz w:val="20"/>
          <w:szCs w:val="20"/>
        </w:rPr>
        <w:t>Verzola</w:t>
      </w:r>
      <w:proofErr w:type="spellEnd"/>
      <w:r w:rsidR="000D032D" w:rsidRPr="00153E12">
        <w:rPr>
          <w:sz w:val="20"/>
          <w:szCs w:val="20"/>
        </w:rPr>
        <w:t xml:space="preserve">, D.; Sofia, A. and </w:t>
      </w:r>
      <w:proofErr w:type="spellStart"/>
      <w:r w:rsidR="000D032D" w:rsidRPr="00153E12">
        <w:rPr>
          <w:sz w:val="20"/>
          <w:szCs w:val="20"/>
        </w:rPr>
        <w:t>Saffioti</w:t>
      </w:r>
      <w:proofErr w:type="spellEnd"/>
      <w:r w:rsidR="000D032D" w:rsidRPr="00153E12">
        <w:rPr>
          <w:sz w:val="20"/>
          <w:szCs w:val="20"/>
        </w:rPr>
        <w:t>, S. et al. (2011): Protein-energy wasting and mortality in chronic kidney disease. Int. J. Environ. Res. Public Health; 8(5):1631-1654.</w:t>
      </w:r>
    </w:p>
    <w:p w:rsidR="008B7439" w:rsidRPr="00153E12" w:rsidRDefault="008B7439" w:rsidP="008B7439">
      <w:pPr>
        <w:pStyle w:val="ListParagraph"/>
        <w:numPr>
          <w:ilvl w:val="0"/>
          <w:numId w:val="5"/>
        </w:numPr>
        <w:shd w:val="clear" w:color="auto" w:fill="FFFFFF"/>
        <w:snapToGrid w:val="0"/>
        <w:jc w:val="both"/>
        <w:rPr>
          <w:sz w:val="20"/>
          <w:szCs w:val="20"/>
        </w:rPr>
      </w:pPr>
      <w:proofErr w:type="spellStart"/>
      <w:r w:rsidRPr="00153E12">
        <w:rPr>
          <w:sz w:val="20"/>
          <w:szCs w:val="20"/>
        </w:rPr>
        <w:t>B</w:t>
      </w:r>
      <w:r w:rsidR="000D032D" w:rsidRPr="00153E12">
        <w:rPr>
          <w:sz w:val="20"/>
          <w:szCs w:val="20"/>
        </w:rPr>
        <w:t>urrowes</w:t>
      </w:r>
      <w:proofErr w:type="spellEnd"/>
      <w:r w:rsidR="000D032D" w:rsidRPr="00153E12">
        <w:rPr>
          <w:sz w:val="20"/>
          <w:szCs w:val="20"/>
        </w:rPr>
        <w:t xml:space="preserve">, J.D.; Dalton, S.; </w:t>
      </w:r>
      <w:proofErr w:type="spellStart"/>
      <w:r w:rsidR="000D032D" w:rsidRPr="00153E12">
        <w:rPr>
          <w:sz w:val="20"/>
          <w:szCs w:val="20"/>
        </w:rPr>
        <w:t>Backstrand</w:t>
      </w:r>
      <w:proofErr w:type="spellEnd"/>
      <w:r w:rsidR="000D032D" w:rsidRPr="00153E12">
        <w:rPr>
          <w:sz w:val="20"/>
          <w:szCs w:val="20"/>
        </w:rPr>
        <w:t>, J. and Levin, N.W. (2005):</w:t>
      </w:r>
      <w:r w:rsidR="00153E12">
        <w:rPr>
          <w:sz w:val="20"/>
          <w:szCs w:val="20"/>
        </w:rPr>
        <w:t xml:space="preserve"> </w:t>
      </w:r>
      <w:r w:rsidR="000D032D" w:rsidRPr="00153E12">
        <w:rPr>
          <w:sz w:val="20"/>
          <w:szCs w:val="20"/>
        </w:rPr>
        <w:t xml:space="preserve">Patients receiving maintenance </w:t>
      </w:r>
      <w:proofErr w:type="spellStart"/>
      <w:r w:rsidR="000D032D" w:rsidRPr="00153E12">
        <w:rPr>
          <w:sz w:val="20"/>
          <w:szCs w:val="20"/>
        </w:rPr>
        <w:t>hemodialysis</w:t>
      </w:r>
      <w:proofErr w:type="spellEnd"/>
      <w:r w:rsidR="000D032D" w:rsidRPr="00153E12">
        <w:rPr>
          <w:sz w:val="20"/>
          <w:szCs w:val="20"/>
        </w:rPr>
        <w:t xml:space="preserve"> with low </w:t>
      </w:r>
      <w:proofErr w:type="spellStart"/>
      <w:r w:rsidR="000D032D" w:rsidRPr="00153E12">
        <w:rPr>
          <w:sz w:val="20"/>
          <w:szCs w:val="20"/>
        </w:rPr>
        <w:t>vs</w:t>
      </w:r>
      <w:proofErr w:type="spellEnd"/>
      <w:r w:rsidR="000D032D" w:rsidRPr="00153E12">
        <w:rPr>
          <w:sz w:val="20"/>
          <w:szCs w:val="20"/>
        </w:rPr>
        <w:t xml:space="preserve"> high levels of nutritional risk have decreased </w:t>
      </w:r>
      <w:r w:rsidR="000D032D" w:rsidRPr="00153E12">
        <w:rPr>
          <w:sz w:val="20"/>
          <w:szCs w:val="20"/>
        </w:rPr>
        <w:lastRenderedPageBreak/>
        <w:t>morbidity. Journal of the American Dietetic Association; 105 (4): 563-572.</w:t>
      </w:r>
    </w:p>
    <w:p w:rsidR="008B7439" w:rsidRPr="00153E12" w:rsidRDefault="008B7439" w:rsidP="008B7439">
      <w:pPr>
        <w:pStyle w:val="ListParagraph"/>
        <w:numPr>
          <w:ilvl w:val="0"/>
          <w:numId w:val="5"/>
        </w:numPr>
        <w:snapToGrid w:val="0"/>
        <w:jc w:val="both"/>
        <w:rPr>
          <w:sz w:val="20"/>
          <w:szCs w:val="20"/>
        </w:rPr>
      </w:pPr>
      <w:r w:rsidRPr="00153E12">
        <w:rPr>
          <w:sz w:val="20"/>
          <w:szCs w:val="20"/>
        </w:rPr>
        <w:t>C</w:t>
      </w:r>
      <w:r w:rsidR="000D032D" w:rsidRPr="00153E12">
        <w:rPr>
          <w:sz w:val="20"/>
          <w:szCs w:val="20"/>
        </w:rPr>
        <w:t xml:space="preserve">armona, A.R.; </w:t>
      </w:r>
      <w:proofErr w:type="spellStart"/>
      <w:r w:rsidR="000D032D" w:rsidRPr="00153E12">
        <w:rPr>
          <w:sz w:val="20"/>
          <w:szCs w:val="20"/>
        </w:rPr>
        <w:t>Fontan</w:t>
      </w:r>
      <w:proofErr w:type="spellEnd"/>
      <w:r w:rsidR="000D032D" w:rsidRPr="00153E12">
        <w:rPr>
          <w:sz w:val="20"/>
          <w:szCs w:val="20"/>
        </w:rPr>
        <w:t xml:space="preserve">, M.P.; </w:t>
      </w:r>
      <w:proofErr w:type="spellStart"/>
      <w:r w:rsidR="000D032D" w:rsidRPr="00153E12">
        <w:rPr>
          <w:sz w:val="20"/>
          <w:szCs w:val="20"/>
        </w:rPr>
        <w:t>Cordido</w:t>
      </w:r>
      <w:proofErr w:type="spellEnd"/>
      <w:r w:rsidR="000D032D" w:rsidRPr="00153E12">
        <w:rPr>
          <w:sz w:val="20"/>
          <w:szCs w:val="20"/>
        </w:rPr>
        <w:t xml:space="preserve">, F.; Falcon, T.G. and </w:t>
      </w:r>
      <w:proofErr w:type="spellStart"/>
      <w:r w:rsidR="000D032D" w:rsidRPr="00153E12">
        <w:rPr>
          <w:sz w:val="20"/>
          <w:szCs w:val="20"/>
        </w:rPr>
        <w:t>Buela</w:t>
      </w:r>
      <w:proofErr w:type="spellEnd"/>
      <w:r w:rsidR="000D032D" w:rsidRPr="00153E12">
        <w:rPr>
          <w:sz w:val="20"/>
          <w:szCs w:val="20"/>
        </w:rPr>
        <w:t>, J.G. (2000):</w:t>
      </w:r>
      <w:r w:rsidR="00153E12">
        <w:rPr>
          <w:sz w:val="20"/>
          <w:szCs w:val="20"/>
        </w:rPr>
        <w:t xml:space="preserve"> </w:t>
      </w:r>
      <w:proofErr w:type="spellStart"/>
      <w:r w:rsidR="000D032D" w:rsidRPr="00153E12">
        <w:rPr>
          <w:sz w:val="20"/>
          <w:szCs w:val="20"/>
        </w:rPr>
        <w:t>Hyperleptinemia</w:t>
      </w:r>
      <w:proofErr w:type="spellEnd"/>
      <w:r w:rsidR="000D032D" w:rsidRPr="00153E12">
        <w:rPr>
          <w:sz w:val="20"/>
          <w:szCs w:val="20"/>
        </w:rPr>
        <w:t xml:space="preserve"> is not correlated with markers of protein malnutrition in chronic renal failure. </w:t>
      </w:r>
      <w:proofErr w:type="spellStart"/>
      <w:r w:rsidR="000D032D" w:rsidRPr="00153E12">
        <w:rPr>
          <w:sz w:val="20"/>
          <w:szCs w:val="20"/>
        </w:rPr>
        <w:t>Nephron</w:t>
      </w:r>
      <w:proofErr w:type="spellEnd"/>
      <w:r w:rsidR="000D032D" w:rsidRPr="00153E12">
        <w:rPr>
          <w:sz w:val="20"/>
          <w:szCs w:val="20"/>
        </w:rPr>
        <w:t>; 86(3):274-280.</w:t>
      </w:r>
    </w:p>
    <w:p w:rsidR="008B7439" w:rsidRPr="00153E12" w:rsidRDefault="008B7439" w:rsidP="008B7439">
      <w:pPr>
        <w:pStyle w:val="ListParagraph"/>
        <w:numPr>
          <w:ilvl w:val="0"/>
          <w:numId w:val="5"/>
        </w:numPr>
        <w:shd w:val="clear" w:color="auto" w:fill="FFFFFF"/>
        <w:snapToGrid w:val="0"/>
        <w:jc w:val="both"/>
        <w:rPr>
          <w:sz w:val="20"/>
          <w:szCs w:val="20"/>
        </w:rPr>
      </w:pPr>
      <w:r w:rsidRPr="00153E12">
        <w:rPr>
          <w:rStyle w:val="Hyperlink"/>
          <w:color w:val="auto"/>
          <w:sz w:val="20"/>
          <w:szCs w:val="20"/>
          <w:u w:val="none"/>
        </w:rPr>
        <w:t>D</w:t>
      </w:r>
      <w:r w:rsidR="000D032D" w:rsidRPr="00153E12">
        <w:rPr>
          <w:sz w:val="20"/>
          <w:szCs w:val="20"/>
        </w:rPr>
        <w:t xml:space="preserve">.; </w:t>
      </w:r>
      <w:hyperlink r:id="rId18" w:history="1">
        <w:r w:rsidR="000D032D" w:rsidRPr="00153E12">
          <w:rPr>
            <w:rStyle w:val="Hyperlink"/>
            <w:color w:val="auto"/>
            <w:sz w:val="20"/>
            <w:szCs w:val="20"/>
            <w:u w:val="none"/>
          </w:rPr>
          <w:t>Russell, L</w:t>
        </w:r>
      </w:hyperlink>
      <w:r w:rsidR="000D032D" w:rsidRPr="00153E12">
        <w:rPr>
          <w:sz w:val="20"/>
          <w:szCs w:val="20"/>
        </w:rPr>
        <w:t xml:space="preserve">.; </w:t>
      </w:r>
      <w:hyperlink r:id="rId19" w:history="1">
        <w:r w:rsidR="000D032D" w:rsidRPr="00153E12">
          <w:rPr>
            <w:rStyle w:val="Hyperlink"/>
            <w:color w:val="auto"/>
            <w:sz w:val="20"/>
            <w:szCs w:val="20"/>
            <w:u w:val="none"/>
          </w:rPr>
          <w:t>Bryan, J</w:t>
        </w:r>
      </w:hyperlink>
      <w:r w:rsidR="000D032D" w:rsidRPr="00153E12">
        <w:rPr>
          <w:sz w:val="20"/>
          <w:szCs w:val="20"/>
        </w:rPr>
        <w:t xml:space="preserve">.; </w:t>
      </w:r>
      <w:hyperlink r:id="rId20" w:history="1">
        <w:r w:rsidR="000D032D" w:rsidRPr="00153E12">
          <w:rPr>
            <w:rStyle w:val="Hyperlink"/>
            <w:color w:val="auto"/>
            <w:sz w:val="20"/>
            <w:szCs w:val="20"/>
            <w:u w:val="none"/>
          </w:rPr>
          <w:t xml:space="preserve">Phillips, </w:t>
        </w:r>
        <w:proofErr w:type="spellStart"/>
        <w:r w:rsidR="000D032D" w:rsidRPr="00153E12">
          <w:rPr>
            <w:rStyle w:val="Hyperlink"/>
            <w:color w:val="auto"/>
            <w:sz w:val="20"/>
            <w:szCs w:val="20"/>
            <w:u w:val="none"/>
          </w:rPr>
          <w:t>L</w:t>
        </w:r>
      </w:hyperlink>
      <w:r w:rsidR="000D032D" w:rsidRPr="00153E12">
        <w:rPr>
          <w:sz w:val="20"/>
          <w:szCs w:val="20"/>
        </w:rPr>
        <w:t>.and</w:t>
      </w:r>
      <w:proofErr w:type="spellEnd"/>
      <w:r w:rsidR="00B8280B">
        <w:rPr>
          <w:rFonts w:eastAsiaTheme="minorEastAsia" w:hint="eastAsia"/>
          <w:sz w:val="20"/>
          <w:szCs w:val="20"/>
          <w:lang w:eastAsia="zh-CN"/>
        </w:rPr>
        <w:t xml:space="preserve"> </w:t>
      </w:r>
      <w:hyperlink r:id="rId21" w:history="1">
        <w:r w:rsidR="000D032D" w:rsidRPr="00153E12">
          <w:rPr>
            <w:rStyle w:val="Hyperlink"/>
            <w:color w:val="auto"/>
            <w:sz w:val="20"/>
            <w:szCs w:val="20"/>
            <w:u w:val="none"/>
          </w:rPr>
          <w:t>Russell, G. I</w:t>
        </w:r>
      </w:hyperlink>
      <w:r w:rsidR="000D032D" w:rsidRPr="00153E12">
        <w:rPr>
          <w:sz w:val="20"/>
          <w:szCs w:val="20"/>
        </w:rPr>
        <w:t xml:space="preserve">. (1995): </w:t>
      </w:r>
      <w:proofErr w:type="spellStart"/>
      <w:r w:rsidR="000D032D" w:rsidRPr="00153E12">
        <w:rPr>
          <w:sz w:val="20"/>
          <w:szCs w:val="20"/>
        </w:rPr>
        <w:t>Comorbidity</w:t>
      </w:r>
      <w:proofErr w:type="spellEnd"/>
      <w:r w:rsidR="000D032D" w:rsidRPr="00153E12">
        <w:rPr>
          <w:sz w:val="20"/>
          <w:szCs w:val="20"/>
        </w:rPr>
        <w:t xml:space="preserve">, urea kinetics, and appetite in continuous ambulatory peritoneal dialysis patients: their interrelationship and prediction of survival. </w:t>
      </w:r>
      <w:hyperlink r:id="rId22" w:tooltip="American journal of kidney diseases : the official journal of the National Kidney Foundation." w:history="1">
        <w:r w:rsidR="000D032D" w:rsidRPr="00153E12">
          <w:rPr>
            <w:rStyle w:val="Hyperlink"/>
            <w:color w:val="auto"/>
            <w:sz w:val="20"/>
            <w:szCs w:val="20"/>
            <w:u w:val="none"/>
          </w:rPr>
          <w:t>Am. J. Kidney Dis.</w:t>
        </w:r>
      </w:hyperlink>
      <w:r w:rsidR="000D032D" w:rsidRPr="00153E12">
        <w:rPr>
          <w:sz w:val="20"/>
          <w:szCs w:val="20"/>
        </w:rPr>
        <w:t>; 26(2):353-361.</w:t>
      </w:r>
    </w:p>
    <w:p w:rsidR="008B7439" w:rsidRPr="00153E12" w:rsidRDefault="008B7439" w:rsidP="008B7439">
      <w:pPr>
        <w:pStyle w:val="ListParagraph"/>
        <w:numPr>
          <w:ilvl w:val="0"/>
          <w:numId w:val="5"/>
        </w:numPr>
        <w:snapToGrid w:val="0"/>
        <w:jc w:val="both"/>
        <w:rPr>
          <w:sz w:val="20"/>
          <w:szCs w:val="20"/>
        </w:rPr>
      </w:pPr>
      <w:r w:rsidRPr="00153E12">
        <w:rPr>
          <w:sz w:val="20"/>
          <w:szCs w:val="20"/>
        </w:rPr>
        <w:t>D</w:t>
      </w:r>
      <w:r w:rsidR="000D032D" w:rsidRPr="00153E12">
        <w:rPr>
          <w:sz w:val="20"/>
          <w:szCs w:val="20"/>
        </w:rPr>
        <w:t xml:space="preserve">avies, S.J.; Phillips, L.; </w:t>
      </w:r>
      <w:proofErr w:type="spellStart"/>
      <w:r w:rsidR="000D032D" w:rsidRPr="00153E12">
        <w:rPr>
          <w:sz w:val="20"/>
          <w:szCs w:val="20"/>
        </w:rPr>
        <w:t>Naish</w:t>
      </w:r>
      <w:proofErr w:type="spellEnd"/>
      <w:r w:rsidR="000D032D" w:rsidRPr="00153E12">
        <w:rPr>
          <w:sz w:val="20"/>
          <w:szCs w:val="20"/>
        </w:rPr>
        <w:t xml:space="preserve">, P.F. and Russell, G.I. (2002): Quantifying </w:t>
      </w:r>
      <w:proofErr w:type="spellStart"/>
      <w:r w:rsidR="000D032D" w:rsidRPr="00153E12">
        <w:rPr>
          <w:sz w:val="20"/>
          <w:szCs w:val="20"/>
        </w:rPr>
        <w:t>comorbidity</w:t>
      </w:r>
      <w:proofErr w:type="spellEnd"/>
      <w:r w:rsidR="000D032D" w:rsidRPr="00153E12">
        <w:rPr>
          <w:sz w:val="20"/>
          <w:szCs w:val="20"/>
        </w:rPr>
        <w:t xml:space="preserve"> in peritoneal dialysis patients and its relationship to other predictors of survival. </w:t>
      </w:r>
      <w:proofErr w:type="spellStart"/>
      <w:r w:rsidR="000D032D" w:rsidRPr="00153E12">
        <w:rPr>
          <w:sz w:val="20"/>
          <w:szCs w:val="20"/>
        </w:rPr>
        <w:t>Nephrol</w:t>
      </w:r>
      <w:proofErr w:type="spellEnd"/>
      <w:r w:rsidR="000D032D" w:rsidRPr="00153E12">
        <w:rPr>
          <w:sz w:val="20"/>
          <w:szCs w:val="20"/>
        </w:rPr>
        <w:t>. Dial. Transplant; 17(6):1085-1092.</w:t>
      </w:r>
    </w:p>
    <w:p w:rsidR="008B7439" w:rsidRPr="00153E12" w:rsidRDefault="008B7439" w:rsidP="008B7439">
      <w:pPr>
        <w:pStyle w:val="ListParagraph"/>
        <w:numPr>
          <w:ilvl w:val="0"/>
          <w:numId w:val="5"/>
        </w:numPr>
        <w:shd w:val="clear" w:color="auto" w:fill="FFFFFF"/>
        <w:snapToGrid w:val="0"/>
        <w:jc w:val="both"/>
        <w:rPr>
          <w:sz w:val="20"/>
          <w:szCs w:val="20"/>
        </w:rPr>
      </w:pPr>
      <w:r w:rsidRPr="00153E12">
        <w:rPr>
          <w:sz w:val="20"/>
          <w:szCs w:val="20"/>
        </w:rPr>
        <w:t>F</w:t>
      </w:r>
      <w:r w:rsidR="000D032D" w:rsidRPr="00153E12">
        <w:rPr>
          <w:sz w:val="20"/>
          <w:szCs w:val="20"/>
        </w:rPr>
        <w:t xml:space="preserve">ried, L.; </w:t>
      </w:r>
      <w:proofErr w:type="spellStart"/>
      <w:r w:rsidR="000D032D" w:rsidRPr="00153E12">
        <w:rPr>
          <w:sz w:val="20"/>
          <w:szCs w:val="20"/>
        </w:rPr>
        <w:t>Bernardini</w:t>
      </w:r>
      <w:proofErr w:type="spellEnd"/>
      <w:r w:rsidR="000D032D" w:rsidRPr="00153E12">
        <w:rPr>
          <w:sz w:val="20"/>
          <w:szCs w:val="20"/>
        </w:rPr>
        <w:t xml:space="preserve">, J. and </w:t>
      </w:r>
      <w:proofErr w:type="spellStart"/>
      <w:r w:rsidR="000D032D" w:rsidRPr="00153E12">
        <w:rPr>
          <w:sz w:val="20"/>
          <w:szCs w:val="20"/>
        </w:rPr>
        <w:t>Piraino</w:t>
      </w:r>
      <w:proofErr w:type="spellEnd"/>
      <w:r w:rsidR="000D032D" w:rsidRPr="00153E12">
        <w:rPr>
          <w:sz w:val="20"/>
          <w:szCs w:val="20"/>
        </w:rPr>
        <w:t>, B. (2003):</w:t>
      </w:r>
      <w:r w:rsidR="00153E12">
        <w:rPr>
          <w:sz w:val="20"/>
          <w:szCs w:val="20"/>
        </w:rPr>
        <w:t xml:space="preserve"> </w:t>
      </w:r>
      <w:r w:rsidR="000D032D" w:rsidRPr="00153E12">
        <w:rPr>
          <w:sz w:val="20"/>
          <w:szCs w:val="20"/>
        </w:rPr>
        <w:t xml:space="preserve">Comparison of the </w:t>
      </w:r>
      <w:proofErr w:type="spellStart"/>
      <w:r w:rsidR="000D032D" w:rsidRPr="00153E12">
        <w:rPr>
          <w:sz w:val="20"/>
          <w:szCs w:val="20"/>
        </w:rPr>
        <w:t>Charlson</w:t>
      </w:r>
      <w:proofErr w:type="spellEnd"/>
      <w:r w:rsidR="000D032D" w:rsidRPr="00153E12">
        <w:rPr>
          <w:sz w:val="20"/>
          <w:szCs w:val="20"/>
        </w:rPr>
        <w:t xml:space="preserve"> </w:t>
      </w:r>
      <w:proofErr w:type="spellStart"/>
      <w:r w:rsidR="000D032D" w:rsidRPr="00153E12">
        <w:rPr>
          <w:sz w:val="20"/>
          <w:szCs w:val="20"/>
        </w:rPr>
        <w:t>comorbidity</w:t>
      </w:r>
      <w:proofErr w:type="spellEnd"/>
      <w:r w:rsidR="000D032D" w:rsidRPr="00153E12">
        <w:rPr>
          <w:sz w:val="20"/>
          <w:szCs w:val="20"/>
        </w:rPr>
        <w:t xml:space="preserve"> index and the Davies score as a predictor of outcomes in PD patients. Peritoneal Dialysis International; 23(6): 568-573.</w:t>
      </w:r>
    </w:p>
    <w:p w:rsidR="008B7439" w:rsidRPr="00153E12" w:rsidRDefault="008B7439" w:rsidP="008B7439">
      <w:pPr>
        <w:pStyle w:val="ListParagraph"/>
        <w:numPr>
          <w:ilvl w:val="0"/>
          <w:numId w:val="5"/>
        </w:numPr>
        <w:snapToGrid w:val="0"/>
        <w:jc w:val="both"/>
        <w:rPr>
          <w:sz w:val="20"/>
          <w:szCs w:val="20"/>
        </w:rPr>
      </w:pPr>
      <w:r w:rsidRPr="00153E12">
        <w:rPr>
          <w:sz w:val="20"/>
          <w:szCs w:val="20"/>
        </w:rPr>
        <w:t>I</w:t>
      </w:r>
      <w:r w:rsidR="000D032D" w:rsidRPr="00153E12">
        <w:rPr>
          <w:sz w:val="20"/>
          <w:szCs w:val="20"/>
        </w:rPr>
        <w:t xml:space="preserve">noue, K.; Kodama, T. and </w:t>
      </w:r>
      <w:proofErr w:type="spellStart"/>
      <w:r w:rsidR="000D032D" w:rsidRPr="00153E12">
        <w:rPr>
          <w:sz w:val="20"/>
          <w:szCs w:val="20"/>
        </w:rPr>
        <w:t>Daida</w:t>
      </w:r>
      <w:proofErr w:type="spellEnd"/>
      <w:r w:rsidR="000D032D" w:rsidRPr="00153E12">
        <w:rPr>
          <w:sz w:val="20"/>
          <w:szCs w:val="20"/>
        </w:rPr>
        <w:t>, H. (2012):</w:t>
      </w:r>
      <w:r w:rsidR="00153E12">
        <w:rPr>
          <w:sz w:val="20"/>
          <w:szCs w:val="20"/>
        </w:rPr>
        <w:t xml:space="preserve"> </w:t>
      </w:r>
      <w:proofErr w:type="spellStart"/>
      <w:r w:rsidR="000D032D" w:rsidRPr="00153E12">
        <w:rPr>
          <w:sz w:val="20"/>
          <w:szCs w:val="20"/>
        </w:rPr>
        <w:t>Pentraxin</w:t>
      </w:r>
      <w:proofErr w:type="spellEnd"/>
      <w:r w:rsidR="000D032D" w:rsidRPr="00153E12">
        <w:rPr>
          <w:sz w:val="20"/>
          <w:szCs w:val="20"/>
        </w:rPr>
        <w:t xml:space="preserve"> 3: A Novel biomarker for </w:t>
      </w:r>
      <w:proofErr w:type="spellStart"/>
      <w:r w:rsidR="000D032D" w:rsidRPr="00153E12">
        <w:rPr>
          <w:sz w:val="20"/>
          <w:szCs w:val="20"/>
        </w:rPr>
        <w:t>inﬂammatory</w:t>
      </w:r>
      <w:proofErr w:type="spellEnd"/>
      <w:r w:rsidR="000D032D" w:rsidRPr="00153E12">
        <w:rPr>
          <w:sz w:val="20"/>
          <w:szCs w:val="20"/>
        </w:rPr>
        <w:t xml:space="preserve"> cardiovascular disease. International Journal of Vascular Medicine; Article ID 657025, 6 pages.</w:t>
      </w:r>
    </w:p>
    <w:p w:rsidR="008B7439" w:rsidRPr="00153E12" w:rsidRDefault="008B7439" w:rsidP="008B7439">
      <w:pPr>
        <w:pStyle w:val="ListParagraph"/>
        <w:numPr>
          <w:ilvl w:val="0"/>
          <w:numId w:val="5"/>
        </w:numPr>
        <w:shd w:val="clear" w:color="auto" w:fill="FFFFFF"/>
        <w:snapToGrid w:val="0"/>
        <w:jc w:val="both"/>
        <w:rPr>
          <w:sz w:val="20"/>
          <w:szCs w:val="20"/>
        </w:rPr>
      </w:pPr>
      <w:r w:rsidRPr="00153E12">
        <w:rPr>
          <w:sz w:val="20"/>
          <w:szCs w:val="20"/>
        </w:rPr>
        <w:t>I</w:t>
      </w:r>
      <w:r w:rsidR="000D032D" w:rsidRPr="00153E12">
        <w:rPr>
          <w:sz w:val="20"/>
          <w:szCs w:val="20"/>
        </w:rPr>
        <w:t xml:space="preserve">noue, K.; Sugiyama, A.; Reid, </w:t>
      </w:r>
      <w:proofErr w:type="gramStart"/>
      <w:r w:rsidR="000D032D" w:rsidRPr="00153E12">
        <w:rPr>
          <w:sz w:val="20"/>
          <w:szCs w:val="20"/>
        </w:rPr>
        <w:t>PC.;</w:t>
      </w:r>
      <w:proofErr w:type="gramEnd"/>
      <w:r w:rsidR="000D032D" w:rsidRPr="00153E12">
        <w:rPr>
          <w:sz w:val="20"/>
          <w:szCs w:val="20"/>
        </w:rPr>
        <w:t xml:space="preserve"> Ito, Y.; </w:t>
      </w:r>
      <w:proofErr w:type="spellStart"/>
      <w:r w:rsidR="000D032D" w:rsidRPr="00153E12">
        <w:rPr>
          <w:sz w:val="20"/>
          <w:szCs w:val="20"/>
        </w:rPr>
        <w:t>Miyauchi</w:t>
      </w:r>
      <w:proofErr w:type="spellEnd"/>
      <w:r w:rsidR="000D032D" w:rsidRPr="00153E12">
        <w:rPr>
          <w:sz w:val="20"/>
          <w:szCs w:val="20"/>
        </w:rPr>
        <w:t xml:space="preserve">, K. et al. (2007): Establishment of a high sensitivity plasma assay for human </w:t>
      </w:r>
      <w:proofErr w:type="spellStart"/>
      <w:r w:rsidR="000D032D" w:rsidRPr="00153E12">
        <w:rPr>
          <w:sz w:val="20"/>
          <w:szCs w:val="20"/>
        </w:rPr>
        <w:t>pentraxin</w:t>
      </w:r>
      <w:proofErr w:type="spellEnd"/>
      <w:r w:rsidR="000D032D" w:rsidRPr="00153E12">
        <w:rPr>
          <w:sz w:val="20"/>
          <w:szCs w:val="20"/>
        </w:rPr>
        <w:t xml:space="preserve"> 3 as a marker for unstable angina pectoris. </w:t>
      </w:r>
      <w:proofErr w:type="spellStart"/>
      <w:r w:rsidR="000D032D" w:rsidRPr="00153E12">
        <w:rPr>
          <w:sz w:val="20"/>
          <w:szCs w:val="20"/>
        </w:rPr>
        <w:t>Arterioscler</w:t>
      </w:r>
      <w:proofErr w:type="spellEnd"/>
      <w:r w:rsidR="000D032D" w:rsidRPr="00153E12">
        <w:rPr>
          <w:sz w:val="20"/>
          <w:szCs w:val="20"/>
        </w:rPr>
        <w:t>.</w:t>
      </w:r>
      <w:r w:rsidR="00B8280B">
        <w:rPr>
          <w:rFonts w:eastAsiaTheme="minorEastAsia" w:hint="eastAsia"/>
          <w:sz w:val="20"/>
          <w:szCs w:val="20"/>
          <w:lang w:eastAsia="zh-CN"/>
        </w:rPr>
        <w:t xml:space="preserve"> </w:t>
      </w:r>
      <w:proofErr w:type="spellStart"/>
      <w:r w:rsidR="000D032D" w:rsidRPr="00153E12">
        <w:rPr>
          <w:sz w:val="20"/>
          <w:szCs w:val="20"/>
        </w:rPr>
        <w:t>Thromb</w:t>
      </w:r>
      <w:proofErr w:type="spellEnd"/>
      <w:r w:rsidR="000D032D" w:rsidRPr="00153E12">
        <w:rPr>
          <w:sz w:val="20"/>
          <w:szCs w:val="20"/>
        </w:rPr>
        <w:t>.</w:t>
      </w:r>
      <w:r w:rsidR="00B8280B">
        <w:rPr>
          <w:rFonts w:eastAsiaTheme="minorEastAsia" w:hint="eastAsia"/>
          <w:sz w:val="20"/>
          <w:szCs w:val="20"/>
          <w:lang w:eastAsia="zh-CN"/>
        </w:rPr>
        <w:t xml:space="preserve"> </w:t>
      </w:r>
      <w:proofErr w:type="spellStart"/>
      <w:r w:rsidR="000D032D" w:rsidRPr="00153E12">
        <w:rPr>
          <w:sz w:val="20"/>
          <w:szCs w:val="20"/>
        </w:rPr>
        <w:t>Vasc</w:t>
      </w:r>
      <w:proofErr w:type="spellEnd"/>
      <w:r w:rsidR="000D032D" w:rsidRPr="00153E12">
        <w:rPr>
          <w:sz w:val="20"/>
          <w:szCs w:val="20"/>
        </w:rPr>
        <w:t>.</w:t>
      </w:r>
      <w:r w:rsidR="00B8280B">
        <w:rPr>
          <w:rFonts w:eastAsiaTheme="minorEastAsia" w:hint="eastAsia"/>
          <w:sz w:val="20"/>
          <w:szCs w:val="20"/>
          <w:lang w:eastAsia="zh-CN"/>
        </w:rPr>
        <w:t xml:space="preserve"> </w:t>
      </w:r>
      <w:proofErr w:type="gramStart"/>
      <w:r w:rsidR="000D032D" w:rsidRPr="00153E12">
        <w:rPr>
          <w:sz w:val="20"/>
          <w:szCs w:val="20"/>
        </w:rPr>
        <w:t>Bio.;</w:t>
      </w:r>
      <w:proofErr w:type="gramEnd"/>
      <w:r w:rsidR="000D032D" w:rsidRPr="00153E12">
        <w:rPr>
          <w:sz w:val="20"/>
          <w:szCs w:val="20"/>
        </w:rPr>
        <w:t xml:space="preserve"> l27: 161- 167.</w:t>
      </w:r>
    </w:p>
    <w:p w:rsidR="008B7439" w:rsidRPr="00153E12" w:rsidRDefault="008B7439" w:rsidP="008B7439">
      <w:pPr>
        <w:pStyle w:val="ListParagraph"/>
        <w:numPr>
          <w:ilvl w:val="0"/>
          <w:numId w:val="5"/>
        </w:numPr>
        <w:shd w:val="clear" w:color="auto" w:fill="FFFFFF"/>
        <w:snapToGrid w:val="0"/>
        <w:jc w:val="both"/>
        <w:rPr>
          <w:sz w:val="20"/>
          <w:szCs w:val="20"/>
        </w:rPr>
      </w:pPr>
      <w:r w:rsidRPr="00153E12">
        <w:rPr>
          <w:sz w:val="20"/>
          <w:szCs w:val="20"/>
        </w:rPr>
        <w:t>J</w:t>
      </w:r>
      <w:r w:rsidR="000D032D" w:rsidRPr="00153E12">
        <w:rPr>
          <w:sz w:val="20"/>
          <w:szCs w:val="20"/>
        </w:rPr>
        <w:t xml:space="preserve">onathan, H.; Peale, C. and Gerald, S. (2008): </w:t>
      </w:r>
      <w:proofErr w:type="spellStart"/>
      <w:r w:rsidR="000D032D" w:rsidRPr="00153E12">
        <w:rPr>
          <w:sz w:val="20"/>
          <w:szCs w:val="20"/>
        </w:rPr>
        <w:t>Hemodialysis</w:t>
      </w:r>
      <w:proofErr w:type="spellEnd"/>
      <w:r w:rsidR="000D032D" w:rsidRPr="00153E12">
        <w:rPr>
          <w:sz w:val="20"/>
          <w:szCs w:val="20"/>
        </w:rPr>
        <w:t>. In:</w:t>
      </w:r>
      <w:r w:rsidR="00B8280B">
        <w:rPr>
          <w:rFonts w:eastAsiaTheme="minorEastAsia" w:hint="eastAsia"/>
          <w:sz w:val="20"/>
          <w:szCs w:val="20"/>
          <w:lang w:eastAsia="zh-CN"/>
        </w:rPr>
        <w:t xml:space="preserve"> </w:t>
      </w:r>
      <w:proofErr w:type="spellStart"/>
      <w:r w:rsidR="000D032D" w:rsidRPr="00153E12">
        <w:rPr>
          <w:sz w:val="20"/>
          <w:szCs w:val="20"/>
        </w:rPr>
        <w:t>Brener</w:t>
      </w:r>
      <w:proofErr w:type="spellEnd"/>
      <w:r w:rsidR="000D032D" w:rsidRPr="00153E12">
        <w:rPr>
          <w:sz w:val="20"/>
          <w:szCs w:val="20"/>
        </w:rPr>
        <w:t xml:space="preserve">&amp; Rector’s </w:t>
      </w:r>
      <w:proofErr w:type="gramStart"/>
      <w:r w:rsidR="000D032D" w:rsidRPr="00153E12">
        <w:rPr>
          <w:sz w:val="20"/>
          <w:szCs w:val="20"/>
        </w:rPr>
        <w:t>The</w:t>
      </w:r>
      <w:proofErr w:type="gramEnd"/>
      <w:r w:rsidR="000D032D" w:rsidRPr="00153E12">
        <w:rPr>
          <w:sz w:val="20"/>
          <w:szCs w:val="20"/>
        </w:rPr>
        <w:t xml:space="preserve"> kidney (8th ed.). B.M.</w:t>
      </w:r>
      <w:r w:rsidR="00B8280B">
        <w:rPr>
          <w:rFonts w:eastAsiaTheme="minorEastAsia" w:hint="eastAsia"/>
          <w:sz w:val="20"/>
          <w:szCs w:val="20"/>
          <w:lang w:eastAsia="zh-CN"/>
        </w:rPr>
        <w:t xml:space="preserve"> </w:t>
      </w:r>
      <w:r w:rsidR="000D032D" w:rsidRPr="00153E12">
        <w:rPr>
          <w:sz w:val="20"/>
          <w:szCs w:val="20"/>
        </w:rPr>
        <w:t>Brenner and S.A.</w:t>
      </w:r>
      <w:r w:rsidR="00B8280B">
        <w:rPr>
          <w:rFonts w:eastAsiaTheme="minorEastAsia" w:hint="eastAsia"/>
          <w:sz w:val="20"/>
          <w:szCs w:val="20"/>
          <w:lang w:eastAsia="zh-CN"/>
        </w:rPr>
        <w:t xml:space="preserve"> </w:t>
      </w:r>
      <w:r w:rsidR="000D032D" w:rsidRPr="00153E12">
        <w:rPr>
          <w:sz w:val="20"/>
          <w:szCs w:val="20"/>
        </w:rPr>
        <w:t>Levine</w:t>
      </w:r>
      <w:r w:rsidR="00153E12">
        <w:rPr>
          <w:sz w:val="20"/>
          <w:szCs w:val="20"/>
        </w:rPr>
        <w:t>.</w:t>
      </w:r>
      <w:r w:rsidR="00B8280B">
        <w:rPr>
          <w:rFonts w:eastAsiaTheme="minorEastAsia" w:hint="eastAsia"/>
          <w:sz w:val="20"/>
          <w:szCs w:val="20"/>
          <w:lang w:eastAsia="zh-CN"/>
        </w:rPr>
        <w:t xml:space="preserve"> </w:t>
      </w:r>
      <w:r w:rsidR="000D032D" w:rsidRPr="00153E12">
        <w:rPr>
          <w:sz w:val="20"/>
          <w:szCs w:val="20"/>
        </w:rPr>
        <w:t>(</w:t>
      </w:r>
      <w:proofErr w:type="spellStart"/>
      <w:r w:rsidR="000D032D" w:rsidRPr="00153E12">
        <w:rPr>
          <w:sz w:val="20"/>
          <w:szCs w:val="20"/>
        </w:rPr>
        <w:t>Eds</w:t>
      </w:r>
      <w:proofErr w:type="spellEnd"/>
      <w:r w:rsidR="000D032D" w:rsidRPr="00153E12">
        <w:rPr>
          <w:sz w:val="20"/>
          <w:szCs w:val="20"/>
        </w:rPr>
        <w:t>). Philadelphia, PA, Saunders, pp: 1957 - 2006.</w:t>
      </w:r>
    </w:p>
    <w:p w:rsidR="008B7439" w:rsidRPr="00153E12" w:rsidRDefault="008B7439" w:rsidP="008B7439">
      <w:pPr>
        <w:pStyle w:val="NoSpacing"/>
        <w:numPr>
          <w:ilvl w:val="0"/>
          <w:numId w:val="5"/>
        </w:numPr>
        <w:snapToGrid w:val="0"/>
        <w:jc w:val="both"/>
        <w:rPr>
          <w:rFonts w:ascii="Times New Roman" w:eastAsia="Times New Roman" w:hAnsi="Times New Roman" w:cs="Times New Roman"/>
          <w:sz w:val="20"/>
          <w:szCs w:val="20"/>
        </w:rPr>
      </w:pPr>
      <w:r w:rsidRPr="00153E12">
        <w:rPr>
          <w:rStyle w:val="Hyperlink"/>
          <w:rFonts w:ascii="Times New Roman" w:eastAsia="Times New Roman" w:hAnsi="Times New Roman" w:cs="Times New Roman"/>
          <w:color w:val="auto"/>
          <w:sz w:val="20"/>
          <w:szCs w:val="20"/>
          <w:u w:val="none"/>
        </w:rPr>
        <w:t>K</w:t>
      </w:r>
      <w:r w:rsidR="000D032D" w:rsidRPr="00153E12">
        <w:rPr>
          <w:rFonts w:ascii="Times New Roman" w:eastAsia="Times New Roman" w:hAnsi="Times New Roman" w:cs="Times New Roman"/>
          <w:sz w:val="20"/>
          <w:szCs w:val="20"/>
        </w:rPr>
        <w:t xml:space="preserve">.; </w:t>
      </w:r>
      <w:hyperlink r:id="rId23" w:history="1">
        <w:r w:rsidR="000D032D" w:rsidRPr="00153E12">
          <w:rPr>
            <w:rStyle w:val="Hyperlink"/>
            <w:rFonts w:ascii="Times New Roman" w:eastAsia="Times New Roman" w:hAnsi="Times New Roman" w:cs="Times New Roman"/>
            <w:color w:val="auto"/>
            <w:sz w:val="20"/>
            <w:szCs w:val="20"/>
            <w:u w:val="none"/>
          </w:rPr>
          <w:t>Cano, N.J</w:t>
        </w:r>
      </w:hyperlink>
      <w:r w:rsidR="000D032D" w:rsidRPr="00153E12">
        <w:rPr>
          <w:rFonts w:ascii="Times New Roman" w:eastAsia="Times New Roman" w:hAnsi="Times New Roman" w:cs="Times New Roman"/>
          <w:sz w:val="20"/>
          <w:szCs w:val="20"/>
        </w:rPr>
        <w:t xml:space="preserve">.; </w:t>
      </w:r>
      <w:hyperlink r:id="rId24" w:history="1">
        <w:proofErr w:type="spellStart"/>
        <w:r w:rsidR="000D032D" w:rsidRPr="00153E12">
          <w:rPr>
            <w:rStyle w:val="Hyperlink"/>
            <w:rFonts w:ascii="Times New Roman" w:eastAsia="Times New Roman" w:hAnsi="Times New Roman" w:cs="Times New Roman"/>
            <w:color w:val="auto"/>
            <w:sz w:val="20"/>
            <w:szCs w:val="20"/>
            <w:u w:val="none"/>
          </w:rPr>
          <w:t>Budde</w:t>
        </w:r>
        <w:proofErr w:type="spellEnd"/>
        <w:r w:rsidR="000D032D" w:rsidRPr="00153E12">
          <w:rPr>
            <w:rStyle w:val="Hyperlink"/>
            <w:rFonts w:ascii="Times New Roman" w:eastAsia="Times New Roman" w:hAnsi="Times New Roman" w:cs="Times New Roman"/>
            <w:color w:val="auto"/>
            <w:sz w:val="20"/>
            <w:szCs w:val="20"/>
            <w:u w:val="none"/>
          </w:rPr>
          <w:t>, K</w:t>
        </w:r>
      </w:hyperlink>
      <w:r w:rsidR="000D032D" w:rsidRPr="00153E12">
        <w:rPr>
          <w:rFonts w:ascii="Times New Roman" w:eastAsia="Times New Roman" w:hAnsi="Times New Roman" w:cs="Times New Roman"/>
          <w:sz w:val="20"/>
          <w:szCs w:val="20"/>
        </w:rPr>
        <w:t xml:space="preserve">.; </w:t>
      </w:r>
      <w:hyperlink r:id="rId25" w:history="1">
        <w:proofErr w:type="spellStart"/>
        <w:r w:rsidR="000D032D" w:rsidRPr="00153E12">
          <w:rPr>
            <w:rStyle w:val="Hyperlink"/>
            <w:rFonts w:ascii="Times New Roman" w:eastAsia="Times New Roman" w:hAnsi="Times New Roman" w:cs="Times New Roman"/>
            <w:color w:val="auto"/>
            <w:sz w:val="20"/>
            <w:szCs w:val="20"/>
            <w:u w:val="none"/>
          </w:rPr>
          <w:t>Chazot</w:t>
        </w:r>
        <w:proofErr w:type="spellEnd"/>
        <w:r w:rsidR="000D032D" w:rsidRPr="00153E12">
          <w:rPr>
            <w:rStyle w:val="Hyperlink"/>
            <w:rFonts w:ascii="Times New Roman" w:eastAsia="Times New Roman" w:hAnsi="Times New Roman" w:cs="Times New Roman"/>
            <w:color w:val="auto"/>
            <w:sz w:val="20"/>
            <w:szCs w:val="20"/>
            <w:u w:val="none"/>
          </w:rPr>
          <w:t>, C</w:t>
        </w:r>
      </w:hyperlink>
      <w:r w:rsidR="000D032D" w:rsidRPr="00153E12">
        <w:rPr>
          <w:rFonts w:ascii="Times New Roman" w:eastAsia="Times New Roman" w:hAnsi="Times New Roman" w:cs="Times New Roman"/>
          <w:sz w:val="20"/>
          <w:szCs w:val="20"/>
        </w:rPr>
        <w:t xml:space="preserve">.; </w:t>
      </w:r>
      <w:hyperlink r:id="rId26" w:history="1">
        <w:proofErr w:type="spellStart"/>
        <w:r w:rsidR="000D032D" w:rsidRPr="00153E12">
          <w:rPr>
            <w:rStyle w:val="Hyperlink"/>
            <w:rFonts w:ascii="Times New Roman" w:eastAsia="Times New Roman" w:hAnsi="Times New Roman" w:cs="Times New Roman"/>
            <w:color w:val="auto"/>
            <w:sz w:val="20"/>
            <w:szCs w:val="20"/>
            <w:u w:val="none"/>
          </w:rPr>
          <w:t>Kovesdy</w:t>
        </w:r>
        <w:proofErr w:type="spellEnd"/>
        <w:r w:rsidR="000D032D" w:rsidRPr="00153E12">
          <w:rPr>
            <w:rStyle w:val="Hyperlink"/>
            <w:rFonts w:ascii="Times New Roman" w:eastAsia="Times New Roman" w:hAnsi="Times New Roman" w:cs="Times New Roman"/>
            <w:color w:val="auto"/>
            <w:sz w:val="20"/>
            <w:szCs w:val="20"/>
            <w:u w:val="none"/>
          </w:rPr>
          <w:t>, C.P</w:t>
        </w:r>
      </w:hyperlink>
      <w:r w:rsidR="000D032D" w:rsidRPr="00153E12">
        <w:rPr>
          <w:rFonts w:ascii="Times New Roman" w:eastAsia="Times New Roman" w:hAnsi="Times New Roman" w:cs="Times New Roman"/>
          <w:sz w:val="20"/>
          <w:szCs w:val="20"/>
        </w:rPr>
        <w:t xml:space="preserve">. </w:t>
      </w:r>
      <w:proofErr w:type="gramStart"/>
      <w:r w:rsidR="000D032D" w:rsidRPr="00153E12">
        <w:rPr>
          <w:rFonts w:ascii="Times New Roman" w:eastAsia="Times New Roman" w:hAnsi="Times New Roman" w:cs="Times New Roman"/>
          <w:sz w:val="20"/>
          <w:szCs w:val="20"/>
        </w:rPr>
        <w:t>et</w:t>
      </w:r>
      <w:proofErr w:type="gramEnd"/>
      <w:r w:rsidR="000D032D" w:rsidRPr="00153E12">
        <w:rPr>
          <w:rFonts w:ascii="Times New Roman" w:eastAsia="Times New Roman" w:hAnsi="Times New Roman" w:cs="Times New Roman"/>
          <w:sz w:val="20"/>
          <w:szCs w:val="20"/>
        </w:rPr>
        <w:t xml:space="preserve"> al. (2011): Diets and </w:t>
      </w:r>
      <w:proofErr w:type="spellStart"/>
      <w:r w:rsidR="000D032D" w:rsidRPr="00153E12">
        <w:rPr>
          <w:rFonts w:ascii="Times New Roman" w:eastAsia="Times New Roman" w:hAnsi="Times New Roman" w:cs="Times New Roman"/>
          <w:sz w:val="20"/>
          <w:szCs w:val="20"/>
        </w:rPr>
        <w:t>enteral</w:t>
      </w:r>
      <w:proofErr w:type="spellEnd"/>
      <w:r w:rsidR="000D032D" w:rsidRPr="00153E12">
        <w:rPr>
          <w:rFonts w:ascii="Times New Roman" w:eastAsia="Times New Roman" w:hAnsi="Times New Roman" w:cs="Times New Roman"/>
          <w:sz w:val="20"/>
          <w:szCs w:val="20"/>
        </w:rPr>
        <w:t xml:space="preserve"> supplements for improving outcomes in chronic kidney disease. </w:t>
      </w:r>
      <w:hyperlink r:id="rId27" w:tooltip="Nature reviews. Nephrology." w:history="1">
        <w:r w:rsidR="000D032D" w:rsidRPr="00153E12">
          <w:rPr>
            <w:rStyle w:val="Hyperlink"/>
            <w:rFonts w:ascii="Times New Roman" w:eastAsia="Times New Roman" w:hAnsi="Times New Roman" w:cs="Times New Roman"/>
            <w:color w:val="auto"/>
            <w:sz w:val="20"/>
            <w:szCs w:val="20"/>
            <w:u w:val="none"/>
          </w:rPr>
          <w:t xml:space="preserve">Nat. Rev. </w:t>
        </w:r>
        <w:proofErr w:type="spellStart"/>
        <w:r w:rsidR="000D032D" w:rsidRPr="00153E12">
          <w:rPr>
            <w:rStyle w:val="Hyperlink"/>
            <w:rFonts w:ascii="Times New Roman" w:eastAsia="Times New Roman" w:hAnsi="Times New Roman" w:cs="Times New Roman"/>
            <w:color w:val="auto"/>
            <w:sz w:val="20"/>
            <w:szCs w:val="20"/>
            <w:u w:val="none"/>
          </w:rPr>
          <w:t>Nephrol</w:t>
        </w:r>
        <w:proofErr w:type="spellEnd"/>
        <w:r w:rsidR="000D032D" w:rsidRPr="00153E12">
          <w:rPr>
            <w:rStyle w:val="Hyperlink"/>
            <w:rFonts w:ascii="Times New Roman" w:eastAsia="Times New Roman" w:hAnsi="Times New Roman" w:cs="Times New Roman"/>
            <w:color w:val="auto"/>
            <w:sz w:val="20"/>
            <w:szCs w:val="20"/>
            <w:u w:val="none"/>
          </w:rPr>
          <w:t>.</w:t>
        </w:r>
      </w:hyperlink>
      <w:r w:rsidR="000D032D" w:rsidRPr="00153E12">
        <w:rPr>
          <w:rFonts w:ascii="Times New Roman" w:eastAsia="Times New Roman" w:hAnsi="Times New Roman" w:cs="Times New Roman"/>
          <w:sz w:val="20"/>
          <w:szCs w:val="20"/>
        </w:rPr>
        <w:t>; (7):369-384.</w:t>
      </w:r>
    </w:p>
    <w:p w:rsidR="008B7439" w:rsidRPr="00153E12" w:rsidRDefault="008B7439" w:rsidP="008B7439">
      <w:pPr>
        <w:pStyle w:val="ListParagraph"/>
        <w:numPr>
          <w:ilvl w:val="0"/>
          <w:numId w:val="5"/>
        </w:numPr>
        <w:shd w:val="clear" w:color="auto" w:fill="FFFFFF"/>
        <w:snapToGrid w:val="0"/>
        <w:jc w:val="both"/>
        <w:rPr>
          <w:sz w:val="20"/>
          <w:szCs w:val="20"/>
        </w:rPr>
      </w:pPr>
      <w:r w:rsidRPr="00153E12">
        <w:rPr>
          <w:rStyle w:val="Hyperlink"/>
          <w:color w:val="auto"/>
          <w:sz w:val="20"/>
          <w:szCs w:val="20"/>
          <w:u w:val="none"/>
        </w:rPr>
        <w:t>L</w:t>
      </w:r>
      <w:r w:rsidR="000D032D" w:rsidRPr="00153E12">
        <w:rPr>
          <w:sz w:val="20"/>
          <w:szCs w:val="20"/>
        </w:rPr>
        <w:t xml:space="preserve">, M.; </w:t>
      </w:r>
      <w:hyperlink r:id="rId28" w:history="1">
        <w:proofErr w:type="spellStart"/>
        <w:r w:rsidR="000D032D" w:rsidRPr="00153E12">
          <w:rPr>
            <w:rStyle w:val="Hyperlink"/>
            <w:color w:val="auto"/>
            <w:sz w:val="20"/>
            <w:szCs w:val="20"/>
            <w:u w:val="none"/>
          </w:rPr>
          <w:t>Rommele</w:t>
        </w:r>
        <w:proofErr w:type="spellEnd"/>
      </w:hyperlink>
      <w:r w:rsidR="000D032D" w:rsidRPr="00153E12">
        <w:rPr>
          <w:sz w:val="20"/>
          <w:szCs w:val="20"/>
        </w:rPr>
        <w:t xml:space="preserve">, C. and </w:t>
      </w:r>
      <w:hyperlink r:id="rId29" w:history="1">
        <w:r w:rsidR="000D032D" w:rsidRPr="00153E12">
          <w:rPr>
            <w:rStyle w:val="Hyperlink"/>
            <w:color w:val="auto"/>
            <w:sz w:val="20"/>
            <w:szCs w:val="20"/>
            <w:u w:val="none"/>
          </w:rPr>
          <w:t>Anders</w:t>
        </w:r>
      </w:hyperlink>
      <w:r w:rsidR="000D032D" w:rsidRPr="00153E12">
        <w:rPr>
          <w:sz w:val="20"/>
          <w:szCs w:val="20"/>
        </w:rPr>
        <w:t xml:space="preserve">, H.J. (2012): </w:t>
      </w:r>
      <w:proofErr w:type="spellStart"/>
      <w:r w:rsidR="000D032D" w:rsidRPr="00153E12">
        <w:rPr>
          <w:sz w:val="20"/>
          <w:szCs w:val="20"/>
        </w:rPr>
        <w:t>Pentraxins</w:t>
      </w:r>
      <w:proofErr w:type="spellEnd"/>
      <w:r w:rsidR="000D032D" w:rsidRPr="00153E12">
        <w:rPr>
          <w:sz w:val="20"/>
          <w:szCs w:val="20"/>
        </w:rPr>
        <w:t xml:space="preserve"> in nephrology: C-reactive protein, serum </w:t>
      </w:r>
      <w:proofErr w:type="spellStart"/>
      <w:r w:rsidR="000D032D" w:rsidRPr="00153E12">
        <w:rPr>
          <w:sz w:val="20"/>
          <w:szCs w:val="20"/>
        </w:rPr>
        <w:t>amyloid</w:t>
      </w:r>
      <w:proofErr w:type="spellEnd"/>
      <w:r w:rsidR="000D032D" w:rsidRPr="00153E12">
        <w:rPr>
          <w:sz w:val="20"/>
          <w:szCs w:val="20"/>
        </w:rPr>
        <w:t xml:space="preserve"> P and pentraxin-3. </w:t>
      </w:r>
      <w:proofErr w:type="spellStart"/>
      <w:r w:rsidR="000D032D" w:rsidRPr="00153E12">
        <w:rPr>
          <w:sz w:val="20"/>
          <w:szCs w:val="20"/>
        </w:rPr>
        <w:t>Nephrol</w:t>
      </w:r>
      <w:proofErr w:type="spellEnd"/>
      <w:r w:rsidR="000D032D" w:rsidRPr="00153E12">
        <w:rPr>
          <w:sz w:val="20"/>
          <w:szCs w:val="20"/>
        </w:rPr>
        <w:t>. Dial. Transplant; (0):1–8</w:t>
      </w:r>
      <w:hyperlink r:id="rId30" w:anchor="comments" w:history="1">
        <w:r w:rsidR="000D032D" w:rsidRPr="00153E12">
          <w:rPr>
            <w:rStyle w:val="Hyperlink"/>
            <w:vanish/>
            <w:color w:val="14376C"/>
            <w:sz w:val="20"/>
            <w:szCs w:val="20"/>
            <w:u w:val="none"/>
          </w:rPr>
          <w:t xml:space="preserve">See comment in </w:t>
        </w:r>
        <w:proofErr w:type="spellStart"/>
        <w:r w:rsidR="000D032D" w:rsidRPr="00153E12">
          <w:rPr>
            <w:rStyle w:val="Hyperlink"/>
            <w:vanish/>
            <w:color w:val="14376C"/>
            <w:sz w:val="20"/>
            <w:szCs w:val="20"/>
            <w:u w:val="none"/>
          </w:rPr>
          <w:t>PubMed</w:t>
        </w:r>
        <w:proofErr w:type="spellEnd"/>
        <w:r w:rsidR="000D032D" w:rsidRPr="00153E12">
          <w:rPr>
            <w:rStyle w:val="Hyperlink"/>
            <w:vanish/>
            <w:color w:val="14376C"/>
            <w:sz w:val="20"/>
            <w:szCs w:val="20"/>
            <w:u w:val="none"/>
          </w:rPr>
          <w:t xml:space="preserve"> Commons below</w:t>
        </w:r>
      </w:hyperlink>
      <w:r w:rsidR="000D032D" w:rsidRPr="00153E12">
        <w:rPr>
          <w:sz w:val="20"/>
          <w:szCs w:val="20"/>
        </w:rPr>
        <w:t>.</w:t>
      </w:r>
    </w:p>
    <w:p w:rsidR="008B7439" w:rsidRPr="00153E12" w:rsidRDefault="008B7439" w:rsidP="008B7439">
      <w:pPr>
        <w:pStyle w:val="ListParagraph"/>
        <w:numPr>
          <w:ilvl w:val="0"/>
          <w:numId w:val="5"/>
        </w:numPr>
        <w:shd w:val="clear" w:color="auto" w:fill="FFFFFF"/>
        <w:snapToGrid w:val="0"/>
        <w:jc w:val="both"/>
        <w:rPr>
          <w:sz w:val="20"/>
          <w:szCs w:val="20"/>
        </w:rPr>
      </w:pPr>
      <w:proofErr w:type="spellStart"/>
      <w:r w:rsidRPr="00153E12">
        <w:rPr>
          <w:sz w:val="20"/>
          <w:szCs w:val="20"/>
        </w:rPr>
        <w:t>L</w:t>
      </w:r>
      <w:r w:rsidR="000D032D" w:rsidRPr="00153E12">
        <w:rPr>
          <w:sz w:val="20"/>
          <w:szCs w:val="20"/>
        </w:rPr>
        <w:t>evey</w:t>
      </w:r>
      <w:proofErr w:type="spellEnd"/>
      <w:r w:rsidR="000D032D" w:rsidRPr="00153E12">
        <w:rPr>
          <w:sz w:val="20"/>
          <w:szCs w:val="20"/>
        </w:rPr>
        <w:t xml:space="preserve">, A.S.; Greene, T.; </w:t>
      </w:r>
      <w:proofErr w:type="spellStart"/>
      <w:r w:rsidR="000D032D" w:rsidRPr="00153E12">
        <w:rPr>
          <w:sz w:val="20"/>
          <w:szCs w:val="20"/>
        </w:rPr>
        <w:t>Kusek</w:t>
      </w:r>
      <w:proofErr w:type="spellEnd"/>
      <w:r w:rsidR="000D032D" w:rsidRPr="00153E12">
        <w:rPr>
          <w:sz w:val="20"/>
          <w:szCs w:val="20"/>
        </w:rPr>
        <w:t xml:space="preserve">, J.W. and Beck, G.J. (2000): Simplified equation to predict </w:t>
      </w:r>
      <w:proofErr w:type="spellStart"/>
      <w:r w:rsidR="000D032D" w:rsidRPr="00153E12">
        <w:rPr>
          <w:sz w:val="20"/>
          <w:szCs w:val="20"/>
        </w:rPr>
        <w:t>glomerular</w:t>
      </w:r>
      <w:proofErr w:type="spellEnd"/>
      <w:r w:rsidR="000D032D" w:rsidRPr="00153E12">
        <w:rPr>
          <w:sz w:val="20"/>
          <w:szCs w:val="20"/>
        </w:rPr>
        <w:t xml:space="preserve"> filtration rate from serum </w:t>
      </w:r>
      <w:proofErr w:type="spellStart"/>
      <w:r w:rsidR="000D032D" w:rsidRPr="00153E12">
        <w:rPr>
          <w:sz w:val="20"/>
          <w:szCs w:val="20"/>
        </w:rPr>
        <w:t>creatinine</w:t>
      </w:r>
      <w:proofErr w:type="spellEnd"/>
      <w:r w:rsidR="000D032D" w:rsidRPr="00153E12">
        <w:rPr>
          <w:sz w:val="20"/>
          <w:szCs w:val="20"/>
        </w:rPr>
        <w:t xml:space="preserve">. J. Am. Soc. </w:t>
      </w:r>
      <w:proofErr w:type="spellStart"/>
      <w:r w:rsidR="000D032D" w:rsidRPr="00153E12">
        <w:rPr>
          <w:sz w:val="20"/>
          <w:szCs w:val="20"/>
        </w:rPr>
        <w:t>Nephrol</w:t>
      </w:r>
      <w:proofErr w:type="spellEnd"/>
      <w:r w:rsidR="000D032D" w:rsidRPr="00153E12">
        <w:rPr>
          <w:sz w:val="20"/>
          <w:szCs w:val="20"/>
        </w:rPr>
        <w:t>.; 11: 828.</w:t>
      </w:r>
    </w:p>
    <w:p w:rsidR="008B7439" w:rsidRPr="00153E12" w:rsidRDefault="008B7439" w:rsidP="008B7439">
      <w:pPr>
        <w:pStyle w:val="ListParagraph"/>
        <w:numPr>
          <w:ilvl w:val="0"/>
          <w:numId w:val="5"/>
        </w:numPr>
        <w:shd w:val="clear" w:color="auto" w:fill="FFFFFF"/>
        <w:snapToGrid w:val="0"/>
        <w:jc w:val="both"/>
        <w:rPr>
          <w:sz w:val="20"/>
          <w:szCs w:val="20"/>
        </w:rPr>
      </w:pPr>
      <w:proofErr w:type="spellStart"/>
      <w:r w:rsidRPr="00153E12">
        <w:rPr>
          <w:sz w:val="20"/>
          <w:szCs w:val="20"/>
        </w:rPr>
        <w:t>O</w:t>
      </w:r>
      <w:r w:rsidR="000D032D" w:rsidRPr="00153E12">
        <w:rPr>
          <w:sz w:val="20"/>
          <w:szCs w:val="20"/>
        </w:rPr>
        <w:t>ldani</w:t>
      </w:r>
      <w:proofErr w:type="spellEnd"/>
      <w:r w:rsidR="000D032D" w:rsidRPr="00153E12">
        <w:rPr>
          <w:sz w:val="20"/>
          <w:szCs w:val="20"/>
        </w:rPr>
        <w:t xml:space="preserve">, S.; </w:t>
      </w:r>
      <w:proofErr w:type="spellStart"/>
      <w:r w:rsidR="000D032D" w:rsidRPr="00153E12">
        <w:rPr>
          <w:sz w:val="20"/>
          <w:szCs w:val="20"/>
        </w:rPr>
        <w:t>Finazzi</w:t>
      </w:r>
      <w:proofErr w:type="spellEnd"/>
      <w:r w:rsidR="000D032D" w:rsidRPr="00153E12">
        <w:rPr>
          <w:sz w:val="20"/>
          <w:szCs w:val="20"/>
        </w:rPr>
        <w:t xml:space="preserve">, S.; </w:t>
      </w:r>
      <w:proofErr w:type="spellStart"/>
      <w:r w:rsidR="000D032D" w:rsidRPr="00153E12">
        <w:rPr>
          <w:sz w:val="20"/>
          <w:szCs w:val="20"/>
        </w:rPr>
        <w:t>Bottazzi</w:t>
      </w:r>
      <w:proofErr w:type="spellEnd"/>
      <w:r w:rsidR="000D032D" w:rsidRPr="00153E12">
        <w:rPr>
          <w:sz w:val="20"/>
          <w:szCs w:val="20"/>
        </w:rPr>
        <w:t xml:space="preserve">, B.; </w:t>
      </w:r>
      <w:proofErr w:type="spellStart"/>
      <w:r w:rsidR="000D032D" w:rsidRPr="00153E12">
        <w:rPr>
          <w:sz w:val="20"/>
          <w:szCs w:val="20"/>
        </w:rPr>
        <w:t>Garlanda</w:t>
      </w:r>
      <w:proofErr w:type="spellEnd"/>
      <w:r w:rsidR="000D032D" w:rsidRPr="00153E12">
        <w:rPr>
          <w:sz w:val="20"/>
          <w:szCs w:val="20"/>
        </w:rPr>
        <w:t xml:space="preserve">, C.; </w:t>
      </w:r>
      <w:proofErr w:type="spellStart"/>
      <w:r w:rsidR="000D032D" w:rsidRPr="00153E12">
        <w:rPr>
          <w:sz w:val="20"/>
          <w:szCs w:val="20"/>
        </w:rPr>
        <w:t>Baldassarre</w:t>
      </w:r>
      <w:proofErr w:type="spellEnd"/>
      <w:r w:rsidR="000D032D" w:rsidRPr="00153E12">
        <w:rPr>
          <w:sz w:val="20"/>
          <w:szCs w:val="20"/>
        </w:rPr>
        <w:t>, E. et al.</w:t>
      </w:r>
      <w:r w:rsidR="000D032D" w:rsidRPr="00153E12">
        <w:rPr>
          <w:b/>
          <w:bCs/>
          <w:sz w:val="20"/>
          <w:szCs w:val="20"/>
        </w:rPr>
        <w:t xml:space="preserve"> (2012)</w:t>
      </w:r>
      <w:r w:rsidR="000D032D" w:rsidRPr="00153E12">
        <w:rPr>
          <w:sz w:val="20"/>
          <w:szCs w:val="20"/>
        </w:rPr>
        <w:t xml:space="preserve">: Plasma pentraxin-3 as a marker of </w:t>
      </w:r>
      <w:proofErr w:type="spellStart"/>
      <w:r w:rsidR="000D032D" w:rsidRPr="00153E12">
        <w:rPr>
          <w:sz w:val="20"/>
          <w:szCs w:val="20"/>
        </w:rPr>
        <w:t>bioincompatibility</w:t>
      </w:r>
      <w:proofErr w:type="spellEnd"/>
      <w:r w:rsidR="000D032D" w:rsidRPr="00153E12">
        <w:rPr>
          <w:sz w:val="20"/>
          <w:szCs w:val="20"/>
        </w:rPr>
        <w:t xml:space="preserve"> in </w:t>
      </w:r>
      <w:proofErr w:type="spellStart"/>
      <w:r w:rsidR="000D032D" w:rsidRPr="00153E12">
        <w:rPr>
          <w:sz w:val="20"/>
          <w:szCs w:val="20"/>
        </w:rPr>
        <w:t>hemodialysis</w:t>
      </w:r>
      <w:proofErr w:type="spellEnd"/>
      <w:r w:rsidR="000D032D" w:rsidRPr="00153E12">
        <w:rPr>
          <w:sz w:val="20"/>
          <w:szCs w:val="20"/>
        </w:rPr>
        <w:t xml:space="preserve"> </w:t>
      </w:r>
      <w:proofErr w:type="spellStart"/>
      <w:r w:rsidR="000D032D" w:rsidRPr="00153E12">
        <w:rPr>
          <w:sz w:val="20"/>
          <w:szCs w:val="20"/>
        </w:rPr>
        <w:t>patients.J</w:t>
      </w:r>
      <w:proofErr w:type="spellEnd"/>
      <w:r w:rsidR="000D032D" w:rsidRPr="00153E12">
        <w:rPr>
          <w:sz w:val="20"/>
          <w:szCs w:val="20"/>
        </w:rPr>
        <w:t xml:space="preserve">. </w:t>
      </w:r>
      <w:proofErr w:type="spellStart"/>
      <w:proofErr w:type="gramStart"/>
      <w:r w:rsidR="000D032D" w:rsidRPr="00153E12">
        <w:rPr>
          <w:sz w:val="20"/>
          <w:szCs w:val="20"/>
        </w:rPr>
        <w:t>Nephrol</w:t>
      </w:r>
      <w:proofErr w:type="spellEnd"/>
      <w:r w:rsidR="000D032D" w:rsidRPr="00153E12">
        <w:rPr>
          <w:sz w:val="20"/>
          <w:szCs w:val="20"/>
        </w:rPr>
        <w:t>.;</w:t>
      </w:r>
      <w:proofErr w:type="gramEnd"/>
      <w:r w:rsidR="000D032D" w:rsidRPr="00153E12">
        <w:rPr>
          <w:sz w:val="20"/>
          <w:szCs w:val="20"/>
        </w:rPr>
        <w:t xml:space="preserve"> 25(01): 120-126.</w:t>
      </w:r>
    </w:p>
    <w:p w:rsidR="008B7439" w:rsidRPr="00153E12" w:rsidRDefault="008B7439" w:rsidP="008B7439">
      <w:pPr>
        <w:pStyle w:val="ListParagraph"/>
        <w:numPr>
          <w:ilvl w:val="0"/>
          <w:numId w:val="5"/>
        </w:numPr>
        <w:shd w:val="clear" w:color="auto" w:fill="FFFFFF"/>
        <w:snapToGrid w:val="0"/>
        <w:jc w:val="both"/>
        <w:rPr>
          <w:sz w:val="20"/>
          <w:szCs w:val="20"/>
        </w:rPr>
      </w:pPr>
      <w:r w:rsidRPr="00153E12">
        <w:rPr>
          <w:rStyle w:val="Hyperlink"/>
          <w:color w:val="auto"/>
          <w:sz w:val="20"/>
          <w:szCs w:val="20"/>
          <w:u w:val="none"/>
        </w:rPr>
        <w:lastRenderedPageBreak/>
        <w:t>P</w:t>
      </w:r>
      <w:r w:rsidR="000D032D" w:rsidRPr="00153E12">
        <w:rPr>
          <w:sz w:val="20"/>
          <w:szCs w:val="20"/>
        </w:rPr>
        <w:t xml:space="preserve">, V.; </w:t>
      </w:r>
      <w:hyperlink r:id="rId31" w:history="1">
        <w:proofErr w:type="spellStart"/>
        <w:r w:rsidR="000D032D" w:rsidRPr="00153E12">
          <w:rPr>
            <w:rStyle w:val="Hyperlink"/>
            <w:color w:val="auto"/>
            <w:sz w:val="20"/>
            <w:szCs w:val="20"/>
            <w:u w:val="none"/>
          </w:rPr>
          <w:t>Scatena</w:t>
        </w:r>
        <w:proofErr w:type="spellEnd"/>
      </w:hyperlink>
      <w:r w:rsidR="000D032D" w:rsidRPr="00153E12">
        <w:rPr>
          <w:sz w:val="20"/>
          <w:szCs w:val="20"/>
        </w:rPr>
        <w:t xml:space="preserve">, A.; </w:t>
      </w:r>
      <w:hyperlink r:id="rId32" w:history="1">
        <w:proofErr w:type="spellStart"/>
        <w:r w:rsidR="000D032D" w:rsidRPr="00153E12">
          <w:rPr>
            <w:rStyle w:val="Hyperlink"/>
            <w:color w:val="auto"/>
            <w:sz w:val="20"/>
            <w:szCs w:val="20"/>
            <w:u w:val="none"/>
          </w:rPr>
          <w:t>Migliori</w:t>
        </w:r>
        <w:proofErr w:type="spellEnd"/>
      </w:hyperlink>
      <w:r w:rsidR="000D032D" w:rsidRPr="00153E12">
        <w:rPr>
          <w:sz w:val="20"/>
          <w:szCs w:val="20"/>
        </w:rPr>
        <w:t xml:space="preserve">, M.; </w:t>
      </w:r>
      <w:hyperlink r:id="rId33" w:history="1">
        <w:proofErr w:type="spellStart"/>
        <w:r w:rsidR="000D032D" w:rsidRPr="00153E12">
          <w:rPr>
            <w:rStyle w:val="Hyperlink"/>
            <w:color w:val="auto"/>
            <w:sz w:val="20"/>
            <w:szCs w:val="20"/>
            <w:u w:val="none"/>
          </w:rPr>
          <w:t>Marchetti</w:t>
        </w:r>
        <w:proofErr w:type="spellEnd"/>
      </w:hyperlink>
      <w:r w:rsidR="000D032D" w:rsidRPr="00153E12">
        <w:rPr>
          <w:sz w:val="20"/>
          <w:szCs w:val="20"/>
        </w:rPr>
        <w:t xml:space="preserve">, V.; </w:t>
      </w:r>
      <w:hyperlink r:id="rId34" w:history="1">
        <w:proofErr w:type="spellStart"/>
        <w:r w:rsidR="000D032D" w:rsidRPr="00153E12">
          <w:rPr>
            <w:rStyle w:val="Hyperlink"/>
            <w:color w:val="auto"/>
            <w:sz w:val="20"/>
            <w:szCs w:val="20"/>
            <w:u w:val="none"/>
          </w:rPr>
          <w:t>Paoletti</w:t>
        </w:r>
        <w:proofErr w:type="spellEnd"/>
      </w:hyperlink>
      <w:r w:rsidR="000D032D" w:rsidRPr="00153E12">
        <w:rPr>
          <w:sz w:val="20"/>
          <w:szCs w:val="20"/>
        </w:rPr>
        <w:t>, S. et al. (2012):</w:t>
      </w:r>
      <w:r w:rsidR="00153E12">
        <w:rPr>
          <w:sz w:val="20"/>
          <w:szCs w:val="20"/>
        </w:rPr>
        <w:t xml:space="preserve"> </w:t>
      </w:r>
      <w:r w:rsidR="000D032D" w:rsidRPr="00153E12">
        <w:rPr>
          <w:sz w:val="20"/>
          <w:szCs w:val="20"/>
        </w:rPr>
        <w:t>Biomarkers of chronic inflammatory state in uremia and cardiovascular disease. International Journal of Inflammation; Article ID 360147, 6 pages.</w:t>
      </w:r>
    </w:p>
    <w:p w:rsidR="008B7439" w:rsidRPr="00153E12" w:rsidRDefault="008B7439" w:rsidP="008B7439">
      <w:pPr>
        <w:pStyle w:val="ListParagraph"/>
        <w:numPr>
          <w:ilvl w:val="0"/>
          <w:numId w:val="5"/>
        </w:numPr>
        <w:snapToGrid w:val="0"/>
        <w:jc w:val="both"/>
        <w:rPr>
          <w:sz w:val="20"/>
          <w:szCs w:val="20"/>
        </w:rPr>
      </w:pPr>
      <w:r w:rsidRPr="00153E12">
        <w:rPr>
          <w:rStyle w:val="Hyperlink"/>
          <w:color w:val="auto"/>
          <w:sz w:val="20"/>
          <w:szCs w:val="20"/>
          <w:u w:val="none"/>
        </w:rPr>
        <w:t>S</w:t>
      </w:r>
      <w:r w:rsidR="000D032D" w:rsidRPr="00153E12">
        <w:rPr>
          <w:sz w:val="20"/>
          <w:szCs w:val="20"/>
        </w:rPr>
        <w:t>.;</w:t>
      </w:r>
      <w:r w:rsidR="00B8280B">
        <w:rPr>
          <w:rFonts w:eastAsiaTheme="minorEastAsia" w:hint="eastAsia"/>
          <w:sz w:val="20"/>
          <w:szCs w:val="20"/>
          <w:lang w:eastAsia="zh-CN"/>
        </w:rPr>
        <w:t xml:space="preserve"> </w:t>
      </w:r>
      <w:hyperlink r:id="rId35" w:history="1">
        <w:proofErr w:type="spellStart"/>
        <w:r w:rsidR="000D032D" w:rsidRPr="00153E12">
          <w:rPr>
            <w:rStyle w:val="Hyperlink"/>
            <w:color w:val="auto"/>
            <w:sz w:val="20"/>
            <w:szCs w:val="20"/>
            <w:u w:val="none"/>
          </w:rPr>
          <w:t>Speeckaert</w:t>
        </w:r>
        <w:proofErr w:type="spellEnd"/>
        <w:r w:rsidR="000D032D" w:rsidRPr="00153E12">
          <w:rPr>
            <w:rStyle w:val="Hyperlink"/>
            <w:color w:val="auto"/>
            <w:sz w:val="20"/>
            <w:szCs w:val="20"/>
            <w:u w:val="none"/>
          </w:rPr>
          <w:t>, R</w:t>
        </w:r>
      </w:hyperlink>
      <w:r w:rsidR="000D032D" w:rsidRPr="00153E12">
        <w:rPr>
          <w:sz w:val="20"/>
          <w:szCs w:val="20"/>
        </w:rPr>
        <w:t xml:space="preserve">.; </w:t>
      </w:r>
      <w:hyperlink r:id="rId36" w:history="1">
        <w:proofErr w:type="spellStart"/>
        <w:r w:rsidR="000D032D" w:rsidRPr="00153E12">
          <w:rPr>
            <w:rStyle w:val="Hyperlink"/>
            <w:color w:val="auto"/>
            <w:sz w:val="20"/>
            <w:szCs w:val="20"/>
            <w:u w:val="none"/>
          </w:rPr>
          <w:t>Carrero</w:t>
        </w:r>
        <w:proofErr w:type="spellEnd"/>
        <w:r w:rsidR="000D032D" w:rsidRPr="00153E12">
          <w:rPr>
            <w:rStyle w:val="Hyperlink"/>
            <w:color w:val="auto"/>
            <w:sz w:val="20"/>
            <w:szCs w:val="20"/>
            <w:u w:val="none"/>
          </w:rPr>
          <w:t>, J.J</w:t>
        </w:r>
      </w:hyperlink>
      <w:r w:rsidR="000D032D" w:rsidRPr="00153E12">
        <w:rPr>
          <w:sz w:val="20"/>
          <w:szCs w:val="20"/>
        </w:rPr>
        <w:t xml:space="preserve">.; </w:t>
      </w:r>
      <w:hyperlink r:id="rId37" w:history="1">
        <w:proofErr w:type="spellStart"/>
        <w:r w:rsidR="000D032D" w:rsidRPr="00153E12">
          <w:rPr>
            <w:rStyle w:val="Hyperlink"/>
            <w:color w:val="auto"/>
            <w:sz w:val="20"/>
            <w:szCs w:val="20"/>
            <w:u w:val="none"/>
          </w:rPr>
          <w:t>Vanholder</w:t>
        </w:r>
        <w:proofErr w:type="spellEnd"/>
        <w:r w:rsidR="000D032D" w:rsidRPr="00153E12">
          <w:rPr>
            <w:rStyle w:val="Hyperlink"/>
            <w:color w:val="auto"/>
            <w:sz w:val="20"/>
            <w:szCs w:val="20"/>
            <w:u w:val="none"/>
          </w:rPr>
          <w:t xml:space="preserve">, </w:t>
        </w:r>
        <w:proofErr w:type="spellStart"/>
        <w:r w:rsidR="000D032D" w:rsidRPr="00153E12">
          <w:rPr>
            <w:rStyle w:val="Hyperlink"/>
            <w:color w:val="auto"/>
            <w:sz w:val="20"/>
            <w:szCs w:val="20"/>
            <w:u w:val="none"/>
          </w:rPr>
          <w:t>R</w:t>
        </w:r>
      </w:hyperlink>
      <w:r w:rsidR="000D032D" w:rsidRPr="00153E12">
        <w:rPr>
          <w:sz w:val="20"/>
          <w:szCs w:val="20"/>
        </w:rPr>
        <w:t>.and</w:t>
      </w:r>
      <w:proofErr w:type="spellEnd"/>
      <w:r w:rsidR="00153E12">
        <w:rPr>
          <w:sz w:val="20"/>
          <w:szCs w:val="20"/>
        </w:rPr>
        <w:t xml:space="preserve"> </w:t>
      </w:r>
      <w:hyperlink r:id="rId38" w:history="1">
        <w:proofErr w:type="spellStart"/>
        <w:r w:rsidR="000D032D" w:rsidRPr="00153E12">
          <w:rPr>
            <w:rStyle w:val="Hyperlink"/>
            <w:color w:val="auto"/>
            <w:sz w:val="20"/>
            <w:szCs w:val="20"/>
            <w:u w:val="none"/>
          </w:rPr>
          <w:t>Delanghe</w:t>
        </w:r>
        <w:proofErr w:type="spellEnd"/>
        <w:r w:rsidR="000D032D" w:rsidRPr="00153E12">
          <w:rPr>
            <w:rStyle w:val="Hyperlink"/>
            <w:color w:val="auto"/>
            <w:sz w:val="20"/>
            <w:szCs w:val="20"/>
            <w:u w:val="none"/>
          </w:rPr>
          <w:t>, J.R</w:t>
        </w:r>
      </w:hyperlink>
      <w:r w:rsidR="000D032D" w:rsidRPr="00153E12">
        <w:rPr>
          <w:sz w:val="20"/>
          <w:szCs w:val="20"/>
        </w:rPr>
        <w:t xml:space="preserve">. (2013): Biology of human </w:t>
      </w:r>
      <w:proofErr w:type="spellStart"/>
      <w:r w:rsidR="000D032D" w:rsidRPr="00153E12">
        <w:rPr>
          <w:sz w:val="20"/>
          <w:szCs w:val="20"/>
        </w:rPr>
        <w:t>pentraxin</w:t>
      </w:r>
      <w:proofErr w:type="spellEnd"/>
      <w:r w:rsidR="000D032D" w:rsidRPr="00153E12">
        <w:rPr>
          <w:sz w:val="20"/>
          <w:szCs w:val="20"/>
        </w:rPr>
        <w:t xml:space="preserve"> 3 (PTX3) in acute and chronic kidney disease. </w:t>
      </w:r>
      <w:hyperlink r:id="rId39" w:tooltip="Journal of clinical immunology." w:history="1">
        <w:r w:rsidR="000D032D" w:rsidRPr="00153E12">
          <w:rPr>
            <w:rStyle w:val="Hyperlink"/>
            <w:color w:val="auto"/>
            <w:sz w:val="20"/>
            <w:szCs w:val="20"/>
            <w:u w:val="none"/>
          </w:rPr>
          <w:t xml:space="preserve">J. </w:t>
        </w:r>
        <w:proofErr w:type="spellStart"/>
        <w:r w:rsidR="000D032D" w:rsidRPr="00153E12">
          <w:rPr>
            <w:rStyle w:val="Hyperlink"/>
            <w:color w:val="auto"/>
            <w:sz w:val="20"/>
            <w:szCs w:val="20"/>
            <w:u w:val="none"/>
          </w:rPr>
          <w:t>Clin</w:t>
        </w:r>
        <w:proofErr w:type="spellEnd"/>
        <w:r w:rsidR="000D032D" w:rsidRPr="00153E12">
          <w:rPr>
            <w:rStyle w:val="Hyperlink"/>
            <w:color w:val="auto"/>
            <w:sz w:val="20"/>
            <w:szCs w:val="20"/>
            <w:u w:val="none"/>
          </w:rPr>
          <w:t xml:space="preserve">. </w:t>
        </w:r>
        <w:proofErr w:type="spellStart"/>
        <w:proofErr w:type="gramStart"/>
        <w:r w:rsidR="000D032D" w:rsidRPr="00153E12">
          <w:rPr>
            <w:rStyle w:val="Hyperlink"/>
            <w:color w:val="auto"/>
            <w:sz w:val="20"/>
            <w:szCs w:val="20"/>
            <w:u w:val="none"/>
          </w:rPr>
          <w:t>Immunol</w:t>
        </w:r>
        <w:proofErr w:type="spellEnd"/>
        <w:r w:rsidR="000D032D" w:rsidRPr="00153E12">
          <w:rPr>
            <w:rStyle w:val="Hyperlink"/>
            <w:color w:val="auto"/>
            <w:sz w:val="20"/>
            <w:szCs w:val="20"/>
            <w:u w:val="none"/>
          </w:rPr>
          <w:t>.</w:t>
        </w:r>
      </w:hyperlink>
      <w:r w:rsidR="000D032D" w:rsidRPr="00153E12">
        <w:rPr>
          <w:sz w:val="20"/>
          <w:szCs w:val="20"/>
        </w:rPr>
        <w:t>;</w:t>
      </w:r>
      <w:proofErr w:type="gramEnd"/>
      <w:r w:rsidR="000D032D" w:rsidRPr="00153E12">
        <w:rPr>
          <w:sz w:val="20"/>
          <w:szCs w:val="20"/>
        </w:rPr>
        <w:t xml:space="preserve"> 33(5):881-890.</w:t>
      </w:r>
    </w:p>
    <w:p w:rsidR="008B7439" w:rsidRPr="00153E12" w:rsidRDefault="008B7439" w:rsidP="008B7439">
      <w:pPr>
        <w:pStyle w:val="ListParagraph"/>
        <w:numPr>
          <w:ilvl w:val="0"/>
          <w:numId w:val="5"/>
        </w:numPr>
        <w:shd w:val="clear" w:color="auto" w:fill="FFFFFF"/>
        <w:snapToGrid w:val="0"/>
        <w:jc w:val="both"/>
        <w:rPr>
          <w:sz w:val="20"/>
          <w:szCs w:val="20"/>
        </w:rPr>
      </w:pPr>
      <w:proofErr w:type="spellStart"/>
      <w:r w:rsidRPr="00153E12">
        <w:rPr>
          <w:sz w:val="20"/>
          <w:szCs w:val="20"/>
        </w:rPr>
        <w:t>S</w:t>
      </w:r>
      <w:r w:rsidR="000D032D" w:rsidRPr="00153E12">
        <w:rPr>
          <w:sz w:val="20"/>
          <w:szCs w:val="20"/>
        </w:rPr>
        <w:t>uliman</w:t>
      </w:r>
      <w:proofErr w:type="spellEnd"/>
      <w:r w:rsidR="000D032D" w:rsidRPr="00153E12">
        <w:rPr>
          <w:sz w:val="20"/>
          <w:szCs w:val="20"/>
        </w:rPr>
        <w:t xml:space="preserve">, M.E.; </w:t>
      </w:r>
      <w:proofErr w:type="spellStart"/>
      <w:r w:rsidR="000D032D" w:rsidRPr="00153E12">
        <w:rPr>
          <w:sz w:val="20"/>
          <w:szCs w:val="20"/>
        </w:rPr>
        <w:t>Qureshi</w:t>
      </w:r>
      <w:proofErr w:type="spellEnd"/>
      <w:r w:rsidR="000D032D" w:rsidRPr="00153E12">
        <w:rPr>
          <w:sz w:val="20"/>
          <w:szCs w:val="20"/>
        </w:rPr>
        <w:t xml:space="preserve">, A.R.; </w:t>
      </w:r>
      <w:proofErr w:type="spellStart"/>
      <w:r w:rsidR="000D032D" w:rsidRPr="00153E12">
        <w:rPr>
          <w:sz w:val="20"/>
          <w:szCs w:val="20"/>
        </w:rPr>
        <w:t>Carrero</w:t>
      </w:r>
      <w:proofErr w:type="spellEnd"/>
      <w:r w:rsidR="000D032D" w:rsidRPr="00153E12">
        <w:rPr>
          <w:sz w:val="20"/>
          <w:szCs w:val="20"/>
        </w:rPr>
        <w:t xml:space="preserve">, J.J.; Barany, P.; </w:t>
      </w:r>
      <w:proofErr w:type="spellStart"/>
      <w:r w:rsidR="000D032D" w:rsidRPr="00153E12">
        <w:rPr>
          <w:sz w:val="20"/>
          <w:szCs w:val="20"/>
        </w:rPr>
        <w:t>Yilmaz</w:t>
      </w:r>
      <w:proofErr w:type="spellEnd"/>
      <w:r w:rsidR="000D032D" w:rsidRPr="00153E12">
        <w:rPr>
          <w:sz w:val="20"/>
          <w:szCs w:val="20"/>
        </w:rPr>
        <w:t xml:space="preserve">, M.I. et al. (2008): The long </w:t>
      </w:r>
      <w:proofErr w:type="spellStart"/>
      <w:r w:rsidR="000D032D" w:rsidRPr="00153E12">
        <w:rPr>
          <w:sz w:val="20"/>
          <w:szCs w:val="20"/>
        </w:rPr>
        <w:t>pentraxin</w:t>
      </w:r>
      <w:proofErr w:type="spellEnd"/>
      <w:r w:rsidR="000D032D" w:rsidRPr="00153E12">
        <w:rPr>
          <w:sz w:val="20"/>
          <w:szCs w:val="20"/>
        </w:rPr>
        <w:t xml:space="preserve"> PTX-3 in prevalent </w:t>
      </w:r>
      <w:proofErr w:type="spellStart"/>
      <w:r w:rsidR="000D032D" w:rsidRPr="00153E12">
        <w:rPr>
          <w:sz w:val="20"/>
          <w:szCs w:val="20"/>
        </w:rPr>
        <w:t>hemodialysis</w:t>
      </w:r>
      <w:proofErr w:type="spellEnd"/>
      <w:r w:rsidR="000D032D" w:rsidRPr="00153E12">
        <w:rPr>
          <w:sz w:val="20"/>
          <w:szCs w:val="20"/>
        </w:rPr>
        <w:t xml:space="preserve"> </w:t>
      </w:r>
      <w:proofErr w:type="spellStart"/>
      <w:r w:rsidR="000D032D" w:rsidRPr="00153E12">
        <w:rPr>
          <w:sz w:val="20"/>
          <w:szCs w:val="20"/>
        </w:rPr>
        <w:t>patients:association</w:t>
      </w:r>
      <w:proofErr w:type="spellEnd"/>
      <w:r w:rsidR="000D032D" w:rsidRPr="00153E12">
        <w:rPr>
          <w:sz w:val="20"/>
          <w:szCs w:val="20"/>
        </w:rPr>
        <w:t xml:space="preserve"> with </w:t>
      </w:r>
      <w:proofErr w:type="spellStart"/>
      <w:r w:rsidR="000D032D" w:rsidRPr="00153E12">
        <w:rPr>
          <w:sz w:val="20"/>
          <w:szCs w:val="20"/>
        </w:rPr>
        <w:t>comorbidities</w:t>
      </w:r>
      <w:proofErr w:type="spellEnd"/>
      <w:r w:rsidR="000D032D" w:rsidRPr="00153E12">
        <w:rPr>
          <w:sz w:val="20"/>
          <w:szCs w:val="20"/>
        </w:rPr>
        <w:t xml:space="preserve"> and mortality.</w:t>
      </w:r>
      <w:r w:rsidR="00153E12">
        <w:rPr>
          <w:sz w:val="20"/>
          <w:szCs w:val="20"/>
        </w:rPr>
        <w:t xml:space="preserve"> </w:t>
      </w:r>
      <w:r w:rsidR="000D032D" w:rsidRPr="00153E12">
        <w:rPr>
          <w:sz w:val="20"/>
          <w:szCs w:val="20"/>
        </w:rPr>
        <w:t>QJM.</w:t>
      </w:r>
      <w:proofErr w:type="gramStart"/>
      <w:r w:rsidR="000D032D" w:rsidRPr="00153E12">
        <w:rPr>
          <w:sz w:val="20"/>
          <w:szCs w:val="20"/>
        </w:rPr>
        <w:t>;101</w:t>
      </w:r>
      <w:proofErr w:type="gramEnd"/>
      <w:r w:rsidR="000D032D" w:rsidRPr="00153E12">
        <w:rPr>
          <w:sz w:val="20"/>
          <w:szCs w:val="20"/>
        </w:rPr>
        <w:t xml:space="preserve"> (5):397-405.</w:t>
      </w:r>
    </w:p>
    <w:p w:rsidR="008B7439" w:rsidRPr="00153E12" w:rsidRDefault="008B7439" w:rsidP="008B7439">
      <w:pPr>
        <w:pStyle w:val="ListParagraph"/>
        <w:numPr>
          <w:ilvl w:val="0"/>
          <w:numId w:val="5"/>
        </w:numPr>
        <w:snapToGrid w:val="0"/>
        <w:jc w:val="both"/>
        <w:rPr>
          <w:sz w:val="20"/>
          <w:szCs w:val="20"/>
        </w:rPr>
      </w:pPr>
      <w:r w:rsidRPr="00153E12">
        <w:rPr>
          <w:sz w:val="20"/>
          <w:szCs w:val="20"/>
          <w:lang w:val="de-DE"/>
        </w:rPr>
        <w:lastRenderedPageBreak/>
        <w:t>T</w:t>
      </w:r>
      <w:r w:rsidR="000D032D" w:rsidRPr="00153E12">
        <w:rPr>
          <w:sz w:val="20"/>
          <w:szCs w:val="20"/>
          <w:lang w:val="de-DE"/>
        </w:rPr>
        <w:t xml:space="preserve">ong, M.; Carrero, J.J.; Qureshi, A.R.; Anderstam, B.; Heimbürger, O. et al. (2007): </w:t>
      </w:r>
      <w:hyperlink r:id="rId40" w:history="1">
        <w:r w:rsidR="000D032D" w:rsidRPr="00153E12">
          <w:rPr>
            <w:rStyle w:val="Hyperlink"/>
            <w:color w:val="auto"/>
            <w:sz w:val="20"/>
            <w:szCs w:val="20"/>
            <w:u w:val="none"/>
          </w:rPr>
          <w:t xml:space="preserve">Plasma </w:t>
        </w:r>
        <w:proofErr w:type="spellStart"/>
        <w:r w:rsidR="000D032D" w:rsidRPr="00153E12">
          <w:rPr>
            <w:rStyle w:val="Hyperlink"/>
            <w:color w:val="auto"/>
            <w:sz w:val="20"/>
            <w:szCs w:val="20"/>
            <w:u w:val="none"/>
          </w:rPr>
          <w:t>pentraxin</w:t>
        </w:r>
        <w:proofErr w:type="spellEnd"/>
        <w:r w:rsidR="000D032D" w:rsidRPr="00153E12">
          <w:rPr>
            <w:rStyle w:val="Hyperlink"/>
            <w:color w:val="auto"/>
            <w:sz w:val="20"/>
            <w:szCs w:val="20"/>
            <w:u w:val="none"/>
          </w:rPr>
          <w:t xml:space="preserve"> 3 in patients with chronic kidney disease: associations with renal function, protein-energy wasting, cardiovascular disease, and mortality.</w:t>
        </w:r>
      </w:hyperlink>
      <w:r w:rsidR="00153E12">
        <w:rPr>
          <w:rFonts w:eastAsiaTheme="minorEastAsia" w:hint="eastAsia"/>
          <w:sz w:val="20"/>
          <w:szCs w:val="20"/>
          <w:lang w:eastAsia="zh-CN"/>
        </w:rPr>
        <w:t xml:space="preserve"> </w:t>
      </w:r>
      <w:proofErr w:type="spellStart"/>
      <w:r w:rsidR="000D032D" w:rsidRPr="00153E12">
        <w:rPr>
          <w:sz w:val="20"/>
          <w:szCs w:val="20"/>
        </w:rPr>
        <w:t>Clin</w:t>
      </w:r>
      <w:proofErr w:type="spellEnd"/>
      <w:r w:rsidR="000D032D" w:rsidRPr="00153E12">
        <w:rPr>
          <w:sz w:val="20"/>
          <w:szCs w:val="20"/>
        </w:rPr>
        <w:t xml:space="preserve">. J. Am. Soc. </w:t>
      </w:r>
      <w:proofErr w:type="spellStart"/>
      <w:r w:rsidR="000D032D" w:rsidRPr="00153E12">
        <w:rPr>
          <w:sz w:val="20"/>
          <w:szCs w:val="20"/>
        </w:rPr>
        <w:t>Nephrol</w:t>
      </w:r>
      <w:proofErr w:type="spellEnd"/>
      <w:r w:rsidR="000D032D" w:rsidRPr="00153E12">
        <w:rPr>
          <w:sz w:val="20"/>
          <w:szCs w:val="20"/>
        </w:rPr>
        <w:t>.; 2(5):889-897.</w:t>
      </w:r>
    </w:p>
    <w:p w:rsidR="005272C8" w:rsidRPr="00153E12" w:rsidRDefault="008B7439" w:rsidP="008B7439">
      <w:pPr>
        <w:pStyle w:val="ListParagraph"/>
        <w:numPr>
          <w:ilvl w:val="0"/>
          <w:numId w:val="5"/>
        </w:numPr>
        <w:shd w:val="clear" w:color="auto" w:fill="FFFFFF"/>
        <w:snapToGrid w:val="0"/>
        <w:ind w:left="425" w:hanging="425"/>
        <w:jc w:val="both"/>
        <w:rPr>
          <w:sz w:val="20"/>
          <w:szCs w:val="20"/>
        </w:rPr>
      </w:pPr>
      <w:r w:rsidRPr="00153E12">
        <w:rPr>
          <w:sz w:val="20"/>
          <w:szCs w:val="20"/>
        </w:rPr>
        <w:t>Z</w:t>
      </w:r>
      <w:r w:rsidR="000D032D" w:rsidRPr="00153E12">
        <w:rPr>
          <w:sz w:val="20"/>
          <w:szCs w:val="20"/>
        </w:rPr>
        <w:t xml:space="preserve">hou, Y.; Ni, Z.; Zhang, J.; Zhang, W.; Wu, Q. et al. (2013): Plasma </w:t>
      </w:r>
      <w:proofErr w:type="spellStart"/>
      <w:r w:rsidR="000D032D" w:rsidRPr="00153E12">
        <w:rPr>
          <w:sz w:val="20"/>
          <w:szCs w:val="20"/>
        </w:rPr>
        <w:t>pentraxin</w:t>
      </w:r>
      <w:proofErr w:type="spellEnd"/>
      <w:r w:rsidR="000D032D" w:rsidRPr="00153E12">
        <w:rPr>
          <w:sz w:val="20"/>
          <w:szCs w:val="20"/>
        </w:rPr>
        <w:t xml:space="preserve"> 3 may be a better marker of peripheral artery disease in </w:t>
      </w:r>
      <w:proofErr w:type="spellStart"/>
      <w:r w:rsidR="000D032D" w:rsidRPr="00153E12">
        <w:rPr>
          <w:sz w:val="20"/>
          <w:szCs w:val="20"/>
        </w:rPr>
        <w:t>hemodialysis</w:t>
      </w:r>
      <w:proofErr w:type="spellEnd"/>
      <w:r w:rsidR="000D032D" w:rsidRPr="00153E12">
        <w:rPr>
          <w:sz w:val="20"/>
          <w:szCs w:val="20"/>
        </w:rPr>
        <w:t xml:space="preserve"> patients than C-reactive protein. Vascular Medicine; 18(2): 85–91.</w:t>
      </w:r>
      <w:r w:rsidR="00153E12" w:rsidRPr="00153E12">
        <w:rPr>
          <w:rFonts w:eastAsiaTheme="minorEastAsia" w:hint="eastAsia"/>
          <w:sz w:val="20"/>
          <w:szCs w:val="20"/>
          <w:lang w:eastAsia="zh-CN"/>
        </w:rPr>
        <w:t xml:space="preserve"> </w:t>
      </w:r>
    </w:p>
    <w:p w:rsidR="00871EB9" w:rsidRPr="00153E12" w:rsidRDefault="00871EB9" w:rsidP="008B7439">
      <w:pPr>
        <w:snapToGrid w:val="0"/>
        <w:ind w:left="425" w:hanging="425"/>
        <w:jc w:val="both"/>
        <w:rPr>
          <w:rFonts w:eastAsiaTheme="minorEastAsia"/>
          <w:sz w:val="20"/>
          <w:szCs w:val="20"/>
          <w:lang w:eastAsia="zh-CN"/>
        </w:rPr>
        <w:sectPr w:rsidR="00871EB9" w:rsidRPr="00153E12" w:rsidSect="00153E12">
          <w:type w:val="continuous"/>
          <w:pgSz w:w="12240" w:h="15840" w:code="1"/>
          <w:pgMar w:top="1440" w:right="1440" w:bottom="1440" w:left="1440" w:header="720" w:footer="720" w:gutter="0"/>
          <w:cols w:num="2" w:space="576"/>
          <w:docGrid w:linePitch="360"/>
        </w:sectPr>
      </w:pPr>
    </w:p>
    <w:p w:rsidR="008B7439" w:rsidRPr="00153E12" w:rsidRDefault="008B7439" w:rsidP="008B7439">
      <w:pPr>
        <w:snapToGrid w:val="0"/>
        <w:ind w:left="425" w:hanging="425"/>
        <w:jc w:val="both"/>
        <w:rPr>
          <w:rFonts w:eastAsiaTheme="minorEastAsia"/>
          <w:sz w:val="20"/>
          <w:szCs w:val="20"/>
          <w:lang w:eastAsia="zh-CN"/>
        </w:rPr>
      </w:pPr>
    </w:p>
    <w:p w:rsidR="008B7439" w:rsidRPr="00153E12" w:rsidRDefault="008B7439" w:rsidP="008B7439">
      <w:pPr>
        <w:snapToGrid w:val="0"/>
        <w:ind w:left="425" w:hanging="425"/>
        <w:jc w:val="both"/>
        <w:rPr>
          <w:rFonts w:eastAsiaTheme="minorEastAsia"/>
          <w:sz w:val="20"/>
          <w:szCs w:val="20"/>
          <w:lang w:eastAsia="zh-CN"/>
        </w:rPr>
      </w:pPr>
    </w:p>
    <w:p w:rsidR="00871EB9" w:rsidRPr="00153E12" w:rsidRDefault="00871EB9" w:rsidP="008B7439">
      <w:pPr>
        <w:snapToGrid w:val="0"/>
        <w:ind w:left="425" w:hanging="425"/>
        <w:jc w:val="both"/>
        <w:rPr>
          <w:rFonts w:eastAsiaTheme="minorEastAsia"/>
          <w:sz w:val="20"/>
          <w:szCs w:val="20"/>
          <w:lang w:eastAsia="zh-CN"/>
        </w:rPr>
      </w:pPr>
    </w:p>
    <w:p w:rsidR="002C1B51" w:rsidRPr="00153E12" w:rsidRDefault="008B7439" w:rsidP="008B7439">
      <w:pPr>
        <w:snapToGrid w:val="0"/>
        <w:ind w:left="425" w:hanging="425"/>
        <w:jc w:val="both"/>
        <w:rPr>
          <w:sz w:val="20"/>
          <w:szCs w:val="20"/>
        </w:rPr>
      </w:pPr>
      <w:r w:rsidRPr="00153E12">
        <w:rPr>
          <w:sz w:val="20"/>
          <w:szCs w:val="20"/>
        </w:rPr>
        <w:t>6/1/2015</w:t>
      </w:r>
    </w:p>
    <w:sectPr w:rsidR="002C1B51" w:rsidRPr="00153E12" w:rsidSect="00E83ED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12" w:rsidRDefault="00153E12" w:rsidP="00E83ED5">
      <w:r>
        <w:separator/>
      </w:r>
    </w:p>
  </w:endnote>
  <w:endnote w:type="continuationSeparator" w:id="0">
    <w:p w:rsidR="00153E12" w:rsidRDefault="00153E12" w:rsidP="00E8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12" w:rsidRPr="008B7439" w:rsidRDefault="002372B8" w:rsidP="008B7439">
    <w:pPr>
      <w:jc w:val="center"/>
      <w:rPr>
        <w:sz w:val="20"/>
      </w:rPr>
    </w:pPr>
    <w:r w:rsidRPr="008B7439">
      <w:rPr>
        <w:sz w:val="20"/>
      </w:rPr>
      <w:fldChar w:fldCharType="begin"/>
    </w:r>
    <w:r w:rsidR="00153E12" w:rsidRPr="008B7439">
      <w:rPr>
        <w:sz w:val="20"/>
      </w:rPr>
      <w:instrText xml:space="preserve"> page </w:instrText>
    </w:r>
    <w:r w:rsidRPr="008B7439">
      <w:rPr>
        <w:sz w:val="20"/>
      </w:rPr>
      <w:fldChar w:fldCharType="separate"/>
    </w:r>
    <w:r w:rsidR="00A30359">
      <w:rPr>
        <w:noProof/>
        <w:sz w:val="20"/>
      </w:rPr>
      <w:t>17</w:t>
    </w:r>
    <w:r w:rsidRPr="008B743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12" w:rsidRDefault="00153E12" w:rsidP="00E83ED5">
      <w:r>
        <w:separator/>
      </w:r>
    </w:p>
  </w:footnote>
  <w:footnote w:type="continuationSeparator" w:id="0">
    <w:p w:rsidR="00153E12" w:rsidRDefault="00153E12" w:rsidP="00E8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12" w:rsidRPr="008B7439" w:rsidRDefault="00153E12" w:rsidP="008B7439">
    <w:pPr>
      <w:pBdr>
        <w:bottom w:val="thinThickMediumGap" w:sz="12" w:space="1" w:color="auto"/>
      </w:pBdr>
      <w:tabs>
        <w:tab w:val="left" w:pos="851"/>
        <w:tab w:val="right" w:pos="8364"/>
      </w:tabs>
      <w:adjustRightInd w:val="0"/>
      <w:snapToGrid w:val="0"/>
      <w:jc w:val="both"/>
      <w:rPr>
        <w:sz w:val="20"/>
        <w:szCs w:val="20"/>
      </w:rPr>
    </w:pPr>
    <w:r w:rsidRPr="008B7439">
      <w:rPr>
        <w:rFonts w:hint="eastAsia"/>
        <w:iCs/>
        <w:color w:val="000000"/>
        <w:sz w:val="20"/>
        <w:szCs w:val="20"/>
      </w:rPr>
      <w:tab/>
    </w:r>
    <w:r w:rsidRPr="008B7439">
      <w:rPr>
        <w:sz w:val="20"/>
        <w:szCs w:val="20"/>
      </w:rPr>
      <w:t>Nature and Science 201</w:t>
    </w:r>
    <w:r w:rsidRPr="008B7439">
      <w:rPr>
        <w:rFonts w:hint="eastAsia"/>
        <w:sz w:val="20"/>
        <w:szCs w:val="20"/>
      </w:rPr>
      <w:t>5</w:t>
    </w:r>
    <w:proofErr w:type="gramStart"/>
    <w:r w:rsidRPr="008B7439">
      <w:rPr>
        <w:sz w:val="20"/>
        <w:szCs w:val="20"/>
      </w:rPr>
      <w:t>;1</w:t>
    </w:r>
    <w:r w:rsidRPr="008B7439">
      <w:rPr>
        <w:rFonts w:hint="eastAsia"/>
        <w:sz w:val="20"/>
        <w:szCs w:val="20"/>
      </w:rPr>
      <w:t>3</w:t>
    </w:r>
    <w:proofErr w:type="gramEnd"/>
    <w:r w:rsidRPr="008B7439">
      <w:rPr>
        <w:sz w:val="20"/>
        <w:szCs w:val="20"/>
      </w:rPr>
      <w:t>(</w:t>
    </w:r>
    <w:r w:rsidRPr="008B7439">
      <w:rPr>
        <w:rFonts w:hint="eastAsia"/>
        <w:sz w:val="20"/>
        <w:szCs w:val="20"/>
      </w:rPr>
      <w:t>7)</w:t>
    </w:r>
    <w:r w:rsidRPr="008B7439">
      <w:rPr>
        <w:color w:val="000000"/>
        <w:sz w:val="20"/>
        <w:szCs w:val="20"/>
      </w:rPr>
      <w:t xml:space="preserve"> </w:t>
    </w:r>
    <w:r w:rsidRPr="008B7439">
      <w:rPr>
        <w:rFonts w:hint="eastAsia"/>
        <w:color w:val="000000"/>
        <w:sz w:val="20"/>
        <w:szCs w:val="20"/>
      </w:rPr>
      <w:tab/>
    </w:r>
    <w:r w:rsidRPr="008B7439">
      <w:rPr>
        <w:color w:val="000000"/>
        <w:sz w:val="20"/>
        <w:szCs w:val="20"/>
      </w:rPr>
      <w:t xml:space="preserve"> </w:t>
    </w:r>
    <w:hyperlink r:id="rId1" w:history="1">
      <w:r w:rsidRPr="008B7439">
        <w:rPr>
          <w:rStyle w:val="Hyperlink"/>
          <w:rFonts w:eastAsia="Calibri"/>
          <w:color w:val="0000FF"/>
          <w:sz w:val="20"/>
          <w:szCs w:val="20"/>
        </w:rPr>
        <w:t>http://www.sciencepub.net/nature</w:t>
      </w:r>
    </w:hyperlink>
  </w:p>
  <w:p w:rsidR="00153E12" w:rsidRPr="008B7439" w:rsidRDefault="00153E12" w:rsidP="008B743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2E3"/>
    <w:multiLevelType w:val="hybridMultilevel"/>
    <w:tmpl w:val="DD000BA4"/>
    <w:lvl w:ilvl="0" w:tplc="1B6661C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1A3A2D"/>
    <w:multiLevelType w:val="hybridMultilevel"/>
    <w:tmpl w:val="2B2462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577D99"/>
    <w:multiLevelType w:val="hybridMultilevel"/>
    <w:tmpl w:val="C6FA13DA"/>
    <w:lvl w:ilvl="0" w:tplc="05944282">
      <w:start w:val="1"/>
      <w:numFmt w:val="decimal"/>
      <w:lvlText w:val="%1-"/>
      <w:lvlJc w:val="left"/>
      <w:pPr>
        <w:ind w:left="1070" w:hanging="360"/>
      </w:pPr>
      <w:rPr>
        <w:rFonts w:eastAsia="Times New Roman"/>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27368EB"/>
    <w:multiLevelType w:val="hybridMultilevel"/>
    <w:tmpl w:val="9B8E0206"/>
    <w:lvl w:ilvl="0" w:tplc="DD3CE36A">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41147DF"/>
    <w:multiLevelType w:val="hybridMultilevel"/>
    <w:tmpl w:val="03367E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5272C8"/>
    <w:rsid w:val="00014D47"/>
    <w:rsid w:val="00071AF8"/>
    <w:rsid w:val="000D032D"/>
    <w:rsid w:val="00101733"/>
    <w:rsid w:val="00153E12"/>
    <w:rsid w:val="00187B0D"/>
    <w:rsid w:val="001D6E10"/>
    <w:rsid w:val="001F6C55"/>
    <w:rsid w:val="00216316"/>
    <w:rsid w:val="002372B8"/>
    <w:rsid w:val="002C0504"/>
    <w:rsid w:val="002C1B51"/>
    <w:rsid w:val="00461727"/>
    <w:rsid w:val="005272C8"/>
    <w:rsid w:val="0057498F"/>
    <w:rsid w:val="005C073D"/>
    <w:rsid w:val="00674D7B"/>
    <w:rsid w:val="006E4481"/>
    <w:rsid w:val="00750456"/>
    <w:rsid w:val="00805C76"/>
    <w:rsid w:val="00815A9F"/>
    <w:rsid w:val="00846E36"/>
    <w:rsid w:val="00871EB9"/>
    <w:rsid w:val="008B7439"/>
    <w:rsid w:val="009A239F"/>
    <w:rsid w:val="00A30359"/>
    <w:rsid w:val="00A4491B"/>
    <w:rsid w:val="00B8280B"/>
    <w:rsid w:val="00BA0F98"/>
    <w:rsid w:val="00BF0AD7"/>
    <w:rsid w:val="00CB1829"/>
    <w:rsid w:val="00E0794C"/>
    <w:rsid w:val="00E453D0"/>
    <w:rsid w:val="00E83ED5"/>
    <w:rsid w:val="00F5212F"/>
    <w:rsid w:val="00FB1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2C8"/>
    <w:rPr>
      <w:color w:val="0000FF" w:themeColor="hyperlink"/>
      <w:u w:val="single"/>
    </w:rPr>
  </w:style>
  <w:style w:type="character" w:customStyle="1" w:styleId="NoSpacingChar">
    <w:name w:val="No Spacing Char"/>
    <w:basedOn w:val="DefaultParagraphFont"/>
    <w:link w:val="NoSpacing"/>
    <w:uiPriority w:val="1"/>
    <w:locked/>
    <w:rsid w:val="005272C8"/>
    <w:rPr>
      <w:rFonts w:ascii="Calibri" w:eastAsia="Calibri" w:hAnsi="Calibri" w:cs="Arial"/>
    </w:rPr>
  </w:style>
  <w:style w:type="paragraph" w:styleId="NoSpacing">
    <w:name w:val="No Spacing"/>
    <w:link w:val="NoSpacingChar"/>
    <w:uiPriority w:val="1"/>
    <w:qFormat/>
    <w:rsid w:val="005272C8"/>
    <w:pPr>
      <w:spacing w:after="0" w:line="240" w:lineRule="auto"/>
    </w:pPr>
    <w:rPr>
      <w:rFonts w:ascii="Calibri" w:eastAsia="Calibri" w:hAnsi="Calibri" w:cs="Arial"/>
    </w:rPr>
  </w:style>
  <w:style w:type="paragraph" w:styleId="ListParagraph">
    <w:name w:val="List Paragraph"/>
    <w:basedOn w:val="Normal"/>
    <w:uiPriority w:val="34"/>
    <w:qFormat/>
    <w:rsid w:val="005272C8"/>
    <w:pPr>
      <w:ind w:left="720"/>
      <w:contextualSpacing/>
    </w:pPr>
  </w:style>
  <w:style w:type="character" w:customStyle="1" w:styleId="texhtml">
    <w:name w:val="texhtml"/>
    <w:basedOn w:val="DefaultParagraphFont"/>
    <w:rsid w:val="005272C8"/>
    <w:rPr>
      <w:rFonts w:ascii="Times New Roman" w:hAnsi="Times New Roman" w:cs="Times New Roman" w:hint="default"/>
    </w:rPr>
  </w:style>
  <w:style w:type="character" w:customStyle="1" w:styleId="apple-style-span">
    <w:name w:val="apple-style-span"/>
    <w:basedOn w:val="DefaultParagraphFont"/>
    <w:rsid w:val="005272C8"/>
  </w:style>
  <w:style w:type="character" w:styleId="Emphasis">
    <w:name w:val="Emphasis"/>
    <w:basedOn w:val="DefaultParagraphFont"/>
    <w:qFormat/>
    <w:rsid w:val="005272C8"/>
    <w:rPr>
      <w:i/>
      <w:iCs/>
    </w:rPr>
  </w:style>
  <w:style w:type="paragraph" w:styleId="Header">
    <w:name w:val="header"/>
    <w:basedOn w:val="Normal"/>
    <w:link w:val="HeaderChar"/>
    <w:uiPriority w:val="99"/>
    <w:semiHidden/>
    <w:unhideWhenUsed/>
    <w:rsid w:val="00E83E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83ED5"/>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E83ED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E83ED5"/>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461727"/>
    <w:rPr>
      <w:rFonts w:ascii="Tahoma" w:hAnsi="Tahoma" w:cs="Tahoma"/>
      <w:sz w:val="16"/>
      <w:szCs w:val="16"/>
    </w:rPr>
  </w:style>
  <w:style w:type="character" w:customStyle="1" w:styleId="BalloonTextChar">
    <w:name w:val="Balloon Text Char"/>
    <w:basedOn w:val="DefaultParagraphFont"/>
    <w:link w:val="BalloonText"/>
    <w:uiPriority w:val="99"/>
    <w:semiHidden/>
    <w:rsid w:val="004617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2C8"/>
    <w:rPr>
      <w:color w:val="0000FF" w:themeColor="hyperlink"/>
      <w:u w:val="single"/>
    </w:rPr>
  </w:style>
  <w:style w:type="character" w:customStyle="1" w:styleId="NoSpacingChar">
    <w:name w:val="No Spacing Char"/>
    <w:basedOn w:val="DefaultParagraphFont"/>
    <w:link w:val="NoSpacing"/>
    <w:uiPriority w:val="1"/>
    <w:locked/>
    <w:rsid w:val="005272C8"/>
    <w:rPr>
      <w:rFonts w:ascii="Calibri" w:eastAsia="Calibri" w:hAnsi="Calibri" w:cs="Arial"/>
    </w:rPr>
  </w:style>
  <w:style w:type="paragraph" w:styleId="NoSpacing">
    <w:name w:val="No Spacing"/>
    <w:link w:val="NoSpacingChar"/>
    <w:uiPriority w:val="1"/>
    <w:qFormat/>
    <w:rsid w:val="005272C8"/>
    <w:pPr>
      <w:spacing w:after="0" w:line="240" w:lineRule="auto"/>
    </w:pPr>
    <w:rPr>
      <w:rFonts w:ascii="Calibri" w:eastAsia="Calibri" w:hAnsi="Calibri" w:cs="Arial"/>
    </w:rPr>
  </w:style>
  <w:style w:type="paragraph" w:styleId="ListParagraph">
    <w:name w:val="List Paragraph"/>
    <w:basedOn w:val="Normal"/>
    <w:uiPriority w:val="34"/>
    <w:qFormat/>
    <w:rsid w:val="005272C8"/>
    <w:pPr>
      <w:ind w:left="720"/>
      <w:contextualSpacing/>
    </w:pPr>
  </w:style>
  <w:style w:type="character" w:customStyle="1" w:styleId="texhtml">
    <w:name w:val="texhtml"/>
    <w:basedOn w:val="DefaultParagraphFont"/>
    <w:rsid w:val="005272C8"/>
    <w:rPr>
      <w:rFonts w:ascii="Times New Roman" w:hAnsi="Times New Roman" w:cs="Times New Roman" w:hint="default"/>
    </w:rPr>
  </w:style>
  <w:style w:type="character" w:customStyle="1" w:styleId="apple-style-span">
    <w:name w:val="apple-style-span"/>
    <w:basedOn w:val="DefaultParagraphFont"/>
    <w:rsid w:val="005272C8"/>
  </w:style>
  <w:style w:type="character" w:styleId="Emphasis">
    <w:name w:val="Emphasis"/>
    <w:basedOn w:val="DefaultParagraphFont"/>
    <w:qFormat/>
    <w:rsid w:val="005272C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ncbi.nlm.nih.gov/pubmed?term=Kaehne%20F%5BAuthor%5D&amp;cauthor=true&amp;cauthor_uid=17496115" TargetMode="External"/><Relationship Id="rId18" Type="http://schemas.openxmlformats.org/officeDocument/2006/relationships/hyperlink" Target="http://www.ncbi.nlm.nih.gov/pubmed?term=Russell%20L%5BAuthor%5D&amp;cauthor=true&amp;cauthor_uid=7645541" TargetMode="External"/><Relationship Id="rId26" Type="http://schemas.openxmlformats.org/officeDocument/2006/relationships/hyperlink" Target="http://www.ncbi.nlm.nih.gov/pubmed?term=Kovesdy%20CP%5BAuthor%5D&amp;cauthor=true&amp;cauthor_uid=21629229" TargetMode="External"/><Relationship Id="rId39" Type="http://schemas.openxmlformats.org/officeDocument/2006/relationships/hyperlink" Target="http://www.ncbi.nlm.nih.gov/pubmed/23443958" TargetMode="External"/><Relationship Id="rId3" Type="http://schemas.openxmlformats.org/officeDocument/2006/relationships/styles" Target="styles.xml"/><Relationship Id="rId21" Type="http://schemas.openxmlformats.org/officeDocument/2006/relationships/hyperlink" Target="http://www.ncbi.nlm.nih.gov/pubmed?term=Russell%20GI%5BAuthor%5D&amp;cauthor=true&amp;cauthor_uid=7645541" TargetMode="External"/><Relationship Id="rId34" Type="http://schemas.openxmlformats.org/officeDocument/2006/relationships/hyperlink" Target="http://www.hindawi.com/3430658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cbi.nlm.nih.gov/pubmed/17496115" TargetMode="External"/><Relationship Id="rId25" Type="http://schemas.openxmlformats.org/officeDocument/2006/relationships/hyperlink" Target="http://www.ncbi.nlm.nih.gov/pubmed?term=Chazot%20C%5BAuthor%5D&amp;cauthor=true&amp;cauthor_uid=21629229" TargetMode="External"/><Relationship Id="rId33" Type="http://schemas.openxmlformats.org/officeDocument/2006/relationships/hyperlink" Target="http://www.hindawi.com/36580237/" TargetMode="External"/><Relationship Id="rId38" Type="http://schemas.openxmlformats.org/officeDocument/2006/relationships/hyperlink" Target="http://www.ncbi.nlm.nih.gov/pubmed?term=Delanghe%20JR%5BAuthor%5D&amp;cauthor=true&amp;cauthor_uid=23443958"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cbi.nlm.nih.gov/pubmed?term=Schr%C3%B6der%20M%5BAuthor%5D&amp;cauthor=true&amp;cauthor_uid=17496115" TargetMode="External"/><Relationship Id="rId20" Type="http://schemas.openxmlformats.org/officeDocument/2006/relationships/hyperlink" Target="http://www.ncbi.nlm.nih.gov/pubmed?term=Phillips%20L%5BAuthor%5D&amp;cauthor=true&amp;cauthor_uid=7645541" TargetMode="External"/><Relationship Id="rId29" Type="http://schemas.openxmlformats.org/officeDocument/2006/relationships/hyperlink" Target="http://ndt.oxfordjournals.org/search?author1=Hans-Joachim+Anders&amp;sortspec=date&amp;submit=Subm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ncbi.nlm.nih.gov/pubmed?term=Budde%20K%5BAuthor%5D&amp;cauthor=true&amp;cauthor_uid=21629229" TargetMode="External"/><Relationship Id="rId32" Type="http://schemas.openxmlformats.org/officeDocument/2006/relationships/hyperlink" Target="http://www.hindawi.com/73840763/" TargetMode="External"/><Relationship Id="rId37" Type="http://schemas.openxmlformats.org/officeDocument/2006/relationships/hyperlink" Target="http://www.ncbi.nlm.nih.gov/pubmed?term=Vanholder%20R%5BAuthor%5D&amp;cauthor=true&amp;cauthor_uid=23443958" TargetMode="External"/><Relationship Id="rId40" Type="http://schemas.openxmlformats.org/officeDocument/2006/relationships/hyperlink" Target="http://www.ncbi.nlm.nih.gov/pubmed/17702732" TargetMode="External"/><Relationship Id="rId5" Type="http://schemas.openxmlformats.org/officeDocument/2006/relationships/webSettings" Target="webSettings.xml"/><Relationship Id="rId15" Type="http://schemas.openxmlformats.org/officeDocument/2006/relationships/hyperlink" Target="http://www.ncbi.nlm.nih.gov/pubmed?term=Bernhardt%20W%5BAuthor%5D&amp;cauthor=true&amp;cauthor_uid=17496115" TargetMode="External"/><Relationship Id="rId23" Type="http://schemas.openxmlformats.org/officeDocument/2006/relationships/hyperlink" Target="http://www.ncbi.nlm.nih.gov/pubmed?term=Cano%20NJ%5BAuthor%5D&amp;cauthor=true&amp;cauthor_uid=21629229" TargetMode="External"/><Relationship Id="rId28" Type="http://schemas.openxmlformats.org/officeDocument/2006/relationships/hyperlink" Target="http://ndt.oxfordjournals.org/search?author1=Christoph+Rommele&amp;sortspec=date&amp;submit=Submit" TargetMode="External"/><Relationship Id="rId36" Type="http://schemas.openxmlformats.org/officeDocument/2006/relationships/hyperlink" Target="http://www.ncbi.nlm.nih.gov/pubmed?term=Carrero%20JJ%5BAuthor%5D&amp;cauthor=true&amp;cauthor_uid=23443958" TargetMode="External"/><Relationship Id="rId10" Type="http://schemas.openxmlformats.org/officeDocument/2006/relationships/footer" Target="footer1.xml"/><Relationship Id="rId19" Type="http://schemas.openxmlformats.org/officeDocument/2006/relationships/hyperlink" Target="http://www.ncbi.nlm.nih.gov/pubmed?term=Bryan%20J%5BAuthor%5D&amp;cauthor=true&amp;cauthor_uid=7645541" TargetMode="External"/><Relationship Id="rId31" Type="http://schemas.openxmlformats.org/officeDocument/2006/relationships/hyperlink" Target="http://www.hindawi.com/754097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cbi.nlm.nih.gov/pubmed?term=Kuehne%20A%5BAuthor%5D&amp;cauthor=true&amp;cauthor_uid=17496115" TargetMode="External"/><Relationship Id="rId22" Type="http://schemas.openxmlformats.org/officeDocument/2006/relationships/hyperlink" Target="http://www.ncbi.nlm.nih.gov/pubmed/7645541" TargetMode="External"/><Relationship Id="rId27" Type="http://schemas.openxmlformats.org/officeDocument/2006/relationships/hyperlink" Target="http://www.ncbi.nlm.nih.gov/pubmed/21629229" TargetMode="External"/><Relationship Id="rId30" Type="http://schemas.openxmlformats.org/officeDocument/2006/relationships/hyperlink" Target="http://www.ncbi.nlm.nih.gov/pubmed/16472048" TargetMode="External"/><Relationship Id="rId35" Type="http://schemas.openxmlformats.org/officeDocument/2006/relationships/hyperlink" Target="http://www.ncbi.nlm.nih.gov/pubmed?term=Speeckaert%20R%5BAuthor%5D&amp;cauthor=true&amp;cauthor_uid=2344395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814F-B4B2-4FE1-BD29-E83255A5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Administrator</cp:lastModifiedBy>
  <cp:revision>8</cp:revision>
  <cp:lastPrinted>2015-06-02T23:35:00Z</cp:lastPrinted>
  <dcterms:created xsi:type="dcterms:W3CDTF">2015-06-02T09:46:00Z</dcterms:created>
  <dcterms:modified xsi:type="dcterms:W3CDTF">2015-06-02T23:35:00Z</dcterms:modified>
</cp:coreProperties>
</file>