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15" w:rsidRPr="00CC0F87" w:rsidRDefault="004A0C15" w:rsidP="000E2AC6">
      <w:pPr>
        <w:tabs>
          <w:tab w:val="left" w:pos="416"/>
          <w:tab w:val="left" w:pos="506"/>
          <w:tab w:val="left" w:pos="840"/>
          <w:tab w:val="left" w:pos="1020"/>
          <w:tab w:val="left" w:pos="3896"/>
        </w:tabs>
        <w:bidi w:val="0"/>
        <w:snapToGrid w:val="0"/>
        <w:jc w:val="center"/>
        <w:rPr>
          <w:rFonts w:cs="Times New Roman"/>
          <w:b/>
          <w:bCs/>
        </w:rPr>
      </w:pPr>
      <w:r w:rsidRPr="00CC0F87">
        <w:rPr>
          <w:rFonts w:cs="Times New Roman"/>
          <w:b/>
          <w:bCs/>
        </w:rPr>
        <w:t>Evaluation of the Role of IL 18 in Diagnosis of HCC in critical Egyptian Patients with Chronic Hepatitis C</w:t>
      </w:r>
    </w:p>
    <w:p w:rsidR="004A0C15" w:rsidRPr="00CC0F87" w:rsidRDefault="004A0C15" w:rsidP="000E2AC6">
      <w:pPr>
        <w:tabs>
          <w:tab w:val="left" w:pos="416"/>
          <w:tab w:val="left" w:pos="506"/>
          <w:tab w:val="left" w:pos="840"/>
          <w:tab w:val="left" w:pos="1020"/>
          <w:tab w:val="left" w:pos="3896"/>
        </w:tabs>
        <w:bidi w:val="0"/>
        <w:snapToGrid w:val="0"/>
        <w:jc w:val="center"/>
        <w:rPr>
          <w:rFonts w:cs="Times New Roman"/>
          <w:b/>
          <w:bCs/>
        </w:rPr>
      </w:pPr>
    </w:p>
    <w:p w:rsidR="004A0C15" w:rsidRPr="00CC0F87" w:rsidRDefault="004A0C15" w:rsidP="000E2AC6">
      <w:pPr>
        <w:bidi w:val="0"/>
        <w:snapToGrid w:val="0"/>
        <w:jc w:val="center"/>
        <w:rPr>
          <w:rFonts w:cs="Times New Roman"/>
          <w:vertAlign w:val="superscript"/>
        </w:rPr>
      </w:pPr>
      <w:r w:rsidRPr="00CC0F87">
        <w:rPr>
          <w:rFonts w:cs="Times New Roman"/>
        </w:rPr>
        <w:t xml:space="preserve">Ahmed El </w:t>
      </w:r>
      <w:proofErr w:type="spellStart"/>
      <w:r w:rsidRPr="00CC0F87">
        <w:rPr>
          <w:rFonts w:cs="Times New Roman"/>
        </w:rPr>
        <w:t>Saady</w:t>
      </w:r>
      <w:proofErr w:type="spellEnd"/>
      <w:r w:rsidRPr="00CC0F87">
        <w:rPr>
          <w:rFonts w:cs="Times New Roman"/>
        </w:rPr>
        <w:t xml:space="preserve"> khayyal</w:t>
      </w:r>
      <w:r w:rsidRPr="00CC0F87">
        <w:rPr>
          <w:rFonts w:cs="Times New Roman"/>
          <w:vertAlign w:val="superscript"/>
        </w:rPr>
        <w:t>1</w:t>
      </w:r>
      <w:r w:rsidRPr="00CC0F87">
        <w:rPr>
          <w:rFonts w:cs="Times New Roman"/>
        </w:rPr>
        <w:t xml:space="preserve">, </w:t>
      </w:r>
      <w:proofErr w:type="spellStart"/>
      <w:r w:rsidRPr="00CC0F87">
        <w:rPr>
          <w:rFonts w:cs="Times New Roman"/>
        </w:rPr>
        <w:t>Hany</w:t>
      </w:r>
      <w:proofErr w:type="spellEnd"/>
      <w:r w:rsidRPr="00CC0F87">
        <w:rPr>
          <w:rFonts w:cs="Times New Roman"/>
        </w:rPr>
        <w:t xml:space="preserve"> </w:t>
      </w:r>
      <w:proofErr w:type="spellStart"/>
      <w:r w:rsidRPr="00CC0F87">
        <w:rPr>
          <w:rFonts w:cs="Times New Roman"/>
        </w:rPr>
        <w:t>Haroon</w:t>
      </w:r>
      <w:proofErr w:type="spellEnd"/>
      <w:r w:rsidRPr="00CC0F87">
        <w:rPr>
          <w:rFonts w:cs="Times New Roman"/>
        </w:rPr>
        <w:t xml:space="preserve"> kaysar</w:t>
      </w:r>
      <w:r w:rsidRPr="00CC0F87">
        <w:rPr>
          <w:rFonts w:cs="Times New Roman"/>
          <w:vertAlign w:val="superscript"/>
        </w:rPr>
        <w:t>1</w:t>
      </w:r>
      <w:r w:rsidRPr="00CC0F87">
        <w:rPr>
          <w:rFonts w:cs="Times New Roman"/>
        </w:rPr>
        <w:t xml:space="preserve">, </w:t>
      </w:r>
      <w:proofErr w:type="spellStart"/>
      <w:r w:rsidRPr="00CC0F87">
        <w:rPr>
          <w:rFonts w:cs="Times New Roman"/>
        </w:rPr>
        <w:t>Hisham</w:t>
      </w:r>
      <w:proofErr w:type="spellEnd"/>
      <w:r w:rsidRPr="00CC0F87">
        <w:rPr>
          <w:rFonts w:cs="Times New Roman"/>
        </w:rPr>
        <w:t xml:space="preserve"> Darwesh</w:t>
      </w:r>
      <w:r w:rsidRPr="00CC0F87">
        <w:rPr>
          <w:rFonts w:cs="Times New Roman"/>
          <w:vertAlign w:val="superscript"/>
        </w:rPr>
        <w:t>2</w:t>
      </w:r>
      <w:r w:rsidRPr="00CC0F87">
        <w:rPr>
          <w:rFonts w:cs="Times New Roman"/>
        </w:rPr>
        <w:t xml:space="preserve">, Ahmed </w:t>
      </w:r>
      <w:proofErr w:type="spellStart"/>
      <w:r w:rsidRPr="00CC0F87">
        <w:rPr>
          <w:rFonts w:cs="Times New Roman"/>
        </w:rPr>
        <w:t>Alsherif</w:t>
      </w:r>
      <w:proofErr w:type="spellEnd"/>
      <w:r w:rsidRPr="00CC0F87">
        <w:rPr>
          <w:rFonts w:cs="Times New Roman"/>
          <w:vertAlign w:val="superscript"/>
        </w:rPr>
        <w:t xml:space="preserve"> 2</w:t>
      </w:r>
      <w:r w:rsidRPr="00CC0F87">
        <w:rPr>
          <w:rFonts w:cs="Times New Roman"/>
        </w:rPr>
        <w:t>,</w:t>
      </w:r>
      <w:r w:rsidRPr="00CC0F87">
        <w:rPr>
          <w:rFonts w:cs="Times New Roman"/>
          <w:vertAlign w:val="superscript"/>
        </w:rPr>
        <w:t xml:space="preserve"> </w:t>
      </w:r>
      <w:proofErr w:type="spellStart"/>
      <w:r w:rsidRPr="00CC0F87">
        <w:rPr>
          <w:rFonts w:cs="Times New Roman"/>
        </w:rPr>
        <w:t>Manal</w:t>
      </w:r>
      <w:proofErr w:type="spellEnd"/>
      <w:r w:rsidRPr="00CC0F87">
        <w:rPr>
          <w:rFonts w:cs="Times New Roman"/>
        </w:rPr>
        <w:t xml:space="preserve"> mohsen</w:t>
      </w:r>
      <w:r w:rsidRPr="00CC0F87">
        <w:rPr>
          <w:rFonts w:cs="Times New Roman"/>
          <w:vertAlign w:val="superscript"/>
        </w:rPr>
        <w:t xml:space="preserve">3 </w:t>
      </w:r>
      <w:r w:rsidRPr="00CC0F87">
        <w:rPr>
          <w:rFonts w:cs="Times New Roman"/>
        </w:rPr>
        <w:t>and</w:t>
      </w:r>
      <w:r w:rsidRPr="00CC0F87">
        <w:rPr>
          <w:rFonts w:cs="Times New Roman"/>
          <w:vertAlign w:val="superscript"/>
        </w:rPr>
        <w:t xml:space="preserve"> </w:t>
      </w:r>
      <w:proofErr w:type="spellStart"/>
      <w:r w:rsidRPr="00CC0F87">
        <w:rPr>
          <w:rFonts w:cs="Times New Roman"/>
        </w:rPr>
        <w:t>Hosam</w:t>
      </w:r>
      <w:proofErr w:type="spellEnd"/>
      <w:r w:rsidRPr="00CC0F87">
        <w:rPr>
          <w:rFonts w:cs="Times New Roman"/>
        </w:rPr>
        <w:t xml:space="preserve"> </w:t>
      </w:r>
      <w:proofErr w:type="spellStart"/>
      <w:r w:rsidRPr="00CC0F87">
        <w:rPr>
          <w:rFonts w:cs="Times New Roman"/>
        </w:rPr>
        <w:t>Eldin</w:t>
      </w:r>
      <w:proofErr w:type="spellEnd"/>
      <w:r w:rsidRPr="00CC0F87">
        <w:rPr>
          <w:rFonts w:cs="Times New Roman"/>
        </w:rPr>
        <w:t xml:space="preserve"> M Salem</w:t>
      </w:r>
      <w:r w:rsidRPr="00CC0F87">
        <w:rPr>
          <w:rFonts w:cs="Times New Roman"/>
          <w:vertAlign w:val="superscript"/>
        </w:rPr>
        <w:t>4</w:t>
      </w:r>
    </w:p>
    <w:p w:rsidR="004A0C15" w:rsidRPr="00CC0F87" w:rsidRDefault="004A0C15" w:rsidP="000E2AC6">
      <w:pPr>
        <w:bidi w:val="0"/>
        <w:snapToGrid w:val="0"/>
        <w:jc w:val="center"/>
        <w:rPr>
          <w:rFonts w:cs="Times New Roman"/>
          <w:vertAlign w:val="superscript"/>
        </w:rPr>
      </w:pPr>
    </w:p>
    <w:p w:rsidR="004A0C15" w:rsidRPr="00CC0F87" w:rsidRDefault="004A0C15" w:rsidP="000E2AC6">
      <w:pPr>
        <w:bidi w:val="0"/>
        <w:snapToGrid w:val="0"/>
        <w:jc w:val="center"/>
        <w:rPr>
          <w:rFonts w:cs="Times New Roman"/>
          <w:b/>
          <w:bCs/>
        </w:rPr>
      </w:pPr>
      <w:r w:rsidRPr="00CC0F87">
        <w:rPr>
          <w:rFonts w:cs="Times New Roman"/>
          <w:b/>
          <w:bCs/>
          <w:vertAlign w:val="superscript"/>
        </w:rPr>
        <w:t>1</w:t>
      </w:r>
      <w:r w:rsidRPr="00CC0F87">
        <w:rPr>
          <w:rFonts w:cs="Times New Roman"/>
        </w:rPr>
        <w:t xml:space="preserve">Department of Medicine, Faculty of Medicine, </w:t>
      </w:r>
      <w:proofErr w:type="spellStart"/>
      <w:r w:rsidRPr="00CC0F87">
        <w:rPr>
          <w:rFonts w:cs="Times New Roman"/>
        </w:rPr>
        <w:t>Ain</w:t>
      </w:r>
      <w:proofErr w:type="spellEnd"/>
      <w:r w:rsidRPr="00CC0F87">
        <w:rPr>
          <w:rFonts w:cs="Times New Roman"/>
        </w:rPr>
        <w:t xml:space="preserve"> Shams University</w:t>
      </w:r>
    </w:p>
    <w:p w:rsidR="004A0C15" w:rsidRPr="00CC0F87" w:rsidRDefault="004A0C15" w:rsidP="000E2AC6">
      <w:pPr>
        <w:bidi w:val="0"/>
        <w:snapToGrid w:val="0"/>
        <w:jc w:val="center"/>
        <w:rPr>
          <w:rFonts w:cs="Times New Roman"/>
          <w:b/>
          <w:bCs/>
        </w:rPr>
      </w:pPr>
      <w:r w:rsidRPr="00CC0F87">
        <w:rPr>
          <w:rFonts w:cs="Times New Roman"/>
          <w:b/>
          <w:bCs/>
          <w:vertAlign w:val="superscript"/>
        </w:rPr>
        <w:t xml:space="preserve">2 </w:t>
      </w:r>
      <w:r w:rsidRPr="00CC0F87">
        <w:rPr>
          <w:rFonts w:cs="Times New Roman"/>
        </w:rPr>
        <w:t xml:space="preserve">Critical Care Department, Theodor </w:t>
      </w:r>
      <w:proofErr w:type="spellStart"/>
      <w:r w:rsidRPr="00CC0F87">
        <w:rPr>
          <w:rFonts w:cs="Times New Roman"/>
        </w:rPr>
        <w:t>Bilharz</w:t>
      </w:r>
      <w:proofErr w:type="spellEnd"/>
      <w:r w:rsidRPr="00CC0F87">
        <w:rPr>
          <w:rFonts w:cs="Times New Roman"/>
        </w:rPr>
        <w:t xml:space="preserve"> Research Institute (TBRI)</w:t>
      </w:r>
    </w:p>
    <w:p w:rsidR="004A0C15" w:rsidRPr="00CC0F87" w:rsidRDefault="004A0C15" w:rsidP="000E2AC6">
      <w:pPr>
        <w:bidi w:val="0"/>
        <w:snapToGrid w:val="0"/>
        <w:jc w:val="center"/>
        <w:rPr>
          <w:rFonts w:cs="Times New Roman"/>
          <w:b/>
          <w:bCs/>
        </w:rPr>
      </w:pPr>
      <w:r w:rsidRPr="00CC0F87">
        <w:rPr>
          <w:rFonts w:cs="Times New Roman"/>
          <w:b/>
          <w:bCs/>
          <w:vertAlign w:val="superscript"/>
        </w:rPr>
        <w:t>3</w:t>
      </w:r>
      <w:r w:rsidRPr="00CC0F87">
        <w:rPr>
          <w:rFonts w:cs="Times New Roman"/>
        </w:rPr>
        <w:t xml:space="preserve">Department of Clinical Pathology, Faculty of Medicine </w:t>
      </w:r>
      <w:proofErr w:type="spellStart"/>
      <w:r w:rsidRPr="00CC0F87">
        <w:rPr>
          <w:rFonts w:cs="Times New Roman"/>
        </w:rPr>
        <w:t>Ain</w:t>
      </w:r>
      <w:proofErr w:type="spellEnd"/>
      <w:r w:rsidRPr="00CC0F87">
        <w:rPr>
          <w:rFonts w:cs="Times New Roman"/>
        </w:rPr>
        <w:t xml:space="preserve"> Shams University</w:t>
      </w:r>
    </w:p>
    <w:p w:rsidR="004A0C15" w:rsidRPr="00CC0F87" w:rsidRDefault="004A0C15" w:rsidP="000E2AC6">
      <w:pPr>
        <w:bidi w:val="0"/>
        <w:snapToGrid w:val="0"/>
        <w:jc w:val="center"/>
        <w:rPr>
          <w:rFonts w:cs="Times New Roman"/>
        </w:rPr>
      </w:pPr>
      <w:r w:rsidRPr="00CC0F87">
        <w:rPr>
          <w:rFonts w:cs="Times New Roman"/>
          <w:b/>
          <w:bCs/>
          <w:vertAlign w:val="superscript"/>
        </w:rPr>
        <w:t>4</w:t>
      </w:r>
      <w:r w:rsidRPr="00CC0F87">
        <w:rPr>
          <w:rFonts w:cs="Times New Roman"/>
        </w:rPr>
        <w:t xml:space="preserve">Department of Tropical Medicine, Faculty of Medicine </w:t>
      </w:r>
      <w:proofErr w:type="spellStart"/>
      <w:r w:rsidRPr="00CC0F87">
        <w:rPr>
          <w:rFonts w:cs="Times New Roman"/>
        </w:rPr>
        <w:t>Ain</w:t>
      </w:r>
      <w:proofErr w:type="spellEnd"/>
      <w:r w:rsidRPr="00CC0F87">
        <w:rPr>
          <w:rFonts w:cs="Times New Roman"/>
        </w:rPr>
        <w:t xml:space="preserve"> Shams University</w:t>
      </w:r>
    </w:p>
    <w:p w:rsidR="004A0C15" w:rsidRPr="00CC0F87" w:rsidRDefault="00BD1BD8" w:rsidP="000E2AC6">
      <w:pPr>
        <w:bidi w:val="0"/>
        <w:snapToGrid w:val="0"/>
        <w:jc w:val="center"/>
        <w:rPr>
          <w:rFonts w:cs="Times New Roman"/>
          <w:b/>
          <w:bCs/>
          <w:i/>
          <w:iCs/>
        </w:rPr>
      </w:pPr>
      <w:hyperlink r:id="rId8" w:history="1">
        <w:r w:rsidR="004A0C15" w:rsidRPr="00CC0F87">
          <w:rPr>
            <w:rStyle w:val="Hyperlink"/>
            <w:u w:val="none"/>
          </w:rPr>
          <w:t>drwesh123@yahoo.com</w:t>
        </w:r>
      </w:hyperlink>
    </w:p>
    <w:p w:rsidR="004A0C15" w:rsidRPr="00CC0F87" w:rsidRDefault="004A0C15" w:rsidP="00006016">
      <w:pPr>
        <w:bidi w:val="0"/>
        <w:snapToGrid w:val="0"/>
        <w:jc w:val="both"/>
        <w:rPr>
          <w:rFonts w:cs="Times New Roman"/>
          <w:b/>
          <w:bCs/>
        </w:rPr>
      </w:pPr>
    </w:p>
    <w:p w:rsidR="004A0C15" w:rsidRPr="00CC0F87" w:rsidRDefault="004A0C15" w:rsidP="000E2AC6">
      <w:pPr>
        <w:bidi w:val="0"/>
        <w:snapToGrid w:val="0"/>
        <w:jc w:val="both"/>
        <w:rPr>
          <w:rFonts w:cs="Times New Roman"/>
          <w:color w:val="141314"/>
        </w:rPr>
      </w:pPr>
      <w:r w:rsidRPr="00CC0F87">
        <w:rPr>
          <w:rFonts w:cs="Times New Roman"/>
          <w:b/>
          <w:bCs/>
        </w:rPr>
        <w:t>Abstract</w:t>
      </w:r>
      <w:r w:rsidR="008F16CB" w:rsidRPr="00CC0F87">
        <w:rPr>
          <w:rFonts w:cs="Times New Roman"/>
          <w:b/>
          <w:bCs/>
        </w:rPr>
        <w:t>:</w:t>
      </w:r>
      <w:r w:rsidR="00CC0F87">
        <w:rPr>
          <w:rFonts w:cs="Times New Roman"/>
          <w:b/>
          <w:bCs/>
        </w:rPr>
        <w:t xml:space="preserve"> </w:t>
      </w:r>
      <w:r w:rsidRPr="00CC0F87">
        <w:rPr>
          <w:rFonts w:cs="Times New Roman"/>
          <w:b/>
          <w:bCs/>
        </w:rPr>
        <w:t xml:space="preserve">Background: </w:t>
      </w:r>
      <w:proofErr w:type="spellStart"/>
      <w:r w:rsidRPr="00CC0F87">
        <w:rPr>
          <w:rFonts w:cs="Times New Roman"/>
          <w:color w:val="141314"/>
        </w:rPr>
        <w:t>Hepatocellular</w:t>
      </w:r>
      <w:proofErr w:type="spellEnd"/>
      <w:r w:rsidRPr="00CC0F87">
        <w:rPr>
          <w:rFonts w:cs="Times New Roman"/>
          <w:color w:val="141314"/>
        </w:rPr>
        <w:t xml:space="preserve"> carcinoma is a major type of primary liver cancer and it is one of the most frequent human malignant </w:t>
      </w:r>
      <w:proofErr w:type="spellStart"/>
      <w:r w:rsidRPr="00CC0F87">
        <w:rPr>
          <w:rFonts w:cs="Times New Roman"/>
          <w:color w:val="141314"/>
        </w:rPr>
        <w:t>neoplasms</w:t>
      </w:r>
      <w:proofErr w:type="spellEnd"/>
      <w:r w:rsidRPr="00CC0F87">
        <w:rPr>
          <w:rFonts w:cs="Times New Roman"/>
          <w:color w:val="141314"/>
        </w:rPr>
        <w:t>. It is estimated to cause more than a quarter of a million deaths each year throughout the world. So, early diagnosis of HCC is the only hope for cure, as most patients have inoperable disease at time of diagnosis. The objective of this study is to assess the role of IL-18 in diagnosis of HCC in patients with chronic Hepatitis C.</w:t>
      </w:r>
      <w:r w:rsidR="00CC0F87" w:rsidRPr="00CC0F87">
        <w:rPr>
          <w:rFonts w:eastAsiaTheme="minorEastAsia" w:cs="Times New Roman" w:hint="eastAsia"/>
          <w:color w:val="141314"/>
          <w:lang w:eastAsia="zh-CN"/>
        </w:rPr>
        <w:t xml:space="preserve"> </w:t>
      </w:r>
      <w:r w:rsidRPr="00CC0F87">
        <w:rPr>
          <w:rFonts w:cs="Times New Roman"/>
          <w:b/>
          <w:bCs/>
        </w:rPr>
        <w:t>Method:</w:t>
      </w:r>
      <w:r w:rsidRPr="00CC0F87">
        <w:rPr>
          <w:rFonts w:cs="Times New Roman"/>
          <w:color w:val="141314"/>
        </w:rPr>
        <w:t xml:space="preserve"> 80 patients with chronic viral hepatitis and HCC divided into 2 equal groups; group I diagnosed as chronic hepatitis C and Group II diagnosed as HCC on top of post-viral chronic hepatitis C. All cases are subjected to full labs, </w:t>
      </w:r>
      <w:proofErr w:type="gramStart"/>
      <w:r w:rsidRPr="00CC0F87">
        <w:rPr>
          <w:rFonts w:cs="Times New Roman"/>
          <w:color w:val="141314"/>
        </w:rPr>
        <w:t>Abdominal</w:t>
      </w:r>
      <w:proofErr w:type="gramEnd"/>
      <w:r w:rsidRPr="00CC0F87">
        <w:rPr>
          <w:rFonts w:cs="Times New Roman"/>
          <w:color w:val="141314"/>
        </w:rPr>
        <w:t xml:space="preserve"> ultrasound, </w:t>
      </w:r>
      <w:proofErr w:type="spellStart"/>
      <w:r w:rsidRPr="00CC0F87">
        <w:rPr>
          <w:rFonts w:cs="Times New Roman"/>
          <w:color w:val="141314"/>
        </w:rPr>
        <w:t>triphasic</w:t>
      </w:r>
      <w:proofErr w:type="spellEnd"/>
      <w:r w:rsidRPr="00CC0F87">
        <w:rPr>
          <w:rFonts w:cs="Times New Roman"/>
          <w:color w:val="141314"/>
        </w:rPr>
        <w:t xml:space="preserve"> C.T. of the abdomen and determination of IL 18 level and AFP level.</w:t>
      </w:r>
      <w:r w:rsidR="00CC0F87" w:rsidRPr="00CC0F87">
        <w:rPr>
          <w:rFonts w:eastAsiaTheme="minorEastAsia" w:cs="Times New Roman" w:hint="eastAsia"/>
          <w:color w:val="141314"/>
          <w:lang w:eastAsia="zh-CN"/>
        </w:rPr>
        <w:t xml:space="preserve"> </w:t>
      </w:r>
      <w:r w:rsidRPr="00CC0F87">
        <w:rPr>
          <w:rFonts w:cs="Times New Roman"/>
          <w:b/>
          <w:bCs/>
        </w:rPr>
        <w:t xml:space="preserve">Result: </w:t>
      </w:r>
      <w:r w:rsidRPr="00CC0F87">
        <w:rPr>
          <w:rFonts w:cs="Times New Roman"/>
          <w:color w:val="141314"/>
        </w:rPr>
        <w:t xml:space="preserve">Obtained results revealed that serum IL-18 level was significantly higher in patients with HCC than those with chronic liver disease. It was not correlated to either AFP level </w:t>
      </w:r>
      <w:proofErr w:type="gramStart"/>
      <w:r w:rsidRPr="00CC0F87">
        <w:rPr>
          <w:rFonts w:cs="Times New Roman"/>
          <w:color w:val="141314"/>
        </w:rPr>
        <w:t>nor</w:t>
      </w:r>
      <w:proofErr w:type="gramEnd"/>
      <w:r w:rsidRPr="00CC0F87">
        <w:rPr>
          <w:rFonts w:cs="Times New Roman"/>
          <w:color w:val="141314"/>
        </w:rPr>
        <w:t xml:space="preserve"> to any laboratory parameter. Also, it is not correlated to vascular invasion, number or size of the focal lesion.</w:t>
      </w:r>
      <w:r w:rsidRPr="00CC0F87">
        <w:rPr>
          <w:rFonts w:cs="Times New Roman"/>
          <w:b/>
          <w:bCs/>
        </w:rPr>
        <w:t xml:space="preserve"> </w:t>
      </w:r>
      <w:r w:rsidRPr="00CC0F87">
        <w:rPr>
          <w:rFonts w:cs="Times New Roman"/>
          <w:color w:val="141314"/>
        </w:rPr>
        <w:t>The efficacy of serum IL-18 level at cut-off value 7.25pg/</w:t>
      </w:r>
      <w:proofErr w:type="spellStart"/>
      <w:r w:rsidRPr="00CC0F87">
        <w:rPr>
          <w:rFonts w:cs="Times New Roman"/>
          <w:color w:val="141314"/>
        </w:rPr>
        <w:t>mL</w:t>
      </w:r>
      <w:proofErr w:type="spellEnd"/>
      <w:r w:rsidRPr="00CC0F87">
        <w:rPr>
          <w:rFonts w:cs="Times New Roman"/>
          <w:color w:val="141314"/>
        </w:rPr>
        <w:t xml:space="preserve"> was 84.6% with sensitivity 97% and specificity 100%.</w:t>
      </w:r>
      <w:r w:rsidR="00CC0F87" w:rsidRPr="00CC0F87">
        <w:rPr>
          <w:rFonts w:eastAsiaTheme="minorEastAsia" w:cs="Times New Roman" w:hint="eastAsia"/>
          <w:color w:val="141314"/>
          <w:lang w:eastAsia="zh-CN"/>
        </w:rPr>
        <w:t xml:space="preserve"> </w:t>
      </w:r>
      <w:r w:rsidRPr="00CC0F87">
        <w:rPr>
          <w:rFonts w:cs="Times New Roman"/>
          <w:b/>
          <w:bCs/>
        </w:rPr>
        <w:t xml:space="preserve">Conclusion: </w:t>
      </w:r>
      <w:r w:rsidRPr="00CC0F87">
        <w:rPr>
          <w:rFonts w:cs="Times New Roman"/>
          <w:color w:val="141314"/>
        </w:rPr>
        <w:t>These results indicate that IL-18 was a good test for HCC diagnosis in patients with chronic hepatitis C and may be of value in diagnosis of patients with hepatic focal lesion with AFP less than diagnostic values.</w:t>
      </w:r>
    </w:p>
    <w:p w:rsidR="000E2AC6" w:rsidRPr="00CC0F87" w:rsidRDefault="000E2AC6" w:rsidP="000E2AC6">
      <w:pPr>
        <w:bidi w:val="0"/>
        <w:snapToGrid w:val="0"/>
        <w:jc w:val="both"/>
        <w:rPr>
          <w:rFonts w:eastAsiaTheme="minorEastAsia" w:cs="Times New Roman"/>
          <w:lang w:eastAsia="zh-CN"/>
        </w:rPr>
      </w:pPr>
      <w:r w:rsidRPr="00CC0F87">
        <w:rPr>
          <w:rFonts w:cs="Times New Roman" w:hint="eastAsia"/>
          <w:b/>
          <w:bCs/>
        </w:rPr>
        <w:t>[</w:t>
      </w:r>
      <w:r w:rsidRPr="00CC0F87">
        <w:rPr>
          <w:rFonts w:cs="Times New Roman"/>
        </w:rPr>
        <w:t xml:space="preserve">Ahmed El </w:t>
      </w:r>
      <w:proofErr w:type="spellStart"/>
      <w:r w:rsidRPr="00CC0F87">
        <w:rPr>
          <w:rFonts w:cs="Times New Roman"/>
        </w:rPr>
        <w:t>Saady</w:t>
      </w:r>
      <w:proofErr w:type="spellEnd"/>
      <w:r w:rsidRPr="00CC0F87">
        <w:rPr>
          <w:rFonts w:cs="Times New Roman"/>
        </w:rPr>
        <w:t xml:space="preserve"> </w:t>
      </w:r>
      <w:proofErr w:type="spellStart"/>
      <w:r w:rsidRPr="00CC0F87">
        <w:rPr>
          <w:rFonts w:cs="Times New Roman"/>
        </w:rPr>
        <w:t>khayyal</w:t>
      </w:r>
      <w:proofErr w:type="spellEnd"/>
      <w:r w:rsidRPr="00CC0F87">
        <w:rPr>
          <w:rFonts w:cs="Times New Roman"/>
        </w:rPr>
        <w:t xml:space="preserve">, </w:t>
      </w:r>
      <w:proofErr w:type="spellStart"/>
      <w:r w:rsidRPr="00CC0F87">
        <w:rPr>
          <w:rFonts w:cs="Times New Roman"/>
        </w:rPr>
        <w:t>Hany</w:t>
      </w:r>
      <w:proofErr w:type="spellEnd"/>
      <w:r w:rsidRPr="00CC0F87">
        <w:rPr>
          <w:rFonts w:cs="Times New Roman"/>
        </w:rPr>
        <w:t xml:space="preserve"> </w:t>
      </w:r>
      <w:proofErr w:type="spellStart"/>
      <w:r w:rsidRPr="00CC0F87">
        <w:rPr>
          <w:rFonts w:cs="Times New Roman"/>
        </w:rPr>
        <w:t>Haroon</w:t>
      </w:r>
      <w:proofErr w:type="spellEnd"/>
      <w:r w:rsidRPr="00CC0F87">
        <w:rPr>
          <w:rFonts w:cs="Times New Roman"/>
        </w:rPr>
        <w:t xml:space="preserve"> </w:t>
      </w:r>
      <w:proofErr w:type="spellStart"/>
      <w:r w:rsidRPr="00CC0F87">
        <w:rPr>
          <w:rFonts w:cs="Times New Roman"/>
        </w:rPr>
        <w:t>kaysar</w:t>
      </w:r>
      <w:proofErr w:type="spellEnd"/>
      <w:r w:rsidRPr="00CC0F87">
        <w:rPr>
          <w:rFonts w:cs="Times New Roman"/>
        </w:rPr>
        <w:t xml:space="preserve">, </w:t>
      </w:r>
      <w:proofErr w:type="spellStart"/>
      <w:r w:rsidRPr="00CC0F87">
        <w:rPr>
          <w:rFonts w:cs="Times New Roman"/>
        </w:rPr>
        <w:t>Hisham</w:t>
      </w:r>
      <w:proofErr w:type="spellEnd"/>
      <w:r w:rsidRPr="00CC0F87">
        <w:rPr>
          <w:rFonts w:cs="Times New Roman"/>
        </w:rPr>
        <w:t xml:space="preserve"> </w:t>
      </w:r>
      <w:proofErr w:type="spellStart"/>
      <w:r w:rsidRPr="00CC0F87">
        <w:rPr>
          <w:rFonts w:cs="Times New Roman"/>
        </w:rPr>
        <w:t>Darwesh</w:t>
      </w:r>
      <w:proofErr w:type="spellEnd"/>
      <w:r w:rsidRPr="00CC0F87">
        <w:rPr>
          <w:rFonts w:cs="Times New Roman"/>
        </w:rPr>
        <w:t xml:space="preserve">, Ahmed </w:t>
      </w:r>
      <w:proofErr w:type="spellStart"/>
      <w:r w:rsidRPr="00CC0F87">
        <w:rPr>
          <w:rFonts w:cs="Times New Roman"/>
        </w:rPr>
        <w:t>Alsherif</w:t>
      </w:r>
      <w:proofErr w:type="spellEnd"/>
      <w:r w:rsidRPr="00CC0F87">
        <w:rPr>
          <w:rFonts w:cs="Times New Roman"/>
        </w:rPr>
        <w:t>,</w:t>
      </w:r>
      <w:r w:rsidRPr="00CC0F87">
        <w:rPr>
          <w:rFonts w:cs="Times New Roman"/>
          <w:vertAlign w:val="superscript"/>
        </w:rPr>
        <w:t xml:space="preserve"> </w:t>
      </w:r>
      <w:proofErr w:type="spellStart"/>
      <w:r w:rsidRPr="00CC0F87">
        <w:rPr>
          <w:rFonts w:cs="Times New Roman"/>
        </w:rPr>
        <w:t>Manal</w:t>
      </w:r>
      <w:proofErr w:type="spellEnd"/>
      <w:r w:rsidRPr="00CC0F87">
        <w:rPr>
          <w:rFonts w:cs="Times New Roman"/>
        </w:rPr>
        <w:t xml:space="preserve"> </w:t>
      </w:r>
      <w:proofErr w:type="spellStart"/>
      <w:r w:rsidRPr="00CC0F87">
        <w:rPr>
          <w:rFonts w:cs="Times New Roman"/>
        </w:rPr>
        <w:t>mohsen</w:t>
      </w:r>
      <w:proofErr w:type="spellEnd"/>
      <w:r w:rsidRPr="00CC0F87">
        <w:rPr>
          <w:rFonts w:cs="Times New Roman"/>
          <w:vertAlign w:val="superscript"/>
        </w:rPr>
        <w:t xml:space="preserve"> </w:t>
      </w:r>
      <w:r w:rsidRPr="00CC0F87">
        <w:rPr>
          <w:rFonts w:cs="Times New Roman"/>
        </w:rPr>
        <w:t>and</w:t>
      </w:r>
      <w:r w:rsidRPr="00CC0F87">
        <w:rPr>
          <w:rFonts w:cs="Times New Roman"/>
          <w:vertAlign w:val="superscript"/>
        </w:rPr>
        <w:t xml:space="preserve"> </w:t>
      </w:r>
      <w:proofErr w:type="spellStart"/>
      <w:r w:rsidRPr="00CC0F87">
        <w:rPr>
          <w:rFonts w:cs="Times New Roman"/>
        </w:rPr>
        <w:t>Hosam</w:t>
      </w:r>
      <w:proofErr w:type="spellEnd"/>
      <w:r w:rsidRPr="00CC0F87">
        <w:rPr>
          <w:rFonts w:cs="Times New Roman"/>
        </w:rPr>
        <w:t xml:space="preserve"> </w:t>
      </w:r>
      <w:proofErr w:type="spellStart"/>
      <w:r w:rsidRPr="00CC0F87">
        <w:rPr>
          <w:rFonts w:cs="Times New Roman"/>
        </w:rPr>
        <w:t>Eldin</w:t>
      </w:r>
      <w:proofErr w:type="spellEnd"/>
      <w:r w:rsidRPr="00CC0F87">
        <w:rPr>
          <w:rFonts w:cs="Times New Roman"/>
        </w:rPr>
        <w:t xml:space="preserve"> M Salem.</w:t>
      </w:r>
      <w:r w:rsidRPr="00CC0F87">
        <w:rPr>
          <w:rFonts w:eastAsiaTheme="minorEastAsia" w:cs="Times New Roman" w:hint="eastAsia"/>
          <w:b/>
          <w:bCs/>
          <w:lang w:bidi="fa-IR"/>
        </w:rPr>
        <w:t xml:space="preserve"> </w:t>
      </w:r>
      <w:r w:rsidRPr="00CC0F87">
        <w:rPr>
          <w:rFonts w:cs="Times New Roman"/>
          <w:b/>
          <w:bCs/>
        </w:rPr>
        <w:t>Evaluation of the Role of IL 18 in Diagnosis of HCC in critical Egyptian Patients with Chronic Hepatitis C</w:t>
      </w:r>
      <w:r w:rsidRPr="00CC0F87">
        <w:rPr>
          <w:rFonts w:cs="Times New Roman"/>
          <w:b/>
          <w:bCs/>
          <w:lang w:bidi="fa-IR"/>
        </w:rPr>
        <w:t>.</w:t>
      </w:r>
      <w:r w:rsidRPr="00CC0F87">
        <w:rPr>
          <w:rFonts w:cs="Times New Roman" w:hint="eastAsia"/>
          <w:b/>
          <w:bCs/>
        </w:rPr>
        <w:t xml:space="preserve"> </w:t>
      </w:r>
      <w:r w:rsidRPr="00CC0F87">
        <w:rPr>
          <w:rFonts w:cs="Times New Roman"/>
          <w:bCs/>
          <w:i/>
        </w:rPr>
        <w:t xml:space="preserve">Nat </w:t>
      </w:r>
      <w:proofErr w:type="spellStart"/>
      <w:r w:rsidRPr="00CC0F87">
        <w:rPr>
          <w:rFonts w:cs="Times New Roman"/>
          <w:bCs/>
          <w:i/>
        </w:rPr>
        <w:t>Sci</w:t>
      </w:r>
      <w:proofErr w:type="spellEnd"/>
      <w:r w:rsidRPr="00CC0F87">
        <w:rPr>
          <w:rFonts w:eastAsiaTheme="minorEastAsia" w:cs="Times New Roman" w:hint="eastAsia"/>
          <w:bCs/>
          <w:i/>
        </w:rPr>
        <w:t xml:space="preserve"> </w:t>
      </w:r>
      <w:r w:rsidRPr="00CC0F87">
        <w:rPr>
          <w:rFonts w:cs="Times New Roman"/>
        </w:rPr>
        <w:t>201</w:t>
      </w:r>
      <w:r w:rsidRPr="00CC0F87">
        <w:rPr>
          <w:rFonts w:cs="Times New Roman" w:hint="eastAsia"/>
        </w:rPr>
        <w:t>5</w:t>
      </w:r>
      <w:proofErr w:type="gramStart"/>
      <w:r w:rsidRPr="00CC0F87">
        <w:rPr>
          <w:rFonts w:cs="Times New Roman"/>
        </w:rPr>
        <w:t>;1</w:t>
      </w:r>
      <w:r w:rsidRPr="00CC0F87">
        <w:rPr>
          <w:rFonts w:cs="Times New Roman" w:hint="eastAsia"/>
        </w:rPr>
        <w:t>3</w:t>
      </w:r>
      <w:proofErr w:type="gramEnd"/>
      <w:r w:rsidRPr="00CC0F87">
        <w:rPr>
          <w:rFonts w:cs="Times New Roman"/>
        </w:rPr>
        <w:t>(</w:t>
      </w:r>
      <w:r w:rsidRPr="00CC0F87">
        <w:rPr>
          <w:rFonts w:cs="Times New Roman" w:hint="eastAsia"/>
        </w:rPr>
        <w:t>9)</w:t>
      </w:r>
      <w:r w:rsidRPr="00CC0F87">
        <w:rPr>
          <w:rFonts w:cs="Times New Roman"/>
        </w:rPr>
        <w:t>:</w:t>
      </w:r>
      <w:r w:rsidR="00DC6089" w:rsidRPr="00CC0F87">
        <w:rPr>
          <w:rFonts w:cs="Times New Roman"/>
          <w:noProof/>
          <w:color w:val="000000"/>
        </w:rPr>
        <w:t>32</w:t>
      </w:r>
      <w:r w:rsidRPr="00CC0F87">
        <w:rPr>
          <w:rFonts w:cs="Times New Roman"/>
          <w:color w:val="000000"/>
        </w:rPr>
        <w:t>-</w:t>
      </w:r>
      <w:r w:rsidR="00DC6089" w:rsidRPr="00CC0F87">
        <w:rPr>
          <w:rFonts w:cs="Times New Roman"/>
          <w:noProof/>
          <w:color w:val="000000"/>
        </w:rPr>
        <w:t>36</w:t>
      </w:r>
      <w:r w:rsidRPr="00CC0F87">
        <w:rPr>
          <w:rFonts w:cs="Times New Roman"/>
        </w:rPr>
        <w:t>]</w:t>
      </w:r>
      <w:r w:rsidRPr="00CC0F87">
        <w:rPr>
          <w:rFonts w:cs="Times New Roman" w:hint="eastAsia"/>
        </w:rPr>
        <w:t>.</w:t>
      </w:r>
      <w:r w:rsidRPr="00CC0F87">
        <w:rPr>
          <w:rFonts w:cs="Times New Roman"/>
        </w:rPr>
        <w:t xml:space="preserve"> (ISSN: 1545-0740).</w:t>
      </w:r>
      <w:r w:rsidRPr="00CC0F87">
        <w:rPr>
          <w:rFonts w:cs="Times New Roman"/>
          <w:color w:val="0000FF"/>
        </w:rPr>
        <w:t xml:space="preserve"> </w:t>
      </w:r>
      <w:hyperlink r:id="rId9" w:history="1">
        <w:r w:rsidRPr="00CC0F87">
          <w:rPr>
            <w:rStyle w:val="Hyperlink"/>
          </w:rPr>
          <w:t>http://www.sciencepub.net/nature</w:t>
        </w:r>
      </w:hyperlink>
      <w:r w:rsidRPr="00CC0F87">
        <w:rPr>
          <w:rFonts w:cs="Times New Roman"/>
        </w:rPr>
        <w:t>.</w:t>
      </w:r>
      <w:r w:rsidRPr="00CC0F87">
        <w:rPr>
          <w:rFonts w:cs="Times New Roman" w:hint="eastAsia"/>
        </w:rPr>
        <w:t xml:space="preserve"> </w:t>
      </w:r>
      <w:r w:rsidRPr="00CC0F87">
        <w:rPr>
          <w:rFonts w:eastAsiaTheme="minorEastAsia" w:cs="Times New Roman" w:hint="eastAsia"/>
          <w:lang w:eastAsia="zh-CN"/>
        </w:rPr>
        <w:t>6</w:t>
      </w:r>
    </w:p>
    <w:p w:rsidR="008F16CB" w:rsidRPr="00CC0F87" w:rsidRDefault="008F16CB" w:rsidP="000E2AC6">
      <w:pPr>
        <w:bidi w:val="0"/>
        <w:snapToGrid w:val="0"/>
        <w:jc w:val="both"/>
        <w:rPr>
          <w:rFonts w:cs="Times New Roman"/>
          <w:b/>
          <w:bCs/>
          <w:color w:val="141314"/>
        </w:rPr>
      </w:pPr>
    </w:p>
    <w:p w:rsidR="004A0C15" w:rsidRPr="00CC0F87" w:rsidRDefault="004A0C15" w:rsidP="000E2AC6">
      <w:pPr>
        <w:bidi w:val="0"/>
        <w:snapToGrid w:val="0"/>
        <w:jc w:val="both"/>
        <w:rPr>
          <w:rFonts w:cs="Times New Roman"/>
          <w:i/>
          <w:iCs/>
          <w:color w:val="141314"/>
        </w:rPr>
      </w:pPr>
      <w:r w:rsidRPr="00CC0F87">
        <w:rPr>
          <w:rFonts w:cs="Times New Roman"/>
          <w:b/>
          <w:bCs/>
          <w:color w:val="141314"/>
        </w:rPr>
        <w:t>Keywords:</w:t>
      </w:r>
      <w:r w:rsidRPr="00CC0F87">
        <w:rPr>
          <w:rFonts w:cs="Times New Roman"/>
          <w:b/>
          <w:bCs/>
          <w:i/>
          <w:iCs/>
          <w:color w:val="141314"/>
        </w:rPr>
        <w:t xml:space="preserve"> </w:t>
      </w:r>
      <w:r w:rsidRPr="00CC0F87">
        <w:rPr>
          <w:rFonts w:cs="Times New Roman"/>
          <w:i/>
          <w:iCs/>
          <w:color w:val="141314"/>
        </w:rPr>
        <w:t>HCC, Chronic hepatitis C, IL 18.</w:t>
      </w:r>
    </w:p>
    <w:p w:rsidR="004A0C15" w:rsidRPr="00CC0F87" w:rsidRDefault="004A0C15" w:rsidP="000E2AC6">
      <w:pPr>
        <w:widowControl w:val="0"/>
        <w:bidi w:val="0"/>
        <w:snapToGrid w:val="0"/>
        <w:jc w:val="both"/>
        <w:rPr>
          <w:rFonts w:cs="Times New Roman"/>
          <w:b/>
          <w:bCs/>
        </w:rPr>
      </w:pPr>
    </w:p>
    <w:p w:rsidR="000E2AC6" w:rsidRPr="00CC0F87" w:rsidRDefault="000E2AC6" w:rsidP="000E2AC6">
      <w:pPr>
        <w:widowControl w:val="0"/>
        <w:bidi w:val="0"/>
        <w:snapToGrid w:val="0"/>
        <w:jc w:val="both"/>
        <w:rPr>
          <w:rFonts w:cs="Times New Roman"/>
          <w:b/>
          <w:bCs/>
        </w:rPr>
        <w:sectPr w:rsidR="000E2AC6" w:rsidRPr="00CC0F87" w:rsidSect="00FE19FD">
          <w:headerReference w:type="default" r:id="rId10"/>
          <w:footerReference w:type="default" r:id="rId11"/>
          <w:type w:val="continuous"/>
          <w:pgSz w:w="12242" w:h="15842" w:code="1"/>
          <w:pgMar w:top="1440" w:right="1440" w:bottom="1440" w:left="1440" w:header="720" w:footer="720" w:gutter="0"/>
          <w:pgNumType w:start="32"/>
          <w:cols w:space="708"/>
          <w:bidi/>
          <w:docGrid w:linePitch="360"/>
        </w:sectPr>
      </w:pPr>
    </w:p>
    <w:p w:rsidR="004A0C15" w:rsidRPr="00CC0F87" w:rsidRDefault="004A0C15" w:rsidP="000E2AC6">
      <w:pPr>
        <w:widowControl w:val="0"/>
        <w:bidi w:val="0"/>
        <w:snapToGrid w:val="0"/>
        <w:jc w:val="both"/>
        <w:rPr>
          <w:rFonts w:cs="Times New Roman"/>
          <w:b/>
          <w:bCs/>
        </w:rPr>
      </w:pPr>
      <w:r w:rsidRPr="00CC0F87">
        <w:rPr>
          <w:rFonts w:cs="Times New Roman"/>
          <w:b/>
          <w:bCs/>
        </w:rPr>
        <w:lastRenderedPageBreak/>
        <w:t>1. Introduction</w:t>
      </w:r>
    </w:p>
    <w:p w:rsidR="004A0C15" w:rsidRPr="00CC0F87" w:rsidRDefault="004A0C15" w:rsidP="000E2AC6">
      <w:pPr>
        <w:widowControl w:val="0"/>
        <w:bidi w:val="0"/>
        <w:snapToGrid w:val="0"/>
        <w:ind w:firstLine="425"/>
        <w:jc w:val="both"/>
        <w:rPr>
          <w:rFonts w:cs="Times New Roman"/>
          <w:color w:val="141314"/>
        </w:rPr>
      </w:pPr>
      <w:r w:rsidRPr="00CC0F87">
        <w:rPr>
          <w:rFonts w:cs="Times New Roman"/>
          <w:color w:val="141314"/>
        </w:rPr>
        <w:t>Hepatitis C virus has been estimated by the World Health Organization (WHO) to infect 170 million patients worldwide, with the highest prevalence rate among Egyptians (14%-18%; approximately 10-fold greater than in the United States and Europe) (1). Because of the very high prevalence rate of HCV in the general Egyptian population, it accounts for most chronic liver disease and HCC cases in Egypt (2 and 3).</w:t>
      </w:r>
    </w:p>
    <w:p w:rsidR="004A0C15" w:rsidRPr="00CC0F87" w:rsidRDefault="004A0C15" w:rsidP="000E2AC6">
      <w:pPr>
        <w:widowControl w:val="0"/>
        <w:bidi w:val="0"/>
        <w:snapToGrid w:val="0"/>
        <w:ind w:firstLine="425"/>
        <w:jc w:val="both"/>
        <w:rPr>
          <w:rFonts w:cs="Times New Roman"/>
          <w:color w:val="141314"/>
        </w:rPr>
      </w:pPr>
      <w:proofErr w:type="spellStart"/>
      <w:r w:rsidRPr="00CC0F87">
        <w:rPr>
          <w:rFonts w:cs="Times New Roman"/>
          <w:color w:val="141314"/>
        </w:rPr>
        <w:t>Hepatocellular</w:t>
      </w:r>
      <w:proofErr w:type="spellEnd"/>
      <w:r w:rsidRPr="00CC0F87">
        <w:rPr>
          <w:rFonts w:cs="Times New Roman"/>
          <w:color w:val="141314"/>
        </w:rPr>
        <w:t xml:space="preserve"> carcinoma is a major type of primary liver cancer and one of the most frequent human malignant </w:t>
      </w:r>
      <w:proofErr w:type="spellStart"/>
      <w:r w:rsidRPr="00CC0F87">
        <w:rPr>
          <w:rFonts w:cs="Times New Roman"/>
          <w:color w:val="141314"/>
        </w:rPr>
        <w:t>neoplasms</w:t>
      </w:r>
      <w:proofErr w:type="spellEnd"/>
      <w:r w:rsidRPr="00CC0F87">
        <w:rPr>
          <w:rFonts w:cs="Times New Roman"/>
          <w:color w:val="141314"/>
        </w:rPr>
        <w:t xml:space="preserve"> (4) and is estimated to cause more than a quarter of a million deaths each year throughout the world (5 and 6). Early diagnosis of HCC is the only hope for cure, as most patients have inoperable disease at time of diagnosis (7).</w:t>
      </w:r>
    </w:p>
    <w:p w:rsidR="004A0C15" w:rsidRPr="00CC0F87" w:rsidRDefault="004A0C15" w:rsidP="000E2AC6">
      <w:pPr>
        <w:widowControl w:val="0"/>
        <w:bidi w:val="0"/>
        <w:snapToGrid w:val="0"/>
        <w:ind w:firstLine="425"/>
        <w:jc w:val="both"/>
        <w:rPr>
          <w:rFonts w:cs="Times New Roman"/>
          <w:color w:val="141314"/>
        </w:rPr>
      </w:pPr>
      <w:r w:rsidRPr="00CC0F87">
        <w:rPr>
          <w:rFonts w:cs="Times New Roman"/>
          <w:color w:val="141314"/>
        </w:rPr>
        <w:t xml:space="preserve">Thus, new serologic markers with sufficient sensitivity and specificity are required to detect HCC at early stages. So far, several candidates for serum proteins, such as </w:t>
      </w:r>
      <w:proofErr w:type="spellStart"/>
      <w:r w:rsidRPr="00CC0F87">
        <w:rPr>
          <w:rFonts w:cs="Times New Roman"/>
          <w:color w:val="141314"/>
        </w:rPr>
        <w:t>lectin</w:t>
      </w:r>
      <w:proofErr w:type="spellEnd"/>
      <w:r w:rsidRPr="00CC0F87">
        <w:rPr>
          <w:rFonts w:cs="Times New Roman"/>
          <w:color w:val="141314"/>
        </w:rPr>
        <w:t>-reactive AFP or des-gamma-</w:t>
      </w:r>
      <w:proofErr w:type="spellStart"/>
      <w:r w:rsidRPr="00CC0F87">
        <w:rPr>
          <w:rFonts w:cs="Times New Roman"/>
          <w:color w:val="141314"/>
        </w:rPr>
        <w:t>carboxyprothrombin</w:t>
      </w:r>
      <w:proofErr w:type="spellEnd"/>
      <w:r w:rsidRPr="00CC0F87">
        <w:rPr>
          <w:rFonts w:cs="Times New Roman"/>
          <w:color w:val="141314"/>
        </w:rPr>
        <w:t>, have been studied to find a better more convenient surveillance tool. However, most of those markers have been shown to be unsatisfactory in diagnosing small HCC because of low sensitivity, which ranged from 20-48% (8).</w:t>
      </w:r>
    </w:p>
    <w:p w:rsidR="004A0C15" w:rsidRPr="00CC0F87" w:rsidRDefault="004A0C15" w:rsidP="000E2AC6">
      <w:pPr>
        <w:autoSpaceDE w:val="0"/>
        <w:autoSpaceDN w:val="0"/>
        <w:bidi w:val="0"/>
        <w:adjustRightInd w:val="0"/>
        <w:snapToGrid w:val="0"/>
        <w:ind w:firstLine="425"/>
        <w:jc w:val="both"/>
        <w:rPr>
          <w:rFonts w:cs="Times New Roman"/>
          <w:color w:val="141314"/>
        </w:rPr>
      </w:pPr>
      <w:r w:rsidRPr="00CC0F87">
        <w:rPr>
          <w:rFonts w:cs="Times New Roman"/>
          <w:color w:val="141314"/>
        </w:rPr>
        <w:lastRenderedPageBreak/>
        <w:t>Interleukin-18, originally known as interferon-</w:t>
      </w:r>
      <w:r w:rsidRPr="00CC0F87">
        <w:rPr>
          <w:rFonts w:cs="Times New Roman"/>
          <w:color w:val="141314"/>
        </w:rPr>
        <w:sym w:font="Symbol" w:char="F067"/>
      </w:r>
      <w:r w:rsidRPr="00CC0F87">
        <w:rPr>
          <w:rFonts w:cs="Times New Roman"/>
          <w:color w:val="141314"/>
        </w:rPr>
        <w:t xml:space="preserve"> inducing factor, is a cytokine that shares structural and functional properties with IL-1. This cytokine is mainly produced by activated macrophages, but may also be expressed by </w:t>
      </w:r>
      <w:proofErr w:type="spellStart"/>
      <w:r w:rsidRPr="00CC0F87">
        <w:rPr>
          <w:rFonts w:cs="Times New Roman"/>
          <w:color w:val="141314"/>
        </w:rPr>
        <w:t>Kupffer</w:t>
      </w:r>
      <w:proofErr w:type="spellEnd"/>
      <w:r w:rsidRPr="00CC0F87">
        <w:rPr>
          <w:rFonts w:cs="Times New Roman"/>
          <w:color w:val="141314"/>
        </w:rPr>
        <w:t xml:space="preserve"> cells, T cells, B cells, </w:t>
      </w:r>
      <w:proofErr w:type="spellStart"/>
      <w:r w:rsidRPr="00CC0F87">
        <w:rPr>
          <w:rFonts w:cs="Times New Roman"/>
          <w:color w:val="141314"/>
        </w:rPr>
        <w:t>keratinocytes</w:t>
      </w:r>
      <w:proofErr w:type="spellEnd"/>
      <w:r w:rsidRPr="00CC0F87">
        <w:rPr>
          <w:rFonts w:cs="Times New Roman"/>
          <w:color w:val="141314"/>
        </w:rPr>
        <w:t xml:space="preserve">, </w:t>
      </w:r>
      <w:proofErr w:type="spellStart"/>
      <w:r w:rsidRPr="00CC0F87">
        <w:rPr>
          <w:rFonts w:cs="Times New Roman"/>
          <w:color w:val="141314"/>
        </w:rPr>
        <w:t>astrocytes</w:t>
      </w:r>
      <w:proofErr w:type="spellEnd"/>
      <w:r w:rsidRPr="00CC0F87">
        <w:rPr>
          <w:rFonts w:cs="Times New Roman"/>
          <w:color w:val="141314"/>
        </w:rPr>
        <w:t xml:space="preserve"> and </w:t>
      </w:r>
      <w:proofErr w:type="spellStart"/>
      <w:r w:rsidRPr="00CC0F87">
        <w:rPr>
          <w:rFonts w:cs="Times New Roman"/>
          <w:color w:val="141314"/>
        </w:rPr>
        <w:t>osteoblast</w:t>
      </w:r>
      <w:proofErr w:type="spellEnd"/>
      <w:r w:rsidRPr="00CC0F87">
        <w:rPr>
          <w:rFonts w:cs="Times New Roman"/>
          <w:color w:val="141314"/>
        </w:rPr>
        <w:t xml:space="preserve"> (9).</w:t>
      </w:r>
    </w:p>
    <w:p w:rsidR="004A0C15" w:rsidRPr="00CC0F87" w:rsidRDefault="004A0C15" w:rsidP="000E2AC6">
      <w:pPr>
        <w:autoSpaceDE w:val="0"/>
        <w:autoSpaceDN w:val="0"/>
        <w:bidi w:val="0"/>
        <w:adjustRightInd w:val="0"/>
        <w:snapToGrid w:val="0"/>
        <w:ind w:firstLine="425"/>
        <w:jc w:val="both"/>
        <w:rPr>
          <w:rFonts w:cs="Times New Roman"/>
          <w:color w:val="141314"/>
        </w:rPr>
      </w:pPr>
      <w:r w:rsidRPr="00CC0F87">
        <w:rPr>
          <w:rFonts w:cs="Times New Roman"/>
          <w:color w:val="141314"/>
        </w:rPr>
        <w:t>IL-18 has multiple biological activities via its capacity to stimulate innate immunity and both Th1 and Th2 mediated response. It also exerts anti-tumor effects that are mediated by enhancement of NK cell activity, reduction of tumor genesis, induction of apoptosis and inhibition of angiogenesis in tumor cells (9).</w:t>
      </w:r>
    </w:p>
    <w:p w:rsidR="004A0C15" w:rsidRPr="00CC0F87" w:rsidRDefault="004A0C15" w:rsidP="000E2AC6">
      <w:pPr>
        <w:tabs>
          <w:tab w:val="left" w:pos="416"/>
          <w:tab w:val="left" w:pos="506"/>
          <w:tab w:val="left" w:pos="840"/>
          <w:tab w:val="left" w:pos="1020"/>
          <w:tab w:val="left" w:pos="3896"/>
        </w:tabs>
        <w:bidi w:val="0"/>
        <w:snapToGrid w:val="0"/>
        <w:jc w:val="both"/>
        <w:rPr>
          <w:rFonts w:cs="Times New Roman"/>
          <w:b/>
          <w:bCs/>
        </w:rPr>
      </w:pPr>
      <w:r w:rsidRPr="00CC0F87">
        <w:rPr>
          <w:rFonts w:cs="Times New Roman"/>
          <w:b/>
          <w:bCs/>
        </w:rPr>
        <w:t>Aim of the work</w:t>
      </w:r>
    </w:p>
    <w:p w:rsidR="004A0C15" w:rsidRPr="00CC0F87" w:rsidRDefault="004A0C15" w:rsidP="000E2AC6">
      <w:pPr>
        <w:tabs>
          <w:tab w:val="left" w:pos="416"/>
          <w:tab w:val="left" w:pos="506"/>
          <w:tab w:val="left" w:pos="840"/>
          <w:tab w:val="left" w:pos="1020"/>
          <w:tab w:val="left" w:pos="3896"/>
        </w:tabs>
        <w:bidi w:val="0"/>
        <w:snapToGrid w:val="0"/>
        <w:ind w:firstLine="425"/>
        <w:jc w:val="both"/>
        <w:rPr>
          <w:rFonts w:cs="Times New Roman"/>
          <w:color w:val="141314"/>
        </w:rPr>
      </w:pPr>
      <w:r w:rsidRPr="00CC0F87">
        <w:rPr>
          <w:rFonts w:cs="Times New Roman"/>
          <w:color w:val="141314"/>
        </w:rPr>
        <w:t>Assess the role of IL-18 in diagnosis of HCC in patients with chronic Hepatitis C</w:t>
      </w:r>
    </w:p>
    <w:p w:rsidR="004A0C15" w:rsidRPr="00CC0F87" w:rsidRDefault="004A0C15" w:rsidP="000E2AC6">
      <w:pPr>
        <w:bidi w:val="0"/>
        <w:snapToGrid w:val="0"/>
        <w:jc w:val="both"/>
        <w:rPr>
          <w:rFonts w:cs="Times New Roman"/>
          <w:b/>
          <w:bCs/>
        </w:rPr>
      </w:pPr>
    </w:p>
    <w:p w:rsidR="004A0C15" w:rsidRPr="00CC0F87" w:rsidRDefault="004A0C15" w:rsidP="000E2AC6">
      <w:pPr>
        <w:bidi w:val="0"/>
        <w:snapToGrid w:val="0"/>
        <w:jc w:val="both"/>
        <w:rPr>
          <w:rFonts w:cs="Times New Roman"/>
          <w:b/>
          <w:bCs/>
        </w:rPr>
      </w:pPr>
      <w:r w:rsidRPr="00CC0F87">
        <w:rPr>
          <w:rFonts w:cs="Times New Roman"/>
          <w:b/>
          <w:bCs/>
        </w:rPr>
        <w:t>2. Patients and Methods</w:t>
      </w:r>
    </w:p>
    <w:p w:rsidR="004A0C15" w:rsidRPr="00CC0F87" w:rsidRDefault="004A0C15" w:rsidP="000E2AC6">
      <w:pPr>
        <w:widowControl w:val="0"/>
        <w:autoSpaceDE w:val="0"/>
        <w:autoSpaceDN w:val="0"/>
        <w:bidi w:val="0"/>
        <w:adjustRightInd w:val="0"/>
        <w:snapToGrid w:val="0"/>
        <w:ind w:firstLine="425"/>
        <w:jc w:val="both"/>
        <w:rPr>
          <w:rFonts w:cs="Times New Roman"/>
          <w:color w:val="141314"/>
        </w:rPr>
      </w:pPr>
      <w:r w:rsidRPr="00CC0F87">
        <w:rPr>
          <w:rFonts w:cs="Times New Roman"/>
          <w:color w:val="141314"/>
        </w:rPr>
        <w:t xml:space="preserve">This study is a cross sectional study carried in Internal Medicine Department, Faculty of Medicine, </w:t>
      </w:r>
      <w:proofErr w:type="spellStart"/>
      <w:r w:rsidRPr="00CC0F87">
        <w:rPr>
          <w:rFonts w:cs="Times New Roman"/>
          <w:color w:val="141314"/>
        </w:rPr>
        <w:t>Ain</w:t>
      </w:r>
      <w:proofErr w:type="spellEnd"/>
      <w:r w:rsidRPr="00CC0F87">
        <w:rPr>
          <w:rFonts w:cs="Times New Roman"/>
          <w:color w:val="141314"/>
        </w:rPr>
        <w:t xml:space="preserve"> Shams University and included80 patients with chronic viral hepatitis and HCC divided into 2 equal groups: Group I: Diseased control formed of 40 patients (25 male, 15 female) diagnosed as chronic hepatitis C. Group II: Formed of 40 patients (33 male, 7 female) diagnosed as HCC on top of post-viral </w:t>
      </w:r>
      <w:r w:rsidRPr="00CC0F87">
        <w:rPr>
          <w:rFonts w:cs="Times New Roman"/>
          <w:color w:val="141314"/>
        </w:rPr>
        <w:lastRenderedPageBreak/>
        <w:t>chronic hepatitis C (Table 1).</w:t>
      </w:r>
    </w:p>
    <w:p w:rsidR="004A0C15" w:rsidRPr="00CC0F87" w:rsidRDefault="004A0C15" w:rsidP="000E2AC6">
      <w:pPr>
        <w:pStyle w:val="BodyText3"/>
        <w:tabs>
          <w:tab w:val="left" w:pos="5100"/>
        </w:tabs>
        <w:bidi w:val="0"/>
        <w:snapToGrid w:val="0"/>
        <w:spacing w:after="0"/>
        <w:ind w:firstLine="425"/>
        <w:jc w:val="both"/>
        <w:rPr>
          <w:color w:val="141314"/>
          <w:sz w:val="20"/>
          <w:szCs w:val="20"/>
        </w:rPr>
      </w:pPr>
      <w:r w:rsidRPr="00CC0F87">
        <w:rPr>
          <w:color w:val="141314"/>
          <w:sz w:val="20"/>
          <w:szCs w:val="20"/>
        </w:rPr>
        <w:t xml:space="preserve">Exclusion Criteria: Metastatic liver disease, Patients with associated severe systemic illness (cardiac, renal, hepatic and </w:t>
      </w:r>
      <w:proofErr w:type="spellStart"/>
      <w:r w:rsidRPr="00CC0F87">
        <w:rPr>
          <w:color w:val="141314"/>
          <w:sz w:val="20"/>
          <w:szCs w:val="20"/>
        </w:rPr>
        <w:t>neoplastic</w:t>
      </w:r>
      <w:proofErr w:type="spellEnd"/>
      <w:r w:rsidRPr="00CC0F87">
        <w:rPr>
          <w:color w:val="141314"/>
          <w:sz w:val="20"/>
          <w:szCs w:val="20"/>
        </w:rPr>
        <w:t xml:space="preserve">) and </w:t>
      </w:r>
      <w:proofErr w:type="spellStart"/>
      <w:r w:rsidRPr="00CC0F87">
        <w:rPr>
          <w:color w:val="141314"/>
          <w:sz w:val="20"/>
          <w:szCs w:val="20"/>
        </w:rPr>
        <w:t>Hepatocellular</w:t>
      </w:r>
      <w:proofErr w:type="spellEnd"/>
      <w:r w:rsidRPr="00CC0F87">
        <w:rPr>
          <w:color w:val="141314"/>
          <w:sz w:val="20"/>
          <w:szCs w:val="20"/>
        </w:rPr>
        <w:t xml:space="preserve"> carcinoma with previous intervention (Radiofrequency ablation, alcohol injection, etc.).</w:t>
      </w:r>
    </w:p>
    <w:p w:rsidR="004A0C15" w:rsidRPr="00CC0F87" w:rsidRDefault="004A0C15" w:rsidP="000E2AC6">
      <w:pPr>
        <w:pStyle w:val="BodyTextIndent"/>
        <w:bidi w:val="0"/>
        <w:snapToGrid w:val="0"/>
        <w:spacing w:after="0"/>
        <w:ind w:left="0"/>
        <w:jc w:val="both"/>
        <w:rPr>
          <w:rFonts w:cs="Times New Roman"/>
          <w:b/>
          <w:bCs/>
        </w:rPr>
      </w:pPr>
      <w:r w:rsidRPr="00CC0F87">
        <w:rPr>
          <w:rFonts w:cs="Times New Roman"/>
          <w:b/>
          <w:bCs/>
        </w:rPr>
        <w:t>Tools of the study:</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All the studied cases are subjected to the following:</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Full history taking, Clinical examination, Laboratory investigations included: Complete blood count (CBC). </w:t>
      </w:r>
      <w:proofErr w:type="gramStart"/>
      <w:r w:rsidRPr="00CC0F87">
        <w:rPr>
          <w:rFonts w:cs="Times New Roman"/>
          <w:color w:val="141314"/>
        </w:rPr>
        <w:t xml:space="preserve">Liver profile (ALT, AST, serum albumin, serum </w:t>
      </w:r>
      <w:proofErr w:type="spellStart"/>
      <w:r w:rsidRPr="00CC0F87">
        <w:rPr>
          <w:rFonts w:cs="Times New Roman"/>
          <w:color w:val="141314"/>
        </w:rPr>
        <w:t>bilirubin</w:t>
      </w:r>
      <w:proofErr w:type="spellEnd"/>
      <w:r w:rsidRPr="00CC0F87">
        <w:rPr>
          <w:rFonts w:cs="Times New Roman"/>
          <w:color w:val="141314"/>
        </w:rPr>
        <w:t xml:space="preserve"> (total and direct), </w:t>
      </w:r>
      <w:proofErr w:type="spellStart"/>
      <w:r w:rsidRPr="00CC0F87">
        <w:rPr>
          <w:rFonts w:cs="Times New Roman"/>
          <w:color w:val="141314"/>
        </w:rPr>
        <w:t>prothrombin</w:t>
      </w:r>
      <w:proofErr w:type="spellEnd"/>
      <w:r w:rsidRPr="00CC0F87">
        <w:rPr>
          <w:rFonts w:cs="Times New Roman"/>
          <w:color w:val="141314"/>
        </w:rPr>
        <w:t xml:space="preserve"> time and international normalization ratio (INR) and Hepatitis markers (HCV </w:t>
      </w:r>
      <w:proofErr w:type="spellStart"/>
      <w:r w:rsidRPr="00CC0F87">
        <w:rPr>
          <w:rFonts w:cs="Times New Roman"/>
          <w:color w:val="141314"/>
        </w:rPr>
        <w:t>Ab</w:t>
      </w:r>
      <w:proofErr w:type="spellEnd"/>
      <w:r w:rsidRPr="00CC0F87">
        <w:rPr>
          <w:rFonts w:cs="Times New Roman"/>
          <w:color w:val="141314"/>
        </w:rPr>
        <w:t xml:space="preserve">, HBs Ag and </w:t>
      </w:r>
      <w:proofErr w:type="spellStart"/>
      <w:r w:rsidRPr="00CC0F87">
        <w:rPr>
          <w:rFonts w:cs="Times New Roman"/>
          <w:color w:val="141314"/>
        </w:rPr>
        <w:t>HBc</w:t>
      </w:r>
      <w:proofErr w:type="spellEnd"/>
      <w:r w:rsidRPr="00CC0F87">
        <w:rPr>
          <w:rFonts w:cs="Times New Roman"/>
          <w:color w:val="141314"/>
        </w:rPr>
        <w:t xml:space="preserve"> </w:t>
      </w:r>
      <w:proofErr w:type="spellStart"/>
      <w:r w:rsidRPr="00CC0F87">
        <w:rPr>
          <w:rFonts w:cs="Times New Roman"/>
          <w:color w:val="141314"/>
        </w:rPr>
        <w:t>IgG</w:t>
      </w:r>
      <w:proofErr w:type="spellEnd"/>
      <w:r w:rsidRPr="00CC0F87">
        <w:rPr>
          <w:rFonts w:cs="Times New Roman"/>
          <w:color w:val="141314"/>
        </w:rPr>
        <w:t>).</w:t>
      </w:r>
      <w:proofErr w:type="gramEnd"/>
      <w:r w:rsidRPr="00CC0F87">
        <w:rPr>
          <w:rFonts w:cs="Times New Roman"/>
          <w:color w:val="141314"/>
        </w:rPr>
        <w:t xml:space="preserve"> Other markers when indicated like (ANA, ASMA, LKM, </w:t>
      </w:r>
      <w:proofErr w:type="spellStart"/>
      <w:r w:rsidRPr="00CC0F87">
        <w:rPr>
          <w:rFonts w:cs="Times New Roman"/>
          <w:color w:val="141314"/>
        </w:rPr>
        <w:t>Transferrin</w:t>
      </w:r>
      <w:proofErr w:type="spellEnd"/>
      <w:r w:rsidRPr="00CC0F87">
        <w:rPr>
          <w:rFonts w:cs="Times New Roman"/>
          <w:color w:val="141314"/>
        </w:rPr>
        <w:t xml:space="preserve"> saturation, </w:t>
      </w:r>
      <w:proofErr w:type="spellStart"/>
      <w:r w:rsidRPr="00CC0F87">
        <w:rPr>
          <w:rFonts w:cs="Times New Roman"/>
          <w:color w:val="141314"/>
        </w:rPr>
        <w:t>ceruloplasmin</w:t>
      </w:r>
      <w:proofErr w:type="spellEnd"/>
      <w:r w:rsidRPr="00CC0F87">
        <w:rPr>
          <w:rFonts w:cs="Times New Roman"/>
          <w:color w:val="141314"/>
        </w:rPr>
        <w:t xml:space="preserve"> level, etc.)</w:t>
      </w:r>
      <w:proofErr w:type="gramStart"/>
      <w:r w:rsidRPr="00CC0F87">
        <w:rPr>
          <w:rFonts w:cs="Times New Roman"/>
          <w:color w:val="141314"/>
        </w:rPr>
        <w:t>,</w:t>
      </w:r>
      <w:proofErr w:type="gramEnd"/>
      <w:r w:rsidRPr="00CC0F87">
        <w:rPr>
          <w:rFonts w:cs="Times New Roman"/>
          <w:color w:val="141314"/>
        </w:rPr>
        <w:t xml:space="preserve"> Renal function tests (blood urea nitrogen and serum </w:t>
      </w:r>
      <w:proofErr w:type="spellStart"/>
      <w:r w:rsidRPr="00CC0F87">
        <w:rPr>
          <w:rFonts w:cs="Times New Roman"/>
          <w:color w:val="141314"/>
        </w:rPr>
        <w:t>creatinine</w:t>
      </w:r>
      <w:proofErr w:type="spellEnd"/>
      <w:r w:rsidRPr="00CC0F87">
        <w:rPr>
          <w:rFonts w:cs="Times New Roman"/>
          <w:color w:val="141314"/>
        </w:rPr>
        <w:t>). Patients were classified according to Child-</w:t>
      </w:r>
      <w:proofErr w:type="spellStart"/>
      <w:r w:rsidRPr="00CC0F87">
        <w:rPr>
          <w:rFonts w:cs="Times New Roman"/>
          <w:color w:val="141314"/>
        </w:rPr>
        <w:t>Turcotte</w:t>
      </w:r>
      <w:proofErr w:type="spellEnd"/>
      <w:r w:rsidRPr="00CC0F87">
        <w:rPr>
          <w:rFonts w:cs="Times New Roman"/>
          <w:color w:val="141314"/>
        </w:rPr>
        <w:t xml:space="preserve"> Pugh scoring system. </w:t>
      </w:r>
      <w:proofErr w:type="spellStart"/>
      <w:r w:rsidRPr="00CC0F87">
        <w:rPr>
          <w:rFonts w:cs="Times New Roman"/>
          <w:color w:val="141314"/>
        </w:rPr>
        <w:t>Triphasic</w:t>
      </w:r>
      <w:proofErr w:type="spellEnd"/>
      <w:r w:rsidRPr="00CC0F87">
        <w:rPr>
          <w:rFonts w:cs="Times New Roman"/>
          <w:color w:val="141314"/>
        </w:rPr>
        <w:t xml:space="preserve"> CT </w:t>
      </w:r>
      <w:proofErr w:type="gramStart"/>
      <w:r w:rsidRPr="00CC0F87">
        <w:rPr>
          <w:rFonts w:cs="Times New Roman"/>
          <w:color w:val="141314"/>
        </w:rPr>
        <w:t>scan</w:t>
      </w:r>
      <w:proofErr w:type="gramEnd"/>
      <w:r w:rsidRPr="00CC0F87">
        <w:rPr>
          <w:rFonts w:cs="Times New Roman"/>
          <w:color w:val="141314"/>
        </w:rPr>
        <w:t xml:space="preserve"> of the abdomen for diagnosing HCC and tumor size and site and local spread.</w:t>
      </w:r>
    </w:p>
    <w:p w:rsidR="004A0C15" w:rsidRPr="00CC0F87" w:rsidRDefault="004A0C15" w:rsidP="000E2AC6">
      <w:pPr>
        <w:bidi w:val="0"/>
        <w:snapToGrid w:val="0"/>
        <w:ind w:firstLine="425"/>
        <w:jc w:val="both"/>
        <w:rPr>
          <w:rFonts w:cs="Times New Roman"/>
          <w:color w:val="141314"/>
        </w:rPr>
      </w:pPr>
      <w:proofErr w:type="gramStart"/>
      <w:r w:rsidRPr="00CC0F87">
        <w:rPr>
          <w:rFonts w:cs="Times New Roman"/>
          <w:color w:val="141314"/>
        </w:rPr>
        <w:t>Determination of Interlukin-18 serum level.</w:t>
      </w:r>
      <w:proofErr w:type="gramEnd"/>
    </w:p>
    <w:p w:rsidR="004A0C15" w:rsidRPr="00CC0F87" w:rsidRDefault="004A0C15" w:rsidP="000E2AC6">
      <w:pPr>
        <w:pStyle w:val="BodyTextIndent"/>
        <w:bidi w:val="0"/>
        <w:snapToGrid w:val="0"/>
        <w:spacing w:after="0"/>
        <w:ind w:left="0"/>
        <w:jc w:val="both"/>
        <w:rPr>
          <w:rFonts w:cs="Times New Roman"/>
          <w:b/>
          <w:bCs/>
        </w:rPr>
      </w:pPr>
      <w:r w:rsidRPr="00CC0F87">
        <w:rPr>
          <w:rFonts w:cs="Times New Roman"/>
          <w:b/>
          <w:bCs/>
        </w:rPr>
        <w:t>Calculation of result:</w:t>
      </w:r>
    </w:p>
    <w:p w:rsidR="004A0C15" w:rsidRPr="00CC0F87" w:rsidRDefault="004A0C15" w:rsidP="000E2AC6">
      <w:pPr>
        <w:pStyle w:val="BodyText"/>
        <w:bidi w:val="0"/>
        <w:snapToGrid w:val="0"/>
        <w:spacing w:after="0"/>
        <w:ind w:firstLine="425"/>
        <w:jc w:val="both"/>
        <w:rPr>
          <w:rFonts w:cs="Times New Roman"/>
          <w:color w:val="141314"/>
        </w:rPr>
      </w:pPr>
      <w:r w:rsidRPr="00CC0F87">
        <w:rPr>
          <w:rFonts w:cs="Times New Roman"/>
          <w:color w:val="141314"/>
        </w:rPr>
        <w:t xml:space="preserve">Average the duplicate reading for each standard. Control, and sample and subtract the average zero standard optical density. Create a standard curve by reducing the data using computer software capable of generating a four parameter logistic curve fit as an alternative, construct a standard curve by plotting the mean absorbance for each standard on the x-axis against the concentration on the y-axis and draw the best fit curve through the point on the graph. The data may be </w:t>
      </w:r>
      <w:proofErr w:type="spellStart"/>
      <w:r w:rsidRPr="00CC0F87">
        <w:rPr>
          <w:rFonts w:cs="Times New Roman"/>
          <w:color w:val="141314"/>
        </w:rPr>
        <w:t>linearized</w:t>
      </w:r>
      <w:proofErr w:type="spellEnd"/>
      <w:r w:rsidRPr="00CC0F87">
        <w:rPr>
          <w:rFonts w:cs="Times New Roman"/>
          <w:color w:val="141314"/>
        </w:rPr>
        <w:t xml:space="preserve"> by plotting the log of the IL-18 concentration versus the log of O.D and the best fit line can be determined by regression analysis. It is recommended to use some related software to do this calculation. This procedure will produce an adequate </w:t>
      </w:r>
      <w:r w:rsidRPr="00CC0F87">
        <w:rPr>
          <w:rFonts w:cs="Times New Roman"/>
          <w:color w:val="141314"/>
        </w:rPr>
        <w:lastRenderedPageBreak/>
        <w:t>but less precise fit of the data. If sample have be diluted, the concentration read from the standard curve must be multiplied by the dilution factor.</w:t>
      </w:r>
    </w:p>
    <w:p w:rsidR="004A0C15" w:rsidRPr="00CC0F87" w:rsidRDefault="004A0C15" w:rsidP="000E2AC6">
      <w:pPr>
        <w:pStyle w:val="Caption"/>
        <w:bidi w:val="0"/>
        <w:snapToGrid w:val="0"/>
        <w:jc w:val="both"/>
      </w:pPr>
      <w:r w:rsidRPr="00CC0F87">
        <w:t>Statistical Methodology</w:t>
      </w:r>
    </w:p>
    <w:p w:rsidR="008F16CB" w:rsidRPr="00CC0F87" w:rsidRDefault="004A0C15" w:rsidP="000E2AC6">
      <w:pPr>
        <w:bidi w:val="0"/>
        <w:snapToGrid w:val="0"/>
        <w:ind w:firstLine="425"/>
        <w:jc w:val="both"/>
        <w:rPr>
          <w:rFonts w:cs="Times New Roman"/>
          <w:color w:val="141314"/>
        </w:rPr>
      </w:pPr>
      <w:r w:rsidRPr="00CC0F87">
        <w:rPr>
          <w:rFonts w:cs="Times New Roman"/>
          <w:color w:val="141314"/>
        </w:rPr>
        <w:t>The data were processed and analyzed using the statistical package for social sciences (SPSS) program.</w:t>
      </w:r>
    </w:p>
    <w:p w:rsidR="008F16CB" w:rsidRPr="00CC0F87" w:rsidRDefault="008F16CB" w:rsidP="000E2AC6">
      <w:pPr>
        <w:bidi w:val="0"/>
        <w:snapToGrid w:val="0"/>
        <w:jc w:val="both"/>
        <w:rPr>
          <w:rFonts w:cs="Times New Roman"/>
          <w:color w:val="141314"/>
        </w:rPr>
      </w:pPr>
    </w:p>
    <w:p w:rsidR="008F16CB" w:rsidRPr="00CC0F87" w:rsidRDefault="008F16CB" w:rsidP="000E2AC6">
      <w:pPr>
        <w:pStyle w:val="Caption"/>
        <w:bidi w:val="0"/>
        <w:snapToGrid w:val="0"/>
        <w:jc w:val="both"/>
      </w:pPr>
      <w:r w:rsidRPr="00CC0F87">
        <w:t>3. Results</w:t>
      </w:r>
    </w:p>
    <w:p w:rsidR="008F16CB" w:rsidRPr="00CC0F87" w:rsidRDefault="008F16CB" w:rsidP="000E2AC6">
      <w:pPr>
        <w:bidi w:val="0"/>
        <w:snapToGrid w:val="0"/>
        <w:ind w:firstLine="425"/>
        <w:jc w:val="both"/>
        <w:rPr>
          <w:rFonts w:cs="Times New Roman"/>
          <w:color w:val="141314"/>
        </w:rPr>
      </w:pPr>
      <w:r w:rsidRPr="00CC0F87">
        <w:rPr>
          <w:rFonts w:cs="Times New Roman"/>
          <w:color w:val="141314"/>
        </w:rPr>
        <w:t xml:space="preserve">The patients’ mean ages were 57 in cirrhotic group and 58in HCC group. Regarding gender distribution in cirrhotic 62.5% </w:t>
      </w:r>
      <w:proofErr w:type="gramStart"/>
      <w:r w:rsidRPr="00CC0F87">
        <w:rPr>
          <w:rFonts w:cs="Times New Roman"/>
          <w:color w:val="141314"/>
        </w:rPr>
        <w:t>were</w:t>
      </w:r>
      <w:proofErr w:type="gramEnd"/>
      <w:r w:rsidRPr="00CC0F87">
        <w:rPr>
          <w:rFonts w:cs="Times New Roman"/>
          <w:color w:val="141314"/>
        </w:rPr>
        <w:t xml:space="preserve"> male and 37.5% were female while in HCC group 82.5% were male and 17.5% were female. 27.5% of cirrhotic group were smoker while 45% of HCC were smoker (Table 1).</w:t>
      </w:r>
    </w:p>
    <w:p w:rsidR="008F16CB" w:rsidRPr="00CC0F87" w:rsidRDefault="008F16CB" w:rsidP="000E2AC6">
      <w:pPr>
        <w:bidi w:val="0"/>
        <w:snapToGrid w:val="0"/>
        <w:ind w:firstLine="425"/>
        <w:jc w:val="both"/>
        <w:rPr>
          <w:rFonts w:cs="Times New Roman"/>
          <w:color w:val="141314"/>
        </w:rPr>
      </w:pPr>
      <w:r w:rsidRPr="00CC0F87">
        <w:rPr>
          <w:rFonts w:cs="Times New Roman"/>
          <w:color w:val="141314"/>
        </w:rPr>
        <w:t xml:space="preserve">This study showed significance increasing in total and direct </w:t>
      </w:r>
      <w:proofErr w:type="spellStart"/>
      <w:r w:rsidRPr="00CC0F87">
        <w:rPr>
          <w:rFonts w:cs="Times New Roman"/>
          <w:color w:val="141314"/>
        </w:rPr>
        <w:t>bilirubin</w:t>
      </w:r>
      <w:proofErr w:type="spellEnd"/>
      <w:r w:rsidRPr="00CC0F87">
        <w:rPr>
          <w:rFonts w:cs="Times New Roman"/>
          <w:color w:val="141314"/>
        </w:rPr>
        <w:t xml:space="preserve"> level in both groups, there was no significance found regarding ALT, AST and platelets (Table 2). It shows also that IL 18 </w:t>
      </w:r>
      <w:proofErr w:type="gramStart"/>
      <w:r w:rsidRPr="00CC0F87">
        <w:rPr>
          <w:rFonts w:cs="Times New Roman"/>
          <w:color w:val="141314"/>
        </w:rPr>
        <w:t>level</w:t>
      </w:r>
      <w:proofErr w:type="gramEnd"/>
      <w:r w:rsidRPr="00CC0F87">
        <w:rPr>
          <w:rFonts w:cs="Times New Roman"/>
          <w:color w:val="141314"/>
        </w:rPr>
        <w:t xml:space="preserve"> was significantly higher in HCC group than that of Cirrhotic group (Table 3).</w:t>
      </w:r>
    </w:p>
    <w:p w:rsidR="008F16CB" w:rsidRPr="00CC0F87" w:rsidRDefault="008F16CB" w:rsidP="000E2AC6">
      <w:pPr>
        <w:bidi w:val="0"/>
        <w:snapToGrid w:val="0"/>
        <w:ind w:firstLine="425"/>
        <w:jc w:val="both"/>
        <w:rPr>
          <w:rFonts w:cs="Times New Roman"/>
          <w:color w:val="141314"/>
        </w:rPr>
      </w:pPr>
      <w:r w:rsidRPr="00CC0F87">
        <w:rPr>
          <w:rFonts w:cs="Times New Roman"/>
          <w:color w:val="141314"/>
        </w:rPr>
        <w:t xml:space="preserve">There were no significance differences found between degree of cirrhosis classified by Child Pugh score and IL18 level (Table 4). There were no significant differences between number of liver foci in HCC group and level of IL 18 and alpha-FP (Table 5). There </w:t>
      </w:r>
      <w:proofErr w:type="gramStart"/>
      <w:r w:rsidRPr="00CC0F87">
        <w:rPr>
          <w:rFonts w:cs="Times New Roman"/>
          <w:color w:val="141314"/>
        </w:rPr>
        <w:t>were</w:t>
      </w:r>
      <w:proofErr w:type="gramEnd"/>
      <w:r w:rsidRPr="00CC0F87">
        <w:rPr>
          <w:rFonts w:cs="Times New Roman"/>
          <w:color w:val="141314"/>
        </w:rPr>
        <w:t xml:space="preserve"> also no significance in correlation between ALT, AST, total </w:t>
      </w:r>
      <w:proofErr w:type="spellStart"/>
      <w:r w:rsidRPr="00CC0F87">
        <w:rPr>
          <w:rFonts w:cs="Times New Roman"/>
          <w:color w:val="141314"/>
        </w:rPr>
        <w:t>bilirubin</w:t>
      </w:r>
      <w:proofErr w:type="spellEnd"/>
      <w:r w:rsidRPr="00CC0F87">
        <w:rPr>
          <w:rFonts w:cs="Times New Roman"/>
          <w:color w:val="141314"/>
        </w:rPr>
        <w:t xml:space="preserve">, direct </w:t>
      </w:r>
      <w:proofErr w:type="spellStart"/>
      <w:r w:rsidRPr="00CC0F87">
        <w:rPr>
          <w:rFonts w:cs="Times New Roman"/>
          <w:color w:val="141314"/>
        </w:rPr>
        <w:t>bilirubin</w:t>
      </w:r>
      <w:proofErr w:type="spellEnd"/>
      <w:r w:rsidRPr="00CC0F87">
        <w:rPr>
          <w:rFonts w:cs="Times New Roman"/>
          <w:color w:val="141314"/>
        </w:rPr>
        <w:t>, platelets, IL18 &amp; alpha-FP in two groups (Table 6).</w:t>
      </w:r>
    </w:p>
    <w:p w:rsidR="008F16CB" w:rsidRPr="00CC0F87" w:rsidRDefault="008F16CB" w:rsidP="000E2AC6">
      <w:pPr>
        <w:bidi w:val="0"/>
        <w:snapToGrid w:val="0"/>
        <w:ind w:firstLine="425"/>
        <w:jc w:val="both"/>
        <w:rPr>
          <w:rFonts w:cs="Times New Roman"/>
          <w:color w:val="141314"/>
        </w:rPr>
      </w:pPr>
      <w:r w:rsidRPr="00CC0F87">
        <w:rPr>
          <w:rFonts w:cs="Times New Roman"/>
          <w:color w:val="141314"/>
        </w:rPr>
        <w:t>In this study, AUC was 0.5 for both IL-18 and Alpha-FP which means that they can be used as predictors of HCC however, IL18 is more reliable with AUC, sensitivity and specificity were 0.98, 97% and 100% respectively (Table 7). Assignment of cutoff point for IL18 &amp; alpha-FP as discriminators between patients with HCC and those without using ROC curve are shown in the figure below.</w:t>
      </w:r>
    </w:p>
    <w:p w:rsidR="000E2AC6" w:rsidRPr="00CC0F87" w:rsidRDefault="000E2AC6" w:rsidP="000E2AC6">
      <w:pPr>
        <w:bidi w:val="0"/>
        <w:snapToGrid w:val="0"/>
        <w:ind w:firstLine="425"/>
        <w:jc w:val="both"/>
        <w:rPr>
          <w:rFonts w:cs="Times New Roman"/>
          <w:color w:val="141314"/>
        </w:rPr>
        <w:sectPr w:rsidR="000E2AC6" w:rsidRPr="00CC0F87" w:rsidSect="00CC0F87">
          <w:type w:val="continuous"/>
          <w:pgSz w:w="12242" w:h="15842" w:code="1"/>
          <w:pgMar w:top="1440" w:right="1440" w:bottom="1440" w:left="1440" w:header="720" w:footer="720" w:gutter="0"/>
          <w:cols w:num="2" w:space="576"/>
          <w:docGrid w:linePitch="360"/>
        </w:sectPr>
      </w:pPr>
    </w:p>
    <w:p w:rsidR="004A0C15" w:rsidRPr="00CC0F87" w:rsidRDefault="004A0C15" w:rsidP="000E2AC6">
      <w:pPr>
        <w:bidi w:val="0"/>
        <w:snapToGrid w:val="0"/>
        <w:ind w:firstLine="425"/>
        <w:jc w:val="both"/>
        <w:rPr>
          <w:rFonts w:cs="Times New Roman"/>
          <w:color w:val="1413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3"/>
        <w:gridCol w:w="3193"/>
      </w:tblGrid>
      <w:tr w:rsidR="004A0C15" w:rsidRPr="00CC0F87" w:rsidTr="00CC0F87">
        <w:trPr>
          <w:jc w:val="center"/>
        </w:trPr>
        <w:tc>
          <w:tcPr>
            <w:tcW w:w="1666" w:type="pct"/>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1</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Cirrhotic Group</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HCC Group</w:t>
            </w:r>
          </w:p>
        </w:tc>
      </w:tr>
      <w:tr w:rsidR="004A0C15" w:rsidRPr="00CC0F87" w:rsidTr="00CC0F87">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Mean Age</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57 ± 12</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58 ± 12</w:t>
            </w:r>
          </w:p>
        </w:tc>
      </w:tr>
      <w:tr w:rsidR="004A0C15" w:rsidRPr="00CC0F87" w:rsidTr="00CC0F87">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Male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62.5 %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82.5 %</w:t>
            </w:r>
          </w:p>
        </w:tc>
      </w:tr>
      <w:tr w:rsidR="004A0C15" w:rsidRPr="00CC0F87" w:rsidTr="00CC0F87">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Female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37.5 %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17.5 %</w:t>
            </w:r>
          </w:p>
        </w:tc>
      </w:tr>
      <w:tr w:rsidR="004A0C15" w:rsidRPr="00CC0F87" w:rsidTr="00CC0F87">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Smoking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27.5 %</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45 %</w:t>
            </w:r>
          </w:p>
        </w:tc>
      </w:tr>
    </w:tbl>
    <w:p w:rsidR="004A0C15" w:rsidRPr="00CC0F87" w:rsidRDefault="004A0C15" w:rsidP="000E2AC6">
      <w:pPr>
        <w:bidi w:val="0"/>
        <w:snapToGrid w:val="0"/>
        <w:ind w:firstLine="425"/>
        <w:jc w:val="both"/>
        <w:rPr>
          <w:rFonts w:cs="Times New Roman"/>
          <w:color w:val="1413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3"/>
        <w:gridCol w:w="3193"/>
      </w:tblGrid>
      <w:tr w:rsidR="004A0C15" w:rsidRPr="00CC0F87" w:rsidTr="00CC3FA0">
        <w:trPr>
          <w:jc w:val="center"/>
        </w:trPr>
        <w:tc>
          <w:tcPr>
            <w:tcW w:w="1666" w:type="pct"/>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2</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Cirrhotic Group</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HCC Group</w:t>
            </w:r>
          </w:p>
        </w:tc>
      </w:tr>
      <w:tr w:rsidR="004A0C15" w:rsidRPr="00CC0F87" w:rsidTr="00CC3FA0">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 xml:space="preserve">Total </w:t>
            </w:r>
            <w:proofErr w:type="spellStart"/>
            <w:r w:rsidRPr="00CC0F87">
              <w:rPr>
                <w:rFonts w:cs="Times New Roman"/>
                <w:color w:val="000000"/>
              </w:rPr>
              <w:t>Bilirubin</w:t>
            </w:r>
            <w:proofErr w:type="spellEnd"/>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2.2 ± 1.6</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3.4 ± 2.6</w:t>
            </w:r>
          </w:p>
        </w:tc>
      </w:tr>
      <w:tr w:rsidR="004A0C15" w:rsidRPr="00CC0F87" w:rsidTr="00CC3FA0">
        <w:trPr>
          <w:jc w:val="center"/>
        </w:trPr>
        <w:tc>
          <w:tcPr>
            <w:tcW w:w="1666" w:type="pct"/>
          </w:tcPr>
          <w:p w:rsidR="004A0C15" w:rsidRPr="00CC0F87" w:rsidRDefault="004A0C15" w:rsidP="000E2AC6">
            <w:pPr>
              <w:bidi w:val="0"/>
              <w:snapToGrid w:val="0"/>
              <w:jc w:val="both"/>
              <w:rPr>
                <w:rFonts w:cs="Times New Roman"/>
                <w:color w:val="000000"/>
              </w:rPr>
            </w:pPr>
            <w:r w:rsidRPr="00CC0F87">
              <w:rPr>
                <w:rFonts w:cs="Times New Roman"/>
                <w:color w:val="000000"/>
              </w:rPr>
              <w:t xml:space="preserve">Direct </w:t>
            </w:r>
            <w:proofErr w:type="spellStart"/>
            <w:r w:rsidRPr="00CC0F87">
              <w:rPr>
                <w:rFonts w:cs="Times New Roman"/>
                <w:color w:val="000000"/>
              </w:rPr>
              <w:t>Bilirubin</w:t>
            </w:r>
            <w:proofErr w:type="spellEnd"/>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1.3 ± 1.0</w:t>
            </w:r>
          </w:p>
        </w:tc>
        <w:tc>
          <w:tcPr>
            <w:tcW w:w="1667" w:type="pct"/>
          </w:tcPr>
          <w:p w:rsidR="004A0C15" w:rsidRPr="00CC0F87" w:rsidRDefault="004A0C15" w:rsidP="000E2AC6">
            <w:pPr>
              <w:bidi w:val="0"/>
              <w:snapToGrid w:val="0"/>
              <w:jc w:val="both"/>
              <w:rPr>
                <w:rFonts w:cs="Times New Roman"/>
                <w:color w:val="000000"/>
              </w:rPr>
            </w:pPr>
            <w:r w:rsidRPr="00CC0F87">
              <w:rPr>
                <w:rFonts w:cs="Times New Roman"/>
                <w:color w:val="000000"/>
              </w:rPr>
              <w:t>2.3 ± 1.9</w:t>
            </w:r>
          </w:p>
        </w:tc>
      </w:tr>
    </w:tbl>
    <w:p w:rsidR="004A0C15" w:rsidRPr="00CC0F87" w:rsidRDefault="004A0C15" w:rsidP="000E2AC6">
      <w:pPr>
        <w:bidi w:val="0"/>
        <w:snapToGrid w:val="0"/>
        <w:ind w:firstLine="425"/>
        <w:jc w:val="both"/>
        <w:rPr>
          <w:rFonts w:cs="Times New Roman"/>
          <w:color w:val="141314"/>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tblPr>
      <w:tblGrid>
        <w:gridCol w:w="1117"/>
        <w:gridCol w:w="2630"/>
        <w:gridCol w:w="2634"/>
        <w:gridCol w:w="1441"/>
        <w:gridCol w:w="1586"/>
      </w:tblGrid>
      <w:tr w:rsidR="004A0C15" w:rsidRPr="00CC0F87" w:rsidTr="00CC0F87">
        <w:trPr>
          <w:cantSplit/>
          <w:jc w:val="center"/>
        </w:trPr>
        <w:tc>
          <w:tcPr>
            <w:tcW w:w="593" w:type="pct"/>
            <w:vMerge w:val="restart"/>
            <w:shd w:val="clear" w:color="auto" w:fill="FFFFFF"/>
            <w:vAlign w:val="center"/>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3</w:t>
            </w:r>
          </w:p>
        </w:tc>
        <w:tc>
          <w:tcPr>
            <w:tcW w:w="2798" w:type="pct"/>
            <w:gridSpan w:val="2"/>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Group</w:t>
            </w:r>
          </w:p>
        </w:tc>
        <w:tc>
          <w:tcPr>
            <w:tcW w:w="766" w:type="pct"/>
            <w:vMerge w:val="restart"/>
          </w:tcPr>
          <w:p w:rsidR="004A0C15" w:rsidRPr="00CC0F87" w:rsidRDefault="004A0C15" w:rsidP="000E2AC6">
            <w:pPr>
              <w:bidi w:val="0"/>
              <w:snapToGrid w:val="0"/>
              <w:jc w:val="both"/>
              <w:rPr>
                <w:rFonts w:cs="Times New Roman"/>
                <w:color w:val="000000"/>
              </w:rPr>
            </w:pPr>
            <w:r w:rsidRPr="00CC0F87">
              <w:rPr>
                <w:rFonts w:cs="Times New Roman"/>
                <w:color w:val="000000"/>
              </w:rPr>
              <w:t>Test value</w:t>
            </w:r>
          </w:p>
        </w:tc>
        <w:tc>
          <w:tcPr>
            <w:tcW w:w="843" w:type="pct"/>
            <w:vMerge w:val="restart"/>
          </w:tcPr>
          <w:p w:rsidR="004A0C15" w:rsidRPr="00CC0F87" w:rsidRDefault="004A0C15" w:rsidP="000E2AC6">
            <w:pPr>
              <w:bidi w:val="0"/>
              <w:snapToGrid w:val="0"/>
              <w:jc w:val="both"/>
              <w:rPr>
                <w:rFonts w:cs="Times New Roman"/>
                <w:color w:val="000000"/>
              </w:rPr>
            </w:pPr>
            <w:r w:rsidRPr="00CC0F87">
              <w:rPr>
                <w:rFonts w:cs="Times New Roman"/>
                <w:i/>
                <w:iCs/>
                <w:color w:val="000000"/>
              </w:rPr>
              <w:t>p</w:t>
            </w:r>
            <w:r w:rsidRPr="00CC0F87">
              <w:rPr>
                <w:rFonts w:cs="Times New Roman"/>
                <w:color w:val="000000"/>
              </w:rPr>
              <w:t>-value</w:t>
            </w:r>
          </w:p>
        </w:tc>
      </w:tr>
      <w:tr w:rsidR="004A0C15" w:rsidRPr="00CC0F87" w:rsidTr="00CC0F87">
        <w:trPr>
          <w:cantSplit/>
          <w:jc w:val="center"/>
        </w:trPr>
        <w:tc>
          <w:tcPr>
            <w:tcW w:w="593" w:type="pct"/>
            <w:vMerge/>
            <w:shd w:val="clear" w:color="auto" w:fill="FFFFFF"/>
            <w:vAlign w:val="center"/>
          </w:tcPr>
          <w:p w:rsidR="004A0C15" w:rsidRPr="00CC0F87" w:rsidRDefault="004A0C15" w:rsidP="000E2AC6">
            <w:pPr>
              <w:bidi w:val="0"/>
              <w:snapToGrid w:val="0"/>
              <w:jc w:val="both"/>
              <w:rPr>
                <w:rFonts w:cs="Times New Roman"/>
                <w:color w:val="000000"/>
              </w:rPr>
            </w:pPr>
          </w:p>
        </w:tc>
        <w:tc>
          <w:tcPr>
            <w:tcW w:w="1398"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Cirrhosis group</w:t>
            </w:r>
          </w:p>
        </w:tc>
        <w:tc>
          <w:tcPr>
            <w:tcW w:w="1400"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HCC group</w:t>
            </w:r>
          </w:p>
        </w:tc>
        <w:tc>
          <w:tcPr>
            <w:tcW w:w="766" w:type="pct"/>
            <w:vMerge/>
          </w:tcPr>
          <w:p w:rsidR="004A0C15" w:rsidRPr="00CC0F87" w:rsidRDefault="004A0C15" w:rsidP="000E2AC6">
            <w:pPr>
              <w:bidi w:val="0"/>
              <w:snapToGrid w:val="0"/>
              <w:jc w:val="both"/>
              <w:rPr>
                <w:rFonts w:cs="Times New Roman"/>
                <w:color w:val="000000"/>
              </w:rPr>
            </w:pPr>
          </w:p>
        </w:tc>
        <w:tc>
          <w:tcPr>
            <w:tcW w:w="843" w:type="pct"/>
            <w:vMerge/>
          </w:tcPr>
          <w:p w:rsidR="004A0C15" w:rsidRPr="00CC0F87" w:rsidRDefault="004A0C15" w:rsidP="000E2AC6">
            <w:pPr>
              <w:bidi w:val="0"/>
              <w:snapToGrid w:val="0"/>
              <w:jc w:val="both"/>
              <w:rPr>
                <w:rFonts w:cs="Times New Roman"/>
                <w:color w:val="000000"/>
              </w:rPr>
            </w:pPr>
          </w:p>
        </w:tc>
      </w:tr>
      <w:tr w:rsidR="004A0C15" w:rsidRPr="00CC0F87" w:rsidTr="00CC0F87">
        <w:trPr>
          <w:cantSplit/>
          <w:jc w:val="center"/>
        </w:trPr>
        <w:tc>
          <w:tcPr>
            <w:tcW w:w="593" w:type="pct"/>
            <w:vMerge/>
            <w:shd w:val="clear" w:color="auto" w:fill="FFFFFF"/>
            <w:vAlign w:val="center"/>
          </w:tcPr>
          <w:p w:rsidR="004A0C15" w:rsidRPr="00CC0F87" w:rsidRDefault="004A0C15" w:rsidP="000E2AC6">
            <w:pPr>
              <w:bidi w:val="0"/>
              <w:snapToGrid w:val="0"/>
              <w:jc w:val="both"/>
              <w:rPr>
                <w:rFonts w:cs="Times New Roman"/>
                <w:color w:val="000000"/>
              </w:rPr>
            </w:pPr>
          </w:p>
        </w:tc>
        <w:tc>
          <w:tcPr>
            <w:tcW w:w="1398"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Mean ± SD</w:t>
            </w:r>
          </w:p>
        </w:tc>
        <w:tc>
          <w:tcPr>
            <w:tcW w:w="1400"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Mean ± SD</w:t>
            </w:r>
          </w:p>
        </w:tc>
        <w:tc>
          <w:tcPr>
            <w:tcW w:w="766" w:type="pct"/>
            <w:vMerge/>
          </w:tcPr>
          <w:p w:rsidR="004A0C15" w:rsidRPr="00CC0F87" w:rsidRDefault="004A0C15" w:rsidP="000E2AC6">
            <w:pPr>
              <w:bidi w:val="0"/>
              <w:snapToGrid w:val="0"/>
              <w:jc w:val="both"/>
              <w:rPr>
                <w:rFonts w:cs="Times New Roman"/>
                <w:color w:val="000000"/>
              </w:rPr>
            </w:pPr>
          </w:p>
        </w:tc>
        <w:tc>
          <w:tcPr>
            <w:tcW w:w="843" w:type="pct"/>
            <w:vMerge/>
          </w:tcPr>
          <w:p w:rsidR="004A0C15" w:rsidRPr="00CC0F87" w:rsidRDefault="004A0C15" w:rsidP="000E2AC6">
            <w:pPr>
              <w:bidi w:val="0"/>
              <w:snapToGrid w:val="0"/>
              <w:jc w:val="both"/>
              <w:rPr>
                <w:rFonts w:cs="Times New Roman"/>
                <w:color w:val="000000"/>
              </w:rPr>
            </w:pPr>
          </w:p>
        </w:tc>
      </w:tr>
      <w:tr w:rsidR="004A0C15" w:rsidRPr="00CC0F87" w:rsidTr="00CC0F87">
        <w:trPr>
          <w:cantSplit/>
          <w:jc w:val="center"/>
        </w:trPr>
        <w:tc>
          <w:tcPr>
            <w:tcW w:w="593"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IL 18</w:t>
            </w:r>
          </w:p>
        </w:tc>
        <w:tc>
          <w:tcPr>
            <w:tcW w:w="1398"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0.87 ± 2.48</w:t>
            </w:r>
          </w:p>
        </w:tc>
        <w:tc>
          <w:tcPr>
            <w:tcW w:w="140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12 ± 7.99</w:t>
            </w:r>
          </w:p>
        </w:tc>
        <w:tc>
          <w:tcPr>
            <w:tcW w:w="766" w:type="pct"/>
          </w:tcPr>
          <w:p w:rsidR="004A0C15" w:rsidRPr="00CC0F87" w:rsidRDefault="004A0C15" w:rsidP="000E2AC6">
            <w:pPr>
              <w:bidi w:val="0"/>
              <w:snapToGrid w:val="0"/>
              <w:jc w:val="both"/>
              <w:rPr>
                <w:rFonts w:cs="Times New Roman"/>
                <w:color w:val="000000"/>
              </w:rPr>
            </w:pPr>
            <w:r w:rsidRPr="00CC0F87">
              <w:rPr>
                <w:rFonts w:cs="Times New Roman"/>
                <w:color w:val="000000"/>
              </w:rPr>
              <w:t>.117</w:t>
            </w:r>
          </w:p>
        </w:tc>
        <w:tc>
          <w:tcPr>
            <w:tcW w:w="843" w:type="pct"/>
          </w:tcPr>
          <w:p w:rsidR="004A0C15" w:rsidRPr="00CC0F87" w:rsidRDefault="004A0C15" w:rsidP="000E2AC6">
            <w:pPr>
              <w:bidi w:val="0"/>
              <w:snapToGrid w:val="0"/>
              <w:jc w:val="both"/>
              <w:rPr>
                <w:rFonts w:cs="Times New Roman"/>
                <w:color w:val="000000"/>
              </w:rPr>
            </w:pPr>
            <w:r w:rsidRPr="00CC0F87">
              <w:rPr>
                <w:rFonts w:cs="Times New Roman"/>
                <w:color w:val="000000"/>
              </w:rPr>
              <w:t>&lt;0.001**</w:t>
            </w:r>
          </w:p>
        </w:tc>
      </w:tr>
    </w:tbl>
    <w:p w:rsidR="004A0C15" w:rsidRPr="00CC0F87" w:rsidRDefault="004A0C15" w:rsidP="000E2AC6">
      <w:pPr>
        <w:bidi w:val="0"/>
        <w:snapToGrid w:val="0"/>
        <w:ind w:firstLine="425"/>
        <w:jc w:val="both"/>
        <w:rPr>
          <w:rFonts w:eastAsiaTheme="minorEastAsia" w:cs="Times New Roman" w:hint="eastAsia"/>
          <w:color w:val="141314"/>
          <w:lang w:eastAsia="zh-CN"/>
        </w:rPr>
      </w:pPr>
    </w:p>
    <w:p w:rsidR="00CC0F87" w:rsidRPr="00CC0F87" w:rsidRDefault="00CC0F87" w:rsidP="00CC0F87">
      <w:pPr>
        <w:bidi w:val="0"/>
        <w:snapToGrid w:val="0"/>
        <w:ind w:firstLine="425"/>
        <w:jc w:val="both"/>
        <w:rPr>
          <w:rFonts w:eastAsiaTheme="minorEastAsia" w:cs="Times New Roman" w:hint="eastAsia"/>
          <w:color w:val="141314"/>
          <w:lang w:eastAsia="zh-CN"/>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976"/>
        <w:gridCol w:w="2087"/>
        <w:gridCol w:w="2367"/>
        <w:gridCol w:w="2083"/>
        <w:gridCol w:w="1056"/>
        <w:gridCol w:w="823"/>
      </w:tblGrid>
      <w:tr w:rsidR="004A0C15" w:rsidRPr="00CC0F87" w:rsidTr="00CC3FA0">
        <w:trPr>
          <w:cantSplit/>
          <w:trHeight w:val="29"/>
          <w:tblHeader/>
          <w:jc w:val="center"/>
        </w:trPr>
        <w:tc>
          <w:tcPr>
            <w:tcW w:w="520" w:type="pct"/>
            <w:vMerge w:val="restart"/>
            <w:shd w:val="clear" w:color="auto" w:fill="FFFFFF"/>
            <w:vAlign w:val="center"/>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4</w:t>
            </w:r>
          </w:p>
        </w:tc>
        <w:tc>
          <w:tcPr>
            <w:tcW w:w="3480" w:type="pct"/>
            <w:gridSpan w:val="3"/>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Child Pugh classification</w:t>
            </w:r>
          </w:p>
        </w:tc>
        <w:tc>
          <w:tcPr>
            <w:tcW w:w="562" w:type="pct"/>
            <w:vMerge w:val="restart"/>
          </w:tcPr>
          <w:p w:rsidR="004A0C15" w:rsidRPr="00CC0F87" w:rsidRDefault="004A0C15" w:rsidP="000E2AC6">
            <w:pPr>
              <w:bidi w:val="0"/>
              <w:snapToGrid w:val="0"/>
              <w:jc w:val="both"/>
              <w:rPr>
                <w:rFonts w:cs="Times New Roman"/>
                <w:color w:val="000000"/>
              </w:rPr>
            </w:pPr>
            <w:proofErr w:type="spellStart"/>
            <w:r w:rsidRPr="00CC0F87">
              <w:rPr>
                <w:rFonts w:cs="Times New Roman"/>
                <w:color w:val="000000"/>
              </w:rPr>
              <w:t>Kruskal</w:t>
            </w:r>
            <w:proofErr w:type="spellEnd"/>
            <w:r w:rsidRPr="00CC0F87">
              <w:rPr>
                <w:rFonts w:cs="Times New Roman"/>
                <w:color w:val="000000"/>
              </w:rPr>
              <w:t xml:space="preserve"> –</w:t>
            </w:r>
            <w:proofErr w:type="spellStart"/>
            <w:r w:rsidRPr="00CC0F87">
              <w:rPr>
                <w:rFonts w:cs="Times New Roman"/>
                <w:color w:val="000000"/>
              </w:rPr>
              <w:t>wallis</w:t>
            </w:r>
            <w:proofErr w:type="spellEnd"/>
          </w:p>
        </w:tc>
        <w:tc>
          <w:tcPr>
            <w:tcW w:w="438" w:type="pct"/>
            <w:vMerge w:val="restart"/>
          </w:tcPr>
          <w:p w:rsidR="004A0C15" w:rsidRPr="00CC0F87" w:rsidRDefault="004A0C15" w:rsidP="000E2AC6">
            <w:pPr>
              <w:bidi w:val="0"/>
              <w:snapToGrid w:val="0"/>
              <w:jc w:val="both"/>
              <w:rPr>
                <w:rFonts w:cs="Times New Roman"/>
                <w:color w:val="000000"/>
              </w:rPr>
            </w:pPr>
            <w:r w:rsidRPr="00CC0F87">
              <w:rPr>
                <w:rFonts w:cs="Times New Roman"/>
                <w:i/>
                <w:iCs/>
                <w:color w:val="000000"/>
              </w:rPr>
              <w:t>p</w:t>
            </w:r>
            <w:r w:rsidRPr="00CC0F87">
              <w:rPr>
                <w:rFonts w:cs="Times New Roman"/>
                <w:color w:val="000000"/>
              </w:rPr>
              <w:t>-value</w:t>
            </w:r>
          </w:p>
        </w:tc>
      </w:tr>
      <w:tr w:rsidR="004A0C15" w:rsidRPr="00CC0F87" w:rsidTr="00CC3FA0">
        <w:trPr>
          <w:cantSplit/>
          <w:trHeight w:val="29"/>
          <w:tblHeader/>
          <w:jc w:val="center"/>
        </w:trPr>
        <w:tc>
          <w:tcPr>
            <w:tcW w:w="520" w:type="pct"/>
            <w:vMerge/>
            <w:shd w:val="clear" w:color="auto" w:fill="FFFFFF"/>
            <w:vAlign w:val="center"/>
          </w:tcPr>
          <w:p w:rsidR="004A0C15" w:rsidRPr="00CC0F87" w:rsidRDefault="004A0C15" w:rsidP="000E2AC6">
            <w:pPr>
              <w:bidi w:val="0"/>
              <w:snapToGrid w:val="0"/>
              <w:jc w:val="both"/>
              <w:rPr>
                <w:rFonts w:cs="Times New Roman"/>
                <w:color w:val="000000"/>
              </w:rPr>
            </w:pPr>
          </w:p>
        </w:tc>
        <w:tc>
          <w:tcPr>
            <w:tcW w:w="1111"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A</w:t>
            </w:r>
          </w:p>
        </w:tc>
        <w:tc>
          <w:tcPr>
            <w:tcW w:w="1260"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B</w:t>
            </w:r>
          </w:p>
        </w:tc>
        <w:tc>
          <w:tcPr>
            <w:tcW w:w="1108"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C</w:t>
            </w:r>
          </w:p>
        </w:tc>
        <w:tc>
          <w:tcPr>
            <w:tcW w:w="562" w:type="pct"/>
            <w:vMerge/>
          </w:tcPr>
          <w:p w:rsidR="004A0C15" w:rsidRPr="00CC0F87" w:rsidRDefault="004A0C15" w:rsidP="000E2AC6">
            <w:pPr>
              <w:bidi w:val="0"/>
              <w:snapToGrid w:val="0"/>
              <w:jc w:val="both"/>
              <w:rPr>
                <w:rFonts w:cs="Times New Roman"/>
                <w:color w:val="000000"/>
              </w:rPr>
            </w:pPr>
          </w:p>
        </w:tc>
        <w:tc>
          <w:tcPr>
            <w:tcW w:w="438" w:type="pct"/>
            <w:vMerge/>
          </w:tcPr>
          <w:p w:rsidR="004A0C15" w:rsidRPr="00CC0F87" w:rsidRDefault="004A0C15" w:rsidP="000E2AC6">
            <w:pPr>
              <w:bidi w:val="0"/>
              <w:snapToGrid w:val="0"/>
              <w:jc w:val="both"/>
              <w:rPr>
                <w:rFonts w:cs="Times New Roman"/>
                <w:color w:val="000000"/>
              </w:rPr>
            </w:pPr>
          </w:p>
        </w:tc>
      </w:tr>
      <w:tr w:rsidR="004A0C15" w:rsidRPr="00CC0F87" w:rsidTr="00CC3FA0">
        <w:trPr>
          <w:cantSplit/>
          <w:trHeight w:val="29"/>
          <w:tblHeader/>
          <w:jc w:val="center"/>
        </w:trPr>
        <w:tc>
          <w:tcPr>
            <w:tcW w:w="520" w:type="pct"/>
            <w:vMerge/>
            <w:shd w:val="clear" w:color="auto" w:fill="FFFFFF"/>
            <w:vAlign w:val="center"/>
          </w:tcPr>
          <w:p w:rsidR="004A0C15" w:rsidRPr="00CC0F87" w:rsidRDefault="004A0C15" w:rsidP="000E2AC6">
            <w:pPr>
              <w:bidi w:val="0"/>
              <w:snapToGrid w:val="0"/>
              <w:jc w:val="both"/>
              <w:rPr>
                <w:rFonts w:cs="Times New Roman"/>
                <w:color w:val="000000"/>
              </w:rPr>
            </w:pPr>
          </w:p>
        </w:tc>
        <w:tc>
          <w:tcPr>
            <w:tcW w:w="1111" w:type="pct"/>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Mean ± SD</w:t>
            </w:r>
          </w:p>
        </w:tc>
        <w:tc>
          <w:tcPr>
            <w:tcW w:w="126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Mean ± SD</w:t>
            </w:r>
          </w:p>
        </w:tc>
        <w:tc>
          <w:tcPr>
            <w:tcW w:w="1108"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Mean ± SD</w:t>
            </w:r>
          </w:p>
        </w:tc>
        <w:tc>
          <w:tcPr>
            <w:tcW w:w="562" w:type="pct"/>
            <w:vMerge/>
          </w:tcPr>
          <w:p w:rsidR="004A0C15" w:rsidRPr="00CC0F87" w:rsidRDefault="004A0C15" w:rsidP="000E2AC6">
            <w:pPr>
              <w:bidi w:val="0"/>
              <w:snapToGrid w:val="0"/>
              <w:jc w:val="both"/>
              <w:rPr>
                <w:rFonts w:cs="Times New Roman"/>
                <w:color w:val="000000"/>
              </w:rPr>
            </w:pPr>
          </w:p>
        </w:tc>
        <w:tc>
          <w:tcPr>
            <w:tcW w:w="438" w:type="pct"/>
            <w:vMerge/>
          </w:tcPr>
          <w:p w:rsidR="004A0C15" w:rsidRPr="00CC0F87" w:rsidRDefault="004A0C15" w:rsidP="000E2AC6">
            <w:pPr>
              <w:bidi w:val="0"/>
              <w:snapToGrid w:val="0"/>
              <w:jc w:val="both"/>
              <w:rPr>
                <w:rFonts w:cs="Times New Roman"/>
                <w:color w:val="000000"/>
              </w:rPr>
            </w:pPr>
          </w:p>
        </w:tc>
      </w:tr>
      <w:tr w:rsidR="004A0C15" w:rsidRPr="00CC0F87" w:rsidTr="00CC3FA0">
        <w:trPr>
          <w:cantSplit/>
          <w:trHeight w:val="29"/>
          <w:jc w:val="center"/>
        </w:trPr>
        <w:tc>
          <w:tcPr>
            <w:tcW w:w="52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IL 18</w:t>
            </w:r>
          </w:p>
        </w:tc>
        <w:tc>
          <w:tcPr>
            <w:tcW w:w="1111"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17.50 ±</w:t>
            </w:r>
            <w:r w:rsidR="00CC0F87">
              <w:rPr>
                <w:rFonts w:cs="Times New Roman"/>
                <w:color w:val="000000"/>
              </w:rPr>
              <w:t xml:space="preserve"> </w:t>
            </w:r>
            <w:r w:rsidRPr="00CC0F87">
              <w:rPr>
                <w:rFonts w:cs="Times New Roman"/>
                <w:color w:val="000000"/>
              </w:rPr>
              <w:t>.42</w:t>
            </w:r>
          </w:p>
        </w:tc>
        <w:tc>
          <w:tcPr>
            <w:tcW w:w="126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10.70 ± 6.63</w:t>
            </w:r>
          </w:p>
        </w:tc>
        <w:tc>
          <w:tcPr>
            <w:tcW w:w="1108"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12.17 ± 8.77</w:t>
            </w:r>
          </w:p>
        </w:tc>
        <w:tc>
          <w:tcPr>
            <w:tcW w:w="562" w:type="pct"/>
          </w:tcPr>
          <w:p w:rsidR="004A0C15" w:rsidRPr="00CC0F87" w:rsidRDefault="004A0C15" w:rsidP="000E2AC6">
            <w:pPr>
              <w:bidi w:val="0"/>
              <w:snapToGrid w:val="0"/>
              <w:jc w:val="both"/>
              <w:rPr>
                <w:rFonts w:cs="Times New Roman"/>
                <w:color w:val="000000"/>
              </w:rPr>
            </w:pPr>
            <w:r w:rsidRPr="00CC0F87">
              <w:rPr>
                <w:rFonts w:cs="Times New Roman"/>
                <w:color w:val="000000"/>
              </w:rPr>
              <w:t>5.742</w:t>
            </w:r>
          </w:p>
        </w:tc>
        <w:tc>
          <w:tcPr>
            <w:tcW w:w="438" w:type="pct"/>
          </w:tcPr>
          <w:p w:rsidR="004A0C15" w:rsidRPr="00CC0F87" w:rsidRDefault="004A0C15" w:rsidP="000E2AC6">
            <w:pPr>
              <w:bidi w:val="0"/>
              <w:snapToGrid w:val="0"/>
              <w:jc w:val="both"/>
              <w:rPr>
                <w:rFonts w:cs="Times New Roman"/>
                <w:color w:val="000000"/>
              </w:rPr>
            </w:pPr>
            <w:r w:rsidRPr="00CC0F87">
              <w:rPr>
                <w:rFonts w:cs="Times New Roman"/>
                <w:color w:val="000000"/>
              </w:rPr>
              <w:t>&gt; 0.05</w:t>
            </w:r>
          </w:p>
        </w:tc>
      </w:tr>
    </w:tbl>
    <w:p w:rsidR="004A0C15" w:rsidRPr="00CC0F87" w:rsidRDefault="004A0C15" w:rsidP="000E2AC6">
      <w:pPr>
        <w:bidi w:val="0"/>
        <w:snapToGrid w:val="0"/>
        <w:ind w:firstLine="425"/>
        <w:jc w:val="both"/>
        <w:rPr>
          <w:rFonts w:cs="Times New Roman"/>
          <w:color w:val="141314"/>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tblPr>
      <w:tblGrid>
        <w:gridCol w:w="1408"/>
        <w:gridCol w:w="2997"/>
        <w:gridCol w:w="2915"/>
        <w:gridCol w:w="453"/>
        <w:gridCol w:w="455"/>
        <w:gridCol w:w="1180"/>
      </w:tblGrid>
      <w:tr w:rsidR="004A0C15" w:rsidRPr="00CC0F87" w:rsidTr="00CC3FA0">
        <w:trPr>
          <w:cantSplit/>
          <w:tblHeader/>
          <w:jc w:val="center"/>
        </w:trPr>
        <w:tc>
          <w:tcPr>
            <w:tcW w:w="748" w:type="pct"/>
            <w:vMerge w:val="restart"/>
            <w:shd w:val="clear" w:color="auto" w:fill="FFFFFF"/>
            <w:vAlign w:val="center"/>
          </w:tcPr>
          <w:p w:rsidR="004A0C15" w:rsidRPr="00CC0F87" w:rsidRDefault="004A0C15" w:rsidP="00CC3FA0">
            <w:pPr>
              <w:bidi w:val="0"/>
              <w:snapToGrid w:val="0"/>
              <w:jc w:val="both"/>
              <w:rPr>
                <w:rFonts w:cs="Times New Roman"/>
                <w:b/>
                <w:bCs/>
                <w:color w:val="000000"/>
              </w:rPr>
            </w:pPr>
            <w:r w:rsidRPr="00CC0F87">
              <w:rPr>
                <w:rFonts w:cs="Times New Roman"/>
                <w:b/>
                <w:bCs/>
                <w:color w:val="000000"/>
              </w:rPr>
              <w:t>Table 5</w:t>
            </w:r>
          </w:p>
        </w:tc>
        <w:tc>
          <w:tcPr>
            <w:tcW w:w="1593" w:type="pct"/>
            <w:tcBorders>
              <w:left w:val="single" w:sz="4" w:space="0" w:color="auto"/>
            </w:tcBorders>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HCC groups</w:t>
            </w:r>
          </w:p>
        </w:tc>
        <w:tc>
          <w:tcPr>
            <w:tcW w:w="1790" w:type="pct"/>
            <w:gridSpan w:val="2"/>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Test value</w:t>
            </w:r>
          </w:p>
        </w:tc>
        <w:tc>
          <w:tcPr>
            <w:tcW w:w="869" w:type="pct"/>
            <w:gridSpan w:val="2"/>
            <w:vAlign w:val="center"/>
          </w:tcPr>
          <w:p w:rsidR="004A0C15" w:rsidRPr="00CC0F87" w:rsidRDefault="004A0C15" w:rsidP="00CC3FA0">
            <w:pPr>
              <w:bidi w:val="0"/>
              <w:snapToGrid w:val="0"/>
              <w:jc w:val="both"/>
              <w:rPr>
                <w:rFonts w:cs="Times New Roman"/>
                <w:color w:val="000000"/>
              </w:rPr>
            </w:pPr>
            <w:r w:rsidRPr="00CC0F87">
              <w:rPr>
                <w:rFonts w:cs="Times New Roman"/>
                <w:i/>
                <w:iCs/>
                <w:color w:val="000000"/>
              </w:rPr>
              <w:t>p</w:t>
            </w:r>
            <w:r w:rsidRPr="00CC0F87">
              <w:rPr>
                <w:rFonts w:cs="Times New Roman"/>
                <w:color w:val="000000"/>
              </w:rPr>
              <w:t>-value</w:t>
            </w:r>
          </w:p>
        </w:tc>
      </w:tr>
      <w:tr w:rsidR="004A0C15" w:rsidRPr="00CC0F87" w:rsidTr="00CC3FA0">
        <w:trPr>
          <w:cantSplit/>
          <w:tblHeader/>
          <w:jc w:val="center"/>
        </w:trPr>
        <w:tc>
          <w:tcPr>
            <w:tcW w:w="748" w:type="pct"/>
            <w:vMerge/>
            <w:shd w:val="clear" w:color="auto" w:fill="FFFFFF"/>
            <w:vAlign w:val="center"/>
          </w:tcPr>
          <w:p w:rsidR="004A0C15" w:rsidRPr="00CC0F87" w:rsidRDefault="004A0C15" w:rsidP="00CC3FA0">
            <w:pPr>
              <w:bidi w:val="0"/>
              <w:snapToGrid w:val="0"/>
              <w:jc w:val="both"/>
              <w:rPr>
                <w:rFonts w:cs="Times New Roman"/>
                <w:color w:val="000000"/>
              </w:rPr>
            </w:pPr>
          </w:p>
        </w:tc>
        <w:tc>
          <w:tcPr>
            <w:tcW w:w="1593" w:type="pct"/>
            <w:tcBorders>
              <w:left w:val="single" w:sz="4" w:space="0" w:color="auto"/>
            </w:tcBorders>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Single focus</w:t>
            </w:r>
            <w:r w:rsidRPr="00CC0F87">
              <w:rPr>
                <w:rFonts w:cs="Times New Roman"/>
                <w:color w:val="000000"/>
                <w:lang w:bidi="ar-EG"/>
              </w:rPr>
              <w:t xml:space="preserve"> </w:t>
            </w:r>
            <w:r w:rsidRPr="00CC0F87">
              <w:rPr>
                <w:rFonts w:cs="Times New Roman"/>
                <w:color w:val="000000"/>
              </w:rPr>
              <w:t>(n=17)</w:t>
            </w:r>
          </w:p>
        </w:tc>
        <w:tc>
          <w:tcPr>
            <w:tcW w:w="1549"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Multiple foci</w:t>
            </w:r>
            <w:r w:rsidRPr="00CC0F87">
              <w:rPr>
                <w:rFonts w:cs="Times New Roman"/>
                <w:color w:val="000000"/>
                <w:lang w:bidi="ar-EG"/>
              </w:rPr>
              <w:t xml:space="preserve"> </w:t>
            </w:r>
            <w:r w:rsidRPr="00CC0F87">
              <w:rPr>
                <w:rFonts w:cs="Times New Roman"/>
                <w:color w:val="000000"/>
              </w:rPr>
              <w:t>(n=9)</w:t>
            </w:r>
          </w:p>
        </w:tc>
        <w:tc>
          <w:tcPr>
            <w:tcW w:w="483" w:type="pct"/>
            <w:gridSpan w:val="2"/>
            <w:vMerge w:val="restart"/>
            <w:vAlign w:val="center"/>
          </w:tcPr>
          <w:p w:rsidR="004A0C15" w:rsidRPr="00CC0F87" w:rsidRDefault="004A0C15" w:rsidP="00CC3FA0">
            <w:pPr>
              <w:bidi w:val="0"/>
              <w:snapToGrid w:val="0"/>
              <w:jc w:val="both"/>
              <w:rPr>
                <w:rFonts w:cs="Times New Roman"/>
                <w:color w:val="000000"/>
              </w:rPr>
            </w:pPr>
          </w:p>
        </w:tc>
        <w:tc>
          <w:tcPr>
            <w:tcW w:w="628" w:type="pct"/>
            <w:vMerge w:val="restart"/>
            <w:vAlign w:val="center"/>
          </w:tcPr>
          <w:p w:rsidR="004A0C15" w:rsidRPr="00CC0F87" w:rsidRDefault="004A0C15" w:rsidP="00CC3FA0">
            <w:pPr>
              <w:bidi w:val="0"/>
              <w:snapToGrid w:val="0"/>
              <w:jc w:val="both"/>
              <w:rPr>
                <w:rFonts w:cs="Times New Roman"/>
                <w:color w:val="000000"/>
              </w:rPr>
            </w:pPr>
          </w:p>
        </w:tc>
      </w:tr>
      <w:tr w:rsidR="004A0C15" w:rsidRPr="00CC0F87" w:rsidTr="00CC3FA0">
        <w:trPr>
          <w:cantSplit/>
          <w:tblHeader/>
          <w:jc w:val="center"/>
        </w:trPr>
        <w:tc>
          <w:tcPr>
            <w:tcW w:w="748" w:type="pct"/>
            <w:vMerge/>
            <w:shd w:val="clear" w:color="auto" w:fill="FFFFFF"/>
            <w:vAlign w:val="center"/>
          </w:tcPr>
          <w:p w:rsidR="004A0C15" w:rsidRPr="00CC0F87" w:rsidRDefault="004A0C15" w:rsidP="00CC3FA0">
            <w:pPr>
              <w:bidi w:val="0"/>
              <w:snapToGrid w:val="0"/>
              <w:jc w:val="both"/>
              <w:rPr>
                <w:rFonts w:cs="Times New Roman"/>
                <w:color w:val="000000"/>
              </w:rPr>
            </w:pPr>
          </w:p>
        </w:tc>
        <w:tc>
          <w:tcPr>
            <w:tcW w:w="1593"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Mean ± SD</w:t>
            </w:r>
          </w:p>
        </w:tc>
        <w:tc>
          <w:tcPr>
            <w:tcW w:w="1549"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Mean ± SD</w:t>
            </w:r>
          </w:p>
        </w:tc>
        <w:tc>
          <w:tcPr>
            <w:tcW w:w="483" w:type="pct"/>
            <w:gridSpan w:val="2"/>
            <w:vMerge/>
            <w:vAlign w:val="center"/>
          </w:tcPr>
          <w:p w:rsidR="004A0C15" w:rsidRPr="00CC0F87" w:rsidRDefault="004A0C15" w:rsidP="00CC3FA0">
            <w:pPr>
              <w:bidi w:val="0"/>
              <w:snapToGrid w:val="0"/>
              <w:jc w:val="both"/>
              <w:rPr>
                <w:rFonts w:cs="Times New Roman"/>
                <w:color w:val="000000"/>
              </w:rPr>
            </w:pPr>
          </w:p>
        </w:tc>
        <w:tc>
          <w:tcPr>
            <w:tcW w:w="628" w:type="pct"/>
            <w:vMerge/>
            <w:vAlign w:val="center"/>
          </w:tcPr>
          <w:p w:rsidR="004A0C15" w:rsidRPr="00CC0F87" w:rsidRDefault="004A0C15" w:rsidP="00CC3FA0">
            <w:pPr>
              <w:bidi w:val="0"/>
              <w:snapToGrid w:val="0"/>
              <w:jc w:val="both"/>
              <w:rPr>
                <w:rFonts w:cs="Times New Roman"/>
                <w:color w:val="000000"/>
              </w:rPr>
            </w:pPr>
          </w:p>
        </w:tc>
      </w:tr>
      <w:tr w:rsidR="004A0C15" w:rsidRPr="00CC0F87" w:rsidTr="00CC3FA0">
        <w:trPr>
          <w:cantSplit/>
          <w:tblHeader/>
          <w:jc w:val="center"/>
        </w:trPr>
        <w:tc>
          <w:tcPr>
            <w:tcW w:w="748"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IL 18</w:t>
            </w:r>
          </w:p>
        </w:tc>
        <w:tc>
          <w:tcPr>
            <w:tcW w:w="1593"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10.74 ± 3.7</w:t>
            </w:r>
          </w:p>
        </w:tc>
        <w:tc>
          <w:tcPr>
            <w:tcW w:w="1549"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13.86 ± 15.7</w:t>
            </w:r>
          </w:p>
        </w:tc>
        <w:tc>
          <w:tcPr>
            <w:tcW w:w="483" w:type="pct"/>
            <w:gridSpan w:val="2"/>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1.952</w:t>
            </w:r>
          </w:p>
        </w:tc>
        <w:tc>
          <w:tcPr>
            <w:tcW w:w="628" w:type="pct"/>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&gt;0.05</w:t>
            </w:r>
          </w:p>
        </w:tc>
      </w:tr>
      <w:tr w:rsidR="004A0C15" w:rsidRPr="00CC0F87" w:rsidTr="00CC3FA0">
        <w:trPr>
          <w:cantSplit/>
          <w:jc w:val="center"/>
        </w:trPr>
        <w:tc>
          <w:tcPr>
            <w:tcW w:w="748"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alpha-FP</w:t>
            </w:r>
          </w:p>
        </w:tc>
        <w:tc>
          <w:tcPr>
            <w:tcW w:w="1593"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473 ± 426</w:t>
            </w:r>
          </w:p>
        </w:tc>
        <w:tc>
          <w:tcPr>
            <w:tcW w:w="1549" w:type="pct"/>
            <w:shd w:val="clear" w:color="auto" w:fill="FFFFFF"/>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332 ± 372</w:t>
            </w:r>
          </w:p>
        </w:tc>
        <w:tc>
          <w:tcPr>
            <w:tcW w:w="483" w:type="pct"/>
            <w:gridSpan w:val="2"/>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1.209</w:t>
            </w:r>
          </w:p>
        </w:tc>
        <w:tc>
          <w:tcPr>
            <w:tcW w:w="628" w:type="pct"/>
            <w:vAlign w:val="center"/>
          </w:tcPr>
          <w:p w:rsidR="004A0C15" w:rsidRPr="00CC0F87" w:rsidRDefault="004A0C15" w:rsidP="00CC3FA0">
            <w:pPr>
              <w:bidi w:val="0"/>
              <w:snapToGrid w:val="0"/>
              <w:jc w:val="both"/>
              <w:rPr>
                <w:rFonts w:cs="Times New Roman"/>
                <w:color w:val="000000"/>
              </w:rPr>
            </w:pPr>
            <w:r w:rsidRPr="00CC0F87">
              <w:rPr>
                <w:rFonts w:cs="Times New Roman"/>
                <w:color w:val="000000"/>
              </w:rPr>
              <w:t>&gt;0.05</w:t>
            </w:r>
          </w:p>
        </w:tc>
      </w:tr>
    </w:tbl>
    <w:p w:rsidR="004A0C15" w:rsidRPr="00CC0F87" w:rsidRDefault="004A0C15" w:rsidP="000E2AC6">
      <w:pPr>
        <w:bidi w:val="0"/>
        <w:snapToGrid w:val="0"/>
        <w:ind w:firstLine="425"/>
        <w:jc w:val="both"/>
        <w:rPr>
          <w:rFonts w:eastAsiaTheme="minorEastAsia" w:cs="Times New Roman"/>
          <w:color w:val="141314"/>
          <w:lang w:eastAsia="zh-CN"/>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tblPr>
      <w:tblGrid>
        <w:gridCol w:w="2597"/>
        <w:gridCol w:w="1919"/>
        <w:gridCol w:w="1385"/>
        <w:gridCol w:w="2122"/>
        <w:gridCol w:w="1385"/>
      </w:tblGrid>
      <w:tr w:rsidR="004A0C15" w:rsidRPr="00CC0F87" w:rsidTr="00CC3FA0">
        <w:trPr>
          <w:cantSplit/>
          <w:trHeight w:val="262"/>
          <w:tblHeader/>
          <w:jc w:val="center"/>
        </w:trPr>
        <w:tc>
          <w:tcPr>
            <w:tcW w:w="1380" w:type="pct"/>
            <w:vMerge w:val="restart"/>
            <w:shd w:val="clear" w:color="auto" w:fill="FFFFFF"/>
            <w:vAlign w:val="center"/>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6</w:t>
            </w:r>
          </w:p>
        </w:tc>
        <w:tc>
          <w:tcPr>
            <w:tcW w:w="1756" w:type="pct"/>
            <w:gridSpan w:val="2"/>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IL 18</w:t>
            </w:r>
          </w:p>
        </w:tc>
        <w:tc>
          <w:tcPr>
            <w:tcW w:w="1865" w:type="pct"/>
            <w:gridSpan w:val="2"/>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alpha-FP</w:t>
            </w:r>
          </w:p>
        </w:tc>
      </w:tr>
      <w:tr w:rsidR="004A0C15" w:rsidRPr="00CC0F87" w:rsidTr="00CC3FA0">
        <w:trPr>
          <w:cantSplit/>
          <w:trHeight w:val="183"/>
          <w:tblHeader/>
          <w:jc w:val="center"/>
        </w:trPr>
        <w:tc>
          <w:tcPr>
            <w:tcW w:w="1380" w:type="pct"/>
            <w:vMerge/>
            <w:shd w:val="clear" w:color="auto" w:fill="FFFFFF"/>
            <w:vAlign w:val="center"/>
          </w:tcPr>
          <w:p w:rsidR="004A0C15" w:rsidRPr="00CC0F87" w:rsidRDefault="004A0C15" w:rsidP="000E2AC6">
            <w:pPr>
              <w:bidi w:val="0"/>
              <w:snapToGrid w:val="0"/>
              <w:jc w:val="both"/>
              <w:rPr>
                <w:rFonts w:cs="Times New Roman"/>
                <w:color w:val="000000"/>
              </w:rPr>
            </w:pPr>
          </w:p>
        </w:tc>
        <w:tc>
          <w:tcPr>
            <w:tcW w:w="1020" w:type="pct"/>
            <w:tcBorders>
              <w:right w:val="single" w:sz="2" w:space="0" w:color="000000"/>
            </w:tcBorders>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Correlation Coefficient (r)</w:t>
            </w:r>
          </w:p>
        </w:tc>
        <w:tc>
          <w:tcPr>
            <w:tcW w:w="736" w:type="pct"/>
            <w:tcBorders>
              <w:left w:val="single" w:sz="2" w:space="0" w:color="000000"/>
            </w:tcBorders>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i/>
                <w:iCs/>
                <w:color w:val="000000"/>
              </w:rPr>
              <w:t>p</w:t>
            </w:r>
            <w:r w:rsidRPr="00CC0F87">
              <w:rPr>
                <w:rFonts w:cs="Times New Roman"/>
                <w:color w:val="000000"/>
              </w:rPr>
              <w:t>-value</w:t>
            </w:r>
          </w:p>
        </w:tc>
        <w:tc>
          <w:tcPr>
            <w:tcW w:w="1128" w:type="pct"/>
            <w:tcBorders>
              <w:right w:val="single" w:sz="2" w:space="0" w:color="000000"/>
            </w:tcBorders>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color w:val="000000"/>
              </w:rPr>
              <w:t>Correlation Coefficient (r)</w:t>
            </w:r>
          </w:p>
        </w:tc>
        <w:tc>
          <w:tcPr>
            <w:tcW w:w="737" w:type="pct"/>
            <w:tcBorders>
              <w:left w:val="single" w:sz="2" w:space="0" w:color="000000"/>
            </w:tcBorders>
            <w:shd w:val="clear" w:color="auto" w:fill="FFFFFF"/>
            <w:vAlign w:val="bottom"/>
          </w:tcPr>
          <w:p w:rsidR="004A0C15" w:rsidRPr="00CC0F87" w:rsidRDefault="004A0C15" w:rsidP="000E2AC6">
            <w:pPr>
              <w:bidi w:val="0"/>
              <w:snapToGrid w:val="0"/>
              <w:jc w:val="both"/>
              <w:rPr>
                <w:rFonts w:cs="Times New Roman"/>
                <w:color w:val="000000"/>
              </w:rPr>
            </w:pPr>
            <w:r w:rsidRPr="00CC0F87">
              <w:rPr>
                <w:rFonts w:cs="Times New Roman"/>
                <w:i/>
                <w:iCs/>
                <w:color w:val="000000"/>
              </w:rPr>
              <w:t>p</w:t>
            </w:r>
            <w:r w:rsidRPr="00CC0F87">
              <w:rPr>
                <w:rFonts w:cs="Times New Roman"/>
                <w:color w:val="000000"/>
              </w:rPr>
              <w:t>-value</w:t>
            </w:r>
          </w:p>
        </w:tc>
      </w:tr>
      <w:tr w:rsidR="004A0C15" w:rsidRPr="00CC0F87" w:rsidTr="00CC3FA0">
        <w:trPr>
          <w:cantSplit/>
          <w:trHeight w:val="262"/>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alpha-FP</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.151</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262"/>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IL 18</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.151</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262"/>
          <w:tblHeader/>
          <w:jc w:val="center"/>
        </w:trPr>
        <w:tc>
          <w:tcPr>
            <w:tcW w:w="1380" w:type="pct"/>
            <w:shd w:val="clear" w:color="auto" w:fill="FFFFFF"/>
          </w:tcPr>
          <w:p w:rsidR="004A0C15" w:rsidRPr="00CC0F87" w:rsidRDefault="004A0C15" w:rsidP="000E2AC6">
            <w:pPr>
              <w:tabs>
                <w:tab w:val="left" w:pos="990"/>
              </w:tabs>
              <w:bidi w:val="0"/>
              <w:snapToGrid w:val="0"/>
              <w:jc w:val="both"/>
              <w:rPr>
                <w:rFonts w:cs="Times New Roman"/>
                <w:color w:val="000000"/>
              </w:rPr>
            </w:pPr>
            <w:r w:rsidRPr="00CC0F87">
              <w:rPr>
                <w:rFonts w:cs="Times New Roman"/>
                <w:color w:val="000000"/>
              </w:rPr>
              <w:t>age</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-.121</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-.144</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22"/>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Spiral CT (Foci size cm )</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-.091</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.200</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262"/>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ALT</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-.015</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-.155</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278"/>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AST</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.153</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-.091</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183"/>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 xml:space="preserve">T. </w:t>
            </w:r>
            <w:proofErr w:type="spellStart"/>
            <w:r w:rsidRPr="00CC0F87">
              <w:rPr>
                <w:rFonts w:cs="Times New Roman"/>
                <w:color w:val="000000"/>
              </w:rPr>
              <w:t>Bilir</w:t>
            </w:r>
            <w:proofErr w:type="spellEnd"/>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.104</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.148</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183"/>
          <w:tblHeader/>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 xml:space="preserve">D. </w:t>
            </w:r>
            <w:proofErr w:type="spellStart"/>
            <w:r w:rsidRPr="00CC0F87">
              <w:rPr>
                <w:rFonts w:cs="Times New Roman"/>
                <w:color w:val="000000"/>
              </w:rPr>
              <w:t>Bilir</w:t>
            </w:r>
            <w:proofErr w:type="spellEnd"/>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.149</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.114</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r w:rsidR="004A0C15" w:rsidRPr="00CC0F87" w:rsidTr="00CC3FA0">
        <w:trPr>
          <w:cantSplit/>
          <w:trHeight w:val="183"/>
          <w:jc w:val="center"/>
        </w:trPr>
        <w:tc>
          <w:tcPr>
            <w:tcW w:w="138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platelets</w:t>
            </w:r>
          </w:p>
        </w:tc>
        <w:tc>
          <w:tcPr>
            <w:tcW w:w="1020"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.049</w:t>
            </w:r>
          </w:p>
        </w:tc>
        <w:tc>
          <w:tcPr>
            <w:tcW w:w="736"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c>
          <w:tcPr>
            <w:tcW w:w="1128" w:type="pct"/>
            <w:tcBorders>
              <w:righ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-.019</w:t>
            </w:r>
          </w:p>
        </w:tc>
        <w:tc>
          <w:tcPr>
            <w:tcW w:w="737" w:type="pct"/>
            <w:tcBorders>
              <w:left w:val="single" w:sz="2" w:space="0" w:color="000000"/>
            </w:tcBorders>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&gt;0.05</w:t>
            </w:r>
          </w:p>
        </w:tc>
      </w:tr>
    </w:tbl>
    <w:p w:rsidR="004A0C15" w:rsidRPr="00CC0F87" w:rsidRDefault="004A0C15" w:rsidP="000E2AC6">
      <w:pPr>
        <w:bidi w:val="0"/>
        <w:snapToGrid w:val="0"/>
        <w:ind w:firstLine="425"/>
        <w:jc w:val="both"/>
        <w:rPr>
          <w:rFonts w:eastAsiaTheme="minorEastAsia" w:cs="Times New Roman"/>
          <w:lang w:eastAsia="zh-CN"/>
        </w:rPr>
      </w:pPr>
    </w:p>
    <w:tbl>
      <w:tblPr>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tblPr>
      <w:tblGrid>
        <w:gridCol w:w="2117"/>
        <w:gridCol w:w="2137"/>
        <w:gridCol w:w="1693"/>
        <w:gridCol w:w="1643"/>
        <w:gridCol w:w="1818"/>
      </w:tblGrid>
      <w:tr w:rsidR="004A0C15" w:rsidRPr="00CC0F87" w:rsidTr="00CC3FA0">
        <w:trPr>
          <w:cantSplit/>
          <w:trHeight w:val="17"/>
          <w:tblHeader/>
          <w:jc w:val="center"/>
        </w:trPr>
        <w:tc>
          <w:tcPr>
            <w:tcW w:w="5000" w:type="pct"/>
            <w:gridSpan w:val="5"/>
            <w:shd w:val="clear" w:color="auto" w:fill="FFFFFF"/>
            <w:vAlign w:val="center"/>
          </w:tcPr>
          <w:p w:rsidR="004A0C15" w:rsidRPr="00CC0F87" w:rsidRDefault="004A0C15" w:rsidP="000E2AC6">
            <w:pPr>
              <w:bidi w:val="0"/>
              <w:snapToGrid w:val="0"/>
              <w:jc w:val="both"/>
              <w:rPr>
                <w:rFonts w:cs="Times New Roman"/>
                <w:b/>
                <w:bCs/>
                <w:color w:val="000000"/>
              </w:rPr>
            </w:pPr>
            <w:r w:rsidRPr="00CC0F87">
              <w:rPr>
                <w:rFonts w:cs="Times New Roman"/>
                <w:b/>
                <w:bCs/>
                <w:color w:val="000000"/>
              </w:rPr>
              <w:t>Table 7</w:t>
            </w:r>
          </w:p>
        </w:tc>
      </w:tr>
      <w:tr w:rsidR="004A0C15" w:rsidRPr="00CC0F87" w:rsidTr="00CC3FA0">
        <w:trPr>
          <w:cantSplit/>
          <w:trHeight w:val="17"/>
          <w:tblHeader/>
          <w:jc w:val="center"/>
        </w:trPr>
        <w:tc>
          <w:tcPr>
            <w:tcW w:w="1125" w:type="pct"/>
            <w:shd w:val="clear" w:color="auto" w:fill="FFFFFF"/>
            <w:vAlign w:val="center"/>
          </w:tcPr>
          <w:p w:rsidR="004A0C15" w:rsidRPr="00CC0F87" w:rsidRDefault="004A0C15" w:rsidP="000E2AC6">
            <w:pPr>
              <w:bidi w:val="0"/>
              <w:snapToGrid w:val="0"/>
              <w:jc w:val="both"/>
              <w:rPr>
                <w:rFonts w:cs="Times New Roman"/>
                <w:color w:val="000000"/>
              </w:rPr>
            </w:pPr>
            <w:r w:rsidRPr="00CC0F87">
              <w:rPr>
                <w:rFonts w:cs="Times New Roman"/>
                <w:color w:val="000000"/>
              </w:rPr>
              <w:t>Variable(s)</w:t>
            </w:r>
          </w:p>
        </w:tc>
        <w:tc>
          <w:tcPr>
            <w:tcW w:w="1136" w:type="pct"/>
            <w:shd w:val="clear" w:color="auto" w:fill="FFFFFF"/>
            <w:vAlign w:val="center"/>
          </w:tcPr>
          <w:p w:rsidR="004A0C15" w:rsidRPr="00CC0F87" w:rsidRDefault="004A0C15" w:rsidP="000E2AC6">
            <w:pPr>
              <w:bidi w:val="0"/>
              <w:snapToGrid w:val="0"/>
              <w:jc w:val="both"/>
              <w:rPr>
                <w:rFonts w:cs="Times New Roman"/>
                <w:color w:val="000000"/>
              </w:rPr>
            </w:pPr>
            <w:r w:rsidRPr="00CC0F87">
              <w:rPr>
                <w:rFonts w:cs="Times New Roman"/>
                <w:b/>
                <w:bCs/>
                <w:color w:val="000000"/>
              </w:rPr>
              <w:t>AUC</w:t>
            </w:r>
          </w:p>
        </w:tc>
        <w:tc>
          <w:tcPr>
            <w:tcW w:w="900" w:type="pct"/>
            <w:shd w:val="clear" w:color="auto" w:fill="FFFFFF"/>
            <w:vAlign w:val="center"/>
          </w:tcPr>
          <w:p w:rsidR="004A0C15" w:rsidRPr="00CC0F87" w:rsidRDefault="004A0C15" w:rsidP="000E2AC6">
            <w:pPr>
              <w:bidi w:val="0"/>
              <w:snapToGrid w:val="0"/>
              <w:jc w:val="both"/>
              <w:rPr>
                <w:rFonts w:cs="Times New Roman"/>
                <w:color w:val="000000"/>
              </w:rPr>
            </w:pPr>
            <w:r w:rsidRPr="00CC0F87">
              <w:rPr>
                <w:rFonts w:cs="Times New Roman"/>
                <w:b/>
                <w:bCs/>
                <w:color w:val="000000"/>
              </w:rPr>
              <w:t>HCC</w:t>
            </w:r>
            <w:r w:rsidRPr="00CC0F87">
              <w:rPr>
                <w:rFonts w:cs="Times New Roman"/>
                <w:color w:val="000000"/>
              </w:rPr>
              <w:t xml:space="preserve"> if ≥</w:t>
            </w:r>
          </w:p>
        </w:tc>
        <w:tc>
          <w:tcPr>
            <w:tcW w:w="873" w:type="pct"/>
            <w:shd w:val="clear" w:color="auto" w:fill="FFFFFF"/>
            <w:vAlign w:val="center"/>
          </w:tcPr>
          <w:p w:rsidR="004A0C15" w:rsidRPr="00CC0F87" w:rsidRDefault="004A0C15" w:rsidP="000E2AC6">
            <w:pPr>
              <w:bidi w:val="0"/>
              <w:snapToGrid w:val="0"/>
              <w:jc w:val="both"/>
              <w:rPr>
                <w:rFonts w:cs="Times New Roman"/>
                <w:color w:val="000000"/>
              </w:rPr>
            </w:pPr>
            <w:r w:rsidRPr="00CC0F87">
              <w:rPr>
                <w:rFonts w:cs="Times New Roman"/>
                <w:color w:val="000000"/>
              </w:rPr>
              <w:t>Sensitivity</w:t>
            </w:r>
          </w:p>
        </w:tc>
        <w:tc>
          <w:tcPr>
            <w:tcW w:w="965" w:type="pct"/>
            <w:shd w:val="clear" w:color="auto" w:fill="FFFFFF"/>
            <w:vAlign w:val="center"/>
          </w:tcPr>
          <w:p w:rsidR="004A0C15" w:rsidRPr="00CC0F87" w:rsidRDefault="004A0C15" w:rsidP="000E2AC6">
            <w:pPr>
              <w:bidi w:val="0"/>
              <w:snapToGrid w:val="0"/>
              <w:jc w:val="both"/>
              <w:rPr>
                <w:rFonts w:cs="Times New Roman"/>
                <w:color w:val="000000"/>
              </w:rPr>
            </w:pPr>
            <w:r w:rsidRPr="00CC0F87">
              <w:rPr>
                <w:rFonts w:cs="Times New Roman"/>
                <w:color w:val="000000"/>
              </w:rPr>
              <w:t>Specificity</w:t>
            </w:r>
          </w:p>
        </w:tc>
      </w:tr>
      <w:tr w:rsidR="004A0C15" w:rsidRPr="00CC0F87" w:rsidTr="00CC3FA0">
        <w:trPr>
          <w:cantSplit/>
          <w:trHeight w:val="53"/>
          <w:tblHeader/>
          <w:jc w:val="center"/>
        </w:trPr>
        <w:tc>
          <w:tcPr>
            <w:tcW w:w="1125"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alpha-FP</w:t>
            </w:r>
          </w:p>
        </w:tc>
        <w:tc>
          <w:tcPr>
            <w:tcW w:w="1136"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0.63</w:t>
            </w:r>
          </w:p>
        </w:tc>
        <w:tc>
          <w:tcPr>
            <w:tcW w:w="90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400</w:t>
            </w:r>
          </w:p>
        </w:tc>
        <w:tc>
          <w:tcPr>
            <w:tcW w:w="873"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37%</w:t>
            </w:r>
          </w:p>
        </w:tc>
        <w:tc>
          <w:tcPr>
            <w:tcW w:w="965"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100%</w:t>
            </w:r>
          </w:p>
        </w:tc>
      </w:tr>
      <w:tr w:rsidR="004A0C15" w:rsidRPr="00CC0F87" w:rsidTr="00CC3FA0">
        <w:trPr>
          <w:cantSplit/>
          <w:trHeight w:val="54"/>
          <w:jc w:val="center"/>
        </w:trPr>
        <w:tc>
          <w:tcPr>
            <w:tcW w:w="1125"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IL 18</w:t>
            </w:r>
          </w:p>
        </w:tc>
        <w:tc>
          <w:tcPr>
            <w:tcW w:w="1136"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0.98</w:t>
            </w:r>
          </w:p>
        </w:tc>
        <w:tc>
          <w:tcPr>
            <w:tcW w:w="900"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7.25</w:t>
            </w:r>
          </w:p>
        </w:tc>
        <w:tc>
          <w:tcPr>
            <w:tcW w:w="873"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97%</w:t>
            </w:r>
          </w:p>
        </w:tc>
        <w:tc>
          <w:tcPr>
            <w:tcW w:w="965" w:type="pct"/>
            <w:shd w:val="clear" w:color="auto" w:fill="FFFFFF"/>
          </w:tcPr>
          <w:p w:rsidR="004A0C15" w:rsidRPr="00CC0F87" w:rsidRDefault="004A0C15" w:rsidP="000E2AC6">
            <w:pPr>
              <w:bidi w:val="0"/>
              <w:snapToGrid w:val="0"/>
              <w:jc w:val="both"/>
              <w:rPr>
                <w:rFonts w:cs="Times New Roman"/>
                <w:color w:val="000000"/>
              </w:rPr>
            </w:pPr>
            <w:r w:rsidRPr="00CC0F87">
              <w:rPr>
                <w:rFonts w:cs="Times New Roman"/>
                <w:color w:val="000000"/>
              </w:rPr>
              <w:t>100%</w:t>
            </w:r>
          </w:p>
        </w:tc>
      </w:tr>
    </w:tbl>
    <w:p w:rsidR="008F16CB" w:rsidRPr="00CC0F87" w:rsidRDefault="008F16CB" w:rsidP="000E2AC6">
      <w:pPr>
        <w:bidi w:val="0"/>
        <w:snapToGrid w:val="0"/>
        <w:ind w:firstLine="425"/>
        <w:jc w:val="both"/>
        <w:rPr>
          <w:rFonts w:cs="Times New Roman"/>
          <w:color w:val="141314"/>
        </w:rPr>
      </w:pPr>
    </w:p>
    <w:p w:rsidR="000E2AC6" w:rsidRPr="00CC0F87" w:rsidRDefault="000E2AC6" w:rsidP="000E2AC6">
      <w:pPr>
        <w:bidi w:val="0"/>
        <w:snapToGrid w:val="0"/>
        <w:ind w:firstLine="425"/>
        <w:jc w:val="both"/>
        <w:rPr>
          <w:rFonts w:cs="Times New Roman"/>
          <w:color w:val="141314"/>
        </w:rPr>
        <w:sectPr w:rsidR="000E2AC6" w:rsidRPr="00CC0F87" w:rsidSect="00FE19FD">
          <w:type w:val="continuous"/>
          <w:pgSz w:w="12242" w:h="15842" w:code="1"/>
          <w:pgMar w:top="1440" w:right="1440" w:bottom="1440" w:left="1440" w:header="720" w:footer="720" w:gutter="0"/>
          <w:cols w:space="708"/>
          <w:bidi/>
          <w:docGrid w:linePitch="360"/>
        </w:sectPr>
      </w:pPr>
    </w:p>
    <w:p w:rsidR="004A0C15" w:rsidRPr="00CC0F87" w:rsidRDefault="00DE14A8" w:rsidP="000E2AC6">
      <w:pPr>
        <w:bidi w:val="0"/>
        <w:snapToGrid w:val="0"/>
        <w:jc w:val="center"/>
        <w:rPr>
          <w:rFonts w:cs="Times New Roman"/>
        </w:rPr>
      </w:pPr>
      <w:r w:rsidRPr="00CC0F87">
        <w:rPr>
          <w:rFonts w:cs="Times New Roman"/>
          <w:noProof/>
          <w:lang w:eastAsia="zh-CN"/>
        </w:rPr>
        <w:lastRenderedPageBreak/>
        <w:drawing>
          <wp:inline distT="0" distB="0" distL="0" distR="0">
            <wp:extent cx="2740053" cy="2259508"/>
            <wp:effectExtent l="19050" t="0" r="3147"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739871" cy="2259358"/>
                    </a:xfrm>
                    <a:prstGeom prst="rect">
                      <a:avLst/>
                    </a:prstGeom>
                    <a:noFill/>
                    <a:ln w="9525">
                      <a:noFill/>
                      <a:miter lim="800000"/>
                      <a:headEnd/>
                      <a:tailEnd/>
                    </a:ln>
                  </pic:spPr>
                </pic:pic>
              </a:graphicData>
            </a:graphic>
          </wp:inline>
        </w:drawing>
      </w:r>
    </w:p>
    <w:p w:rsidR="00CC0F87" w:rsidRDefault="00CC0F87" w:rsidP="000E2AC6">
      <w:pPr>
        <w:bidi w:val="0"/>
        <w:snapToGrid w:val="0"/>
        <w:jc w:val="both"/>
        <w:rPr>
          <w:rFonts w:eastAsiaTheme="minorEastAsia" w:cs="Times New Roman" w:hint="eastAsia"/>
          <w:color w:val="141314"/>
          <w:lang w:eastAsia="zh-CN"/>
        </w:rPr>
      </w:pPr>
      <w:proofErr w:type="gramStart"/>
      <w:r w:rsidRPr="00CC0F87">
        <w:rPr>
          <w:rFonts w:eastAsiaTheme="minorEastAsia" w:cs="Times New Roman" w:hint="eastAsia"/>
          <w:bCs/>
          <w:lang w:eastAsia="zh-CN"/>
        </w:rPr>
        <w:t>Figure 1.</w:t>
      </w:r>
      <w:proofErr w:type="gramEnd"/>
      <w:r w:rsidRPr="00CC0F87">
        <w:rPr>
          <w:rFonts w:eastAsiaTheme="minorEastAsia" w:cs="Times New Roman" w:hint="eastAsia"/>
          <w:bCs/>
          <w:lang w:eastAsia="zh-CN"/>
        </w:rPr>
        <w:t xml:space="preserve"> </w:t>
      </w:r>
      <w:proofErr w:type="gramStart"/>
      <w:r w:rsidRPr="00CC0F87">
        <w:rPr>
          <w:rFonts w:cs="Times New Roman"/>
          <w:color w:val="141314"/>
        </w:rPr>
        <w:t>assignment</w:t>
      </w:r>
      <w:proofErr w:type="gramEnd"/>
      <w:r w:rsidRPr="00CC0F87">
        <w:rPr>
          <w:rFonts w:cs="Times New Roman"/>
          <w:color w:val="141314"/>
        </w:rPr>
        <w:t xml:space="preserve"> of cutoff point for IL18 &amp; alpha-FP as discriminators</w:t>
      </w:r>
      <w:r>
        <w:rPr>
          <w:rFonts w:eastAsiaTheme="minorEastAsia" w:cs="Times New Roman" w:hint="eastAsia"/>
          <w:color w:val="141314"/>
          <w:lang w:eastAsia="zh-CN"/>
        </w:rPr>
        <w:t xml:space="preserve"> </w:t>
      </w:r>
      <w:r w:rsidRPr="00CC0F87">
        <w:rPr>
          <w:rFonts w:cs="Times New Roman"/>
          <w:color w:val="141314"/>
        </w:rPr>
        <w:t>between patients with HCC and those without using ROC curve.</w:t>
      </w:r>
      <w:r>
        <w:rPr>
          <w:rFonts w:eastAsiaTheme="minorEastAsia" w:cs="Times New Roman" w:hint="eastAsia"/>
          <w:color w:val="141314"/>
          <w:lang w:eastAsia="zh-CN"/>
        </w:rPr>
        <w:t xml:space="preserve"> </w:t>
      </w:r>
    </w:p>
    <w:p w:rsidR="00CC0F87" w:rsidRPr="00CC0F87" w:rsidRDefault="00CC0F87" w:rsidP="00CC0F87">
      <w:pPr>
        <w:bidi w:val="0"/>
        <w:snapToGrid w:val="0"/>
        <w:jc w:val="both"/>
        <w:rPr>
          <w:rFonts w:eastAsiaTheme="minorEastAsia" w:cs="Times New Roman" w:hint="eastAsia"/>
          <w:color w:val="141314"/>
          <w:lang w:eastAsia="zh-CN"/>
        </w:rPr>
      </w:pPr>
    </w:p>
    <w:p w:rsidR="00CC0F87" w:rsidRPr="00CC0F87" w:rsidRDefault="00CC0F87" w:rsidP="00CC0F87">
      <w:pPr>
        <w:bidi w:val="0"/>
        <w:snapToGrid w:val="0"/>
        <w:jc w:val="both"/>
        <w:rPr>
          <w:rFonts w:eastAsiaTheme="minorEastAsia" w:cs="Times New Roman" w:hint="eastAsia"/>
          <w:color w:val="141314"/>
          <w:lang w:eastAsia="zh-CN"/>
        </w:rPr>
      </w:pPr>
    </w:p>
    <w:p w:rsidR="00CC0F87" w:rsidRPr="00CC0F87" w:rsidRDefault="00CC0F87" w:rsidP="00CC0F87">
      <w:pPr>
        <w:bidi w:val="0"/>
        <w:snapToGrid w:val="0"/>
        <w:ind w:firstLine="425"/>
        <w:jc w:val="both"/>
        <w:rPr>
          <w:rFonts w:cs="Times New Roman"/>
          <w:color w:val="141314"/>
        </w:rPr>
      </w:pPr>
      <w:r w:rsidRPr="00CC0F87">
        <w:rPr>
          <w:rFonts w:cs="Times New Roman"/>
          <w:color w:val="141314"/>
        </w:rPr>
        <w:t xml:space="preserve">The </w:t>
      </w:r>
      <w:r>
        <w:rPr>
          <w:rFonts w:eastAsiaTheme="minorEastAsia" w:cs="Times New Roman" w:hint="eastAsia"/>
          <w:color w:val="141314"/>
          <w:lang w:eastAsia="zh-CN"/>
        </w:rPr>
        <w:t>F</w:t>
      </w:r>
      <w:r w:rsidRPr="00CC0F87">
        <w:rPr>
          <w:rFonts w:cs="Times New Roman"/>
          <w:color w:val="141314"/>
        </w:rPr>
        <w:t>igure</w:t>
      </w:r>
      <w:r>
        <w:rPr>
          <w:rFonts w:eastAsiaTheme="minorEastAsia" w:cs="Times New Roman" w:hint="eastAsia"/>
          <w:color w:val="141314"/>
          <w:lang w:eastAsia="zh-CN"/>
        </w:rPr>
        <w:t xml:space="preserve"> 1</w:t>
      </w:r>
      <w:r w:rsidRPr="00CC0F87">
        <w:rPr>
          <w:rFonts w:cs="Times New Roman"/>
          <w:color w:val="141314"/>
        </w:rPr>
        <w:t xml:space="preserve"> shows </w:t>
      </w:r>
      <w:bookmarkStart w:id="0" w:name="OLE_LINK1"/>
      <w:bookmarkStart w:id="1" w:name="OLE_LINK2"/>
      <w:r w:rsidRPr="00CC0F87">
        <w:rPr>
          <w:rFonts w:cs="Times New Roman"/>
          <w:color w:val="141314"/>
        </w:rPr>
        <w:t xml:space="preserve">assignment of cutoff point for IL18 &amp; alpha-FP as discriminators </w:t>
      </w:r>
      <w:bookmarkStart w:id="2" w:name="OLE_LINK3"/>
      <w:bookmarkStart w:id="3" w:name="OLE_LINK4"/>
      <w:bookmarkEnd w:id="0"/>
      <w:bookmarkEnd w:id="1"/>
      <w:r w:rsidRPr="00CC0F87">
        <w:rPr>
          <w:rFonts w:cs="Times New Roman"/>
          <w:color w:val="141314"/>
        </w:rPr>
        <w:t>between patients with HCC and those without using ROC curve.</w:t>
      </w:r>
      <w:bookmarkEnd w:id="2"/>
      <w:bookmarkEnd w:id="3"/>
    </w:p>
    <w:p w:rsidR="00CC0F87" w:rsidRPr="00CC0F87" w:rsidRDefault="00CC0F87" w:rsidP="00CC0F87">
      <w:pPr>
        <w:bidi w:val="0"/>
        <w:snapToGrid w:val="0"/>
        <w:jc w:val="both"/>
        <w:rPr>
          <w:rFonts w:eastAsiaTheme="minorEastAsia" w:cs="Times New Roman" w:hint="eastAsia"/>
          <w:b/>
          <w:bCs/>
          <w:lang w:eastAsia="zh-CN"/>
        </w:rPr>
      </w:pPr>
    </w:p>
    <w:p w:rsidR="004A0C15" w:rsidRPr="00CC0F87" w:rsidRDefault="004A0C15" w:rsidP="00CC0F87">
      <w:pPr>
        <w:bidi w:val="0"/>
        <w:snapToGrid w:val="0"/>
        <w:jc w:val="both"/>
        <w:rPr>
          <w:rFonts w:cs="Times New Roman"/>
          <w:b/>
          <w:bCs/>
        </w:rPr>
      </w:pPr>
      <w:r w:rsidRPr="00CC0F87">
        <w:rPr>
          <w:rFonts w:cs="Times New Roman"/>
          <w:b/>
          <w:bCs/>
        </w:rPr>
        <w:t>4. Discussion</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Inappropriate production of IL-18 contributes to the pathogenesis of cancers and may influence the clinical outcome of patients. Specifically, it has been demonstrated that serum IL-18 level may have prognostic significance in some types of cancer including colonic carcinoma, gastric carcinoma, esophageal carcinoma, breast cancer, and hematologic malignancies (9).</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Elevated levels of interleukin-18 were described previously for chronically HCV-infected patients with different disease severities (chronic hepatitis C, liver cirrhosis and HCC) with an association between IL-18 </w:t>
      </w:r>
      <w:r w:rsidRPr="00CC0F87">
        <w:rPr>
          <w:rFonts w:cs="Times New Roman"/>
          <w:color w:val="141314"/>
        </w:rPr>
        <w:lastRenderedPageBreak/>
        <w:t>plasma concentrations with the outcome of chronic HCV infection (10).</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The present work was designed to study the usefulness of IL-18 as a serological marker for diagnosis of HCC. two groups of patients were studied; Group I consisted of 40 patients with HCV related chronic liver disease, Group II formed of 40patients with HCC on top of viral hepatitis and with characteristic features of HCC by spiral abdominal CT.</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In the present study, the percentage of males (82.5%) was higher than that of females (17.5%) in HCC patients. The rates of HCC were consistently higher for males than females, but the male to female ratio differs with the country as well as with the year of survey, because of the changing time trends. Male to female ratio was greater in the high-incidence regions (i.e., Africa, China, Taiwan and Japan) (11 and 12).</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In our study, the age of HCC patients ranged (58 ± 12) years. The incidence of HCC increases progressively with age, </w:t>
      </w:r>
      <w:bookmarkStart w:id="4" w:name="_GoBack"/>
      <w:r w:rsidRPr="00CC0F87">
        <w:rPr>
          <w:rFonts w:cs="Times New Roman"/>
          <w:color w:val="141314"/>
        </w:rPr>
        <w:t xml:space="preserve">although this varies by country. Thus, in high-incidence countries, the mean age at time of diagnosis was </w:t>
      </w:r>
      <w:bookmarkEnd w:id="4"/>
      <w:r w:rsidRPr="00CC0F87">
        <w:rPr>
          <w:rFonts w:cs="Times New Roman"/>
          <w:color w:val="141314"/>
        </w:rPr>
        <w:t xml:space="preserve">in the third decade of life, and in low-incidence countries, it </w:t>
      </w:r>
      <w:proofErr w:type="gramStart"/>
      <w:r w:rsidRPr="00CC0F87">
        <w:rPr>
          <w:rFonts w:cs="Times New Roman"/>
          <w:color w:val="141314"/>
        </w:rPr>
        <w:t>occurs</w:t>
      </w:r>
      <w:proofErr w:type="gramEnd"/>
      <w:r w:rsidRPr="00CC0F87">
        <w:rPr>
          <w:rFonts w:cs="Times New Roman"/>
          <w:color w:val="141314"/>
        </w:rPr>
        <w:t xml:space="preserve"> 2 to 3 decades later (13). This finding was close to several previous studies reported that the mean age among HCC cases was 53.7±10.1 years, 57.4±8.7 years and 55.2±8 years, respectively (14, 15 and 16).</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In our study, we found that IL-18 was not correlated to any biochemical or hematological parameter in all the studied groups. These findings were in accordance with study conducted by </w:t>
      </w:r>
      <w:proofErr w:type="spellStart"/>
      <w:r w:rsidRPr="00CC0F87">
        <w:rPr>
          <w:rFonts w:cs="Times New Roman"/>
          <w:color w:val="141314"/>
        </w:rPr>
        <w:t>Asakawa</w:t>
      </w:r>
      <w:proofErr w:type="spellEnd"/>
      <w:r w:rsidRPr="00CC0F87">
        <w:rPr>
          <w:rFonts w:cs="Times New Roman"/>
          <w:color w:val="141314"/>
        </w:rPr>
        <w:t xml:space="preserve"> (17).</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In our study concerning IL-18, a high significant difference was elicited between the two groups. The serum level of IL-18 in CLD group I (8.7 ± 2.48) was lower than HCC group II (12 ± 7.99). This finding was in agreement with that found by </w:t>
      </w:r>
      <w:hyperlink r:id="rId13" w:history="1">
        <w:proofErr w:type="spellStart"/>
        <w:r w:rsidRPr="00CC0F87">
          <w:rPr>
            <w:rFonts w:cs="Times New Roman"/>
            <w:color w:val="141314"/>
          </w:rPr>
          <w:t>Bouzgarrou</w:t>
        </w:r>
        <w:proofErr w:type="spellEnd"/>
      </w:hyperlink>
      <w:r w:rsidRPr="00CC0F87">
        <w:rPr>
          <w:rFonts w:cs="Times New Roman"/>
          <w:color w:val="141314"/>
        </w:rPr>
        <w:t xml:space="preserve"> who reported higher levels of plasma IL-18 in the patients with HCC than those with chronic hepatitis and cirrhosis (10).</w:t>
      </w:r>
    </w:p>
    <w:p w:rsidR="004A0C15" w:rsidRPr="00CC0F87" w:rsidRDefault="004A0C15" w:rsidP="000E2AC6">
      <w:pPr>
        <w:bidi w:val="0"/>
        <w:snapToGrid w:val="0"/>
        <w:ind w:firstLine="425"/>
        <w:jc w:val="both"/>
        <w:rPr>
          <w:rFonts w:cs="Times New Roman"/>
          <w:b/>
          <w:bCs/>
          <w:color w:val="141314"/>
        </w:rPr>
      </w:pPr>
      <w:r w:rsidRPr="00CC0F87">
        <w:rPr>
          <w:rFonts w:cs="Times New Roman"/>
          <w:color w:val="141314"/>
        </w:rPr>
        <w:t xml:space="preserve">In our study, we found that IL-18 was not correlated to size and number of hepatic focal lesion. </w:t>
      </w:r>
      <w:proofErr w:type="spellStart"/>
      <w:r w:rsidRPr="00CC0F87">
        <w:rPr>
          <w:rFonts w:cs="Times New Roman"/>
          <w:color w:val="141314"/>
        </w:rPr>
        <w:t>Mohran</w:t>
      </w:r>
      <w:proofErr w:type="spellEnd"/>
      <w:r w:rsidRPr="00CC0F87">
        <w:rPr>
          <w:rFonts w:cs="Times New Roman"/>
          <w:color w:val="141314"/>
        </w:rPr>
        <w:t xml:space="preserve"> agree with us as he reported that IL-18 level was not correlated with the size or number of hepatic focal lesions neither with the presence of </w:t>
      </w:r>
      <w:proofErr w:type="spellStart"/>
      <w:r w:rsidRPr="00CC0F87">
        <w:rPr>
          <w:rFonts w:cs="Times New Roman"/>
          <w:color w:val="141314"/>
        </w:rPr>
        <w:t>lymphovascular</w:t>
      </w:r>
      <w:proofErr w:type="spellEnd"/>
      <w:r w:rsidRPr="00CC0F87">
        <w:rPr>
          <w:rFonts w:cs="Times New Roman"/>
          <w:color w:val="141314"/>
        </w:rPr>
        <w:t xml:space="preserve"> invasion or abdominal </w:t>
      </w:r>
      <w:proofErr w:type="spellStart"/>
      <w:r w:rsidRPr="00CC0F87">
        <w:rPr>
          <w:rFonts w:cs="Times New Roman"/>
          <w:color w:val="141314"/>
        </w:rPr>
        <w:t>lymphadenopathy</w:t>
      </w:r>
      <w:proofErr w:type="spellEnd"/>
      <w:r w:rsidRPr="00CC0F87">
        <w:rPr>
          <w:rFonts w:cs="Times New Roman"/>
          <w:color w:val="141314"/>
        </w:rPr>
        <w:t xml:space="preserve"> </w:t>
      </w:r>
      <w:proofErr w:type="gramStart"/>
      <w:r w:rsidRPr="00CC0F87">
        <w:rPr>
          <w:rFonts w:cs="Times New Roman"/>
          <w:color w:val="141314"/>
        </w:rPr>
        <w:t>( 18</w:t>
      </w:r>
      <w:proofErr w:type="gramEnd"/>
      <w:r w:rsidRPr="00CC0F87">
        <w:rPr>
          <w:rFonts w:cs="Times New Roman"/>
          <w:color w:val="141314"/>
        </w:rPr>
        <w:t>).</w:t>
      </w:r>
    </w:p>
    <w:p w:rsidR="004A0C15" w:rsidRPr="00CC0F87" w:rsidRDefault="004A0C15" w:rsidP="000E2AC6">
      <w:pPr>
        <w:bidi w:val="0"/>
        <w:snapToGrid w:val="0"/>
        <w:ind w:firstLine="425"/>
        <w:jc w:val="both"/>
        <w:rPr>
          <w:rFonts w:cs="Times New Roman"/>
          <w:color w:val="141314"/>
        </w:rPr>
      </w:pPr>
      <w:proofErr w:type="gramStart"/>
      <w:r w:rsidRPr="00CC0F87">
        <w:rPr>
          <w:rFonts w:cs="Times New Roman"/>
          <w:color w:val="141314"/>
        </w:rPr>
        <w:t>Regarding correlation between Child-Pugh staging system and the mean IL-18 in HCC patients, no significance between the two groups.</w:t>
      </w:r>
      <w:proofErr w:type="gramEnd"/>
      <w:r w:rsidRPr="00CC0F87">
        <w:rPr>
          <w:rFonts w:cs="Times New Roman"/>
          <w:color w:val="141314"/>
        </w:rPr>
        <w:t xml:space="preserve"> This finding was in agreement with previous study done by </w:t>
      </w:r>
      <w:proofErr w:type="spellStart"/>
      <w:r w:rsidRPr="00CC0F87">
        <w:rPr>
          <w:rFonts w:cs="Times New Roman"/>
          <w:color w:val="141314"/>
        </w:rPr>
        <w:t>Tangkijvanich</w:t>
      </w:r>
      <w:proofErr w:type="spellEnd"/>
      <w:r w:rsidRPr="00CC0F87">
        <w:rPr>
          <w:rFonts w:cs="Times New Roman"/>
          <w:color w:val="141314"/>
        </w:rPr>
        <w:t xml:space="preserve"> (9).</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Alpha-fetoprotein has been the serum marker that is most widely used for diagnosis as well as </w:t>
      </w:r>
      <w:r w:rsidRPr="00CC0F87">
        <w:rPr>
          <w:rFonts w:cs="Times New Roman"/>
          <w:color w:val="141314"/>
        </w:rPr>
        <w:lastRenderedPageBreak/>
        <w:t>surveillance of HCC. However, AFP levels may be nor</w:t>
      </w:r>
      <w:r w:rsidRPr="00CC0F87">
        <w:rPr>
          <w:rFonts w:cs="Times New Roman"/>
          <w:color w:val="141314"/>
        </w:rPr>
        <w:softHyphen/>
        <w:t>mal in up to 40% of patients with HCC, particularly during the early stages (low sensitivity). Furthermore, elevated AFP levels may be seen in patients with cirrhosis or exacerbations of chronic hepatitis (low specificity) (19).</w:t>
      </w:r>
    </w:p>
    <w:p w:rsidR="004A0C15" w:rsidRPr="00CC0F87" w:rsidRDefault="004A0C15" w:rsidP="000E2AC6">
      <w:pPr>
        <w:bidi w:val="0"/>
        <w:snapToGrid w:val="0"/>
        <w:ind w:firstLine="425"/>
        <w:jc w:val="both"/>
        <w:rPr>
          <w:rFonts w:cs="Times New Roman"/>
          <w:b/>
          <w:bCs/>
          <w:color w:val="141314"/>
        </w:rPr>
      </w:pPr>
      <w:r w:rsidRPr="00CC0F87">
        <w:rPr>
          <w:rFonts w:cs="Times New Roman"/>
          <w:color w:val="141314"/>
        </w:rPr>
        <w:t>Regarding correlation between the IL-18 and AFP the specificity and sensitivity of AFP were 37% and 100% respectively. Serum IL-18 level is a suitable marker for the diagnosis of HCV-related HCC complementary to AFP, especially in cases with AFP level less than the diagnostic value (2)</w:t>
      </w:r>
      <w:r w:rsidRPr="00CC0F87">
        <w:rPr>
          <w:rFonts w:cs="Times New Roman"/>
          <w:b/>
          <w:bCs/>
          <w:color w:val="141314"/>
        </w:rPr>
        <w:t>.</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Constructing the ROC curve, the best cut-off value of IL-18 was </w:t>
      </w:r>
      <w:proofErr w:type="gramStart"/>
      <w:r w:rsidRPr="00CC0F87">
        <w:rPr>
          <w:rFonts w:cs="Times New Roman"/>
          <w:color w:val="141314"/>
        </w:rPr>
        <w:t>7.25 pg/</w:t>
      </w:r>
      <w:proofErr w:type="spellStart"/>
      <w:r w:rsidRPr="00CC0F87">
        <w:rPr>
          <w:rFonts w:cs="Times New Roman"/>
          <w:color w:val="141314"/>
        </w:rPr>
        <w:t>mL</w:t>
      </w:r>
      <w:proofErr w:type="gramEnd"/>
      <w:r w:rsidRPr="00CC0F87">
        <w:rPr>
          <w:rFonts w:cs="Times New Roman"/>
          <w:color w:val="141314"/>
        </w:rPr>
        <w:t>.</w:t>
      </w:r>
      <w:proofErr w:type="spellEnd"/>
      <w:r w:rsidRPr="00CC0F87">
        <w:rPr>
          <w:rFonts w:cs="Times New Roman"/>
          <w:color w:val="141314"/>
        </w:rPr>
        <w:t xml:space="preserve"> At that value the sensitivity of serum IL-18 in diagnosis of HCC was 97%, specificity was 100% and our results was in accordance with previous studies that revealed that IL-18 may be a potential tumor marker in combination with AFP in the diagnosis of HCC (9, 17).</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 xml:space="preserve">In our study, the high sensitivity and specificity of IL18 in HCC group in agree with </w:t>
      </w:r>
      <w:proofErr w:type="spellStart"/>
      <w:r w:rsidRPr="00CC0F87">
        <w:rPr>
          <w:rFonts w:cs="Times New Roman"/>
          <w:color w:val="141314"/>
        </w:rPr>
        <w:t>Tangkijvanich</w:t>
      </w:r>
      <w:proofErr w:type="spellEnd"/>
      <w:r w:rsidRPr="00CC0F87">
        <w:rPr>
          <w:rFonts w:cs="Times New Roman"/>
        </w:rPr>
        <w:t xml:space="preserve"> (9) </w:t>
      </w:r>
      <w:r w:rsidRPr="00CC0F87">
        <w:rPr>
          <w:rFonts w:cs="Times New Roman"/>
          <w:color w:val="141314"/>
        </w:rPr>
        <w:t xml:space="preserve">but differ in cut of point as </w:t>
      </w:r>
      <w:proofErr w:type="spellStart"/>
      <w:r w:rsidRPr="00CC0F87">
        <w:rPr>
          <w:rFonts w:cs="Times New Roman"/>
          <w:color w:val="141314"/>
        </w:rPr>
        <w:t>Tangkijvanich</w:t>
      </w:r>
      <w:proofErr w:type="spellEnd"/>
      <w:r w:rsidRPr="00CC0F87">
        <w:rPr>
          <w:rFonts w:cs="Times New Roman"/>
          <w:color w:val="141314"/>
        </w:rPr>
        <w:t xml:space="preserve"> </w:t>
      </w:r>
      <w:r w:rsidRPr="00CC0F87">
        <w:rPr>
          <w:rFonts w:cs="Times New Roman"/>
        </w:rPr>
        <w:t xml:space="preserve">(9) </w:t>
      </w:r>
      <w:r w:rsidRPr="00CC0F87">
        <w:rPr>
          <w:rFonts w:cs="Times New Roman"/>
          <w:color w:val="141314"/>
        </w:rPr>
        <w:t>revealed that the best cut-off value of IL-18 for the diagnosis of HCC is 500pg/ml with 84% sensitivity and 86.7% specificity. The difference in cut of point to this study may be attributed</w:t>
      </w:r>
      <w:r w:rsidR="00CC0F87">
        <w:rPr>
          <w:rFonts w:cs="Times New Roman"/>
          <w:color w:val="141314"/>
        </w:rPr>
        <w:t xml:space="preserve"> </w:t>
      </w:r>
      <w:r w:rsidRPr="00CC0F87">
        <w:rPr>
          <w:rFonts w:cs="Times New Roman"/>
          <w:color w:val="141314"/>
        </w:rPr>
        <w:t>to;</w:t>
      </w:r>
      <w:r w:rsidR="00CC0F87">
        <w:rPr>
          <w:rFonts w:cs="Times New Roman"/>
          <w:color w:val="141314"/>
        </w:rPr>
        <w:t xml:space="preserve"> </w:t>
      </w:r>
      <w:r w:rsidRPr="00CC0F87">
        <w:rPr>
          <w:rFonts w:cs="Times New Roman"/>
          <w:color w:val="141314"/>
        </w:rPr>
        <w:t xml:space="preserve">selection of patient according to etiology of liver disease , AFP level and interventions done prior to the study to patient as </w:t>
      </w:r>
      <w:proofErr w:type="spellStart"/>
      <w:r w:rsidRPr="00CC0F87">
        <w:rPr>
          <w:rFonts w:cs="Times New Roman"/>
          <w:color w:val="141314"/>
        </w:rPr>
        <w:t>Tangkijvanich</w:t>
      </w:r>
      <w:proofErr w:type="spellEnd"/>
      <w:r w:rsidRPr="00CC0F87">
        <w:rPr>
          <w:rFonts w:cs="Times New Roman"/>
          <w:color w:val="141314"/>
        </w:rPr>
        <w:t xml:space="preserve"> (9) has</w:t>
      </w:r>
      <w:r w:rsidR="00CC0F87">
        <w:rPr>
          <w:rFonts w:cs="Times New Roman"/>
          <w:color w:val="141314"/>
        </w:rPr>
        <w:t xml:space="preserve"> </w:t>
      </w:r>
      <w:r w:rsidRPr="00CC0F87">
        <w:rPr>
          <w:rFonts w:cs="Times New Roman"/>
          <w:color w:val="141314"/>
        </w:rPr>
        <w:t xml:space="preserve">Twenty-seven patients (38.6%) had serum AFP higher than 400 </w:t>
      </w:r>
      <w:proofErr w:type="spellStart"/>
      <w:r w:rsidRPr="00CC0F87">
        <w:rPr>
          <w:rFonts w:cs="Times New Roman"/>
          <w:color w:val="141314"/>
        </w:rPr>
        <w:t>ng</w:t>
      </w:r>
      <w:proofErr w:type="spellEnd"/>
      <w:r w:rsidRPr="00CC0F87">
        <w:rPr>
          <w:rFonts w:cs="Times New Roman"/>
          <w:color w:val="141314"/>
        </w:rPr>
        <w:t>/</w:t>
      </w:r>
      <w:proofErr w:type="spellStart"/>
      <w:r w:rsidRPr="00CC0F87">
        <w:rPr>
          <w:rFonts w:cs="Times New Roman"/>
          <w:color w:val="141314"/>
        </w:rPr>
        <w:t>mL</w:t>
      </w:r>
      <w:proofErr w:type="spellEnd"/>
      <w:r w:rsidRPr="00CC0F87">
        <w:rPr>
          <w:rFonts w:cs="Times New Roman"/>
          <w:color w:val="141314"/>
        </w:rPr>
        <w:t xml:space="preserve">, 9 patients (12.8%) were associated with alcohol-dependent. Thirty-nine patients (55.7%) were associated with </w:t>
      </w:r>
      <w:proofErr w:type="spellStart"/>
      <w:r w:rsidRPr="00CC0F87">
        <w:rPr>
          <w:rFonts w:cs="Times New Roman"/>
          <w:color w:val="141314"/>
        </w:rPr>
        <w:t>HBsAg</w:t>
      </w:r>
      <w:proofErr w:type="spellEnd"/>
      <w:r w:rsidRPr="00CC0F87">
        <w:rPr>
          <w:rFonts w:cs="Times New Roman"/>
          <w:color w:val="141314"/>
        </w:rPr>
        <w:t xml:space="preserve">-positive, and 7 patients (10%) were associated with anti-HCV-positive, Two patients (2.9%) had both </w:t>
      </w:r>
      <w:proofErr w:type="spellStart"/>
      <w:r w:rsidRPr="00CC0F87">
        <w:rPr>
          <w:rFonts w:cs="Times New Roman"/>
          <w:color w:val="141314"/>
        </w:rPr>
        <w:t>HBsAg</w:t>
      </w:r>
      <w:proofErr w:type="spellEnd"/>
      <w:r w:rsidRPr="00CC0F87">
        <w:rPr>
          <w:rFonts w:cs="Times New Roman"/>
          <w:color w:val="141314"/>
        </w:rPr>
        <w:t xml:space="preserve">-positive and anti-HCV-positive, Seven patients (10%) had undergone surgical resection, 19 patients (27.1%) had been treated with trans-arterial </w:t>
      </w:r>
      <w:proofErr w:type="spellStart"/>
      <w:r w:rsidRPr="00CC0F87">
        <w:rPr>
          <w:rFonts w:cs="Times New Roman"/>
          <w:color w:val="141314"/>
        </w:rPr>
        <w:t>chemoembolization</w:t>
      </w:r>
      <w:proofErr w:type="spellEnd"/>
      <w:r w:rsidRPr="00CC0F87">
        <w:rPr>
          <w:rFonts w:cs="Times New Roman"/>
          <w:color w:val="141314"/>
        </w:rPr>
        <w:t xml:space="preserve"> (TACE), and the remaining 44 patients (62.9%) had received no specific treatment because of their advanced tumor stage or refusal to therapy </w:t>
      </w:r>
      <w:proofErr w:type="spellStart"/>
      <w:r w:rsidRPr="00CC0F87">
        <w:rPr>
          <w:rFonts w:cs="Times New Roman"/>
          <w:color w:val="141314"/>
        </w:rPr>
        <w:t>Tangkijvanich</w:t>
      </w:r>
      <w:proofErr w:type="spellEnd"/>
      <w:r w:rsidRPr="00CC0F87">
        <w:rPr>
          <w:rFonts w:cs="Times New Roman"/>
          <w:color w:val="141314"/>
        </w:rPr>
        <w:t xml:space="preserve"> (9), in our study selection of patient all of them had HCV infection, no selection to level of AFP, no intervention to patient.</w:t>
      </w:r>
    </w:p>
    <w:p w:rsidR="004A0C15" w:rsidRPr="00CC0F87" w:rsidRDefault="004A0C15" w:rsidP="000E2AC6">
      <w:pPr>
        <w:bidi w:val="0"/>
        <w:snapToGrid w:val="0"/>
        <w:jc w:val="both"/>
        <w:rPr>
          <w:rFonts w:cs="Times New Roman"/>
          <w:b/>
          <w:bCs/>
        </w:rPr>
      </w:pPr>
    </w:p>
    <w:p w:rsidR="004A0C15" w:rsidRPr="00CC0F87" w:rsidRDefault="004A0C15" w:rsidP="000E2AC6">
      <w:pPr>
        <w:bidi w:val="0"/>
        <w:snapToGrid w:val="0"/>
        <w:jc w:val="both"/>
        <w:rPr>
          <w:rFonts w:cs="Times New Roman"/>
          <w:b/>
          <w:bCs/>
        </w:rPr>
      </w:pPr>
      <w:r w:rsidRPr="00CC0F87">
        <w:rPr>
          <w:rFonts w:cs="Times New Roman"/>
          <w:b/>
          <w:bCs/>
        </w:rPr>
        <w:t>Conclusion</w:t>
      </w:r>
    </w:p>
    <w:p w:rsidR="004A0C15" w:rsidRPr="00CC0F87" w:rsidRDefault="004A0C15" w:rsidP="000E2AC6">
      <w:pPr>
        <w:bidi w:val="0"/>
        <w:snapToGrid w:val="0"/>
        <w:ind w:firstLine="425"/>
        <w:jc w:val="both"/>
        <w:rPr>
          <w:rFonts w:cs="Times New Roman"/>
          <w:color w:val="141314"/>
        </w:rPr>
      </w:pPr>
      <w:r w:rsidRPr="00CC0F87">
        <w:rPr>
          <w:rFonts w:cs="Times New Roman"/>
          <w:color w:val="141314"/>
        </w:rPr>
        <w:t>Our study aimed to evaluate the role of IL-18 serum level as a tumor marker in diagnosis of HCC; we found that serum IL-18 level was higher in patients with HCC than those with chronic liver disease. There was non-significant correlation between alpha-</w:t>
      </w:r>
      <w:proofErr w:type="spellStart"/>
      <w:r w:rsidRPr="00CC0F87">
        <w:rPr>
          <w:rFonts w:cs="Times New Roman"/>
          <w:color w:val="141314"/>
        </w:rPr>
        <w:t>feto</w:t>
      </w:r>
      <w:proofErr w:type="spellEnd"/>
      <w:r w:rsidRPr="00CC0F87">
        <w:rPr>
          <w:rFonts w:cs="Times New Roman"/>
          <w:color w:val="141314"/>
        </w:rPr>
        <w:t xml:space="preserve"> protein and IL-18 in the studied groups.</w:t>
      </w:r>
    </w:p>
    <w:p w:rsidR="004A0C15" w:rsidRPr="00CC0F87" w:rsidRDefault="004A0C15" w:rsidP="000E2AC6">
      <w:pPr>
        <w:tabs>
          <w:tab w:val="left" w:pos="330"/>
          <w:tab w:val="center" w:pos="3543"/>
        </w:tabs>
        <w:bidi w:val="0"/>
        <w:snapToGrid w:val="0"/>
        <w:ind w:firstLine="425"/>
        <w:jc w:val="both"/>
        <w:rPr>
          <w:rFonts w:cs="Times New Roman"/>
          <w:color w:val="141314"/>
        </w:rPr>
      </w:pPr>
      <w:r w:rsidRPr="00CC0F87">
        <w:rPr>
          <w:rFonts w:cs="Times New Roman"/>
          <w:color w:val="141314"/>
        </w:rPr>
        <w:t>The efficacy of serum IL-18 level at cut-off value 7.25pg/</w:t>
      </w:r>
      <w:proofErr w:type="spellStart"/>
      <w:r w:rsidRPr="00CC0F87">
        <w:rPr>
          <w:rFonts w:cs="Times New Roman"/>
          <w:color w:val="141314"/>
        </w:rPr>
        <w:t>mL</w:t>
      </w:r>
      <w:proofErr w:type="spellEnd"/>
      <w:r w:rsidRPr="00CC0F87">
        <w:rPr>
          <w:rFonts w:cs="Times New Roman"/>
          <w:color w:val="141314"/>
        </w:rPr>
        <w:t xml:space="preserve"> was 84.6% with sensitivity 97% and specificity 100%. These results indicate that IL-18 was a good test for HCC diagnosis in patients with chronic hepatitis C &amp; may be of value in diagnosis of </w:t>
      </w:r>
      <w:r w:rsidRPr="00CC0F87">
        <w:rPr>
          <w:rFonts w:cs="Times New Roman"/>
          <w:color w:val="141314"/>
        </w:rPr>
        <w:lastRenderedPageBreak/>
        <w:t>patients with hepatic focal lesion with AFP less than diagnostic values.</w:t>
      </w:r>
    </w:p>
    <w:p w:rsidR="008F16CB" w:rsidRPr="00CC0F87" w:rsidRDefault="008F16CB" w:rsidP="000E2AC6">
      <w:pPr>
        <w:bidi w:val="0"/>
        <w:snapToGrid w:val="0"/>
        <w:jc w:val="both"/>
        <w:rPr>
          <w:rFonts w:cs="Times New Roman"/>
          <w:b/>
          <w:bCs/>
        </w:rPr>
      </w:pPr>
    </w:p>
    <w:p w:rsidR="004A0C15" w:rsidRPr="00CC0F87" w:rsidRDefault="004A0C15" w:rsidP="000E2AC6">
      <w:pPr>
        <w:bidi w:val="0"/>
        <w:snapToGrid w:val="0"/>
        <w:jc w:val="both"/>
        <w:rPr>
          <w:rFonts w:cs="Times New Roman"/>
          <w:b/>
          <w:bCs/>
        </w:rPr>
      </w:pPr>
      <w:r w:rsidRPr="00CC0F87">
        <w:rPr>
          <w:rFonts w:cs="Times New Roman"/>
          <w:b/>
          <w:bCs/>
        </w:rPr>
        <w:t>References</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14" w:tooltip="Click to search for citations by this author." w:history="1">
        <w:r w:rsidR="004A0C15" w:rsidRPr="00CC0F87">
          <w:rPr>
            <w:rFonts w:cs="Times New Roman"/>
            <w:bCs/>
            <w:color w:val="141314"/>
          </w:rPr>
          <w:t>Mohamed M.K</w:t>
        </w:r>
      </w:hyperlink>
      <w:r w:rsidR="004A0C15" w:rsidRPr="00CC0F87">
        <w:rPr>
          <w:rFonts w:cs="Times New Roman"/>
          <w:bCs/>
          <w:color w:val="141314"/>
        </w:rPr>
        <w:t xml:space="preserve">, </w:t>
      </w:r>
      <w:hyperlink r:id="rId15" w:tooltip="Click to search for citations by this author." w:history="1">
        <w:r w:rsidR="004A0C15" w:rsidRPr="00CC0F87">
          <w:rPr>
            <w:rFonts w:cs="Times New Roman"/>
            <w:bCs/>
            <w:color w:val="141314"/>
          </w:rPr>
          <w:t>Abdel-</w:t>
        </w:r>
        <w:proofErr w:type="spellStart"/>
        <w:r w:rsidR="004A0C15" w:rsidRPr="00CC0F87">
          <w:rPr>
            <w:rFonts w:cs="Times New Roman"/>
            <w:bCs/>
            <w:color w:val="141314"/>
          </w:rPr>
          <w:t>Hamid</w:t>
        </w:r>
        <w:proofErr w:type="spellEnd"/>
        <w:r w:rsidR="004A0C15" w:rsidRPr="00CC0F87">
          <w:rPr>
            <w:rFonts w:cs="Times New Roman"/>
            <w:bCs/>
            <w:color w:val="141314"/>
          </w:rPr>
          <w:t xml:space="preserve"> M</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4A0C15" w:rsidRPr="00CC0F87">
        <w:rPr>
          <w:rFonts w:cs="Times New Roman"/>
          <w:bCs/>
          <w:color w:val="141314"/>
        </w:rPr>
        <w:t xml:space="preserve"> </w:t>
      </w:r>
      <w:hyperlink r:id="rId16" w:tooltip="Click to search for citations by this author." w:history="1">
        <w:r w:rsidR="004A0C15" w:rsidRPr="00CC0F87">
          <w:rPr>
            <w:rFonts w:cs="Times New Roman"/>
            <w:bCs/>
            <w:color w:val="141314"/>
          </w:rPr>
          <w:t>Mikhail N</w:t>
        </w:r>
      </w:hyperlink>
      <w:r w:rsidR="004A0C15" w:rsidRPr="00CC0F87">
        <w:rPr>
          <w:rFonts w:cs="Times New Roman"/>
          <w:bCs/>
          <w:color w:val="141314"/>
        </w:rPr>
        <w:t>.N. (2005</w:t>
      </w:r>
      <w:r w:rsidR="004A0C15" w:rsidRPr="00CC0F87">
        <w:rPr>
          <w:rFonts w:cs="Times New Roman"/>
          <w:color w:val="141314"/>
        </w:rPr>
        <w:t xml:space="preserve">): </w:t>
      </w:r>
      <w:proofErr w:type="spellStart"/>
      <w:r w:rsidR="004A0C15" w:rsidRPr="00CC0F87">
        <w:rPr>
          <w:rFonts w:cs="Times New Roman"/>
          <w:color w:val="141314"/>
        </w:rPr>
        <w:t>Intrafamilial</w:t>
      </w:r>
      <w:proofErr w:type="spellEnd"/>
      <w:r w:rsidR="004A0C15" w:rsidRPr="00CC0F87">
        <w:rPr>
          <w:rFonts w:cs="Times New Roman"/>
          <w:color w:val="141314"/>
        </w:rPr>
        <w:t xml:space="preserve"> transmission of hepatitis C in Egypt. </w:t>
      </w:r>
      <w:proofErr w:type="spellStart"/>
      <w:r w:rsidR="004A0C15" w:rsidRPr="00CC0F87">
        <w:rPr>
          <w:rFonts w:cs="Times New Roman"/>
          <w:color w:val="141314"/>
        </w:rPr>
        <w:t>Hepatology</w:t>
      </w:r>
      <w:proofErr w:type="spellEnd"/>
      <w:r w:rsidR="004A0C15" w:rsidRPr="00CC0F87">
        <w:rPr>
          <w:rFonts w:cs="Times New Roman"/>
          <w:color w:val="141314"/>
        </w:rPr>
        <w:t>. Sept., 42 (3): 683-687.</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17" w:tooltip="Click to search for citations by this author." w:history="1">
        <w:r w:rsidR="004A0C15" w:rsidRPr="00CC0F87">
          <w:rPr>
            <w:rFonts w:cs="Times New Roman"/>
            <w:bCs/>
            <w:color w:val="141314"/>
          </w:rPr>
          <w:t>Hassan, M.M</w:t>
        </w:r>
      </w:hyperlink>
      <w:r w:rsidR="004A0C15" w:rsidRPr="00CC0F87">
        <w:rPr>
          <w:rFonts w:cs="Times New Roman"/>
          <w:bCs/>
          <w:color w:val="141314"/>
        </w:rPr>
        <w:t xml:space="preserve">., </w:t>
      </w:r>
      <w:hyperlink r:id="rId18" w:tooltip="Click to search for citations by this author." w:history="1">
        <w:proofErr w:type="spellStart"/>
        <w:r w:rsidR="004A0C15" w:rsidRPr="00CC0F87">
          <w:rPr>
            <w:rFonts w:cs="Times New Roman"/>
            <w:bCs/>
            <w:color w:val="141314"/>
          </w:rPr>
          <w:t>Zaghloul</w:t>
        </w:r>
        <w:proofErr w:type="spellEnd"/>
        <w:r w:rsidR="004A0C15" w:rsidRPr="00CC0F87">
          <w:rPr>
            <w:rFonts w:cs="Times New Roman"/>
            <w:bCs/>
            <w:color w:val="141314"/>
          </w:rPr>
          <w:t>, A.S</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4A0C15" w:rsidRPr="00CC0F87">
        <w:rPr>
          <w:rFonts w:cs="Times New Roman"/>
          <w:bCs/>
          <w:color w:val="141314"/>
        </w:rPr>
        <w:t xml:space="preserve"> </w:t>
      </w:r>
      <w:hyperlink r:id="rId19" w:tooltip="Click to search for citations by this author." w:history="1">
        <w:r w:rsidR="004A0C15" w:rsidRPr="00CC0F87">
          <w:rPr>
            <w:rFonts w:cs="Times New Roman"/>
            <w:bCs/>
            <w:color w:val="141314"/>
          </w:rPr>
          <w:t>El-</w:t>
        </w:r>
        <w:proofErr w:type="spellStart"/>
        <w:r w:rsidR="004A0C15" w:rsidRPr="00CC0F87">
          <w:rPr>
            <w:rFonts w:cs="Times New Roman"/>
            <w:bCs/>
            <w:color w:val="141314"/>
          </w:rPr>
          <w:t>Serag</w:t>
        </w:r>
        <w:proofErr w:type="spellEnd"/>
        <w:r w:rsidR="004A0C15" w:rsidRPr="00CC0F87">
          <w:rPr>
            <w:rFonts w:cs="Times New Roman"/>
            <w:bCs/>
            <w:color w:val="141314"/>
          </w:rPr>
          <w:t>, H.B</w:t>
        </w:r>
      </w:hyperlink>
      <w:r w:rsidR="004A0C15" w:rsidRPr="00CC0F87">
        <w:rPr>
          <w:rFonts w:cs="Times New Roman"/>
          <w:bCs/>
          <w:color w:val="141314"/>
        </w:rPr>
        <w:t>. (2001)</w:t>
      </w:r>
      <w:r w:rsidR="004A0C15" w:rsidRPr="00CC0F87">
        <w:rPr>
          <w:rFonts w:cs="Times New Roman"/>
          <w:color w:val="141314"/>
        </w:rPr>
        <w:t xml:space="preserve">: The role of hepatitis C in </w:t>
      </w:r>
      <w:proofErr w:type="spellStart"/>
      <w:r w:rsidR="004A0C15" w:rsidRPr="00CC0F87">
        <w:rPr>
          <w:rFonts w:cs="Times New Roman"/>
          <w:color w:val="141314"/>
        </w:rPr>
        <w:t>hepatocellular</w:t>
      </w:r>
      <w:proofErr w:type="spellEnd"/>
      <w:r w:rsidR="004A0C15" w:rsidRPr="00CC0F87">
        <w:rPr>
          <w:rFonts w:cs="Times New Roman"/>
          <w:color w:val="141314"/>
        </w:rPr>
        <w:t xml:space="preserve"> carcinoma: a case control study among Egyptian patients. J. </w:t>
      </w:r>
      <w:proofErr w:type="spellStart"/>
      <w:r w:rsidR="004A0C15" w:rsidRPr="00CC0F87">
        <w:rPr>
          <w:rFonts w:cs="Times New Roman"/>
          <w:color w:val="141314"/>
        </w:rPr>
        <w:t>Clin</w:t>
      </w:r>
      <w:proofErr w:type="spellEnd"/>
      <w:r w:rsidR="004A0C15" w:rsidRPr="00CC0F87">
        <w:rPr>
          <w:rFonts w:cs="Times New Roman"/>
          <w:color w:val="141314"/>
        </w:rPr>
        <w:t xml:space="preserve">. </w:t>
      </w:r>
      <w:proofErr w:type="spellStart"/>
      <w:r w:rsidR="004A0C15" w:rsidRPr="00CC0F87">
        <w:rPr>
          <w:rFonts w:cs="Times New Roman"/>
          <w:color w:val="141314"/>
        </w:rPr>
        <w:t>Gastroenterol</w:t>
      </w:r>
      <w:proofErr w:type="spellEnd"/>
      <w:r w:rsidR="004A0C15" w:rsidRPr="00CC0F87">
        <w:rPr>
          <w:rFonts w:cs="Times New Roman"/>
          <w:color w:val="141314"/>
        </w:rPr>
        <w:t>. 33(2):123-126.</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20" w:tooltip="Click to search for citations by this author." w:history="1">
        <w:r w:rsidR="004A0C15" w:rsidRPr="00CC0F87">
          <w:rPr>
            <w:rFonts w:cs="Times New Roman"/>
            <w:bCs/>
            <w:color w:val="141314"/>
          </w:rPr>
          <w:t>Strickland, G.T</w:t>
        </w:r>
      </w:hyperlink>
      <w:r w:rsidR="004A0C15" w:rsidRPr="00CC0F87">
        <w:rPr>
          <w:rFonts w:cs="Times New Roman"/>
          <w:bCs/>
          <w:color w:val="141314"/>
        </w:rPr>
        <w:t xml:space="preserve">., </w:t>
      </w:r>
      <w:hyperlink r:id="rId21" w:tooltip="Click to search for citations by this author." w:history="1">
        <w:proofErr w:type="spellStart"/>
        <w:r w:rsidR="004A0C15" w:rsidRPr="00CC0F87">
          <w:rPr>
            <w:rFonts w:cs="Times New Roman"/>
            <w:bCs/>
            <w:color w:val="141314"/>
          </w:rPr>
          <w:t>Elhefni</w:t>
        </w:r>
        <w:proofErr w:type="spellEnd"/>
        <w:r w:rsidR="004A0C15" w:rsidRPr="00CC0F87">
          <w:rPr>
            <w:rFonts w:cs="Times New Roman"/>
            <w:bCs/>
            <w:color w:val="141314"/>
          </w:rPr>
          <w:t>, H</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4A0C15" w:rsidRPr="00CC0F87">
        <w:rPr>
          <w:rFonts w:cs="Times New Roman"/>
          <w:bCs/>
          <w:color w:val="141314"/>
        </w:rPr>
        <w:t xml:space="preserve"> </w:t>
      </w:r>
      <w:hyperlink r:id="rId22" w:tooltip="Click to search for citations by this author." w:history="1">
        <w:proofErr w:type="spellStart"/>
        <w:r w:rsidR="004A0C15" w:rsidRPr="00CC0F87">
          <w:rPr>
            <w:rFonts w:cs="Times New Roman"/>
            <w:bCs/>
            <w:color w:val="141314"/>
          </w:rPr>
          <w:t>Salman</w:t>
        </w:r>
        <w:proofErr w:type="spellEnd"/>
        <w:r w:rsidR="004A0C15" w:rsidRPr="00CC0F87">
          <w:rPr>
            <w:rFonts w:cs="Times New Roman"/>
            <w:bCs/>
            <w:color w:val="141314"/>
          </w:rPr>
          <w:t>, T</w:t>
        </w:r>
      </w:hyperlink>
      <w:r w:rsidR="004A0C15" w:rsidRPr="00CC0F87">
        <w:rPr>
          <w:rFonts w:cs="Times New Roman"/>
          <w:bCs/>
          <w:color w:val="141314"/>
        </w:rPr>
        <w:t>. (2002)</w:t>
      </w:r>
      <w:r w:rsidR="004A0C15" w:rsidRPr="00CC0F87">
        <w:rPr>
          <w:rFonts w:cs="Times New Roman"/>
          <w:color w:val="141314"/>
        </w:rPr>
        <w:t xml:space="preserve">: Role of hepatitis C infection in chronic liver disease in Egypt. Am. J. Trop. Med. </w:t>
      </w:r>
      <w:proofErr w:type="spellStart"/>
      <w:r w:rsidR="004A0C15" w:rsidRPr="00CC0F87">
        <w:rPr>
          <w:rFonts w:cs="Times New Roman"/>
          <w:color w:val="141314"/>
        </w:rPr>
        <w:t>Hyg</w:t>
      </w:r>
      <w:proofErr w:type="spellEnd"/>
      <w:r w:rsidR="004A0C15" w:rsidRPr="00CC0F87">
        <w:rPr>
          <w:rFonts w:cs="Times New Roman"/>
          <w:color w:val="141314"/>
        </w:rPr>
        <w:t>. 67(4):436-442.</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23" w:tooltip="Click to search for citations by this author." w:history="1">
        <w:proofErr w:type="spellStart"/>
        <w:r w:rsidR="004A0C15" w:rsidRPr="00CC0F87">
          <w:rPr>
            <w:rFonts w:cs="Times New Roman"/>
            <w:bCs/>
            <w:color w:val="141314"/>
          </w:rPr>
          <w:t>Momosaki</w:t>
        </w:r>
        <w:proofErr w:type="spellEnd"/>
        <w:r w:rsidR="004A0C15" w:rsidRPr="00CC0F87">
          <w:rPr>
            <w:rFonts w:cs="Times New Roman"/>
            <w:bCs/>
            <w:color w:val="141314"/>
          </w:rPr>
          <w:t>, S</w:t>
        </w:r>
      </w:hyperlink>
      <w:r w:rsidR="004A0C15" w:rsidRPr="00CC0F87">
        <w:rPr>
          <w:rFonts w:cs="Times New Roman"/>
          <w:bCs/>
          <w:color w:val="141314"/>
        </w:rPr>
        <w:t xml:space="preserve">., </w:t>
      </w:r>
      <w:hyperlink r:id="rId24" w:tooltip="Click to search for citations by this author." w:history="1">
        <w:proofErr w:type="spellStart"/>
        <w:r w:rsidR="004A0C15" w:rsidRPr="00CC0F87">
          <w:rPr>
            <w:rFonts w:cs="Times New Roman"/>
            <w:bCs/>
            <w:color w:val="141314"/>
          </w:rPr>
          <w:t>Umemura</w:t>
        </w:r>
        <w:proofErr w:type="spellEnd"/>
        <w:r w:rsidR="004A0C15" w:rsidRPr="00CC0F87">
          <w:rPr>
            <w:rFonts w:cs="Times New Roman"/>
            <w:bCs/>
            <w:color w:val="141314"/>
          </w:rPr>
          <w:t>, T</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CC0F87">
        <w:rPr>
          <w:rFonts w:cs="Times New Roman"/>
          <w:bCs/>
          <w:color w:val="141314"/>
        </w:rPr>
        <w:t xml:space="preserve"> </w:t>
      </w:r>
      <w:hyperlink r:id="rId25" w:tooltip="Click to search for citations by this author." w:history="1">
        <w:proofErr w:type="spellStart"/>
        <w:r w:rsidR="004A0C15" w:rsidRPr="00CC0F87">
          <w:rPr>
            <w:rFonts w:cs="Times New Roman"/>
            <w:bCs/>
            <w:color w:val="141314"/>
          </w:rPr>
          <w:t>Scudamore</w:t>
        </w:r>
        <w:proofErr w:type="spellEnd"/>
        <w:r w:rsidR="004A0C15" w:rsidRPr="00CC0F87">
          <w:rPr>
            <w:rFonts w:cs="Times New Roman"/>
            <w:bCs/>
            <w:color w:val="141314"/>
          </w:rPr>
          <w:t>, C.H</w:t>
        </w:r>
      </w:hyperlink>
      <w:r w:rsidR="004A0C15" w:rsidRPr="00CC0F87">
        <w:rPr>
          <w:rFonts w:cs="Times New Roman"/>
          <w:bCs/>
          <w:color w:val="141314"/>
        </w:rPr>
        <w:t>. (2005)</w:t>
      </w:r>
      <w:r w:rsidR="004A0C15" w:rsidRPr="00CC0F87">
        <w:rPr>
          <w:rFonts w:cs="Times New Roman"/>
          <w:color w:val="141314"/>
        </w:rPr>
        <w:t xml:space="preserve">: viral infection in patients with </w:t>
      </w:r>
      <w:proofErr w:type="spellStart"/>
      <w:r w:rsidR="004A0C15" w:rsidRPr="00CC0F87">
        <w:rPr>
          <w:rFonts w:cs="Times New Roman"/>
          <w:color w:val="141314"/>
        </w:rPr>
        <w:t>hepatocellular</w:t>
      </w:r>
      <w:proofErr w:type="spellEnd"/>
      <w:r w:rsidR="004A0C15" w:rsidRPr="00CC0F87">
        <w:rPr>
          <w:rFonts w:cs="Times New Roman"/>
          <w:color w:val="141314"/>
        </w:rPr>
        <w:t xml:space="preserve"> carcinoma. J. Viral </w:t>
      </w:r>
      <w:proofErr w:type="spellStart"/>
      <w:r w:rsidR="004A0C15" w:rsidRPr="00CC0F87">
        <w:rPr>
          <w:rFonts w:cs="Times New Roman"/>
          <w:color w:val="141314"/>
        </w:rPr>
        <w:t>Hepat</w:t>
      </w:r>
      <w:proofErr w:type="spellEnd"/>
      <w:r w:rsidR="004A0C15" w:rsidRPr="00CC0F87">
        <w:rPr>
          <w:rFonts w:cs="Times New Roman"/>
          <w:color w:val="141314"/>
        </w:rPr>
        <w:t>. 12(4): 435-438.</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proofErr w:type="spellStart"/>
      <w:r w:rsidRPr="00CC0F87">
        <w:rPr>
          <w:rFonts w:cs="Times New Roman"/>
          <w:bCs/>
          <w:color w:val="141314"/>
        </w:rPr>
        <w:t>Katyal</w:t>
      </w:r>
      <w:proofErr w:type="spellEnd"/>
      <w:r w:rsidRPr="00CC0F87">
        <w:rPr>
          <w:rFonts w:cs="Times New Roman"/>
          <w:bCs/>
          <w:color w:val="141314"/>
        </w:rPr>
        <w:t>, S., Oliver, J.H. and Peterson, M.S., (2000)</w:t>
      </w:r>
      <w:r w:rsidRPr="00CC0F87">
        <w:rPr>
          <w:rFonts w:cs="Times New Roman"/>
          <w:color w:val="141314"/>
        </w:rPr>
        <w:t xml:space="preserve">: </w:t>
      </w:r>
      <w:proofErr w:type="spellStart"/>
      <w:r w:rsidRPr="00CC0F87">
        <w:rPr>
          <w:rFonts w:cs="Times New Roman"/>
          <w:color w:val="141314"/>
        </w:rPr>
        <w:t>Extrahepatic</w:t>
      </w:r>
      <w:proofErr w:type="spellEnd"/>
      <w:r w:rsidRPr="00CC0F87">
        <w:rPr>
          <w:rFonts w:cs="Times New Roman"/>
          <w:color w:val="141314"/>
        </w:rPr>
        <w:t xml:space="preserve"> metastases of HCC. Radiology, 216: 698-703.</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r w:rsidRPr="00CC0F87">
        <w:rPr>
          <w:rFonts w:cs="Times New Roman"/>
          <w:bCs/>
          <w:color w:val="141314"/>
        </w:rPr>
        <w:t>Steel, J., Carney, M. and Carr, B.I. (2004)</w:t>
      </w:r>
      <w:r w:rsidRPr="00CC0F87">
        <w:rPr>
          <w:rFonts w:cs="Times New Roman"/>
          <w:color w:val="141314"/>
        </w:rPr>
        <w:t xml:space="preserve">: The role of psychosocial factors in the progression of </w:t>
      </w:r>
      <w:proofErr w:type="spellStart"/>
      <w:r w:rsidRPr="00CC0F87">
        <w:rPr>
          <w:rFonts w:cs="Times New Roman"/>
          <w:color w:val="141314"/>
        </w:rPr>
        <w:t>hepatocellular</w:t>
      </w:r>
      <w:proofErr w:type="spellEnd"/>
      <w:r w:rsidRPr="00CC0F87">
        <w:rPr>
          <w:rFonts w:cs="Times New Roman"/>
          <w:color w:val="141314"/>
        </w:rPr>
        <w:t xml:space="preserve"> carcinoma. Med. Hypotheses. 62(1): 86-94.</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26" w:tooltip="Click to search for citations by this author." w:history="1">
        <w:r w:rsidR="004A0C15" w:rsidRPr="00CC0F87">
          <w:rPr>
            <w:rFonts w:cs="Times New Roman"/>
            <w:bCs/>
            <w:color w:val="141314"/>
          </w:rPr>
          <w:t>Kemp, W</w:t>
        </w:r>
      </w:hyperlink>
      <w:r w:rsidR="004A0C15" w:rsidRPr="00CC0F87">
        <w:rPr>
          <w:rFonts w:cs="Times New Roman"/>
          <w:bCs/>
          <w:color w:val="141314"/>
        </w:rPr>
        <w:t xml:space="preserve">., </w:t>
      </w:r>
      <w:hyperlink r:id="rId27" w:tooltip="Click to search for citations by this author." w:history="1">
        <w:proofErr w:type="spellStart"/>
        <w:r w:rsidR="004A0C15" w:rsidRPr="00CC0F87">
          <w:rPr>
            <w:rFonts w:cs="Times New Roman"/>
            <w:bCs/>
            <w:color w:val="141314"/>
          </w:rPr>
          <w:t>Pianko</w:t>
        </w:r>
        <w:proofErr w:type="spellEnd"/>
        <w:r w:rsidR="004A0C15" w:rsidRPr="00CC0F87">
          <w:rPr>
            <w:rFonts w:cs="Times New Roman"/>
            <w:bCs/>
            <w:color w:val="141314"/>
          </w:rPr>
          <w:t>, S</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4A0C15" w:rsidRPr="00CC0F87">
        <w:rPr>
          <w:rFonts w:cs="Times New Roman"/>
          <w:bCs/>
          <w:color w:val="141314"/>
        </w:rPr>
        <w:t xml:space="preserve"> </w:t>
      </w:r>
      <w:hyperlink r:id="rId28" w:tooltip="Click to search for citations by this author." w:history="1">
        <w:r w:rsidR="004A0C15" w:rsidRPr="00CC0F87">
          <w:rPr>
            <w:rFonts w:cs="Times New Roman"/>
            <w:bCs/>
            <w:color w:val="141314"/>
          </w:rPr>
          <w:t>Nguyen, S</w:t>
        </w:r>
      </w:hyperlink>
      <w:r w:rsidR="004A0C15" w:rsidRPr="00CC0F87">
        <w:rPr>
          <w:rFonts w:cs="Times New Roman"/>
          <w:bCs/>
          <w:color w:val="141314"/>
        </w:rPr>
        <w:t>.</w:t>
      </w:r>
      <w:r w:rsidR="00CC0F87">
        <w:rPr>
          <w:rFonts w:cs="Times New Roman"/>
          <w:bCs/>
          <w:color w:val="141314"/>
        </w:rPr>
        <w:t xml:space="preserve"> </w:t>
      </w:r>
      <w:r w:rsidR="004A0C15" w:rsidRPr="00CC0F87">
        <w:rPr>
          <w:rFonts w:cs="Times New Roman"/>
          <w:bCs/>
          <w:color w:val="141314"/>
        </w:rPr>
        <w:t>(2005)</w:t>
      </w:r>
      <w:r w:rsidR="004A0C15" w:rsidRPr="00CC0F87">
        <w:rPr>
          <w:rFonts w:cs="Times New Roman"/>
          <w:color w:val="141314"/>
        </w:rPr>
        <w:t xml:space="preserve">: Survival in </w:t>
      </w:r>
      <w:proofErr w:type="spellStart"/>
      <w:r w:rsidR="004A0C15" w:rsidRPr="00CC0F87">
        <w:rPr>
          <w:rFonts w:cs="Times New Roman"/>
          <w:color w:val="141314"/>
        </w:rPr>
        <w:t>hepatocellular</w:t>
      </w:r>
      <w:proofErr w:type="spellEnd"/>
      <w:r w:rsidR="004A0C15" w:rsidRPr="00CC0F87">
        <w:rPr>
          <w:rFonts w:cs="Times New Roman"/>
          <w:color w:val="141314"/>
        </w:rPr>
        <w:t xml:space="preserve"> carcinoma: Impact of screening and etiology of liver disease. J. </w:t>
      </w:r>
      <w:proofErr w:type="spellStart"/>
      <w:r w:rsidR="004A0C15" w:rsidRPr="00CC0F87">
        <w:rPr>
          <w:rFonts w:cs="Times New Roman"/>
          <w:color w:val="141314"/>
        </w:rPr>
        <w:t>Gastroenterol</w:t>
      </w:r>
      <w:proofErr w:type="spellEnd"/>
      <w:r w:rsidR="004A0C15" w:rsidRPr="00CC0F87">
        <w:rPr>
          <w:rFonts w:cs="Times New Roman"/>
          <w:color w:val="141314"/>
        </w:rPr>
        <w:t xml:space="preserve">. </w:t>
      </w:r>
      <w:proofErr w:type="spellStart"/>
      <w:r w:rsidR="004A0C15" w:rsidRPr="00CC0F87">
        <w:rPr>
          <w:rFonts w:cs="Times New Roman"/>
          <w:color w:val="141314"/>
        </w:rPr>
        <w:t>Hepatol</w:t>
      </w:r>
      <w:proofErr w:type="spellEnd"/>
      <w:r w:rsidR="004A0C15" w:rsidRPr="00CC0F87">
        <w:rPr>
          <w:rFonts w:cs="Times New Roman"/>
          <w:color w:val="141314"/>
        </w:rPr>
        <w:t>, 20 (6): 873-881.</w:t>
      </w:r>
    </w:p>
    <w:p w:rsidR="004A0C15" w:rsidRPr="00CC0F87" w:rsidRDefault="004A0C15" w:rsidP="000E2AC6">
      <w:pPr>
        <w:numPr>
          <w:ilvl w:val="0"/>
          <w:numId w:val="7"/>
        </w:numPr>
        <w:shd w:val="clear" w:color="auto" w:fill="FFFFFF"/>
        <w:autoSpaceDE w:val="0"/>
        <w:autoSpaceDN w:val="0"/>
        <w:bidi w:val="0"/>
        <w:adjustRightInd w:val="0"/>
        <w:snapToGrid w:val="0"/>
        <w:ind w:left="425" w:hanging="425"/>
        <w:jc w:val="both"/>
        <w:rPr>
          <w:rFonts w:cs="Times New Roman"/>
          <w:color w:val="141314"/>
        </w:rPr>
      </w:pPr>
      <w:r w:rsidRPr="00CC0F87">
        <w:rPr>
          <w:rFonts w:cs="Times New Roman"/>
          <w:bCs/>
          <w:color w:val="141314"/>
        </w:rPr>
        <w:t xml:space="preserve">Song T, </w:t>
      </w:r>
      <w:proofErr w:type="spellStart"/>
      <w:r w:rsidRPr="00CC0F87">
        <w:rPr>
          <w:rFonts w:cs="Times New Roman"/>
          <w:bCs/>
          <w:color w:val="141314"/>
        </w:rPr>
        <w:t>Ip</w:t>
      </w:r>
      <w:proofErr w:type="spellEnd"/>
      <w:r w:rsidRPr="00CC0F87">
        <w:rPr>
          <w:rFonts w:cs="Times New Roman"/>
          <w:bCs/>
          <w:color w:val="141314"/>
        </w:rPr>
        <w:t xml:space="preserve"> E and Fong Y. (2004)</w:t>
      </w:r>
      <w:r w:rsidRPr="00CC0F87">
        <w:rPr>
          <w:rFonts w:cs="Times New Roman"/>
          <w:color w:val="141314"/>
        </w:rPr>
        <w:t xml:space="preserve">: </w:t>
      </w:r>
      <w:proofErr w:type="spellStart"/>
      <w:r w:rsidRPr="00CC0F87">
        <w:rPr>
          <w:rFonts w:cs="Times New Roman"/>
          <w:color w:val="141314"/>
        </w:rPr>
        <w:t>Hepatocellular</w:t>
      </w:r>
      <w:proofErr w:type="spellEnd"/>
      <w:r w:rsidRPr="00CC0F87">
        <w:rPr>
          <w:rFonts w:cs="Times New Roman"/>
          <w:color w:val="141314"/>
        </w:rPr>
        <w:t xml:space="preserve"> carcinoma: current surgical management. Gastroenterology; 127(5 </w:t>
      </w:r>
      <w:proofErr w:type="spellStart"/>
      <w:r w:rsidRPr="00CC0F87">
        <w:rPr>
          <w:rFonts w:cs="Times New Roman"/>
          <w:color w:val="141314"/>
        </w:rPr>
        <w:t>Suppl</w:t>
      </w:r>
      <w:proofErr w:type="spellEnd"/>
      <w:r w:rsidRPr="00CC0F87">
        <w:rPr>
          <w:rFonts w:cs="Times New Roman"/>
          <w:color w:val="141314"/>
        </w:rPr>
        <w:t xml:space="preserve"> 1):S248-S260.</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proofErr w:type="spellStart"/>
      <w:r w:rsidRPr="00CC0F87">
        <w:rPr>
          <w:rFonts w:cs="Times New Roman"/>
          <w:bCs/>
          <w:color w:val="141314"/>
        </w:rPr>
        <w:t>Tangkijvanich</w:t>
      </w:r>
      <w:proofErr w:type="spellEnd"/>
      <w:r w:rsidRPr="00CC0F87">
        <w:rPr>
          <w:rFonts w:cs="Times New Roman"/>
          <w:bCs/>
          <w:color w:val="141314"/>
        </w:rPr>
        <w:t xml:space="preserve"> P, Thong-</w:t>
      </w:r>
      <w:proofErr w:type="spellStart"/>
      <w:r w:rsidRPr="00CC0F87">
        <w:rPr>
          <w:rFonts w:cs="Times New Roman"/>
          <w:bCs/>
          <w:color w:val="141314"/>
        </w:rPr>
        <w:t>ngam</w:t>
      </w:r>
      <w:proofErr w:type="spellEnd"/>
      <w:r w:rsidRPr="00CC0F87">
        <w:rPr>
          <w:rFonts w:cs="Times New Roman"/>
          <w:bCs/>
          <w:color w:val="141314"/>
        </w:rPr>
        <w:t xml:space="preserve"> D and</w:t>
      </w:r>
      <w:r w:rsidR="00CC0F87">
        <w:rPr>
          <w:rFonts w:cs="Times New Roman"/>
          <w:bCs/>
          <w:color w:val="141314"/>
        </w:rPr>
        <w:t xml:space="preserve"> </w:t>
      </w:r>
      <w:proofErr w:type="spellStart"/>
      <w:r w:rsidRPr="00CC0F87">
        <w:rPr>
          <w:rFonts w:cs="Times New Roman"/>
          <w:bCs/>
          <w:color w:val="141314"/>
        </w:rPr>
        <w:t>Mahachai</w:t>
      </w:r>
      <w:proofErr w:type="spellEnd"/>
      <w:r w:rsidRPr="00CC0F87">
        <w:rPr>
          <w:rFonts w:cs="Times New Roman"/>
          <w:bCs/>
          <w:color w:val="141314"/>
        </w:rPr>
        <w:t xml:space="preserve"> V. (2007)</w:t>
      </w:r>
      <w:r w:rsidRPr="00CC0F87">
        <w:rPr>
          <w:rFonts w:cs="Times New Roman"/>
          <w:color w:val="141314"/>
        </w:rPr>
        <w:t>:</w:t>
      </w:r>
      <w:r w:rsidR="00CC0F87">
        <w:rPr>
          <w:rFonts w:cs="Times New Roman"/>
          <w:color w:val="141314"/>
        </w:rPr>
        <w:t xml:space="preserve"> </w:t>
      </w:r>
      <w:r w:rsidRPr="00CC0F87">
        <w:rPr>
          <w:rFonts w:cs="Times New Roman"/>
          <w:color w:val="141314"/>
        </w:rPr>
        <w:t xml:space="preserve">Role of serum interleukin-18 as a prognostic factor in patients with </w:t>
      </w:r>
      <w:proofErr w:type="spellStart"/>
      <w:r w:rsidRPr="00CC0F87">
        <w:rPr>
          <w:rFonts w:cs="Times New Roman"/>
          <w:color w:val="141314"/>
        </w:rPr>
        <w:t>hepatocellular</w:t>
      </w:r>
      <w:proofErr w:type="spellEnd"/>
      <w:r w:rsidRPr="00CC0F87">
        <w:rPr>
          <w:rFonts w:cs="Times New Roman"/>
          <w:color w:val="141314"/>
        </w:rPr>
        <w:t xml:space="preserve"> carcinoma. World Journal of Gastroenterology, 13(32): 4345-4349</w:t>
      </w:r>
      <w:bookmarkStart w:id="5" w:name="REF14"/>
      <w:bookmarkEnd w:id="5"/>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29" w:history="1">
        <w:proofErr w:type="spellStart"/>
        <w:r w:rsidR="004A0C15" w:rsidRPr="00CC0F87">
          <w:rPr>
            <w:rFonts w:cs="Times New Roman"/>
            <w:bCs/>
            <w:color w:val="141314"/>
          </w:rPr>
          <w:t>Bouzgarrou</w:t>
        </w:r>
        <w:proofErr w:type="spellEnd"/>
        <w:r w:rsidR="004A0C15" w:rsidRPr="00CC0F87">
          <w:rPr>
            <w:rFonts w:cs="Times New Roman"/>
            <w:bCs/>
            <w:color w:val="141314"/>
          </w:rPr>
          <w:t xml:space="preserve"> N</w:t>
        </w:r>
      </w:hyperlink>
      <w:r w:rsidR="004A0C15" w:rsidRPr="00CC0F87">
        <w:rPr>
          <w:rFonts w:cs="Times New Roman"/>
          <w:bCs/>
          <w:color w:val="141314"/>
        </w:rPr>
        <w:t xml:space="preserve">, </w:t>
      </w:r>
      <w:hyperlink r:id="rId30" w:history="1">
        <w:proofErr w:type="spellStart"/>
        <w:r w:rsidR="004A0C15" w:rsidRPr="00CC0F87">
          <w:rPr>
            <w:rFonts w:cs="Times New Roman"/>
            <w:bCs/>
            <w:color w:val="141314"/>
          </w:rPr>
          <w:t>Hassen</w:t>
        </w:r>
        <w:proofErr w:type="spellEnd"/>
        <w:r w:rsidR="004A0C15" w:rsidRPr="00CC0F87">
          <w:rPr>
            <w:rFonts w:cs="Times New Roman"/>
            <w:bCs/>
            <w:color w:val="141314"/>
          </w:rPr>
          <w:t xml:space="preserve"> E</w:t>
        </w:r>
      </w:hyperlink>
      <w:r w:rsidR="004A0C15" w:rsidRPr="00CC0F87">
        <w:rPr>
          <w:rFonts w:cs="Times New Roman"/>
          <w:bCs/>
          <w:color w:val="141314"/>
        </w:rPr>
        <w:t xml:space="preserve"> and </w:t>
      </w:r>
      <w:hyperlink r:id="rId31" w:history="1">
        <w:proofErr w:type="spellStart"/>
        <w:r w:rsidR="004A0C15" w:rsidRPr="00CC0F87">
          <w:rPr>
            <w:rFonts w:cs="Times New Roman"/>
            <w:bCs/>
            <w:color w:val="141314"/>
          </w:rPr>
          <w:t>Schvoerer</w:t>
        </w:r>
        <w:proofErr w:type="spellEnd"/>
        <w:r w:rsidR="004A0C15" w:rsidRPr="00CC0F87">
          <w:rPr>
            <w:rFonts w:cs="Times New Roman"/>
            <w:bCs/>
            <w:color w:val="141314"/>
          </w:rPr>
          <w:t xml:space="preserve"> E</w:t>
        </w:r>
      </w:hyperlink>
      <w:r w:rsidR="004A0C15" w:rsidRPr="00CC0F87">
        <w:rPr>
          <w:rFonts w:cs="Times New Roman"/>
          <w:bCs/>
          <w:color w:val="141314"/>
        </w:rPr>
        <w:t xml:space="preserve"> (2008)</w:t>
      </w:r>
      <w:r w:rsidR="004A0C15" w:rsidRPr="00CC0F87">
        <w:rPr>
          <w:rFonts w:cs="Times New Roman"/>
          <w:color w:val="141314"/>
        </w:rPr>
        <w:t xml:space="preserve">: Association of interleukin-18 polymorphisms and plasma level with the outcome of chronic HCV infection. </w:t>
      </w:r>
      <w:hyperlink r:id="rId32" w:history="1">
        <w:r w:rsidR="004A0C15" w:rsidRPr="00CC0F87">
          <w:rPr>
            <w:rFonts w:cs="Times New Roman"/>
            <w:color w:val="141314"/>
          </w:rPr>
          <w:t xml:space="preserve">J. Med. </w:t>
        </w:r>
        <w:proofErr w:type="spellStart"/>
        <w:r w:rsidR="004A0C15" w:rsidRPr="00CC0F87">
          <w:rPr>
            <w:rFonts w:cs="Times New Roman"/>
            <w:color w:val="141314"/>
          </w:rPr>
          <w:t>Virol</w:t>
        </w:r>
        <w:proofErr w:type="spellEnd"/>
        <w:r w:rsidR="004A0C15" w:rsidRPr="00CC0F87">
          <w:rPr>
            <w:rFonts w:cs="Times New Roman"/>
            <w:color w:val="141314"/>
          </w:rPr>
          <w:t>.</w:t>
        </w:r>
      </w:hyperlink>
      <w:r w:rsidR="004A0C15" w:rsidRPr="00CC0F87">
        <w:rPr>
          <w:rFonts w:cs="Times New Roman"/>
          <w:color w:val="141314"/>
        </w:rPr>
        <w:t>, 80(4): 607-14.</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r w:rsidRPr="00CC0F87">
        <w:rPr>
          <w:rFonts w:cs="Times New Roman"/>
          <w:bCs/>
          <w:color w:val="141314"/>
        </w:rPr>
        <w:lastRenderedPageBreak/>
        <w:t>Johnson, P.J. (2000)</w:t>
      </w:r>
      <w:r w:rsidRPr="00CC0F87">
        <w:rPr>
          <w:rFonts w:cs="Times New Roman"/>
          <w:color w:val="141314"/>
        </w:rPr>
        <w:t xml:space="preserve">: Malignant tumors of the liver. In Comprehensive Clinical </w:t>
      </w:r>
      <w:proofErr w:type="spellStart"/>
      <w:r w:rsidRPr="00CC0F87">
        <w:rPr>
          <w:rFonts w:cs="Times New Roman"/>
          <w:color w:val="141314"/>
        </w:rPr>
        <w:t>Hepatology</w:t>
      </w:r>
      <w:proofErr w:type="spellEnd"/>
      <w:r w:rsidRPr="00CC0F87">
        <w:rPr>
          <w:rFonts w:cs="Times New Roman"/>
          <w:color w:val="141314"/>
        </w:rPr>
        <w:t xml:space="preserve">, 1st edition, edited by O’Grady, J.G., Lake, J.R. and </w:t>
      </w:r>
      <w:proofErr w:type="spellStart"/>
      <w:r w:rsidRPr="00CC0F87">
        <w:rPr>
          <w:rFonts w:cs="Times New Roman"/>
          <w:color w:val="141314"/>
        </w:rPr>
        <w:t>Howdle</w:t>
      </w:r>
      <w:proofErr w:type="spellEnd"/>
      <w:r w:rsidRPr="00CC0F87">
        <w:rPr>
          <w:rFonts w:cs="Times New Roman"/>
          <w:color w:val="141314"/>
        </w:rPr>
        <w:t xml:space="preserve"> P.D., Harcourt Publishers, London, PP. 25: 1-18.</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r w:rsidRPr="00CC0F87">
        <w:rPr>
          <w:rFonts w:cs="Times New Roman"/>
          <w:bCs/>
          <w:color w:val="141314"/>
        </w:rPr>
        <w:t>El-</w:t>
      </w:r>
      <w:proofErr w:type="spellStart"/>
      <w:r w:rsidRPr="00CC0F87">
        <w:rPr>
          <w:rFonts w:cs="Times New Roman"/>
          <w:bCs/>
          <w:color w:val="141314"/>
        </w:rPr>
        <w:t>Zayadi</w:t>
      </w:r>
      <w:proofErr w:type="spellEnd"/>
      <w:r w:rsidRPr="00CC0F87">
        <w:rPr>
          <w:rFonts w:cs="Times New Roman"/>
          <w:bCs/>
          <w:color w:val="141314"/>
        </w:rPr>
        <w:t xml:space="preserve">, A., </w:t>
      </w:r>
      <w:proofErr w:type="spellStart"/>
      <w:r w:rsidRPr="00CC0F87">
        <w:rPr>
          <w:rFonts w:cs="Times New Roman"/>
          <w:bCs/>
          <w:color w:val="141314"/>
        </w:rPr>
        <w:t>Abaza</w:t>
      </w:r>
      <w:proofErr w:type="spellEnd"/>
      <w:r w:rsidRPr="00CC0F87">
        <w:rPr>
          <w:rFonts w:cs="Times New Roman"/>
          <w:bCs/>
          <w:color w:val="141314"/>
        </w:rPr>
        <w:t xml:space="preserve">, H. and </w:t>
      </w:r>
      <w:proofErr w:type="spellStart"/>
      <w:r w:rsidRPr="00CC0F87">
        <w:rPr>
          <w:rFonts w:cs="Times New Roman"/>
          <w:bCs/>
          <w:color w:val="141314"/>
        </w:rPr>
        <w:t>Shawky</w:t>
      </w:r>
      <w:proofErr w:type="spellEnd"/>
      <w:r w:rsidRPr="00CC0F87">
        <w:rPr>
          <w:rFonts w:cs="Times New Roman"/>
          <w:bCs/>
          <w:color w:val="141314"/>
        </w:rPr>
        <w:t>, S. (2001)</w:t>
      </w:r>
      <w:r w:rsidRPr="00CC0F87">
        <w:rPr>
          <w:rFonts w:cs="Times New Roman"/>
          <w:color w:val="141314"/>
        </w:rPr>
        <w:t xml:space="preserve">: Prevalence and epidemiological features of HCC in Egypt - a single center experience. </w:t>
      </w:r>
      <w:proofErr w:type="spellStart"/>
      <w:r w:rsidRPr="00CC0F87">
        <w:rPr>
          <w:rFonts w:cs="Times New Roman"/>
          <w:color w:val="141314"/>
        </w:rPr>
        <w:t>Hepatology</w:t>
      </w:r>
      <w:proofErr w:type="spellEnd"/>
      <w:r w:rsidRPr="00CC0F87">
        <w:rPr>
          <w:rFonts w:cs="Times New Roman"/>
          <w:color w:val="141314"/>
        </w:rPr>
        <w:t xml:space="preserve"> Research, 19:170-9.</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33" w:tooltip="Click to search for citations by this author." w:history="1">
        <w:proofErr w:type="spellStart"/>
        <w:r w:rsidR="004A0C15" w:rsidRPr="00CC0F87">
          <w:rPr>
            <w:rFonts w:cs="Times New Roman"/>
            <w:bCs/>
            <w:color w:val="141314"/>
          </w:rPr>
          <w:t>Hopf</w:t>
        </w:r>
        <w:proofErr w:type="spellEnd"/>
        <w:r w:rsidR="004A0C15" w:rsidRPr="00CC0F87">
          <w:rPr>
            <w:rFonts w:cs="Times New Roman"/>
            <w:bCs/>
            <w:color w:val="141314"/>
          </w:rPr>
          <w:t>, U</w:t>
        </w:r>
      </w:hyperlink>
      <w:r w:rsidR="004A0C15" w:rsidRPr="00CC0F87">
        <w:rPr>
          <w:rFonts w:cs="Times New Roman"/>
          <w:bCs/>
          <w:color w:val="141314"/>
        </w:rPr>
        <w:t>. (2005)</w:t>
      </w:r>
      <w:r w:rsidR="004A0C15" w:rsidRPr="00CC0F87">
        <w:rPr>
          <w:rFonts w:cs="Times New Roman"/>
          <w:color w:val="141314"/>
        </w:rPr>
        <w:t xml:space="preserve">: The elder patient with advanced liver disease. </w:t>
      </w:r>
      <w:proofErr w:type="spellStart"/>
      <w:r w:rsidR="004A0C15" w:rsidRPr="00CC0F87">
        <w:rPr>
          <w:rFonts w:cs="Times New Roman"/>
          <w:color w:val="141314"/>
        </w:rPr>
        <w:t>SchweizRundsch</w:t>
      </w:r>
      <w:proofErr w:type="spellEnd"/>
      <w:r w:rsidR="004A0C15" w:rsidRPr="00CC0F87">
        <w:rPr>
          <w:rFonts w:cs="Times New Roman"/>
          <w:color w:val="141314"/>
        </w:rPr>
        <w:t xml:space="preserve"> Med.</w:t>
      </w:r>
      <w:r w:rsidR="00CC0F87">
        <w:rPr>
          <w:rFonts w:cs="Times New Roman"/>
          <w:color w:val="141314"/>
        </w:rPr>
        <w:t xml:space="preserve"> </w:t>
      </w:r>
      <w:proofErr w:type="spellStart"/>
      <w:r w:rsidR="004A0C15" w:rsidRPr="00CC0F87">
        <w:rPr>
          <w:rFonts w:cs="Times New Roman"/>
          <w:color w:val="141314"/>
        </w:rPr>
        <w:t>Prax</w:t>
      </w:r>
      <w:proofErr w:type="spellEnd"/>
      <w:r w:rsidR="004A0C15" w:rsidRPr="00CC0F87">
        <w:rPr>
          <w:rFonts w:cs="Times New Roman"/>
          <w:color w:val="141314"/>
        </w:rPr>
        <w:t>., 94 (18):</w:t>
      </w:r>
      <w:r w:rsidR="00CC0F87">
        <w:rPr>
          <w:rFonts w:cs="Times New Roman"/>
          <w:color w:val="141314"/>
        </w:rPr>
        <w:t xml:space="preserve"> </w:t>
      </w:r>
      <w:r w:rsidR="004A0C15" w:rsidRPr="00CC0F87">
        <w:rPr>
          <w:rFonts w:cs="Times New Roman"/>
          <w:color w:val="141314"/>
        </w:rPr>
        <w:t>743-750.</w:t>
      </w:r>
    </w:p>
    <w:p w:rsidR="004A0C15" w:rsidRPr="00CC0F87" w:rsidRDefault="00BD1BD8" w:rsidP="000E2AC6">
      <w:pPr>
        <w:numPr>
          <w:ilvl w:val="0"/>
          <w:numId w:val="7"/>
        </w:numPr>
        <w:autoSpaceDE w:val="0"/>
        <w:autoSpaceDN w:val="0"/>
        <w:bidi w:val="0"/>
        <w:adjustRightInd w:val="0"/>
        <w:snapToGrid w:val="0"/>
        <w:ind w:left="425" w:hanging="425"/>
        <w:jc w:val="both"/>
        <w:rPr>
          <w:rFonts w:cs="Times New Roman"/>
          <w:color w:val="141314"/>
        </w:rPr>
      </w:pPr>
      <w:hyperlink r:id="rId34" w:tooltip="Click to search for citations by this author." w:history="1">
        <w:r w:rsidR="004A0C15" w:rsidRPr="00CC0F87">
          <w:rPr>
            <w:rFonts w:cs="Times New Roman"/>
            <w:bCs/>
            <w:color w:val="141314"/>
          </w:rPr>
          <w:t>Hernandez-Castillo, E</w:t>
        </w:r>
      </w:hyperlink>
      <w:r w:rsidR="004A0C15" w:rsidRPr="00CC0F87">
        <w:rPr>
          <w:rFonts w:cs="Times New Roman"/>
          <w:bCs/>
          <w:color w:val="141314"/>
        </w:rPr>
        <w:t xml:space="preserve">., </w:t>
      </w:r>
      <w:hyperlink r:id="rId35" w:tooltip="Click to search for citations by this author." w:history="1">
        <w:r w:rsidR="004A0C15" w:rsidRPr="00CC0F87">
          <w:rPr>
            <w:rFonts w:cs="Times New Roman"/>
            <w:bCs/>
            <w:color w:val="141314"/>
          </w:rPr>
          <w:t>Mondragon-Sanchez, R</w:t>
        </w:r>
      </w:hyperlink>
      <w:r w:rsidR="004A0C15" w:rsidRPr="00CC0F87">
        <w:rPr>
          <w:rFonts w:cs="Times New Roman"/>
          <w:bCs/>
          <w:color w:val="141314"/>
        </w:rPr>
        <w:t xml:space="preserve">. </w:t>
      </w:r>
      <w:proofErr w:type="gramStart"/>
      <w:r w:rsidR="004A0C15" w:rsidRPr="00CC0F87">
        <w:rPr>
          <w:rFonts w:cs="Times New Roman"/>
          <w:bCs/>
          <w:color w:val="141314"/>
        </w:rPr>
        <w:t>and</w:t>
      </w:r>
      <w:proofErr w:type="gramEnd"/>
      <w:r w:rsidR="004A0C15" w:rsidRPr="00CC0F87">
        <w:rPr>
          <w:rFonts w:cs="Times New Roman"/>
          <w:bCs/>
          <w:color w:val="141314"/>
        </w:rPr>
        <w:t xml:space="preserve"> </w:t>
      </w:r>
      <w:hyperlink r:id="rId36" w:tooltip="Click to search for citations by this author." w:history="1">
        <w:proofErr w:type="spellStart"/>
        <w:r w:rsidR="004A0C15" w:rsidRPr="00CC0F87">
          <w:rPr>
            <w:rFonts w:cs="Times New Roman"/>
            <w:bCs/>
            <w:color w:val="141314"/>
          </w:rPr>
          <w:t>Garduno</w:t>
        </w:r>
        <w:proofErr w:type="spellEnd"/>
        <w:r w:rsidR="004A0C15" w:rsidRPr="00CC0F87">
          <w:rPr>
            <w:rFonts w:cs="Times New Roman"/>
            <w:bCs/>
            <w:color w:val="141314"/>
          </w:rPr>
          <w:t>-Lopez, A.L</w:t>
        </w:r>
      </w:hyperlink>
      <w:r w:rsidR="004A0C15" w:rsidRPr="00CC0F87">
        <w:rPr>
          <w:rFonts w:cs="Times New Roman"/>
          <w:bCs/>
          <w:color w:val="141314"/>
        </w:rPr>
        <w:t>. (2005)</w:t>
      </w:r>
      <w:r w:rsidR="004A0C15" w:rsidRPr="00CC0F87">
        <w:rPr>
          <w:rFonts w:cs="Times New Roman"/>
          <w:color w:val="141314"/>
        </w:rPr>
        <w:t xml:space="preserve">: </w:t>
      </w:r>
      <w:proofErr w:type="spellStart"/>
      <w:r w:rsidR="004A0C15" w:rsidRPr="00CC0F87">
        <w:rPr>
          <w:rFonts w:cs="Times New Roman"/>
          <w:color w:val="141314"/>
        </w:rPr>
        <w:t>Hepatocellular</w:t>
      </w:r>
      <w:proofErr w:type="spellEnd"/>
      <w:r w:rsidR="004A0C15" w:rsidRPr="00CC0F87">
        <w:rPr>
          <w:rFonts w:cs="Times New Roman"/>
          <w:color w:val="141314"/>
        </w:rPr>
        <w:t xml:space="preserve"> carcinoma in the youth. A comparative analysis with </w:t>
      </w:r>
      <w:proofErr w:type="spellStart"/>
      <w:r w:rsidR="004A0C15" w:rsidRPr="00CC0F87">
        <w:rPr>
          <w:rFonts w:cs="Times New Roman"/>
          <w:color w:val="141314"/>
        </w:rPr>
        <w:t>hepatocellular</w:t>
      </w:r>
      <w:proofErr w:type="spellEnd"/>
      <w:r w:rsidR="004A0C15" w:rsidRPr="00CC0F87">
        <w:rPr>
          <w:rFonts w:cs="Times New Roman"/>
          <w:color w:val="141314"/>
        </w:rPr>
        <w:t xml:space="preserve"> carcinoma in adulthood. </w:t>
      </w:r>
      <w:proofErr w:type="spellStart"/>
      <w:r w:rsidR="004A0C15" w:rsidRPr="00CC0F87">
        <w:rPr>
          <w:rFonts w:cs="Times New Roman"/>
          <w:color w:val="141314"/>
        </w:rPr>
        <w:t>Hepatogastro-enterology</w:t>
      </w:r>
      <w:proofErr w:type="spellEnd"/>
      <w:r w:rsidR="004A0C15" w:rsidRPr="00CC0F87">
        <w:rPr>
          <w:rFonts w:cs="Times New Roman"/>
          <w:color w:val="141314"/>
        </w:rPr>
        <w:t>. 52(63):903-907.</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r w:rsidRPr="00CC0F87">
        <w:rPr>
          <w:rFonts w:cs="Times New Roman"/>
          <w:bCs/>
          <w:color w:val="141314"/>
        </w:rPr>
        <w:t>Ibrahim, A.S. (2005)</w:t>
      </w:r>
      <w:r w:rsidRPr="00CC0F87">
        <w:rPr>
          <w:rFonts w:cs="Times New Roman"/>
          <w:color w:val="141314"/>
        </w:rPr>
        <w:t xml:space="preserve">: Value of protein induced by vitamin K absence as a </w:t>
      </w:r>
      <w:proofErr w:type="spellStart"/>
      <w:r w:rsidRPr="00CC0F87">
        <w:rPr>
          <w:rFonts w:cs="Times New Roman"/>
          <w:color w:val="141314"/>
        </w:rPr>
        <w:t>tumour</w:t>
      </w:r>
      <w:proofErr w:type="spellEnd"/>
      <w:r w:rsidRPr="00CC0F87">
        <w:rPr>
          <w:rFonts w:cs="Times New Roman"/>
          <w:color w:val="141314"/>
        </w:rPr>
        <w:t xml:space="preserve"> marker in diagnosis of </w:t>
      </w:r>
      <w:proofErr w:type="spellStart"/>
      <w:r w:rsidRPr="00CC0F87">
        <w:rPr>
          <w:rFonts w:cs="Times New Roman"/>
          <w:color w:val="141314"/>
        </w:rPr>
        <w:t>hepatocellular</w:t>
      </w:r>
      <w:proofErr w:type="spellEnd"/>
      <w:r w:rsidRPr="00CC0F87">
        <w:rPr>
          <w:rFonts w:cs="Times New Roman"/>
          <w:color w:val="141314"/>
        </w:rPr>
        <w:t xml:space="preserve"> carcinoma. Thesis for doctor degree in Tropical Medicine Department, </w:t>
      </w:r>
      <w:proofErr w:type="spellStart"/>
      <w:r w:rsidRPr="00CC0F87">
        <w:rPr>
          <w:rFonts w:cs="Times New Roman"/>
          <w:color w:val="141314"/>
        </w:rPr>
        <w:t>Ain</w:t>
      </w:r>
      <w:proofErr w:type="spellEnd"/>
      <w:r w:rsidRPr="00CC0F87">
        <w:rPr>
          <w:rFonts w:cs="Times New Roman"/>
          <w:color w:val="141314"/>
        </w:rPr>
        <w:t xml:space="preserve"> Shams University.</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proofErr w:type="spellStart"/>
      <w:r w:rsidRPr="00CC0F87">
        <w:rPr>
          <w:rFonts w:cs="Times New Roman"/>
          <w:bCs/>
          <w:color w:val="141314"/>
        </w:rPr>
        <w:t>Massoud</w:t>
      </w:r>
      <w:proofErr w:type="spellEnd"/>
      <w:r w:rsidRPr="00CC0F87">
        <w:rPr>
          <w:rFonts w:cs="Times New Roman"/>
          <w:bCs/>
          <w:color w:val="141314"/>
        </w:rPr>
        <w:t xml:space="preserve">, A., </w:t>
      </w:r>
      <w:proofErr w:type="spellStart"/>
      <w:r w:rsidRPr="00CC0F87">
        <w:rPr>
          <w:rFonts w:cs="Times New Roman"/>
          <w:bCs/>
          <w:color w:val="141314"/>
        </w:rPr>
        <w:t>Reda</w:t>
      </w:r>
      <w:proofErr w:type="spellEnd"/>
      <w:r w:rsidRPr="00CC0F87">
        <w:rPr>
          <w:rFonts w:cs="Times New Roman"/>
          <w:bCs/>
          <w:color w:val="141314"/>
        </w:rPr>
        <w:t>, M. and Shaker, M. (2006)</w:t>
      </w:r>
      <w:r w:rsidRPr="00CC0F87">
        <w:rPr>
          <w:rFonts w:cs="Times New Roman"/>
          <w:color w:val="141314"/>
        </w:rPr>
        <w:t xml:space="preserve">: Detection of hepatitis B and C viruses in </w:t>
      </w:r>
      <w:proofErr w:type="spellStart"/>
      <w:r w:rsidRPr="00CC0F87">
        <w:rPr>
          <w:rFonts w:cs="Times New Roman"/>
          <w:color w:val="141314"/>
        </w:rPr>
        <w:t>hepatocellular</w:t>
      </w:r>
      <w:proofErr w:type="spellEnd"/>
      <w:r w:rsidRPr="00CC0F87">
        <w:rPr>
          <w:rFonts w:cs="Times New Roman"/>
          <w:color w:val="141314"/>
        </w:rPr>
        <w:t xml:space="preserve"> carcinoma tissue. In Liver International, 24th biennial meeting of the International Association for the study of the Liver (IASL) in collaboration with the African Association for the Study of Liver Diseases (AFASLD):</w:t>
      </w:r>
      <w:r w:rsidR="00CC0F87">
        <w:rPr>
          <w:rFonts w:cs="Times New Roman"/>
          <w:color w:val="141314"/>
        </w:rPr>
        <w:t xml:space="preserve"> </w:t>
      </w:r>
      <w:r w:rsidRPr="00CC0F87">
        <w:rPr>
          <w:rFonts w:cs="Times New Roman"/>
          <w:color w:val="141314"/>
        </w:rPr>
        <w:t>26 (1) PP: 67.</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proofErr w:type="spellStart"/>
      <w:r w:rsidRPr="00CC0F87">
        <w:rPr>
          <w:rFonts w:cs="Times New Roman"/>
          <w:bCs/>
          <w:color w:val="141314"/>
        </w:rPr>
        <w:t>Asakawa</w:t>
      </w:r>
      <w:proofErr w:type="spellEnd"/>
      <w:r w:rsidRPr="00CC0F87">
        <w:rPr>
          <w:rFonts w:cs="Times New Roman"/>
          <w:bCs/>
          <w:color w:val="141314"/>
        </w:rPr>
        <w:t xml:space="preserve"> M, </w:t>
      </w:r>
      <w:proofErr w:type="spellStart"/>
      <w:r w:rsidRPr="00CC0F87">
        <w:rPr>
          <w:rFonts w:cs="Times New Roman"/>
          <w:bCs/>
          <w:color w:val="141314"/>
        </w:rPr>
        <w:t>Kono</w:t>
      </w:r>
      <w:proofErr w:type="spellEnd"/>
      <w:r w:rsidRPr="00CC0F87">
        <w:rPr>
          <w:rFonts w:cs="Times New Roman"/>
          <w:bCs/>
          <w:color w:val="141314"/>
        </w:rPr>
        <w:t xml:space="preserve"> H and </w:t>
      </w:r>
      <w:proofErr w:type="spellStart"/>
      <w:r w:rsidRPr="00CC0F87">
        <w:rPr>
          <w:rFonts w:cs="Times New Roman"/>
          <w:bCs/>
          <w:color w:val="141314"/>
        </w:rPr>
        <w:t>Amemiya</w:t>
      </w:r>
      <w:proofErr w:type="spellEnd"/>
      <w:r w:rsidRPr="00CC0F87">
        <w:rPr>
          <w:rFonts w:cs="Times New Roman"/>
          <w:bCs/>
          <w:color w:val="141314"/>
        </w:rPr>
        <w:t xml:space="preserve"> H (2006): </w:t>
      </w:r>
      <w:r w:rsidRPr="00CC0F87">
        <w:rPr>
          <w:rFonts w:cs="Times New Roman"/>
          <w:color w:val="141314"/>
        </w:rPr>
        <w:t xml:space="preserve">Role of interleukin-18 and its receptor in </w:t>
      </w:r>
      <w:proofErr w:type="spellStart"/>
      <w:r w:rsidRPr="00CC0F87">
        <w:rPr>
          <w:rFonts w:cs="Times New Roman"/>
          <w:color w:val="141314"/>
        </w:rPr>
        <w:t>hepatocellular</w:t>
      </w:r>
      <w:proofErr w:type="spellEnd"/>
      <w:r w:rsidRPr="00CC0F87">
        <w:rPr>
          <w:rFonts w:cs="Times New Roman"/>
          <w:color w:val="141314"/>
        </w:rPr>
        <w:t xml:space="preserve"> carcinoma associated with hepatitis C virus infection.</w:t>
      </w:r>
      <w:r w:rsidRPr="00CC0F87">
        <w:rPr>
          <w:rFonts w:cs="Times New Roman"/>
          <w:bCs/>
          <w:color w:val="141314"/>
        </w:rPr>
        <w:t xml:space="preserve"> International Journal of Cancer</w:t>
      </w:r>
      <w:r w:rsidRPr="00CC0F87">
        <w:rPr>
          <w:rFonts w:cs="Times New Roman"/>
          <w:color w:val="141314"/>
        </w:rPr>
        <w:t>; 118: 564-570.</w:t>
      </w:r>
    </w:p>
    <w:p w:rsidR="004A0C15" w:rsidRPr="00CC0F87" w:rsidRDefault="004A0C15" w:rsidP="000E2AC6">
      <w:pPr>
        <w:pStyle w:val="Title1"/>
        <w:numPr>
          <w:ilvl w:val="0"/>
          <w:numId w:val="7"/>
        </w:numPr>
        <w:shd w:val="clear" w:color="auto" w:fill="FFFFFF"/>
        <w:snapToGrid w:val="0"/>
        <w:spacing w:before="0" w:beforeAutospacing="0" w:after="0" w:afterAutospacing="0"/>
        <w:ind w:left="425" w:hanging="425"/>
        <w:jc w:val="both"/>
        <w:rPr>
          <w:color w:val="141314"/>
          <w:sz w:val="20"/>
          <w:szCs w:val="20"/>
        </w:rPr>
      </w:pPr>
      <w:proofErr w:type="spellStart"/>
      <w:r w:rsidRPr="00CC0F87">
        <w:rPr>
          <w:bCs/>
          <w:color w:val="141314"/>
          <w:sz w:val="20"/>
          <w:szCs w:val="20"/>
        </w:rPr>
        <w:t>Mohran</w:t>
      </w:r>
      <w:proofErr w:type="spellEnd"/>
      <w:r w:rsidRPr="00CC0F87">
        <w:rPr>
          <w:bCs/>
          <w:color w:val="141314"/>
          <w:sz w:val="20"/>
          <w:szCs w:val="20"/>
        </w:rPr>
        <w:t xml:space="preserve"> ZY, Ali-</w:t>
      </w:r>
      <w:proofErr w:type="spellStart"/>
      <w:r w:rsidRPr="00CC0F87">
        <w:rPr>
          <w:bCs/>
          <w:color w:val="141314"/>
          <w:sz w:val="20"/>
          <w:szCs w:val="20"/>
        </w:rPr>
        <w:t>Eldin</w:t>
      </w:r>
      <w:proofErr w:type="spellEnd"/>
      <w:r w:rsidRPr="00CC0F87">
        <w:rPr>
          <w:bCs/>
          <w:color w:val="141314"/>
          <w:sz w:val="20"/>
          <w:szCs w:val="20"/>
        </w:rPr>
        <w:t xml:space="preserve"> FA and Abdel </w:t>
      </w:r>
      <w:proofErr w:type="spellStart"/>
      <w:r w:rsidRPr="00CC0F87">
        <w:rPr>
          <w:bCs/>
          <w:color w:val="141314"/>
          <w:sz w:val="20"/>
          <w:szCs w:val="20"/>
        </w:rPr>
        <w:t>Aal</w:t>
      </w:r>
      <w:proofErr w:type="spellEnd"/>
      <w:r w:rsidRPr="00CC0F87">
        <w:rPr>
          <w:bCs/>
          <w:color w:val="141314"/>
          <w:sz w:val="20"/>
          <w:szCs w:val="20"/>
        </w:rPr>
        <w:t xml:space="preserve">. HA (2011): </w:t>
      </w:r>
      <w:hyperlink r:id="rId37" w:history="1">
        <w:r w:rsidRPr="00CC0F87">
          <w:rPr>
            <w:color w:val="141314"/>
            <w:sz w:val="20"/>
            <w:szCs w:val="20"/>
          </w:rPr>
          <w:t>Serum interleukin-18:</w:t>
        </w:r>
        <w:r w:rsidR="00CC0F87">
          <w:rPr>
            <w:color w:val="141314"/>
            <w:sz w:val="20"/>
            <w:szCs w:val="20"/>
          </w:rPr>
          <w:t xml:space="preserve"> </w:t>
        </w:r>
        <w:r w:rsidRPr="00CC0F87">
          <w:rPr>
            <w:color w:val="141314"/>
            <w:sz w:val="20"/>
            <w:szCs w:val="20"/>
          </w:rPr>
          <w:t xml:space="preserve">does it have a role in the diagnosis of hepatitis C virus related </w:t>
        </w:r>
        <w:proofErr w:type="spellStart"/>
        <w:r w:rsidRPr="00CC0F87">
          <w:rPr>
            <w:color w:val="141314"/>
            <w:sz w:val="20"/>
            <w:szCs w:val="20"/>
          </w:rPr>
          <w:t>hepatocellular</w:t>
        </w:r>
        <w:proofErr w:type="spellEnd"/>
        <w:r w:rsidRPr="00CC0F87">
          <w:rPr>
            <w:color w:val="141314"/>
            <w:sz w:val="20"/>
            <w:szCs w:val="20"/>
          </w:rPr>
          <w:t xml:space="preserve"> carcinoma</w:t>
        </w:r>
      </w:hyperlink>
      <w:r w:rsidRPr="00CC0F87">
        <w:rPr>
          <w:color w:val="141314"/>
          <w:sz w:val="20"/>
          <w:szCs w:val="20"/>
        </w:rPr>
        <w:t xml:space="preserve"> Arab J </w:t>
      </w:r>
      <w:proofErr w:type="spellStart"/>
      <w:r w:rsidRPr="00CC0F87">
        <w:rPr>
          <w:color w:val="141314"/>
          <w:sz w:val="20"/>
          <w:szCs w:val="20"/>
        </w:rPr>
        <w:t>Gastroenterol</w:t>
      </w:r>
      <w:proofErr w:type="spellEnd"/>
      <w:r w:rsidRPr="00CC0F87">
        <w:rPr>
          <w:color w:val="141314"/>
          <w:sz w:val="20"/>
          <w:szCs w:val="20"/>
        </w:rPr>
        <w:t>; 12(1):29-33.</w:t>
      </w:r>
    </w:p>
    <w:p w:rsidR="004A0C15" w:rsidRPr="00CC0F87" w:rsidRDefault="004A0C15" w:rsidP="000E2AC6">
      <w:pPr>
        <w:numPr>
          <w:ilvl w:val="0"/>
          <w:numId w:val="7"/>
        </w:numPr>
        <w:autoSpaceDE w:val="0"/>
        <w:autoSpaceDN w:val="0"/>
        <w:bidi w:val="0"/>
        <w:adjustRightInd w:val="0"/>
        <w:snapToGrid w:val="0"/>
        <w:ind w:left="425" w:hanging="425"/>
        <w:jc w:val="both"/>
        <w:rPr>
          <w:rFonts w:cs="Times New Roman"/>
          <w:color w:val="141314"/>
        </w:rPr>
      </w:pPr>
      <w:proofErr w:type="spellStart"/>
      <w:r w:rsidRPr="00CC0F87">
        <w:rPr>
          <w:rFonts w:cs="Times New Roman"/>
          <w:bCs/>
          <w:color w:val="141314"/>
        </w:rPr>
        <w:t>Kawakita</w:t>
      </w:r>
      <w:proofErr w:type="spellEnd"/>
      <w:r w:rsidRPr="00CC0F87">
        <w:rPr>
          <w:rFonts w:cs="Times New Roman"/>
          <w:bCs/>
          <w:color w:val="141314"/>
        </w:rPr>
        <w:t xml:space="preserve">, T., </w:t>
      </w:r>
      <w:proofErr w:type="spellStart"/>
      <w:r w:rsidRPr="00CC0F87">
        <w:rPr>
          <w:rFonts w:cs="Times New Roman"/>
          <w:bCs/>
          <w:color w:val="141314"/>
        </w:rPr>
        <w:t>Shiraki</w:t>
      </w:r>
      <w:proofErr w:type="spellEnd"/>
      <w:r w:rsidRPr="00CC0F87">
        <w:rPr>
          <w:rFonts w:cs="Times New Roman"/>
          <w:bCs/>
          <w:color w:val="141314"/>
        </w:rPr>
        <w:t>, K. and Yamanaka, Y. (2003)</w:t>
      </w:r>
      <w:r w:rsidRPr="00CC0F87">
        <w:rPr>
          <w:rFonts w:cs="Times New Roman"/>
          <w:color w:val="141314"/>
        </w:rPr>
        <w:t>: A new prognostic scoring system involving des-gamma-</w:t>
      </w:r>
      <w:proofErr w:type="spellStart"/>
      <w:r w:rsidRPr="00CC0F87">
        <w:rPr>
          <w:rFonts w:cs="Times New Roman"/>
          <w:color w:val="141314"/>
        </w:rPr>
        <w:t>carboxyprothrombin</w:t>
      </w:r>
      <w:proofErr w:type="spellEnd"/>
      <w:r w:rsidRPr="00CC0F87">
        <w:rPr>
          <w:rFonts w:cs="Times New Roman"/>
          <w:color w:val="141314"/>
        </w:rPr>
        <w:t xml:space="preserve"> as a useful marker for predicting prognosis in patients with </w:t>
      </w:r>
      <w:proofErr w:type="spellStart"/>
      <w:r w:rsidRPr="00CC0F87">
        <w:rPr>
          <w:rFonts w:cs="Times New Roman"/>
          <w:color w:val="141314"/>
        </w:rPr>
        <w:t>hepatocellular</w:t>
      </w:r>
      <w:proofErr w:type="spellEnd"/>
      <w:r w:rsidRPr="00CC0F87">
        <w:rPr>
          <w:rFonts w:cs="Times New Roman"/>
          <w:color w:val="141314"/>
        </w:rPr>
        <w:t xml:space="preserve"> carcinoma. Int. J. </w:t>
      </w:r>
      <w:proofErr w:type="spellStart"/>
      <w:r w:rsidRPr="00CC0F87">
        <w:rPr>
          <w:rFonts w:cs="Times New Roman"/>
          <w:color w:val="141314"/>
        </w:rPr>
        <w:t>Oncol</w:t>
      </w:r>
      <w:proofErr w:type="spellEnd"/>
      <w:r w:rsidRPr="00CC0F87">
        <w:rPr>
          <w:rFonts w:cs="Times New Roman"/>
          <w:color w:val="141314"/>
        </w:rPr>
        <w:t>. Oct.</w:t>
      </w:r>
      <w:proofErr w:type="gramStart"/>
      <w:r w:rsidRPr="00CC0F87">
        <w:rPr>
          <w:rFonts w:cs="Times New Roman"/>
          <w:color w:val="141314"/>
        </w:rPr>
        <w:t>,23</w:t>
      </w:r>
      <w:proofErr w:type="gramEnd"/>
      <w:r w:rsidRPr="00CC0F87">
        <w:rPr>
          <w:rFonts w:cs="Times New Roman"/>
          <w:color w:val="141314"/>
        </w:rPr>
        <w:t>(4):1115-1120.</w:t>
      </w:r>
      <w:r w:rsidR="00CC0F87" w:rsidRPr="00CC0F87">
        <w:rPr>
          <w:rFonts w:eastAsiaTheme="minorEastAsia" w:cs="Times New Roman" w:hint="eastAsia"/>
          <w:color w:val="141314"/>
          <w:lang w:eastAsia="zh-CN"/>
        </w:rPr>
        <w:t xml:space="preserve"> </w:t>
      </w:r>
    </w:p>
    <w:p w:rsidR="000E2AC6" w:rsidRPr="00CC0F87" w:rsidRDefault="000E2AC6" w:rsidP="000E2AC6">
      <w:pPr>
        <w:tabs>
          <w:tab w:val="left" w:pos="5655"/>
        </w:tabs>
        <w:bidi w:val="0"/>
        <w:snapToGrid w:val="0"/>
        <w:ind w:left="425" w:hanging="425"/>
        <w:jc w:val="both"/>
        <w:rPr>
          <w:rFonts w:cs="Times New Roman"/>
          <w:lang w:bidi="ar-EG"/>
        </w:rPr>
        <w:sectPr w:rsidR="000E2AC6" w:rsidRPr="00CC0F87" w:rsidSect="00CC0F87">
          <w:type w:val="continuous"/>
          <w:pgSz w:w="12242" w:h="15842" w:code="1"/>
          <w:pgMar w:top="1440" w:right="1440" w:bottom="1440" w:left="1440" w:header="720" w:footer="720" w:gutter="0"/>
          <w:cols w:num="2" w:space="576"/>
          <w:docGrid w:linePitch="360"/>
        </w:sectPr>
      </w:pPr>
    </w:p>
    <w:p w:rsidR="000E2AC6" w:rsidRPr="00CC0F87" w:rsidRDefault="000E2AC6" w:rsidP="000E2AC6">
      <w:pPr>
        <w:tabs>
          <w:tab w:val="left" w:pos="5655"/>
        </w:tabs>
        <w:bidi w:val="0"/>
        <w:snapToGrid w:val="0"/>
        <w:ind w:left="425" w:hanging="425"/>
        <w:jc w:val="both"/>
        <w:rPr>
          <w:rFonts w:eastAsiaTheme="minorEastAsia" w:cs="Times New Roman"/>
          <w:lang w:eastAsia="zh-CN" w:bidi="ar-EG"/>
        </w:rPr>
      </w:pPr>
    </w:p>
    <w:p w:rsidR="00DC6089" w:rsidRPr="00CC0F87" w:rsidRDefault="00DC6089" w:rsidP="00DC6089">
      <w:pPr>
        <w:tabs>
          <w:tab w:val="left" w:pos="5655"/>
        </w:tabs>
        <w:bidi w:val="0"/>
        <w:snapToGrid w:val="0"/>
        <w:ind w:left="425" w:hanging="425"/>
        <w:jc w:val="both"/>
        <w:rPr>
          <w:rFonts w:eastAsiaTheme="minorEastAsia" w:cs="Times New Roman"/>
          <w:lang w:eastAsia="zh-CN" w:bidi="ar-EG"/>
        </w:rPr>
      </w:pPr>
    </w:p>
    <w:p w:rsidR="004A0C15" w:rsidRPr="00CC0F87" w:rsidRDefault="000E2AC6" w:rsidP="000E2AC6">
      <w:pPr>
        <w:tabs>
          <w:tab w:val="left" w:pos="5655"/>
        </w:tabs>
        <w:bidi w:val="0"/>
        <w:snapToGrid w:val="0"/>
        <w:ind w:left="425" w:hanging="425"/>
        <w:jc w:val="both"/>
        <w:rPr>
          <w:rFonts w:cs="Times New Roman"/>
          <w:lang w:bidi="ar-EG"/>
        </w:rPr>
      </w:pPr>
      <w:r w:rsidRPr="00CC0F87">
        <w:rPr>
          <w:rFonts w:cs="Times New Roman"/>
          <w:lang w:bidi="ar-EG"/>
        </w:rPr>
        <w:t>8/10/2015</w:t>
      </w:r>
    </w:p>
    <w:sectPr w:rsidR="004A0C15" w:rsidRPr="00CC0F87" w:rsidSect="00FE19FD">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1B" w:rsidRDefault="007A311B" w:rsidP="003637EE">
      <w:r>
        <w:separator/>
      </w:r>
    </w:p>
  </w:endnote>
  <w:endnote w:type="continuationSeparator" w:id="0">
    <w:p w:rsidR="007A311B" w:rsidRDefault="007A311B" w:rsidP="00363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C6" w:rsidRPr="000E2AC6" w:rsidRDefault="00BD1BD8" w:rsidP="000E2AC6">
    <w:pPr>
      <w:bidi w:val="0"/>
      <w:jc w:val="center"/>
      <w:rPr>
        <w:rFonts w:cs="Times New Roman"/>
      </w:rPr>
    </w:pPr>
    <w:r w:rsidRPr="000E2AC6">
      <w:rPr>
        <w:rFonts w:cs="Times New Roman"/>
      </w:rPr>
      <w:fldChar w:fldCharType="begin"/>
    </w:r>
    <w:r w:rsidR="000E2AC6" w:rsidRPr="000E2AC6">
      <w:rPr>
        <w:rFonts w:cs="Times New Roman"/>
      </w:rPr>
      <w:instrText xml:space="preserve"> page </w:instrText>
    </w:r>
    <w:r w:rsidRPr="000E2AC6">
      <w:rPr>
        <w:rFonts w:cs="Times New Roman"/>
      </w:rPr>
      <w:fldChar w:fldCharType="separate"/>
    </w:r>
    <w:r w:rsidR="00CC0F87">
      <w:rPr>
        <w:rFonts w:cs="Times New Roman"/>
        <w:noProof/>
      </w:rPr>
      <w:t>32</w:t>
    </w:r>
    <w:r w:rsidRPr="000E2AC6">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1B" w:rsidRDefault="007A311B" w:rsidP="003637EE">
      <w:r>
        <w:separator/>
      </w:r>
    </w:p>
  </w:footnote>
  <w:footnote w:type="continuationSeparator" w:id="0">
    <w:p w:rsidR="007A311B" w:rsidRDefault="007A311B" w:rsidP="00363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C6" w:rsidRPr="000E2AC6" w:rsidRDefault="000E2AC6" w:rsidP="000E2AC6">
    <w:pPr>
      <w:pBdr>
        <w:bottom w:val="thinThickMediumGap" w:sz="12" w:space="1" w:color="auto"/>
      </w:pBdr>
      <w:tabs>
        <w:tab w:val="left" w:pos="851"/>
        <w:tab w:val="right" w:pos="8364"/>
      </w:tabs>
      <w:bidi w:val="0"/>
      <w:adjustRightInd w:val="0"/>
      <w:snapToGrid w:val="0"/>
      <w:jc w:val="both"/>
      <w:rPr>
        <w:rFonts w:cs="Times New Roman"/>
      </w:rPr>
    </w:pPr>
    <w:r w:rsidRPr="000E2AC6">
      <w:rPr>
        <w:rFonts w:cs="Times New Roman" w:hint="eastAsia"/>
        <w:iCs/>
        <w:color w:val="000000"/>
      </w:rPr>
      <w:tab/>
    </w:r>
    <w:r w:rsidRPr="000E2AC6">
      <w:rPr>
        <w:rFonts w:cs="Times New Roman"/>
      </w:rPr>
      <w:t>Nature and Science 201</w:t>
    </w:r>
    <w:r w:rsidRPr="000E2AC6">
      <w:rPr>
        <w:rFonts w:cs="Times New Roman" w:hint="eastAsia"/>
      </w:rPr>
      <w:t>5</w:t>
    </w:r>
    <w:proofErr w:type="gramStart"/>
    <w:r w:rsidRPr="000E2AC6">
      <w:rPr>
        <w:rFonts w:cs="Times New Roman"/>
      </w:rPr>
      <w:t>;1</w:t>
    </w:r>
    <w:r w:rsidRPr="000E2AC6">
      <w:rPr>
        <w:rFonts w:cs="Times New Roman" w:hint="eastAsia"/>
      </w:rPr>
      <w:t>3</w:t>
    </w:r>
    <w:proofErr w:type="gramEnd"/>
    <w:r w:rsidRPr="000E2AC6">
      <w:rPr>
        <w:rFonts w:cs="Times New Roman"/>
      </w:rPr>
      <w:t>(</w:t>
    </w:r>
    <w:r w:rsidRPr="000E2AC6">
      <w:rPr>
        <w:rFonts w:cs="Times New Roman" w:hint="eastAsia"/>
      </w:rPr>
      <w:t>9)</w:t>
    </w:r>
    <w:r w:rsidRPr="000E2AC6">
      <w:rPr>
        <w:rFonts w:cs="Times New Roman"/>
        <w:color w:val="000000"/>
      </w:rPr>
      <w:t xml:space="preserve"> </w:t>
    </w:r>
    <w:r w:rsidRPr="000E2AC6">
      <w:rPr>
        <w:rFonts w:cs="Times New Roman" w:hint="eastAsia"/>
        <w:color w:val="000000"/>
      </w:rPr>
      <w:tab/>
    </w:r>
    <w:r w:rsidRPr="000E2AC6">
      <w:rPr>
        <w:rFonts w:cs="Times New Roman"/>
        <w:color w:val="000000"/>
      </w:rPr>
      <w:t xml:space="preserve"> </w:t>
    </w:r>
    <w:hyperlink r:id="rId1" w:history="1">
      <w:r w:rsidRPr="000E2AC6">
        <w:rPr>
          <w:rStyle w:val="Hyperlink"/>
        </w:rPr>
        <w:t>http://www.sciencepub.net/nature</w:t>
      </w:r>
    </w:hyperlink>
  </w:p>
  <w:p w:rsidR="000E2AC6" w:rsidRPr="000E2AC6" w:rsidRDefault="000E2AC6" w:rsidP="000E2AC6">
    <w:pPr>
      <w:tabs>
        <w:tab w:val="left" w:pos="851"/>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57CB"/>
    <w:multiLevelType w:val="hybridMultilevel"/>
    <w:tmpl w:val="AB4AD074"/>
    <w:lvl w:ilvl="0" w:tplc="A6B043F6">
      <w:start w:val="1"/>
      <w:numFmt w:val="upperRoman"/>
      <w:lvlText w:val="%1-"/>
      <w:lvlJc w:val="left"/>
      <w:pPr>
        <w:tabs>
          <w:tab w:val="num" w:pos="1080"/>
        </w:tabs>
        <w:ind w:left="108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B20E5FD2">
      <w:numFmt w:val="bullet"/>
      <w:lvlText w:val="-"/>
      <w:lvlJc w:val="left"/>
      <w:pPr>
        <w:tabs>
          <w:tab w:val="num" w:pos="2895"/>
        </w:tabs>
        <w:ind w:left="2895" w:hanging="915"/>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EC77C00"/>
    <w:multiLevelType w:val="hybridMultilevel"/>
    <w:tmpl w:val="190C48EA"/>
    <w:lvl w:ilvl="0" w:tplc="0409000F">
      <w:start w:val="1"/>
      <w:numFmt w:val="decimal"/>
      <w:lvlText w:val="%1."/>
      <w:lvlJc w:val="left"/>
      <w:pPr>
        <w:tabs>
          <w:tab w:val="num" w:pos="630"/>
        </w:tabs>
        <w:ind w:left="630" w:hanging="360"/>
      </w:pPr>
      <w:rPr>
        <w:rFonts w:cs="Times New Roman"/>
      </w:rPr>
    </w:lvl>
    <w:lvl w:ilvl="1" w:tplc="415E20E8">
      <w:start w:val="1"/>
      <w:numFmt w:val="bullet"/>
      <w:lvlText w:val="-"/>
      <w:lvlJc w:val="left"/>
      <w:pPr>
        <w:tabs>
          <w:tab w:val="num" w:pos="480"/>
        </w:tabs>
        <w:ind w:left="480" w:hanging="360"/>
      </w:pPr>
      <w:rPr>
        <w:rFonts w:ascii="Times New Roman" w:eastAsia="Times New Roman" w:hAnsi="Times New Roman" w:hint="default"/>
      </w:rPr>
    </w:lvl>
    <w:lvl w:ilvl="2" w:tplc="04090003">
      <w:start w:val="1"/>
      <w:numFmt w:val="bullet"/>
      <w:lvlText w:val="o"/>
      <w:lvlJc w:val="left"/>
      <w:pPr>
        <w:tabs>
          <w:tab w:val="num" w:pos="2340"/>
        </w:tabs>
        <w:ind w:left="2340" w:hanging="360"/>
      </w:pPr>
      <w:rPr>
        <w:rFonts w:ascii="Courier New" w:hAnsi="Courier New" w:hint="default"/>
      </w:rPr>
    </w:lvl>
    <w:lvl w:ilvl="3" w:tplc="C5B2AFA4">
      <w:numFmt w:val="bullet"/>
      <w:lvlText w:val="-"/>
      <w:lvlJc w:val="left"/>
      <w:pPr>
        <w:tabs>
          <w:tab w:val="num" w:pos="2880"/>
        </w:tabs>
        <w:ind w:left="2880" w:hanging="360"/>
      </w:pPr>
      <w:rPr>
        <w:rFonts w:ascii="Times New Roman" w:eastAsia="Times New Roman" w:hAnsi="Times New Roman" w:hint="default"/>
        <w:color w:val="auto"/>
      </w:rPr>
    </w:lvl>
    <w:lvl w:ilvl="4" w:tplc="445E1530">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D8F1425"/>
    <w:multiLevelType w:val="singleLevel"/>
    <w:tmpl w:val="B8121726"/>
    <w:lvl w:ilvl="0">
      <w:start w:val="1"/>
      <w:numFmt w:val="bullet"/>
      <w:lvlText w:val=""/>
      <w:lvlJc w:val="center"/>
      <w:pPr>
        <w:tabs>
          <w:tab w:val="num" w:pos="648"/>
        </w:tabs>
        <w:ind w:hanging="72"/>
      </w:pPr>
      <w:rPr>
        <w:rFonts w:ascii="Symbol" w:hAnsi="Symbol" w:hint="default"/>
      </w:rPr>
    </w:lvl>
  </w:abstractNum>
  <w:abstractNum w:abstractNumId="3">
    <w:nsid w:val="2F371A93"/>
    <w:multiLevelType w:val="hybridMultilevel"/>
    <w:tmpl w:val="E2CC4790"/>
    <w:lvl w:ilvl="0" w:tplc="1A3271F4">
      <w:start w:val="1"/>
      <w:numFmt w:val="decimal"/>
      <w:lvlText w:val="%1."/>
      <w:lvlJc w:val="left"/>
      <w:pPr>
        <w:tabs>
          <w:tab w:val="num" w:pos="825"/>
        </w:tabs>
        <w:ind w:left="825" w:hanging="465"/>
      </w:pPr>
      <w:rPr>
        <w:rFonts w:cs="Times New Roman" w:hint="default"/>
      </w:rPr>
    </w:lvl>
    <w:lvl w:ilvl="1" w:tplc="DE060A3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49C07C8"/>
    <w:multiLevelType w:val="hybridMultilevel"/>
    <w:tmpl w:val="7F66D380"/>
    <w:lvl w:ilvl="0" w:tplc="EB3033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F8A6928"/>
    <w:multiLevelType w:val="hybridMultilevel"/>
    <w:tmpl w:val="FBF6D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031851"/>
    <w:multiLevelType w:val="hybridMultilevel"/>
    <w:tmpl w:val="44980E8E"/>
    <w:lvl w:ilvl="0" w:tplc="04090001">
      <w:start w:val="1"/>
      <w:numFmt w:val="bullet"/>
      <w:lvlText w:val=""/>
      <w:lvlJc w:val="left"/>
      <w:pPr>
        <w:tabs>
          <w:tab w:val="num" w:pos="530"/>
        </w:tabs>
        <w:ind w:left="530" w:hanging="360"/>
      </w:pPr>
      <w:rPr>
        <w:rFonts w:ascii="Symbol" w:hAnsi="Symbol" w:hint="default"/>
      </w:rPr>
    </w:lvl>
    <w:lvl w:ilvl="1" w:tplc="04090003">
      <w:start w:val="1"/>
      <w:numFmt w:val="bullet"/>
      <w:lvlText w:val="o"/>
      <w:lvlJc w:val="left"/>
      <w:pPr>
        <w:tabs>
          <w:tab w:val="num" w:pos="1250"/>
        </w:tabs>
        <w:ind w:left="1250" w:hanging="360"/>
      </w:pPr>
      <w:rPr>
        <w:rFonts w:ascii="Courier New" w:hAnsi="Courier New" w:hint="default"/>
      </w:rPr>
    </w:lvl>
    <w:lvl w:ilvl="2" w:tplc="04090005">
      <w:start w:val="1"/>
      <w:numFmt w:val="bullet"/>
      <w:lvlText w:val=""/>
      <w:lvlJc w:val="left"/>
      <w:pPr>
        <w:tabs>
          <w:tab w:val="num" w:pos="1970"/>
        </w:tabs>
        <w:ind w:left="1970" w:hanging="360"/>
      </w:pPr>
      <w:rPr>
        <w:rFonts w:ascii="Wingdings" w:hAnsi="Wingdings" w:hint="default"/>
      </w:rPr>
    </w:lvl>
    <w:lvl w:ilvl="3" w:tplc="04090001">
      <w:start w:val="1"/>
      <w:numFmt w:val="bullet"/>
      <w:lvlText w:val=""/>
      <w:lvlJc w:val="left"/>
      <w:pPr>
        <w:tabs>
          <w:tab w:val="num" w:pos="2690"/>
        </w:tabs>
        <w:ind w:left="2690" w:hanging="360"/>
      </w:pPr>
      <w:rPr>
        <w:rFonts w:ascii="Symbol" w:hAnsi="Symbol" w:hint="default"/>
      </w:rPr>
    </w:lvl>
    <w:lvl w:ilvl="4" w:tplc="04090003">
      <w:start w:val="1"/>
      <w:numFmt w:val="bullet"/>
      <w:lvlText w:val="o"/>
      <w:lvlJc w:val="left"/>
      <w:pPr>
        <w:tabs>
          <w:tab w:val="num" w:pos="3410"/>
        </w:tabs>
        <w:ind w:left="3410" w:hanging="360"/>
      </w:pPr>
      <w:rPr>
        <w:rFonts w:ascii="Courier New" w:hAnsi="Courier New" w:hint="default"/>
      </w:rPr>
    </w:lvl>
    <w:lvl w:ilvl="5" w:tplc="04090005">
      <w:start w:val="1"/>
      <w:numFmt w:val="bullet"/>
      <w:lvlText w:val=""/>
      <w:lvlJc w:val="left"/>
      <w:pPr>
        <w:tabs>
          <w:tab w:val="num" w:pos="4130"/>
        </w:tabs>
        <w:ind w:left="4130" w:hanging="360"/>
      </w:pPr>
      <w:rPr>
        <w:rFonts w:ascii="Wingdings" w:hAnsi="Wingdings" w:hint="default"/>
      </w:rPr>
    </w:lvl>
    <w:lvl w:ilvl="6" w:tplc="04090001">
      <w:start w:val="1"/>
      <w:numFmt w:val="bullet"/>
      <w:lvlText w:val=""/>
      <w:lvlJc w:val="left"/>
      <w:pPr>
        <w:tabs>
          <w:tab w:val="num" w:pos="4850"/>
        </w:tabs>
        <w:ind w:left="4850" w:hanging="360"/>
      </w:pPr>
      <w:rPr>
        <w:rFonts w:ascii="Symbol" w:hAnsi="Symbol" w:hint="default"/>
      </w:rPr>
    </w:lvl>
    <w:lvl w:ilvl="7" w:tplc="04090003">
      <w:start w:val="1"/>
      <w:numFmt w:val="bullet"/>
      <w:lvlText w:val="o"/>
      <w:lvlJc w:val="left"/>
      <w:pPr>
        <w:tabs>
          <w:tab w:val="num" w:pos="5570"/>
        </w:tabs>
        <w:ind w:left="5570" w:hanging="360"/>
      </w:pPr>
      <w:rPr>
        <w:rFonts w:ascii="Courier New" w:hAnsi="Courier New" w:hint="default"/>
      </w:rPr>
    </w:lvl>
    <w:lvl w:ilvl="8" w:tplc="04090005">
      <w:start w:val="1"/>
      <w:numFmt w:val="bullet"/>
      <w:lvlText w:val=""/>
      <w:lvlJc w:val="left"/>
      <w:pPr>
        <w:tabs>
          <w:tab w:val="num" w:pos="6290"/>
        </w:tabs>
        <w:ind w:left="629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4329A"/>
    <w:rsid w:val="00006016"/>
    <w:rsid w:val="00034A5E"/>
    <w:rsid w:val="00037404"/>
    <w:rsid w:val="00043638"/>
    <w:rsid w:val="00043C84"/>
    <w:rsid w:val="00047737"/>
    <w:rsid w:val="00071663"/>
    <w:rsid w:val="00093DEE"/>
    <w:rsid w:val="000A13CC"/>
    <w:rsid w:val="000A3C9B"/>
    <w:rsid w:val="000C4E55"/>
    <w:rsid w:val="000C7464"/>
    <w:rsid w:val="000E2AC6"/>
    <w:rsid w:val="001149EB"/>
    <w:rsid w:val="0012119D"/>
    <w:rsid w:val="0016138C"/>
    <w:rsid w:val="00166CE3"/>
    <w:rsid w:val="00167A9F"/>
    <w:rsid w:val="00167B23"/>
    <w:rsid w:val="00173F89"/>
    <w:rsid w:val="00187543"/>
    <w:rsid w:val="00187BE0"/>
    <w:rsid w:val="001A3693"/>
    <w:rsid w:val="001A5DDA"/>
    <w:rsid w:val="001D7A30"/>
    <w:rsid w:val="00204D54"/>
    <w:rsid w:val="00223008"/>
    <w:rsid w:val="002320A5"/>
    <w:rsid w:val="002534B3"/>
    <w:rsid w:val="00281B5F"/>
    <w:rsid w:val="00297152"/>
    <w:rsid w:val="002A3EF8"/>
    <w:rsid w:val="002A7576"/>
    <w:rsid w:val="002B4F3D"/>
    <w:rsid w:val="00314EB1"/>
    <w:rsid w:val="003326C6"/>
    <w:rsid w:val="00333B60"/>
    <w:rsid w:val="00346F00"/>
    <w:rsid w:val="00350FD8"/>
    <w:rsid w:val="003637EE"/>
    <w:rsid w:val="00364699"/>
    <w:rsid w:val="003922D0"/>
    <w:rsid w:val="003A3DA5"/>
    <w:rsid w:val="003D0435"/>
    <w:rsid w:val="00405AD2"/>
    <w:rsid w:val="00437505"/>
    <w:rsid w:val="00444431"/>
    <w:rsid w:val="00455C69"/>
    <w:rsid w:val="004579E5"/>
    <w:rsid w:val="00467835"/>
    <w:rsid w:val="004A0C15"/>
    <w:rsid w:val="004B3774"/>
    <w:rsid w:val="004C5E7D"/>
    <w:rsid w:val="004F759B"/>
    <w:rsid w:val="0050031B"/>
    <w:rsid w:val="00507CB1"/>
    <w:rsid w:val="00507E70"/>
    <w:rsid w:val="005221E6"/>
    <w:rsid w:val="005471C7"/>
    <w:rsid w:val="00554CDE"/>
    <w:rsid w:val="00572F6F"/>
    <w:rsid w:val="0059782D"/>
    <w:rsid w:val="005A43CD"/>
    <w:rsid w:val="005A6516"/>
    <w:rsid w:val="005B31E5"/>
    <w:rsid w:val="005C1C6F"/>
    <w:rsid w:val="005D2BAE"/>
    <w:rsid w:val="005F3449"/>
    <w:rsid w:val="00622676"/>
    <w:rsid w:val="006773F8"/>
    <w:rsid w:val="00684AAA"/>
    <w:rsid w:val="006F0664"/>
    <w:rsid w:val="006F175D"/>
    <w:rsid w:val="00725983"/>
    <w:rsid w:val="0074473F"/>
    <w:rsid w:val="007827D9"/>
    <w:rsid w:val="007A0C32"/>
    <w:rsid w:val="007A311B"/>
    <w:rsid w:val="007B3581"/>
    <w:rsid w:val="007B7A08"/>
    <w:rsid w:val="007D1CFD"/>
    <w:rsid w:val="007F6009"/>
    <w:rsid w:val="00850EB5"/>
    <w:rsid w:val="00851B6B"/>
    <w:rsid w:val="00860449"/>
    <w:rsid w:val="00873AB8"/>
    <w:rsid w:val="008A4179"/>
    <w:rsid w:val="008B47B2"/>
    <w:rsid w:val="008B6C90"/>
    <w:rsid w:val="008B754D"/>
    <w:rsid w:val="008D342B"/>
    <w:rsid w:val="008F16CB"/>
    <w:rsid w:val="008F46FF"/>
    <w:rsid w:val="008F7208"/>
    <w:rsid w:val="009060EA"/>
    <w:rsid w:val="009535D5"/>
    <w:rsid w:val="00980F06"/>
    <w:rsid w:val="00992922"/>
    <w:rsid w:val="00996F61"/>
    <w:rsid w:val="009B1E64"/>
    <w:rsid w:val="009C555A"/>
    <w:rsid w:val="009C5D1F"/>
    <w:rsid w:val="009C69FF"/>
    <w:rsid w:val="00A006F9"/>
    <w:rsid w:val="00A04C22"/>
    <w:rsid w:val="00A061B4"/>
    <w:rsid w:val="00A10AA7"/>
    <w:rsid w:val="00A17198"/>
    <w:rsid w:val="00A42864"/>
    <w:rsid w:val="00A46160"/>
    <w:rsid w:val="00A63D94"/>
    <w:rsid w:val="00A87089"/>
    <w:rsid w:val="00AA4A0A"/>
    <w:rsid w:val="00B00A67"/>
    <w:rsid w:val="00B11A36"/>
    <w:rsid w:val="00B141FB"/>
    <w:rsid w:val="00B251BB"/>
    <w:rsid w:val="00B572BF"/>
    <w:rsid w:val="00B741DF"/>
    <w:rsid w:val="00B879DA"/>
    <w:rsid w:val="00BC0630"/>
    <w:rsid w:val="00BD1BD8"/>
    <w:rsid w:val="00BD2553"/>
    <w:rsid w:val="00BD2DA0"/>
    <w:rsid w:val="00C00A58"/>
    <w:rsid w:val="00C249CA"/>
    <w:rsid w:val="00C4329A"/>
    <w:rsid w:val="00C56016"/>
    <w:rsid w:val="00C561D0"/>
    <w:rsid w:val="00C71485"/>
    <w:rsid w:val="00C76B3B"/>
    <w:rsid w:val="00CC0F87"/>
    <w:rsid w:val="00CC3FA0"/>
    <w:rsid w:val="00CE2677"/>
    <w:rsid w:val="00CF4F03"/>
    <w:rsid w:val="00D06DE1"/>
    <w:rsid w:val="00D355F6"/>
    <w:rsid w:val="00D71799"/>
    <w:rsid w:val="00DA31D9"/>
    <w:rsid w:val="00DC6089"/>
    <w:rsid w:val="00DE14A8"/>
    <w:rsid w:val="00E03DB5"/>
    <w:rsid w:val="00E107BE"/>
    <w:rsid w:val="00E24C43"/>
    <w:rsid w:val="00E7753A"/>
    <w:rsid w:val="00E91390"/>
    <w:rsid w:val="00F04C8B"/>
    <w:rsid w:val="00F10075"/>
    <w:rsid w:val="00F321F8"/>
    <w:rsid w:val="00F41FA4"/>
    <w:rsid w:val="00F42AC6"/>
    <w:rsid w:val="00F72CAD"/>
    <w:rsid w:val="00FA060A"/>
    <w:rsid w:val="00FA3D4D"/>
    <w:rsid w:val="00FB7369"/>
    <w:rsid w:val="00FC03AF"/>
    <w:rsid w:val="00FC60BE"/>
    <w:rsid w:val="00FD0C8F"/>
    <w:rsid w:val="00FE10FF"/>
    <w:rsid w:val="00FE19FD"/>
    <w:rsid w:val="00FE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B4"/>
    <w:pPr>
      <w:bidi/>
    </w:pPr>
    <w:rPr>
      <w:rFonts w:ascii="Times New Roman" w:eastAsia="Times New Roman" w:hAnsi="Times New Roman" w:cs="Traditional Arabic"/>
      <w:lang w:val="en-US" w:eastAsia="en-US"/>
    </w:rPr>
  </w:style>
  <w:style w:type="paragraph" w:styleId="Heading1">
    <w:name w:val="heading 1"/>
    <w:basedOn w:val="Normal"/>
    <w:next w:val="Normal"/>
    <w:link w:val="Heading1Char"/>
    <w:uiPriority w:val="99"/>
    <w:qFormat/>
    <w:rsid w:val="00467835"/>
    <w:pPr>
      <w:keepNext/>
      <w:bidi w:val="0"/>
      <w:spacing w:line="360" w:lineRule="auto"/>
      <w:jc w:val="center"/>
      <w:outlineLvl w:val="0"/>
    </w:pPr>
    <w:rPr>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7835"/>
    <w:rPr>
      <w:rFonts w:ascii="Times New Roman" w:hAnsi="Times New Roman" w:cs="Traditional Arabic"/>
      <w:b/>
      <w:bCs/>
      <w:sz w:val="32"/>
      <w:szCs w:val="32"/>
    </w:rPr>
  </w:style>
  <w:style w:type="paragraph" w:styleId="NormalWeb">
    <w:name w:val="Normal (Web)"/>
    <w:basedOn w:val="Normal"/>
    <w:uiPriority w:val="99"/>
    <w:rsid w:val="00A061B4"/>
    <w:pPr>
      <w:bidi w:val="0"/>
      <w:spacing w:before="75" w:after="225"/>
    </w:pPr>
    <w:rPr>
      <w:rFonts w:cs="Times New Roman"/>
      <w:sz w:val="24"/>
      <w:szCs w:val="24"/>
    </w:rPr>
  </w:style>
  <w:style w:type="paragraph" w:styleId="BodyTextIndent">
    <w:name w:val="Body Text Indent"/>
    <w:basedOn w:val="Normal"/>
    <w:link w:val="BodyTextIndentChar"/>
    <w:uiPriority w:val="99"/>
    <w:semiHidden/>
    <w:rsid w:val="00A061B4"/>
    <w:pPr>
      <w:spacing w:after="120"/>
      <w:ind w:left="283"/>
    </w:pPr>
  </w:style>
  <w:style w:type="character" w:customStyle="1" w:styleId="BodyTextIndentChar">
    <w:name w:val="Body Text Indent Char"/>
    <w:basedOn w:val="DefaultParagraphFont"/>
    <w:link w:val="BodyTextIndent"/>
    <w:uiPriority w:val="99"/>
    <w:semiHidden/>
    <w:locked/>
    <w:rsid w:val="00A061B4"/>
    <w:rPr>
      <w:rFonts w:ascii="Times New Roman" w:hAnsi="Times New Roman" w:cs="Traditional Arabic"/>
      <w:sz w:val="20"/>
      <w:szCs w:val="20"/>
    </w:rPr>
  </w:style>
  <w:style w:type="paragraph" w:styleId="BodyText">
    <w:name w:val="Body Text"/>
    <w:basedOn w:val="Normal"/>
    <w:link w:val="BodyTextChar"/>
    <w:uiPriority w:val="99"/>
    <w:semiHidden/>
    <w:rsid w:val="00A061B4"/>
    <w:pPr>
      <w:spacing w:after="120"/>
    </w:pPr>
  </w:style>
  <w:style w:type="character" w:customStyle="1" w:styleId="BodyTextChar">
    <w:name w:val="Body Text Char"/>
    <w:basedOn w:val="DefaultParagraphFont"/>
    <w:link w:val="BodyText"/>
    <w:uiPriority w:val="99"/>
    <w:semiHidden/>
    <w:locked/>
    <w:rsid w:val="00A061B4"/>
    <w:rPr>
      <w:rFonts w:ascii="Times New Roman" w:hAnsi="Times New Roman" w:cs="Traditional Arabic"/>
      <w:sz w:val="20"/>
      <w:szCs w:val="20"/>
    </w:rPr>
  </w:style>
  <w:style w:type="paragraph" w:styleId="BodyText3">
    <w:name w:val="Body Text 3"/>
    <w:basedOn w:val="Normal"/>
    <w:link w:val="BodyText3Char"/>
    <w:uiPriority w:val="99"/>
    <w:rsid w:val="00A061B4"/>
    <w:pPr>
      <w:spacing w:after="120"/>
    </w:pPr>
    <w:rPr>
      <w:rFonts w:cs="Times New Roman"/>
      <w:sz w:val="16"/>
      <w:szCs w:val="16"/>
    </w:rPr>
  </w:style>
  <w:style w:type="character" w:customStyle="1" w:styleId="BodyText3Char">
    <w:name w:val="Body Text 3 Char"/>
    <w:basedOn w:val="DefaultParagraphFont"/>
    <w:link w:val="BodyText3"/>
    <w:uiPriority w:val="99"/>
    <w:locked/>
    <w:rsid w:val="00A061B4"/>
    <w:rPr>
      <w:rFonts w:ascii="Times New Roman" w:hAnsi="Times New Roman" w:cs="Times New Roman"/>
      <w:sz w:val="16"/>
      <w:szCs w:val="16"/>
    </w:rPr>
  </w:style>
  <w:style w:type="paragraph" w:styleId="Caption">
    <w:name w:val="caption"/>
    <w:basedOn w:val="Normal"/>
    <w:next w:val="Normal"/>
    <w:uiPriority w:val="99"/>
    <w:qFormat/>
    <w:rsid w:val="00A061B4"/>
    <w:rPr>
      <w:rFonts w:cs="Times New Roman"/>
      <w:b/>
      <w:bCs/>
    </w:rPr>
  </w:style>
  <w:style w:type="paragraph" w:styleId="ListParagraph">
    <w:name w:val="List Paragraph"/>
    <w:basedOn w:val="Normal"/>
    <w:uiPriority w:val="99"/>
    <w:qFormat/>
    <w:rsid w:val="00B572BF"/>
    <w:pPr>
      <w:ind w:left="720"/>
      <w:contextualSpacing/>
    </w:pPr>
  </w:style>
  <w:style w:type="character" w:styleId="Strong">
    <w:name w:val="Strong"/>
    <w:basedOn w:val="DefaultParagraphFont"/>
    <w:uiPriority w:val="99"/>
    <w:qFormat/>
    <w:rsid w:val="00467835"/>
    <w:rPr>
      <w:rFonts w:cs="Times New Roman"/>
      <w:b/>
      <w:bCs/>
    </w:rPr>
  </w:style>
  <w:style w:type="paragraph" w:styleId="Header">
    <w:name w:val="header"/>
    <w:basedOn w:val="Normal"/>
    <w:link w:val="HeaderChar"/>
    <w:uiPriority w:val="99"/>
    <w:rsid w:val="00467835"/>
    <w:pPr>
      <w:tabs>
        <w:tab w:val="center" w:pos="4153"/>
        <w:tab w:val="right" w:pos="8306"/>
      </w:tabs>
    </w:pPr>
  </w:style>
  <w:style w:type="character" w:customStyle="1" w:styleId="HeaderChar">
    <w:name w:val="Header Char"/>
    <w:basedOn w:val="DefaultParagraphFont"/>
    <w:link w:val="Header"/>
    <w:uiPriority w:val="99"/>
    <w:locked/>
    <w:rsid w:val="00467835"/>
    <w:rPr>
      <w:rFonts w:ascii="Times New Roman" w:hAnsi="Times New Roman" w:cs="Traditional Arabic"/>
      <w:sz w:val="20"/>
      <w:szCs w:val="20"/>
    </w:rPr>
  </w:style>
  <w:style w:type="paragraph" w:styleId="Footer">
    <w:name w:val="footer"/>
    <w:basedOn w:val="Normal"/>
    <w:link w:val="FooterChar"/>
    <w:uiPriority w:val="99"/>
    <w:semiHidden/>
    <w:rsid w:val="00467835"/>
    <w:pPr>
      <w:tabs>
        <w:tab w:val="center" w:pos="4153"/>
        <w:tab w:val="right" w:pos="8306"/>
      </w:tabs>
    </w:pPr>
  </w:style>
  <w:style w:type="character" w:customStyle="1" w:styleId="FooterChar">
    <w:name w:val="Footer Char"/>
    <w:basedOn w:val="DefaultParagraphFont"/>
    <w:link w:val="Footer"/>
    <w:uiPriority w:val="99"/>
    <w:semiHidden/>
    <w:locked/>
    <w:rsid w:val="00467835"/>
    <w:rPr>
      <w:rFonts w:ascii="Times New Roman" w:hAnsi="Times New Roman" w:cs="Traditional Arabic"/>
      <w:sz w:val="20"/>
      <w:szCs w:val="20"/>
    </w:rPr>
  </w:style>
  <w:style w:type="character" w:styleId="PageNumber">
    <w:name w:val="page number"/>
    <w:basedOn w:val="DefaultParagraphFont"/>
    <w:uiPriority w:val="99"/>
    <w:rsid w:val="00467835"/>
    <w:rPr>
      <w:rFonts w:cs="Times New Roman"/>
    </w:rPr>
  </w:style>
  <w:style w:type="paragraph" w:customStyle="1" w:styleId="a2">
    <w:name w:val="a2"/>
    <w:basedOn w:val="Normal"/>
    <w:uiPriority w:val="99"/>
    <w:rsid w:val="00467835"/>
    <w:pPr>
      <w:bidi w:val="0"/>
      <w:spacing w:before="100" w:beforeAutospacing="1" w:after="100" w:afterAutospacing="1"/>
    </w:pPr>
    <w:rPr>
      <w:rFonts w:cs="Times New Roman"/>
      <w:sz w:val="22"/>
      <w:szCs w:val="22"/>
    </w:rPr>
  </w:style>
  <w:style w:type="paragraph" w:styleId="BalloonText">
    <w:name w:val="Balloon Text"/>
    <w:basedOn w:val="Normal"/>
    <w:link w:val="BalloonTextChar"/>
    <w:uiPriority w:val="99"/>
    <w:semiHidden/>
    <w:rsid w:val="004678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7835"/>
    <w:rPr>
      <w:rFonts w:ascii="Tahoma" w:hAnsi="Tahoma" w:cs="Tahoma"/>
      <w:sz w:val="16"/>
      <w:szCs w:val="16"/>
    </w:rPr>
  </w:style>
  <w:style w:type="paragraph" w:styleId="Title">
    <w:name w:val="Title"/>
    <w:basedOn w:val="Normal"/>
    <w:link w:val="TitleChar"/>
    <w:uiPriority w:val="99"/>
    <w:qFormat/>
    <w:rsid w:val="00467835"/>
    <w:pPr>
      <w:bidi w:val="0"/>
      <w:jc w:val="center"/>
    </w:pPr>
    <w:rPr>
      <w:rFonts w:cs="Times New Roman"/>
      <w:b/>
      <w:bCs/>
      <w:sz w:val="60"/>
      <w:szCs w:val="60"/>
      <w:lang w:eastAsia="ar-SA"/>
    </w:rPr>
  </w:style>
  <w:style w:type="character" w:customStyle="1" w:styleId="TitleChar">
    <w:name w:val="Title Char"/>
    <w:basedOn w:val="DefaultParagraphFont"/>
    <w:link w:val="Title"/>
    <w:uiPriority w:val="99"/>
    <w:locked/>
    <w:rsid w:val="00467835"/>
    <w:rPr>
      <w:rFonts w:ascii="Times New Roman" w:hAnsi="Times New Roman" w:cs="Times New Roman"/>
      <w:b/>
      <w:bCs/>
      <w:sz w:val="60"/>
      <w:szCs w:val="60"/>
      <w:lang w:eastAsia="ar-SA" w:bidi="ar-SA"/>
    </w:rPr>
  </w:style>
  <w:style w:type="paragraph" w:customStyle="1" w:styleId="desc">
    <w:name w:val="desc"/>
    <w:basedOn w:val="Normal"/>
    <w:uiPriority w:val="99"/>
    <w:rsid w:val="00467835"/>
    <w:pPr>
      <w:bidi w:val="0"/>
      <w:spacing w:before="100" w:beforeAutospacing="1" w:after="100" w:afterAutospacing="1"/>
    </w:pPr>
    <w:rPr>
      <w:rFonts w:cs="Times New Roman"/>
      <w:sz w:val="24"/>
      <w:szCs w:val="24"/>
    </w:rPr>
  </w:style>
  <w:style w:type="paragraph" w:customStyle="1" w:styleId="Title1">
    <w:name w:val="Title1"/>
    <w:basedOn w:val="Normal"/>
    <w:uiPriority w:val="99"/>
    <w:rsid w:val="00167A9F"/>
    <w:pPr>
      <w:bidi w:val="0"/>
      <w:spacing w:before="100" w:beforeAutospacing="1" w:after="100" w:afterAutospacing="1"/>
    </w:pPr>
    <w:rPr>
      <w:rFonts w:cs="Times New Roman"/>
      <w:sz w:val="24"/>
      <w:szCs w:val="24"/>
    </w:rPr>
  </w:style>
  <w:style w:type="table" w:styleId="TableGrid">
    <w:name w:val="Table Grid"/>
    <w:basedOn w:val="TableNormal"/>
    <w:uiPriority w:val="99"/>
    <w:rsid w:val="0034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23008"/>
    <w:rPr>
      <w:rFonts w:cs="Times New Roman"/>
      <w:color w:val="0000FF"/>
      <w:u w:val="single"/>
    </w:rPr>
  </w:style>
  <w:style w:type="character" w:styleId="CommentReference">
    <w:name w:val="annotation reference"/>
    <w:basedOn w:val="DefaultParagraphFont"/>
    <w:uiPriority w:val="99"/>
    <w:semiHidden/>
    <w:rsid w:val="00B879DA"/>
    <w:rPr>
      <w:rFonts w:cs="Times New Roman"/>
      <w:sz w:val="16"/>
      <w:szCs w:val="16"/>
    </w:rPr>
  </w:style>
  <w:style w:type="paragraph" w:styleId="CommentText">
    <w:name w:val="annotation text"/>
    <w:basedOn w:val="Normal"/>
    <w:link w:val="CommentTextChar"/>
    <w:uiPriority w:val="99"/>
    <w:semiHidden/>
    <w:rsid w:val="00B879DA"/>
  </w:style>
  <w:style w:type="character" w:customStyle="1" w:styleId="CommentTextChar">
    <w:name w:val="Comment Text Char"/>
    <w:basedOn w:val="DefaultParagraphFont"/>
    <w:link w:val="CommentText"/>
    <w:uiPriority w:val="99"/>
    <w:semiHidden/>
    <w:locked/>
    <w:rsid w:val="00B879DA"/>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rsid w:val="00B879DA"/>
    <w:rPr>
      <w:b/>
      <w:bCs/>
    </w:rPr>
  </w:style>
  <w:style w:type="character" w:customStyle="1" w:styleId="CommentSubjectChar">
    <w:name w:val="Comment Subject Char"/>
    <w:basedOn w:val="CommentTextChar"/>
    <w:link w:val="CommentSubject"/>
    <w:uiPriority w:val="99"/>
    <w:semiHidden/>
    <w:locked/>
    <w:rsid w:val="00B879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wesh123@yahoo.com" TargetMode="External"/><Relationship Id="rId13" Type="http://schemas.openxmlformats.org/officeDocument/2006/relationships/hyperlink" Target="http://www.ncbi.nlm.nih.gov/sites/entrez?Db=pubmed&amp;Cmd=Search&amp;Term=%22Bouzgarrou%20N%22%5BAuthor%5D&amp;itool=EntrezSystem2.PEntrez.Pubmed.Pubmed_ResultsPanel.Pubmed_DiscoveryPanel.Pubmed_RVAbstractPlus" TargetMode="External"/><Relationship Id="rId18" Type="http://schemas.openxmlformats.org/officeDocument/2006/relationships/hyperlink" Target="http://www.ncbi.nlm.nih.gov/entrez/query.fcgi?db=pubmed&amp;cmd=Search&amp;term=%22Zaghloul+AS%22%5BAuthor%5D" TargetMode="External"/><Relationship Id="rId26" Type="http://schemas.openxmlformats.org/officeDocument/2006/relationships/hyperlink" Target="http://www.ncbi.nlm.nih.gov/entrez/query.fcgi?db=pubmed&amp;cmd=Search&amp;term=%22Kemp+W%22%5BAuthor%5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entrez/query.fcgi?db=pubmed&amp;cmd=Search&amp;term=%22Elhefni+H%22%5BAuthor%5D" TargetMode="External"/><Relationship Id="rId34" Type="http://schemas.openxmlformats.org/officeDocument/2006/relationships/hyperlink" Target="http://www.ncbi.nlm.nih.gov/entrez/query.fcgi?db=pubmed&amp;cmd=Search&amp;term=%22Hernandez%2DCastillo+E%22%5BAuthor%5D"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cbi.nlm.nih.gov/entrez/query.fcgi?db=pubmed&amp;cmd=Search&amp;term=%22Hassan+MM%22%5BAuthor%5D" TargetMode="External"/><Relationship Id="rId25" Type="http://schemas.openxmlformats.org/officeDocument/2006/relationships/hyperlink" Target="http://www.ncbi.nlm.nih.gov/entrez/query.fcgi?db=pubmed&amp;cmd=Search&amp;term=%22Scudamore+CH%22%5BAuthor%5D" TargetMode="External"/><Relationship Id="rId33" Type="http://schemas.openxmlformats.org/officeDocument/2006/relationships/hyperlink" Target="http://www.ncbi.nlm.nih.gov/entrez/query.fcgi?db=pubmed&amp;cmd=Search&amp;term=%22Hopf+U%22%5BAuthor%5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db=pubmed&amp;cmd=Search&amp;term=%22Czechowski+J%22%5BAuthor%5D" TargetMode="External"/><Relationship Id="rId20" Type="http://schemas.openxmlformats.org/officeDocument/2006/relationships/hyperlink" Target="http://www.ncbi.nlm.nih.gov/entrez/query.fcgi?db=pubmed&amp;cmd=Search&amp;term=%22Strickland+GT%22%5BAuthor%5D" TargetMode="External"/><Relationship Id="rId29" Type="http://schemas.openxmlformats.org/officeDocument/2006/relationships/hyperlink" Target="http://www.ncbi.nlm.nih.gov/sites/entrez?Db=pubmed&amp;Cmd=Search&amp;Term=%22Bouzgarrou%20N%22%5BAuthor%5D&amp;itool=EntrezSystem2.PEntrez.Pubmed.Pubmed_ResultsPanel.Pubmed_DiscoveryPanel.Pubmed_RVAbstractP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entrez/query.fcgi?db=pubmed&amp;cmd=Search&amp;term=%22Umemura+T%22%5BAuthor%5D" TargetMode="External"/><Relationship Id="rId32" Type="http://schemas.openxmlformats.org/officeDocument/2006/relationships/hyperlink" Target="javascript:AL_get(this,%20'jour',%20'J%20Med%20Virol.');" TargetMode="External"/><Relationship Id="rId37" Type="http://schemas.openxmlformats.org/officeDocument/2006/relationships/hyperlink" Target="http://www.ncbi.nlm.nih.gov/pubmed/21429452" TargetMode="External"/><Relationship Id="rId5" Type="http://schemas.openxmlformats.org/officeDocument/2006/relationships/webSettings" Target="webSettings.xml"/><Relationship Id="rId15" Type="http://schemas.openxmlformats.org/officeDocument/2006/relationships/hyperlink" Target="http://www.ncbi.nlm.nih.gov/entrez/query.fcgi?db=pubmed&amp;cmd=Search&amp;term=%22Joshi+S%22%5BAuthor%5D" TargetMode="External"/><Relationship Id="rId23" Type="http://schemas.openxmlformats.org/officeDocument/2006/relationships/hyperlink" Target="http://www.ncbi.nlm.nih.gov/entrez/query.fcgi?db=pubmed&amp;cmd=Search&amp;term=%22Momosaki+S%22%5BAuthor%5D" TargetMode="External"/><Relationship Id="rId28" Type="http://schemas.openxmlformats.org/officeDocument/2006/relationships/hyperlink" Target="http://www.ncbi.nlm.nih.gov/entrez/query.fcgi?db=pubmed&amp;cmd=Search&amp;term=%22Nguyen+S%22%5BAuthor%5D" TargetMode="External"/><Relationship Id="rId36" Type="http://schemas.openxmlformats.org/officeDocument/2006/relationships/hyperlink" Target="http://www.ncbi.nlm.nih.gov/entrez/query.fcgi?db=pubmed&amp;cmd=Search&amp;term=%22Garduno%2DLopez+AL%22%5BAuthor%5D" TargetMode="External"/><Relationship Id="rId10" Type="http://schemas.openxmlformats.org/officeDocument/2006/relationships/header" Target="header1.xml"/><Relationship Id="rId19" Type="http://schemas.openxmlformats.org/officeDocument/2006/relationships/hyperlink" Target="http://www.ncbi.nlm.nih.gov/entrez/query.fcgi?db=pubmed&amp;cmd=Search&amp;term=%22El%2DSerag+HB%22%5BAuthor%5D" TargetMode="External"/><Relationship Id="rId31" Type="http://schemas.openxmlformats.org/officeDocument/2006/relationships/hyperlink" Target="http://www.ncbi.nlm.nih.gov/sites/entrez?Db=pubmed&amp;Cmd=Search&amp;Term=%22Schvoerer%20E%22%5BAuthor%5D&amp;itool=EntrezSystem2.PEntrez.Pubmed.Pubmed_ResultsPanel.Pubmed_DiscoveryPanel.Pubmed_RVAbstractPlus"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ncbi.nlm.nih.gov/entrez/query.fcgi?db=pubmed&amp;cmd=Search&amp;term=%22Mohamed+AO%22%5BAuthor%5D" TargetMode="External"/><Relationship Id="rId22" Type="http://schemas.openxmlformats.org/officeDocument/2006/relationships/hyperlink" Target="http://www.ncbi.nlm.nih.gov/entrez/query.fcgi?db=pubmed&amp;cmd=Search&amp;term=%22Salman+T%22%5BAuthor%5D" TargetMode="External"/><Relationship Id="rId27" Type="http://schemas.openxmlformats.org/officeDocument/2006/relationships/hyperlink" Target="http://www.ncbi.nlm.nih.gov/entrez/query.fcgi?db=pubmed&amp;cmd=Search&amp;term=%22Pianko+S%22%5BAuthor%5D" TargetMode="External"/><Relationship Id="rId30" Type="http://schemas.openxmlformats.org/officeDocument/2006/relationships/hyperlink" Target="http://www.ncbi.nlm.nih.gov/sites/entrez?Db=pubmed&amp;Cmd=Search&amp;Term=%22Hassen%20E%22%5BAuthor%5D&amp;itool=EntrezSystem2.PEntrez.Pubmed.Pubmed_ResultsPanel.Pubmed_DiscoveryPanel.Pubmed_RVAbstractPlus" TargetMode="External"/><Relationship Id="rId35" Type="http://schemas.openxmlformats.org/officeDocument/2006/relationships/hyperlink" Target="http://www.ncbi.nlm.nih.gov/entrez/query.fcgi?db=pubmed&amp;cmd=Search&amp;term=%22Mondragon%2DSanchez+R%22%5BAuthor%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9C523-BA71-4C92-923E-52CCEAF7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3024</Words>
  <Characters>20279</Characters>
  <Application>Microsoft Office Word</Application>
  <DocSecurity>0</DocSecurity>
  <Lines>168</Lines>
  <Paragraphs>46</Paragraphs>
  <ScaleCrop>false</ScaleCrop>
  <Company>微软中国</Company>
  <LinksUpToDate>false</LinksUpToDate>
  <CharactersWithSpaces>23257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Role of IL 18 in Diagnosis of HCC in critical Egyptian Patients with Chronic Hepatitis C</dc:title>
  <dc:creator>ahmed</dc:creator>
  <cp:lastModifiedBy>Administrator</cp:lastModifiedBy>
  <cp:revision>4</cp:revision>
  <cp:lastPrinted>2015-08-12T00:07:00Z</cp:lastPrinted>
  <dcterms:created xsi:type="dcterms:W3CDTF">2015-08-12T04:39:00Z</dcterms:created>
  <dcterms:modified xsi:type="dcterms:W3CDTF">2015-08-12T00:13:00Z</dcterms:modified>
</cp:coreProperties>
</file>