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8C" w:rsidRPr="0023574F" w:rsidRDefault="00E33668" w:rsidP="0023574F">
      <w:pPr>
        <w:snapToGrid w:val="0"/>
        <w:jc w:val="center"/>
        <w:rPr>
          <w:rFonts w:eastAsia="Arial Unicode MS"/>
          <w:b/>
          <w:bCs/>
          <w:sz w:val="20"/>
          <w:szCs w:val="20"/>
        </w:rPr>
      </w:pPr>
      <w:proofErr w:type="spellStart"/>
      <w:r w:rsidRPr="0023574F">
        <w:rPr>
          <w:b/>
          <w:bCs/>
          <w:sz w:val="20"/>
          <w:szCs w:val="20"/>
        </w:rPr>
        <w:t>Mycelial</w:t>
      </w:r>
      <w:proofErr w:type="spellEnd"/>
      <w:r w:rsidRPr="0023574F">
        <w:rPr>
          <w:b/>
          <w:bCs/>
          <w:sz w:val="20"/>
          <w:szCs w:val="20"/>
        </w:rPr>
        <w:t xml:space="preserve"> Growth</w:t>
      </w:r>
      <w:r w:rsidR="00007F8C" w:rsidRPr="0023574F">
        <w:rPr>
          <w:b/>
          <w:bCs/>
          <w:sz w:val="20"/>
          <w:szCs w:val="20"/>
        </w:rPr>
        <w:t xml:space="preserve">, </w:t>
      </w:r>
      <w:r w:rsidRPr="0023574F">
        <w:rPr>
          <w:b/>
          <w:bCs/>
          <w:sz w:val="20"/>
          <w:szCs w:val="20"/>
        </w:rPr>
        <w:t xml:space="preserve">Protein Patterns </w:t>
      </w:r>
      <w:r w:rsidR="00007F8C" w:rsidRPr="0023574F">
        <w:rPr>
          <w:b/>
          <w:bCs/>
          <w:sz w:val="20"/>
          <w:szCs w:val="20"/>
        </w:rPr>
        <w:t xml:space="preserve">and </w:t>
      </w:r>
      <w:r w:rsidR="00007F8C" w:rsidRPr="0023574F">
        <w:rPr>
          <w:rFonts w:eastAsia="Arial Unicode MS"/>
          <w:b/>
          <w:bCs/>
          <w:sz w:val="20"/>
          <w:szCs w:val="20"/>
        </w:rPr>
        <w:t xml:space="preserve">Molecular Characterizations by RAPD-PCR </w:t>
      </w:r>
      <w:r w:rsidR="00007F8C" w:rsidRPr="0023574F">
        <w:rPr>
          <w:b/>
          <w:bCs/>
          <w:sz w:val="20"/>
          <w:szCs w:val="20"/>
        </w:rPr>
        <w:t xml:space="preserve">of </w:t>
      </w:r>
      <w:proofErr w:type="spellStart"/>
      <w:r w:rsidR="00007F8C" w:rsidRPr="0023574F">
        <w:rPr>
          <w:b/>
          <w:bCs/>
          <w:i/>
          <w:iCs/>
          <w:sz w:val="20"/>
          <w:szCs w:val="20"/>
          <w:lang w:bidi="ar-EG"/>
        </w:rPr>
        <w:t>Fusariumoxysporum</w:t>
      </w:r>
      <w:proofErr w:type="spellEnd"/>
      <w:r w:rsidR="0023574F">
        <w:rPr>
          <w:rFonts w:eastAsiaTheme="minorEastAsia" w:hint="eastAsia"/>
          <w:b/>
          <w:bCs/>
          <w:i/>
          <w:iCs/>
          <w:sz w:val="20"/>
          <w:szCs w:val="20"/>
          <w:lang w:eastAsia="zh-CN" w:bidi="ar-EG"/>
        </w:rPr>
        <w:t xml:space="preserve"> </w:t>
      </w:r>
      <w:r w:rsidR="00007F8C" w:rsidRPr="0023574F">
        <w:rPr>
          <w:b/>
          <w:bCs/>
          <w:sz w:val="20"/>
          <w:szCs w:val="20"/>
          <w:lang w:bidi="ar-EG"/>
        </w:rPr>
        <w:t xml:space="preserve">Fungus </w:t>
      </w:r>
      <w:r w:rsidR="00007F8C" w:rsidRPr="0023574F">
        <w:rPr>
          <w:b/>
          <w:bCs/>
          <w:sz w:val="20"/>
          <w:szCs w:val="20"/>
        </w:rPr>
        <w:t xml:space="preserve">Affected </w:t>
      </w:r>
      <w:r w:rsidR="00814F50" w:rsidRPr="0023574F">
        <w:rPr>
          <w:b/>
          <w:bCs/>
          <w:sz w:val="20"/>
          <w:szCs w:val="20"/>
        </w:rPr>
        <w:t xml:space="preserve">by </w:t>
      </w:r>
      <w:r w:rsidR="00814F50" w:rsidRPr="0023574F">
        <w:rPr>
          <w:b/>
          <w:bCs/>
          <w:sz w:val="20"/>
          <w:szCs w:val="20"/>
          <w:lang w:bidi="ar-EG"/>
        </w:rPr>
        <w:t>of</w:t>
      </w:r>
      <w:r w:rsidR="00007F8C" w:rsidRPr="0023574F">
        <w:rPr>
          <w:b/>
          <w:bCs/>
          <w:sz w:val="20"/>
          <w:szCs w:val="20"/>
          <w:lang w:bidi="ar-EG"/>
        </w:rPr>
        <w:t xml:space="preserve"> 1,8-Cineol, </w:t>
      </w:r>
      <w:proofErr w:type="spellStart"/>
      <w:r w:rsidR="00007F8C" w:rsidRPr="0023574F">
        <w:rPr>
          <w:b/>
          <w:bCs/>
          <w:sz w:val="20"/>
          <w:szCs w:val="20"/>
          <w:lang w:bidi="ar-EG"/>
        </w:rPr>
        <w:t>Eugenol</w:t>
      </w:r>
      <w:proofErr w:type="spellEnd"/>
      <w:r w:rsidR="00007F8C" w:rsidRPr="0023574F">
        <w:rPr>
          <w:b/>
          <w:bCs/>
          <w:sz w:val="20"/>
          <w:szCs w:val="20"/>
          <w:lang w:bidi="ar-EG"/>
        </w:rPr>
        <w:t xml:space="preserve">, Linalool, Methyl </w:t>
      </w:r>
      <w:proofErr w:type="spellStart"/>
      <w:r w:rsidR="00007F8C" w:rsidRPr="0023574F">
        <w:rPr>
          <w:b/>
          <w:bCs/>
          <w:sz w:val="20"/>
          <w:szCs w:val="20"/>
          <w:lang w:bidi="ar-EG"/>
        </w:rPr>
        <w:t>Cinnamate</w:t>
      </w:r>
      <w:proofErr w:type="spellEnd"/>
      <w:r w:rsidR="00007F8C" w:rsidRPr="0023574F">
        <w:rPr>
          <w:b/>
          <w:bCs/>
          <w:sz w:val="20"/>
          <w:szCs w:val="20"/>
          <w:lang w:bidi="ar-EG"/>
        </w:rPr>
        <w:t xml:space="preserve"> and </w:t>
      </w:r>
      <w:proofErr w:type="spellStart"/>
      <w:r w:rsidR="00007F8C" w:rsidRPr="0023574F">
        <w:rPr>
          <w:b/>
          <w:bCs/>
          <w:sz w:val="20"/>
          <w:szCs w:val="20"/>
          <w:lang w:bidi="ar-EG"/>
        </w:rPr>
        <w:t>Thymol</w:t>
      </w:r>
      <w:proofErr w:type="spellEnd"/>
    </w:p>
    <w:p w:rsidR="00260CAA" w:rsidRPr="0023574F" w:rsidRDefault="00260CAA" w:rsidP="0023574F">
      <w:pPr>
        <w:snapToGrid w:val="0"/>
        <w:jc w:val="center"/>
        <w:rPr>
          <w:b/>
          <w:bCs/>
          <w:sz w:val="20"/>
          <w:szCs w:val="20"/>
          <w:lang w:bidi="ar-EG"/>
        </w:rPr>
      </w:pPr>
    </w:p>
    <w:p w:rsidR="00814F50" w:rsidRDefault="00814F50" w:rsidP="0023574F">
      <w:pPr>
        <w:snapToGrid w:val="0"/>
        <w:jc w:val="center"/>
        <w:rPr>
          <w:rFonts w:eastAsiaTheme="minorEastAsia"/>
          <w:sz w:val="20"/>
          <w:szCs w:val="20"/>
          <w:vertAlign w:val="superscript"/>
          <w:lang w:eastAsia="zh-CN"/>
        </w:rPr>
      </w:pPr>
      <w:r w:rsidRPr="0023574F">
        <w:rPr>
          <w:sz w:val="20"/>
          <w:szCs w:val="20"/>
        </w:rPr>
        <w:t>Mohamed,</w:t>
      </w:r>
      <w:r w:rsidR="007D0EA2" w:rsidRPr="0023574F">
        <w:rPr>
          <w:sz w:val="20"/>
          <w:szCs w:val="20"/>
        </w:rPr>
        <w:t xml:space="preserve"> A. A. Shaymaa</w:t>
      </w:r>
      <w:r w:rsidR="007D0EA2" w:rsidRPr="0023574F">
        <w:rPr>
          <w:sz w:val="20"/>
          <w:szCs w:val="20"/>
          <w:vertAlign w:val="superscript"/>
        </w:rPr>
        <w:t>1</w:t>
      </w:r>
      <w:r w:rsidR="004048ED">
        <w:rPr>
          <w:sz w:val="20"/>
          <w:szCs w:val="20"/>
        </w:rPr>
        <w:t>; E</w:t>
      </w:r>
      <w:r w:rsidR="00C42AC4" w:rsidRPr="0023574F">
        <w:rPr>
          <w:sz w:val="20"/>
          <w:szCs w:val="20"/>
        </w:rPr>
        <w:t>l-</w:t>
      </w:r>
      <w:proofErr w:type="spellStart"/>
      <w:r w:rsidR="00C42AC4" w:rsidRPr="0023574F">
        <w:rPr>
          <w:sz w:val="20"/>
          <w:szCs w:val="20"/>
        </w:rPr>
        <w:t>Shiekh</w:t>
      </w:r>
      <w:proofErr w:type="spellEnd"/>
      <w:r w:rsidR="00C42AC4" w:rsidRPr="0023574F">
        <w:rPr>
          <w:sz w:val="20"/>
          <w:szCs w:val="20"/>
        </w:rPr>
        <w:t>, Y. W. A.</w:t>
      </w:r>
      <w:r w:rsidR="00C42AC4" w:rsidRPr="0023574F">
        <w:rPr>
          <w:sz w:val="20"/>
          <w:szCs w:val="20"/>
          <w:vertAlign w:val="superscript"/>
        </w:rPr>
        <w:t>1</w:t>
      </w:r>
      <w:r w:rsidR="00C42AC4" w:rsidRPr="0023574F">
        <w:rPr>
          <w:sz w:val="20"/>
          <w:szCs w:val="20"/>
        </w:rPr>
        <w:t xml:space="preserve">; </w:t>
      </w:r>
      <w:r w:rsidR="007D0EA2" w:rsidRPr="0023574F">
        <w:rPr>
          <w:sz w:val="20"/>
          <w:szCs w:val="20"/>
        </w:rPr>
        <w:t xml:space="preserve">and </w:t>
      </w:r>
      <w:proofErr w:type="spellStart"/>
      <w:r w:rsidR="00C42AC4" w:rsidRPr="0023574F">
        <w:rPr>
          <w:sz w:val="20"/>
          <w:szCs w:val="20"/>
        </w:rPr>
        <w:t>Nour</w:t>
      </w:r>
      <w:proofErr w:type="spellEnd"/>
      <w:r w:rsidR="00C42AC4" w:rsidRPr="0023574F">
        <w:rPr>
          <w:sz w:val="20"/>
          <w:szCs w:val="20"/>
        </w:rPr>
        <w:t xml:space="preserve"> El-Din, A. Hanan</w:t>
      </w:r>
      <w:r w:rsidRPr="0023574F">
        <w:rPr>
          <w:sz w:val="20"/>
          <w:szCs w:val="20"/>
          <w:vertAlign w:val="superscript"/>
        </w:rPr>
        <w:t>2</w:t>
      </w:r>
    </w:p>
    <w:p w:rsidR="0023574F" w:rsidRPr="0023574F" w:rsidRDefault="0023574F" w:rsidP="0023574F">
      <w:pPr>
        <w:snapToGrid w:val="0"/>
        <w:jc w:val="center"/>
        <w:rPr>
          <w:rFonts w:eastAsiaTheme="minorEastAsia"/>
          <w:sz w:val="20"/>
          <w:szCs w:val="20"/>
          <w:vertAlign w:val="superscript"/>
          <w:lang w:eastAsia="zh-CN"/>
        </w:rPr>
      </w:pPr>
    </w:p>
    <w:p w:rsidR="00C42AC4" w:rsidRPr="0023574F" w:rsidRDefault="00C42AC4" w:rsidP="0023574F">
      <w:pPr>
        <w:snapToGrid w:val="0"/>
        <w:jc w:val="center"/>
        <w:rPr>
          <w:sz w:val="20"/>
          <w:szCs w:val="20"/>
        </w:rPr>
      </w:pPr>
      <w:r w:rsidRPr="0023574F">
        <w:rPr>
          <w:sz w:val="20"/>
          <w:szCs w:val="20"/>
          <w:vertAlign w:val="superscript"/>
        </w:rPr>
        <w:t xml:space="preserve">(1) </w:t>
      </w:r>
      <w:r w:rsidRPr="0023574F">
        <w:rPr>
          <w:sz w:val="20"/>
          <w:szCs w:val="20"/>
        </w:rPr>
        <w:t>Pesticides Formulation Department, Central Agricultural Pesticides Laboratory, Agricultural Research Center</w:t>
      </w:r>
    </w:p>
    <w:p w:rsidR="00C42AC4" w:rsidRPr="0023574F" w:rsidRDefault="00C42AC4" w:rsidP="0023574F">
      <w:pPr>
        <w:pStyle w:val="BodyTextIndent3"/>
        <w:tabs>
          <w:tab w:val="right" w:pos="0"/>
        </w:tabs>
        <w:bidi w:val="0"/>
        <w:snapToGrid w:val="0"/>
        <w:spacing w:after="0"/>
        <w:ind w:left="0"/>
        <w:jc w:val="center"/>
        <w:rPr>
          <w:sz w:val="20"/>
          <w:szCs w:val="20"/>
        </w:rPr>
      </w:pPr>
      <w:r w:rsidRPr="0023574F">
        <w:rPr>
          <w:sz w:val="20"/>
          <w:szCs w:val="20"/>
          <w:vertAlign w:val="superscript"/>
        </w:rPr>
        <w:t>(2)</w:t>
      </w:r>
      <w:r w:rsidRPr="0023574F">
        <w:rPr>
          <w:sz w:val="20"/>
          <w:szCs w:val="20"/>
        </w:rPr>
        <w:t xml:space="preserve"> Microbial Molecular Biology Department, Agricultural Genetic Engineering Research Institute, Agricultural Research Center</w:t>
      </w:r>
    </w:p>
    <w:p w:rsidR="00741EFF" w:rsidRPr="0023574F" w:rsidRDefault="00204FDF" w:rsidP="0023574F">
      <w:pPr>
        <w:snapToGrid w:val="0"/>
        <w:jc w:val="center"/>
        <w:rPr>
          <w:sz w:val="20"/>
          <w:szCs w:val="20"/>
        </w:rPr>
      </w:pPr>
      <w:r w:rsidRPr="0023574F">
        <w:rPr>
          <w:sz w:val="20"/>
          <w:szCs w:val="20"/>
        </w:rPr>
        <w:t xml:space="preserve">E-mail: </w:t>
      </w:r>
      <w:hyperlink r:id="rId8" w:history="1">
        <w:r w:rsidR="00363D80" w:rsidRPr="0023574F">
          <w:rPr>
            <w:rStyle w:val="Hyperlink"/>
            <w:sz w:val="20"/>
            <w:szCs w:val="20"/>
          </w:rPr>
          <w:t>shaymaa_abdelwahab@yahoo.com</w:t>
        </w:r>
      </w:hyperlink>
    </w:p>
    <w:p w:rsidR="00274DF1" w:rsidRPr="0023574F" w:rsidRDefault="00274DF1" w:rsidP="0023574F">
      <w:pPr>
        <w:snapToGrid w:val="0"/>
        <w:jc w:val="center"/>
        <w:rPr>
          <w:sz w:val="20"/>
          <w:szCs w:val="20"/>
        </w:rPr>
      </w:pPr>
    </w:p>
    <w:p w:rsidR="00D30BF8" w:rsidRPr="0023574F" w:rsidRDefault="00814F50" w:rsidP="0023574F">
      <w:pPr>
        <w:pStyle w:val="BodyTextIndent3"/>
        <w:tabs>
          <w:tab w:val="right" w:pos="0"/>
          <w:tab w:val="left" w:pos="8575"/>
        </w:tabs>
        <w:bidi w:val="0"/>
        <w:snapToGrid w:val="0"/>
        <w:spacing w:after="0"/>
        <w:ind w:left="0"/>
        <w:jc w:val="both"/>
        <w:rPr>
          <w:sz w:val="20"/>
          <w:szCs w:val="20"/>
        </w:rPr>
      </w:pPr>
      <w:r w:rsidRPr="0023574F">
        <w:rPr>
          <w:b/>
          <w:bCs/>
          <w:sz w:val="20"/>
          <w:szCs w:val="20"/>
        </w:rPr>
        <w:t>Abstract</w:t>
      </w:r>
      <w:r w:rsidR="00260CAA" w:rsidRPr="0023574F">
        <w:rPr>
          <w:b/>
          <w:bCs/>
          <w:sz w:val="20"/>
          <w:szCs w:val="20"/>
        </w:rPr>
        <w:t>:</w:t>
      </w:r>
      <w:r w:rsidR="004048ED">
        <w:rPr>
          <w:b/>
          <w:bCs/>
          <w:sz w:val="20"/>
          <w:szCs w:val="20"/>
        </w:rPr>
        <w:t xml:space="preserve"> </w:t>
      </w:r>
      <w:r w:rsidR="00D30BF8" w:rsidRPr="0023574F">
        <w:rPr>
          <w:sz w:val="20"/>
          <w:szCs w:val="20"/>
        </w:rPr>
        <w:t xml:space="preserve">A study was undertaken to investigate the antifungal activities of naturally occurring compounds namely; </w:t>
      </w:r>
      <w:proofErr w:type="spellStart"/>
      <w:r w:rsidR="00D30BF8" w:rsidRPr="0023574F">
        <w:rPr>
          <w:sz w:val="20"/>
          <w:szCs w:val="20"/>
        </w:rPr>
        <w:t>thymol</w:t>
      </w:r>
      <w:proofErr w:type="spellEnd"/>
      <w:r w:rsidR="00D30BF8" w:rsidRPr="0023574F">
        <w:rPr>
          <w:sz w:val="20"/>
          <w:szCs w:val="20"/>
        </w:rPr>
        <w:t xml:space="preserve">, </w:t>
      </w:r>
      <w:proofErr w:type="spellStart"/>
      <w:r w:rsidR="00D30BF8" w:rsidRPr="0023574F">
        <w:rPr>
          <w:sz w:val="20"/>
          <w:szCs w:val="20"/>
        </w:rPr>
        <w:t>eugenol</w:t>
      </w:r>
      <w:proofErr w:type="spellEnd"/>
      <w:r w:rsidR="00D30BF8" w:rsidRPr="0023574F">
        <w:rPr>
          <w:sz w:val="20"/>
          <w:szCs w:val="20"/>
        </w:rPr>
        <w:t xml:space="preserve">, methyl </w:t>
      </w:r>
      <w:proofErr w:type="spellStart"/>
      <w:r w:rsidR="00D30BF8" w:rsidRPr="0023574F">
        <w:rPr>
          <w:sz w:val="20"/>
          <w:szCs w:val="20"/>
        </w:rPr>
        <w:t>cinnamate</w:t>
      </w:r>
      <w:proofErr w:type="spellEnd"/>
      <w:r w:rsidR="00D30BF8" w:rsidRPr="0023574F">
        <w:rPr>
          <w:sz w:val="20"/>
          <w:szCs w:val="20"/>
        </w:rPr>
        <w:t xml:space="preserve">, linalool and 1,8-cineol against </w:t>
      </w:r>
      <w:proofErr w:type="spellStart"/>
      <w:r w:rsidR="00D30BF8" w:rsidRPr="0023574F">
        <w:rPr>
          <w:i/>
          <w:iCs/>
          <w:sz w:val="20"/>
          <w:szCs w:val="20"/>
        </w:rPr>
        <w:t>Fusariumoxysporum</w:t>
      </w:r>
      <w:proofErr w:type="spellEnd"/>
      <w:r w:rsidR="00D30BF8" w:rsidRPr="0023574F">
        <w:rPr>
          <w:sz w:val="20"/>
          <w:szCs w:val="20"/>
        </w:rPr>
        <w:t xml:space="preserve"> which was economically important </w:t>
      </w:r>
      <w:proofErr w:type="spellStart"/>
      <w:r w:rsidR="00D30BF8" w:rsidRPr="0023574F">
        <w:rPr>
          <w:sz w:val="20"/>
          <w:szCs w:val="20"/>
        </w:rPr>
        <w:t>phytopathogic</w:t>
      </w:r>
      <w:proofErr w:type="spellEnd"/>
      <w:r w:rsidR="00D30BF8" w:rsidRPr="0023574F">
        <w:rPr>
          <w:sz w:val="20"/>
          <w:szCs w:val="20"/>
        </w:rPr>
        <w:t xml:space="preserve"> fungus in the Egyptian environment.</w:t>
      </w:r>
      <w:r w:rsidR="004048ED">
        <w:rPr>
          <w:sz w:val="20"/>
          <w:szCs w:val="20"/>
        </w:rPr>
        <w:t xml:space="preserve"> </w:t>
      </w:r>
      <w:r w:rsidR="00D30BF8" w:rsidRPr="0023574F">
        <w:rPr>
          <w:sz w:val="20"/>
          <w:szCs w:val="20"/>
        </w:rPr>
        <w:t>The LC</w:t>
      </w:r>
      <w:r w:rsidR="00D30BF8" w:rsidRPr="0023574F">
        <w:rPr>
          <w:sz w:val="20"/>
          <w:szCs w:val="20"/>
          <w:vertAlign w:val="subscript"/>
        </w:rPr>
        <w:t>25</w:t>
      </w:r>
      <w:r w:rsidR="00D30BF8" w:rsidRPr="0023574F">
        <w:rPr>
          <w:sz w:val="20"/>
          <w:szCs w:val="20"/>
        </w:rPr>
        <w:t xml:space="preserve"> and LC</w:t>
      </w:r>
      <w:r w:rsidR="00D30BF8" w:rsidRPr="0023574F">
        <w:rPr>
          <w:sz w:val="20"/>
          <w:szCs w:val="20"/>
          <w:vertAlign w:val="subscript"/>
        </w:rPr>
        <w:t>50</w:t>
      </w:r>
      <w:r w:rsidR="00D30BF8" w:rsidRPr="0023574F">
        <w:rPr>
          <w:sz w:val="20"/>
          <w:szCs w:val="20"/>
        </w:rPr>
        <w:t>’s of the tested compounds against were determined according to the relationship drawn between the logarithm of concentration and the percent of growth inhibition (</w:t>
      </w:r>
      <w:proofErr w:type="spellStart"/>
      <w:r w:rsidR="00D30BF8" w:rsidRPr="0023574F">
        <w:rPr>
          <w:sz w:val="20"/>
          <w:szCs w:val="20"/>
        </w:rPr>
        <w:t>ldp</w:t>
      </w:r>
      <w:proofErr w:type="spellEnd"/>
      <w:r w:rsidR="00D30BF8" w:rsidRPr="0023574F">
        <w:rPr>
          <w:sz w:val="20"/>
          <w:szCs w:val="20"/>
        </w:rPr>
        <w:t xml:space="preserve"> lines), and the toxicity indexes and relative potencies were calculated.</w:t>
      </w:r>
      <w:r w:rsidR="004048ED">
        <w:rPr>
          <w:sz w:val="20"/>
          <w:szCs w:val="20"/>
        </w:rPr>
        <w:t xml:space="preserve"> </w:t>
      </w:r>
      <w:proofErr w:type="spellStart"/>
      <w:r w:rsidR="00D30BF8" w:rsidRPr="0023574F">
        <w:rPr>
          <w:sz w:val="20"/>
          <w:szCs w:val="20"/>
        </w:rPr>
        <w:t>Thymol</w:t>
      </w:r>
      <w:proofErr w:type="spellEnd"/>
      <w:r w:rsidR="00D30BF8" w:rsidRPr="0023574F">
        <w:rPr>
          <w:sz w:val="20"/>
          <w:szCs w:val="20"/>
        </w:rPr>
        <w:t xml:space="preserve"> was the most effective compound followed by </w:t>
      </w:r>
      <w:proofErr w:type="spellStart"/>
      <w:r w:rsidR="00D30BF8" w:rsidRPr="0023574F">
        <w:rPr>
          <w:sz w:val="20"/>
          <w:szCs w:val="20"/>
        </w:rPr>
        <w:t>eugenol</w:t>
      </w:r>
      <w:proofErr w:type="spellEnd"/>
      <w:r w:rsidR="00D30BF8" w:rsidRPr="0023574F">
        <w:rPr>
          <w:sz w:val="20"/>
          <w:szCs w:val="20"/>
        </w:rPr>
        <w:t xml:space="preserve">, methyl </w:t>
      </w:r>
      <w:proofErr w:type="spellStart"/>
      <w:r w:rsidR="00D30BF8" w:rsidRPr="0023574F">
        <w:rPr>
          <w:sz w:val="20"/>
          <w:szCs w:val="20"/>
        </w:rPr>
        <w:t>cinnamate</w:t>
      </w:r>
      <w:proofErr w:type="spellEnd"/>
      <w:r w:rsidR="00D30BF8" w:rsidRPr="0023574F">
        <w:rPr>
          <w:sz w:val="20"/>
          <w:szCs w:val="20"/>
        </w:rPr>
        <w:t xml:space="preserve"> and linalool, </w:t>
      </w:r>
      <w:proofErr w:type="spellStart"/>
      <w:r w:rsidR="00D30BF8" w:rsidRPr="0023574F">
        <w:rPr>
          <w:sz w:val="20"/>
          <w:szCs w:val="20"/>
        </w:rPr>
        <w:t>descendingly</w:t>
      </w:r>
      <w:proofErr w:type="spellEnd"/>
      <w:r w:rsidR="00D30BF8" w:rsidRPr="0023574F">
        <w:rPr>
          <w:sz w:val="20"/>
          <w:szCs w:val="20"/>
        </w:rPr>
        <w:t>.</w:t>
      </w:r>
      <w:r w:rsidR="004048ED">
        <w:rPr>
          <w:sz w:val="20"/>
          <w:szCs w:val="20"/>
        </w:rPr>
        <w:t xml:space="preserve"> </w:t>
      </w:r>
      <w:r w:rsidR="00D30BF8" w:rsidRPr="0023574F">
        <w:rPr>
          <w:sz w:val="20"/>
          <w:szCs w:val="20"/>
        </w:rPr>
        <w:t>The LC</w:t>
      </w:r>
      <w:r w:rsidR="00D30BF8" w:rsidRPr="0023574F">
        <w:rPr>
          <w:sz w:val="20"/>
          <w:szCs w:val="20"/>
          <w:vertAlign w:val="subscript"/>
        </w:rPr>
        <w:t>50</w:t>
      </w:r>
      <w:r w:rsidR="00D30BF8" w:rsidRPr="0023574F">
        <w:rPr>
          <w:sz w:val="20"/>
          <w:szCs w:val="20"/>
        </w:rPr>
        <w:t>’s</w:t>
      </w:r>
      <w:r w:rsidR="004048ED">
        <w:rPr>
          <w:sz w:val="20"/>
          <w:szCs w:val="20"/>
        </w:rPr>
        <w:t xml:space="preserve"> </w:t>
      </w:r>
      <w:r w:rsidR="00D30BF8" w:rsidRPr="0023574F">
        <w:rPr>
          <w:sz w:val="20"/>
          <w:szCs w:val="20"/>
        </w:rPr>
        <w:t xml:space="preserve">of </w:t>
      </w:r>
      <w:proofErr w:type="spellStart"/>
      <w:r w:rsidR="00D30BF8" w:rsidRPr="0023574F">
        <w:rPr>
          <w:sz w:val="20"/>
          <w:szCs w:val="20"/>
        </w:rPr>
        <w:t>thymol</w:t>
      </w:r>
      <w:proofErr w:type="spellEnd"/>
      <w:r w:rsidR="008006E6" w:rsidRPr="0023574F">
        <w:rPr>
          <w:sz w:val="20"/>
          <w:szCs w:val="20"/>
        </w:rPr>
        <w:t xml:space="preserve">, </w:t>
      </w:r>
      <w:proofErr w:type="spellStart"/>
      <w:r w:rsidR="008006E6" w:rsidRPr="0023574F">
        <w:rPr>
          <w:sz w:val="20"/>
          <w:szCs w:val="20"/>
        </w:rPr>
        <w:t>eugenol</w:t>
      </w:r>
      <w:proofErr w:type="spellEnd"/>
      <w:r w:rsidR="008006E6" w:rsidRPr="0023574F">
        <w:rPr>
          <w:sz w:val="20"/>
          <w:szCs w:val="20"/>
        </w:rPr>
        <w:t xml:space="preserve"> and methyl </w:t>
      </w:r>
      <w:proofErr w:type="spellStart"/>
      <w:r w:rsidR="008006E6" w:rsidRPr="0023574F">
        <w:rPr>
          <w:sz w:val="20"/>
          <w:szCs w:val="20"/>
        </w:rPr>
        <w:t>cinnamate</w:t>
      </w:r>
      <w:proofErr w:type="spellEnd"/>
      <w:r w:rsidR="00D30BF8" w:rsidRPr="0023574F">
        <w:rPr>
          <w:sz w:val="20"/>
          <w:szCs w:val="20"/>
        </w:rPr>
        <w:t xml:space="preserve"> against </w:t>
      </w:r>
      <w:r w:rsidR="00D30BF8" w:rsidRPr="0023574F">
        <w:rPr>
          <w:i/>
          <w:iCs/>
          <w:sz w:val="20"/>
          <w:szCs w:val="20"/>
        </w:rPr>
        <w:t xml:space="preserve">F. </w:t>
      </w:r>
      <w:proofErr w:type="spellStart"/>
      <w:r w:rsidR="00D30BF8" w:rsidRPr="0023574F">
        <w:rPr>
          <w:i/>
          <w:iCs/>
          <w:sz w:val="20"/>
          <w:szCs w:val="20"/>
        </w:rPr>
        <w:t>oxysporum</w:t>
      </w:r>
      <w:proofErr w:type="spellEnd"/>
      <w:r w:rsidR="004048ED">
        <w:rPr>
          <w:i/>
          <w:iCs/>
          <w:sz w:val="20"/>
          <w:szCs w:val="20"/>
        </w:rPr>
        <w:t xml:space="preserve"> </w:t>
      </w:r>
      <w:r w:rsidR="008006E6" w:rsidRPr="0023574F">
        <w:rPr>
          <w:sz w:val="20"/>
          <w:szCs w:val="20"/>
        </w:rPr>
        <w:t xml:space="preserve">were </w:t>
      </w:r>
      <w:r w:rsidR="00D30BF8" w:rsidRPr="0023574F">
        <w:rPr>
          <w:sz w:val="20"/>
          <w:szCs w:val="20"/>
        </w:rPr>
        <w:t>81.89</w:t>
      </w:r>
      <w:r w:rsidR="008006E6" w:rsidRPr="0023574F">
        <w:rPr>
          <w:sz w:val="20"/>
          <w:szCs w:val="20"/>
        </w:rPr>
        <w:t>,</w:t>
      </w:r>
      <w:r w:rsidR="00D30BF8" w:rsidRPr="0023574F">
        <w:rPr>
          <w:sz w:val="20"/>
          <w:szCs w:val="20"/>
        </w:rPr>
        <w:t xml:space="preserve"> 214.74 and 290.66</w:t>
      </w:r>
      <w:r w:rsidR="008006E6" w:rsidRPr="0023574F">
        <w:rPr>
          <w:sz w:val="20"/>
          <w:szCs w:val="20"/>
        </w:rPr>
        <w:t xml:space="preserve"> µg/ml, respectively</w:t>
      </w:r>
      <w:r w:rsidR="00D30BF8" w:rsidRPr="0023574F">
        <w:rPr>
          <w:sz w:val="20"/>
          <w:szCs w:val="20"/>
        </w:rPr>
        <w:t>. The 1,8-cineol compound didn’t show any fungicidal activity</w:t>
      </w:r>
      <w:r w:rsidR="008006E6" w:rsidRPr="0023574F">
        <w:rPr>
          <w:sz w:val="20"/>
          <w:szCs w:val="20"/>
        </w:rPr>
        <w:t>. The present study is also attempted to determine the differences between treated and untreated samples at the molecular level based on the analysis of protein analysis and RAPD-PCR.</w:t>
      </w:r>
    </w:p>
    <w:p w:rsidR="0023574F" w:rsidRPr="00076467" w:rsidRDefault="0023574F" w:rsidP="0023574F">
      <w:pPr>
        <w:rPr>
          <w:sz w:val="20"/>
          <w:szCs w:val="20"/>
        </w:rPr>
      </w:pPr>
      <w:r>
        <w:rPr>
          <w:rFonts w:eastAsiaTheme="minorEastAsia" w:hint="eastAsia"/>
          <w:sz w:val="20"/>
          <w:szCs w:val="20"/>
          <w:lang w:eastAsia="zh-CN"/>
        </w:rPr>
        <w:t>[</w:t>
      </w:r>
      <w:r w:rsidR="00814F50" w:rsidRPr="0023574F">
        <w:rPr>
          <w:sz w:val="20"/>
          <w:szCs w:val="20"/>
        </w:rPr>
        <w:t xml:space="preserve">Mohamed, A. A. </w:t>
      </w:r>
      <w:proofErr w:type="spellStart"/>
      <w:r w:rsidR="00814F50" w:rsidRPr="0023574F">
        <w:rPr>
          <w:sz w:val="20"/>
          <w:szCs w:val="20"/>
        </w:rPr>
        <w:t>Shaymaa</w:t>
      </w:r>
      <w:proofErr w:type="spellEnd"/>
      <w:r w:rsidR="004048ED">
        <w:rPr>
          <w:sz w:val="20"/>
          <w:szCs w:val="20"/>
        </w:rPr>
        <w:t xml:space="preserve"> </w:t>
      </w:r>
      <w:r w:rsidR="00814F50" w:rsidRPr="0023574F">
        <w:rPr>
          <w:sz w:val="20"/>
          <w:szCs w:val="20"/>
        </w:rPr>
        <w:t>El-</w:t>
      </w:r>
      <w:proofErr w:type="spellStart"/>
      <w:r w:rsidR="00814F50" w:rsidRPr="0023574F">
        <w:rPr>
          <w:sz w:val="20"/>
          <w:szCs w:val="20"/>
        </w:rPr>
        <w:t>Shiekh</w:t>
      </w:r>
      <w:proofErr w:type="spellEnd"/>
      <w:r w:rsidR="00814F50" w:rsidRPr="0023574F">
        <w:rPr>
          <w:sz w:val="20"/>
          <w:szCs w:val="20"/>
        </w:rPr>
        <w:t xml:space="preserve">, Y. W. A. and </w:t>
      </w:r>
      <w:proofErr w:type="spellStart"/>
      <w:r w:rsidR="00814F50" w:rsidRPr="0023574F">
        <w:rPr>
          <w:sz w:val="20"/>
          <w:szCs w:val="20"/>
        </w:rPr>
        <w:t>Nour</w:t>
      </w:r>
      <w:proofErr w:type="spellEnd"/>
      <w:r w:rsidR="00814F50" w:rsidRPr="0023574F">
        <w:rPr>
          <w:sz w:val="20"/>
          <w:szCs w:val="20"/>
        </w:rPr>
        <w:t xml:space="preserve"> El-Din, A. </w:t>
      </w:r>
      <w:proofErr w:type="spellStart"/>
      <w:r w:rsidR="00814F50" w:rsidRPr="0023574F">
        <w:rPr>
          <w:sz w:val="20"/>
          <w:szCs w:val="20"/>
        </w:rPr>
        <w:t>Hanan</w:t>
      </w:r>
      <w:proofErr w:type="spellEnd"/>
      <w:r>
        <w:rPr>
          <w:rFonts w:eastAsiaTheme="minorEastAsia" w:hint="eastAsia"/>
          <w:sz w:val="20"/>
          <w:szCs w:val="20"/>
          <w:lang w:eastAsia="zh-CN"/>
        </w:rPr>
        <w:t xml:space="preserve">. </w:t>
      </w:r>
      <w:proofErr w:type="spellStart"/>
      <w:r w:rsidR="00814F50" w:rsidRPr="0023574F">
        <w:rPr>
          <w:b/>
          <w:bCs/>
          <w:sz w:val="20"/>
          <w:szCs w:val="20"/>
        </w:rPr>
        <w:t>Mycelial</w:t>
      </w:r>
      <w:proofErr w:type="spellEnd"/>
      <w:r w:rsidR="00814F50" w:rsidRPr="0023574F">
        <w:rPr>
          <w:b/>
          <w:bCs/>
          <w:sz w:val="20"/>
          <w:szCs w:val="20"/>
        </w:rPr>
        <w:t xml:space="preserve"> Growth, Protein Patterns and </w:t>
      </w:r>
      <w:r w:rsidR="00814F50" w:rsidRPr="0023574F">
        <w:rPr>
          <w:rFonts w:eastAsia="Arial Unicode MS"/>
          <w:b/>
          <w:bCs/>
          <w:sz w:val="20"/>
          <w:szCs w:val="20"/>
        </w:rPr>
        <w:t xml:space="preserve">Molecular Characterizations by RAPD-PCR </w:t>
      </w:r>
      <w:r w:rsidR="00814F50" w:rsidRPr="0023574F">
        <w:rPr>
          <w:b/>
          <w:bCs/>
          <w:sz w:val="20"/>
          <w:szCs w:val="20"/>
        </w:rPr>
        <w:t xml:space="preserve">of </w:t>
      </w:r>
      <w:proofErr w:type="spellStart"/>
      <w:r w:rsidR="00814F50" w:rsidRPr="0023574F">
        <w:rPr>
          <w:b/>
          <w:bCs/>
          <w:i/>
          <w:iCs/>
          <w:sz w:val="20"/>
          <w:szCs w:val="20"/>
          <w:lang w:bidi="ar-EG"/>
        </w:rPr>
        <w:t>Fusariumoxysporum</w:t>
      </w:r>
      <w:r w:rsidR="00814F50" w:rsidRPr="0023574F">
        <w:rPr>
          <w:b/>
          <w:bCs/>
          <w:sz w:val="20"/>
          <w:szCs w:val="20"/>
          <w:lang w:bidi="ar-EG"/>
        </w:rPr>
        <w:t>Fungus</w:t>
      </w:r>
      <w:proofErr w:type="spellEnd"/>
      <w:r w:rsidR="00814F50" w:rsidRPr="0023574F">
        <w:rPr>
          <w:b/>
          <w:bCs/>
          <w:sz w:val="20"/>
          <w:szCs w:val="20"/>
          <w:lang w:bidi="ar-EG"/>
        </w:rPr>
        <w:t xml:space="preserve"> </w:t>
      </w:r>
      <w:r w:rsidR="00814F50" w:rsidRPr="0023574F">
        <w:rPr>
          <w:b/>
          <w:bCs/>
          <w:sz w:val="20"/>
          <w:szCs w:val="20"/>
        </w:rPr>
        <w:t xml:space="preserve">Affected by </w:t>
      </w:r>
      <w:r w:rsidR="00814F50" w:rsidRPr="0023574F">
        <w:rPr>
          <w:b/>
          <w:bCs/>
          <w:sz w:val="20"/>
          <w:szCs w:val="20"/>
          <w:lang w:bidi="ar-EG"/>
        </w:rPr>
        <w:t xml:space="preserve">of 1,8-Cineol, </w:t>
      </w:r>
      <w:proofErr w:type="spellStart"/>
      <w:r w:rsidR="00814F50" w:rsidRPr="0023574F">
        <w:rPr>
          <w:b/>
          <w:bCs/>
          <w:sz w:val="20"/>
          <w:szCs w:val="20"/>
          <w:lang w:bidi="ar-EG"/>
        </w:rPr>
        <w:t>Eugenol</w:t>
      </w:r>
      <w:proofErr w:type="spellEnd"/>
      <w:r w:rsidR="00814F50" w:rsidRPr="0023574F">
        <w:rPr>
          <w:b/>
          <w:bCs/>
          <w:sz w:val="20"/>
          <w:szCs w:val="20"/>
          <w:lang w:bidi="ar-EG"/>
        </w:rPr>
        <w:t xml:space="preserve">, Linalool, Methyl </w:t>
      </w:r>
      <w:proofErr w:type="spellStart"/>
      <w:r w:rsidR="00814F50" w:rsidRPr="0023574F">
        <w:rPr>
          <w:b/>
          <w:bCs/>
          <w:sz w:val="20"/>
          <w:szCs w:val="20"/>
          <w:lang w:bidi="ar-EG"/>
        </w:rPr>
        <w:t>Cinnamate</w:t>
      </w:r>
      <w:proofErr w:type="spellEnd"/>
      <w:r w:rsidR="00814F50" w:rsidRPr="0023574F">
        <w:rPr>
          <w:b/>
          <w:bCs/>
          <w:sz w:val="20"/>
          <w:szCs w:val="20"/>
          <w:lang w:bidi="ar-EG"/>
        </w:rPr>
        <w:t xml:space="preserve"> and </w:t>
      </w:r>
      <w:proofErr w:type="spellStart"/>
      <w:r w:rsidR="00814F50" w:rsidRPr="0023574F">
        <w:rPr>
          <w:b/>
          <w:bCs/>
          <w:sz w:val="20"/>
          <w:szCs w:val="20"/>
          <w:lang w:bidi="ar-EG"/>
        </w:rPr>
        <w:t>Thymol</w:t>
      </w:r>
      <w:proofErr w:type="spellEnd"/>
      <w:r w:rsidRPr="00076467">
        <w:rPr>
          <w:b/>
          <w:bCs/>
          <w:sz w:val="20"/>
          <w:szCs w:val="20"/>
          <w:lang w:bidi="fa-IR"/>
        </w:rPr>
        <w:t>.</w:t>
      </w:r>
      <w:r w:rsidRPr="00076467">
        <w:rPr>
          <w:rFonts w:hint="eastAsia"/>
          <w:b/>
          <w:bCs/>
          <w:sz w:val="20"/>
          <w:szCs w:val="20"/>
        </w:rPr>
        <w:t xml:space="preserve"> </w:t>
      </w:r>
      <w:r w:rsidRPr="00076467">
        <w:rPr>
          <w:bCs/>
          <w:i/>
          <w:sz w:val="20"/>
          <w:szCs w:val="20"/>
        </w:rPr>
        <w:t xml:space="preserve">Nat </w:t>
      </w:r>
      <w:proofErr w:type="spellStart"/>
      <w:r w:rsidRPr="00076467">
        <w:rPr>
          <w:bCs/>
          <w:i/>
          <w:sz w:val="20"/>
          <w:szCs w:val="20"/>
        </w:rPr>
        <w:t>Sci</w:t>
      </w:r>
      <w:proofErr w:type="spellEnd"/>
      <w:r w:rsidRPr="00076467">
        <w:rPr>
          <w:rFonts w:eastAsiaTheme="minorEastAsia" w:hint="eastAsia"/>
          <w:bCs/>
          <w:i/>
          <w:sz w:val="20"/>
          <w:szCs w:val="20"/>
        </w:rPr>
        <w:t xml:space="preserve"> </w:t>
      </w:r>
      <w:r w:rsidRPr="00076467">
        <w:rPr>
          <w:sz w:val="20"/>
          <w:szCs w:val="20"/>
        </w:rPr>
        <w:t>201</w:t>
      </w:r>
      <w:r>
        <w:rPr>
          <w:rFonts w:hint="eastAsia"/>
          <w:sz w:val="20"/>
          <w:szCs w:val="20"/>
        </w:rPr>
        <w:t>5</w:t>
      </w:r>
      <w:r w:rsidRPr="00076467">
        <w:rPr>
          <w:sz w:val="20"/>
          <w:szCs w:val="20"/>
        </w:rPr>
        <w:t>;1</w:t>
      </w:r>
      <w:r>
        <w:rPr>
          <w:rFonts w:hint="eastAsia"/>
          <w:sz w:val="20"/>
          <w:szCs w:val="20"/>
        </w:rPr>
        <w:t>3</w:t>
      </w:r>
      <w:r w:rsidRPr="00076467">
        <w:rPr>
          <w:sz w:val="20"/>
          <w:szCs w:val="20"/>
        </w:rPr>
        <w:t>(</w:t>
      </w:r>
      <w:r>
        <w:rPr>
          <w:rFonts w:hint="eastAsia"/>
          <w:sz w:val="20"/>
          <w:szCs w:val="20"/>
        </w:rPr>
        <w:t>12)</w:t>
      </w:r>
      <w:r w:rsidRPr="00076467">
        <w:rPr>
          <w:sz w:val="20"/>
          <w:szCs w:val="20"/>
        </w:rPr>
        <w:t>:</w:t>
      </w:r>
      <w:r w:rsidR="001A4FDC">
        <w:rPr>
          <w:noProof/>
          <w:color w:val="000000"/>
          <w:sz w:val="20"/>
          <w:szCs w:val="20"/>
        </w:rPr>
        <w:t>146</w:t>
      </w:r>
      <w:r w:rsidRPr="0050224F">
        <w:rPr>
          <w:color w:val="000000"/>
          <w:sz w:val="20"/>
          <w:szCs w:val="20"/>
        </w:rPr>
        <w:t>-</w:t>
      </w:r>
      <w:r w:rsidR="001A4FDC">
        <w:rPr>
          <w:noProof/>
          <w:color w:val="000000"/>
          <w:sz w:val="20"/>
          <w:szCs w:val="20"/>
        </w:rPr>
        <w:t>160</w:t>
      </w:r>
      <w:r w:rsidRPr="00076467">
        <w:rPr>
          <w:sz w:val="20"/>
          <w:szCs w:val="20"/>
        </w:rPr>
        <w:t>]</w:t>
      </w:r>
      <w:r w:rsidRPr="00076467">
        <w:rPr>
          <w:rFonts w:hint="eastAsia"/>
          <w:sz w:val="20"/>
          <w:szCs w:val="20"/>
        </w:rPr>
        <w:t>.</w:t>
      </w:r>
      <w:r w:rsidRPr="00076467">
        <w:rPr>
          <w:sz w:val="20"/>
          <w:szCs w:val="20"/>
        </w:rPr>
        <w:t xml:space="preserve"> (ISSN: 1545-0740).</w:t>
      </w:r>
      <w:r w:rsidRPr="00853AD6">
        <w:rPr>
          <w:color w:val="0000FF"/>
          <w:sz w:val="20"/>
          <w:szCs w:val="20"/>
        </w:rPr>
        <w:t xml:space="preserve"> </w:t>
      </w:r>
      <w:hyperlink r:id="rId9" w:history="1">
        <w:r w:rsidRPr="00853AD6">
          <w:rPr>
            <w:rStyle w:val="Hyperlink"/>
            <w:sz w:val="20"/>
            <w:szCs w:val="20"/>
          </w:rPr>
          <w:t>http://www.sciencepub.net/nature</w:t>
        </w:r>
      </w:hyperlink>
      <w:r w:rsidRPr="00076467">
        <w:rPr>
          <w:sz w:val="20"/>
          <w:szCs w:val="20"/>
        </w:rPr>
        <w:t>.</w:t>
      </w:r>
      <w:r w:rsidRPr="00076467">
        <w:rPr>
          <w:rFonts w:hint="eastAsia"/>
          <w:sz w:val="20"/>
          <w:szCs w:val="20"/>
        </w:rPr>
        <w:t xml:space="preserve"> </w:t>
      </w:r>
      <w:r>
        <w:rPr>
          <w:rFonts w:eastAsiaTheme="minorEastAsia" w:hint="eastAsia"/>
          <w:sz w:val="20"/>
          <w:szCs w:val="20"/>
          <w:lang w:eastAsia="zh-CN"/>
        </w:rPr>
        <w:t>20</w:t>
      </w:r>
      <w:r>
        <w:rPr>
          <w:rFonts w:hint="eastAsia"/>
          <w:sz w:val="20"/>
          <w:szCs w:val="20"/>
        </w:rPr>
        <w:t xml:space="preserve">. </w:t>
      </w:r>
      <w:r>
        <w:rPr>
          <w:color w:val="000000"/>
          <w:sz w:val="20"/>
          <w:szCs w:val="20"/>
          <w:shd w:val="clear" w:color="auto" w:fill="FFFFFF"/>
        </w:rPr>
        <w:t>doi:</w:t>
      </w:r>
      <w:hyperlink r:id="rId10" w:history="1">
        <w:r w:rsidRPr="00144CC6">
          <w:rPr>
            <w:rStyle w:val="Hyperlink"/>
            <w:sz w:val="20"/>
            <w:szCs w:val="20"/>
            <w:shd w:val="clear" w:color="auto" w:fill="FFFFFF"/>
          </w:rPr>
          <w:t>10.7537/mars</w:t>
        </w:r>
        <w:r>
          <w:rPr>
            <w:rStyle w:val="Hyperlink"/>
            <w:rFonts w:hint="eastAsia"/>
            <w:sz w:val="20"/>
            <w:szCs w:val="20"/>
            <w:shd w:val="clear" w:color="auto" w:fill="FFFFFF"/>
          </w:rPr>
          <w:t>nsj</w:t>
        </w:r>
        <w:r w:rsidRPr="00144CC6">
          <w:rPr>
            <w:rStyle w:val="Hyperlink"/>
            <w:sz w:val="20"/>
            <w:szCs w:val="20"/>
            <w:shd w:val="clear" w:color="auto" w:fill="FFFFFF"/>
          </w:rPr>
          <w:t>1</w:t>
        </w:r>
        <w:r>
          <w:rPr>
            <w:rStyle w:val="Hyperlink"/>
            <w:rFonts w:hint="eastAsia"/>
            <w:sz w:val="20"/>
            <w:szCs w:val="20"/>
            <w:shd w:val="clear" w:color="auto" w:fill="FFFFFF"/>
          </w:rPr>
          <w:t>312</w:t>
        </w:r>
        <w:r w:rsidRPr="00144CC6">
          <w:rPr>
            <w:rStyle w:val="Hyperlink"/>
            <w:sz w:val="20"/>
            <w:szCs w:val="20"/>
            <w:shd w:val="clear" w:color="auto" w:fill="FFFFFF"/>
          </w:rPr>
          <w:t>15.</w:t>
        </w:r>
        <w:r>
          <w:rPr>
            <w:rStyle w:val="Hyperlink"/>
            <w:rFonts w:eastAsiaTheme="minorEastAsia" w:hint="eastAsia"/>
            <w:sz w:val="20"/>
            <w:szCs w:val="20"/>
            <w:shd w:val="clear" w:color="auto" w:fill="FFFFFF"/>
            <w:lang w:eastAsia="zh-CN"/>
          </w:rPr>
          <w:t>2</w:t>
        </w:r>
        <w:r w:rsidRPr="00144CC6">
          <w:rPr>
            <w:rStyle w:val="Hyperlink"/>
            <w:sz w:val="20"/>
            <w:szCs w:val="20"/>
            <w:shd w:val="clear" w:color="auto" w:fill="FFFFFF"/>
          </w:rPr>
          <w:t>0</w:t>
        </w:r>
      </w:hyperlink>
      <w:r>
        <w:rPr>
          <w:color w:val="000000"/>
          <w:sz w:val="20"/>
          <w:szCs w:val="20"/>
          <w:shd w:val="clear" w:color="auto" w:fill="FFFFFF"/>
        </w:rPr>
        <w:t>.</w:t>
      </w:r>
    </w:p>
    <w:p w:rsidR="00274DF1" w:rsidRPr="0023574F" w:rsidRDefault="00274DF1" w:rsidP="0023574F">
      <w:pPr>
        <w:autoSpaceDE w:val="0"/>
        <w:autoSpaceDN w:val="0"/>
        <w:adjustRightInd w:val="0"/>
        <w:snapToGrid w:val="0"/>
        <w:ind w:firstLine="425"/>
        <w:jc w:val="both"/>
        <w:rPr>
          <w:b/>
          <w:bCs/>
          <w:sz w:val="20"/>
          <w:szCs w:val="20"/>
          <w:lang w:bidi="ar-EG"/>
        </w:rPr>
      </w:pPr>
    </w:p>
    <w:p w:rsidR="00260CAA" w:rsidRPr="0023574F" w:rsidRDefault="00D30BF8" w:rsidP="0023574F">
      <w:pPr>
        <w:pStyle w:val="BodyText2"/>
        <w:bidi w:val="0"/>
        <w:snapToGrid w:val="0"/>
        <w:spacing w:after="0" w:line="240" w:lineRule="auto"/>
        <w:jc w:val="both"/>
        <w:rPr>
          <w:sz w:val="20"/>
          <w:szCs w:val="20"/>
          <w:lang w:bidi="ar-EG"/>
        </w:rPr>
      </w:pPr>
      <w:r w:rsidRPr="0023574F">
        <w:rPr>
          <w:b/>
          <w:bCs/>
          <w:sz w:val="20"/>
          <w:szCs w:val="20"/>
        </w:rPr>
        <w:t xml:space="preserve">Key words: </w:t>
      </w:r>
      <w:r w:rsidR="008006E6" w:rsidRPr="0023574F">
        <w:rPr>
          <w:sz w:val="20"/>
          <w:szCs w:val="20"/>
          <w:lang w:bidi="ar-EG"/>
        </w:rPr>
        <w:t xml:space="preserve">antifungal, </w:t>
      </w:r>
      <w:proofErr w:type="spellStart"/>
      <w:r w:rsidR="008006E6" w:rsidRPr="0023574F">
        <w:rPr>
          <w:i/>
          <w:iCs/>
          <w:sz w:val="20"/>
          <w:szCs w:val="20"/>
          <w:lang w:bidi="ar-EG"/>
        </w:rPr>
        <w:t>Fusariumoxysporum</w:t>
      </w:r>
      <w:proofErr w:type="spellEnd"/>
      <w:r w:rsidR="008006E6" w:rsidRPr="0023574F">
        <w:rPr>
          <w:i/>
          <w:iCs/>
          <w:sz w:val="20"/>
          <w:szCs w:val="20"/>
          <w:lang w:bidi="ar-EG"/>
        </w:rPr>
        <w:t>,</w:t>
      </w:r>
      <w:r w:rsidR="004048ED">
        <w:rPr>
          <w:i/>
          <w:iCs/>
          <w:sz w:val="20"/>
          <w:szCs w:val="20"/>
          <w:lang w:bidi="ar-EG"/>
        </w:rPr>
        <w:t xml:space="preserve"> </w:t>
      </w:r>
      <w:proofErr w:type="spellStart"/>
      <w:r w:rsidR="008006E6" w:rsidRPr="0023574F">
        <w:rPr>
          <w:sz w:val="20"/>
          <w:szCs w:val="20"/>
          <w:lang w:bidi="ar-EG"/>
        </w:rPr>
        <w:t>thymol</w:t>
      </w:r>
      <w:proofErr w:type="spellEnd"/>
      <w:r w:rsidR="008006E6" w:rsidRPr="0023574F">
        <w:rPr>
          <w:sz w:val="20"/>
          <w:szCs w:val="20"/>
          <w:lang w:bidi="ar-EG"/>
        </w:rPr>
        <w:t xml:space="preserve">, </w:t>
      </w:r>
      <w:proofErr w:type="spellStart"/>
      <w:r w:rsidR="008006E6" w:rsidRPr="0023574F">
        <w:rPr>
          <w:sz w:val="20"/>
          <w:szCs w:val="20"/>
          <w:lang w:bidi="ar-EG"/>
        </w:rPr>
        <w:t>eugenol</w:t>
      </w:r>
      <w:proofErr w:type="spellEnd"/>
      <w:r w:rsidR="008006E6" w:rsidRPr="0023574F">
        <w:rPr>
          <w:sz w:val="20"/>
          <w:szCs w:val="20"/>
          <w:lang w:bidi="ar-EG"/>
        </w:rPr>
        <w:t xml:space="preserve">, methyl </w:t>
      </w:r>
      <w:proofErr w:type="spellStart"/>
      <w:r w:rsidR="008006E6" w:rsidRPr="0023574F">
        <w:rPr>
          <w:sz w:val="20"/>
          <w:szCs w:val="20"/>
          <w:lang w:bidi="ar-EG"/>
        </w:rPr>
        <w:t>cinnamate</w:t>
      </w:r>
      <w:proofErr w:type="spellEnd"/>
      <w:r w:rsidR="008006E6" w:rsidRPr="0023574F">
        <w:rPr>
          <w:sz w:val="20"/>
          <w:szCs w:val="20"/>
          <w:lang w:bidi="ar-EG"/>
        </w:rPr>
        <w:t>, linalool, 1,8-cineol, protein profile, RAPD-PCR.</w:t>
      </w:r>
    </w:p>
    <w:p w:rsidR="0023574F" w:rsidRDefault="0023574F" w:rsidP="0023574F">
      <w:pPr>
        <w:pStyle w:val="BodyTextIndent3"/>
        <w:tabs>
          <w:tab w:val="right" w:pos="0"/>
          <w:tab w:val="left" w:pos="8575"/>
        </w:tabs>
        <w:bidi w:val="0"/>
        <w:snapToGrid w:val="0"/>
        <w:spacing w:after="0"/>
        <w:ind w:left="0"/>
        <w:jc w:val="both"/>
        <w:rPr>
          <w:b/>
          <w:bCs/>
          <w:sz w:val="20"/>
          <w:szCs w:val="20"/>
        </w:rPr>
      </w:pPr>
    </w:p>
    <w:p w:rsidR="0023574F" w:rsidRPr="0023574F" w:rsidRDefault="0023574F" w:rsidP="0023574F">
      <w:pPr>
        <w:pStyle w:val="BodyTextIndent3"/>
        <w:tabs>
          <w:tab w:val="right" w:pos="0"/>
          <w:tab w:val="left" w:pos="8575"/>
        </w:tabs>
        <w:bidi w:val="0"/>
        <w:snapToGrid w:val="0"/>
        <w:spacing w:after="0"/>
        <w:ind w:left="0"/>
        <w:jc w:val="both"/>
        <w:rPr>
          <w:b/>
          <w:bCs/>
          <w:sz w:val="20"/>
          <w:szCs w:val="20"/>
        </w:rPr>
        <w:sectPr w:rsidR="0023574F" w:rsidRPr="0023574F" w:rsidSect="001A4FDC">
          <w:headerReference w:type="default" r:id="rId11"/>
          <w:footerReference w:type="even" r:id="rId12"/>
          <w:footerReference w:type="default" r:id="rId13"/>
          <w:type w:val="continuous"/>
          <w:pgSz w:w="12240" w:h="15840" w:code="1"/>
          <w:pgMar w:top="1440" w:right="1440" w:bottom="1440" w:left="1440" w:header="720" w:footer="720" w:gutter="0"/>
          <w:pgNumType w:start="146"/>
          <w:cols w:space="720"/>
          <w:docGrid w:linePitch="360"/>
        </w:sectPr>
      </w:pPr>
    </w:p>
    <w:p w:rsidR="008B158E" w:rsidRPr="0023574F" w:rsidRDefault="00814F50" w:rsidP="0023574F">
      <w:pPr>
        <w:snapToGrid w:val="0"/>
        <w:jc w:val="both"/>
        <w:rPr>
          <w:b/>
          <w:bCs/>
          <w:sz w:val="20"/>
          <w:szCs w:val="20"/>
          <w:lang w:bidi="ar-EG"/>
        </w:rPr>
      </w:pPr>
      <w:r w:rsidRPr="0023574F">
        <w:rPr>
          <w:b/>
          <w:bCs/>
          <w:sz w:val="20"/>
          <w:szCs w:val="20"/>
          <w:lang w:bidi="ar-EG"/>
        </w:rPr>
        <w:lastRenderedPageBreak/>
        <w:t>1. Introduction:</w:t>
      </w:r>
    </w:p>
    <w:p w:rsidR="00D373B5" w:rsidRPr="0023574F" w:rsidRDefault="00D373B5" w:rsidP="0023574F">
      <w:pPr>
        <w:autoSpaceDE w:val="0"/>
        <w:autoSpaceDN w:val="0"/>
        <w:adjustRightInd w:val="0"/>
        <w:snapToGrid w:val="0"/>
        <w:ind w:firstLine="425"/>
        <w:jc w:val="both"/>
        <w:rPr>
          <w:sz w:val="20"/>
          <w:szCs w:val="20"/>
        </w:rPr>
      </w:pPr>
      <w:r w:rsidRPr="0023574F">
        <w:rPr>
          <w:sz w:val="20"/>
          <w:szCs w:val="20"/>
        </w:rPr>
        <w:t xml:space="preserve">Food safety is an increasingly important public health issue. Nearly, 30% people in the world suffer from food borne diseases every year caused by microbes </w:t>
      </w:r>
      <w:r w:rsidRPr="0023574F">
        <w:rPr>
          <w:b/>
          <w:bCs/>
          <w:sz w:val="20"/>
          <w:szCs w:val="20"/>
        </w:rPr>
        <w:t xml:space="preserve">(Burt, 2004; </w:t>
      </w:r>
      <w:proofErr w:type="spellStart"/>
      <w:r w:rsidRPr="0023574F">
        <w:rPr>
          <w:b/>
          <w:bCs/>
          <w:sz w:val="20"/>
          <w:szCs w:val="20"/>
        </w:rPr>
        <w:t>Shephard</w:t>
      </w:r>
      <w:proofErr w:type="spellEnd"/>
      <w:r w:rsidRPr="0023574F">
        <w:rPr>
          <w:b/>
          <w:bCs/>
          <w:sz w:val="20"/>
          <w:szCs w:val="20"/>
        </w:rPr>
        <w:t>, 2008).</w:t>
      </w:r>
    </w:p>
    <w:p w:rsidR="00D373B5" w:rsidRPr="0023574F" w:rsidRDefault="00D373B5" w:rsidP="0023574F">
      <w:pPr>
        <w:autoSpaceDE w:val="0"/>
        <w:autoSpaceDN w:val="0"/>
        <w:adjustRightInd w:val="0"/>
        <w:snapToGrid w:val="0"/>
        <w:ind w:firstLine="425"/>
        <w:jc w:val="both"/>
        <w:rPr>
          <w:b/>
          <w:bCs/>
          <w:sz w:val="20"/>
          <w:szCs w:val="20"/>
          <w:lang w:bidi="ar-EG"/>
        </w:rPr>
      </w:pPr>
      <w:r w:rsidRPr="0023574F">
        <w:rPr>
          <w:sz w:val="20"/>
          <w:szCs w:val="20"/>
        </w:rPr>
        <w:t xml:space="preserve">Moulds or microscopic </w:t>
      </w:r>
      <w:proofErr w:type="spellStart"/>
      <w:r w:rsidRPr="0023574F">
        <w:rPr>
          <w:sz w:val="20"/>
          <w:szCs w:val="20"/>
        </w:rPr>
        <w:t>ﬁlamentous</w:t>
      </w:r>
      <w:proofErr w:type="spellEnd"/>
      <w:r w:rsidRPr="0023574F">
        <w:rPr>
          <w:sz w:val="20"/>
          <w:szCs w:val="20"/>
        </w:rPr>
        <w:t xml:space="preserve"> fungi are ubiquitous microorganisms with a great capacity to colonize many kinds of substrates and to proliferate under extreme environmental conditions </w:t>
      </w:r>
      <w:r w:rsidRPr="0023574F">
        <w:rPr>
          <w:b/>
          <w:bCs/>
          <w:sz w:val="20"/>
          <w:szCs w:val="20"/>
        </w:rPr>
        <w:t xml:space="preserve">(Singh </w:t>
      </w:r>
      <w:r w:rsidRPr="0023574F">
        <w:rPr>
          <w:b/>
          <w:bCs/>
          <w:i/>
          <w:iCs/>
          <w:sz w:val="20"/>
          <w:szCs w:val="20"/>
        </w:rPr>
        <w:t>et al.,</w:t>
      </w:r>
      <w:r w:rsidRPr="0023574F">
        <w:rPr>
          <w:b/>
          <w:bCs/>
          <w:sz w:val="20"/>
          <w:szCs w:val="20"/>
        </w:rPr>
        <w:t xml:space="preserve"> 1991; </w:t>
      </w:r>
      <w:proofErr w:type="spellStart"/>
      <w:r w:rsidRPr="0023574F">
        <w:rPr>
          <w:b/>
          <w:bCs/>
          <w:sz w:val="20"/>
          <w:szCs w:val="20"/>
        </w:rPr>
        <w:t>Nickelsen</w:t>
      </w:r>
      <w:proofErr w:type="spellEnd"/>
      <w:r w:rsidRPr="0023574F">
        <w:rPr>
          <w:b/>
          <w:bCs/>
          <w:sz w:val="20"/>
          <w:szCs w:val="20"/>
        </w:rPr>
        <w:t xml:space="preserve"> and </w:t>
      </w:r>
      <w:proofErr w:type="spellStart"/>
      <w:r w:rsidRPr="0023574F">
        <w:rPr>
          <w:b/>
          <w:bCs/>
          <w:sz w:val="20"/>
          <w:szCs w:val="20"/>
        </w:rPr>
        <w:t>Jakobsen</w:t>
      </w:r>
      <w:proofErr w:type="spellEnd"/>
      <w:r w:rsidRPr="0023574F">
        <w:rPr>
          <w:b/>
          <w:bCs/>
          <w:sz w:val="20"/>
          <w:szCs w:val="20"/>
        </w:rPr>
        <w:t>, 1997)</w:t>
      </w:r>
      <w:r w:rsidRPr="0023574F">
        <w:rPr>
          <w:sz w:val="20"/>
          <w:szCs w:val="20"/>
        </w:rPr>
        <w:t>. Poor storage management can lead to rapid deterioration in nutritional quality of food commodities with production of volatile metabolites giving off-</w:t>
      </w:r>
      <w:proofErr w:type="spellStart"/>
      <w:r w:rsidRPr="0023574F">
        <w:rPr>
          <w:sz w:val="20"/>
          <w:szCs w:val="20"/>
        </w:rPr>
        <w:t>odours</w:t>
      </w:r>
      <w:proofErr w:type="spellEnd"/>
      <w:r w:rsidRPr="0023574F">
        <w:rPr>
          <w:sz w:val="20"/>
          <w:szCs w:val="20"/>
        </w:rPr>
        <w:t xml:space="preserve">. Moulds also produce </w:t>
      </w:r>
      <w:proofErr w:type="spellStart"/>
      <w:r w:rsidRPr="0023574F">
        <w:rPr>
          <w:sz w:val="20"/>
          <w:szCs w:val="20"/>
        </w:rPr>
        <w:t>mycotoxins</w:t>
      </w:r>
      <w:proofErr w:type="spellEnd"/>
      <w:r w:rsidRPr="0023574F">
        <w:rPr>
          <w:sz w:val="20"/>
          <w:szCs w:val="20"/>
        </w:rPr>
        <w:t xml:space="preserve"> that can be </w:t>
      </w:r>
      <w:proofErr w:type="spellStart"/>
      <w:r w:rsidRPr="0023574F">
        <w:rPr>
          <w:sz w:val="20"/>
          <w:szCs w:val="20"/>
        </w:rPr>
        <w:t>teratogenic</w:t>
      </w:r>
      <w:proofErr w:type="spellEnd"/>
      <w:r w:rsidRPr="0023574F">
        <w:rPr>
          <w:sz w:val="20"/>
          <w:szCs w:val="20"/>
        </w:rPr>
        <w:t xml:space="preserve">, carcinogenic or cause feed refusal and emesis </w:t>
      </w:r>
      <w:r w:rsidRPr="0023574F">
        <w:rPr>
          <w:b/>
          <w:bCs/>
          <w:sz w:val="20"/>
          <w:szCs w:val="20"/>
        </w:rPr>
        <w:t xml:space="preserve">(Yu </w:t>
      </w:r>
      <w:r w:rsidRPr="0023574F">
        <w:rPr>
          <w:b/>
          <w:bCs/>
          <w:i/>
          <w:iCs/>
          <w:sz w:val="20"/>
          <w:szCs w:val="20"/>
        </w:rPr>
        <w:t>et al.,</w:t>
      </w:r>
      <w:r w:rsidRPr="0023574F">
        <w:rPr>
          <w:b/>
          <w:bCs/>
          <w:sz w:val="20"/>
          <w:szCs w:val="20"/>
        </w:rPr>
        <w:t xml:space="preserve"> 2003; </w:t>
      </w:r>
      <w:proofErr w:type="spellStart"/>
      <w:r w:rsidRPr="0023574F">
        <w:rPr>
          <w:b/>
          <w:bCs/>
          <w:sz w:val="20"/>
          <w:szCs w:val="20"/>
        </w:rPr>
        <w:t>Magan</w:t>
      </w:r>
      <w:proofErr w:type="spellEnd"/>
      <w:r w:rsidR="00E97FA7">
        <w:rPr>
          <w:b/>
          <w:bCs/>
          <w:sz w:val="20"/>
          <w:szCs w:val="20"/>
        </w:rPr>
        <w:t xml:space="preserve"> </w:t>
      </w:r>
      <w:r w:rsidRPr="0023574F">
        <w:rPr>
          <w:b/>
          <w:bCs/>
          <w:i/>
          <w:iCs/>
          <w:sz w:val="20"/>
          <w:szCs w:val="20"/>
        </w:rPr>
        <w:t>et al.,</w:t>
      </w:r>
      <w:r w:rsidRPr="0023574F">
        <w:rPr>
          <w:b/>
          <w:bCs/>
          <w:sz w:val="20"/>
          <w:szCs w:val="20"/>
        </w:rPr>
        <w:t xml:space="preserve"> 2004)</w:t>
      </w:r>
      <w:r w:rsidRPr="0023574F">
        <w:rPr>
          <w:sz w:val="20"/>
          <w:szCs w:val="20"/>
        </w:rPr>
        <w:t>.</w:t>
      </w:r>
    </w:p>
    <w:p w:rsidR="00D373B5" w:rsidRPr="0023574F" w:rsidRDefault="00D373B5" w:rsidP="0023574F">
      <w:pPr>
        <w:autoSpaceDE w:val="0"/>
        <w:autoSpaceDN w:val="0"/>
        <w:adjustRightInd w:val="0"/>
        <w:snapToGrid w:val="0"/>
        <w:ind w:firstLine="425"/>
        <w:jc w:val="both"/>
        <w:rPr>
          <w:sz w:val="20"/>
          <w:szCs w:val="20"/>
        </w:rPr>
      </w:pPr>
      <w:proofErr w:type="spellStart"/>
      <w:r w:rsidRPr="0023574F">
        <w:rPr>
          <w:i/>
          <w:iCs/>
          <w:sz w:val="20"/>
          <w:szCs w:val="20"/>
        </w:rPr>
        <w:t>Fusarium</w:t>
      </w:r>
      <w:proofErr w:type="spellEnd"/>
      <w:r w:rsidRPr="0023574F">
        <w:rPr>
          <w:sz w:val="20"/>
          <w:szCs w:val="20"/>
        </w:rPr>
        <w:t xml:space="preserve"> spp. are a widespread cosmopolitan group of fungi and commonly colonize aerial and subterranean plant parts, either as primary or secondary invaders.</w:t>
      </w:r>
      <w:r w:rsidR="004048ED">
        <w:rPr>
          <w:sz w:val="20"/>
          <w:szCs w:val="20"/>
        </w:rPr>
        <w:t xml:space="preserve"> </w:t>
      </w:r>
      <w:r w:rsidRPr="0023574F">
        <w:rPr>
          <w:sz w:val="20"/>
          <w:szCs w:val="20"/>
        </w:rPr>
        <w:t xml:space="preserve">Some species are common in soil and it is rare to find necrotic root of a plant in most agricultural soils that is not colonized by at least one </w:t>
      </w:r>
      <w:proofErr w:type="spellStart"/>
      <w:r w:rsidRPr="0023574F">
        <w:rPr>
          <w:i/>
          <w:iCs/>
          <w:sz w:val="20"/>
          <w:szCs w:val="20"/>
        </w:rPr>
        <w:t>Fusarium</w:t>
      </w:r>
      <w:proofErr w:type="spellEnd"/>
      <w:r w:rsidRPr="0023574F">
        <w:rPr>
          <w:sz w:val="20"/>
          <w:szCs w:val="20"/>
        </w:rPr>
        <w:t xml:space="preserve"> sp. </w:t>
      </w:r>
      <w:r w:rsidRPr="0023574F">
        <w:rPr>
          <w:b/>
          <w:bCs/>
          <w:sz w:val="20"/>
          <w:szCs w:val="20"/>
        </w:rPr>
        <w:t xml:space="preserve">(Nelson </w:t>
      </w:r>
      <w:r w:rsidRPr="0023574F">
        <w:rPr>
          <w:b/>
          <w:bCs/>
          <w:i/>
          <w:iCs/>
          <w:sz w:val="20"/>
          <w:szCs w:val="20"/>
        </w:rPr>
        <w:t>et al.,</w:t>
      </w:r>
      <w:r w:rsidRPr="0023574F">
        <w:rPr>
          <w:b/>
          <w:bCs/>
          <w:sz w:val="20"/>
          <w:szCs w:val="20"/>
        </w:rPr>
        <w:t xml:space="preserve"> 1983)</w:t>
      </w:r>
      <w:r w:rsidRPr="0023574F">
        <w:rPr>
          <w:sz w:val="20"/>
          <w:szCs w:val="20"/>
        </w:rPr>
        <w:t xml:space="preserve">. Of all diseases caused by </w:t>
      </w:r>
      <w:proofErr w:type="spellStart"/>
      <w:r w:rsidRPr="0023574F">
        <w:rPr>
          <w:i/>
          <w:iCs/>
          <w:sz w:val="20"/>
          <w:szCs w:val="20"/>
        </w:rPr>
        <w:t>Fusarium</w:t>
      </w:r>
      <w:proofErr w:type="spellEnd"/>
      <w:r w:rsidRPr="0023574F">
        <w:rPr>
          <w:sz w:val="20"/>
          <w:szCs w:val="20"/>
        </w:rPr>
        <w:t xml:space="preserve">, probably the most important are the vascular wilt diseases caused by </w:t>
      </w:r>
      <w:proofErr w:type="spellStart"/>
      <w:r w:rsidRPr="0023574F">
        <w:rPr>
          <w:sz w:val="20"/>
          <w:szCs w:val="20"/>
        </w:rPr>
        <w:t>formaespeciales</w:t>
      </w:r>
      <w:proofErr w:type="spellEnd"/>
      <w:r w:rsidRPr="0023574F">
        <w:rPr>
          <w:sz w:val="20"/>
          <w:szCs w:val="20"/>
        </w:rPr>
        <w:t xml:space="preserve"> of </w:t>
      </w:r>
      <w:proofErr w:type="spellStart"/>
      <w:r w:rsidRPr="0023574F">
        <w:rPr>
          <w:i/>
          <w:iCs/>
          <w:sz w:val="20"/>
          <w:szCs w:val="20"/>
        </w:rPr>
        <w:t>Fusariumoxysporum</w:t>
      </w:r>
      <w:proofErr w:type="spellEnd"/>
      <w:r w:rsidRPr="0023574F">
        <w:rPr>
          <w:sz w:val="20"/>
          <w:szCs w:val="20"/>
        </w:rPr>
        <w:t xml:space="preserve">. These fungi attack a diverse group of plants including crops, ornamentals and trees </w:t>
      </w:r>
      <w:r w:rsidRPr="0023574F">
        <w:rPr>
          <w:b/>
          <w:bCs/>
          <w:sz w:val="20"/>
          <w:szCs w:val="20"/>
        </w:rPr>
        <w:t xml:space="preserve">(Nelson </w:t>
      </w:r>
      <w:r w:rsidRPr="0023574F">
        <w:rPr>
          <w:b/>
          <w:bCs/>
          <w:i/>
          <w:iCs/>
          <w:sz w:val="20"/>
          <w:szCs w:val="20"/>
        </w:rPr>
        <w:t>et al.,</w:t>
      </w:r>
      <w:r w:rsidRPr="0023574F">
        <w:rPr>
          <w:b/>
          <w:bCs/>
          <w:sz w:val="20"/>
          <w:szCs w:val="20"/>
        </w:rPr>
        <w:t xml:space="preserve"> 1981)</w:t>
      </w:r>
      <w:r w:rsidRPr="0023574F">
        <w:rPr>
          <w:sz w:val="20"/>
          <w:szCs w:val="20"/>
        </w:rPr>
        <w:t>.</w:t>
      </w:r>
    </w:p>
    <w:p w:rsidR="00D373B5" w:rsidRPr="0023574F" w:rsidRDefault="00D373B5" w:rsidP="0023574F">
      <w:pPr>
        <w:autoSpaceDE w:val="0"/>
        <w:autoSpaceDN w:val="0"/>
        <w:adjustRightInd w:val="0"/>
        <w:snapToGrid w:val="0"/>
        <w:ind w:firstLine="425"/>
        <w:jc w:val="both"/>
        <w:rPr>
          <w:b/>
          <w:bCs/>
          <w:sz w:val="20"/>
          <w:szCs w:val="20"/>
        </w:rPr>
      </w:pPr>
      <w:r w:rsidRPr="0023574F">
        <w:rPr>
          <w:sz w:val="20"/>
          <w:szCs w:val="20"/>
        </w:rPr>
        <w:lastRenderedPageBreak/>
        <w:t xml:space="preserve">Restrictions imposed by the food industry and regulatory agencies on the use of some synthetic food additives have led to renewed interest in searching for alternatives, as natural antimicrobial compounds, particularly those from plants </w:t>
      </w:r>
      <w:r w:rsidRPr="0023574F">
        <w:rPr>
          <w:b/>
          <w:bCs/>
          <w:sz w:val="20"/>
          <w:szCs w:val="20"/>
        </w:rPr>
        <w:t>(</w:t>
      </w:r>
      <w:proofErr w:type="spellStart"/>
      <w:r w:rsidRPr="0023574F">
        <w:rPr>
          <w:b/>
          <w:bCs/>
          <w:sz w:val="20"/>
          <w:szCs w:val="20"/>
        </w:rPr>
        <w:t>Delaquis</w:t>
      </w:r>
      <w:proofErr w:type="spellEnd"/>
      <w:r w:rsidRPr="0023574F">
        <w:rPr>
          <w:b/>
          <w:bCs/>
          <w:sz w:val="20"/>
          <w:szCs w:val="20"/>
        </w:rPr>
        <w:t xml:space="preserve"> and </w:t>
      </w:r>
      <w:proofErr w:type="spellStart"/>
      <w:r w:rsidRPr="0023574F">
        <w:rPr>
          <w:b/>
          <w:bCs/>
          <w:sz w:val="20"/>
          <w:szCs w:val="20"/>
        </w:rPr>
        <w:t>Mazza</w:t>
      </w:r>
      <w:proofErr w:type="spellEnd"/>
      <w:r w:rsidRPr="0023574F">
        <w:rPr>
          <w:b/>
          <w:bCs/>
          <w:sz w:val="20"/>
          <w:szCs w:val="20"/>
        </w:rPr>
        <w:t xml:space="preserve">, 1995; Hammer </w:t>
      </w:r>
      <w:r w:rsidRPr="0023574F">
        <w:rPr>
          <w:b/>
          <w:bCs/>
          <w:i/>
          <w:iCs/>
          <w:sz w:val="20"/>
          <w:szCs w:val="20"/>
        </w:rPr>
        <w:t xml:space="preserve">et al., </w:t>
      </w:r>
      <w:r w:rsidRPr="0023574F">
        <w:rPr>
          <w:b/>
          <w:bCs/>
          <w:sz w:val="20"/>
          <w:szCs w:val="20"/>
        </w:rPr>
        <w:t>1999)</w:t>
      </w:r>
      <w:r w:rsidRPr="0023574F">
        <w:rPr>
          <w:sz w:val="20"/>
          <w:szCs w:val="20"/>
        </w:rPr>
        <w:t xml:space="preserve">. Essential oils as well as compounds derived from them possess a wide range of activities of which the antimicrobial activity is </w:t>
      </w:r>
      <w:proofErr w:type="spellStart"/>
      <w:r w:rsidRPr="0023574F">
        <w:rPr>
          <w:sz w:val="20"/>
          <w:szCs w:val="20"/>
        </w:rPr>
        <w:t>moststudied</w:t>
      </w:r>
      <w:proofErr w:type="spellEnd"/>
      <w:r w:rsidRPr="0023574F">
        <w:rPr>
          <w:sz w:val="20"/>
          <w:szCs w:val="20"/>
        </w:rPr>
        <w:t xml:space="preserve"> </w:t>
      </w:r>
      <w:r w:rsidRPr="0023574F">
        <w:rPr>
          <w:b/>
          <w:bCs/>
          <w:sz w:val="20"/>
          <w:szCs w:val="20"/>
        </w:rPr>
        <w:t xml:space="preserve">(Hammer </w:t>
      </w:r>
      <w:r w:rsidRPr="0023574F">
        <w:rPr>
          <w:b/>
          <w:bCs/>
          <w:i/>
          <w:iCs/>
          <w:sz w:val="20"/>
          <w:szCs w:val="20"/>
        </w:rPr>
        <w:t>et al.,</w:t>
      </w:r>
      <w:r w:rsidRPr="0023574F">
        <w:rPr>
          <w:b/>
          <w:bCs/>
          <w:sz w:val="20"/>
          <w:szCs w:val="20"/>
        </w:rPr>
        <w:t xml:space="preserve"> 2003; </w:t>
      </w:r>
      <w:proofErr w:type="spellStart"/>
      <w:r w:rsidRPr="0023574F">
        <w:rPr>
          <w:b/>
          <w:bCs/>
          <w:sz w:val="20"/>
          <w:szCs w:val="20"/>
        </w:rPr>
        <w:t>Nguefack</w:t>
      </w:r>
      <w:proofErr w:type="spellEnd"/>
      <w:r w:rsidR="004048ED">
        <w:rPr>
          <w:b/>
          <w:bCs/>
          <w:sz w:val="20"/>
          <w:szCs w:val="20"/>
        </w:rPr>
        <w:t xml:space="preserve"> </w:t>
      </w:r>
      <w:r w:rsidRPr="0023574F">
        <w:rPr>
          <w:b/>
          <w:bCs/>
          <w:i/>
          <w:iCs/>
          <w:sz w:val="20"/>
          <w:szCs w:val="20"/>
        </w:rPr>
        <w:t>et al.,</w:t>
      </w:r>
      <w:r w:rsidRPr="0023574F">
        <w:rPr>
          <w:b/>
          <w:bCs/>
          <w:sz w:val="20"/>
          <w:szCs w:val="20"/>
        </w:rPr>
        <w:t xml:space="preserve"> 2004a,</w:t>
      </w:r>
      <w:r w:rsidR="004048ED">
        <w:rPr>
          <w:b/>
          <w:bCs/>
          <w:sz w:val="20"/>
          <w:szCs w:val="20"/>
        </w:rPr>
        <w:t xml:space="preserve"> </w:t>
      </w:r>
      <w:r w:rsidRPr="0023574F">
        <w:rPr>
          <w:b/>
          <w:bCs/>
          <w:sz w:val="20"/>
          <w:szCs w:val="20"/>
        </w:rPr>
        <w:t>b, 2007).</w:t>
      </w:r>
      <w:r w:rsidRPr="0023574F">
        <w:rPr>
          <w:sz w:val="20"/>
          <w:szCs w:val="20"/>
        </w:rPr>
        <w:t xml:space="preserve"> Their applications as preservatives in food or antiseptics and disinfectants are widely studied </w:t>
      </w:r>
      <w:r w:rsidRPr="0023574F">
        <w:rPr>
          <w:b/>
          <w:bCs/>
          <w:sz w:val="20"/>
          <w:szCs w:val="20"/>
        </w:rPr>
        <w:t>(Nielsen and Rios, 2000; Pauli, 2001; Burt, 2004).</w:t>
      </w:r>
    </w:p>
    <w:p w:rsidR="00D373B5" w:rsidRPr="0023574F" w:rsidRDefault="00D373B5" w:rsidP="0023574F">
      <w:pPr>
        <w:autoSpaceDE w:val="0"/>
        <w:autoSpaceDN w:val="0"/>
        <w:adjustRightInd w:val="0"/>
        <w:snapToGrid w:val="0"/>
        <w:ind w:firstLine="425"/>
        <w:jc w:val="both"/>
        <w:rPr>
          <w:sz w:val="20"/>
          <w:szCs w:val="20"/>
        </w:rPr>
      </w:pPr>
      <w:r w:rsidRPr="0023574F">
        <w:rPr>
          <w:sz w:val="20"/>
          <w:szCs w:val="20"/>
        </w:rPr>
        <w:t>The wide and indiscriminate use of chemical fungicides has been the cause of the appearance of resistant plant pathogens, leading to the occurrence of serious diseases.</w:t>
      </w:r>
      <w:r w:rsidR="004048ED">
        <w:rPr>
          <w:sz w:val="20"/>
          <w:szCs w:val="20"/>
        </w:rPr>
        <w:t xml:space="preserve"> </w:t>
      </w:r>
      <w:r w:rsidRPr="0023574F">
        <w:rPr>
          <w:sz w:val="20"/>
          <w:szCs w:val="20"/>
        </w:rPr>
        <w:t xml:space="preserve">Due to this, there is an increasing interest to obtain alternative antimicrobial agents for using in plant disease control systems. One of the main procedures used in the research of biologically active substances is a systematic screening for the interaction between microorganisms and plant products. This procedure has been a source of useful agents to control the microbial survival </w:t>
      </w:r>
      <w:r w:rsidRPr="0023574F">
        <w:rPr>
          <w:b/>
          <w:bCs/>
          <w:sz w:val="20"/>
          <w:szCs w:val="20"/>
        </w:rPr>
        <w:t>(</w:t>
      </w:r>
      <w:proofErr w:type="spellStart"/>
      <w:r w:rsidRPr="0023574F">
        <w:rPr>
          <w:b/>
          <w:bCs/>
          <w:sz w:val="20"/>
          <w:szCs w:val="20"/>
        </w:rPr>
        <w:t>Salvat</w:t>
      </w:r>
      <w:proofErr w:type="spellEnd"/>
      <w:r w:rsidR="004048ED">
        <w:rPr>
          <w:b/>
          <w:bCs/>
          <w:sz w:val="20"/>
          <w:szCs w:val="20"/>
        </w:rPr>
        <w:t xml:space="preserve"> </w:t>
      </w:r>
      <w:r w:rsidRPr="0023574F">
        <w:rPr>
          <w:b/>
          <w:bCs/>
          <w:i/>
          <w:iCs/>
          <w:sz w:val="20"/>
          <w:szCs w:val="20"/>
        </w:rPr>
        <w:t>et al</w:t>
      </w:r>
      <w:r w:rsidRPr="0023574F">
        <w:rPr>
          <w:b/>
          <w:bCs/>
          <w:sz w:val="20"/>
          <w:szCs w:val="20"/>
        </w:rPr>
        <w:t>., 2001).</w:t>
      </w:r>
      <w:r w:rsidR="004048ED">
        <w:rPr>
          <w:sz w:val="20"/>
          <w:szCs w:val="20"/>
        </w:rPr>
        <w:t xml:space="preserve"> </w:t>
      </w:r>
      <w:r w:rsidRPr="0023574F">
        <w:rPr>
          <w:sz w:val="20"/>
          <w:szCs w:val="20"/>
        </w:rPr>
        <w:t xml:space="preserve">Plant products of recognized antimicrobial spectrum could appear in food conservation systems as main antimicrobial compounds or as </w:t>
      </w:r>
      <w:proofErr w:type="spellStart"/>
      <w:r w:rsidRPr="0023574F">
        <w:rPr>
          <w:sz w:val="20"/>
          <w:szCs w:val="20"/>
        </w:rPr>
        <w:t>adjuvants</w:t>
      </w:r>
      <w:proofErr w:type="spellEnd"/>
      <w:r w:rsidRPr="0023574F">
        <w:rPr>
          <w:sz w:val="20"/>
          <w:szCs w:val="20"/>
        </w:rPr>
        <w:t xml:space="preserve"> to </w:t>
      </w:r>
      <w:r w:rsidRPr="0023574F">
        <w:rPr>
          <w:sz w:val="20"/>
          <w:szCs w:val="20"/>
        </w:rPr>
        <w:lastRenderedPageBreak/>
        <w:t xml:space="preserve">improve the action of other antimicrobial compounds </w:t>
      </w:r>
      <w:r w:rsidRPr="0023574F">
        <w:rPr>
          <w:b/>
          <w:bCs/>
          <w:sz w:val="20"/>
          <w:szCs w:val="20"/>
        </w:rPr>
        <w:t>(</w:t>
      </w:r>
      <w:proofErr w:type="spellStart"/>
      <w:r w:rsidRPr="0023574F">
        <w:rPr>
          <w:b/>
          <w:bCs/>
          <w:sz w:val="20"/>
          <w:szCs w:val="20"/>
        </w:rPr>
        <w:t>Kaur</w:t>
      </w:r>
      <w:proofErr w:type="spellEnd"/>
      <w:r w:rsidRPr="0023574F">
        <w:rPr>
          <w:b/>
          <w:bCs/>
          <w:sz w:val="20"/>
          <w:szCs w:val="20"/>
        </w:rPr>
        <w:t xml:space="preserve"> and </w:t>
      </w:r>
      <w:proofErr w:type="spellStart"/>
      <w:r w:rsidRPr="0023574F">
        <w:rPr>
          <w:b/>
          <w:bCs/>
          <w:sz w:val="20"/>
          <w:szCs w:val="20"/>
        </w:rPr>
        <w:t>Arora</w:t>
      </w:r>
      <w:proofErr w:type="spellEnd"/>
      <w:r w:rsidRPr="0023574F">
        <w:rPr>
          <w:b/>
          <w:bCs/>
          <w:sz w:val="20"/>
          <w:szCs w:val="20"/>
        </w:rPr>
        <w:t>, 1999).</w:t>
      </w:r>
    </w:p>
    <w:p w:rsidR="00F350DE" w:rsidRPr="0023574F" w:rsidRDefault="00D373B5" w:rsidP="0023574F">
      <w:pPr>
        <w:autoSpaceDE w:val="0"/>
        <w:autoSpaceDN w:val="0"/>
        <w:adjustRightInd w:val="0"/>
        <w:snapToGrid w:val="0"/>
        <w:ind w:firstLine="425"/>
        <w:jc w:val="both"/>
        <w:rPr>
          <w:b/>
          <w:bCs/>
          <w:sz w:val="20"/>
          <w:szCs w:val="20"/>
        </w:rPr>
      </w:pPr>
      <w:r w:rsidRPr="0023574F">
        <w:rPr>
          <w:sz w:val="20"/>
          <w:szCs w:val="20"/>
        </w:rPr>
        <w:t xml:space="preserve">Among other chemical products, aromatic plants possess essential oils resulting from secondary metabolism. These substances have a great economic potential, especially in the food, pharmaceutical and perfumery sectors. Thus, the number of studies on the chemical composition and biological properties of these oils, as well as the taxonomic, environmental and cultivation factors that lead to variation in their quantity and quality, has been increasing </w:t>
      </w:r>
      <w:r w:rsidRPr="0023574F">
        <w:rPr>
          <w:b/>
          <w:bCs/>
          <w:sz w:val="20"/>
          <w:szCs w:val="20"/>
        </w:rPr>
        <w:t>(</w:t>
      </w:r>
      <w:proofErr w:type="spellStart"/>
      <w:r w:rsidRPr="0023574F">
        <w:rPr>
          <w:b/>
          <w:bCs/>
          <w:sz w:val="20"/>
          <w:szCs w:val="20"/>
        </w:rPr>
        <w:t>Simõs</w:t>
      </w:r>
      <w:proofErr w:type="spellEnd"/>
      <w:r w:rsidRPr="0023574F">
        <w:rPr>
          <w:b/>
          <w:bCs/>
          <w:sz w:val="20"/>
          <w:szCs w:val="20"/>
        </w:rPr>
        <w:t xml:space="preserve"> </w:t>
      </w:r>
      <w:r w:rsidRPr="0023574F">
        <w:rPr>
          <w:b/>
          <w:bCs/>
          <w:i/>
          <w:iCs/>
          <w:sz w:val="20"/>
          <w:szCs w:val="20"/>
        </w:rPr>
        <w:t>et al.,</w:t>
      </w:r>
      <w:r w:rsidRPr="0023574F">
        <w:rPr>
          <w:b/>
          <w:bCs/>
          <w:sz w:val="20"/>
          <w:szCs w:val="20"/>
        </w:rPr>
        <w:t xml:space="preserve"> 2003).</w:t>
      </w:r>
      <w:r w:rsidR="004048ED">
        <w:rPr>
          <w:b/>
          <w:bCs/>
          <w:sz w:val="20"/>
          <w:szCs w:val="20"/>
        </w:rPr>
        <w:t xml:space="preserve"> </w:t>
      </w:r>
      <w:r w:rsidR="00F350DE" w:rsidRPr="0023574F">
        <w:rPr>
          <w:sz w:val="20"/>
          <w:szCs w:val="20"/>
          <w:lang w:bidi="ar-EG"/>
        </w:rPr>
        <w:t>The objectives of this work were</w:t>
      </w:r>
      <w:r w:rsidR="00F350DE" w:rsidRPr="0023574F">
        <w:rPr>
          <w:sz w:val="20"/>
          <w:szCs w:val="20"/>
        </w:rPr>
        <w:t xml:space="preserve"> to evaluate the antifungal activity of some naturally occurring compounds</w:t>
      </w:r>
      <w:r w:rsidR="00F350DE" w:rsidRPr="0023574F">
        <w:rPr>
          <w:sz w:val="20"/>
          <w:szCs w:val="20"/>
          <w:lang w:bidi="ar-EG"/>
        </w:rPr>
        <w:t>.</w:t>
      </w:r>
      <w:r w:rsidR="004048ED">
        <w:rPr>
          <w:sz w:val="20"/>
          <w:szCs w:val="20"/>
          <w:lang w:bidi="ar-EG"/>
        </w:rPr>
        <w:t xml:space="preserve"> </w:t>
      </w:r>
      <w:r w:rsidR="00F350DE" w:rsidRPr="0023574F">
        <w:rPr>
          <w:sz w:val="20"/>
          <w:szCs w:val="20"/>
          <w:lang w:bidi="ar-EG"/>
        </w:rPr>
        <w:t xml:space="preserve">Considering these aspects, this thesis will do throw some light upon the following criteria; </w:t>
      </w:r>
      <w:r w:rsidR="00F350DE" w:rsidRPr="0023574F">
        <w:rPr>
          <w:sz w:val="20"/>
          <w:szCs w:val="20"/>
        </w:rPr>
        <w:t xml:space="preserve">(1) </w:t>
      </w:r>
      <w:r w:rsidR="00F350DE" w:rsidRPr="0023574F">
        <w:rPr>
          <w:sz w:val="20"/>
          <w:szCs w:val="20"/>
          <w:lang w:bidi="ar-EG"/>
        </w:rPr>
        <w:t>studying the antimicrobial activity of some naturally occurring compounds on</w:t>
      </w:r>
      <w:r w:rsidR="004048ED">
        <w:rPr>
          <w:sz w:val="20"/>
          <w:szCs w:val="20"/>
          <w:lang w:bidi="ar-EG"/>
        </w:rPr>
        <w:t xml:space="preserve"> </w:t>
      </w:r>
      <w:proofErr w:type="spellStart"/>
      <w:r w:rsidR="00F350DE" w:rsidRPr="0023574F">
        <w:rPr>
          <w:i/>
          <w:iCs/>
          <w:sz w:val="20"/>
          <w:szCs w:val="20"/>
          <w:lang w:bidi="ar-EG"/>
        </w:rPr>
        <w:t>Fusariumoxysporum</w:t>
      </w:r>
      <w:proofErr w:type="spellEnd"/>
      <w:r w:rsidR="00F350DE" w:rsidRPr="0023574F">
        <w:rPr>
          <w:sz w:val="20"/>
          <w:szCs w:val="20"/>
          <w:lang w:bidi="ar-EG"/>
        </w:rPr>
        <w:t xml:space="preserve">, (2) studying the mode of action of effective compounds against the tested fungi through the following points: (2.1.) protein banding </w:t>
      </w:r>
      <w:proofErr w:type="spellStart"/>
      <w:r w:rsidR="00F350DE" w:rsidRPr="0023574F">
        <w:rPr>
          <w:sz w:val="20"/>
          <w:szCs w:val="20"/>
          <w:lang w:bidi="ar-EG"/>
        </w:rPr>
        <w:t>patteren</w:t>
      </w:r>
      <w:proofErr w:type="spellEnd"/>
      <w:r w:rsidR="00F350DE" w:rsidRPr="0023574F">
        <w:rPr>
          <w:sz w:val="20"/>
          <w:szCs w:val="20"/>
          <w:lang w:bidi="ar-EG"/>
        </w:rPr>
        <w:t xml:space="preserve"> through using protein electrophoresis techniques and (2.2.) </w:t>
      </w:r>
      <w:r w:rsidR="00F350DE" w:rsidRPr="0023574F">
        <w:rPr>
          <w:color w:val="000000"/>
          <w:sz w:val="20"/>
          <w:szCs w:val="20"/>
        </w:rPr>
        <w:t xml:space="preserve">characterization of fungal isolates by using polymerase chain reaction based molecular method (RAPD-PCR Randomly </w:t>
      </w:r>
      <w:proofErr w:type="spellStart"/>
      <w:r w:rsidR="00F350DE" w:rsidRPr="0023574F">
        <w:rPr>
          <w:color w:val="000000"/>
          <w:sz w:val="20"/>
          <w:szCs w:val="20"/>
        </w:rPr>
        <w:t>Ampliﬁed</w:t>
      </w:r>
      <w:proofErr w:type="spellEnd"/>
      <w:r w:rsidR="00F350DE" w:rsidRPr="0023574F">
        <w:rPr>
          <w:color w:val="000000"/>
          <w:sz w:val="20"/>
          <w:szCs w:val="20"/>
        </w:rPr>
        <w:t xml:space="preserve"> Polymorphic-Polymerase Chain Reaction).</w:t>
      </w:r>
    </w:p>
    <w:p w:rsidR="00F350DE" w:rsidRPr="0023574F" w:rsidRDefault="00F350DE" w:rsidP="0023574F">
      <w:pPr>
        <w:autoSpaceDE w:val="0"/>
        <w:autoSpaceDN w:val="0"/>
        <w:adjustRightInd w:val="0"/>
        <w:snapToGrid w:val="0"/>
        <w:jc w:val="both"/>
        <w:rPr>
          <w:b/>
          <w:bCs/>
          <w:sz w:val="20"/>
          <w:szCs w:val="20"/>
        </w:rPr>
      </w:pPr>
    </w:p>
    <w:p w:rsidR="008B158E" w:rsidRPr="0023574F" w:rsidRDefault="00814F50" w:rsidP="0023574F">
      <w:pPr>
        <w:autoSpaceDE w:val="0"/>
        <w:autoSpaceDN w:val="0"/>
        <w:adjustRightInd w:val="0"/>
        <w:snapToGrid w:val="0"/>
        <w:jc w:val="both"/>
        <w:rPr>
          <w:b/>
          <w:bCs/>
          <w:sz w:val="20"/>
          <w:szCs w:val="20"/>
        </w:rPr>
      </w:pPr>
      <w:r w:rsidRPr="0023574F">
        <w:rPr>
          <w:b/>
          <w:bCs/>
          <w:sz w:val="20"/>
          <w:szCs w:val="20"/>
        </w:rPr>
        <w:t>Material and Methods:</w:t>
      </w:r>
    </w:p>
    <w:p w:rsidR="0075654D" w:rsidRPr="0023574F" w:rsidRDefault="00537CF0" w:rsidP="0023574F">
      <w:pPr>
        <w:snapToGrid w:val="0"/>
        <w:contextualSpacing/>
        <w:jc w:val="both"/>
        <w:rPr>
          <w:b/>
          <w:bCs/>
          <w:sz w:val="20"/>
          <w:szCs w:val="20"/>
          <w:lang w:bidi="ar-EG"/>
        </w:rPr>
      </w:pPr>
      <w:r w:rsidRPr="0023574F">
        <w:rPr>
          <w:b/>
          <w:bCs/>
          <w:sz w:val="20"/>
          <w:szCs w:val="20"/>
          <w:lang w:bidi="ar-EG"/>
        </w:rPr>
        <w:t xml:space="preserve">I. </w:t>
      </w:r>
      <w:r w:rsidR="0075654D" w:rsidRPr="0023574F">
        <w:rPr>
          <w:b/>
          <w:bCs/>
          <w:sz w:val="20"/>
          <w:szCs w:val="20"/>
          <w:lang w:bidi="ar-EG"/>
        </w:rPr>
        <w:t>Materials:</w:t>
      </w:r>
    </w:p>
    <w:p w:rsidR="008B35E3" w:rsidRPr="0023574F" w:rsidRDefault="008B35E3" w:rsidP="0023574F">
      <w:pPr>
        <w:snapToGrid w:val="0"/>
        <w:jc w:val="both"/>
        <w:rPr>
          <w:b/>
          <w:bCs/>
          <w:sz w:val="20"/>
          <w:szCs w:val="20"/>
          <w:lang w:bidi="ar-EG"/>
        </w:rPr>
      </w:pPr>
      <w:r w:rsidRPr="0023574F">
        <w:rPr>
          <w:b/>
          <w:bCs/>
          <w:sz w:val="20"/>
          <w:szCs w:val="20"/>
          <w:lang w:bidi="ar-EG"/>
        </w:rPr>
        <w:t>I.1. Fungal isolates:</w:t>
      </w:r>
    </w:p>
    <w:p w:rsidR="008B35E3" w:rsidRPr="0023574F" w:rsidRDefault="008B35E3" w:rsidP="0023574F">
      <w:pPr>
        <w:snapToGrid w:val="0"/>
        <w:ind w:firstLine="425"/>
        <w:jc w:val="both"/>
        <w:rPr>
          <w:sz w:val="20"/>
          <w:szCs w:val="20"/>
          <w:lang w:bidi="ar-EG"/>
        </w:rPr>
      </w:pPr>
      <w:r w:rsidRPr="0023574F">
        <w:rPr>
          <w:sz w:val="20"/>
          <w:szCs w:val="20"/>
          <w:lang w:bidi="ar-EG"/>
        </w:rPr>
        <w:t>The fungi used in this thesis were kindly supplied by Plant Pathology Institute, Agricultural Research Center.</w:t>
      </w:r>
      <w:r w:rsidR="004048ED">
        <w:rPr>
          <w:sz w:val="20"/>
          <w:szCs w:val="20"/>
          <w:lang w:bidi="ar-EG"/>
        </w:rPr>
        <w:t xml:space="preserve"> </w:t>
      </w:r>
      <w:r w:rsidRPr="0023574F">
        <w:rPr>
          <w:sz w:val="20"/>
          <w:szCs w:val="20"/>
          <w:lang w:bidi="ar-EG"/>
        </w:rPr>
        <w:t xml:space="preserve">They were as follows; </w:t>
      </w:r>
      <w:proofErr w:type="spellStart"/>
      <w:r w:rsidRPr="0023574F">
        <w:rPr>
          <w:i/>
          <w:iCs/>
          <w:sz w:val="20"/>
          <w:szCs w:val="20"/>
          <w:lang w:bidi="ar-EG"/>
        </w:rPr>
        <w:t>Fusariumoxysporum</w:t>
      </w:r>
      <w:proofErr w:type="spellEnd"/>
      <w:r w:rsidRPr="0023574F">
        <w:rPr>
          <w:i/>
          <w:iCs/>
          <w:sz w:val="20"/>
          <w:szCs w:val="20"/>
          <w:lang w:bidi="ar-EG"/>
        </w:rPr>
        <w:t xml:space="preserve">, </w:t>
      </w:r>
      <w:proofErr w:type="spellStart"/>
      <w:r w:rsidRPr="0023574F">
        <w:rPr>
          <w:i/>
          <w:iCs/>
          <w:sz w:val="20"/>
          <w:szCs w:val="20"/>
          <w:lang w:bidi="ar-EG"/>
        </w:rPr>
        <w:t>Rhizoctoniasolani</w:t>
      </w:r>
      <w:proofErr w:type="spellEnd"/>
      <w:r w:rsidRPr="0023574F">
        <w:rPr>
          <w:i/>
          <w:iCs/>
          <w:sz w:val="20"/>
          <w:szCs w:val="20"/>
          <w:lang w:bidi="ar-EG"/>
        </w:rPr>
        <w:t xml:space="preserve">, Botrytis </w:t>
      </w:r>
      <w:proofErr w:type="spellStart"/>
      <w:r w:rsidRPr="0023574F">
        <w:rPr>
          <w:i/>
          <w:iCs/>
          <w:sz w:val="20"/>
          <w:szCs w:val="20"/>
          <w:lang w:bidi="ar-EG"/>
        </w:rPr>
        <w:t>cinerea</w:t>
      </w:r>
      <w:proofErr w:type="spellEnd"/>
      <w:r w:rsidRPr="0023574F">
        <w:rPr>
          <w:i/>
          <w:iCs/>
          <w:sz w:val="20"/>
          <w:szCs w:val="20"/>
          <w:lang w:bidi="ar-EG"/>
        </w:rPr>
        <w:t xml:space="preserve">, </w:t>
      </w:r>
      <w:proofErr w:type="spellStart"/>
      <w:r w:rsidRPr="0023574F">
        <w:rPr>
          <w:i/>
          <w:iCs/>
          <w:sz w:val="20"/>
          <w:szCs w:val="20"/>
          <w:lang w:bidi="ar-EG"/>
        </w:rPr>
        <w:t>Alternariasolani</w:t>
      </w:r>
      <w:r w:rsidRPr="0023574F">
        <w:rPr>
          <w:sz w:val="20"/>
          <w:szCs w:val="20"/>
          <w:lang w:bidi="ar-EG"/>
        </w:rPr>
        <w:t>and</w:t>
      </w:r>
      <w:proofErr w:type="spellEnd"/>
      <w:r w:rsidRPr="0023574F">
        <w:rPr>
          <w:sz w:val="20"/>
          <w:szCs w:val="20"/>
          <w:lang w:bidi="ar-EG"/>
        </w:rPr>
        <w:t xml:space="preserve"> </w:t>
      </w:r>
      <w:proofErr w:type="spellStart"/>
      <w:r w:rsidRPr="0023574F">
        <w:rPr>
          <w:i/>
          <w:iCs/>
          <w:sz w:val="20"/>
          <w:szCs w:val="20"/>
          <w:lang w:bidi="ar-EG"/>
        </w:rPr>
        <w:t>Sclortiumrolfsii</w:t>
      </w:r>
      <w:proofErr w:type="spellEnd"/>
      <w:r w:rsidRPr="0023574F">
        <w:rPr>
          <w:sz w:val="20"/>
          <w:szCs w:val="20"/>
          <w:lang w:bidi="ar-EG"/>
        </w:rPr>
        <w:t>.</w:t>
      </w:r>
    </w:p>
    <w:p w:rsidR="008B35E3" w:rsidRPr="0023574F" w:rsidRDefault="008B35E3" w:rsidP="0023574F">
      <w:pPr>
        <w:snapToGrid w:val="0"/>
        <w:jc w:val="both"/>
        <w:rPr>
          <w:b/>
          <w:bCs/>
          <w:sz w:val="20"/>
          <w:szCs w:val="20"/>
          <w:lang w:bidi="ar-EG"/>
        </w:rPr>
      </w:pPr>
      <w:r w:rsidRPr="0023574F">
        <w:rPr>
          <w:b/>
          <w:bCs/>
          <w:sz w:val="20"/>
          <w:szCs w:val="20"/>
          <w:lang w:bidi="ar-EG"/>
        </w:rPr>
        <w:t>I.2. Chemicals:</w:t>
      </w:r>
    </w:p>
    <w:p w:rsidR="008B35E3" w:rsidRPr="0023574F" w:rsidRDefault="008B35E3" w:rsidP="0023574F">
      <w:pPr>
        <w:snapToGrid w:val="0"/>
        <w:jc w:val="both"/>
        <w:rPr>
          <w:b/>
          <w:bCs/>
          <w:sz w:val="20"/>
          <w:szCs w:val="20"/>
          <w:lang w:bidi="ar-EG"/>
        </w:rPr>
      </w:pPr>
      <w:r w:rsidRPr="0023574F">
        <w:rPr>
          <w:b/>
          <w:bCs/>
          <w:sz w:val="20"/>
          <w:szCs w:val="20"/>
          <w:lang w:bidi="ar-EG"/>
        </w:rPr>
        <w:t>I.2.1. Solvents:</w:t>
      </w:r>
    </w:p>
    <w:p w:rsidR="008B35E3" w:rsidRPr="0023574F" w:rsidRDefault="008B35E3" w:rsidP="0023574F">
      <w:pPr>
        <w:snapToGrid w:val="0"/>
        <w:ind w:firstLine="425"/>
        <w:jc w:val="both"/>
        <w:rPr>
          <w:sz w:val="20"/>
          <w:szCs w:val="20"/>
          <w:lang w:bidi="ar-EG"/>
        </w:rPr>
      </w:pPr>
      <w:proofErr w:type="spellStart"/>
      <w:r w:rsidRPr="0023574F">
        <w:rPr>
          <w:sz w:val="20"/>
          <w:szCs w:val="20"/>
          <w:lang w:bidi="ar-EG"/>
        </w:rPr>
        <w:t>Xylene</w:t>
      </w:r>
      <w:proofErr w:type="spellEnd"/>
      <w:r w:rsidRPr="0023574F">
        <w:rPr>
          <w:sz w:val="20"/>
          <w:szCs w:val="20"/>
          <w:lang w:bidi="ar-EG"/>
        </w:rPr>
        <w:t xml:space="preserve"> was purchased from El Nasr Pharmaceutical Chemicals Company (ADWIC), Egypt.</w:t>
      </w:r>
      <w:r w:rsidR="004048ED">
        <w:rPr>
          <w:sz w:val="20"/>
          <w:szCs w:val="20"/>
          <w:lang w:bidi="ar-EG"/>
        </w:rPr>
        <w:t xml:space="preserve"> </w:t>
      </w:r>
      <w:proofErr w:type="spellStart"/>
      <w:r w:rsidRPr="0023574F">
        <w:rPr>
          <w:sz w:val="20"/>
          <w:szCs w:val="20"/>
          <w:lang w:bidi="ar-EG"/>
        </w:rPr>
        <w:t>Dimethyl</w:t>
      </w:r>
      <w:proofErr w:type="spellEnd"/>
      <w:r w:rsidRPr="0023574F">
        <w:rPr>
          <w:sz w:val="20"/>
          <w:szCs w:val="20"/>
          <w:lang w:bidi="ar-EG"/>
        </w:rPr>
        <w:t xml:space="preserve"> </w:t>
      </w:r>
      <w:proofErr w:type="spellStart"/>
      <w:r w:rsidRPr="0023574F">
        <w:rPr>
          <w:sz w:val="20"/>
          <w:szCs w:val="20"/>
          <w:lang w:bidi="ar-EG"/>
        </w:rPr>
        <w:t>sulfoxide</w:t>
      </w:r>
      <w:proofErr w:type="spellEnd"/>
      <w:r w:rsidRPr="0023574F">
        <w:rPr>
          <w:sz w:val="20"/>
          <w:szCs w:val="20"/>
          <w:lang w:bidi="ar-EG"/>
        </w:rPr>
        <w:t xml:space="preserve"> (DMSO) and </w:t>
      </w:r>
      <w:proofErr w:type="spellStart"/>
      <w:r w:rsidRPr="0023574F">
        <w:rPr>
          <w:sz w:val="20"/>
          <w:szCs w:val="20"/>
          <w:lang w:bidi="ar-EG"/>
        </w:rPr>
        <w:t>Dimethyl</w:t>
      </w:r>
      <w:proofErr w:type="spellEnd"/>
      <w:r w:rsidRPr="0023574F">
        <w:rPr>
          <w:sz w:val="20"/>
          <w:szCs w:val="20"/>
          <w:lang w:bidi="ar-EG"/>
        </w:rPr>
        <w:t xml:space="preserve"> </w:t>
      </w:r>
      <w:proofErr w:type="spellStart"/>
      <w:r w:rsidRPr="0023574F">
        <w:rPr>
          <w:sz w:val="20"/>
          <w:szCs w:val="20"/>
          <w:lang w:bidi="ar-EG"/>
        </w:rPr>
        <w:t>formamide</w:t>
      </w:r>
      <w:proofErr w:type="spellEnd"/>
      <w:r w:rsidRPr="0023574F">
        <w:rPr>
          <w:sz w:val="20"/>
          <w:szCs w:val="20"/>
          <w:lang w:bidi="ar-EG"/>
        </w:rPr>
        <w:t xml:space="preserve"> (DMF) were purchased from Merck Company, Germany.</w:t>
      </w:r>
    </w:p>
    <w:p w:rsidR="008B35E3" w:rsidRPr="0023574F" w:rsidRDefault="008B35E3" w:rsidP="0023574F">
      <w:pPr>
        <w:snapToGrid w:val="0"/>
        <w:jc w:val="both"/>
        <w:rPr>
          <w:b/>
          <w:bCs/>
          <w:sz w:val="20"/>
          <w:szCs w:val="20"/>
          <w:lang w:bidi="ar-EG"/>
        </w:rPr>
      </w:pPr>
      <w:r w:rsidRPr="0023574F">
        <w:rPr>
          <w:b/>
          <w:bCs/>
          <w:sz w:val="20"/>
          <w:szCs w:val="20"/>
          <w:lang w:bidi="ar-EG"/>
        </w:rPr>
        <w:t>I.2.2. Pure Tested Compounds:</w:t>
      </w:r>
    </w:p>
    <w:p w:rsidR="008B35E3" w:rsidRDefault="008B35E3" w:rsidP="0023574F">
      <w:pPr>
        <w:snapToGrid w:val="0"/>
        <w:ind w:firstLine="425"/>
        <w:jc w:val="both"/>
        <w:rPr>
          <w:rFonts w:eastAsiaTheme="minorEastAsia"/>
          <w:sz w:val="20"/>
          <w:szCs w:val="20"/>
          <w:lang w:eastAsia="zh-CN" w:bidi="ar-EG"/>
        </w:rPr>
      </w:pPr>
      <w:proofErr w:type="spellStart"/>
      <w:r w:rsidRPr="0023574F">
        <w:rPr>
          <w:sz w:val="20"/>
          <w:szCs w:val="20"/>
          <w:lang w:bidi="ar-EG"/>
        </w:rPr>
        <w:t>Thymol</w:t>
      </w:r>
      <w:proofErr w:type="spellEnd"/>
      <w:r w:rsidRPr="0023574F">
        <w:rPr>
          <w:sz w:val="20"/>
          <w:szCs w:val="20"/>
          <w:lang w:bidi="ar-EG"/>
        </w:rPr>
        <w:t>,</w:t>
      </w:r>
      <w:r w:rsidR="004048ED">
        <w:rPr>
          <w:sz w:val="20"/>
          <w:szCs w:val="20"/>
          <w:lang w:bidi="ar-EG"/>
        </w:rPr>
        <w:t xml:space="preserve"> </w:t>
      </w:r>
      <w:r w:rsidRPr="0023574F">
        <w:rPr>
          <w:sz w:val="20"/>
          <w:szCs w:val="20"/>
          <w:lang w:bidi="ar-EG"/>
        </w:rPr>
        <w:t xml:space="preserve">methyl </w:t>
      </w:r>
      <w:proofErr w:type="spellStart"/>
      <w:r w:rsidRPr="0023574F">
        <w:rPr>
          <w:sz w:val="20"/>
          <w:szCs w:val="20"/>
          <w:lang w:bidi="ar-EG"/>
        </w:rPr>
        <w:t>cinnamate</w:t>
      </w:r>
      <w:proofErr w:type="spellEnd"/>
      <w:r w:rsidRPr="0023574F">
        <w:rPr>
          <w:sz w:val="20"/>
          <w:szCs w:val="20"/>
          <w:lang w:bidi="ar-EG"/>
        </w:rPr>
        <w:t xml:space="preserve">, </w:t>
      </w:r>
      <w:proofErr w:type="spellStart"/>
      <w:r w:rsidRPr="0023574F">
        <w:rPr>
          <w:sz w:val="20"/>
          <w:szCs w:val="20"/>
          <w:lang w:bidi="ar-EG"/>
        </w:rPr>
        <w:t>eugenol</w:t>
      </w:r>
      <w:proofErr w:type="spellEnd"/>
      <w:r w:rsidRPr="0023574F">
        <w:rPr>
          <w:sz w:val="20"/>
          <w:szCs w:val="20"/>
          <w:lang w:bidi="ar-EG"/>
        </w:rPr>
        <w:t>, linalool and 1,8- cineole were purchased from Merck</w:t>
      </w:r>
      <w:r w:rsidR="004048ED">
        <w:rPr>
          <w:sz w:val="20"/>
          <w:szCs w:val="20"/>
          <w:lang w:bidi="ar-EG"/>
        </w:rPr>
        <w:t xml:space="preserve"> </w:t>
      </w:r>
      <w:r w:rsidRPr="0023574F">
        <w:rPr>
          <w:sz w:val="20"/>
          <w:szCs w:val="20"/>
          <w:lang w:bidi="ar-EG"/>
        </w:rPr>
        <w:t>Company, Germany.</w:t>
      </w:r>
    </w:p>
    <w:p w:rsidR="0023574F" w:rsidRPr="0023574F" w:rsidRDefault="0023574F" w:rsidP="0023574F">
      <w:pPr>
        <w:snapToGrid w:val="0"/>
        <w:ind w:firstLine="425"/>
        <w:jc w:val="both"/>
        <w:rPr>
          <w:rFonts w:eastAsiaTheme="minorEastAsia"/>
          <w:sz w:val="20"/>
          <w:szCs w:val="20"/>
          <w:lang w:eastAsia="zh-CN" w:bidi="ar-EG"/>
        </w:rPr>
      </w:pPr>
    </w:p>
    <w:tbl>
      <w:tblPr>
        <w:tblStyle w:val="TableGrid"/>
        <w:tblW w:w="0" w:type="auto"/>
        <w:jc w:val="center"/>
        <w:tblLook w:val="04A0"/>
      </w:tblPr>
      <w:tblGrid>
        <w:gridCol w:w="1520"/>
        <w:gridCol w:w="1724"/>
        <w:gridCol w:w="1316"/>
      </w:tblGrid>
      <w:tr w:rsidR="00814F50" w:rsidRPr="0023574F" w:rsidTr="004048ED">
        <w:trPr>
          <w:trHeight w:val="1990"/>
          <w:jc w:val="center"/>
        </w:trPr>
        <w:tc>
          <w:tcPr>
            <w:tcW w:w="1520" w:type="dxa"/>
          </w:tcPr>
          <w:p w:rsidR="00814F50" w:rsidRPr="0023574F" w:rsidRDefault="000C4D29" w:rsidP="0023574F">
            <w:pPr>
              <w:snapToGrid w:val="0"/>
              <w:jc w:val="center"/>
              <w:rPr>
                <w:color w:val="000000"/>
                <w:sz w:val="20"/>
                <w:szCs w:val="20"/>
                <w:lang w:bidi="ar-EG"/>
              </w:rPr>
            </w:pPr>
            <w:r w:rsidRPr="000C4D29">
              <w:rPr>
                <w:noProof/>
                <w:color w:val="000000"/>
                <w:sz w:val="20"/>
                <w:szCs w:val="20"/>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6.9pt;margin-top:4.3pt;width:52.2pt;height:69.8pt;z-index:-251630592">
                  <v:imagedata r:id="rId14" o:title="" gain="79922f"/>
                </v:shape>
                <o:OLEObject Type="Embed" ProgID="ISISServer" ShapeID="_x0000_s1036" DrawAspect="Content" ObjectID="_1512931355" r:id="rId15"/>
              </w:pict>
            </w: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4048ED" w:rsidRDefault="004048ED" w:rsidP="0023574F">
            <w:pPr>
              <w:snapToGrid w:val="0"/>
              <w:jc w:val="center"/>
              <w:rPr>
                <w:rFonts w:eastAsia="AdvTimes"/>
                <w:color w:val="000000"/>
                <w:sz w:val="20"/>
                <w:szCs w:val="20"/>
              </w:rPr>
            </w:pPr>
          </w:p>
          <w:p w:rsidR="00814F50" w:rsidRPr="0023574F" w:rsidRDefault="00814F50" w:rsidP="0023574F">
            <w:pPr>
              <w:snapToGrid w:val="0"/>
              <w:jc w:val="center"/>
              <w:rPr>
                <w:rFonts w:eastAsia="AdvTimes"/>
                <w:color w:val="000000"/>
                <w:sz w:val="20"/>
                <w:szCs w:val="20"/>
              </w:rPr>
            </w:pPr>
            <w:proofErr w:type="spellStart"/>
            <w:r w:rsidRPr="0023574F">
              <w:rPr>
                <w:rFonts w:eastAsia="AdvTimes"/>
                <w:color w:val="000000"/>
                <w:sz w:val="20"/>
                <w:szCs w:val="20"/>
              </w:rPr>
              <w:t>Eugenol</w:t>
            </w:r>
            <w:proofErr w:type="spellEnd"/>
          </w:p>
        </w:tc>
        <w:tc>
          <w:tcPr>
            <w:tcW w:w="1724" w:type="dxa"/>
          </w:tcPr>
          <w:p w:rsidR="00814F50" w:rsidRPr="0023574F" w:rsidRDefault="004048ED" w:rsidP="0023574F">
            <w:pPr>
              <w:snapToGrid w:val="0"/>
              <w:jc w:val="center"/>
              <w:rPr>
                <w:color w:val="000000"/>
                <w:sz w:val="20"/>
                <w:szCs w:val="20"/>
                <w:lang w:bidi="ar-EG"/>
              </w:rPr>
            </w:pPr>
            <w:r w:rsidRPr="000C4D29">
              <w:rPr>
                <w:noProof/>
                <w:sz w:val="20"/>
                <w:szCs w:val="20"/>
              </w:rPr>
              <w:pict>
                <v:shape id="_x0000_s1032" type="#_x0000_t75" style="position:absolute;left:0;text-align:left;margin-left:7.4pt;margin-top:0;width:54.7pt;height:76.9pt;z-index:-251652096;mso-position-horizontal-relative:text;mso-position-vertical-relative:text">
                  <v:imagedata r:id="rId16" o:title=""/>
                </v:shape>
                <o:OLEObject Type="Embed" ProgID="ISISServer" ShapeID="_x0000_s1032" DrawAspect="Content" ObjectID="_1512931354" r:id="rId17"/>
              </w:pict>
            </w: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4048ED" w:rsidRDefault="004048ED" w:rsidP="004048ED">
            <w:pPr>
              <w:snapToGrid w:val="0"/>
              <w:jc w:val="center"/>
              <w:rPr>
                <w:rFonts w:eastAsia="AdvTimes"/>
                <w:color w:val="000000"/>
                <w:sz w:val="20"/>
                <w:szCs w:val="20"/>
              </w:rPr>
            </w:pPr>
          </w:p>
          <w:p w:rsidR="00814F50" w:rsidRPr="0023574F" w:rsidRDefault="00814F50" w:rsidP="004048ED">
            <w:pPr>
              <w:snapToGrid w:val="0"/>
              <w:jc w:val="center"/>
              <w:rPr>
                <w:color w:val="000000"/>
                <w:sz w:val="20"/>
                <w:szCs w:val="20"/>
                <w:lang w:bidi="ar-EG"/>
              </w:rPr>
            </w:pPr>
            <w:r w:rsidRPr="0023574F">
              <w:rPr>
                <w:rFonts w:eastAsia="AdvTimes"/>
                <w:color w:val="000000"/>
                <w:sz w:val="20"/>
                <w:szCs w:val="20"/>
              </w:rPr>
              <w:t xml:space="preserve">Methyl </w:t>
            </w:r>
            <w:proofErr w:type="spellStart"/>
            <w:r w:rsidRPr="0023574F">
              <w:rPr>
                <w:rFonts w:eastAsia="AdvTimes"/>
                <w:color w:val="000000"/>
                <w:sz w:val="20"/>
                <w:szCs w:val="20"/>
              </w:rPr>
              <w:t>Cinnamate</w:t>
            </w:r>
            <w:proofErr w:type="spellEnd"/>
          </w:p>
        </w:tc>
        <w:tc>
          <w:tcPr>
            <w:tcW w:w="1316" w:type="dxa"/>
          </w:tcPr>
          <w:p w:rsidR="00814F50" w:rsidRPr="0023574F" w:rsidRDefault="000C4D29" w:rsidP="0023574F">
            <w:pPr>
              <w:snapToGrid w:val="0"/>
              <w:jc w:val="center"/>
              <w:rPr>
                <w:color w:val="000000"/>
                <w:sz w:val="20"/>
                <w:szCs w:val="20"/>
                <w:lang w:bidi="ar-EG"/>
              </w:rPr>
            </w:pPr>
            <w:r>
              <w:rPr>
                <w:noProof/>
                <w:color w:val="000000"/>
                <w:sz w:val="20"/>
                <w:szCs w:val="20"/>
              </w:rPr>
              <w:pict>
                <v:shape id="_x0000_s1031" type="#_x0000_t75" style="position:absolute;left:0;text-align:left;margin-left:1.5pt;margin-top:-.45pt;width:51.7pt;height:74.55pt;z-index:-251653120;mso-position-horizontal-relative:text;mso-position-vertical-relative:text">
                  <v:imagedata r:id="rId18" o:title="" gain="79922f"/>
                </v:shape>
                <o:OLEObject Type="Embed" ProgID="ISISServer" ShapeID="_x0000_s1031" DrawAspect="Content" ObjectID="_1512931356" r:id="rId19"/>
              </w:pict>
            </w: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814F50" w:rsidRPr="0023574F" w:rsidRDefault="00814F50" w:rsidP="0023574F">
            <w:pPr>
              <w:snapToGrid w:val="0"/>
              <w:jc w:val="center"/>
              <w:rPr>
                <w:color w:val="000000"/>
                <w:sz w:val="20"/>
                <w:szCs w:val="20"/>
                <w:lang w:bidi="ar-EG"/>
              </w:rPr>
            </w:pPr>
          </w:p>
          <w:p w:rsidR="004048ED" w:rsidRDefault="004048ED" w:rsidP="0023574F">
            <w:pPr>
              <w:snapToGrid w:val="0"/>
              <w:jc w:val="center"/>
              <w:rPr>
                <w:rFonts w:eastAsia="AdvTimes"/>
                <w:color w:val="000000"/>
                <w:sz w:val="20"/>
                <w:szCs w:val="20"/>
              </w:rPr>
            </w:pPr>
          </w:p>
          <w:p w:rsidR="00814F50" w:rsidRPr="0023574F" w:rsidRDefault="00814F50" w:rsidP="0023574F">
            <w:pPr>
              <w:snapToGrid w:val="0"/>
              <w:jc w:val="center"/>
              <w:rPr>
                <w:color w:val="000000"/>
                <w:sz w:val="20"/>
                <w:szCs w:val="20"/>
                <w:lang w:bidi="ar-EG"/>
              </w:rPr>
            </w:pPr>
            <w:proofErr w:type="spellStart"/>
            <w:r w:rsidRPr="0023574F">
              <w:rPr>
                <w:rFonts w:eastAsia="AdvTimes"/>
                <w:color w:val="000000"/>
                <w:sz w:val="20"/>
                <w:szCs w:val="20"/>
              </w:rPr>
              <w:t>Thymol</w:t>
            </w:r>
            <w:proofErr w:type="spellEnd"/>
          </w:p>
        </w:tc>
      </w:tr>
    </w:tbl>
    <w:p w:rsidR="00814F50" w:rsidRDefault="00814F50" w:rsidP="0023574F">
      <w:pPr>
        <w:snapToGrid w:val="0"/>
        <w:ind w:firstLine="425"/>
        <w:jc w:val="both"/>
        <w:rPr>
          <w:sz w:val="20"/>
          <w:szCs w:val="20"/>
          <w:lang w:bidi="ar-EG"/>
        </w:rPr>
      </w:pPr>
    </w:p>
    <w:p w:rsidR="00274DF1" w:rsidRPr="0023574F" w:rsidRDefault="00274DF1" w:rsidP="0023574F">
      <w:pPr>
        <w:snapToGrid w:val="0"/>
        <w:jc w:val="both"/>
        <w:rPr>
          <w:b/>
          <w:bCs/>
          <w:sz w:val="20"/>
          <w:szCs w:val="20"/>
          <w:lang w:val="fr-FR"/>
        </w:rPr>
      </w:pPr>
      <w:r w:rsidRPr="0023574F">
        <w:rPr>
          <w:b/>
          <w:bCs/>
          <w:sz w:val="20"/>
          <w:szCs w:val="20"/>
          <w:lang w:bidi="ar-EG"/>
        </w:rPr>
        <w:lastRenderedPageBreak/>
        <w:t xml:space="preserve">1.2.4. </w:t>
      </w:r>
      <w:r w:rsidRPr="0023574F">
        <w:rPr>
          <w:b/>
          <w:bCs/>
          <w:sz w:val="20"/>
          <w:szCs w:val="20"/>
          <w:lang w:val="fr-FR"/>
        </w:rPr>
        <w:t xml:space="preserve">Protein SDS-PAGE </w:t>
      </w:r>
      <w:r w:rsidRPr="0023574F">
        <w:rPr>
          <w:b/>
          <w:bCs/>
          <w:sz w:val="20"/>
          <w:szCs w:val="20"/>
          <w:lang w:bidi="ar-EG"/>
        </w:rPr>
        <w:t>chemicals</w:t>
      </w:r>
      <w:r w:rsidRPr="0023574F">
        <w:rPr>
          <w:b/>
          <w:bCs/>
          <w:sz w:val="20"/>
          <w:szCs w:val="20"/>
          <w:lang w:val="fr-FR"/>
        </w:rPr>
        <w:t>:</w:t>
      </w:r>
    </w:p>
    <w:p w:rsidR="00274DF1" w:rsidRPr="0023574F" w:rsidRDefault="00274DF1" w:rsidP="00E97FA7">
      <w:pPr>
        <w:snapToGrid w:val="0"/>
        <w:ind w:firstLine="425"/>
        <w:jc w:val="both"/>
        <w:rPr>
          <w:rFonts w:eastAsia="AdvTimes"/>
          <w:sz w:val="20"/>
          <w:szCs w:val="20"/>
        </w:rPr>
      </w:pPr>
      <w:r w:rsidRPr="0023574F">
        <w:rPr>
          <w:sz w:val="20"/>
          <w:szCs w:val="20"/>
          <w:lang w:val="fr-FR"/>
        </w:rPr>
        <w:t>Acryl</w:t>
      </w:r>
      <w:r w:rsidRPr="0023574F">
        <w:rPr>
          <w:b/>
          <w:bCs/>
          <w:sz w:val="20"/>
          <w:szCs w:val="20"/>
          <w:lang w:val="fr-FR"/>
        </w:rPr>
        <w:t>a</w:t>
      </w:r>
      <w:r w:rsidRPr="0023574F">
        <w:rPr>
          <w:sz w:val="20"/>
          <w:szCs w:val="20"/>
          <w:lang w:val="fr-FR"/>
        </w:rPr>
        <w:t>mide, N, N, Methyl-bis acrylamide,</w:t>
      </w:r>
      <w:r w:rsidR="004048ED">
        <w:rPr>
          <w:sz w:val="20"/>
          <w:szCs w:val="20"/>
          <w:lang w:val="fr-FR"/>
        </w:rPr>
        <w:t xml:space="preserve"> </w:t>
      </w:r>
      <w:r w:rsidRPr="0023574F">
        <w:rPr>
          <w:sz w:val="20"/>
          <w:szCs w:val="20"/>
        </w:rPr>
        <w:t xml:space="preserve">2- </w:t>
      </w:r>
      <w:proofErr w:type="spellStart"/>
      <w:r w:rsidRPr="0023574F">
        <w:rPr>
          <w:sz w:val="20"/>
          <w:szCs w:val="20"/>
        </w:rPr>
        <w:t>Mercaptoethanol</w:t>
      </w:r>
      <w:proofErr w:type="spellEnd"/>
      <w:r w:rsidRPr="0023574F">
        <w:rPr>
          <w:sz w:val="20"/>
          <w:szCs w:val="20"/>
        </w:rPr>
        <w:t xml:space="preserve">, </w:t>
      </w:r>
      <w:proofErr w:type="spellStart"/>
      <w:r w:rsidRPr="0023574F">
        <w:rPr>
          <w:sz w:val="20"/>
          <w:szCs w:val="20"/>
        </w:rPr>
        <w:t>Tris</w:t>
      </w:r>
      <w:proofErr w:type="spellEnd"/>
      <w:r w:rsidRPr="0023574F">
        <w:rPr>
          <w:sz w:val="20"/>
          <w:szCs w:val="20"/>
        </w:rPr>
        <w:t xml:space="preserve"> (</w:t>
      </w:r>
      <w:proofErr w:type="spellStart"/>
      <w:r w:rsidRPr="0023574F">
        <w:rPr>
          <w:sz w:val="20"/>
          <w:szCs w:val="20"/>
        </w:rPr>
        <w:t>hydroxymethyl</w:t>
      </w:r>
      <w:proofErr w:type="spellEnd"/>
      <w:r w:rsidRPr="0023574F">
        <w:rPr>
          <w:sz w:val="20"/>
          <w:szCs w:val="20"/>
        </w:rPr>
        <w:t xml:space="preserve">) amino </w:t>
      </w:r>
      <w:proofErr w:type="spellStart"/>
      <w:r w:rsidRPr="0023574F">
        <w:rPr>
          <w:sz w:val="20"/>
          <w:szCs w:val="20"/>
        </w:rPr>
        <w:t>methelene</w:t>
      </w:r>
      <w:proofErr w:type="spellEnd"/>
      <w:r w:rsidRPr="0023574F">
        <w:rPr>
          <w:sz w:val="20"/>
          <w:szCs w:val="20"/>
        </w:rPr>
        <w:t>, N,N,N,N-</w:t>
      </w:r>
      <w:proofErr w:type="spellStart"/>
      <w:r w:rsidRPr="0023574F">
        <w:rPr>
          <w:sz w:val="20"/>
          <w:szCs w:val="20"/>
        </w:rPr>
        <w:t>tetramethylethylenediamine</w:t>
      </w:r>
      <w:proofErr w:type="spellEnd"/>
      <w:r w:rsidR="004048ED">
        <w:rPr>
          <w:sz w:val="20"/>
          <w:szCs w:val="20"/>
        </w:rPr>
        <w:t xml:space="preserve"> </w:t>
      </w:r>
      <w:r w:rsidRPr="0023574F">
        <w:rPr>
          <w:sz w:val="20"/>
          <w:szCs w:val="20"/>
        </w:rPr>
        <w:t xml:space="preserve">(TEMED), </w:t>
      </w:r>
      <w:proofErr w:type="spellStart"/>
      <w:r w:rsidRPr="0023574F">
        <w:rPr>
          <w:sz w:val="20"/>
          <w:szCs w:val="20"/>
        </w:rPr>
        <w:t>glycine</w:t>
      </w:r>
      <w:proofErr w:type="spellEnd"/>
      <w:r w:rsidRPr="0023574F">
        <w:rPr>
          <w:sz w:val="20"/>
          <w:szCs w:val="20"/>
        </w:rPr>
        <w:t xml:space="preserve">, Ammonium </w:t>
      </w:r>
      <w:proofErr w:type="spellStart"/>
      <w:r w:rsidRPr="0023574F">
        <w:rPr>
          <w:sz w:val="20"/>
          <w:szCs w:val="20"/>
        </w:rPr>
        <w:t>persulphate</w:t>
      </w:r>
      <w:proofErr w:type="spellEnd"/>
      <w:r w:rsidRPr="0023574F">
        <w:rPr>
          <w:sz w:val="20"/>
          <w:szCs w:val="20"/>
        </w:rPr>
        <w:t xml:space="preserve"> (APS) (NH</w:t>
      </w:r>
      <w:r w:rsidRPr="0023574F">
        <w:rPr>
          <w:sz w:val="20"/>
          <w:szCs w:val="20"/>
          <w:vertAlign w:val="subscript"/>
        </w:rPr>
        <w:t>4</w:t>
      </w:r>
      <w:r w:rsidRPr="0023574F">
        <w:rPr>
          <w:sz w:val="20"/>
          <w:szCs w:val="20"/>
        </w:rPr>
        <w:t>)</w:t>
      </w:r>
      <w:r w:rsidRPr="0023574F">
        <w:rPr>
          <w:sz w:val="20"/>
          <w:szCs w:val="20"/>
          <w:vertAlign w:val="subscript"/>
        </w:rPr>
        <w:t>2</w:t>
      </w:r>
      <w:r w:rsidRPr="0023574F">
        <w:rPr>
          <w:sz w:val="20"/>
          <w:szCs w:val="20"/>
        </w:rPr>
        <w:t>S</w:t>
      </w:r>
      <w:r w:rsidRPr="0023574F">
        <w:rPr>
          <w:sz w:val="20"/>
          <w:szCs w:val="20"/>
          <w:vertAlign w:val="subscript"/>
        </w:rPr>
        <w:t>2</w:t>
      </w:r>
      <w:r w:rsidRPr="0023574F">
        <w:rPr>
          <w:sz w:val="20"/>
          <w:szCs w:val="20"/>
        </w:rPr>
        <w:t>O</w:t>
      </w:r>
      <w:r w:rsidRPr="0023574F">
        <w:rPr>
          <w:sz w:val="20"/>
          <w:szCs w:val="20"/>
          <w:vertAlign w:val="subscript"/>
        </w:rPr>
        <w:t xml:space="preserve">8, </w:t>
      </w:r>
      <w:r w:rsidRPr="0023574F">
        <w:rPr>
          <w:sz w:val="20"/>
          <w:szCs w:val="20"/>
        </w:rPr>
        <w:t xml:space="preserve">SDS (sodium </w:t>
      </w:r>
      <w:proofErr w:type="spellStart"/>
      <w:r w:rsidRPr="0023574F">
        <w:rPr>
          <w:sz w:val="20"/>
          <w:szCs w:val="20"/>
        </w:rPr>
        <w:t>dodecyl</w:t>
      </w:r>
      <w:proofErr w:type="spellEnd"/>
      <w:r w:rsidRPr="0023574F">
        <w:rPr>
          <w:sz w:val="20"/>
          <w:szCs w:val="20"/>
        </w:rPr>
        <w:t xml:space="preserve"> </w:t>
      </w:r>
      <w:proofErr w:type="spellStart"/>
      <w:r w:rsidRPr="0023574F">
        <w:rPr>
          <w:sz w:val="20"/>
          <w:szCs w:val="20"/>
        </w:rPr>
        <w:t>sulphate</w:t>
      </w:r>
      <w:proofErr w:type="spellEnd"/>
      <w:r w:rsidRPr="0023574F">
        <w:rPr>
          <w:sz w:val="20"/>
          <w:szCs w:val="20"/>
        </w:rPr>
        <w:t xml:space="preserve">), </w:t>
      </w:r>
      <w:proofErr w:type="spellStart"/>
      <w:r w:rsidRPr="0023574F">
        <w:rPr>
          <w:sz w:val="20"/>
          <w:szCs w:val="20"/>
        </w:rPr>
        <w:t>Coomassie</w:t>
      </w:r>
      <w:proofErr w:type="spellEnd"/>
      <w:r w:rsidRPr="0023574F">
        <w:rPr>
          <w:sz w:val="20"/>
          <w:szCs w:val="20"/>
        </w:rPr>
        <w:t xml:space="preserve"> brilliant blue R-250, </w:t>
      </w:r>
      <w:proofErr w:type="spellStart"/>
      <w:r w:rsidRPr="0023574F">
        <w:rPr>
          <w:sz w:val="20"/>
          <w:szCs w:val="20"/>
        </w:rPr>
        <w:t>Bromophenol</w:t>
      </w:r>
      <w:proofErr w:type="spellEnd"/>
      <w:r w:rsidRPr="0023574F">
        <w:rPr>
          <w:sz w:val="20"/>
          <w:szCs w:val="20"/>
        </w:rPr>
        <w:t xml:space="preserve"> blue,</w:t>
      </w:r>
      <w:r w:rsidR="004048ED">
        <w:rPr>
          <w:sz w:val="20"/>
          <w:szCs w:val="20"/>
        </w:rPr>
        <w:t xml:space="preserve"> </w:t>
      </w:r>
      <w:r w:rsidRPr="0023574F">
        <w:rPr>
          <w:sz w:val="20"/>
          <w:szCs w:val="20"/>
        </w:rPr>
        <w:t xml:space="preserve">methanol, glycerol, conc. </w:t>
      </w:r>
      <w:proofErr w:type="spellStart"/>
      <w:r w:rsidRPr="0023574F">
        <w:rPr>
          <w:sz w:val="20"/>
          <w:szCs w:val="20"/>
        </w:rPr>
        <w:t>HCl</w:t>
      </w:r>
      <w:proofErr w:type="spellEnd"/>
      <w:r w:rsidRPr="0023574F">
        <w:rPr>
          <w:sz w:val="20"/>
          <w:szCs w:val="20"/>
        </w:rPr>
        <w:t xml:space="preserve"> and glacial acetic acid.</w:t>
      </w:r>
    </w:p>
    <w:tbl>
      <w:tblPr>
        <w:tblStyle w:val="TableGrid"/>
        <w:tblW w:w="0" w:type="auto"/>
        <w:jc w:val="center"/>
        <w:tblLook w:val="04A0"/>
      </w:tblPr>
      <w:tblGrid>
        <w:gridCol w:w="2268"/>
        <w:gridCol w:w="2268"/>
      </w:tblGrid>
      <w:tr w:rsidR="00814F50" w:rsidRPr="0023574F" w:rsidTr="0023574F">
        <w:trPr>
          <w:jc w:val="center"/>
        </w:trPr>
        <w:tc>
          <w:tcPr>
            <w:tcW w:w="2268" w:type="dxa"/>
          </w:tcPr>
          <w:p w:rsidR="00814F50" w:rsidRPr="0023574F" w:rsidRDefault="000C4D29" w:rsidP="0023574F">
            <w:pPr>
              <w:autoSpaceDE w:val="0"/>
              <w:autoSpaceDN w:val="0"/>
              <w:adjustRightInd w:val="0"/>
              <w:snapToGrid w:val="0"/>
              <w:jc w:val="center"/>
              <w:rPr>
                <w:rFonts w:eastAsia="AdvTimes"/>
                <w:color w:val="000000"/>
                <w:sz w:val="20"/>
                <w:szCs w:val="20"/>
              </w:rPr>
            </w:pPr>
            <w:r w:rsidRPr="000C4D29">
              <w:rPr>
                <w:noProof/>
                <w:color w:val="000000"/>
                <w:sz w:val="20"/>
                <w:szCs w:val="20"/>
              </w:rPr>
              <w:pict>
                <v:shape id="_x0000_s1030" type="#_x0000_t75" style="position:absolute;left:0;text-align:left;margin-left:32.1pt;margin-top:3.4pt;width:34.95pt;height:75.05pt;z-index:-251654144">
                  <v:imagedata r:id="rId20" o:title="" gain="74473f"/>
                </v:shape>
                <o:OLEObject Type="Embed" ProgID="ISISServer" ShapeID="_x0000_s1030" DrawAspect="Content" ObjectID="_1512931357" r:id="rId21"/>
              </w:pict>
            </w: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r w:rsidRPr="0023574F">
              <w:rPr>
                <w:rFonts w:eastAsia="AdvTimes"/>
                <w:color w:val="000000"/>
                <w:sz w:val="20"/>
                <w:szCs w:val="20"/>
              </w:rPr>
              <w:t>Linalool</w:t>
            </w:r>
          </w:p>
        </w:tc>
        <w:tc>
          <w:tcPr>
            <w:tcW w:w="2268" w:type="dxa"/>
          </w:tcPr>
          <w:p w:rsidR="00814F50" w:rsidRPr="0023574F" w:rsidRDefault="000C4D29" w:rsidP="0023574F">
            <w:pPr>
              <w:autoSpaceDE w:val="0"/>
              <w:autoSpaceDN w:val="0"/>
              <w:adjustRightInd w:val="0"/>
              <w:snapToGrid w:val="0"/>
              <w:jc w:val="center"/>
              <w:rPr>
                <w:rFonts w:eastAsia="AdvTimes"/>
                <w:color w:val="000000"/>
                <w:sz w:val="20"/>
                <w:szCs w:val="20"/>
              </w:rPr>
            </w:pPr>
            <w:r>
              <w:rPr>
                <w:rFonts w:eastAsia="AdvTimes"/>
                <w:noProof/>
                <w:color w:val="000000"/>
                <w:sz w:val="20"/>
                <w:szCs w:val="20"/>
              </w:rPr>
              <w:pict>
                <v:shape id="_x0000_s1029" type="#_x0000_t75" style="position:absolute;left:0;text-align:left;margin-left:20.5pt;margin-top:3.4pt;width:48.45pt;height:74.25pt;z-index:-251655168;mso-position-horizontal-relative:text;mso-position-vertical-relative:text">
                  <v:imagedata r:id="rId22" o:title="" gain="86232f"/>
                </v:shape>
                <o:OLEObject Type="Embed" ProgID="ISISServer" ShapeID="_x0000_s1029" DrawAspect="Content" ObjectID="_1512931358" r:id="rId23"/>
              </w:pict>
            </w: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p>
          <w:p w:rsidR="00814F50" w:rsidRPr="0023574F" w:rsidRDefault="00814F50" w:rsidP="0023574F">
            <w:pPr>
              <w:autoSpaceDE w:val="0"/>
              <w:autoSpaceDN w:val="0"/>
              <w:adjustRightInd w:val="0"/>
              <w:snapToGrid w:val="0"/>
              <w:jc w:val="center"/>
              <w:rPr>
                <w:rFonts w:eastAsia="AdvTimes"/>
                <w:color w:val="000000"/>
                <w:sz w:val="20"/>
                <w:szCs w:val="20"/>
              </w:rPr>
            </w:pPr>
            <w:r w:rsidRPr="0023574F">
              <w:rPr>
                <w:rFonts w:eastAsia="AdvTimes"/>
                <w:color w:val="000000"/>
                <w:sz w:val="20"/>
                <w:szCs w:val="20"/>
              </w:rPr>
              <w:t>1,8-Cineol</w:t>
            </w:r>
          </w:p>
        </w:tc>
      </w:tr>
    </w:tbl>
    <w:p w:rsidR="008B35E3" w:rsidRPr="0023574F" w:rsidRDefault="008B35E3" w:rsidP="0023574F">
      <w:pPr>
        <w:autoSpaceDE w:val="0"/>
        <w:autoSpaceDN w:val="0"/>
        <w:adjustRightInd w:val="0"/>
        <w:snapToGrid w:val="0"/>
        <w:ind w:firstLine="425"/>
        <w:jc w:val="both"/>
        <w:rPr>
          <w:rFonts w:eastAsia="AdvTimes"/>
          <w:sz w:val="20"/>
          <w:szCs w:val="20"/>
        </w:rPr>
      </w:pPr>
    </w:p>
    <w:p w:rsidR="008B35E3" w:rsidRPr="0023574F" w:rsidRDefault="008B35E3" w:rsidP="0023574F">
      <w:pPr>
        <w:snapToGrid w:val="0"/>
        <w:jc w:val="both"/>
        <w:rPr>
          <w:b/>
          <w:bCs/>
          <w:sz w:val="20"/>
          <w:szCs w:val="20"/>
          <w:lang w:val="fr-FR"/>
        </w:rPr>
      </w:pPr>
      <w:r w:rsidRPr="0023574F">
        <w:rPr>
          <w:b/>
          <w:bCs/>
          <w:sz w:val="20"/>
          <w:szCs w:val="20"/>
          <w:lang w:bidi="ar-EG"/>
        </w:rPr>
        <w:t xml:space="preserve">1.2.5. </w:t>
      </w:r>
      <w:r w:rsidRPr="0023574F">
        <w:rPr>
          <w:b/>
          <w:bCs/>
          <w:sz w:val="20"/>
          <w:szCs w:val="20"/>
          <w:lang w:val="fr-FR"/>
        </w:rPr>
        <w:t xml:space="preserve">DNA </w:t>
      </w:r>
      <w:r w:rsidRPr="0023574F">
        <w:rPr>
          <w:b/>
          <w:bCs/>
          <w:sz w:val="20"/>
          <w:szCs w:val="20"/>
          <w:lang w:bidi="ar-EG"/>
        </w:rPr>
        <w:t>chemicals</w:t>
      </w:r>
      <w:r w:rsidRPr="0023574F">
        <w:rPr>
          <w:b/>
          <w:bCs/>
          <w:sz w:val="20"/>
          <w:szCs w:val="20"/>
          <w:lang w:val="fr-FR"/>
        </w:rPr>
        <w:t>:</w:t>
      </w:r>
    </w:p>
    <w:p w:rsidR="008B35E3" w:rsidRPr="0023574F" w:rsidRDefault="008B35E3" w:rsidP="0023574F">
      <w:pPr>
        <w:autoSpaceDE w:val="0"/>
        <w:autoSpaceDN w:val="0"/>
        <w:adjustRightInd w:val="0"/>
        <w:snapToGrid w:val="0"/>
        <w:ind w:firstLine="425"/>
        <w:jc w:val="both"/>
        <w:rPr>
          <w:sz w:val="20"/>
          <w:szCs w:val="20"/>
          <w:lang w:bidi="ar-EG"/>
        </w:rPr>
      </w:pPr>
      <w:proofErr w:type="spellStart"/>
      <w:r w:rsidRPr="0023574F">
        <w:rPr>
          <w:sz w:val="20"/>
          <w:szCs w:val="20"/>
        </w:rPr>
        <w:t>Tris</w:t>
      </w:r>
      <w:proofErr w:type="spellEnd"/>
      <w:r w:rsidRPr="0023574F">
        <w:rPr>
          <w:sz w:val="20"/>
          <w:szCs w:val="20"/>
        </w:rPr>
        <w:t xml:space="preserve"> (</w:t>
      </w:r>
      <w:proofErr w:type="spellStart"/>
      <w:r w:rsidRPr="0023574F">
        <w:rPr>
          <w:sz w:val="20"/>
          <w:szCs w:val="20"/>
        </w:rPr>
        <w:t>hydroxymethyl</w:t>
      </w:r>
      <w:proofErr w:type="spellEnd"/>
      <w:r w:rsidRPr="0023574F">
        <w:rPr>
          <w:sz w:val="20"/>
          <w:szCs w:val="20"/>
        </w:rPr>
        <w:t xml:space="preserve">) amino </w:t>
      </w:r>
      <w:proofErr w:type="spellStart"/>
      <w:r w:rsidRPr="0023574F">
        <w:rPr>
          <w:sz w:val="20"/>
          <w:szCs w:val="20"/>
        </w:rPr>
        <w:t>methelene</w:t>
      </w:r>
      <w:proofErr w:type="spellEnd"/>
      <w:r w:rsidRPr="0023574F">
        <w:rPr>
          <w:sz w:val="20"/>
          <w:szCs w:val="20"/>
          <w:lang w:val="fr-FR"/>
        </w:rPr>
        <w:t xml:space="preserve">, sodium salt of ethylenediaminetetraaceticacid (Na-EDTA), </w:t>
      </w:r>
      <w:r w:rsidRPr="0023574F">
        <w:rPr>
          <w:sz w:val="20"/>
          <w:szCs w:val="20"/>
        </w:rPr>
        <w:t xml:space="preserve">sodium </w:t>
      </w:r>
      <w:proofErr w:type="spellStart"/>
      <w:r w:rsidRPr="0023574F">
        <w:rPr>
          <w:sz w:val="20"/>
          <w:szCs w:val="20"/>
        </w:rPr>
        <w:t>dodecyl</w:t>
      </w:r>
      <w:proofErr w:type="spellEnd"/>
      <w:r w:rsidRPr="0023574F">
        <w:rPr>
          <w:sz w:val="20"/>
          <w:szCs w:val="20"/>
        </w:rPr>
        <w:t xml:space="preserve"> </w:t>
      </w:r>
      <w:proofErr w:type="spellStart"/>
      <w:r w:rsidRPr="0023574F">
        <w:rPr>
          <w:sz w:val="20"/>
          <w:szCs w:val="20"/>
        </w:rPr>
        <w:t>sulphate</w:t>
      </w:r>
      <w:proofErr w:type="spellEnd"/>
      <w:r w:rsidRPr="0023574F">
        <w:rPr>
          <w:sz w:val="20"/>
          <w:szCs w:val="20"/>
        </w:rPr>
        <w:t xml:space="preserve"> (SDS), 2-</w:t>
      </w:r>
      <w:r w:rsidRPr="0023574F">
        <w:rPr>
          <w:sz w:val="20"/>
          <w:szCs w:val="20"/>
          <w:lang w:val="fr-FR"/>
        </w:rPr>
        <w:t xml:space="preserve">Mercaptoethanol, phenol, chloroform, RNase, proteinase K, sodium acetate, isopropanol, </w:t>
      </w:r>
      <w:r w:rsidRPr="0023574F">
        <w:rPr>
          <w:i/>
          <w:iCs/>
          <w:sz w:val="20"/>
          <w:szCs w:val="20"/>
          <w:lang w:val="fr-FR" w:bidi="ar-EG"/>
        </w:rPr>
        <w:t>Taq</w:t>
      </w:r>
      <w:r w:rsidRPr="0023574F">
        <w:rPr>
          <w:sz w:val="20"/>
          <w:szCs w:val="20"/>
          <w:lang w:val="fr-FR" w:bidi="ar-EG"/>
        </w:rPr>
        <w:t>DNA polymerase,</w:t>
      </w:r>
      <w:r w:rsidR="004048ED">
        <w:rPr>
          <w:sz w:val="20"/>
          <w:szCs w:val="20"/>
          <w:lang w:val="fr-FR" w:bidi="ar-EG"/>
        </w:rPr>
        <w:t xml:space="preserve"> </w:t>
      </w:r>
      <w:proofErr w:type="spellStart"/>
      <w:r w:rsidRPr="0023574F">
        <w:rPr>
          <w:sz w:val="20"/>
          <w:szCs w:val="20"/>
          <w:lang w:bidi="ar-EG"/>
        </w:rPr>
        <w:t>agrose</w:t>
      </w:r>
      <w:proofErr w:type="spellEnd"/>
      <w:r w:rsidRPr="0023574F">
        <w:rPr>
          <w:sz w:val="20"/>
          <w:szCs w:val="20"/>
          <w:lang w:bidi="ar-EG"/>
        </w:rPr>
        <w:t xml:space="preserve">, </w:t>
      </w:r>
      <w:proofErr w:type="spellStart"/>
      <w:r w:rsidRPr="0023574F">
        <w:rPr>
          <w:sz w:val="20"/>
          <w:szCs w:val="20"/>
          <w:lang w:bidi="ar-EG"/>
        </w:rPr>
        <w:t>Tris</w:t>
      </w:r>
      <w:proofErr w:type="spellEnd"/>
      <w:r w:rsidRPr="0023574F">
        <w:rPr>
          <w:sz w:val="20"/>
          <w:szCs w:val="20"/>
          <w:lang w:bidi="ar-EG"/>
        </w:rPr>
        <w:t>-base (</w:t>
      </w:r>
      <w:r w:rsidRPr="0023574F">
        <w:rPr>
          <w:sz w:val="20"/>
          <w:szCs w:val="20"/>
        </w:rPr>
        <w:t>2-Amino-2-hydroxymethyl-propane-1,3-diol)</w:t>
      </w:r>
      <w:r w:rsidRPr="0023574F">
        <w:rPr>
          <w:sz w:val="20"/>
          <w:szCs w:val="20"/>
          <w:lang w:bidi="ar-EG"/>
        </w:rPr>
        <w:t xml:space="preserve">, boric acid and </w:t>
      </w:r>
      <w:proofErr w:type="spellStart"/>
      <w:r w:rsidRPr="0023574F">
        <w:rPr>
          <w:sz w:val="20"/>
          <w:szCs w:val="20"/>
          <w:lang w:bidi="ar-EG"/>
        </w:rPr>
        <w:t>ethidium</w:t>
      </w:r>
      <w:proofErr w:type="spellEnd"/>
      <w:r w:rsidRPr="0023574F">
        <w:rPr>
          <w:sz w:val="20"/>
          <w:szCs w:val="20"/>
          <w:lang w:bidi="ar-EG"/>
        </w:rPr>
        <w:t xml:space="preserve"> bromide.</w:t>
      </w:r>
    </w:p>
    <w:p w:rsidR="008B35E3" w:rsidRPr="0023574F" w:rsidRDefault="008B35E3" w:rsidP="0023574F">
      <w:pPr>
        <w:pStyle w:val="BodyText3"/>
        <w:snapToGrid w:val="0"/>
        <w:jc w:val="both"/>
        <w:rPr>
          <w:b/>
          <w:bCs/>
          <w:lang w:bidi="ar-EG"/>
        </w:rPr>
      </w:pPr>
      <w:r w:rsidRPr="0023574F">
        <w:rPr>
          <w:b/>
          <w:bCs/>
          <w:lang w:bidi="ar-EG"/>
        </w:rPr>
        <w:t>II. Methods:</w:t>
      </w:r>
    </w:p>
    <w:p w:rsidR="008B35E3" w:rsidRPr="0023574F" w:rsidRDefault="008B35E3" w:rsidP="0023574F">
      <w:pPr>
        <w:pStyle w:val="BodyText3"/>
        <w:snapToGrid w:val="0"/>
        <w:jc w:val="both"/>
        <w:rPr>
          <w:b/>
          <w:bCs/>
          <w:lang w:bidi="ar-EG"/>
        </w:rPr>
      </w:pPr>
      <w:r w:rsidRPr="0023574F">
        <w:rPr>
          <w:b/>
          <w:bCs/>
          <w:lang w:bidi="ar-EG"/>
        </w:rPr>
        <w:t>II.1. Bioassay techniques:</w:t>
      </w:r>
    </w:p>
    <w:p w:rsidR="008B35E3" w:rsidRPr="0023574F" w:rsidRDefault="008B35E3" w:rsidP="0023574F">
      <w:pPr>
        <w:pStyle w:val="BodyText3"/>
        <w:snapToGrid w:val="0"/>
        <w:jc w:val="both"/>
        <w:rPr>
          <w:b/>
          <w:bCs/>
          <w:lang w:bidi="ar-EG"/>
        </w:rPr>
      </w:pPr>
      <w:proofErr w:type="spellStart"/>
      <w:r w:rsidRPr="0023574F">
        <w:rPr>
          <w:b/>
          <w:bCs/>
          <w:lang w:bidi="ar-EG"/>
        </w:rPr>
        <w:t>Mycelial</w:t>
      </w:r>
      <w:proofErr w:type="spellEnd"/>
      <w:r w:rsidRPr="0023574F">
        <w:rPr>
          <w:b/>
          <w:bCs/>
          <w:lang w:bidi="ar-EG"/>
        </w:rPr>
        <w:t xml:space="preserve"> growth inhibition technique:</w:t>
      </w:r>
    </w:p>
    <w:p w:rsidR="008B35E3" w:rsidRPr="0023574F" w:rsidRDefault="008B35E3" w:rsidP="0023574F">
      <w:pPr>
        <w:pStyle w:val="BodyText3"/>
        <w:snapToGrid w:val="0"/>
        <w:ind w:firstLine="425"/>
        <w:jc w:val="both"/>
        <w:rPr>
          <w:lang w:bidi="ar-EG"/>
        </w:rPr>
      </w:pPr>
      <w:r w:rsidRPr="0023574F">
        <w:rPr>
          <w:lang w:bidi="ar-EG"/>
        </w:rPr>
        <w:t xml:space="preserve">The antifungal compounds were prepared in </w:t>
      </w:r>
      <w:proofErr w:type="spellStart"/>
      <w:r w:rsidRPr="0023574F">
        <w:rPr>
          <w:lang w:bidi="ar-EG"/>
        </w:rPr>
        <w:t>dimethyl</w:t>
      </w:r>
      <w:proofErr w:type="spellEnd"/>
      <w:r w:rsidRPr="0023574F">
        <w:rPr>
          <w:lang w:bidi="ar-EG"/>
        </w:rPr>
        <w:t xml:space="preserve"> </w:t>
      </w:r>
      <w:proofErr w:type="spellStart"/>
      <w:r w:rsidRPr="0023574F">
        <w:rPr>
          <w:lang w:bidi="ar-EG"/>
        </w:rPr>
        <w:t>sulfoxide</w:t>
      </w:r>
      <w:proofErr w:type="spellEnd"/>
      <w:r w:rsidRPr="0023574F">
        <w:rPr>
          <w:lang w:bidi="ar-EG"/>
        </w:rPr>
        <w:t xml:space="preserve"> (DMSO) and tested for </w:t>
      </w:r>
      <w:proofErr w:type="spellStart"/>
      <w:r w:rsidRPr="0023574F">
        <w:rPr>
          <w:lang w:bidi="ar-EG"/>
        </w:rPr>
        <w:t>mycelial</w:t>
      </w:r>
      <w:proofErr w:type="spellEnd"/>
      <w:r w:rsidRPr="0023574F">
        <w:rPr>
          <w:lang w:bidi="ar-EG"/>
        </w:rPr>
        <w:t xml:space="preserve"> growth inhibition activity against </w:t>
      </w:r>
      <w:proofErr w:type="spellStart"/>
      <w:r w:rsidRPr="0023574F">
        <w:rPr>
          <w:i/>
          <w:iCs/>
          <w:lang w:bidi="ar-EG"/>
        </w:rPr>
        <w:t>Fusariumoxysporum</w:t>
      </w:r>
      <w:proofErr w:type="spellEnd"/>
      <w:r w:rsidRPr="0023574F">
        <w:rPr>
          <w:lang w:bidi="ar-EG"/>
        </w:rPr>
        <w:t xml:space="preserve"> using the food poison technique </w:t>
      </w:r>
      <w:r w:rsidRPr="0023574F">
        <w:rPr>
          <w:b/>
          <w:bCs/>
          <w:lang w:bidi="ar-EG"/>
        </w:rPr>
        <w:t>(</w:t>
      </w:r>
      <w:proofErr w:type="spellStart"/>
      <w:r w:rsidRPr="0023574F">
        <w:rPr>
          <w:b/>
          <w:bCs/>
          <w:lang w:bidi="ar-EG"/>
        </w:rPr>
        <w:t>Joong</w:t>
      </w:r>
      <w:proofErr w:type="spellEnd"/>
      <w:r w:rsidRPr="0023574F">
        <w:rPr>
          <w:b/>
          <w:bCs/>
          <w:lang w:bidi="ar-EG"/>
        </w:rPr>
        <w:t xml:space="preserve"> – </w:t>
      </w:r>
      <w:proofErr w:type="spellStart"/>
      <w:r w:rsidRPr="0023574F">
        <w:rPr>
          <w:b/>
          <w:bCs/>
          <w:lang w:bidi="ar-EG"/>
        </w:rPr>
        <w:t>Hyeop</w:t>
      </w:r>
      <w:proofErr w:type="spellEnd"/>
      <w:r w:rsidR="004048ED">
        <w:rPr>
          <w:b/>
          <w:bCs/>
          <w:lang w:bidi="ar-EG"/>
        </w:rPr>
        <w:t xml:space="preserve"> </w:t>
      </w:r>
      <w:r w:rsidRPr="0023574F">
        <w:rPr>
          <w:b/>
          <w:bCs/>
          <w:i/>
          <w:iCs/>
          <w:lang w:bidi="ar-EG"/>
        </w:rPr>
        <w:t xml:space="preserve">et al., </w:t>
      </w:r>
      <w:r w:rsidRPr="0023574F">
        <w:rPr>
          <w:b/>
          <w:bCs/>
          <w:lang w:bidi="ar-EG"/>
        </w:rPr>
        <w:t>2005)</w:t>
      </w:r>
      <w:r w:rsidRPr="0023574F">
        <w:rPr>
          <w:lang w:bidi="ar-EG"/>
        </w:rPr>
        <w:t>.</w:t>
      </w:r>
      <w:r w:rsidR="004048ED">
        <w:rPr>
          <w:lang w:bidi="ar-EG"/>
        </w:rPr>
        <w:t xml:space="preserve"> </w:t>
      </w:r>
      <w:r w:rsidRPr="0023574F">
        <w:rPr>
          <w:lang w:bidi="ar-EG"/>
        </w:rPr>
        <w:t>A potato dextrose agar medium was used as the basal medium for all tested fungi.</w:t>
      </w:r>
      <w:r w:rsidR="004048ED">
        <w:rPr>
          <w:lang w:bidi="ar-EG"/>
        </w:rPr>
        <w:t xml:space="preserve"> </w:t>
      </w:r>
      <w:r w:rsidRPr="0023574F">
        <w:rPr>
          <w:lang w:bidi="ar-EG"/>
        </w:rPr>
        <w:t>To test the antifungal activities of the selected compounds, sterile Petri dishes containing the compound dissolved in DMSO/</w:t>
      </w:r>
      <w:proofErr w:type="spellStart"/>
      <w:r w:rsidRPr="0023574F">
        <w:rPr>
          <w:lang w:bidi="ar-EG"/>
        </w:rPr>
        <w:t>Tween</w:t>
      </w:r>
      <w:proofErr w:type="spellEnd"/>
      <w:r w:rsidRPr="0023574F">
        <w:rPr>
          <w:lang w:bidi="ar-EG"/>
        </w:rPr>
        <w:t xml:space="preserve"> 80 emulsifier (80/20 v/v) diluted in PDA medium were prepared.</w:t>
      </w:r>
      <w:r w:rsidR="004048ED">
        <w:rPr>
          <w:lang w:bidi="ar-EG"/>
        </w:rPr>
        <w:t xml:space="preserve"> </w:t>
      </w:r>
      <w:proofErr w:type="spellStart"/>
      <w:r w:rsidRPr="0023574F">
        <w:rPr>
          <w:lang w:bidi="ar-EG"/>
        </w:rPr>
        <w:t>Tween</w:t>
      </w:r>
      <w:proofErr w:type="spellEnd"/>
      <w:r w:rsidRPr="0023574F">
        <w:rPr>
          <w:lang w:bidi="ar-EG"/>
        </w:rPr>
        <w:t xml:space="preserve"> 80 alone as a control (0.025% by volume) was added to PDA medium as an emulsifier control. Plates containing media mixed with DMSO (0.1% by volume) were included as a solvent control.</w:t>
      </w:r>
      <w:r w:rsidR="004048ED">
        <w:rPr>
          <w:lang w:bidi="ar-EG"/>
        </w:rPr>
        <w:t xml:space="preserve"> </w:t>
      </w:r>
      <w:r w:rsidRPr="0023574F">
        <w:rPr>
          <w:lang w:bidi="ar-EG"/>
        </w:rPr>
        <w:t xml:space="preserve">Also, DMSO and </w:t>
      </w:r>
      <w:proofErr w:type="spellStart"/>
      <w:r w:rsidRPr="0023574F">
        <w:rPr>
          <w:lang w:bidi="ar-EG"/>
        </w:rPr>
        <w:t>Tween</w:t>
      </w:r>
      <w:proofErr w:type="spellEnd"/>
      <w:r w:rsidRPr="0023574F">
        <w:rPr>
          <w:lang w:bidi="ar-EG"/>
        </w:rPr>
        <w:t xml:space="preserve"> 80 (4/1 v/v) were added to PDA medium as a solvent/emulsifier control.</w:t>
      </w:r>
      <w:r w:rsidR="004048ED">
        <w:rPr>
          <w:lang w:bidi="ar-EG"/>
        </w:rPr>
        <w:t xml:space="preserve"> </w:t>
      </w:r>
      <w:r w:rsidRPr="0023574F">
        <w:rPr>
          <w:lang w:bidi="ar-EG"/>
        </w:rPr>
        <w:t>Finally, PDA plates treated with distilled water were served as a negative control.</w:t>
      </w:r>
    </w:p>
    <w:p w:rsidR="008B35E3" w:rsidRPr="0023574F" w:rsidRDefault="008B35E3" w:rsidP="0023574F">
      <w:pPr>
        <w:pStyle w:val="BodyText3"/>
        <w:snapToGrid w:val="0"/>
        <w:ind w:firstLine="425"/>
        <w:jc w:val="both"/>
        <w:rPr>
          <w:b/>
          <w:bCs/>
          <w:lang w:bidi="ar-EG"/>
        </w:rPr>
      </w:pPr>
      <w:r w:rsidRPr="0023574F">
        <w:rPr>
          <w:lang w:bidi="ar-EG"/>
        </w:rPr>
        <w:t xml:space="preserve">Agar disks (5 mm in diameter) of the tested fungi were cut from completely grown cultures and placed at the center of the plates containing antifungal substances of the used concentration in </w:t>
      </w:r>
      <w:proofErr w:type="spellStart"/>
      <w:r w:rsidRPr="0023574F">
        <w:rPr>
          <w:lang w:bidi="ar-EG"/>
        </w:rPr>
        <w:t>ppm</w:t>
      </w:r>
      <w:proofErr w:type="spellEnd"/>
      <w:r w:rsidRPr="0023574F">
        <w:rPr>
          <w:lang w:bidi="ar-EG"/>
        </w:rPr>
        <w:t xml:space="preserve"> (µg/ml)</w:t>
      </w:r>
      <w:r w:rsidRPr="0023574F">
        <w:rPr>
          <w:b/>
          <w:bCs/>
          <w:lang w:bidi="ar-EG"/>
        </w:rPr>
        <w:t>.</w:t>
      </w:r>
    </w:p>
    <w:p w:rsidR="008B35E3" w:rsidRPr="0023574F" w:rsidRDefault="008B35E3" w:rsidP="0023574F">
      <w:pPr>
        <w:snapToGrid w:val="0"/>
        <w:ind w:firstLine="425"/>
        <w:jc w:val="both"/>
        <w:rPr>
          <w:b/>
          <w:bCs/>
          <w:sz w:val="20"/>
          <w:szCs w:val="20"/>
        </w:rPr>
      </w:pPr>
      <w:r w:rsidRPr="0023574F">
        <w:rPr>
          <w:sz w:val="20"/>
          <w:szCs w:val="20"/>
          <w:lang w:bidi="ar-EG"/>
        </w:rPr>
        <w:t xml:space="preserve">Four replicates of each concentration (50, 100, 150, 200 and 250 µg/ml for </w:t>
      </w:r>
      <w:proofErr w:type="spellStart"/>
      <w:r w:rsidRPr="0023574F">
        <w:rPr>
          <w:sz w:val="20"/>
          <w:szCs w:val="20"/>
          <w:lang w:bidi="ar-EG"/>
        </w:rPr>
        <w:t>thymol</w:t>
      </w:r>
      <w:proofErr w:type="spellEnd"/>
      <w:r w:rsidRPr="0023574F">
        <w:rPr>
          <w:sz w:val="20"/>
          <w:szCs w:val="20"/>
          <w:lang w:bidi="ar-EG"/>
        </w:rPr>
        <w:t xml:space="preserve">, </w:t>
      </w:r>
      <w:proofErr w:type="spellStart"/>
      <w:r w:rsidRPr="0023574F">
        <w:rPr>
          <w:sz w:val="20"/>
          <w:szCs w:val="20"/>
          <w:lang w:bidi="ar-EG"/>
        </w:rPr>
        <w:t>eugenol</w:t>
      </w:r>
      <w:proofErr w:type="spellEnd"/>
      <w:r w:rsidRPr="0023574F">
        <w:rPr>
          <w:sz w:val="20"/>
          <w:szCs w:val="20"/>
          <w:lang w:bidi="ar-EG"/>
        </w:rPr>
        <w:t xml:space="preserve"> and methyl </w:t>
      </w:r>
      <w:proofErr w:type="spellStart"/>
      <w:r w:rsidRPr="0023574F">
        <w:rPr>
          <w:sz w:val="20"/>
          <w:szCs w:val="20"/>
          <w:lang w:bidi="ar-EG"/>
        </w:rPr>
        <w:t>cinnamate</w:t>
      </w:r>
      <w:proofErr w:type="spellEnd"/>
      <w:r w:rsidRPr="0023574F">
        <w:rPr>
          <w:sz w:val="20"/>
          <w:szCs w:val="20"/>
          <w:lang w:bidi="ar-EG"/>
        </w:rPr>
        <w:t xml:space="preserve"> compounds) (500, 1000, 2000, 4000 and 8000 µg/ml for linalool and 1,8-cineol compounds) of each fungus were incubated at 28ºC for all tested fungi.</w:t>
      </w:r>
      <w:r w:rsidR="004048ED">
        <w:rPr>
          <w:sz w:val="20"/>
          <w:szCs w:val="20"/>
          <w:lang w:bidi="ar-EG"/>
        </w:rPr>
        <w:t xml:space="preserve"> </w:t>
      </w:r>
      <w:r w:rsidRPr="0023574F">
        <w:rPr>
          <w:sz w:val="20"/>
          <w:szCs w:val="20"/>
          <w:lang w:bidi="ar-EG"/>
        </w:rPr>
        <w:t xml:space="preserve">Radial growth was measured from the centers of the dishes sides by caliper every 48 </w:t>
      </w:r>
      <w:r w:rsidRPr="0023574F">
        <w:rPr>
          <w:sz w:val="20"/>
          <w:szCs w:val="20"/>
          <w:lang w:bidi="ar-EG"/>
        </w:rPr>
        <w:lastRenderedPageBreak/>
        <w:t>hours and the mean was calculated of two perpendicular colony diameters in each replicate.</w:t>
      </w:r>
      <w:r w:rsidR="004048ED">
        <w:rPr>
          <w:sz w:val="20"/>
          <w:szCs w:val="20"/>
          <w:lang w:bidi="ar-EG"/>
        </w:rPr>
        <w:t xml:space="preserve"> </w:t>
      </w:r>
      <w:r w:rsidRPr="0023574F">
        <w:rPr>
          <w:sz w:val="20"/>
          <w:szCs w:val="20"/>
        </w:rPr>
        <w:t xml:space="preserve">Inhibition of growth was calculated in relation to the growth in the control, according to the equation of </w:t>
      </w:r>
      <w:proofErr w:type="spellStart"/>
      <w:r w:rsidRPr="0023574F">
        <w:rPr>
          <w:b/>
          <w:bCs/>
          <w:sz w:val="20"/>
          <w:szCs w:val="20"/>
        </w:rPr>
        <w:t>Sztejnberg</w:t>
      </w:r>
      <w:proofErr w:type="spellEnd"/>
      <w:r w:rsidR="004048ED">
        <w:rPr>
          <w:b/>
          <w:bCs/>
          <w:sz w:val="20"/>
          <w:szCs w:val="20"/>
        </w:rPr>
        <w:t xml:space="preserve"> </w:t>
      </w:r>
      <w:r w:rsidRPr="0023574F">
        <w:rPr>
          <w:b/>
          <w:bCs/>
          <w:i/>
          <w:iCs/>
          <w:sz w:val="20"/>
          <w:szCs w:val="20"/>
        </w:rPr>
        <w:t xml:space="preserve">et al., </w:t>
      </w:r>
      <w:r w:rsidRPr="0023574F">
        <w:rPr>
          <w:b/>
          <w:bCs/>
          <w:sz w:val="20"/>
          <w:szCs w:val="20"/>
        </w:rPr>
        <w:t>1983:</w:t>
      </w:r>
    </w:p>
    <w:p w:rsidR="008B35E3" w:rsidRPr="0023574F" w:rsidRDefault="000C4D29" w:rsidP="0023574F">
      <w:pPr>
        <w:snapToGrid w:val="0"/>
        <w:ind w:firstLine="425"/>
        <w:jc w:val="both"/>
        <w:rPr>
          <w:b/>
          <w:bCs/>
          <w:sz w:val="20"/>
          <w:szCs w:val="20"/>
        </w:rPr>
      </w:pPr>
      <w:r>
        <w:rPr>
          <w:b/>
          <w:bCs/>
          <w:noProof/>
          <w:sz w:val="20"/>
          <w:szCs w:val="20"/>
        </w:rPr>
        <w:pict>
          <v:shape id="_x0000_s1035" type="#_x0000_t75" style="position:absolute;left:0;text-align:left;margin-left:3pt;margin-top:4.25pt;width:213.55pt;height:26.85pt;z-index:-251649024">
            <v:imagedata r:id="rId24" o:title=""/>
          </v:shape>
          <o:OLEObject Type="Embed" ProgID="Equation.3" ShapeID="_x0000_s1035" DrawAspect="Content" ObjectID="_1512931359" r:id="rId25"/>
        </w:pict>
      </w:r>
    </w:p>
    <w:p w:rsidR="008B35E3" w:rsidRPr="0023574F" w:rsidRDefault="008B35E3" w:rsidP="0023574F">
      <w:pPr>
        <w:pStyle w:val="BodyText3"/>
        <w:snapToGrid w:val="0"/>
        <w:ind w:firstLine="425"/>
        <w:jc w:val="both"/>
        <w:rPr>
          <w:lang w:bidi="ar-EG"/>
        </w:rPr>
      </w:pPr>
    </w:p>
    <w:p w:rsidR="008B35E3" w:rsidRPr="0023574F" w:rsidRDefault="008B35E3" w:rsidP="0023574F">
      <w:pPr>
        <w:pStyle w:val="BodyText3"/>
        <w:snapToGrid w:val="0"/>
        <w:ind w:firstLine="425"/>
        <w:jc w:val="both"/>
        <w:rPr>
          <w:lang w:bidi="ar-EG"/>
        </w:rPr>
      </w:pPr>
    </w:p>
    <w:p w:rsidR="008B35E3" w:rsidRPr="0023574F" w:rsidRDefault="008B35E3" w:rsidP="0023574F">
      <w:pPr>
        <w:pStyle w:val="BodyText3"/>
        <w:snapToGrid w:val="0"/>
        <w:ind w:firstLine="425"/>
        <w:jc w:val="both"/>
        <w:rPr>
          <w:b/>
          <w:bCs/>
          <w:lang w:bidi="ar-EG"/>
        </w:rPr>
      </w:pPr>
      <w:r w:rsidRPr="0023574F">
        <w:rPr>
          <w:lang w:bidi="ar-EG"/>
        </w:rPr>
        <w:t>The corrected percentage of growth inhibition was used to calculate the LC</w:t>
      </w:r>
      <w:r w:rsidRPr="0023574F">
        <w:rPr>
          <w:vertAlign w:val="subscript"/>
          <w:lang w:bidi="ar-EG"/>
        </w:rPr>
        <w:t>50</w:t>
      </w:r>
      <w:r w:rsidRPr="0023574F">
        <w:rPr>
          <w:lang w:bidi="ar-EG"/>
        </w:rPr>
        <w:t xml:space="preserve"> values according to </w:t>
      </w:r>
      <w:r w:rsidRPr="0023574F">
        <w:rPr>
          <w:b/>
          <w:bCs/>
          <w:lang w:bidi="ar-EG"/>
        </w:rPr>
        <w:t>Finney (1971)</w:t>
      </w:r>
      <w:r w:rsidRPr="0023574F">
        <w:rPr>
          <w:lang w:bidi="ar-EG"/>
        </w:rPr>
        <w:t>.</w:t>
      </w:r>
      <w:r w:rsidR="004048ED">
        <w:rPr>
          <w:lang w:bidi="ar-EG"/>
        </w:rPr>
        <w:t xml:space="preserve"> </w:t>
      </w:r>
      <w:r w:rsidRPr="0023574F">
        <w:rPr>
          <w:lang w:bidi="ar-EG"/>
        </w:rPr>
        <w:t>The toxicity lines were drawn for evaluating LC</w:t>
      </w:r>
      <w:r w:rsidRPr="0023574F">
        <w:rPr>
          <w:vertAlign w:val="subscript"/>
          <w:lang w:bidi="ar-EG"/>
        </w:rPr>
        <w:t>10</w:t>
      </w:r>
      <w:r w:rsidRPr="0023574F">
        <w:rPr>
          <w:lang w:bidi="ar-EG"/>
        </w:rPr>
        <w:t>, LC</w:t>
      </w:r>
      <w:r w:rsidRPr="0023574F">
        <w:rPr>
          <w:vertAlign w:val="subscript"/>
          <w:lang w:bidi="ar-EG"/>
        </w:rPr>
        <w:t>25</w:t>
      </w:r>
      <w:r w:rsidRPr="0023574F">
        <w:rPr>
          <w:lang w:bidi="ar-EG"/>
        </w:rPr>
        <w:t>, LC</w:t>
      </w:r>
      <w:r w:rsidRPr="0023574F">
        <w:rPr>
          <w:vertAlign w:val="subscript"/>
          <w:lang w:bidi="ar-EG"/>
        </w:rPr>
        <w:t>50</w:t>
      </w:r>
      <w:r w:rsidRPr="0023574F">
        <w:rPr>
          <w:lang w:bidi="ar-EG"/>
        </w:rPr>
        <w:t xml:space="preserve"> and LC</w:t>
      </w:r>
      <w:r w:rsidRPr="0023574F">
        <w:rPr>
          <w:vertAlign w:val="subscript"/>
          <w:lang w:bidi="ar-EG"/>
        </w:rPr>
        <w:t>90</w:t>
      </w:r>
      <w:r w:rsidRPr="0023574F">
        <w:rPr>
          <w:lang w:bidi="ar-EG"/>
        </w:rPr>
        <w:t xml:space="preserve"> and the slope for every treatment was estimated.</w:t>
      </w:r>
      <w:r w:rsidR="004048ED">
        <w:rPr>
          <w:lang w:bidi="ar-EG"/>
        </w:rPr>
        <w:t xml:space="preserve"> </w:t>
      </w:r>
      <w:r w:rsidRPr="0023574F">
        <w:rPr>
          <w:lang w:bidi="ar-EG"/>
        </w:rPr>
        <w:t xml:space="preserve">The toxicity indexes and relative potencies were calculated according to </w:t>
      </w:r>
      <w:r w:rsidRPr="0023574F">
        <w:rPr>
          <w:b/>
          <w:bCs/>
          <w:lang w:bidi="ar-EG"/>
        </w:rPr>
        <w:t>Sun (1950).</w:t>
      </w:r>
    </w:p>
    <w:p w:rsidR="00A929BE" w:rsidRPr="0023574F" w:rsidRDefault="000C4D29" w:rsidP="0023574F">
      <w:pPr>
        <w:pStyle w:val="BodyText3"/>
        <w:snapToGrid w:val="0"/>
        <w:ind w:firstLine="425"/>
        <w:jc w:val="both"/>
        <w:rPr>
          <w:b/>
          <w:bCs/>
          <w:lang w:bidi="ar-EG"/>
        </w:rPr>
      </w:pPr>
      <w:r>
        <w:rPr>
          <w:b/>
          <w:bCs/>
          <w:noProof/>
        </w:rPr>
        <w:pict>
          <v:shape id="_x0000_s1033" type="#_x0000_t75" style="position:absolute;left:0;text-align:left;margin-left:1.5pt;margin-top:7.65pt;width:216.95pt;height:22pt;z-index:-251651072">
            <v:imagedata r:id="rId26" o:title=""/>
          </v:shape>
          <o:OLEObject Type="Embed" ProgID="Equation.3" ShapeID="_x0000_s1033" DrawAspect="Content" ObjectID="_1512931360" r:id="rId27"/>
        </w:pict>
      </w:r>
    </w:p>
    <w:p w:rsidR="008B35E3" w:rsidRPr="0023574F" w:rsidRDefault="008B35E3" w:rsidP="0023574F">
      <w:pPr>
        <w:pStyle w:val="BodyText3"/>
        <w:snapToGrid w:val="0"/>
        <w:ind w:firstLine="425"/>
        <w:jc w:val="both"/>
        <w:rPr>
          <w:b/>
          <w:bCs/>
          <w:lang w:bidi="ar-EG"/>
        </w:rPr>
      </w:pPr>
    </w:p>
    <w:p w:rsidR="008B35E3" w:rsidRPr="0023574F" w:rsidRDefault="000C4D29" w:rsidP="0023574F">
      <w:pPr>
        <w:pStyle w:val="BodyText3"/>
        <w:snapToGrid w:val="0"/>
        <w:ind w:firstLine="425"/>
        <w:jc w:val="both"/>
        <w:rPr>
          <w:b/>
          <w:bCs/>
          <w:lang w:bidi="ar-EG"/>
        </w:rPr>
      </w:pPr>
      <w:r>
        <w:rPr>
          <w:b/>
          <w:bCs/>
          <w:noProof/>
        </w:rPr>
        <w:pict>
          <v:shape id="_x0000_s1034" type="#_x0000_t75" style="position:absolute;left:0;text-align:left;margin-left:0;margin-top:10.85pt;width:216.8pt;height:22.85pt;z-index:-251650048">
            <v:imagedata r:id="rId28" o:title=""/>
          </v:shape>
          <o:OLEObject Type="Embed" ProgID="Equation.3" ShapeID="_x0000_s1034" DrawAspect="Content" ObjectID="_1512931361" r:id="rId29"/>
        </w:pict>
      </w:r>
    </w:p>
    <w:p w:rsidR="008B35E3" w:rsidRPr="0023574F" w:rsidRDefault="008B35E3" w:rsidP="0023574F">
      <w:pPr>
        <w:pStyle w:val="BodyText3"/>
        <w:snapToGrid w:val="0"/>
        <w:jc w:val="both"/>
        <w:rPr>
          <w:b/>
          <w:bCs/>
          <w:lang w:bidi="ar-EG"/>
        </w:rPr>
      </w:pPr>
    </w:p>
    <w:p w:rsidR="008B35E3" w:rsidRPr="0023574F" w:rsidRDefault="008B35E3" w:rsidP="0023574F">
      <w:pPr>
        <w:snapToGrid w:val="0"/>
        <w:jc w:val="both"/>
        <w:rPr>
          <w:sz w:val="20"/>
          <w:szCs w:val="20"/>
        </w:rPr>
      </w:pPr>
    </w:p>
    <w:p w:rsidR="008B35E3" w:rsidRPr="0023574F" w:rsidRDefault="008B35E3" w:rsidP="0023574F">
      <w:pPr>
        <w:pStyle w:val="BodyText3"/>
        <w:snapToGrid w:val="0"/>
        <w:jc w:val="both"/>
        <w:rPr>
          <w:b/>
          <w:bCs/>
          <w:lang w:bidi="ar-EG"/>
        </w:rPr>
      </w:pPr>
      <w:r w:rsidRPr="0023574F">
        <w:rPr>
          <w:b/>
          <w:bCs/>
          <w:lang w:bidi="ar-EG"/>
        </w:rPr>
        <w:t>II.2.</w:t>
      </w:r>
      <w:r w:rsidRPr="0023574F">
        <w:rPr>
          <w:b/>
          <w:bCs/>
        </w:rPr>
        <w:t xml:space="preserve"> Protein Electrophoresis (SDS-PAGE):</w:t>
      </w:r>
    </w:p>
    <w:p w:rsidR="008B35E3" w:rsidRPr="0023574F" w:rsidRDefault="008B35E3" w:rsidP="0023574F">
      <w:pPr>
        <w:widowControl w:val="0"/>
        <w:tabs>
          <w:tab w:val="right" w:pos="851"/>
          <w:tab w:val="right" w:pos="1560"/>
        </w:tabs>
        <w:autoSpaceDE w:val="0"/>
        <w:autoSpaceDN w:val="0"/>
        <w:adjustRightInd w:val="0"/>
        <w:snapToGrid w:val="0"/>
        <w:ind w:firstLine="425"/>
        <w:jc w:val="both"/>
        <w:rPr>
          <w:sz w:val="20"/>
          <w:szCs w:val="20"/>
        </w:rPr>
      </w:pPr>
      <w:r w:rsidRPr="0023574F">
        <w:rPr>
          <w:sz w:val="20"/>
          <w:szCs w:val="20"/>
        </w:rPr>
        <w:t xml:space="preserve">Total cellular proteins of </w:t>
      </w:r>
      <w:proofErr w:type="spellStart"/>
      <w:r w:rsidRPr="0023574F">
        <w:rPr>
          <w:i/>
          <w:iCs/>
          <w:sz w:val="20"/>
          <w:szCs w:val="20"/>
          <w:lang w:bidi="ar-EG"/>
        </w:rPr>
        <w:t>Fusariumoxysporum</w:t>
      </w:r>
      <w:proofErr w:type="spellEnd"/>
      <w:r w:rsidRPr="0023574F">
        <w:rPr>
          <w:sz w:val="20"/>
          <w:szCs w:val="20"/>
        </w:rPr>
        <w:t xml:space="preserve"> fungus</w:t>
      </w:r>
      <w:r w:rsidRPr="0023574F">
        <w:rPr>
          <w:i/>
          <w:iCs/>
          <w:sz w:val="20"/>
          <w:szCs w:val="20"/>
          <w:lang w:bidi="ar-EG"/>
        </w:rPr>
        <w:t xml:space="preserve">, </w:t>
      </w:r>
      <w:r w:rsidRPr="0023574F">
        <w:rPr>
          <w:sz w:val="20"/>
          <w:szCs w:val="20"/>
          <w:lang w:bidi="ar-EG"/>
        </w:rPr>
        <w:t>as an example of the tested five fungi</w:t>
      </w:r>
      <w:r w:rsidRPr="0023574F">
        <w:rPr>
          <w:sz w:val="20"/>
          <w:szCs w:val="20"/>
        </w:rPr>
        <w:t xml:space="preserve"> both untreated and treated with </w:t>
      </w:r>
      <w:proofErr w:type="spellStart"/>
      <w:r w:rsidRPr="0023574F">
        <w:rPr>
          <w:sz w:val="20"/>
          <w:szCs w:val="20"/>
        </w:rPr>
        <w:t>thymol</w:t>
      </w:r>
      <w:proofErr w:type="spellEnd"/>
      <w:r w:rsidRPr="0023574F">
        <w:rPr>
          <w:sz w:val="20"/>
          <w:szCs w:val="20"/>
        </w:rPr>
        <w:t xml:space="preserve">, </w:t>
      </w:r>
      <w:proofErr w:type="spellStart"/>
      <w:r w:rsidRPr="0023574F">
        <w:rPr>
          <w:sz w:val="20"/>
          <w:szCs w:val="20"/>
        </w:rPr>
        <w:t>eugenol</w:t>
      </w:r>
      <w:proofErr w:type="spellEnd"/>
      <w:r w:rsidRPr="0023574F">
        <w:rPr>
          <w:sz w:val="20"/>
          <w:szCs w:val="20"/>
        </w:rPr>
        <w:t xml:space="preserve"> and methyl </w:t>
      </w:r>
      <w:proofErr w:type="spellStart"/>
      <w:r w:rsidRPr="0023574F">
        <w:rPr>
          <w:sz w:val="20"/>
          <w:szCs w:val="20"/>
        </w:rPr>
        <w:t>cinnamate</w:t>
      </w:r>
      <w:proofErr w:type="spellEnd"/>
      <w:r w:rsidRPr="0023574F">
        <w:rPr>
          <w:sz w:val="20"/>
          <w:szCs w:val="20"/>
        </w:rPr>
        <w:t xml:space="preserve"> at LC</w:t>
      </w:r>
      <w:r w:rsidRPr="0023574F">
        <w:rPr>
          <w:sz w:val="20"/>
          <w:szCs w:val="20"/>
          <w:vertAlign w:val="subscript"/>
        </w:rPr>
        <w:t>10</w:t>
      </w:r>
      <w:r w:rsidRPr="0023574F">
        <w:rPr>
          <w:sz w:val="20"/>
          <w:szCs w:val="20"/>
        </w:rPr>
        <w:t xml:space="preserve"> concentrations were analyzed by sodium </w:t>
      </w:r>
      <w:proofErr w:type="spellStart"/>
      <w:r w:rsidRPr="0023574F">
        <w:rPr>
          <w:sz w:val="20"/>
          <w:szCs w:val="20"/>
        </w:rPr>
        <w:t>dodecyl</w:t>
      </w:r>
      <w:proofErr w:type="spellEnd"/>
      <w:r w:rsidRPr="0023574F">
        <w:rPr>
          <w:sz w:val="20"/>
          <w:szCs w:val="20"/>
        </w:rPr>
        <w:t xml:space="preserve"> </w:t>
      </w:r>
      <w:proofErr w:type="spellStart"/>
      <w:r w:rsidRPr="0023574F">
        <w:rPr>
          <w:sz w:val="20"/>
          <w:szCs w:val="20"/>
        </w:rPr>
        <w:t>sulphate</w:t>
      </w:r>
      <w:proofErr w:type="spellEnd"/>
      <w:r w:rsidRPr="0023574F">
        <w:rPr>
          <w:sz w:val="20"/>
          <w:szCs w:val="20"/>
        </w:rPr>
        <w:t xml:space="preserve">- </w:t>
      </w:r>
      <w:proofErr w:type="spellStart"/>
      <w:r w:rsidRPr="0023574F">
        <w:rPr>
          <w:sz w:val="20"/>
          <w:szCs w:val="20"/>
        </w:rPr>
        <w:t>polyacrylamide</w:t>
      </w:r>
      <w:proofErr w:type="spellEnd"/>
      <w:r w:rsidRPr="0023574F">
        <w:rPr>
          <w:sz w:val="20"/>
          <w:szCs w:val="20"/>
        </w:rPr>
        <w:t xml:space="preserve"> gel electrophoresis (SDS-PAGE) as adopted by </w:t>
      </w:r>
      <w:proofErr w:type="spellStart"/>
      <w:r w:rsidRPr="0023574F">
        <w:rPr>
          <w:b/>
          <w:bCs/>
          <w:sz w:val="20"/>
          <w:szCs w:val="20"/>
        </w:rPr>
        <w:t>Laemmli</w:t>
      </w:r>
      <w:proofErr w:type="spellEnd"/>
      <w:r w:rsidRPr="0023574F">
        <w:rPr>
          <w:b/>
          <w:bCs/>
          <w:sz w:val="20"/>
          <w:szCs w:val="20"/>
        </w:rPr>
        <w:t xml:space="preserve"> (1970).</w:t>
      </w:r>
    </w:p>
    <w:p w:rsidR="008B35E3" w:rsidRPr="0023574F" w:rsidRDefault="00FC1060" w:rsidP="0023574F">
      <w:pPr>
        <w:widowControl w:val="0"/>
        <w:tabs>
          <w:tab w:val="right" w:pos="851"/>
          <w:tab w:val="right" w:pos="1560"/>
        </w:tabs>
        <w:autoSpaceDE w:val="0"/>
        <w:autoSpaceDN w:val="0"/>
        <w:adjustRightInd w:val="0"/>
        <w:snapToGrid w:val="0"/>
        <w:jc w:val="both"/>
        <w:rPr>
          <w:b/>
          <w:bCs/>
          <w:sz w:val="20"/>
          <w:szCs w:val="20"/>
        </w:rPr>
      </w:pPr>
      <w:r w:rsidRPr="0023574F">
        <w:rPr>
          <w:b/>
          <w:bCs/>
          <w:sz w:val="20"/>
          <w:szCs w:val="20"/>
        </w:rPr>
        <w:t xml:space="preserve">II.2.1. </w:t>
      </w:r>
      <w:r w:rsidR="008B35E3" w:rsidRPr="0023574F">
        <w:rPr>
          <w:b/>
          <w:bCs/>
          <w:sz w:val="20"/>
          <w:szCs w:val="20"/>
        </w:rPr>
        <w:t>Preparation of protein samples:</w:t>
      </w:r>
    </w:p>
    <w:p w:rsidR="008B35E3" w:rsidRPr="0023574F" w:rsidRDefault="008B35E3" w:rsidP="0023574F">
      <w:pPr>
        <w:autoSpaceDE w:val="0"/>
        <w:autoSpaceDN w:val="0"/>
        <w:adjustRightInd w:val="0"/>
        <w:snapToGrid w:val="0"/>
        <w:ind w:firstLine="425"/>
        <w:jc w:val="both"/>
        <w:rPr>
          <w:sz w:val="20"/>
          <w:szCs w:val="20"/>
        </w:rPr>
      </w:pPr>
      <w:r w:rsidRPr="0023574F">
        <w:rPr>
          <w:sz w:val="20"/>
          <w:szCs w:val="20"/>
        </w:rPr>
        <w:t xml:space="preserve">Proteins were prepared according to the methods described by </w:t>
      </w:r>
      <w:proofErr w:type="spellStart"/>
      <w:r w:rsidRPr="0023574F">
        <w:rPr>
          <w:b/>
          <w:bCs/>
          <w:sz w:val="20"/>
          <w:szCs w:val="20"/>
        </w:rPr>
        <w:t>Guseva</w:t>
      </w:r>
      <w:proofErr w:type="spellEnd"/>
      <w:r w:rsidRPr="0023574F">
        <w:rPr>
          <w:b/>
          <w:bCs/>
          <w:sz w:val="20"/>
          <w:szCs w:val="20"/>
        </w:rPr>
        <w:t xml:space="preserve"> and </w:t>
      </w:r>
      <w:proofErr w:type="spellStart"/>
      <w:r w:rsidRPr="0023574F">
        <w:rPr>
          <w:b/>
          <w:bCs/>
          <w:sz w:val="20"/>
          <w:szCs w:val="20"/>
        </w:rPr>
        <w:t>Gromova</w:t>
      </w:r>
      <w:proofErr w:type="spellEnd"/>
      <w:r w:rsidRPr="0023574F">
        <w:rPr>
          <w:b/>
          <w:bCs/>
          <w:sz w:val="20"/>
          <w:szCs w:val="20"/>
        </w:rPr>
        <w:t xml:space="preserve"> (1982).</w:t>
      </w:r>
      <w:r w:rsidRPr="0023574F">
        <w:rPr>
          <w:sz w:val="20"/>
          <w:szCs w:val="20"/>
        </w:rPr>
        <w:t xml:space="preserve"> Different volumes of prepared solutions to obtain the LC</w:t>
      </w:r>
      <w:r w:rsidRPr="0023574F">
        <w:rPr>
          <w:sz w:val="20"/>
          <w:szCs w:val="20"/>
          <w:vertAlign w:val="subscript"/>
        </w:rPr>
        <w:t>10</w:t>
      </w:r>
      <w:r w:rsidRPr="0023574F">
        <w:rPr>
          <w:sz w:val="20"/>
          <w:szCs w:val="20"/>
        </w:rPr>
        <w:t xml:space="preserve"> concentrations for each compound were added to conical flasks containing sterilized</w:t>
      </w:r>
      <w:r w:rsidRPr="0023574F">
        <w:rPr>
          <w:sz w:val="20"/>
          <w:szCs w:val="20"/>
          <w:lang w:bidi="ar-EG"/>
        </w:rPr>
        <w:t xml:space="preserve"> 50 ml of potato dextrose broth medium. </w:t>
      </w:r>
      <w:r w:rsidRPr="0023574F">
        <w:rPr>
          <w:sz w:val="20"/>
          <w:szCs w:val="20"/>
        </w:rPr>
        <w:t>A separate PDB flask free of the tested compounds was used as check (control) treatment.</w:t>
      </w:r>
      <w:r w:rsidR="004048ED">
        <w:rPr>
          <w:sz w:val="20"/>
          <w:szCs w:val="20"/>
        </w:rPr>
        <w:t xml:space="preserve"> </w:t>
      </w:r>
      <w:r w:rsidRPr="0023574F">
        <w:rPr>
          <w:sz w:val="20"/>
          <w:szCs w:val="20"/>
        </w:rPr>
        <w:t>The flasks were inoculated with fungal disks (about 5 mm) and incubated at 28ºC.</w:t>
      </w:r>
      <w:r w:rsidR="004048ED">
        <w:rPr>
          <w:sz w:val="20"/>
          <w:szCs w:val="20"/>
        </w:rPr>
        <w:t xml:space="preserve"> </w:t>
      </w:r>
      <w:r w:rsidRPr="0023574F">
        <w:rPr>
          <w:sz w:val="20"/>
          <w:szCs w:val="20"/>
        </w:rPr>
        <w:t>The mycelia of each treatment were harvested and filtered through cheese cloth, washed with distilled water several times, and freeze-dried. These frozen mycelia were ground in liquid nitrogen to a fine powder and suspended in phosphate buffer (0.5M) pH 8.3 (1-3 ml/g mycelium).</w:t>
      </w:r>
      <w:r w:rsidR="004048ED">
        <w:rPr>
          <w:sz w:val="20"/>
          <w:szCs w:val="20"/>
        </w:rPr>
        <w:t xml:space="preserve"> </w:t>
      </w:r>
      <w:r w:rsidRPr="0023574F">
        <w:rPr>
          <w:sz w:val="20"/>
          <w:szCs w:val="20"/>
        </w:rPr>
        <w:t>The mixture was centrifuged at 47800 g for 20 min.</w:t>
      </w:r>
      <w:r w:rsidR="004048ED">
        <w:rPr>
          <w:sz w:val="20"/>
          <w:szCs w:val="20"/>
        </w:rPr>
        <w:t xml:space="preserve"> </w:t>
      </w:r>
      <w:r w:rsidRPr="0023574F">
        <w:rPr>
          <w:sz w:val="20"/>
          <w:szCs w:val="20"/>
        </w:rPr>
        <w:t xml:space="preserve">The supernatant containing the soluble proteins was dispensed into </w:t>
      </w:r>
      <w:proofErr w:type="spellStart"/>
      <w:r w:rsidRPr="0023574F">
        <w:rPr>
          <w:sz w:val="20"/>
          <w:szCs w:val="20"/>
        </w:rPr>
        <w:t>Eppendorfs</w:t>
      </w:r>
      <w:proofErr w:type="spellEnd"/>
      <w:r w:rsidRPr="0023574F">
        <w:rPr>
          <w:sz w:val="20"/>
          <w:szCs w:val="20"/>
        </w:rPr>
        <w:t xml:space="preserve"> for storage at -20° C until use in </w:t>
      </w:r>
      <w:proofErr w:type="spellStart"/>
      <w:r w:rsidRPr="0023574F">
        <w:rPr>
          <w:sz w:val="20"/>
          <w:szCs w:val="20"/>
        </w:rPr>
        <w:t>electrophoretic</w:t>
      </w:r>
      <w:proofErr w:type="spellEnd"/>
      <w:r w:rsidRPr="0023574F">
        <w:rPr>
          <w:sz w:val="20"/>
          <w:szCs w:val="20"/>
        </w:rPr>
        <w:t xml:space="preserve"> analysis </w:t>
      </w:r>
      <w:r w:rsidRPr="0023574F">
        <w:rPr>
          <w:b/>
          <w:bCs/>
          <w:sz w:val="20"/>
          <w:szCs w:val="20"/>
        </w:rPr>
        <w:t>(</w:t>
      </w:r>
      <w:proofErr w:type="spellStart"/>
      <w:r w:rsidRPr="0023574F">
        <w:rPr>
          <w:b/>
          <w:bCs/>
          <w:sz w:val="20"/>
          <w:szCs w:val="20"/>
        </w:rPr>
        <w:t>Bielenin</w:t>
      </w:r>
      <w:proofErr w:type="spellEnd"/>
      <w:r w:rsidR="00E97E73">
        <w:rPr>
          <w:b/>
          <w:bCs/>
          <w:sz w:val="20"/>
          <w:szCs w:val="20"/>
        </w:rPr>
        <w:t xml:space="preserve"> </w:t>
      </w:r>
      <w:r w:rsidRPr="0023574F">
        <w:rPr>
          <w:b/>
          <w:bCs/>
          <w:i/>
          <w:iCs/>
          <w:sz w:val="20"/>
          <w:szCs w:val="20"/>
        </w:rPr>
        <w:t>et al.</w:t>
      </w:r>
      <w:r w:rsidRPr="0023574F">
        <w:rPr>
          <w:b/>
          <w:bCs/>
          <w:sz w:val="20"/>
          <w:szCs w:val="20"/>
        </w:rPr>
        <w:t>, 1988).</w:t>
      </w:r>
    </w:p>
    <w:p w:rsidR="008B35E3" w:rsidRPr="0023574F" w:rsidRDefault="00FC1060" w:rsidP="0023574F">
      <w:pPr>
        <w:autoSpaceDE w:val="0"/>
        <w:autoSpaceDN w:val="0"/>
        <w:adjustRightInd w:val="0"/>
        <w:snapToGrid w:val="0"/>
        <w:jc w:val="both"/>
        <w:rPr>
          <w:b/>
          <w:bCs/>
          <w:sz w:val="20"/>
          <w:szCs w:val="20"/>
        </w:rPr>
      </w:pPr>
      <w:r w:rsidRPr="0023574F">
        <w:rPr>
          <w:b/>
          <w:bCs/>
          <w:sz w:val="20"/>
          <w:szCs w:val="20"/>
        </w:rPr>
        <w:t xml:space="preserve">I.2.2. </w:t>
      </w:r>
      <w:r w:rsidR="008B35E3" w:rsidRPr="0023574F">
        <w:rPr>
          <w:b/>
          <w:bCs/>
          <w:sz w:val="20"/>
          <w:szCs w:val="20"/>
        </w:rPr>
        <w:t xml:space="preserve">Sodium </w:t>
      </w:r>
      <w:proofErr w:type="spellStart"/>
      <w:r w:rsidR="008B35E3" w:rsidRPr="0023574F">
        <w:rPr>
          <w:b/>
          <w:bCs/>
          <w:sz w:val="20"/>
          <w:szCs w:val="20"/>
        </w:rPr>
        <w:t>Dodecyl</w:t>
      </w:r>
      <w:proofErr w:type="spellEnd"/>
      <w:r w:rsidR="008B35E3" w:rsidRPr="0023574F">
        <w:rPr>
          <w:b/>
          <w:bCs/>
          <w:sz w:val="20"/>
          <w:szCs w:val="20"/>
        </w:rPr>
        <w:t xml:space="preserve"> </w:t>
      </w:r>
      <w:proofErr w:type="spellStart"/>
      <w:r w:rsidR="008B35E3" w:rsidRPr="0023574F">
        <w:rPr>
          <w:b/>
          <w:bCs/>
          <w:sz w:val="20"/>
          <w:szCs w:val="20"/>
        </w:rPr>
        <w:t>Sulphate</w:t>
      </w:r>
      <w:proofErr w:type="spellEnd"/>
      <w:r w:rsidR="008B35E3" w:rsidRPr="0023574F">
        <w:rPr>
          <w:b/>
          <w:bCs/>
          <w:sz w:val="20"/>
          <w:szCs w:val="20"/>
        </w:rPr>
        <w:t xml:space="preserve"> - </w:t>
      </w:r>
      <w:proofErr w:type="spellStart"/>
      <w:r w:rsidR="008B35E3" w:rsidRPr="0023574F">
        <w:rPr>
          <w:b/>
          <w:bCs/>
          <w:sz w:val="20"/>
          <w:szCs w:val="20"/>
        </w:rPr>
        <w:t>Polyacrylamide</w:t>
      </w:r>
      <w:proofErr w:type="spellEnd"/>
      <w:r w:rsidR="008B35E3" w:rsidRPr="0023574F">
        <w:rPr>
          <w:b/>
          <w:bCs/>
          <w:sz w:val="20"/>
          <w:szCs w:val="20"/>
        </w:rPr>
        <w:t xml:space="preserve"> Gel Electrophoresis (SDS-PAGE):</w:t>
      </w:r>
    </w:p>
    <w:p w:rsidR="008B35E3" w:rsidRPr="0023574F" w:rsidRDefault="008B35E3" w:rsidP="0023574F">
      <w:pPr>
        <w:snapToGrid w:val="0"/>
        <w:jc w:val="both"/>
        <w:rPr>
          <w:b/>
          <w:bCs/>
          <w:sz w:val="20"/>
          <w:szCs w:val="20"/>
          <w:lang w:bidi="ar-EG"/>
        </w:rPr>
      </w:pPr>
      <w:r w:rsidRPr="0023574F">
        <w:rPr>
          <w:b/>
          <w:bCs/>
          <w:sz w:val="20"/>
          <w:szCs w:val="20"/>
          <w:lang w:bidi="ar-EG"/>
        </w:rPr>
        <w:t>Preparation of gel plates:</w:t>
      </w:r>
    </w:p>
    <w:p w:rsidR="008B35E3" w:rsidRPr="0023574F" w:rsidRDefault="008B35E3" w:rsidP="0023574F">
      <w:pPr>
        <w:snapToGrid w:val="0"/>
        <w:ind w:firstLine="425"/>
        <w:jc w:val="both"/>
        <w:rPr>
          <w:sz w:val="20"/>
          <w:szCs w:val="20"/>
          <w:lang w:bidi="ar-EG"/>
        </w:rPr>
      </w:pPr>
      <w:r w:rsidRPr="0023574F">
        <w:rPr>
          <w:sz w:val="20"/>
          <w:szCs w:val="20"/>
          <w:lang w:bidi="ar-EG"/>
        </w:rPr>
        <w:t>The concentration of the gel was estimated according to the formula:</w:t>
      </w:r>
    </w:p>
    <w:p w:rsidR="008B35E3" w:rsidRPr="0023574F" w:rsidRDefault="008B35E3" w:rsidP="0023574F">
      <w:pPr>
        <w:snapToGrid w:val="0"/>
        <w:ind w:firstLine="425"/>
        <w:jc w:val="both"/>
        <w:rPr>
          <w:sz w:val="20"/>
          <w:szCs w:val="20"/>
          <w:lang w:bidi="ar-EG"/>
        </w:rPr>
      </w:pPr>
      <w:r w:rsidRPr="0023574F">
        <w:rPr>
          <w:sz w:val="20"/>
          <w:szCs w:val="20"/>
          <w:lang w:bidi="ar-EG"/>
        </w:rPr>
        <w:t>% of gel = V x C/T</w:t>
      </w:r>
    </w:p>
    <w:p w:rsidR="008B35E3" w:rsidRPr="0023574F" w:rsidRDefault="008B35E3" w:rsidP="0023574F">
      <w:pPr>
        <w:snapToGrid w:val="0"/>
        <w:ind w:firstLine="425"/>
        <w:jc w:val="both"/>
        <w:rPr>
          <w:sz w:val="20"/>
          <w:szCs w:val="20"/>
          <w:lang w:bidi="ar-EG"/>
        </w:rPr>
      </w:pPr>
      <w:r w:rsidRPr="0023574F">
        <w:rPr>
          <w:sz w:val="20"/>
          <w:szCs w:val="20"/>
          <w:lang w:bidi="ar-EG"/>
        </w:rPr>
        <w:t xml:space="preserve">Where V = volume of </w:t>
      </w:r>
      <w:proofErr w:type="spellStart"/>
      <w:r w:rsidRPr="0023574F">
        <w:rPr>
          <w:sz w:val="20"/>
          <w:szCs w:val="20"/>
          <w:lang w:bidi="ar-EG"/>
        </w:rPr>
        <w:t>acrylamide</w:t>
      </w:r>
      <w:proofErr w:type="spellEnd"/>
      <w:r w:rsidRPr="0023574F">
        <w:rPr>
          <w:sz w:val="20"/>
          <w:szCs w:val="20"/>
          <w:lang w:bidi="ar-EG"/>
        </w:rPr>
        <w:t xml:space="preserve"> solution used in ml.</w:t>
      </w:r>
    </w:p>
    <w:p w:rsidR="008B35E3" w:rsidRPr="0023574F" w:rsidRDefault="008B35E3" w:rsidP="0023574F">
      <w:pPr>
        <w:snapToGrid w:val="0"/>
        <w:ind w:firstLine="425"/>
        <w:jc w:val="both"/>
        <w:rPr>
          <w:sz w:val="20"/>
          <w:szCs w:val="20"/>
          <w:lang w:bidi="ar-EG"/>
        </w:rPr>
      </w:pPr>
      <w:r w:rsidRPr="0023574F">
        <w:rPr>
          <w:sz w:val="20"/>
          <w:szCs w:val="20"/>
          <w:lang w:bidi="ar-EG"/>
        </w:rPr>
        <w:lastRenderedPageBreak/>
        <w:t xml:space="preserve">C = concentration of </w:t>
      </w:r>
      <w:proofErr w:type="spellStart"/>
      <w:r w:rsidRPr="0023574F">
        <w:rPr>
          <w:sz w:val="20"/>
          <w:szCs w:val="20"/>
          <w:lang w:bidi="ar-EG"/>
        </w:rPr>
        <w:t>acrylamide</w:t>
      </w:r>
      <w:proofErr w:type="spellEnd"/>
      <w:r w:rsidRPr="0023574F">
        <w:rPr>
          <w:sz w:val="20"/>
          <w:szCs w:val="20"/>
          <w:lang w:bidi="ar-EG"/>
        </w:rPr>
        <w:t xml:space="preserve"> solution.</w:t>
      </w:r>
    </w:p>
    <w:p w:rsidR="008B35E3" w:rsidRPr="0023574F" w:rsidRDefault="008B35E3" w:rsidP="0023574F">
      <w:pPr>
        <w:snapToGrid w:val="0"/>
        <w:ind w:firstLine="425"/>
        <w:jc w:val="both"/>
        <w:rPr>
          <w:sz w:val="20"/>
          <w:szCs w:val="20"/>
          <w:lang w:bidi="ar-EG"/>
        </w:rPr>
      </w:pPr>
      <w:r w:rsidRPr="0023574F">
        <w:rPr>
          <w:sz w:val="20"/>
          <w:szCs w:val="20"/>
          <w:lang w:bidi="ar-EG"/>
        </w:rPr>
        <w:t>T = total volume of gel mixture in ml.</w:t>
      </w:r>
    </w:p>
    <w:p w:rsidR="008B35E3" w:rsidRPr="0023574F" w:rsidRDefault="008B35E3" w:rsidP="0023574F">
      <w:pPr>
        <w:autoSpaceDE w:val="0"/>
        <w:autoSpaceDN w:val="0"/>
        <w:adjustRightInd w:val="0"/>
        <w:snapToGrid w:val="0"/>
        <w:jc w:val="both"/>
        <w:rPr>
          <w:b/>
          <w:bCs/>
          <w:sz w:val="20"/>
          <w:szCs w:val="20"/>
        </w:rPr>
      </w:pPr>
      <w:r w:rsidRPr="0023574F">
        <w:rPr>
          <w:b/>
          <w:bCs/>
          <w:sz w:val="20"/>
          <w:szCs w:val="20"/>
        </w:rPr>
        <w:t>Stock solution:</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Monomer solution (</w:t>
      </w:r>
      <w:proofErr w:type="spellStart"/>
      <w:r w:rsidRPr="0023574F">
        <w:rPr>
          <w:rFonts w:cs="Times New Roman"/>
          <w:b/>
          <w:bCs/>
          <w:sz w:val="20"/>
          <w:szCs w:val="20"/>
        </w:rPr>
        <w:t>polyacrylamide</w:t>
      </w:r>
      <w:proofErr w:type="spellEnd"/>
      <w:r w:rsidRPr="0023574F">
        <w:rPr>
          <w:rFonts w:cs="Times New Roman"/>
          <w:b/>
          <w:bCs/>
          <w:sz w:val="20"/>
          <w:szCs w:val="20"/>
        </w:rPr>
        <w:t xml:space="preserve"> 30%):</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 xml:space="preserve">It was prepared by dissolving 30 gm of </w:t>
      </w:r>
      <w:proofErr w:type="spellStart"/>
      <w:r w:rsidRPr="0023574F">
        <w:rPr>
          <w:rFonts w:cs="Times New Roman"/>
          <w:sz w:val="20"/>
          <w:szCs w:val="20"/>
        </w:rPr>
        <w:t>polyacrlamide</w:t>
      </w:r>
      <w:proofErr w:type="spellEnd"/>
      <w:r w:rsidRPr="0023574F">
        <w:rPr>
          <w:rFonts w:cs="Times New Roman"/>
          <w:sz w:val="20"/>
          <w:szCs w:val="20"/>
        </w:rPr>
        <w:t xml:space="preserve"> and 0.8 </w:t>
      </w:r>
      <w:proofErr w:type="spellStart"/>
      <w:r w:rsidRPr="0023574F">
        <w:rPr>
          <w:rFonts w:cs="Times New Roman"/>
          <w:sz w:val="20"/>
          <w:szCs w:val="20"/>
        </w:rPr>
        <w:t>gmbisacrylamid</w:t>
      </w:r>
      <w:proofErr w:type="spellEnd"/>
      <w:r w:rsidRPr="0023574F">
        <w:rPr>
          <w:rFonts w:cs="Times New Roman"/>
          <w:sz w:val="20"/>
          <w:szCs w:val="20"/>
        </w:rPr>
        <w:t xml:space="preserve"> (N, N-</w:t>
      </w:r>
      <w:proofErr w:type="spellStart"/>
      <w:r w:rsidRPr="0023574F">
        <w:rPr>
          <w:rFonts w:cs="Times New Roman"/>
          <w:sz w:val="20"/>
          <w:szCs w:val="20"/>
        </w:rPr>
        <w:t>Methelene-bisacrylamid</w:t>
      </w:r>
      <w:proofErr w:type="spellEnd"/>
      <w:r w:rsidRPr="0023574F">
        <w:rPr>
          <w:rFonts w:cs="Times New Roman"/>
          <w:sz w:val="20"/>
          <w:szCs w:val="20"/>
        </w:rPr>
        <w:t>) in suitable amount of distilled water and completed to 100 ml. The solution was filtered and kept ready for use about 30 day maximum at 4ºC in the dark.</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Running</w:t>
      </w:r>
      <w:r w:rsidR="004048ED">
        <w:rPr>
          <w:rFonts w:cs="Times New Roman"/>
          <w:b/>
          <w:bCs/>
          <w:sz w:val="20"/>
          <w:szCs w:val="20"/>
        </w:rPr>
        <w:t xml:space="preserve"> </w:t>
      </w:r>
      <w:r w:rsidR="00E97FA7">
        <w:rPr>
          <w:rFonts w:cs="Times New Roman"/>
          <w:b/>
          <w:bCs/>
          <w:sz w:val="20"/>
          <w:szCs w:val="20"/>
        </w:rPr>
        <w:t>gel buffer (</w:t>
      </w:r>
      <w:proofErr w:type="spellStart"/>
      <w:r w:rsidRPr="0023574F">
        <w:rPr>
          <w:rFonts w:cs="Times New Roman"/>
          <w:b/>
          <w:bCs/>
          <w:sz w:val="20"/>
          <w:szCs w:val="20"/>
        </w:rPr>
        <w:t>Tris</w:t>
      </w:r>
      <w:proofErr w:type="spellEnd"/>
      <w:r w:rsidRPr="0023574F">
        <w:rPr>
          <w:rFonts w:cs="Times New Roman"/>
          <w:b/>
          <w:bCs/>
          <w:sz w:val="20"/>
          <w:szCs w:val="20"/>
        </w:rPr>
        <w:t xml:space="preserve"> buffer 1.5</w:t>
      </w:r>
      <w:r w:rsidRPr="0023574F">
        <w:rPr>
          <w:rFonts w:cs="Times New Roman"/>
          <w:b/>
          <w:bCs/>
          <w:i/>
          <w:iCs/>
          <w:sz w:val="20"/>
          <w:szCs w:val="20"/>
        </w:rPr>
        <w:t>M</w:t>
      </w:r>
      <w:r w:rsidRPr="0023574F">
        <w:rPr>
          <w:rFonts w:cs="Times New Roman"/>
          <w:b/>
          <w:bCs/>
          <w:sz w:val="20"/>
          <w:szCs w:val="20"/>
        </w:rPr>
        <w:t>, pH 8.8):</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 xml:space="preserve">18.15 </w:t>
      </w:r>
      <w:proofErr w:type="spellStart"/>
      <w:r w:rsidRPr="0023574F">
        <w:rPr>
          <w:rFonts w:cs="Times New Roman"/>
          <w:sz w:val="20"/>
          <w:szCs w:val="20"/>
        </w:rPr>
        <w:t>gmTris</w:t>
      </w:r>
      <w:proofErr w:type="spellEnd"/>
      <w:r w:rsidRPr="0023574F">
        <w:rPr>
          <w:rFonts w:cs="Times New Roman"/>
          <w:sz w:val="20"/>
          <w:szCs w:val="20"/>
        </w:rPr>
        <w:t xml:space="preserve"> [</w:t>
      </w:r>
      <w:proofErr w:type="spellStart"/>
      <w:r w:rsidRPr="0023574F">
        <w:rPr>
          <w:rFonts w:cs="Times New Roman"/>
          <w:sz w:val="20"/>
          <w:szCs w:val="20"/>
        </w:rPr>
        <w:t>Tris</w:t>
      </w:r>
      <w:proofErr w:type="spellEnd"/>
      <w:r w:rsidRPr="0023574F">
        <w:rPr>
          <w:rFonts w:cs="Times New Roman"/>
          <w:sz w:val="20"/>
          <w:szCs w:val="20"/>
        </w:rPr>
        <w:t xml:space="preserve"> (</w:t>
      </w:r>
      <w:proofErr w:type="spellStart"/>
      <w:r w:rsidRPr="0023574F">
        <w:rPr>
          <w:rFonts w:cs="Times New Roman"/>
          <w:sz w:val="20"/>
          <w:szCs w:val="20"/>
        </w:rPr>
        <w:t>hydroxymethyl</w:t>
      </w:r>
      <w:proofErr w:type="spellEnd"/>
      <w:r w:rsidRPr="0023574F">
        <w:rPr>
          <w:rFonts w:cs="Times New Roman"/>
          <w:sz w:val="20"/>
          <w:szCs w:val="20"/>
        </w:rPr>
        <w:t xml:space="preserve">) amino </w:t>
      </w:r>
      <w:proofErr w:type="spellStart"/>
      <w:r w:rsidRPr="0023574F">
        <w:rPr>
          <w:rFonts w:cs="Times New Roman"/>
          <w:sz w:val="20"/>
          <w:szCs w:val="20"/>
        </w:rPr>
        <w:t>methelene</w:t>
      </w:r>
      <w:proofErr w:type="spellEnd"/>
      <w:r w:rsidRPr="0023574F">
        <w:rPr>
          <w:rFonts w:cs="Times New Roman"/>
          <w:sz w:val="20"/>
          <w:szCs w:val="20"/>
        </w:rPr>
        <w:t xml:space="preserve">] were dissolved in 60 ml distilled water and the pH was adjusted to pH 8.8 with conc. </w:t>
      </w:r>
      <w:proofErr w:type="spellStart"/>
      <w:r w:rsidRPr="0023574F">
        <w:rPr>
          <w:rFonts w:cs="Times New Roman"/>
          <w:sz w:val="20"/>
          <w:szCs w:val="20"/>
        </w:rPr>
        <w:t>HCl</w:t>
      </w:r>
      <w:proofErr w:type="spellEnd"/>
      <w:r w:rsidRPr="0023574F">
        <w:rPr>
          <w:rFonts w:cs="Times New Roman"/>
          <w:sz w:val="20"/>
          <w:szCs w:val="20"/>
        </w:rPr>
        <w:t xml:space="preserve"> and the volume was completed to 100 ml by distilled water. The solution was filtered and stored at 4ºC.</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Stacking gel buffer (</w:t>
      </w:r>
      <w:proofErr w:type="spellStart"/>
      <w:r w:rsidRPr="0023574F">
        <w:rPr>
          <w:rFonts w:cs="Times New Roman"/>
          <w:b/>
          <w:bCs/>
          <w:sz w:val="20"/>
          <w:szCs w:val="20"/>
        </w:rPr>
        <w:t>Tris</w:t>
      </w:r>
      <w:proofErr w:type="spellEnd"/>
      <w:r w:rsidRPr="0023574F">
        <w:rPr>
          <w:rFonts w:cs="Times New Roman"/>
          <w:b/>
          <w:bCs/>
          <w:sz w:val="20"/>
          <w:szCs w:val="20"/>
        </w:rPr>
        <w:t xml:space="preserve"> buffer 0.5</w:t>
      </w:r>
      <w:r w:rsidRPr="0023574F">
        <w:rPr>
          <w:rFonts w:cs="Times New Roman"/>
          <w:b/>
          <w:bCs/>
          <w:i/>
          <w:iCs/>
          <w:sz w:val="20"/>
          <w:szCs w:val="20"/>
        </w:rPr>
        <w:t>M</w:t>
      </w:r>
      <w:r w:rsidRPr="0023574F">
        <w:rPr>
          <w:rFonts w:cs="Times New Roman"/>
          <w:b/>
          <w:bCs/>
          <w:sz w:val="20"/>
          <w:szCs w:val="20"/>
        </w:rPr>
        <w:t>, pH 6.8):</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 xml:space="preserve">6 </w:t>
      </w:r>
      <w:proofErr w:type="spellStart"/>
      <w:r w:rsidRPr="0023574F">
        <w:rPr>
          <w:rFonts w:cs="Times New Roman"/>
          <w:sz w:val="20"/>
          <w:szCs w:val="20"/>
        </w:rPr>
        <w:t>gmTris</w:t>
      </w:r>
      <w:proofErr w:type="spellEnd"/>
      <w:r w:rsidRPr="0023574F">
        <w:rPr>
          <w:rFonts w:cs="Times New Roman"/>
          <w:sz w:val="20"/>
          <w:szCs w:val="20"/>
        </w:rPr>
        <w:t xml:space="preserve"> were dissolved in 60 ml distilled water and pH was adjusted to 6.8 with conc. </w:t>
      </w:r>
      <w:proofErr w:type="spellStart"/>
      <w:r w:rsidRPr="0023574F">
        <w:rPr>
          <w:rFonts w:cs="Times New Roman"/>
          <w:sz w:val="20"/>
          <w:szCs w:val="20"/>
        </w:rPr>
        <w:t>HCl</w:t>
      </w:r>
      <w:proofErr w:type="spellEnd"/>
      <w:r w:rsidRPr="0023574F">
        <w:rPr>
          <w:rFonts w:cs="Times New Roman"/>
          <w:sz w:val="20"/>
          <w:szCs w:val="20"/>
        </w:rPr>
        <w:t xml:space="preserve"> and the volume was completed to100 ml by distilled water .The solution</w:t>
      </w:r>
      <w:r w:rsidR="00BD3BCB" w:rsidRPr="0023574F">
        <w:rPr>
          <w:rFonts w:cs="Times New Roman"/>
          <w:sz w:val="20"/>
          <w:szCs w:val="20"/>
        </w:rPr>
        <w:t xml:space="preserve"> was filtered and stored at 4°C</w:t>
      </w:r>
      <w:r w:rsidR="00E97E73">
        <w:rPr>
          <w:rFonts w:cs="Times New Roman"/>
          <w:sz w:val="20"/>
          <w:szCs w:val="20"/>
        </w:rPr>
        <w:t xml:space="preserve">. </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SDS solution (10%):</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Dissolve 10 gm SDS in 90 ml distilled water with gentle stirring and up to 100 ml stored at room temperature.</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 xml:space="preserve">Initiator (10% Ammonium </w:t>
      </w:r>
      <w:proofErr w:type="spellStart"/>
      <w:r w:rsidRPr="0023574F">
        <w:rPr>
          <w:rFonts w:cs="Times New Roman"/>
          <w:b/>
          <w:bCs/>
          <w:sz w:val="20"/>
          <w:szCs w:val="20"/>
        </w:rPr>
        <w:t>persulfate</w:t>
      </w:r>
      <w:proofErr w:type="spellEnd"/>
      <w:r w:rsidRPr="0023574F">
        <w:rPr>
          <w:rFonts w:cs="Times New Roman"/>
          <w:b/>
          <w:bCs/>
          <w:sz w:val="20"/>
          <w:szCs w:val="20"/>
        </w:rPr>
        <w:t>, APS):</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 xml:space="preserve">dissolve 100 mg APS in 1ml distilled </w:t>
      </w:r>
      <w:proofErr w:type="spellStart"/>
      <w:r w:rsidRPr="0023574F">
        <w:rPr>
          <w:rFonts w:cs="Times New Roman"/>
          <w:sz w:val="20"/>
          <w:szCs w:val="20"/>
        </w:rPr>
        <w:t>waterto</w:t>
      </w:r>
      <w:proofErr w:type="spellEnd"/>
      <w:r w:rsidRPr="0023574F">
        <w:rPr>
          <w:rFonts w:cs="Times New Roman"/>
          <w:sz w:val="20"/>
          <w:szCs w:val="20"/>
        </w:rPr>
        <w:t xml:space="preserve"> make the 10% ammonium </w:t>
      </w:r>
      <w:proofErr w:type="spellStart"/>
      <w:r w:rsidRPr="0023574F">
        <w:rPr>
          <w:rFonts w:cs="Times New Roman"/>
          <w:sz w:val="20"/>
          <w:szCs w:val="20"/>
        </w:rPr>
        <w:t>persulfate</w:t>
      </w:r>
      <w:proofErr w:type="spellEnd"/>
      <w:r w:rsidRPr="0023574F">
        <w:rPr>
          <w:rFonts w:cs="Times New Roman"/>
          <w:sz w:val="20"/>
          <w:szCs w:val="20"/>
        </w:rPr>
        <w:t xml:space="preserve"> solution (freshly prepared).</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Activator TEMED</w:t>
      </w:r>
      <w:r w:rsidRPr="0023574F">
        <w:rPr>
          <w:rFonts w:cs="Times New Roman"/>
          <w:sz w:val="20"/>
          <w:szCs w:val="20"/>
        </w:rPr>
        <w:t xml:space="preserve"> (N,N,N,N- </w:t>
      </w:r>
      <w:proofErr w:type="spellStart"/>
      <w:r w:rsidRPr="0023574F">
        <w:rPr>
          <w:rFonts w:cs="Times New Roman"/>
          <w:sz w:val="20"/>
          <w:szCs w:val="20"/>
        </w:rPr>
        <w:t>tetramethylenediamine</w:t>
      </w:r>
      <w:proofErr w:type="spellEnd"/>
      <w:r w:rsidRPr="0023574F">
        <w:rPr>
          <w:rFonts w:cs="Times New Roman"/>
          <w:sz w:val="20"/>
          <w:szCs w:val="20"/>
        </w:rPr>
        <w:t>).</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Sample buffer :</w:t>
      </w:r>
      <w:r w:rsidRPr="0023574F">
        <w:rPr>
          <w:rFonts w:cs="Times New Roman"/>
          <w:sz w:val="20"/>
          <w:szCs w:val="20"/>
        </w:rPr>
        <w:t xml:space="preserve"> ( 0.125M </w:t>
      </w:r>
      <w:proofErr w:type="spellStart"/>
      <w:r w:rsidRPr="0023574F">
        <w:rPr>
          <w:rFonts w:cs="Times New Roman"/>
          <w:sz w:val="20"/>
          <w:szCs w:val="20"/>
        </w:rPr>
        <w:t>Tris</w:t>
      </w:r>
      <w:proofErr w:type="spellEnd"/>
      <w:r w:rsidRPr="0023574F">
        <w:rPr>
          <w:rFonts w:cs="Times New Roman"/>
          <w:sz w:val="20"/>
          <w:szCs w:val="20"/>
        </w:rPr>
        <w:t>, 4 % SDS, 20 % glycerol, 10 %</w:t>
      </w:r>
      <w:r w:rsidR="004048ED">
        <w:rPr>
          <w:rFonts w:cs="Times New Roman"/>
          <w:sz w:val="20"/>
          <w:szCs w:val="20"/>
        </w:rPr>
        <w:t xml:space="preserve"> </w:t>
      </w:r>
      <w:r w:rsidRPr="0023574F">
        <w:rPr>
          <w:rFonts w:cs="Times New Roman"/>
          <w:sz w:val="20"/>
          <w:szCs w:val="20"/>
        </w:rPr>
        <w:t xml:space="preserve">2-mercaptoethanol and (0.002% </w:t>
      </w:r>
      <w:proofErr w:type="spellStart"/>
      <w:r w:rsidRPr="0023574F">
        <w:rPr>
          <w:rFonts w:cs="Times New Roman"/>
          <w:sz w:val="20"/>
          <w:szCs w:val="20"/>
        </w:rPr>
        <w:t>bromophenol</w:t>
      </w:r>
      <w:proofErr w:type="spellEnd"/>
      <w:r w:rsidRPr="0023574F">
        <w:rPr>
          <w:rFonts w:cs="Times New Roman"/>
          <w:sz w:val="20"/>
          <w:szCs w:val="20"/>
        </w:rPr>
        <w:t xml:space="preserve"> blue):</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 xml:space="preserve">1.51 gm of </w:t>
      </w:r>
      <w:proofErr w:type="spellStart"/>
      <w:r w:rsidRPr="0023574F">
        <w:rPr>
          <w:rFonts w:cs="Times New Roman"/>
          <w:sz w:val="20"/>
          <w:szCs w:val="20"/>
        </w:rPr>
        <w:t>Tris</w:t>
      </w:r>
      <w:proofErr w:type="spellEnd"/>
      <w:r w:rsidRPr="0023574F">
        <w:rPr>
          <w:rFonts w:cs="Times New Roman"/>
          <w:sz w:val="20"/>
          <w:szCs w:val="20"/>
        </w:rPr>
        <w:t xml:space="preserve"> and 20 ml of glycerol were dissolved with 35 ml of water. The pH was adjusted to 6.75 with conc. </w:t>
      </w:r>
      <w:proofErr w:type="spellStart"/>
      <w:r w:rsidRPr="0023574F">
        <w:rPr>
          <w:rFonts w:cs="Times New Roman"/>
          <w:sz w:val="20"/>
          <w:szCs w:val="20"/>
        </w:rPr>
        <w:t>HCl</w:t>
      </w:r>
      <w:proofErr w:type="spellEnd"/>
      <w:r w:rsidRPr="0023574F">
        <w:rPr>
          <w:rFonts w:cs="Times New Roman"/>
          <w:sz w:val="20"/>
          <w:szCs w:val="20"/>
        </w:rPr>
        <w:t xml:space="preserve"> and 4 gm SDS, 10 ml 2-mercaptoethanol, 0.002 </w:t>
      </w:r>
      <w:proofErr w:type="spellStart"/>
      <w:r w:rsidRPr="0023574F">
        <w:rPr>
          <w:rFonts w:cs="Times New Roman"/>
          <w:sz w:val="20"/>
          <w:szCs w:val="20"/>
        </w:rPr>
        <w:t>gmbromophenol</w:t>
      </w:r>
      <w:proofErr w:type="spellEnd"/>
      <w:r w:rsidRPr="0023574F">
        <w:rPr>
          <w:rFonts w:cs="Times New Roman"/>
          <w:sz w:val="20"/>
          <w:szCs w:val="20"/>
        </w:rPr>
        <w:t xml:space="preserve"> blue were added. The final volume was completed to 100 ml with distilled water. The solution was shaken to dissolve </w:t>
      </w:r>
      <w:proofErr w:type="spellStart"/>
      <w:r w:rsidRPr="0023574F">
        <w:rPr>
          <w:rFonts w:cs="Times New Roman"/>
          <w:sz w:val="20"/>
          <w:szCs w:val="20"/>
        </w:rPr>
        <w:t>bromophenol</w:t>
      </w:r>
      <w:proofErr w:type="spellEnd"/>
      <w:r w:rsidRPr="0023574F">
        <w:rPr>
          <w:rFonts w:cs="Times New Roman"/>
          <w:sz w:val="20"/>
          <w:szCs w:val="20"/>
        </w:rPr>
        <w:t xml:space="preserve"> blue and stored at -20°C.</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Tank buffer</w:t>
      </w:r>
      <w:r w:rsidRPr="0023574F">
        <w:rPr>
          <w:rFonts w:cs="Times New Roman"/>
          <w:sz w:val="20"/>
          <w:szCs w:val="20"/>
        </w:rPr>
        <w:t xml:space="preserve"> (electrode buffer pH 8.3, 0.05 M </w:t>
      </w:r>
      <w:proofErr w:type="spellStart"/>
      <w:r w:rsidRPr="0023574F">
        <w:rPr>
          <w:rFonts w:cs="Times New Roman"/>
          <w:sz w:val="20"/>
          <w:szCs w:val="20"/>
        </w:rPr>
        <w:t>Tris</w:t>
      </w:r>
      <w:proofErr w:type="spellEnd"/>
      <w:r w:rsidRPr="0023574F">
        <w:rPr>
          <w:rFonts w:cs="Times New Roman"/>
          <w:sz w:val="20"/>
          <w:szCs w:val="20"/>
        </w:rPr>
        <w:t xml:space="preserve">, 0.192 M </w:t>
      </w:r>
      <w:proofErr w:type="spellStart"/>
      <w:r w:rsidRPr="0023574F">
        <w:rPr>
          <w:rFonts w:cs="Times New Roman"/>
          <w:sz w:val="20"/>
          <w:szCs w:val="20"/>
        </w:rPr>
        <w:t>Glycine</w:t>
      </w:r>
      <w:proofErr w:type="spellEnd"/>
      <w:r w:rsidRPr="0023574F">
        <w:rPr>
          <w:rFonts w:cs="Times New Roman"/>
          <w:sz w:val="20"/>
          <w:szCs w:val="20"/>
        </w:rPr>
        <w:t xml:space="preserve"> and 0.1% SDS):</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 xml:space="preserve">It was prepared by dissolving 15 gm of </w:t>
      </w:r>
      <w:proofErr w:type="spellStart"/>
      <w:r w:rsidRPr="0023574F">
        <w:rPr>
          <w:rFonts w:cs="Times New Roman"/>
          <w:sz w:val="20"/>
          <w:szCs w:val="20"/>
        </w:rPr>
        <w:t>Tris</w:t>
      </w:r>
      <w:proofErr w:type="spellEnd"/>
      <w:r w:rsidRPr="0023574F">
        <w:rPr>
          <w:rFonts w:cs="Times New Roman"/>
          <w:sz w:val="20"/>
          <w:szCs w:val="20"/>
        </w:rPr>
        <w:t xml:space="preserve"> and 72.2 gm of </w:t>
      </w:r>
      <w:proofErr w:type="spellStart"/>
      <w:r w:rsidRPr="0023574F">
        <w:rPr>
          <w:rFonts w:cs="Times New Roman"/>
          <w:sz w:val="20"/>
          <w:szCs w:val="20"/>
        </w:rPr>
        <w:t>Glycine</w:t>
      </w:r>
      <w:proofErr w:type="spellEnd"/>
      <w:r w:rsidRPr="0023574F">
        <w:rPr>
          <w:rFonts w:cs="Times New Roman"/>
          <w:sz w:val="20"/>
          <w:szCs w:val="20"/>
        </w:rPr>
        <w:t xml:space="preserve"> and 5 gm SDS in suitable amount of distilled water. The final volume was completed to 5 liter with distilled water and store at 4°C.</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 xml:space="preserve">Staining solution </w:t>
      </w:r>
      <w:r w:rsidRPr="0023574F">
        <w:rPr>
          <w:rFonts w:cs="Times New Roman"/>
          <w:sz w:val="20"/>
          <w:szCs w:val="20"/>
        </w:rPr>
        <w:t>(0.025% CBB R- 250, 40% methanol , 7% glacial acetic acid):</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 xml:space="preserve">0.125 gm of </w:t>
      </w:r>
      <w:proofErr w:type="spellStart"/>
      <w:r w:rsidRPr="0023574F">
        <w:rPr>
          <w:rFonts w:cs="Times New Roman"/>
          <w:sz w:val="20"/>
          <w:szCs w:val="20"/>
        </w:rPr>
        <w:t>Coomassie</w:t>
      </w:r>
      <w:proofErr w:type="spellEnd"/>
      <w:r w:rsidRPr="0023574F">
        <w:rPr>
          <w:rFonts w:cs="Times New Roman"/>
          <w:sz w:val="20"/>
          <w:szCs w:val="20"/>
        </w:rPr>
        <w:t xml:space="preserve"> Brilliant Blue (CBB) was dissolved in 200 ml of methanol and 35 ml of glacial acetic acid, distilled water was added to make </w:t>
      </w:r>
      <w:r w:rsidRPr="0023574F">
        <w:rPr>
          <w:rFonts w:cs="Times New Roman"/>
          <w:sz w:val="20"/>
          <w:szCs w:val="20"/>
        </w:rPr>
        <w:lastRenderedPageBreak/>
        <w:t>final volume of 500 ml, the solution was filtered and stored at room temperature.</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proofErr w:type="spellStart"/>
      <w:r w:rsidRPr="0023574F">
        <w:rPr>
          <w:rFonts w:cs="Times New Roman"/>
          <w:b/>
          <w:bCs/>
          <w:sz w:val="20"/>
          <w:szCs w:val="20"/>
        </w:rPr>
        <w:t>Destaining</w:t>
      </w:r>
      <w:proofErr w:type="spellEnd"/>
      <w:r w:rsidRPr="0023574F">
        <w:rPr>
          <w:rFonts w:cs="Times New Roman"/>
          <w:b/>
          <w:bCs/>
          <w:sz w:val="20"/>
          <w:szCs w:val="20"/>
        </w:rPr>
        <w:t xml:space="preserve"> solution І</w:t>
      </w:r>
      <w:r w:rsidRPr="0023574F">
        <w:rPr>
          <w:rFonts w:cs="Times New Roman"/>
          <w:sz w:val="20"/>
          <w:szCs w:val="20"/>
        </w:rPr>
        <w:t xml:space="preserve"> (50% methanol, 10% glacial acetic acid):</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500 ml of methanol was mixed with 100 ml of glacial acetic acid and 400 ml of distilled water.</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proofErr w:type="spellStart"/>
      <w:r w:rsidRPr="0023574F">
        <w:rPr>
          <w:rFonts w:cs="Times New Roman"/>
          <w:b/>
          <w:bCs/>
          <w:sz w:val="20"/>
          <w:szCs w:val="20"/>
        </w:rPr>
        <w:t>Destaining</w:t>
      </w:r>
      <w:proofErr w:type="spellEnd"/>
      <w:r w:rsidRPr="0023574F">
        <w:rPr>
          <w:rFonts w:cs="Times New Roman"/>
          <w:b/>
          <w:bCs/>
          <w:sz w:val="20"/>
          <w:szCs w:val="20"/>
        </w:rPr>
        <w:t xml:space="preserve"> solution ІІ</w:t>
      </w:r>
      <w:r w:rsidRPr="0023574F">
        <w:rPr>
          <w:rFonts w:cs="Times New Roman"/>
          <w:sz w:val="20"/>
          <w:szCs w:val="20"/>
        </w:rPr>
        <w:t xml:space="preserve"> (5% methanol, 7% glacial acetic acid):</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50 ml of methanol was mixed with 70 ml of glacial acetic acid and 880 ml of distilled water.</w:t>
      </w:r>
    </w:p>
    <w:p w:rsidR="008B35E3" w:rsidRPr="0023574F" w:rsidRDefault="008B35E3" w:rsidP="0023574F">
      <w:pPr>
        <w:pStyle w:val="ListParagraph"/>
        <w:numPr>
          <w:ilvl w:val="0"/>
          <w:numId w:val="19"/>
        </w:numPr>
        <w:autoSpaceDE w:val="0"/>
        <w:autoSpaceDN w:val="0"/>
        <w:bidi w:val="0"/>
        <w:adjustRightInd w:val="0"/>
        <w:snapToGrid w:val="0"/>
        <w:ind w:left="0" w:firstLine="0"/>
        <w:contextualSpacing/>
        <w:jc w:val="both"/>
        <w:rPr>
          <w:rFonts w:cs="Times New Roman"/>
          <w:sz w:val="20"/>
          <w:szCs w:val="20"/>
        </w:rPr>
      </w:pPr>
      <w:r w:rsidRPr="0023574F">
        <w:rPr>
          <w:rFonts w:cs="Times New Roman"/>
          <w:b/>
          <w:bCs/>
          <w:sz w:val="20"/>
          <w:szCs w:val="20"/>
        </w:rPr>
        <w:t>Protein marker:</w:t>
      </w:r>
    </w:p>
    <w:p w:rsidR="008B35E3" w:rsidRPr="0023574F" w:rsidRDefault="008B35E3" w:rsidP="0023574F">
      <w:pPr>
        <w:pStyle w:val="ListParagraph"/>
        <w:autoSpaceDE w:val="0"/>
        <w:autoSpaceDN w:val="0"/>
        <w:bidi w:val="0"/>
        <w:adjustRightInd w:val="0"/>
        <w:snapToGrid w:val="0"/>
        <w:ind w:left="0" w:firstLine="425"/>
        <w:jc w:val="both"/>
        <w:rPr>
          <w:rFonts w:cs="Times New Roman"/>
          <w:sz w:val="20"/>
          <w:szCs w:val="20"/>
        </w:rPr>
      </w:pPr>
      <w:r w:rsidRPr="0023574F">
        <w:rPr>
          <w:rFonts w:cs="Times New Roman"/>
          <w:sz w:val="20"/>
          <w:szCs w:val="20"/>
        </w:rPr>
        <w:t>Wide range molecular weight protein marker produced by (</w:t>
      </w:r>
      <w:proofErr w:type="spellStart"/>
      <w:r w:rsidRPr="0023574F">
        <w:rPr>
          <w:rFonts w:cs="Times New Roman"/>
          <w:sz w:val="20"/>
          <w:szCs w:val="20"/>
        </w:rPr>
        <w:t>Fermentas</w:t>
      </w:r>
      <w:proofErr w:type="spellEnd"/>
      <w:r w:rsidRPr="0023574F">
        <w:rPr>
          <w:rFonts w:cs="Times New Roman"/>
          <w:sz w:val="20"/>
          <w:szCs w:val="20"/>
        </w:rPr>
        <w:t xml:space="preserve">). The protein marker is a mixture of 9 recombinant, highly purified proteins ranged from 10-250 </w:t>
      </w:r>
      <w:proofErr w:type="spellStart"/>
      <w:r w:rsidRPr="0023574F">
        <w:rPr>
          <w:rFonts w:cs="Times New Roman"/>
          <w:sz w:val="20"/>
          <w:szCs w:val="20"/>
        </w:rPr>
        <w:t>KDa</w:t>
      </w:r>
      <w:proofErr w:type="spellEnd"/>
      <w:r w:rsidRPr="0023574F">
        <w:rPr>
          <w:rFonts w:cs="Times New Roman"/>
          <w:sz w:val="20"/>
          <w:szCs w:val="20"/>
        </w:rPr>
        <w:t>.</w:t>
      </w:r>
    </w:p>
    <w:p w:rsidR="008B35E3" w:rsidRPr="0023574F" w:rsidRDefault="008B35E3" w:rsidP="0023574F">
      <w:pPr>
        <w:autoSpaceDE w:val="0"/>
        <w:autoSpaceDN w:val="0"/>
        <w:adjustRightInd w:val="0"/>
        <w:snapToGrid w:val="0"/>
        <w:jc w:val="both"/>
        <w:rPr>
          <w:b/>
          <w:bCs/>
          <w:sz w:val="20"/>
          <w:szCs w:val="20"/>
        </w:rPr>
      </w:pPr>
      <w:r w:rsidRPr="0023574F">
        <w:rPr>
          <w:b/>
          <w:bCs/>
          <w:sz w:val="20"/>
          <w:szCs w:val="20"/>
        </w:rPr>
        <w:t>Procedure:</w:t>
      </w:r>
    </w:p>
    <w:p w:rsidR="008B35E3" w:rsidRPr="0023574F" w:rsidRDefault="008B35E3" w:rsidP="0023574F">
      <w:pPr>
        <w:autoSpaceDE w:val="0"/>
        <w:autoSpaceDN w:val="0"/>
        <w:adjustRightInd w:val="0"/>
        <w:snapToGrid w:val="0"/>
        <w:jc w:val="both"/>
        <w:rPr>
          <w:b/>
          <w:bCs/>
          <w:sz w:val="20"/>
          <w:szCs w:val="20"/>
        </w:rPr>
      </w:pPr>
      <w:r w:rsidRPr="0023574F">
        <w:rPr>
          <w:b/>
          <w:bCs/>
          <w:sz w:val="20"/>
          <w:szCs w:val="20"/>
        </w:rPr>
        <w:t>1.The separating gel solution (12 %, 1.5mm thick):</w:t>
      </w:r>
    </w:p>
    <w:p w:rsidR="008B35E3" w:rsidRPr="0023574F" w:rsidRDefault="008B35E3" w:rsidP="0023574F">
      <w:pPr>
        <w:autoSpaceDE w:val="0"/>
        <w:autoSpaceDN w:val="0"/>
        <w:adjustRightInd w:val="0"/>
        <w:snapToGrid w:val="0"/>
        <w:ind w:firstLine="425"/>
        <w:jc w:val="both"/>
        <w:rPr>
          <w:sz w:val="20"/>
          <w:szCs w:val="20"/>
        </w:rPr>
      </w:pPr>
      <w:r w:rsidRPr="0023574F">
        <w:rPr>
          <w:sz w:val="20"/>
          <w:szCs w:val="20"/>
        </w:rPr>
        <w:t>It consists of 20</w:t>
      </w:r>
      <w:r w:rsidR="00F06756">
        <w:rPr>
          <w:sz w:val="20"/>
          <w:szCs w:val="20"/>
        </w:rPr>
        <w:t xml:space="preserve"> ml (30%) </w:t>
      </w:r>
      <w:proofErr w:type="spellStart"/>
      <w:r w:rsidR="00F06756">
        <w:rPr>
          <w:sz w:val="20"/>
          <w:szCs w:val="20"/>
        </w:rPr>
        <w:t>polyacrlamide</w:t>
      </w:r>
      <w:proofErr w:type="spellEnd"/>
      <w:r w:rsidR="00F06756">
        <w:rPr>
          <w:sz w:val="20"/>
          <w:szCs w:val="20"/>
        </w:rPr>
        <w:t xml:space="preserve"> for (15</w:t>
      </w:r>
      <w:r w:rsidRPr="0023574F">
        <w:rPr>
          <w:sz w:val="20"/>
          <w:szCs w:val="20"/>
        </w:rPr>
        <w:t xml:space="preserve">% </w:t>
      </w:r>
      <w:proofErr w:type="spellStart"/>
      <w:r w:rsidRPr="0023574F">
        <w:rPr>
          <w:sz w:val="20"/>
          <w:szCs w:val="20"/>
        </w:rPr>
        <w:t>acrylamide</w:t>
      </w:r>
      <w:proofErr w:type="spellEnd"/>
      <w:r w:rsidRPr="0023574F">
        <w:rPr>
          <w:sz w:val="20"/>
          <w:szCs w:val="20"/>
        </w:rPr>
        <w:t xml:space="preserve">), 12.5 ml (1.5M) </w:t>
      </w:r>
      <w:proofErr w:type="spellStart"/>
      <w:r w:rsidRPr="0023574F">
        <w:rPr>
          <w:sz w:val="20"/>
          <w:szCs w:val="20"/>
        </w:rPr>
        <w:t>Tris</w:t>
      </w:r>
      <w:proofErr w:type="spellEnd"/>
      <w:r w:rsidRPr="0023574F">
        <w:rPr>
          <w:sz w:val="20"/>
          <w:szCs w:val="20"/>
        </w:rPr>
        <w:t xml:space="preserve"> buffer pH 8.8, 0.5 ml of 10% SDS solution, 0.5 ml of (10%) ammonium </w:t>
      </w:r>
      <w:proofErr w:type="spellStart"/>
      <w:r w:rsidRPr="0023574F">
        <w:rPr>
          <w:sz w:val="20"/>
          <w:szCs w:val="20"/>
        </w:rPr>
        <w:t>persulphate</w:t>
      </w:r>
      <w:proofErr w:type="spellEnd"/>
      <w:r w:rsidRPr="0023574F">
        <w:rPr>
          <w:sz w:val="20"/>
          <w:szCs w:val="20"/>
        </w:rPr>
        <w:t xml:space="preserve"> solution and 0.02 ml TEMED. The final volume was completed to 50 ml by distilled water. The mixture was transferred to assembled sandwich into the dual gel casters. Immediately overly the monomer solution with a thin layer of water – saturated n-</w:t>
      </w:r>
      <w:proofErr w:type="spellStart"/>
      <w:r w:rsidRPr="0023574F">
        <w:rPr>
          <w:sz w:val="20"/>
          <w:szCs w:val="20"/>
        </w:rPr>
        <w:t>butanol</w:t>
      </w:r>
      <w:proofErr w:type="spellEnd"/>
      <w:r w:rsidRPr="0023574F">
        <w:rPr>
          <w:sz w:val="20"/>
          <w:szCs w:val="20"/>
        </w:rPr>
        <w:t xml:space="preserve"> or water to prevent gel exposure to oxygen. Allow the gel to polymerize for 45 minutes to 1 hour. After polymerization, the overlay was poured off and the surface was rinsed several times with distilled water.</w:t>
      </w:r>
    </w:p>
    <w:p w:rsidR="008B35E3" w:rsidRPr="0023574F" w:rsidRDefault="008B35E3" w:rsidP="0023574F">
      <w:pPr>
        <w:autoSpaceDE w:val="0"/>
        <w:autoSpaceDN w:val="0"/>
        <w:adjustRightInd w:val="0"/>
        <w:snapToGrid w:val="0"/>
        <w:jc w:val="both"/>
        <w:rPr>
          <w:sz w:val="20"/>
          <w:szCs w:val="20"/>
        </w:rPr>
      </w:pPr>
      <w:r w:rsidRPr="0023574F">
        <w:rPr>
          <w:b/>
          <w:bCs/>
          <w:sz w:val="20"/>
          <w:szCs w:val="20"/>
        </w:rPr>
        <w:t xml:space="preserve">2. Stacking gel (4% </w:t>
      </w:r>
      <w:proofErr w:type="spellStart"/>
      <w:r w:rsidRPr="0023574F">
        <w:rPr>
          <w:b/>
          <w:bCs/>
          <w:sz w:val="20"/>
          <w:szCs w:val="20"/>
        </w:rPr>
        <w:t>acrylamide</w:t>
      </w:r>
      <w:proofErr w:type="spellEnd"/>
      <w:r w:rsidRPr="0023574F">
        <w:rPr>
          <w:b/>
          <w:bCs/>
          <w:sz w:val="20"/>
          <w:szCs w:val="20"/>
        </w:rPr>
        <w:t>):</w:t>
      </w:r>
    </w:p>
    <w:p w:rsidR="008B35E3" w:rsidRPr="0023574F" w:rsidRDefault="008B35E3" w:rsidP="0023574F">
      <w:pPr>
        <w:autoSpaceDE w:val="0"/>
        <w:autoSpaceDN w:val="0"/>
        <w:adjustRightInd w:val="0"/>
        <w:snapToGrid w:val="0"/>
        <w:ind w:firstLine="425"/>
        <w:jc w:val="both"/>
        <w:rPr>
          <w:sz w:val="20"/>
          <w:szCs w:val="20"/>
        </w:rPr>
      </w:pPr>
      <w:r w:rsidRPr="0023574F">
        <w:rPr>
          <w:sz w:val="20"/>
          <w:szCs w:val="20"/>
        </w:rPr>
        <w:t xml:space="preserve">It consist of 1.7 ml (30%) </w:t>
      </w:r>
      <w:proofErr w:type="spellStart"/>
      <w:r w:rsidRPr="0023574F">
        <w:rPr>
          <w:sz w:val="20"/>
          <w:szCs w:val="20"/>
        </w:rPr>
        <w:t>polyacrlamide</w:t>
      </w:r>
      <w:proofErr w:type="spellEnd"/>
      <w:r w:rsidRPr="0023574F">
        <w:rPr>
          <w:sz w:val="20"/>
          <w:szCs w:val="20"/>
        </w:rPr>
        <w:t xml:space="preserve">, 1.25 ml (0.5M) </w:t>
      </w:r>
      <w:proofErr w:type="spellStart"/>
      <w:r w:rsidRPr="0023574F">
        <w:rPr>
          <w:sz w:val="20"/>
          <w:szCs w:val="20"/>
        </w:rPr>
        <w:t>Tris</w:t>
      </w:r>
      <w:proofErr w:type="spellEnd"/>
      <w:r w:rsidRPr="0023574F">
        <w:rPr>
          <w:sz w:val="20"/>
          <w:szCs w:val="20"/>
        </w:rPr>
        <w:t xml:space="preserve"> buffer pH 6.8, 0.1 ml of 10% SDS solution, 0.1 ml (10%) ammonium </w:t>
      </w:r>
      <w:proofErr w:type="spellStart"/>
      <w:r w:rsidRPr="0023574F">
        <w:rPr>
          <w:sz w:val="20"/>
          <w:szCs w:val="20"/>
        </w:rPr>
        <w:t>persulphate</w:t>
      </w:r>
      <w:proofErr w:type="spellEnd"/>
      <w:r w:rsidRPr="0023574F">
        <w:rPr>
          <w:sz w:val="20"/>
          <w:szCs w:val="20"/>
        </w:rPr>
        <w:t xml:space="preserve"> and 0.01 ml TEMED. The final volume was completed to 10 ml by distilled water. The mixture was transferred into the sandwich and poured over the separation gel. A comb was placed completely into assembled gel sandwich and the gel was allowed to be polymerized for 30-45 minutes. The comb was removed by pulling it straight up slowly and gently. The wells were completely filled with tank buffer and the gels were ready for loading the samples to run.</w:t>
      </w:r>
    </w:p>
    <w:p w:rsidR="008B35E3" w:rsidRPr="0023574F" w:rsidRDefault="008B35E3" w:rsidP="0023574F">
      <w:pPr>
        <w:autoSpaceDE w:val="0"/>
        <w:autoSpaceDN w:val="0"/>
        <w:adjustRightInd w:val="0"/>
        <w:snapToGrid w:val="0"/>
        <w:jc w:val="both"/>
        <w:rPr>
          <w:sz w:val="20"/>
          <w:szCs w:val="20"/>
        </w:rPr>
      </w:pPr>
      <w:r w:rsidRPr="0023574F">
        <w:rPr>
          <w:b/>
          <w:bCs/>
          <w:sz w:val="20"/>
          <w:szCs w:val="20"/>
        </w:rPr>
        <w:t>3. Preparation of the samples for fractionation on SDS – PAGE</w:t>
      </w:r>
      <w:r w:rsidRPr="0023574F">
        <w:rPr>
          <w:sz w:val="20"/>
          <w:szCs w:val="20"/>
        </w:rPr>
        <w:t>:</w:t>
      </w:r>
      <w:r w:rsidR="00261024">
        <w:rPr>
          <w:sz w:val="20"/>
          <w:szCs w:val="20"/>
        </w:rPr>
        <w:t xml:space="preserve"> </w:t>
      </w:r>
    </w:p>
    <w:p w:rsidR="008B35E3" w:rsidRPr="0023574F" w:rsidRDefault="008B35E3" w:rsidP="0023574F">
      <w:pPr>
        <w:autoSpaceDE w:val="0"/>
        <w:autoSpaceDN w:val="0"/>
        <w:adjustRightInd w:val="0"/>
        <w:snapToGrid w:val="0"/>
        <w:ind w:firstLine="425"/>
        <w:jc w:val="both"/>
        <w:rPr>
          <w:sz w:val="20"/>
          <w:szCs w:val="20"/>
        </w:rPr>
      </w:pPr>
      <w:r w:rsidRPr="0023574F">
        <w:rPr>
          <w:sz w:val="20"/>
          <w:szCs w:val="20"/>
        </w:rPr>
        <w:t xml:space="preserve">To prepare the samples for loading on SDS gel, solution contains 75 µg protein from supernatant of fungal soluble protein was mixed with equal volume of sample buffer </w:t>
      </w:r>
      <w:r w:rsidR="00E97FA7">
        <w:rPr>
          <w:sz w:val="20"/>
          <w:szCs w:val="20"/>
        </w:rPr>
        <w:t>and boiled for 5 min</w:t>
      </w:r>
      <w:r w:rsidRPr="0023574F">
        <w:rPr>
          <w:sz w:val="20"/>
          <w:szCs w:val="20"/>
        </w:rPr>
        <w:t xml:space="preserve"> on water bath.</w:t>
      </w:r>
    </w:p>
    <w:p w:rsidR="008B35E3" w:rsidRPr="0023574F" w:rsidRDefault="008B35E3" w:rsidP="0023574F">
      <w:pPr>
        <w:autoSpaceDE w:val="0"/>
        <w:autoSpaceDN w:val="0"/>
        <w:adjustRightInd w:val="0"/>
        <w:snapToGrid w:val="0"/>
        <w:jc w:val="both"/>
        <w:rPr>
          <w:sz w:val="20"/>
          <w:szCs w:val="20"/>
        </w:rPr>
      </w:pPr>
      <w:r w:rsidRPr="0023574F">
        <w:rPr>
          <w:b/>
          <w:bCs/>
          <w:sz w:val="20"/>
          <w:szCs w:val="20"/>
        </w:rPr>
        <w:t>4. Refraction process:</w:t>
      </w:r>
    </w:p>
    <w:p w:rsidR="008B35E3" w:rsidRPr="0023574F" w:rsidRDefault="008B35E3" w:rsidP="0023574F">
      <w:pPr>
        <w:autoSpaceDE w:val="0"/>
        <w:autoSpaceDN w:val="0"/>
        <w:adjustRightInd w:val="0"/>
        <w:snapToGrid w:val="0"/>
        <w:ind w:firstLine="425"/>
        <w:jc w:val="both"/>
        <w:rPr>
          <w:sz w:val="20"/>
          <w:szCs w:val="20"/>
        </w:rPr>
      </w:pPr>
      <w:r w:rsidRPr="0023574F">
        <w:rPr>
          <w:sz w:val="20"/>
          <w:szCs w:val="20"/>
        </w:rPr>
        <w:t xml:space="preserve">After electrophoresis apparatus was prepared for running, the boiled samples were loaded on wells. To determine the MW of subunits of the </w:t>
      </w:r>
      <w:proofErr w:type="spellStart"/>
      <w:r w:rsidRPr="0023574F">
        <w:rPr>
          <w:sz w:val="20"/>
          <w:szCs w:val="20"/>
        </w:rPr>
        <w:t>refractionated</w:t>
      </w:r>
      <w:proofErr w:type="spellEnd"/>
      <w:r w:rsidRPr="0023574F">
        <w:rPr>
          <w:sz w:val="20"/>
          <w:szCs w:val="20"/>
        </w:rPr>
        <w:t xml:space="preserve"> sample protein 40 µl of a molecular weight protein marker were loaded on the gel in first well. Loading tips were used for loading the samples under the tank </w:t>
      </w:r>
      <w:r w:rsidRPr="0023574F">
        <w:rPr>
          <w:sz w:val="20"/>
          <w:szCs w:val="20"/>
        </w:rPr>
        <w:lastRenderedPageBreak/>
        <w:t>buffer in the wells. The gel sandwiches were removed from the casting stand and were inserted into the electrophoresis chamber. The upper and lower electrophoresis chambers were filled with tank buffer and</w:t>
      </w:r>
      <w:r w:rsidR="004048ED">
        <w:rPr>
          <w:sz w:val="20"/>
          <w:szCs w:val="20"/>
        </w:rPr>
        <w:t xml:space="preserve"> </w:t>
      </w:r>
      <w:proofErr w:type="spellStart"/>
      <w:r w:rsidRPr="0023574F">
        <w:rPr>
          <w:sz w:val="20"/>
          <w:szCs w:val="20"/>
        </w:rPr>
        <w:t>refractionation</w:t>
      </w:r>
      <w:proofErr w:type="spellEnd"/>
      <w:r w:rsidRPr="0023574F">
        <w:rPr>
          <w:sz w:val="20"/>
          <w:szCs w:val="20"/>
        </w:rPr>
        <w:t xml:space="preserve"> process was carried out at room temperature (20 to 25ºC) , 25 </w:t>
      </w:r>
      <w:proofErr w:type="spellStart"/>
      <w:r w:rsidRPr="0023574F">
        <w:rPr>
          <w:sz w:val="20"/>
          <w:szCs w:val="20"/>
        </w:rPr>
        <w:t>mA</w:t>
      </w:r>
      <w:proofErr w:type="spellEnd"/>
      <w:r w:rsidRPr="0023574F">
        <w:rPr>
          <w:sz w:val="20"/>
          <w:szCs w:val="20"/>
        </w:rPr>
        <w:t xml:space="preserve"> and 80-90 V (for each 1.5 mm thick gel) until the dye reached the bottom of the separating gel after</w:t>
      </w:r>
      <w:r w:rsidR="004048ED">
        <w:rPr>
          <w:sz w:val="20"/>
          <w:szCs w:val="20"/>
        </w:rPr>
        <w:t xml:space="preserve"> </w:t>
      </w:r>
      <w:r w:rsidRPr="0023574F">
        <w:rPr>
          <w:sz w:val="20"/>
          <w:szCs w:val="20"/>
        </w:rPr>
        <w:t>˜ 5 hours.</w:t>
      </w:r>
    </w:p>
    <w:p w:rsidR="008B35E3" w:rsidRPr="0023574F" w:rsidRDefault="008B35E3" w:rsidP="0023574F">
      <w:pPr>
        <w:autoSpaceDE w:val="0"/>
        <w:autoSpaceDN w:val="0"/>
        <w:adjustRightInd w:val="0"/>
        <w:snapToGrid w:val="0"/>
        <w:jc w:val="both"/>
        <w:rPr>
          <w:b/>
          <w:bCs/>
          <w:sz w:val="20"/>
          <w:szCs w:val="20"/>
        </w:rPr>
      </w:pPr>
      <w:r w:rsidRPr="0023574F">
        <w:rPr>
          <w:b/>
          <w:bCs/>
          <w:sz w:val="20"/>
          <w:szCs w:val="20"/>
        </w:rPr>
        <w:t xml:space="preserve">5. Staining of SDS </w:t>
      </w:r>
      <w:proofErr w:type="spellStart"/>
      <w:r w:rsidRPr="0023574F">
        <w:rPr>
          <w:b/>
          <w:bCs/>
          <w:sz w:val="20"/>
          <w:szCs w:val="20"/>
        </w:rPr>
        <w:t>refractionated</w:t>
      </w:r>
      <w:proofErr w:type="spellEnd"/>
      <w:r w:rsidRPr="0023574F">
        <w:rPr>
          <w:b/>
          <w:bCs/>
          <w:sz w:val="20"/>
          <w:szCs w:val="20"/>
        </w:rPr>
        <w:t xml:space="preserve"> samples protein</w:t>
      </w:r>
    </w:p>
    <w:p w:rsidR="00814F50" w:rsidRPr="0023574F" w:rsidRDefault="008B35E3" w:rsidP="0023574F">
      <w:pPr>
        <w:autoSpaceDE w:val="0"/>
        <w:autoSpaceDN w:val="0"/>
        <w:adjustRightInd w:val="0"/>
        <w:snapToGrid w:val="0"/>
        <w:ind w:firstLine="425"/>
        <w:jc w:val="both"/>
        <w:rPr>
          <w:sz w:val="20"/>
          <w:szCs w:val="20"/>
        </w:rPr>
      </w:pPr>
      <w:r w:rsidRPr="0023574F">
        <w:rPr>
          <w:sz w:val="20"/>
          <w:szCs w:val="20"/>
        </w:rPr>
        <w:t xml:space="preserve">For </w:t>
      </w:r>
      <w:proofErr w:type="spellStart"/>
      <w:r w:rsidRPr="0023574F">
        <w:rPr>
          <w:sz w:val="20"/>
          <w:szCs w:val="20"/>
        </w:rPr>
        <w:t>visudization</w:t>
      </w:r>
      <w:proofErr w:type="spellEnd"/>
      <w:r w:rsidRPr="0023574F">
        <w:rPr>
          <w:sz w:val="20"/>
          <w:szCs w:val="20"/>
        </w:rPr>
        <w:t xml:space="preserve"> of the subunits of the </w:t>
      </w:r>
      <w:proofErr w:type="spellStart"/>
      <w:r w:rsidRPr="0023574F">
        <w:rPr>
          <w:sz w:val="20"/>
          <w:szCs w:val="20"/>
        </w:rPr>
        <w:t>refractionated</w:t>
      </w:r>
      <w:proofErr w:type="spellEnd"/>
      <w:r w:rsidRPr="0023574F">
        <w:rPr>
          <w:sz w:val="20"/>
          <w:szCs w:val="20"/>
        </w:rPr>
        <w:t xml:space="preserve"> samples protein, the gel was stained for = 24 hrs in 0.1 </w:t>
      </w:r>
      <w:proofErr w:type="spellStart"/>
      <w:r w:rsidRPr="0023574F">
        <w:rPr>
          <w:sz w:val="20"/>
          <w:szCs w:val="20"/>
        </w:rPr>
        <w:t>Coomassie</w:t>
      </w:r>
      <w:proofErr w:type="spellEnd"/>
      <w:r w:rsidRPr="0023574F">
        <w:rPr>
          <w:sz w:val="20"/>
          <w:szCs w:val="20"/>
        </w:rPr>
        <w:t xml:space="preserve"> Brilliant Blue reagent R-250 with gentle shaking .It was </w:t>
      </w:r>
      <w:proofErr w:type="spellStart"/>
      <w:r w:rsidRPr="0023574F">
        <w:rPr>
          <w:sz w:val="20"/>
          <w:szCs w:val="20"/>
        </w:rPr>
        <w:t>destained</w:t>
      </w:r>
      <w:proofErr w:type="spellEnd"/>
      <w:r w:rsidRPr="0023574F">
        <w:rPr>
          <w:sz w:val="20"/>
          <w:szCs w:val="20"/>
        </w:rPr>
        <w:t xml:space="preserve"> for 1 h in </w:t>
      </w:r>
      <w:proofErr w:type="spellStart"/>
      <w:r w:rsidRPr="0023574F">
        <w:rPr>
          <w:sz w:val="20"/>
          <w:szCs w:val="20"/>
        </w:rPr>
        <w:t>destaining</w:t>
      </w:r>
      <w:proofErr w:type="spellEnd"/>
      <w:r w:rsidRPr="0023574F">
        <w:rPr>
          <w:sz w:val="20"/>
          <w:szCs w:val="20"/>
        </w:rPr>
        <w:t xml:space="preserve"> solution (I) and then in </w:t>
      </w:r>
      <w:proofErr w:type="spellStart"/>
      <w:r w:rsidRPr="0023574F">
        <w:rPr>
          <w:sz w:val="20"/>
          <w:szCs w:val="20"/>
        </w:rPr>
        <w:t>destaining</w:t>
      </w:r>
      <w:proofErr w:type="spellEnd"/>
      <w:r w:rsidRPr="0023574F">
        <w:rPr>
          <w:sz w:val="20"/>
          <w:szCs w:val="20"/>
        </w:rPr>
        <w:t xml:space="preserve"> solution (II) until the gel between the protein bands become colorless. After staining the gel was photographed. Scanning molecular weight, using Lab Image version. 2.6 program.</w:t>
      </w:r>
    </w:p>
    <w:p w:rsidR="008B35E3" w:rsidRPr="0023574F" w:rsidRDefault="00FC1060" w:rsidP="0023574F">
      <w:pPr>
        <w:autoSpaceDE w:val="0"/>
        <w:autoSpaceDN w:val="0"/>
        <w:adjustRightInd w:val="0"/>
        <w:snapToGrid w:val="0"/>
        <w:jc w:val="both"/>
        <w:rPr>
          <w:sz w:val="20"/>
          <w:szCs w:val="20"/>
        </w:rPr>
      </w:pPr>
      <w:r w:rsidRPr="0023574F">
        <w:rPr>
          <w:b/>
          <w:bCs/>
          <w:sz w:val="20"/>
          <w:szCs w:val="20"/>
          <w:lang w:bidi="ar-EG"/>
        </w:rPr>
        <w:t>II</w:t>
      </w:r>
      <w:r w:rsidR="008B35E3" w:rsidRPr="0023574F">
        <w:rPr>
          <w:b/>
          <w:bCs/>
          <w:sz w:val="20"/>
          <w:szCs w:val="20"/>
          <w:lang w:bidi="ar-EG"/>
        </w:rPr>
        <w:t>.</w:t>
      </w:r>
      <w:r w:rsidRPr="0023574F">
        <w:rPr>
          <w:b/>
          <w:bCs/>
          <w:sz w:val="20"/>
          <w:szCs w:val="20"/>
          <w:lang w:bidi="ar-EG"/>
        </w:rPr>
        <w:t>3.</w:t>
      </w:r>
      <w:r w:rsidR="008B35E3" w:rsidRPr="0023574F">
        <w:rPr>
          <w:b/>
          <w:bCs/>
          <w:sz w:val="20"/>
          <w:szCs w:val="20"/>
          <w:lang w:bidi="ar-EG"/>
        </w:rPr>
        <w:t xml:space="preserve"> Molecular Techniques:</w:t>
      </w:r>
    </w:p>
    <w:p w:rsidR="008B35E3" w:rsidRPr="0023574F" w:rsidRDefault="008B35E3" w:rsidP="0023574F">
      <w:pPr>
        <w:autoSpaceDE w:val="0"/>
        <w:autoSpaceDN w:val="0"/>
        <w:adjustRightInd w:val="0"/>
        <w:snapToGrid w:val="0"/>
        <w:jc w:val="both"/>
        <w:rPr>
          <w:b/>
          <w:bCs/>
          <w:sz w:val="20"/>
          <w:szCs w:val="20"/>
          <w:lang w:bidi="ar-EG"/>
        </w:rPr>
      </w:pPr>
      <w:r w:rsidRPr="0023574F">
        <w:rPr>
          <w:b/>
          <w:bCs/>
          <w:sz w:val="20"/>
          <w:szCs w:val="20"/>
          <w:lang w:bidi="ar-EG"/>
        </w:rPr>
        <w:t>1. DNA extraction:</w:t>
      </w:r>
    </w:p>
    <w:p w:rsidR="008B35E3" w:rsidRPr="0023574F" w:rsidRDefault="008B35E3" w:rsidP="0023574F">
      <w:pPr>
        <w:autoSpaceDE w:val="0"/>
        <w:autoSpaceDN w:val="0"/>
        <w:adjustRightInd w:val="0"/>
        <w:snapToGrid w:val="0"/>
        <w:ind w:firstLine="425"/>
        <w:jc w:val="both"/>
        <w:rPr>
          <w:sz w:val="20"/>
          <w:szCs w:val="20"/>
          <w:lang w:bidi="ar-EG"/>
        </w:rPr>
      </w:pPr>
      <w:r w:rsidRPr="0023574F">
        <w:rPr>
          <w:sz w:val="20"/>
          <w:szCs w:val="20"/>
          <w:lang w:bidi="ar-EG"/>
        </w:rPr>
        <w:t xml:space="preserve">The extraction of DNA from untreated (control) and treated </w:t>
      </w:r>
      <w:proofErr w:type="spellStart"/>
      <w:r w:rsidRPr="0023574F">
        <w:rPr>
          <w:i/>
          <w:iCs/>
          <w:sz w:val="20"/>
          <w:szCs w:val="20"/>
          <w:lang w:bidi="ar-EG"/>
        </w:rPr>
        <w:t>Fusariumoxysporum</w:t>
      </w:r>
      <w:proofErr w:type="spellEnd"/>
      <w:r w:rsidR="00E97E73">
        <w:rPr>
          <w:i/>
          <w:iCs/>
          <w:sz w:val="20"/>
          <w:szCs w:val="20"/>
          <w:lang w:bidi="ar-EG"/>
        </w:rPr>
        <w:t xml:space="preserve"> </w:t>
      </w:r>
      <w:r w:rsidRPr="0023574F">
        <w:rPr>
          <w:sz w:val="20"/>
          <w:szCs w:val="20"/>
          <w:lang w:bidi="ar-EG"/>
        </w:rPr>
        <w:t>fungus at the LC</w:t>
      </w:r>
      <w:r w:rsidRPr="0023574F">
        <w:rPr>
          <w:sz w:val="20"/>
          <w:szCs w:val="20"/>
          <w:vertAlign w:val="subscript"/>
          <w:lang w:bidi="ar-EG"/>
        </w:rPr>
        <w:t xml:space="preserve">10 </w:t>
      </w:r>
      <w:r w:rsidRPr="0023574F">
        <w:rPr>
          <w:sz w:val="20"/>
          <w:szCs w:val="20"/>
          <w:lang w:bidi="ar-EG"/>
        </w:rPr>
        <w:t xml:space="preserve">concentration of the promising compounds was performed according to </w:t>
      </w:r>
      <w:r w:rsidRPr="0023574F">
        <w:rPr>
          <w:b/>
          <w:bCs/>
          <w:sz w:val="20"/>
          <w:szCs w:val="20"/>
          <w:lang w:bidi="ar-EG"/>
        </w:rPr>
        <w:t xml:space="preserve">Lee and Taylor (1990) </w:t>
      </w:r>
      <w:r w:rsidRPr="0023574F">
        <w:rPr>
          <w:sz w:val="20"/>
          <w:szCs w:val="20"/>
          <w:lang w:bidi="ar-EG"/>
        </w:rPr>
        <w:t>with some modifications.</w:t>
      </w:r>
    </w:p>
    <w:p w:rsidR="008B35E3" w:rsidRPr="0023574F" w:rsidRDefault="008B35E3" w:rsidP="0023574F">
      <w:pPr>
        <w:autoSpaceDE w:val="0"/>
        <w:autoSpaceDN w:val="0"/>
        <w:adjustRightInd w:val="0"/>
        <w:snapToGrid w:val="0"/>
        <w:ind w:firstLine="425"/>
        <w:jc w:val="both"/>
        <w:rPr>
          <w:sz w:val="20"/>
          <w:szCs w:val="20"/>
        </w:rPr>
      </w:pPr>
      <w:r w:rsidRPr="0023574F">
        <w:rPr>
          <w:sz w:val="20"/>
          <w:szCs w:val="20"/>
        </w:rPr>
        <w:t xml:space="preserve">Lyophilized mycelium of </w:t>
      </w:r>
      <w:proofErr w:type="spellStart"/>
      <w:r w:rsidRPr="0023574F">
        <w:rPr>
          <w:i/>
          <w:iCs/>
          <w:sz w:val="20"/>
          <w:szCs w:val="20"/>
        </w:rPr>
        <w:t>Fusariumoxysporum</w:t>
      </w:r>
      <w:proofErr w:type="spellEnd"/>
      <w:r w:rsidRPr="0023574F">
        <w:rPr>
          <w:sz w:val="20"/>
          <w:szCs w:val="20"/>
        </w:rPr>
        <w:t xml:space="preserve"> (60 mg) was ground in the presence of liquid nitrogen and mixed with 400 µl </w:t>
      </w:r>
      <w:proofErr w:type="spellStart"/>
      <w:r w:rsidRPr="0023574F">
        <w:rPr>
          <w:sz w:val="20"/>
          <w:szCs w:val="20"/>
        </w:rPr>
        <w:t>lysis</w:t>
      </w:r>
      <w:proofErr w:type="spellEnd"/>
      <w:r w:rsidRPr="0023574F">
        <w:rPr>
          <w:sz w:val="20"/>
          <w:szCs w:val="20"/>
        </w:rPr>
        <w:t xml:space="preserve"> buffer (50 </w:t>
      </w:r>
      <w:proofErr w:type="spellStart"/>
      <w:r w:rsidRPr="0023574F">
        <w:rPr>
          <w:sz w:val="20"/>
          <w:szCs w:val="20"/>
        </w:rPr>
        <w:t>mM</w:t>
      </w:r>
      <w:proofErr w:type="spellEnd"/>
      <w:r w:rsidR="00E97E73">
        <w:rPr>
          <w:sz w:val="20"/>
          <w:szCs w:val="20"/>
        </w:rPr>
        <w:t xml:space="preserve"> </w:t>
      </w:r>
      <w:proofErr w:type="spellStart"/>
      <w:r w:rsidRPr="0023574F">
        <w:rPr>
          <w:sz w:val="20"/>
          <w:szCs w:val="20"/>
        </w:rPr>
        <w:t>TrisHCl</w:t>
      </w:r>
      <w:proofErr w:type="spellEnd"/>
      <w:r w:rsidRPr="0023574F">
        <w:rPr>
          <w:sz w:val="20"/>
          <w:szCs w:val="20"/>
        </w:rPr>
        <w:t xml:space="preserve">, pH 7.2, 50 </w:t>
      </w:r>
      <w:proofErr w:type="spellStart"/>
      <w:r w:rsidRPr="0023574F">
        <w:rPr>
          <w:sz w:val="20"/>
          <w:szCs w:val="20"/>
        </w:rPr>
        <w:t>mM</w:t>
      </w:r>
      <w:proofErr w:type="spellEnd"/>
      <w:r w:rsidRPr="0023574F">
        <w:rPr>
          <w:sz w:val="20"/>
          <w:szCs w:val="20"/>
        </w:rPr>
        <w:t xml:space="preserve"> Na-EDTA, pH 8.0, 3% SDS and 1% 2-mercaptoethanol) at the rate of 1 gm/20 ml and </w:t>
      </w:r>
      <w:proofErr w:type="spellStart"/>
      <w:r w:rsidRPr="0023574F">
        <w:rPr>
          <w:sz w:val="20"/>
          <w:szCs w:val="20"/>
        </w:rPr>
        <w:t>vortexed</w:t>
      </w:r>
      <w:proofErr w:type="spellEnd"/>
      <w:r w:rsidRPr="0023574F">
        <w:rPr>
          <w:sz w:val="20"/>
          <w:szCs w:val="20"/>
        </w:rPr>
        <w:t xml:space="preserve"> gently.</w:t>
      </w:r>
      <w:r w:rsidR="004048ED">
        <w:rPr>
          <w:sz w:val="20"/>
          <w:szCs w:val="20"/>
        </w:rPr>
        <w:t xml:space="preserve"> </w:t>
      </w:r>
      <w:r w:rsidRPr="0023574F">
        <w:rPr>
          <w:sz w:val="20"/>
          <w:szCs w:val="20"/>
        </w:rPr>
        <w:t xml:space="preserve">The suspension was then incubated at 65ºC for 1h in a water bath followed by addition of 400 µl of phenol/ saturated with </w:t>
      </w:r>
      <w:proofErr w:type="spellStart"/>
      <w:r w:rsidRPr="0023574F">
        <w:rPr>
          <w:sz w:val="20"/>
          <w:szCs w:val="20"/>
        </w:rPr>
        <w:t>Tris-HCl</w:t>
      </w:r>
      <w:proofErr w:type="spellEnd"/>
      <w:r w:rsidRPr="0023574F">
        <w:rPr>
          <w:sz w:val="20"/>
          <w:szCs w:val="20"/>
        </w:rPr>
        <w:t xml:space="preserve"> (pH 8.0) and centrifuged in a </w:t>
      </w:r>
      <w:proofErr w:type="spellStart"/>
      <w:r w:rsidRPr="0023574F">
        <w:rPr>
          <w:sz w:val="20"/>
          <w:szCs w:val="20"/>
        </w:rPr>
        <w:t>microfuge</w:t>
      </w:r>
      <w:proofErr w:type="spellEnd"/>
      <w:r w:rsidRPr="0023574F">
        <w:rPr>
          <w:sz w:val="20"/>
          <w:szCs w:val="20"/>
        </w:rPr>
        <w:t xml:space="preserve"> (</w:t>
      </w:r>
      <w:proofErr w:type="spellStart"/>
      <w:r w:rsidRPr="0023574F">
        <w:rPr>
          <w:sz w:val="20"/>
          <w:szCs w:val="20"/>
        </w:rPr>
        <w:t>Eppendorf</w:t>
      </w:r>
      <w:proofErr w:type="spellEnd"/>
      <w:r w:rsidRPr="0023574F">
        <w:rPr>
          <w:sz w:val="20"/>
          <w:szCs w:val="20"/>
        </w:rPr>
        <w:t>, USA) at 10,000 rpm for 15 min. at 4ºC.</w:t>
      </w:r>
      <w:r w:rsidR="004048ED">
        <w:rPr>
          <w:sz w:val="20"/>
          <w:szCs w:val="20"/>
        </w:rPr>
        <w:t xml:space="preserve"> </w:t>
      </w:r>
      <w:r w:rsidRPr="0023574F">
        <w:rPr>
          <w:sz w:val="20"/>
          <w:szCs w:val="20"/>
        </w:rPr>
        <w:t xml:space="preserve">The aqueous phase containing the DNA was transferred into a fresh tube, and an equal volume of </w:t>
      </w:r>
      <w:proofErr w:type="spellStart"/>
      <w:r w:rsidRPr="0023574F">
        <w:rPr>
          <w:sz w:val="20"/>
          <w:szCs w:val="20"/>
        </w:rPr>
        <w:t>phenol:chloroform</w:t>
      </w:r>
      <w:proofErr w:type="spellEnd"/>
      <w:r w:rsidRPr="0023574F">
        <w:rPr>
          <w:sz w:val="20"/>
          <w:szCs w:val="20"/>
        </w:rPr>
        <w:t xml:space="preserve"> (1:1) was added.</w:t>
      </w:r>
      <w:r w:rsidR="004048ED">
        <w:rPr>
          <w:sz w:val="20"/>
          <w:szCs w:val="20"/>
        </w:rPr>
        <w:t xml:space="preserve"> </w:t>
      </w:r>
      <w:r w:rsidRPr="0023574F">
        <w:rPr>
          <w:sz w:val="20"/>
          <w:szCs w:val="20"/>
        </w:rPr>
        <w:t>After that, the tube was inverted gently for 2 -3 times, then centrifuged at 10,000 rpm for 15 min. at 4ºC.</w:t>
      </w:r>
      <w:r w:rsidR="004048ED">
        <w:rPr>
          <w:sz w:val="20"/>
          <w:szCs w:val="20"/>
        </w:rPr>
        <w:t xml:space="preserve"> </w:t>
      </w:r>
      <w:r w:rsidRPr="0023574F">
        <w:rPr>
          <w:sz w:val="20"/>
          <w:szCs w:val="20"/>
        </w:rPr>
        <w:t>This step was repeated 3 times, and then the aqueous phase was extracted with an equal volume of chloroform by centrifugation at 10,000 rpm for 5 min.</w:t>
      </w:r>
      <w:r w:rsidR="004048ED">
        <w:rPr>
          <w:sz w:val="20"/>
          <w:szCs w:val="20"/>
        </w:rPr>
        <w:t xml:space="preserve"> </w:t>
      </w:r>
      <w:r w:rsidRPr="0023574F">
        <w:rPr>
          <w:sz w:val="20"/>
          <w:szCs w:val="20"/>
        </w:rPr>
        <w:t xml:space="preserve">To remove RNA contamination, 50 µl/ml </w:t>
      </w:r>
      <w:proofErr w:type="spellStart"/>
      <w:r w:rsidRPr="0023574F">
        <w:rPr>
          <w:sz w:val="20"/>
          <w:szCs w:val="20"/>
        </w:rPr>
        <w:t>RNase</w:t>
      </w:r>
      <w:proofErr w:type="spellEnd"/>
      <w:r w:rsidRPr="0023574F">
        <w:rPr>
          <w:sz w:val="20"/>
          <w:szCs w:val="20"/>
        </w:rPr>
        <w:t xml:space="preserve"> (10 mg/ml) (Sigma Co., USA) were added to the upper clear phase and incubated for 1 h at 37 ºC in a water bath.</w:t>
      </w:r>
      <w:r w:rsidR="004048ED">
        <w:rPr>
          <w:sz w:val="20"/>
          <w:szCs w:val="20"/>
        </w:rPr>
        <w:t xml:space="preserve"> </w:t>
      </w:r>
      <w:r w:rsidRPr="0023574F">
        <w:rPr>
          <w:sz w:val="20"/>
          <w:szCs w:val="20"/>
        </w:rPr>
        <w:t xml:space="preserve">The extracted DNA was </w:t>
      </w:r>
      <w:proofErr w:type="spellStart"/>
      <w:r w:rsidRPr="0023574F">
        <w:rPr>
          <w:sz w:val="20"/>
          <w:szCs w:val="20"/>
        </w:rPr>
        <w:t>deproteinized</w:t>
      </w:r>
      <w:proofErr w:type="spellEnd"/>
      <w:r w:rsidRPr="0023574F">
        <w:rPr>
          <w:sz w:val="20"/>
          <w:szCs w:val="20"/>
        </w:rPr>
        <w:t xml:space="preserve"> by adding 200 µl/ml </w:t>
      </w:r>
      <w:proofErr w:type="spellStart"/>
      <w:r w:rsidRPr="0023574F">
        <w:rPr>
          <w:sz w:val="20"/>
          <w:szCs w:val="20"/>
        </w:rPr>
        <w:t>proteinase</w:t>
      </w:r>
      <w:proofErr w:type="spellEnd"/>
      <w:r w:rsidRPr="0023574F">
        <w:rPr>
          <w:sz w:val="20"/>
          <w:szCs w:val="20"/>
        </w:rPr>
        <w:t xml:space="preserve"> K (10 mg/ml) (Sigma) and incubating at 35ºC in a water bath overnight </w:t>
      </w:r>
      <w:r w:rsidRPr="0023574F">
        <w:rPr>
          <w:b/>
          <w:bCs/>
          <w:sz w:val="20"/>
          <w:szCs w:val="20"/>
        </w:rPr>
        <w:t>(</w:t>
      </w:r>
      <w:proofErr w:type="spellStart"/>
      <w:r w:rsidRPr="0023574F">
        <w:rPr>
          <w:b/>
          <w:bCs/>
          <w:sz w:val="20"/>
          <w:szCs w:val="20"/>
        </w:rPr>
        <w:t>Gurr</w:t>
      </w:r>
      <w:proofErr w:type="spellEnd"/>
      <w:r w:rsidRPr="0023574F">
        <w:rPr>
          <w:b/>
          <w:bCs/>
          <w:sz w:val="20"/>
          <w:szCs w:val="20"/>
        </w:rPr>
        <w:t xml:space="preserve"> and </w:t>
      </w:r>
      <w:proofErr w:type="spellStart"/>
      <w:r w:rsidRPr="0023574F">
        <w:rPr>
          <w:b/>
          <w:bCs/>
          <w:sz w:val="20"/>
          <w:szCs w:val="20"/>
        </w:rPr>
        <w:t>Mcpherson</w:t>
      </w:r>
      <w:proofErr w:type="spellEnd"/>
      <w:r w:rsidRPr="0023574F">
        <w:rPr>
          <w:b/>
          <w:bCs/>
          <w:sz w:val="20"/>
          <w:szCs w:val="20"/>
        </w:rPr>
        <w:t>, 1992)</w:t>
      </w:r>
      <w:r w:rsidRPr="0023574F">
        <w:rPr>
          <w:sz w:val="20"/>
          <w:szCs w:val="20"/>
        </w:rPr>
        <w:t>.</w:t>
      </w:r>
      <w:r w:rsidR="004048ED">
        <w:rPr>
          <w:sz w:val="20"/>
          <w:szCs w:val="20"/>
        </w:rPr>
        <w:t xml:space="preserve"> </w:t>
      </w:r>
      <w:proofErr w:type="spellStart"/>
      <w:r w:rsidRPr="0023574F">
        <w:rPr>
          <w:sz w:val="20"/>
          <w:szCs w:val="20"/>
        </w:rPr>
        <w:t>Phenol:chloroform</w:t>
      </w:r>
      <w:proofErr w:type="spellEnd"/>
      <w:r w:rsidRPr="0023574F">
        <w:rPr>
          <w:sz w:val="20"/>
          <w:szCs w:val="20"/>
        </w:rPr>
        <w:t xml:space="preserve"> (1:1 v/v) extraction was repeated until the interface between the aqueous and </w:t>
      </w:r>
      <w:proofErr w:type="spellStart"/>
      <w:r w:rsidRPr="0023574F">
        <w:rPr>
          <w:sz w:val="20"/>
          <w:szCs w:val="20"/>
        </w:rPr>
        <w:t>phenol:chloroform</w:t>
      </w:r>
      <w:proofErr w:type="spellEnd"/>
      <w:r w:rsidRPr="0023574F">
        <w:rPr>
          <w:sz w:val="20"/>
          <w:szCs w:val="20"/>
        </w:rPr>
        <w:t xml:space="preserve"> phase became clear.</w:t>
      </w:r>
      <w:r w:rsidR="004048ED">
        <w:rPr>
          <w:sz w:val="20"/>
          <w:szCs w:val="20"/>
        </w:rPr>
        <w:t xml:space="preserve"> </w:t>
      </w:r>
      <w:r w:rsidRPr="0023574F">
        <w:rPr>
          <w:sz w:val="20"/>
          <w:szCs w:val="20"/>
        </w:rPr>
        <w:t>The aqueous phase was extracted with an equal volume of chloroform by centrifugation at 10,000 rpm for 5 min.</w:t>
      </w:r>
      <w:r w:rsidR="004048ED">
        <w:rPr>
          <w:sz w:val="20"/>
          <w:szCs w:val="20"/>
        </w:rPr>
        <w:t xml:space="preserve"> </w:t>
      </w:r>
      <w:r w:rsidRPr="0023574F">
        <w:rPr>
          <w:sz w:val="20"/>
          <w:szCs w:val="20"/>
        </w:rPr>
        <w:t xml:space="preserve">The DNA was then precipitated with 0.1 volume of 3 M sodium acetate (pH 6.5) plus 1 volume of </w:t>
      </w:r>
      <w:proofErr w:type="spellStart"/>
      <w:r w:rsidRPr="0023574F">
        <w:rPr>
          <w:sz w:val="20"/>
          <w:szCs w:val="20"/>
        </w:rPr>
        <w:t>isopropanol</w:t>
      </w:r>
      <w:proofErr w:type="spellEnd"/>
      <w:r w:rsidRPr="0023574F">
        <w:rPr>
          <w:sz w:val="20"/>
          <w:szCs w:val="20"/>
        </w:rPr>
        <w:t xml:space="preserve"> and incubated at -20ºC for 2 h or </w:t>
      </w:r>
      <w:r w:rsidRPr="0023574F">
        <w:rPr>
          <w:sz w:val="20"/>
          <w:szCs w:val="20"/>
        </w:rPr>
        <w:lastRenderedPageBreak/>
        <w:t>overnight, followed by centrifugation at 10,000 rpm for 10 min. at 4ºC.</w:t>
      </w:r>
      <w:r w:rsidR="004048ED">
        <w:rPr>
          <w:sz w:val="20"/>
          <w:szCs w:val="20"/>
        </w:rPr>
        <w:t xml:space="preserve"> </w:t>
      </w:r>
      <w:r w:rsidRPr="0023574F">
        <w:rPr>
          <w:sz w:val="20"/>
          <w:szCs w:val="20"/>
        </w:rPr>
        <w:t xml:space="preserve">The pellet was washed with 70% ethanol, dried under vacuum and </w:t>
      </w:r>
      <w:proofErr w:type="spellStart"/>
      <w:r w:rsidRPr="0023574F">
        <w:rPr>
          <w:sz w:val="20"/>
          <w:szCs w:val="20"/>
        </w:rPr>
        <w:t>resuspended</w:t>
      </w:r>
      <w:proofErr w:type="spellEnd"/>
      <w:r w:rsidRPr="0023574F">
        <w:rPr>
          <w:sz w:val="20"/>
          <w:szCs w:val="20"/>
        </w:rPr>
        <w:t xml:space="preserve"> in 500-1000 µl of TE buffer pH 6.5 (10 </w:t>
      </w:r>
      <w:proofErr w:type="spellStart"/>
      <w:r w:rsidRPr="0023574F">
        <w:rPr>
          <w:sz w:val="20"/>
          <w:szCs w:val="20"/>
        </w:rPr>
        <w:t>mM</w:t>
      </w:r>
      <w:proofErr w:type="spellEnd"/>
      <w:r w:rsidR="00E97E73">
        <w:rPr>
          <w:sz w:val="20"/>
          <w:szCs w:val="20"/>
        </w:rPr>
        <w:t xml:space="preserve"> </w:t>
      </w:r>
      <w:proofErr w:type="spellStart"/>
      <w:r w:rsidRPr="0023574F">
        <w:rPr>
          <w:sz w:val="20"/>
          <w:szCs w:val="20"/>
        </w:rPr>
        <w:t>Tris-HCl</w:t>
      </w:r>
      <w:proofErr w:type="spellEnd"/>
      <w:r w:rsidRPr="0023574F">
        <w:rPr>
          <w:sz w:val="20"/>
          <w:szCs w:val="20"/>
        </w:rPr>
        <w:t xml:space="preserve"> and 0.1 </w:t>
      </w:r>
      <w:proofErr w:type="spellStart"/>
      <w:r w:rsidRPr="0023574F">
        <w:rPr>
          <w:sz w:val="20"/>
          <w:szCs w:val="20"/>
        </w:rPr>
        <w:t>mM</w:t>
      </w:r>
      <w:proofErr w:type="spellEnd"/>
      <w:r w:rsidRPr="0023574F">
        <w:rPr>
          <w:sz w:val="20"/>
          <w:szCs w:val="20"/>
        </w:rPr>
        <w:t xml:space="preserve"> Na-EDTA pH 8.0) depending upon the size of pellet.</w:t>
      </w:r>
      <w:r w:rsidR="004048ED">
        <w:rPr>
          <w:sz w:val="20"/>
          <w:szCs w:val="20"/>
        </w:rPr>
        <w:t xml:space="preserve"> </w:t>
      </w:r>
      <w:r w:rsidRPr="0023574F">
        <w:rPr>
          <w:sz w:val="20"/>
          <w:szCs w:val="20"/>
        </w:rPr>
        <w:t xml:space="preserve">DNA concentration was determined </w:t>
      </w:r>
      <w:proofErr w:type="spellStart"/>
      <w:r w:rsidRPr="0023574F">
        <w:rPr>
          <w:sz w:val="20"/>
          <w:szCs w:val="20"/>
        </w:rPr>
        <w:t>spectrophotometerically</w:t>
      </w:r>
      <w:proofErr w:type="spellEnd"/>
      <w:r w:rsidRPr="0023574F">
        <w:rPr>
          <w:sz w:val="20"/>
          <w:szCs w:val="20"/>
        </w:rPr>
        <w:t xml:space="preserve"> at 280/260 nm and adjusted to 10 </w:t>
      </w:r>
      <w:proofErr w:type="spellStart"/>
      <w:r w:rsidRPr="0023574F">
        <w:rPr>
          <w:sz w:val="20"/>
          <w:szCs w:val="20"/>
        </w:rPr>
        <w:t>ng</w:t>
      </w:r>
      <w:proofErr w:type="spellEnd"/>
      <w:r w:rsidRPr="0023574F">
        <w:rPr>
          <w:sz w:val="20"/>
          <w:szCs w:val="20"/>
        </w:rPr>
        <w:t>/µl.</w:t>
      </w:r>
    </w:p>
    <w:p w:rsidR="008B35E3" w:rsidRPr="0023574F" w:rsidRDefault="008B35E3" w:rsidP="0023574F">
      <w:pPr>
        <w:autoSpaceDE w:val="0"/>
        <w:autoSpaceDN w:val="0"/>
        <w:adjustRightInd w:val="0"/>
        <w:snapToGrid w:val="0"/>
        <w:jc w:val="both"/>
        <w:rPr>
          <w:b/>
          <w:bCs/>
          <w:sz w:val="20"/>
          <w:szCs w:val="20"/>
          <w:lang w:bidi="ar-EG"/>
        </w:rPr>
      </w:pPr>
      <w:r w:rsidRPr="0023574F">
        <w:rPr>
          <w:b/>
          <w:bCs/>
          <w:sz w:val="20"/>
          <w:szCs w:val="20"/>
          <w:lang w:bidi="ar-EG"/>
        </w:rPr>
        <w:t xml:space="preserve">2. Randomly Amplified </w:t>
      </w:r>
      <w:r w:rsidRPr="0023574F">
        <w:rPr>
          <w:b/>
          <w:bCs/>
          <w:sz w:val="20"/>
          <w:szCs w:val="20"/>
        </w:rPr>
        <w:t>Polymorphic</w:t>
      </w:r>
      <w:r w:rsidRPr="0023574F">
        <w:rPr>
          <w:b/>
          <w:bCs/>
          <w:sz w:val="20"/>
          <w:szCs w:val="20"/>
          <w:lang w:bidi="ar-EG"/>
        </w:rPr>
        <w:t xml:space="preserve"> - Polymerase Chain Reaction (RAPD-PCR):</w:t>
      </w:r>
    </w:p>
    <w:p w:rsidR="008B35E3" w:rsidRPr="0023574F" w:rsidRDefault="008B35E3" w:rsidP="0023574F">
      <w:pPr>
        <w:autoSpaceDE w:val="0"/>
        <w:autoSpaceDN w:val="0"/>
        <w:adjustRightInd w:val="0"/>
        <w:snapToGrid w:val="0"/>
        <w:ind w:firstLine="425"/>
        <w:jc w:val="both"/>
        <w:rPr>
          <w:sz w:val="20"/>
          <w:szCs w:val="20"/>
          <w:lang w:bidi="ar-EG"/>
        </w:rPr>
      </w:pPr>
      <w:r w:rsidRPr="0023574F">
        <w:rPr>
          <w:sz w:val="20"/>
          <w:szCs w:val="20"/>
          <w:lang w:bidi="ar-EG"/>
        </w:rPr>
        <w:t xml:space="preserve">RAPD-PCR was carried out according to the procedure given by </w:t>
      </w:r>
      <w:r w:rsidRPr="0023574F">
        <w:rPr>
          <w:b/>
          <w:bCs/>
          <w:sz w:val="20"/>
          <w:szCs w:val="20"/>
          <w:lang w:bidi="ar-EG"/>
        </w:rPr>
        <w:t xml:space="preserve">Williams </w:t>
      </w:r>
      <w:r w:rsidRPr="0023574F">
        <w:rPr>
          <w:b/>
          <w:bCs/>
          <w:i/>
          <w:iCs/>
          <w:sz w:val="20"/>
          <w:szCs w:val="20"/>
          <w:lang w:bidi="ar-EG"/>
        </w:rPr>
        <w:t xml:space="preserve">et al., </w:t>
      </w:r>
      <w:r w:rsidRPr="0023574F">
        <w:rPr>
          <w:b/>
          <w:bCs/>
          <w:sz w:val="20"/>
          <w:szCs w:val="20"/>
          <w:lang w:bidi="ar-EG"/>
        </w:rPr>
        <w:t>(1990)</w:t>
      </w:r>
      <w:r w:rsidRPr="0023574F">
        <w:rPr>
          <w:sz w:val="20"/>
          <w:szCs w:val="20"/>
          <w:lang w:bidi="ar-EG"/>
        </w:rPr>
        <w:t xml:space="preserve"> with minor modifications.</w:t>
      </w:r>
    </w:p>
    <w:p w:rsidR="008B35E3" w:rsidRDefault="008B35E3" w:rsidP="0023574F">
      <w:pPr>
        <w:autoSpaceDE w:val="0"/>
        <w:autoSpaceDN w:val="0"/>
        <w:adjustRightInd w:val="0"/>
        <w:snapToGrid w:val="0"/>
        <w:ind w:firstLine="425"/>
        <w:jc w:val="both"/>
        <w:rPr>
          <w:rFonts w:eastAsiaTheme="minorEastAsia"/>
          <w:sz w:val="20"/>
          <w:szCs w:val="20"/>
          <w:lang w:eastAsia="zh-CN" w:bidi="ar-EG"/>
        </w:rPr>
      </w:pPr>
      <w:r w:rsidRPr="0023574F">
        <w:rPr>
          <w:sz w:val="20"/>
          <w:szCs w:val="20"/>
          <w:lang w:bidi="ar-EG"/>
        </w:rPr>
        <w:t>Amplified reaction was carried out in a volume of 50 µl.</w:t>
      </w:r>
      <w:r w:rsidR="004048ED">
        <w:rPr>
          <w:sz w:val="20"/>
          <w:szCs w:val="20"/>
          <w:lang w:bidi="ar-EG"/>
        </w:rPr>
        <w:t xml:space="preserve"> </w:t>
      </w:r>
      <w:r w:rsidRPr="0023574F">
        <w:rPr>
          <w:sz w:val="20"/>
          <w:szCs w:val="20"/>
          <w:lang w:bidi="ar-EG"/>
        </w:rPr>
        <w:t xml:space="preserve">Each reaction mixture contained 50 </w:t>
      </w:r>
      <w:proofErr w:type="spellStart"/>
      <w:r w:rsidRPr="0023574F">
        <w:rPr>
          <w:sz w:val="20"/>
          <w:szCs w:val="20"/>
          <w:lang w:bidi="ar-EG"/>
        </w:rPr>
        <w:t>ng</w:t>
      </w:r>
      <w:proofErr w:type="spellEnd"/>
      <w:r w:rsidRPr="0023574F">
        <w:rPr>
          <w:sz w:val="20"/>
          <w:szCs w:val="20"/>
          <w:lang w:bidi="ar-EG"/>
        </w:rPr>
        <w:t xml:space="preserve"> genomic DNA (as a template), 0.5 µM </w:t>
      </w:r>
      <w:proofErr w:type="spellStart"/>
      <w:r w:rsidRPr="0023574F">
        <w:rPr>
          <w:sz w:val="20"/>
          <w:szCs w:val="20"/>
          <w:lang w:bidi="ar-EG"/>
        </w:rPr>
        <w:t>decamer</w:t>
      </w:r>
      <w:proofErr w:type="spellEnd"/>
      <w:r w:rsidRPr="0023574F">
        <w:rPr>
          <w:sz w:val="20"/>
          <w:szCs w:val="20"/>
          <w:lang w:bidi="ar-EG"/>
        </w:rPr>
        <w:t xml:space="preserve"> </w:t>
      </w:r>
      <w:proofErr w:type="spellStart"/>
      <w:r w:rsidRPr="0023574F">
        <w:rPr>
          <w:sz w:val="20"/>
          <w:szCs w:val="20"/>
          <w:lang w:bidi="ar-EG"/>
        </w:rPr>
        <w:t>oligonucleotide</w:t>
      </w:r>
      <w:proofErr w:type="spellEnd"/>
      <w:r w:rsidRPr="0023574F">
        <w:rPr>
          <w:sz w:val="20"/>
          <w:szCs w:val="20"/>
          <w:lang w:bidi="ar-EG"/>
        </w:rPr>
        <w:t xml:space="preserve"> primer from OPERON Technologies, Alameda, CA. (Kit A, C, D, E and Z), 2 units of </w:t>
      </w:r>
      <w:proofErr w:type="spellStart"/>
      <w:r w:rsidRPr="0023574F">
        <w:rPr>
          <w:i/>
          <w:iCs/>
          <w:sz w:val="20"/>
          <w:szCs w:val="20"/>
          <w:lang w:bidi="ar-EG"/>
        </w:rPr>
        <w:t>Taq</w:t>
      </w:r>
      <w:proofErr w:type="spellEnd"/>
      <w:r w:rsidR="00F06756">
        <w:rPr>
          <w:i/>
          <w:iCs/>
          <w:sz w:val="20"/>
          <w:szCs w:val="20"/>
          <w:lang w:bidi="ar-EG"/>
        </w:rPr>
        <w:t xml:space="preserve"> </w:t>
      </w:r>
      <w:r w:rsidRPr="0023574F">
        <w:rPr>
          <w:sz w:val="20"/>
          <w:szCs w:val="20"/>
          <w:lang w:bidi="ar-EG"/>
        </w:rPr>
        <w:t>DNA polymerase (</w:t>
      </w:r>
      <w:proofErr w:type="spellStart"/>
      <w:r w:rsidRPr="0023574F">
        <w:rPr>
          <w:sz w:val="20"/>
          <w:szCs w:val="20"/>
          <w:lang w:bidi="ar-EG"/>
        </w:rPr>
        <w:t>Promega</w:t>
      </w:r>
      <w:proofErr w:type="spellEnd"/>
      <w:r w:rsidRPr="0023574F">
        <w:rPr>
          <w:sz w:val="20"/>
          <w:szCs w:val="20"/>
          <w:lang w:bidi="ar-EG"/>
        </w:rPr>
        <w:t xml:space="preserve"> Corp., Madison, WI, USA), 5 µl of 10X buffer [500 </w:t>
      </w:r>
      <w:proofErr w:type="spellStart"/>
      <w:r w:rsidRPr="0023574F">
        <w:rPr>
          <w:sz w:val="20"/>
          <w:szCs w:val="20"/>
          <w:lang w:bidi="ar-EG"/>
        </w:rPr>
        <w:t>mM</w:t>
      </w:r>
      <w:proofErr w:type="spellEnd"/>
      <w:r w:rsidR="00F06756">
        <w:rPr>
          <w:sz w:val="20"/>
          <w:szCs w:val="20"/>
          <w:lang w:bidi="ar-EG"/>
        </w:rPr>
        <w:t xml:space="preserve"> </w:t>
      </w:r>
      <w:proofErr w:type="spellStart"/>
      <w:r w:rsidRPr="0023574F">
        <w:rPr>
          <w:sz w:val="20"/>
          <w:szCs w:val="20"/>
          <w:lang w:bidi="ar-EG"/>
        </w:rPr>
        <w:t>KCl</w:t>
      </w:r>
      <w:proofErr w:type="spellEnd"/>
      <w:r w:rsidRPr="0023574F">
        <w:rPr>
          <w:sz w:val="20"/>
          <w:szCs w:val="20"/>
          <w:lang w:bidi="ar-EG"/>
        </w:rPr>
        <w:t xml:space="preserve">, 100 </w:t>
      </w:r>
      <w:proofErr w:type="spellStart"/>
      <w:r w:rsidRPr="0023574F">
        <w:rPr>
          <w:sz w:val="20"/>
          <w:szCs w:val="20"/>
          <w:lang w:bidi="ar-EG"/>
        </w:rPr>
        <w:t>mM</w:t>
      </w:r>
      <w:proofErr w:type="spellEnd"/>
      <w:r w:rsidR="00F06756">
        <w:rPr>
          <w:sz w:val="20"/>
          <w:szCs w:val="20"/>
          <w:lang w:bidi="ar-EG"/>
        </w:rPr>
        <w:t xml:space="preserve"> </w:t>
      </w:r>
      <w:proofErr w:type="spellStart"/>
      <w:r w:rsidRPr="0023574F">
        <w:rPr>
          <w:sz w:val="20"/>
          <w:szCs w:val="20"/>
          <w:lang w:bidi="ar-EG"/>
        </w:rPr>
        <w:t>Tris-HCl</w:t>
      </w:r>
      <w:proofErr w:type="spellEnd"/>
      <w:r w:rsidRPr="0023574F">
        <w:rPr>
          <w:sz w:val="20"/>
          <w:szCs w:val="20"/>
          <w:lang w:bidi="ar-EG"/>
        </w:rPr>
        <w:t xml:space="preserve"> (pH 9.0) and 1% Triton X-100], 3 </w:t>
      </w:r>
      <w:proofErr w:type="spellStart"/>
      <w:r w:rsidRPr="0023574F">
        <w:rPr>
          <w:sz w:val="20"/>
          <w:szCs w:val="20"/>
          <w:lang w:bidi="ar-EG"/>
        </w:rPr>
        <w:t>mM</w:t>
      </w:r>
      <w:proofErr w:type="spellEnd"/>
      <w:r w:rsidRPr="0023574F">
        <w:rPr>
          <w:sz w:val="20"/>
          <w:szCs w:val="20"/>
          <w:lang w:bidi="ar-EG"/>
        </w:rPr>
        <w:t xml:space="preserve"> MgCl</w:t>
      </w:r>
      <w:r w:rsidRPr="0023574F">
        <w:rPr>
          <w:sz w:val="20"/>
          <w:szCs w:val="20"/>
          <w:vertAlign w:val="subscript"/>
          <w:lang w:bidi="ar-EG"/>
        </w:rPr>
        <w:t>2</w:t>
      </w:r>
      <w:r w:rsidRPr="0023574F">
        <w:rPr>
          <w:sz w:val="20"/>
          <w:szCs w:val="20"/>
          <w:lang w:bidi="ar-EG"/>
        </w:rPr>
        <w:t xml:space="preserve">, 0.2 </w:t>
      </w:r>
      <w:proofErr w:type="spellStart"/>
      <w:r w:rsidRPr="0023574F">
        <w:rPr>
          <w:sz w:val="20"/>
          <w:szCs w:val="20"/>
          <w:lang w:bidi="ar-EG"/>
        </w:rPr>
        <w:t>mM</w:t>
      </w:r>
      <w:proofErr w:type="spellEnd"/>
      <w:r w:rsidR="00F06756">
        <w:rPr>
          <w:sz w:val="20"/>
          <w:szCs w:val="20"/>
          <w:lang w:bidi="ar-EG"/>
        </w:rPr>
        <w:t xml:space="preserve"> </w:t>
      </w:r>
      <w:proofErr w:type="spellStart"/>
      <w:r w:rsidRPr="0023574F">
        <w:rPr>
          <w:sz w:val="20"/>
          <w:szCs w:val="20"/>
          <w:lang w:bidi="ar-EG"/>
        </w:rPr>
        <w:t>dNTPs</w:t>
      </w:r>
      <w:proofErr w:type="spellEnd"/>
      <w:r w:rsidRPr="0023574F">
        <w:rPr>
          <w:sz w:val="20"/>
          <w:szCs w:val="20"/>
          <w:lang w:bidi="ar-EG"/>
        </w:rPr>
        <w:t xml:space="preserve"> (</w:t>
      </w:r>
      <w:proofErr w:type="spellStart"/>
      <w:r w:rsidRPr="0023574F">
        <w:rPr>
          <w:sz w:val="20"/>
          <w:szCs w:val="20"/>
          <w:lang w:bidi="ar-EG"/>
        </w:rPr>
        <w:t>dATP</w:t>
      </w:r>
      <w:proofErr w:type="spellEnd"/>
      <w:r w:rsidRPr="0023574F">
        <w:rPr>
          <w:sz w:val="20"/>
          <w:szCs w:val="20"/>
          <w:lang w:bidi="ar-EG"/>
        </w:rPr>
        <w:t xml:space="preserve">, </w:t>
      </w:r>
      <w:proofErr w:type="spellStart"/>
      <w:r w:rsidRPr="0023574F">
        <w:rPr>
          <w:sz w:val="20"/>
          <w:szCs w:val="20"/>
          <w:lang w:bidi="ar-EG"/>
        </w:rPr>
        <w:t>dCTP</w:t>
      </w:r>
      <w:proofErr w:type="spellEnd"/>
      <w:r w:rsidRPr="0023574F">
        <w:rPr>
          <w:sz w:val="20"/>
          <w:szCs w:val="20"/>
          <w:lang w:bidi="ar-EG"/>
        </w:rPr>
        <w:t xml:space="preserve">, </w:t>
      </w:r>
      <w:proofErr w:type="spellStart"/>
      <w:r w:rsidRPr="0023574F">
        <w:rPr>
          <w:sz w:val="20"/>
          <w:szCs w:val="20"/>
          <w:lang w:bidi="ar-EG"/>
        </w:rPr>
        <w:t>dTTp</w:t>
      </w:r>
      <w:proofErr w:type="spellEnd"/>
      <w:r w:rsidRPr="0023574F">
        <w:rPr>
          <w:sz w:val="20"/>
          <w:szCs w:val="20"/>
          <w:lang w:bidi="ar-EG"/>
        </w:rPr>
        <w:t xml:space="preserve">, </w:t>
      </w:r>
      <w:proofErr w:type="spellStart"/>
      <w:r w:rsidRPr="0023574F">
        <w:rPr>
          <w:sz w:val="20"/>
          <w:szCs w:val="20"/>
          <w:lang w:bidi="ar-EG"/>
        </w:rPr>
        <w:t>dGTP</w:t>
      </w:r>
      <w:proofErr w:type="spellEnd"/>
      <w:r w:rsidRPr="0023574F">
        <w:rPr>
          <w:sz w:val="20"/>
          <w:szCs w:val="20"/>
          <w:lang w:bidi="ar-EG"/>
        </w:rPr>
        <w:t xml:space="preserve">) and </w:t>
      </w:r>
      <w:proofErr w:type="spellStart"/>
      <w:r w:rsidRPr="0023574F">
        <w:rPr>
          <w:sz w:val="20"/>
          <w:szCs w:val="20"/>
          <w:lang w:bidi="ar-EG"/>
        </w:rPr>
        <w:t>deionized</w:t>
      </w:r>
      <w:proofErr w:type="spellEnd"/>
      <w:r w:rsidRPr="0023574F">
        <w:rPr>
          <w:sz w:val="20"/>
          <w:szCs w:val="20"/>
          <w:lang w:bidi="ar-EG"/>
        </w:rPr>
        <w:t xml:space="preserve"> </w:t>
      </w:r>
      <w:proofErr w:type="spellStart"/>
      <w:r w:rsidRPr="0023574F">
        <w:rPr>
          <w:sz w:val="20"/>
          <w:szCs w:val="20"/>
          <w:lang w:bidi="ar-EG"/>
        </w:rPr>
        <w:t>dd</w:t>
      </w:r>
      <w:proofErr w:type="spellEnd"/>
      <w:r w:rsidRPr="0023574F">
        <w:rPr>
          <w:sz w:val="20"/>
          <w:szCs w:val="20"/>
          <w:lang w:bidi="ar-EG"/>
        </w:rPr>
        <w:t xml:space="preserve"> H</w:t>
      </w:r>
      <w:r w:rsidRPr="0023574F">
        <w:rPr>
          <w:sz w:val="20"/>
          <w:szCs w:val="20"/>
          <w:vertAlign w:val="subscript"/>
          <w:lang w:bidi="ar-EG"/>
        </w:rPr>
        <w:t>2</w:t>
      </w:r>
      <w:r w:rsidRPr="0023574F">
        <w:rPr>
          <w:sz w:val="20"/>
          <w:szCs w:val="20"/>
          <w:lang w:bidi="ar-EG"/>
        </w:rPr>
        <w:t>O.</w:t>
      </w:r>
      <w:r w:rsidR="004048ED">
        <w:rPr>
          <w:sz w:val="20"/>
          <w:szCs w:val="20"/>
          <w:lang w:bidi="ar-EG"/>
        </w:rPr>
        <w:t xml:space="preserve"> </w:t>
      </w:r>
      <w:r w:rsidRPr="0023574F">
        <w:rPr>
          <w:sz w:val="20"/>
          <w:szCs w:val="20"/>
          <w:lang w:bidi="ar-EG"/>
        </w:rPr>
        <w:t>The reaction was overlaid with a drop of mineral oil.</w:t>
      </w:r>
      <w:r w:rsidR="004048ED">
        <w:rPr>
          <w:sz w:val="20"/>
          <w:szCs w:val="20"/>
          <w:lang w:bidi="ar-EG"/>
        </w:rPr>
        <w:t xml:space="preserve"> </w:t>
      </w:r>
      <w:r w:rsidRPr="0023574F">
        <w:rPr>
          <w:sz w:val="20"/>
          <w:szCs w:val="20"/>
          <w:lang w:bidi="ar-EG"/>
        </w:rPr>
        <w:t>PCR amplified was performed in a Perkin-</w:t>
      </w:r>
      <w:proofErr w:type="spellStart"/>
      <w:r w:rsidRPr="0023574F">
        <w:rPr>
          <w:sz w:val="20"/>
          <w:szCs w:val="20"/>
          <w:lang w:bidi="ar-EG"/>
        </w:rPr>
        <w:t>Elemer</w:t>
      </w:r>
      <w:proofErr w:type="spellEnd"/>
      <w:r w:rsidRPr="0023574F">
        <w:rPr>
          <w:sz w:val="20"/>
          <w:szCs w:val="20"/>
          <w:lang w:bidi="ar-EG"/>
        </w:rPr>
        <w:t xml:space="preserve">/DNA Thermal cycler 480 (Norwalk, CT) for 40 cycles after initial </w:t>
      </w:r>
      <w:proofErr w:type="spellStart"/>
      <w:r w:rsidRPr="0023574F">
        <w:rPr>
          <w:sz w:val="20"/>
          <w:szCs w:val="20"/>
          <w:lang w:bidi="ar-EG"/>
        </w:rPr>
        <w:t>denaturation</w:t>
      </w:r>
      <w:proofErr w:type="spellEnd"/>
      <w:r w:rsidRPr="0023574F">
        <w:rPr>
          <w:sz w:val="20"/>
          <w:szCs w:val="20"/>
          <w:lang w:bidi="ar-EG"/>
        </w:rPr>
        <w:t xml:space="preserve"> at 94ºC for 1 min, annealing at 36ºC for 1 min, extension at 72ºC for 2 min.</w:t>
      </w:r>
      <w:r w:rsidR="004048ED">
        <w:rPr>
          <w:sz w:val="20"/>
          <w:szCs w:val="20"/>
          <w:lang w:bidi="ar-EG"/>
        </w:rPr>
        <w:t xml:space="preserve"> </w:t>
      </w:r>
      <w:r w:rsidRPr="0023574F">
        <w:rPr>
          <w:sz w:val="20"/>
          <w:szCs w:val="20"/>
          <w:lang w:bidi="ar-EG"/>
        </w:rPr>
        <w:t>The primer extension segment was extended to 5 min at 72ºC in the final cycle.</w:t>
      </w:r>
      <w:r w:rsidR="004048ED">
        <w:rPr>
          <w:sz w:val="20"/>
          <w:szCs w:val="20"/>
          <w:lang w:bidi="ar-EG"/>
        </w:rPr>
        <w:t xml:space="preserve"> </w:t>
      </w:r>
      <w:r w:rsidRPr="0023574F">
        <w:rPr>
          <w:sz w:val="20"/>
          <w:szCs w:val="20"/>
          <w:lang w:bidi="ar-EG"/>
        </w:rPr>
        <w:t xml:space="preserve">The amplification products were resolved by electrophoresis in a 1.5% </w:t>
      </w:r>
      <w:proofErr w:type="spellStart"/>
      <w:r w:rsidRPr="0023574F">
        <w:rPr>
          <w:sz w:val="20"/>
          <w:szCs w:val="20"/>
          <w:lang w:bidi="ar-EG"/>
        </w:rPr>
        <w:t>agrose</w:t>
      </w:r>
      <w:proofErr w:type="spellEnd"/>
      <w:r w:rsidRPr="0023574F">
        <w:rPr>
          <w:sz w:val="20"/>
          <w:szCs w:val="20"/>
          <w:lang w:bidi="ar-EG"/>
        </w:rPr>
        <w:t xml:space="preserve"> gel at 60 volts for three and half hrs with 1X TBE buffer (10 </w:t>
      </w:r>
      <w:proofErr w:type="spellStart"/>
      <w:r w:rsidRPr="0023574F">
        <w:rPr>
          <w:sz w:val="20"/>
          <w:szCs w:val="20"/>
          <w:lang w:bidi="ar-EG"/>
        </w:rPr>
        <w:t>gmTris</w:t>
      </w:r>
      <w:proofErr w:type="spellEnd"/>
      <w:r w:rsidRPr="0023574F">
        <w:rPr>
          <w:sz w:val="20"/>
          <w:szCs w:val="20"/>
          <w:lang w:bidi="ar-EG"/>
        </w:rPr>
        <w:t>-base, 5.5 gm boric acid and 4 ml 0.5 M Na-EDTA pH 8.0 in 1 liter).</w:t>
      </w:r>
      <w:r w:rsidR="004048ED">
        <w:rPr>
          <w:sz w:val="20"/>
          <w:szCs w:val="20"/>
          <w:lang w:bidi="ar-EG"/>
        </w:rPr>
        <w:t xml:space="preserve"> </w:t>
      </w:r>
      <w:r w:rsidRPr="0023574F">
        <w:rPr>
          <w:sz w:val="20"/>
          <w:szCs w:val="20"/>
          <w:lang w:bidi="ar-EG"/>
        </w:rPr>
        <w:t xml:space="preserve">PCR products were visualized by staining gel in </w:t>
      </w:r>
      <w:proofErr w:type="spellStart"/>
      <w:r w:rsidRPr="0023574F">
        <w:rPr>
          <w:sz w:val="20"/>
          <w:szCs w:val="20"/>
          <w:lang w:bidi="ar-EG"/>
        </w:rPr>
        <w:t>ethidium</w:t>
      </w:r>
      <w:proofErr w:type="spellEnd"/>
      <w:r w:rsidRPr="0023574F">
        <w:rPr>
          <w:sz w:val="20"/>
          <w:szCs w:val="20"/>
          <w:lang w:bidi="ar-EG"/>
        </w:rPr>
        <w:t xml:space="preserve"> bromide (0.5 µg/ml) and photographed under UV light using a polarized camera.</w:t>
      </w:r>
      <w:r w:rsidR="004048ED">
        <w:rPr>
          <w:sz w:val="20"/>
          <w:szCs w:val="20"/>
          <w:lang w:bidi="ar-EG"/>
        </w:rPr>
        <w:t xml:space="preserve"> </w:t>
      </w:r>
      <w:r w:rsidRPr="0023574F">
        <w:rPr>
          <w:sz w:val="20"/>
          <w:szCs w:val="20"/>
          <w:lang w:bidi="ar-EG"/>
        </w:rPr>
        <w:t>Amplified products were visually examined and the presence or absence of each size class was scored as 0 and 1, respectively.</w:t>
      </w:r>
    </w:p>
    <w:p w:rsidR="00A112DC" w:rsidRPr="00A112DC" w:rsidRDefault="00A112DC" w:rsidP="0023574F">
      <w:pPr>
        <w:autoSpaceDE w:val="0"/>
        <w:autoSpaceDN w:val="0"/>
        <w:adjustRightInd w:val="0"/>
        <w:snapToGrid w:val="0"/>
        <w:ind w:firstLine="425"/>
        <w:jc w:val="both"/>
        <w:rPr>
          <w:rFonts w:eastAsiaTheme="minorEastAsia"/>
          <w:sz w:val="20"/>
          <w:szCs w:val="20"/>
          <w:lang w:eastAsia="zh-CN" w:bidi="ar-EG"/>
        </w:rPr>
      </w:pPr>
    </w:p>
    <w:p w:rsidR="008B35E3" w:rsidRPr="0023574F" w:rsidRDefault="008B35E3" w:rsidP="0023574F">
      <w:pPr>
        <w:pStyle w:val="Heading1"/>
        <w:keepNext w:val="0"/>
        <w:bidi w:val="0"/>
        <w:snapToGrid w:val="0"/>
        <w:spacing w:before="0" w:after="0"/>
        <w:jc w:val="both"/>
        <w:rPr>
          <w:rFonts w:ascii="Times New Roman" w:hAnsi="Times New Roman"/>
          <w:kern w:val="0"/>
          <w:sz w:val="20"/>
          <w:szCs w:val="20"/>
        </w:rPr>
      </w:pPr>
      <w:r w:rsidRPr="0023574F">
        <w:rPr>
          <w:rFonts w:ascii="Times New Roman" w:hAnsi="Times New Roman"/>
          <w:kern w:val="0"/>
          <w:sz w:val="20"/>
          <w:szCs w:val="20"/>
        </w:rPr>
        <w:t xml:space="preserve">Nucleotide Sequence (5'-3') of </w:t>
      </w:r>
      <w:proofErr w:type="spellStart"/>
      <w:r w:rsidRPr="0023574F">
        <w:rPr>
          <w:rFonts w:ascii="Times New Roman" w:hAnsi="Times New Roman"/>
          <w:kern w:val="0"/>
          <w:sz w:val="20"/>
          <w:szCs w:val="20"/>
        </w:rPr>
        <w:t>Operon</w:t>
      </w:r>
      <w:proofErr w:type="spellEnd"/>
      <w:r w:rsidRPr="0023574F">
        <w:rPr>
          <w:rFonts w:ascii="Times New Roman" w:hAnsi="Times New Roman"/>
          <w:kern w:val="0"/>
          <w:sz w:val="20"/>
          <w:szCs w:val="20"/>
        </w:rPr>
        <w:t xml:space="preserve"> 10-mer Primers used in RAPD-PCR</w:t>
      </w:r>
    </w:p>
    <w:tbl>
      <w:tblPr>
        <w:tblW w:w="4748" w:type="pct"/>
        <w:jc w:val="center"/>
        <w:tblInd w:w="250" w:type="dxa"/>
        <w:tblBorders>
          <w:top w:val="double" w:sz="4" w:space="0" w:color="auto"/>
          <w:left w:val="double" w:sz="4" w:space="0" w:color="auto"/>
          <w:bottom w:val="double" w:sz="4" w:space="0" w:color="auto"/>
          <w:right w:val="double" w:sz="4" w:space="0" w:color="auto"/>
        </w:tblBorders>
        <w:tblLook w:val="01E0"/>
      </w:tblPr>
      <w:tblGrid>
        <w:gridCol w:w="416"/>
        <w:gridCol w:w="1074"/>
        <w:gridCol w:w="2874"/>
      </w:tblGrid>
      <w:tr w:rsidR="005B503E" w:rsidRPr="0023574F" w:rsidTr="00FC1060">
        <w:trPr>
          <w:trHeight w:val="261"/>
          <w:jc w:val="center"/>
        </w:trPr>
        <w:tc>
          <w:tcPr>
            <w:tcW w:w="339" w:type="pct"/>
            <w:tcBorders>
              <w:bottom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color w:val="000000"/>
                <w:sz w:val="20"/>
                <w:szCs w:val="20"/>
                <w:lang w:bidi="ar-EG"/>
              </w:rPr>
              <w:softHyphen/>
            </w:r>
          </w:p>
        </w:tc>
        <w:tc>
          <w:tcPr>
            <w:tcW w:w="1299" w:type="pct"/>
            <w:tcBorders>
              <w:left w:val="single" w:sz="4" w:space="0" w:color="auto"/>
              <w:bottom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Primer</w:t>
            </w:r>
          </w:p>
        </w:tc>
        <w:tc>
          <w:tcPr>
            <w:tcW w:w="3362" w:type="pct"/>
            <w:tcBorders>
              <w:left w:val="single" w:sz="4" w:space="0" w:color="auto"/>
              <w:bottom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Nucleotide Sequence 5'-3'</w:t>
            </w:r>
          </w:p>
        </w:tc>
      </w:tr>
      <w:tr w:rsidR="005B503E" w:rsidRPr="0023574F" w:rsidTr="00FC1060">
        <w:trPr>
          <w:trHeight w:val="261"/>
          <w:jc w:val="center"/>
        </w:trPr>
        <w:tc>
          <w:tcPr>
            <w:tcW w:w="339" w:type="pct"/>
            <w:tcBorders>
              <w:top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1</w:t>
            </w:r>
          </w:p>
        </w:tc>
        <w:tc>
          <w:tcPr>
            <w:tcW w:w="1299" w:type="pct"/>
            <w:tcBorders>
              <w:top w:val="single" w:sz="4" w:space="0" w:color="auto"/>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lang w:bidi="ar-EG"/>
              </w:rPr>
            </w:pPr>
            <w:r w:rsidRPr="0023574F">
              <w:rPr>
                <w:b/>
                <w:bCs/>
                <w:color w:val="000000"/>
                <w:sz w:val="20"/>
                <w:szCs w:val="20"/>
              </w:rPr>
              <w:t>OPA</w:t>
            </w:r>
            <w:r w:rsidRPr="0023574F">
              <w:rPr>
                <w:b/>
                <w:bCs/>
                <w:color w:val="000000"/>
                <w:sz w:val="20"/>
                <w:szCs w:val="20"/>
                <w:lang w:bidi="ar-EG"/>
              </w:rPr>
              <w:t>-04</w:t>
            </w:r>
          </w:p>
        </w:tc>
        <w:tc>
          <w:tcPr>
            <w:tcW w:w="3362" w:type="pct"/>
            <w:tcBorders>
              <w:top w:val="single" w:sz="4" w:space="0" w:color="auto"/>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AATCGGGCTG</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2</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lang w:bidi="ar-EG"/>
              </w:rPr>
            </w:pPr>
            <w:r w:rsidRPr="0023574F">
              <w:rPr>
                <w:b/>
                <w:bCs/>
                <w:color w:val="000000"/>
                <w:sz w:val="20"/>
                <w:szCs w:val="20"/>
              </w:rPr>
              <w:t>OPA</w:t>
            </w:r>
            <w:r w:rsidRPr="0023574F">
              <w:rPr>
                <w:b/>
                <w:bCs/>
                <w:color w:val="000000"/>
                <w:sz w:val="20"/>
                <w:szCs w:val="20"/>
                <w:lang w:bidi="ar-EG"/>
              </w:rPr>
              <w:t>-06</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GGTCCCTGAC</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3</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lang w:bidi="ar-EG"/>
              </w:rPr>
            </w:pPr>
            <w:r w:rsidRPr="0023574F">
              <w:rPr>
                <w:b/>
                <w:bCs/>
                <w:color w:val="000000"/>
                <w:sz w:val="20"/>
                <w:szCs w:val="20"/>
              </w:rPr>
              <w:t>OPA</w:t>
            </w:r>
            <w:r w:rsidRPr="0023574F">
              <w:rPr>
                <w:b/>
                <w:bCs/>
                <w:color w:val="000000"/>
                <w:sz w:val="20"/>
                <w:szCs w:val="20"/>
                <w:lang w:bidi="ar-EG"/>
              </w:rPr>
              <w:t>-11</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CAATCGCCGT</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4</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OPA</w:t>
            </w:r>
            <w:r w:rsidRPr="0023574F">
              <w:rPr>
                <w:b/>
                <w:bCs/>
                <w:color w:val="000000"/>
                <w:sz w:val="20"/>
                <w:szCs w:val="20"/>
                <w:lang w:bidi="ar-EG"/>
              </w:rPr>
              <w:t>-17</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GACCGCTTGT</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5</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OP</w:t>
            </w:r>
            <w:r w:rsidRPr="0023574F">
              <w:rPr>
                <w:b/>
                <w:bCs/>
                <w:color w:val="000000"/>
                <w:sz w:val="20"/>
                <w:szCs w:val="20"/>
                <w:lang w:bidi="ar-EG"/>
              </w:rPr>
              <w:t>C-07</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GTCCCGACGA</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6</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lang w:bidi="ar-EG"/>
              </w:rPr>
            </w:pPr>
            <w:r w:rsidRPr="0023574F">
              <w:rPr>
                <w:b/>
                <w:bCs/>
                <w:color w:val="000000"/>
                <w:sz w:val="20"/>
                <w:szCs w:val="20"/>
              </w:rPr>
              <w:t>OP</w:t>
            </w:r>
            <w:r w:rsidRPr="0023574F">
              <w:rPr>
                <w:b/>
                <w:bCs/>
                <w:color w:val="000000"/>
                <w:sz w:val="20"/>
                <w:szCs w:val="20"/>
                <w:lang w:bidi="ar-EG"/>
              </w:rPr>
              <w:t>D-14</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CTTCCCCAAG</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7</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OP</w:t>
            </w:r>
            <w:r w:rsidRPr="0023574F">
              <w:rPr>
                <w:b/>
                <w:bCs/>
                <w:color w:val="000000"/>
                <w:sz w:val="20"/>
                <w:szCs w:val="20"/>
                <w:lang w:bidi="ar-EG"/>
              </w:rPr>
              <w:t>E-05</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TCAGGGAGGT</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8</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OP</w:t>
            </w:r>
            <w:r w:rsidRPr="0023574F">
              <w:rPr>
                <w:b/>
                <w:bCs/>
                <w:color w:val="000000"/>
                <w:sz w:val="20"/>
                <w:szCs w:val="20"/>
                <w:lang w:bidi="ar-EG"/>
              </w:rPr>
              <w:t>E-17</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CTACTGCCGT</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9</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OP</w:t>
            </w:r>
            <w:r w:rsidRPr="0023574F">
              <w:rPr>
                <w:b/>
                <w:bCs/>
                <w:color w:val="000000"/>
                <w:sz w:val="20"/>
                <w:szCs w:val="20"/>
                <w:lang w:bidi="ar-EG"/>
              </w:rPr>
              <w:t>Z-13</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GACTAAGCCC</w:t>
            </w:r>
          </w:p>
        </w:tc>
      </w:tr>
      <w:tr w:rsidR="005B503E" w:rsidRPr="0023574F" w:rsidTr="00FC1060">
        <w:trPr>
          <w:trHeight w:val="261"/>
          <w:jc w:val="center"/>
        </w:trPr>
        <w:tc>
          <w:tcPr>
            <w:tcW w:w="339" w:type="pct"/>
            <w:tcBorders>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10</w:t>
            </w:r>
          </w:p>
        </w:tc>
        <w:tc>
          <w:tcPr>
            <w:tcW w:w="1299" w:type="pct"/>
            <w:tcBorders>
              <w:left w:val="single" w:sz="4" w:space="0" w:color="auto"/>
              <w:right w:val="single" w:sz="4" w:space="0" w:color="auto"/>
            </w:tcBorders>
            <w:vAlign w:val="center"/>
          </w:tcPr>
          <w:p w:rsidR="005B503E" w:rsidRPr="0023574F" w:rsidRDefault="005B503E" w:rsidP="0023574F">
            <w:pPr>
              <w:snapToGrid w:val="0"/>
              <w:jc w:val="center"/>
              <w:rPr>
                <w:b/>
                <w:bCs/>
                <w:color w:val="000000"/>
                <w:sz w:val="20"/>
                <w:szCs w:val="20"/>
              </w:rPr>
            </w:pPr>
            <w:r w:rsidRPr="0023574F">
              <w:rPr>
                <w:b/>
                <w:bCs/>
                <w:color w:val="000000"/>
                <w:sz w:val="20"/>
                <w:szCs w:val="20"/>
              </w:rPr>
              <w:t>OP</w:t>
            </w:r>
            <w:r w:rsidRPr="0023574F">
              <w:rPr>
                <w:b/>
                <w:bCs/>
                <w:color w:val="000000"/>
                <w:sz w:val="20"/>
                <w:szCs w:val="20"/>
                <w:lang w:bidi="ar-EG"/>
              </w:rPr>
              <w:t>Z-19</w:t>
            </w:r>
          </w:p>
        </w:tc>
        <w:tc>
          <w:tcPr>
            <w:tcW w:w="3362" w:type="pct"/>
            <w:tcBorders>
              <w:left w:val="single" w:sz="4" w:space="0" w:color="auto"/>
            </w:tcBorders>
            <w:vAlign w:val="center"/>
          </w:tcPr>
          <w:p w:rsidR="005B503E" w:rsidRPr="0023574F" w:rsidRDefault="005B503E" w:rsidP="0023574F">
            <w:pPr>
              <w:snapToGrid w:val="0"/>
              <w:jc w:val="center"/>
              <w:rPr>
                <w:color w:val="000000"/>
                <w:sz w:val="20"/>
                <w:szCs w:val="20"/>
              </w:rPr>
            </w:pPr>
            <w:r w:rsidRPr="0023574F">
              <w:rPr>
                <w:color w:val="000000"/>
                <w:sz w:val="20"/>
                <w:szCs w:val="20"/>
              </w:rPr>
              <w:t>GTGCGAGCAA</w:t>
            </w:r>
          </w:p>
        </w:tc>
      </w:tr>
    </w:tbl>
    <w:p w:rsidR="00FC1060" w:rsidRPr="0023574F" w:rsidRDefault="00FC1060" w:rsidP="0023574F">
      <w:pPr>
        <w:pStyle w:val="BodyTextIndent2"/>
        <w:bidi w:val="0"/>
        <w:snapToGrid w:val="0"/>
        <w:spacing w:after="0" w:line="240" w:lineRule="auto"/>
        <w:ind w:left="0" w:firstLine="425"/>
        <w:jc w:val="both"/>
        <w:rPr>
          <w:b/>
          <w:bCs/>
          <w:sz w:val="20"/>
          <w:szCs w:val="20"/>
          <w:lang w:bidi="ar-EG"/>
        </w:rPr>
      </w:pPr>
    </w:p>
    <w:p w:rsidR="008B35E3" w:rsidRPr="0023574F" w:rsidRDefault="008B35E3" w:rsidP="0023574F">
      <w:pPr>
        <w:pStyle w:val="BodyTextIndent2"/>
        <w:bidi w:val="0"/>
        <w:snapToGrid w:val="0"/>
        <w:spacing w:after="0" w:line="240" w:lineRule="auto"/>
        <w:ind w:left="0"/>
        <w:jc w:val="both"/>
        <w:rPr>
          <w:b/>
          <w:bCs/>
          <w:sz w:val="20"/>
          <w:szCs w:val="20"/>
          <w:lang w:bidi="ar-EG"/>
        </w:rPr>
      </w:pPr>
      <w:r w:rsidRPr="0023574F">
        <w:rPr>
          <w:b/>
          <w:bCs/>
          <w:sz w:val="20"/>
          <w:szCs w:val="20"/>
          <w:lang w:bidi="ar-EG"/>
        </w:rPr>
        <w:lastRenderedPageBreak/>
        <w:t>3. RAPD analysis:</w:t>
      </w:r>
    </w:p>
    <w:p w:rsidR="008B35E3" w:rsidRPr="0023574F" w:rsidRDefault="008B35E3" w:rsidP="0023574F">
      <w:pPr>
        <w:pStyle w:val="BodyTextIndent2"/>
        <w:bidi w:val="0"/>
        <w:snapToGrid w:val="0"/>
        <w:spacing w:after="0" w:line="240" w:lineRule="auto"/>
        <w:ind w:left="0" w:firstLine="425"/>
        <w:jc w:val="both"/>
        <w:rPr>
          <w:sz w:val="20"/>
          <w:szCs w:val="20"/>
          <w:lang w:bidi="ar-EG"/>
        </w:rPr>
      </w:pPr>
      <w:r w:rsidRPr="0023574F">
        <w:rPr>
          <w:sz w:val="20"/>
          <w:szCs w:val="20"/>
          <w:lang w:bidi="ar-EG"/>
        </w:rPr>
        <w:t>The banding patterns generated by RAPD-PCR analysis were compared to determine the genetic differences of treated and untreated fungi.</w:t>
      </w:r>
      <w:r w:rsidR="004048ED">
        <w:rPr>
          <w:sz w:val="20"/>
          <w:szCs w:val="20"/>
          <w:lang w:bidi="ar-EG"/>
        </w:rPr>
        <w:t xml:space="preserve"> </w:t>
      </w:r>
      <w:r w:rsidRPr="0023574F">
        <w:rPr>
          <w:sz w:val="20"/>
          <w:szCs w:val="20"/>
          <w:lang w:bidi="ar-EG"/>
        </w:rPr>
        <w:t>The amplified fragments were scored either as present (1) or absent (0).</w:t>
      </w:r>
      <w:r w:rsidR="004048ED">
        <w:rPr>
          <w:sz w:val="20"/>
          <w:szCs w:val="20"/>
          <w:lang w:bidi="ar-EG"/>
        </w:rPr>
        <w:t xml:space="preserve"> </w:t>
      </w:r>
      <w:r w:rsidRPr="0023574F">
        <w:rPr>
          <w:sz w:val="20"/>
          <w:szCs w:val="20"/>
          <w:lang w:bidi="ar-EG"/>
        </w:rPr>
        <w:t>Bands of the same mobility were scored as identical.</w:t>
      </w:r>
      <w:r w:rsidR="004048ED">
        <w:rPr>
          <w:sz w:val="20"/>
          <w:szCs w:val="20"/>
          <w:lang w:bidi="ar-EG"/>
        </w:rPr>
        <w:t xml:space="preserve"> </w:t>
      </w:r>
      <w:r w:rsidRPr="0023574F">
        <w:rPr>
          <w:sz w:val="20"/>
          <w:szCs w:val="20"/>
          <w:lang w:bidi="ar-EG"/>
        </w:rPr>
        <w:t xml:space="preserve">The similarity coefficient (F) between the control and the treatment was defined by the formula of </w:t>
      </w:r>
      <w:proofErr w:type="spellStart"/>
      <w:r w:rsidRPr="0023574F">
        <w:rPr>
          <w:b/>
          <w:bCs/>
          <w:sz w:val="20"/>
          <w:szCs w:val="20"/>
          <w:lang w:bidi="ar-EG"/>
        </w:rPr>
        <w:t>Nei</w:t>
      </w:r>
      <w:proofErr w:type="spellEnd"/>
      <w:r w:rsidRPr="0023574F">
        <w:rPr>
          <w:b/>
          <w:bCs/>
          <w:sz w:val="20"/>
          <w:szCs w:val="20"/>
          <w:lang w:bidi="ar-EG"/>
        </w:rPr>
        <w:t xml:space="preserve"> and Li (1979)</w:t>
      </w:r>
      <w:r w:rsidRPr="0023574F">
        <w:rPr>
          <w:sz w:val="20"/>
          <w:szCs w:val="20"/>
          <w:lang w:bidi="ar-EG"/>
        </w:rPr>
        <w:t>, F=2N</w:t>
      </w:r>
      <w:r w:rsidRPr="0023574F">
        <w:rPr>
          <w:sz w:val="20"/>
          <w:szCs w:val="20"/>
          <w:vertAlign w:val="subscript"/>
          <w:lang w:bidi="ar-EG"/>
        </w:rPr>
        <w:t>XY</w:t>
      </w:r>
      <w:r w:rsidRPr="0023574F">
        <w:rPr>
          <w:sz w:val="20"/>
          <w:szCs w:val="20"/>
          <w:lang w:bidi="ar-EG"/>
        </w:rPr>
        <w:t>/N</w:t>
      </w:r>
      <w:r w:rsidRPr="0023574F">
        <w:rPr>
          <w:sz w:val="20"/>
          <w:szCs w:val="20"/>
          <w:vertAlign w:val="subscript"/>
          <w:lang w:bidi="ar-EG"/>
        </w:rPr>
        <w:t>X</w:t>
      </w:r>
      <w:r w:rsidRPr="0023574F">
        <w:rPr>
          <w:sz w:val="20"/>
          <w:szCs w:val="20"/>
          <w:lang w:bidi="ar-EG"/>
        </w:rPr>
        <w:t>+N</w:t>
      </w:r>
      <w:r w:rsidRPr="0023574F">
        <w:rPr>
          <w:sz w:val="20"/>
          <w:szCs w:val="20"/>
          <w:vertAlign w:val="subscript"/>
          <w:lang w:bidi="ar-EG"/>
        </w:rPr>
        <w:t>Y</w:t>
      </w:r>
      <w:r w:rsidRPr="0023574F">
        <w:rPr>
          <w:sz w:val="20"/>
          <w:szCs w:val="20"/>
          <w:lang w:bidi="ar-EG"/>
        </w:rPr>
        <w:t>, where N</w:t>
      </w:r>
      <w:r w:rsidRPr="0023574F">
        <w:rPr>
          <w:sz w:val="20"/>
          <w:szCs w:val="20"/>
          <w:vertAlign w:val="subscript"/>
          <w:lang w:bidi="ar-EG"/>
        </w:rPr>
        <w:t>XY</w:t>
      </w:r>
      <w:r w:rsidRPr="0023574F">
        <w:rPr>
          <w:sz w:val="20"/>
          <w:szCs w:val="20"/>
          <w:lang w:bidi="ar-EG"/>
        </w:rPr>
        <w:t xml:space="preserve"> is the number of common bands between the control and treatment and N</w:t>
      </w:r>
      <w:r w:rsidRPr="0023574F">
        <w:rPr>
          <w:sz w:val="20"/>
          <w:szCs w:val="20"/>
          <w:vertAlign w:val="subscript"/>
          <w:lang w:bidi="ar-EG"/>
        </w:rPr>
        <w:t>X</w:t>
      </w:r>
      <w:r w:rsidRPr="0023574F">
        <w:rPr>
          <w:sz w:val="20"/>
          <w:szCs w:val="20"/>
          <w:lang w:bidi="ar-EG"/>
        </w:rPr>
        <w:t xml:space="preserve"> and N</w:t>
      </w:r>
      <w:r w:rsidRPr="0023574F">
        <w:rPr>
          <w:sz w:val="20"/>
          <w:szCs w:val="20"/>
          <w:vertAlign w:val="subscript"/>
          <w:lang w:bidi="ar-EG"/>
        </w:rPr>
        <w:t>Y</w:t>
      </w:r>
      <w:r w:rsidRPr="0023574F">
        <w:rPr>
          <w:sz w:val="20"/>
          <w:szCs w:val="20"/>
          <w:lang w:bidi="ar-EG"/>
        </w:rPr>
        <w:t xml:space="preserve"> are the number of bands in the control X and the treatment Y, respectively.</w:t>
      </w:r>
      <w:r w:rsidR="004048ED">
        <w:rPr>
          <w:sz w:val="20"/>
          <w:szCs w:val="20"/>
          <w:lang w:bidi="ar-EG"/>
        </w:rPr>
        <w:t xml:space="preserve"> </w:t>
      </w:r>
      <w:proofErr w:type="spellStart"/>
      <w:r w:rsidRPr="0023574F">
        <w:rPr>
          <w:sz w:val="20"/>
          <w:szCs w:val="20"/>
          <w:lang w:bidi="ar-EG"/>
        </w:rPr>
        <w:t>Dendrogram</w:t>
      </w:r>
      <w:proofErr w:type="spellEnd"/>
      <w:r w:rsidRPr="0023574F">
        <w:rPr>
          <w:sz w:val="20"/>
          <w:szCs w:val="20"/>
          <w:lang w:bidi="ar-EG"/>
        </w:rPr>
        <w:t xml:space="preserve"> was derived from the distance by the </w:t>
      </w:r>
      <w:proofErr w:type="spellStart"/>
      <w:r w:rsidRPr="0023574F">
        <w:rPr>
          <w:sz w:val="20"/>
          <w:szCs w:val="20"/>
          <w:lang w:bidi="ar-EG"/>
        </w:rPr>
        <w:t>unwighted</w:t>
      </w:r>
      <w:proofErr w:type="spellEnd"/>
      <w:r w:rsidRPr="0023574F">
        <w:rPr>
          <w:sz w:val="20"/>
          <w:szCs w:val="20"/>
          <w:lang w:bidi="ar-EG"/>
        </w:rPr>
        <w:t xml:space="preserve"> paired-group method, arithmetic mean (UPGMA) algorithm contained in the computer program package NTSYS 1.5 </w:t>
      </w:r>
      <w:r w:rsidRPr="0023574F">
        <w:rPr>
          <w:b/>
          <w:bCs/>
          <w:sz w:val="20"/>
          <w:szCs w:val="20"/>
          <w:lang w:bidi="ar-EG"/>
        </w:rPr>
        <w:t>(</w:t>
      </w:r>
      <w:proofErr w:type="spellStart"/>
      <w:r w:rsidRPr="0023574F">
        <w:rPr>
          <w:b/>
          <w:bCs/>
          <w:sz w:val="20"/>
          <w:szCs w:val="20"/>
          <w:lang w:bidi="ar-EG"/>
        </w:rPr>
        <w:t>Rohlf</w:t>
      </w:r>
      <w:proofErr w:type="spellEnd"/>
      <w:r w:rsidRPr="0023574F">
        <w:rPr>
          <w:b/>
          <w:bCs/>
          <w:sz w:val="20"/>
          <w:szCs w:val="20"/>
          <w:lang w:bidi="ar-EG"/>
        </w:rPr>
        <w:t>, 1990).</w:t>
      </w:r>
    </w:p>
    <w:p w:rsidR="00FC1060" w:rsidRPr="0023574F" w:rsidRDefault="00FC1060" w:rsidP="0023574F">
      <w:pPr>
        <w:autoSpaceDE w:val="0"/>
        <w:autoSpaceDN w:val="0"/>
        <w:adjustRightInd w:val="0"/>
        <w:snapToGrid w:val="0"/>
        <w:jc w:val="both"/>
        <w:rPr>
          <w:b/>
          <w:bCs/>
          <w:sz w:val="20"/>
          <w:szCs w:val="20"/>
        </w:rPr>
      </w:pPr>
    </w:p>
    <w:p w:rsidR="00E104E8" w:rsidRPr="0023574F" w:rsidRDefault="00814F50" w:rsidP="0023574F">
      <w:pPr>
        <w:autoSpaceDE w:val="0"/>
        <w:autoSpaceDN w:val="0"/>
        <w:adjustRightInd w:val="0"/>
        <w:snapToGrid w:val="0"/>
        <w:jc w:val="both"/>
        <w:rPr>
          <w:b/>
          <w:bCs/>
          <w:sz w:val="20"/>
          <w:szCs w:val="20"/>
        </w:rPr>
      </w:pPr>
      <w:r w:rsidRPr="0023574F">
        <w:rPr>
          <w:b/>
          <w:bCs/>
          <w:sz w:val="20"/>
          <w:szCs w:val="20"/>
        </w:rPr>
        <w:t>Results and Discussion:</w:t>
      </w:r>
    </w:p>
    <w:p w:rsidR="001C27DF" w:rsidRPr="0023574F" w:rsidRDefault="001C27DF" w:rsidP="0023574F">
      <w:pPr>
        <w:autoSpaceDE w:val="0"/>
        <w:autoSpaceDN w:val="0"/>
        <w:adjustRightInd w:val="0"/>
        <w:snapToGrid w:val="0"/>
        <w:jc w:val="both"/>
        <w:rPr>
          <w:b/>
          <w:bCs/>
          <w:sz w:val="20"/>
          <w:szCs w:val="20"/>
          <w:lang w:bidi="ar-EG"/>
        </w:rPr>
      </w:pPr>
      <w:proofErr w:type="spellStart"/>
      <w:r w:rsidRPr="0023574F">
        <w:rPr>
          <w:b/>
          <w:bCs/>
          <w:sz w:val="20"/>
          <w:szCs w:val="20"/>
          <w:lang w:bidi="ar-EG"/>
        </w:rPr>
        <w:t>I.Antifungal</w:t>
      </w:r>
      <w:proofErr w:type="spellEnd"/>
      <w:r w:rsidRPr="0023574F">
        <w:rPr>
          <w:b/>
          <w:bCs/>
          <w:sz w:val="20"/>
          <w:szCs w:val="20"/>
          <w:lang w:bidi="ar-EG"/>
        </w:rPr>
        <w:t xml:space="preserve"> activity of the selected compounds against </w:t>
      </w:r>
      <w:proofErr w:type="spellStart"/>
      <w:r w:rsidRPr="0023574F">
        <w:rPr>
          <w:b/>
          <w:bCs/>
          <w:i/>
          <w:iCs/>
          <w:sz w:val="20"/>
          <w:szCs w:val="20"/>
          <w:lang w:bidi="ar-EG"/>
        </w:rPr>
        <w:t>Fusariumoxysporum</w:t>
      </w:r>
      <w:proofErr w:type="spellEnd"/>
      <w:r w:rsidRPr="0023574F">
        <w:rPr>
          <w:b/>
          <w:bCs/>
          <w:sz w:val="20"/>
          <w:szCs w:val="20"/>
          <w:lang w:bidi="ar-EG"/>
        </w:rPr>
        <w:t>:</w:t>
      </w:r>
    </w:p>
    <w:p w:rsidR="001C27DF" w:rsidRPr="0023574F" w:rsidRDefault="001C27DF" w:rsidP="0023574F">
      <w:pPr>
        <w:snapToGrid w:val="0"/>
        <w:ind w:firstLine="425"/>
        <w:jc w:val="both"/>
        <w:rPr>
          <w:sz w:val="20"/>
          <w:szCs w:val="20"/>
          <w:lang w:bidi="ar-EG"/>
        </w:rPr>
      </w:pPr>
      <w:r w:rsidRPr="0023574F">
        <w:rPr>
          <w:sz w:val="20"/>
          <w:szCs w:val="20"/>
          <w:lang w:bidi="ar-EG"/>
        </w:rPr>
        <w:t xml:space="preserve">The antifungal activity of the tested compounds upon </w:t>
      </w:r>
      <w:r w:rsidRPr="0023574F">
        <w:rPr>
          <w:i/>
          <w:iCs/>
          <w:sz w:val="20"/>
          <w:szCs w:val="20"/>
          <w:lang w:bidi="ar-EG"/>
        </w:rPr>
        <w:t xml:space="preserve">F. </w:t>
      </w:r>
      <w:proofErr w:type="spellStart"/>
      <w:r w:rsidRPr="0023574F">
        <w:rPr>
          <w:i/>
          <w:iCs/>
          <w:sz w:val="20"/>
          <w:szCs w:val="20"/>
          <w:lang w:bidi="ar-EG"/>
        </w:rPr>
        <w:t>oxysporum</w:t>
      </w:r>
      <w:proofErr w:type="spellEnd"/>
      <w:r w:rsidRPr="0023574F">
        <w:rPr>
          <w:sz w:val="20"/>
          <w:szCs w:val="20"/>
          <w:lang w:bidi="ar-EG"/>
        </w:rPr>
        <w:t xml:space="preserve"> after 6 days of incubation and at the end of incubation period is given in table (1).</w:t>
      </w:r>
      <w:r w:rsidR="004048ED">
        <w:rPr>
          <w:sz w:val="20"/>
          <w:szCs w:val="20"/>
          <w:lang w:bidi="ar-EG"/>
        </w:rPr>
        <w:t xml:space="preserve"> </w:t>
      </w:r>
      <w:r w:rsidRPr="0023574F">
        <w:rPr>
          <w:sz w:val="20"/>
          <w:szCs w:val="20"/>
          <w:lang w:bidi="ar-EG"/>
        </w:rPr>
        <w:t xml:space="preserve">From the obtained results, the inhibition percentage when using </w:t>
      </w:r>
      <w:proofErr w:type="spellStart"/>
      <w:r w:rsidRPr="0023574F">
        <w:rPr>
          <w:sz w:val="20"/>
          <w:szCs w:val="20"/>
          <w:lang w:bidi="ar-EG"/>
        </w:rPr>
        <w:t>thymol</w:t>
      </w:r>
      <w:proofErr w:type="spellEnd"/>
      <w:r w:rsidRPr="0023574F">
        <w:rPr>
          <w:sz w:val="20"/>
          <w:szCs w:val="20"/>
          <w:lang w:bidi="ar-EG"/>
        </w:rPr>
        <w:t xml:space="preserve"> compound after 6 days of incubation at 50 µg/ml was 16.93%, at 250 µg/ml was 98.41% and concentrations 100, 150 and 200 µg/ml gave 65.08, 87.98 and 95.82% growth inhibition, respectively. In case of using </w:t>
      </w:r>
      <w:proofErr w:type="spellStart"/>
      <w:r w:rsidRPr="0023574F">
        <w:rPr>
          <w:sz w:val="20"/>
          <w:szCs w:val="20"/>
          <w:lang w:bidi="ar-EG"/>
        </w:rPr>
        <w:t>eugenol</w:t>
      </w:r>
      <w:proofErr w:type="spellEnd"/>
      <w:r w:rsidRPr="0023574F">
        <w:rPr>
          <w:sz w:val="20"/>
          <w:szCs w:val="20"/>
          <w:lang w:bidi="ar-EG"/>
        </w:rPr>
        <w:t>, 50 µg/ml concentration gave 3.91% growth inhibition; 250 µg/ml gave 57.29% while the concentration 100, 150 and 200 µg/ml gave 17.78, 33.23 and 46.57% growth inhibition, respectively.</w:t>
      </w:r>
      <w:r w:rsidR="004048ED">
        <w:rPr>
          <w:sz w:val="20"/>
          <w:szCs w:val="20"/>
          <w:lang w:bidi="ar-EG"/>
        </w:rPr>
        <w:t xml:space="preserve"> </w:t>
      </w:r>
      <w:r w:rsidRPr="0023574F">
        <w:rPr>
          <w:sz w:val="20"/>
          <w:szCs w:val="20"/>
          <w:lang w:bidi="ar-EG"/>
        </w:rPr>
        <w:t xml:space="preserve">For methyl </w:t>
      </w:r>
      <w:proofErr w:type="spellStart"/>
      <w:r w:rsidRPr="0023574F">
        <w:rPr>
          <w:sz w:val="20"/>
          <w:szCs w:val="20"/>
          <w:lang w:bidi="ar-EG"/>
        </w:rPr>
        <w:t>cinnamate</w:t>
      </w:r>
      <w:proofErr w:type="spellEnd"/>
      <w:r w:rsidRPr="0023574F">
        <w:rPr>
          <w:sz w:val="20"/>
          <w:szCs w:val="20"/>
          <w:lang w:bidi="ar-EG"/>
        </w:rPr>
        <w:t>, the lowest concentration (50 µg/ml) gave 0.06% growth inhibition, approximately middle concentration (150 µg/ml) had 11.14% linear growth inhibition while the highest concentration (250 µg/ml) had 39.05% growth inhibition.</w:t>
      </w:r>
      <w:r w:rsidR="004048ED">
        <w:rPr>
          <w:sz w:val="20"/>
          <w:szCs w:val="20"/>
          <w:lang w:bidi="ar-EG"/>
        </w:rPr>
        <w:t xml:space="preserve"> </w:t>
      </w:r>
      <w:r w:rsidRPr="0023574F">
        <w:rPr>
          <w:sz w:val="20"/>
          <w:szCs w:val="20"/>
          <w:lang w:bidi="ar-EG"/>
        </w:rPr>
        <w:t>For the lowest effective compound, linalool 500 µg/ml concentration gave 1.36%; the 8000 µg/ml gave complete growth inhibition whereas 4000 µg/ml concentration gave 80.64% growth inhibition.</w:t>
      </w:r>
      <w:r w:rsidR="004048ED">
        <w:rPr>
          <w:sz w:val="20"/>
          <w:szCs w:val="20"/>
          <w:lang w:bidi="ar-EG"/>
        </w:rPr>
        <w:t xml:space="preserve"> </w:t>
      </w:r>
      <w:r w:rsidRPr="0023574F">
        <w:rPr>
          <w:sz w:val="20"/>
          <w:szCs w:val="20"/>
          <w:lang w:bidi="ar-EG"/>
        </w:rPr>
        <w:t>The 1,8-cineol compound showed no antifungal activity for concentrations 500, 1000, 2000 and 4000 µg/ml and gave only 10.67% growth inhibition at 8000 µg/ml concentration.</w:t>
      </w:r>
    </w:p>
    <w:p w:rsidR="001C27DF" w:rsidRPr="0023574F" w:rsidRDefault="001C27DF" w:rsidP="0023574F">
      <w:pPr>
        <w:snapToGrid w:val="0"/>
        <w:ind w:firstLine="425"/>
        <w:jc w:val="both"/>
        <w:rPr>
          <w:sz w:val="20"/>
          <w:szCs w:val="20"/>
          <w:lang w:bidi="ar-EG"/>
        </w:rPr>
      </w:pPr>
      <w:r w:rsidRPr="0023574F">
        <w:rPr>
          <w:sz w:val="20"/>
          <w:szCs w:val="20"/>
          <w:lang w:bidi="ar-EG"/>
        </w:rPr>
        <w:t>From the LC</w:t>
      </w:r>
      <w:r w:rsidRPr="0023574F">
        <w:rPr>
          <w:sz w:val="20"/>
          <w:szCs w:val="20"/>
          <w:vertAlign w:val="subscript"/>
          <w:lang w:bidi="ar-EG"/>
        </w:rPr>
        <w:t>50</w:t>
      </w:r>
      <w:r w:rsidRPr="0023574F">
        <w:rPr>
          <w:sz w:val="20"/>
          <w:szCs w:val="20"/>
          <w:lang w:bidi="ar-EG"/>
        </w:rPr>
        <w:t xml:space="preserve"> values of the tested natural occurring compounds given in the table we concluded that the most effective compound was </w:t>
      </w:r>
      <w:proofErr w:type="spellStart"/>
      <w:r w:rsidRPr="0023574F">
        <w:rPr>
          <w:sz w:val="20"/>
          <w:szCs w:val="20"/>
          <w:lang w:bidi="ar-EG"/>
        </w:rPr>
        <w:t>thymol</w:t>
      </w:r>
      <w:proofErr w:type="spellEnd"/>
      <w:r w:rsidRPr="0023574F">
        <w:rPr>
          <w:sz w:val="20"/>
          <w:szCs w:val="20"/>
          <w:lang w:bidi="ar-EG"/>
        </w:rPr>
        <w:t xml:space="preserve"> followed by </w:t>
      </w:r>
      <w:proofErr w:type="spellStart"/>
      <w:r w:rsidRPr="0023574F">
        <w:rPr>
          <w:sz w:val="20"/>
          <w:szCs w:val="20"/>
          <w:lang w:bidi="ar-EG"/>
        </w:rPr>
        <w:t>eugenol</w:t>
      </w:r>
      <w:proofErr w:type="spellEnd"/>
      <w:r w:rsidRPr="0023574F">
        <w:rPr>
          <w:sz w:val="20"/>
          <w:szCs w:val="20"/>
          <w:lang w:bidi="ar-EG"/>
        </w:rPr>
        <w:t xml:space="preserve">, methyl </w:t>
      </w:r>
      <w:proofErr w:type="spellStart"/>
      <w:r w:rsidRPr="0023574F">
        <w:rPr>
          <w:sz w:val="20"/>
          <w:szCs w:val="20"/>
          <w:lang w:bidi="ar-EG"/>
        </w:rPr>
        <w:t>cinnamate</w:t>
      </w:r>
      <w:proofErr w:type="spellEnd"/>
      <w:r w:rsidRPr="0023574F">
        <w:rPr>
          <w:sz w:val="20"/>
          <w:szCs w:val="20"/>
          <w:lang w:bidi="ar-EG"/>
        </w:rPr>
        <w:t xml:space="preserve"> and finally linalool where the 1,8-cineol compound showed no antifungal activity on the tested fungus.</w:t>
      </w:r>
      <w:r w:rsidR="004048ED">
        <w:rPr>
          <w:sz w:val="20"/>
          <w:szCs w:val="20"/>
          <w:lang w:bidi="ar-EG"/>
        </w:rPr>
        <w:t xml:space="preserve"> </w:t>
      </w:r>
      <w:r w:rsidRPr="0023574F">
        <w:rPr>
          <w:sz w:val="20"/>
          <w:szCs w:val="20"/>
          <w:lang w:bidi="ar-EG"/>
        </w:rPr>
        <w:t>The LC</w:t>
      </w:r>
      <w:r w:rsidRPr="0023574F">
        <w:rPr>
          <w:sz w:val="20"/>
          <w:szCs w:val="20"/>
          <w:vertAlign w:val="subscript"/>
          <w:lang w:bidi="ar-EG"/>
        </w:rPr>
        <w:t>50</w:t>
      </w:r>
      <w:r w:rsidRPr="0023574F">
        <w:rPr>
          <w:sz w:val="20"/>
          <w:szCs w:val="20"/>
          <w:lang w:bidi="ar-EG"/>
        </w:rPr>
        <w:t xml:space="preserve">'s were 81.89, 214.74, 290.66 and 1357.4 µg/ml for </w:t>
      </w:r>
      <w:proofErr w:type="spellStart"/>
      <w:r w:rsidRPr="0023574F">
        <w:rPr>
          <w:sz w:val="20"/>
          <w:szCs w:val="20"/>
          <w:lang w:bidi="ar-EG"/>
        </w:rPr>
        <w:t>thymol</w:t>
      </w:r>
      <w:proofErr w:type="spellEnd"/>
      <w:r w:rsidRPr="0023574F">
        <w:rPr>
          <w:sz w:val="20"/>
          <w:szCs w:val="20"/>
          <w:lang w:bidi="ar-EG"/>
        </w:rPr>
        <w:t xml:space="preserve">, </w:t>
      </w:r>
      <w:proofErr w:type="spellStart"/>
      <w:r w:rsidRPr="0023574F">
        <w:rPr>
          <w:sz w:val="20"/>
          <w:szCs w:val="20"/>
          <w:lang w:bidi="ar-EG"/>
        </w:rPr>
        <w:t>eugenol</w:t>
      </w:r>
      <w:proofErr w:type="spellEnd"/>
      <w:r w:rsidRPr="0023574F">
        <w:rPr>
          <w:sz w:val="20"/>
          <w:szCs w:val="20"/>
          <w:lang w:bidi="ar-EG"/>
        </w:rPr>
        <w:t xml:space="preserve">, methyl </w:t>
      </w:r>
      <w:proofErr w:type="spellStart"/>
      <w:r w:rsidRPr="0023574F">
        <w:rPr>
          <w:sz w:val="20"/>
          <w:szCs w:val="20"/>
          <w:lang w:bidi="ar-EG"/>
        </w:rPr>
        <w:t>cinnamate</w:t>
      </w:r>
      <w:proofErr w:type="spellEnd"/>
      <w:r w:rsidRPr="0023574F">
        <w:rPr>
          <w:sz w:val="20"/>
          <w:szCs w:val="20"/>
          <w:lang w:bidi="ar-EG"/>
        </w:rPr>
        <w:t xml:space="preserve"> and linalool, respectively.</w:t>
      </w:r>
    </w:p>
    <w:p w:rsidR="00E104E8" w:rsidRPr="0023574F" w:rsidRDefault="001C27DF" w:rsidP="0023574F">
      <w:pPr>
        <w:snapToGrid w:val="0"/>
        <w:ind w:firstLine="425"/>
        <w:jc w:val="both"/>
        <w:rPr>
          <w:sz w:val="20"/>
          <w:szCs w:val="20"/>
          <w:lang w:bidi="ar-EG"/>
        </w:rPr>
      </w:pPr>
      <w:r w:rsidRPr="0023574F">
        <w:rPr>
          <w:sz w:val="20"/>
          <w:szCs w:val="20"/>
          <w:lang w:bidi="ar-EG"/>
        </w:rPr>
        <w:t>According to the LC</w:t>
      </w:r>
      <w:r w:rsidRPr="0023574F">
        <w:rPr>
          <w:sz w:val="20"/>
          <w:szCs w:val="20"/>
          <w:vertAlign w:val="subscript"/>
          <w:lang w:bidi="ar-EG"/>
        </w:rPr>
        <w:t>50</w:t>
      </w:r>
      <w:r w:rsidRPr="0023574F">
        <w:rPr>
          <w:sz w:val="20"/>
          <w:szCs w:val="20"/>
          <w:lang w:bidi="ar-EG"/>
        </w:rPr>
        <w:t xml:space="preserve"> values, the toxicity indexes of the tested compounds, </w:t>
      </w:r>
      <w:proofErr w:type="spellStart"/>
      <w:r w:rsidRPr="0023574F">
        <w:rPr>
          <w:sz w:val="20"/>
          <w:szCs w:val="20"/>
          <w:lang w:bidi="ar-EG"/>
        </w:rPr>
        <w:t>eugenol</w:t>
      </w:r>
      <w:proofErr w:type="spellEnd"/>
      <w:r w:rsidRPr="0023574F">
        <w:rPr>
          <w:sz w:val="20"/>
          <w:szCs w:val="20"/>
          <w:lang w:bidi="ar-EG"/>
        </w:rPr>
        <w:t xml:space="preserve">, methyl </w:t>
      </w:r>
      <w:proofErr w:type="spellStart"/>
      <w:r w:rsidRPr="0023574F">
        <w:rPr>
          <w:sz w:val="20"/>
          <w:szCs w:val="20"/>
          <w:lang w:bidi="ar-EG"/>
        </w:rPr>
        <w:lastRenderedPageBreak/>
        <w:t>cinnamate</w:t>
      </w:r>
      <w:proofErr w:type="spellEnd"/>
      <w:r w:rsidRPr="0023574F">
        <w:rPr>
          <w:sz w:val="20"/>
          <w:szCs w:val="20"/>
          <w:lang w:bidi="ar-EG"/>
        </w:rPr>
        <w:t xml:space="preserve"> and linalool were 38.14, 28.16 and 6.03%, respectively when comparing with the highest effective compound </w:t>
      </w:r>
      <w:proofErr w:type="spellStart"/>
      <w:r w:rsidRPr="0023574F">
        <w:rPr>
          <w:sz w:val="20"/>
          <w:szCs w:val="20"/>
          <w:lang w:bidi="ar-EG"/>
        </w:rPr>
        <w:t>thymol</w:t>
      </w:r>
      <w:proofErr w:type="spellEnd"/>
      <w:r w:rsidRPr="0023574F">
        <w:rPr>
          <w:sz w:val="20"/>
          <w:szCs w:val="20"/>
          <w:lang w:bidi="ar-EG"/>
        </w:rPr>
        <w:t xml:space="preserve"> which had recorded the highest toxicity index 100%.</w:t>
      </w:r>
      <w:r w:rsidR="004048ED">
        <w:rPr>
          <w:sz w:val="20"/>
          <w:szCs w:val="20"/>
          <w:lang w:bidi="ar-EG"/>
        </w:rPr>
        <w:t xml:space="preserve"> </w:t>
      </w:r>
      <w:r w:rsidRPr="0023574F">
        <w:rPr>
          <w:sz w:val="20"/>
          <w:szCs w:val="20"/>
          <w:lang w:bidi="ar-EG"/>
        </w:rPr>
        <w:t xml:space="preserve">The relative potencies of the selected compounds, </w:t>
      </w:r>
      <w:proofErr w:type="spellStart"/>
      <w:r w:rsidRPr="0023574F">
        <w:rPr>
          <w:sz w:val="20"/>
          <w:szCs w:val="20"/>
          <w:lang w:bidi="ar-EG"/>
        </w:rPr>
        <w:t>thymol</w:t>
      </w:r>
      <w:proofErr w:type="spellEnd"/>
      <w:r w:rsidRPr="0023574F">
        <w:rPr>
          <w:sz w:val="20"/>
          <w:szCs w:val="20"/>
          <w:lang w:bidi="ar-EG"/>
        </w:rPr>
        <w:t xml:space="preserve">, </w:t>
      </w:r>
      <w:proofErr w:type="spellStart"/>
      <w:r w:rsidRPr="0023574F">
        <w:rPr>
          <w:sz w:val="20"/>
          <w:szCs w:val="20"/>
          <w:lang w:bidi="ar-EG"/>
        </w:rPr>
        <w:t>eugenol</w:t>
      </w:r>
      <w:proofErr w:type="spellEnd"/>
      <w:r w:rsidRPr="0023574F">
        <w:rPr>
          <w:sz w:val="20"/>
          <w:szCs w:val="20"/>
          <w:lang w:bidi="ar-EG"/>
        </w:rPr>
        <w:t xml:space="preserve"> and methyl </w:t>
      </w:r>
      <w:proofErr w:type="spellStart"/>
      <w:r w:rsidRPr="0023574F">
        <w:rPr>
          <w:sz w:val="20"/>
          <w:szCs w:val="20"/>
          <w:lang w:bidi="ar-EG"/>
        </w:rPr>
        <w:t>cinnamate</w:t>
      </w:r>
      <w:proofErr w:type="spellEnd"/>
      <w:r w:rsidRPr="0023574F">
        <w:rPr>
          <w:sz w:val="20"/>
          <w:szCs w:val="20"/>
          <w:lang w:bidi="ar-EG"/>
        </w:rPr>
        <w:t xml:space="preserve"> were 16.58, 6.32 and 4.67 folds, respectively when compared with the lowest effective linalool compound.</w:t>
      </w:r>
    </w:p>
    <w:p w:rsidR="00E104E8" w:rsidRPr="0023574F" w:rsidRDefault="00E104E8" w:rsidP="0023574F">
      <w:pPr>
        <w:snapToGrid w:val="0"/>
        <w:ind w:firstLine="425"/>
        <w:jc w:val="both"/>
        <w:rPr>
          <w:sz w:val="20"/>
          <w:szCs w:val="20"/>
          <w:lang w:bidi="ar-EG"/>
        </w:rPr>
      </w:pPr>
      <w:r w:rsidRPr="0023574F">
        <w:rPr>
          <w:sz w:val="20"/>
          <w:szCs w:val="20"/>
          <w:lang w:bidi="ar-EG"/>
        </w:rPr>
        <w:t xml:space="preserve">The Ldp-lines of the selected compounds were plotted on a logarithmic paper (log concentration) in </w:t>
      </w:r>
      <w:r w:rsidRPr="0023574F">
        <w:rPr>
          <w:sz w:val="20"/>
          <w:szCs w:val="20"/>
          <w:lang w:bidi="ar-EG"/>
        </w:rPr>
        <w:lastRenderedPageBreak/>
        <w:t>relation to percentage of fungal growth inhibition as given in figure (10).</w:t>
      </w:r>
      <w:r w:rsidR="004048ED">
        <w:rPr>
          <w:sz w:val="20"/>
          <w:szCs w:val="20"/>
          <w:lang w:bidi="ar-EG"/>
        </w:rPr>
        <w:t xml:space="preserve"> </w:t>
      </w:r>
      <w:r w:rsidRPr="0023574F">
        <w:rPr>
          <w:sz w:val="20"/>
          <w:szCs w:val="20"/>
          <w:lang w:bidi="ar-EG"/>
        </w:rPr>
        <w:t xml:space="preserve">The highest slope was for linalool compound (5.14) and then after, when using </w:t>
      </w:r>
      <w:proofErr w:type="spellStart"/>
      <w:r w:rsidRPr="0023574F">
        <w:rPr>
          <w:sz w:val="20"/>
          <w:szCs w:val="20"/>
          <w:lang w:bidi="ar-EG"/>
        </w:rPr>
        <w:t>thymol</w:t>
      </w:r>
      <w:proofErr w:type="spellEnd"/>
      <w:r w:rsidRPr="0023574F">
        <w:rPr>
          <w:sz w:val="20"/>
          <w:szCs w:val="20"/>
          <w:lang w:bidi="ar-EG"/>
        </w:rPr>
        <w:t xml:space="preserve"> (4.47).</w:t>
      </w:r>
      <w:r w:rsidR="004048ED">
        <w:rPr>
          <w:sz w:val="20"/>
          <w:szCs w:val="20"/>
          <w:lang w:bidi="ar-EG"/>
        </w:rPr>
        <w:t xml:space="preserve"> </w:t>
      </w:r>
      <w:r w:rsidRPr="0023574F">
        <w:rPr>
          <w:sz w:val="20"/>
          <w:szCs w:val="20"/>
          <w:lang w:bidi="ar-EG"/>
        </w:rPr>
        <w:t xml:space="preserve">The lowest slope was for </w:t>
      </w:r>
      <w:proofErr w:type="spellStart"/>
      <w:r w:rsidRPr="0023574F">
        <w:rPr>
          <w:sz w:val="20"/>
          <w:szCs w:val="20"/>
          <w:lang w:bidi="ar-EG"/>
        </w:rPr>
        <w:t>eugenol</w:t>
      </w:r>
      <w:proofErr w:type="spellEnd"/>
      <w:r w:rsidRPr="0023574F">
        <w:rPr>
          <w:sz w:val="20"/>
          <w:szCs w:val="20"/>
          <w:lang w:bidi="ar-EG"/>
        </w:rPr>
        <w:t xml:space="preserve"> compound (2.78), after that, the slope of methyl </w:t>
      </w:r>
      <w:proofErr w:type="spellStart"/>
      <w:r w:rsidRPr="0023574F">
        <w:rPr>
          <w:sz w:val="20"/>
          <w:szCs w:val="20"/>
          <w:lang w:bidi="ar-EG"/>
        </w:rPr>
        <w:t>cinnamate</w:t>
      </w:r>
      <w:proofErr w:type="spellEnd"/>
      <w:r w:rsidRPr="0023574F">
        <w:rPr>
          <w:sz w:val="20"/>
          <w:szCs w:val="20"/>
          <w:lang w:bidi="ar-EG"/>
        </w:rPr>
        <w:t xml:space="preserve"> (4.24).</w:t>
      </w:r>
    </w:p>
    <w:p w:rsidR="0023574F" w:rsidRDefault="00E104E8" w:rsidP="0023574F">
      <w:pPr>
        <w:snapToGrid w:val="0"/>
        <w:jc w:val="both"/>
        <w:rPr>
          <w:b/>
          <w:bCs/>
          <w:sz w:val="20"/>
          <w:szCs w:val="20"/>
          <w:lang w:bidi="ar-EG"/>
        </w:rPr>
      </w:pPr>
      <w:r w:rsidRPr="0023574F">
        <w:rPr>
          <w:b/>
          <w:bCs/>
          <w:sz w:val="20"/>
          <w:szCs w:val="20"/>
          <w:lang w:bidi="ar-EG"/>
        </w:rPr>
        <w:t xml:space="preserve">It can be concluded that compounds can be arranged </w:t>
      </w:r>
      <w:proofErr w:type="spellStart"/>
      <w:r w:rsidRPr="0023574F">
        <w:rPr>
          <w:b/>
          <w:bCs/>
          <w:sz w:val="20"/>
          <w:szCs w:val="20"/>
          <w:lang w:bidi="ar-EG"/>
        </w:rPr>
        <w:t>descendingly</w:t>
      </w:r>
      <w:proofErr w:type="spellEnd"/>
      <w:r w:rsidRPr="0023574F">
        <w:rPr>
          <w:b/>
          <w:bCs/>
          <w:sz w:val="20"/>
          <w:szCs w:val="20"/>
          <w:lang w:bidi="ar-EG"/>
        </w:rPr>
        <w:t xml:space="preserve"> according to their effectiveness upon </w:t>
      </w:r>
      <w:r w:rsidRPr="0023574F">
        <w:rPr>
          <w:b/>
          <w:bCs/>
          <w:i/>
          <w:iCs/>
          <w:sz w:val="20"/>
          <w:szCs w:val="20"/>
          <w:lang w:bidi="ar-EG"/>
        </w:rPr>
        <w:t xml:space="preserve">F. </w:t>
      </w:r>
      <w:proofErr w:type="spellStart"/>
      <w:r w:rsidRPr="0023574F">
        <w:rPr>
          <w:b/>
          <w:bCs/>
          <w:i/>
          <w:iCs/>
          <w:sz w:val="20"/>
          <w:szCs w:val="20"/>
          <w:lang w:bidi="ar-EG"/>
        </w:rPr>
        <w:t>oxysporum</w:t>
      </w:r>
      <w:proofErr w:type="spellEnd"/>
      <w:r w:rsidRPr="0023574F">
        <w:rPr>
          <w:b/>
          <w:bCs/>
          <w:sz w:val="20"/>
          <w:szCs w:val="20"/>
          <w:lang w:bidi="ar-EG"/>
        </w:rPr>
        <w:t xml:space="preserve"> as follows;</w:t>
      </w:r>
      <w:r w:rsidR="004048ED">
        <w:rPr>
          <w:b/>
          <w:bCs/>
          <w:sz w:val="20"/>
          <w:szCs w:val="20"/>
          <w:lang w:bidi="ar-EG"/>
        </w:rPr>
        <w:t xml:space="preserve"> </w:t>
      </w:r>
      <w:proofErr w:type="spellStart"/>
      <w:r w:rsidRPr="0023574F">
        <w:rPr>
          <w:b/>
          <w:bCs/>
          <w:sz w:val="20"/>
          <w:szCs w:val="20"/>
          <w:lang w:bidi="ar-EG"/>
        </w:rPr>
        <w:t>thymol</w:t>
      </w:r>
      <w:proofErr w:type="spellEnd"/>
      <w:r w:rsidRPr="0023574F">
        <w:rPr>
          <w:b/>
          <w:bCs/>
          <w:sz w:val="20"/>
          <w:szCs w:val="20"/>
          <w:lang w:bidi="ar-EG"/>
        </w:rPr>
        <w:t>&gt;</w:t>
      </w:r>
      <w:proofErr w:type="spellStart"/>
      <w:r w:rsidRPr="0023574F">
        <w:rPr>
          <w:b/>
          <w:bCs/>
          <w:sz w:val="20"/>
          <w:szCs w:val="20"/>
          <w:lang w:bidi="ar-EG"/>
        </w:rPr>
        <w:t>eugenol</w:t>
      </w:r>
      <w:proofErr w:type="spellEnd"/>
      <w:r w:rsidRPr="0023574F">
        <w:rPr>
          <w:b/>
          <w:bCs/>
          <w:sz w:val="20"/>
          <w:szCs w:val="20"/>
          <w:lang w:bidi="ar-EG"/>
        </w:rPr>
        <w:t xml:space="preserve">&gt; methyl </w:t>
      </w:r>
      <w:proofErr w:type="spellStart"/>
      <w:r w:rsidRPr="0023574F">
        <w:rPr>
          <w:b/>
          <w:bCs/>
          <w:sz w:val="20"/>
          <w:szCs w:val="20"/>
          <w:lang w:bidi="ar-EG"/>
        </w:rPr>
        <w:t>cinnamate</w:t>
      </w:r>
      <w:proofErr w:type="spellEnd"/>
      <w:r w:rsidRPr="0023574F">
        <w:rPr>
          <w:b/>
          <w:bCs/>
          <w:sz w:val="20"/>
          <w:szCs w:val="20"/>
          <w:lang w:bidi="ar-EG"/>
        </w:rPr>
        <w:t>&gt; linalool</w:t>
      </w:r>
    </w:p>
    <w:p w:rsidR="0023574F" w:rsidRPr="0023574F" w:rsidRDefault="0023574F" w:rsidP="0023574F">
      <w:pPr>
        <w:snapToGrid w:val="0"/>
        <w:jc w:val="both"/>
        <w:rPr>
          <w:b/>
          <w:bCs/>
          <w:sz w:val="20"/>
          <w:szCs w:val="20"/>
          <w:lang w:bidi="ar-EG"/>
        </w:rPr>
        <w:sectPr w:rsidR="0023574F" w:rsidRPr="0023574F" w:rsidSect="004048ED">
          <w:headerReference w:type="default" r:id="rId30"/>
          <w:footerReference w:type="even" r:id="rId31"/>
          <w:footerReference w:type="default" r:id="rId32"/>
          <w:type w:val="continuous"/>
          <w:pgSz w:w="12240" w:h="15840" w:code="1"/>
          <w:pgMar w:top="1440" w:right="1440" w:bottom="1440" w:left="1440" w:header="720" w:footer="720" w:gutter="0"/>
          <w:cols w:num="2" w:space="600"/>
          <w:docGrid w:linePitch="360"/>
        </w:sectPr>
      </w:pPr>
    </w:p>
    <w:p w:rsidR="0023574F" w:rsidRDefault="0023574F" w:rsidP="0023574F">
      <w:pPr>
        <w:snapToGrid w:val="0"/>
        <w:ind w:firstLine="425"/>
        <w:jc w:val="both"/>
        <w:rPr>
          <w:b/>
          <w:bCs/>
          <w:sz w:val="20"/>
          <w:szCs w:val="20"/>
          <w:lang w:bidi="ar-EG"/>
        </w:rPr>
      </w:pPr>
    </w:p>
    <w:p w:rsidR="00E104E8" w:rsidRPr="0023574F" w:rsidRDefault="00E104E8" w:rsidP="0023574F">
      <w:pPr>
        <w:snapToGrid w:val="0"/>
        <w:ind w:firstLine="425"/>
        <w:jc w:val="both"/>
        <w:rPr>
          <w:sz w:val="20"/>
          <w:szCs w:val="20"/>
          <w:lang w:bidi="ar-EG"/>
        </w:rPr>
      </w:pPr>
      <w:r w:rsidRPr="0023574F">
        <w:rPr>
          <w:b/>
          <w:bCs/>
          <w:sz w:val="20"/>
          <w:szCs w:val="20"/>
          <w:lang w:bidi="ar-EG"/>
        </w:rPr>
        <w:t>Table (</w:t>
      </w:r>
      <w:r w:rsidR="00B637FA" w:rsidRPr="0023574F">
        <w:rPr>
          <w:b/>
          <w:bCs/>
          <w:sz w:val="20"/>
          <w:szCs w:val="20"/>
          <w:lang w:bidi="ar-EG"/>
        </w:rPr>
        <w:t>1</w:t>
      </w:r>
      <w:r w:rsidRPr="0023574F">
        <w:rPr>
          <w:b/>
          <w:bCs/>
          <w:sz w:val="20"/>
          <w:szCs w:val="20"/>
          <w:lang w:bidi="ar-EG"/>
        </w:rPr>
        <w:t>):</w:t>
      </w:r>
      <w:r w:rsidRPr="0023574F">
        <w:rPr>
          <w:sz w:val="20"/>
          <w:szCs w:val="20"/>
          <w:lang w:bidi="ar-EG"/>
        </w:rPr>
        <w:t xml:space="preserve"> Effect of the selected compounds on </w:t>
      </w:r>
      <w:proofErr w:type="spellStart"/>
      <w:r w:rsidRPr="0023574F">
        <w:rPr>
          <w:i/>
          <w:iCs/>
          <w:sz w:val="20"/>
          <w:szCs w:val="20"/>
          <w:lang w:bidi="ar-EG"/>
        </w:rPr>
        <w:t>Fusariumoxysporum</w:t>
      </w:r>
      <w:proofErr w:type="spellEnd"/>
      <w:r w:rsidRPr="0023574F">
        <w:rPr>
          <w:sz w:val="20"/>
          <w:szCs w:val="20"/>
          <w:lang w:bidi="ar-EG"/>
        </w:rPr>
        <w:t xml:space="preserve"> after 6 days of incubation.</w:t>
      </w:r>
    </w:p>
    <w:tbl>
      <w:tblPr>
        <w:tblW w:w="5025" w:type="pct"/>
        <w:jc w:val="center"/>
        <w:tblInd w:w="-318" w:type="dxa"/>
        <w:tblBorders>
          <w:top w:val="double" w:sz="4" w:space="0" w:color="auto"/>
          <w:left w:val="double" w:sz="4" w:space="0" w:color="auto"/>
          <w:bottom w:val="double" w:sz="4" w:space="0" w:color="auto"/>
          <w:right w:val="double" w:sz="4" w:space="0" w:color="auto"/>
          <w:insideH w:val="single" w:sz="4" w:space="0" w:color="auto"/>
        </w:tblBorders>
        <w:tblLook w:val="01E0"/>
      </w:tblPr>
      <w:tblGrid>
        <w:gridCol w:w="1921"/>
        <w:gridCol w:w="666"/>
        <w:gridCol w:w="666"/>
        <w:gridCol w:w="666"/>
        <w:gridCol w:w="666"/>
        <w:gridCol w:w="666"/>
        <w:gridCol w:w="887"/>
        <w:gridCol w:w="766"/>
        <w:gridCol w:w="860"/>
        <w:gridCol w:w="944"/>
        <w:gridCol w:w="916"/>
      </w:tblGrid>
      <w:tr w:rsidR="00A929BE" w:rsidRPr="0023574F" w:rsidTr="00A929BE">
        <w:trPr>
          <w:trHeight w:val="285"/>
          <w:jc w:val="center"/>
        </w:trPr>
        <w:tc>
          <w:tcPr>
            <w:tcW w:w="1001" w:type="pct"/>
            <w:vMerge w:val="restart"/>
            <w:tcBorders>
              <w:right w:val="single" w:sz="4" w:space="0" w:color="auto"/>
            </w:tcBorders>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Compounds tested</w:t>
            </w:r>
          </w:p>
        </w:tc>
        <w:tc>
          <w:tcPr>
            <w:tcW w:w="1723" w:type="pct"/>
            <w:gridSpan w:val="5"/>
            <w:tcBorders>
              <w:left w:val="single" w:sz="4" w:space="0" w:color="auto"/>
              <w:right w:val="single" w:sz="4" w:space="0" w:color="auto"/>
            </w:tcBorders>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Concentrations in</w:t>
            </w:r>
            <w:r w:rsidR="004048ED">
              <w:rPr>
                <w:b/>
                <w:bCs/>
                <w:color w:val="000000"/>
                <w:sz w:val="20"/>
                <w:szCs w:val="20"/>
                <w:lang w:bidi="ar-EG"/>
              </w:rPr>
              <w:t xml:space="preserve"> </w:t>
            </w:r>
            <w:proofErr w:type="spellStart"/>
            <w:r w:rsidRPr="0023574F">
              <w:rPr>
                <w:b/>
                <w:bCs/>
                <w:color w:val="000000"/>
                <w:sz w:val="20"/>
                <w:szCs w:val="20"/>
                <w:lang w:bidi="ar-EG"/>
              </w:rPr>
              <w:t>ppm</w:t>
            </w:r>
            <w:proofErr w:type="spellEnd"/>
            <w:r w:rsidRPr="0023574F">
              <w:rPr>
                <w:b/>
                <w:bCs/>
                <w:color w:val="000000"/>
                <w:sz w:val="20"/>
                <w:szCs w:val="20"/>
                <w:lang w:bidi="ar-EG"/>
              </w:rPr>
              <w:t xml:space="preserve"> (µg/ml)</w:t>
            </w:r>
          </w:p>
        </w:tc>
        <w:tc>
          <w:tcPr>
            <w:tcW w:w="464" w:type="pct"/>
            <w:vMerge w:val="restart"/>
            <w:tcBorders>
              <w:left w:val="single" w:sz="4" w:space="0" w:color="auto"/>
            </w:tcBorders>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LC</w:t>
            </w:r>
            <w:r w:rsidRPr="0023574F">
              <w:rPr>
                <w:b/>
                <w:bCs/>
                <w:color w:val="000000"/>
                <w:sz w:val="20"/>
                <w:szCs w:val="20"/>
                <w:vertAlign w:val="subscript"/>
                <w:lang w:bidi="ar-EG"/>
              </w:rPr>
              <w:t>25</w:t>
            </w:r>
          </w:p>
        </w:tc>
        <w:tc>
          <w:tcPr>
            <w:tcW w:w="400" w:type="pct"/>
            <w:vMerge w:val="restart"/>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LC</w:t>
            </w:r>
            <w:r w:rsidRPr="0023574F">
              <w:rPr>
                <w:b/>
                <w:bCs/>
                <w:color w:val="000000"/>
                <w:sz w:val="20"/>
                <w:szCs w:val="20"/>
                <w:vertAlign w:val="subscript"/>
                <w:lang w:bidi="ar-EG"/>
              </w:rPr>
              <w:t>50</w:t>
            </w:r>
          </w:p>
        </w:tc>
        <w:tc>
          <w:tcPr>
            <w:tcW w:w="451" w:type="pct"/>
            <w:vMerge w:val="restart"/>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Slope</w:t>
            </w:r>
          </w:p>
        </w:tc>
        <w:tc>
          <w:tcPr>
            <w:tcW w:w="493" w:type="pct"/>
            <w:vMerge w:val="restart"/>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Toxicity Index</w:t>
            </w:r>
          </w:p>
        </w:tc>
        <w:tc>
          <w:tcPr>
            <w:tcW w:w="468" w:type="pct"/>
            <w:vMerge w:val="restart"/>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Relative Potency</w:t>
            </w:r>
          </w:p>
        </w:tc>
      </w:tr>
      <w:tr w:rsidR="00A929BE" w:rsidRPr="0023574F" w:rsidTr="00A929BE">
        <w:trPr>
          <w:trHeight w:val="285"/>
          <w:jc w:val="center"/>
        </w:trPr>
        <w:tc>
          <w:tcPr>
            <w:tcW w:w="1001" w:type="pct"/>
            <w:vMerge/>
            <w:tcBorders>
              <w:right w:val="single" w:sz="4" w:space="0" w:color="auto"/>
            </w:tcBorders>
            <w:vAlign w:val="center"/>
          </w:tcPr>
          <w:p w:rsidR="00E104E8" w:rsidRPr="0023574F" w:rsidRDefault="00E104E8" w:rsidP="0023574F">
            <w:pPr>
              <w:snapToGrid w:val="0"/>
              <w:jc w:val="center"/>
              <w:rPr>
                <w:b/>
                <w:bCs/>
                <w:color w:val="000000"/>
                <w:sz w:val="20"/>
                <w:szCs w:val="20"/>
                <w:lang w:bidi="ar-EG"/>
              </w:rPr>
            </w:pPr>
          </w:p>
        </w:tc>
        <w:tc>
          <w:tcPr>
            <w:tcW w:w="344" w:type="pct"/>
            <w:tcBorders>
              <w:left w:val="single" w:sz="4" w:space="0" w:color="auto"/>
              <w:right w:val="nil"/>
            </w:tcBorders>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A</w:t>
            </w:r>
          </w:p>
        </w:tc>
        <w:tc>
          <w:tcPr>
            <w:tcW w:w="344" w:type="pct"/>
            <w:tcBorders>
              <w:left w:val="nil"/>
              <w:right w:val="nil"/>
            </w:tcBorders>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B</w:t>
            </w:r>
          </w:p>
        </w:tc>
        <w:tc>
          <w:tcPr>
            <w:tcW w:w="345" w:type="pct"/>
            <w:tcBorders>
              <w:left w:val="nil"/>
              <w:right w:val="nil"/>
            </w:tcBorders>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C</w:t>
            </w:r>
          </w:p>
        </w:tc>
        <w:tc>
          <w:tcPr>
            <w:tcW w:w="344" w:type="pct"/>
            <w:tcBorders>
              <w:left w:val="nil"/>
              <w:right w:val="nil"/>
            </w:tcBorders>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D</w:t>
            </w:r>
          </w:p>
        </w:tc>
        <w:tc>
          <w:tcPr>
            <w:tcW w:w="346" w:type="pct"/>
            <w:tcBorders>
              <w:left w:val="nil"/>
              <w:right w:val="single" w:sz="4" w:space="0" w:color="auto"/>
            </w:tcBorders>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E</w:t>
            </w:r>
          </w:p>
        </w:tc>
        <w:tc>
          <w:tcPr>
            <w:tcW w:w="464" w:type="pct"/>
            <w:vMerge/>
            <w:tcBorders>
              <w:left w:val="single" w:sz="4" w:space="0" w:color="auto"/>
            </w:tcBorders>
            <w:vAlign w:val="center"/>
          </w:tcPr>
          <w:p w:rsidR="00E104E8" w:rsidRPr="0023574F" w:rsidRDefault="00E104E8" w:rsidP="0023574F">
            <w:pPr>
              <w:snapToGrid w:val="0"/>
              <w:jc w:val="center"/>
              <w:rPr>
                <w:b/>
                <w:bCs/>
                <w:color w:val="000000"/>
                <w:sz w:val="20"/>
                <w:szCs w:val="20"/>
                <w:lang w:bidi="ar-EG"/>
              </w:rPr>
            </w:pPr>
          </w:p>
        </w:tc>
        <w:tc>
          <w:tcPr>
            <w:tcW w:w="400" w:type="pct"/>
            <w:vMerge/>
            <w:vAlign w:val="center"/>
          </w:tcPr>
          <w:p w:rsidR="00E104E8" w:rsidRPr="0023574F" w:rsidRDefault="00E104E8" w:rsidP="0023574F">
            <w:pPr>
              <w:snapToGrid w:val="0"/>
              <w:jc w:val="center"/>
              <w:rPr>
                <w:b/>
                <w:bCs/>
                <w:color w:val="000000"/>
                <w:sz w:val="20"/>
                <w:szCs w:val="20"/>
                <w:lang w:bidi="ar-EG"/>
              </w:rPr>
            </w:pPr>
          </w:p>
        </w:tc>
        <w:tc>
          <w:tcPr>
            <w:tcW w:w="451" w:type="pct"/>
            <w:vMerge/>
            <w:shd w:val="clear" w:color="auto" w:fill="auto"/>
            <w:vAlign w:val="center"/>
          </w:tcPr>
          <w:p w:rsidR="00E104E8" w:rsidRPr="0023574F" w:rsidRDefault="00E104E8" w:rsidP="0023574F">
            <w:pPr>
              <w:snapToGrid w:val="0"/>
              <w:jc w:val="center"/>
              <w:rPr>
                <w:b/>
                <w:bCs/>
                <w:color w:val="000000"/>
                <w:sz w:val="20"/>
                <w:szCs w:val="20"/>
                <w:lang w:bidi="ar-EG"/>
              </w:rPr>
            </w:pPr>
          </w:p>
        </w:tc>
        <w:tc>
          <w:tcPr>
            <w:tcW w:w="493" w:type="pct"/>
            <w:vMerge/>
            <w:shd w:val="clear" w:color="auto" w:fill="auto"/>
            <w:vAlign w:val="center"/>
          </w:tcPr>
          <w:p w:rsidR="00E104E8" w:rsidRPr="0023574F" w:rsidRDefault="00E104E8" w:rsidP="0023574F">
            <w:pPr>
              <w:snapToGrid w:val="0"/>
              <w:jc w:val="center"/>
              <w:rPr>
                <w:b/>
                <w:bCs/>
                <w:color w:val="000000"/>
                <w:sz w:val="20"/>
                <w:szCs w:val="20"/>
                <w:lang w:bidi="ar-EG"/>
              </w:rPr>
            </w:pPr>
          </w:p>
        </w:tc>
        <w:tc>
          <w:tcPr>
            <w:tcW w:w="468" w:type="pct"/>
            <w:vMerge/>
            <w:shd w:val="clear" w:color="auto" w:fill="auto"/>
            <w:vAlign w:val="center"/>
          </w:tcPr>
          <w:p w:rsidR="00E104E8" w:rsidRPr="0023574F" w:rsidRDefault="00E104E8" w:rsidP="0023574F">
            <w:pPr>
              <w:snapToGrid w:val="0"/>
              <w:jc w:val="center"/>
              <w:rPr>
                <w:b/>
                <w:bCs/>
                <w:color w:val="000000"/>
                <w:sz w:val="20"/>
                <w:szCs w:val="20"/>
                <w:lang w:bidi="ar-EG"/>
              </w:rPr>
            </w:pPr>
          </w:p>
        </w:tc>
      </w:tr>
      <w:tr w:rsidR="00A929BE" w:rsidRPr="0023574F" w:rsidTr="00A929BE">
        <w:trPr>
          <w:trHeight w:val="293"/>
          <w:jc w:val="center"/>
        </w:trPr>
        <w:tc>
          <w:tcPr>
            <w:tcW w:w="1001" w:type="pct"/>
            <w:tcBorders>
              <w:right w:val="single" w:sz="4" w:space="0" w:color="auto"/>
            </w:tcBorders>
            <w:vAlign w:val="center"/>
          </w:tcPr>
          <w:p w:rsidR="00E104E8" w:rsidRPr="0023574F" w:rsidRDefault="00E104E8" w:rsidP="0023574F">
            <w:pPr>
              <w:snapToGrid w:val="0"/>
              <w:jc w:val="center"/>
              <w:rPr>
                <w:b/>
                <w:bCs/>
                <w:color w:val="000000"/>
                <w:sz w:val="20"/>
                <w:szCs w:val="20"/>
                <w:lang w:bidi="ar-EG"/>
              </w:rPr>
            </w:pPr>
            <w:proofErr w:type="spellStart"/>
            <w:r w:rsidRPr="0023574F">
              <w:rPr>
                <w:b/>
                <w:bCs/>
                <w:color w:val="000000"/>
                <w:sz w:val="20"/>
                <w:szCs w:val="20"/>
                <w:lang w:bidi="ar-EG"/>
              </w:rPr>
              <w:t>Thymol</w:t>
            </w:r>
            <w:proofErr w:type="spellEnd"/>
            <w:r w:rsidRPr="0023574F">
              <w:rPr>
                <w:b/>
                <w:bCs/>
                <w:color w:val="000000"/>
                <w:sz w:val="20"/>
                <w:szCs w:val="20"/>
                <w:lang w:bidi="ar-EG"/>
              </w:rPr>
              <w:t>*</w:t>
            </w:r>
          </w:p>
        </w:tc>
        <w:tc>
          <w:tcPr>
            <w:tcW w:w="344" w:type="pct"/>
            <w:tcBorders>
              <w:left w:val="single" w:sz="4" w:space="0" w:color="auto"/>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16.93</w:t>
            </w:r>
          </w:p>
        </w:tc>
        <w:tc>
          <w:tcPr>
            <w:tcW w:w="344"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65.08</w:t>
            </w:r>
          </w:p>
        </w:tc>
        <w:tc>
          <w:tcPr>
            <w:tcW w:w="345"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87.98</w:t>
            </w:r>
          </w:p>
        </w:tc>
        <w:tc>
          <w:tcPr>
            <w:tcW w:w="344" w:type="pct"/>
            <w:tcBorders>
              <w:lef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95.82</w:t>
            </w:r>
          </w:p>
        </w:tc>
        <w:tc>
          <w:tcPr>
            <w:tcW w:w="346" w:type="pct"/>
            <w:tcBorders>
              <w:right w:val="single" w:sz="4" w:space="0" w:color="auto"/>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98.41</w:t>
            </w:r>
          </w:p>
        </w:tc>
        <w:tc>
          <w:tcPr>
            <w:tcW w:w="464" w:type="pct"/>
            <w:tcBorders>
              <w:left w:val="single" w:sz="4" w:space="0" w:color="auto"/>
            </w:tcBorders>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57.84</w:t>
            </w:r>
          </w:p>
        </w:tc>
        <w:tc>
          <w:tcPr>
            <w:tcW w:w="400" w:type="pct"/>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81.89</w:t>
            </w:r>
          </w:p>
        </w:tc>
        <w:tc>
          <w:tcPr>
            <w:tcW w:w="451"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4.47</w:t>
            </w:r>
          </w:p>
        </w:tc>
        <w:tc>
          <w:tcPr>
            <w:tcW w:w="493" w:type="pct"/>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100</w:t>
            </w:r>
          </w:p>
        </w:tc>
        <w:tc>
          <w:tcPr>
            <w:tcW w:w="468" w:type="pct"/>
            <w:shd w:val="clear" w:color="auto" w:fill="auto"/>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16.58</w:t>
            </w:r>
          </w:p>
        </w:tc>
      </w:tr>
      <w:tr w:rsidR="00A929BE" w:rsidRPr="0023574F" w:rsidTr="00A929BE">
        <w:trPr>
          <w:trHeight w:val="269"/>
          <w:jc w:val="center"/>
        </w:trPr>
        <w:tc>
          <w:tcPr>
            <w:tcW w:w="1001" w:type="pct"/>
            <w:tcBorders>
              <w:right w:val="single" w:sz="4" w:space="0" w:color="auto"/>
            </w:tcBorders>
            <w:vAlign w:val="center"/>
          </w:tcPr>
          <w:p w:rsidR="00E104E8" w:rsidRPr="0023574F" w:rsidRDefault="00E104E8" w:rsidP="0023574F">
            <w:pPr>
              <w:snapToGrid w:val="0"/>
              <w:jc w:val="center"/>
              <w:rPr>
                <w:b/>
                <w:bCs/>
                <w:color w:val="000000"/>
                <w:sz w:val="20"/>
                <w:szCs w:val="20"/>
                <w:lang w:bidi="ar-EG"/>
              </w:rPr>
            </w:pPr>
            <w:proofErr w:type="spellStart"/>
            <w:r w:rsidRPr="0023574F">
              <w:rPr>
                <w:b/>
                <w:bCs/>
                <w:color w:val="000000"/>
                <w:sz w:val="20"/>
                <w:szCs w:val="20"/>
                <w:lang w:bidi="ar-EG"/>
              </w:rPr>
              <w:t>Eugenol</w:t>
            </w:r>
            <w:proofErr w:type="spellEnd"/>
            <w:r w:rsidRPr="0023574F">
              <w:rPr>
                <w:b/>
                <w:bCs/>
                <w:color w:val="000000"/>
                <w:sz w:val="20"/>
                <w:szCs w:val="20"/>
                <w:lang w:bidi="ar-EG"/>
              </w:rPr>
              <w:t>*</w:t>
            </w:r>
          </w:p>
        </w:tc>
        <w:tc>
          <w:tcPr>
            <w:tcW w:w="344" w:type="pct"/>
            <w:tcBorders>
              <w:left w:val="single" w:sz="4" w:space="0" w:color="auto"/>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3.91</w:t>
            </w:r>
          </w:p>
        </w:tc>
        <w:tc>
          <w:tcPr>
            <w:tcW w:w="344"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17.78</w:t>
            </w:r>
          </w:p>
        </w:tc>
        <w:tc>
          <w:tcPr>
            <w:tcW w:w="345"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33.23</w:t>
            </w:r>
          </w:p>
        </w:tc>
        <w:tc>
          <w:tcPr>
            <w:tcW w:w="344" w:type="pct"/>
            <w:tcBorders>
              <w:lef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46.57</w:t>
            </w:r>
          </w:p>
        </w:tc>
        <w:tc>
          <w:tcPr>
            <w:tcW w:w="346" w:type="pct"/>
            <w:tcBorders>
              <w:right w:val="single" w:sz="4" w:space="0" w:color="auto"/>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57.29</w:t>
            </w:r>
          </w:p>
        </w:tc>
        <w:tc>
          <w:tcPr>
            <w:tcW w:w="464" w:type="pct"/>
            <w:tcBorders>
              <w:left w:val="single" w:sz="4" w:space="0" w:color="auto"/>
            </w:tcBorders>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122.90</w:t>
            </w:r>
          </w:p>
        </w:tc>
        <w:tc>
          <w:tcPr>
            <w:tcW w:w="400" w:type="pct"/>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214.74</w:t>
            </w:r>
          </w:p>
        </w:tc>
        <w:tc>
          <w:tcPr>
            <w:tcW w:w="451"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2.78</w:t>
            </w:r>
          </w:p>
        </w:tc>
        <w:tc>
          <w:tcPr>
            <w:tcW w:w="493"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38.14</w:t>
            </w:r>
          </w:p>
        </w:tc>
        <w:tc>
          <w:tcPr>
            <w:tcW w:w="468"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6.32</w:t>
            </w:r>
          </w:p>
        </w:tc>
      </w:tr>
      <w:tr w:rsidR="00A929BE" w:rsidRPr="0023574F" w:rsidTr="00A929BE">
        <w:trPr>
          <w:trHeight w:val="273"/>
          <w:jc w:val="center"/>
        </w:trPr>
        <w:tc>
          <w:tcPr>
            <w:tcW w:w="1001" w:type="pct"/>
            <w:tcBorders>
              <w:right w:val="single" w:sz="4" w:space="0" w:color="auto"/>
            </w:tcBorders>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 xml:space="preserve">Methyl </w:t>
            </w:r>
            <w:proofErr w:type="spellStart"/>
            <w:r w:rsidRPr="0023574F">
              <w:rPr>
                <w:b/>
                <w:bCs/>
                <w:color w:val="000000"/>
                <w:sz w:val="20"/>
                <w:szCs w:val="20"/>
                <w:lang w:bidi="ar-EG"/>
              </w:rPr>
              <w:t>cinnamate</w:t>
            </w:r>
            <w:proofErr w:type="spellEnd"/>
            <w:r w:rsidRPr="0023574F">
              <w:rPr>
                <w:b/>
                <w:bCs/>
                <w:color w:val="000000"/>
                <w:sz w:val="20"/>
                <w:szCs w:val="20"/>
                <w:lang w:bidi="ar-EG"/>
              </w:rPr>
              <w:t>*</w:t>
            </w:r>
          </w:p>
        </w:tc>
        <w:tc>
          <w:tcPr>
            <w:tcW w:w="344" w:type="pct"/>
            <w:tcBorders>
              <w:left w:val="single" w:sz="4" w:space="0" w:color="auto"/>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0.06</w:t>
            </w:r>
          </w:p>
        </w:tc>
        <w:tc>
          <w:tcPr>
            <w:tcW w:w="344"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2.5</w:t>
            </w:r>
          </w:p>
        </w:tc>
        <w:tc>
          <w:tcPr>
            <w:tcW w:w="345"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11.14</w:t>
            </w:r>
          </w:p>
        </w:tc>
        <w:tc>
          <w:tcPr>
            <w:tcW w:w="344" w:type="pct"/>
            <w:tcBorders>
              <w:lef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24.54</w:t>
            </w:r>
          </w:p>
        </w:tc>
        <w:tc>
          <w:tcPr>
            <w:tcW w:w="346" w:type="pct"/>
            <w:tcBorders>
              <w:right w:val="single" w:sz="4" w:space="0" w:color="auto"/>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39.05</w:t>
            </w:r>
          </w:p>
        </w:tc>
        <w:tc>
          <w:tcPr>
            <w:tcW w:w="464" w:type="pct"/>
            <w:tcBorders>
              <w:left w:val="single" w:sz="4" w:space="0" w:color="auto"/>
            </w:tcBorders>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201.58</w:t>
            </w:r>
          </w:p>
        </w:tc>
        <w:tc>
          <w:tcPr>
            <w:tcW w:w="400" w:type="pct"/>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290.66</w:t>
            </w:r>
          </w:p>
        </w:tc>
        <w:tc>
          <w:tcPr>
            <w:tcW w:w="451"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4.24</w:t>
            </w:r>
          </w:p>
        </w:tc>
        <w:tc>
          <w:tcPr>
            <w:tcW w:w="493"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28.16</w:t>
            </w:r>
          </w:p>
        </w:tc>
        <w:tc>
          <w:tcPr>
            <w:tcW w:w="468"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4.67</w:t>
            </w:r>
          </w:p>
        </w:tc>
      </w:tr>
      <w:tr w:rsidR="00A929BE" w:rsidRPr="0023574F" w:rsidTr="00A929BE">
        <w:trPr>
          <w:trHeight w:val="337"/>
          <w:jc w:val="center"/>
        </w:trPr>
        <w:tc>
          <w:tcPr>
            <w:tcW w:w="1001" w:type="pct"/>
            <w:tcBorders>
              <w:right w:val="single" w:sz="4" w:space="0" w:color="auto"/>
            </w:tcBorders>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Linalool**</w:t>
            </w:r>
          </w:p>
        </w:tc>
        <w:tc>
          <w:tcPr>
            <w:tcW w:w="344" w:type="pct"/>
            <w:tcBorders>
              <w:left w:val="single" w:sz="4" w:space="0" w:color="auto"/>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1.36</w:t>
            </w:r>
          </w:p>
        </w:tc>
        <w:tc>
          <w:tcPr>
            <w:tcW w:w="344"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24.76</w:t>
            </w:r>
          </w:p>
        </w:tc>
        <w:tc>
          <w:tcPr>
            <w:tcW w:w="345"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80.64</w:t>
            </w:r>
          </w:p>
        </w:tc>
        <w:tc>
          <w:tcPr>
            <w:tcW w:w="344" w:type="pct"/>
            <w:tcBorders>
              <w:lef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99.21</w:t>
            </w:r>
          </w:p>
        </w:tc>
        <w:tc>
          <w:tcPr>
            <w:tcW w:w="346" w:type="pct"/>
            <w:tcBorders>
              <w:right w:val="single" w:sz="4" w:space="0" w:color="auto"/>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100</w:t>
            </w:r>
          </w:p>
        </w:tc>
        <w:tc>
          <w:tcPr>
            <w:tcW w:w="464" w:type="pct"/>
            <w:tcBorders>
              <w:left w:val="single" w:sz="4" w:space="0" w:color="auto"/>
            </w:tcBorders>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1003.42</w:t>
            </w:r>
          </w:p>
        </w:tc>
        <w:tc>
          <w:tcPr>
            <w:tcW w:w="400" w:type="pct"/>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1357.4</w:t>
            </w:r>
          </w:p>
        </w:tc>
        <w:tc>
          <w:tcPr>
            <w:tcW w:w="451"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5.14</w:t>
            </w:r>
          </w:p>
        </w:tc>
        <w:tc>
          <w:tcPr>
            <w:tcW w:w="493"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6.03</w:t>
            </w:r>
          </w:p>
        </w:tc>
        <w:tc>
          <w:tcPr>
            <w:tcW w:w="468"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w:t>
            </w:r>
          </w:p>
        </w:tc>
      </w:tr>
      <w:tr w:rsidR="00A929BE" w:rsidRPr="0023574F" w:rsidTr="00A929BE">
        <w:trPr>
          <w:trHeight w:val="271"/>
          <w:jc w:val="center"/>
        </w:trPr>
        <w:tc>
          <w:tcPr>
            <w:tcW w:w="1001" w:type="pct"/>
            <w:tcBorders>
              <w:right w:val="single" w:sz="4" w:space="0" w:color="auto"/>
            </w:tcBorders>
            <w:vAlign w:val="center"/>
          </w:tcPr>
          <w:p w:rsidR="00E104E8" w:rsidRPr="0023574F" w:rsidRDefault="00E104E8" w:rsidP="0023574F">
            <w:pPr>
              <w:snapToGrid w:val="0"/>
              <w:jc w:val="center"/>
              <w:rPr>
                <w:b/>
                <w:bCs/>
                <w:color w:val="000000"/>
                <w:sz w:val="20"/>
                <w:szCs w:val="20"/>
                <w:lang w:bidi="ar-EG"/>
              </w:rPr>
            </w:pPr>
            <w:r w:rsidRPr="0023574F">
              <w:rPr>
                <w:b/>
                <w:bCs/>
                <w:color w:val="000000"/>
                <w:sz w:val="20"/>
                <w:szCs w:val="20"/>
                <w:lang w:bidi="ar-EG"/>
              </w:rPr>
              <w:t>1,8-Cineol**</w:t>
            </w:r>
          </w:p>
        </w:tc>
        <w:tc>
          <w:tcPr>
            <w:tcW w:w="344" w:type="pct"/>
            <w:tcBorders>
              <w:left w:val="single" w:sz="4" w:space="0" w:color="auto"/>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0.0</w:t>
            </w:r>
          </w:p>
        </w:tc>
        <w:tc>
          <w:tcPr>
            <w:tcW w:w="344"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0.0</w:t>
            </w:r>
          </w:p>
        </w:tc>
        <w:tc>
          <w:tcPr>
            <w:tcW w:w="345" w:type="pct"/>
            <w:tcBorders>
              <w:left w:val="nil"/>
              <w:righ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0.0</w:t>
            </w:r>
          </w:p>
        </w:tc>
        <w:tc>
          <w:tcPr>
            <w:tcW w:w="344" w:type="pct"/>
            <w:tcBorders>
              <w:left w:val="nil"/>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0.0</w:t>
            </w:r>
          </w:p>
        </w:tc>
        <w:tc>
          <w:tcPr>
            <w:tcW w:w="346" w:type="pct"/>
            <w:tcBorders>
              <w:right w:val="single" w:sz="4" w:space="0" w:color="auto"/>
            </w:tcBorders>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10.67</w:t>
            </w:r>
          </w:p>
        </w:tc>
        <w:tc>
          <w:tcPr>
            <w:tcW w:w="464" w:type="pct"/>
            <w:tcBorders>
              <w:left w:val="single" w:sz="4" w:space="0" w:color="auto"/>
            </w:tcBorders>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w:t>
            </w:r>
          </w:p>
        </w:tc>
        <w:tc>
          <w:tcPr>
            <w:tcW w:w="400" w:type="pct"/>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w:t>
            </w:r>
          </w:p>
        </w:tc>
        <w:tc>
          <w:tcPr>
            <w:tcW w:w="451"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w:t>
            </w:r>
          </w:p>
        </w:tc>
        <w:tc>
          <w:tcPr>
            <w:tcW w:w="493"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w:t>
            </w:r>
          </w:p>
        </w:tc>
        <w:tc>
          <w:tcPr>
            <w:tcW w:w="468" w:type="pct"/>
            <w:shd w:val="clear" w:color="auto" w:fill="auto"/>
            <w:vAlign w:val="center"/>
          </w:tcPr>
          <w:p w:rsidR="00E104E8" w:rsidRPr="0023574F" w:rsidRDefault="00E104E8" w:rsidP="0023574F">
            <w:pPr>
              <w:snapToGrid w:val="0"/>
              <w:jc w:val="center"/>
              <w:rPr>
                <w:color w:val="000000"/>
                <w:sz w:val="20"/>
                <w:szCs w:val="20"/>
                <w:lang w:bidi="ar-EG"/>
              </w:rPr>
            </w:pPr>
            <w:r w:rsidRPr="0023574F">
              <w:rPr>
                <w:color w:val="000000"/>
                <w:sz w:val="20"/>
                <w:szCs w:val="20"/>
                <w:lang w:bidi="ar-EG"/>
              </w:rPr>
              <w:t>-</w:t>
            </w:r>
          </w:p>
        </w:tc>
      </w:tr>
    </w:tbl>
    <w:p w:rsidR="00A929BE" w:rsidRPr="0023574F" w:rsidRDefault="00A929BE" w:rsidP="0023574F">
      <w:pPr>
        <w:snapToGrid w:val="0"/>
        <w:ind w:firstLine="425"/>
        <w:jc w:val="both"/>
        <w:rPr>
          <w:sz w:val="20"/>
          <w:szCs w:val="20"/>
          <w:lang w:bidi="ar-EG"/>
        </w:rPr>
      </w:pPr>
      <w:r w:rsidRPr="0023574F">
        <w:rPr>
          <w:sz w:val="20"/>
          <w:szCs w:val="20"/>
          <w:lang w:bidi="ar-EG"/>
        </w:rPr>
        <w:t>A, B, C, D and E concentrations are:</w:t>
      </w:r>
    </w:p>
    <w:p w:rsidR="00B637FA" w:rsidRPr="0023574F" w:rsidRDefault="00A929BE" w:rsidP="0023574F">
      <w:pPr>
        <w:snapToGrid w:val="0"/>
        <w:ind w:firstLine="425"/>
        <w:jc w:val="both"/>
        <w:rPr>
          <w:sz w:val="20"/>
          <w:szCs w:val="20"/>
          <w:lang w:bidi="ar-EG"/>
        </w:rPr>
      </w:pPr>
      <w:r w:rsidRPr="0023574F">
        <w:rPr>
          <w:sz w:val="20"/>
          <w:szCs w:val="20"/>
          <w:vertAlign w:val="superscript"/>
          <w:lang w:bidi="ar-EG"/>
        </w:rPr>
        <w:sym w:font="Wingdings 2" w:char="F0DE"/>
      </w:r>
      <w:r w:rsidR="004048ED">
        <w:rPr>
          <w:sz w:val="20"/>
          <w:szCs w:val="20"/>
          <w:lang w:bidi="ar-EG"/>
        </w:rPr>
        <w:t xml:space="preserve"> </w:t>
      </w:r>
      <w:r w:rsidRPr="0023574F">
        <w:rPr>
          <w:sz w:val="20"/>
          <w:szCs w:val="20"/>
          <w:lang w:bidi="ar-EG"/>
        </w:rPr>
        <w:t>50, 100, 150, 200 and 250 µg/ml</w:t>
      </w:r>
      <w:r w:rsidR="004048ED">
        <w:rPr>
          <w:sz w:val="20"/>
          <w:szCs w:val="20"/>
          <w:lang w:bidi="ar-EG"/>
        </w:rPr>
        <w:t xml:space="preserve">; </w:t>
      </w:r>
      <w:r w:rsidRPr="0023574F">
        <w:rPr>
          <w:sz w:val="20"/>
          <w:szCs w:val="20"/>
          <w:lang w:bidi="ar-EG"/>
        </w:rPr>
        <w:t xml:space="preserve"> </w:t>
      </w:r>
      <w:r w:rsidRPr="0023574F">
        <w:rPr>
          <w:sz w:val="20"/>
          <w:szCs w:val="20"/>
          <w:vertAlign w:val="superscript"/>
          <w:lang w:bidi="ar-EG"/>
        </w:rPr>
        <w:sym w:font="Wingdings 2" w:char="F0DE"/>
      </w:r>
      <w:r w:rsidRPr="0023574F">
        <w:rPr>
          <w:sz w:val="20"/>
          <w:szCs w:val="20"/>
          <w:vertAlign w:val="superscript"/>
          <w:lang w:bidi="ar-EG"/>
        </w:rPr>
        <w:sym w:font="Wingdings 2" w:char="F0DE"/>
      </w:r>
      <w:r w:rsidRPr="0023574F">
        <w:rPr>
          <w:sz w:val="20"/>
          <w:szCs w:val="20"/>
          <w:lang w:bidi="ar-EG"/>
        </w:rPr>
        <w:t xml:space="preserve"> 500, 1000, 2000, 4000 and 8000 µg/ml, respectively.</w:t>
      </w:r>
    </w:p>
    <w:p w:rsidR="00023073" w:rsidRPr="0023574F" w:rsidRDefault="00023073" w:rsidP="0023574F">
      <w:pPr>
        <w:snapToGrid w:val="0"/>
        <w:jc w:val="both"/>
        <w:rPr>
          <w:b/>
          <w:bCs/>
          <w:sz w:val="20"/>
          <w:szCs w:val="20"/>
        </w:rPr>
      </w:pPr>
    </w:p>
    <w:p w:rsidR="00023073" w:rsidRPr="0023574F" w:rsidRDefault="00023073" w:rsidP="0023574F">
      <w:pPr>
        <w:snapToGrid w:val="0"/>
        <w:jc w:val="center"/>
        <w:rPr>
          <w:b/>
          <w:bCs/>
          <w:sz w:val="20"/>
          <w:szCs w:val="20"/>
        </w:rPr>
      </w:pPr>
      <w:r w:rsidRPr="0023574F">
        <w:rPr>
          <w:b/>
          <w:bCs/>
          <w:noProof/>
          <w:sz w:val="20"/>
          <w:szCs w:val="20"/>
          <w:lang w:eastAsia="zh-CN"/>
        </w:rPr>
        <w:drawing>
          <wp:inline distT="0" distB="0" distL="0" distR="0">
            <wp:extent cx="4055165" cy="3166958"/>
            <wp:effectExtent l="19050" t="0" r="24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2362" cy="3172578"/>
                    </a:xfrm>
                    <a:prstGeom prst="rect">
                      <a:avLst/>
                    </a:prstGeom>
                    <a:noFill/>
                  </pic:spPr>
                </pic:pic>
              </a:graphicData>
            </a:graphic>
          </wp:inline>
        </w:drawing>
      </w:r>
    </w:p>
    <w:p w:rsidR="00FC1060" w:rsidRPr="0023574F" w:rsidRDefault="00FC1060" w:rsidP="0023574F">
      <w:pPr>
        <w:snapToGrid w:val="0"/>
        <w:jc w:val="center"/>
        <w:rPr>
          <w:sz w:val="20"/>
          <w:szCs w:val="20"/>
        </w:rPr>
      </w:pPr>
      <w:r w:rsidRPr="0023574F">
        <w:rPr>
          <w:b/>
          <w:bCs/>
          <w:sz w:val="20"/>
          <w:szCs w:val="20"/>
        </w:rPr>
        <w:t xml:space="preserve">Fig.(1): </w:t>
      </w:r>
      <w:r w:rsidRPr="0023574F">
        <w:rPr>
          <w:sz w:val="20"/>
          <w:szCs w:val="20"/>
        </w:rPr>
        <w:t xml:space="preserve">Ldp lines of the selected compounds against </w:t>
      </w:r>
      <w:r w:rsidRPr="0023574F">
        <w:rPr>
          <w:i/>
          <w:iCs/>
          <w:sz w:val="20"/>
          <w:szCs w:val="20"/>
        </w:rPr>
        <w:t xml:space="preserve">F. </w:t>
      </w:r>
      <w:proofErr w:type="spellStart"/>
      <w:r w:rsidRPr="0023574F">
        <w:rPr>
          <w:i/>
          <w:iCs/>
          <w:sz w:val="20"/>
          <w:szCs w:val="20"/>
        </w:rPr>
        <w:t>oxysporum</w:t>
      </w:r>
      <w:proofErr w:type="spellEnd"/>
      <w:r w:rsidRPr="0023574F">
        <w:rPr>
          <w:sz w:val="20"/>
          <w:szCs w:val="20"/>
        </w:rPr>
        <w:t>.</w:t>
      </w:r>
    </w:p>
    <w:p w:rsidR="00FC1060" w:rsidRPr="0023574F" w:rsidRDefault="00FC1060" w:rsidP="0023574F">
      <w:pPr>
        <w:snapToGrid w:val="0"/>
        <w:jc w:val="both"/>
        <w:rPr>
          <w:b/>
          <w:bCs/>
          <w:sz w:val="20"/>
          <w:szCs w:val="20"/>
        </w:rPr>
      </w:pPr>
    </w:p>
    <w:p w:rsidR="0023574F" w:rsidRDefault="0023574F" w:rsidP="0023574F">
      <w:pPr>
        <w:snapToGrid w:val="0"/>
        <w:jc w:val="both"/>
        <w:rPr>
          <w:sz w:val="20"/>
          <w:szCs w:val="20"/>
          <w:lang w:bidi="ar-EG"/>
        </w:rPr>
      </w:pPr>
    </w:p>
    <w:p w:rsidR="0023574F" w:rsidRPr="0023574F" w:rsidRDefault="0023574F" w:rsidP="0023574F">
      <w:pPr>
        <w:snapToGrid w:val="0"/>
        <w:jc w:val="both"/>
        <w:rPr>
          <w:sz w:val="20"/>
          <w:szCs w:val="20"/>
          <w:lang w:bidi="ar-EG"/>
        </w:rPr>
        <w:sectPr w:rsidR="0023574F" w:rsidRPr="0023574F" w:rsidSect="005A20CA">
          <w:headerReference w:type="default" r:id="rId34"/>
          <w:footerReference w:type="even" r:id="rId35"/>
          <w:footerReference w:type="default" r:id="rId36"/>
          <w:type w:val="continuous"/>
          <w:pgSz w:w="12240" w:h="15840" w:code="1"/>
          <w:pgMar w:top="1440" w:right="1440" w:bottom="1440" w:left="1440" w:header="720" w:footer="720" w:gutter="0"/>
          <w:cols w:space="720"/>
          <w:docGrid w:linePitch="360"/>
        </w:sectPr>
      </w:pPr>
    </w:p>
    <w:p w:rsidR="00B637FA" w:rsidRPr="0023574F" w:rsidRDefault="00B637FA" w:rsidP="0023574F">
      <w:pPr>
        <w:autoSpaceDE w:val="0"/>
        <w:autoSpaceDN w:val="0"/>
        <w:adjustRightInd w:val="0"/>
        <w:snapToGrid w:val="0"/>
        <w:jc w:val="both"/>
        <w:rPr>
          <w:b/>
          <w:bCs/>
          <w:sz w:val="20"/>
          <w:szCs w:val="20"/>
        </w:rPr>
      </w:pPr>
      <w:r w:rsidRPr="0023574F">
        <w:rPr>
          <w:b/>
          <w:bCs/>
          <w:sz w:val="20"/>
          <w:szCs w:val="20"/>
        </w:rPr>
        <w:lastRenderedPageBreak/>
        <w:t>III.1. SDS-PAGE analysis:</w:t>
      </w:r>
    </w:p>
    <w:p w:rsidR="00B637FA" w:rsidRPr="0023574F" w:rsidRDefault="00B637FA" w:rsidP="0023574F">
      <w:pPr>
        <w:snapToGrid w:val="0"/>
        <w:ind w:firstLine="425"/>
        <w:jc w:val="both"/>
        <w:rPr>
          <w:sz w:val="20"/>
          <w:szCs w:val="20"/>
        </w:rPr>
      </w:pPr>
      <w:r w:rsidRPr="0023574F">
        <w:rPr>
          <w:sz w:val="20"/>
          <w:szCs w:val="20"/>
        </w:rPr>
        <w:t xml:space="preserve">The effect of the tested naturally occurring compounds namely, </w:t>
      </w:r>
      <w:proofErr w:type="spellStart"/>
      <w:r w:rsidRPr="0023574F">
        <w:rPr>
          <w:sz w:val="20"/>
          <w:szCs w:val="20"/>
        </w:rPr>
        <w:t>thymol</w:t>
      </w:r>
      <w:proofErr w:type="spellEnd"/>
      <w:r w:rsidRPr="0023574F">
        <w:rPr>
          <w:sz w:val="20"/>
          <w:szCs w:val="20"/>
        </w:rPr>
        <w:t xml:space="preserve">, </w:t>
      </w:r>
      <w:proofErr w:type="spellStart"/>
      <w:r w:rsidRPr="0023574F">
        <w:rPr>
          <w:sz w:val="20"/>
          <w:szCs w:val="20"/>
        </w:rPr>
        <w:t>eugenol</w:t>
      </w:r>
      <w:proofErr w:type="spellEnd"/>
      <w:r w:rsidRPr="0023574F">
        <w:rPr>
          <w:sz w:val="20"/>
          <w:szCs w:val="20"/>
        </w:rPr>
        <w:t xml:space="preserve"> and methyl </w:t>
      </w:r>
      <w:proofErr w:type="spellStart"/>
      <w:r w:rsidRPr="0023574F">
        <w:rPr>
          <w:sz w:val="20"/>
          <w:szCs w:val="20"/>
        </w:rPr>
        <w:t>cinnamate</w:t>
      </w:r>
      <w:proofErr w:type="spellEnd"/>
      <w:r w:rsidRPr="0023574F">
        <w:rPr>
          <w:sz w:val="20"/>
          <w:szCs w:val="20"/>
        </w:rPr>
        <w:t xml:space="preserve"> on the protein banding pattern of </w:t>
      </w:r>
      <w:proofErr w:type="spellStart"/>
      <w:r w:rsidRPr="0023574F">
        <w:rPr>
          <w:i/>
          <w:iCs/>
          <w:sz w:val="20"/>
          <w:szCs w:val="20"/>
        </w:rPr>
        <w:t>Fusariumoxysporum</w:t>
      </w:r>
      <w:proofErr w:type="spellEnd"/>
      <w:r w:rsidR="004048ED">
        <w:rPr>
          <w:i/>
          <w:iCs/>
          <w:sz w:val="20"/>
          <w:szCs w:val="20"/>
        </w:rPr>
        <w:t xml:space="preserve"> </w:t>
      </w:r>
      <w:r w:rsidRPr="0023574F">
        <w:rPr>
          <w:sz w:val="20"/>
          <w:szCs w:val="20"/>
        </w:rPr>
        <w:t>mat</w:t>
      </w:r>
      <w:r w:rsidRPr="0023574F">
        <w:rPr>
          <w:i/>
          <w:iCs/>
          <w:sz w:val="20"/>
          <w:szCs w:val="20"/>
        </w:rPr>
        <w:t xml:space="preserve">, </w:t>
      </w:r>
      <w:r w:rsidRPr="0023574F">
        <w:rPr>
          <w:sz w:val="20"/>
          <w:szCs w:val="20"/>
        </w:rPr>
        <w:t>as an example of the five tested fungi was investigated.</w:t>
      </w:r>
      <w:r w:rsidR="004048ED">
        <w:rPr>
          <w:sz w:val="20"/>
          <w:szCs w:val="20"/>
        </w:rPr>
        <w:t xml:space="preserve"> </w:t>
      </w:r>
      <w:r w:rsidRPr="0023574F">
        <w:rPr>
          <w:sz w:val="20"/>
          <w:szCs w:val="20"/>
        </w:rPr>
        <w:t>This investigation was carried out by SDS-PAGE electrophoresis.</w:t>
      </w:r>
    </w:p>
    <w:p w:rsidR="00261024" w:rsidRPr="0023574F" w:rsidRDefault="00261024" w:rsidP="00261024">
      <w:pPr>
        <w:snapToGrid w:val="0"/>
        <w:ind w:firstLine="425"/>
        <w:jc w:val="both"/>
        <w:rPr>
          <w:sz w:val="20"/>
          <w:szCs w:val="20"/>
        </w:rPr>
      </w:pPr>
      <w:r w:rsidRPr="0023574F">
        <w:rPr>
          <w:sz w:val="20"/>
          <w:szCs w:val="20"/>
        </w:rPr>
        <w:lastRenderedPageBreak/>
        <w:t xml:space="preserve">Among the protein banding patterns of untreated and treated </w:t>
      </w:r>
      <w:r w:rsidRPr="0023574F">
        <w:rPr>
          <w:i/>
          <w:iCs/>
          <w:sz w:val="20"/>
          <w:szCs w:val="20"/>
        </w:rPr>
        <w:t xml:space="preserve">F. </w:t>
      </w:r>
      <w:proofErr w:type="spellStart"/>
      <w:r w:rsidRPr="0023574F">
        <w:rPr>
          <w:i/>
          <w:iCs/>
          <w:sz w:val="20"/>
          <w:szCs w:val="20"/>
        </w:rPr>
        <w:t>oxysporum</w:t>
      </w:r>
      <w:proofErr w:type="spellEnd"/>
      <w:r>
        <w:rPr>
          <w:i/>
          <w:iCs/>
          <w:sz w:val="20"/>
          <w:szCs w:val="20"/>
        </w:rPr>
        <w:t xml:space="preserve"> </w:t>
      </w:r>
      <w:r w:rsidRPr="0023574F">
        <w:rPr>
          <w:sz w:val="20"/>
          <w:szCs w:val="20"/>
        </w:rPr>
        <w:t>mats, at the LC</w:t>
      </w:r>
      <w:r w:rsidRPr="0023574F">
        <w:rPr>
          <w:sz w:val="20"/>
          <w:szCs w:val="20"/>
          <w:vertAlign w:val="subscript"/>
        </w:rPr>
        <w:t xml:space="preserve">10 </w:t>
      </w:r>
      <w:r w:rsidRPr="0023574F">
        <w:rPr>
          <w:sz w:val="20"/>
          <w:szCs w:val="20"/>
        </w:rPr>
        <w:t>concentrations incubated for 6 days at 25</w:t>
      </w:r>
      <w:r w:rsidRPr="0023574F">
        <w:rPr>
          <w:sz w:val="20"/>
          <w:szCs w:val="20"/>
        </w:rPr>
        <w:sym w:font="Symbol" w:char="F0B0"/>
      </w:r>
      <w:r w:rsidRPr="0023574F">
        <w:rPr>
          <w:sz w:val="20"/>
          <w:szCs w:val="20"/>
        </w:rPr>
        <w:t xml:space="preserve">C, showed the presence of 8 different protein bands that ranged in molecular weight between 51.209 and 15.927 </w:t>
      </w:r>
      <w:proofErr w:type="spellStart"/>
      <w:r w:rsidRPr="0023574F">
        <w:rPr>
          <w:sz w:val="20"/>
          <w:szCs w:val="20"/>
        </w:rPr>
        <w:t>KDa</w:t>
      </w:r>
      <w:proofErr w:type="spellEnd"/>
      <w:r w:rsidRPr="0023574F">
        <w:rPr>
          <w:sz w:val="20"/>
          <w:szCs w:val="20"/>
        </w:rPr>
        <w:t xml:space="preserve"> in untreated fungus (Fig. 2 and Table 2) and 12 different protein bands ranging between 51.347 and </w:t>
      </w:r>
      <w:r w:rsidRPr="0023574F">
        <w:rPr>
          <w:sz w:val="20"/>
          <w:szCs w:val="20"/>
        </w:rPr>
        <w:lastRenderedPageBreak/>
        <w:t xml:space="preserve">16.195 </w:t>
      </w:r>
      <w:proofErr w:type="spellStart"/>
      <w:r w:rsidRPr="0023574F">
        <w:rPr>
          <w:sz w:val="20"/>
          <w:szCs w:val="20"/>
        </w:rPr>
        <w:t>KDa</w:t>
      </w:r>
      <w:proofErr w:type="spellEnd"/>
      <w:r w:rsidRPr="0023574F">
        <w:rPr>
          <w:sz w:val="20"/>
          <w:szCs w:val="20"/>
        </w:rPr>
        <w:t xml:space="preserve"> with the fungus treated with </w:t>
      </w:r>
      <w:proofErr w:type="spellStart"/>
      <w:r w:rsidRPr="0023574F">
        <w:rPr>
          <w:sz w:val="20"/>
          <w:szCs w:val="20"/>
        </w:rPr>
        <w:t>eugenol</w:t>
      </w:r>
      <w:proofErr w:type="spellEnd"/>
      <w:r w:rsidRPr="0023574F">
        <w:rPr>
          <w:sz w:val="20"/>
          <w:szCs w:val="20"/>
        </w:rPr>
        <w:t xml:space="preserve">. The highest molecular weight bands were recorded in the fungal mat treated with methyl </w:t>
      </w:r>
      <w:proofErr w:type="spellStart"/>
      <w:r w:rsidRPr="0023574F">
        <w:rPr>
          <w:sz w:val="20"/>
          <w:szCs w:val="20"/>
        </w:rPr>
        <w:t>cinnamate</w:t>
      </w:r>
      <w:proofErr w:type="spellEnd"/>
      <w:r w:rsidRPr="0023574F">
        <w:rPr>
          <w:sz w:val="20"/>
          <w:szCs w:val="20"/>
        </w:rPr>
        <w:t xml:space="preserve"> (328.333 and 311.667 </w:t>
      </w:r>
      <w:proofErr w:type="spellStart"/>
      <w:r w:rsidRPr="0023574F">
        <w:rPr>
          <w:sz w:val="20"/>
          <w:szCs w:val="20"/>
        </w:rPr>
        <w:t>KDa</w:t>
      </w:r>
      <w:proofErr w:type="spellEnd"/>
      <w:r w:rsidRPr="0023574F">
        <w:rPr>
          <w:sz w:val="20"/>
          <w:szCs w:val="20"/>
        </w:rPr>
        <w:t>), while the</w:t>
      </w:r>
      <w:r>
        <w:rPr>
          <w:sz w:val="20"/>
          <w:szCs w:val="20"/>
        </w:rPr>
        <w:t xml:space="preserve"> </w:t>
      </w:r>
      <w:r w:rsidRPr="0023574F">
        <w:rPr>
          <w:sz w:val="20"/>
          <w:szCs w:val="20"/>
        </w:rPr>
        <w:t>lowest molecular</w:t>
      </w:r>
      <w:r>
        <w:rPr>
          <w:sz w:val="20"/>
          <w:szCs w:val="20"/>
        </w:rPr>
        <w:t xml:space="preserve"> </w:t>
      </w:r>
      <w:r w:rsidRPr="0023574F">
        <w:rPr>
          <w:sz w:val="20"/>
          <w:szCs w:val="20"/>
        </w:rPr>
        <w:t>weight</w:t>
      </w:r>
      <w:r>
        <w:rPr>
          <w:sz w:val="20"/>
          <w:szCs w:val="20"/>
        </w:rPr>
        <w:t xml:space="preserve"> </w:t>
      </w:r>
      <w:r w:rsidRPr="0023574F">
        <w:rPr>
          <w:sz w:val="20"/>
          <w:szCs w:val="20"/>
        </w:rPr>
        <w:t>bands</w:t>
      </w:r>
      <w:r>
        <w:rPr>
          <w:sz w:val="20"/>
          <w:szCs w:val="20"/>
        </w:rPr>
        <w:t xml:space="preserve"> </w:t>
      </w:r>
      <w:r w:rsidRPr="0023574F">
        <w:rPr>
          <w:sz w:val="20"/>
          <w:szCs w:val="20"/>
        </w:rPr>
        <w:t>were</w:t>
      </w:r>
      <w:r>
        <w:rPr>
          <w:sz w:val="20"/>
          <w:szCs w:val="20"/>
        </w:rPr>
        <w:t xml:space="preserve"> </w:t>
      </w:r>
      <w:r w:rsidRPr="0023574F">
        <w:rPr>
          <w:sz w:val="20"/>
          <w:szCs w:val="20"/>
        </w:rPr>
        <w:t>recorded</w:t>
      </w:r>
      <w:r>
        <w:rPr>
          <w:sz w:val="20"/>
          <w:szCs w:val="20"/>
        </w:rPr>
        <w:t xml:space="preserve"> </w:t>
      </w:r>
      <w:r w:rsidRPr="0023574F">
        <w:rPr>
          <w:sz w:val="20"/>
          <w:szCs w:val="20"/>
        </w:rPr>
        <w:t>when</w:t>
      </w:r>
      <w:r>
        <w:rPr>
          <w:sz w:val="20"/>
          <w:szCs w:val="20"/>
        </w:rPr>
        <w:t xml:space="preserve"> </w:t>
      </w:r>
      <w:r w:rsidRPr="0023574F">
        <w:rPr>
          <w:sz w:val="20"/>
          <w:szCs w:val="20"/>
        </w:rPr>
        <w:t>the</w:t>
      </w:r>
      <w:r>
        <w:rPr>
          <w:sz w:val="20"/>
          <w:szCs w:val="20"/>
        </w:rPr>
        <w:t xml:space="preserve"> </w:t>
      </w:r>
      <w:r w:rsidRPr="0023574F">
        <w:rPr>
          <w:sz w:val="20"/>
          <w:szCs w:val="20"/>
        </w:rPr>
        <w:t>fungus</w:t>
      </w:r>
      <w:r>
        <w:rPr>
          <w:sz w:val="20"/>
          <w:szCs w:val="20"/>
        </w:rPr>
        <w:t xml:space="preserve"> </w:t>
      </w:r>
      <w:r w:rsidRPr="0023574F">
        <w:rPr>
          <w:sz w:val="20"/>
          <w:szCs w:val="20"/>
        </w:rPr>
        <w:t>was treated</w:t>
      </w:r>
      <w:r>
        <w:rPr>
          <w:sz w:val="20"/>
          <w:szCs w:val="20"/>
        </w:rPr>
        <w:t xml:space="preserve"> </w:t>
      </w:r>
      <w:proofErr w:type="spellStart"/>
      <w:r w:rsidRPr="0023574F">
        <w:rPr>
          <w:sz w:val="20"/>
          <w:szCs w:val="20"/>
        </w:rPr>
        <w:t>thymol</w:t>
      </w:r>
      <w:proofErr w:type="spellEnd"/>
      <w:r w:rsidRPr="0023574F">
        <w:rPr>
          <w:sz w:val="20"/>
          <w:szCs w:val="20"/>
        </w:rPr>
        <w:t xml:space="preserve"> (14.854 </w:t>
      </w:r>
      <w:proofErr w:type="spellStart"/>
      <w:r w:rsidRPr="0023574F">
        <w:rPr>
          <w:sz w:val="20"/>
          <w:szCs w:val="20"/>
        </w:rPr>
        <w:t>KDa</w:t>
      </w:r>
      <w:proofErr w:type="spellEnd"/>
      <w:r w:rsidRPr="0023574F">
        <w:rPr>
          <w:sz w:val="20"/>
          <w:szCs w:val="20"/>
        </w:rPr>
        <w:t>). The untreated fungus</w:t>
      </w:r>
      <w:r>
        <w:rPr>
          <w:sz w:val="20"/>
          <w:szCs w:val="20"/>
        </w:rPr>
        <w:t xml:space="preserve"> </w:t>
      </w:r>
      <w:r w:rsidRPr="0023574F">
        <w:rPr>
          <w:sz w:val="20"/>
          <w:szCs w:val="20"/>
        </w:rPr>
        <w:t xml:space="preserve">produced number of protein bands lower than the treated fungi. Two bands which have molecular weights of (32.76 and 30.938 </w:t>
      </w:r>
      <w:proofErr w:type="spellStart"/>
      <w:r w:rsidRPr="0023574F">
        <w:rPr>
          <w:sz w:val="20"/>
          <w:szCs w:val="20"/>
        </w:rPr>
        <w:t>KDa</w:t>
      </w:r>
      <w:proofErr w:type="spellEnd"/>
      <w:r w:rsidRPr="0023574F">
        <w:rPr>
          <w:sz w:val="20"/>
          <w:szCs w:val="20"/>
        </w:rPr>
        <w:t>.) were characterized the untreated fungus.</w:t>
      </w:r>
    </w:p>
    <w:p w:rsidR="0023574F" w:rsidRDefault="00261024" w:rsidP="00261024">
      <w:pPr>
        <w:snapToGrid w:val="0"/>
        <w:ind w:firstLine="425"/>
        <w:jc w:val="both"/>
        <w:rPr>
          <w:b/>
          <w:bCs/>
          <w:sz w:val="20"/>
          <w:szCs w:val="20"/>
        </w:rPr>
      </w:pPr>
      <w:r w:rsidRPr="0023574F">
        <w:rPr>
          <w:sz w:val="20"/>
          <w:szCs w:val="20"/>
        </w:rPr>
        <w:t xml:space="preserve">The </w:t>
      </w:r>
      <w:proofErr w:type="spellStart"/>
      <w:r w:rsidRPr="0023574F">
        <w:rPr>
          <w:sz w:val="20"/>
          <w:szCs w:val="20"/>
        </w:rPr>
        <w:t>dendrogram</w:t>
      </w:r>
      <w:proofErr w:type="spellEnd"/>
      <w:r w:rsidRPr="0023574F">
        <w:rPr>
          <w:sz w:val="20"/>
          <w:szCs w:val="20"/>
        </w:rPr>
        <w:t xml:space="preserve"> in figure (22) was divided into two clusters. Cluster 1 represented the untreated sample and cluster 2 represented the treated samples with different tested compounds (</w:t>
      </w:r>
      <w:proofErr w:type="spellStart"/>
      <w:r w:rsidRPr="0023574F">
        <w:rPr>
          <w:sz w:val="20"/>
          <w:szCs w:val="20"/>
        </w:rPr>
        <w:t>phenolic</w:t>
      </w:r>
      <w:proofErr w:type="spellEnd"/>
      <w:r w:rsidRPr="0023574F">
        <w:rPr>
          <w:sz w:val="20"/>
          <w:szCs w:val="20"/>
        </w:rPr>
        <w:t xml:space="preserve"> and ester compounds). Cluster 2 was divided into 2 groups. Group 1 represented the sample treated with methyl </w:t>
      </w:r>
      <w:proofErr w:type="spellStart"/>
      <w:r w:rsidRPr="0023574F">
        <w:rPr>
          <w:sz w:val="20"/>
          <w:szCs w:val="20"/>
        </w:rPr>
        <w:t>cinnamate</w:t>
      </w:r>
      <w:proofErr w:type="spellEnd"/>
      <w:r w:rsidRPr="0023574F">
        <w:rPr>
          <w:sz w:val="20"/>
          <w:szCs w:val="20"/>
        </w:rPr>
        <w:t xml:space="preserve"> and group 2 represented the samples treated with the </w:t>
      </w:r>
      <w:proofErr w:type="spellStart"/>
      <w:r w:rsidRPr="0023574F">
        <w:rPr>
          <w:sz w:val="20"/>
          <w:szCs w:val="20"/>
        </w:rPr>
        <w:t>thymol</w:t>
      </w:r>
      <w:proofErr w:type="spellEnd"/>
      <w:r w:rsidRPr="0023574F">
        <w:rPr>
          <w:sz w:val="20"/>
          <w:szCs w:val="20"/>
        </w:rPr>
        <w:t xml:space="preserve"> and </w:t>
      </w:r>
      <w:proofErr w:type="spellStart"/>
      <w:r w:rsidRPr="0023574F">
        <w:rPr>
          <w:sz w:val="20"/>
          <w:szCs w:val="20"/>
        </w:rPr>
        <w:t>eugenol</w:t>
      </w:r>
      <w:proofErr w:type="spellEnd"/>
      <w:r w:rsidRPr="0023574F">
        <w:rPr>
          <w:sz w:val="20"/>
          <w:szCs w:val="20"/>
        </w:rPr>
        <w:t>.</w:t>
      </w:r>
    </w:p>
    <w:p w:rsidR="00FC1060" w:rsidRPr="0023574F" w:rsidRDefault="00023073" w:rsidP="0023574F">
      <w:pPr>
        <w:snapToGrid w:val="0"/>
        <w:jc w:val="center"/>
        <w:rPr>
          <w:b/>
          <w:bCs/>
          <w:color w:val="000000"/>
          <w:sz w:val="20"/>
          <w:szCs w:val="20"/>
        </w:rPr>
      </w:pPr>
      <w:r w:rsidRPr="0023574F">
        <w:rPr>
          <w:b/>
          <w:bCs/>
          <w:noProof/>
          <w:color w:val="000000"/>
          <w:sz w:val="20"/>
          <w:szCs w:val="20"/>
          <w:lang w:eastAsia="zh-CN"/>
        </w:rPr>
        <w:drawing>
          <wp:inline distT="0" distB="0" distL="0" distR="0">
            <wp:extent cx="2067340" cy="2873668"/>
            <wp:effectExtent l="19050" t="0" r="91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7084" cy="2873313"/>
                    </a:xfrm>
                    <a:prstGeom prst="rect">
                      <a:avLst/>
                    </a:prstGeom>
                    <a:noFill/>
                  </pic:spPr>
                </pic:pic>
              </a:graphicData>
            </a:graphic>
          </wp:inline>
        </w:drawing>
      </w:r>
    </w:p>
    <w:p w:rsidR="00B637FA" w:rsidRPr="0023574F" w:rsidRDefault="00FC1060" w:rsidP="0023574F">
      <w:pPr>
        <w:snapToGrid w:val="0"/>
        <w:jc w:val="both"/>
        <w:rPr>
          <w:sz w:val="20"/>
          <w:szCs w:val="20"/>
        </w:rPr>
      </w:pPr>
      <w:r w:rsidRPr="0023574F">
        <w:rPr>
          <w:b/>
          <w:bCs/>
          <w:color w:val="000000"/>
          <w:sz w:val="20"/>
          <w:szCs w:val="20"/>
        </w:rPr>
        <w:lastRenderedPageBreak/>
        <w:t xml:space="preserve">Fig. (2): </w:t>
      </w:r>
      <w:r w:rsidRPr="0023574F">
        <w:rPr>
          <w:sz w:val="20"/>
          <w:szCs w:val="20"/>
        </w:rPr>
        <w:t xml:space="preserve">SDS-PAGE analysis of </w:t>
      </w:r>
      <w:proofErr w:type="spellStart"/>
      <w:r w:rsidRPr="0023574F">
        <w:rPr>
          <w:i/>
          <w:iCs/>
          <w:color w:val="000000"/>
          <w:sz w:val="20"/>
          <w:szCs w:val="20"/>
        </w:rPr>
        <w:t>Fusariumoxysporum</w:t>
      </w:r>
      <w:proofErr w:type="spellEnd"/>
      <w:r w:rsidR="00F06756">
        <w:rPr>
          <w:i/>
          <w:iCs/>
          <w:color w:val="000000"/>
          <w:sz w:val="20"/>
          <w:szCs w:val="20"/>
        </w:rPr>
        <w:t xml:space="preserve"> </w:t>
      </w:r>
      <w:proofErr w:type="spellStart"/>
      <w:r w:rsidRPr="0023574F">
        <w:rPr>
          <w:color w:val="000000"/>
          <w:sz w:val="20"/>
          <w:szCs w:val="20"/>
        </w:rPr>
        <w:t>mats</w:t>
      </w:r>
      <w:r w:rsidRPr="0023574F">
        <w:rPr>
          <w:sz w:val="20"/>
          <w:szCs w:val="20"/>
        </w:rPr>
        <w:t>treated</w:t>
      </w:r>
      <w:proofErr w:type="spellEnd"/>
      <w:r w:rsidRPr="0023574F">
        <w:rPr>
          <w:sz w:val="20"/>
          <w:szCs w:val="20"/>
        </w:rPr>
        <w:t xml:space="preserve"> with three different organic compounds at </w:t>
      </w:r>
      <w:r w:rsidRPr="0023574F">
        <w:rPr>
          <w:color w:val="000000"/>
          <w:sz w:val="20"/>
          <w:szCs w:val="20"/>
        </w:rPr>
        <w:t>LC</w:t>
      </w:r>
      <w:r w:rsidRPr="0023574F">
        <w:rPr>
          <w:color w:val="000000"/>
          <w:sz w:val="20"/>
          <w:szCs w:val="20"/>
          <w:vertAlign w:val="subscript"/>
        </w:rPr>
        <w:t>10</w:t>
      </w:r>
      <w:r w:rsidRPr="0023574F">
        <w:rPr>
          <w:sz w:val="20"/>
          <w:szCs w:val="20"/>
        </w:rPr>
        <w:t>.</w:t>
      </w:r>
      <w:r w:rsidRPr="0023574F">
        <w:rPr>
          <w:b/>
          <w:bCs/>
          <w:sz w:val="20"/>
          <w:szCs w:val="20"/>
        </w:rPr>
        <w:t xml:space="preserve"> Marker</w:t>
      </w:r>
      <w:r w:rsidRPr="0023574F">
        <w:rPr>
          <w:sz w:val="20"/>
          <w:szCs w:val="20"/>
        </w:rPr>
        <w:t>: standard protein marker (</w:t>
      </w:r>
      <w:proofErr w:type="spellStart"/>
      <w:r w:rsidRPr="0023574F">
        <w:rPr>
          <w:sz w:val="20"/>
          <w:szCs w:val="20"/>
        </w:rPr>
        <w:t>Fermentous</w:t>
      </w:r>
      <w:proofErr w:type="spellEnd"/>
      <w:r w:rsidRPr="0023574F">
        <w:rPr>
          <w:sz w:val="20"/>
          <w:szCs w:val="20"/>
        </w:rPr>
        <w:t xml:space="preserve">). </w:t>
      </w:r>
      <w:r w:rsidRPr="0023574F">
        <w:rPr>
          <w:b/>
          <w:bCs/>
          <w:sz w:val="20"/>
          <w:szCs w:val="20"/>
        </w:rPr>
        <w:t>Cont</w:t>
      </w:r>
      <w:r w:rsidRPr="0023574F">
        <w:rPr>
          <w:sz w:val="20"/>
          <w:szCs w:val="20"/>
        </w:rPr>
        <w:t xml:space="preserve">: Total protein extract of </w:t>
      </w:r>
      <w:r w:rsidRPr="0023574F">
        <w:rPr>
          <w:color w:val="000000"/>
          <w:sz w:val="20"/>
          <w:szCs w:val="20"/>
        </w:rPr>
        <w:t>untreated fungal mat</w:t>
      </w:r>
      <w:r w:rsidRPr="0023574F">
        <w:rPr>
          <w:sz w:val="20"/>
          <w:szCs w:val="20"/>
        </w:rPr>
        <w:t xml:space="preserve">. </w:t>
      </w:r>
      <w:r w:rsidRPr="0023574F">
        <w:rPr>
          <w:b/>
          <w:bCs/>
          <w:sz w:val="20"/>
          <w:szCs w:val="20"/>
        </w:rPr>
        <w:t>E, M and T</w:t>
      </w:r>
      <w:r w:rsidRPr="0023574F">
        <w:rPr>
          <w:sz w:val="20"/>
          <w:szCs w:val="20"/>
        </w:rPr>
        <w:t xml:space="preserve">: Total protein extracts from fungal mats under the action of </w:t>
      </w:r>
      <w:proofErr w:type="spellStart"/>
      <w:r w:rsidRPr="0023574F">
        <w:rPr>
          <w:sz w:val="20"/>
          <w:szCs w:val="20"/>
        </w:rPr>
        <w:t>eugenol</w:t>
      </w:r>
      <w:proofErr w:type="spellEnd"/>
      <w:r w:rsidRPr="0023574F">
        <w:rPr>
          <w:b/>
          <w:bCs/>
          <w:sz w:val="20"/>
          <w:szCs w:val="20"/>
        </w:rPr>
        <w:t>(E)</w:t>
      </w:r>
      <w:r w:rsidRPr="0023574F">
        <w:rPr>
          <w:sz w:val="20"/>
          <w:szCs w:val="20"/>
        </w:rPr>
        <w:t xml:space="preserve">, methyl </w:t>
      </w:r>
      <w:proofErr w:type="spellStart"/>
      <w:r w:rsidRPr="0023574F">
        <w:rPr>
          <w:sz w:val="20"/>
          <w:szCs w:val="20"/>
        </w:rPr>
        <w:t>cinnamate</w:t>
      </w:r>
      <w:proofErr w:type="spellEnd"/>
      <w:r w:rsidRPr="0023574F">
        <w:rPr>
          <w:b/>
          <w:bCs/>
          <w:sz w:val="20"/>
          <w:szCs w:val="20"/>
        </w:rPr>
        <w:t>(M)</w:t>
      </w:r>
      <w:r w:rsidRPr="0023574F">
        <w:rPr>
          <w:sz w:val="20"/>
          <w:szCs w:val="20"/>
        </w:rPr>
        <w:t xml:space="preserve"> and </w:t>
      </w:r>
      <w:proofErr w:type="spellStart"/>
      <w:r w:rsidRPr="0023574F">
        <w:rPr>
          <w:sz w:val="20"/>
          <w:szCs w:val="20"/>
        </w:rPr>
        <w:t>thymol</w:t>
      </w:r>
      <w:proofErr w:type="spellEnd"/>
      <w:r w:rsidRPr="0023574F">
        <w:rPr>
          <w:b/>
          <w:bCs/>
          <w:sz w:val="20"/>
          <w:szCs w:val="20"/>
        </w:rPr>
        <w:t>(T)</w:t>
      </w:r>
      <w:r w:rsidRPr="0023574F">
        <w:rPr>
          <w:sz w:val="20"/>
          <w:szCs w:val="20"/>
        </w:rPr>
        <w:t>.</w:t>
      </w:r>
    </w:p>
    <w:p w:rsidR="00814F50" w:rsidRPr="0023574F" w:rsidRDefault="00814F50" w:rsidP="0023574F">
      <w:pPr>
        <w:autoSpaceDE w:val="0"/>
        <w:autoSpaceDN w:val="0"/>
        <w:adjustRightInd w:val="0"/>
        <w:snapToGrid w:val="0"/>
        <w:ind w:firstLine="425"/>
        <w:jc w:val="both"/>
        <w:rPr>
          <w:b/>
          <w:bCs/>
          <w:sz w:val="20"/>
          <w:szCs w:val="20"/>
        </w:rPr>
      </w:pPr>
    </w:p>
    <w:p w:rsidR="0023574F" w:rsidRPr="0023574F" w:rsidRDefault="0023574F" w:rsidP="0023574F">
      <w:pPr>
        <w:snapToGrid w:val="0"/>
        <w:ind w:firstLine="425"/>
        <w:jc w:val="both"/>
        <w:rPr>
          <w:b/>
          <w:bCs/>
          <w:sz w:val="20"/>
          <w:szCs w:val="20"/>
        </w:rPr>
      </w:pPr>
    </w:p>
    <w:p w:rsidR="00814F50" w:rsidRPr="0023574F" w:rsidRDefault="00814F50" w:rsidP="0023574F">
      <w:pPr>
        <w:autoSpaceDE w:val="0"/>
        <w:autoSpaceDN w:val="0"/>
        <w:adjustRightInd w:val="0"/>
        <w:snapToGrid w:val="0"/>
        <w:jc w:val="both"/>
        <w:rPr>
          <w:b/>
          <w:bCs/>
          <w:sz w:val="20"/>
          <w:szCs w:val="20"/>
        </w:rPr>
      </w:pPr>
      <w:r w:rsidRPr="0023574F">
        <w:rPr>
          <w:b/>
          <w:bCs/>
          <w:sz w:val="20"/>
          <w:szCs w:val="20"/>
        </w:rPr>
        <w:t xml:space="preserve">III.2. Randomly </w:t>
      </w:r>
      <w:proofErr w:type="spellStart"/>
      <w:r w:rsidRPr="0023574F">
        <w:rPr>
          <w:b/>
          <w:bCs/>
          <w:sz w:val="20"/>
          <w:szCs w:val="20"/>
        </w:rPr>
        <w:t>Ampliﬁed</w:t>
      </w:r>
      <w:proofErr w:type="spellEnd"/>
      <w:r w:rsidRPr="0023574F">
        <w:rPr>
          <w:b/>
          <w:bCs/>
          <w:sz w:val="20"/>
          <w:szCs w:val="20"/>
        </w:rPr>
        <w:t xml:space="preserve"> Polymorphic-Polymerase Chain Reaction (RAPD-PCR)</w:t>
      </w:r>
      <w:r w:rsidRPr="0023574F">
        <w:rPr>
          <w:b/>
          <w:bCs/>
          <w:i/>
          <w:iCs/>
          <w:sz w:val="20"/>
          <w:szCs w:val="20"/>
        </w:rPr>
        <w:t>:</w:t>
      </w:r>
    </w:p>
    <w:p w:rsidR="00814F50" w:rsidRPr="0023574F" w:rsidRDefault="00814F50" w:rsidP="0023574F">
      <w:pPr>
        <w:autoSpaceDE w:val="0"/>
        <w:autoSpaceDN w:val="0"/>
        <w:adjustRightInd w:val="0"/>
        <w:snapToGrid w:val="0"/>
        <w:ind w:firstLine="425"/>
        <w:jc w:val="both"/>
        <w:rPr>
          <w:i/>
          <w:iCs/>
          <w:color w:val="000000"/>
          <w:sz w:val="20"/>
          <w:szCs w:val="20"/>
        </w:rPr>
      </w:pPr>
      <w:r w:rsidRPr="0023574F">
        <w:rPr>
          <w:color w:val="000000"/>
          <w:sz w:val="20"/>
          <w:szCs w:val="20"/>
        </w:rPr>
        <w:t xml:space="preserve">The RAPD-PCR technique was used as a tool for setting up a convenient and standard protocol to determine the genetic variation between untreated and treated </w:t>
      </w:r>
      <w:r w:rsidRPr="0023574F">
        <w:rPr>
          <w:i/>
          <w:iCs/>
          <w:color w:val="000000"/>
          <w:sz w:val="20"/>
          <w:szCs w:val="20"/>
        </w:rPr>
        <w:t xml:space="preserve">F. </w:t>
      </w:r>
      <w:proofErr w:type="spellStart"/>
      <w:r w:rsidRPr="0023574F">
        <w:rPr>
          <w:i/>
          <w:iCs/>
          <w:color w:val="000000"/>
          <w:sz w:val="20"/>
          <w:szCs w:val="20"/>
        </w:rPr>
        <w:t>oxysporum</w:t>
      </w:r>
      <w:proofErr w:type="spellEnd"/>
      <w:r w:rsidRPr="0023574F">
        <w:rPr>
          <w:i/>
          <w:iCs/>
          <w:color w:val="000000"/>
          <w:sz w:val="20"/>
          <w:szCs w:val="20"/>
        </w:rPr>
        <w:t>.</w:t>
      </w:r>
    </w:p>
    <w:p w:rsidR="00814F50" w:rsidRPr="0023574F" w:rsidRDefault="00814F50" w:rsidP="0023574F">
      <w:pPr>
        <w:autoSpaceDE w:val="0"/>
        <w:autoSpaceDN w:val="0"/>
        <w:adjustRightInd w:val="0"/>
        <w:snapToGrid w:val="0"/>
        <w:ind w:firstLine="425"/>
        <w:jc w:val="both"/>
        <w:rPr>
          <w:sz w:val="20"/>
          <w:szCs w:val="20"/>
        </w:rPr>
      </w:pPr>
      <w:r w:rsidRPr="0023574F">
        <w:rPr>
          <w:color w:val="000000"/>
          <w:sz w:val="20"/>
          <w:szCs w:val="20"/>
        </w:rPr>
        <w:t xml:space="preserve">Five (OPA-04, OPA-11, OPA-17, OPC-07 and OPZ-19) out of ten primers gave clearly differences between treated and untreated fungi on the basis of the amplified product patterns as shown in </w:t>
      </w:r>
      <w:r w:rsidRPr="0023574F">
        <w:rPr>
          <w:sz w:val="20"/>
          <w:szCs w:val="20"/>
        </w:rPr>
        <w:t>Figures 23, 24, 25, 26 and 27. The comparison between the untreated and treated samples showed differences in the sizes and numbers of the amplified fragments per primer, indicating a high degree of variability between untreated and treated samples.</w:t>
      </w:r>
    </w:p>
    <w:p w:rsidR="00814F50" w:rsidRPr="0023574F" w:rsidRDefault="00814F50" w:rsidP="0023574F">
      <w:pPr>
        <w:autoSpaceDE w:val="0"/>
        <w:autoSpaceDN w:val="0"/>
        <w:adjustRightInd w:val="0"/>
        <w:snapToGrid w:val="0"/>
        <w:ind w:firstLine="425"/>
        <w:jc w:val="both"/>
        <w:rPr>
          <w:sz w:val="20"/>
          <w:szCs w:val="20"/>
        </w:rPr>
      </w:pPr>
      <w:r w:rsidRPr="0023574F">
        <w:rPr>
          <w:sz w:val="20"/>
          <w:szCs w:val="20"/>
        </w:rPr>
        <w:t xml:space="preserve">The result in table (18) </w:t>
      </w:r>
      <w:r w:rsidRPr="0023574F">
        <w:rPr>
          <w:color w:val="000000"/>
          <w:sz w:val="20"/>
          <w:szCs w:val="20"/>
        </w:rPr>
        <w:t xml:space="preserve">showed that a total of 12 DNA fragments were produced with OPA-04 primer between untreated fungus and </w:t>
      </w:r>
      <w:r w:rsidRPr="0023574F">
        <w:rPr>
          <w:sz w:val="20"/>
          <w:szCs w:val="20"/>
        </w:rPr>
        <w:t xml:space="preserve">treated fungi with </w:t>
      </w:r>
      <w:proofErr w:type="spellStart"/>
      <w:r w:rsidRPr="0023574F">
        <w:rPr>
          <w:sz w:val="20"/>
          <w:szCs w:val="20"/>
        </w:rPr>
        <w:t>eugenol</w:t>
      </w:r>
      <w:proofErr w:type="spellEnd"/>
      <w:r w:rsidRPr="0023574F">
        <w:rPr>
          <w:sz w:val="20"/>
          <w:szCs w:val="20"/>
        </w:rPr>
        <w:t xml:space="preserve">. One band at 1750 </w:t>
      </w:r>
      <w:proofErr w:type="spellStart"/>
      <w:r w:rsidRPr="0023574F">
        <w:rPr>
          <w:sz w:val="20"/>
          <w:szCs w:val="20"/>
        </w:rPr>
        <w:t>bp</w:t>
      </w:r>
      <w:proofErr w:type="spellEnd"/>
      <w:r w:rsidRPr="0023574F">
        <w:rPr>
          <w:sz w:val="20"/>
          <w:szCs w:val="20"/>
        </w:rPr>
        <w:t xml:space="preserve"> was characterized the untreated fungus. Furthermore, eight different discriminating fragments were found to distinguish the fungus treated with </w:t>
      </w:r>
      <w:proofErr w:type="spellStart"/>
      <w:r w:rsidRPr="0023574F">
        <w:rPr>
          <w:sz w:val="20"/>
          <w:szCs w:val="20"/>
        </w:rPr>
        <w:t>Eugenol</w:t>
      </w:r>
      <w:proofErr w:type="spellEnd"/>
      <w:r w:rsidRPr="0023574F">
        <w:rPr>
          <w:sz w:val="20"/>
          <w:szCs w:val="20"/>
        </w:rPr>
        <w:t xml:space="preserve"> from untreated fungus.</w:t>
      </w:r>
    </w:p>
    <w:p w:rsidR="00274DF1" w:rsidRPr="0023574F" w:rsidRDefault="00274DF1" w:rsidP="0023574F">
      <w:pPr>
        <w:autoSpaceDE w:val="0"/>
        <w:autoSpaceDN w:val="0"/>
        <w:adjustRightInd w:val="0"/>
        <w:snapToGrid w:val="0"/>
        <w:ind w:firstLine="425"/>
        <w:jc w:val="both"/>
        <w:rPr>
          <w:sz w:val="20"/>
          <w:szCs w:val="20"/>
        </w:rPr>
      </w:pPr>
      <w:r w:rsidRPr="0023574F">
        <w:rPr>
          <w:sz w:val="20"/>
          <w:szCs w:val="20"/>
        </w:rPr>
        <w:t xml:space="preserve">In OPA-11, the total DNA amplified fragments between untreated and treated samples was seven, one band at 2450 </w:t>
      </w:r>
      <w:proofErr w:type="spellStart"/>
      <w:r w:rsidRPr="0023574F">
        <w:rPr>
          <w:sz w:val="20"/>
          <w:szCs w:val="20"/>
        </w:rPr>
        <w:t>bp</w:t>
      </w:r>
      <w:proofErr w:type="spellEnd"/>
      <w:r w:rsidRPr="0023574F">
        <w:rPr>
          <w:sz w:val="20"/>
          <w:szCs w:val="20"/>
        </w:rPr>
        <w:t xml:space="preserve"> was characterized the sample treated with </w:t>
      </w:r>
      <w:proofErr w:type="spellStart"/>
      <w:r w:rsidRPr="0023574F">
        <w:rPr>
          <w:sz w:val="20"/>
          <w:szCs w:val="20"/>
        </w:rPr>
        <w:t>Eugenol</w:t>
      </w:r>
      <w:proofErr w:type="spellEnd"/>
      <w:r w:rsidRPr="0023574F">
        <w:rPr>
          <w:sz w:val="20"/>
          <w:szCs w:val="20"/>
        </w:rPr>
        <w:t xml:space="preserve"> from the untreated sample. In OPA-17, OPC-07 and OPZ-19 no discriminating bands could be considered specific to differentiate between untreated and treated </w:t>
      </w:r>
      <w:proofErr w:type="spellStart"/>
      <w:r w:rsidRPr="0023574F">
        <w:rPr>
          <w:sz w:val="20"/>
          <w:szCs w:val="20"/>
        </w:rPr>
        <w:t>Eugenol</w:t>
      </w:r>
      <w:proofErr w:type="spellEnd"/>
      <w:r w:rsidRPr="0023574F">
        <w:rPr>
          <w:sz w:val="20"/>
          <w:szCs w:val="20"/>
        </w:rPr>
        <w:t xml:space="preserve"> samples.</w:t>
      </w:r>
    </w:p>
    <w:p w:rsidR="0023574F" w:rsidRPr="0023574F" w:rsidRDefault="0023574F" w:rsidP="0023574F">
      <w:pPr>
        <w:autoSpaceDE w:val="0"/>
        <w:autoSpaceDN w:val="0"/>
        <w:adjustRightInd w:val="0"/>
        <w:snapToGrid w:val="0"/>
        <w:ind w:firstLine="425"/>
        <w:jc w:val="both"/>
        <w:rPr>
          <w:b/>
          <w:bCs/>
          <w:color w:val="000000"/>
          <w:sz w:val="20"/>
          <w:szCs w:val="20"/>
        </w:rPr>
        <w:sectPr w:rsidR="0023574F" w:rsidRPr="0023574F" w:rsidSect="004048ED">
          <w:headerReference w:type="default" r:id="rId38"/>
          <w:footerReference w:type="even" r:id="rId39"/>
          <w:footerReference w:type="default" r:id="rId40"/>
          <w:type w:val="continuous"/>
          <w:pgSz w:w="12240" w:h="15840" w:code="1"/>
          <w:pgMar w:top="1440" w:right="1440" w:bottom="1440" w:left="1440" w:header="720" w:footer="720" w:gutter="0"/>
          <w:cols w:num="2" w:space="600"/>
          <w:docGrid w:linePitch="360"/>
        </w:sectPr>
      </w:pPr>
    </w:p>
    <w:p w:rsidR="0023574F" w:rsidRDefault="0023574F" w:rsidP="0023574F">
      <w:pPr>
        <w:autoSpaceDE w:val="0"/>
        <w:autoSpaceDN w:val="0"/>
        <w:adjustRightInd w:val="0"/>
        <w:snapToGrid w:val="0"/>
        <w:ind w:firstLine="425"/>
        <w:jc w:val="both"/>
        <w:rPr>
          <w:rFonts w:eastAsiaTheme="minorEastAsia"/>
          <w:b/>
          <w:bCs/>
          <w:color w:val="000000"/>
          <w:sz w:val="20"/>
          <w:szCs w:val="20"/>
          <w:lang w:eastAsia="zh-CN"/>
        </w:rPr>
      </w:pPr>
    </w:p>
    <w:p w:rsidR="0019042B" w:rsidRDefault="0019042B" w:rsidP="0023574F">
      <w:pPr>
        <w:autoSpaceDE w:val="0"/>
        <w:autoSpaceDN w:val="0"/>
        <w:adjustRightInd w:val="0"/>
        <w:snapToGrid w:val="0"/>
        <w:ind w:firstLine="425"/>
        <w:jc w:val="both"/>
        <w:rPr>
          <w:rFonts w:eastAsiaTheme="minorEastAsia"/>
          <w:b/>
          <w:bCs/>
          <w:color w:val="000000"/>
          <w:sz w:val="20"/>
          <w:szCs w:val="20"/>
          <w:lang w:eastAsia="zh-CN"/>
        </w:rPr>
      </w:pPr>
    </w:p>
    <w:p w:rsidR="00A112DC" w:rsidRPr="0023574F" w:rsidRDefault="00A112DC" w:rsidP="00A112DC">
      <w:pPr>
        <w:autoSpaceDE w:val="0"/>
        <w:autoSpaceDN w:val="0"/>
        <w:adjustRightInd w:val="0"/>
        <w:snapToGrid w:val="0"/>
        <w:jc w:val="center"/>
        <w:rPr>
          <w:b/>
          <w:bCs/>
          <w:color w:val="000000"/>
          <w:sz w:val="20"/>
          <w:szCs w:val="20"/>
        </w:rPr>
      </w:pPr>
      <w:r w:rsidRPr="0023574F">
        <w:rPr>
          <w:b/>
          <w:bCs/>
          <w:noProof/>
          <w:color w:val="000000"/>
          <w:sz w:val="20"/>
          <w:szCs w:val="20"/>
          <w:lang w:eastAsia="zh-CN"/>
        </w:rPr>
        <w:drawing>
          <wp:inline distT="0" distB="0" distL="0" distR="0">
            <wp:extent cx="4616561" cy="985962"/>
            <wp:effectExtent l="1905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6857" cy="988161"/>
                    </a:xfrm>
                    <a:prstGeom prst="rect">
                      <a:avLst/>
                    </a:prstGeom>
                    <a:noFill/>
                  </pic:spPr>
                </pic:pic>
              </a:graphicData>
            </a:graphic>
          </wp:inline>
        </w:drawing>
      </w:r>
    </w:p>
    <w:p w:rsidR="00A112DC" w:rsidRPr="0023574F" w:rsidRDefault="00A112DC" w:rsidP="00A112DC">
      <w:pPr>
        <w:autoSpaceDE w:val="0"/>
        <w:autoSpaceDN w:val="0"/>
        <w:adjustRightInd w:val="0"/>
        <w:snapToGrid w:val="0"/>
        <w:jc w:val="both"/>
        <w:rPr>
          <w:sz w:val="20"/>
          <w:szCs w:val="18"/>
        </w:rPr>
      </w:pPr>
      <w:r w:rsidRPr="0023574F">
        <w:rPr>
          <w:b/>
          <w:bCs/>
          <w:color w:val="000000"/>
          <w:sz w:val="20"/>
          <w:szCs w:val="18"/>
        </w:rPr>
        <w:t xml:space="preserve">Fig. (3): </w:t>
      </w:r>
      <w:proofErr w:type="spellStart"/>
      <w:r w:rsidRPr="0023574F">
        <w:rPr>
          <w:color w:val="000000"/>
          <w:sz w:val="20"/>
          <w:szCs w:val="18"/>
        </w:rPr>
        <w:t>Dendrogram</w:t>
      </w:r>
      <w:proofErr w:type="spellEnd"/>
      <w:r w:rsidRPr="0023574F">
        <w:rPr>
          <w:color w:val="000000"/>
          <w:sz w:val="20"/>
          <w:szCs w:val="18"/>
        </w:rPr>
        <w:t xml:space="preserve"> demonstrating the relationships between untreated </w:t>
      </w:r>
      <w:r w:rsidRPr="0023574F">
        <w:rPr>
          <w:i/>
          <w:iCs/>
          <w:color w:val="000000"/>
          <w:sz w:val="20"/>
          <w:szCs w:val="18"/>
        </w:rPr>
        <w:t xml:space="preserve">F. </w:t>
      </w:r>
      <w:proofErr w:type="spellStart"/>
      <w:r w:rsidRPr="0023574F">
        <w:rPr>
          <w:i/>
          <w:iCs/>
          <w:color w:val="000000"/>
          <w:sz w:val="20"/>
          <w:szCs w:val="18"/>
        </w:rPr>
        <w:t>oxysporum</w:t>
      </w:r>
      <w:proofErr w:type="spellEnd"/>
      <w:r w:rsidRPr="0023574F">
        <w:rPr>
          <w:color w:val="000000"/>
          <w:sz w:val="20"/>
          <w:szCs w:val="18"/>
        </w:rPr>
        <w:t xml:space="preserve"> and treated </w:t>
      </w:r>
      <w:r w:rsidRPr="0023574F">
        <w:rPr>
          <w:i/>
          <w:iCs/>
          <w:color w:val="000000"/>
          <w:sz w:val="20"/>
          <w:szCs w:val="18"/>
        </w:rPr>
        <w:t xml:space="preserve">F. </w:t>
      </w:r>
      <w:proofErr w:type="spellStart"/>
      <w:r w:rsidRPr="0023574F">
        <w:rPr>
          <w:i/>
          <w:iCs/>
          <w:color w:val="000000"/>
          <w:sz w:val="20"/>
          <w:szCs w:val="18"/>
        </w:rPr>
        <w:t>oxysporum</w:t>
      </w:r>
      <w:proofErr w:type="spellEnd"/>
      <w:r w:rsidRPr="0023574F">
        <w:rPr>
          <w:color w:val="000000"/>
          <w:sz w:val="20"/>
          <w:szCs w:val="18"/>
        </w:rPr>
        <w:t xml:space="preserve"> with three different organic compounds (</w:t>
      </w:r>
      <w:proofErr w:type="spellStart"/>
      <w:r w:rsidRPr="0023574F">
        <w:rPr>
          <w:color w:val="000000"/>
          <w:sz w:val="20"/>
          <w:szCs w:val="18"/>
        </w:rPr>
        <w:t>Eugenol</w:t>
      </w:r>
      <w:proofErr w:type="spellEnd"/>
      <w:r w:rsidRPr="0023574F">
        <w:rPr>
          <w:color w:val="000000"/>
          <w:sz w:val="20"/>
          <w:szCs w:val="18"/>
        </w:rPr>
        <w:t xml:space="preserve">, Methyl </w:t>
      </w:r>
      <w:proofErr w:type="spellStart"/>
      <w:r w:rsidRPr="0023574F">
        <w:rPr>
          <w:color w:val="000000"/>
          <w:sz w:val="20"/>
          <w:szCs w:val="18"/>
        </w:rPr>
        <w:t>cinnamate</w:t>
      </w:r>
      <w:proofErr w:type="spellEnd"/>
      <w:r w:rsidRPr="0023574F">
        <w:rPr>
          <w:color w:val="000000"/>
          <w:sz w:val="20"/>
          <w:szCs w:val="18"/>
        </w:rPr>
        <w:t xml:space="preserve"> and </w:t>
      </w:r>
      <w:proofErr w:type="spellStart"/>
      <w:r w:rsidRPr="0023574F">
        <w:rPr>
          <w:color w:val="000000"/>
          <w:sz w:val="20"/>
          <w:szCs w:val="18"/>
        </w:rPr>
        <w:t>Thymol</w:t>
      </w:r>
      <w:proofErr w:type="spellEnd"/>
      <w:r w:rsidRPr="0023574F">
        <w:rPr>
          <w:color w:val="000000"/>
          <w:sz w:val="20"/>
          <w:szCs w:val="18"/>
        </w:rPr>
        <w:t xml:space="preserve"> separately) based on the protein banding patterns. Lane 2: untreated fungus, lanes 4, 3 and 5: treated fungus with methyl </w:t>
      </w:r>
      <w:proofErr w:type="spellStart"/>
      <w:r w:rsidRPr="0023574F">
        <w:rPr>
          <w:color w:val="000000"/>
          <w:sz w:val="20"/>
          <w:szCs w:val="18"/>
        </w:rPr>
        <w:t>cinnamate</w:t>
      </w:r>
      <w:proofErr w:type="spellEnd"/>
      <w:r w:rsidRPr="0023574F">
        <w:rPr>
          <w:color w:val="000000"/>
          <w:sz w:val="20"/>
          <w:szCs w:val="18"/>
        </w:rPr>
        <w:t xml:space="preserve">, </w:t>
      </w:r>
      <w:proofErr w:type="spellStart"/>
      <w:r w:rsidRPr="0023574F">
        <w:rPr>
          <w:color w:val="000000"/>
          <w:sz w:val="20"/>
          <w:szCs w:val="18"/>
        </w:rPr>
        <w:t>eugenol</w:t>
      </w:r>
      <w:proofErr w:type="spellEnd"/>
      <w:r w:rsidRPr="0023574F">
        <w:rPr>
          <w:color w:val="000000"/>
          <w:sz w:val="20"/>
          <w:szCs w:val="18"/>
        </w:rPr>
        <w:t xml:space="preserve"> and </w:t>
      </w:r>
      <w:proofErr w:type="spellStart"/>
      <w:r w:rsidRPr="0023574F">
        <w:rPr>
          <w:color w:val="000000"/>
          <w:sz w:val="20"/>
          <w:szCs w:val="18"/>
        </w:rPr>
        <w:t>thymol</w:t>
      </w:r>
      <w:proofErr w:type="spellEnd"/>
      <w:r w:rsidRPr="0023574F">
        <w:rPr>
          <w:color w:val="000000"/>
          <w:sz w:val="20"/>
          <w:szCs w:val="18"/>
        </w:rPr>
        <w:t>, respectively.</w:t>
      </w:r>
    </w:p>
    <w:p w:rsidR="0019042B" w:rsidRDefault="0019042B" w:rsidP="0023574F">
      <w:pPr>
        <w:autoSpaceDE w:val="0"/>
        <w:autoSpaceDN w:val="0"/>
        <w:adjustRightInd w:val="0"/>
        <w:snapToGrid w:val="0"/>
        <w:jc w:val="both"/>
        <w:rPr>
          <w:b/>
          <w:bCs/>
          <w:color w:val="000000"/>
          <w:sz w:val="20"/>
          <w:szCs w:val="20"/>
        </w:rPr>
      </w:pPr>
    </w:p>
    <w:p w:rsidR="0019042B" w:rsidRDefault="0019042B" w:rsidP="0023574F">
      <w:pPr>
        <w:autoSpaceDE w:val="0"/>
        <w:autoSpaceDN w:val="0"/>
        <w:adjustRightInd w:val="0"/>
        <w:snapToGrid w:val="0"/>
        <w:jc w:val="both"/>
        <w:rPr>
          <w:b/>
          <w:bCs/>
          <w:color w:val="000000"/>
          <w:sz w:val="20"/>
          <w:szCs w:val="20"/>
        </w:rPr>
      </w:pPr>
    </w:p>
    <w:p w:rsidR="0019042B" w:rsidRDefault="0019042B" w:rsidP="0023574F">
      <w:pPr>
        <w:autoSpaceDE w:val="0"/>
        <w:autoSpaceDN w:val="0"/>
        <w:adjustRightInd w:val="0"/>
        <w:snapToGrid w:val="0"/>
        <w:jc w:val="both"/>
        <w:rPr>
          <w:b/>
          <w:bCs/>
          <w:color w:val="000000"/>
          <w:sz w:val="20"/>
          <w:szCs w:val="20"/>
        </w:rPr>
      </w:pPr>
    </w:p>
    <w:p w:rsidR="0019042B" w:rsidRDefault="0019042B" w:rsidP="0023574F">
      <w:pPr>
        <w:autoSpaceDE w:val="0"/>
        <w:autoSpaceDN w:val="0"/>
        <w:adjustRightInd w:val="0"/>
        <w:snapToGrid w:val="0"/>
        <w:jc w:val="both"/>
        <w:rPr>
          <w:b/>
          <w:bCs/>
          <w:color w:val="000000"/>
          <w:sz w:val="20"/>
          <w:szCs w:val="20"/>
        </w:rPr>
      </w:pPr>
    </w:p>
    <w:p w:rsidR="0019042B" w:rsidRDefault="0019042B" w:rsidP="0023574F">
      <w:pPr>
        <w:autoSpaceDE w:val="0"/>
        <w:autoSpaceDN w:val="0"/>
        <w:adjustRightInd w:val="0"/>
        <w:snapToGrid w:val="0"/>
        <w:jc w:val="both"/>
        <w:rPr>
          <w:b/>
          <w:bCs/>
          <w:color w:val="000000"/>
          <w:sz w:val="20"/>
          <w:szCs w:val="20"/>
        </w:rPr>
      </w:pPr>
    </w:p>
    <w:p w:rsidR="00B637FA" w:rsidRPr="0023574F" w:rsidRDefault="00B637FA" w:rsidP="0023574F">
      <w:pPr>
        <w:autoSpaceDE w:val="0"/>
        <w:autoSpaceDN w:val="0"/>
        <w:adjustRightInd w:val="0"/>
        <w:snapToGrid w:val="0"/>
        <w:jc w:val="both"/>
        <w:rPr>
          <w:sz w:val="20"/>
          <w:szCs w:val="20"/>
        </w:rPr>
      </w:pPr>
      <w:r w:rsidRPr="0023574F">
        <w:rPr>
          <w:b/>
          <w:bCs/>
          <w:color w:val="000000"/>
          <w:sz w:val="20"/>
          <w:szCs w:val="20"/>
        </w:rPr>
        <w:t xml:space="preserve">Table (2): </w:t>
      </w:r>
      <w:r w:rsidRPr="0023574F">
        <w:rPr>
          <w:color w:val="000000"/>
          <w:sz w:val="20"/>
          <w:szCs w:val="20"/>
        </w:rPr>
        <w:t>Molecular weights (</w:t>
      </w:r>
      <w:proofErr w:type="spellStart"/>
      <w:r w:rsidRPr="0023574F">
        <w:rPr>
          <w:color w:val="000000"/>
          <w:sz w:val="20"/>
          <w:szCs w:val="20"/>
        </w:rPr>
        <w:t>KDa</w:t>
      </w:r>
      <w:proofErr w:type="spellEnd"/>
      <w:r w:rsidRPr="0023574F">
        <w:rPr>
          <w:color w:val="000000"/>
          <w:sz w:val="20"/>
          <w:szCs w:val="20"/>
        </w:rPr>
        <w:t xml:space="preserve">) of protein peptides detected by SDS-PAGE in protein profiles of </w:t>
      </w:r>
      <w:proofErr w:type="spellStart"/>
      <w:r w:rsidRPr="0023574F">
        <w:rPr>
          <w:i/>
          <w:iCs/>
          <w:color w:val="000000"/>
          <w:sz w:val="20"/>
          <w:szCs w:val="20"/>
        </w:rPr>
        <w:t>Fusariumoxysporum</w:t>
      </w:r>
      <w:proofErr w:type="spellEnd"/>
      <w:r w:rsidR="00F06756">
        <w:rPr>
          <w:i/>
          <w:iCs/>
          <w:color w:val="000000"/>
          <w:sz w:val="20"/>
          <w:szCs w:val="20"/>
        </w:rPr>
        <w:t xml:space="preserve"> </w:t>
      </w:r>
      <w:r w:rsidRPr="0023574F">
        <w:rPr>
          <w:color w:val="000000"/>
          <w:sz w:val="20"/>
          <w:szCs w:val="20"/>
        </w:rPr>
        <w:t xml:space="preserve">treated with </w:t>
      </w:r>
      <w:proofErr w:type="spellStart"/>
      <w:r w:rsidRPr="0023574F">
        <w:rPr>
          <w:color w:val="000000"/>
          <w:sz w:val="20"/>
          <w:szCs w:val="20"/>
        </w:rPr>
        <w:t>eugenol</w:t>
      </w:r>
      <w:proofErr w:type="spellEnd"/>
      <w:r w:rsidRPr="0023574F">
        <w:rPr>
          <w:color w:val="000000"/>
          <w:sz w:val="20"/>
          <w:szCs w:val="20"/>
        </w:rPr>
        <w:t xml:space="preserve">, methyl </w:t>
      </w:r>
      <w:proofErr w:type="spellStart"/>
      <w:r w:rsidRPr="0023574F">
        <w:rPr>
          <w:color w:val="000000"/>
          <w:sz w:val="20"/>
          <w:szCs w:val="20"/>
        </w:rPr>
        <w:t>cinnamate</w:t>
      </w:r>
      <w:proofErr w:type="spellEnd"/>
      <w:r w:rsidRPr="0023574F">
        <w:rPr>
          <w:color w:val="000000"/>
          <w:sz w:val="20"/>
          <w:szCs w:val="20"/>
        </w:rPr>
        <w:t xml:space="preserve"> and </w:t>
      </w:r>
      <w:proofErr w:type="spellStart"/>
      <w:r w:rsidRPr="0023574F">
        <w:rPr>
          <w:color w:val="000000"/>
          <w:sz w:val="20"/>
          <w:szCs w:val="20"/>
        </w:rPr>
        <w:t>thymol</w:t>
      </w:r>
      <w:proofErr w:type="spellEnd"/>
      <w:r w:rsidRPr="0023574F">
        <w:rPr>
          <w:color w:val="000000"/>
          <w:sz w:val="20"/>
          <w:szCs w:val="20"/>
        </w:rPr>
        <w:t xml:space="preserve"> at concentration of LC</w:t>
      </w:r>
      <w:r w:rsidRPr="0023574F">
        <w:rPr>
          <w:color w:val="000000"/>
          <w:sz w:val="20"/>
          <w:szCs w:val="20"/>
          <w:vertAlign w:val="subscript"/>
        </w:rPr>
        <w:t xml:space="preserve">10 </w:t>
      </w:r>
      <w:r w:rsidRPr="0023574F">
        <w:rPr>
          <w:color w:val="000000"/>
          <w:sz w:val="20"/>
          <w:szCs w:val="20"/>
        </w:rPr>
        <w:t>compared to untreated fungus (control):</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967"/>
        <w:gridCol w:w="1059"/>
        <w:gridCol w:w="917"/>
        <w:gridCol w:w="963"/>
        <w:gridCol w:w="967"/>
        <w:gridCol w:w="1398"/>
        <w:gridCol w:w="967"/>
        <w:gridCol w:w="1052"/>
      </w:tblGrid>
      <w:tr w:rsidR="00B637FA" w:rsidRPr="0023574F" w:rsidTr="0023574F">
        <w:trPr>
          <w:trHeight w:val="112"/>
          <w:jc w:val="center"/>
        </w:trPr>
        <w:tc>
          <w:tcPr>
            <w:tcW w:w="699" w:type="pct"/>
            <w:vMerge w:val="restart"/>
            <w:tcBorders>
              <w:top w:val="double" w:sz="4" w:space="0" w:color="auto"/>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Ref Band</w:t>
            </w:r>
          </w:p>
          <w:p w:rsidR="00B637FA" w:rsidRPr="0023574F" w:rsidRDefault="00B637FA" w:rsidP="0023574F">
            <w:pPr>
              <w:snapToGrid w:val="0"/>
              <w:jc w:val="center"/>
              <w:rPr>
                <w:b/>
                <w:bCs/>
                <w:color w:val="000000"/>
                <w:sz w:val="20"/>
                <w:szCs w:val="16"/>
              </w:rPr>
            </w:pPr>
            <w:r w:rsidRPr="0023574F">
              <w:rPr>
                <w:b/>
                <w:bCs/>
                <w:color w:val="000000"/>
                <w:sz w:val="20"/>
                <w:szCs w:val="16"/>
              </w:rPr>
              <w:t>Number</w:t>
            </w:r>
          </w:p>
        </w:tc>
        <w:tc>
          <w:tcPr>
            <w:tcW w:w="1062" w:type="pct"/>
            <w:gridSpan w:val="2"/>
            <w:tcBorders>
              <w:top w:val="double" w:sz="4" w:space="0" w:color="auto"/>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Control</w:t>
            </w:r>
          </w:p>
        </w:tc>
        <w:tc>
          <w:tcPr>
            <w:tcW w:w="988" w:type="pct"/>
            <w:gridSpan w:val="2"/>
            <w:tcBorders>
              <w:top w:val="double" w:sz="4" w:space="0" w:color="auto"/>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proofErr w:type="spellStart"/>
            <w:r w:rsidRPr="0023574F">
              <w:rPr>
                <w:b/>
                <w:bCs/>
                <w:color w:val="000000"/>
                <w:sz w:val="20"/>
                <w:szCs w:val="16"/>
              </w:rPr>
              <w:t>Eugenol</w:t>
            </w:r>
            <w:proofErr w:type="spellEnd"/>
          </w:p>
        </w:tc>
        <w:tc>
          <w:tcPr>
            <w:tcW w:w="1215" w:type="pct"/>
            <w:gridSpan w:val="2"/>
            <w:tcBorders>
              <w:top w:val="double" w:sz="4" w:space="0" w:color="auto"/>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 xml:space="preserve">Methyl </w:t>
            </w:r>
            <w:proofErr w:type="spellStart"/>
            <w:r w:rsidRPr="0023574F">
              <w:rPr>
                <w:b/>
                <w:bCs/>
                <w:color w:val="000000"/>
                <w:sz w:val="20"/>
                <w:szCs w:val="16"/>
              </w:rPr>
              <w:t>cinnamate</w:t>
            </w:r>
            <w:proofErr w:type="spellEnd"/>
          </w:p>
        </w:tc>
        <w:tc>
          <w:tcPr>
            <w:tcW w:w="1036" w:type="pct"/>
            <w:gridSpan w:val="2"/>
            <w:tcBorders>
              <w:top w:val="double" w:sz="4" w:space="0" w:color="auto"/>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proofErr w:type="spellStart"/>
            <w:r w:rsidRPr="0023574F">
              <w:rPr>
                <w:b/>
                <w:bCs/>
                <w:color w:val="000000"/>
                <w:sz w:val="20"/>
                <w:szCs w:val="16"/>
              </w:rPr>
              <w:t>Thymol</w:t>
            </w:r>
            <w:proofErr w:type="spellEnd"/>
          </w:p>
        </w:tc>
      </w:tr>
      <w:tr w:rsidR="00B637FA" w:rsidRPr="0023574F" w:rsidTr="0023574F">
        <w:trPr>
          <w:trHeight w:val="250"/>
          <w:jc w:val="center"/>
        </w:trPr>
        <w:tc>
          <w:tcPr>
            <w:tcW w:w="699" w:type="pct"/>
            <w:vMerge/>
            <w:tcBorders>
              <w:top w:val="nil"/>
              <w:left w:val="double" w:sz="4" w:space="0" w:color="auto"/>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p>
        </w:tc>
        <w:tc>
          <w:tcPr>
            <w:tcW w:w="489"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Band No</w:t>
            </w:r>
          </w:p>
        </w:tc>
        <w:tc>
          <w:tcPr>
            <w:tcW w:w="573"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MW</w:t>
            </w:r>
          </w:p>
        </w:tc>
        <w:tc>
          <w:tcPr>
            <w:tcW w:w="466"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proofErr w:type="spellStart"/>
            <w:r w:rsidRPr="0023574F">
              <w:rPr>
                <w:b/>
                <w:bCs/>
                <w:color w:val="000000"/>
                <w:sz w:val="20"/>
                <w:szCs w:val="16"/>
              </w:rPr>
              <w:t>BandNo</w:t>
            </w:r>
            <w:proofErr w:type="spellEnd"/>
          </w:p>
        </w:tc>
        <w:tc>
          <w:tcPr>
            <w:tcW w:w="523"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MW</w:t>
            </w:r>
          </w:p>
        </w:tc>
        <w:tc>
          <w:tcPr>
            <w:tcW w:w="466"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Band No</w:t>
            </w:r>
          </w:p>
        </w:tc>
        <w:tc>
          <w:tcPr>
            <w:tcW w:w="749"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MW</w:t>
            </w:r>
          </w:p>
        </w:tc>
        <w:tc>
          <w:tcPr>
            <w:tcW w:w="466"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Band No</w:t>
            </w:r>
          </w:p>
        </w:tc>
        <w:tc>
          <w:tcPr>
            <w:tcW w:w="570"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MW</w:t>
            </w:r>
          </w:p>
        </w:tc>
      </w:tr>
      <w:tr w:rsidR="00B637FA" w:rsidRPr="0023574F" w:rsidTr="0023574F">
        <w:trPr>
          <w:trHeight w:val="61"/>
          <w:jc w:val="center"/>
        </w:trPr>
        <w:tc>
          <w:tcPr>
            <w:tcW w:w="699" w:type="pct"/>
            <w:tcBorders>
              <w:top w:val="double" w:sz="4" w:space="0" w:color="auto"/>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w:t>
            </w:r>
          </w:p>
        </w:tc>
        <w:tc>
          <w:tcPr>
            <w:tcW w:w="489" w:type="pct"/>
            <w:tcBorders>
              <w:top w:val="double" w:sz="4" w:space="0" w:color="auto"/>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3" w:type="pct"/>
            <w:tcBorders>
              <w:top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double" w:sz="4" w:space="0" w:color="auto"/>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double" w:sz="4" w:space="0" w:color="auto"/>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w:t>
            </w:r>
          </w:p>
        </w:tc>
        <w:tc>
          <w:tcPr>
            <w:tcW w:w="749" w:type="pct"/>
            <w:tcBorders>
              <w:top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328.333</w:t>
            </w:r>
          </w:p>
        </w:tc>
        <w:tc>
          <w:tcPr>
            <w:tcW w:w="466" w:type="pct"/>
            <w:tcBorders>
              <w:top w:val="double" w:sz="4" w:space="0" w:color="auto"/>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311.667</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51.347</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51.362</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1</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51.209</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51.209</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5</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48.09</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6</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47.951</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7</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47.678</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8</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45.071</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9</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5</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44.905</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10</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44.453</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11</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40.375</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12</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6</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39.844</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13</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4</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39.641</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14</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5</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39.325</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15</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7</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38.983</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16</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2</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38.815</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17</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5</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38.795</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18</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6</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35.629</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19</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8</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35.284</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20</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3</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35.172</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21</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7</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34.623</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22</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9</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34.433</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23</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4</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34.332</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6</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34.339</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24</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5</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32.76</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25</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10</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31.068</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26</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6</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30.938</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27</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11</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30.094</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28</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8</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29.794</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7</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29.788</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29</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12</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27.796</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30</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9</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27.587</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80"/>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31</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8</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27.157</w:t>
            </w:r>
          </w:p>
        </w:tc>
      </w:tr>
      <w:tr w:rsidR="00B637FA" w:rsidRPr="0023574F" w:rsidTr="0023574F">
        <w:trPr>
          <w:trHeight w:val="80"/>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32</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13</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25.516</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33</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7</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24.757</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10</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24.753</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9</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24.756</w:t>
            </w:r>
          </w:p>
        </w:tc>
      </w:tr>
      <w:tr w:rsidR="00B637FA" w:rsidRPr="0023574F" w:rsidTr="0023574F">
        <w:trPr>
          <w:trHeight w:val="80"/>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34</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14</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22.598</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35</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11</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22.313</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80"/>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36</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10</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22.032</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36</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15</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16.463</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80"/>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37</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12</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16.195</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r>
      <w:tr w:rsidR="00B637FA" w:rsidRPr="0023574F" w:rsidTr="0023574F">
        <w:trPr>
          <w:trHeight w:val="98"/>
          <w:jc w:val="center"/>
        </w:trPr>
        <w:tc>
          <w:tcPr>
            <w:tcW w:w="699" w:type="pct"/>
            <w:tcBorders>
              <w:top w:val="nil"/>
              <w:left w:val="double" w:sz="4" w:space="0" w:color="auto"/>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38</w:t>
            </w:r>
          </w:p>
        </w:tc>
        <w:tc>
          <w:tcPr>
            <w:tcW w:w="489"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8</w:t>
            </w:r>
          </w:p>
        </w:tc>
        <w:tc>
          <w:tcPr>
            <w:tcW w:w="57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b/>
                <w:bCs/>
                <w:color w:val="000000"/>
                <w:sz w:val="20"/>
                <w:szCs w:val="16"/>
              </w:rPr>
            </w:pPr>
            <w:r w:rsidRPr="0023574F">
              <w:rPr>
                <w:b/>
                <w:bCs/>
                <w:color w:val="000000"/>
                <w:sz w:val="20"/>
                <w:szCs w:val="16"/>
              </w:rPr>
              <w:t>15.927</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nil"/>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11</w:t>
            </w:r>
          </w:p>
        </w:tc>
        <w:tc>
          <w:tcPr>
            <w:tcW w:w="570" w:type="pct"/>
            <w:tcBorders>
              <w:top w:val="nil"/>
              <w:bottom w:val="nil"/>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15.927</w:t>
            </w:r>
          </w:p>
        </w:tc>
      </w:tr>
      <w:tr w:rsidR="00B637FA" w:rsidRPr="0023574F" w:rsidTr="0023574F">
        <w:trPr>
          <w:trHeight w:val="80"/>
          <w:jc w:val="center"/>
        </w:trPr>
        <w:tc>
          <w:tcPr>
            <w:tcW w:w="699" w:type="pct"/>
            <w:tcBorders>
              <w:top w:val="nil"/>
              <w:left w:val="double" w:sz="4" w:space="0" w:color="auto"/>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39</w:t>
            </w:r>
          </w:p>
        </w:tc>
        <w:tc>
          <w:tcPr>
            <w:tcW w:w="489"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73"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523"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749"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w:t>
            </w:r>
          </w:p>
        </w:tc>
        <w:tc>
          <w:tcPr>
            <w:tcW w:w="466" w:type="pct"/>
            <w:tcBorders>
              <w:top w:val="nil"/>
              <w:left w:val="double" w:sz="4" w:space="0" w:color="auto"/>
              <w:bottom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12</w:t>
            </w:r>
          </w:p>
        </w:tc>
        <w:tc>
          <w:tcPr>
            <w:tcW w:w="570" w:type="pct"/>
            <w:tcBorders>
              <w:top w:val="nil"/>
              <w:bottom w:val="double" w:sz="4" w:space="0" w:color="auto"/>
              <w:right w:val="double" w:sz="4" w:space="0" w:color="auto"/>
            </w:tcBorders>
            <w:shd w:val="clear" w:color="auto" w:fill="auto"/>
            <w:noWrap/>
            <w:vAlign w:val="center"/>
          </w:tcPr>
          <w:p w:rsidR="00B637FA" w:rsidRPr="0023574F" w:rsidRDefault="00B637FA" w:rsidP="0023574F">
            <w:pPr>
              <w:snapToGrid w:val="0"/>
              <w:jc w:val="center"/>
              <w:rPr>
                <w:color w:val="000000"/>
                <w:sz w:val="20"/>
                <w:szCs w:val="16"/>
              </w:rPr>
            </w:pPr>
            <w:r w:rsidRPr="0023574F">
              <w:rPr>
                <w:color w:val="000000"/>
                <w:sz w:val="20"/>
                <w:szCs w:val="16"/>
              </w:rPr>
              <w:t>14.854</w:t>
            </w:r>
          </w:p>
        </w:tc>
      </w:tr>
    </w:tbl>
    <w:p w:rsidR="0023574F" w:rsidRDefault="0023574F" w:rsidP="0023574F">
      <w:pPr>
        <w:autoSpaceDE w:val="0"/>
        <w:autoSpaceDN w:val="0"/>
        <w:adjustRightInd w:val="0"/>
        <w:snapToGrid w:val="0"/>
        <w:ind w:firstLine="425"/>
        <w:jc w:val="both"/>
        <w:rPr>
          <w:b/>
          <w:bCs/>
          <w:color w:val="000000"/>
          <w:sz w:val="20"/>
          <w:szCs w:val="20"/>
        </w:rPr>
      </w:pPr>
    </w:p>
    <w:p w:rsidR="0019042B" w:rsidRDefault="0019042B" w:rsidP="0023574F">
      <w:pPr>
        <w:autoSpaceDE w:val="0"/>
        <w:autoSpaceDN w:val="0"/>
        <w:adjustRightInd w:val="0"/>
        <w:snapToGrid w:val="0"/>
        <w:ind w:firstLine="425"/>
        <w:jc w:val="both"/>
        <w:rPr>
          <w:b/>
          <w:bCs/>
          <w:color w:val="000000"/>
          <w:sz w:val="20"/>
          <w:szCs w:val="20"/>
        </w:rPr>
      </w:pPr>
    </w:p>
    <w:p w:rsidR="0023574F" w:rsidRPr="0023574F" w:rsidRDefault="0023574F" w:rsidP="0023574F">
      <w:pPr>
        <w:autoSpaceDE w:val="0"/>
        <w:autoSpaceDN w:val="0"/>
        <w:adjustRightInd w:val="0"/>
        <w:snapToGrid w:val="0"/>
        <w:ind w:firstLine="425"/>
        <w:jc w:val="both"/>
        <w:rPr>
          <w:b/>
          <w:bCs/>
          <w:color w:val="000000"/>
          <w:sz w:val="20"/>
          <w:szCs w:val="20"/>
        </w:rPr>
        <w:sectPr w:rsidR="0023574F" w:rsidRPr="0023574F" w:rsidSect="005A20CA">
          <w:headerReference w:type="default" r:id="rId42"/>
          <w:footerReference w:type="even" r:id="rId43"/>
          <w:footerReference w:type="default" r:id="rId44"/>
          <w:type w:val="continuous"/>
          <w:pgSz w:w="12240" w:h="15840" w:code="1"/>
          <w:pgMar w:top="1440" w:right="1440" w:bottom="1440" w:left="1440" w:header="720" w:footer="720" w:gutter="0"/>
          <w:cols w:space="720"/>
          <w:docGrid w:linePitch="360"/>
        </w:sectPr>
      </w:pPr>
    </w:p>
    <w:p w:rsidR="00B637FA" w:rsidRPr="0023574F" w:rsidRDefault="00B637FA" w:rsidP="0023574F">
      <w:pPr>
        <w:autoSpaceDE w:val="0"/>
        <w:autoSpaceDN w:val="0"/>
        <w:adjustRightInd w:val="0"/>
        <w:snapToGrid w:val="0"/>
        <w:ind w:firstLine="425"/>
        <w:jc w:val="both"/>
        <w:rPr>
          <w:sz w:val="20"/>
          <w:szCs w:val="20"/>
        </w:rPr>
      </w:pPr>
      <w:r w:rsidRPr="0023574F">
        <w:rPr>
          <w:sz w:val="20"/>
          <w:szCs w:val="20"/>
        </w:rPr>
        <w:lastRenderedPageBreak/>
        <w:t xml:space="preserve">Result in table (19) showed the genetic variation between the untreated and treated sample with methyl </w:t>
      </w:r>
      <w:proofErr w:type="spellStart"/>
      <w:r w:rsidRPr="0023574F">
        <w:rPr>
          <w:sz w:val="20"/>
          <w:szCs w:val="20"/>
        </w:rPr>
        <w:t>cinnamate</w:t>
      </w:r>
      <w:proofErr w:type="spellEnd"/>
      <w:r w:rsidRPr="0023574F">
        <w:rPr>
          <w:sz w:val="20"/>
          <w:szCs w:val="20"/>
        </w:rPr>
        <w:t xml:space="preserve"> at LC</w:t>
      </w:r>
      <w:r w:rsidRPr="0023574F">
        <w:rPr>
          <w:sz w:val="20"/>
          <w:szCs w:val="20"/>
          <w:vertAlign w:val="subscript"/>
        </w:rPr>
        <w:t>10</w:t>
      </w:r>
      <w:r w:rsidRPr="0023574F">
        <w:rPr>
          <w:sz w:val="20"/>
          <w:szCs w:val="20"/>
        </w:rPr>
        <w:t xml:space="preserve">. OPA-04 and OPC-07 were found to distinguish untreated from the treated fungus, which the total number of amplified bands was 11. The unique band at 1750 </w:t>
      </w:r>
      <w:proofErr w:type="spellStart"/>
      <w:r w:rsidRPr="0023574F">
        <w:rPr>
          <w:sz w:val="20"/>
          <w:szCs w:val="20"/>
        </w:rPr>
        <w:t>bp</w:t>
      </w:r>
      <w:proofErr w:type="spellEnd"/>
      <w:r w:rsidRPr="0023574F">
        <w:rPr>
          <w:sz w:val="20"/>
          <w:szCs w:val="20"/>
        </w:rPr>
        <w:t xml:space="preserve"> was characterized untreated fungus while seven distinguished fragments </w:t>
      </w:r>
      <w:r w:rsidRPr="0023574F">
        <w:rPr>
          <w:sz w:val="20"/>
          <w:szCs w:val="20"/>
        </w:rPr>
        <w:lastRenderedPageBreak/>
        <w:t xml:space="preserve">were amplified, from 1350 </w:t>
      </w:r>
      <w:proofErr w:type="spellStart"/>
      <w:r w:rsidRPr="0023574F">
        <w:rPr>
          <w:sz w:val="20"/>
          <w:szCs w:val="20"/>
        </w:rPr>
        <w:t>bp</w:t>
      </w:r>
      <w:proofErr w:type="spellEnd"/>
      <w:r w:rsidRPr="0023574F">
        <w:rPr>
          <w:sz w:val="20"/>
          <w:szCs w:val="20"/>
        </w:rPr>
        <w:t xml:space="preserve"> to 1650 </w:t>
      </w:r>
      <w:proofErr w:type="spellStart"/>
      <w:r w:rsidRPr="0023574F">
        <w:rPr>
          <w:sz w:val="20"/>
          <w:szCs w:val="20"/>
        </w:rPr>
        <w:t>bp</w:t>
      </w:r>
      <w:proofErr w:type="spellEnd"/>
      <w:r w:rsidRPr="0023574F">
        <w:rPr>
          <w:sz w:val="20"/>
          <w:szCs w:val="20"/>
        </w:rPr>
        <w:t xml:space="preserve"> and from 2130 to 2500 </w:t>
      </w:r>
      <w:proofErr w:type="spellStart"/>
      <w:r w:rsidRPr="0023574F">
        <w:rPr>
          <w:sz w:val="20"/>
          <w:szCs w:val="20"/>
        </w:rPr>
        <w:t>bp</w:t>
      </w:r>
      <w:proofErr w:type="spellEnd"/>
      <w:r w:rsidRPr="0023574F">
        <w:rPr>
          <w:sz w:val="20"/>
          <w:szCs w:val="20"/>
        </w:rPr>
        <w:t xml:space="preserve">, and distinguished the treated fungus from untreated one. In OPC-07 the total number of amplified bands was 12, the band at 380 </w:t>
      </w:r>
      <w:proofErr w:type="spellStart"/>
      <w:r w:rsidRPr="0023574F">
        <w:rPr>
          <w:sz w:val="20"/>
          <w:szCs w:val="20"/>
        </w:rPr>
        <w:t>bp</w:t>
      </w:r>
      <w:proofErr w:type="spellEnd"/>
      <w:r w:rsidRPr="0023574F">
        <w:rPr>
          <w:sz w:val="20"/>
          <w:szCs w:val="20"/>
        </w:rPr>
        <w:t xml:space="preserve"> was characterized the untreated sample and the band at 650 </w:t>
      </w:r>
      <w:proofErr w:type="spellStart"/>
      <w:r w:rsidRPr="0023574F">
        <w:rPr>
          <w:sz w:val="20"/>
          <w:szCs w:val="20"/>
        </w:rPr>
        <w:t>bp</w:t>
      </w:r>
      <w:proofErr w:type="spellEnd"/>
      <w:r w:rsidRPr="0023574F">
        <w:rPr>
          <w:sz w:val="20"/>
          <w:szCs w:val="20"/>
        </w:rPr>
        <w:t xml:space="preserve"> was characterized the treated fungus.</w:t>
      </w:r>
    </w:p>
    <w:p w:rsidR="00B637FA" w:rsidRPr="0023574F" w:rsidRDefault="00B637FA" w:rsidP="0023574F">
      <w:pPr>
        <w:autoSpaceDE w:val="0"/>
        <w:autoSpaceDN w:val="0"/>
        <w:adjustRightInd w:val="0"/>
        <w:snapToGrid w:val="0"/>
        <w:ind w:firstLine="425"/>
        <w:jc w:val="both"/>
        <w:rPr>
          <w:sz w:val="20"/>
          <w:szCs w:val="20"/>
        </w:rPr>
      </w:pPr>
      <w:r w:rsidRPr="0023574F">
        <w:rPr>
          <w:sz w:val="20"/>
          <w:szCs w:val="20"/>
        </w:rPr>
        <w:lastRenderedPageBreak/>
        <w:t>OPA-11, OPA-17 and OPZ-19 were unable to discriminate the untreated sample from treated sample.</w:t>
      </w:r>
      <w:r w:rsidR="004048ED">
        <w:rPr>
          <w:sz w:val="20"/>
          <w:szCs w:val="20"/>
        </w:rPr>
        <w:t xml:space="preserve"> </w:t>
      </w:r>
      <w:r w:rsidRPr="0023574F">
        <w:rPr>
          <w:sz w:val="20"/>
          <w:szCs w:val="20"/>
        </w:rPr>
        <w:t>The result in table (20)</w:t>
      </w:r>
      <w:r w:rsidR="00F06756">
        <w:rPr>
          <w:sz w:val="20"/>
          <w:szCs w:val="20"/>
        </w:rPr>
        <w:t xml:space="preserve"> </w:t>
      </w:r>
      <w:r w:rsidRPr="0023574F">
        <w:rPr>
          <w:sz w:val="20"/>
          <w:szCs w:val="20"/>
        </w:rPr>
        <w:t xml:space="preserve">revealed the comparison between the untreated and treated samples with </w:t>
      </w:r>
      <w:proofErr w:type="spellStart"/>
      <w:r w:rsidRPr="0023574F">
        <w:rPr>
          <w:sz w:val="20"/>
          <w:szCs w:val="20"/>
        </w:rPr>
        <w:t>Thymol</w:t>
      </w:r>
      <w:proofErr w:type="spellEnd"/>
      <w:r w:rsidRPr="0023574F">
        <w:rPr>
          <w:sz w:val="20"/>
          <w:szCs w:val="20"/>
        </w:rPr>
        <w:t xml:space="preserve"> at LC10. OPC-07 and OPZ-19 no discrimination was found between untreated and treated samples, while with OPA-04 one amplified fragment at 1750 </w:t>
      </w:r>
      <w:proofErr w:type="spellStart"/>
      <w:r w:rsidRPr="0023574F">
        <w:rPr>
          <w:sz w:val="20"/>
          <w:szCs w:val="20"/>
        </w:rPr>
        <w:t>bp</w:t>
      </w:r>
      <w:proofErr w:type="spellEnd"/>
      <w:r w:rsidRPr="0023574F">
        <w:rPr>
          <w:sz w:val="20"/>
          <w:szCs w:val="20"/>
        </w:rPr>
        <w:t xml:space="preserve"> was characterized the untreated sample from the treated one but nine distinguished bands was characterized the sample treated with </w:t>
      </w:r>
      <w:proofErr w:type="spellStart"/>
      <w:r w:rsidRPr="0023574F">
        <w:rPr>
          <w:sz w:val="20"/>
          <w:szCs w:val="20"/>
        </w:rPr>
        <w:t>thymol</w:t>
      </w:r>
      <w:proofErr w:type="spellEnd"/>
      <w:r w:rsidRPr="0023574F">
        <w:rPr>
          <w:sz w:val="20"/>
          <w:szCs w:val="20"/>
        </w:rPr>
        <w:t xml:space="preserve">, these bands was ranged from 1350 </w:t>
      </w:r>
      <w:proofErr w:type="spellStart"/>
      <w:r w:rsidRPr="0023574F">
        <w:rPr>
          <w:sz w:val="20"/>
          <w:szCs w:val="20"/>
        </w:rPr>
        <w:t>bp</w:t>
      </w:r>
      <w:proofErr w:type="spellEnd"/>
      <w:r w:rsidRPr="0023574F">
        <w:rPr>
          <w:sz w:val="20"/>
          <w:szCs w:val="20"/>
        </w:rPr>
        <w:t xml:space="preserve"> to 1650 </w:t>
      </w:r>
      <w:proofErr w:type="spellStart"/>
      <w:r w:rsidRPr="0023574F">
        <w:rPr>
          <w:sz w:val="20"/>
          <w:szCs w:val="20"/>
        </w:rPr>
        <w:t>bp</w:t>
      </w:r>
      <w:proofErr w:type="spellEnd"/>
      <w:r w:rsidRPr="0023574F">
        <w:rPr>
          <w:sz w:val="20"/>
          <w:szCs w:val="20"/>
        </w:rPr>
        <w:t xml:space="preserve"> and from 2130 </w:t>
      </w:r>
      <w:proofErr w:type="spellStart"/>
      <w:r w:rsidRPr="0023574F">
        <w:rPr>
          <w:sz w:val="20"/>
          <w:szCs w:val="20"/>
        </w:rPr>
        <w:t>bp</w:t>
      </w:r>
      <w:proofErr w:type="spellEnd"/>
      <w:r w:rsidRPr="0023574F">
        <w:rPr>
          <w:sz w:val="20"/>
          <w:szCs w:val="20"/>
        </w:rPr>
        <w:t xml:space="preserve"> to</w:t>
      </w:r>
      <w:r w:rsidR="004048ED">
        <w:rPr>
          <w:sz w:val="20"/>
          <w:szCs w:val="20"/>
        </w:rPr>
        <w:t xml:space="preserve"> </w:t>
      </w:r>
      <w:r w:rsidRPr="0023574F">
        <w:rPr>
          <w:sz w:val="20"/>
          <w:szCs w:val="20"/>
        </w:rPr>
        <w:t xml:space="preserve">2500 </w:t>
      </w:r>
      <w:proofErr w:type="spellStart"/>
      <w:r w:rsidRPr="0023574F">
        <w:rPr>
          <w:sz w:val="20"/>
          <w:szCs w:val="20"/>
        </w:rPr>
        <w:t>bp</w:t>
      </w:r>
      <w:proofErr w:type="spellEnd"/>
      <w:r w:rsidRPr="0023574F">
        <w:rPr>
          <w:sz w:val="20"/>
          <w:szCs w:val="20"/>
        </w:rPr>
        <w:t>.</w:t>
      </w:r>
    </w:p>
    <w:p w:rsidR="00B637FA" w:rsidRPr="0023574F" w:rsidRDefault="00B637FA" w:rsidP="0023574F">
      <w:pPr>
        <w:autoSpaceDE w:val="0"/>
        <w:autoSpaceDN w:val="0"/>
        <w:adjustRightInd w:val="0"/>
        <w:snapToGrid w:val="0"/>
        <w:ind w:firstLine="425"/>
        <w:jc w:val="both"/>
        <w:rPr>
          <w:sz w:val="20"/>
          <w:szCs w:val="20"/>
        </w:rPr>
      </w:pPr>
      <w:r w:rsidRPr="0023574F">
        <w:rPr>
          <w:sz w:val="20"/>
          <w:szCs w:val="20"/>
        </w:rPr>
        <w:t xml:space="preserve">With OPA-11 and OPA-17 there was one band in each characterized the sample treated with </w:t>
      </w:r>
      <w:proofErr w:type="spellStart"/>
      <w:r w:rsidRPr="0023574F">
        <w:rPr>
          <w:sz w:val="20"/>
          <w:szCs w:val="20"/>
        </w:rPr>
        <w:t>thymol</w:t>
      </w:r>
      <w:proofErr w:type="spellEnd"/>
      <w:r w:rsidRPr="0023574F">
        <w:rPr>
          <w:sz w:val="20"/>
          <w:szCs w:val="20"/>
        </w:rPr>
        <w:t xml:space="preserve"> at 2450 </w:t>
      </w:r>
      <w:proofErr w:type="spellStart"/>
      <w:r w:rsidRPr="0023574F">
        <w:rPr>
          <w:sz w:val="20"/>
          <w:szCs w:val="20"/>
        </w:rPr>
        <w:t>bp</w:t>
      </w:r>
      <w:proofErr w:type="spellEnd"/>
      <w:r w:rsidRPr="0023574F">
        <w:rPr>
          <w:sz w:val="20"/>
          <w:szCs w:val="20"/>
        </w:rPr>
        <w:t xml:space="preserve"> and 300 </w:t>
      </w:r>
      <w:proofErr w:type="spellStart"/>
      <w:r w:rsidRPr="0023574F">
        <w:rPr>
          <w:sz w:val="20"/>
          <w:szCs w:val="20"/>
        </w:rPr>
        <w:t>bp</w:t>
      </w:r>
      <w:proofErr w:type="spellEnd"/>
      <w:r w:rsidRPr="0023574F">
        <w:rPr>
          <w:sz w:val="20"/>
          <w:szCs w:val="20"/>
        </w:rPr>
        <w:t>, respectively.</w:t>
      </w:r>
    </w:p>
    <w:p w:rsidR="00B637FA" w:rsidRDefault="00B637FA" w:rsidP="0023574F">
      <w:pPr>
        <w:autoSpaceDE w:val="0"/>
        <w:autoSpaceDN w:val="0"/>
        <w:adjustRightInd w:val="0"/>
        <w:snapToGrid w:val="0"/>
        <w:ind w:firstLine="425"/>
        <w:jc w:val="both"/>
        <w:rPr>
          <w:sz w:val="20"/>
          <w:szCs w:val="20"/>
        </w:rPr>
      </w:pPr>
      <w:r w:rsidRPr="0023574F">
        <w:rPr>
          <w:sz w:val="20"/>
          <w:szCs w:val="20"/>
        </w:rPr>
        <w:t xml:space="preserve">Primer OPA-04 showed potential for discriminating the treated samples with three compounds in compared with untreated fungus. OPA-11 and OPA-17 were characterized the sample treated with </w:t>
      </w:r>
      <w:proofErr w:type="spellStart"/>
      <w:r w:rsidRPr="0023574F">
        <w:rPr>
          <w:sz w:val="20"/>
          <w:szCs w:val="20"/>
        </w:rPr>
        <w:t>Thymol</w:t>
      </w:r>
      <w:proofErr w:type="spellEnd"/>
      <w:r w:rsidRPr="0023574F">
        <w:rPr>
          <w:sz w:val="20"/>
          <w:szCs w:val="20"/>
        </w:rPr>
        <w:t xml:space="preserve">, while OPZ-19 and OPC-07 were characterized methyl </w:t>
      </w:r>
      <w:proofErr w:type="spellStart"/>
      <w:r w:rsidRPr="0023574F">
        <w:rPr>
          <w:sz w:val="20"/>
          <w:szCs w:val="20"/>
        </w:rPr>
        <w:t>cinnamate</w:t>
      </w:r>
      <w:proofErr w:type="spellEnd"/>
      <w:r w:rsidRPr="0023574F">
        <w:rPr>
          <w:sz w:val="20"/>
          <w:szCs w:val="20"/>
        </w:rPr>
        <w:t>.</w:t>
      </w:r>
    </w:p>
    <w:p w:rsidR="0019042B" w:rsidRPr="0023574F" w:rsidRDefault="0019042B" w:rsidP="0023574F">
      <w:pPr>
        <w:autoSpaceDE w:val="0"/>
        <w:autoSpaceDN w:val="0"/>
        <w:adjustRightInd w:val="0"/>
        <w:snapToGrid w:val="0"/>
        <w:ind w:firstLine="425"/>
        <w:jc w:val="both"/>
        <w:rPr>
          <w:sz w:val="20"/>
          <w:szCs w:val="20"/>
        </w:rPr>
      </w:pPr>
    </w:p>
    <w:p w:rsidR="0023574F" w:rsidRDefault="0023574F" w:rsidP="0023574F">
      <w:pPr>
        <w:autoSpaceDE w:val="0"/>
        <w:autoSpaceDN w:val="0"/>
        <w:adjustRightInd w:val="0"/>
        <w:snapToGrid w:val="0"/>
        <w:ind w:firstLine="425"/>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274DF1" w:rsidRPr="0023574F" w:rsidTr="0023574F">
        <w:trPr>
          <w:jc w:val="center"/>
        </w:trPr>
        <w:tc>
          <w:tcPr>
            <w:tcW w:w="4536" w:type="dxa"/>
          </w:tcPr>
          <w:p w:rsidR="00274DF1" w:rsidRPr="0023574F" w:rsidRDefault="00274DF1" w:rsidP="0023574F">
            <w:pPr>
              <w:autoSpaceDE w:val="0"/>
              <w:autoSpaceDN w:val="0"/>
              <w:adjustRightInd w:val="0"/>
              <w:snapToGrid w:val="0"/>
              <w:jc w:val="center"/>
              <w:rPr>
                <w:color w:val="000000"/>
                <w:sz w:val="20"/>
                <w:szCs w:val="20"/>
              </w:rPr>
            </w:pPr>
            <w:r w:rsidRPr="0023574F">
              <w:rPr>
                <w:noProof/>
                <w:color w:val="000000"/>
                <w:sz w:val="20"/>
                <w:szCs w:val="20"/>
                <w:lang w:eastAsia="zh-CN"/>
              </w:rPr>
              <w:drawing>
                <wp:inline distT="0" distB="0" distL="0" distR="0">
                  <wp:extent cx="2546350" cy="3248025"/>
                  <wp:effectExtent l="19050" t="0" r="6350" b="0"/>
                  <wp:docPr id="4" name="Picture 0" desc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jpg"/>
                          <pic:cNvPicPr>
                            <a:picLocks noChangeAspect="1" noChangeArrowheads="1"/>
                          </pic:cNvPicPr>
                        </pic:nvPicPr>
                        <pic:blipFill>
                          <a:blip r:embed="rId45" cstate="print"/>
                          <a:srcRect/>
                          <a:stretch>
                            <a:fillRect/>
                          </a:stretch>
                        </pic:blipFill>
                        <pic:spPr bwMode="auto">
                          <a:xfrm>
                            <a:off x="0" y="0"/>
                            <a:ext cx="2546350" cy="3248025"/>
                          </a:xfrm>
                          <a:prstGeom prst="rect">
                            <a:avLst/>
                          </a:prstGeom>
                          <a:noFill/>
                          <a:ln w="9525">
                            <a:noFill/>
                            <a:miter lim="800000"/>
                            <a:headEnd/>
                            <a:tailEnd/>
                          </a:ln>
                        </pic:spPr>
                      </pic:pic>
                    </a:graphicData>
                  </a:graphic>
                </wp:inline>
              </w:drawing>
            </w:r>
          </w:p>
          <w:p w:rsidR="00274DF1" w:rsidRPr="0023574F" w:rsidRDefault="00274DF1" w:rsidP="0023574F">
            <w:pPr>
              <w:snapToGrid w:val="0"/>
              <w:jc w:val="both"/>
              <w:rPr>
                <w:color w:val="000000"/>
                <w:sz w:val="20"/>
                <w:szCs w:val="20"/>
              </w:rPr>
            </w:pPr>
            <w:r w:rsidRPr="0023574F">
              <w:rPr>
                <w:b/>
                <w:bCs/>
                <w:color w:val="000000"/>
                <w:sz w:val="20"/>
                <w:szCs w:val="20"/>
              </w:rPr>
              <w:t xml:space="preserve">Fig. (4): </w:t>
            </w:r>
            <w:r w:rsidRPr="0023574F">
              <w:rPr>
                <w:color w:val="000000"/>
                <w:sz w:val="20"/>
                <w:szCs w:val="20"/>
              </w:rPr>
              <w:t xml:space="preserve">RAPD fragments amplified from genomic DNA of untreated and treated </w:t>
            </w:r>
            <w:r w:rsidRPr="0023574F">
              <w:rPr>
                <w:i/>
                <w:iCs/>
                <w:color w:val="000000"/>
                <w:sz w:val="20"/>
                <w:szCs w:val="20"/>
              </w:rPr>
              <w:t xml:space="preserve">F. </w:t>
            </w:r>
            <w:proofErr w:type="spellStart"/>
            <w:r w:rsidRPr="0023574F">
              <w:rPr>
                <w:i/>
                <w:iCs/>
                <w:color w:val="000000"/>
                <w:sz w:val="20"/>
                <w:szCs w:val="20"/>
              </w:rPr>
              <w:t>oxysporum</w:t>
            </w:r>
            <w:proofErr w:type="spellEnd"/>
            <w:r w:rsidR="00F06756">
              <w:rPr>
                <w:i/>
                <w:iCs/>
                <w:color w:val="000000"/>
                <w:sz w:val="20"/>
                <w:szCs w:val="20"/>
              </w:rPr>
              <w:t xml:space="preserve"> </w:t>
            </w:r>
            <w:r w:rsidRPr="0023574F">
              <w:rPr>
                <w:color w:val="000000"/>
                <w:sz w:val="20"/>
                <w:szCs w:val="20"/>
              </w:rPr>
              <w:t xml:space="preserve">generated by OPA-04. </w:t>
            </w:r>
            <w:r w:rsidRPr="0023574F">
              <w:rPr>
                <w:b/>
                <w:bCs/>
                <w:color w:val="000000"/>
                <w:sz w:val="20"/>
                <w:szCs w:val="20"/>
              </w:rPr>
              <w:t>Marker</w:t>
            </w:r>
            <w:r w:rsidRPr="0023574F">
              <w:rPr>
                <w:color w:val="000000"/>
                <w:sz w:val="20"/>
                <w:szCs w:val="20"/>
              </w:rPr>
              <w:t xml:space="preserve">: standard DNA. </w:t>
            </w:r>
            <w:r w:rsidRPr="0023574F">
              <w:rPr>
                <w:b/>
                <w:bCs/>
                <w:color w:val="000000"/>
                <w:sz w:val="20"/>
                <w:szCs w:val="20"/>
              </w:rPr>
              <w:t>Cont.</w:t>
            </w:r>
            <w:r w:rsidRPr="0023574F">
              <w:rPr>
                <w:color w:val="000000"/>
                <w:sz w:val="20"/>
                <w:szCs w:val="20"/>
              </w:rPr>
              <w:t xml:space="preserve">: untreated fungus. </w:t>
            </w:r>
            <w:r w:rsidRPr="0023574F">
              <w:rPr>
                <w:b/>
                <w:bCs/>
                <w:color w:val="000000"/>
                <w:sz w:val="20"/>
                <w:szCs w:val="20"/>
              </w:rPr>
              <w:t>E</w:t>
            </w:r>
            <w:r w:rsidRPr="0023574F">
              <w:rPr>
                <w:b/>
                <w:bCs/>
                <w:color w:val="000000"/>
                <w:sz w:val="20"/>
                <w:szCs w:val="20"/>
                <w:vertAlign w:val="subscript"/>
              </w:rPr>
              <w:t>10</w:t>
            </w:r>
            <w:r w:rsidRPr="0023574F">
              <w:rPr>
                <w:color w:val="000000"/>
                <w:sz w:val="20"/>
                <w:szCs w:val="20"/>
              </w:rPr>
              <w:t xml:space="preserve">, </w:t>
            </w:r>
            <w:r w:rsidRPr="0023574F">
              <w:rPr>
                <w:b/>
                <w:bCs/>
                <w:color w:val="000000"/>
                <w:sz w:val="20"/>
                <w:szCs w:val="20"/>
              </w:rPr>
              <w:t>M</w:t>
            </w:r>
            <w:r w:rsidRPr="0023574F">
              <w:rPr>
                <w:b/>
                <w:bCs/>
                <w:color w:val="000000"/>
                <w:sz w:val="20"/>
                <w:szCs w:val="20"/>
                <w:vertAlign w:val="subscript"/>
              </w:rPr>
              <w:t>10</w:t>
            </w:r>
            <w:r w:rsidRPr="0023574F">
              <w:rPr>
                <w:color w:val="000000"/>
                <w:sz w:val="20"/>
                <w:szCs w:val="20"/>
              </w:rPr>
              <w:t xml:space="preserve"> and </w:t>
            </w:r>
            <w:r w:rsidRPr="0023574F">
              <w:rPr>
                <w:b/>
                <w:bCs/>
                <w:color w:val="000000"/>
                <w:sz w:val="20"/>
                <w:szCs w:val="20"/>
              </w:rPr>
              <w:t>T</w:t>
            </w:r>
            <w:r w:rsidRPr="0023574F">
              <w:rPr>
                <w:b/>
                <w:bCs/>
                <w:color w:val="000000"/>
                <w:sz w:val="20"/>
                <w:szCs w:val="20"/>
                <w:vertAlign w:val="subscript"/>
              </w:rPr>
              <w:t>10</w:t>
            </w:r>
            <w:r w:rsidRPr="0023574F">
              <w:rPr>
                <w:color w:val="000000"/>
                <w:sz w:val="20"/>
                <w:szCs w:val="20"/>
              </w:rPr>
              <w:t xml:space="preserve">: treated fungus with </w:t>
            </w:r>
            <w:proofErr w:type="spellStart"/>
            <w:r w:rsidRPr="0023574F">
              <w:rPr>
                <w:color w:val="000000"/>
                <w:sz w:val="20"/>
                <w:szCs w:val="20"/>
              </w:rPr>
              <w:t>Eugenol</w:t>
            </w:r>
            <w:proofErr w:type="spellEnd"/>
            <w:r w:rsidRPr="0023574F">
              <w:rPr>
                <w:color w:val="000000"/>
                <w:sz w:val="20"/>
                <w:szCs w:val="20"/>
              </w:rPr>
              <w:t xml:space="preserve"> (E</w:t>
            </w:r>
            <w:r w:rsidRPr="0023574F">
              <w:rPr>
                <w:color w:val="000000"/>
                <w:sz w:val="20"/>
                <w:szCs w:val="20"/>
                <w:vertAlign w:val="subscript"/>
              </w:rPr>
              <w:t>10</w:t>
            </w:r>
            <w:r w:rsidRPr="0023574F">
              <w:rPr>
                <w:color w:val="000000"/>
                <w:sz w:val="20"/>
                <w:szCs w:val="20"/>
              </w:rPr>
              <w:t xml:space="preserve">), Methyl </w:t>
            </w:r>
            <w:proofErr w:type="spellStart"/>
            <w:r w:rsidRPr="0023574F">
              <w:rPr>
                <w:color w:val="000000"/>
                <w:sz w:val="20"/>
                <w:szCs w:val="20"/>
              </w:rPr>
              <w:t>cinnamate</w:t>
            </w:r>
            <w:proofErr w:type="spellEnd"/>
            <w:r w:rsidRPr="0023574F">
              <w:rPr>
                <w:color w:val="000000"/>
                <w:sz w:val="20"/>
                <w:szCs w:val="20"/>
              </w:rPr>
              <w:t xml:space="preserve"> (M</w:t>
            </w:r>
            <w:r w:rsidRPr="0023574F">
              <w:rPr>
                <w:color w:val="000000"/>
                <w:sz w:val="20"/>
                <w:szCs w:val="20"/>
                <w:vertAlign w:val="subscript"/>
              </w:rPr>
              <w:t>10</w:t>
            </w:r>
            <w:r w:rsidRPr="0023574F">
              <w:rPr>
                <w:color w:val="000000"/>
                <w:sz w:val="20"/>
                <w:szCs w:val="20"/>
              </w:rPr>
              <w:t xml:space="preserve">) and </w:t>
            </w:r>
            <w:proofErr w:type="spellStart"/>
            <w:r w:rsidRPr="0023574F">
              <w:rPr>
                <w:color w:val="000000"/>
                <w:sz w:val="20"/>
                <w:szCs w:val="20"/>
              </w:rPr>
              <w:t>Thymol</w:t>
            </w:r>
            <w:proofErr w:type="spellEnd"/>
            <w:r w:rsidRPr="0023574F">
              <w:rPr>
                <w:color w:val="000000"/>
                <w:sz w:val="20"/>
                <w:szCs w:val="20"/>
              </w:rPr>
              <w:t xml:space="preserve"> (T</w:t>
            </w:r>
            <w:r w:rsidRPr="0023574F">
              <w:rPr>
                <w:color w:val="000000"/>
                <w:sz w:val="20"/>
                <w:szCs w:val="20"/>
                <w:vertAlign w:val="subscript"/>
              </w:rPr>
              <w:t>10</w:t>
            </w:r>
            <w:r w:rsidRPr="0023574F">
              <w:rPr>
                <w:color w:val="000000"/>
                <w:sz w:val="20"/>
                <w:szCs w:val="20"/>
              </w:rPr>
              <w:t>) separately at LC</w:t>
            </w:r>
            <w:r w:rsidRPr="0023574F">
              <w:rPr>
                <w:color w:val="000000"/>
                <w:sz w:val="20"/>
                <w:szCs w:val="20"/>
                <w:vertAlign w:val="subscript"/>
              </w:rPr>
              <w:t>10</w:t>
            </w:r>
            <w:r w:rsidRPr="0023574F">
              <w:rPr>
                <w:color w:val="000000"/>
                <w:sz w:val="20"/>
                <w:szCs w:val="20"/>
              </w:rPr>
              <w:t>.</w:t>
            </w:r>
          </w:p>
          <w:p w:rsidR="00274DF1" w:rsidRPr="0023574F" w:rsidRDefault="00274DF1" w:rsidP="0023574F">
            <w:pPr>
              <w:autoSpaceDE w:val="0"/>
              <w:autoSpaceDN w:val="0"/>
              <w:adjustRightInd w:val="0"/>
              <w:snapToGrid w:val="0"/>
              <w:jc w:val="center"/>
              <w:rPr>
                <w:color w:val="000000"/>
                <w:sz w:val="20"/>
                <w:szCs w:val="20"/>
              </w:rPr>
            </w:pPr>
          </w:p>
        </w:tc>
      </w:tr>
    </w:tbl>
    <w:p w:rsidR="00274DF1" w:rsidRDefault="00274DF1" w:rsidP="0023574F">
      <w:pPr>
        <w:snapToGrid w:val="0"/>
        <w:ind w:firstLine="425"/>
        <w:jc w:val="both"/>
        <w:rPr>
          <w:sz w:val="20"/>
          <w:szCs w:val="20"/>
        </w:rPr>
      </w:pPr>
    </w:p>
    <w:p w:rsidR="0019042B" w:rsidRPr="0023574F" w:rsidRDefault="0019042B" w:rsidP="0023574F">
      <w:pPr>
        <w:snapToGrid w:val="0"/>
        <w:ind w:firstLine="425"/>
        <w:jc w:val="both"/>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274DF1" w:rsidRPr="0023574F" w:rsidTr="0023574F">
        <w:trPr>
          <w:jc w:val="center"/>
        </w:trPr>
        <w:tc>
          <w:tcPr>
            <w:tcW w:w="4536" w:type="dxa"/>
          </w:tcPr>
          <w:p w:rsidR="00274DF1" w:rsidRPr="0023574F" w:rsidRDefault="00274DF1" w:rsidP="0023574F">
            <w:pPr>
              <w:snapToGrid w:val="0"/>
              <w:jc w:val="center"/>
              <w:rPr>
                <w:noProof/>
                <w:color w:val="000000"/>
                <w:sz w:val="20"/>
                <w:szCs w:val="20"/>
                <w:lang w:val="en-GB" w:eastAsia="en-GB"/>
              </w:rPr>
            </w:pPr>
            <w:r w:rsidRPr="0023574F">
              <w:rPr>
                <w:noProof/>
                <w:color w:val="000000"/>
                <w:sz w:val="20"/>
                <w:szCs w:val="20"/>
                <w:lang w:eastAsia="zh-CN"/>
              </w:rPr>
              <w:lastRenderedPageBreak/>
              <w:drawing>
                <wp:inline distT="0" distB="0" distL="0" distR="0">
                  <wp:extent cx="2541270" cy="2854694"/>
                  <wp:effectExtent l="19050" t="0" r="0" b="0"/>
                  <wp:docPr id="2" name="Picture 4" descr="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17.jpg"/>
                          <pic:cNvPicPr>
                            <a:picLocks noChangeAspect="1" noChangeArrowheads="1"/>
                          </pic:cNvPicPr>
                        </pic:nvPicPr>
                        <pic:blipFill>
                          <a:blip r:embed="rId46" cstate="print"/>
                          <a:srcRect/>
                          <a:stretch>
                            <a:fillRect/>
                          </a:stretch>
                        </pic:blipFill>
                        <pic:spPr bwMode="auto">
                          <a:xfrm>
                            <a:off x="0" y="0"/>
                            <a:ext cx="2539651" cy="2852875"/>
                          </a:xfrm>
                          <a:prstGeom prst="rect">
                            <a:avLst/>
                          </a:prstGeom>
                          <a:noFill/>
                          <a:ln w="9525">
                            <a:noFill/>
                            <a:miter lim="800000"/>
                            <a:headEnd/>
                            <a:tailEnd/>
                          </a:ln>
                        </pic:spPr>
                      </pic:pic>
                    </a:graphicData>
                  </a:graphic>
                </wp:inline>
              </w:drawing>
            </w:r>
          </w:p>
          <w:p w:rsidR="00274DF1" w:rsidRPr="0023574F" w:rsidRDefault="00274DF1" w:rsidP="0023574F">
            <w:pPr>
              <w:snapToGrid w:val="0"/>
              <w:jc w:val="both"/>
              <w:rPr>
                <w:color w:val="000000"/>
                <w:sz w:val="20"/>
                <w:szCs w:val="20"/>
              </w:rPr>
            </w:pPr>
            <w:r w:rsidRPr="0023574F">
              <w:rPr>
                <w:b/>
                <w:bCs/>
                <w:color w:val="000000"/>
                <w:sz w:val="20"/>
                <w:szCs w:val="20"/>
              </w:rPr>
              <w:t xml:space="preserve">Fig. (5): </w:t>
            </w:r>
            <w:r w:rsidRPr="0023574F">
              <w:rPr>
                <w:color w:val="000000"/>
                <w:sz w:val="20"/>
                <w:szCs w:val="20"/>
              </w:rPr>
              <w:t xml:space="preserve">RAPD fragments amplified from genomic DNA of untreated and treated </w:t>
            </w:r>
            <w:r w:rsidRPr="0023574F">
              <w:rPr>
                <w:i/>
                <w:iCs/>
                <w:color w:val="000000"/>
                <w:sz w:val="20"/>
                <w:szCs w:val="20"/>
              </w:rPr>
              <w:t xml:space="preserve">F. </w:t>
            </w:r>
            <w:proofErr w:type="spellStart"/>
            <w:r w:rsidRPr="0023574F">
              <w:rPr>
                <w:i/>
                <w:iCs/>
                <w:color w:val="000000"/>
                <w:sz w:val="20"/>
                <w:szCs w:val="20"/>
              </w:rPr>
              <w:t>oxysporum</w:t>
            </w:r>
            <w:proofErr w:type="spellEnd"/>
            <w:r w:rsidR="00F06756">
              <w:rPr>
                <w:i/>
                <w:iCs/>
                <w:color w:val="000000"/>
                <w:sz w:val="20"/>
                <w:szCs w:val="20"/>
              </w:rPr>
              <w:t xml:space="preserve"> </w:t>
            </w:r>
            <w:r w:rsidRPr="0023574F">
              <w:rPr>
                <w:color w:val="000000"/>
                <w:sz w:val="20"/>
                <w:szCs w:val="20"/>
              </w:rPr>
              <w:t xml:space="preserve">generated by OPA-17. </w:t>
            </w:r>
            <w:r w:rsidRPr="0023574F">
              <w:rPr>
                <w:b/>
                <w:bCs/>
                <w:color w:val="000000"/>
                <w:sz w:val="20"/>
                <w:szCs w:val="20"/>
              </w:rPr>
              <w:t>Marker</w:t>
            </w:r>
            <w:r w:rsidRPr="0023574F">
              <w:rPr>
                <w:color w:val="000000"/>
                <w:sz w:val="20"/>
                <w:szCs w:val="20"/>
              </w:rPr>
              <w:t>: standard DNA.</w:t>
            </w:r>
            <w:r w:rsidR="004048ED">
              <w:rPr>
                <w:color w:val="000000"/>
                <w:sz w:val="20"/>
                <w:szCs w:val="20"/>
              </w:rPr>
              <w:t xml:space="preserve"> </w:t>
            </w:r>
            <w:r w:rsidRPr="0023574F">
              <w:rPr>
                <w:b/>
                <w:bCs/>
                <w:color w:val="000000"/>
                <w:sz w:val="20"/>
                <w:szCs w:val="20"/>
              </w:rPr>
              <w:t>Cont.</w:t>
            </w:r>
            <w:r w:rsidRPr="0023574F">
              <w:rPr>
                <w:color w:val="000000"/>
                <w:sz w:val="20"/>
                <w:szCs w:val="20"/>
              </w:rPr>
              <w:t xml:space="preserve">: untreated fungus. </w:t>
            </w:r>
            <w:r w:rsidRPr="0023574F">
              <w:rPr>
                <w:b/>
                <w:bCs/>
                <w:color w:val="000000"/>
                <w:sz w:val="20"/>
                <w:szCs w:val="20"/>
              </w:rPr>
              <w:t>E</w:t>
            </w:r>
            <w:r w:rsidRPr="0023574F">
              <w:rPr>
                <w:b/>
                <w:bCs/>
                <w:color w:val="000000"/>
                <w:sz w:val="20"/>
                <w:szCs w:val="20"/>
                <w:vertAlign w:val="subscript"/>
              </w:rPr>
              <w:t>10</w:t>
            </w:r>
            <w:r w:rsidRPr="0023574F">
              <w:rPr>
                <w:color w:val="000000"/>
                <w:sz w:val="20"/>
                <w:szCs w:val="20"/>
              </w:rPr>
              <w:t xml:space="preserve">, </w:t>
            </w:r>
            <w:r w:rsidRPr="0023574F">
              <w:rPr>
                <w:b/>
                <w:bCs/>
                <w:color w:val="000000"/>
                <w:sz w:val="20"/>
                <w:szCs w:val="20"/>
              </w:rPr>
              <w:t>M</w:t>
            </w:r>
            <w:r w:rsidRPr="0023574F">
              <w:rPr>
                <w:b/>
                <w:bCs/>
                <w:color w:val="000000"/>
                <w:sz w:val="20"/>
                <w:szCs w:val="20"/>
                <w:vertAlign w:val="subscript"/>
              </w:rPr>
              <w:t>10</w:t>
            </w:r>
            <w:r w:rsidRPr="0023574F">
              <w:rPr>
                <w:color w:val="000000"/>
                <w:sz w:val="20"/>
                <w:szCs w:val="20"/>
              </w:rPr>
              <w:t xml:space="preserve"> and </w:t>
            </w:r>
            <w:r w:rsidRPr="0023574F">
              <w:rPr>
                <w:b/>
                <w:bCs/>
                <w:color w:val="000000"/>
                <w:sz w:val="20"/>
                <w:szCs w:val="20"/>
              </w:rPr>
              <w:t>T</w:t>
            </w:r>
            <w:r w:rsidRPr="0023574F">
              <w:rPr>
                <w:b/>
                <w:bCs/>
                <w:color w:val="000000"/>
                <w:sz w:val="20"/>
                <w:szCs w:val="20"/>
                <w:vertAlign w:val="subscript"/>
              </w:rPr>
              <w:t>10</w:t>
            </w:r>
            <w:r w:rsidRPr="0023574F">
              <w:rPr>
                <w:color w:val="000000"/>
                <w:sz w:val="20"/>
                <w:szCs w:val="20"/>
              </w:rPr>
              <w:t xml:space="preserve">: treated fungus with </w:t>
            </w:r>
            <w:proofErr w:type="spellStart"/>
            <w:r w:rsidRPr="0023574F">
              <w:rPr>
                <w:color w:val="000000"/>
                <w:sz w:val="20"/>
                <w:szCs w:val="20"/>
              </w:rPr>
              <w:t>Eugenol</w:t>
            </w:r>
            <w:proofErr w:type="spellEnd"/>
            <w:r w:rsidRPr="0023574F">
              <w:rPr>
                <w:color w:val="000000"/>
                <w:sz w:val="20"/>
                <w:szCs w:val="20"/>
              </w:rPr>
              <w:t xml:space="preserve"> (E</w:t>
            </w:r>
            <w:r w:rsidRPr="0023574F">
              <w:rPr>
                <w:color w:val="000000"/>
                <w:sz w:val="20"/>
                <w:szCs w:val="20"/>
                <w:vertAlign w:val="subscript"/>
              </w:rPr>
              <w:t>10</w:t>
            </w:r>
            <w:r w:rsidRPr="0023574F">
              <w:rPr>
                <w:color w:val="000000"/>
                <w:sz w:val="20"/>
                <w:szCs w:val="20"/>
              </w:rPr>
              <w:t xml:space="preserve">), Methyl </w:t>
            </w:r>
            <w:proofErr w:type="spellStart"/>
            <w:r w:rsidRPr="0023574F">
              <w:rPr>
                <w:color w:val="000000"/>
                <w:sz w:val="20"/>
                <w:szCs w:val="20"/>
              </w:rPr>
              <w:t>cinnamate</w:t>
            </w:r>
            <w:proofErr w:type="spellEnd"/>
            <w:r w:rsidRPr="0023574F">
              <w:rPr>
                <w:color w:val="000000"/>
                <w:sz w:val="20"/>
                <w:szCs w:val="20"/>
              </w:rPr>
              <w:t xml:space="preserve"> (M</w:t>
            </w:r>
            <w:r w:rsidRPr="0023574F">
              <w:rPr>
                <w:color w:val="000000"/>
                <w:sz w:val="20"/>
                <w:szCs w:val="20"/>
                <w:vertAlign w:val="subscript"/>
              </w:rPr>
              <w:t>10</w:t>
            </w:r>
            <w:r w:rsidRPr="0023574F">
              <w:rPr>
                <w:color w:val="000000"/>
                <w:sz w:val="20"/>
                <w:szCs w:val="20"/>
              </w:rPr>
              <w:t xml:space="preserve">) and </w:t>
            </w:r>
            <w:proofErr w:type="spellStart"/>
            <w:r w:rsidRPr="0023574F">
              <w:rPr>
                <w:color w:val="000000"/>
                <w:sz w:val="20"/>
                <w:szCs w:val="20"/>
              </w:rPr>
              <w:t>Thymol</w:t>
            </w:r>
            <w:proofErr w:type="spellEnd"/>
            <w:r w:rsidRPr="0023574F">
              <w:rPr>
                <w:color w:val="000000"/>
                <w:sz w:val="20"/>
                <w:szCs w:val="20"/>
              </w:rPr>
              <w:t xml:space="preserve"> (T</w:t>
            </w:r>
            <w:r w:rsidRPr="0023574F">
              <w:rPr>
                <w:color w:val="000000"/>
                <w:sz w:val="20"/>
                <w:szCs w:val="20"/>
                <w:vertAlign w:val="subscript"/>
              </w:rPr>
              <w:t>10</w:t>
            </w:r>
            <w:r w:rsidRPr="0023574F">
              <w:rPr>
                <w:color w:val="000000"/>
                <w:sz w:val="20"/>
                <w:szCs w:val="20"/>
              </w:rPr>
              <w:t>) separately at LC</w:t>
            </w:r>
            <w:r w:rsidRPr="0023574F">
              <w:rPr>
                <w:color w:val="000000"/>
                <w:sz w:val="20"/>
                <w:szCs w:val="20"/>
                <w:vertAlign w:val="subscript"/>
              </w:rPr>
              <w:t>10</w:t>
            </w:r>
            <w:r w:rsidRPr="0023574F">
              <w:rPr>
                <w:color w:val="000000"/>
                <w:sz w:val="20"/>
                <w:szCs w:val="20"/>
              </w:rPr>
              <w:t>.</w:t>
            </w:r>
          </w:p>
        </w:tc>
      </w:tr>
    </w:tbl>
    <w:p w:rsidR="00B637FA" w:rsidRPr="0023574F" w:rsidRDefault="00B637FA" w:rsidP="0023574F">
      <w:pPr>
        <w:snapToGrid w:val="0"/>
        <w:ind w:firstLine="425"/>
        <w:jc w:val="both"/>
        <w:rPr>
          <w:b/>
          <w:bCs/>
          <w:sz w:val="20"/>
          <w:szCs w:val="20"/>
        </w:rPr>
      </w:pPr>
    </w:p>
    <w:p w:rsidR="00B637FA" w:rsidRPr="0023574F" w:rsidRDefault="0023574F" w:rsidP="0023574F">
      <w:pPr>
        <w:snapToGrid w:val="0"/>
        <w:jc w:val="center"/>
        <w:rPr>
          <w:b/>
          <w:bCs/>
          <w:sz w:val="20"/>
          <w:szCs w:val="20"/>
        </w:rPr>
      </w:pPr>
      <w:r w:rsidRPr="0023574F">
        <w:rPr>
          <w:b/>
          <w:bCs/>
          <w:noProof/>
          <w:sz w:val="20"/>
          <w:szCs w:val="20"/>
          <w:lang w:eastAsia="zh-CN"/>
        </w:rPr>
        <w:drawing>
          <wp:inline distT="0" distB="0" distL="0" distR="0">
            <wp:extent cx="2414049" cy="3018425"/>
            <wp:effectExtent l="19050" t="0" r="5301" b="0"/>
            <wp:docPr id="1" name="Picture 5" descr="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11.jpg"/>
                    <pic:cNvPicPr>
                      <a:picLocks noChangeAspect="1" noChangeArrowheads="1"/>
                    </pic:cNvPicPr>
                  </pic:nvPicPr>
                  <pic:blipFill>
                    <a:blip r:embed="rId47" cstate="print"/>
                    <a:srcRect/>
                    <a:stretch>
                      <a:fillRect/>
                    </a:stretch>
                  </pic:blipFill>
                  <pic:spPr bwMode="auto">
                    <a:xfrm>
                      <a:off x="0" y="0"/>
                      <a:ext cx="2416624" cy="3021645"/>
                    </a:xfrm>
                    <a:prstGeom prst="rect">
                      <a:avLst/>
                    </a:prstGeom>
                    <a:noFill/>
                    <a:ln w="9525">
                      <a:noFill/>
                      <a:miter lim="800000"/>
                      <a:headEnd/>
                      <a:tailEnd/>
                    </a:ln>
                  </pic:spPr>
                </pic:pic>
              </a:graphicData>
            </a:graphic>
          </wp:inline>
        </w:drawing>
      </w:r>
    </w:p>
    <w:p w:rsidR="00B637FA" w:rsidRDefault="00B637FA" w:rsidP="0023574F">
      <w:pPr>
        <w:snapToGrid w:val="0"/>
        <w:jc w:val="both"/>
        <w:rPr>
          <w:rFonts w:eastAsiaTheme="minorEastAsia"/>
          <w:sz w:val="20"/>
          <w:szCs w:val="20"/>
          <w:lang w:eastAsia="zh-CN"/>
        </w:rPr>
      </w:pPr>
      <w:r w:rsidRPr="0023574F">
        <w:rPr>
          <w:b/>
          <w:bCs/>
          <w:sz w:val="20"/>
          <w:szCs w:val="20"/>
        </w:rPr>
        <w:t>Fig. (</w:t>
      </w:r>
      <w:r w:rsidR="00C92ADE" w:rsidRPr="0023574F">
        <w:rPr>
          <w:b/>
          <w:bCs/>
          <w:sz w:val="20"/>
          <w:szCs w:val="20"/>
        </w:rPr>
        <w:t>6</w:t>
      </w:r>
      <w:r w:rsidRPr="0023574F">
        <w:rPr>
          <w:b/>
          <w:bCs/>
          <w:sz w:val="20"/>
          <w:szCs w:val="20"/>
        </w:rPr>
        <w:t xml:space="preserve">): </w:t>
      </w:r>
      <w:r w:rsidRPr="0023574F">
        <w:rPr>
          <w:sz w:val="20"/>
          <w:szCs w:val="20"/>
        </w:rPr>
        <w:t xml:space="preserve">RAPD fragments amplified from genomic DNA of untreated and treated </w:t>
      </w:r>
      <w:r w:rsidRPr="0023574F">
        <w:rPr>
          <w:i/>
          <w:iCs/>
          <w:sz w:val="20"/>
          <w:szCs w:val="20"/>
        </w:rPr>
        <w:t xml:space="preserve">F. </w:t>
      </w:r>
      <w:proofErr w:type="spellStart"/>
      <w:r w:rsidRPr="0023574F">
        <w:rPr>
          <w:i/>
          <w:iCs/>
          <w:sz w:val="20"/>
          <w:szCs w:val="20"/>
        </w:rPr>
        <w:t>oxysporum</w:t>
      </w:r>
      <w:proofErr w:type="spellEnd"/>
      <w:r w:rsidR="00F06756">
        <w:rPr>
          <w:i/>
          <w:iCs/>
          <w:sz w:val="20"/>
          <w:szCs w:val="20"/>
        </w:rPr>
        <w:t xml:space="preserve"> </w:t>
      </w:r>
      <w:r w:rsidRPr="0023574F">
        <w:rPr>
          <w:sz w:val="20"/>
          <w:szCs w:val="20"/>
        </w:rPr>
        <w:t xml:space="preserve">generated by OPA-11. </w:t>
      </w:r>
      <w:r w:rsidRPr="0023574F">
        <w:rPr>
          <w:b/>
          <w:bCs/>
          <w:sz w:val="20"/>
          <w:szCs w:val="20"/>
        </w:rPr>
        <w:t>Marker</w:t>
      </w:r>
      <w:r w:rsidRPr="0023574F">
        <w:rPr>
          <w:sz w:val="20"/>
          <w:szCs w:val="20"/>
        </w:rPr>
        <w:t>: standard DNA.</w:t>
      </w:r>
      <w:r w:rsidR="004048ED">
        <w:rPr>
          <w:sz w:val="20"/>
          <w:szCs w:val="20"/>
        </w:rPr>
        <w:t xml:space="preserve"> </w:t>
      </w:r>
      <w:r w:rsidRPr="0023574F">
        <w:rPr>
          <w:b/>
          <w:bCs/>
          <w:sz w:val="20"/>
          <w:szCs w:val="20"/>
        </w:rPr>
        <w:t>Cont.</w:t>
      </w:r>
      <w:r w:rsidRPr="0023574F">
        <w:rPr>
          <w:sz w:val="20"/>
          <w:szCs w:val="20"/>
        </w:rPr>
        <w:t xml:space="preserve">: untreated fungus. </w:t>
      </w:r>
      <w:r w:rsidRPr="0023574F">
        <w:rPr>
          <w:b/>
          <w:bCs/>
          <w:sz w:val="20"/>
          <w:szCs w:val="20"/>
        </w:rPr>
        <w:t>E</w:t>
      </w:r>
      <w:r w:rsidRPr="0023574F">
        <w:rPr>
          <w:b/>
          <w:bCs/>
          <w:sz w:val="20"/>
          <w:szCs w:val="20"/>
          <w:vertAlign w:val="subscript"/>
        </w:rPr>
        <w:t>10</w:t>
      </w:r>
      <w:r w:rsidRPr="0023574F">
        <w:rPr>
          <w:sz w:val="20"/>
          <w:szCs w:val="20"/>
        </w:rPr>
        <w:t xml:space="preserve">, </w:t>
      </w:r>
      <w:r w:rsidRPr="0023574F">
        <w:rPr>
          <w:b/>
          <w:bCs/>
          <w:sz w:val="20"/>
          <w:szCs w:val="20"/>
        </w:rPr>
        <w:t>M</w:t>
      </w:r>
      <w:r w:rsidRPr="0023574F">
        <w:rPr>
          <w:b/>
          <w:bCs/>
          <w:sz w:val="20"/>
          <w:szCs w:val="20"/>
          <w:vertAlign w:val="subscript"/>
        </w:rPr>
        <w:t>10</w:t>
      </w:r>
      <w:r w:rsidRPr="0023574F">
        <w:rPr>
          <w:sz w:val="20"/>
          <w:szCs w:val="20"/>
        </w:rPr>
        <w:t xml:space="preserve"> and </w:t>
      </w:r>
      <w:r w:rsidRPr="0023574F">
        <w:rPr>
          <w:b/>
          <w:bCs/>
          <w:sz w:val="20"/>
          <w:szCs w:val="20"/>
        </w:rPr>
        <w:t>T</w:t>
      </w:r>
      <w:r w:rsidRPr="0023574F">
        <w:rPr>
          <w:b/>
          <w:bCs/>
          <w:sz w:val="20"/>
          <w:szCs w:val="20"/>
          <w:vertAlign w:val="subscript"/>
        </w:rPr>
        <w:t>10</w:t>
      </w:r>
      <w:r w:rsidRPr="0023574F">
        <w:rPr>
          <w:sz w:val="20"/>
          <w:szCs w:val="20"/>
        </w:rPr>
        <w:t xml:space="preserve">: treated fungus with </w:t>
      </w:r>
      <w:proofErr w:type="spellStart"/>
      <w:r w:rsidRPr="0023574F">
        <w:rPr>
          <w:sz w:val="20"/>
          <w:szCs w:val="20"/>
        </w:rPr>
        <w:t>Eugenol</w:t>
      </w:r>
      <w:proofErr w:type="spellEnd"/>
      <w:r w:rsidRPr="0023574F">
        <w:rPr>
          <w:sz w:val="20"/>
          <w:szCs w:val="20"/>
        </w:rPr>
        <w:t xml:space="preserve"> (E</w:t>
      </w:r>
      <w:r w:rsidRPr="0023574F">
        <w:rPr>
          <w:sz w:val="20"/>
          <w:szCs w:val="20"/>
          <w:vertAlign w:val="subscript"/>
        </w:rPr>
        <w:t>10</w:t>
      </w:r>
      <w:r w:rsidRPr="0023574F">
        <w:rPr>
          <w:sz w:val="20"/>
          <w:szCs w:val="20"/>
        </w:rPr>
        <w:t xml:space="preserve">), Methyl </w:t>
      </w:r>
      <w:proofErr w:type="spellStart"/>
      <w:r w:rsidRPr="0023574F">
        <w:rPr>
          <w:sz w:val="20"/>
          <w:szCs w:val="20"/>
        </w:rPr>
        <w:t>cinnamate</w:t>
      </w:r>
      <w:proofErr w:type="spellEnd"/>
      <w:r w:rsidRPr="0023574F">
        <w:rPr>
          <w:sz w:val="20"/>
          <w:szCs w:val="20"/>
        </w:rPr>
        <w:t xml:space="preserve"> (M</w:t>
      </w:r>
      <w:r w:rsidRPr="0023574F">
        <w:rPr>
          <w:sz w:val="20"/>
          <w:szCs w:val="20"/>
          <w:vertAlign w:val="subscript"/>
        </w:rPr>
        <w:t>10</w:t>
      </w:r>
      <w:r w:rsidRPr="0023574F">
        <w:rPr>
          <w:sz w:val="20"/>
          <w:szCs w:val="20"/>
        </w:rPr>
        <w:t xml:space="preserve">) and </w:t>
      </w:r>
      <w:proofErr w:type="spellStart"/>
      <w:r w:rsidRPr="0023574F">
        <w:rPr>
          <w:sz w:val="20"/>
          <w:szCs w:val="20"/>
        </w:rPr>
        <w:t>Thymol</w:t>
      </w:r>
      <w:proofErr w:type="spellEnd"/>
      <w:r w:rsidRPr="0023574F">
        <w:rPr>
          <w:sz w:val="20"/>
          <w:szCs w:val="20"/>
        </w:rPr>
        <w:t xml:space="preserve"> (T</w:t>
      </w:r>
      <w:r w:rsidRPr="0023574F">
        <w:rPr>
          <w:sz w:val="20"/>
          <w:szCs w:val="20"/>
          <w:vertAlign w:val="subscript"/>
        </w:rPr>
        <w:t>10</w:t>
      </w:r>
      <w:r w:rsidRPr="0023574F">
        <w:rPr>
          <w:sz w:val="20"/>
          <w:szCs w:val="20"/>
        </w:rPr>
        <w:t>) separately at LC</w:t>
      </w:r>
      <w:r w:rsidRPr="0023574F">
        <w:rPr>
          <w:sz w:val="20"/>
          <w:szCs w:val="20"/>
          <w:vertAlign w:val="subscript"/>
        </w:rPr>
        <w:t>10</w:t>
      </w:r>
      <w:r w:rsidRPr="0023574F">
        <w:rPr>
          <w:sz w:val="20"/>
          <w:szCs w:val="20"/>
        </w:rPr>
        <w:t>.</w:t>
      </w:r>
    </w:p>
    <w:p w:rsidR="0023574F" w:rsidRPr="0023574F" w:rsidRDefault="0023574F" w:rsidP="0023574F">
      <w:pPr>
        <w:snapToGrid w:val="0"/>
        <w:jc w:val="both"/>
        <w:rPr>
          <w:rFonts w:eastAsiaTheme="minorEastAsia"/>
          <w:sz w:val="20"/>
          <w:szCs w:val="20"/>
          <w:lang w:eastAsia="zh-CN"/>
        </w:rPr>
      </w:pPr>
    </w:p>
    <w:p w:rsidR="00B637FA" w:rsidRPr="0023574F" w:rsidRDefault="005202FD" w:rsidP="0023574F">
      <w:pPr>
        <w:snapToGrid w:val="0"/>
        <w:jc w:val="center"/>
        <w:rPr>
          <w:sz w:val="20"/>
          <w:szCs w:val="20"/>
        </w:rPr>
      </w:pPr>
      <w:r w:rsidRPr="0023574F">
        <w:rPr>
          <w:noProof/>
          <w:sz w:val="20"/>
          <w:szCs w:val="20"/>
          <w:lang w:eastAsia="zh-CN"/>
        </w:rPr>
        <w:lastRenderedPageBreak/>
        <w:drawing>
          <wp:inline distT="0" distB="0" distL="0" distR="0">
            <wp:extent cx="2517417" cy="2916789"/>
            <wp:effectExtent l="19050" t="0" r="0" b="0"/>
            <wp:docPr id="28" name="Picture 3" descr="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7.jpg"/>
                    <pic:cNvPicPr>
                      <a:picLocks noChangeAspect="1" noChangeArrowheads="1"/>
                    </pic:cNvPicPr>
                  </pic:nvPicPr>
                  <pic:blipFill>
                    <a:blip r:embed="rId48" cstate="print"/>
                    <a:srcRect/>
                    <a:stretch>
                      <a:fillRect/>
                    </a:stretch>
                  </pic:blipFill>
                  <pic:spPr bwMode="auto">
                    <a:xfrm>
                      <a:off x="0" y="0"/>
                      <a:ext cx="2517933" cy="2917386"/>
                    </a:xfrm>
                    <a:prstGeom prst="rect">
                      <a:avLst/>
                    </a:prstGeom>
                    <a:noFill/>
                    <a:ln w="9525">
                      <a:noFill/>
                      <a:miter lim="800000"/>
                      <a:headEnd/>
                      <a:tailEnd/>
                    </a:ln>
                  </pic:spPr>
                </pic:pic>
              </a:graphicData>
            </a:graphic>
          </wp:inline>
        </w:drawing>
      </w:r>
    </w:p>
    <w:p w:rsidR="00B637FA" w:rsidRPr="0023574F" w:rsidRDefault="00B637FA" w:rsidP="0023574F">
      <w:pPr>
        <w:snapToGrid w:val="0"/>
        <w:jc w:val="both"/>
        <w:rPr>
          <w:sz w:val="20"/>
          <w:szCs w:val="20"/>
        </w:rPr>
      </w:pPr>
      <w:r w:rsidRPr="0023574F">
        <w:rPr>
          <w:b/>
          <w:bCs/>
          <w:sz w:val="20"/>
          <w:szCs w:val="20"/>
        </w:rPr>
        <w:t>Fig. (</w:t>
      </w:r>
      <w:r w:rsidR="00C92ADE" w:rsidRPr="0023574F">
        <w:rPr>
          <w:b/>
          <w:bCs/>
          <w:sz w:val="20"/>
          <w:szCs w:val="20"/>
        </w:rPr>
        <w:t>7</w:t>
      </w:r>
      <w:r w:rsidRPr="0023574F">
        <w:rPr>
          <w:sz w:val="20"/>
          <w:szCs w:val="20"/>
        </w:rPr>
        <w:t xml:space="preserve">): RAPD fragments amplified from genomic DNA of untreated and treated </w:t>
      </w:r>
      <w:r w:rsidRPr="0023574F">
        <w:rPr>
          <w:i/>
          <w:iCs/>
          <w:sz w:val="20"/>
          <w:szCs w:val="20"/>
        </w:rPr>
        <w:t xml:space="preserve">F. </w:t>
      </w:r>
      <w:proofErr w:type="spellStart"/>
      <w:r w:rsidRPr="0023574F">
        <w:rPr>
          <w:i/>
          <w:iCs/>
          <w:sz w:val="20"/>
          <w:szCs w:val="20"/>
        </w:rPr>
        <w:t>oxysporum</w:t>
      </w:r>
      <w:proofErr w:type="spellEnd"/>
      <w:r w:rsidR="00F06756">
        <w:rPr>
          <w:i/>
          <w:iCs/>
          <w:sz w:val="20"/>
          <w:szCs w:val="20"/>
        </w:rPr>
        <w:t xml:space="preserve"> </w:t>
      </w:r>
      <w:r w:rsidRPr="0023574F">
        <w:rPr>
          <w:sz w:val="20"/>
          <w:szCs w:val="20"/>
        </w:rPr>
        <w:t xml:space="preserve">generated by OPC-07. </w:t>
      </w:r>
      <w:r w:rsidRPr="0023574F">
        <w:rPr>
          <w:b/>
          <w:bCs/>
          <w:sz w:val="20"/>
          <w:szCs w:val="20"/>
        </w:rPr>
        <w:t>Marker</w:t>
      </w:r>
      <w:r w:rsidRPr="0023574F">
        <w:rPr>
          <w:sz w:val="20"/>
          <w:szCs w:val="20"/>
        </w:rPr>
        <w:t>: standard DNA.</w:t>
      </w:r>
      <w:r w:rsidR="004048ED">
        <w:rPr>
          <w:sz w:val="20"/>
          <w:szCs w:val="20"/>
        </w:rPr>
        <w:t xml:space="preserve"> </w:t>
      </w:r>
      <w:r w:rsidRPr="0023574F">
        <w:rPr>
          <w:b/>
          <w:bCs/>
          <w:sz w:val="20"/>
          <w:szCs w:val="20"/>
        </w:rPr>
        <w:t>Cont.</w:t>
      </w:r>
      <w:r w:rsidRPr="0023574F">
        <w:rPr>
          <w:sz w:val="20"/>
          <w:szCs w:val="20"/>
        </w:rPr>
        <w:t xml:space="preserve">: untreated fungus. </w:t>
      </w:r>
      <w:r w:rsidRPr="0023574F">
        <w:rPr>
          <w:b/>
          <w:bCs/>
          <w:sz w:val="20"/>
          <w:szCs w:val="20"/>
        </w:rPr>
        <w:t>E</w:t>
      </w:r>
      <w:r w:rsidRPr="0023574F">
        <w:rPr>
          <w:b/>
          <w:bCs/>
          <w:sz w:val="20"/>
          <w:szCs w:val="20"/>
          <w:vertAlign w:val="subscript"/>
        </w:rPr>
        <w:t>10</w:t>
      </w:r>
      <w:r w:rsidRPr="0023574F">
        <w:rPr>
          <w:sz w:val="20"/>
          <w:szCs w:val="20"/>
        </w:rPr>
        <w:t xml:space="preserve">, </w:t>
      </w:r>
      <w:r w:rsidRPr="0023574F">
        <w:rPr>
          <w:b/>
          <w:bCs/>
          <w:sz w:val="20"/>
          <w:szCs w:val="20"/>
        </w:rPr>
        <w:t>M</w:t>
      </w:r>
      <w:r w:rsidRPr="0023574F">
        <w:rPr>
          <w:b/>
          <w:bCs/>
          <w:sz w:val="20"/>
          <w:szCs w:val="20"/>
          <w:vertAlign w:val="subscript"/>
        </w:rPr>
        <w:t>10</w:t>
      </w:r>
      <w:r w:rsidRPr="0023574F">
        <w:rPr>
          <w:sz w:val="20"/>
          <w:szCs w:val="20"/>
        </w:rPr>
        <w:t xml:space="preserve"> and </w:t>
      </w:r>
      <w:r w:rsidRPr="0023574F">
        <w:rPr>
          <w:b/>
          <w:bCs/>
          <w:sz w:val="20"/>
          <w:szCs w:val="20"/>
        </w:rPr>
        <w:t>T</w:t>
      </w:r>
      <w:r w:rsidRPr="0023574F">
        <w:rPr>
          <w:b/>
          <w:bCs/>
          <w:sz w:val="20"/>
          <w:szCs w:val="20"/>
          <w:vertAlign w:val="subscript"/>
        </w:rPr>
        <w:t>10</w:t>
      </w:r>
      <w:r w:rsidRPr="0023574F">
        <w:rPr>
          <w:sz w:val="20"/>
          <w:szCs w:val="20"/>
        </w:rPr>
        <w:t xml:space="preserve">: treated fungus with </w:t>
      </w:r>
      <w:proofErr w:type="spellStart"/>
      <w:r w:rsidRPr="0023574F">
        <w:rPr>
          <w:sz w:val="20"/>
          <w:szCs w:val="20"/>
        </w:rPr>
        <w:t>Eugenol</w:t>
      </w:r>
      <w:proofErr w:type="spellEnd"/>
      <w:r w:rsidRPr="0023574F">
        <w:rPr>
          <w:sz w:val="20"/>
          <w:szCs w:val="20"/>
        </w:rPr>
        <w:t xml:space="preserve"> (E</w:t>
      </w:r>
      <w:r w:rsidRPr="0023574F">
        <w:rPr>
          <w:sz w:val="20"/>
          <w:szCs w:val="20"/>
          <w:vertAlign w:val="subscript"/>
        </w:rPr>
        <w:t>10</w:t>
      </w:r>
      <w:r w:rsidRPr="0023574F">
        <w:rPr>
          <w:sz w:val="20"/>
          <w:szCs w:val="20"/>
        </w:rPr>
        <w:t xml:space="preserve">), Methyl </w:t>
      </w:r>
      <w:proofErr w:type="spellStart"/>
      <w:r w:rsidRPr="0023574F">
        <w:rPr>
          <w:sz w:val="20"/>
          <w:szCs w:val="20"/>
        </w:rPr>
        <w:t>cinnamate</w:t>
      </w:r>
      <w:proofErr w:type="spellEnd"/>
      <w:r w:rsidRPr="0023574F">
        <w:rPr>
          <w:sz w:val="20"/>
          <w:szCs w:val="20"/>
        </w:rPr>
        <w:t xml:space="preserve"> (M</w:t>
      </w:r>
      <w:r w:rsidRPr="0023574F">
        <w:rPr>
          <w:sz w:val="20"/>
          <w:szCs w:val="20"/>
          <w:vertAlign w:val="subscript"/>
        </w:rPr>
        <w:t>10</w:t>
      </w:r>
      <w:r w:rsidRPr="0023574F">
        <w:rPr>
          <w:sz w:val="20"/>
          <w:szCs w:val="20"/>
        </w:rPr>
        <w:t xml:space="preserve">) and </w:t>
      </w:r>
      <w:proofErr w:type="spellStart"/>
      <w:r w:rsidRPr="0023574F">
        <w:rPr>
          <w:sz w:val="20"/>
          <w:szCs w:val="20"/>
        </w:rPr>
        <w:t>Thymol</w:t>
      </w:r>
      <w:proofErr w:type="spellEnd"/>
      <w:r w:rsidRPr="0023574F">
        <w:rPr>
          <w:sz w:val="20"/>
          <w:szCs w:val="20"/>
        </w:rPr>
        <w:t xml:space="preserve"> (T</w:t>
      </w:r>
      <w:r w:rsidRPr="0023574F">
        <w:rPr>
          <w:sz w:val="20"/>
          <w:szCs w:val="20"/>
          <w:vertAlign w:val="subscript"/>
        </w:rPr>
        <w:t>10</w:t>
      </w:r>
      <w:r w:rsidRPr="0023574F">
        <w:rPr>
          <w:sz w:val="20"/>
          <w:szCs w:val="20"/>
        </w:rPr>
        <w:t>) separately at LC</w:t>
      </w:r>
      <w:r w:rsidRPr="0023574F">
        <w:rPr>
          <w:sz w:val="20"/>
          <w:szCs w:val="20"/>
          <w:vertAlign w:val="subscript"/>
        </w:rPr>
        <w:t>10</w:t>
      </w:r>
      <w:r w:rsidRPr="0023574F">
        <w:rPr>
          <w:sz w:val="20"/>
          <w:szCs w:val="20"/>
        </w:rPr>
        <w:t>.</w:t>
      </w:r>
    </w:p>
    <w:p w:rsidR="00FC1060" w:rsidRPr="0023574F" w:rsidRDefault="00FC1060" w:rsidP="0023574F">
      <w:pPr>
        <w:snapToGrid w:val="0"/>
        <w:ind w:firstLine="425"/>
        <w:jc w:val="both"/>
        <w:rPr>
          <w:sz w:val="20"/>
          <w:szCs w:val="20"/>
        </w:rPr>
      </w:pPr>
    </w:p>
    <w:p w:rsidR="00B637FA" w:rsidRPr="0023574F" w:rsidRDefault="005202FD" w:rsidP="00A112DC">
      <w:pPr>
        <w:snapToGrid w:val="0"/>
        <w:jc w:val="center"/>
        <w:rPr>
          <w:sz w:val="20"/>
          <w:szCs w:val="20"/>
        </w:rPr>
      </w:pPr>
      <w:r w:rsidRPr="0023574F">
        <w:rPr>
          <w:noProof/>
          <w:sz w:val="20"/>
          <w:szCs w:val="20"/>
          <w:lang w:eastAsia="zh-CN"/>
        </w:rPr>
        <w:drawing>
          <wp:inline distT="0" distB="0" distL="0" distR="0">
            <wp:extent cx="2755955" cy="3237554"/>
            <wp:effectExtent l="19050" t="0" r="6295" b="0"/>
            <wp:docPr id="22" name="Picture 2" descr="Z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9.jpg"/>
                    <pic:cNvPicPr>
                      <a:picLocks noChangeAspect="1" noChangeArrowheads="1"/>
                    </pic:cNvPicPr>
                  </pic:nvPicPr>
                  <pic:blipFill>
                    <a:blip r:embed="rId49" cstate="print"/>
                    <a:srcRect/>
                    <a:stretch>
                      <a:fillRect/>
                    </a:stretch>
                  </pic:blipFill>
                  <pic:spPr bwMode="auto">
                    <a:xfrm>
                      <a:off x="0" y="0"/>
                      <a:ext cx="2758241" cy="3240240"/>
                    </a:xfrm>
                    <a:prstGeom prst="rect">
                      <a:avLst/>
                    </a:prstGeom>
                    <a:noFill/>
                    <a:ln w="9525">
                      <a:noFill/>
                      <a:miter lim="800000"/>
                      <a:headEnd/>
                      <a:tailEnd/>
                    </a:ln>
                  </pic:spPr>
                </pic:pic>
              </a:graphicData>
            </a:graphic>
          </wp:inline>
        </w:drawing>
      </w:r>
    </w:p>
    <w:p w:rsidR="00B637FA" w:rsidRPr="0023574F" w:rsidRDefault="00B637FA" w:rsidP="00A112DC">
      <w:pPr>
        <w:snapToGrid w:val="0"/>
        <w:jc w:val="both"/>
        <w:rPr>
          <w:sz w:val="20"/>
          <w:szCs w:val="20"/>
        </w:rPr>
      </w:pPr>
      <w:r w:rsidRPr="0023574F">
        <w:rPr>
          <w:b/>
          <w:bCs/>
          <w:sz w:val="20"/>
          <w:szCs w:val="20"/>
        </w:rPr>
        <w:t>Fig. (</w:t>
      </w:r>
      <w:r w:rsidR="00C92ADE" w:rsidRPr="0023574F">
        <w:rPr>
          <w:b/>
          <w:bCs/>
          <w:sz w:val="20"/>
          <w:szCs w:val="20"/>
        </w:rPr>
        <w:t>8</w:t>
      </w:r>
      <w:r w:rsidRPr="0023574F">
        <w:rPr>
          <w:b/>
          <w:bCs/>
          <w:sz w:val="20"/>
          <w:szCs w:val="20"/>
        </w:rPr>
        <w:t xml:space="preserve">): </w:t>
      </w:r>
      <w:r w:rsidRPr="0023574F">
        <w:rPr>
          <w:sz w:val="20"/>
          <w:szCs w:val="20"/>
        </w:rPr>
        <w:t xml:space="preserve">RAPD fragments amplified from genomic DNA of untreated and treated </w:t>
      </w:r>
      <w:r w:rsidRPr="0023574F">
        <w:rPr>
          <w:i/>
          <w:iCs/>
          <w:sz w:val="20"/>
          <w:szCs w:val="20"/>
        </w:rPr>
        <w:t xml:space="preserve">F. </w:t>
      </w:r>
      <w:proofErr w:type="spellStart"/>
      <w:r w:rsidRPr="0023574F">
        <w:rPr>
          <w:i/>
          <w:iCs/>
          <w:sz w:val="20"/>
          <w:szCs w:val="20"/>
        </w:rPr>
        <w:t>oxysporum</w:t>
      </w:r>
      <w:proofErr w:type="spellEnd"/>
      <w:r w:rsidR="00F06756">
        <w:rPr>
          <w:i/>
          <w:iCs/>
          <w:sz w:val="20"/>
          <w:szCs w:val="20"/>
        </w:rPr>
        <w:t xml:space="preserve"> </w:t>
      </w:r>
      <w:r w:rsidRPr="0023574F">
        <w:rPr>
          <w:sz w:val="20"/>
          <w:szCs w:val="20"/>
        </w:rPr>
        <w:t xml:space="preserve">generated by OPZ-19. </w:t>
      </w:r>
      <w:r w:rsidRPr="0023574F">
        <w:rPr>
          <w:b/>
          <w:bCs/>
          <w:sz w:val="20"/>
          <w:szCs w:val="20"/>
        </w:rPr>
        <w:t>Marker</w:t>
      </w:r>
      <w:r w:rsidRPr="0023574F">
        <w:rPr>
          <w:sz w:val="20"/>
          <w:szCs w:val="20"/>
        </w:rPr>
        <w:t>: standard DNA.</w:t>
      </w:r>
      <w:r w:rsidR="004048ED">
        <w:rPr>
          <w:sz w:val="20"/>
          <w:szCs w:val="20"/>
        </w:rPr>
        <w:t xml:space="preserve"> </w:t>
      </w:r>
      <w:r w:rsidRPr="0023574F">
        <w:rPr>
          <w:b/>
          <w:bCs/>
          <w:sz w:val="20"/>
          <w:szCs w:val="20"/>
        </w:rPr>
        <w:t>Cont.</w:t>
      </w:r>
      <w:r w:rsidRPr="0023574F">
        <w:rPr>
          <w:sz w:val="20"/>
          <w:szCs w:val="20"/>
        </w:rPr>
        <w:t xml:space="preserve">: untreated fungus. </w:t>
      </w:r>
      <w:r w:rsidRPr="0023574F">
        <w:rPr>
          <w:b/>
          <w:bCs/>
          <w:sz w:val="20"/>
          <w:szCs w:val="20"/>
        </w:rPr>
        <w:t>E</w:t>
      </w:r>
      <w:r w:rsidRPr="0023574F">
        <w:rPr>
          <w:b/>
          <w:bCs/>
          <w:sz w:val="20"/>
          <w:szCs w:val="20"/>
          <w:vertAlign w:val="subscript"/>
        </w:rPr>
        <w:t>10</w:t>
      </w:r>
      <w:r w:rsidRPr="0023574F">
        <w:rPr>
          <w:sz w:val="20"/>
          <w:szCs w:val="20"/>
        </w:rPr>
        <w:t xml:space="preserve">, </w:t>
      </w:r>
      <w:r w:rsidRPr="0023574F">
        <w:rPr>
          <w:b/>
          <w:bCs/>
          <w:sz w:val="20"/>
          <w:szCs w:val="20"/>
        </w:rPr>
        <w:t>M</w:t>
      </w:r>
      <w:r w:rsidRPr="0023574F">
        <w:rPr>
          <w:b/>
          <w:bCs/>
          <w:sz w:val="20"/>
          <w:szCs w:val="20"/>
          <w:vertAlign w:val="subscript"/>
        </w:rPr>
        <w:t>10</w:t>
      </w:r>
      <w:r w:rsidRPr="0023574F">
        <w:rPr>
          <w:sz w:val="20"/>
          <w:szCs w:val="20"/>
        </w:rPr>
        <w:t xml:space="preserve"> and </w:t>
      </w:r>
      <w:r w:rsidRPr="0023574F">
        <w:rPr>
          <w:b/>
          <w:bCs/>
          <w:sz w:val="20"/>
          <w:szCs w:val="20"/>
        </w:rPr>
        <w:t>T</w:t>
      </w:r>
      <w:r w:rsidRPr="0023574F">
        <w:rPr>
          <w:b/>
          <w:bCs/>
          <w:sz w:val="20"/>
          <w:szCs w:val="20"/>
          <w:vertAlign w:val="subscript"/>
        </w:rPr>
        <w:t>10</w:t>
      </w:r>
      <w:r w:rsidRPr="0023574F">
        <w:rPr>
          <w:sz w:val="20"/>
          <w:szCs w:val="20"/>
        </w:rPr>
        <w:t xml:space="preserve">: treated fungus with </w:t>
      </w:r>
      <w:proofErr w:type="spellStart"/>
      <w:r w:rsidRPr="0023574F">
        <w:rPr>
          <w:sz w:val="20"/>
          <w:szCs w:val="20"/>
        </w:rPr>
        <w:t>Eugenol</w:t>
      </w:r>
      <w:proofErr w:type="spellEnd"/>
      <w:r w:rsidRPr="0023574F">
        <w:rPr>
          <w:sz w:val="20"/>
          <w:szCs w:val="20"/>
        </w:rPr>
        <w:t xml:space="preserve"> (E</w:t>
      </w:r>
      <w:r w:rsidRPr="0023574F">
        <w:rPr>
          <w:sz w:val="20"/>
          <w:szCs w:val="20"/>
          <w:vertAlign w:val="subscript"/>
        </w:rPr>
        <w:t>10</w:t>
      </w:r>
      <w:r w:rsidRPr="0023574F">
        <w:rPr>
          <w:sz w:val="20"/>
          <w:szCs w:val="20"/>
        </w:rPr>
        <w:t xml:space="preserve">), Methyl </w:t>
      </w:r>
      <w:proofErr w:type="spellStart"/>
      <w:r w:rsidRPr="0023574F">
        <w:rPr>
          <w:sz w:val="20"/>
          <w:szCs w:val="20"/>
        </w:rPr>
        <w:t>cinnamate</w:t>
      </w:r>
      <w:proofErr w:type="spellEnd"/>
      <w:r w:rsidRPr="0023574F">
        <w:rPr>
          <w:sz w:val="20"/>
          <w:szCs w:val="20"/>
        </w:rPr>
        <w:t xml:space="preserve"> (M</w:t>
      </w:r>
      <w:r w:rsidRPr="0023574F">
        <w:rPr>
          <w:sz w:val="20"/>
          <w:szCs w:val="20"/>
          <w:vertAlign w:val="subscript"/>
        </w:rPr>
        <w:t>10</w:t>
      </w:r>
      <w:r w:rsidRPr="0023574F">
        <w:rPr>
          <w:sz w:val="20"/>
          <w:szCs w:val="20"/>
        </w:rPr>
        <w:t xml:space="preserve">) and </w:t>
      </w:r>
      <w:proofErr w:type="spellStart"/>
      <w:r w:rsidRPr="0023574F">
        <w:rPr>
          <w:sz w:val="20"/>
          <w:szCs w:val="20"/>
        </w:rPr>
        <w:t>Thymol</w:t>
      </w:r>
      <w:proofErr w:type="spellEnd"/>
      <w:r w:rsidRPr="0023574F">
        <w:rPr>
          <w:sz w:val="20"/>
          <w:szCs w:val="20"/>
        </w:rPr>
        <w:t xml:space="preserve"> (T</w:t>
      </w:r>
      <w:r w:rsidRPr="0023574F">
        <w:rPr>
          <w:sz w:val="20"/>
          <w:szCs w:val="20"/>
          <w:vertAlign w:val="subscript"/>
        </w:rPr>
        <w:t>10</w:t>
      </w:r>
      <w:r w:rsidRPr="0023574F">
        <w:rPr>
          <w:sz w:val="20"/>
          <w:szCs w:val="20"/>
        </w:rPr>
        <w:t>) separately at LC</w:t>
      </w:r>
      <w:r w:rsidRPr="0023574F">
        <w:rPr>
          <w:sz w:val="20"/>
          <w:szCs w:val="20"/>
          <w:vertAlign w:val="subscript"/>
        </w:rPr>
        <w:t>10</w:t>
      </w:r>
      <w:r w:rsidRPr="0023574F">
        <w:rPr>
          <w:sz w:val="20"/>
          <w:szCs w:val="20"/>
        </w:rPr>
        <w:t>.</w:t>
      </w:r>
    </w:p>
    <w:p w:rsidR="003F6650" w:rsidRPr="0023574F" w:rsidRDefault="003F6650" w:rsidP="0023574F">
      <w:pPr>
        <w:autoSpaceDE w:val="0"/>
        <w:autoSpaceDN w:val="0"/>
        <w:adjustRightInd w:val="0"/>
        <w:snapToGrid w:val="0"/>
        <w:jc w:val="center"/>
        <w:rPr>
          <w:b/>
          <w:bCs/>
          <w:sz w:val="20"/>
          <w:szCs w:val="20"/>
        </w:rPr>
      </w:pPr>
    </w:p>
    <w:p w:rsidR="00B637FA" w:rsidRPr="0023574F" w:rsidRDefault="00B637FA" w:rsidP="00A112DC">
      <w:pPr>
        <w:autoSpaceDE w:val="0"/>
        <w:autoSpaceDN w:val="0"/>
        <w:adjustRightInd w:val="0"/>
        <w:snapToGrid w:val="0"/>
        <w:jc w:val="both"/>
        <w:rPr>
          <w:sz w:val="20"/>
          <w:szCs w:val="20"/>
        </w:rPr>
      </w:pPr>
      <w:r w:rsidRPr="0023574F">
        <w:rPr>
          <w:b/>
          <w:bCs/>
          <w:sz w:val="20"/>
          <w:szCs w:val="20"/>
        </w:rPr>
        <w:lastRenderedPageBreak/>
        <w:t>Table (</w:t>
      </w:r>
      <w:r w:rsidR="00C92ADE" w:rsidRPr="0023574F">
        <w:rPr>
          <w:b/>
          <w:bCs/>
          <w:sz w:val="20"/>
          <w:szCs w:val="20"/>
        </w:rPr>
        <w:t>3</w:t>
      </w:r>
      <w:r w:rsidRPr="0023574F">
        <w:rPr>
          <w:b/>
          <w:bCs/>
          <w:sz w:val="20"/>
          <w:szCs w:val="20"/>
        </w:rPr>
        <w:t xml:space="preserve">): </w:t>
      </w:r>
      <w:proofErr w:type="spellStart"/>
      <w:r w:rsidRPr="0023574F">
        <w:rPr>
          <w:sz w:val="20"/>
          <w:szCs w:val="20"/>
        </w:rPr>
        <w:t>Oligonucleotide</w:t>
      </w:r>
      <w:proofErr w:type="spellEnd"/>
      <w:r w:rsidRPr="0023574F">
        <w:rPr>
          <w:sz w:val="20"/>
          <w:szCs w:val="20"/>
        </w:rPr>
        <w:t xml:space="preserve"> primers used for generating random amplified polymorphic DNA patterns from untreated and treated </w:t>
      </w:r>
      <w:r w:rsidRPr="0023574F">
        <w:rPr>
          <w:i/>
          <w:iCs/>
          <w:sz w:val="20"/>
          <w:szCs w:val="20"/>
        </w:rPr>
        <w:t xml:space="preserve">F. </w:t>
      </w:r>
      <w:proofErr w:type="spellStart"/>
      <w:r w:rsidRPr="0023574F">
        <w:rPr>
          <w:i/>
          <w:iCs/>
          <w:sz w:val="20"/>
          <w:szCs w:val="20"/>
        </w:rPr>
        <w:t>oxysporum</w:t>
      </w:r>
      <w:proofErr w:type="spellEnd"/>
      <w:r w:rsidR="00F06756">
        <w:rPr>
          <w:i/>
          <w:iCs/>
          <w:sz w:val="20"/>
          <w:szCs w:val="20"/>
        </w:rPr>
        <w:t xml:space="preserve"> </w:t>
      </w:r>
      <w:r w:rsidRPr="0023574F">
        <w:rPr>
          <w:sz w:val="20"/>
          <w:szCs w:val="20"/>
        </w:rPr>
        <w:t xml:space="preserve">with </w:t>
      </w:r>
      <w:proofErr w:type="spellStart"/>
      <w:r w:rsidRPr="0023574F">
        <w:rPr>
          <w:sz w:val="20"/>
          <w:szCs w:val="20"/>
        </w:rPr>
        <w:t>Eugenol</w:t>
      </w:r>
      <w:proofErr w:type="spellEnd"/>
      <w:r w:rsidRPr="0023574F">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654"/>
        <w:gridCol w:w="554"/>
        <w:gridCol w:w="554"/>
        <w:gridCol w:w="554"/>
        <w:gridCol w:w="554"/>
      </w:tblGrid>
      <w:tr w:rsidR="00B637FA" w:rsidRPr="00A112DC" w:rsidTr="00A112DC">
        <w:trPr>
          <w:jc w:val="center"/>
        </w:trPr>
        <w:tc>
          <w:tcPr>
            <w:tcW w:w="0" w:type="auto"/>
            <w:vMerge w:val="restar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Primer</w:t>
            </w:r>
          </w:p>
        </w:tc>
        <w:tc>
          <w:tcPr>
            <w:tcW w:w="0" w:type="auto"/>
            <w:vMerge w:val="restar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Total No. of bands in treated and untreated</w:t>
            </w:r>
          </w:p>
        </w:tc>
        <w:tc>
          <w:tcPr>
            <w:tcW w:w="0" w:type="auto"/>
            <w:gridSpan w:val="2"/>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Control</w:t>
            </w:r>
          </w:p>
        </w:tc>
        <w:tc>
          <w:tcPr>
            <w:tcW w:w="0" w:type="auto"/>
            <w:gridSpan w:val="2"/>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proofErr w:type="spellStart"/>
            <w:r w:rsidRPr="00A112DC">
              <w:rPr>
                <w:b/>
                <w:bCs/>
                <w:color w:val="000000"/>
                <w:sz w:val="16"/>
                <w:szCs w:val="20"/>
              </w:rPr>
              <w:t>Eugenol</w:t>
            </w:r>
            <w:proofErr w:type="spellEnd"/>
          </w:p>
        </w:tc>
      </w:tr>
      <w:tr w:rsidR="00B637FA" w:rsidRPr="00A112DC" w:rsidTr="00A112DC">
        <w:trPr>
          <w:jc w:val="center"/>
        </w:trPr>
        <w:tc>
          <w:tcPr>
            <w:tcW w:w="0" w:type="auto"/>
            <w:vMerge/>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p>
        </w:tc>
        <w:tc>
          <w:tcPr>
            <w:tcW w:w="0" w:type="auto"/>
            <w:vMerge/>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NAB</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NDB</w:t>
            </w: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NAB</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NDB</w:t>
            </w:r>
          </w:p>
        </w:tc>
      </w:tr>
      <w:tr w:rsidR="00B637FA" w:rsidRPr="00A112DC" w:rsidTr="00A112DC">
        <w:trPr>
          <w:jc w:val="center"/>
        </w:trPr>
        <w:tc>
          <w:tcPr>
            <w:tcW w:w="0" w:type="auto"/>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OPA-04</w:t>
            </w:r>
          </w:p>
        </w:tc>
        <w:tc>
          <w:tcPr>
            <w:tcW w:w="0" w:type="auto"/>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12</w:t>
            </w:r>
          </w:p>
        </w:tc>
        <w:tc>
          <w:tcPr>
            <w:tcW w:w="0" w:type="auto"/>
            <w:tcBorders>
              <w:top w:val="double" w:sz="4" w:space="0" w:color="auto"/>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4</w:t>
            </w:r>
          </w:p>
        </w:tc>
        <w:tc>
          <w:tcPr>
            <w:tcW w:w="0" w:type="auto"/>
            <w:tcBorders>
              <w:top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w:t>
            </w:r>
          </w:p>
        </w:tc>
        <w:tc>
          <w:tcPr>
            <w:tcW w:w="0" w:type="auto"/>
            <w:tcBorders>
              <w:top w:val="double" w:sz="4" w:space="0" w:color="auto"/>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11</w:t>
            </w:r>
          </w:p>
        </w:tc>
        <w:tc>
          <w:tcPr>
            <w:tcW w:w="0" w:type="auto"/>
            <w:tcBorders>
              <w:top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8</w:t>
            </w:r>
          </w:p>
        </w:tc>
      </w:tr>
      <w:tr w:rsidR="00B637FA" w:rsidRPr="00A112DC" w:rsidTr="00A112DC">
        <w:trPr>
          <w:jc w:val="center"/>
        </w:trPr>
        <w:tc>
          <w:tcPr>
            <w:tcW w:w="0" w:type="auto"/>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OPA-11</w:t>
            </w:r>
          </w:p>
        </w:tc>
        <w:tc>
          <w:tcPr>
            <w:tcW w:w="0" w:type="auto"/>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7</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6</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7</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w:t>
            </w:r>
          </w:p>
        </w:tc>
      </w:tr>
      <w:tr w:rsidR="00B637FA" w:rsidRPr="00A112DC" w:rsidTr="00A112DC">
        <w:trPr>
          <w:jc w:val="center"/>
        </w:trPr>
        <w:tc>
          <w:tcPr>
            <w:tcW w:w="0" w:type="auto"/>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OPA-17</w:t>
            </w:r>
          </w:p>
        </w:tc>
        <w:tc>
          <w:tcPr>
            <w:tcW w:w="0" w:type="auto"/>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r>
      <w:tr w:rsidR="00B637FA" w:rsidRPr="00A112DC" w:rsidTr="00A112DC">
        <w:trPr>
          <w:jc w:val="center"/>
        </w:trPr>
        <w:tc>
          <w:tcPr>
            <w:tcW w:w="0" w:type="auto"/>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OPC-07</w:t>
            </w:r>
          </w:p>
        </w:tc>
        <w:tc>
          <w:tcPr>
            <w:tcW w:w="0" w:type="auto"/>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11</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11</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11</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r>
      <w:tr w:rsidR="00B637FA" w:rsidRPr="00A112DC" w:rsidTr="00A112DC">
        <w:trPr>
          <w:jc w:val="center"/>
        </w:trPr>
        <w:tc>
          <w:tcPr>
            <w:tcW w:w="0" w:type="auto"/>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OPZ-19</w:t>
            </w:r>
          </w:p>
        </w:tc>
        <w:tc>
          <w:tcPr>
            <w:tcW w:w="0" w:type="auto"/>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r>
    </w:tbl>
    <w:p w:rsidR="00023073" w:rsidRPr="0023574F" w:rsidRDefault="00023073" w:rsidP="0023574F">
      <w:pPr>
        <w:autoSpaceDE w:val="0"/>
        <w:autoSpaceDN w:val="0"/>
        <w:adjustRightInd w:val="0"/>
        <w:snapToGrid w:val="0"/>
        <w:jc w:val="center"/>
        <w:rPr>
          <w:b/>
          <w:bCs/>
          <w:sz w:val="20"/>
          <w:szCs w:val="20"/>
        </w:rPr>
      </w:pPr>
    </w:p>
    <w:p w:rsidR="00B637FA" w:rsidRPr="0023574F" w:rsidRDefault="00B637FA" w:rsidP="00A112DC">
      <w:pPr>
        <w:autoSpaceDE w:val="0"/>
        <w:autoSpaceDN w:val="0"/>
        <w:adjustRightInd w:val="0"/>
        <w:snapToGrid w:val="0"/>
        <w:jc w:val="both"/>
        <w:rPr>
          <w:sz w:val="20"/>
          <w:szCs w:val="20"/>
        </w:rPr>
      </w:pPr>
      <w:r w:rsidRPr="0023574F">
        <w:rPr>
          <w:b/>
          <w:bCs/>
          <w:sz w:val="20"/>
          <w:szCs w:val="20"/>
        </w:rPr>
        <w:t>Table (</w:t>
      </w:r>
      <w:r w:rsidR="00C92ADE" w:rsidRPr="0023574F">
        <w:rPr>
          <w:b/>
          <w:bCs/>
          <w:sz w:val="20"/>
          <w:szCs w:val="20"/>
        </w:rPr>
        <w:t>4</w:t>
      </w:r>
      <w:r w:rsidRPr="0023574F">
        <w:rPr>
          <w:b/>
          <w:bCs/>
          <w:sz w:val="20"/>
          <w:szCs w:val="20"/>
        </w:rPr>
        <w:t xml:space="preserve">): </w:t>
      </w:r>
      <w:proofErr w:type="spellStart"/>
      <w:r w:rsidRPr="0023574F">
        <w:rPr>
          <w:sz w:val="20"/>
          <w:szCs w:val="20"/>
        </w:rPr>
        <w:t>Oligonucleotide</w:t>
      </w:r>
      <w:proofErr w:type="spellEnd"/>
      <w:r w:rsidRPr="0023574F">
        <w:rPr>
          <w:sz w:val="20"/>
          <w:szCs w:val="20"/>
        </w:rPr>
        <w:t xml:space="preserve"> primers used for generating random amplified polymorphic DNA patterns from untreated and treated </w:t>
      </w:r>
      <w:r w:rsidRPr="0023574F">
        <w:rPr>
          <w:i/>
          <w:iCs/>
          <w:sz w:val="20"/>
          <w:szCs w:val="20"/>
        </w:rPr>
        <w:t xml:space="preserve">F. </w:t>
      </w:r>
      <w:proofErr w:type="spellStart"/>
      <w:r w:rsidRPr="0023574F">
        <w:rPr>
          <w:i/>
          <w:iCs/>
          <w:sz w:val="20"/>
          <w:szCs w:val="20"/>
        </w:rPr>
        <w:t>oxysporum</w:t>
      </w:r>
      <w:proofErr w:type="spellEnd"/>
      <w:r w:rsidR="00F06756">
        <w:rPr>
          <w:i/>
          <w:iCs/>
          <w:sz w:val="20"/>
          <w:szCs w:val="20"/>
        </w:rPr>
        <w:t xml:space="preserve"> </w:t>
      </w:r>
      <w:r w:rsidRPr="0023574F">
        <w:rPr>
          <w:sz w:val="20"/>
          <w:szCs w:val="20"/>
        </w:rPr>
        <w:t xml:space="preserve">with Methyl </w:t>
      </w:r>
      <w:proofErr w:type="spellStart"/>
      <w:r w:rsidRPr="0023574F">
        <w:rPr>
          <w:sz w:val="20"/>
          <w:szCs w:val="20"/>
        </w:rPr>
        <w:t>cinnamate</w:t>
      </w:r>
      <w:proofErr w:type="spellEnd"/>
      <w:r w:rsidRPr="0023574F">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555"/>
        <w:gridCol w:w="554"/>
        <w:gridCol w:w="554"/>
        <w:gridCol w:w="605"/>
        <w:gridCol w:w="605"/>
      </w:tblGrid>
      <w:tr w:rsidR="00B637FA" w:rsidRPr="00A112DC" w:rsidTr="00A112DC">
        <w:trPr>
          <w:jc w:val="center"/>
        </w:trPr>
        <w:tc>
          <w:tcPr>
            <w:tcW w:w="0" w:type="auto"/>
            <w:vMerge w:val="restar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Primer</w:t>
            </w:r>
          </w:p>
        </w:tc>
        <w:tc>
          <w:tcPr>
            <w:tcW w:w="0" w:type="auto"/>
            <w:vMerge w:val="restar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Total No. of bands in treated and untreated</w:t>
            </w:r>
          </w:p>
        </w:tc>
        <w:tc>
          <w:tcPr>
            <w:tcW w:w="0" w:type="auto"/>
            <w:gridSpan w:val="2"/>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Control</w:t>
            </w:r>
          </w:p>
        </w:tc>
        <w:tc>
          <w:tcPr>
            <w:tcW w:w="0" w:type="auto"/>
            <w:gridSpan w:val="2"/>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 xml:space="preserve">Methyl </w:t>
            </w:r>
            <w:proofErr w:type="spellStart"/>
            <w:r w:rsidRPr="00A112DC">
              <w:rPr>
                <w:b/>
                <w:bCs/>
                <w:color w:val="000000"/>
                <w:sz w:val="16"/>
                <w:szCs w:val="20"/>
              </w:rPr>
              <w:t>cinnamate</w:t>
            </w:r>
            <w:proofErr w:type="spellEnd"/>
          </w:p>
        </w:tc>
      </w:tr>
      <w:tr w:rsidR="00B637FA" w:rsidRPr="00A112DC" w:rsidTr="00A112DC">
        <w:trPr>
          <w:jc w:val="center"/>
        </w:trPr>
        <w:tc>
          <w:tcPr>
            <w:tcW w:w="0" w:type="auto"/>
            <w:vMerge/>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p>
        </w:tc>
        <w:tc>
          <w:tcPr>
            <w:tcW w:w="0" w:type="auto"/>
            <w:vMerge/>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NAB</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NDB</w:t>
            </w: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NAB</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NDB</w:t>
            </w:r>
          </w:p>
        </w:tc>
      </w:tr>
      <w:tr w:rsidR="00B637FA" w:rsidRPr="00A112DC" w:rsidTr="00A112DC">
        <w:trPr>
          <w:jc w:val="center"/>
        </w:trPr>
        <w:tc>
          <w:tcPr>
            <w:tcW w:w="0" w:type="auto"/>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OPA-04</w:t>
            </w:r>
          </w:p>
        </w:tc>
        <w:tc>
          <w:tcPr>
            <w:tcW w:w="0" w:type="auto"/>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11</w:t>
            </w:r>
          </w:p>
        </w:tc>
        <w:tc>
          <w:tcPr>
            <w:tcW w:w="0" w:type="auto"/>
            <w:tcBorders>
              <w:top w:val="double" w:sz="4" w:space="0" w:color="auto"/>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4</w:t>
            </w:r>
          </w:p>
        </w:tc>
        <w:tc>
          <w:tcPr>
            <w:tcW w:w="0" w:type="auto"/>
            <w:tcBorders>
              <w:top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w:t>
            </w:r>
          </w:p>
        </w:tc>
        <w:tc>
          <w:tcPr>
            <w:tcW w:w="0" w:type="auto"/>
            <w:tcBorders>
              <w:top w:val="double" w:sz="4" w:space="0" w:color="auto"/>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10</w:t>
            </w:r>
          </w:p>
        </w:tc>
        <w:tc>
          <w:tcPr>
            <w:tcW w:w="0" w:type="auto"/>
            <w:tcBorders>
              <w:top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7</w:t>
            </w:r>
          </w:p>
        </w:tc>
      </w:tr>
      <w:tr w:rsidR="00B637FA" w:rsidRPr="00A112DC" w:rsidTr="00A112DC">
        <w:trPr>
          <w:jc w:val="center"/>
        </w:trPr>
        <w:tc>
          <w:tcPr>
            <w:tcW w:w="0" w:type="auto"/>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OPA-11</w:t>
            </w:r>
          </w:p>
        </w:tc>
        <w:tc>
          <w:tcPr>
            <w:tcW w:w="0" w:type="auto"/>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6</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6</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6</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r>
      <w:tr w:rsidR="00B637FA" w:rsidRPr="00A112DC" w:rsidTr="00A112DC">
        <w:trPr>
          <w:jc w:val="center"/>
        </w:trPr>
        <w:tc>
          <w:tcPr>
            <w:tcW w:w="0" w:type="auto"/>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OPA-17</w:t>
            </w:r>
          </w:p>
        </w:tc>
        <w:tc>
          <w:tcPr>
            <w:tcW w:w="0" w:type="auto"/>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r>
      <w:tr w:rsidR="00B637FA" w:rsidRPr="00A112DC" w:rsidTr="00A112DC">
        <w:trPr>
          <w:jc w:val="center"/>
        </w:trPr>
        <w:tc>
          <w:tcPr>
            <w:tcW w:w="0" w:type="auto"/>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OPC-07</w:t>
            </w:r>
          </w:p>
        </w:tc>
        <w:tc>
          <w:tcPr>
            <w:tcW w:w="0" w:type="auto"/>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12</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11</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w:t>
            </w:r>
          </w:p>
        </w:tc>
        <w:tc>
          <w:tcPr>
            <w:tcW w:w="0" w:type="auto"/>
            <w:tcBorders>
              <w:lef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11</w:t>
            </w:r>
          </w:p>
        </w:tc>
        <w:tc>
          <w:tcPr>
            <w:tcW w:w="0" w:type="auto"/>
            <w:tcBorders>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1</w:t>
            </w:r>
          </w:p>
        </w:tc>
      </w:tr>
      <w:tr w:rsidR="00B637FA" w:rsidRPr="00A112DC" w:rsidTr="00A112DC">
        <w:trPr>
          <w:jc w:val="center"/>
        </w:trPr>
        <w:tc>
          <w:tcPr>
            <w:tcW w:w="0" w:type="auto"/>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20"/>
              </w:rPr>
            </w:pPr>
            <w:r w:rsidRPr="00A112DC">
              <w:rPr>
                <w:b/>
                <w:bCs/>
                <w:color w:val="000000"/>
                <w:sz w:val="16"/>
                <w:szCs w:val="20"/>
              </w:rPr>
              <w:t>OPZ-19</w:t>
            </w:r>
          </w:p>
        </w:tc>
        <w:tc>
          <w:tcPr>
            <w:tcW w:w="0" w:type="auto"/>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9</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5</w:t>
            </w:r>
          </w:p>
        </w:tc>
        <w:tc>
          <w:tcPr>
            <w:tcW w:w="0" w:type="auto"/>
            <w:tcBorders>
              <w:left w:val="double" w:sz="4" w:space="0" w:color="auto"/>
              <w:bottom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4</w:t>
            </w:r>
          </w:p>
        </w:tc>
        <w:tc>
          <w:tcPr>
            <w:tcW w:w="0" w:type="auto"/>
            <w:tcBorders>
              <w:bottom w:val="double" w:sz="4" w:space="0" w:color="auto"/>
              <w:right w:val="double" w:sz="4" w:space="0" w:color="auto"/>
            </w:tcBorders>
            <w:vAlign w:val="center"/>
          </w:tcPr>
          <w:p w:rsidR="00B637FA" w:rsidRPr="00A112DC" w:rsidRDefault="00B637FA" w:rsidP="00A112DC">
            <w:pPr>
              <w:snapToGrid w:val="0"/>
              <w:jc w:val="both"/>
              <w:rPr>
                <w:color w:val="000000"/>
                <w:sz w:val="16"/>
                <w:szCs w:val="20"/>
              </w:rPr>
            </w:pPr>
            <w:r w:rsidRPr="00A112DC">
              <w:rPr>
                <w:color w:val="000000"/>
                <w:sz w:val="16"/>
                <w:szCs w:val="20"/>
              </w:rPr>
              <w:t>0</w:t>
            </w:r>
          </w:p>
        </w:tc>
      </w:tr>
    </w:tbl>
    <w:p w:rsidR="00B637FA" w:rsidRPr="0023574F" w:rsidRDefault="00B637FA" w:rsidP="0023574F">
      <w:pPr>
        <w:snapToGrid w:val="0"/>
        <w:ind w:firstLine="425"/>
        <w:jc w:val="both"/>
        <w:rPr>
          <w:sz w:val="20"/>
          <w:szCs w:val="20"/>
        </w:rPr>
      </w:pPr>
    </w:p>
    <w:p w:rsidR="00B637FA" w:rsidRPr="0023574F" w:rsidRDefault="00B637FA" w:rsidP="00A112DC">
      <w:pPr>
        <w:autoSpaceDE w:val="0"/>
        <w:autoSpaceDN w:val="0"/>
        <w:adjustRightInd w:val="0"/>
        <w:snapToGrid w:val="0"/>
        <w:jc w:val="both"/>
        <w:rPr>
          <w:sz w:val="20"/>
          <w:szCs w:val="20"/>
        </w:rPr>
      </w:pPr>
      <w:r w:rsidRPr="0023574F">
        <w:rPr>
          <w:b/>
          <w:bCs/>
          <w:sz w:val="20"/>
          <w:szCs w:val="20"/>
        </w:rPr>
        <w:t>Table (</w:t>
      </w:r>
      <w:r w:rsidR="00C92ADE" w:rsidRPr="0023574F">
        <w:rPr>
          <w:b/>
          <w:bCs/>
          <w:sz w:val="20"/>
          <w:szCs w:val="20"/>
        </w:rPr>
        <w:t>5</w:t>
      </w:r>
      <w:r w:rsidRPr="0023574F">
        <w:rPr>
          <w:b/>
          <w:bCs/>
          <w:sz w:val="20"/>
          <w:szCs w:val="20"/>
        </w:rPr>
        <w:t xml:space="preserve">): </w:t>
      </w:r>
      <w:proofErr w:type="spellStart"/>
      <w:r w:rsidRPr="0023574F">
        <w:rPr>
          <w:sz w:val="20"/>
          <w:szCs w:val="20"/>
        </w:rPr>
        <w:t>Oligonucleotide</w:t>
      </w:r>
      <w:proofErr w:type="spellEnd"/>
      <w:r w:rsidRPr="0023574F">
        <w:rPr>
          <w:sz w:val="20"/>
          <w:szCs w:val="20"/>
        </w:rPr>
        <w:t xml:space="preserve"> primers used for generating random amplified polymorphic DNA patterns from untreated and treated </w:t>
      </w:r>
      <w:r w:rsidRPr="0023574F">
        <w:rPr>
          <w:i/>
          <w:iCs/>
          <w:sz w:val="20"/>
          <w:szCs w:val="20"/>
        </w:rPr>
        <w:t xml:space="preserve">F. </w:t>
      </w:r>
      <w:proofErr w:type="spellStart"/>
      <w:r w:rsidRPr="0023574F">
        <w:rPr>
          <w:i/>
          <w:iCs/>
          <w:sz w:val="20"/>
          <w:szCs w:val="20"/>
        </w:rPr>
        <w:t>oxysporum</w:t>
      </w:r>
      <w:proofErr w:type="spellEnd"/>
      <w:r w:rsidR="00F06756">
        <w:rPr>
          <w:i/>
          <w:iCs/>
          <w:sz w:val="20"/>
          <w:szCs w:val="20"/>
        </w:rPr>
        <w:t xml:space="preserve"> </w:t>
      </w:r>
      <w:r w:rsidRPr="0023574F">
        <w:rPr>
          <w:sz w:val="20"/>
          <w:szCs w:val="20"/>
        </w:rPr>
        <w:t xml:space="preserve">with </w:t>
      </w:r>
      <w:proofErr w:type="spellStart"/>
      <w:r w:rsidRPr="0023574F">
        <w:rPr>
          <w:sz w:val="20"/>
          <w:szCs w:val="20"/>
        </w:rPr>
        <w:t>Thymol</w:t>
      </w:r>
      <w:proofErr w:type="spellEnd"/>
      <w:r w:rsidRPr="0023574F">
        <w:rPr>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1263"/>
        <w:gridCol w:w="595"/>
        <w:gridCol w:w="595"/>
        <w:gridCol w:w="595"/>
        <w:gridCol w:w="594"/>
      </w:tblGrid>
      <w:tr w:rsidR="00B637FA" w:rsidRPr="00A112DC" w:rsidTr="00C92ADE">
        <w:trPr>
          <w:trHeight w:val="411"/>
          <w:jc w:val="center"/>
        </w:trPr>
        <w:tc>
          <w:tcPr>
            <w:tcW w:w="1039" w:type="pct"/>
            <w:vMerge w:val="restar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Primer</w:t>
            </w:r>
          </w:p>
        </w:tc>
        <w:tc>
          <w:tcPr>
            <w:tcW w:w="1374" w:type="pct"/>
            <w:vMerge w:val="restar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Total No. of bands in treated and untreated</w:t>
            </w:r>
          </w:p>
        </w:tc>
        <w:tc>
          <w:tcPr>
            <w:tcW w:w="1294" w:type="pct"/>
            <w:gridSpan w:val="2"/>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Control</w:t>
            </w:r>
          </w:p>
        </w:tc>
        <w:tc>
          <w:tcPr>
            <w:tcW w:w="1294" w:type="pct"/>
            <w:gridSpan w:val="2"/>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proofErr w:type="spellStart"/>
            <w:r w:rsidRPr="00A112DC">
              <w:rPr>
                <w:b/>
                <w:bCs/>
                <w:color w:val="000000"/>
                <w:sz w:val="16"/>
                <w:szCs w:val="16"/>
              </w:rPr>
              <w:t>Thymol</w:t>
            </w:r>
            <w:proofErr w:type="spellEnd"/>
          </w:p>
        </w:tc>
      </w:tr>
      <w:tr w:rsidR="00B637FA" w:rsidRPr="00A112DC" w:rsidTr="00C92ADE">
        <w:trPr>
          <w:trHeight w:val="411"/>
          <w:jc w:val="center"/>
        </w:trPr>
        <w:tc>
          <w:tcPr>
            <w:tcW w:w="1039" w:type="pct"/>
            <w:vMerge/>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p>
        </w:tc>
        <w:tc>
          <w:tcPr>
            <w:tcW w:w="1374" w:type="pct"/>
            <w:vMerge/>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p>
        </w:tc>
        <w:tc>
          <w:tcPr>
            <w:tcW w:w="647" w:type="pct"/>
            <w:tcBorders>
              <w:left w:val="double" w:sz="4" w:space="0" w:color="auto"/>
              <w:bottom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NAB</w:t>
            </w:r>
          </w:p>
        </w:tc>
        <w:tc>
          <w:tcPr>
            <w:tcW w:w="647" w:type="pct"/>
            <w:tcBorders>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NDB</w:t>
            </w:r>
          </w:p>
        </w:tc>
        <w:tc>
          <w:tcPr>
            <w:tcW w:w="647" w:type="pct"/>
            <w:tcBorders>
              <w:left w:val="double" w:sz="4" w:space="0" w:color="auto"/>
              <w:bottom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NAB</w:t>
            </w:r>
          </w:p>
        </w:tc>
        <w:tc>
          <w:tcPr>
            <w:tcW w:w="647" w:type="pct"/>
            <w:tcBorders>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NDB</w:t>
            </w:r>
          </w:p>
        </w:tc>
      </w:tr>
      <w:tr w:rsidR="00B637FA" w:rsidRPr="00A112DC" w:rsidTr="00C92ADE">
        <w:trPr>
          <w:trHeight w:val="411"/>
          <w:jc w:val="center"/>
        </w:trPr>
        <w:tc>
          <w:tcPr>
            <w:tcW w:w="1039" w:type="pc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OPA-04</w:t>
            </w:r>
          </w:p>
        </w:tc>
        <w:tc>
          <w:tcPr>
            <w:tcW w:w="1374" w:type="pct"/>
            <w:tcBorders>
              <w:top w:val="double" w:sz="4" w:space="0" w:color="auto"/>
              <w:left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13</w:t>
            </w:r>
          </w:p>
        </w:tc>
        <w:tc>
          <w:tcPr>
            <w:tcW w:w="647" w:type="pct"/>
            <w:tcBorders>
              <w:top w:val="double" w:sz="4" w:space="0" w:color="auto"/>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4</w:t>
            </w:r>
          </w:p>
        </w:tc>
        <w:tc>
          <w:tcPr>
            <w:tcW w:w="647" w:type="pct"/>
            <w:tcBorders>
              <w:top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w:t>
            </w:r>
          </w:p>
        </w:tc>
        <w:tc>
          <w:tcPr>
            <w:tcW w:w="647" w:type="pct"/>
            <w:tcBorders>
              <w:top w:val="double" w:sz="4" w:space="0" w:color="auto"/>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12</w:t>
            </w:r>
          </w:p>
        </w:tc>
        <w:tc>
          <w:tcPr>
            <w:tcW w:w="647" w:type="pct"/>
            <w:tcBorders>
              <w:top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9</w:t>
            </w:r>
          </w:p>
        </w:tc>
      </w:tr>
      <w:tr w:rsidR="00B637FA" w:rsidRPr="00A112DC" w:rsidTr="00C92ADE">
        <w:trPr>
          <w:trHeight w:val="411"/>
          <w:jc w:val="center"/>
        </w:trPr>
        <w:tc>
          <w:tcPr>
            <w:tcW w:w="1039" w:type="pct"/>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OPA-11</w:t>
            </w:r>
          </w:p>
        </w:tc>
        <w:tc>
          <w:tcPr>
            <w:tcW w:w="1374" w:type="pct"/>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7</w:t>
            </w:r>
          </w:p>
        </w:tc>
        <w:tc>
          <w:tcPr>
            <w:tcW w:w="647" w:type="pct"/>
            <w:tcBorders>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6</w:t>
            </w:r>
          </w:p>
        </w:tc>
        <w:tc>
          <w:tcPr>
            <w:tcW w:w="647" w:type="pct"/>
            <w:tcBorders>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0</w:t>
            </w:r>
          </w:p>
        </w:tc>
        <w:tc>
          <w:tcPr>
            <w:tcW w:w="647" w:type="pct"/>
            <w:tcBorders>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7</w:t>
            </w:r>
          </w:p>
        </w:tc>
        <w:tc>
          <w:tcPr>
            <w:tcW w:w="647" w:type="pct"/>
            <w:tcBorders>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w:t>
            </w:r>
          </w:p>
        </w:tc>
      </w:tr>
      <w:tr w:rsidR="00B637FA" w:rsidRPr="00A112DC" w:rsidTr="00C92ADE">
        <w:trPr>
          <w:trHeight w:val="411"/>
          <w:jc w:val="center"/>
        </w:trPr>
        <w:tc>
          <w:tcPr>
            <w:tcW w:w="1039" w:type="pct"/>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OPA-17</w:t>
            </w:r>
          </w:p>
        </w:tc>
        <w:tc>
          <w:tcPr>
            <w:tcW w:w="1374" w:type="pct"/>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10</w:t>
            </w:r>
          </w:p>
        </w:tc>
        <w:tc>
          <w:tcPr>
            <w:tcW w:w="647" w:type="pct"/>
            <w:tcBorders>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9</w:t>
            </w:r>
          </w:p>
        </w:tc>
        <w:tc>
          <w:tcPr>
            <w:tcW w:w="647" w:type="pct"/>
            <w:tcBorders>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0</w:t>
            </w:r>
          </w:p>
        </w:tc>
        <w:tc>
          <w:tcPr>
            <w:tcW w:w="647" w:type="pct"/>
            <w:tcBorders>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10</w:t>
            </w:r>
          </w:p>
        </w:tc>
        <w:tc>
          <w:tcPr>
            <w:tcW w:w="647" w:type="pct"/>
            <w:tcBorders>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w:t>
            </w:r>
          </w:p>
        </w:tc>
      </w:tr>
      <w:tr w:rsidR="00B637FA" w:rsidRPr="00A112DC" w:rsidTr="00C92ADE">
        <w:trPr>
          <w:trHeight w:val="411"/>
          <w:jc w:val="center"/>
        </w:trPr>
        <w:tc>
          <w:tcPr>
            <w:tcW w:w="1039" w:type="pct"/>
            <w:tcBorders>
              <w:left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OPC-07</w:t>
            </w:r>
          </w:p>
        </w:tc>
        <w:tc>
          <w:tcPr>
            <w:tcW w:w="1374" w:type="pct"/>
            <w:tcBorders>
              <w:left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11</w:t>
            </w:r>
          </w:p>
        </w:tc>
        <w:tc>
          <w:tcPr>
            <w:tcW w:w="647" w:type="pct"/>
            <w:tcBorders>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11</w:t>
            </w:r>
          </w:p>
        </w:tc>
        <w:tc>
          <w:tcPr>
            <w:tcW w:w="647" w:type="pct"/>
            <w:tcBorders>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0</w:t>
            </w:r>
          </w:p>
        </w:tc>
        <w:tc>
          <w:tcPr>
            <w:tcW w:w="647" w:type="pct"/>
            <w:tcBorders>
              <w:lef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11</w:t>
            </w:r>
          </w:p>
        </w:tc>
        <w:tc>
          <w:tcPr>
            <w:tcW w:w="647" w:type="pct"/>
            <w:tcBorders>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0</w:t>
            </w:r>
          </w:p>
        </w:tc>
      </w:tr>
      <w:tr w:rsidR="00B637FA" w:rsidRPr="00A112DC" w:rsidTr="00C92ADE">
        <w:trPr>
          <w:trHeight w:val="411"/>
          <w:jc w:val="center"/>
        </w:trPr>
        <w:tc>
          <w:tcPr>
            <w:tcW w:w="1039" w:type="pct"/>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b/>
                <w:bCs/>
                <w:color w:val="000000"/>
                <w:sz w:val="16"/>
                <w:szCs w:val="16"/>
              </w:rPr>
            </w:pPr>
            <w:r w:rsidRPr="00A112DC">
              <w:rPr>
                <w:b/>
                <w:bCs/>
                <w:color w:val="000000"/>
                <w:sz w:val="16"/>
                <w:szCs w:val="16"/>
              </w:rPr>
              <w:t>OPZ-19</w:t>
            </w:r>
          </w:p>
        </w:tc>
        <w:tc>
          <w:tcPr>
            <w:tcW w:w="1374" w:type="pct"/>
            <w:tcBorders>
              <w:left w:val="double" w:sz="4" w:space="0" w:color="auto"/>
              <w:bottom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9</w:t>
            </w:r>
          </w:p>
        </w:tc>
        <w:tc>
          <w:tcPr>
            <w:tcW w:w="647" w:type="pct"/>
            <w:tcBorders>
              <w:left w:val="double" w:sz="4" w:space="0" w:color="auto"/>
              <w:bottom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9</w:t>
            </w:r>
          </w:p>
        </w:tc>
        <w:tc>
          <w:tcPr>
            <w:tcW w:w="647" w:type="pct"/>
            <w:tcBorders>
              <w:bottom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0</w:t>
            </w:r>
          </w:p>
        </w:tc>
        <w:tc>
          <w:tcPr>
            <w:tcW w:w="647" w:type="pct"/>
            <w:tcBorders>
              <w:left w:val="double" w:sz="4" w:space="0" w:color="auto"/>
              <w:bottom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9</w:t>
            </w:r>
          </w:p>
        </w:tc>
        <w:tc>
          <w:tcPr>
            <w:tcW w:w="647" w:type="pct"/>
            <w:tcBorders>
              <w:bottom w:val="double" w:sz="4" w:space="0" w:color="auto"/>
              <w:right w:val="double" w:sz="4" w:space="0" w:color="auto"/>
            </w:tcBorders>
            <w:vAlign w:val="center"/>
          </w:tcPr>
          <w:p w:rsidR="00B637FA" w:rsidRPr="00A112DC" w:rsidRDefault="00B637FA" w:rsidP="00A112DC">
            <w:pPr>
              <w:snapToGrid w:val="0"/>
              <w:jc w:val="both"/>
              <w:rPr>
                <w:color w:val="000000"/>
                <w:sz w:val="16"/>
                <w:szCs w:val="16"/>
              </w:rPr>
            </w:pPr>
            <w:r w:rsidRPr="00A112DC">
              <w:rPr>
                <w:color w:val="000000"/>
                <w:sz w:val="16"/>
                <w:szCs w:val="16"/>
              </w:rPr>
              <w:t>0</w:t>
            </w:r>
          </w:p>
        </w:tc>
      </w:tr>
    </w:tbl>
    <w:p w:rsidR="00B637FA" w:rsidRPr="0023574F" w:rsidRDefault="00B637FA" w:rsidP="00A112DC">
      <w:pPr>
        <w:snapToGrid w:val="0"/>
        <w:jc w:val="both"/>
        <w:rPr>
          <w:sz w:val="20"/>
          <w:szCs w:val="20"/>
        </w:rPr>
      </w:pPr>
      <w:r w:rsidRPr="0023574F">
        <w:rPr>
          <w:b/>
          <w:bCs/>
          <w:sz w:val="20"/>
          <w:szCs w:val="20"/>
        </w:rPr>
        <w:t>NAB =</w:t>
      </w:r>
      <w:r w:rsidRPr="0023574F">
        <w:rPr>
          <w:sz w:val="20"/>
          <w:szCs w:val="20"/>
        </w:rPr>
        <w:t xml:space="preserve"> No. of Amplified Bands</w:t>
      </w:r>
    </w:p>
    <w:p w:rsidR="00B637FA" w:rsidRPr="0023574F" w:rsidRDefault="00B637FA" w:rsidP="00A112DC">
      <w:pPr>
        <w:snapToGrid w:val="0"/>
        <w:jc w:val="both"/>
        <w:rPr>
          <w:sz w:val="20"/>
          <w:szCs w:val="20"/>
        </w:rPr>
      </w:pPr>
      <w:r w:rsidRPr="0023574F">
        <w:rPr>
          <w:b/>
          <w:bCs/>
          <w:sz w:val="20"/>
          <w:szCs w:val="20"/>
        </w:rPr>
        <w:t>NDB =</w:t>
      </w:r>
      <w:r w:rsidRPr="0023574F">
        <w:rPr>
          <w:sz w:val="20"/>
          <w:szCs w:val="20"/>
        </w:rPr>
        <w:t xml:space="preserve"> No. of Differentiation bands</w:t>
      </w:r>
    </w:p>
    <w:p w:rsidR="0023574F" w:rsidRDefault="0023574F" w:rsidP="0023574F">
      <w:pPr>
        <w:snapToGrid w:val="0"/>
        <w:ind w:firstLine="425"/>
        <w:jc w:val="both"/>
        <w:rPr>
          <w:sz w:val="20"/>
          <w:szCs w:val="20"/>
        </w:rPr>
      </w:pPr>
    </w:p>
    <w:p w:rsidR="00A112DC" w:rsidRDefault="00A112DC" w:rsidP="0023574F">
      <w:pPr>
        <w:autoSpaceDE w:val="0"/>
        <w:autoSpaceDN w:val="0"/>
        <w:adjustRightInd w:val="0"/>
        <w:snapToGrid w:val="0"/>
        <w:ind w:firstLine="425"/>
        <w:jc w:val="both"/>
        <w:rPr>
          <w:rFonts w:eastAsiaTheme="minorEastAsia"/>
          <w:b/>
          <w:bCs/>
          <w:sz w:val="20"/>
          <w:szCs w:val="20"/>
          <w:lang w:eastAsia="zh-CN"/>
        </w:rPr>
      </w:pPr>
    </w:p>
    <w:p w:rsidR="00B637FA" w:rsidRPr="0023574F" w:rsidRDefault="00B637FA" w:rsidP="00A112DC">
      <w:pPr>
        <w:autoSpaceDE w:val="0"/>
        <w:autoSpaceDN w:val="0"/>
        <w:adjustRightInd w:val="0"/>
        <w:snapToGrid w:val="0"/>
        <w:jc w:val="both"/>
        <w:rPr>
          <w:b/>
          <w:bCs/>
          <w:sz w:val="20"/>
          <w:szCs w:val="20"/>
        </w:rPr>
      </w:pPr>
      <w:r w:rsidRPr="0023574F">
        <w:rPr>
          <w:b/>
          <w:bCs/>
          <w:sz w:val="20"/>
          <w:szCs w:val="20"/>
        </w:rPr>
        <w:t>RAPD analysis:</w:t>
      </w:r>
    </w:p>
    <w:p w:rsidR="00B637FA" w:rsidRPr="0023574F" w:rsidRDefault="00B637FA" w:rsidP="0023574F">
      <w:pPr>
        <w:autoSpaceDE w:val="0"/>
        <w:autoSpaceDN w:val="0"/>
        <w:adjustRightInd w:val="0"/>
        <w:snapToGrid w:val="0"/>
        <w:ind w:firstLine="425"/>
        <w:jc w:val="both"/>
        <w:rPr>
          <w:sz w:val="20"/>
          <w:szCs w:val="20"/>
        </w:rPr>
      </w:pPr>
      <w:r w:rsidRPr="0023574F">
        <w:rPr>
          <w:sz w:val="20"/>
          <w:szCs w:val="20"/>
        </w:rPr>
        <w:t xml:space="preserve">The combined data from all samples were analyzed using SAHN program to produce a </w:t>
      </w:r>
      <w:proofErr w:type="spellStart"/>
      <w:r w:rsidRPr="0023574F">
        <w:rPr>
          <w:sz w:val="20"/>
          <w:szCs w:val="20"/>
        </w:rPr>
        <w:lastRenderedPageBreak/>
        <w:t>dendogram</w:t>
      </w:r>
      <w:proofErr w:type="spellEnd"/>
      <w:r w:rsidRPr="0023574F">
        <w:rPr>
          <w:sz w:val="20"/>
          <w:szCs w:val="20"/>
        </w:rPr>
        <w:t xml:space="preserve"> (figure 28). Variation in intensity was observed with some bands in the developed RAPD patterns, but this was not considered in the computer analysis.</w:t>
      </w:r>
    </w:p>
    <w:p w:rsidR="00B637FA" w:rsidRPr="0023574F" w:rsidRDefault="00B637FA" w:rsidP="0023574F">
      <w:pPr>
        <w:autoSpaceDE w:val="0"/>
        <w:autoSpaceDN w:val="0"/>
        <w:adjustRightInd w:val="0"/>
        <w:snapToGrid w:val="0"/>
        <w:ind w:firstLine="425"/>
        <w:jc w:val="both"/>
        <w:rPr>
          <w:sz w:val="20"/>
          <w:szCs w:val="20"/>
        </w:rPr>
      </w:pPr>
      <w:r w:rsidRPr="0023574F">
        <w:rPr>
          <w:sz w:val="20"/>
          <w:szCs w:val="20"/>
        </w:rPr>
        <w:t xml:space="preserve">The only factor considered was presence or absence of any particular bands. The resulting </w:t>
      </w:r>
      <w:proofErr w:type="spellStart"/>
      <w:r w:rsidRPr="0023574F">
        <w:rPr>
          <w:sz w:val="20"/>
          <w:szCs w:val="20"/>
        </w:rPr>
        <w:t>dendogram</w:t>
      </w:r>
      <w:proofErr w:type="spellEnd"/>
      <w:r w:rsidRPr="0023574F">
        <w:rPr>
          <w:sz w:val="20"/>
          <w:szCs w:val="20"/>
        </w:rPr>
        <w:t xml:space="preserve"> showed the relatedness and genetic variation between the untreated and treated samples and also among the treated samples with the three tested compounds.</w:t>
      </w:r>
    </w:p>
    <w:p w:rsidR="00B637FA" w:rsidRPr="0023574F" w:rsidRDefault="00B637FA" w:rsidP="0023574F">
      <w:pPr>
        <w:autoSpaceDE w:val="0"/>
        <w:autoSpaceDN w:val="0"/>
        <w:adjustRightInd w:val="0"/>
        <w:snapToGrid w:val="0"/>
        <w:ind w:firstLine="425"/>
        <w:jc w:val="both"/>
        <w:rPr>
          <w:sz w:val="20"/>
          <w:szCs w:val="20"/>
        </w:rPr>
      </w:pPr>
      <w:r w:rsidRPr="0023574F">
        <w:rPr>
          <w:sz w:val="20"/>
          <w:szCs w:val="20"/>
        </w:rPr>
        <w:t xml:space="preserve">The </w:t>
      </w:r>
      <w:proofErr w:type="spellStart"/>
      <w:r w:rsidRPr="0023574F">
        <w:rPr>
          <w:sz w:val="20"/>
          <w:szCs w:val="20"/>
        </w:rPr>
        <w:t>dendogram</w:t>
      </w:r>
      <w:proofErr w:type="spellEnd"/>
      <w:r w:rsidRPr="0023574F">
        <w:rPr>
          <w:sz w:val="20"/>
          <w:szCs w:val="20"/>
        </w:rPr>
        <w:t xml:space="preserve"> was divided into clusters. The first cluster was represented the untreated fungus while the second cluster was divided into two groups. Group no.1 was represented the samples treated with methyl </w:t>
      </w:r>
      <w:proofErr w:type="spellStart"/>
      <w:r w:rsidRPr="0023574F">
        <w:rPr>
          <w:sz w:val="20"/>
          <w:szCs w:val="20"/>
        </w:rPr>
        <w:t>cinnamate</w:t>
      </w:r>
      <w:proofErr w:type="spellEnd"/>
      <w:r w:rsidRPr="0023574F">
        <w:rPr>
          <w:sz w:val="20"/>
          <w:szCs w:val="20"/>
        </w:rPr>
        <w:t xml:space="preserve"> and group no.2 included the samples treated with </w:t>
      </w:r>
      <w:proofErr w:type="spellStart"/>
      <w:r w:rsidRPr="0023574F">
        <w:rPr>
          <w:sz w:val="20"/>
          <w:szCs w:val="20"/>
        </w:rPr>
        <w:t>thymol</w:t>
      </w:r>
      <w:proofErr w:type="spellEnd"/>
      <w:r w:rsidRPr="0023574F">
        <w:rPr>
          <w:sz w:val="20"/>
          <w:szCs w:val="20"/>
        </w:rPr>
        <w:t xml:space="preserve"> and </w:t>
      </w:r>
      <w:proofErr w:type="spellStart"/>
      <w:r w:rsidRPr="0023574F">
        <w:rPr>
          <w:sz w:val="20"/>
          <w:szCs w:val="20"/>
        </w:rPr>
        <w:t>eugenol</w:t>
      </w:r>
      <w:proofErr w:type="spellEnd"/>
      <w:r w:rsidRPr="0023574F">
        <w:rPr>
          <w:sz w:val="20"/>
          <w:szCs w:val="20"/>
        </w:rPr>
        <w:t>.</w:t>
      </w:r>
    </w:p>
    <w:p w:rsidR="0023574F" w:rsidRDefault="0023574F" w:rsidP="0023574F">
      <w:pPr>
        <w:autoSpaceDE w:val="0"/>
        <w:autoSpaceDN w:val="0"/>
        <w:adjustRightInd w:val="0"/>
        <w:snapToGrid w:val="0"/>
        <w:ind w:firstLine="425"/>
        <w:jc w:val="both"/>
        <w:rPr>
          <w:sz w:val="20"/>
          <w:szCs w:val="20"/>
        </w:rPr>
      </w:pPr>
    </w:p>
    <w:p w:rsidR="00A112DC" w:rsidRDefault="00A112DC" w:rsidP="00A112DC">
      <w:pPr>
        <w:snapToGrid w:val="0"/>
        <w:jc w:val="center"/>
        <w:rPr>
          <w:rFonts w:eastAsiaTheme="minorEastAsia"/>
          <w:b/>
          <w:bCs/>
          <w:sz w:val="20"/>
          <w:szCs w:val="20"/>
          <w:lang w:eastAsia="zh-CN"/>
        </w:rPr>
      </w:pPr>
      <w:r w:rsidRPr="0023574F">
        <w:rPr>
          <w:b/>
          <w:bCs/>
          <w:noProof/>
          <w:sz w:val="20"/>
          <w:szCs w:val="20"/>
          <w:lang w:eastAsia="zh-CN"/>
        </w:rPr>
        <w:drawing>
          <wp:inline distT="0" distB="0" distL="0" distR="0">
            <wp:extent cx="2578903" cy="2250219"/>
            <wp:effectExtent l="19050" t="0" r="0" b="0"/>
            <wp:docPr id="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0" cstate="print"/>
                    <a:srcRect/>
                    <a:stretch>
                      <a:fillRect/>
                    </a:stretch>
                  </pic:blipFill>
                  <pic:spPr bwMode="auto">
                    <a:xfrm>
                      <a:off x="0" y="0"/>
                      <a:ext cx="2577643" cy="2249120"/>
                    </a:xfrm>
                    <a:prstGeom prst="rect">
                      <a:avLst/>
                    </a:prstGeom>
                    <a:noFill/>
                    <a:ln w="9525">
                      <a:noFill/>
                      <a:miter lim="800000"/>
                      <a:headEnd/>
                      <a:tailEnd/>
                    </a:ln>
                  </pic:spPr>
                </pic:pic>
              </a:graphicData>
            </a:graphic>
          </wp:inline>
        </w:drawing>
      </w:r>
    </w:p>
    <w:p w:rsidR="00B637FA" w:rsidRPr="0023574F" w:rsidRDefault="00B637FA" w:rsidP="00A112DC">
      <w:pPr>
        <w:snapToGrid w:val="0"/>
        <w:jc w:val="both"/>
        <w:rPr>
          <w:sz w:val="20"/>
          <w:szCs w:val="20"/>
        </w:rPr>
      </w:pPr>
      <w:r w:rsidRPr="0023574F">
        <w:rPr>
          <w:b/>
          <w:bCs/>
          <w:sz w:val="20"/>
          <w:szCs w:val="20"/>
        </w:rPr>
        <w:t>Figure (</w:t>
      </w:r>
      <w:r w:rsidR="00C92ADE" w:rsidRPr="0023574F">
        <w:rPr>
          <w:b/>
          <w:bCs/>
          <w:sz w:val="20"/>
          <w:szCs w:val="20"/>
        </w:rPr>
        <w:t>9</w:t>
      </w:r>
      <w:r w:rsidRPr="0023574F">
        <w:rPr>
          <w:b/>
          <w:bCs/>
          <w:sz w:val="20"/>
          <w:szCs w:val="20"/>
        </w:rPr>
        <w:t xml:space="preserve">): </w:t>
      </w:r>
      <w:proofErr w:type="spellStart"/>
      <w:r w:rsidRPr="0023574F">
        <w:rPr>
          <w:sz w:val="20"/>
          <w:szCs w:val="20"/>
        </w:rPr>
        <w:t>Dendogram</w:t>
      </w:r>
      <w:proofErr w:type="spellEnd"/>
      <w:r w:rsidRPr="0023574F">
        <w:rPr>
          <w:sz w:val="20"/>
          <w:szCs w:val="20"/>
        </w:rPr>
        <w:t xml:space="preserve"> showing relationships between the untreated and treated samples (</w:t>
      </w:r>
      <w:r w:rsidRPr="0023574F">
        <w:rPr>
          <w:i/>
          <w:iCs/>
          <w:sz w:val="20"/>
          <w:szCs w:val="20"/>
        </w:rPr>
        <w:t xml:space="preserve">F. </w:t>
      </w:r>
      <w:proofErr w:type="spellStart"/>
      <w:r w:rsidRPr="0023574F">
        <w:rPr>
          <w:i/>
          <w:iCs/>
          <w:sz w:val="20"/>
          <w:szCs w:val="20"/>
        </w:rPr>
        <w:t>oxysporum</w:t>
      </w:r>
      <w:proofErr w:type="spellEnd"/>
      <w:r w:rsidRPr="0023574F">
        <w:rPr>
          <w:sz w:val="20"/>
          <w:szCs w:val="20"/>
        </w:rPr>
        <w:t>). Based on the RAPD polymorphisms.</w:t>
      </w:r>
      <w:r w:rsidR="0019042B">
        <w:rPr>
          <w:sz w:val="20"/>
          <w:szCs w:val="20"/>
        </w:rPr>
        <w:t xml:space="preserve"> </w:t>
      </w:r>
      <w:r w:rsidRPr="0023574F">
        <w:rPr>
          <w:b/>
          <w:bCs/>
          <w:sz w:val="20"/>
          <w:szCs w:val="20"/>
        </w:rPr>
        <w:t>1</w:t>
      </w:r>
      <w:r w:rsidRPr="0023574F">
        <w:rPr>
          <w:sz w:val="20"/>
          <w:szCs w:val="20"/>
        </w:rPr>
        <w:t xml:space="preserve">: Control (untreated sample). </w:t>
      </w:r>
      <w:r w:rsidRPr="0023574F">
        <w:rPr>
          <w:b/>
          <w:bCs/>
          <w:sz w:val="20"/>
          <w:szCs w:val="20"/>
        </w:rPr>
        <w:t>2</w:t>
      </w:r>
      <w:r w:rsidRPr="0023574F">
        <w:rPr>
          <w:sz w:val="20"/>
          <w:szCs w:val="20"/>
        </w:rPr>
        <w:t xml:space="preserve">: Treated fungus with </w:t>
      </w:r>
      <w:proofErr w:type="spellStart"/>
      <w:r w:rsidRPr="0023574F">
        <w:rPr>
          <w:sz w:val="20"/>
          <w:szCs w:val="20"/>
        </w:rPr>
        <w:t>eugenol</w:t>
      </w:r>
      <w:proofErr w:type="spellEnd"/>
      <w:r w:rsidRPr="0023574F">
        <w:rPr>
          <w:sz w:val="20"/>
          <w:szCs w:val="20"/>
        </w:rPr>
        <w:t xml:space="preserve">. </w:t>
      </w:r>
      <w:r w:rsidRPr="0023574F">
        <w:rPr>
          <w:b/>
          <w:bCs/>
          <w:sz w:val="20"/>
          <w:szCs w:val="20"/>
        </w:rPr>
        <w:t>3</w:t>
      </w:r>
      <w:r w:rsidRPr="0023574F">
        <w:rPr>
          <w:sz w:val="20"/>
          <w:szCs w:val="20"/>
        </w:rPr>
        <w:t xml:space="preserve">: Treated fungus with methyl </w:t>
      </w:r>
      <w:proofErr w:type="spellStart"/>
      <w:r w:rsidRPr="0023574F">
        <w:rPr>
          <w:sz w:val="20"/>
          <w:szCs w:val="20"/>
        </w:rPr>
        <w:t>cinnamate</w:t>
      </w:r>
      <w:proofErr w:type="spellEnd"/>
      <w:r w:rsidRPr="0023574F">
        <w:rPr>
          <w:sz w:val="20"/>
          <w:szCs w:val="20"/>
        </w:rPr>
        <w:t xml:space="preserve">. </w:t>
      </w:r>
      <w:r w:rsidRPr="0023574F">
        <w:rPr>
          <w:b/>
          <w:bCs/>
          <w:sz w:val="20"/>
          <w:szCs w:val="20"/>
        </w:rPr>
        <w:t>4</w:t>
      </w:r>
      <w:r w:rsidRPr="0023574F">
        <w:rPr>
          <w:sz w:val="20"/>
          <w:szCs w:val="20"/>
        </w:rPr>
        <w:t xml:space="preserve">: Treated fungus with </w:t>
      </w:r>
      <w:proofErr w:type="spellStart"/>
      <w:r w:rsidRPr="0023574F">
        <w:rPr>
          <w:sz w:val="20"/>
          <w:szCs w:val="20"/>
        </w:rPr>
        <w:t>thymol</w:t>
      </w:r>
      <w:proofErr w:type="spellEnd"/>
      <w:r w:rsidRPr="0023574F">
        <w:rPr>
          <w:sz w:val="20"/>
          <w:szCs w:val="20"/>
        </w:rPr>
        <w:t>.</w:t>
      </w:r>
    </w:p>
    <w:p w:rsidR="00A112DC" w:rsidRDefault="00A112DC" w:rsidP="0023574F">
      <w:pPr>
        <w:autoSpaceDE w:val="0"/>
        <w:autoSpaceDN w:val="0"/>
        <w:adjustRightInd w:val="0"/>
        <w:snapToGrid w:val="0"/>
        <w:ind w:firstLine="425"/>
        <w:jc w:val="both"/>
        <w:rPr>
          <w:rFonts w:eastAsiaTheme="minorEastAsia"/>
          <w:b/>
          <w:bCs/>
          <w:sz w:val="20"/>
          <w:szCs w:val="20"/>
          <w:lang w:eastAsia="zh-CN"/>
        </w:rPr>
      </w:pPr>
      <w:bookmarkStart w:id="0" w:name="_GoBack"/>
      <w:bookmarkEnd w:id="0"/>
    </w:p>
    <w:p w:rsidR="00F350DE" w:rsidRPr="0023574F" w:rsidRDefault="00274DF1" w:rsidP="00A112DC">
      <w:pPr>
        <w:autoSpaceDE w:val="0"/>
        <w:autoSpaceDN w:val="0"/>
        <w:adjustRightInd w:val="0"/>
        <w:snapToGrid w:val="0"/>
        <w:jc w:val="both"/>
        <w:rPr>
          <w:b/>
          <w:bCs/>
          <w:sz w:val="20"/>
          <w:szCs w:val="20"/>
        </w:rPr>
      </w:pPr>
      <w:r w:rsidRPr="0023574F">
        <w:rPr>
          <w:b/>
          <w:bCs/>
          <w:sz w:val="20"/>
          <w:szCs w:val="20"/>
        </w:rPr>
        <w:t>4. Discussion:</w:t>
      </w:r>
    </w:p>
    <w:p w:rsidR="008D295F" w:rsidRPr="0023574F" w:rsidRDefault="008D295F" w:rsidP="0023574F">
      <w:pPr>
        <w:autoSpaceDE w:val="0"/>
        <w:autoSpaceDN w:val="0"/>
        <w:adjustRightInd w:val="0"/>
        <w:snapToGrid w:val="0"/>
        <w:ind w:firstLine="425"/>
        <w:jc w:val="both"/>
        <w:rPr>
          <w:sz w:val="20"/>
          <w:szCs w:val="20"/>
        </w:rPr>
      </w:pPr>
      <w:r w:rsidRPr="0023574F">
        <w:rPr>
          <w:sz w:val="20"/>
          <w:szCs w:val="20"/>
        </w:rPr>
        <w:t xml:space="preserve">Pathogenic fungi could decrease the growth of many economically important crops </w:t>
      </w:r>
      <w:r w:rsidRPr="0023574F">
        <w:rPr>
          <w:b/>
          <w:bCs/>
          <w:sz w:val="20"/>
          <w:szCs w:val="20"/>
        </w:rPr>
        <w:t xml:space="preserve">(Fletcher </w:t>
      </w:r>
      <w:r w:rsidRPr="0023574F">
        <w:rPr>
          <w:b/>
          <w:bCs/>
          <w:i/>
          <w:iCs/>
          <w:sz w:val="20"/>
          <w:szCs w:val="20"/>
        </w:rPr>
        <w:t>et al.,</w:t>
      </w:r>
      <w:r w:rsidRPr="0023574F">
        <w:rPr>
          <w:b/>
          <w:bCs/>
          <w:sz w:val="20"/>
          <w:szCs w:val="20"/>
        </w:rPr>
        <w:t xml:space="preserve"> 2006)</w:t>
      </w:r>
      <w:r w:rsidRPr="0023574F">
        <w:rPr>
          <w:sz w:val="20"/>
          <w:szCs w:val="20"/>
        </w:rPr>
        <w:t xml:space="preserve">. Synthetic fungicides are currently the main solutions for fungal pathogenic diseases. Conversely, resistance of fungicides by various plant pathogenic fungi is the primary cause with regard to poor disease control of agriculture </w:t>
      </w:r>
      <w:r w:rsidRPr="0023574F">
        <w:rPr>
          <w:b/>
          <w:bCs/>
          <w:sz w:val="20"/>
          <w:szCs w:val="20"/>
        </w:rPr>
        <w:t xml:space="preserve">(Steffens </w:t>
      </w:r>
      <w:r w:rsidRPr="0023574F">
        <w:rPr>
          <w:b/>
          <w:bCs/>
          <w:i/>
          <w:iCs/>
          <w:sz w:val="20"/>
          <w:szCs w:val="20"/>
        </w:rPr>
        <w:t>et al.,</w:t>
      </w:r>
      <w:r w:rsidRPr="0023574F">
        <w:rPr>
          <w:b/>
          <w:bCs/>
          <w:sz w:val="20"/>
          <w:szCs w:val="20"/>
        </w:rPr>
        <w:t xml:space="preserve"> 1996; </w:t>
      </w:r>
      <w:proofErr w:type="spellStart"/>
      <w:r w:rsidRPr="0023574F">
        <w:rPr>
          <w:b/>
          <w:bCs/>
          <w:sz w:val="20"/>
          <w:szCs w:val="20"/>
        </w:rPr>
        <w:t>Aguin</w:t>
      </w:r>
      <w:proofErr w:type="spellEnd"/>
      <w:r w:rsidR="00F06756">
        <w:rPr>
          <w:b/>
          <w:bCs/>
          <w:sz w:val="20"/>
          <w:szCs w:val="20"/>
        </w:rPr>
        <w:t xml:space="preserve"> </w:t>
      </w:r>
      <w:r w:rsidRPr="0023574F">
        <w:rPr>
          <w:b/>
          <w:bCs/>
          <w:i/>
          <w:iCs/>
          <w:sz w:val="20"/>
          <w:szCs w:val="20"/>
        </w:rPr>
        <w:t>et al.,</w:t>
      </w:r>
      <w:r w:rsidRPr="0023574F">
        <w:rPr>
          <w:b/>
          <w:bCs/>
          <w:sz w:val="20"/>
          <w:szCs w:val="20"/>
        </w:rPr>
        <w:t xml:space="preserve"> 2006; Ishii, 2006)</w:t>
      </w:r>
      <w:r w:rsidRPr="0023574F">
        <w:rPr>
          <w:sz w:val="20"/>
          <w:szCs w:val="20"/>
        </w:rPr>
        <w:t xml:space="preserve">. Moreover, the use of synthetic fungicides could be dangerous to humans and the environment. Recently, the use of synthetic fungicides is diminishing, thus the substitutions of their materials by natural products has increased </w:t>
      </w:r>
      <w:proofErr w:type="spellStart"/>
      <w:r w:rsidRPr="0023574F">
        <w:rPr>
          <w:sz w:val="20"/>
          <w:szCs w:val="20"/>
        </w:rPr>
        <w:t>signiﬁcantly</w:t>
      </w:r>
      <w:proofErr w:type="spellEnd"/>
      <w:r w:rsidRPr="0023574F">
        <w:rPr>
          <w:sz w:val="20"/>
          <w:szCs w:val="20"/>
        </w:rPr>
        <w:t xml:space="preserve"> with regard to research, especially when considering the health and environmental </w:t>
      </w:r>
      <w:proofErr w:type="spellStart"/>
      <w:r w:rsidRPr="0023574F">
        <w:rPr>
          <w:sz w:val="20"/>
          <w:szCs w:val="20"/>
        </w:rPr>
        <w:t>beneﬁts</w:t>
      </w:r>
      <w:proofErr w:type="spellEnd"/>
      <w:r w:rsidRPr="0023574F">
        <w:rPr>
          <w:sz w:val="20"/>
          <w:szCs w:val="20"/>
        </w:rPr>
        <w:t xml:space="preserve"> </w:t>
      </w:r>
      <w:r w:rsidRPr="0023574F">
        <w:rPr>
          <w:b/>
          <w:bCs/>
          <w:sz w:val="20"/>
          <w:szCs w:val="20"/>
        </w:rPr>
        <w:t xml:space="preserve">(Duke, 1993; </w:t>
      </w:r>
      <w:proofErr w:type="spellStart"/>
      <w:r w:rsidRPr="0023574F">
        <w:rPr>
          <w:b/>
          <w:bCs/>
          <w:sz w:val="20"/>
          <w:szCs w:val="20"/>
        </w:rPr>
        <w:t>Daayf</w:t>
      </w:r>
      <w:proofErr w:type="spellEnd"/>
      <w:r w:rsidR="00F06756">
        <w:rPr>
          <w:b/>
          <w:bCs/>
          <w:sz w:val="20"/>
          <w:szCs w:val="20"/>
        </w:rPr>
        <w:t xml:space="preserve"> </w:t>
      </w:r>
      <w:r w:rsidRPr="0023574F">
        <w:rPr>
          <w:b/>
          <w:bCs/>
          <w:i/>
          <w:iCs/>
          <w:sz w:val="20"/>
          <w:szCs w:val="20"/>
        </w:rPr>
        <w:t>et al.,</w:t>
      </w:r>
      <w:r w:rsidRPr="0023574F">
        <w:rPr>
          <w:b/>
          <w:bCs/>
          <w:sz w:val="20"/>
          <w:szCs w:val="20"/>
        </w:rPr>
        <w:t xml:space="preserve"> 1995)</w:t>
      </w:r>
      <w:r w:rsidRPr="0023574F">
        <w:rPr>
          <w:sz w:val="20"/>
          <w:szCs w:val="20"/>
        </w:rPr>
        <w:t>.</w:t>
      </w:r>
    </w:p>
    <w:p w:rsidR="008D295F" w:rsidRPr="0023574F" w:rsidRDefault="008D295F" w:rsidP="0023574F">
      <w:pPr>
        <w:autoSpaceDE w:val="0"/>
        <w:autoSpaceDN w:val="0"/>
        <w:adjustRightInd w:val="0"/>
        <w:snapToGrid w:val="0"/>
        <w:ind w:firstLine="425"/>
        <w:jc w:val="both"/>
        <w:rPr>
          <w:b/>
          <w:bCs/>
          <w:sz w:val="20"/>
          <w:szCs w:val="20"/>
        </w:rPr>
      </w:pPr>
      <w:r w:rsidRPr="0023574F">
        <w:rPr>
          <w:sz w:val="20"/>
          <w:szCs w:val="20"/>
        </w:rPr>
        <w:lastRenderedPageBreak/>
        <w:t xml:space="preserve">Alternative natural pesticides are necessary for use in the control of pathogenic fungal diseases in plants. Essential oils and extracts from various parts of plants is one of the most promising groups of natural compounds which may be developed for use as natural fungicides substitute the synthetic pesticides due to the presence of </w:t>
      </w:r>
      <w:proofErr w:type="spellStart"/>
      <w:r w:rsidRPr="0023574F">
        <w:rPr>
          <w:sz w:val="20"/>
          <w:szCs w:val="20"/>
        </w:rPr>
        <w:t>terpene</w:t>
      </w:r>
      <w:proofErr w:type="spellEnd"/>
      <w:r w:rsidRPr="0023574F">
        <w:rPr>
          <w:sz w:val="20"/>
          <w:szCs w:val="20"/>
        </w:rPr>
        <w:t xml:space="preserve"> constituents within differing functional groups found in the oils. There exists much evidence indicating that the essential oils and various extracts of plants were employed as fungicides </w:t>
      </w:r>
      <w:r w:rsidRPr="0023574F">
        <w:rPr>
          <w:b/>
          <w:bCs/>
          <w:sz w:val="20"/>
          <w:szCs w:val="20"/>
        </w:rPr>
        <w:t>(</w:t>
      </w:r>
      <w:proofErr w:type="spellStart"/>
      <w:r w:rsidRPr="0023574F">
        <w:rPr>
          <w:b/>
          <w:bCs/>
          <w:sz w:val="20"/>
          <w:szCs w:val="20"/>
        </w:rPr>
        <w:t>Manohar</w:t>
      </w:r>
      <w:proofErr w:type="spellEnd"/>
      <w:r w:rsidR="00F06756">
        <w:rPr>
          <w:b/>
          <w:bCs/>
          <w:sz w:val="20"/>
          <w:szCs w:val="20"/>
        </w:rPr>
        <w:t xml:space="preserve"> </w:t>
      </w:r>
      <w:r w:rsidRPr="0023574F">
        <w:rPr>
          <w:b/>
          <w:bCs/>
          <w:i/>
          <w:iCs/>
          <w:sz w:val="20"/>
          <w:szCs w:val="20"/>
        </w:rPr>
        <w:t xml:space="preserve">et al., </w:t>
      </w:r>
      <w:r w:rsidRPr="0023574F">
        <w:rPr>
          <w:b/>
          <w:bCs/>
          <w:sz w:val="20"/>
          <w:szCs w:val="20"/>
        </w:rPr>
        <w:t xml:space="preserve">2001; Chang </w:t>
      </w:r>
      <w:r w:rsidRPr="0023574F">
        <w:rPr>
          <w:b/>
          <w:bCs/>
          <w:i/>
          <w:iCs/>
          <w:sz w:val="20"/>
          <w:szCs w:val="20"/>
        </w:rPr>
        <w:t>et al.,</w:t>
      </w:r>
      <w:r w:rsidRPr="0023574F">
        <w:rPr>
          <w:b/>
          <w:bCs/>
          <w:sz w:val="20"/>
          <w:szCs w:val="20"/>
        </w:rPr>
        <w:t xml:space="preserve"> 2008 and Yen </w:t>
      </w:r>
      <w:r w:rsidRPr="0023574F">
        <w:rPr>
          <w:b/>
          <w:bCs/>
          <w:i/>
          <w:iCs/>
          <w:sz w:val="20"/>
          <w:szCs w:val="20"/>
        </w:rPr>
        <w:t>et al.,</w:t>
      </w:r>
      <w:r w:rsidRPr="0023574F">
        <w:rPr>
          <w:b/>
          <w:bCs/>
          <w:sz w:val="20"/>
          <w:szCs w:val="20"/>
        </w:rPr>
        <w:t xml:space="preserve"> 2008).</w:t>
      </w:r>
    </w:p>
    <w:p w:rsidR="00F350DE" w:rsidRPr="0023574F" w:rsidRDefault="00F350DE" w:rsidP="0023574F">
      <w:pPr>
        <w:snapToGrid w:val="0"/>
        <w:ind w:firstLine="425"/>
        <w:jc w:val="both"/>
        <w:rPr>
          <w:rFonts w:eastAsia="AdvEPSTIM"/>
          <w:sz w:val="20"/>
          <w:szCs w:val="20"/>
        </w:rPr>
      </w:pPr>
      <w:r w:rsidRPr="0023574F">
        <w:rPr>
          <w:rFonts w:eastAsia="AdvEPSTIM"/>
          <w:sz w:val="20"/>
          <w:szCs w:val="20"/>
        </w:rPr>
        <w:t xml:space="preserve">Recently, several investigations have been conducted into the antifungal actions of essential oils against </w:t>
      </w:r>
      <w:proofErr w:type="spellStart"/>
      <w:r w:rsidRPr="0023574F">
        <w:rPr>
          <w:rFonts w:eastAsia="AdvEPSTIM"/>
          <w:sz w:val="20"/>
          <w:szCs w:val="20"/>
        </w:rPr>
        <w:t>phytopathogenic</w:t>
      </w:r>
      <w:proofErr w:type="spellEnd"/>
      <w:r w:rsidRPr="0023574F">
        <w:rPr>
          <w:rFonts w:eastAsia="AdvEPSTIM"/>
          <w:sz w:val="20"/>
          <w:szCs w:val="20"/>
        </w:rPr>
        <w:t xml:space="preserve"> fungi </w:t>
      </w:r>
      <w:r w:rsidRPr="0023574F">
        <w:rPr>
          <w:rFonts w:eastAsia="AdvEPSTIM"/>
          <w:b/>
          <w:bCs/>
          <w:sz w:val="20"/>
          <w:szCs w:val="20"/>
        </w:rPr>
        <w:t>(</w:t>
      </w:r>
      <w:proofErr w:type="spellStart"/>
      <w:r w:rsidRPr="0023574F">
        <w:rPr>
          <w:rFonts w:eastAsia="AdvEPSTIM"/>
          <w:b/>
          <w:bCs/>
          <w:sz w:val="20"/>
          <w:szCs w:val="20"/>
        </w:rPr>
        <w:t>Shimoni</w:t>
      </w:r>
      <w:proofErr w:type="spellEnd"/>
      <w:r w:rsidR="00F06756">
        <w:rPr>
          <w:rFonts w:eastAsia="AdvEPSTIM"/>
          <w:b/>
          <w:bCs/>
          <w:sz w:val="20"/>
          <w:szCs w:val="20"/>
        </w:rPr>
        <w:t xml:space="preserve"> </w:t>
      </w:r>
      <w:r w:rsidRPr="0023574F">
        <w:rPr>
          <w:rFonts w:eastAsia="AdvEPSTIM"/>
          <w:b/>
          <w:bCs/>
          <w:i/>
          <w:iCs/>
          <w:sz w:val="20"/>
          <w:szCs w:val="20"/>
        </w:rPr>
        <w:t xml:space="preserve">et al., </w:t>
      </w:r>
      <w:r w:rsidRPr="0023574F">
        <w:rPr>
          <w:rFonts w:eastAsia="AdvEPSTIM"/>
          <w:b/>
          <w:bCs/>
          <w:sz w:val="20"/>
          <w:szCs w:val="20"/>
        </w:rPr>
        <w:t xml:space="preserve">1993; </w:t>
      </w:r>
      <w:proofErr w:type="spellStart"/>
      <w:r w:rsidRPr="0023574F">
        <w:rPr>
          <w:rFonts w:eastAsia="AdvEPSTIM"/>
          <w:b/>
          <w:bCs/>
          <w:sz w:val="20"/>
          <w:szCs w:val="20"/>
        </w:rPr>
        <w:t>Zygadlo</w:t>
      </w:r>
      <w:proofErr w:type="spellEnd"/>
      <w:r w:rsidR="00F06756">
        <w:rPr>
          <w:rFonts w:eastAsia="AdvEPSTIM"/>
          <w:b/>
          <w:bCs/>
          <w:sz w:val="20"/>
          <w:szCs w:val="20"/>
        </w:rPr>
        <w:t xml:space="preserve"> </w:t>
      </w:r>
      <w:r w:rsidRPr="0023574F">
        <w:rPr>
          <w:rFonts w:eastAsia="AdvEPSTIM"/>
          <w:b/>
          <w:bCs/>
          <w:i/>
          <w:iCs/>
          <w:sz w:val="20"/>
          <w:szCs w:val="20"/>
        </w:rPr>
        <w:t xml:space="preserve">et al., </w:t>
      </w:r>
      <w:r w:rsidRPr="0023574F">
        <w:rPr>
          <w:rFonts w:eastAsia="AdvEPSTIM"/>
          <w:b/>
          <w:bCs/>
          <w:sz w:val="20"/>
          <w:szCs w:val="20"/>
        </w:rPr>
        <w:t xml:space="preserve">1994; Prudent </w:t>
      </w:r>
      <w:r w:rsidRPr="0023574F">
        <w:rPr>
          <w:rFonts w:eastAsia="AdvEPSTIM"/>
          <w:b/>
          <w:bCs/>
          <w:i/>
          <w:iCs/>
          <w:sz w:val="20"/>
          <w:szCs w:val="20"/>
        </w:rPr>
        <w:t xml:space="preserve">et al., </w:t>
      </w:r>
      <w:r w:rsidRPr="0023574F">
        <w:rPr>
          <w:rFonts w:eastAsia="AdvEPSTIM"/>
          <w:b/>
          <w:bCs/>
          <w:sz w:val="20"/>
          <w:szCs w:val="20"/>
        </w:rPr>
        <w:t xml:space="preserve">1995; </w:t>
      </w:r>
      <w:proofErr w:type="spellStart"/>
      <w:r w:rsidRPr="0023574F">
        <w:rPr>
          <w:rFonts w:eastAsia="AdvEPSTIM"/>
          <w:b/>
          <w:bCs/>
          <w:sz w:val="20"/>
          <w:szCs w:val="20"/>
        </w:rPr>
        <w:t>Zygadlo</w:t>
      </w:r>
      <w:proofErr w:type="spellEnd"/>
      <w:r w:rsidR="00F06756">
        <w:rPr>
          <w:rFonts w:eastAsia="AdvEPSTIM"/>
          <w:b/>
          <w:bCs/>
          <w:sz w:val="20"/>
          <w:szCs w:val="20"/>
        </w:rPr>
        <w:t xml:space="preserve"> </w:t>
      </w:r>
      <w:r w:rsidRPr="0023574F">
        <w:rPr>
          <w:rFonts w:eastAsia="AdvEPSTIM"/>
          <w:b/>
          <w:bCs/>
          <w:i/>
          <w:iCs/>
          <w:sz w:val="20"/>
          <w:szCs w:val="20"/>
        </w:rPr>
        <w:t xml:space="preserve">et al., </w:t>
      </w:r>
      <w:r w:rsidRPr="0023574F">
        <w:rPr>
          <w:rFonts w:eastAsia="AdvEPSTIM"/>
          <w:b/>
          <w:bCs/>
          <w:sz w:val="20"/>
          <w:szCs w:val="20"/>
        </w:rPr>
        <w:t xml:space="preserve">1995; </w:t>
      </w:r>
      <w:proofErr w:type="spellStart"/>
      <w:r w:rsidRPr="0023574F">
        <w:rPr>
          <w:rFonts w:eastAsia="AdvEPSTIM"/>
          <w:b/>
          <w:bCs/>
          <w:sz w:val="20"/>
          <w:szCs w:val="20"/>
        </w:rPr>
        <w:t>Carta</w:t>
      </w:r>
      <w:proofErr w:type="spellEnd"/>
      <w:r w:rsidR="00F06756">
        <w:rPr>
          <w:rFonts w:eastAsia="AdvEPSTIM"/>
          <w:b/>
          <w:bCs/>
          <w:sz w:val="20"/>
          <w:szCs w:val="20"/>
        </w:rPr>
        <w:t xml:space="preserve"> </w:t>
      </w:r>
      <w:r w:rsidRPr="0023574F">
        <w:rPr>
          <w:rFonts w:eastAsia="AdvEPSTIM"/>
          <w:b/>
          <w:bCs/>
          <w:i/>
          <w:iCs/>
          <w:sz w:val="20"/>
          <w:szCs w:val="20"/>
        </w:rPr>
        <w:t xml:space="preserve">et al., </w:t>
      </w:r>
      <w:r w:rsidRPr="0023574F">
        <w:rPr>
          <w:rFonts w:eastAsia="AdvEPSTIM"/>
          <w:b/>
          <w:bCs/>
          <w:sz w:val="20"/>
          <w:szCs w:val="20"/>
        </w:rPr>
        <w:t xml:space="preserve">1996 and Bishop and </w:t>
      </w:r>
      <w:proofErr w:type="spellStart"/>
      <w:r w:rsidRPr="0023574F">
        <w:rPr>
          <w:rFonts w:eastAsia="AdvEPSTIM"/>
          <w:b/>
          <w:bCs/>
          <w:sz w:val="20"/>
          <w:szCs w:val="20"/>
        </w:rPr>
        <w:t>Thorton</w:t>
      </w:r>
      <w:proofErr w:type="spellEnd"/>
      <w:r w:rsidRPr="0023574F">
        <w:rPr>
          <w:rFonts w:eastAsia="AdvEPSTIM"/>
          <w:b/>
          <w:bCs/>
          <w:sz w:val="20"/>
          <w:szCs w:val="20"/>
        </w:rPr>
        <w:t xml:space="preserve"> 1997).</w:t>
      </w:r>
    </w:p>
    <w:p w:rsidR="00F350DE" w:rsidRPr="0023574F" w:rsidRDefault="00F350DE" w:rsidP="0023574F">
      <w:pPr>
        <w:snapToGrid w:val="0"/>
        <w:ind w:firstLine="425"/>
        <w:jc w:val="both"/>
        <w:rPr>
          <w:sz w:val="20"/>
          <w:szCs w:val="20"/>
        </w:rPr>
      </w:pPr>
      <w:r w:rsidRPr="0023574F">
        <w:rPr>
          <w:sz w:val="20"/>
          <w:szCs w:val="20"/>
          <w:lang w:bidi="ar-EG"/>
        </w:rPr>
        <w:t xml:space="preserve">Accordingly, an investigation was carried out to elucidate the effect of five naturally occurring compounds namely </w:t>
      </w:r>
      <w:proofErr w:type="spellStart"/>
      <w:r w:rsidRPr="0023574F">
        <w:rPr>
          <w:sz w:val="20"/>
          <w:szCs w:val="20"/>
          <w:lang w:bidi="ar-EG"/>
        </w:rPr>
        <w:t>eugenol</w:t>
      </w:r>
      <w:proofErr w:type="spellEnd"/>
      <w:r w:rsidRPr="0023574F">
        <w:rPr>
          <w:sz w:val="20"/>
          <w:szCs w:val="20"/>
          <w:lang w:bidi="ar-EG"/>
        </w:rPr>
        <w:t xml:space="preserve">, </w:t>
      </w:r>
      <w:proofErr w:type="spellStart"/>
      <w:r w:rsidRPr="0023574F">
        <w:rPr>
          <w:sz w:val="20"/>
          <w:szCs w:val="20"/>
          <w:lang w:bidi="ar-EG"/>
        </w:rPr>
        <w:t>thymol</w:t>
      </w:r>
      <w:proofErr w:type="spellEnd"/>
      <w:r w:rsidRPr="0023574F">
        <w:rPr>
          <w:sz w:val="20"/>
          <w:szCs w:val="20"/>
          <w:lang w:bidi="ar-EG"/>
        </w:rPr>
        <w:t xml:space="preserve">, methyl </w:t>
      </w:r>
      <w:proofErr w:type="spellStart"/>
      <w:r w:rsidRPr="0023574F">
        <w:rPr>
          <w:sz w:val="20"/>
          <w:szCs w:val="20"/>
          <w:lang w:bidi="ar-EG"/>
        </w:rPr>
        <w:t>cinnamate</w:t>
      </w:r>
      <w:proofErr w:type="spellEnd"/>
      <w:r w:rsidRPr="0023574F">
        <w:rPr>
          <w:sz w:val="20"/>
          <w:szCs w:val="20"/>
          <w:lang w:bidi="ar-EG"/>
        </w:rPr>
        <w:t>, linalool and 1,8-cineol</w:t>
      </w:r>
      <w:r w:rsidR="008D295F" w:rsidRPr="0023574F">
        <w:rPr>
          <w:sz w:val="20"/>
          <w:szCs w:val="20"/>
          <w:lang w:bidi="ar-EG"/>
        </w:rPr>
        <w:t xml:space="preserve"> on </w:t>
      </w:r>
      <w:r w:rsidR="008D295F" w:rsidRPr="0023574F">
        <w:rPr>
          <w:i/>
          <w:iCs/>
          <w:sz w:val="20"/>
          <w:szCs w:val="20"/>
          <w:lang w:bidi="ar-EG"/>
        </w:rPr>
        <w:t xml:space="preserve">F. </w:t>
      </w:r>
      <w:proofErr w:type="spellStart"/>
      <w:r w:rsidR="008D295F" w:rsidRPr="0023574F">
        <w:rPr>
          <w:i/>
          <w:iCs/>
          <w:sz w:val="20"/>
          <w:szCs w:val="20"/>
          <w:lang w:bidi="ar-EG"/>
        </w:rPr>
        <w:t>oxysporum</w:t>
      </w:r>
      <w:proofErr w:type="spellEnd"/>
      <w:r w:rsidRPr="0023574F">
        <w:rPr>
          <w:sz w:val="20"/>
          <w:szCs w:val="20"/>
          <w:lang w:bidi="ar-EG"/>
        </w:rPr>
        <w:t>.</w:t>
      </w:r>
    </w:p>
    <w:p w:rsidR="00F350DE" w:rsidRPr="0023574F" w:rsidRDefault="00F350DE" w:rsidP="0023574F">
      <w:pPr>
        <w:autoSpaceDE w:val="0"/>
        <w:autoSpaceDN w:val="0"/>
        <w:adjustRightInd w:val="0"/>
        <w:snapToGrid w:val="0"/>
        <w:ind w:firstLine="425"/>
        <w:jc w:val="both"/>
        <w:rPr>
          <w:b/>
          <w:bCs/>
          <w:sz w:val="20"/>
          <w:szCs w:val="20"/>
        </w:rPr>
      </w:pPr>
      <w:r w:rsidRPr="0023574F">
        <w:rPr>
          <w:b/>
          <w:bCs/>
          <w:sz w:val="20"/>
          <w:szCs w:val="20"/>
        </w:rPr>
        <w:t>Biological activity of natural compounds in relation to their chemical structure:</w:t>
      </w:r>
    </w:p>
    <w:p w:rsidR="00F350DE" w:rsidRPr="0023574F" w:rsidRDefault="00F350DE" w:rsidP="0023574F">
      <w:pPr>
        <w:autoSpaceDE w:val="0"/>
        <w:autoSpaceDN w:val="0"/>
        <w:adjustRightInd w:val="0"/>
        <w:snapToGrid w:val="0"/>
        <w:ind w:firstLine="425"/>
        <w:jc w:val="both"/>
        <w:rPr>
          <w:sz w:val="20"/>
          <w:szCs w:val="20"/>
        </w:rPr>
      </w:pPr>
      <w:r w:rsidRPr="0023574F">
        <w:rPr>
          <w:rFonts w:eastAsia="Batang"/>
          <w:color w:val="000000"/>
          <w:sz w:val="20"/>
          <w:szCs w:val="20"/>
        </w:rPr>
        <w:t xml:space="preserve">In the antimicrobial action of essential oil components, the </w:t>
      </w:r>
      <w:proofErr w:type="spellStart"/>
      <w:r w:rsidRPr="0023574F">
        <w:rPr>
          <w:rFonts w:eastAsia="Batang"/>
          <w:color w:val="000000"/>
          <w:sz w:val="20"/>
          <w:szCs w:val="20"/>
        </w:rPr>
        <w:t>lipophilic</w:t>
      </w:r>
      <w:proofErr w:type="spellEnd"/>
      <w:r w:rsidRPr="0023574F">
        <w:rPr>
          <w:rFonts w:eastAsia="Batang"/>
          <w:color w:val="000000"/>
          <w:sz w:val="20"/>
          <w:szCs w:val="20"/>
        </w:rPr>
        <w:t xml:space="preserve"> character of their hydrocarbon skeleton and the hydrophilic character of their functional groups are of the main importance. The activity rank of essential oil components is as follows: phenols &gt; </w:t>
      </w:r>
      <w:proofErr w:type="spellStart"/>
      <w:r w:rsidRPr="0023574F">
        <w:rPr>
          <w:rFonts w:eastAsia="Batang"/>
          <w:color w:val="000000"/>
          <w:sz w:val="20"/>
          <w:szCs w:val="20"/>
        </w:rPr>
        <w:t>aldehydes</w:t>
      </w:r>
      <w:proofErr w:type="spellEnd"/>
      <w:r w:rsidRPr="0023574F">
        <w:rPr>
          <w:rFonts w:eastAsia="Batang"/>
          <w:color w:val="000000"/>
          <w:sz w:val="20"/>
          <w:szCs w:val="20"/>
        </w:rPr>
        <w:t xml:space="preserve"> &gt; </w:t>
      </w:r>
      <w:proofErr w:type="spellStart"/>
      <w:r w:rsidRPr="0023574F">
        <w:rPr>
          <w:rFonts w:eastAsia="Batang"/>
          <w:color w:val="000000"/>
          <w:sz w:val="20"/>
          <w:szCs w:val="20"/>
        </w:rPr>
        <w:t>ketones</w:t>
      </w:r>
      <w:proofErr w:type="spellEnd"/>
      <w:r w:rsidRPr="0023574F">
        <w:rPr>
          <w:rFonts w:eastAsia="Batang"/>
          <w:color w:val="000000"/>
          <w:sz w:val="20"/>
          <w:szCs w:val="20"/>
        </w:rPr>
        <w:t xml:space="preserve"> &gt; alcohols &gt; ethers &gt; hydrocarbons. The highest activity was reported for phenols – </w:t>
      </w:r>
      <w:proofErr w:type="spellStart"/>
      <w:r w:rsidRPr="0023574F">
        <w:rPr>
          <w:rFonts w:eastAsia="Batang"/>
          <w:color w:val="000000"/>
          <w:sz w:val="20"/>
          <w:szCs w:val="20"/>
        </w:rPr>
        <w:t>thymol</w:t>
      </w:r>
      <w:proofErr w:type="spellEnd"/>
      <w:r w:rsidRPr="0023574F">
        <w:rPr>
          <w:rFonts w:eastAsia="Batang"/>
          <w:color w:val="000000"/>
          <w:sz w:val="20"/>
          <w:szCs w:val="20"/>
        </w:rPr>
        <w:t xml:space="preserve">, </w:t>
      </w:r>
      <w:proofErr w:type="spellStart"/>
      <w:r w:rsidRPr="0023574F">
        <w:rPr>
          <w:rFonts w:eastAsia="Batang"/>
          <w:color w:val="000000"/>
          <w:sz w:val="20"/>
          <w:szCs w:val="20"/>
        </w:rPr>
        <w:t>carvacrol</w:t>
      </w:r>
      <w:proofErr w:type="spellEnd"/>
      <w:r w:rsidRPr="0023574F">
        <w:rPr>
          <w:rFonts w:eastAsia="Batang"/>
          <w:color w:val="000000"/>
          <w:sz w:val="20"/>
          <w:szCs w:val="20"/>
        </w:rPr>
        <w:t xml:space="preserve"> and </w:t>
      </w:r>
      <w:proofErr w:type="spellStart"/>
      <w:r w:rsidRPr="0023574F">
        <w:rPr>
          <w:rFonts w:eastAsia="Batang"/>
          <w:color w:val="000000"/>
          <w:sz w:val="20"/>
          <w:szCs w:val="20"/>
        </w:rPr>
        <w:t>eugenol</w:t>
      </w:r>
      <w:proofErr w:type="spellEnd"/>
      <w:r w:rsidRPr="0023574F">
        <w:rPr>
          <w:rFonts w:eastAsia="Batang"/>
          <w:color w:val="000000"/>
          <w:sz w:val="20"/>
          <w:szCs w:val="20"/>
        </w:rPr>
        <w:t xml:space="preserve">, which is explained by the acidic nature of the hydroxyl group, forming a hydrogen bond with an enzyme active center </w:t>
      </w:r>
      <w:r w:rsidRPr="0023574F">
        <w:rPr>
          <w:rFonts w:eastAsia="Batang"/>
          <w:b/>
          <w:bCs/>
          <w:color w:val="000000"/>
          <w:sz w:val="20"/>
          <w:szCs w:val="20"/>
        </w:rPr>
        <w:t>(</w:t>
      </w:r>
      <w:proofErr w:type="spellStart"/>
      <w:r w:rsidRPr="0023574F">
        <w:rPr>
          <w:rFonts w:eastAsia="Batang"/>
          <w:b/>
          <w:bCs/>
          <w:color w:val="000000"/>
          <w:sz w:val="20"/>
          <w:szCs w:val="20"/>
        </w:rPr>
        <w:t>Kalemba</w:t>
      </w:r>
      <w:proofErr w:type="spellEnd"/>
      <w:r w:rsidRPr="0023574F">
        <w:rPr>
          <w:rFonts w:eastAsia="Batang"/>
          <w:b/>
          <w:bCs/>
          <w:color w:val="000000"/>
          <w:sz w:val="20"/>
          <w:szCs w:val="20"/>
        </w:rPr>
        <w:t xml:space="preserve"> and </w:t>
      </w:r>
      <w:proofErr w:type="spellStart"/>
      <w:r w:rsidRPr="0023574F">
        <w:rPr>
          <w:rFonts w:eastAsia="Batang"/>
          <w:b/>
          <w:bCs/>
          <w:color w:val="000000"/>
          <w:sz w:val="20"/>
          <w:szCs w:val="20"/>
        </w:rPr>
        <w:t>Kunicka</w:t>
      </w:r>
      <w:proofErr w:type="spellEnd"/>
      <w:r w:rsidR="00F06756">
        <w:rPr>
          <w:rFonts w:eastAsia="Batang"/>
          <w:b/>
          <w:bCs/>
          <w:color w:val="000000"/>
          <w:sz w:val="20"/>
          <w:szCs w:val="20"/>
        </w:rPr>
        <w:t xml:space="preserve"> </w:t>
      </w:r>
      <w:r w:rsidRPr="0023574F">
        <w:rPr>
          <w:rFonts w:eastAsia="Batang"/>
          <w:b/>
          <w:bCs/>
          <w:color w:val="000000"/>
          <w:sz w:val="20"/>
          <w:szCs w:val="20"/>
        </w:rPr>
        <w:t>2003)</w:t>
      </w:r>
      <w:r w:rsidRPr="0023574F">
        <w:rPr>
          <w:rFonts w:eastAsia="Batang"/>
          <w:color w:val="000000"/>
          <w:sz w:val="20"/>
          <w:szCs w:val="20"/>
        </w:rPr>
        <w:t>. Therefore, essential oils with phenols as main compounds express the highest activity against microorganisms, and their activity spectrum is the broadest.</w:t>
      </w:r>
    </w:p>
    <w:p w:rsidR="00F350DE" w:rsidRPr="0023574F" w:rsidRDefault="00F350DE" w:rsidP="0023574F">
      <w:pPr>
        <w:autoSpaceDE w:val="0"/>
        <w:autoSpaceDN w:val="0"/>
        <w:adjustRightInd w:val="0"/>
        <w:snapToGrid w:val="0"/>
        <w:ind w:firstLine="425"/>
        <w:jc w:val="both"/>
        <w:rPr>
          <w:sz w:val="20"/>
          <w:szCs w:val="20"/>
        </w:rPr>
      </w:pPr>
      <w:r w:rsidRPr="00A112DC">
        <w:rPr>
          <w:bCs/>
          <w:sz w:val="20"/>
          <w:szCs w:val="20"/>
        </w:rPr>
        <w:t>T</w:t>
      </w:r>
      <w:r w:rsidRPr="0023574F">
        <w:rPr>
          <w:sz w:val="20"/>
          <w:szCs w:val="20"/>
        </w:rPr>
        <w:t xml:space="preserve">he antifungal activity of 47 kinds of essential oils and several related compounds were examined against seven fungi. The results suggest that secondary alcohols (e.g., 2-octanol, L-menthol, </w:t>
      </w:r>
      <w:proofErr w:type="spellStart"/>
      <w:r w:rsidRPr="0023574F">
        <w:rPr>
          <w:sz w:val="20"/>
          <w:szCs w:val="20"/>
        </w:rPr>
        <w:t>borneol</w:t>
      </w:r>
      <w:proofErr w:type="spellEnd"/>
      <w:r w:rsidRPr="0023574F">
        <w:rPr>
          <w:sz w:val="20"/>
          <w:szCs w:val="20"/>
        </w:rPr>
        <w:t xml:space="preserve">) and tertiary alcohols (e.g., linalool) possess a markedly lower antifungal activity as compared to primary alcohols such as </w:t>
      </w:r>
      <w:proofErr w:type="spellStart"/>
      <w:r w:rsidRPr="0023574F">
        <w:rPr>
          <w:sz w:val="20"/>
          <w:szCs w:val="20"/>
        </w:rPr>
        <w:t>cinnamyl</w:t>
      </w:r>
      <w:proofErr w:type="spellEnd"/>
      <w:r w:rsidRPr="0023574F">
        <w:rPr>
          <w:sz w:val="20"/>
          <w:szCs w:val="20"/>
        </w:rPr>
        <w:t xml:space="preserve"> alcohol, </w:t>
      </w:r>
      <w:proofErr w:type="spellStart"/>
      <w:r w:rsidRPr="0023574F">
        <w:rPr>
          <w:sz w:val="20"/>
          <w:szCs w:val="20"/>
        </w:rPr>
        <w:t>geraniol</w:t>
      </w:r>
      <w:proofErr w:type="spellEnd"/>
      <w:r w:rsidRPr="0023574F">
        <w:rPr>
          <w:sz w:val="20"/>
          <w:szCs w:val="20"/>
        </w:rPr>
        <w:t xml:space="preserve">, and </w:t>
      </w:r>
      <w:proofErr w:type="spellStart"/>
      <w:r w:rsidRPr="0023574F">
        <w:rPr>
          <w:sz w:val="20"/>
          <w:szCs w:val="20"/>
        </w:rPr>
        <w:t>citronellol</w:t>
      </w:r>
      <w:proofErr w:type="spellEnd"/>
      <w:r w:rsidRPr="0023574F">
        <w:rPr>
          <w:sz w:val="20"/>
          <w:szCs w:val="20"/>
        </w:rPr>
        <w:t xml:space="preserve">. The antifungal activity of </w:t>
      </w:r>
      <w:proofErr w:type="spellStart"/>
      <w:r w:rsidRPr="0023574F">
        <w:rPr>
          <w:sz w:val="20"/>
          <w:szCs w:val="20"/>
        </w:rPr>
        <w:t>eugenol</w:t>
      </w:r>
      <w:proofErr w:type="spellEnd"/>
      <w:r w:rsidRPr="0023574F">
        <w:rPr>
          <w:sz w:val="20"/>
          <w:szCs w:val="20"/>
        </w:rPr>
        <w:t xml:space="preserve"> (4-allyl-guaiacol), a </w:t>
      </w:r>
      <w:proofErr w:type="spellStart"/>
      <w:r w:rsidRPr="0023574F">
        <w:rPr>
          <w:sz w:val="20"/>
          <w:szCs w:val="20"/>
        </w:rPr>
        <w:t>phenolic</w:t>
      </w:r>
      <w:proofErr w:type="spellEnd"/>
      <w:r w:rsidRPr="0023574F">
        <w:rPr>
          <w:sz w:val="20"/>
          <w:szCs w:val="20"/>
        </w:rPr>
        <w:t xml:space="preserve"> compound, was found to be 8-10 times higher than that of </w:t>
      </w:r>
      <w:proofErr w:type="spellStart"/>
      <w:r w:rsidRPr="0023574F">
        <w:rPr>
          <w:sz w:val="20"/>
          <w:szCs w:val="20"/>
        </w:rPr>
        <w:t>guaiacol</w:t>
      </w:r>
      <w:proofErr w:type="spellEnd"/>
      <w:r w:rsidR="00F06756">
        <w:rPr>
          <w:sz w:val="20"/>
          <w:szCs w:val="20"/>
        </w:rPr>
        <w:t xml:space="preserve"> </w:t>
      </w:r>
      <w:r w:rsidRPr="0023574F">
        <w:rPr>
          <w:i/>
          <w:iCs/>
          <w:sz w:val="20"/>
          <w:szCs w:val="20"/>
        </w:rPr>
        <w:t>(</w:t>
      </w:r>
      <w:r w:rsidRPr="0023574F">
        <w:rPr>
          <w:sz w:val="20"/>
          <w:szCs w:val="20"/>
        </w:rPr>
        <w:t>o-</w:t>
      </w:r>
      <w:proofErr w:type="spellStart"/>
      <w:r w:rsidRPr="0023574F">
        <w:rPr>
          <w:sz w:val="20"/>
          <w:szCs w:val="20"/>
        </w:rPr>
        <w:t>methoxyphenol</w:t>
      </w:r>
      <w:proofErr w:type="spellEnd"/>
      <w:r w:rsidRPr="0023574F">
        <w:rPr>
          <w:sz w:val="20"/>
          <w:szCs w:val="20"/>
        </w:rPr>
        <w:t xml:space="preserve">) and 3-4 times higher than that of creosol (4-methylguaiacol). From the molecular structure, it is clear that the addition of alkyl or </w:t>
      </w:r>
      <w:proofErr w:type="spellStart"/>
      <w:r w:rsidRPr="0023574F">
        <w:rPr>
          <w:sz w:val="20"/>
          <w:szCs w:val="20"/>
        </w:rPr>
        <w:t>alkenyl</w:t>
      </w:r>
      <w:proofErr w:type="spellEnd"/>
      <w:r w:rsidRPr="0023574F">
        <w:rPr>
          <w:sz w:val="20"/>
          <w:szCs w:val="20"/>
        </w:rPr>
        <w:t xml:space="preserve"> groups to the benzene ring of either phenol or </w:t>
      </w:r>
      <w:proofErr w:type="spellStart"/>
      <w:r w:rsidRPr="0023574F">
        <w:rPr>
          <w:sz w:val="20"/>
          <w:szCs w:val="20"/>
        </w:rPr>
        <w:t>guaiacol</w:t>
      </w:r>
      <w:proofErr w:type="spellEnd"/>
      <w:r w:rsidRPr="0023574F">
        <w:rPr>
          <w:sz w:val="20"/>
          <w:szCs w:val="20"/>
        </w:rPr>
        <w:t xml:space="preserve"> enhanced the antimicrobial activity. The activity of these </w:t>
      </w:r>
      <w:proofErr w:type="spellStart"/>
      <w:r w:rsidRPr="0023574F">
        <w:rPr>
          <w:sz w:val="20"/>
          <w:szCs w:val="20"/>
        </w:rPr>
        <w:t>phenolic</w:t>
      </w:r>
      <w:proofErr w:type="spellEnd"/>
      <w:r w:rsidRPr="0023574F">
        <w:rPr>
          <w:sz w:val="20"/>
          <w:szCs w:val="20"/>
        </w:rPr>
        <w:t xml:space="preserve"> compounds appeared to depend on the size of the added alkyl or </w:t>
      </w:r>
      <w:proofErr w:type="spellStart"/>
      <w:r w:rsidRPr="0023574F">
        <w:rPr>
          <w:sz w:val="20"/>
          <w:szCs w:val="20"/>
        </w:rPr>
        <w:t>alkenyl</w:t>
      </w:r>
      <w:proofErr w:type="spellEnd"/>
      <w:r w:rsidRPr="0023574F">
        <w:rPr>
          <w:sz w:val="20"/>
          <w:szCs w:val="20"/>
        </w:rPr>
        <w:t xml:space="preserve"> </w:t>
      </w:r>
      <w:r w:rsidRPr="0023574F">
        <w:rPr>
          <w:sz w:val="20"/>
          <w:szCs w:val="20"/>
        </w:rPr>
        <w:lastRenderedPageBreak/>
        <w:t xml:space="preserve">group, where the larger the size of the alkyl or </w:t>
      </w:r>
      <w:proofErr w:type="spellStart"/>
      <w:r w:rsidRPr="0023574F">
        <w:rPr>
          <w:sz w:val="20"/>
          <w:szCs w:val="20"/>
        </w:rPr>
        <w:t>alkenyl</w:t>
      </w:r>
      <w:proofErr w:type="spellEnd"/>
      <w:r w:rsidRPr="0023574F">
        <w:rPr>
          <w:sz w:val="20"/>
          <w:szCs w:val="20"/>
        </w:rPr>
        <w:t xml:space="preserve"> group, the stronger the antimicrobial activity </w:t>
      </w:r>
      <w:r w:rsidRPr="0023574F">
        <w:rPr>
          <w:b/>
          <w:bCs/>
          <w:sz w:val="20"/>
          <w:szCs w:val="20"/>
        </w:rPr>
        <w:t xml:space="preserve">(Kurita </w:t>
      </w:r>
      <w:r w:rsidRPr="0023574F">
        <w:rPr>
          <w:b/>
          <w:bCs/>
          <w:i/>
          <w:iCs/>
          <w:sz w:val="20"/>
          <w:szCs w:val="20"/>
        </w:rPr>
        <w:t xml:space="preserve">et al., </w:t>
      </w:r>
      <w:r w:rsidRPr="0023574F">
        <w:rPr>
          <w:b/>
          <w:bCs/>
          <w:sz w:val="20"/>
          <w:szCs w:val="20"/>
        </w:rPr>
        <w:t xml:space="preserve">1981, </w:t>
      </w:r>
      <w:proofErr w:type="spellStart"/>
      <w:r w:rsidRPr="0023574F">
        <w:rPr>
          <w:b/>
          <w:bCs/>
          <w:sz w:val="20"/>
          <w:szCs w:val="20"/>
        </w:rPr>
        <w:t>Knobloch</w:t>
      </w:r>
      <w:proofErr w:type="spellEnd"/>
      <w:r w:rsidRPr="0023574F">
        <w:rPr>
          <w:b/>
          <w:bCs/>
          <w:i/>
          <w:iCs/>
          <w:sz w:val="20"/>
          <w:szCs w:val="20"/>
        </w:rPr>
        <w:t xml:space="preserve"> et al., </w:t>
      </w:r>
      <w:r w:rsidRPr="0023574F">
        <w:rPr>
          <w:b/>
          <w:bCs/>
          <w:sz w:val="20"/>
          <w:szCs w:val="20"/>
        </w:rPr>
        <w:t xml:space="preserve">1989 and </w:t>
      </w:r>
      <w:proofErr w:type="spellStart"/>
      <w:r w:rsidRPr="0023574F">
        <w:rPr>
          <w:b/>
          <w:bCs/>
          <w:sz w:val="20"/>
          <w:szCs w:val="20"/>
        </w:rPr>
        <w:t>Pelczar</w:t>
      </w:r>
      <w:proofErr w:type="spellEnd"/>
      <w:r w:rsidR="00F06756">
        <w:rPr>
          <w:b/>
          <w:bCs/>
          <w:sz w:val="20"/>
          <w:szCs w:val="20"/>
        </w:rPr>
        <w:t xml:space="preserve"> </w:t>
      </w:r>
      <w:r w:rsidRPr="0023574F">
        <w:rPr>
          <w:b/>
          <w:bCs/>
          <w:i/>
          <w:iCs/>
          <w:sz w:val="20"/>
          <w:szCs w:val="20"/>
        </w:rPr>
        <w:t xml:space="preserve">et al., </w:t>
      </w:r>
      <w:r w:rsidRPr="0023574F">
        <w:rPr>
          <w:b/>
          <w:bCs/>
          <w:sz w:val="20"/>
          <w:szCs w:val="20"/>
        </w:rPr>
        <w:t>1993).</w:t>
      </w:r>
      <w:r w:rsidR="004048ED">
        <w:rPr>
          <w:sz w:val="20"/>
          <w:szCs w:val="20"/>
        </w:rPr>
        <w:t xml:space="preserve"> </w:t>
      </w:r>
      <w:r w:rsidRPr="0023574F">
        <w:rPr>
          <w:sz w:val="20"/>
          <w:szCs w:val="20"/>
        </w:rPr>
        <w:t xml:space="preserve">Because alkyl or </w:t>
      </w:r>
      <w:proofErr w:type="spellStart"/>
      <w:r w:rsidRPr="0023574F">
        <w:rPr>
          <w:sz w:val="20"/>
          <w:szCs w:val="20"/>
        </w:rPr>
        <w:t>alkenyl</w:t>
      </w:r>
      <w:proofErr w:type="spellEnd"/>
      <w:r w:rsidRPr="0023574F">
        <w:rPr>
          <w:sz w:val="20"/>
          <w:szCs w:val="20"/>
        </w:rPr>
        <w:t xml:space="preserve"> groups are hydrophobic, these results indicate that </w:t>
      </w:r>
      <w:proofErr w:type="spellStart"/>
      <w:r w:rsidRPr="0023574F">
        <w:rPr>
          <w:sz w:val="20"/>
          <w:szCs w:val="20"/>
        </w:rPr>
        <w:t>hydrophobicity</w:t>
      </w:r>
      <w:proofErr w:type="spellEnd"/>
      <w:r w:rsidRPr="0023574F">
        <w:rPr>
          <w:sz w:val="20"/>
          <w:szCs w:val="20"/>
        </w:rPr>
        <w:t xml:space="preserve"> above a minimum extent was required for </w:t>
      </w:r>
      <w:proofErr w:type="spellStart"/>
      <w:r w:rsidRPr="0023574F">
        <w:rPr>
          <w:sz w:val="20"/>
          <w:szCs w:val="20"/>
        </w:rPr>
        <w:t>phenolic</w:t>
      </w:r>
      <w:proofErr w:type="spellEnd"/>
      <w:r w:rsidRPr="0023574F">
        <w:rPr>
          <w:sz w:val="20"/>
          <w:szCs w:val="20"/>
        </w:rPr>
        <w:t xml:space="preserve"> compounds to show a potent antimicrobial effect.</w:t>
      </w:r>
    </w:p>
    <w:p w:rsidR="00F350DE" w:rsidRPr="0023574F" w:rsidRDefault="00F350DE" w:rsidP="0023574F">
      <w:pPr>
        <w:autoSpaceDE w:val="0"/>
        <w:autoSpaceDN w:val="0"/>
        <w:adjustRightInd w:val="0"/>
        <w:snapToGrid w:val="0"/>
        <w:ind w:firstLine="425"/>
        <w:jc w:val="both"/>
        <w:rPr>
          <w:sz w:val="20"/>
          <w:szCs w:val="20"/>
        </w:rPr>
      </w:pPr>
      <w:r w:rsidRPr="0023574F">
        <w:rPr>
          <w:sz w:val="20"/>
          <w:szCs w:val="20"/>
        </w:rPr>
        <w:t xml:space="preserve">The exact cause-effect relation for the mode of action of </w:t>
      </w:r>
      <w:proofErr w:type="spellStart"/>
      <w:r w:rsidRPr="0023574F">
        <w:rPr>
          <w:sz w:val="20"/>
          <w:szCs w:val="20"/>
        </w:rPr>
        <w:t>phenolic</w:t>
      </w:r>
      <w:proofErr w:type="spellEnd"/>
      <w:r w:rsidRPr="0023574F">
        <w:rPr>
          <w:sz w:val="20"/>
          <w:szCs w:val="20"/>
        </w:rPr>
        <w:t xml:space="preserve"> compounds has not been determined yet, but </w:t>
      </w:r>
      <w:proofErr w:type="spellStart"/>
      <w:r w:rsidRPr="0023574F">
        <w:rPr>
          <w:b/>
          <w:bCs/>
          <w:sz w:val="20"/>
          <w:szCs w:val="20"/>
        </w:rPr>
        <w:t>Davdison</w:t>
      </w:r>
      <w:proofErr w:type="spellEnd"/>
      <w:r w:rsidRPr="0023574F">
        <w:rPr>
          <w:b/>
          <w:bCs/>
          <w:sz w:val="20"/>
          <w:szCs w:val="20"/>
        </w:rPr>
        <w:t xml:space="preserve"> (1993) </w:t>
      </w:r>
      <w:r w:rsidRPr="0023574F">
        <w:rPr>
          <w:sz w:val="20"/>
          <w:szCs w:val="20"/>
        </w:rPr>
        <w:t>indicated that, it may deactivate essential enzymes, reacting with the cell membrane or disturbing material functionality.</w:t>
      </w:r>
    </w:p>
    <w:p w:rsidR="008D295F" w:rsidRPr="0023574F" w:rsidRDefault="008D295F" w:rsidP="00A112DC">
      <w:pPr>
        <w:snapToGrid w:val="0"/>
        <w:jc w:val="both"/>
        <w:rPr>
          <w:b/>
          <w:bCs/>
          <w:sz w:val="20"/>
          <w:szCs w:val="20"/>
        </w:rPr>
      </w:pPr>
      <w:r w:rsidRPr="0023574F">
        <w:rPr>
          <w:b/>
          <w:bCs/>
          <w:sz w:val="20"/>
          <w:szCs w:val="20"/>
        </w:rPr>
        <w:t>Biochemical and Molecular Studies:</w:t>
      </w:r>
    </w:p>
    <w:p w:rsidR="008D295F" w:rsidRPr="0023574F" w:rsidRDefault="008D295F" w:rsidP="0023574F">
      <w:pPr>
        <w:snapToGrid w:val="0"/>
        <w:ind w:firstLine="425"/>
        <w:jc w:val="both"/>
        <w:rPr>
          <w:b/>
          <w:bCs/>
          <w:sz w:val="20"/>
          <w:szCs w:val="20"/>
        </w:rPr>
      </w:pPr>
      <w:r w:rsidRPr="0023574F">
        <w:rPr>
          <w:b/>
          <w:bCs/>
          <w:sz w:val="20"/>
          <w:szCs w:val="20"/>
        </w:rPr>
        <w:t>SDS-PAGE analysis:</w:t>
      </w:r>
    </w:p>
    <w:p w:rsidR="008D295F" w:rsidRPr="0023574F" w:rsidRDefault="008D295F" w:rsidP="0023574F">
      <w:pPr>
        <w:snapToGrid w:val="0"/>
        <w:ind w:firstLine="425"/>
        <w:jc w:val="both"/>
        <w:rPr>
          <w:sz w:val="20"/>
          <w:szCs w:val="20"/>
        </w:rPr>
      </w:pPr>
      <w:r w:rsidRPr="0023574F">
        <w:rPr>
          <w:sz w:val="20"/>
          <w:szCs w:val="20"/>
        </w:rPr>
        <w:t xml:space="preserve">When the fungus subjected to the three treatments, </w:t>
      </w:r>
      <w:proofErr w:type="spellStart"/>
      <w:r w:rsidRPr="0023574F">
        <w:rPr>
          <w:sz w:val="20"/>
          <w:szCs w:val="20"/>
        </w:rPr>
        <w:t>eugenol</w:t>
      </w:r>
      <w:proofErr w:type="spellEnd"/>
      <w:r w:rsidRPr="0023574F">
        <w:rPr>
          <w:sz w:val="20"/>
          <w:szCs w:val="20"/>
        </w:rPr>
        <w:t xml:space="preserve">, methyl </w:t>
      </w:r>
      <w:proofErr w:type="spellStart"/>
      <w:r w:rsidRPr="0023574F">
        <w:rPr>
          <w:sz w:val="20"/>
          <w:szCs w:val="20"/>
        </w:rPr>
        <w:t>cinnamate</w:t>
      </w:r>
      <w:proofErr w:type="spellEnd"/>
      <w:r w:rsidRPr="0023574F">
        <w:rPr>
          <w:sz w:val="20"/>
          <w:szCs w:val="20"/>
        </w:rPr>
        <w:t xml:space="preserve"> and </w:t>
      </w:r>
      <w:proofErr w:type="spellStart"/>
      <w:r w:rsidRPr="0023574F">
        <w:rPr>
          <w:sz w:val="20"/>
          <w:szCs w:val="20"/>
        </w:rPr>
        <w:t>thymol</w:t>
      </w:r>
      <w:proofErr w:type="spellEnd"/>
      <w:r w:rsidRPr="0023574F">
        <w:rPr>
          <w:sz w:val="20"/>
          <w:szCs w:val="20"/>
        </w:rPr>
        <w:t xml:space="preserve">, new protein bands were produced. Two protein bands (32.76 and 30.938 </w:t>
      </w:r>
      <w:proofErr w:type="spellStart"/>
      <w:r w:rsidRPr="0023574F">
        <w:rPr>
          <w:sz w:val="20"/>
          <w:szCs w:val="20"/>
        </w:rPr>
        <w:t>KDa</w:t>
      </w:r>
      <w:proofErr w:type="spellEnd"/>
      <w:r w:rsidRPr="0023574F">
        <w:rPr>
          <w:sz w:val="20"/>
          <w:szCs w:val="20"/>
        </w:rPr>
        <w:t xml:space="preserve">) were produced in the untreated fungus and characterized it. The appearance of new protein bands in the treated samples refer to the synthesis of the new protein which is controlled by the structural gene, while the variability in the band intensity may be associated with the effect of the organic compounds on the gene expression </w:t>
      </w:r>
      <w:r w:rsidRPr="0023574F">
        <w:rPr>
          <w:b/>
          <w:bCs/>
          <w:sz w:val="20"/>
          <w:szCs w:val="20"/>
        </w:rPr>
        <w:t>(</w:t>
      </w:r>
      <w:proofErr w:type="spellStart"/>
      <w:r w:rsidRPr="0023574F">
        <w:rPr>
          <w:b/>
          <w:bCs/>
          <w:sz w:val="20"/>
          <w:szCs w:val="20"/>
        </w:rPr>
        <w:t>Mendhulkar</w:t>
      </w:r>
      <w:proofErr w:type="spellEnd"/>
      <w:r w:rsidRPr="0023574F">
        <w:rPr>
          <w:b/>
          <w:bCs/>
          <w:sz w:val="20"/>
          <w:szCs w:val="20"/>
        </w:rPr>
        <w:t>, 1993; Georgiou &amp;</w:t>
      </w:r>
      <w:r w:rsidR="00F06756">
        <w:rPr>
          <w:b/>
          <w:bCs/>
          <w:sz w:val="20"/>
          <w:szCs w:val="20"/>
        </w:rPr>
        <w:t xml:space="preserve"> </w:t>
      </w:r>
      <w:proofErr w:type="spellStart"/>
      <w:r w:rsidRPr="0023574F">
        <w:rPr>
          <w:b/>
          <w:bCs/>
          <w:sz w:val="20"/>
          <w:szCs w:val="20"/>
        </w:rPr>
        <w:t>Petropoulou</w:t>
      </w:r>
      <w:proofErr w:type="spellEnd"/>
      <w:r w:rsidRPr="0023574F">
        <w:rPr>
          <w:b/>
          <w:bCs/>
          <w:sz w:val="20"/>
          <w:szCs w:val="20"/>
        </w:rPr>
        <w:t>, 2001;</w:t>
      </w:r>
      <w:r w:rsidR="004048ED">
        <w:rPr>
          <w:b/>
          <w:bCs/>
          <w:sz w:val="20"/>
          <w:szCs w:val="20"/>
        </w:rPr>
        <w:t xml:space="preserve"> </w:t>
      </w:r>
      <w:r w:rsidRPr="0023574F">
        <w:rPr>
          <w:b/>
          <w:bCs/>
          <w:sz w:val="20"/>
          <w:szCs w:val="20"/>
        </w:rPr>
        <w:t>Georgiou</w:t>
      </w:r>
      <w:r w:rsidR="004048ED">
        <w:rPr>
          <w:b/>
          <w:bCs/>
          <w:sz w:val="20"/>
          <w:szCs w:val="20"/>
        </w:rPr>
        <w:t xml:space="preserve"> </w:t>
      </w:r>
      <w:r w:rsidRPr="0023574F">
        <w:rPr>
          <w:b/>
          <w:bCs/>
          <w:i/>
          <w:iCs/>
          <w:sz w:val="20"/>
          <w:szCs w:val="20"/>
        </w:rPr>
        <w:t>et</w:t>
      </w:r>
      <w:r w:rsidR="004048ED">
        <w:rPr>
          <w:b/>
          <w:bCs/>
          <w:i/>
          <w:iCs/>
          <w:sz w:val="20"/>
          <w:szCs w:val="20"/>
        </w:rPr>
        <w:t xml:space="preserve"> </w:t>
      </w:r>
      <w:r w:rsidRPr="0023574F">
        <w:rPr>
          <w:b/>
          <w:bCs/>
          <w:i/>
          <w:iCs/>
          <w:sz w:val="20"/>
          <w:szCs w:val="20"/>
        </w:rPr>
        <w:t>al</w:t>
      </w:r>
      <w:r w:rsidRPr="0023574F">
        <w:rPr>
          <w:b/>
          <w:bCs/>
          <w:sz w:val="20"/>
          <w:szCs w:val="20"/>
        </w:rPr>
        <w:t>.,</w:t>
      </w:r>
      <w:r w:rsidR="004048ED">
        <w:rPr>
          <w:b/>
          <w:bCs/>
          <w:sz w:val="20"/>
          <w:szCs w:val="20"/>
        </w:rPr>
        <w:t xml:space="preserve"> </w:t>
      </w:r>
      <w:r w:rsidRPr="0023574F">
        <w:rPr>
          <w:b/>
          <w:bCs/>
          <w:sz w:val="20"/>
          <w:szCs w:val="20"/>
        </w:rPr>
        <w:t>2003).</w:t>
      </w:r>
    </w:p>
    <w:p w:rsidR="008D295F" w:rsidRPr="0023574F" w:rsidRDefault="008D295F" w:rsidP="0019042B">
      <w:pPr>
        <w:snapToGrid w:val="0"/>
        <w:ind w:firstLine="425"/>
        <w:jc w:val="both"/>
        <w:rPr>
          <w:sz w:val="20"/>
          <w:szCs w:val="20"/>
        </w:rPr>
      </w:pPr>
      <w:proofErr w:type="spellStart"/>
      <w:r w:rsidRPr="0023574F">
        <w:rPr>
          <w:b/>
          <w:bCs/>
          <w:sz w:val="20"/>
          <w:szCs w:val="20"/>
        </w:rPr>
        <w:t>Bai</w:t>
      </w:r>
      <w:proofErr w:type="spellEnd"/>
      <w:r w:rsidR="00F06756">
        <w:rPr>
          <w:b/>
          <w:bCs/>
          <w:sz w:val="20"/>
          <w:szCs w:val="20"/>
        </w:rPr>
        <w:t xml:space="preserve"> </w:t>
      </w:r>
      <w:r w:rsidRPr="0023574F">
        <w:rPr>
          <w:b/>
          <w:bCs/>
          <w:i/>
          <w:iCs/>
          <w:sz w:val="20"/>
          <w:szCs w:val="20"/>
        </w:rPr>
        <w:t>et al</w:t>
      </w:r>
      <w:r w:rsidRPr="0023574F">
        <w:rPr>
          <w:b/>
          <w:bCs/>
          <w:sz w:val="20"/>
          <w:szCs w:val="20"/>
        </w:rPr>
        <w:t>. (2004 ) and</w:t>
      </w:r>
      <w:r w:rsidR="004048ED">
        <w:rPr>
          <w:b/>
          <w:bCs/>
          <w:sz w:val="20"/>
          <w:szCs w:val="20"/>
        </w:rPr>
        <w:t xml:space="preserve"> </w:t>
      </w:r>
      <w:proofErr w:type="spellStart"/>
      <w:r w:rsidRPr="0023574F">
        <w:rPr>
          <w:b/>
          <w:bCs/>
          <w:sz w:val="20"/>
          <w:szCs w:val="20"/>
        </w:rPr>
        <w:t>Eichholzer</w:t>
      </w:r>
      <w:proofErr w:type="spellEnd"/>
      <w:r w:rsidR="00F06756">
        <w:rPr>
          <w:b/>
          <w:bCs/>
          <w:sz w:val="20"/>
          <w:szCs w:val="20"/>
        </w:rPr>
        <w:t xml:space="preserve"> </w:t>
      </w:r>
      <w:r w:rsidRPr="0023574F">
        <w:rPr>
          <w:b/>
          <w:bCs/>
          <w:i/>
          <w:iCs/>
          <w:sz w:val="20"/>
          <w:szCs w:val="20"/>
        </w:rPr>
        <w:t>et al</w:t>
      </w:r>
      <w:r w:rsidRPr="0023574F">
        <w:rPr>
          <w:b/>
          <w:bCs/>
          <w:sz w:val="20"/>
          <w:szCs w:val="20"/>
        </w:rPr>
        <w:t>. (2006)</w:t>
      </w:r>
      <w:r w:rsidRPr="0023574F">
        <w:rPr>
          <w:sz w:val="20"/>
          <w:szCs w:val="20"/>
        </w:rPr>
        <w:t xml:space="preserve"> reported that the stress proteins are</w:t>
      </w:r>
      <w:r w:rsidR="004048ED">
        <w:rPr>
          <w:sz w:val="20"/>
          <w:szCs w:val="20"/>
        </w:rPr>
        <w:t xml:space="preserve"> </w:t>
      </w:r>
      <w:r w:rsidRPr="0023574F">
        <w:rPr>
          <w:sz w:val="20"/>
          <w:szCs w:val="20"/>
        </w:rPr>
        <w:t>formed by microorganisms as a result of a change in the environment such as exposure to heat, radiation or chemicals, so-called stress-susceptible genes are expressed. According to current insights, such proteins can contribute to protect it against environmental changes.</w:t>
      </w:r>
    </w:p>
    <w:p w:rsidR="008D295F" w:rsidRPr="0023574F" w:rsidRDefault="008D295F" w:rsidP="0023574F">
      <w:pPr>
        <w:snapToGrid w:val="0"/>
        <w:ind w:firstLine="425"/>
        <w:jc w:val="both"/>
        <w:rPr>
          <w:sz w:val="20"/>
          <w:szCs w:val="20"/>
        </w:rPr>
      </w:pPr>
      <w:r w:rsidRPr="0023574F">
        <w:rPr>
          <w:sz w:val="20"/>
          <w:szCs w:val="20"/>
        </w:rPr>
        <w:t xml:space="preserve">From </w:t>
      </w:r>
      <w:proofErr w:type="spellStart"/>
      <w:r w:rsidRPr="0023574F">
        <w:rPr>
          <w:sz w:val="20"/>
          <w:szCs w:val="20"/>
        </w:rPr>
        <w:t>dendrogram</w:t>
      </w:r>
      <w:proofErr w:type="spellEnd"/>
      <w:r w:rsidRPr="0023574F">
        <w:rPr>
          <w:sz w:val="20"/>
          <w:szCs w:val="20"/>
        </w:rPr>
        <w:t xml:space="preserve">, the untreated sample was completely different from the treated samples. Cluster 2 is divided into two groups, group 1 represented the sample treated with methyl </w:t>
      </w:r>
      <w:proofErr w:type="spellStart"/>
      <w:r w:rsidRPr="0023574F">
        <w:rPr>
          <w:sz w:val="20"/>
          <w:szCs w:val="20"/>
        </w:rPr>
        <w:t>cinnamate</w:t>
      </w:r>
      <w:proofErr w:type="spellEnd"/>
      <w:r w:rsidR="00F06756">
        <w:rPr>
          <w:sz w:val="20"/>
          <w:szCs w:val="20"/>
        </w:rPr>
        <w:t xml:space="preserve"> </w:t>
      </w:r>
      <w:r w:rsidRPr="0023574F">
        <w:rPr>
          <w:sz w:val="20"/>
          <w:szCs w:val="20"/>
        </w:rPr>
        <w:t xml:space="preserve">and group 2 represented the samples treated with </w:t>
      </w:r>
      <w:proofErr w:type="spellStart"/>
      <w:r w:rsidRPr="0023574F">
        <w:rPr>
          <w:sz w:val="20"/>
          <w:szCs w:val="20"/>
        </w:rPr>
        <w:t>eugenol</w:t>
      </w:r>
      <w:proofErr w:type="spellEnd"/>
      <w:r w:rsidRPr="0023574F">
        <w:rPr>
          <w:sz w:val="20"/>
          <w:szCs w:val="20"/>
        </w:rPr>
        <w:t xml:space="preserve"> and </w:t>
      </w:r>
      <w:proofErr w:type="spellStart"/>
      <w:r w:rsidRPr="0023574F">
        <w:rPr>
          <w:sz w:val="20"/>
          <w:szCs w:val="20"/>
        </w:rPr>
        <w:t>thymol</w:t>
      </w:r>
      <w:proofErr w:type="spellEnd"/>
      <w:r w:rsidRPr="0023574F">
        <w:rPr>
          <w:sz w:val="20"/>
          <w:szCs w:val="20"/>
        </w:rPr>
        <w:t xml:space="preserve">. This result may explain that, the </w:t>
      </w:r>
      <w:proofErr w:type="spellStart"/>
      <w:r w:rsidRPr="0023574F">
        <w:rPr>
          <w:sz w:val="20"/>
          <w:szCs w:val="20"/>
        </w:rPr>
        <w:t>thymol</w:t>
      </w:r>
      <w:proofErr w:type="spellEnd"/>
      <w:r w:rsidRPr="0023574F">
        <w:rPr>
          <w:sz w:val="20"/>
          <w:szCs w:val="20"/>
        </w:rPr>
        <w:t xml:space="preserve"> and </w:t>
      </w:r>
      <w:proofErr w:type="spellStart"/>
      <w:r w:rsidRPr="0023574F">
        <w:rPr>
          <w:sz w:val="20"/>
          <w:szCs w:val="20"/>
        </w:rPr>
        <w:t>eugenol</w:t>
      </w:r>
      <w:proofErr w:type="spellEnd"/>
      <w:r w:rsidRPr="0023574F">
        <w:rPr>
          <w:sz w:val="20"/>
          <w:szCs w:val="20"/>
        </w:rPr>
        <w:t xml:space="preserve"> may have the same genetic variation and accordingly, may have the same mode of action on the fungal growth while, the methyl </w:t>
      </w:r>
      <w:proofErr w:type="spellStart"/>
      <w:r w:rsidRPr="0023574F">
        <w:rPr>
          <w:sz w:val="20"/>
          <w:szCs w:val="20"/>
        </w:rPr>
        <w:t>cinnamate</w:t>
      </w:r>
      <w:proofErr w:type="spellEnd"/>
      <w:r w:rsidRPr="0023574F">
        <w:rPr>
          <w:sz w:val="20"/>
          <w:szCs w:val="20"/>
        </w:rPr>
        <w:t xml:space="preserve"> may has mode of action differs from </w:t>
      </w:r>
      <w:proofErr w:type="spellStart"/>
      <w:r w:rsidRPr="0023574F">
        <w:rPr>
          <w:sz w:val="20"/>
          <w:szCs w:val="20"/>
        </w:rPr>
        <w:t>thymol</w:t>
      </w:r>
      <w:proofErr w:type="spellEnd"/>
      <w:r w:rsidRPr="0023574F">
        <w:rPr>
          <w:sz w:val="20"/>
          <w:szCs w:val="20"/>
        </w:rPr>
        <w:t xml:space="preserve"> and </w:t>
      </w:r>
      <w:proofErr w:type="spellStart"/>
      <w:r w:rsidRPr="0023574F">
        <w:rPr>
          <w:sz w:val="20"/>
          <w:szCs w:val="20"/>
        </w:rPr>
        <w:t>eugenol</w:t>
      </w:r>
      <w:proofErr w:type="spellEnd"/>
      <w:r w:rsidRPr="0023574F">
        <w:rPr>
          <w:sz w:val="20"/>
          <w:szCs w:val="20"/>
        </w:rPr>
        <w:t xml:space="preserve"> on the fungal growth. Since, the electrophoresis of proteins appeared to be a useful tool for identification and characterization the genetic differences between untreated and treated fungi and also among the treated samples.</w:t>
      </w:r>
    </w:p>
    <w:p w:rsidR="008D295F" w:rsidRPr="0023574F" w:rsidRDefault="008D295F" w:rsidP="0019042B">
      <w:pPr>
        <w:snapToGrid w:val="0"/>
        <w:ind w:firstLine="425"/>
        <w:jc w:val="both"/>
        <w:rPr>
          <w:sz w:val="20"/>
          <w:szCs w:val="20"/>
        </w:rPr>
      </w:pPr>
      <w:r w:rsidRPr="0023574F">
        <w:rPr>
          <w:b/>
          <w:bCs/>
          <w:sz w:val="20"/>
          <w:szCs w:val="20"/>
        </w:rPr>
        <w:t xml:space="preserve">Burgess </w:t>
      </w:r>
      <w:r w:rsidRPr="0023574F">
        <w:rPr>
          <w:b/>
          <w:bCs/>
          <w:i/>
          <w:iCs/>
          <w:sz w:val="20"/>
          <w:szCs w:val="20"/>
        </w:rPr>
        <w:t>et al.</w:t>
      </w:r>
      <w:r w:rsidRPr="0023574F">
        <w:rPr>
          <w:b/>
          <w:bCs/>
          <w:sz w:val="20"/>
          <w:szCs w:val="20"/>
        </w:rPr>
        <w:t xml:space="preserve"> (1995) and </w:t>
      </w:r>
      <w:proofErr w:type="spellStart"/>
      <w:r w:rsidRPr="0023574F">
        <w:rPr>
          <w:b/>
          <w:bCs/>
          <w:sz w:val="20"/>
          <w:szCs w:val="20"/>
        </w:rPr>
        <w:t>Aly</w:t>
      </w:r>
      <w:proofErr w:type="spellEnd"/>
      <w:r w:rsidR="00F06756">
        <w:rPr>
          <w:b/>
          <w:bCs/>
          <w:sz w:val="20"/>
          <w:szCs w:val="20"/>
        </w:rPr>
        <w:t xml:space="preserve"> </w:t>
      </w:r>
      <w:r w:rsidRPr="0023574F">
        <w:rPr>
          <w:b/>
          <w:bCs/>
          <w:i/>
          <w:iCs/>
          <w:sz w:val="20"/>
          <w:szCs w:val="20"/>
        </w:rPr>
        <w:t>et al.</w:t>
      </w:r>
      <w:r w:rsidRPr="0023574F">
        <w:rPr>
          <w:b/>
          <w:bCs/>
          <w:sz w:val="20"/>
          <w:szCs w:val="20"/>
        </w:rPr>
        <w:t xml:space="preserve"> (2003) </w:t>
      </w:r>
      <w:r w:rsidRPr="0023574F">
        <w:rPr>
          <w:sz w:val="20"/>
          <w:szCs w:val="20"/>
        </w:rPr>
        <w:t>reported that the SDS-PAGE technique is relatively simple and</w:t>
      </w:r>
      <w:r w:rsidR="004048ED">
        <w:rPr>
          <w:sz w:val="20"/>
          <w:szCs w:val="20"/>
        </w:rPr>
        <w:t xml:space="preserve"> </w:t>
      </w:r>
      <w:r w:rsidRPr="0023574F">
        <w:rPr>
          <w:sz w:val="20"/>
          <w:szCs w:val="20"/>
        </w:rPr>
        <w:t>inexpensive</w:t>
      </w:r>
      <w:r w:rsidR="004048ED">
        <w:rPr>
          <w:sz w:val="20"/>
          <w:szCs w:val="20"/>
        </w:rPr>
        <w:t xml:space="preserve"> </w:t>
      </w:r>
      <w:r w:rsidRPr="0023574F">
        <w:rPr>
          <w:sz w:val="20"/>
          <w:szCs w:val="20"/>
        </w:rPr>
        <w:t>for differentiation</w:t>
      </w:r>
      <w:r w:rsidR="004048ED">
        <w:rPr>
          <w:sz w:val="20"/>
          <w:szCs w:val="20"/>
        </w:rPr>
        <w:t xml:space="preserve"> </w:t>
      </w:r>
      <w:r w:rsidRPr="0023574F">
        <w:rPr>
          <w:sz w:val="20"/>
          <w:szCs w:val="20"/>
        </w:rPr>
        <w:t>and</w:t>
      </w:r>
      <w:r w:rsidR="004048ED">
        <w:rPr>
          <w:sz w:val="20"/>
          <w:szCs w:val="20"/>
        </w:rPr>
        <w:t xml:space="preserve"> </w:t>
      </w:r>
      <w:r w:rsidRPr="0023574F">
        <w:rPr>
          <w:sz w:val="20"/>
          <w:szCs w:val="20"/>
        </w:rPr>
        <w:t>identification</w:t>
      </w:r>
      <w:r w:rsidR="004048ED">
        <w:rPr>
          <w:sz w:val="20"/>
          <w:szCs w:val="20"/>
        </w:rPr>
        <w:t xml:space="preserve"> </w:t>
      </w:r>
      <w:r w:rsidRPr="0023574F">
        <w:rPr>
          <w:sz w:val="20"/>
          <w:szCs w:val="20"/>
        </w:rPr>
        <w:t>of</w:t>
      </w:r>
      <w:r w:rsidR="004048ED">
        <w:rPr>
          <w:sz w:val="20"/>
          <w:szCs w:val="20"/>
        </w:rPr>
        <w:t xml:space="preserve"> </w:t>
      </w:r>
      <w:r w:rsidRPr="0023574F">
        <w:rPr>
          <w:sz w:val="20"/>
          <w:szCs w:val="20"/>
        </w:rPr>
        <w:t>isolates and</w:t>
      </w:r>
      <w:r w:rsidR="004048ED">
        <w:rPr>
          <w:sz w:val="20"/>
          <w:szCs w:val="20"/>
        </w:rPr>
        <w:t xml:space="preserve"> </w:t>
      </w:r>
      <w:r w:rsidRPr="0023574F">
        <w:rPr>
          <w:sz w:val="20"/>
          <w:szCs w:val="20"/>
        </w:rPr>
        <w:t>has</w:t>
      </w:r>
      <w:r w:rsidR="004048ED">
        <w:rPr>
          <w:sz w:val="20"/>
          <w:szCs w:val="20"/>
        </w:rPr>
        <w:t xml:space="preserve"> </w:t>
      </w:r>
      <w:r w:rsidRPr="0023574F">
        <w:rPr>
          <w:sz w:val="20"/>
          <w:szCs w:val="20"/>
        </w:rPr>
        <w:t>been</w:t>
      </w:r>
      <w:r w:rsidR="004048ED">
        <w:rPr>
          <w:sz w:val="20"/>
          <w:szCs w:val="20"/>
        </w:rPr>
        <w:t xml:space="preserve"> </w:t>
      </w:r>
      <w:r w:rsidRPr="0023574F">
        <w:rPr>
          <w:sz w:val="20"/>
          <w:szCs w:val="20"/>
        </w:rPr>
        <w:t>used</w:t>
      </w:r>
      <w:r w:rsidR="004048ED">
        <w:rPr>
          <w:sz w:val="20"/>
          <w:szCs w:val="20"/>
        </w:rPr>
        <w:t xml:space="preserve"> </w:t>
      </w:r>
      <w:r w:rsidRPr="0023574F">
        <w:rPr>
          <w:sz w:val="20"/>
          <w:szCs w:val="20"/>
        </w:rPr>
        <w:t>previously</w:t>
      </w:r>
      <w:r w:rsidR="004048ED">
        <w:rPr>
          <w:sz w:val="20"/>
          <w:szCs w:val="20"/>
        </w:rPr>
        <w:t xml:space="preserve"> </w:t>
      </w:r>
      <w:r w:rsidRPr="0023574F">
        <w:rPr>
          <w:sz w:val="20"/>
          <w:szCs w:val="20"/>
        </w:rPr>
        <w:t>for</w:t>
      </w:r>
      <w:r w:rsidR="004048ED">
        <w:rPr>
          <w:sz w:val="20"/>
          <w:szCs w:val="20"/>
        </w:rPr>
        <w:t xml:space="preserve"> </w:t>
      </w:r>
      <w:r w:rsidRPr="0023574F">
        <w:rPr>
          <w:sz w:val="20"/>
          <w:szCs w:val="20"/>
        </w:rPr>
        <w:t>studying</w:t>
      </w:r>
      <w:r w:rsidR="004048ED">
        <w:rPr>
          <w:sz w:val="20"/>
          <w:szCs w:val="20"/>
        </w:rPr>
        <w:t xml:space="preserve"> </w:t>
      </w:r>
      <w:r w:rsidRPr="0023574F">
        <w:rPr>
          <w:sz w:val="20"/>
          <w:szCs w:val="20"/>
        </w:rPr>
        <w:t>variation</w:t>
      </w:r>
      <w:r w:rsidR="004048ED">
        <w:rPr>
          <w:sz w:val="20"/>
          <w:szCs w:val="20"/>
        </w:rPr>
        <w:t xml:space="preserve"> </w:t>
      </w:r>
      <w:r w:rsidRPr="0023574F">
        <w:rPr>
          <w:sz w:val="20"/>
          <w:szCs w:val="20"/>
        </w:rPr>
        <w:t>in</w:t>
      </w:r>
      <w:r w:rsidR="004048ED">
        <w:rPr>
          <w:sz w:val="20"/>
          <w:szCs w:val="20"/>
        </w:rPr>
        <w:t xml:space="preserve"> </w:t>
      </w:r>
      <w:r w:rsidRPr="0023574F">
        <w:rPr>
          <w:sz w:val="20"/>
          <w:szCs w:val="20"/>
        </w:rPr>
        <w:t>a number of fungal populations.</w:t>
      </w:r>
    </w:p>
    <w:p w:rsidR="008D295F" w:rsidRPr="0023574F" w:rsidRDefault="008D295F" w:rsidP="00A112DC">
      <w:pPr>
        <w:autoSpaceDE w:val="0"/>
        <w:autoSpaceDN w:val="0"/>
        <w:adjustRightInd w:val="0"/>
        <w:snapToGrid w:val="0"/>
        <w:jc w:val="both"/>
        <w:rPr>
          <w:b/>
          <w:bCs/>
          <w:sz w:val="20"/>
          <w:szCs w:val="20"/>
        </w:rPr>
      </w:pPr>
      <w:r w:rsidRPr="0023574F">
        <w:rPr>
          <w:b/>
          <w:bCs/>
          <w:sz w:val="20"/>
          <w:szCs w:val="20"/>
        </w:rPr>
        <w:lastRenderedPageBreak/>
        <w:t xml:space="preserve">Randomly </w:t>
      </w:r>
      <w:proofErr w:type="spellStart"/>
      <w:r w:rsidRPr="0023574F">
        <w:rPr>
          <w:b/>
          <w:bCs/>
          <w:sz w:val="20"/>
          <w:szCs w:val="20"/>
        </w:rPr>
        <w:t>Ampliﬁed</w:t>
      </w:r>
      <w:proofErr w:type="spellEnd"/>
      <w:r w:rsidRPr="0023574F">
        <w:rPr>
          <w:b/>
          <w:bCs/>
          <w:sz w:val="20"/>
          <w:szCs w:val="20"/>
        </w:rPr>
        <w:t xml:space="preserve"> Polymorphic-Polymerase Chain Reaction (RAPD-PCR) between treated and untreated </w:t>
      </w:r>
      <w:r w:rsidRPr="0023574F">
        <w:rPr>
          <w:b/>
          <w:bCs/>
          <w:i/>
          <w:iCs/>
          <w:sz w:val="20"/>
          <w:szCs w:val="20"/>
        </w:rPr>
        <w:t xml:space="preserve">F. </w:t>
      </w:r>
      <w:proofErr w:type="spellStart"/>
      <w:r w:rsidRPr="0023574F">
        <w:rPr>
          <w:b/>
          <w:bCs/>
          <w:i/>
          <w:iCs/>
          <w:sz w:val="20"/>
          <w:szCs w:val="20"/>
        </w:rPr>
        <w:t>oxysporum</w:t>
      </w:r>
      <w:r w:rsidRPr="0023574F">
        <w:rPr>
          <w:b/>
          <w:bCs/>
          <w:sz w:val="20"/>
          <w:szCs w:val="20"/>
        </w:rPr>
        <w:t>fungus</w:t>
      </w:r>
      <w:proofErr w:type="spellEnd"/>
      <w:r w:rsidRPr="0023574F">
        <w:rPr>
          <w:b/>
          <w:bCs/>
          <w:i/>
          <w:iCs/>
          <w:sz w:val="20"/>
          <w:szCs w:val="20"/>
        </w:rPr>
        <w:t>:</w:t>
      </w:r>
    </w:p>
    <w:p w:rsidR="008D295F" w:rsidRPr="0023574F" w:rsidRDefault="008D295F" w:rsidP="0023574F">
      <w:pPr>
        <w:snapToGrid w:val="0"/>
        <w:ind w:firstLine="425"/>
        <w:jc w:val="both"/>
        <w:rPr>
          <w:b/>
          <w:bCs/>
          <w:sz w:val="20"/>
          <w:szCs w:val="20"/>
        </w:rPr>
      </w:pPr>
      <w:r w:rsidRPr="0023574F">
        <w:rPr>
          <w:sz w:val="20"/>
          <w:szCs w:val="20"/>
        </w:rPr>
        <w:t xml:space="preserve">Although identification and differentiation between fungal strains or untreated and treated samples on the basis of morphological and pathological characteristics was used by many workers for a long time, it faced problems in identification and also caused confusion </w:t>
      </w:r>
      <w:r w:rsidRPr="0023574F">
        <w:rPr>
          <w:b/>
          <w:bCs/>
          <w:sz w:val="20"/>
          <w:szCs w:val="20"/>
        </w:rPr>
        <w:t>(</w:t>
      </w:r>
      <w:proofErr w:type="spellStart"/>
      <w:r w:rsidRPr="0023574F">
        <w:rPr>
          <w:b/>
          <w:bCs/>
          <w:sz w:val="20"/>
          <w:szCs w:val="20"/>
        </w:rPr>
        <w:t>Brayford</w:t>
      </w:r>
      <w:proofErr w:type="spellEnd"/>
      <w:r w:rsidRPr="0023574F">
        <w:rPr>
          <w:b/>
          <w:bCs/>
          <w:sz w:val="20"/>
          <w:szCs w:val="20"/>
        </w:rPr>
        <w:t>, 1989).</w:t>
      </w:r>
    </w:p>
    <w:p w:rsidR="008D295F" w:rsidRPr="0023574F" w:rsidRDefault="008D295F" w:rsidP="0023574F">
      <w:pPr>
        <w:snapToGrid w:val="0"/>
        <w:ind w:firstLine="425"/>
        <w:jc w:val="both"/>
        <w:rPr>
          <w:sz w:val="20"/>
          <w:szCs w:val="20"/>
        </w:rPr>
      </w:pPr>
      <w:r w:rsidRPr="0023574F">
        <w:rPr>
          <w:sz w:val="20"/>
          <w:szCs w:val="20"/>
        </w:rPr>
        <w:t xml:space="preserve">The Identification and differentiation between organisms based on morphology and electron microscopy is difficult and tedious process. Therefore, biochemical and molecular technique were used in an attempt for differentiation between untreated and treated </w:t>
      </w:r>
      <w:r w:rsidRPr="0023574F">
        <w:rPr>
          <w:i/>
          <w:iCs/>
          <w:sz w:val="20"/>
          <w:szCs w:val="20"/>
        </w:rPr>
        <w:t xml:space="preserve">F. </w:t>
      </w:r>
      <w:proofErr w:type="spellStart"/>
      <w:r w:rsidRPr="0023574F">
        <w:rPr>
          <w:i/>
          <w:iCs/>
          <w:sz w:val="20"/>
          <w:szCs w:val="20"/>
        </w:rPr>
        <w:t>oxysporum</w:t>
      </w:r>
      <w:proofErr w:type="spellEnd"/>
      <w:r w:rsidRPr="0023574F">
        <w:rPr>
          <w:sz w:val="20"/>
          <w:szCs w:val="20"/>
        </w:rPr>
        <w:t>.</w:t>
      </w:r>
    </w:p>
    <w:p w:rsidR="008D295F" w:rsidRPr="0023574F" w:rsidRDefault="008D295F" w:rsidP="0023574F">
      <w:pPr>
        <w:snapToGrid w:val="0"/>
        <w:ind w:firstLine="425"/>
        <w:jc w:val="both"/>
        <w:rPr>
          <w:sz w:val="20"/>
          <w:szCs w:val="20"/>
        </w:rPr>
      </w:pPr>
      <w:r w:rsidRPr="0023574F">
        <w:rPr>
          <w:sz w:val="20"/>
          <w:szCs w:val="20"/>
        </w:rPr>
        <w:t>The main goal of this research was to use RAPD-PCR and protein analysis as genetic markers to differentiate between untreated fungus and treated fungus with three different organic compounds.</w:t>
      </w:r>
    </w:p>
    <w:p w:rsidR="008D295F" w:rsidRPr="0023574F" w:rsidRDefault="008D295F" w:rsidP="0023574F">
      <w:pPr>
        <w:snapToGrid w:val="0"/>
        <w:ind w:firstLine="425"/>
        <w:jc w:val="both"/>
        <w:rPr>
          <w:color w:val="000000"/>
          <w:sz w:val="20"/>
          <w:szCs w:val="20"/>
        </w:rPr>
      </w:pPr>
      <w:r w:rsidRPr="0023574F">
        <w:rPr>
          <w:sz w:val="20"/>
          <w:szCs w:val="20"/>
        </w:rPr>
        <w:t xml:space="preserve">In RAPD-PCR analysis, five </w:t>
      </w:r>
      <w:proofErr w:type="spellStart"/>
      <w:r w:rsidRPr="0023574F">
        <w:rPr>
          <w:sz w:val="20"/>
          <w:szCs w:val="20"/>
        </w:rPr>
        <w:t>decameric</w:t>
      </w:r>
      <w:proofErr w:type="spellEnd"/>
      <w:r w:rsidRPr="0023574F">
        <w:rPr>
          <w:sz w:val="20"/>
          <w:szCs w:val="20"/>
        </w:rPr>
        <w:t xml:space="preserve"> random </w:t>
      </w:r>
      <w:proofErr w:type="spellStart"/>
      <w:r w:rsidRPr="0023574F">
        <w:rPr>
          <w:sz w:val="20"/>
          <w:szCs w:val="20"/>
        </w:rPr>
        <w:t>oligonucleotide</w:t>
      </w:r>
      <w:proofErr w:type="spellEnd"/>
      <w:r w:rsidRPr="0023574F">
        <w:rPr>
          <w:sz w:val="20"/>
          <w:szCs w:val="20"/>
        </w:rPr>
        <w:t xml:space="preserve"> primers (</w:t>
      </w:r>
      <w:r w:rsidRPr="0023574F">
        <w:rPr>
          <w:color w:val="000000"/>
          <w:sz w:val="20"/>
          <w:szCs w:val="20"/>
        </w:rPr>
        <w:t>OPA-04, OPA-11, OPA-17, OPC-07 and OPZ-19) out of ten primers tested, easily distinguished the untreated fungus from the treated fungi.</w:t>
      </w:r>
    </w:p>
    <w:p w:rsidR="008D295F" w:rsidRPr="0023574F" w:rsidRDefault="008D295F" w:rsidP="0023574F">
      <w:pPr>
        <w:autoSpaceDE w:val="0"/>
        <w:autoSpaceDN w:val="0"/>
        <w:adjustRightInd w:val="0"/>
        <w:snapToGrid w:val="0"/>
        <w:ind w:firstLine="425"/>
        <w:jc w:val="both"/>
        <w:rPr>
          <w:sz w:val="20"/>
          <w:szCs w:val="20"/>
        </w:rPr>
      </w:pPr>
      <w:r w:rsidRPr="0023574F">
        <w:rPr>
          <w:sz w:val="20"/>
          <w:szCs w:val="20"/>
        </w:rPr>
        <w:t xml:space="preserve">OPA-04 shows potential for discriminating the treated samples with three compounds from the untreated fungus while, OPA-11 and OPA-17 were characterized the sample treated with </w:t>
      </w:r>
      <w:proofErr w:type="spellStart"/>
      <w:r w:rsidRPr="0023574F">
        <w:rPr>
          <w:sz w:val="20"/>
          <w:szCs w:val="20"/>
        </w:rPr>
        <w:t>Thymol</w:t>
      </w:r>
      <w:proofErr w:type="spellEnd"/>
      <w:r w:rsidRPr="0023574F">
        <w:rPr>
          <w:sz w:val="20"/>
          <w:szCs w:val="20"/>
        </w:rPr>
        <w:t xml:space="preserve">, while OPZ-19 and OPC-07 were characterized the sample treated with methyl </w:t>
      </w:r>
      <w:proofErr w:type="spellStart"/>
      <w:r w:rsidRPr="0023574F">
        <w:rPr>
          <w:sz w:val="20"/>
          <w:szCs w:val="20"/>
        </w:rPr>
        <w:t>cinnamate</w:t>
      </w:r>
      <w:proofErr w:type="spellEnd"/>
      <w:r w:rsidRPr="0023574F">
        <w:rPr>
          <w:sz w:val="20"/>
          <w:szCs w:val="20"/>
        </w:rPr>
        <w:t>.</w:t>
      </w:r>
    </w:p>
    <w:p w:rsidR="008D295F" w:rsidRPr="0023574F" w:rsidRDefault="008D295F" w:rsidP="0023574F">
      <w:pPr>
        <w:autoSpaceDE w:val="0"/>
        <w:autoSpaceDN w:val="0"/>
        <w:adjustRightInd w:val="0"/>
        <w:snapToGrid w:val="0"/>
        <w:ind w:firstLine="425"/>
        <w:jc w:val="both"/>
        <w:rPr>
          <w:sz w:val="20"/>
          <w:szCs w:val="20"/>
        </w:rPr>
      </w:pPr>
      <w:r w:rsidRPr="0023574F">
        <w:rPr>
          <w:sz w:val="20"/>
          <w:szCs w:val="20"/>
        </w:rPr>
        <w:t xml:space="preserve">The result of the RAPD analysis indicated the close relationship between the </w:t>
      </w:r>
      <w:proofErr w:type="spellStart"/>
      <w:r w:rsidRPr="0023574F">
        <w:rPr>
          <w:sz w:val="20"/>
          <w:szCs w:val="20"/>
        </w:rPr>
        <w:t>Eugenol</w:t>
      </w:r>
      <w:proofErr w:type="spellEnd"/>
      <w:r w:rsidRPr="0023574F">
        <w:rPr>
          <w:sz w:val="20"/>
          <w:szCs w:val="20"/>
        </w:rPr>
        <w:t xml:space="preserve"> and </w:t>
      </w:r>
      <w:proofErr w:type="spellStart"/>
      <w:r w:rsidRPr="0023574F">
        <w:rPr>
          <w:sz w:val="20"/>
          <w:szCs w:val="20"/>
        </w:rPr>
        <w:t>Thymol</w:t>
      </w:r>
      <w:proofErr w:type="spellEnd"/>
      <w:r w:rsidRPr="0023574F">
        <w:rPr>
          <w:sz w:val="20"/>
          <w:szCs w:val="20"/>
        </w:rPr>
        <w:t>. The two components (</w:t>
      </w:r>
      <w:proofErr w:type="spellStart"/>
      <w:r w:rsidRPr="0023574F">
        <w:rPr>
          <w:sz w:val="20"/>
          <w:szCs w:val="20"/>
        </w:rPr>
        <w:t>phenolic</w:t>
      </w:r>
      <w:proofErr w:type="spellEnd"/>
      <w:r w:rsidRPr="0023574F">
        <w:rPr>
          <w:sz w:val="20"/>
          <w:szCs w:val="20"/>
        </w:rPr>
        <w:t xml:space="preserve"> compounds) were in the same group in </w:t>
      </w:r>
      <w:proofErr w:type="spellStart"/>
      <w:r w:rsidRPr="0023574F">
        <w:rPr>
          <w:sz w:val="20"/>
          <w:szCs w:val="20"/>
        </w:rPr>
        <w:t>dendrogram</w:t>
      </w:r>
      <w:proofErr w:type="spellEnd"/>
      <w:r w:rsidRPr="0023574F">
        <w:rPr>
          <w:sz w:val="20"/>
          <w:szCs w:val="20"/>
        </w:rPr>
        <w:t xml:space="preserve">, while Methyl </w:t>
      </w:r>
      <w:proofErr w:type="spellStart"/>
      <w:r w:rsidRPr="0023574F">
        <w:rPr>
          <w:sz w:val="20"/>
          <w:szCs w:val="20"/>
        </w:rPr>
        <w:t>cinnamate</w:t>
      </w:r>
      <w:proofErr w:type="spellEnd"/>
      <w:r w:rsidRPr="0023574F">
        <w:rPr>
          <w:sz w:val="20"/>
          <w:szCs w:val="20"/>
        </w:rPr>
        <w:t xml:space="preserve"> (ester compound) was in separate group but under the same cluster. The untreated sample was separated completely from the treated samples and represents cluster 1 and the treated samples represent cluster 2. RAPD analysis is extremely powerful and can separate individuals having intra- and inter-specific variability </w:t>
      </w:r>
      <w:r w:rsidRPr="0023574F">
        <w:rPr>
          <w:b/>
          <w:bCs/>
          <w:sz w:val="20"/>
          <w:szCs w:val="20"/>
        </w:rPr>
        <w:t>(</w:t>
      </w:r>
      <w:proofErr w:type="spellStart"/>
      <w:r w:rsidRPr="0023574F">
        <w:rPr>
          <w:b/>
          <w:bCs/>
          <w:sz w:val="20"/>
          <w:szCs w:val="20"/>
        </w:rPr>
        <w:t>Khalil</w:t>
      </w:r>
      <w:proofErr w:type="spellEnd"/>
      <w:r w:rsidRPr="0023574F">
        <w:rPr>
          <w:b/>
          <w:bCs/>
          <w:sz w:val="20"/>
          <w:szCs w:val="20"/>
        </w:rPr>
        <w:t xml:space="preserve"> </w:t>
      </w:r>
      <w:r w:rsidRPr="0023574F">
        <w:rPr>
          <w:b/>
          <w:bCs/>
          <w:i/>
          <w:iCs/>
          <w:sz w:val="20"/>
          <w:szCs w:val="20"/>
        </w:rPr>
        <w:t>et. al.,</w:t>
      </w:r>
      <w:r w:rsidRPr="0023574F">
        <w:rPr>
          <w:b/>
          <w:bCs/>
          <w:sz w:val="20"/>
          <w:szCs w:val="20"/>
        </w:rPr>
        <w:t xml:space="preserve"> 2003). </w:t>
      </w:r>
      <w:r w:rsidRPr="0023574F">
        <w:rPr>
          <w:sz w:val="20"/>
          <w:szCs w:val="20"/>
        </w:rPr>
        <w:t>It gives more comprehensive information regarding the genetic variability among the pathogen populations as it is based on the entire genome of a microorganism (</w:t>
      </w:r>
      <w:proofErr w:type="spellStart"/>
      <w:r w:rsidRPr="0023574F">
        <w:rPr>
          <w:b/>
          <w:bCs/>
          <w:sz w:val="20"/>
          <w:szCs w:val="20"/>
        </w:rPr>
        <w:t>Achenback</w:t>
      </w:r>
      <w:proofErr w:type="spellEnd"/>
      <w:r w:rsidR="00F06756">
        <w:rPr>
          <w:b/>
          <w:bCs/>
          <w:sz w:val="20"/>
          <w:szCs w:val="20"/>
        </w:rPr>
        <w:t xml:space="preserve"> </w:t>
      </w:r>
      <w:r w:rsidRPr="0023574F">
        <w:rPr>
          <w:b/>
          <w:bCs/>
          <w:i/>
          <w:iCs/>
          <w:sz w:val="20"/>
          <w:szCs w:val="20"/>
        </w:rPr>
        <w:t>et al.,</w:t>
      </w:r>
      <w:r w:rsidRPr="0023574F">
        <w:rPr>
          <w:b/>
          <w:bCs/>
          <w:sz w:val="20"/>
          <w:szCs w:val="20"/>
        </w:rPr>
        <w:t xml:space="preserve"> 1996).</w:t>
      </w:r>
    </w:p>
    <w:p w:rsidR="008D295F" w:rsidRPr="0023574F" w:rsidRDefault="008D295F" w:rsidP="0023574F">
      <w:pPr>
        <w:autoSpaceDE w:val="0"/>
        <w:autoSpaceDN w:val="0"/>
        <w:adjustRightInd w:val="0"/>
        <w:snapToGrid w:val="0"/>
        <w:ind w:firstLine="425"/>
        <w:jc w:val="both"/>
        <w:rPr>
          <w:sz w:val="20"/>
          <w:szCs w:val="20"/>
        </w:rPr>
      </w:pPr>
      <w:r w:rsidRPr="0023574F">
        <w:rPr>
          <w:sz w:val="20"/>
          <w:szCs w:val="20"/>
        </w:rPr>
        <w:t xml:space="preserve">This result was similar to SDS-PAGE analysis. The RAPD-PCR analysis indicated that the </w:t>
      </w:r>
      <w:proofErr w:type="spellStart"/>
      <w:r w:rsidRPr="0023574F">
        <w:rPr>
          <w:sz w:val="20"/>
          <w:szCs w:val="20"/>
        </w:rPr>
        <w:t>Eugenol</w:t>
      </w:r>
      <w:proofErr w:type="spellEnd"/>
      <w:r w:rsidRPr="0023574F">
        <w:rPr>
          <w:sz w:val="20"/>
          <w:szCs w:val="20"/>
        </w:rPr>
        <w:t xml:space="preserve"> and </w:t>
      </w:r>
      <w:proofErr w:type="spellStart"/>
      <w:r w:rsidRPr="0023574F">
        <w:rPr>
          <w:sz w:val="20"/>
          <w:szCs w:val="20"/>
        </w:rPr>
        <w:t>Thymol</w:t>
      </w:r>
      <w:proofErr w:type="spellEnd"/>
      <w:r w:rsidRPr="0023574F">
        <w:rPr>
          <w:sz w:val="20"/>
          <w:szCs w:val="20"/>
        </w:rPr>
        <w:t xml:space="preserve"> may have the same mode of action on the fungal growth; otherwise methyl </w:t>
      </w:r>
      <w:proofErr w:type="spellStart"/>
      <w:r w:rsidRPr="0023574F">
        <w:rPr>
          <w:sz w:val="20"/>
          <w:szCs w:val="20"/>
        </w:rPr>
        <w:t>cinnamate</w:t>
      </w:r>
      <w:proofErr w:type="spellEnd"/>
      <w:r w:rsidRPr="0023574F">
        <w:rPr>
          <w:sz w:val="20"/>
          <w:szCs w:val="20"/>
        </w:rPr>
        <w:t xml:space="preserve"> has a different mode of action.</w:t>
      </w:r>
    </w:p>
    <w:p w:rsidR="008D295F" w:rsidRPr="0023574F" w:rsidRDefault="008D295F" w:rsidP="0023574F">
      <w:pPr>
        <w:autoSpaceDE w:val="0"/>
        <w:autoSpaceDN w:val="0"/>
        <w:adjustRightInd w:val="0"/>
        <w:snapToGrid w:val="0"/>
        <w:ind w:firstLine="425"/>
        <w:jc w:val="both"/>
        <w:rPr>
          <w:sz w:val="20"/>
          <w:szCs w:val="20"/>
        </w:rPr>
      </w:pPr>
      <w:r w:rsidRPr="0023574F">
        <w:rPr>
          <w:sz w:val="20"/>
          <w:szCs w:val="20"/>
        </w:rPr>
        <w:t>RAPD-PCR is a powerful tool in differentiation between untreated and treated samples and also among the three treatments.</w:t>
      </w:r>
    </w:p>
    <w:p w:rsidR="008D295F" w:rsidRPr="0023574F" w:rsidRDefault="008D295F" w:rsidP="0023574F">
      <w:pPr>
        <w:autoSpaceDE w:val="0"/>
        <w:autoSpaceDN w:val="0"/>
        <w:adjustRightInd w:val="0"/>
        <w:snapToGrid w:val="0"/>
        <w:ind w:firstLine="425"/>
        <w:jc w:val="both"/>
        <w:rPr>
          <w:sz w:val="20"/>
          <w:szCs w:val="20"/>
        </w:rPr>
      </w:pPr>
      <w:r w:rsidRPr="0023574F">
        <w:rPr>
          <w:sz w:val="20"/>
          <w:szCs w:val="20"/>
        </w:rPr>
        <w:t xml:space="preserve">The aforementioned discussion clarifies the suitability of RAPD-PCR and protein markers to </w:t>
      </w:r>
      <w:r w:rsidRPr="0023574F">
        <w:rPr>
          <w:sz w:val="20"/>
          <w:szCs w:val="20"/>
        </w:rPr>
        <w:lastRenderedPageBreak/>
        <w:t>distinguish between the untreated and treated samples and also among the treated samples.</w:t>
      </w:r>
    </w:p>
    <w:p w:rsidR="008D295F" w:rsidRPr="0023574F" w:rsidRDefault="008D295F" w:rsidP="0023574F">
      <w:pPr>
        <w:snapToGrid w:val="0"/>
        <w:ind w:firstLine="425"/>
        <w:jc w:val="both"/>
        <w:rPr>
          <w:sz w:val="20"/>
          <w:szCs w:val="20"/>
        </w:rPr>
      </w:pPr>
      <w:r w:rsidRPr="0023574F">
        <w:rPr>
          <w:sz w:val="20"/>
          <w:szCs w:val="20"/>
        </w:rPr>
        <w:t xml:space="preserve">Biochemical and molecular markers are being increasingly used to characterize fungal plant pathogens. They are versatile and highly informative tools for fungal pathogen identification and diagnosis </w:t>
      </w:r>
      <w:r w:rsidRPr="0023574F">
        <w:rPr>
          <w:b/>
          <w:bCs/>
          <w:sz w:val="20"/>
          <w:szCs w:val="20"/>
        </w:rPr>
        <w:t>(</w:t>
      </w:r>
      <w:proofErr w:type="spellStart"/>
      <w:r w:rsidRPr="0023574F">
        <w:rPr>
          <w:b/>
          <w:bCs/>
          <w:sz w:val="20"/>
          <w:szCs w:val="20"/>
        </w:rPr>
        <w:t>Majer</w:t>
      </w:r>
      <w:proofErr w:type="spellEnd"/>
      <w:r w:rsidR="00F06756">
        <w:rPr>
          <w:b/>
          <w:bCs/>
          <w:sz w:val="20"/>
          <w:szCs w:val="20"/>
        </w:rPr>
        <w:t xml:space="preserve"> </w:t>
      </w:r>
      <w:r w:rsidRPr="0023574F">
        <w:rPr>
          <w:b/>
          <w:bCs/>
          <w:i/>
          <w:iCs/>
          <w:sz w:val="20"/>
          <w:szCs w:val="20"/>
        </w:rPr>
        <w:t>et al.,</w:t>
      </w:r>
      <w:r w:rsidRPr="0023574F">
        <w:rPr>
          <w:b/>
          <w:bCs/>
          <w:sz w:val="20"/>
          <w:szCs w:val="20"/>
        </w:rPr>
        <w:t xml:space="preserve"> 1996).</w:t>
      </w:r>
    </w:p>
    <w:p w:rsidR="008D295F" w:rsidRPr="0023574F" w:rsidRDefault="008D295F" w:rsidP="0023574F">
      <w:pPr>
        <w:snapToGrid w:val="0"/>
        <w:ind w:firstLine="425"/>
        <w:jc w:val="both"/>
        <w:rPr>
          <w:sz w:val="20"/>
          <w:szCs w:val="20"/>
        </w:rPr>
      </w:pPr>
      <w:r w:rsidRPr="0023574F">
        <w:rPr>
          <w:sz w:val="20"/>
          <w:szCs w:val="20"/>
        </w:rPr>
        <w:t xml:space="preserve">The </w:t>
      </w:r>
      <w:proofErr w:type="spellStart"/>
      <w:r w:rsidRPr="0023574F">
        <w:rPr>
          <w:sz w:val="20"/>
          <w:szCs w:val="20"/>
        </w:rPr>
        <w:t>electrophoretic</w:t>
      </w:r>
      <w:proofErr w:type="spellEnd"/>
      <w:r w:rsidRPr="0023574F">
        <w:rPr>
          <w:sz w:val="20"/>
          <w:szCs w:val="20"/>
        </w:rPr>
        <w:t xml:space="preserve"> separation of protein profiles, SDS-PAGE, is a useful tool in differentiation. This method is relatively easy and many samples can be analyzed at the same time. It is also cheaper than other fingerprinting methods. Moreover, the results obtained by SDS-PAGE of whole-cell proteins can discriminate at much the same level as DNA fingerprinting </w:t>
      </w:r>
      <w:r w:rsidRPr="0023574F">
        <w:rPr>
          <w:b/>
          <w:bCs/>
          <w:sz w:val="20"/>
          <w:szCs w:val="20"/>
        </w:rPr>
        <w:t>(Priest and Austin, 1993)</w:t>
      </w:r>
      <w:r w:rsidRPr="0023574F">
        <w:rPr>
          <w:sz w:val="20"/>
          <w:szCs w:val="20"/>
        </w:rPr>
        <w:t xml:space="preserve"> in some cases.</w:t>
      </w:r>
    </w:p>
    <w:p w:rsidR="008D295F" w:rsidRPr="0023574F" w:rsidRDefault="008D295F" w:rsidP="0023574F">
      <w:pPr>
        <w:autoSpaceDE w:val="0"/>
        <w:autoSpaceDN w:val="0"/>
        <w:adjustRightInd w:val="0"/>
        <w:snapToGrid w:val="0"/>
        <w:ind w:firstLine="425"/>
        <w:jc w:val="both"/>
        <w:rPr>
          <w:b/>
          <w:bCs/>
          <w:sz w:val="20"/>
          <w:szCs w:val="20"/>
        </w:rPr>
      </w:pPr>
    </w:p>
    <w:p w:rsidR="00F350DE" w:rsidRPr="0023574F" w:rsidRDefault="00274DF1" w:rsidP="0023574F">
      <w:pPr>
        <w:autoSpaceDE w:val="0"/>
        <w:autoSpaceDN w:val="0"/>
        <w:adjustRightInd w:val="0"/>
        <w:snapToGrid w:val="0"/>
        <w:jc w:val="both"/>
        <w:rPr>
          <w:rFonts w:eastAsia="Batang"/>
          <w:color w:val="231F20"/>
          <w:sz w:val="20"/>
          <w:szCs w:val="20"/>
        </w:rPr>
      </w:pPr>
      <w:r w:rsidRPr="0023574F">
        <w:rPr>
          <w:b/>
          <w:bCs/>
          <w:sz w:val="20"/>
          <w:szCs w:val="20"/>
        </w:rPr>
        <w:t>Conclusion</w:t>
      </w:r>
    </w:p>
    <w:p w:rsidR="00D30BF8" w:rsidRPr="0023574F" w:rsidRDefault="00F350DE" w:rsidP="0023574F">
      <w:pPr>
        <w:autoSpaceDE w:val="0"/>
        <w:autoSpaceDN w:val="0"/>
        <w:adjustRightInd w:val="0"/>
        <w:snapToGrid w:val="0"/>
        <w:ind w:firstLine="425"/>
        <w:jc w:val="both"/>
        <w:rPr>
          <w:sz w:val="20"/>
          <w:szCs w:val="20"/>
        </w:rPr>
      </w:pPr>
      <w:r w:rsidRPr="0023574F">
        <w:rPr>
          <w:rFonts w:eastAsia="Batang"/>
          <w:color w:val="231F20"/>
          <w:sz w:val="20"/>
          <w:szCs w:val="20"/>
        </w:rPr>
        <w:t xml:space="preserve">According to the hypothesis relationship between chemical structure of natural compound and antifungal activity; </w:t>
      </w:r>
      <w:proofErr w:type="spellStart"/>
      <w:r w:rsidRPr="0023574F">
        <w:rPr>
          <w:rFonts w:eastAsia="Batang"/>
          <w:color w:val="231F20"/>
          <w:sz w:val="20"/>
          <w:szCs w:val="20"/>
        </w:rPr>
        <w:t>thymol</w:t>
      </w:r>
      <w:proofErr w:type="spellEnd"/>
      <w:r w:rsidRPr="0023574F">
        <w:rPr>
          <w:rFonts w:eastAsia="Batang"/>
          <w:color w:val="231F20"/>
          <w:sz w:val="20"/>
          <w:szCs w:val="20"/>
        </w:rPr>
        <w:t xml:space="preserve"> and </w:t>
      </w:r>
      <w:proofErr w:type="spellStart"/>
      <w:r w:rsidRPr="0023574F">
        <w:rPr>
          <w:rFonts w:eastAsia="Batang"/>
          <w:color w:val="231F20"/>
          <w:sz w:val="20"/>
          <w:szCs w:val="20"/>
        </w:rPr>
        <w:t>eugenol</w:t>
      </w:r>
      <w:proofErr w:type="spellEnd"/>
      <w:r w:rsidRPr="0023574F">
        <w:rPr>
          <w:rFonts w:eastAsia="Batang"/>
          <w:color w:val="231F20"/>
          <w:sz w:val="20"/>
          <w:szCs w:val="20"/>
        </w:rPr>
        <w:t xml:space="preserve"> (</w:t>
      </w:r>
      <w:proofErr w:type="spellStart"/>
      <w:r w:rsidRPr="0023574F">
        <w:rPr>
          <w:rFonts w:eastAsia="Batang"/>
          <w:color w:val="231F20"/>
          <w:sz w:val="20"/>
          <w:szCs w:val="20"/>
        </w:rPr>
        <w:t>phenolic</w:t>
      </w:r>
      <w:proofErr w:type="spellEnd"/>
      <w:r w:rsidRPr="0023574F">
        <w:rPr>
          <w:rFonts w:eastAsia="Batang"/>
          <w:color w:val="231F20"/>
          <w:sz w:val="20"/>
          <w:szCs w:val="20"/>
        </w:rPr>
        <w:t xml:space="preserve"> compound) were the most predominant antifungal activity towards the tested fungi followed by methyl </w:t>
      </w:r>
      <w:proofErr w:type="spellStart"/>
      <w:r w:rsidRPr="0023574F">
        <w:rPr>
          <w:rFonts w:eastAsia="Batang"/>
          <w:color w:val="231F20"/>
          <w:sz w:val="20"/>
          <w:szCs w:val="20"/>
        </w:rPr>
        <w:t>cinnamate</w:t>
      </w:r>
      <w:proofErr w:type="spellEnd"/>
      <w:r w:rsidRPr="0023574F">
        <w:rPr>
          <w:rFonts w:eastAsia="Batang"/>
          <w:color w:val="231F20"/>
          <w:sz w:val="20"/>
          <w:szCs w:val="20"/>
        </w:rPr>
        <w:t xml:space="preserve"> (as a part of </w:t>
      </w:r>
      <w:proofErr w:type="spellStart"/>
      <w:r w:rsidRPr="0023574F">
        <w:rPr>
          <w:rFonts w:eastAsia="Batang"/>
          <w:color w:val="231F20"/>
          <w:sz w:val="20"/>
          <w:szCs w:val="20"/>
        </w:rPr>
        <w:t>keto</w:t>
      </w:r>
      <w:proofErr w:type="spellEnd"/>
      <w:r w:rsidRPr="0023574F">
        <w:rPr>
          <w:rFonts w:eastAsia="Batang"/>
          <w:color w:val="231F20"/>
          <w:sz w:val="20"/>
          <w:szCs w:val="20"/>
        </w:rPr>
        <w:t xml:space="preserve"> compound)</w:t>
      </w:r>
      <w:r w:rsidR="004048ED">
        <w:rPr>
          <w:rFonts w:eastAsia="Batang"/>
          <w:color w:val="231F20"/>
          <w:sz w:val="20"/>
          <w:szCs w:val="20"/>
        </w:rPr>
        <w:t xml:space="preserve"> </w:t>
      </w:r>
      <w:r w:rsidRPr="0023574F">
        <w:rPr>
          <w:rFonts w:eastAsia="Batang"/>
          <w:color w:val="231F20"/>
          <w:sz w:val="20"/>
          <w:szCs w:val="20"/>
        </w:rPr>
        <w:t>where the lowest antifungal activity were linalool and 1,8-cineol (tertiary alcohol and ether).</w:t>
      </w:r>
      <w:r w:rsidR="00D30BF8" w:rsidRPr="0023574F">
        <w:rPr>
          <w:sz w:val="20"/>
          <w:szCs w:val="20"/>
        </w:rPr>
        <w:t xml:space="preserve"> Besides using the morphological and pathological characteristics, the present work aims to employ SDS-PAGE and RAPD-PCR as a genetic variation tools in differentiation between untreated and treated samples.</w:t>
      </w:r>
    </w:p>
    <w:p w:rsidR="003F6650" w:rsidRPr="0023574F" w:rsidRDefault="003F6650" w:rsidP="0023574F">
      <w:pPr>
        <w:autoSpaceDE w:val="0"/>
        <w:autoSpaceDN w:val="0"/>
        <w:adjustRightInd w:val="0"/>
        <w:snapToGrid w:val="0"/>
        <w:ind w:firstLine="425"/>
        <w:jc w:val="both"/>
        <w:rPr>
          <w:sz w:val="20"/>
          <w:szCs w:val="20"/>
        </w:rPr>
      </w:pPr>
    </w:p>
    <w:p w:rsidR="005844F2" w:rsidRPr="0023574F" w:rsidRDefault="00274DF1" w:rsidP="0023574F">
      <w:pPr>
        <w:autoSpaceDE w:val="0"/>
        <w:autoSpaceDN w:val="0"/>
        <w:adjustRightInd w:val="0"/>
        <w:snapToGrid w:val="0"/>
        <w:jc w:val="both"/>
        <w:rPr>
          <w:b/>
          <w:bCs/>
          <w:sz w:val="20"/>
          <w:szCs w:val="20"/>
        </w:rPr>
      </w:pPr>
      <w:r w:rsidRPr="0023574F">
        <w:rPr>
          <w:b/>
          <w:bCs/>
          <w:sz w:val="20"/>
          <w:szCs w:val="20"/>
        </w:rPr>
        <w:t>References</w:t>
      </w:r>
      <w:r w:rsidR="00F350DE" w:rsidRPr="0023574F">
        <w:rPr>
          <w:b/>
          <w:bCs/>
          <w:sz w:val="20"/>
          <w:szCs w:val="20"/>
        </w:rPr>
        <w:t>:</w:t>
      </w:r>
    </w:p>
    <w:p w:rsidR="005F1E9D" w:rsidRPr="0023574F" w:rsidRDefault="005F1E9D" w:rsidP="0023574F">
      <w:pPr>
        <w:pStyle w:val="ListParagraph"/>
        <w:numPr>
          <w:ilvl w:val="0"/>
          <w:numId w:val="21"/>
        </w:numPr>
        <w:bidi w:val="0"/>
        <w:snapToGrid w:val="0"/>
        <w:jc w:val="both"/>
        <w:rPr>
          <w:rFonts w:cs="Times New Roman"/>
          <w:sz w:val="20"/>
          <w:szCs w:val="20"/>
        </w:rPr>
      </w:pPr>
      <w:proofErr w:type="spellStart"/>
      <w:r w:rsidRPr="0023574F">
        <w:rPr>
          <w:rFonts w:cs="Times New Roman"/>
          <w:sz w:val="20"/>
          <w:szCs w:val="20"/>
        </w:rPr>
        <w:t>Aguin</w:t>
      </w:r>
      <w:proofErr w:type="spellEnd"/>
      <w:r w:rsidRPr="0023574F">
        <w:rPr>
          <w:rFonts w:cs="Times New Roman"/>
          <w:sz w:val="20"/>
          <w:szCs w:val="20"/>
        </w:rPr>
        <w:t xml:space="preserve">, O.; </w:t>
      </w:r>
      <w:proofErr w:type="spellStart"/>
      <w:r w:rsidRPr="0023574F">
        <w:rPr>
          <w:rFonts w:cs="Times New Roman"/>
          <w:sz w:val="20"/>
          <w:szCs w:val="20"/>
        </w:rPr>
        <w:t>Mansilla</w:t>
      </w:r>
      <w:proofErr w:type="spellEnd"/>
      <w:r w:rsidRPr="0023574F">
        <w:rPr>
          <w:rFonts w:cs="Times New Roman"/>
          <w:sz w:val="20"/>
          <w:szCs w:val="20"/>
        </w:rPr>
        <w:t xml:space="preserve">, J. P. and Maria, J. S. </w:t>
      </w:r>
      <w:r w:rsidRPr="0023574F">
        <w:rPr>
          <w:rFonts w:cs="Times New Roman"/>
          <w:bCs/>
          <w:sz w:val="20"/>
          <w:szCs w:val="20"/>
        </w:rPr>
        <w:t>(2006).</w:t>
      </w:r>
      <w:r w:rsidRPr="0023574F">
        <w:rPr>
          <w:rFonts w:cs="Times New Roman"/>
          <w:sz w:val="20"/>
          <w:szCs w:val="20"/>
        </w:rPr>
        <w:t xml:space="preserve"> In vitro selection of an effective fungicide against </w:t>
      </w:r>
      <w:proofErr w:type="spellStart"/>
      <w:r w:rsidRPr="0023574F">
        <w:rPr>
          <w:rFonts w:cs="Times New Roman"/>
          <w:i/>
          <w:iCs/>
          <w:sz w:val="20"/>
          <w:szCs w:val="20"/>
        </w:rPr>
        <w:t>Armillariamellea</w:t>
      </w:r>
      <w:proofErr w:type="spellEnd"/>
      <w:r w:rsidRPr="0023574F">
        <w:rPr>
          <w:rFonts w:cs="Times New Roman"/>
          <w:sz w:val="20"/>
          <w:szCs w:val="20"/>
        </w:rPr>
        <w:t xml:space="preserve"> and control of white root rot of grapevine in the </w:t>
      </w:r>
      <w:proofErr w:type="spellStart"/>
      <w:r w:rsidRPr="0023574F">
        <w:rPr>
          <w:rFonts w:cs="Times New Roman"/>
          <w:sz w:val="20"/>
          <w:szCs w:val="20"/>
        </w:rPr>
        <w:t>ﬁeld</w:t>
      </w:r>
      <w:proofErr w:type="spellEnd"/>
      <w:r w:rsidRPr="0023574F">
        <w:rPr>
          <w:rFonts w:cs="Times New Roman"/>
          <w:sz w:val="20"/>
          <w:szCs w:val="20"/>
        </w:rPr>
        <w:t>. Pest Manage. Sci. 62, 223–228.</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color w:val="000000"/>
          <w:sz w:val="20"/>
          <w:szCs w:val="20"/>
        </w:rPr>
      </w:pPr>
      <w:proofErr w:type="spellStart"/>
      <w:r w:rsidRPr="0023574F">
        <w:rPr>
          <w:rFonts w:cs="Times New Roman"/>
          <w:color w:val="000000"/>
          <w:sz w:val="20"/>
          <w:szCs w:val="20"/>
        </w:rPr>
        <w:t>Aly</w:t>
      </w:r>
      <w:proofErr w:type="spellEnd"/>
      <w:r w:rsidRPr="0023574F">
        <w:rPr>
          <w:rFonts w:cs="Times New Roman"/>
          <w:color w:val="000000"/>
          <w:sz w:val="20"/>
          <w:szCs w:val="20"/>
        </w:rPr>
        <w:t xml:space="preserve">, I. N.; </w:t>
      </w:r>
      <w:proofErr w:type="spellStart"/>
      <w:r w:rsidRPr="0023574F">
        <w:rPr>
          <w:rFonts w:cs="Times New Roman"/>
          <w:color w:val="000000"/>
          <w:sz w:val="20"/>
          <w:szCs w:val="20"/>
        </w:rPr>
        <w:t>Abd</w:t>
      </w:r>
      <w:proofErr w:type="spellEnd"/>
      <w:r w:rsidRPr="0023574F">
        <w:rPr>
          <w:rFonts w:cs="Times New Roman"/>
          <w:color w:val="000000"/>
          <w:sz w:val="20"/>
          <w:szCs w:val="20"/>
        </w:rPr>
        <w:t xml:space="preserve"> El-</w:t>
      </w:r>
      <w:proofErr w:type="spellStart"/>
      <w:r w:rsidRPr="0023574F">
        <w:rPr>
          <w:rFonts w:cs="Times New Roman"/>
          <w:color w:val="000000"/>
          <w:sz w:val="20"/>
          <w:szCs w:val="20"/>
        </w:rPr>
        <w:t>Sattar</w:t>
      </w:r>
      <w:proofErr w:type="spellEnd"/>
      <w:r w:rsidRPr="0023574F">
        <w:rPr>
          <w:rFonts w:cs="Times New Roman"/>
          <w:color w:val="000000"/>
          <w:sz w:val="20"/>
          <w:szCs w:val="20"/>
        </w:rPr>
        <w:t xml:space="preserve">, M. A.; </w:t>
      </w:r>
      <w:proofErr w:type="spellStart"/>
      <w:r w:rsidRPr="0023574F">
        <w:rPr>
          <w:rFonts w:cs="Times New Roman"/>
          <w:color w:val="000000"/>
          <w:sz w:val="20"/>
          <w:szCs w:val="20"/>
        </w:rPr>
        <w:t>Abd-Elsalam</w:t>
      </w:r>
      <w:proofErr w:type="spellEnd"/>
      <w:r w:rsidRPr="0023574F">
        <w:rPr>
          <w:rFonts w:cs="Times New Roman"/>
          <w:color w:val="000000"/>
          <w:sz w:val="20"/>
          <w:szCs w:val="20"/>
        </w:rPr>
        <w:t xml:space="preserve">, K. A.; </w:t>
      </w:r>
      <w:proofErr w:type="spellStart"/>
      <w:r w:rsidRPr="0023574F">
        <w:rPr>
          <w:rFonts w:cs="Times New Roman"/>
          <w:color w:val="000000"/>
          <w:sz w:val="20"/>
          <w:szCs w:val="20"/>
        </w:rPr>
        <w:t>Khalil</w:t>
      </w:r>
      <w:proofErr w:type="spellEnd"/>
      <w:r w:rsidRPr="0023574F">
        <w:rPr>
          <w:rFonts w:cs="Times New Roman"/>
          <w:color w:val="000000"/>
          <w:sz w:val="20"/>
          <w:szCs w:val="20"/>
        </w:rPr>
        <w:t xml:space="preserve">, M. S. and </w:t>
      </w:r>
      <w:proofErr w:type="spellStart"/>
      <w:r w:rsidRPr="0023574F">
        <w:rPr>
          <w:rFonts w:cs="Times New Roman"/>
          <w:color w:val="000000"/>
          <w:sz w:val="20"/>
          <w:szCs w:val="20"/>
        </w:rPr>
        <w:t>Verreet</w:t>
      </w:r>
      <w:proofErr w:type="spellEnd"/>
      <w:r w:rsidRPr="0023574F">
        <w:rPr>
          <w:rFonts w:cs="Times New Roman"/>
          <w:color w:val="000000"/>
          <w:sz w:val="20"/>
          <w:szCs w:val="20"/>
        </w:rPr>
        <w:t xml:space="preserve">, J. A. </w:t>
      </w:r>
      <w:r w:rsidRPr="0023574F">
        <w:rPr>
          <w:rFonts w:cs="Times New Roman"/>
          <w:bCs/>
          <w:color w:val="000000"/>
          <w:sz w:val="20"/>
          <w:szCs w:val="20"/>
        </w:rPr>
        <w:t>(2003)</w:t>
      </w:r>
      <w:r w:rsidRPr="0023574F">
        <w:rPr>
          <w:rFonts w:cs="Times New Roman"/>
          <w:color w:val="000000"/>
          <w:sz w:val="20"/>
          <w:szCs w:val="20"/>
        </w:rPr>
        <w:t xml:space="preserve">. Comparison of multi- locus enzyme and protein gel electrophoresis in the discrimination of five </w:t>
      </w:r>
      <w:proofErr w:type="spellStart"/>
      <w:r w:rsidRPr="0023574F">
        <w:rPr>
          <w:rFonts w:cs="Times New Roman"/>
          <w:i/>
          <w:iCs/>
          <w:color w:val="000000"/>
          <w:sz w:val="20"/>
          <w:szCs w:val="20"/>
        </w:rPr>
        <w:t>Fusarium</w:t>
      </w:r>
      <w:proofErr w:type="spellEnd"/>
      <w:r w:rsidRPr="0023574F">
        <w:rPr>
          <w:rFonts w:cs="Times New Roman"/>
          <w:color w:val="000000"/>
          <w:sz w:val="20"/>
          <w:szCs w:val="20"/>
        </w:rPr>
        <w:t xml:space="preserve"> species isolated from Egyptian cottons. African J. </w:t>
      </w:r>
      <w:proofErr w:type="spellStart"/>
      <w:r w:rsidRPr="0023574F">
        <w:rPr>
          <w:rFonts w:cs="Times New Roman"/>
          <w:color w:val="000000"/>
          <w:sz w:val="20"/>
          <w:szCs w:val="20"/>
        </w:rPr>
        <w:t>Biotechnol</w:t>
      </w:r>
      <w:proofErr w:type="spellEnd"/>
      <w:r w:rsidRPr="0023574F">
        <w:rPr>
          <w:rFonts w:cs="Times New Roman"/>
          <w:color w:val="000000"/>
          <w:sz w:val="20"/>
          <w:szCs w:val="20"/>
        </w:rPr>
        <w:t>. 2 (7): 206- 210.</w:t>
      </w:r>
    </w:p>
    <w:p w:rsidR="005F1E9D" w:rsidRPr="0023574F" w:rsidRDefault="005F1E9D" w:rsidP="0023574F">
      <w:pPr>
        <w:pStyle w:val="ListParagraph"/>
        <w:widowControl w:val="0"/>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Bai</w:t>
      </w:r>
      <w:proofErr w:type="spellEnd"/>
      <w:r w:rsidRPr="0023574F">
        <w:rPr>
          <w:rFonts w:cs="Times New Roman"/>
          <w:sz w:val="20"/>
          <w:szCs w:val="20"/>
        </w:rPr>
        <w:t xml:space="preserve">, Z.; Linda, H .M.; Stewart, W. and Brian, M. </w:t>
      </w:r>
      <w:r w:rsidRPr="0023574F">
        <w:rPr>
          <w:rFonts w:cs="Times New Roman"/>
          <w:bCs/>
          <w:sz w:val="20"/>
          <w:szCs w:val="20"/>
        </w:rPr>
        <w:t>(2004)</w:t>
      </w:r>
      <w:r w:rsidRPr="0023574F">
        <w:rPr>
          <w:rFonts w:cs="Times New Roman"/>
          <w:sz w:val="20"/>
          <w:szCs w:val="20"/>
        </w:rPr>
        <w:t xml:space="preserve">. Effects o f oxidative stress on production of </w:t>
      </w:r>
      <w:proofErr w:type="spellStart"/>
      <w:r w:rsidRPr="0023574F">
        <w:rPr>
          <w:rFonts w:cs="Times New Roman"/>
          <w:sz w:val="20"/>
          <w:szCs w:val="20"/>
        </w:rPr>
        <w:t>heterologous</w:t>
      </w:r>
      <w:proofErr w:type="spellEnd"/>
      <w:r w:rsidRPr="0023574F">
        <w:rPr>
          <w:rFonts w:cs="Times New Roman"/>
          <w:sz w:val="20"/>
          <w:szCs w:val="20"/>
        </w:rPr>
        <w:t xml:space="preserve"> and</w:t>
      </w:r>
      <w:r w:rsidR="004048ED">
        <w:rPr>
          <w:rFonts w:cs="Times New Roman"/>
          <w:sz w:val="20"/>
          <w:szCs w:val="20"/>
        </w:rPr>
        <w:t xml:space="preserve"> </w:t>
      </w:r>
      <w:r w:rsidRPr="0023574F">
        <w:rPr>
          <w:rFonts w:cs="Times New Roman"/>
          <w:sz w:val="20"/>
          <w:szCs w:val="20"/>
        </w:rPr>
        <w:t>native</w:t>
      </w:r>
      <w:r w:rsidR="004048ED">
        <w:rPr>
          <w:rFonts w:cs="Times New Roman"/>
          <w:sz w:val="20"/>
          <w:szCs w:val="20"/>
        </w:rPr>
        <w:t xml:space="preserve"> </w:t>
      </w:r>
      <w:r w:rsidRPr="0023574F">
        <w:rPr>
          <w:rFonts w:cs="Times New Roman"/>
          <w:sz w:val="20"/>
          <w:szCs w:val="20"/>
        </w:rPr>
        <w:t>protein,</w:t>
      </w:r>
      <w:r w:rsidR="004048ED">
        <w:rPr>
          <w:rFonts w:cs="Times New Roman"/>
          <w:sz w:val="20"/>
          <w:szCs w:val="20"/>
        </w:rPr>
        <w:t xml:space="preserve"> </w:t>
      </w:r>
      <w:r w:rsidRPr="0023574F">
        <w:rPr>
          <w:rFonts w:cs="Times New Roman"/>
          <w:sz w:val="20"/>
          <w:szCs w:val="20"/>
        </w:rPr>
        <w:t>and</w:t>
      </w:r>
      <w:r w:rsidR="004048ED">
        <w:rPr>
          <w:rFonts w:cs="Times New Roman"/>
          <w:sz w:val="20"/>
          <w:szCs w:val="20"/>
        </w:rPr>
        <w:t xml:space="preserve"> </w:t>
      </w:r>
      <w:r w:rsidRPr="0023574F">
        <w:rPr>
          <w:rFonts w:cs="Times New Roman"/>
          <w:sz w:val="20"/>
          <w:szCs w:val="20"/>
        </w:rPr>
        <w:t>culture</w:t>
      </w:r>
      <w:r w:rsidR="004048ED">
        <w:rPr>
          <w:rFonts w:cs="Times New Roman"/>
          <w:sz w:val="20"/>
          <w:szCs w:val="20"/>
        </w:rPr>
        <w:t xml:space="preserve"> </w:t>
      </w:r>
      <w:r w:rsidRPr="0023574F">
        <w:rPr>
          <w:rFonts w:cs="Times New Roman"/>
          <w:sz w:val="20"/>
          <w:szCs w:val="20"/>
        </w:rPr>
        <w:t>morphology</w:t>
      </w:r>
      <w:r w:rsidR="004048ED">
        <w:rPr>
          <w:rFonts w:cs="Times New Roman"/>
          <w:sz w:val="20"/>
          <w:szCs w:val="20"/>
        </w:rPr>
        <w:t xml:space="preserve"> </w:t>
      </w:r>
      <w:r w:rsidRPr="0023574F">
        <w:rPr>
          <w:rFonts w:cs="Times New Roman"/>
          <w:sz w:val="20"/>
          <w:szCs w:val="20"/>
        </w:rPr>
        <w:t>in</w:t>
      </w:r>
      <w:r w:rsidR="004048ED">
        <w:rPr>
          <w:rFonts w:cs="Times New Roman"/>
          <w:sz w:val="20"/>
          <w:szCs w:val="20"/>
        </w:rPr>
        <w:t xml:space="preserve"> </w:t>
      </w:r>
      <w:r w:rsidRPr="0023574F">
        <w:rPr>
          <w:rFonts w:cs="Times New Roman"/>
          <w:sz w:val="20"/>
          <w:szCs w:val="20"/>
        </w:rPr>
        <w:t>batch</w:t>
      </w:r>
      <w:r w:rsidR="004048ED">
        <w:rPr>
          <w:rFonts w:cs="Times New Roman"/>
          <w:sz w:val="20"/>
          <w:szCs w:val="20"/>
        </w:rPr>
        <w:t xml:space="preserve"> </w:t>
      </w:r>
      <w:r w:rsidRPr="0023574F">
        <w:rPr>
          <w:rFonts w:cs="Times New Roman"/>
          <w:sz w:val="20"/>
          <w:szCs w:val="20"/>
        </w:rPr>
        <w:t>and</w:t>
      </w:r>
      <w:r w:rsidR="004048ED">
        <w:rPr>
          <w:rFonts w:cs="Times New Roman"/>
          <w:sz w:val="20"/>
          <w:szCs w:val="20"/>
        </w:rPr>
        <w:t xml:space="preserve"> </w:t>
      </w:r>
      <w:proofErr w:type="spellStart"/>
      <w:r w:rsidRPr="0023574F">
        <w:rPr>
          <w:rFonts w:cs="Times New Roman"/>
          <w:sz w:val="20"/>
          <w:szCs w:val="20"/>
        </w:rPr>
        <w:t>chemostat</w:t>
      </w:r>
      <w:proofErr w:type="spellEnd"/>
      <w:r w:rsidR="004048ED">
        <w:rPr>
          <w:rFonts w:cs="Times New Roman"/>
          <w:sz w:val="20"/>
          <w:szCs w:val="20"/>
        </w:rPr>
        <w:t xml:space="preserve"> </w:t>
      </w:r>
      <w:r w:rsidRPr="0023574F">
        <w:rPr>
          <w:rFonts w:cs="Times New Roman"/>
          <w:sz w:val="20"/>
          <w:szCs w:val="20"/>
        </w:rPr>
        <w:t>cultures</w:t>
      </w:r>
      <w:r w:rsidR="004048ED">
        <w:rPr>
          <w:rFonts w:cs="Times New Roman"/>
          <w:sz w:val="20"/>
          <w:szCs w:val="20"/>
        </w:rPr>
        <w:t xml:space="preserve"> </w:t>
      </w:r>
      <w:r w:rsidRPr="0023574F">
        <w:rPr>
          <w:rFonts w:cs="Times New Roman"/>
          <w:sz w:val="20"/>
          <w:szCs w:val="20"/>
        </w:rPr>
        <w:t>of</w:t>
      </w:r>
      <w:r w:rsidR="004048ED">
        <w:rPr>
          <w:rFonts w:cs="Times New Roman"/>
          <w:sz w:val="20"/>
          <w:szCs w:val="20"/>
        </w:rPr>
        <w:t xml:space="preserve"> </w:t>
      </w:r>
      <w:r w:rsidRPr="0023574F">
        <w:rPr>
          <w:rFonts w:cs="Times New Roman"/>
          <w:i/>
          <w:iCs/>
          <w:sz w:val="20"/>
          <w:szCs w:val="20"/>
        </w:rPr>
        <w:t xml:space="preserve">A </w:t>
      </w:r>
      <w:proofErr w:type="spellStart"/>
      <w:r w:rsidRPr="0023574F">
        <w:rPr>
          <w:rFonts w:cs="Times New Roman"/>
          <w:i/>
          <w:iCs/>
          <w:sz w:val="20"/>
          <w:szCs w:val="20"/>
        </w:rPr>
        <w:t>spergillusniger</w:t>
      </w:r>
      <w:proofErr w:type="spellEnd"/>
      <w:r w:rsidR="00F06756">
        <w:rPr>
          <w:rFonts w:cs="Times New Roman"/>
          <w:i/>
          <w:iCs/>
          <w:sz w:val="20"/>
          <w:szCs w:val="20"/>
        </w:rPr>
        <w:t xml:space="preserve"> </w:t>
      </w:r>
      <w:r w:rsidRPr="0023574F">
        <w:rPr>
          <w:rFonts w:cs="Times New Roman"/>
          <w:sz w:val="20"/>
          <w:szCs w:val="20"/>
        </w:rPr>
        <w:t>(B 1-D). Enzyme and microbial technology. 34(1): 10-21.</w:t>
      </w:r>
    </w:p>
    <w:p w:rsidR="005F1E9D" w:rsidRPr="0023574F" w:rsidRDefault="005F1E9D" w:rsidP="0023574F">
      <w:pPr>
        <w:pStyle w:val="BodyText3"/>
        <w:numPr>
          <w:ilvl w:val="0"/>
          <w:numId w:val="21"/>
        </w:numPr>
        <w:snapToGrid w:val="0"/>
        <w:jc w:val="both"/>
      </w:pPr>
      <w:proofErr w:type="spellStart"/>
      <w:r w:rsidRPr="0023574F">
        <w:t>Bielenin</w:t>
      </w:r>
      <w:proofErr w:type="spellEnd"/>
      <w:r w:rsidRPr="0023574F">
        <w:t xml:space="preserve">, A.; Jeffers, S.N.; Wilcox, W.F. and Jones, A.L. </w:t>
      </w:r>
      <w:r w:rsidRPr="0023574F">
        <w:rPr>
          <w:bCs/>
        </w:rPr>
        <w:t>(1988).</w:t>
      </w:r>
      <w:r w:rsidR="004048ED">
        <w:t xml:space="preserve"> </w:t>
      </w:r>
      <w:r w:rsidRPr="0023574F">
        <w:t xml:space="preserve">Separation by Protein Electrophoresis of six species of </w:t>
      </w:r>
      <w:proofErr w:type="spellStart"/>
      <w:r w:rsidRPr="0023574F">
        <w:rPr>
          <w:i/>
          <w:iCs/>
        </w:rPr>
        <w:t>Phytophthora</w:t>
      </w:r>
      <w:proofErr w:type="spellEnd"/>
      <w:r w:rsidR="00F06756">
        <w:rPr>
          <w:i/>
          <w:iCs/>
        </w:rPr>
        <w:t xml:space="preserve"> </w:t>
      </w:r>
      <w:r w:rsidRPr="0023574F">
        <w:t>associated with deciduous fruit crops.</w:t>
      </w:r>
      <w:r w:rsidR="004048ED">
        <w:t xml:space="preserve"> </w:t>
      </w:r>
      <w:proofErr w:type="spellStart"/>
      <w:r w:rsidRPr="0023574F">
        <w:t>Phytopathology</w:t>
      </w:r>
      <w:proofErr w:type="spellEnd"/>
      <w:r w:rsidRPr="0023574F">
        <w:t>. 78(11): 1402-1408.</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lang w:bidi="ar-EG"/>
        </w:rPr>
      </w:pPr>
      <w:r w:rsidRPr="0023574F">
        <w:rPr>
          <w:rFonts w:cs="Times New Roman"/>
          <w:sz w:val="20"/>
          <w:szCs w:val="20"/>
          <w:lang w:bidi="ar-EG"/>
        </w:rPr>
        <w:t xml:space="preserve">Bishop, C. D. and </w:t>
      </w:r>
      <w:proofErr w:type="spellStart"/>
      <w:r w:rsidRPr="0023574F">
        <w:rPr>
          <w:rFonts w:cs="Times New Roman"/>
          <w:sz w:val="20"/>
          <w:szCs w:val="20"/>
          <w:lang w:bidi="ar-EG"/>
        </w:rPr>
        <w:t>Thorton</w:t>
      </w:r>
      <w:proofErr w:type="spellEnd"/>
      <w:r w:rsidRPr="0023574F">
        <w:rPr>
          <w:rFonts w:cs="Times New Roman"/>
          <w:sz w:val="20"/>
          <w:szCs w:val="20"/>
          <w:lang w:bidi="ar-EG"/>
        </w:rPr>
        <w:t xml:space="preserve">, I. B. </w:t>
      </w:r>
      <w:r w:rsidRPr="0023574F">
        <w:rPr>
          <w:rFonts w:cs="Times New Roman"/>
          <w:bCs/>
          <w:sz w:val="20"/>
          <w:szCs w:val="20"/>
          <w:lang w:bidi="ar-EG"/>
        </w:rPr>
        <w:t>(1997).</w:t>
      </w:r>
      <w:r w:rsidR="00F06756">
        <w:rPr>
          <w:rFonts w:cs="Times New Roman"/>
          <w:bCs/>
          <w:sz w:val="20"/>
          <w:szCs w:val="20"/>
          <w:lang w:bidi="ar-EG"/>
        </w:rPr>
        <w:t xml:space="preserve"> </w:t>
      </w:r>
      <w:r w:rsidRPr="0023574F">
        <w:rPr>
          <w:rFonts w:cs="Times New Roman"/>
          <w:sz w:val="20"/>
          <w:szCs w:val="20"/>
          <w:lang w:bidi="ar-EG"/>
        </w:rPr>
        <w:t xml:space="preserve">Evaluation of the antifungal activity of the </w:t>
      </w:r>
      <w:r w:rsidRPr="0023574F">
        <w:rPr>
          <w:rFonts w:cs="Times New Roman"/>
          <w:sz w:val="20"/>
          <w:szCs w:val="20"/>
          <w:lang w:bidi="ar-EG"/>
        </w:rPr>
        <w:lastRenderedPageBreak/>
        <w:t xml:space="preserve">essential oil of </w:t>
      </w:r>
      <w:proofErr w:type="spellStart"/>
      <w:r w:rsidRPr="0023574F">
        <w:rPr>
          <w:rFonts w:cs="Times New Roman"/>
          <w:i/>
          <w:iCs/>
          <w:sz w:val="20"/>
          <w:szCs w:val="20"/>
          <w:lang w:bidi="ar-EG"/>
        </w:rPr>
        <w:t>Monardacitriodora</w:t>
      </w:r>
      <w:proofErr w:type="spellEnd"/>
      <w:r w:rsidRPr="0023574F">
        <w:rPr>
          <w:rFonts w:cs="Times New Roman"/>
          <w:sz w:val="20"/>
          <w:szCs w:val="20"/>
          <w:lang w:bidi="ar-EG"/>
        </w:rPr>
        <w:t xml:space="preserve"> var. </w:t>
      </w:r>
      <w:proofErr w:type="spellStart"/>
      <w:r w:rsidRPr="0023574F">
        <w:rPr>
          <w:rFonts w:cs="Times New Roman"/>
          <w:i/>
          <w:iCs/>
          <w:sz w:val="20"/>
          <w:szCs w:val="20"/>
          <w:lang w:bidi="ar-EG"/>
        </w:rPr>
        <w:t>citridora</w:t>
      </w:r>
      <w:proofErr w:type="spellEnd"/>
      <w:r w:rsidR="00F06756">
        <w:rPr>
          <w:rFonts w:cs="Times New Roman"/>
          <w:i/>
          <w:iCs/>
          <w:sz w:val="20"/>
          <w:szCs w:val="20"/>
          <w:lang w:bidi="ar-EG"/>
        </w:rPr>
        <w:t xml:space="preserve"> </w:t>
      </w:r>
      <w:r w:rsidRPr="0023574F">
        <w:rPr>
          <w:rFonts w:cs="Times New Roman"/>
          <w:sz w:val="20"/>
          <w:szCs w:val="20"/>
          <w:lang w:bidi="ar-EG"/>
        </w:rPr>
        <w:t xml:space="preserve">and </w:t>
      </w:r>
      <w:proofErr w:type="spellStart"/>
      <w:r w:rsidRPr="0023574F">
        <w:rPr>
          <w:rFonts w:cs="Times New Roman"/>
          <w:i/>
          <w:iCs/>
          <w:sz w:val="20"/>
          <w:szCs w:val="20"/>
          <w:lang w:bidi="ar-EG"/>
        </w:rPr>
        <w:t>Melaleucaalternifolia</w:t>
      </w:r>
      <w:proofErr w:type="spellEnd"/>
      <w:r w:rsidR="00F06756">
        <w:rPr>
          <w:rFonts w:cs="Times New Roman"/>
          <w:i/>
          <w:iCs/>
          <w:sz w:val="20"/>
          <w:szCs w:val="20"/>
          <w:lang w:bidi="ar-EG"/>
        </w:rPr>
        <w:t xml:space="preserve"> </w:t>
      </w:r>
      <w:r w:rsidRPr="0023574F">
        <w:rPr>
          <w:rFonts w:cs="Times New Roman"/>
          <w:sz w:val="20"/>
          <w:szCs w:val="20"/>
          <w:lang w:bidi="ar-EG"/>
        </w:rPr>
        <w:t>on post-harvest pathogens.</w:t>
      </w:r>
      <w:r w:rsidR="004048ED">
        <w:rPr>
          <w:rFonts w:cs="Times New Roman"/>
          <w:sz w:val="20"/>
          <w:szCs w:val="20"/>
          <w:lang w:bidi="ar-EG"/>
        </w:rPr>
        <w:t xml:space="preserve"> </w:t>
      </w:r>
      <w:r w:rsidRPr="0023574F">
        <w:rPr>
          <w:rFonts w:cs="Times New Roman"/>
          <w:sz w:val="20"/>
          <w:szCs w:val="20"/>
          <w:lang w:bidi="ar-EG"/>
        </w:rPr>
        <w:t xml:space="preserve">J. </w:t>
      </w:r>
      <w:proofErr w:type="spellStart"/>
      <w:r w:rsidRPr="0023574F">
        <w:rPr>
          <w:rFonts w:cs="Times New Roman"/>
          <w:sz w:val="20"/>
          <w:szCs w:val="20"/>
          <w:lang w:bidi="ar-EG"/>
        </w:rPr>
        <w:t>Essent</w:t>
      </w:r>
      <w:proofErr w:type="spellEnd"/>
      <w:r w:rsidRPr="0023574F">
        <w:rPr>
          <w:rFonts w:cs="Times New Roman"/>
          <w:sz w:val="20"/>
          <w:szCs w:val="20"/>
          <w:lang w:bidi="ar-EG"/>
        </w:rPr>
        <w:t>. Oil Res.</w:t>
      </w:r>
      <w:r w:rsidR="004048ED">
        <w:rPr>
          <w:rFonts w:cs="Times New Roman"/>
          <w:bCs/>
          <w:sz w:val="20"/>
          <w:szCs w:val="20"/>
          <w:lang w:bidi="ar-EG"/>
        </w:rPr>
        <w:t xml:space="preserve"> </w:t>
      </w:r>
      <w:r w:rsidRPr="0023574F">
        <w:rPr>
          <w:rFonts w:cs="Times New Roman"/>
          <w:bCs/>
          <w:sz w:val="20"/>
          <w:szCs w:val="20"/>
          <w:lang w:bidi="ar-EG"/>
        </w:rPr>
        <w:t xml:space="preserve">9: </w:t>
      </w:r>
      <w:r w:rsidRPr="0023574F">
        <w:rPr>
          <w:rFonts w:cs="Times New Roman"/>
          <w:sz w:val="20"/>
          <w:szCs w:val="20"/>
          <w:lang w:bidi="ar-EG"/>
        </w:rPr>
        <w:t>77 – 82.</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color w:val="000000"/>
          <w:sz w:val="20"/>
          <w:szCs w:val="20"/>
        </w:rPr>
      </w:pPr>
      <w:proofErr w:type="spellStart"/>
      <w:r w:rsidRPr="0023574F">
        <w:rPr>
          <w:rFonts w:cs="Times New Roman"/>
          <w:color w:val="000000"/>
          <w:sz w:val="20"/>
          <w:szCs w:val="20"/>
        </w:rPr>
        <w:t>Brayford</w:t>
      </w:r>
      <w:proofErr w:type="spellEnd"/>
      <w:r w:rsidRPr="0023574F">
        <w:rPr>
          <w:rFonts w:cs="Times New Roman"/>
          <w:color w:val="000000"/>
          <w:sz w:val="20"/>
          <w:szCs w:val="20"/>
        </w:rPr>
        <w:t xml:space="preserve">, D. </w:t>
      </w:r>
      <w:r w:rsidRPr="0023574F">
        <w:rPr>
          <w:rFonts w:cs="Times New Roman"/>
          <w:bCs/>
          <w:color w:val="000000"/>
          <w:sz w:val="20"/>
          <w:szCs w:val="20"/>
        </w:rPr>
        <w:t>(1989)</w:t>
      </w:r>
      <w:r w:rsidRPr="0023574F">
        <w:rPr>
          <w:rFonts w:cs="Times New Roman"/>
          <w:color w:val="000000"/>
          <w:sz w:val="20"/>
          <w:szCs w:val="20"/>
        </w:rPr>
        <w:t xml:space="preserve">. Progress in the study of </w:t>
      </w:r>
      <w:proofErr w:type="spellStart"/>
      <w:r w:rsidRPr="0023574F">
        <w:rPr>
          <w:rFonts w:cs="Times New Roman"/>
          <w:i/>
          <w:iCs/>
          <w:color w:val="000000"/>
          <w:sz w:val="20"/>
          <w:szCs w:val="20"/>
        </w:rPr>
        <w:t>Fusarium</w:t>
      </w:r>
      <w:proofErr w:type="spellEnd"/>
      <w:r w:rsidRPr="0023574F">
        <w:rPr>
          <w:rFonts w:cs="Times New Roman"/>
          <w:color w:val="000000"/>
          <w:sz w:val="20"/>
          <w:szCs w:val="20"/>
        </w:rPr>
        <w:t xml:space="preserve"> and some related genera. J. App1. </w:t>
      </w:r>
      <w:proofErr w:type="spellStart"/>
      <w:r w:rsidRPr="0023574F">
        <w:rPr>
          <w:rFonts w:cs="Times New Roman"/>
          <w:color w:val="000000"/>
          <w:sz w:val="20"/>
          <w:szCs w:val="20"/>
        </w:rPr>
        <w:t>Bacteriol</w:t>
      </w:r>
      <w:proofErr w:type="spellEnd"/>
      <w:r w:rsidRPr="0023574F">
        <w:rPr>
          <w:rFonts w:cs="Times New Roman"/>
          <w:color w:val="000000"/>
          <w:sz w:val="20"/>
          <w:szCs w:val="20"/>
        </w:rPr>
        <w:t>. 67 (1): 475- 605.</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color w:val="000000"/>
          <w:sz w:val="20"/>
          <w:szCs w:val="20"/>
        </w:rPr>
      </w:pPr>
      <w:r w:rsidRPr="0023574F">
        <w:rPr>
          <w:rFonts w:cs="Times New Roman"/>
          <w:color w:val="000000"/>
          <w:sz w:val="20"/>
          <w:szCs w:val="20"/>
        </w:rPr>
        <w:t xml:space="preserve">Burgess, L. W.; </w:t>
      </w:r>
      <w:proofErr w:type="spellStart"/>
      <w:r w:rsidRPr="0023574F">
        <w:rPr>
          <w:rFonts w:cs="Times New Roman"/>
          <w:color w:val="000000"/>
          <w:sz w:val="20"/>
          <w:szCs w:val="20"/>
        </w:rPr>
        <w:t>Summerell</w:t>
      </w:r>
      <w:proofErr w:type="spellEnd"/>
      <w:r w:rsidRPr="0023574F">
        <w:rPr>
          <w:rFonts w:cs="Times New Roman"/>
          <w:color w:val="000000"/>
          <w:sz w:val="20"/>
          <w:szCs w:val="20"/>
        </w:rPr>
        <w:t xml:space="preserve">, B. A.; Bullock, S. G. and Backhouse, K. P. D. </w:t>
      </w:r>
      <w:r w:rsidRPr="0023574F">
        <w:rPr>
          <w:rFonts w:cs="Times New Roman"/>
          <w:bCs/>
          <w:color w:val="000000"/>
          <w:sz w:val="20"/>
          <w:szCs w:val="20"/>
        </w:rPr>
        <w:t>(1994).</w:t>
      </w:r>
      <w:r w:rsidR="00F06756">
        <w:rPr>
          <w:rFonts w:cs="Times New Roman"/>
          <w:bCs/>
          <w:color w:val="000000"/>
          <w:sz w:val="20"/>
          <w:szCs w:val="20"/>
        </w:rPr>
        <w:t xml:space="preserve"> </w:t>
      </w:r>
      <w:r w:rsidRPr="0023574F">
        <w:rPr>
          <w:rFonts w:cs="Times New Roman"/>
          <w:color w:val="000000"/>
          <w:sz w:val="20"/>
          <w:szCs w:val="20"/>
        </w:rPr>
        <w:t xml:space="preserve">Laboratory Manual for </w:t>
      </w:r>
      <w:proofErr w:type="spellStart"/>
      <w:r w:rsidRPr="0023574F">
        <w:rPr>
          <w:rFonts w:cs="Times New Roman"/>
          <w:i/>
          <w:iCs/>
          <w:color w:val="000000"/>
          <w:sz w:val="20"/>
          <w:szCs w:val="20"/>
        </w:rPr>
        <w:t>Fusarium</w:t>
      </w:r>
      <w:proofErr w:type="spellEnd"/>
      <w:r w:rsidRPr="0023574F">
        <w:rPr>
          <w:rFonts w:cs="Times New Roman"/>
          <w:color w:val="000000"/>
          <w:sz w:val="20"/>
          <w:szCs w:val="20"/>
        </w:rPr>
        <w:t xml:space="preserve"> Research.3</w:t>
      </w:r>
      <w:r w:rsidRPr="0023574F">
        <w:rPr>
          <w:rFonts w:cs="Times New Roman"/>
          <w:color w:val="000000"/>
          <w:sz w:val="20"/>
          <w:szCs w:val="20"/>
          <w:vertAlign w:val="superscript"/>
        </w:rPr>
        <w:t>rd</w:t>
      </w:r>
      <w:r w:rsidRPr="0023574F">
        <w:rPr>
          <w:rFonts w:cs="Times New Roman"/>
          <w:color w:val="000000"/>
          <w:sz w:val="20"/>
          <w:szCs w:val="20"/>
        </w:rPr>
        <w:t xml:space="preserve"> Ed. Univ. of Sydney. 133pp.</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Burt, S. </w:t>
      </w:r>
      <w:r w:rsidRPr="0023574F">
        <w:rPr>
          <w:rFonts w:cs="Times New Roman"/>
          <w:bCs/>
          <w:sz w:val="20"/>
          <w:szCs w:val="20"/>
        </w:rPr>
        <w:t>(2004).</w:t>
      </w:r>
      <w:r w:rsidRPr="0023574F">
        <w:rPr>
          <w:rFonts w:cs="Times New Roman"/>
          <w:sz w:val="20"/>
          <w:szCs w:val="20"/>
        </w:rPr>
        <w:t xml:space="preserve"> Essential oils: their antibacterial properties and potential applications in foods — a review. International Journal of Food Microbiology. 94, 223–253.</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lang w:bidi="ar-EG"/>
        </w:rPr>
      </w:pPr>
      <w:proofErr w:type="spellStart"/>
      <w:r w:rsidRPr="0023574F">
        <w:rPr>
          <w:rFonts w:cs="Times New Roman"/>
          <w:sz w:val="20"/>
          <w:szCs w:val="20"/>
          <w:lang w:bidi="ar-EG"/>
        </w:rPr>
        <w:t>Carta</w:t>
      </w:r>
      <w:proofErr w:type="spellEnd"/>
      <w:r w:rsidRPr="0023574F">
        <w:rPr>
          <w:rFonts w:cs="Times New Roman"/>
          <w:sz w:val="20"/>
          <w:szCs w:val="20"/>
          <w:lang w:bidi="ar-EG"/>
        </w:rPr>
        <w:t xml:space="preserve">, C.; </w:t>
      </w:r>
      <w:proofErr w:type="spellStart"/>
      <w:r w:rsidRPr="0023574F">
        <w:rPr>
          <w:rFonts w:cs="Times New Roman"/>
          <w:sz w:val="20"/>
          <w:szCs w:val="20"/>
          <w:lang w:bidi="ar-EG"/>
        </w:rPr>
        <w:t>Moretti</w:t>
      </w:r>
      <w:proofErr w:type="spellEnd"/>
      <w:r w:rsidRPr="0023574F">
        <w:rPr>
          <w:rFonts w:cs="Times New Roman"/>
          <w:sz w:val="20"/>
          <w:szCs w:val="20"/>
          <w:lang w:bidi="ar-EG"/>
        </w:rPr>
        <w:t xml:space="preserve">, M. D. L. and </w:t>
      </w:r>
      <w:proofErr w:type="spellStart"/>
      <w:r w:rsidRPr="0023574F">
        <w:rPr>
          <w:rFonts w:cs="Times New Roman"/>
          <w:sz w:val="20"/>
          <w:szCs w:val="20"/>
          <w:lang w:bidi="ar-EG"/>
        </w:rPr>
        <w:t>Peana</w:t>
      </w:r>
      <w:proofErr w:type="spellEnd"/>
      <w:r w:rsidRPr="0023574F">
        <w:rPr>
          <w:rFonts w:cs="Times New Roman"/>
          <w:sz w:val="20"/>
          <w:szCs w:val="20"/>
          <w:lang w:bidi="ar-EG"/>
        </w:rPr>
        <w:t xml:space="preserve">, A. T. </w:t>
      </w:r>
      <w:r w:rsidRPr="0023574F">
        <w:rPr>
          <w:rFonts w:cs="Times New Roman"/>
          <w:bCs/>
          <w:sz w:val="20"/>
          <w:szCs w:val="20"/>
          <w:lang w:bidi="ar-EG"/>
        </w:rPr>
        <w:t>(1996).</w:t>
      </w:r>
      <w:r w:rsidRPr="0023574F">
        <w:rPr>
          <w:rFonts w:cs="Times New Roman"/>
          <w:sz w:val="20"/>
          <w:szCs w:val="20"/>
          <w:lang w:bidi="ar-EG"/>
        </w:rPr>
        <w:t xml:space="preserve">Activity of the oil of </w:t>
      </w:r>
      <w:r w:rsidRPr="0023574F">
        <w:rPr>
          <w:rFonts w:cs="Times New Roman"/>
          <w:i/>
          <w:iCs/>
          <w:sz w:val="20"/>
          <w:szCs w:val="20"/>
          <w:lang w:bidi="ar-EG"/>
        </w:rPr>
        <w:t xml:space="preserve">Salvia </w:t>
      </w:r>
      <w:proofErr w:type="spellStart"/>
      <w:r w:rsidRPr="0023574F">
        <w:rPr>
          <w:rFonts w:cs="Times New Roman"/>
          <w:i/>
          <w:iCs/>
          <w:sz w:val="20"/>
          <w:szCs w:val="20"/>
          <w:lang w:bidi="ar-EG"/>
        </w:rPr>
        <w:t>officinialis</w:t>
      </w:r>
      <w:proofErr w:type="spellEnd"/>
      <w:r w:rsidR="00F06756">
        <w:rPr>
          <w:rFonts w:cs="Times New Roman"/>
          <w:i/>
          <w:iCs/>
          <w:sz w:val="20"/>
          <w:szCs w:val="20"/>
          <w:lang w:bidi="ar-EG"/>
        </w:rPr>
        <w:t xml:space="preserve"> </w:t>
      </w:r>
      <w:r w:rsidRPr="0023574F">
        <w:rPr>
          <w:rFonts w:cs="Times New Roman"/>
          <w:sz w:val="20"/>
          <w:szCs w:val="20"/>
          <w:lang w:bidi="ar-EG"/>
        </w:rPr>
        <w:t xml:space="preserve">L. against </w:t>
      </w:r>
      <w:r w:rsidRPr="0023574F">
        <w:rPr>
          <w:rFonts w:cs="Times New Roman"/>
          <w:i/>
          <w:iCs/>
          <w:sz w:val="20"/>
          <w:szCs w:val="20"/>
          <w:lang w:bidi="ar-EG"/>
        </w:rPr>
        <w:t xml:space="preserve">Botrytis </w:t>
      </w:r>
      <w:proofErr w:type="spellStart"/>
      <w:r w:rsidRPr="0023574F">
        <w:rPr>
          <w:rFonts w:cs="Times New Roman"/>
          <w:i/>
          <w:iCs/>
          <w:sz w:val="20"/>
          <w:szCs w:val="20"/>
          <w:lang w:bidi="ar-EG"/>
        </w:rPr>
        <w:t>cinerea</w:t>
      </w:r>
      <w:proofErr w:type="spellEnd"/>
      <w:r w:rsidRPr="0023574F">
        <w:rPr>
          <w:rFonts w:cs="Times New Roman"/>
          <w:sz w:val="20"/>
          <w:szCs w:val="20"/>
          <w:lang w:bidi="ar-EG"/>
        </w:rPr>
        <w:t xml:space="preserve">. J. </w:t>
      </w:r>
      <w:proofErr w:type="spellStart"/>
      <w:r w:rsidRPr="0023574F">
        <w:rPr>
          <w:rFonts w:cs="Times New Roman"/>
          <w:sz w:val="20"/>
          <w:szCs w:val="20"/>
          <w:lang w:bidi="ar-EG"/>
        </w:rPr>
        <w:t>Essent</w:t>
      </w:r>
      <w:proofErr w:type="spellEnd"/>
      <w:r w:rsidRPr="0023574F">
        <w:rPr>
          <w:rFonts w:cs="Times New Roman"/>
          <w:sz w:val="20"/>
          <w:szCs w:val="20"/>
          <w:lang w:bidi="ar-EG"/>
        </w:rPr>
        <w:t>. Oil Res.</w:t>
      </w:r>
      <w:r w:rsidR="004048ED">
        <w:rPr>
          <w:rFonts w:cs="Times New Roman"/>
          <w:sz w:val="20"/>
          <w:szCs w:val="20"/>
          <w:lang w:bidi="ar-EG"/>
        </w:rPr>
        <w:t xml:space="preserve"> </w:t>
      </w:r>
      <w:r w:rsidRPr="0023574F">
        <w:rPr>
          <w:rFonts w:cs="Times New Roman"/>
          <w:sz w:val="20"/>
          <w:szCs w:val="20"/>
          <w:lang w:bidi="ar-EG"/>
        </w:rPr>
        <w:t>8: 399 – 404.</w:t>
      </w:r>
    </w:p>
    <w:p w:rsidR="005F1E9D" w:rsidRPr="0023574F" w:rsidRDefault="005F1E9D" w:rsidP="0023574F">
      <w:pPr>
        <w:pStyle w:val="ListParagraph"/>
        <w:numPr>
          <w:ilvl w:val="0"/>
          <w:numId w:val="21"/>
        </w:numPr>
        <w:bidi w:val="0"/>
        <w:snapToGrid w:val="0"/>
        <w:jc w:val="both"/>
        <w:rPr>
          <w:rFonts w:cs="Times New Roman"/>
          <w:sz w:val="20"/>
          <w:szCs w:val="20"/>
        </w:rPr>
      </w:pPr>
      <w:r w:rsidRPr="0023574F">
        <w:rPr>
          <w:rFonts w:cs="Times New Roman"/>
          <w:sz w:val="20"/>
          <w:szCs w:val="20"/>
        </w:rPr>
        <w:t xml:space="preserve">Chang, H.; Cheng, Y.; </w:t>
      </w:r>
      <w:proofErr w:type="spellStart"/>
      <w:r w:rsidRPr="0023574F">
        <w:rPr>
          <w:rFonts w:cs="Times New Roman"/>
          <w:sz w:val="20"/>
          <w:szCs w:val="20"/>
        </w:rPr>
        <w:t>Wua</w:t>
      </w:r>
      <w:proofErr w:type="spellEnd"/>
      <w:r w:rsidRPr="0023574F">
        <w:rPr>
          <w:rFonts w:cs="Times New Roman"/>
          <w:sz w:val="20"/>
          <w:szCs w:val="20"/>
        </w:rPr>
        <w:t xml:space="preserve">, C.; Chang, S.; Chang, T. and Su, Y. </w:t>
      </w:r>
      <w:r w:rsidRPr="0023574F">
        <w:rPr>
          <w:rFonts w:cs="Times New Roman"/>
          <w:bCs/>
          <w:sz w:val="20"/>
          <w:szCs w:val="20"/>
        </w:rPr>
        <w:t>(2008).</w:t>
      </w:r>
      <w:r w:rsidRPr="0023574F">
        <w:rPr>
          <w:rFonts w:cs="Times New Roman"/>
          <w:sz w:val="20"/>
          <w:szCs w:val="20"/>
        </w:rPr>
        <w:t xml:space="preserve"> Antifungal activity of essential oil and its constituents from </w:t>
      </w:r>
      <w:proofErr w:type="spellStart"/>
      <w:r w:rsidRPr="0023574F">
        <w:rPr>
          <w:rFonts w:cs="Times New Roman"/>
          <w:i/>
          <w:iCs/>
          <w:sz w:val="20"/>
          <w:szCs w:val="20"/>
        </w:rPr>
        <w:t>Calocedrusmacrolepis</w:t>
      </w:r>
      <w:proofErr w:type="spellEnd"/>
      <w:r w:rsidRPr="0023574F">
        <w:rPr>
          <w:rFonts w:cs="Times New Roman"/>
          <w:sz w:val="20"/>
          <w:szCs w:val="20"/>
        </w:rPr>
        <w:t xml:space="preserve"> var. </w:t>
      </w:r>
      <w:proofErr w:type="spellStart"/>
      <w:r w:rsidRPr="0023574F">
        <w:rPr>
          <w:rFonts w:cs="Times New Roman"/>
          <w:sz w:val="20"/>
          <w:szCs w:val="20"/>
        </w:rPr>
        <w:t>formosana</w:t>
      </w:r>
      <w:proofErr w:type="spellEnd"/>
      <w:r w:rsidRPr="0023574F">
        <w:rPr>
          <w:rFonts w:cs="Times New Roman"/>
          <w:sz w:val="20"/>
          <w:szCs w:val="20"/>
        </w:rPr>
        <w:t xml:space="preserve"> Florin leaf against plant pathogenic fungi. </w:t>
      </w:r>
      <w:proofErr w:type="spellStart"/>
      <w:r w:rsidRPr="0023574F">
        <w:rPr>
          <w:rFonts w:cs="Times New Roman"/>
          <w:sz w:val="20"/>
          <w:szCs w:val="20"/>
        </w:rPr>
        <w:t>Bioresour</w:t>
      </w:r>
      <w:proofErr w:type="spellEnd"/>
      <w:r w:rsidRPr="0023574F">
        <w:rPr>
          <w:rFonts w:cs="Times New Roman"/>
          <w:sz w:val="20"/>
          <w:szCs w:val="20"/>
        </w:rPr>
        <w:t>.</w:t>
      </w:r>
      <w:r w:rsidR="00F06756">
        <w:rPr>
          <w:rFonts w:cs="Times New Roman"/>
          <w:sz w:val="20"/>
          <w:szCs w:val="20"/>
        </w:rPr>
        <w:t xml:space="preserve"> </w:t>
      </w:r>
      <w:r w:rsidRPr="0023574F">
        <w:rPr>
          <w:rFonts w:cs="Times New Roman"/>
          <w:sz w:val="20"/>
          <w:szCs w:val="20"/>
        </w:rPr>
        <w:t>Technol. 99, 6266–6270.</w:t>
      </w:r>
    </w:p>
    <w:p w:rsidR="005F1E9D" w:rsidRPr="0023574F" w:rsidRDefault="005F1E9D" w:rsidP="0023574F">
      <w:pPr>
        <w:pStyle w:val="ListParagraph"/>
        <w:numPr>
          <w:ilvl w:val="0"/>
          <w:numId w:val="21"/>
        </w:numPr>
        <w:bidi w:val="0"/>
        <w:snapToGrid w:val="0"/>
        <w:jc w:val="both"/>
        <w:rPr>
          <w:rFonts w:cs="Times New Roman"/>
          <w:sz w:val="20"/>
          <w:szCs w:val="20"/>
        </w:rPr>
      </w:pPr>
      <w:proofErr w:type="spellStart"/>
      <w:r w:rsidRPr="0023574F">
        <w:rPr>
          <w:rFonts w:cs="Times New Roman"/>
          <w:sz w:val="20"/>
          <w:szCs w:val="20"/>
        </w:rPr>
        <w:t>Daayf</w:t>
      </w:r>
      <w:proofErr w:type="spellEnd"/>
      <w:r w:rsidRPr="0023574F">
        <w:rPr>
          <w:rFonts w:cs="Times New Roman"/>
          <w:sz w:val="20"/>
          <w:szCs w:val="20"/>
        </w:rPr>
        <w:t xml:space="preserve">, F.; Schmitt, A. and </w:t>
      </w:r>
      <w:proofErr w:type="spellStart"/>
      <w:r w:rsidRPr="0023574F">
        <w:rPr>
          <w:rFonts w:cs="Times New Roman"/>
          <w:sz w:val="20"/>
          <w:szCs w:val="20"/>
        </w:rPr>
        <w:t>Bélanger</w:t>
      </w:r>
      <w:proofErr w:type="spellEnd"/>
      <w:r w:rsidRPr="0023574F">
        <w:rPr>
          <w:rFonts w:cs="Times New Roman"/>
          <w:sz w:val="20"/>
          <w:szCs w:val="20"/>
        </w:rPr>
        <w:t xml:space="preserve">, R. R. </w:t>
      </w:r>
      <w:r w:rsidRPr="0023574F">
        <w:rPr>
          <w:rFonts w:cs="Times New Roman"/>
          <w:bCs/>
          <w:sz w:val="20"/>
          <w:szCs w:val="20"/>
        </w:rPr>
        <w:t>(1995).</w:t>
      </w:r>
      <w:r w:rsidRPr="0023574F">
        <w:rPr>
          <w:rFonts w:cs="Times New Roman"/>
          <w:sz w:val="20"/>
          <w:szCs w:val="20"/>
        </w:rPr>
        <w:t xml:space="preserve"> The effects of plant extracts of </w:t>
      </w:r>
      <w:proofErr w:type="spellStart"/>
      <w:r w:rsidRPr="0023574F">
        <w:rPr>
          <w:rFonts w:cs="Times New Roman"/>
          <w:i/>
          <w:iCs/>
          <w:sz w:val="20"/>
          <w:szCs w:val="20"/>
        </w:rPr>
        <w:t>Reynoutriasachalinensis</w:t>
      </w:r>
      <w:proofErr w:type="spellEnd"/>
      <w:r w:rsidRPr="0023574F">
        <w:rPr>
          <w:rFonts w:cs="Times New Roman"/>
          <w:sz w:val="20"/>
          <w:szCs w:val="20"/>
        </w:rPr>
        <w:t xml:space="preserve"> on powdery mildew development and leaf physiology of long English cucumber. Plant Dis. 79, 577–580.</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eastAsia="AdvTimes" w:cs="Times New Roman"/>
          <w:sz w:val="20"/>
          <w:szCs w:val="20"/>
        </w:rPr>
      </w:pPr>
      <w:r w:rsidRPr="0023574F">
        <w:rPr>
          <w:rFonts w:eastAsia="AdvTimes" w:cs="Times New Roman"/>
          <w:sz w:val="20"/>
          <w:szCs w:val="20"/>
        </w:rPr>
        <w:t xml:space="preserve">Davidson, P. M. </w:t>
      </w:r>
      <w:r w:rsidRPr="0023574F">
        <w:rPr>
          <w:rFonts w:eastAsia="AdvTimes" w:cs="Times New Roman"/>
          <w:bCs/>
          <w:sz w:val="20"/>
          <w:szCs w:val="20"/>
        </w:rPr>
        <w:t>(1993).</w:t>
      </w:r>
      <w:r w:rsidR="00F06756">
        <w:rPr>
          <w:rFonts w:eastAsia="AdvTimes" w:cs="Times New Roman"/>
          <w:bCs/>
          <w:sz w:val="20"/>
          <w:szCs w:val="20"/>
        </w:rPr>
        <w:t xml:space="preserve"> </w:t>
      </w:r>
      <w:proofErr w:type="spellStart"/>
      <w:r w:rsidRPr="0023574F">
        <w:rPr>
          <w:rFonts w:eastAsia="AdvTimes" w:cs="Times New Roman"/>
          <w:sz w:val="20"/>
          <w:szCs w:val="20"/>
        </w:rPr>
        <w:t>Parabens</w:t>
      </w:r>
      <w:proofErr w:type="spellEnd"/>
      <w:r w:rsidRPr="0023574F">
        <w:rPr>
          <w:rFonts w:eastAsia="AdvTimes" w:cs="Times New Roman"/>
          <w:sz w:val="20"/>
          <w:szCs w:val="20"/>
        </w:rPr>
        <w:t xml:space="preserve"> and </w:t>
      </w:r>
      <w:proofErr w:type="spellStart"/>
      <w:r w:rsidRPr="0023574F">
        <w:rPr>
          <w:rFonts w:eastAsia="AdvTimes" w:cs="Times New Roman"/>
          <w:sz w:val="20"/>
          <w:szCs w:val="20"/>
        </w:rPr>
        <w:t>phenolicompunds</w:t>
      </w:r>
      <w:proofErr w:type="spellEnd"/>
      <w:r w:rsidRPr="0023574F">
        <w:rPr>
          <w:rFonts w:eastAsia="AdvTimes" w:cs="Times New Roman"/>
          <w:sz w:val="20"/>
          <w:szCs w:val="20"/>
        </w:rPr>
        <w:t>.</w:t>
      </w:r>
      <w:r w:rsidR="00F06756">
        <w:rPr>
          <w:rFonts w:eastAsia="AdvTimes" w:cs="Times New Roman"/>
          <w:sz w:val="20"/>
          <w:szCs w:val="20"/>
        </w:rPr>
        <w:t xml:space="preserve"> </w:t>
      </w:r>
      <w:r w:rsidRPr="0023574F">
        <w:rPr>
          <w:rFonts w:eastAsia="AdvTimes" w:cs="Times New Roman"/>
          <w:sz w:val="20"/>
          <w:szCs w:val="20"/>
        </w:rPr>
        <w:t xml:space="preserve">In: P. M. Davidson, &amp; A. L. </w:t>
      </w:r>
      <w:proofErr w:type="spellStart"/>
      <w:r w:rsidRPr="0023574F">
        <w:rPr>
          <w:rFonts w:eastAsia="AdvTimes" w:cs="Times New Roman"/>
          <w:sz w:val="20"/>
          <w:szCs w:val="20"/>
        </w:rPr>
        <w:t>Branen</w:t>
      </w:r>
      <w:proofErr w:type="spellEnd"/>
      <w:r w:rsidRPr="0023574F">
        <w:rPr>
          <w:rFonts w:eastAsia="AdvTimes" w:cs="Times New Roman"/>
          <w:sz w:val="20"/>
          <w:szCs w:val="20"/>
        </w:rPr>
        <w:t xml:space="preserve"> (Eds.), Antimicrobials in foods (pp.263 .305).</w:t>
      </w:r>
      <w:r w:rsidR="00F06756">
        <w:rPr>
          <w:rFonts w:eastAsia="AdvTimes" w:cs="Times New Roman"/>
          <w:sz w:val="20"/>
          <w:szCs w:val="20"/>
        </w:rPr>
        <w:t xml:space="preserve"> </w:t>
      </w:r>
      <w:r w:rsidRPr="0023574F">
        <w:rPr>
          <w:rFonts w:eastAsia="AdvTimes" w:cs="Times New Roman"/>
          <w:sz w:val="20"/>
          <w:szCs w:val="20"/>
        </w:rPr>
        <w:t>New York, Marcel Dekker, Inc.</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Delaquis</w:t>
      </w:r>
      <w:proofErr w:type="spellEnd"/>
      <w:r w:rsidRPr="0023574F">
        <w:rPr>
          <w:rFonts w:cs="Times New Roman"/>
          <w:sz w:val="20"/>
          <w:szCs w:val="20"/>
        </w:rPr>
        <w:t xml:space="preserve">, P.J., </w:t>
      </w:r>
      <w:proofErr w:type="spellStart"/>
      <w:r w:rsidRPr="0023574F">
        <w:rPr>
          <w:rFonts w:cs="Times New Roman"/>
          <w:sz w:val="20"/>
          <w:szCs w:val="20"/>
        </w:rPr>
        <w:t>Mazza</w:t>
      </w:r>
      <w:proofErr w:type="spellEnd"/>
      <w:r w:rsidRPr="0023574F">
        <w:rPr>
          <w:rFonts w:cs="Times New Roman"/>
          <w:sz w:val="20"/>
          <w:szCs w:val="20"/>
        </w:rPr>
        <w:t xml:space="preserve">, G., </w:t>
      </w:r>
      <w:r w:rsidRPr="0023574F">
        <w:rPr>
          <w:rFonts w:cs="Times New Roman"/>
          <w:bCs/>
          <w:sz w:val="20"/>
          <w:szCs w:val="20"/>
        </w:rPr>
        <w:t>(1995).</w:t>
      </w:r>
      <w:r w:rsidR="00F06756">
        <w:rPr>
          <w:rFonts w:cs="Times New Roman"/>
          <w:bCs/>
          <w:sz w:val="20"/>
          <w:szCs w:val="20"/>
        </w:rPr>
        <w:t xml:space="preserve"> </w:t>
      </w:r>
      <w:r w:rsidRPr="0023574F">
        <w:rPr>
          <w:rFonts w:cs="Times New Roman"/>
          <w:sz w:val="20"/>
          <w:szCs w:val="20"/>
        </w:rPr>
        <w:t xml:space="preserve">Antimicrobial properties of </w:t>
      </w:r>
      <w:proofErr w:type="spellStart"/>
      <w:r w:rsidRPr="0023574F">
        <w:rPr>
          <w:rFonts w:cs="Times New Roman"/>
          <w:sz w:val="20"/>
          <w:szCs w:val="20"/>
        </w:rPr>
        <w:t>isothiocyanates</w:t>
      </w:r>
      <w:proofErr w:type="spellEnd"/>
      <w:r w:rsidRPr="0023574F">
        <w:rPr>
          <w:rFonts w:cs="Times New Roman"/>
          <w:sz w:val="20"/>
          <w:szCs w:val="20"/>
        </w:rPr>
        <w:t xml:space="preserve"> in food preservation. Food Technology 49, 73–84.</w:t>
      </w:r>
    </w:p>
    <w:p w:rsidR="005F1E9D" w:rsidRPr="0023574F" w:rsidRDefault="005F1E9D" w:rsidP="0023574F">
      <w:pPr>
        <w:pStyle w:val="ListParagraph"/>
        <w:numPr>
          <w:ilvl w:val="0"/>
          <w:numId w:val="21"/>
        </w:numPr>
        <w:bidi w:val="0"/>
        <w:snapToGrid w:val="0"/>
        <w:jc w:val="both"/>
        <w:rPr>
          <w:rFonts w:cs="Times New Roman"/>
          <w:sz w:val="20"/>
          <w:szCs w:val="20"/>
        </w:rPr>
      </w:pPr>
      <w:r w:rsidRPr="0023574F">
        <w:rPr>
          <w:rFonts w:cs="Times New Roman"/>
          <w:sz w:val="20"/>
          <w:szCs w:val="20"/>
        </w:rPr>
        <w:t xml:space="preserve">Duke, S. O., </w:t>
      </w:r>
      <w:r w:rsidRPr="0023574F">
        <w:rPr>
          <w:rFonts w:cs="Times New Roman"/>
          <w:bCs/>
          <w:sz w:val="20"/>
          <w:szCs w:val="20"/>
        </w:rPr>
        <w:t>(1993).</w:t>
      </w:r>
      <w:r w:rsidR="00F06756">
        <w:rPr>
          <w:rFonts w:cs="Times New Roman"/>
          <w:bCs/>
          <w:sz w:val="20"/>
          <w:szCs w:val="20"/>
        </w:rPr>
        <w:t xml:space="preserve"> </w:t>
      </w:r>
      <w:r w:rsidRPr="0023574F">
        <w:rPr>
          <w:rFonts w:cs="Times New Roman"/>
          <w:sz w:val="20"/>
          <w:szCs w:val="20"/>
        </w:rPr>
        <w:t xml:space="preserve">Natural pesticides from plants. In: </w:t>
      </w:r>
      <w:proofErr w:type="spellStart"/>
      <w:r w:rsidRPr="0023574F">
        <w:rPr>
          <w:rFonts w:cs="Times New Roman"/>
          <w:sz w:val="20"/>
          <w:szCs w:val="20"/>
        </w:rPr>
        <w:t>Janick</w:t>
      </w:r>
      <w:proofErr w:type="spellEnd"/>
      <w:r w:rsidRPr="0023574F">
        <w:rPr>
          <w:rFonts w:cs="Times New Roman"/>
          <w:sz w:val="20"/>
          <w:szCs w:val="20"/>
        </w:rPr>
        <w:t>, J., Simon, J.E. (Eds.), Advances in New Crops. Timber Press, Portland, OR, pp. 511–517.</w:t>
      </w:r>
    </w:p>
    <w:p w:rsidR="005F1E9D" w:rsidRPr="0023574F" w:rsidRDefault="005F1E9D" w:rsidP="0023574F">
      <w:pPr>
        <w:pStyle w:val="ListParagraph"/>
        <w:widowControl w:val="0"/>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Eichholzer</w:t>
      </w:r>
      <w:proofErr w:type="spellEnd"/>
      <w:r w:rsidRPr="0023574F">
        <w:rPr>
          <w:rFonts w:cs="Times New Roman"/>
          <w:sz w:val="20"/>
          <w:szCs w:val="20"/>
        </w:rPr>
        <w:t xml:space="preserve">, M.; </w:t>
      </w:r>
      <w:proofErr w:type="spellStart"/>
      <w:r w:rsidRPr="0023574F">
        <w:rPr>
          <w:rFonts w:cs="Times New Roman"/>
          <w:sz w:val="20"/>
          <w:szCs w:val="20"/>
        </w:rPr>
        <w:t>Tonz</w:t>
      </w:r>
      <w:proofErr w:type="spellEnd"/>
      <w:r w:rsidRPr="0023574F">
        <w:rPr>
          <w:rFonts w:cs="Times New Roman"/>
          <w:sz w:val="20"/>
          <w:szCs w:val="20"/>
        </w:rPr>
        <w:t xml:space="preserve">, O. and Zimmermann, R. </w:t>
      </w:r>
      <w:r w:rsidRPr="0023574F">
        <w:rPr>
          <w:rFonts w:cs="Times New Roman"/>
          <w:bCs/>
          <w:sz w:val="20"/>
          <w:szCs w:val="20"/>
        </w:rPr>
        <w:t>(2006)</w:t>
      </w:r>
      <w:r w:rsidRPr="0023574F">
        <w:rPr>
          <w:rFonts w:cs="Times New Roman"/>
          <w:sz w:val="20"/>
          <w:szCs w:val="20"/>
        </w:rPr>
        <w:t>.</w:t>
      </w:r>
      <w:r w:rsidR="004048ED">
        <w:rPr>
          <w:rFonts w:cs="Times New Roman"/>
          <w:sz w:val="20"/>
          <w:szCs w:val="20"/>
        </w:rPr>
        <w:t xml:space="preserve"> </w:t>
      </w:r>
      <w:r w:rsidRPr="0023574F">
        <w:rPr>
          <w:rFonts w:cs="Times New Roman"/>
          <w:sz w:val="20"/>
          <w:szCs w:val="20"/>
        </w:rPr>
        <w:t>Folic acid:</w:t>
      </w:r>
      <w:r w:rsidR="004048ED">
        <w:rPr>
          <w:rFonts w:cs="Times New Roman"/>
          <w:sz w:val="20"/>
          <w:szCs w:val="20"/>
        </w:rPr>
        <w:t xml:space="preserve"> </w:t>
      </w:r>
      <w:r w:rsidRPr="0023574F">
        <w:rPr>
          <w:rFonts w:cs="Times New Roman"/>
          <w:sz w:val="20"/>
          <w:szCs w:val="20"/>
        </w:rPr>
        <w:t>a public-health challenge.</w:t>
      </w:r>
      <w:r w:rsidR="004048ED">
        <w:rPr>
          <w:rFonts w:cs="Times New Roman"/>
          <w:sz w:val="20"/>
          <w:szCs w:val="20"/>
        </w:rPr>
        <w:t xml:space="preserve"> </w:t>
      </w:r>
      <w:r w:rsidRPr="0023574F">
        <w:rPr>
          <w:rFonts w:cs="Times New Roman"/>
          <w:sz w:val="20"/>
          <w:szCs w:val="20"/>
        </w:rPr>
        <w:t>Lancet., 367(9519): 1352-1361.</w:t>
      </w:r>
    </w:p>
    <w:p w:rsidR="005F1E9D" w:rsidRPr="0023574F" w:rsidRDefault="005F1E9D" w:rsidP="0023574F">
      <w:pPr>
        <w:pStyle w:val="ListParagraph"/>
        <w:numPr>
          <w:ilvl w:val="0"/>
          <w:numId w:val="21"/>
        </w:numPr>
        <w:bidi w:val="0"/>
        <w:snapToGrid w:val="0"/>
        <w:contextualSpacing/>
        <w:jc w:val="both"/>
        <w:rPr>
          <w:rFonts w:cs="Times New Roman"/>
          <w:sz w:val="20"/>
          <w:szCs w:val="20"/>
        </w:rPr>
      </w:pPr>
      <w:r w:rsidRPr="0023574F">
        <w:rPr>
          <w:rFonts w:cs="Times New Roman"/>
          <w:sz w:val="20"/>
          <w:szCs w:val="20"/>
        </w:rPr>
        <w:t xml:space="preserve">Finney, D. J. </w:t>
      </w:r>
      <w:r w:rsidRPr="0023574F">
        <w:rPr>
          <w:rFonts w:cs="Times New Roman"/>
          <w:bCs/>
          <w:sz w:val="20"/>
          <w:szCs w:val="20"/>
        </w:rPr>
        <w:t>(1971)</w:t>
      </w:r>
      <w:r w:rsidRPr="0023574F">
        <w:rPr>
          <w:rFonts w:cs="Times New Roman"/>
          <w:sz w:val="20"/>
          <w:szCs w:val="20"/>
        </w:rPr>
        <w:t>.</w:t>
      </w:r>
      <w:r w:rsidR="00F06756">
        <w:rPr>
          <w:rFonts w:cs="Times New Roman"/>
          <w:sz w:val="20"/>
          <w:szCs w:val="20"/>
        </w:rPr>
        <w:t xml:space="preserve"> </w:t>
      </w:r>
      <w:proofErr w:type="spellStart"/>
      <w:r w:rsidRPr="0023574F">
        <w:rPr>
          <w:rFonts w:cs="Times New Roman"/>
          <w:sz w:val="20"/>
          <w:szCs w:val="20"/>
        </w:rPr>
        <w:t>Probit</w:t>
      </w:r>
      <w:proofErr w:type="spellEnd"/>
      <w:r w:rsidRPr="0023574F">
        <w:rPr>
          <w:rFonts w:cs="Times New Roman"/>
          <w:sz w:val="20"/>
          <w:szCs w:val="20"/>
        </w:rPr>
        <w:t xml:space="preserve"> Analysis (3</w:t>
      </w:r>
      <w:r w:rsidRPr="0023574F">
        <w:rPr>
          <w:rFonts w:cs="Times New Roman"/>
          <w:sz w:val="20"/>
          <w:szCs w:val="20"/>
          <w:vertAlign w:val="superscript"/>
        </w:rPr>
        <w:t>rd</w:t>
      </w:r>
      <w:r w:rsidRPr="0023574F">
        <w:rPr>
          <w:rFonts w:cs="Times New Roman"/>
          <w:sz w:val="20"/>
          <w:szCs w:val="20"/>
        </w:rPr>
        <w:t xml:space="preserve"> Ed.)</w:t>
      </w:r>
      <w:proofErr w:type="spellStart"/>
      <w:r w:rsidRPr="0023574F">
        <w:rPr>
          <w:rFonts w:cs="Times New Roman"/>
          <w:sz w:val="20"/>
          <w:szCs w:val="20"/>
        </w:rPr>
        <w:t>Cambrige</w:t>
      </w:r>
      <w:proofErr w:type="spellEnd"/>
      <w:r w:rsidRPr="0023574F">
        <w:rPr>
          <w:rFonts w:cs="Times New Roman"/>
          <w:sz w:val="20"/>
          <w:szCs w:val="20"/>
        </w:rPr>
        <w:t xml:space="preserve"> Univ. Press, London.</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Fletcher, J.; Bender, C.; </w:t>
      </w:r>
      <w:proofErr w:type="spellStart"/>
      <w:r w:rsidRPr="0023574F">
        <w:rPr>
          <w:rFonts w:cs="Times New Roman"/>
          <w:sz w:val="20"/>
          <w:szCs w:val="20"/>
        </w:rPr>
        <w:t>Budowle</w:t>
      </w:r>
      <w:proofErr w:type="spellEnd"/>
      <w:r w:rsidRPr="0023574F">
        <w:rPr>
          <w:rFonts w:cs="Times New Roman"/>
          <w:sz w:val="20"/>
          <w:szCs w:val="20"/>
        </w:rPr>
        <w:t xml:space="preserve">, B.; Cobb, W. T.; Gold, S. E.; </w:t>
      </w:r>
      <w:proofErr w:type="spellStart"/>
      <w:r w:rsidRPr="0023574F">
        <w:rPr>
          <w:rFonts w:cs="Times New Roman"/>
          <w:sz w:val="20"/>
          <w:szCs w:val="20"/>
        </w:rPr>
        <w:t>Ishimaru</w:t>
      </w:r>
      <w:proofErr w:type="spellEnd"/>
      <w:r w:rsidRPr="0023574F">
        <w:rPr>
          <w:rFonts w:cs="Times New Roman"/>
          <w:sz w:val="20"/>
          <w:szCs w:val="20"/>
        </w:rPr>
        <w:t xml:space="preserve">, C. A.; Luster, D.; Melcher, U.; </w:t>
      </w:r>
      <w:proofErr w:type="spellStart"/>
      <w:r w:rsidRPr="0023574F">
        <w:rPr>
          <w:rFonts w:cs="Times New Roman"/>
          <w:sz w:val="20"/>
          <w:szCs w:val="20"/>
        </w:rPr>
        <w:t>Murch</w:t>
      </w:r>
      <w:proofErr w:type="spellEnd"/>
      <w:r w:rsidRPr="0023574F">
        <w:rPr>
          <w:rFonts w:cs="Times New Roman"/>
          <w:sz w:val="20"/>
          <w:szCs w:val="20"/>
        </w:rPr>
        <w:t xml:space="preserve">, R.; </w:t>
      </w:r>
      <w:proofErr w:type="spellStart"/>
      <w:r w:rsidRPr="0023574F">
        <w:rPr>
          <w:rFonts w:cs="Times New Roman"/>
          <w:sz w:val="20"/>
          <w:szCs w:val="20"/>
        </w:rPr>
        <w:t>Scherm</w:t>
      </w:r>
      <w:proofErr w:type="spellEnd"/>
      <w:r w:rsidRPr="0023574F">
        <w:rPr>
          <w:rFonts w:cs="Times New Roman"/>
          <w:sz w:val="20"/>
          <w:szCs w:val="20"/>
        </w:rPr>
        <w:t xml:space="preserve">, H.; Seem, R. C.; Sherwood, J. L.; </w:t>
      </w:r>
      <w:proofErr w:type="spellStart"/>
      <w:r w:rsidRPr="0023574F">
        <w:rPr>
          <w:rFonts w:cs="Times New Roman"/>
          <w:sz w:val="20"/>
          <w:szCs w:val="20"/>
        </w:rPr>
        <w:t>Sobral</w:t>
      </w:r>
      <w:proofErr w:type="spellEnd"/>
      <w:r w:rsidRPr="0023574F">
        <w:rPr>
          <w:rFonts w:cs="Times New Roman"/>
          <w:sz w:val="20"/>
          <w:szCs w:val="20"/>
        </w:rPr>
        <w:t xml:space="preserve">, B. W. and </w:t>
      </w:r>
      <w:proofErr w:type="spellStart"/>
      <w:r w:rsidRPr="0023574F">
        <w:rPr>
          <w:rFonts w:cs="Times New Roman"/>
          <w:sz w:val="20"/>
          <w:szCs w:val="20"/>
        </w:rPr>
        <w:t>Tolin</w:t>
      </w:r>
      <w:proofErr w:type="spellEnd"/>
      <w:r w:rsidRPr="0023574F">
        <w:rPr>
          <w:rFonts w:cs="Times New Roman"/>
          <w:sz w:val="20"/>
          <w:szCs w:val="20"/>
        </w:rPr>
        <w:t xml:space="preserve">, S. A. </w:t>
      </w:r>
      <w:r w:rsidRPr="0023574F">
        <w:rPr>
          <w:rFonts w:cs="Times New Roman"/>
          <w:bCs/>
          <w:sz w:val="20"/>
          <w:szCs w:val="20"/>
        </w:rPr>
        <w:t>(2006).</w:t>
      </w:r>
      <w:r w:rsidRPr="0023574F">
        <w:rPr>
          <w:rFonts w:cs="Times New Roman"/>
          <w:sz w:val="20"/>
          <w:szCs w:val="20"/>
        </w:rPr>
        <w:t xml:space="preserve"> Plant pathogen forensics: capabilities, needs, and recommendations. </w:t>
      </w:r>
      <w:proofErr w:type="spellStart"/>
      <w:r w:rsidRPr="0023574F">
        <w:rPr>
          <w:rFonts w:cs="Times New Roman"/>
          <w:sz w:val="20"/>
          <w:szCs w:val="20"/>
        </w:rPr>
        <w:t>Microbiol</w:t>
      </w:r>
      <w:proofErr w:type="spellEnd"/>
      <w:r w:rsidRPr="0023574F">
        <w:rPr>
          <w:rFonts w:cs="Times New Roman"/>
          <w:sz w:val="20"/>
          <w:szCs w:val="20"/>
        </w:rPr>
        <w:t>. Mol. Biol. R 70, 450–471.</w:t>
      </w:r>
    </w:p>
    <w:p w:rsidR="005F1E9D" w:rsidRPr="0023574F" w:rsidRDefault="005F1E9D" w:rsidP="0023574F">
      <w:pPr>
        <w:pStyle w:val="ListParagraph"/>
        <w:widowControl w:val="0"/>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Georgiou,</w:t>
      </w:r>
      <w:r w:rsidR="004048ED">
        <w:rPr>
          <w:rFonts w:cs="Times New Roman"/>
          <w:sz w:val="20"/>
          <w:szCs w:val="20"/>
        </w:rPr>
        <w:t xml:space="preserve"> </w:t>
      </w:r>
      <w:r w:rsidRPr="0023574F">
        <w:rPr>
          <w:rFonts w:cs="Times New Roman"/>
          <w:sz w:val="20"/>
          <w:szCs w:val="20"/>
        </w:rPr>
        <w:t>C. D.</w:t>
      </w:r>
      <w:r w:rsidR="004048ED">
        <w:rPr>
          <w:rFonts w:cs="Times New Roman"/>
          <w:sz w:val="20"/>
          <w:szCs w:val="20"/>
        </w:rPr>
        <w:t xml:space="preserve"> </w:t>
      </w:r>
      <w:r w:rsidRPr="0023574F">
        <w:rPr>
          <w:rFonts w:cs="Times New Roman"/>
          <w:sz w:val="20"/>
          <w:szCs w:val="20"/>
        </w:rPr>
        <w:t>and</w:t>
      </w:r>
      <w:r w:rsidR="00F06756">
        <w:rPr>
          <w:rFonts w:cs="Times New Roman"/>
          <w:sz w:val="20"/>
          <w:szCs w:val="20"/>
        </w:rPr>
        <w:t xml:space="preserve"> </w:t>
      </w:r>
      <w:proofErr w:type="spellStart"/>
      <w:r w:rsidRPr="0023574F">
        <w:rPr>
          <w:rFonts w:cs="Times New Roman"/>
          <w:sz w:val="20"/>
          <w:szCs w:val="20"/>
        </w:rPr>
        <w:t>Petropoulou</w:t>
      </w:r>
      <w:proofErr w:type="spellEnd"/>
      <w:r w:rsidRPr="0023574F">
        <w:rPr>
          <w:rFonts w:cs="Times New Roman"/>
          <w:sz w:val="20"/>
          <w:szCs w:val="20"/>
        </w:rPr>
        <w:t xml:space="preserve">, K. P. </w:t>
      </w:r>
      <w:r w:rsidRPr="0023574F">
        <w:rPr>
          <w:rFonts w:cs="Times New Roman"/>
          <w:bCs/>
          <w:sz w:val="20"/>
          <w:szCs w:val="20"/>
        </w:rPr>
        <w:t>(2001)</w:t>
      </w:r>
      <w:r w:rsidRPr="0023574F">
        <w:rPr>
          <w:rFonts w:cs="Times New Roman"/>
          <w:sz w:val="20"/>
          <w:szCs w:val="20"/>
        </w:rPr>
        <w:t>.</w:t>
      </w:r>
      <w:r w:rsidR="004048ED">
        <w:rPr>
          <w:rFonts w:cs="Times New Roman"/>
          <w:sz w:val="20"/>
          <w:szCs w:val="20"/>
        </w:rPr>
        <w:t xml:space="preserve"> </w:t>
      </w:r>
      <w:r w:rsidRPr="0023574F">
        <w:rPr>
          <w:rFonts w:cs="Times New Roman"/>
          <w:sz w:val="20"/>
          <w:szCs w:val="20"/>
        </w:rPr>
        <w:t>Effect of the antioxidant ascorbic</w:t>
      </w:r>
      <w:r w:rsidR="004048ED">
        <w:rPr>
          <w:rFonts w:cs="Times New Roman"/>
          <w:sz w:val="20"/>
          <w:szCs w:val="20"/>
        </w:rPr>
        <w:t xml:space="preserve"> </w:t>
      </w:r>
      <w:r w:rsidRPr="0023574F">
        <w:rPr>
          <w:rFonts w:cs="Times New Roman"/>
          <w:sz w:val="20"/>
          <w:szCs w:val="20"/>
        </w:rPr>
        <w:t>acid</w:t>
      </w:r>
      <w:r w:rsidR="004048ED">
        <w:rPr>
          <w:rFonts w:cs="Times New Roman"/>
          <w:sz w:val="20"/>
          <w:szCs w:val="20"/>
        </w:rPr>
        <w:t xml:space="preserve"> </w:t>
      </w:r>
      <w:r w:rsidRPr="0023574F">
        <w:rPr>
          <w:rFonts w:cs="Times New Roman"/>
          <w:sz w:val="20"/>
          <w:szCs w:val="20"/>
        </w:rPr>
        <w:t>on</w:t>
      </w:r>
      <w:r w:rsidR="004048ED">
        <w:rPr>
          <w:rFonts w:cs="Times New Roman"/>
          <w:sz w:val="20"/>
          <w:szCs w:val="20"/>
        </w:rPr>
        <w:t xml:space="preserve"> </w:t>
      </w:r>
      <w:proofErr w:type="spellStart"/>
      <w:r w:rsidRPr="0023574F">
        <w:rPr>
          <w:rFonts w:cs="Times New Roman"/>
          <w:sz w:val="20"/>
          <w:szCs w:val="20"/>
        </w:rPr>
        <w:t>sclerotial</w:t>
      </w:r>
      <w:proofErr w:type="spellEnd"/>
      <w:r w:rsidRPr="0023574F">
        <w:rPr>
          <w:rFonts w:cs="Times New Roman"/>
          <w:sz w:val="20"/>
          <w:szCs w:val="20"/>
        </w:rPr>
        <w:t xml:space="preserve"> differentiation in </w:t>
      </w:r>
      <w:proofErr w:type="spellStart"/>
      <w:r w:rsidRPr="0023574F">
        <w:rPr>
          <w:rFonts w:cs="Times New Roman"/>
          <w:i/>
          <w:iCs/>
          <w:sz w:val="20"/>
          <w:szCs w:val="20"/>
        </w:rPr>
        <w:t>Rhizoctoniasolani</w:t>
      </w:r>
      <w:proofErr w:type="spellEnd"/>
      <w:r w:rsidR="00E97FA7">
        <w:rPr>
          <w:rFonts w:cs="Times New Roman"/>
          <w:i/>
          <w:iCs/>
          <w:sz w:val="20"/>
          <w:szCs w:val="20"/>
        </w:rPr>
        <w:t xml:space="preserve"> </w:t>
      </w:r>
      <w:r w:rsidRPr="0023574F">
        <w:rPr>
          <w:rFonts w:cs="Times New Roman"/>
          <w:sz w:val="20"/>
          <w:szCs w:val="20"/>
        </w:rPr>
        <w:t>Plant-Pathology. 50(5): 594-600.</w:t>
      </w:r>
    </w:p>
    <w:p w:rsidR="005F1E9D" w:rsidRPr="0023574F" w:rsidRDefault="005F1E9D" w:rsidP="0023574F">
      <w:pPr>
        <w:pStyle w:val="ListParagraph"/>
        <w:widowControl w:val="0"/>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lastRenderedPageBreak/>
        <w:t xml:space="preserve">Georgiou, C. D.; </w:t>
      </w:r>
      <w:proofErr w:type="spellStart"/>
      <w:r w:rsidRPr="0023574F">
        <w:rPr>
          <w:rFonts w:cs="Times New Roman"/>
          <w:sz w:val="20"/>
          <w:szCs w:val="20"/>
        </w:rPr>
        <w:t>Zervoudakis</w:t>
      </w:r>
      <w:proofErr w:type="spellEnd"/>
      <w:r w:rsidRPr="0023574F">
        <w:rPr>
          <w:rFonts w:cs="Times New Roman"/>
          <w:sz w:val="20"/>
          <w:szCs w:val="20"/>
        </w:rPr>
        <w:t xml:space="preserve">, G. and </w:t>
      </w:r>
      <w:proofErr w:type="spellStart"/>
      <w:r w:rsidRPr="0023574F">
        <w:rPr>
          <w:rFonts w:cs="Times New Roman"/>
          <w:sz w:val="20"/>
          <w:szCs w:val="20"/>
        </w:rPr>
        <w:t>Petropoulou</w:t>
      </w:r>
      <w:proofErr w:type="spellEnd"/>
      <w:r w:rsidRPr="0023574F">
        <w:rPr>
          <w:rFonts w:cs="Times New Roman"/>
          <w:sz w:val="20"/>
          <w:szCs w:val="20"/>
        </w:rPr>
        <w:t xml:space="preserve">, K. P. </w:t>
      </w:r>
      <w:r w:rsidRPr="0023574F">
        <w:rPr>
          <w:rFonts w:cs="Times New Roman"/>
          <w:bCs/>
          <w:sz w:val="20"/>
          <w:szCs w:val="20"/>
        </w:rPr>
        <w:t>(2003)</w:t>
      </w:r>
      <w:r w:rsidRPr="0023574F">
        <w:rPr>
          <w:rFonts w:cs="Times New Roman"/>
          <w:sz w:val="20"/>
          <w:szCs w:val="20"/>
        </w:rPr>
        <w:t>.</w:t>
      </w:r>
      <w:r w:rsidR="004048ED">
        <w:rPr>
          <w:rFonts w:cs="Times New Roman"/>
          <w:sz w:val="20"/>
          <w:szCs w:val="20"/>
        </w:rPr>
        <w:t xml:space="preserve"> </w:t>
      </w:r>
      <w:r w:rsidRPr="0023574F">
        <w:rPr>
          <w:rFonts w:cs="Times New Roman"/>
          <w:sz w:val="20"/>
          <w:szCs w:val="20"/>
        </w:rPr>
        <w:t xml:space="preserve">Ascorbic acid might play a role in the </w:t>
      </w:r>
      <w:proofErr w:type="spellStart"/>
      <w:r w:rsidRPr="0023574F">
        <w:rPr>
          <w:rFonts w:cs="Times New Roman"/>
          <w:sz w:val="20"/>
          <w:szCs w:val="20"/>
        </w:rPr>
        <w:t>sclerotial</w:t>
      </w:r>
      <w:proofErr w:type="spellEnd"/>
      <w:r w:rsidRPr="0023574F">
        <w:rPr>
          <w:rFonts w:cs="Times New Roman"/>
          <w:sz w:val="20"/>
          <w:szCs w:val="20"/>
        </w:rPr>
        <w:t xml:space="preserve"> differentiation of </w:t>
      </w:r>
      <w:proofErr w:type="spellStart"/>
      <w:r w:rsidRPr="0023574F">
        <w:rPr>
          <w:rFonts w:cs="Times New Roman"/>
          <w:i/>
          <w:iCs/>
          <w:sz w:val="20"/>
          <w:szCs w:val="20"/>
        </w:rPr>
        <w:t>Sclerotiumrolfsii</w:t>
      </w:r>
      <w:proofErr w:type="spellEnd"/>
      <w:r w:rsidRPr="0023574F">
        <w:rPr>
          <w:rFonts w:cs="Times New Roman"/>
          <w:sz w:val="20"/>
          <w:szCs w:val="20"/>
        </w:rPr>
        <w:t xml:space="preserve">. </w:t>
      </w:r>
      <w:proofErr w:type="spellStart"/>
      <w:r w:rsidRPr="0023574F">
        <w:rPr>
          <w:rFonts w:cs="Times New Roman"/>
          <w:sz w:val="20"/>
          <w:szCs w:val="20"/>
        </w:rPr>
        <w:t>Mycologia</w:t>
      </w:r>
      <w:proofErr w:type="spellEnd"/>
      <w:r w:rsidRPr="0023574F">
        <w:rPr>
          <w:rFonts w:cs="Times New Roman"/>
          <w:sz w:val="20"/>
          <w:szCs w:val="20"/>
        </w:rPr>
        <w:t>. 95(2): 308-316.</w:t>
      </w:r>
    </w:p>
    <w:p w:rsidR="005F1E9D" w:rsidRPr="0023574F" w:rsidRDefault="005F1E9D" w:rsidP="0023574F">
      <w:pPr>
        <w:pStyle w:val="ListParagraph"/>
        <w:numPr>
          <w:ilvl w:val="0"/>
          <w:numId w:val="21"/>
        </w:numPr>
        <w:bidi w:val="0"/>
        <w:snapToGrid w:val="0"/>
        <w:jc w:val="both"/>
        <w:rPr>
          <w:rFonts w:cs="Times New Roman"/>
          <w:sz w:val="20"/>
          <w:szCs w:val="20"/>
        </w:rPr>
      </w:pPr>
      <w:proofErr w:type="spellStart"/>
      <w:r w:rsidRPr="0023574F">
        <w:rPr>
          <w:rFonts w:cs="Times New Roman"/>
          <w:sz w:val="20"/>
          <w:szCs w:val="20"/>
        </w:rPr>
        <w:t>Gurr</w:t>
      </w:r>
      <w:proofErr w:type="spellEnd"/>
      <w:r w:rsidRPr="0023574F">
        <w:rPr>
          <w:rFonts w:cs="Times New Roman"/>
          <w:sz w:val="20"/>
          <w:szCs w:val="20"/>
        </w:rPr>
        <w:t xml:space="preserve">, S. J. and </w:t>
      </w:r>
      <w:proofErr w:type="spellStart"/>
      <w:r w:rsidRPr="0023574F">
        <w:rPr>
          <w:rFonts w:cs="Times New Roman"/>
          <w:sz w:val="20"/>
          <w:szCs w:val="20"/>
        </w:rPr>
        <w:t>Mcpherson</w:t>
      </w:r>
      <w:proofErr w:type="spellEnd"/>
      <w:r w:rsidRPr="0023574F">
        <w:rPr>
          <w:rFonts w:cs="Times New Roman"/>
          <w:sz w:val="20"/>
          <w:szCs w:val="20"/>
        </w:rPr>
        <w:t xml:space="preserve">, M. J. </w:t>
      </w:r>
      <w:r w:rsidRPr="0023574F">
        <w:rPr>
          <w:rFonts w:cs="Times New Roman"/>
          <w:bCs/>
          <w:sz w:val="20"/>
          <w:szCs w:val="20"/>
        </w:rPr>
        <w:t>(1990).</w:t>
      </w:r>
      <w:r w:rsidR="00E97FA7">
        <w:rPr>
          <w:rFonts w:cs="Times New Roman"/>
          <w:bCs/>
          <w:sz w:val="20"/>
          <w:szCs w:val="20"/>
        </w:rPr>
        <w:t xml:space="preserve"> </w:t>
      </w:r>
      <w:r w:rsidRPr="0023574F">
        <w:rPr>
          <w:rFonts w:cs="Times New Roman"/>
          <w:sz w:val="20"/>
          <w:szCs w:val="20"/>
        </w:rPr>
        <w:t>Nucleic Acid isolation and hybridization techniques.</w:t>
      </w:r>
      <w:r w:rsidR="004048ED">
        <w:rPr>
          <w:rFonts w:cs="Times New Roman"/>
          <w:sz w:val="20"/>
          <w:szCs w:val="20"/>
        </w:rPr>
        <w:t xml:space="preserve"> </w:t>
      </w:r>
      <w:r w:rsidRPr="0023574F">
        <w:rPr>
          <w:rFonts w:cs="Times New Roman"/>
          <w:sz w:val="20"/>
          <w:szCs w:val="20"/>
        </w:rPr>
        <w:t>Pp. 109 – 111.</w:t>
      </w:r>
      <w:r w:rsidR="004048ED">
        <w:rPr>
          <w:rFonts w:cs="Times New Roman"/>
          <w:sz w:val="20"/>
          <w:szCs w:val="20"/>
        </w:rPr>
        <w:t xml:space="preserve"> </w:t>
      </w:r>
      <w:r w:rsidRPr="0023574F">
        <w:rPr>
          <w:rFonts w:cs="Times New Roman"/>
          <w:sz w:val="20"/>
          <w:szCs w:val="20"/>
        </w:rPr>
        <w:t>In: Molecular Plant Pathology: A practical approach.</w:t>
      </w:r>
      <w:r w:rsidR="004048ED">
        <w:rPr>
          <w:rFonts w:cs="Times New Roman"/>
          <w:sz w:val="20"/>
          <w:szCs w:val="20"/>
        </w:rPr>
        <w:t xml:space="preserve"> </w:t>
      </w:r>
      <w:r w:rsidRPr="0023574F">
        <w:rPr>
          <w:rFonts w:cs="Times New Roman"/>
          <w:sz w:val="20"/>
          <w:szCs w:val="20"/>
        </w:rPr>
        <w:t>Vol. 1 Eds.,</w:t>
      </w:r>
      <w:r w:rsidR="00E97FA7">
        <w:rPr>
          <w:rFonts w:cs="Times New Roman"/>
          <w:sz w:val="20"/>
          <w:szCs w:val="20"/>
        </w:rPr>
        <w:t xml:space="preserve"> </w:t>
      </w:r>
      <w:proofErr w:type="spellStart"/>
      <w:r w:rsidRPr="0023574F">
        <w:rPr>
          <w:rFonts w:cs="Times New Roman"/>
          <w:sz w:val="20"/>
          <w:szCs w:val="20"/>
        </w:rPr>
        <w:t>Gurr</w:t>
      </w:r>
      <w:proofErr w:type="spellEnd"/>
      <w:r w:rsidRPr="0023574F">
        <w:rPr>
          <w:rFonts w:cs="Times New Roman"/>
          <w:sz w:val="20"/>
          <w:szCs w:val="20"/>
        </w:rPr>
        <w:t xml:space="preserve">, S. J., </w:t>
      </w:r>
      <w:proofErr w:type="spellStart"/>
      <w:r w:rsidRPr="0023574F">
        <w:rPr>
          <w:rFonts w:cs="Times New Roman"/>
          <w:sz w:val="20"/>
          <w:szCs w:val="20"/>
        </w:rPr>
        <w:t>Mcperson</w:t>
      </w:r>
      <w:proofErr w:type="spellEnd"/>
      <w:r w:rsidRPr="0023574F">
        <w:rPr>
          <w:rFonts w:cs="Times New Roman"/>
          <w:sz w:val="20"/>
          <w:szCs w:val="20"/>
        </w:rPr>
        <w:t>, M. J. and Bowles, D. J. Oxford University Press.</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color w:val="000000"/>
          <w:sz w:val="20"/>
          <w:szCs w:val="20"/>
        </w:rPr>
        <w:t>Guseva</w:t>
      </w:r>
      <w:proofErr w:type="spellEnd"/>
      <w:r w:rsidRPr="0023574F">
        <w:rPr>
          <w:rFonts w:cs="Times New Roman"/>
          <w:color w:val="000000"/>
          <w:sz w:val="20"/>
          <w:szCs w:val="20"/>
        </w:rPr>
        <w:t xml:space="preserve">, N. N. and </w:t>
      </w:r>
      <w:proofErr w:type="spellStart"/>
      <w:r w:rsidRPr="0023574F">
        <w:rPr>
          <w:rFonts w:cs="Times New Roman"/>
          <w:color w:val="000000"/>
          <w:sz w:val="20"/>
          <w:szCs w:val="20"/>
        </w:rPr>
        <w:t>Gromova</w:t>
      </w:r>
      <w:proofErr w:type="spellEnd"/>
      <w:r w:rsidRPr="0023574F">
        <w:rPr>
          <w:rFonts w:cs="Times New Roman"/>
          <w:color w:val="000000"/>
          <w:sz w:val="20"/>
          <w:szCs w:val="20"/>
        </w:rPr>
        <w:t xml:space="preserve">, B. B. </w:t>
      </w:r>
      <w:r w:rsidRPr="0023574F">
        <w:rPr>
          <w:rFonts w:cs="Times New Roman"/>
          <w:bCs/>
          <w:color w:val="000000"/>
          <w:sz w:val="20"/>
          <w:szCs w:val="20"/>
        </w:rPr>
        <w:t>(1982).</w:t>
      </w:r>
      <w:r w:rsidR="00E97FA7">
        <w:rPr>
          <w:rFonts w:cs="Times New Roman"/>
          <w:bCs/>
          <w:color w:val="000000"/>
          <w:sz w:val="20"/>
          <w:szCs w:val="20"/>
        </w:rPr>
        <w:t xml:space="preserve"> </w:t>
      </w:r>
      <w:r w:rsidRPr="0023574F">
        <w:rPr>
          <w:rFonts w:cs="Times New Roman"/>
          <w:color w:val="000000"/>
          <w:sz w:val="20"/>
          <w:szCs w:val="20"/>
        </w:rPr>
        <w:t>Chemical and biochemical methods for studying plant immunity. (In Russian). All Union Institute of Plant Protection, Leningrad, U.S.S.R.</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Hammer, K. A.; Carson, C.F. and Riley, T.V. </w:t>
      </w:r>
      <w:r w:rsidRPr="0023574F">
        <w:rPr>
          <w:rFonts w:cs="Times New Roman"/>
          <w:bCs/>
          <w:sz w:val="20"/>
          <w:szCs w:val="20"/>
        </w:rPr>
        <w:t>(1999).</w:t>
      </w:r>
      <w:r w:rsidRPr="0023574F">
        <w:rPr>
          <w:rFonts w:cs="Times New Roman"/>
          <w:sz w:val="20"/>
          <w:szCs w:val="20"/>
        </w:rPr>
        <w:t xml:space="preserve"> Antimicrobial activity of essential oils and other plant extracts. Journal of Applied Microbiology. 86, 985–990.</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Hammer, K. A.; Carson, C.F. and Riley, T.V. </w:t>
      </w:r>
      <w:r w:rsidRPr="0023574F">
        <w:rPr>
          <w:rFonts w:cs="Times New Roman"/>
          <w:bCs/>
          <w:sz w:val="20"/>
          <w:szCs w:val="20"/>
        </w:rPr>
        <w:t>(2003).</w:t>
      </w:r>
      <w:r w:rsidR="00E97FA7">
        <w:rPr>
          <w:rFonts w:cs="Times New Roman"/>
          <w:bCs/>
          <w:sz w:val="20"/>
          <w:szCs w:val="20"/>
        </w:rPr>
        <w:t xml:space="preserve"> </w:t>
      </w:r>
      <w:r w:rsidRPr="0023574F">
        <w:rPr>
          <w:rFonts w:cs="Times New Roman"/>
          <w:sz w:val="20"/>
          <w:szCs w:val="20"/>
        </w:rPr>
        <w:t xml:space="preserve">Antifungal activity of the components of </w:t>
      </w:r>
      <w:proofErr w:type="spellStart"/>
      <w:r w:rsidRPr="0023574F">
        <w:rPr>
          <w:rFonts w:cs="Times New Roman"/>
          <w:i/>
          <w:iCs/>
          <w:sz w:val="20"/>
          <w:szCs w:val="20"/>
        </w:rPr>
        <w:t>Melaleucaalternifolia</w:t>
      </w:r>
      <w:proofErr w:type="spellEnd"/>
      <w:r w:rsidRPr="0023574F">
        <w:rPr>
          <w:rFonts w:cs="Times New Roman"/>
          <w:sz w:val="20"/>
          <w:szCs w:val="20"/>
        </w:rPr>
        <w:t xml:space="preserve"> (tea tree) oil.</w:t>
      </w:r>
      <w:r w:rsidR="00E97FA7">
        <w:rPr>
          <w:rFonts w:cs="Times New Roman"/>
          <w:sz w:val="20"/>
          <w:szCs w:val="20"/>
        </w:rPr>
        <w:t xml:space="preserve"> </w:t>
      </w:r>
      <w:r w:rsidRPr="0023574F">
        <w:rPr>
          <w:rFonts w:cs="Times New Roman"/>
          <w:sz w:val="20"/>
          <w:szCs w:val="20"/>
        </w:rPr>
        <w:t>Journal of Applied Microbiology. 95, 853–860.</w:t>
      </w:r>
    </w:p>
    <w:p w:rsidR="005F1E9D" w:rsidRPr="0023574F" w:rsidRDefault="005F1E9D" w:rsidP="0023574F">
      <w:pPr>
        <w:pStyle w:val="ListParagraph"/>
        <w:numPr>
          <w:ilvl w:val="0"/>
          <w:numId w:val="21"/>
        </w:numPr>
        <w:bidi w:val="0"/>
        <w:snapToGrid w:val="0"/>
        <w:jc w:val="both"/>
        <w:rPr>
          <w:rFonts w:cs="Times New Roman"/>
          <w:sz w:val="20"/>
          <w:szCs w:val="20"/>
        </w:rPr>
      </w:pPr>
      <w:r w:rsidRPr="0023574F">
        <w:rPr>
          <w:rFonts w:cs="Times New Roman"/>
          <w:sz w:val="20"/>
          <w:szCs w:val="20"/>
        </w:rPr>
        <w:t xml:space="preserve">Ishii, H., </w:t>
      </w:r>
      <w:r w:rsidRPr="0023574F">
        <w:rPr>
          <w:rFonts w:cs="Times New Roman"/>
          <w:bCs/>
          <w:sz w:val="20"/>
          <w:szCs w:val="20"/>
        </w:rPr>
        <w:t>(2006).</w:t>
      </w:r>
      <w:r w:rsidR="00E97FA7">
        <w:rPr>
          <w:rFonts w:cs="Times New Roman"/>
          <w:bCs/>
          <w:sz w:val="20"/>
          <w:szCs w:val="20"/>
        </w:rPr>
        <w:t xml:space="preserve"> </w:t>
      </w:r>
      <w:r w:rsidRPr="0023574F">
        <w:rPr>
          <w:rFonts w:cs="Times New Roman"/>
          <w:sz w:val="20"/>
          <w:szCs w:val="20"/>
        </w:rPr>
        <w:t>Impact of fungicide resistance in plant pathogens on crop disease control and agricultural environment.</w:t>
      </w:r>
      <w:r w:rsidR="00E97FA7">
        <w:rPr>
          <w:rFonts w:cs="Times New Roman"/>
          <w:sz w:val="20"/>
          <w:szCs w:val="20"/>
        </w:rPr>
        <w:t xml:space="preserve"> </w:t>
      </w:r>
      <w:proofErr w:type="spellStart"/>
      <w:r w:rsidRPr="0023574F">
        <w:rPr>
          <w:rFonts w:cs="Times New Roman"/>
          <w:sz w:val="20"/>
          <w:szCs w:val="20"/>
        </w:rPr>
        <w:t>Jpn</w:t>
      </w:r>
      <w:proofErr w:type="spellEnd"/>
      <w:r w:rsidRPr="0023574F">
        <w:rPr>
          <w:rFonts w:cs="Times New Roman"/>
          <w:sz w:val="20"/>
          <w:szCs w:val="20"/>
        </w:rPr>
        <w:t>. Agric. Res. Quart. 40, 205–211.</w:t>
      </w:r>
    </w:p>
    <w:p w:rsidR="005F1E9D" w:rsidRPr="0023574F" w:rsidRDefault="005F1E9D" w:rsidP="0023574F">
      <w:pPr>
        <w:pStyle w:val="ListParagraph"/>
        <w:numPr>
          <w:ilvl w:val="0"/>
          <w:numId w:val="21"/>
        </w:numPr>
        <w:bidi w:val="0"/>
        <w:snapToGrid w:val="0"/>
        <w:jc w:val="both"/>
        <w:rPr>
          <w:rFonts w:cs="Times New Roman"/>
          <w:sz w:val="20"/>
          <w:szCs w:val="20"/>
          <w:lang w:bidi="ar-EG"/>
        </w:rPr>
      </w:pPr>
      <w:proofErr w:type="spellStart"/>
      <w:r w:rsidRPr="0023574F">
        <w:rPr>
          <w:rFonts w:cs="Times New Roman"/>
          <w:sz w:val="20"/>
          <w:szCs w:val="20"/>
          <w:lang w:bidi="ar-EG"/>
        </w:rPr>
        <w:t>Joong-Hyeop</w:t>
      </w:r>
      <w:proofErr w:type="spellEnd"/>
      <w:r w:rsidRPr="0023574F">
        <w:rPr>
          <w:rFonts w:cs="Times New Roman"/>
          <w:sz w:val="20"/>
          <w:szCs w:val="20"/>
          <w:lang w:bidi="ar-EG"/>
        </w:rPr>
        <w:t xml:space="preserve">; </w:t>
      </w:r>
      <w:proofErr w:type="spellStart"/>
      <w:r w:rsidRPr="0023574F">
        <w:rPr>
          <w:rFonts w:cs="Times New Roman"/>
          <w:sz w:val="20"/>
          <w:szCs w:val="20"/>
          <w:lang w:bidi="ar-EG"/>
        </w:rPr>
        <w:t>Chot</w:t>
      </w:r>
      <w:proofErr w:type="spellEnd"/>
      <w:r w:rsidRPr="0023574F">
        <w:rPr>
          <w:rFonts w:cs="Times New Roman"/>
          <w:sz w:val="20"/>
          <w:szCs w:val="20"/>
          <w:lang w:bidi="ar-EG"/>
        </w:rPr>
        <w:t xml:space="preserve">, G. J.; Lee, H. B.; Kim, K. M.; Jung, H. S.; Lee, S. W.; Jang, K. S.; Cho, K. Y. and Kim, J. C. </w:t>
      </w:r>
      <w:r w:rsidRPr="0023574F">
        <w:rPr>
          <w:rFonts w:cs="Times New Roman"/>
          <w:bCs/>
          <w:sz w:val="20"/>
          <w:szCs w:val="20"/>
          <w:lang w:bidi="ar-EG"/>
        </w:rPr>
        <w:t>(2005).</w:t>
      </w:r>
      <w:r w:rsidR="00E97FA7">
        <w:rPr>
          <w:rFonts w:cs="Times New Roman"/>
          <w:bCs/>
          <w:sz w:val="20"/>
          <w:szCs w:val="20"/>
          <w:lang w:bidi="ar-EG"/>
        </w:rPr>
        <w:t xml:space="preserve"> </w:t>
      </w:r>
      <w:proofErr w:type="spellStart"/>
      <w:r w:rsidRPr="0023574F">
        <w:rPr>
          <w:rFonts w:cs="Times New Roman"/>
          <w:sz w:val="20"/>
          <w:szCs w:val="20"/>
          <w:lang w:bidi="ar-EG"/>
        </w:rPr>
        <w:t>Griseofulvin</w:t>
      </w:r>
      <w:proofErr w:type="spellEnd"/>
      <w:r w:rsidRPr="0023574F">
        <w:rPr>
          <w:rFonts w:cs="Times New Roman"/>
          <w:sz w:val="20"/>
          <w:szCs w:val="20"/>
          <w:lang w:bidi="ar-EG"/>
        </w:rPr>
        <w:t xml:space="preserve"> from </w:t>
      </w:r>
      <w:proofErr w:type="spellStart"/>
      <w:r w:rsidRPr="0023574F">
        <w:rPr>
          <w:rFonts w:cs="Times New Roman"/>
          <w:i/>
          <w:iCs/>
          <w:sz w:val="20"/>
          <w:szCs w:val="20"/>
          <w:lang w:bidi="ar-EG"/>
        </w:rPr>
        <w:t>Xylaraia</w:t>
      </w:r>
      <w:r w:rsidRPr="0023574F">
        <w:rPr>
          <w:rFonts w:cs="Times New Roman"/>
          <w:sz w:val="20"/>
          <w:szCs w:val="20"/>
          <w:lang w:bidi="ar-EG"/>
        </w:rPr>
        <w:t>sp</w:t>
      </w:r>
      <w:proofErr w:type="spellEnd"/>
      <w:r w:rsidRPr="0023574F">
        <w:rPr>
          <w:rFonts w:cs="Times New Roman"/>
          <w:sz w:val="20"/>
          <w:szCs w:val="20"/>
          <w:lang w:bidi="ar-EG"/>
        </w:rPr>
        <w:t xml:space="preserve">. strain F0010, and </w:t>
      </w:r>
      <w:proofErr w:type="spellStart"/>
      <w:r w:rsidRPr="0023574F">
        <w:rPr>
          <w:rFonts w:cs="Times New Roman"/>
          <w:sz w:val="20"/>
          <w:szCs w:val="20"/>
          <w:lang w:bidi="ar-EG"/>
        </w:rPr>
        <w:t>endophytic</w:t>
      </w:r>
      <w:proofErr w:type="spellEnd"/>
      <w:r w:rsidRPr="0023574F">
        <w:rPr>
          <w:rFonts w:cs="Times New Roman"/>
          <w:sz w:val="20"/>
          <w:szCs w:val="20"/>
          <w:lang w:bidi="ar-EG"/>
        </w:rPr>
        <w:t xml:space="preserve"> fungus of </w:t>
      </w:r>
      <w:proofErr w:type="spellStart"/>
      <w:r w:rsidRPr="0023574F">
        <w:rPr>
          <w:rFonts w:cs="Times New Roman"/>
          <w:i/>
          <w:iCs/>
          <w:sz w:val="20"/>
          <w:szCs w:val="20"/>
          <w:lang w:bidi="ar-EG"/>
        </w:rPr>
        <w:t>Abiesholophylla</w:t>
      </w:r>
      <w:proofErr w:type="spellEnd"/>
      <w:r w:rsidR="00E97FA7">
        <w:rPr>
          <w:rFonts w:cs="Times New Roman"/>
          <w:i/>
          <w:iCs/>
          <w:sz w:val="20"/>
          <w:szCs w:val="20"/>
          <w:lang w:bidi="ar-EG"/>
        </w:rPr>
        <w:t xml:space="preserve"> </w:t>
      </w:r>
      <w:r w:rsidRPr="0023574F">
        <w:rPr>
          <w:rFonts w:cs="Times New Roman"/>
          <w:sz w:val="20"/>
          <w:szCs w:val="20"/>
          <w:lang w:bidi="ar-EG"/>
        </w:rPr>
        <w:t>and its antifungal activity against plant pathogenic fungi.</w:t>
      </w:r>
      <w:r w:rsidR="004048ED">
        <w:rPr>
          <w:rFonts w:cs="Times New Roman"/>
          <w:sz w:val="20"/>
          <w:szCs w:val="20"/>
          <w:lang w:bidi="ar-EG"/>
        </w:rPr>
        <w:t xml:space="preserve"> </w:t>
      </w:r>
      <w:r w:rsidRPr="0023574F">
        <w:rPr>
          <w:rFonts w:cs="Times New Roman"/>
          <w:sz w:val="20"/>
          <w:szCs w:val="20"/>
          <w:lang w:bidi="ar-EG"/>
        </w:rPr>
        <w:t>J. of Microbiological</w:t>
      </w:r>
      <w:r w:rsidR="004048ED">
        <w:rPr>
          <w:rFonts w:cs="Times New Roman"/>
          <w:sz w:val="20"/>
          <w:szCs w:val="20"/>
          <w:lang w:bidi="ar-EG"/>
        </w:rPr>
        <w:t xml:space="preserve"> </w:t>
      </w:r>
      <w:proofErr w:type="spellStart"/>
      <w:r w:rsidRPr="0023574F">
        <w:rPr>
          <w:rFonts w:cs="Times New Roman"/>
          <w:sz w:val="20"/>
          <w:szCs w:val="20"/>
          <w:lang w:bidi="ar-EG"/>
        </w:rPr>
        <w:t>Biotechnol</w:t>
      </w:r>
      <w:proofErr w:type="spellEnd"/>
      <w:r w:rsidRPr="0023574F">
        <w:rPr>
          <w:rFonts w:cs="Times New Roman"/>
          <w:sz w:val="20"/>
          <w:szCs w:val="20"/>
          <w:lang w:bidi="ar-EG"/>
        </w:rPr>
        <w:t>., 15(1), 112 – 117.</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eastAsia="Batang" w:cs="Times New Roman"/>
          <w:sz w:val="20"/>
          <w:szCs w:val="20"/>
        </w:rPr>
      </w:pPr>
      <w:proofErr w:type="spellStart"/>
      <w:r w:rsidRPr="0023574F">
        <w:rPr>
          <w:rFonts w:eastAsia="Batang" w:cs="Times New Roman"/>
          <w:color w:val="000000"/>
          <w:sz w:val="20"/>
          <w:szCs w:val="20"/>
        </w:rPr>
        <w:t>Kalemba</w:t>
      </w:r>
      <w:proofErr w:type="spellEnd"/>
      <w:r w:rsidRPr="0023574F">
        <w:rPr>
          <w:rFonts w:eastAsia="Batang" w:cs="Times New Roman"/>
          <w:color w:val="000000"/>
          <w:sz w:val="20"/>
          <w:szCs w:val="20"/>
        </w:rPr>
        <w:t>,</w:t>
      </w:r>
      <w:r w:rsidR="004048ED">
        <w:rPr>
          <w:rFonts w:eastAsia="Batang" w:cs="Times New Roman"/>
          <w:color w:val="000000"/>
          <w:sz w:val="20"/>
          <w:szCs w:val="20"/>
        </w:rPr>
        <w:t xml:space="preserve"> </w:t>
      </w:r>
      <w:r w:rsidRPr="0023574F">
        <w:rPr>
          <w:rFonts w:eastAsia="Batang" w:cs="Times New Roman"/>
          <w:color w:val="000000"/>
          <w:sz w:val="20"/>
          <w:szCs w:val="20"/>
        </w:rPr>
        <w:t xml:space="preserve">D. and </w:t>
      </w:r>
      <w:proofErr w:type="spellStart"/>
      <w:r w:rsidRPr="0023574F">
        <w:rPr>
          <w:rFonts w:eastAsia="Batang" w:cs="Times New Roman"/>
          <w:color w:val="000000"/>
          <w:sz w:val="20"/>
          <w:szCs w:val="20"/>
        </w:rPr>
        <w:t>Kunicka</w:t>
      </w:r>
      <w:proofErr w:type="spellEnd"/>
      <w:r w:rsidRPr="0023574F">
        <w:rPr>
          <w:rFonts w:eastAsia="Batang" w:cs="Times New Roman"/>
          <w:color w:val="000000"/>
          <w:sz w:val="20"/>
          <w:szCs w:val="20"/>
        </w:rPr>
        <w:t xml:space="preserve">, A. </w:t>
      </w:r>
      <w:r w:rsidRPr="0023574F">
        <w:rPr>
          <w:rFonts w:eastAsia="Batang" w:cs="Times New Roman"/>
          <w:bCs/>
          <w:color w:val="000000"/>
          <w:sz w:val="20"/>
          <w:szCs w:val="20"/>
        </w:rPr>
        <w:t xml:space="preserve">(2003). </w:t>
      </w:r>
      <w:r w:rsidRPr="0023574F">
        <w:rPr>
          <w:rFonts w:eastAsia="Batang" w:cs="Times New Roman"/>
          <w:color w:val="000000"/>
          <w:sz w:val="20"/>
          <w:szCs w:val="20"/>
        </w:rPr>
        <w:t>Antibacterial and Antifungal Properties of Essential Oils.</w:t>
      </w:r>
      <w:r w:rsidR="004048ED">
        <w:rPr>
          <w:rFonts w:eastAsia="Batang" w:cs="Times New Roman"/>
          <w:color w:val="000000"/>
          <w:sz w:val="20"/>
          <w:szCs w:val="20"/>
        </w:rPr>
        <w:t xml:space="preserve"> </w:t>
      </w:r>
      <w:r w:rsidRPr="0023574F">
        <w:rPr>
          <w:rFonts w:eastAsia="Batang" w:cs="Times New Roman"/>
          <w:color w:val="000000"/>
          <w:sz w:val="20"/>
          <w:szCs w:val="20"/>
        </w:rPr>
        <w:t>Current Medicinal Chemistry, 10: 813-829</w:t>
      </w:r>
      <w:r w:rsidR="00E97FA7">
        <w:rPr>
          <w:rFonts w:eastAsia="Batang" w:cs="Times New Roman"/>
          <w:color w:val="000000"/>
          <w:sz w:val="20"/>
          <w:szCs w:val="20"/>
        </w:rPr>
        <w:t>.</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color w:val="231F20"/>
          <w:sz w:val="20"/>
          <w:szCs w:val="20"/>
        </w:rPr>
      </w:pPr>
      <w:proofErr w:type="spellStart"/>
      <w:r w:rsidRPr="0023574F">
        <w:rPr>
          <w:rFonts w:cs="Times New Roman"/>
          <w:color w:val="231F20"/>
          <w:sz w:val="20"/>
          <w:szCs w:val="20"/>
        </w:rPr>
        <w:t>Kaur</w:t>
      </w:r>
      <w:proofErr w:type="spellEnd"/>
      <w:r w:rsidRPr="0023574F">
        <w:rPr>
          <w:rFonts w:cs="Times New Roman"/>
          <w:color w:val="231F20"/>
          <w:sz w:val="20"/>
          <w:szCs w:val="20"/>
        </w:rPr>
        <w:t xml:space="preserve"> J. and </w:t>
      </w:r>
      <w:proofErr w:type="spellStart"/>
      <w:r w:rsidRPr="0023574F">
        <w:rPr>
          <w:rFonts w:cs="Times New Roman"/>
          <w:color w:val="231F20"/>
          <w:sz w:val="20"/>
          <w:szCs w:val="20"/>
        </w:rPr>
        <w:t>Arora</w:t>
      </w:r>
      <w:proofErr w:type="spellEnd"/>
      <w:r w:rsidRPr="0023574F">
        <w:rPr>
          <w:rFonts w:cs="Times New Roman"/>
          <w:color w:val="231F20"/>
          <w:sz w:val="20"/>
          <w:szCs w:val="20"/>
        </w:rPr>
        <w:t xml:space="preserve"> D. </w:t>
      </w:r>
      <w:r w:rsidRPr="0023574F">
        <w:rPr>
          <w:rFonts w:cs="Times New Roman"/>
          <w:bCs/>
          <w:color w:val="231F20"/>
          <w:sz w:val="20"/>
          <w:szCs w:val="20"/>
        </w:rPr>
        <w:t>(1999).</w:t>
      </w:r>
      <w:r w:rsidR="00E97FA7">
        <w:rPr>
          <w:rFonts w:cs="Times New Roman"/>
          <w:bCs/>
          <w:color w:val="231F20"/>
          <w:sz w:val="20"/>
          <w:szCs w:val="20"/>
        </w:rPr>
        <w:t xml:space="preserve"> </w:t>
      </w:r>
      <w:r w:rsidRPr="0023574F">
        <w:rPr>
          <w:rFonts w:cs="Times New Roman"/>
          <w:color w:val="231F20"/>
          <w:sz w:val="20"/>
          <w:szCs w:val="20"/>
        </w:rPr>
        <w:t xml:space="preserve">Antimicrobial activities of species. Int. J. </w:t>
      </w:r>
      <w:proofErr w:type="spellStart"/>
      <w:r w:rsidRPr="0023574F">
        <w:rPr>
          <w:rFonts w:cs="Times New Roman"/>
          <w:color w:val="231F20"/>
          <w:sz w:val="20"/>
          <w:szCs w:val="20"/>
        </w:rPr>
        <w:t>Antimicrob</w:t>
      </w:r>
      <w:proofErr w:type="spellEnd"/>
      <w:r w:rsidRPr="0023574F">
        <w:rPr>
          <w:rFonts w:cs="Times New Roman"/>
          <w:color w:val="231F20"/>
          <w:sz w:val="20"/>
          <w:szCs w:val="20"/>
        </w:rPr>
        <w:t>. Agents. 12: 257–262..</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rPr>
      </w:pPr>
      <w:proofErr w:type="spellStart"/>
      <w:r w:rsidRPr="0023574F">
        <w:rPr>
          <w:rFonts w:cs="Times New Roman"/>
          <w:sz w:val="20"/>
          <w:szCs w:val="20"/>
        </w:rPr>
        <w:t>Knobloch</w:t>
      </w:r>
      <w:proofErr w:type="spellEnd"/>
      <w:r w:rsidRPr="0023574F">
        <w:rPr>
          <w:rFonts w:cs="Times New Roman"/>
          <w:sz w:val="20"/>
          <w:szCs w:val="20"/>
        </w:rPr>
        <w:t xml:space="preserve">, K.; Pauli, A.; </w:t>
      </w:r>
      <w:proofErr w:type="spellStart"/>
      <w:r w:rsidRPr="0023574F">
        <w:rPr>
          <w:rFonts w:cs="Times New Roman"/>
          <w:sz w:val="20"/>
          <w:szCs w:val="20"/>
        </w:rPr>
        <w:t>Iberl</w:t>
      </w:r>
      <w:proofErr w:type="spellEnd"/>
      <w:r w:rsidRPr="0023574F">
        <w:rPr>
          <w:rFonts w:cs="Times New Roman"/>
          <w:sz w:val="20"/>
          <w:szCs w:val="20"/>
        </w:rPr>
        <w:t xml:space="preserve">, B.; </w:t>
      </w:r>
      <w:proofErr w:type="spellStart"/>
      <w:r w:rsidRPr="0023574F">
        <w:rPr>
          <w:rFonts w:cs="Times New Roman"/>
          <w:sz w:val="20"/>
          <w:szCs w:val="20"/>
        </w:rPr>
        <w:t>Weigand</w:t>
      </w:r>
      <w:proofErr w:type="spellEnd"/>
      <w:r w:rsidRPr="0023574F">
        <w:rPr>
          <w:rFonts w:cs="Times New Roman"/>
          <w:sz w:val="20"/>
          <w:szCs w:val="20"/>
        </w:rPr>
        <w:t xml:space="preserve">, H. and Weis, N. </w:t>
      </w:r>
      <w:r w:rsidRPr="0023574F">
        <w:rPr>
          <w:rFonts w:cs="Times New Roman"/>
          <w:bCs/>
          <w:sz w:val="20"/>
          <w:szCs w:val="20"/>
        </w:rPr>
        <w:t>(1989).</w:t>
      </w:r>
      <w:r w:rsidR="00E97FA7">
        <w:rPr>
          <w:rFonts w:cs="Times New Roman"/>
          <w:bCs/>
          <w:sz w:val="20"/>
          <w:szCs w:val="20"/>
        </w:rPr>
        <w:t xml:space="preserve"> </w:t>
      </w:r>
      <w:r w:rsidRPr="0023574F">
        <w:rPr>
          <w:rFonts w:cs="Times New Roman"/>
          <w:sz w:val="20"/>
          <w:szCs w:val="20"/>
        </w:rPr>
        <w:t xml:space="preserve">Antibacterial and antifungal properties of essential oil components. J. </w:t>
      </w:r>
      <w:proofErr w:type="spellStart"/>
      <w:r w:rsidRPr="0023574F">
        <w:rPr>
          <w:rFonts w:cs="Times New Roman"/>
          <w:sz w:val="20"/>
          <w:szCs w:val="20"/>
        </w:rPr>
        <w:t>Essent</w:t>
      </w:r>
      <w:proofErr w:type="spellEnd"/>
      <w:r w:rsidRPr="0023574F">
        <w:rPr>
          <w:rFonts w:cs="Times New Roman"/>
          <w:sz w:val="20"/>
          <w:szCs w:val="20"/>
        </w:rPr>
        <w:t>. Oil Res. 1</w:t>
      </w:r>
      <w:r w:rsidRPr="0023574F">
        <w:rPr>
          <w:rFonts w:cs="Times New Roman"/>
          <w:bCs/>
          <w:sz w:val="20"/>
          <w:szCs w:val="20"/>
        </w:rPr>
        <w:t>:</w:t>
      </w:r>
      <w:r w:rsidRPr="0023574F">
        <w:rPr>
          <w:rFonts w:cs="Times New Roman"/>
          <w:sz w:val="20"/>
          <w:szCs w:val="20"/>
        </w:rPr>
        <w:t>118-119.</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rPr>
      </w:pPr>
      <w:r w:rsidRPr="0023574F">
        <w:rPr>
          <w:rFonts w:cs="Times New Roman"/>
          <w:sz w:val="20"/>
          <w:szCs w:val="20"/>
        </w:rPr>
        <w:t xml:space="preserve">Kurita, N.; Miyaji, M.; </w:t>
      </w:r>
      <w:proofErr w:type="spellStart"/>
      <w:r w:rsidRPr="0023574F">
        <w:rPr>
          <w:rFonts w:cs="Times New Roman"/>
          <w:sz w:val="20"/>
          <w:szCs w:val="20"/>
        </w:rPr>
        <w:t>Kurane</w:t>
      </w:r>
      <w:proofErr w:type="spellEnd"/>
      <w:r w:rsidRPr="0023574F">
        <w:rPr>
          <w:rFonts w:cs="Times New Roman"/>
          <w:sz w:val="20"/>
          <w:szCs w:val="20"/>
        </w:rPr>
        <w:t xml:space="preserve">, R. and </w:t>
      </w:r>
      <w:proofErr w:type="spellStart"/>
      <w:r w:rsidRPr="0023574F">
        <w:rPr>
          <w:rFonts w:cs="Times New Roman"/>
          <w:sz w:val="20"/>
          <w:szCs w:val="20"/>
        </w:rPr>
        <w:t>Takahara</w:t>
      </w:r>
      <w:proofErr w:type="spellEnd"/>
      <w:r w:rsidRPr="0023574F">
        <w:rPr>
          <w:rFonts w:cs="Times New Roman"/>
          <w:sz w:val="20"/>
          <w:szCs w:val="20"/>
        </w:rPr>
        <w:t xml:space="preserve">, Y. </w:t>
      </w:r>
      <w:r w:rsidRPr="0023574F">
        <w:rPr>
          <w:rFonts w:cs="Times New Roman"/>
          <w:bCs/>
          <w:sz w:val="20"/>
          <w:szCs w:val="20"/>
        </w:rPr>
        <w:t>(1981).</w:t>
      </w:r>
      <w:r w:rsidR="00E97FA7">
        <w:rPr>
          <w:rFonts w:cs="Times New Roman"/>
          <w:bCs/>
          <w:sz w:val="20"/>
          <w:szCs w:val="20"/>
        </w:rPr>
        <w:t xml:space="preserve"> </w:t>
      </w:r>
      <w:r w:rsidRPr="0023574F">
        <w:rPr>
          <w:rFonts w:cs="Times New Roman"/>
          <w:sz w:val="20"/>
          <w:szCs w:val="20"/>
        </w:rPr>
        <w:t>Antifungal activity of components of essential oils. Agric. Biol. Chem</w:t>
      </w:r>
      <w:r w:rsidRPr="0023574F">
        <w:rPr>
          <w:rFonts w:cs="Times New Roman"/>
          <w:bCs/>
          <w:sz w:val="20"/>
          <w:szCs w:val="20"/>
        </w:rPr>
        <w:t>.</w:t>
      </w:r>
      <w:r w:rsidR="004048ED">
        <w:rPr>
          <w:rFonts w:cs="Times New Roman"/>
          <w:bCs/>
          <w:sz w:val="20"/>
          <w:szCs w:val="20"/>
        </w:rPr>
        <w:t xml:space="preserve"> </w:t>
      </w:r>
      <w:r w:rsidRPr="0023574F">
        <w:rPr>
          <w:rFonts w:cs="Times New Roman"/>
          <w:sz w:val="20"/>
          <w:szCs w:val="20"/>
        </w:rPr>
        <w:t>45: 945-952.</w:t>
      </w:r>
    </w:p>
    <w:p w:rsidR="005F1E9D" w:rsidRPr="0023574F" w:rsidRDefault="005F1E9D" w:rsidP="0023574F">
      <w:pPr>
        <w:pStyle w:val="ListParagraph"/>
        <w:numPr>
          <w:ilvl w:val="0"/>
          <w:numId w:val="21"/>
        </w:numPr>
        <w:bidi w:val="0"/>
        <w:snapToGrid w:val="0"/>
        <w:contextualSpacing/>
        <w:jc w:val="both"/>
        <w:rPr>
          <w:rFonts w:cs="Times New Roman"/>
          <w:sz w:val="20"/>
          <w:szCs w:val="20"/>
        </w:rPr>
      </w:pPr>
      <w:proofErr w:type="spellStart"/>
      <w:r w:rsidRPr="0023574F">
        <w:rPr>
          <w:rFonts w:cs="Times New Roman"/>
          <w:sz w:val="20"/>
          <w:szCs w:val="20"/>
        </w:rPr>
        <w:t>Laemmli</w:t>
      </w:r>
      <w:proofErr w:type="spellEnd"/>
      <w:r w:rsidRPr="0023574F">
        <w:rPr>
          <w:rFonts w:cs="Times New Roman"/>
          <w:sz w:val="20"/>
          <w:szCs w:val="20"/>
        </w:rPr>
        <w:t>,</w:t>
      </w:r>
      <w:r w:rsidR="00E97FA7">
        <w:rPr>
          <w:rFonts w:cs="Times New Roman"/>
          <w:sz w:val="20"/>
          <w:szCs w:val="20"/>
        </w:rPr>
        <w:t xml:space="preserve"> </w:t>
      </w:r>
      <w:r w:rsidRPr="0023574F">
        <w:rPr>
          <w:rFonts w:cs="Times New Roman"/>
          <w:sz w:val="20"/>
          <w:szCs w:val="20"/>
        </w:rPr>
        <w:t>U.</w:t>
      </w:r>
      <w:r w:rsidR="00E97FA7">
        <w:rPr>
          <w:rFonts w:cs="Times New Roman"/>
          <w:sz w:val="20"/>
          <w:szCs w:val="20"/>
        </w:rPr>
        <w:t xml:space="preserve"> </w:t>
      </w:r>
      <w:r w:rsidRPr="0023574F">
        <w:rPr>
          <w:rFonts w:cs="Times New Roman"/>
          <w:sz w:val="20"/>
          <w:szCs w:val="20"/>
        </w:rPr>
        <w:t>K.,</w:t>
      </w:r>
      <w:r w:rsidRPr="0023574F">
        <w:rPr>
          <w:rFonts w:cs="Times New Roman"/>
          <w:bCs/>
          <w:sz w:val="20"/>
          <w:szCs w:val="20"/>
        </w:rPr>
        <w:t xml:space="preserve"> (1970)</w:t>
      </w:r>
      <w:r w:rsidRPr="0023574F">
        <w:rPr>
          <w:rFonts w:cs="Times New Roman"/>
          <w:sz w:val="20"/>
          <w:szCs w:val="20"/>
        </w:rPr>
        <w:t>.</w:t>
      </w:r>
      <w:r w:rsidR="00E97FA7">
        <w:rPr>
          <w:rFonts w:cs="Times New Roman"/>
          <w:sz w:val="20"/>
          <w:szCs w:val="20"/>
        </w:rPr>
        <w:t xml:space="preserve"> </w:t>
      </w:r>
      <w:r w:rsidRPr="0023574F">
        <w:rPr>
          <w:rFonts w:cs="Times New Roman"/>
          <w:sz w:val="20"/>
          <w:szCs w:val="20"/>
        </w:rPr>
        <w:t>Cleavage</w:t>
      </w:r>
      <w:r w:rsidR="00E97FA7">
        <w:rPr>
          <w:rFonts w:cs="Times New Roman"/>
          <w:sz w:val="20"/>
          <w:szCs w:val="20"/>
        </w:rPr>
        <w:t xml:space="preserve"> </w:t>
      </w:r>
      <w:r w:rsidRPr="0023574F">
        <w:rPr>
          <w:rFonts w:cs="Times New Roman"/>
          <w:sz w:val="20"/>
          <w:szCs w:val="20"/>
        </w:rPr>
        <w:t>of</w:t>
      </w:r>
      <w:r w:rsidR="00E97FA7">
        <w:rPr>
          <w:rFonts w:cs="Times New Roman"/>
          <w:sz w:val="20"/>
          <w:szCs w:val="20"/>
        </w:rPr>
        <w:t xml:space="preserve"> </w:t>
      </w:r>
      <w:r w:rsidRPr="0023574F">
        <w:rPr>
          <w:rFonts w:cs="Times New Roman"/>
          <w:sz w:val="20"/>
          <w:szCs w:val="20"/>
        </w:rPr>
        <w:t>structural</w:t>
      </w:r>
      <w:r w:rsidR="00E97FA7">
        <w:rPr>
          <w:rFonts w:cs="Times New Roman"/>
          <w:sz w:val="20"/>
          <w:szCs w:val="20"/>
        </w:rPr>
        <w:t xml:space="preserve"> </w:t>
      </w:r>
      <w:r w:rsidRPr="0023574F">
        <w:rPr>
          <w:rFonts w:cs="Times New Roman"/>
          <w:sz w:val="20"/>
          <w:szCs w:val="20"/>
        </w:rPr>
        <w:t>proteins</w:t>
      </w:r>
      <w:r w:rsidR="00E97FA7">
        <w:rPr>
          <w:rFonts w:cs="Times New Roman"/>
          <w:sz w:val="20"/>
          <w:szCs w:val="20"/>
        </w:rPr>
        <w:t xml:space="preserve"> </w:t>
      </w:r>
      <w:r w:rsidRPr="0023574F">
        <w:rPr>
          <w:rFonts w:cs="Times New Roman"/>
          <w:sz w:val="20"/>
          <w:szCs w:val="20"/>
        </w:rPr>
        <w:t>during</w:t>
      </w:r>
      <w:r w:rsidR="00E97FA7">
        <w:rPr>
          <w:rFonts w:cs="Times New Roman"/>
          <w:sz w:val="20"/>
          <w:szCs w:val="20"/>
        </w:rPr>
        <w:t xml:space="preserve"> </w:t>
      </w:r>
      <w:r w:rsidRPr="0023574F">
        <w:rPr>
          <w:rFonts w:cs="Times New Roman"/>
          <w:sz w:val="20"/>
          <w:szCs w:val="20"/>
        </w:rPr>
        <w:t>the</w:t>
      </w:r>
      <w:r w:rsidR="00E97FA7">
        <w:rPr>
          <w:rFonts w:cs="Times New Roman"/>
          <w:sz w:val="20"/>
          <w:szCs w:val="20"/>
        </w:rPr>
        <w:t xml:space="preserve"> </w:t>
      </w:r>
      <w:r w:rsidRPr="0023574F">
        <w:rPr>
          <w:rFonts w:cs="Times New Roman"/>
          <w:sz w:val="20"/>
          <w:szCs w:val="20"/>
        </w:rPr>
        <w:t>assembly</w:t>
      </w:r>
      <w:r w:rsidR="00E97FA7">
        <w:rPr>
          <w:rFonts w:cs="Times New Roman"/>
          <w:sz w:val="20"/>
          <w:szCs w:val="20"/>
        </w:rPr>
        <w:t xml:space="preserve"> </w:t>
      </w:r>
      <w:r w:rsidRPr="0023574F">
        <w:rPr>
          <w:rFonts w:cs="Times New Roman"/>
          <w:sz w:val="20"/>
          <w:szCs w:val="20"/>
        </w:rPr>
        <w:t>of</w:t>
      </w:r>
      <w:r w:rsidR="00E97FA7">
        <w:rPr>
          <w:rFonts w:cs="Times New Roman"/>
          <w:sz w:val="20"/>
          <w:szCs w:val="20"/>
        </w:rPr>
        <w:t xml:space="preserve"> </w:t>
      </w:r>
      <w:r w:rsidRPr="0023574F">
        <w:rPr>
          <w:rFonts w:cs="Times New Roman"/>
          <w:sz w:val="20"/>
          <w:szCs w:val="20"/>
        </w:rPr>
        <w:t>the</w:t>
      </w:r>
      <w:r w:rsidR="00E97FA7">
        <w:rPr>
          <w:rFonts w:cs="Times New Roman"/>
          <w:sz w:val="20"/>
          <w:szCs w:val="20"/>
        </w:rPr>
        <w:t xml:space="preserve"> </w:t>
      </w:r>
      <w:r w:rsidRPr="0023574F">
        <w:rPr>
          <w:rFonts w:cs="Times New Roman"/>
          <w:sz w:val="20"/>
          <w:szCs w:val="20"/>
        </w:rPr>
        <w:t>head</w:t>
      </w:r>
      <w:r w:rsidR="00E97FA7">
        <w:rPr>
          <w:rFonts w:cs="Times New Roman"/>
          <w:sz w:val="20"/>
          <w:szCs w:val="20"/>
        </w:rPr>
        <w:t xml:space="preserve"> </w:t>
      </w:r>
      <w:proofErr w:type="spellStart"/>
      <w:r w:rsidRPr="0023574F">
        <w:rPr>
          <w:rFonts w:cs="Times New Roman"/>
          <w:sz w:val="20"/>
          <w:szCs w:val="20"/>
        </w:rPr>
        <w:t>bacteriophage</w:t>
      </w:r>
      <w:proofErr w:type="spellEnd"/>
      <w:r w:rsidRPr="0023574F">
        <w:rPr>
          <w:rFonts w:cs="Times New Roman"/>
          <w:sz w:val="20"/>
          <w:szCs w:val="20"/>
        </w:rPr>
        <w:t xml:space="preserve"> T4.</w:t>
      </w:r>
      <w:r w:rsidR="00E97FA7">
        <w:rPr>
          <w:rFonts w:cs="Times New Roman"/>
          <w:sz w:val="20"/>
          <w:szCs w:val="20"/>
        </w:rPr>
        <w:t xml:space="preserve"> </w:t>
      </w:r>
      <w:r w:rsidRPr="0023574F">
        <w:rPr>
          <w:rFonts w:cs="Times New Roman"/>
          <w:sz w:val="20"/>
          <w:szCs w:val="20"/>
        </w:rPr>
        <w:t>Nature,</w:t>
      </w:r>
      <w:r w:rsidR="00E97FA7">
        <w:rPr>
          <w:rFonts w:cs="Times New Roman"/>
          <w:sz w:val="20"/>
          <w:szCs w:val="20"/>
        </w:rPr>
        <w:t xml:space="preserve"> </w:t>
      </w:r>
      <w:r w:rsidRPr="0023574F">
        <w:rPr>
          <w:rFonts w:cs="Times New Roman"/>
          <w:sz w:val="20"/>
          <w:szCs w:val="20"/>
        </w:rPr>
        <w:t>227:680 - 685.</w:t>
      </w:r>
    </w:p>
    <w:p w:rsidR="005F1E9D" w:rsidRPr="0023574F" w:rsidRDefault="005F1E9D" w:rsidP="0023574F">
      <w:pPr>
        <w:pStyle w:val="ListParagraph"/>
        <w:numPr>
          <w:ilvl w:val="0"/>
          <w:numId w:val="21"/>
        </w:numPr>
        <w:bidi w:val="0"/>
        <w:snapToGrid w:val="0"/>
        <w:jc w:val="both"/>
        <w:rPr>
          <w:rFonts w:cs="Times New Roman"/>
          <w:sz w:val="20"/>
          <w:szCs w:val="20"/>
        </w:rPr>
      </w:pPr>
      <w:r w:rsidRPr="0023574F">
        <w:rPr>
          <w:rFonts w:cs="Times New Roman"/>
          <w:sz w:val="20"/>
          <w:szCs w:val="20"/>
        </w:rPr>
        <w:t xml:space="preserve">Lee, S. B. and Taylor, J. W. </w:t>
      </w:r>
      <w:r w:rsidRPr="0023574F">
        <w:rPr>
          <w:rFonts w:cs="Times New Roman"/>
          <w:bCs/>
          <w:sz w:val="20"/>
          <w:szCs w:val="20"/>
        </w:rPr>
        <w:t>(1990).</w:t>
      </w:r>
      <w:r w:rsidR="00E97FA7">
        <w:rPr>
          <w:rFonts w:cs="Times New Roman"/>
          <w:bCs/>
          <w:sz w:val="20"/>
          <w:szCs w:val="20"/>
        </w:rPr>
        <w:t xml:space="preserve"> </w:t>
      </w:r>
      <w:r w:rsidRPr="0023574F">
        <w:rPr>
          <w:rFonts w:cs="Times New Roman"/>
          <w:sz w:val="20"/>
          <w:szCs w:val="20"/>
        </w:rPr>
        <w:t>Isolation of DNA from fungal mycelia and single spore.</w:t>
      </w:r>
      <w:r w:rsidR="004048ED">
        <w:rPr>
          <w:rFonts w:cs="Times New Roman"/>
          <w:sz w:val="20"/>
          <w:szCs w:val="20"/>
        </w:rPr>
        <w:t xml:space="preserve"> </w:t>
      </w:r>
      <w:r w:rsidRPr="0023574F">
        <w:rPr>
          <w:rFonts w:cs="Times New Roman"/>
          <w:sz w:val="20"/>
          <w:szCs w:val="20"/>
        </w:rPr>
        <w:t xml:space="preserve">In: PCR Protocols a Guide to Methods and Applications. Eds., </w:t>
      </w:r>
      <w:proofErr w:type="spellStart"/>
      <w:r w:rsidRPr="0023574F">
        <w:rPr>
          <w:rFonts w:cs="Times New Roman"/>
          <w:sz w:val="20"/>
          <w:szCs w:val="20"/>
        </w:rPr>
        <w:t>Innis</w:t>
      </w:r>
      <w:proofErr w:type="spellEnd"/>
      <w:r w:rsidRPr="0023574F">
        <w:rPr>
          <w:rFonts w:cs="Times New Roman"/>
          <w:sz w:val="20"/>
          <w:szCs w:val="20"/>
        </w:rPr>
        <w:t xml:space="preserve">, M. A. </w:t>
      </w:r>
      <w:proofErr w:type="spellStart"/>
      <w:r w:rsidRPr="0023574F">
        <w:rPr>
          <w:rFonts w:cs="Times New Roman"/>
          <w:sz w:val="20"/>
          <w:szCs w:val="20"/>
        </w:rPr>
        <w:t>Gelfand</w:t>
      </w:r>
      <w:proofErr w:type="spellEnd"/>
      <w:r w:rsidRPr="0023574F">
        <w:rPr>
          <w:rFonts w:cs="Times New Roman"/>
          <w:sz w:val="20"/>
          <w:szCs w:val="20"/>
        </w:rPr>
        <w:t xml:space="preserve"> D. V., </w:t>
      </w:r>
      <w:proofErr w:type="spellStart"/>
      <w:r w:rsidRPr="0023574F">
        <w:rPr>
          <w:rFonts w:cs="Times New Roman"/>
          <w:sz w:val="20"/>
          <w:szCs w:val="20"/>
        </w:rPr>
        <w:t>Sninsky</w:t>
      </w:r>
      <w:proofErr w:type="spellEnd"/>
      <w:r w:rsidRPr="0023574F">
        <w:rPr>
          <w:rFonts w:cs="Times New Roman"/>
          <w:sz w:val="20"/>
          <w:szCs w:val="20"/>
        </w:rPr>
        <w:t>, J. J. and White T. J. Academic Press In., New York.</w:t>
      </w:r>
      <w:r w:rsidR="004048ED">
        <w:rPr>
          <w:rFonts w:cs="Times New Roman"/>
          <w:sz w:val="20"/>
          <w:szCs w:val="20"/>
        </w:rPr>
        <w:t xml:space="preserve"> </w:t>
      </w:r>
      <w:r w:rsidRPr="0023574F">
        <w:rPr>
          <w:rFonts w:cs="Times New Roman"/>
          <w:sz w:val="20"/>
          <w:szCs w:val="20"/>
        </w:rPr>
        <w:t>Pp. 282 – 287.</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lastRenderedPageBreak/>
        <w:t>Magan</w:t>
      </w:r>
      <w:proofErr w:type="spellEnd"/>
      <w:r w:rsidRPr="0023574F">
        <w:rPr>
          <w:rFonts w:cs="Times New Roman"/>
          <w:sz w:val="20"/>
          <w:szCs w:val="20"/>
        </w:rPr>
        <w:t xml:space="preserve">, N., </w:t>
      </w:r>
      <w:proofErr w:type="spellStart"/>
      <w:r w:rsidRPr="0023574F">
        <w:rPr>
          <w:rFonts w:cs="Times New Roman"/>
          <w:sz w:val="20"/>
          <w:szCs w:val="20"/>
        </w:rPr>
        <w:t>Sanchis</w:t>
      </w:r>
      <w:proofErr w:type="spellEnd"/>
      <w:r w:rsidRPr="0023574F">
        <w:rPr>
          <w:rFonts w:cs="Times New Roman"/>
          <w:sz w:val="20"/>
          <w:szCs w:val="20"/>
        </w:rPr>
        <w:t xml:space="preserve">, V. and </w:t>
      </w:r>
      <w:proofErr w:type="spellStart"/>
      <w:r w:rsidRPr="0023574F">
        <w:rPr>
          <w:rFonts w:cs="Times New Roman"/>
          <w:sz w:val="20"/>
          <w:szCs w:val="20"/>
        </w:rPr>
        <w:t>Akdred</w:t>
      </w:r>
      <w:proofErr w:type="spellEnd"/>
      <w:r w:rsidRPr="0023574F">
        <w:rPr>
          <w:rFonts w:cs="Times New Roman"/>
          <w:sz w:val="20"/>
          <w:szCs w:val="20"/>
        </w:rPr>
        <w:t xml:space="preserve">, D., </w:t>
      </w:r>
      <w:r w:rsidRPr="0023574F">
        <w:rPr>
          <w:rFonts w:cs="Times New Roman"/>
          <w:bCs/>
          <w:sz w:val="20"/>
          <w:szCs w:val="20"/>
        </w:rPr>
        <w:t>(2004).</w:t>
      </w:r>
      <w:r w:rsidR="00E97FA7">
        <w:rPr>
          <w:rFonts w:cs="Times New Roman"/>
          <w:bCs/>
          <w:sz w:val="20"/>
          <w:szCs w:val="20"/>
        </w:rPr>
        <w:t xml:space="preserve"> </w:t>
      </w:r>
      <w:r w:rsidRPr="0023574F">
        <w:rPr>
          <w:rFonts w:cs="Times New Roman"/>
          <w:sz w:val="20"/>
          <w:szCs w:val="20"/>
        </w:rPr>
        <w:t xml:space="preserve">Role of spoilage fungi in seed deterioration. In: Aurora, D.K. (Ed.), Fungal Biotechnology in Agricultural, Food and Environmental Applications. </w:t>
      </w:r>
      <w:proofErr w:type="spellStart"/>
      <w:r w:rsidRPr="0023574F">
        <w:rPr>
          <w:rFonts w:cs="Times New Roman"/>
          <w:sz w:val="20"/>
          <w:szCs w:val="20"/>
        </w:rPr>
        <w:t>Marcell</w:t>
      </w:r>
      <w:proofErr w:type="spellEnd"/>
      <w:r w:rsidRPr="0023574F">
        <w:rPr>
          <w:rFonts w:cs="Times New Roman"/>
          <w:sz w:val="20"/>
          <w:szCs w:val="20"/>
        </w:rPr>
        <w:t xml:space="preserve"> Dekker, pp. 311–323. Chapter 28.</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color w:val="000000"/>
          <w:sz w:val="20"/>
          <w:szCs w:val="20"/>
        </w:rPr>
      </w:pPr>
      <w:proofErr w:type="spellStart"/>
      <w:r w:rsidRPr="0023574F">
        <w:rPr>
          <w:rFonts w:cs="Times New Roman"/>
          <w:color w:val="000000"/>
          <w:sz w:val="20"/>
          <w:szCs w:val="20"/>
        </w:rPr>
        <w:t>Majer</w:t>
      </w:r>
      <w:proofErr w:type="spellEnd"/>
      <w:r w:rsidRPr="0023574F">
        <w:rPr>
          <w:rFonts w:cs="Times New Roman"/>
          <w:color w:val="000000"/>
          <w:sz w:val="20"/>
          <w:szCs w:val="20"/>
        </w:rPr>
        <w:t xml:space="preserve">, D., R.; </w:t>
      </w:r>
      <w:proofErr w:type="spellStart"/>
      <w:r w:rsidRPr="0023574F">
        <w:rPr>
          <w:rFonts w:cs="Times New Roman"/>
          <w:color w:val="000000"/>
          <w:sz w:val="20"/>
          <w:szCs w:val="20"/>
        </w:rPr>
        <w:t>Mithen</w:t>
      </w:r>
      <w:proofErr w:type="spellEnd"/>
      <w:r w:rsidRPr="0023574F">
        <w:rPr>
          <w:rFonts w:cs="Times New Roman"/>
          <w:color w:val="000000"/>
          <w:sz w:val="20"/>
          <w:szCs w:val="20"/>
        </w:rPr>
        <w:t xml:space="preserve">, B. G.; Lewis, P. </w:t>
      </w:r>
      <w:proofErr w:type="spellStart"/>
      <w:r w:rsidRPr="0023574F">
        <w:rPr>
          <w:rFonts w:cs="Times New Roman"/>
          <w:color w:val="000000"/>
          <w:sz w:val="20"/>
          <w:szCs w:val="20"/>
        </w:rPr>
        <w:t>Vos</w:t>
      </w:r>
      <w:proofErr w:type="spellEnd"/>
      <w:r w:rsidRPr="0023574F">
        <w:rPr>
          <w:rFonts w:cs="Times New Roman"/>
          <w:color w:val="000000"/>
          <w:sz w:val="20"/>
          <w:szCs w:val="20"/>
        </w:rPr>
        <w:t xml:space="preserve"> and Oliver, R. P. </w:t>
      </w:r>
      <w:r w:rsidRPr="0023574F">
        <w:rPr>
          <w:rFonts w:cs="Times New Roman"/>
          <w:bCs/>
          <w:color w:val="000000"/>
          <w:sz w:val="20"/>
          <w:szCs w:val="20"/>
        </w:rPr>
        <w:t>(1996</w:t>
      </w:r>
      <w:r w:rsidRPr="0023574F">
        <w:rPr>
          <w:rFonts w:cs="Times New Roman"/>
          <w:color w:val="000000"/>
          <w:sz w:val="20"/>
          <w:szCs w:val="20"/>
        </w:rPr>
        <w:t>).</w:t>
      </w:r>
      <w:r w:rsidR="00E97FA7">
        <w:rPr>
          <w:rFonts w:cs="Times New Roman"/>
          <w:color w:val="000000"/>
          <w:sz w:val="20"/>
          <w:szCs w:val="20"/>
        </w:rPr>
        <w:t xml:space="preserve"> </w:t>
      </w:r>
      <w:r w:rsidRPr="0023574F">
        <w:rPr>
          <w:rFonts w:cs="Times New Roman"/>
          <w:color w:val="000000"/>
          <w:sz w:val="20"/>
          <w:szCs w:val="20"/>
        </w:rPr>
        <w:t>The use of AFLP fingerprinting or the detection of genetic variation in fungi.</w:t>
      </w:r>
      <w:r w:rsidR="00E97FA7">
        <w:rPr>
          <w:rFonts w:cs="Times New Roman"/>
          <w:color w:val="000000"/>
          <w:sz w:val="20"/>
          <w:szCs w:val="20"/>
        </w:rPr>
        <w:t xml:space="preserve"> </w:t>
      </w:r>
      <w:r w:rsidRPr="0023574F">
        <w:rPr>
          <w:rFonts w:cs="Times New Roman"/>
          <w:color w:val="000000"/>
          <w:sz w:val="20"/>
          <w:szCs w:val="20"/>
        </w:rPr>
        <w:t>Mycology Research. 100: 1107 – 1111.</w:t>
      </w:r>
    </w:p>
    <w:p w:rsidR="005F1E9D" w:rsidRPr="0023574F" w:rsidRDefault="005F1E9D" w:rsidP="0023574F">
      <w:pPr>
        <w:pStyle w:val="ListParagraph"/>
        <w:numPr>
          <w:ilvl w:val="0"/>
          <w:numId w:val="21"/>
        </w:numPr>
        <w:bidi w:val="0"/>
        <w:snapToGrid w:val="0"/>
        <w:jc w:val="both"/>
        <w:rPr>
          <w:rFonts w:cs="Times New Roman"/>
          <w:sz w:val="20"/>
          <w:szCs w:val="20"/>
        </w:rPr>
      </w:pPr>
      <w:proofErr w:type="spellStart"/>
      <w:r w:rsidRPr="0023574F">
        <w:rPr>
          <w:rFonts w:cs="Times New Roman"/>
          <w:sz w:val="20"/>
          <w:szCs w:val="20"/>
        </w:rPr>
        <w:t>Manohar</w:t>
      </w:r>
      <w:proofErr w:type="spellEnd"/>
      <w:r w:rsidRPr="0023574F">
        <w:rPr>
          <w:rFonts w:cs="Times New Roman"/>
          <w:sz w:val="20"/>
          <w:szCs w:val="20"/>
        </w:rPr>
        <w:t xml:space="preserve">, V.; Ingram, C.; Gray, J.; </w:t>
      </w:r>
      <w:proofErr w:type="spellStart"/>
      <w:r w:rsidRPr="0023574F">
        <w:rPr>
          <w:rFonts w:cs="Times New Roman"/>
          <w:sz w:val="20"/>
          <w:szCs w:val="20"/>
        </w:rPr>
        <w:t>Talpur</w:t>
      </w:r>
      <w:proofErr w:type="spellEnd"/>
      <w:r w:rsidRPr="0023574F">
        <w:rPr>
          <w:rFonts w:cs="Times New Roman"/>
          <w:sz w:val="20"/>
          <w:szCs w:val="20"/>
        </w:rPr>
        <w:t xml:space="preserve">, N. A.; </w:t>
      </w:r>
      <w:proofErr w:type="spellStart"/>
      <w:r w:rsidRPr="0023574F">
        <w:rPr>
          <w:rFonts w:cs="Times New Roman"/>
          <w:sz w:val="20"/>
          <w:szCs w:val="20"/>
        </w:rPr>
        <w:t>Echard</w:t>
      </w:r>
      <w:proofErr w:type="spellEnd"/>
      <w:r w:rsidRPr="0023574F">
        <w:rPr>
          <w:rFonts w:cs="Times New Roman"/>
          <w:sz w:val="20"/>
          <w:szCs w:val="20"/>
        </w:rPr>
        <w:t xml:space="preserve">, B. W.; </w:t>
      </w:r>
      <w:proofErr w:type="spellStart"/>
      <w:r w:rsidRPr="0023574F">
        <w:rPr>
          <w:rFonts w:cs="Times New Roman"/>
          <w:sz w:val="20"/>
          <w:szCs w:val="20"/>
        </w:rPr>
        <w:t>Bagchi</w:t>
      </w:r>
      <w:proofErr w:type="spellEnd"/>
      <w:r w:rsidRPr="0023574F">
        <w:rPr>
          <w:rFonts w:cs="Times New Roman"/>
          <w:sz w:val="20"/>
          <w:szCs w:val="20"/>
        </w:rPr>
        <w:t xml:space="preserve">, B. and </w:t>
      </w:r>
      <w:proofErr w:type="spellStart"/>
      <w:r w:rsidRPr="0023574F">
        <w:rPr>
          <w:rFonts w:cs="Times New Roman"/>
          <w:sz w:val="20"/>
          <w:szCs w:val="20"/>
        </w:rPr>
        <w:t>Preuss</w:t>
      </w:r>
      <w:proofErr w:type="spellEnd"/>
      <w:r w:rsidRPr="0023574F">
        <w:rPr>
          <w:rFonts w:cs="Times New Roman"/>
          <w:sz w:val="20"/>
          <w:szCs w:val="20"/>
        </w:rPr>
        <w:t xml:space="preserve">, H. G., </w:t>
      </w:r>
      <w:r w:rsidRPr="0023574F">
        <w:rPr>
          <w:rFonts w:cs="Times New Roman"/>
          <w:bCs/>
          <w:sz w:val="20"/>
          <w:szCs w:val="20"/>
        </w:rPr>
        <w:t>(2001).</w:t>
      </w:r>
      <w:r w:rsidRPr="0023574F">
        <w:rPr>
          <w:rFonts w:cs="Times New Roman"/>
          <w:sz w:val="20"/>
          <w:szCs w:val="20"/>
        </w:rPr>
        <w:t xml:space="preserve"> Antifungal activities of </w:t>
      </w:r>
      <w:proofErr w:type="spellStart"/>
      <w:r w:rsidRPr="0023574F">
        <w:rPr>
          <w:rFonts w:cs="Times New Roman"/>
          <w:sz w:val="20"/>
          <w:szCs w:val="20"/>
        </w:rPr>
        <w:t>origanum</w:t>
      </w:r>
      <w:proofErr w:type="spellEnd"/>
      <w:r w:rsidRPr="0023574F">
        <w:rPr>
          <w:rFonts w:cs="Times New Roman"/>
          <w:sz w:val="20"/>
          <w:szCs w:val="20"/>
        </w:rPr>
        <w:t xml:space="preserve"> oil against Candida </w:t>
      </w:r>
      <w:proofErr w:type="spellStart"/>
      <w:r w:rsidRPr="0023574F">
        <w:rPr>
          <w:rFonts w:cs="Times New Roman"/>
          <w:sz w:val="20"/>
          <w:szCs w:val="20"/>
        </w:rPr>
        <w:t>albicans</w:t>
      </w:r>
      <w:proofErr w:type="spellEnd"/>
      <w:r w:rsidRPr="0023574F">
        <w:rPr>
          <w:rFonts w:cs="Times New Roman"/>
          <w:sz w:val="20"/>
          <w:szCs w:val="20"/>
        </w:rPr>
        <w:t xml:space="preserve">. Mol. Cell. </w:t>
      </w:r>
      <w:proofErr w:type="spellStart"/>
      <w:r w:rsidRPr="0023574F">
        <w:rPr>
          <w:rFonts w:cs="Times New Roman"/>
          <w:sz w:val="20"/>
          <w:szCs w:val="20"/>
        </w:rPr>
        <w:t>Biochem</w:t>
      </w:r>
      <w:proofErr w:type="spellEnd"/>
      <w:r w:rsidRPr="0023574F">
        <w:rPr>
          <w:rFonts w:cs="Times New Roman"/>
          <w:sz w:val="20"/>
          <w:szCs w:val="20"/>
        </w:rPr>
        <w:t>. 228, 111–117.</w:t>
      </w:r>
    </w:p>
    <w:p w:rsidR="005F1E9D" w:rsidRPr="0023574F" w:rsidRDefault="005F1E9D" w:rsidP="0023574F">
      <w:pPr>
        <w:pStyle w:val="ListParagraph"/>
        <w:widowControl w:val="0"/>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Mendhulkar</w:t>
      </w:r>
      <w:proofErr w:type="spellEnd"/>
      <w:r w:rsidRPr="0023574F">
        <w:rPr>
          <w:rFonts w:cs="Times New Roman"/>
          <w:sz w:val="20"/>
          <w:szCs w:val="20"/>
        </w:rPr>
        <w:t xml:space="preserve">, V. D. </w:t>
      </w:r>
      <w:r w:rsidRPr="0023574F">
        <w:rPr>
          <w:rFonts w:cs="Times New Roman"/>
          <w:bCs/>
          <w:sz w:val="20"/>
          <w:szCs w:val="20"/>
        </w:rPr>
        <w:t>(1993)</w:t>
      </w:r>
      <w:r w:rsidRPr="0023574F">
        <w:rPr>
          <w:rFonts w:cs="Times New Roman"/>
          <w:sz w:val="20"/>
          <w:szCs w:val="20"/>
        </w:rPr>
        <w:t>.</w:t>
      </w:r>
      <w:r w:rsidR="004048ED">
        <w:rPr>
          <w:rFonts w:cs="Times New Roman"/>
          <w:sz w:val="20"/>
          <w:szCs w:val="20"/>
        </w:rPr>
        <w:t xml:space="preserve"> </w:t>
      </w:r>
      <w:r w:rsidRPr="0023574F">
        <w:rPr>
          <w:rFonts w:cs="Times New Roman"/>
          <w:sz w:val="20"/>
          <w:szCs w:val="20"/>
        </w:rPr>
        <w:t xml:space="preserve">Effect of chemical mutagens in </w:t>
      </w:r>
      <w:proofErr w:type="spellStart"/>
      <w:r w:rsidRPr="0023574F">
        <w:rPr>
          <w:rFonts w:cs="Times New Roman"/>
          <w:i/>
          <w:iCs/>
          <w:sz w:val="20"/>
          <w:szCs w:val="20"/>
        </w:rPr>
        <w:t>Desmodiumtortuosum</w:t>
      </w:r>
      <w:proofErr w:type="spellEnd"/>
      <w:r w:rsidR="00E97FA7">
        <w:rPr>
          <w:rFonts w:cs="Times New Roman"/>
          <w:i/>
          <w:iCs/>
          <w:sz w:val="20"/>
          <w:szCs w:val="20"/>
        </w:rPr>
        <w:t xml:space="preserve">, </w:t>
      </w:r>
      <w:r w:rsidRPr="0023574F">
        <w:rPr>
          <w:rFonts w:cs="Times New Roman"/>
          <w:sz w:val="20"/>
          <w:szCs w:val="20"/>
        </w:rPr>
        <w:t>Ph.D.</w:t>
      </w:r>
      <w:r w:rsidR="004048ED">
        <w:rPr>
          <w:rFonts w:cs="Times New Roman"/>
          <w:sz w:val="20"/>
          <w:szCs w:val="20"/>
        </w:rPr>
        <w:t xml:space="preserve"> </w:t>
      </w:r>
      <w:r w:rsidRPr="0023574F">
        <w:rPr>
          <w:rFonts w:cs="Times New Roman"/>
          <w:sz w:val="20"/>
          <w:szCs w:val="20"/>
        </w:rPr>
        <w:t>thesis</w:t>
      </w:r>
      <w:r w:rsidR="004048ED">
        <w:rPr>
          <w:rFonts w:cs="Times New Roman"/>
          <w:sz w:val="20"/>
          <w:szCs w:val="20"/>
        </w:rPr>
        <w:t xml:space="preserve"> </w:t>
      </w:r>
      <w:proofErr w:type="spellStart"/>
      <w:r w:rsidRPr="0023574F">
        <w:rPr>
          <w:rFonts w:cs="Times New Roman"/>
          <w:sz w:val="20"/>
          <w:szCs w:val="20"/>
        </w:rPr>
        <w:t>Karnatak</w:t>
      </w:r>
      <w:proofErr w:type="spellEnd"/>
      <w:r w:rsidRPr="0023574F">
        <w:rPr>
          <w:rFonts w:cs="Times New Roman"/>
          <w:sz w:val="20"/>
          <w:szCs w:val="20"/>
        </w:rPr>
        <w:t xml:space="preserve"> University, </w:t>
      </w:r>
      <w:proofErr w:type="spellStart"/>
      <w:r w:rsidRPr="0023574F">
        <w:rPr>
          <w:rFonts w:cs="Times New Roman"/>
          <w:sz w:val="20"/>
          <w:szCs w:val="20"/>
        </w:rPr>
        <w:t>Dharwad</w:t>
      </w:r>
      <w:proofErr w:type="spellEnd"/>
      <w:r w:rsidRPr="0023574F">
        <w:rPr>
          <w:rFonts w:cs="Times New Roman"/>
          <w:sz w:val="20"/>
          <w:szCs w:val="20"/>
        </w:rPr>
        <w:t>, India.</w:t>
      </w:r>
    </w:p>
    <w:p w:rsidR="005F1E9D" w:rsidRPr="0023574F" w:rsidRDefault="005F1E9D" w:rsidP="0023574F">
      <w:pPr>
        <w:pStyle w:val="ListParagraph"/>
        <w:numPr>
          <w:ilvl w:val="0"/>
          <w:numId w:val="21"/>
        </w:numPr>
        <w:bidi w:val="0"/>
        <w:snapToGrid w:val="0"/>
        <w:jc w:val="both"/>
        <w:rPr>
          <w:rFonts w:cs="Times New Roman"/>
          <w:sz w:val="20"/>
          <w:szCs w:val="20"/>
        </w:rPr>
      </w:pPr>
      <w:proofErr w:type="spellStart"/>
      <w:r w:rsidRPr="0023574F">
        <w:rPr>
          <w:rFonts w:cs="Times New Roman"/>
          <w:sz w:val="20"/>
          <w:szCs w:val="20"/>
        </w:rPr>
        <w:t>Nei</w:t>
      </w:r>
      <w:proofErr w:type="spellEnd"/>
      <w:r w:rsidRPr="0023574F">
        <w:rPr>
          <w:rFonts w:cs="Times New Roman"/>
          <w:sz w:val="20"/>
          <w:szCs w:val="20"/>
        </w:rPr>
        <w:t xml:space="preserve">, M and Li, W. H. </w:t>
      </w:r>
      <w:r w:rsidRPr="0023574F">
        <w:rPr>
          <w:rFonts w:cs="Times New Roman"/>
          <w:bCs/>
          <w:sz w:val="20"/>
          <w:szCs w:val="20"/>
        </w:rPr>
        <w:t>(1979).</w:t>
      </w:r>
      <w:r w:rsidRPr="0023574F">
        <w:rPr>
          <w:rFonts w:cs="Times New Roman"/>
          <w:sz w:val="20"/>
          <w:szCs w:val="20"/>
        </w:rPr>
        <w:t xml:space="preserve">Mathematical model for studying genetic variations in terms of restrictions of </w:t>
      </w:r>
      <w:proofErr w:type="spellStart"/>
      <w:r w:rsidRPr="0023574F">
        <w:rPr>
          <w:rFonts w:cs="Times New Roman"/>
          <w:sz w:val="20"/>
          <w:szCs w:val="20"/>
        </w:rPr>
        <w:t>endonucleases</w:t>
      </w:r>
      <w:proofErr w:type="spellEnd"/>
      <w:r w:rsidRPr="0023574F">
        <w:rPr>
          <w:rFonts w:cs="Times New Roman"/>
          <w:sz w:val="20"/>
          <w:szCs w:val="20"/>
        </w:rPr>
        <w:t>.</w:t>
      </w:r>
      <w:r w:rsidR="004048ED">
        <w:rPr>
          <w:rFonts w:cs="Times New Roman"/>
          <w:sz w:val="20"/>
          <w:szCs w:val="20"/>
        </w:rPr>
        <w:t xml:space="preserve"> </w:t>
      </w:r>
      <w:r w:rsidRPr="0023574F">
        <w:rPr>
          <w:rFonts w:cs="Times New Roman"/>
          <w:sz w:val="20"/>
          <w:szCs w:val="20"/>
        </w:rPr>
        <w:t>Proc. Natl. Acad. Sci. USA. 76: 5269 – 5273.</w:t>
      </w:r>
    </w:p>
    <w:p w:rsidR="00F22B32" w:rsidRPr="0023574F" w:rsidRDefault="00F22B32"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Nelson, P.E.; </w:t>
      </w:r>
      <w:proofErr w:type="spellStart"/>
      <w:r w:rsidRPr="0023574F">
        <w:rPr>
          <w:rFonts w:cs="Times New Roman"/>
          <w:sz w:val="20"/>
          <w:szCs w:val="20"/>
        </w:rPr>
        <w:t>Toussoun</w:t>
      </w:r>
      <w:proofErr w:type="spellEnd"/>
      <w:r w:rsidRPr="0023574F">
        <w:rPr>
          <w:rFonts w:cs="Times New Roman"/>
          <w:sz w:val="20"/>
          <w:szCs w:val="20"/>
        </w:rPr>
        <w:t xml:space="preserve">, T.A. and Cook, R.J. </w:t>
      </w:r>
      <w:r w:rsidRPr="0023574F">
        <w:rPr>
          <w:rFonts w:cs="Times New Roman"/>
          <w:bCs/>
          <w:sz w:val="20"/>
          <w:szCs w:val="20"/>
        </w:rPr>
        <w:t>(1981)</w:t>
      </w:r>
      <w:r w:rsidRPr="0023574F">
        <w:rPr>
          <w:rFonts w:cs="Times New Roman"/>
          <w:sz w:val="20"/>
          <w:szCs w:val="20"/>
        </w:rPr>
        <w:t>.</w:t>
      </w:r>
      <w:r w:rsidR="00E97FA7">
        <w:rPr>
          <w:rFonts w:cs="Times New Roman"/>
          <w:sz w:val="20"/>
          <w:szCs w:val="20"/>
        </w:rPr>
        <w:t xml:space="preserve"> </w:t>
      </w:r>
      <w:proofErr w:type="spellStart"/>
      <w:r w:rsidRPr="0023574F">
        <w:rPr>
          <w:rFonts w:cs="Times New Roman"/>
          <w:i/>
          <w:iCs/>
          <w:sz w:val="20"/>
          <w:szCs w:val="20"/>
        </w:rPr>
        <w:t>Fusarium</w:t>
      </w:r>
      <w:proofErr w:type="spellEnd"/>
      <w:r w:rsidRPr="0023574F">
        <w:rPr>
          <w:rFonts w:cs="Times New Roman"/>
          <w:sz w:val="20"/>
          <w:szCs w:val="20"/>
        </w:rPr>
        <w:t>, Diseases, Biology, and Taxonomy.</w:t>
      </w:r>
      <w:r w:rsidR="0019042B">
        <w:rPr>
          <w:rFonts w:cs="Times New Roman"/>
          <w:sz w:val="20"/>
          <w:szCs w:val="20"/>
        </w:rPr>
        <w:t xml:space="preserve"> </w:t>
      </w:r>
      <w:r w:rsidRPr="0023574F">
        <w:rPr>
          <w:rFonts w:cs="Times New Roman"/>
          <w:sz w:val="20"/>
          <w:szCs w:val="20"/>
        </w:rPr>
        <w:t>University Park and London, U.S.A.</w:t>
      </w:r>
      <w:r w:rsidR="00E97FA7">
        <w:rPr>
          <w:rFonts w:cs="Times New Roman"/>
          <w:sz w:val="20"/>
          <w:szCs w:val="20"/>
        </w:rPr>
        <w:t xml:space="preserve"> </w:t>
      </w:r>
      <w:r w:rsidRPr="0023574F">
        <w:rPr>
          <w:rFonts w:cs="Times New Roman"/>
          <w:sz w:val="20"/>
          <w:szCs w:val="20"/>
        </w:rPr>
        <w:t>The Pennsylvania State University Press. 457pp.</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Nelson, P. E.; </w:t>
      </w:r>
      <w:proofErr w:type="spellStart"/>
      <w:r w:rsidRPr="0023574F">
        <w:rPr>
          <w:rFonts w:cs="Times New Roman"/>
          <w:sz w:val="20"/>
          <w:szCs w:val="20"/>
        </w:rPr>
        <w:t>Toussoun</w:t>
      </w:r>
      <w:proofErr w:type="spellEnd"/>
      <w:r w:rsidRPr="0023574F">
        <w:rPr>
          <w:rFonts w:cs="Times New Roman"/>
          <w:sz w:val="20"/>
          <w:szCs w:val="20"/>
        </w:rPr>
        <w:t xml:space="preserve">, T. A. and </w:t>
      </w:r>
      <w:proofErr w:type="spellStart"/>
      <w:r w:rsidRPr="0023574F">
        <w:rPr>
          <w:rFonts w:cs="Times New Roman"/>
          <w:sz w:val="20"/>
          <w:szCs w:val="20"/>
        </w:rPr>
        <w:t>Marasas</w:t>
      </w:r>
      <w:proofErr w:type="spellEnd"/>
      <w:r w:rsidRPr="0023574F">
        <w:rPr>
          <w:rFonts w:cs="Times New Roman"/>
          <w:sz w:val="20"/>
          <w:szCs w:val="20"/>
        </w:rPr>
        <w:t xml:space="preserve">, W. F. O. </w:t>
      </w:r>
      <w:r w:rsidRPr="0023574F">
        <w:rPr>
          <w:rFonts w:cs="Times New Roman"/>
          <w:bCs/>
          <w:sz w:val="20"/>
          <w:szCs w:val="20"/>
        </w:rPr>
        <w:t>(1983)</w:t>
      </w:r>
      <w:r w:rsidRPr="0023574F">
        <w:rPr>
          <w:rFonts w:cs="Times New Roman"/>
          <w:sz w:val="20"/>
          <w:szCs w:val="20"/>
        </w:rPr>
        <w:t>.</w:t>
      </w:r>
      <w:r w:rsidR="00E97FA7">
        <w:rPr>
          <w:rFonts w:cs="Times New Roman"/>
          <w:sz w:val="20"/>
          <w:szCs w:val="20"/>
        </w:rPr>
        <w:t xml:space="preserve"> </w:t>
      </w:r>
      <w:proofErr w:type="spellStart"/>
      <w:r w:rsidRPr="0023574F">
        <w:rPr>
          <w:rFonts w:cs="Times New Roman"/>
          <w:i/>
          <w:iCs/>
          <w:sz w:val="20"/>
          <w:szCs w:val="20"/>
        </w:rPr>
        <w:t>Fusarium</w:t>
      </w:r>
      <w:proofErr w:type="spellEnd"/>
      <w:r w:rsidRPr="0023574F">
        <w:rPr>
          <w:rFonts w:cs="Times New Roman"/>
          <w:sz w:val="20"/>
          <w:szCs w:val="20"/>
        </w:rPr>
        <w:t xml:space="preserve"> species: An Illustrated Manual for Identification. Pennsylvania State University Press, University Park. 193pp.</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Nguefack</w:t>
      </w:r>
      <w:proofErr w:type="spellEnd"/>
      <w:r w:rsidRPr="0023574F">
        <w:rPr>
          <w:rFonts w:cs="Times New Roman"/>
          <w:sz w:val="20"/>
          <w:szCs w:val="20"/>
        </w:rPr>
        <w:t xml:space="preserve">, J.; </w:t>
      </w:r>
      <w:proofErr w:type="spellStart"/>
      <w:r w:rsidRPr="0023574F">
        <w:rPr>
          <w:rFonts w:cs="Times New Roman"/>
          <w:sz w:val="20"/>
          <w:szCs w:val="20"/>
        </w:rPr>
        <w:t>Leth</w:t>
      </w:r>
      <w:proofErr w:type="spellEnd"/>
      <w:r w:rsidRPr="0023574F">
        <w:rPr>
          <w:rFonts w:cs="Times New Roman"/>
          <w:sz w:val="20"/>
          <w:szCs w:val="20"/>
        </w:rPr>
        <w:t xml:space="preserve">, V.; </w:t>
      </w:r>
      <w:proofErr w:type="spellStart"/>
      <w:r w:rsidRPr="0023574F">
        <w:rPr>
          <w:rFonts w:cs="Times New Roman"/>
          <w:sz w:val="20"/>
          <w:szCs w:val="20"/>
        </w:rPr>
        <w:t>Amvam</w:t>
      </w:r>
      <w:proofErr w:type="spellEnd"/>
      <w:r w:rsidR="00E97FA7">
        <w:rPr>
          <w:rFonts w:cs="Times New Roman"/>
          <w:sz w:val="20"/>
          <w:szCs w:val="20"/>
        </w:rPr>
        <w:t xml:space="preserve"> </w:t>
      </w:r>
      <w:proofErr w:type="spellStart"/>
      <w:r w:rsidRPr="0023574F">
        <w:rPr>
          <w:rFonts w:cs="Times New Roman"/>
          <w:sz w:val="20"/>
          <w:szCs w:val="20"/>
        </w:rPr>
        <w:t>Zollo</w:t>
      </w:r>
      <w:proofErr w:type="spellEnd"/>
      <w:r w:rsidRPr="0023574F">
        <w:rPr>
          <w:rFonts w:cs="Times New Roman"/>
          <w:sz w:val="20"/>
          <w:szCs w:val="20"/>
        </w:rPr>
        <w:t xml:space="preserve">, P. H. and </w:t>
      </w:r>
      <w:proofErr w:type="spellStart"/>
      <w:r w:rsidRPr="0023574F">
        <w:rPr>
          <w:rFonts w:cs="Times New Roman"/>
          <w:sz w:val="20"/>
          <w:szCs w:val="20"/>
        </w:rPr>
        <w:t>Mathur</w:t>
      </w:r>
      <w:proofErr w:type="spellEnd"/>
      <w:r w:rsidRPr="0023574F">
        <w:rPr>
          <w:rFonts w:cs="Times New Roman"/>
          <w:sz w:val="20"/>
          <w:szCs w:val="20"/>
        </w:rPr>
        <w:t xml:space="preserve">, S. B. </w:t>
      </w:r>
      <w:r w:rsidRPr="0023574F">
        <w:rPr>
          <w:rFonts w:cs="Times New Roman"/>
          <w:bCs/>
          <w:sz w:val="20"/>
          <w:szCs w:val="20"/>
        </w:rPr>
        <w:t>(2004a).</w:t>
      </w:r>
      <w:r w:rsidR="00E97FA7">
        <w:rPr>
          <w:rFonts w:cs="Times New Roman"/>
          <w:bCs/>
          <w:sz w:val="20"/>
          <w:szCs w:val="20"/>
        </w:rPr>
        <w:t xml:space="preserve"> </w:t>
      </w:r>
      <w:r w:rsidRPr="0023574F">
        <w:rPr>
          <w:rFonts w:cs="Times New Roman"/>
          <w:sz w:val="20"/>
          <w:szCs w:val="20"/>
        </w:rPr>
        <w:t xml:space="preserve">Evaluation of </w:t>
      </w:r>
      <w:proofErr w:type="spellStart"/>
      <w:r w:rsidRPr="0023574F">
        <w:rPr>
          <w:rFonts w:cs="Times New Roman"/>
          <w:sz w:val="20"/>
          <w:szCs w:val="20"/>
        </w:rPr>
        <w:t>ﬁve</w:t>
      </w:r>
      <w:proofErr w:type="spellEnd"/>
      <w:r w:rsidRPr="0023574F">
        <w:rPr>
          <w:rFonts w:cs="Times New Roman"/>
          <w:sz w:val="20"/>
          <w:szCs w:val="20"/>
        </w:rPr>
        <w:t xml:space="preserve"> essential oils from aromatic plants of Cameroon for controlling food spoilage and </w:t>
      </w:r>
      <w:proofErr w:type="spellStart"/>
      <w:r w:rsidRPr="0023574F">
        <w:rPr>
          <w:rFonts w:cs="Times New Roman"/>
          <w:sz w:val="20"/>
          <w:szCs w:val="20"/>
        </w:rPr>
        <w:t>mycotoxin</w:t>
      </w:r>
      <w:proofErr w:type="spellEnd"/>
      <w:r w:rsidRPr="0023574F">
        <w:rPr>
          <w:rFonts w:cs="Times New Roman"/>
          <w:sz w:val="20"/>
          <w:szCs w:val="20"/>
        </w:rPr>
        <w:t xml:space="preserve"> producing fungi.</w:t>
      </w:r>
      <w:r w:rsidR="00E97FA7">
        <w:rPr>
          <w:rFonts w:cs="Times New Roman"/>
          <w:sz w:val="20"/>
          <w:szCs w:val="20"/>
        </w:rPr>
        <w:t xml:space="preserve"> </w:t>
      </w:r>
      <w:r w:rsidRPr="0023574F">
        <w:rPr>
          <w:rFonts w:cs="Times New Roman"/>
          <w:sz w:val="20"/>
          <w:szCs w:val="20"/>
        </w:rPr>
        <w:t>International Journal of Food Microbiology. 94: 329–334.</w:t>
      </w:r>
    </w:p>
    <w:p w:rsidR="00F22B32" w:rsidRPr="0023574F" w:rsidRDefault="00F22B32"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Nguefack</w:t>
      </w:r>
      <w:proofErr w:type="spellEnd"/>
      <w:r w:rsidRPr="0023574F">
        <w:rPr>
          <w:rFonts w:cs="Times New Roman"/>
          <w:sz w:val="20"/>
          <w:szCs w:val="20"/>
        </w:rPr>
        <w:t xml:space="preserve">, J.; </w:t>
      </w:r>
      <w:proofErr w:type="spellStart"/>
      <w:r w:rsidRPr="0023574F">
        <w:rPr>
          <w:rFonts w:cs="Times New Roman"/>
          <w:sz w:val="20"/>
          <w:szCs w:val="20"/>
        </w:rPr>
        <w:t>Budde</w:t>
      </w:r>
      <w:proofErr w:type="spellEnd"/>
      <w:r w:rsidRPr="0023574F">
        <w:rPr>
          <w:rFonts w:cs="Times New Roman"/>
          <w:sz w:val="20"/>
          <w:szCs w:val="20"/>
        </w:rPr>
        <w:t xml:space="preserve">, B. B. and </w:t>
      </w:r>
      <w:proofErr w:type="spellStart"/>
      <w:r w:rsidRPr="0023574F">
        <w:rPr>
          <w:rFonts w:cs="Times New Roman"/>
          <w:sz w:val="20"/>
          <w:szCs w:val="20"/>
        </w:rPr>
        <w:t>Jakobsen</w:t>
      </w:r>
      <w:proofErr w:type="spellEnd"/>
      <w:r w:rsidRPr="0023574F">
        <w:rPr>
          <w:rFonts w:cs="Times New Roman"/>
          <w:sz w:val="20"/>
          <w:szCs w:val="20"/>
        </w:rPr>
        <w:t xml:space="preserve">, M. </w:t>
      </w:r>
      <w:r w:rsidRPr="0023574F">
        <w:rPr>
          <w:rFonts w:cs="Times New Roman"/>
          <w:bCs/>
          <w:sz w:val="20"/>
          <w:szCs w:val="20"/>
        </w:rPr>
        <w:t>(2004b).</w:t>
      </w:r>
      <w:r w:rsidRPr="0023574F">
        <w:rPr>
          <w:rFonts w:cs="Times New Roman"/>
          <w:sz w:val="20"/>
          <w:szCs w:val="20"/>
        </w:rPr>
        <w:t xml:space="preserve"> Five essential oils from aromatic plants of Cameroon: their antibacterial activity and ability to </w:t>
      </w:r>
      <w:proofErr w:type="spellStart"/>
      <w:r w:rsidRPr="0023574F">
        <w:rPr>
          <w:rFonts w:cs="Times New Roman"/>
          <w:sz w:val="20"/>
          <w:szCs w:val="20"/>
        </w:rPr>
        <w:t>permeabilize</w:t>
      </w:r>
      <w:proofErr w:type="spellEnd"/>
      <w:r w:rsidRPr="0023574F">
        <w:rPr>
          <w:rFonts w:cs="Times New Roman"/>
          <w:sz w:val="20"/>
          <w:szCs w:val="20"/>
        </w:rPr>
        <w:t xml:space="preserve"> the </w:t>
      </w:r>
      <w:proofErr w:type="spellStart"/>
      <w:r w:rsidRPr="0023574F">
        <w:rPr>
          <w:rFonts w:cs="Times New Roman"/>
          <w:sz w:val="20"/>
          <w:szCs w:val="20"/>
        </w:rPr>
        <w:t>cytoplasmic</w:t>
      </w:r>
      <w:proofErr w:type="spellEnd"/>
      <w:r w:rsidRPr="0023574F">
        <w:rPr>
          <w:rFonts w:cs="Times New Roman"/>
          <w:sz w:val="20"/>
          <w:szCs w:val="20"/>
        </w:rPr>
        <w:t xml:space="preserve"> membrane of </w:t>
      </w:r>
      <w:proofErr w:type="spellStart"/>
      <w:r w:rsidRPr="0023574F">
        <w:rPr>
          <w:rFonts w:cs="Times New Roman"/>
          <w:sz w:val="20"/>
          <w:szCs w:val="20"/>
        </w:rPr>
        <w:t>Listeria</w:t>
      </w:r>
      <w:proofErr w:type="spellEnd"/>
      <w:r w:rsidRPr="0023574F">
        <w:rPr>
          <w:rFonts w:cs="Times New Roman"/>
          <w:sz w:val="20"/>
          <w:szCs w:val="20"/>
        </w:rPr>
        <w:t xml:space="preserve"> </w:t>
      </w:r>
      <w:proofErr w:type="spellStart"/>
      <w:r w:rsidRPr="0023574F">
        <w:rPr>
          <w:rFonts w:cs="Times New Roman"/>
          <w:sz w:val="20"/>
          <w:szCs w:val="20"/>
        </w:rPr>
        <w:t>innocua</w:t>
      </w:r>
      <w:proofErr w:type="spellEnd"/>
      <w:r w:rsidRPr="0023574F">
        <w:rPr>
          <w:rFonts w:cs="Times New Roman"/>
          <w:sz w:val="20"/>
          <w:szCs w:val="20"/>
        </w:rPr>
        <w:t xml:space="preserve"> examined by </w:t>
      </w:r>
      <w:proofErr w:type="spellStart"/>
      <w:r w:rsidRPr="0023574F">
        <w:rPr>
          <w:rFonts w:cs="Times New Roman"/>
          <w:sz w:val="20"/>
          <w:szCs w:val="20"/>
        </w:rPr>
        <w:t>ﬂow</w:t>
      </w:r>
      <w:proofErr w:type="spellEnd"/>
      <w:r w:rsidRPr="0023574F">
        <w:rPr>
          <w:rFonts w:cs="Times New Roman"/>
          <w:sz w:val="20"/>
          <w:szCs w:val="20"/>
        </w:rPr>
        <w:t xml:space="preserve"> </w:t>
      </w:r>
      <w:proofErr w:type="spellStart"/>
      <w:r w:rsidRPr="0023574F">
        <w:rPr>
          <w:rFonts w:cs="Times New Roman"/>
          <w:sz w:val="20"/>
          <w:szCs w:val="20"/>
        </w:rPr>
        <w:t>cytometry</w:t>
      </w:r>
      <w:proofErr w:type="spellEnd"/>
      <w:r w:rsidRPr="0023574F">
        <w:rPr>
          <w:rFonts w:cs="Times New Roman"/>
          <w:sz w:val="20"/>
          <w:szCs w:val="20"/>
        </w:rPr>
        <w:t>. Letters in Applied Microbiology 39.395–400.</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Nguefack</w:t>
      </w:r>
      <w:proofErr w:type="spellEnd"/>
      <w:r w:rsidRPr="0023574F">
        <w:rPr>
          <w:rFonts w:cs="Times New Roman"/>
          <w:sz w:val="20"/>
          <w:szCs w:val="20"/>
        </w:rPr>
        <w:t xml:space="preserve">, J.; </w:t>
      </w:r>
      <w:proofErr w:type="spellStart"/>
      <w:r w:rsidRPr="0023574F">
        <w:rPr>
          <w:rFonts w:cs="Times New Roman"/>
          <w:sz w:val="20"/>
          <w:szCs w:val="20"/>
        </w:rPr>
        <w:t>Nguikwie</w:t>
      </w:r>
      <w:proofErr w:type="spellEnd"/>
      <w:r w:rsidRPr="0023574F">
        <w:rPr>
          <w:rFonts w:cs="Times New Roman"/>
          <w:sz w:val="20"/>
          <w:szCs w:val="20"/>
        </w:rPr>
        <w:t xml:space="preserve">, S. K.; </w:t>
      </w:r>
      <w:proofErr w:type="spellStart"/>
      <w:r w:rsidRPr="0023574F">
        <w:rPr>
          <w:rFonts w:cs="Times New Roman"/>
          <w:sz w:val="20"/>
          <w:szCs w:val="20"/>
        </w:rPr>
        <w:t>Fotio</w:t>
      </w:r>
      <w:proofErr w:type="spellEnd"/>
      <w:r w:rsidRPr="0023574F">
        <w:rPr>
          <w:rFonts w:cs="Times New Roman"/>
          <w:sz w:val="20"/>
          <w:szCs w:val="20"/>
        </w:rPr>
        <w:t xml:space="preserve">, D.; </w:t>
      </w:r>
      <w:proofErr w:type="spellStart"/>
      <w:r w:rsidRPr="0023574F">
        <w:rPr>
          <w:rFonts w:cs="Times New Roman"/>
          <w:sz w:val="20"/>
          <w:szCs w:val="20"/>
        </w:rPr>
        <w:t>Dongmo</w:t>
      </w:r>
      <w:proofErr w:type="spellEnd"/>
      <w:r w:rsidRPr="0023574F">
        <w:rPr>
          <w:rFonts w:cs="Times New Roman"/>
          <w:sz w:val="20"/>
          <w:szCs w:val="20"/>
        </w:rPr>
        <w:t xml:space="preserve">, B.; </w:t>
      </w:r>
      <w:proofErr w:type="spellStart"/>
      <w:r w:rsidRPr="0023574F">
        <w:rPr>
          <w:rFonts w:cs="Times New Roman"/>
          <w:sz w:val="20"/>
          <w:szCs w:val="20"/>
        </w:rPr>
        <w:t>Leth</w:t>
      </w:r>
      <w:proofErr w:type="spellEnd"/>
      <w:r w:rsidRPr="0023574F">
        <w:rPr>
          <w:rFonts w:cs="Times New Roman"/>
          <w:sz w:val="20"/>
          <w:szCs w:val="20"/>
        </w:rPr>
        <w:t xml:space="preserve">, V.; </w:t>
      </w:r>
      <w:proofErr w:type="spellStart"/>
      <w:r w:rsidRPr="0023574F">
        <w:rPr>
          <w:rFonts w:cs="Times New Roman"/>
          <w:sz w:val="20"/>
          <w:szCs w:val="20"/>
        </w:rPr>
        <w:t>Nkengfack</w:t>
      </w:r>
      <w:proofErr w:type="spellEnd"/>
      <w:r w:rsidRPr="0023574F">
        <w:rPr>
          <w:rFonts w:cs="Times New Roman"/>
          <w:sz w:val="20"/>
          <w:szCs w:val="20"/>
        </w:rPr>
        <w:t xml:space="preserve">, A. E.; </w:t>
      </w:r>
      <w:proofErr w:type="spellStart"/>
      <w:r w:rsidRPr="0023574F">
        <w:rPr>
          <w:rFonts w:cs="Times New Roman"/>
          <w:sz w:val="20"/>
          <w:szCs w:val="20"/>
        </w:rPr>
        <w:t>Amvam</w:t>
      </w:r>
      <w:proofErr w:type="spellEnd"/>
      <w:r w:rsidR="00E97FA7">
        <w:rPr>
          <w:rFonts w:cs="Times New Roman"/>
          <w:sz w:val="20"/>
          <w:szCs w:val="20"/>
        </w:rPr>
        <w:t xml:space="preserve"> </w:t>
      </w:r>
      <w:proofErr w:type="spellStart"/>
      <w:r w:rsidRPr="0023574F">
        <w:rPr>
          <w:rFonts w:cs="Times New Roman"/>
          <w:sz w:val="20"/>
          <w:szCs w:val="20"/>
        </w:rPr>
        <w:t>Zollo</w:t>
      </w:r>
      <w:proofErr w:type="spellEnd"/>
      <w:r w:rsidRPr="0023574F">
        <w:rPr>
          <w:rFonts w:cs="Times New Roman"/>
          <w:sz w:val="20"/>
          <w:szCs w:val="20"/>
        </w:rPr>
        <w:t xml:space="preserve">, P. H. and Poll, L. </w:t>
      </w:r>
      <w:r w:rsidRPr="0023574F">
        <w:rPr>
          <w:rFonts w:cs="Times New Roman"/>
          <w:bCs/>
          <w:sz w:val="20"/>
          <w:szCs w:val="20"/>
        </w:rPr>
        <w:t>(2007).</w:t>
      </w:r>
      <w:r w:rsidR="00E97FA7">
        <w:rPr>
          <w:rFonts w:cs="Times New Roman"/>
          <w:bCs/>
          <w:sz w:val="20"/>
          <w:szCs w:val="20"/>
        </w:rPr>
        <w:t xml:space="preserve"> </w:t>
      </w:r>
      <w:r w:rsidRPr="0023574F">
        <w:rPr>
          <w:rFonts w:cs="Times New Roman"/>
          <w:sz w:val="20"/>
          <w:szCs w:val="20"/>
        </w:rPr>
        <w:t xml:space="preserve">Fungicidal potential of essential oils and fractions from </w:t>
      </w:r>
      <w:proofErr w:type="spellStart"/>
      <w:r w:rsidRPr="0023574F">
        <w:rPr>
          <w:rFonts w:cs="Times New Roman"/>
          <w:i/>
          <w:iCs/>
          <w:sz w:val="20"/>
          <w:szCs w:val="20"/>
        </w:rPr>
        <w:t>Cymbopogoncitratus</w:t>
      </w:r>
      <w:proofErr w:type="spellEnd"/>
      <w:r w:rsidRPr="0023574F">
        <w:rPr>
          <w:rFonts w:cs="Times New Roman"/>
          <w:i/>
          <w:iCs/>
          <w:sz w:val="20"/>
          <w:szCs w:val="20"/>
        </w:rPr>
        <w:t xml:space="preserve">, </w:t>
      </w:r>
      <w:proofErr w:type="spellStart"/>
      <w:r w:rsidRPr="0023574F">
        <w:rPr>
          <w:rFonts w:cs="Times New Roman"/>
          <w:i/>
          <w:iCs/>
          <w:sz w:val="20"/>
          <w:szCs w:val="20"/>
        </w:rPr>
        <w:t>Ocimumgratissimum</w:t>
      </w:r>
      <w:proofErr w:type="spellEnd"/>
      <w:r w:rsidRPr="0023574F">
        <w:rPr>
          <w:rFonts w:cs="Times New Roman"/>
          <w:sz w:val="20"/>
          <w:szCs w:val="20"/>
        </w:rPr>
        <w:t xml:space="preserve"> and </w:t>
      </w:r>
      <w:r w:rsidRPr="0023574F">
        <w:rPr>
          <w:rFonts w:cs="Times New Roman"/>
          <w:i/>
          <w:iCs/>
          <w:sz w:val="20"/>
          <w:szCs w:val="20"/>
        </w:rPr>
        <w:t xml:space="preserve">Thymus </w:t>
      </w:r>
      <w:proofErr w:type="spellStart"/>
      <w:r w:rsidRPr="0023574F">
        <w:rPr>
          <w:rFonts w:cs="Times New Roman"/>
          <w:i/>
          <w:iCs/>
          <w:sz w:val="20"/>
          <w:szCs w:val="20"/>
        </w:rPr>
        <w:t>vulgaris</w:t>
      </w:r>
      <w:proofErr w:type="spellEnd"/>
      <w:r w:rsidRPr="0023574F">
        <w:rPr>
          <w:rFonts w:cs="Times New Roman"/>
          <w:sz w:val="20"/>
          <w:szCs w:val="20"/>
        </w:rPr>
        <w:t xml:space="preserve"> to control </w:t>
      </w:r>
      <w:proofErr w:type="spellStart"/>
      <w:r w:rsidRPr="0023574F">
        <w:rPr>
          <w:rFonts w:cs="Times New Roman"/>
          <w:i/>
          <w:iCs/>
          <w:sz w:val="20"/>
          <w:szCs w:val="20"/>
        </w:rPr>
        <w:t>Alternariapadwickii</w:t>
      </w:r>
      <w:proofErr w:type="spellEnd"/>
      <w:r w:rsidRPr="0023574F">
        <w:rPr>
          <w:rFonts w:cs="Times New Roman"/>
          <w:sz w:val="20"/>
          <w:szCs w:val="20"/>
        </w:rPr>
        <w:t xml:space="preserve"> and </w:t>
      </w:r>
      <w:proofErr w:type="spellStart"/>
      <w:r w:rsidRPr="0023574F">
        <w:rPr>
          <w:rFonts w:cs="Times New Roman"/>
          <w:i/>
          <w:iCs/>
          <w:sz w:val="20"/>
          <w:szCs w:val="20"/>
        </w:rPr>
        <w:t>Bipolarisoryzae</w:t>
      </w:r>
      <w:proofErr w:type="spellEnd"/>
      <w:r w:rsidRPr="0023574F">
        <w:rPr>
          <w:rFonts w:cs="Times New Roman"/>
          <w:sz w:val="20"/>
          <w:szCs w:val="20"/>
        </w:rPr>
        <w:t>, two seed-borne fungi of rice (</w:t>
      </w:r>
      <w:proofErr w:type="spellStart"/>
      <w:r w:rsidRPr="0023574F">
        <w:rPr>
          <w:rFonts w:cs="Times New Roman"/>
          <w:sz w:val="20"/>
          <w:szCs w:val="20"/>
        </w:rPr>
        <w:t>Oryza</w:t>
      </w:r>
      <w:proofErr w:type="spellEnd"/>
      <w:r w:rsidRPr="0023574F">
        <w:rPr>
          <w:rFonts w:cs="Times New Roman"/>
          <w:sz w:val="20"/>
          <w:szCs w:val="20"/>
        </w:rPr>
        <w:t xml:space="preserve"> sativa L.).</w:t>
      </w:r>
      <w:r w:rsidR="00E97FA7">
        <w:rPr>
          <w:rFonts w:cs="Times New Roman"/>
          <w:sz w:val="20"/>
          <w:szCs w:val="20"/>
        </w:rPr>
        <w:t xml:space="preserve"> </w:t>
      </w:r>
      <w:r w:rsidRPr="0023574F">
        <w:rPr>
          <w:rFonts w:cs="Times New Roman"/>
          <w:sz w:val="20"/>
          <w:szCs w:val="20"/>
        </w:rPr>
        <w:t>Journal of Essential Oil Research. 19, 581–587.</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Nickelsen</w:t>
      </w:r>
      <w:proofErr w:type="spellEnd"/>
      <w:r w:rsidRPr="0023574F">
        <w:rPr>
          <w:rFonts w:cs="Times New Roman"/>
          <w:sz w:val="20"/>
          <w:szCs w:val="20"/>
        </w:rPr>
        <w:t xml:space="preserve">, L. and </w:t>
      </w:r>
      <w:proofErr w:type="spellStart"/>
      <w:r w:rsidRPr="0023574F">
        <w:rPr>
          <w:rFonts w:cs="Times New Roman"/>
          <w:sz w:val="20"/>
          <w:szCs w:val="20"/>
        </w:rPr>
        <w:t>Jakobsen</w:t>
      </w:r>
      <w:proofErr w:type="spellEnd"/>
      <w:r w:rsidRPr="0023574F">
        <w:rPr>
          <w:rFonts w:cs="Times New Roman"/>
          <w:sz w:val="20"/>
          <w:szCs w:val="20"/>
        </w:rPr>
        <w:t xml:space="preserve">, M. </w:t>
      </w:r>
      <w:r w:rsidRPr="0023574F">
        <w:rPr>
          <w:rFonts w:cs="Times New Roman"/>
          <w:bCs/>
          <w:sz w:val="20"/>
          <w:szCs w:val="20"/>
        </w:rPr>
        <w:t>(1997).</w:t>
      </w:r>
      <w:r w:rsidR="00E97FA7">
        <w:rPr>
          <w:rFonts w:cs="Times New Roman"/>
          <w:bCs/>
          <w:sz w:val="20"/>
          <w:szCs w:val="20"/>
        </w:rPr>
        <w:t xml:space="preserve"> </w:t>
      </w:r>
      <w:r w:rsidRPr="0023574F">
        <w:rPr>
          <w:rFonts w:cs="Times New Roman"/>
          <w:sz w:val="20"/>
          <w:szCs w:val="20"/>
        </w:rPr>
        <w:t xml:space="preserve">Quantitative risk analysis of maize </w:t>
      </w:r>
      <w:proofErr w:type="spellStart"/>
      <w:r w:rsidRPr="0023574F">
        <w:rPr>
          <w:rFonts w:cs="Times New Roman"/>
          <w:sz w:val="20"/>
          <w:szCs w:val="20"/>
        </w:rPr>
        <w:t>product.Food</w:t>
      </w:r>
      <w:proofErr w:type="spellEnd"/>
      <w:r w:rsidRPr="0023574F">
        <w:rPr>
          <w:rFonts w:cs="Times New Roman"/>
          <w:sz w:val="20"/>
          <w:szCs w:val="20"/>
        </w:rPr>
        <w:t xml:space="preserve"> Control. 3: 149–159.</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lastRenderedPageBreak/>
        <w:t xml:space="preserve">Nielsen, P. V. and Rios, R. </w:t>
      </w:r>
      <w:r w:rsidRPr="0023574F">
        <w:rPr>
          <w:rFonts w:cs="Times New Roman"/>
          <w:bCs/>
          <w:sz w:val="20"/>
          <w:szCs w:val="20"/>
        </w:rPr>
        <w:t>(2000).</w:t>
      </w:r>
      <w:r w:rsidR="00E97FA7">
        <w:rPr>
          <w:rFonts w:cs="Times New Roman"/>
          <w:bCs/>
          <w:sz w:val="20"/>
          <w:szCs w:val="20"/>
        </w:rPr>
        <w:t xml:space="preserve"> </w:t>
      </w:r>
      <w:r w:rsidRPr="0023574F">
        <w:rPr>
          <w:rFonts w:cs="Times New Roman"/>
          <w:sz w:val="20"/>
          <w:szCs w:val="20"/>
        </w:rPr>
        <w:t>Inhibition of fungal growth on bread by volatile components from spices and herbs, and the possible application in active packaging with special emphasis on mustard essential oil.</w:t>
      </w:r>
      <w:r w:rsidR="00E97FA7">
        <w:rPr>
          <w:rFonts w:cs="Times New Roman"/>
          <w:sz w:val="20"/>
          <w:szCs w:val="20"/>
        </w:rPr>
        <w:t xml:space="preserve"> </w:t>
      </w:r>
      <w:r w:rsidRPr="0023574F">
        <w:rPr>
          <w:rFonts w:cs="Times New Roman"/>
          <w:sz w:val="20"/>
          <w:szCs w:val="20"/>
        </w:rPr>
        <w:t>International Journal of Food Microbiology. 60, 219–229.</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Pauli, A., </w:t>
      </w:r>
      <w:r w:rsidRPr="0023574F">
        <w:rPr>
          <w:rFonts w:cs="Times New Roman"/>
          <w:bCs/>
          <w:sz w:val="20"/>
          <w:szCs w:val="20"/>
        </w:rPr>
        <w:t>(2001).</w:t>
      </w:r>
      <w:r w:rsidR="00E97FA7">
        <w:rPr>
          <w:rFonts w:cs="Times New Roman"/>
          <w:bCs/>
          <w:sz w:val="20"/>
          <w:szCs w:val="20"/>
        </w:rPr>
        <w:t xml:space="preserve"> </w:t>
      </w:r>
      <w:r w:rsidRPr="0023574F">
        <w:rPr>
          <w:rFonts w:cs="Times New Roman"/>
          <w:sz w:val="20"/>
          <w:szCs w:val="20"/>
        </w:rPr>
        <w:t>Antimicrobial properties of essential oil constituents.</w:t>
      </w:r>
      <w:r w:rsidR="00E97FA7">
        <w:rPr>
          <w:rFonts w:cs="Times New Roman"/>
          <w:sz w:val="20"/>
          <w:szCs w:val="20"/>
        </w:rPr>
        <w:t xml:space="preserve"> </w:t>
      </w:r>
      <w:r w:rsidRPr="0023574F">
        <w:rPr>
          <w:rFonts w:cs="Times New Roman"/>
          <w:sz w:val="20"/>
          <w:szCs w:val="20"/>
        </w:rPr>
        <w:t>International Journal of Aromatherapy. 11: 126–133.</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rPr>
      </w:pPr>
      <w:proofErr w:type="spellStart"/>
      <w:r w:rsidRPr="0023574F">
        <w:rPr>
          <w:rFonts w:cs="Times New Roman"/>
          <w:sz w:val="20"/>
          <w:szCs w:val="20"/>
        </w:rPr>
        <w:t>Pelczar</w:t>
      </w:r>
      <w:proofErr w:type="spellEnd"/>
      <w:r w:rsidRPr="0023574F">
        <w:rPr>
          <w:rFonts w:cs="Times New Roman"/>
          <w:sz w:val="20"/>
          <w:szCs w:val="20"/>
        </w:rPr>
        <w:t>, M. J.; Chan, E. C. S. and Krieg, N. R.</w:t>
      </w:r>
      <w:r w:rsidRPr="0023574F">
        <w:rPr>
          <w:rFonts w:cs="Times New Roman"/>
          <w:bCs/>
          <w:sz w:val="20"/>
          <w:szCs w:val="20"/>
        </w:rPr>
        <w:t xml:space="preserve"> (1993).</w:t>
      </w:r>
      <w:r w:rsidRPr="0023574F">
        <w:rPr>
          <w:rFonts w:cs="Times New Roman"/>
          <w:sz w:val="20"/>
          <w:szCs w:val="20"/>
        </w:rPr>
        <w:t xml:space="preserve"> Control of microorganism: Chemical agents. In Microbiology: Concepts and Applications; McGraw-Hill: New York,</w:t>
      </w:r>
      <w:r w:rsidR="004048ED">
        <w:rPr>
          <w:rFonts w:cs="Times New Roman"/>
          <w:sz w:val="20"/>
          <w:szCs w:val="20"/>
        </w:rPr>
        <w:t xml:space="preserve"> </w:t>
      </w:r>
      <w:r w:rsidRPr="0023574F">
        <w:rPr>
          <w:rFonts w:cs="Times New Roman"/>
          <w:sz w:val="20"/>
          <w:szCs w:val="20"/>
        </w:rPr>
        <w:t>Pp 221- 241.</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color w:val="000000"/>
          <w:sz w:val="20"/>
          <w:szCs w:val="20"/>
        </w:rPr>
      </w:pPr>
      <w:r w:rsidRPr="0023574F">
        <w:rPr>
          <w:rFonts w:cs="Times New Roman"/>
          <w:color w:val="000000"/>
          <w:sz w:val="20"/>
          <w:szCs w:val="20"/>
        </w:rPr>
        <w:t>Priest, F. G. and</w:t>
      </w:r>
      <w:r w:rsidR="004048ED">
        <w:rPr>
          <w:rFonts w:cs="Times New Roman"/>
          <w:color w:val="000000"/>
          <w:sz w:val="20"/>
          <w:szCs w:val="20"/>
        </w:rPr>
        <w:t xml:space="preserve"> </w:t>
      </w:r>
      <w:r w:rsidRPr="0023574F">
        <w:rPr>
          <w:rFonts w:cs="Times New Roman"/>
          <w:color w:val="000000"/>
          <w:sz w:val="20"/>
          <w:szCs w:val="20"/>
        </w:rPr>
        <w:t xml:space="preserve">Austin, B. </w:t>
      </w:r>
      <w:r w:rsidRPr="0023574F">
        <w:rPr>
          <w:rFonts w:cs="Times New Roman"/>
          <w:bCs/>
          <w:color w:val="000000"/>
          <w:sz w:val="20"/>
          <w:szCs w:val="20"/>
        </w:rPr>
        <w:t>(1993</w:t>
      </w:r>
      <w:r w:rsidRPr="0023574F">
        <w:rPr>
          <w:rFonts w:cs="Times New Roman"/>
          <w:color w:val="000000"/>
          <w:sz w:val="20"/>
          <w:szCs w:val="20"/>
        </w:rPr>
        <w:t>). Modern Bacterial Taxonomy (2nd ed.) Chapman &amp; Hall, London.</w:t>
      </w:r>
      <w:r w:rsidR="00E97FA7">
        <w:rPr>
          <w:rFonts w:cs="Times New Roman"/>
          <w:color w:val="000000"/>
          <w:sz w:val="20"/>
          <w:szCs w:val="20"/>
        </w:rPr>
        <w:t xml:space="preserve"> </w:t>
      </w:r>
      <w:proofErr w:type="spellStart"/>
      <w:r w:rsidRPr="0023574F">
        <w:rPr>
          <w:rFonts w:cs="Times New Roman"/>
          <w:color w:val="000000"/>
          <w:sz w:val="20"/>
          <w:szCs w:val="20"/>
        </w:rPr>
        <w:t>Saeed</w:t>
      </w:r>
      <w:proofErr w:type="spellEnd"/>
      <w:r w:rsidRPr="0023574F">
        <w:rPr>
          <w:rFonts w:cs="Times New Roman"/>
          <w:color w:val="000000"/>
          <w:sz w:val="20"/>
          <w:szCs w:val="20"/>
        </w:rPr>
        <w:t xml:space="preserve">, F.A., 1993. Protein patterns in relation to virulence of </w:t>
      </w:r>
      <w:proofErr w:type="spellStart"/>
      <w:r w:rsidRPr="0023574F">
        <w:rPr>
          <w:rFonts w:cs="Times New Roman"/>
          <w:i/>
          <w:iCs/>
          <w:color w:val="000000"/>
          <w:sz w:val="20"/>
          <w:szCs w:val="20"/>
        </w:rPr>
        <w:t>Fusariumoxysporum</w:t>
      </w:r>
      <w:proofErr w:type="spellEnd"/>
      <w:r w:rsidR="004048ED">
        <w:rPr>
          <w:rFonts w:cs="Times New Roman"/>
          <w:i/>
          <w:iCs/>
          <w:color w:val="000000"/>
          <w:sz w:val="20"/>
          <w:szCs w:val="20"/>
        </w:rPr>
        <w:t xml:space="preserve"> </w:t>
      </w:r>
      <w:proofErr w:type="spellStart"/>
      <w:r w:rsidRPr="0023574F">
        <w:rPr>
          <w:rFonts w:cs="Times New Roman"/>
          <w:color w:val="000000"/>
          <w:sz w:val="20"/>
          <w:szCs w:val="20"/>
        </w:rPr>
        <w:t>schlecht</w:t>
      </w:r>
      <w:proofErr w:type="spellEnd"/>
      <w:r w:rsidRPr="0023574F">
        <w:rPr>
          <w:rFonts w:cs="Times New Roman"/>
          <w:color w:val="000000"/>
          <w:sz w:val="20"/>
          <w:szCs w:val="20"/>
        </w:rPr>
        <w:t xml:space="preserve"> ex Fr., the incidents of wilt disease of sunflower. </w:t>
      </w:r>
      <w:proofErr w:type="spellStart"/>
      <w:r w:rsidRPr="0023574F">
        <w:rPr>
          <w:rFonts w:cs="Times New Roman"/>
          <w:color w:val="000000"/>
          <w:sz w:val="20"/>
          <w:szCs w:val="20"/>
        </w:rPr>
        <w:t>Assiut</w:t>
      </w:r>
      <w:proofErr w:type="spellEnd"/>
      <w:r w:rsidRPr="0023574F">
        <w:rPr>
          <w:rFonts w:cs="Times New Roman"/>
          <w:color w:val="000000"/>
          <w:sz w:val="20"/>
          <w:szCs w:val="20"/>
        </w:rPr>
        <w:t xml:space="preserve"> journal of Agriculture Science. 24(1): 173-188.</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lang w:bidi="ar-EG"/>
        </w:rPr>
      </w:pPr>
      <w:r w:rsidRPr="0023574F">
        <w:rPr>
          <w:rFonts w:cs="Times New Roman"/>
          <w:sz w:val="20"/>
          <w:szCs w:val="20"/>
          <w:lang w:bidi="ar-EG"/>
        </w:rPr>
        <w:t xml:space="preserve">Prudent, D; </w:t>
      </w:r>
      <w:proofErr w:type="spellStart"/>
      <w:r w:rsidRPr="0023574F">
        <w:rPr>
          <w:rFonts w:cs="Times New Roman"/>
          <w:sz w:val="20"/>
          <w:szCs w:val="20"/>
          <w:lang w:bidi="ar-EG"/>
        </w:rPr>
        <w:t>Perineau</w:t>
      </w:r>
      <w:proofErr w:type="spellEnd"/>
      <w:r w:rsidRPr="0023574F">
        <w:rPr>
          <w:rFonts w:cs="Times New Roman"/>
          <w:sz w:val="20"/>
          <w:szCs w:val="20"/>
          <w:lang w:bidi="ar-EG"/>
        </w:rPr>
        <w:t xml:space="preserve">, F.; </w:t>
      </w:r>
      <w:proofErr w:type="spellStart"/>
      <w:r w:rsidRPr="0023574F">
        <w:rPr>
          <w:rFonts w:cs="Times New Roman"/>
          <w:sz w:val="20"/>
          <w:szCs w:val="20"/>
          <w:lang w:bidi="ar-EG"/>
        </w:rPr>
        <w:t>Bessiere</w:t>
      </w:r>
      <w:proofErr w:type="spellEnd"/>
      <w:r w:rsidRPr="0023574F">
        <w:rPr>
          <w:rFonts w:cs="Times New Roman"/>
          <w:sz w:val="20"/>
          <w:szCs w:val="20"/>
          <w:lang w:bidi="ar-EG"/>
        </w:rPr>
        <w:t xml:space="preserve">, J. M.; Michel G. M. and </w:t>
      </w:r>
      <w:proofErr w:type="spellStart"/>
      <w:r w:rsidRPr="0023574F">
        <w:rPr>
          <w:rFonts w:cs="Times New Roman"/>
          <w:sz w:val="20"/>
          <w:szCs w:val="20"/>
          <w:lang w:bidi="ar-EG"/>
        </w:rPr>
        <w:t>Baccou</w:t>
      </w:r>
      <w:proofErr w:type="spellEnd"/>
      <w:r w:rsidRPr="0023574F">
        <w:rPr>
          <w:rFonts w:cs="Times New Roman"/>
          <w:sz w:val="20"/>
          <w:szCs w:val="20"/>
          <w:lang w:bidi="ar-EG"/>
        </w:rPr>
        <w:t xml:space="preserve">, J. C. </w:t>
      </w:r>
      <w:r w:rsidRPr="0023574F">
        <w:rPr>
          <w:rFonts w:cs="Times New Roman"/>
          <w:bCs/>
          <w:sz w:val="20"/>
          <w:szCs w:val="20"/>
          <w:lang w:bidi="ar-EG"/>
        </w:rPr>
        <w:t>(1995).</w:t>
      </w:r>
      <w:r w:rsidR="004048ED">
        <w:rPr>
          <w:rFonts w:cs="Times New Roman"/>
          <w:sz w:val="20"/>
          <w:szCs w:val="20"/>
          <w:lang w:bidi="ar-EG"/>
        </w:rPr>
        <w:t xml:space="preserve"> </w:t>
      </w:r>
      <w:r w:rsidRPr="0023574F">
        <w:rPr>
          <w:rFonts w:cs="Times New Roman"/>
          <w:sz w:val="20"/>
          <w:szCs w:val="20"/>
          <w:lang w:bidi="ar-EG"/>
        </w:rPr>
        <w:t xml:space="preserve">Analysis of the essential oils wild </w:t>
      </w:r>
      <w:r w:rsidRPr="0023574F">
        <w:rPr>
          <w:rFonts w:cs="Times New Roman"/>
          <w:i/>
          <w:iCs/>
          <w:sz w:val="20"/>
          <w:szCs w:val="20"/>
          <w:lang w:bidi="ar-EG"/>
        </w:rPr>
        <w:t>Oregano</w:t>
      </w:r>
      <w:r w:rsidRPr="0023574F">
        <w:rPr>
          <w:rFonts w:cs="Times New Roman"/>
          <w:sz w:val="20"/>
          <w:szCs w:val="20"/>
          <w:lang w:bidi="ar-EG"/>
        </w:rPr>
        <w:t xml:space="preserve"> from Martinique (</w:t>
      </w:r>
      <w:r w:rsidRPr="0023574F">
        <w:rPr>
          <w:rFonts w:cs="Times New Roman"/>
          <w:i/>
          <w:iCs/>
          <w:sz w:val="20"/>
          <w:szCs w:val="20"/>
          <w:lang w:bidi="ar-EG"/>
        </w:rPr>
        <w:t xml:space="preserve">Coleus aromatics </w:t>
      </w:r>
      <w:proofErr w:type="spellStart"/>
      <w:r w:rsidRPr="0023574F">
        <w:rPr>
          <w:rFonts w:cs="Times New Roman"/>
          <w:sz w:val="20"/>
          <w:szCs w:val="20"/>
          <w:lang w:bidi="ar-EG"/>
        </w:rPr>
        <w:t>Benth</w:t>
      </w:r>
      <w:proofErr w:type="spellEnd"/>
      <w:r w:rsidRPr="0023574F">
        <w:rPr>
          <w:rFonts w:cs="Times New Roman"/>
          <w:sz w:val="20"/>
          <w:szCs w:val="20"/>
          <w:lang w:bidi="ar-EG"/>
        </w:rPr>
        <w:t xml:space="preserve">.) – evaluation of its </w:t>
      </w:r>
      <w:proofErr w:type="spellStart"/>
      <w:r w:rsidRPr="0023574F">
        <w:rPr>
          <w:rFonts w:cs="Times New Roman"/>
          <w:sz w:val="20"/>
          <w:szCs w:val="20"/>
          <w:lang w:bidi="ar-EG"/>
        </w:rPr>
        <w:t>bacteriostatic</w:t>
      </w:r>
      <w:proofErr w:type="spellEnd"/>
      <w:r w:rsidRPr="0023574F">
        <w:rPr>
          <w:rFonts w:cs="Times New Roman"/>
          <w:sz w:val="20"/>
          <w:szCs w:val="20"/>
          <w:lang w:bidi="ar-EG"/>
        </w:rPr>
        <w:t xml:space="preserve"> and </w:t>
      </w:r>
      <w:proofErr w:type="spellStart"/>
      <w:r w:rsidRPr="0023574F">
        <w:rPr>
          <w:rFonts w:cs="Times New Roman"/>
          <w:sz w:val="20"/>
          <w:szCs w:val="20"/>
          <w:lang w:bidi="ar-EG"/>
        </w:rPr>
        <w:t>fungistatic</w:t>
      </w:r>
      <w:proofErr w:type="spellEnd"/>
      <w:r w:rsidRPr="0023574F">
        <w:rPr>
          <w:rFonts w:cs="Times New Roman"/>
          <w:sz w:val="20"/>
          <w:szCs w:val="20"/>
          <w:lang w:bidi="ar-EG"/>
        </w:rPr>
        <w:t xml:space="preserve"> properties.</w:t>
      </w:r>
      <w:r w:rsidR="004048ED">
        <w:rPr>
          <w:rFonts w:cs="Times New Roman"/>
          <w:sz w:val="20"/>
          <w:szCs w:val="20"/>
          <w:lang w:bidi="ar-EG"/>
        </w:rPr>
        <w:t xml:space="preserve"> </w:t>
      </w:r>
      <w:r w:rsidRPr="0023574F">
        <w:rPr>
          <w:rFonts w:cs="Times New Roman"/>
          <w:sz w:val="20"/>
          <w:szCs w:val="20"/>
          <w:lang w:bidi="ar-EG"/>
        </w:rPr>
        <w:t xml:space="preserve">J. </w:t>
      </w:r>
      <w:proofErr w:type="spellStart"/>
      <w:r w:rsidRPr="0023574F">
        <w:rPr>
          <w:rFonts w:cs="Times New Roman"/>
          <w:sz w:val="20"/>
          <w:szCs w:val="20"/>
          <w:lang w:bidi="ar-EG"/>
        </w:rPr>
        <w:t>Essent</w:t>
      </w:r>
      <w:proofErr w:type="spellEnd"/>
      <w:r w:rsidRPr="0023574F">
        <w:rPr>
          <w:rFonts w:cs="Times New Roman"/>
          <w:sz w:val="20"/>
          <w:szCs w:val="20"/>
          <w:lang w:bidi="ar-EG"/>
        </w:rPr>
        <w:t>. Oil Res.</w:t>
      </w:r>
      <w:r w:rsidRPr="0023574F">
        <w:rPr>
          <w:rFonts w:cs="Times New Roman"/>
          <w:bCs/>
          <w:sz w:val="20"/>
          <w:szCs w:val="20"/>
          <w:lang w:bidi="ar-EG"/>
        </w:rPr>
        <w:t xml:space="preserve"> 7:</w:t>
      </w:r>
      <w:r w:rsidRPr="0023574F">
        <w:rPr>
          <w:rFonts w:cs="Times New Roman"/>
          <w:sz w:val="20"/>
          <w:szCs w:val="20"/>
          <w:lang w:bidi="ar-EG"/>
        </w:rPr>
        <w:t>165 – 173.</w:t>
      </w:r>
    </w:p>
    <w:p w:rsidR="005F1E9D" w:rsidRPr="0023574F" w:rsidRDefault="005F1E9D" w:rsidP="0023574F">
      <w:pPr>
        <w:pStyle w:val="ListParagraph"/>
        <w:numPr>
          <w:ilvl w:val="0"/>
          <w:numId w:val="21"/>
        </w:numPr>
        <w:bidi w:val="0"/>
        <w:snapToGrid w:val="0"/>
        <w:jc w:val="both"/>
        <w:rPr>
          <w:rFonts w:cs="Times New Roman"/>
          <w:sz w:val="20"/>
          <w:szCs w:val="20"/>
        </w:rPr>
      </w:pPr>
      <w:proofErr w:type="spellStart"/>
      <w:r w:rsidRPr="0023574F">
        <w:rPr>
          <w:rFonts w:cs="Times New Roman"/>
          <w:sz w:val="20"/>
          <w:szCs w:val="20"/>
        </w:rPr>
        <w:t>Rohlf</w:t>
      </w:r>
      <w:proofErr w:type="spellEnd"/>
      <w:r w:rsidRPr="0023574F">
        <w:rPr>
          <w:rFonts w:cs="Times New Roman"/>
          <w:sz w:val="20"/>
          <w:szCs w:val="20"/>
        </w:rPr>
        <w:t xml:space="preserve">, F. J. </w:t>
      </w:r>
      <w:r w:rsidRPr="0023574F">
        <w:rPr>
          <w:rFonts w:cs="Times New Roman"/>
          <w:bCs/>
          <w:sz w:val="20"/>
          <w:szCs w:val="20"/>
        </w:rPr>
        <w:t>(1990)</w:t>
      </w:r>
      <w:r w:rsidRPr="0023574F">
        <w:rPr>
          <w:rFonts w:cs="Times New Roman"/>
          <w:sz w:val="20"/>
          <w:szCs w:val="20"/>
        </w:rPr>
        <w:t>.</w:t>
      </w:r>
      <w:r w:rsidR="004048ED">
        <w:rPr>
          <w:rFonts w:cs="Times New Roman"/>
          <w:sz w:val="20"/>
          <w:szCs w:val="20"/>
        </w:rPr>
        <w:t xml:space="preserve"> </w:t>
      </w:r>
      <w:r w:rsidRPr="0023574F">
        <w:rPr>
          <w:rFonts w:cs="Times New Roman"/>
          <w:sz w:val="20"/>
          <w:szCs w:val="20"/>
        </w:rPr>
        <w:t xml:space="preserve">NTSYS-pc, Numerical Taxonomy and </w:t>
      </w:r>
      <w:proofErr w:type="spellStart"/>
      <w:r w:rsidRPr="0023574F">
        <w:rPr>
          <w:rFonts w:cs="Times New Roman"/>
          <w:sz w:val="20"/>
          <w:szCs w:val="20"/>
        </w:rPr>
        <w:t>Mutivariate</w:t>
      </w:r>
      <w:proofErr w:type="spellEnd"/>
      <w:r w:rsidRPr="0023574F">
        <w:rPr>
          <w:rFonts w:cs="Times New Roman"/>
          <w:sz w:val="20"/>
          <w:szCs w:val="20"/>
        </w:rPr>
        <w:t xml:space="preserve"> Analysis System, Version 1.60.</w:t>
      </w:r>
      <w:r w:rsidR="004048ED">
        <w:rPr>
          <w:rFonts w:cs="Times New Roman"/>
          <w:sz w:val="20"/>
          <w:szCs w:val="20"/>
        </w:rPr>
        <w:t xml:space="preserve"> </w:t>
      </w:r>
      <w:r w:rsidRPr="0023574F">
        <w:rPr>
          <w:rFonts w:cs="Times New Roman"/>
          <w:sz w:val="20"/>
          <w:szCs w:val="20"/>
        </w:rPr>
        <w:t>Exeter Software, New York.</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Salvat</w:t>
      </w:r>
      <w:proofErr w:type="spellEnd"/>
      <w:r w:rsidRPr="0023574F">
        <w:rPr>
          <w:rFonts w:cs="Times New Roman"/>
          <w:sz w:val="20"/>
          <w:szCs w:val="20"/>
        </w:rPr>
        <w:t xml:space="preserve"> A., </w:t>
      </w:r>
      <w:proofErr w:type="spellStart"/>
      <w:r w:rsidRPr="0023574F">
        <w:rPr>
          <w:rFonts w:cs="Times New Roman"/>
          <w:sz w:val="20"/>
          <w:szCs w:val="20"/>
        </w:rPr>
        <w:t>Antonnacci</w:t>
      </w:r>
      <w:proofErr w:type="spellEnd"/>
      <w:r w:rsidRPr="0023574F">
        <w:rPr>
          <w:rFonts w:cs="Times New Roman"/>
          <w:sz w:val="20"/>
          <w:szCs w:val="20"/>
        </w:rPr>
        <w:t xml:space="preserve"> L., </w:t>
      </w:r>
      <w:proofErr w:type="spellStart"/>
      <w:r w:rsidRPr="0023574F">
        <w:rPr>
          <w:rFonts w:cs="Times New Roman"/>
          <w:sz w:val="20"/>
          <w:szCs w:val="20"/>
        </w:rPr>
        <w:t>Fortunato</w:t>
      </w:r>
      <w:proofErr w:type="spellEnd"/>
      <w:r w:rsidRPr="0023574F">
        <w:rPr>
          <w:rFonts w:cs="Times New Roman"/>
          <w:sz w:val="20"/>
          <w:szCs w:val="20"/>
        </w:rPr>
        <w:t xml:space="preserve"> R.H., Suarez E.Y., Godoy H.M. </w:t>
      </w:r>
      <w:r w:rsidRPr="0023574F">
        <w:rPr>
          <w:rFonts w:cs="Times New Roman"/>
          <w:bCs/>
          <w:sz w:val="20"/>
          <w:szCs w:val="20"/>
        </w:rPr>
        <w:t>(2001).</w:t>
      </w:r>
      <w:r w:rsidR="00E97FA7">
        <w:rPr>
          <w:rFonts w:cs="Times New Roman"/>
          <w:bCs/>
          <w:sz w:val="20"/>
          <w:szCs w:val="20"/>
        </w:rPr>
        <w:t xml:space="preserve"> </w:t>
      </w:r>
      <w:r w:rsidRPr="0023574F">
        <w:rPr>
          <w:rFonts w:cs="Times New Roman"/>
          <w:sz w:val="20"/>
          <w:szCs w:val="20"/>
        </w:rPr>
        <w:t>Screening of some plants from Northern Argentine for their antimicrobial activity.</w:t>
      </w:r>
      <w:r w:rsidR="00E97FA7">
        <w:rPr>
          <w:rFonts w:cs="Times New Roman"/>
          <w:sz w:val="20"/>
          <w:szCs w:val="20"/>
        </w:rPr>
        <w:t xml:space="preserve"> </w:t>
      </w:r>
      <w:proofErr w:type="spellStart"/>
      <w:r w:rsidRPr="0023574F">
        <w:rPr>
          <w:rFonts w:cs="Times New Roman"/>
          <w:sz w:val="20"/>
          <w:szCs w:val="20"/>
        </w:rPr>
        <w:t>Lett</w:t>
      </w:r>
      <w:proofErr w:type="spellEnd"/>
      <w:r w:rsidRPr="0023574F">
        <w:rPr>
          <w:rFonts w:cs="Times New Roman"/>
          <w:sz w:val="20"/>
          <w:szCs w:val="20"/>
        </w:rPr>
        <w:t xml:space="preserve">. Appl. </w:t>
      </w:r>
      <w:proofErr w:type="spellStart"/>
      <w:r w:rsidRPr="0023574F">
        <w:rPr>
          <w:rFonts w:cs="Times New Roman"/>
          <w:sz w:val="20"/>
          <w:szCs w:val="20"/>
        </w:rPr>
        <w:t>Microbiol</w:t>
      </w:r>
      <w:proofErr w:type="spellEnd"/>
      <w:r w:rsidRPr="0023574F">
        <w:rPr>
          <w:rFonts w:cs="Times New Roman"/>
          <w:sz w:val="20"/>
          <w:szCs w:val="20"/>
        </w:rPr>
        <w:t>. 33: 93–297.</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Shephard</w:t>
      </w:r>
      <w:proofErr w:type="spellEnd"/>
      <w:r w:rsidRPr="0023574F">
        <w:rPr>
          <w:rFonts w:cs="Times New Roman"/>
          <w:sz w:val="20"/>
          <w:szCs w:val="20"/>
        </w:rPr>
        <w:t xml:space="preserve">, G. S., </w:t>
      </w:r>
      <w:r w:rsidRPr="0023574F">
        <w:rPr>
          <w:rFonts w:cs="Times New Roman"/>
          <w:bCs/>
          <w:sz w:val="20"/>
          <w:szCs w:val="20"/>
        </w:rPr>
        <w:t>(2008).</w:t>
      </w:r>
      <w:r w:rsidR="00E97FA7">
        <w:rPr>
          <w:rFonts w:cs="Times New Roman"/>
          <w:bCs/>
          <w:sz w:val="20"/>
          <w:szCs w:val="20"/>
        </w:rPr>
        <w:t xml:space="preserve"> </w:t>
      </w:r>
      <w:r w:rsidRPr="0023574F">
        <w:rPr>
          <w:rFonts w:cs="Times New Roman"/>
          <w:sz w:val="20"/>
          <w:szCs w:val="20"/>
        </w:rPr>
        <w:t xml:space="preserve">Risk assessment of </w:t>
      </w:r>
      <w:proofErr w:type="spellStart"/>
      <w:r w:rsidRPr="0023574F">
        <w:rPr>
          <w:rFonts w:cs="Times New Roman"/>
          <w:sz w:val="20"/>
          <w:szCs w:val="20"/>
        </w:rPr>
        <w:t>aﬂatoxins</w:t>
      </w:r>
      <w:proofErr w:type="spellEnd"/>
      <w:r w:rsidRPr="0023574F">
        <w:rPr>
          <w:rFonts w:cs="Times New Roman"/>
          <w:sz w:val="20"/>
          <w:szCs w:val="20"/>
        </w:rPr>
        <w:t xml:space="preserve"> in food in Africa.</w:t>
      </w:r>
      <w:r w:rsidR="00E97FA7">
        <w:rPr>
          <w:rFonts w:cs="Times New Roman"/>
          <w:sz w:val="20"/>
          <w:szCs w:val="20"/>
        </w:rPr>
        <w:t xml:space="preserve"> </w:t>
      </w:r>
      <w:r w:rsidRPr="0023574F">
        <w:rPr>
          <w:rFonts w:cs="Times New Roman"/>
          <w:sz w:val="20"/>
          <w:szCs w:val="20"/>
        </w:rPr>
        <w:t>Food</w:t>
      </w:r>
      <w:r w:rsidR="004048ED">
        <w:rPr>
          <w:rFonts w:cs="Times New Roman"/>
          <w:sz w:val="20"/>
          <w:szCs w:val="20"/>
        </w:rPr>
        <w:t xml:space="preserve"> </w:t>
      </w:r>
      <w:proofErr w:type="spellStart"/>
      <w:r w:rsidRPr="0023574F">
        <w:rPr>
          <w:rFonts w:cs="Times New Roman"/>
          <w:sz w:val="20"/>
          <w:szCs w:val="20"/>
        </w:rPr>
        <w:t>Addit</w:t>
      </w:r>
      <w:proofErr w:type="spellEnd"/>
      <w:r w:rsidRPr="0023574F">
        <w:rPr>
          <w:rFonts w:cs="Times New Roman"/>
          <w:sz w:val="20"/>
          <w:szCs w:val="20"/>
        </w:rPr>
        <w:t xml:space="preserve">. </w:t>
      </w:r>
      <w:proofErr w:type="spellStart"/>
      <w:r w:rsidRPr="0023574F">
        <w:rPr>
          <w:rFonts w:cs="Times New Roman"/>
          <w:sz w:val="20"/>
          <w:szCs w:val="20"/>
        </w:rPr>
        <w:t>Contam</w:t>
      </w:r>
      <w:proofErr w:type="spellEnd"/>
      <w:r w:rsidRPr="0023574F">
        <w:rPr>
          <w:rFonts w:cs="Times New Roman"/>
          <w:sz w:val="20"/>
          <w:szCs w:val="20"/>
        </w:rPr>
        <w:t>. 25, 1246–1256.</w:t>
      </w:r>
    </w:p>
    <w:p w:rsidR="005F1E9D" w:rsidRPr="0023574F" w:rsidRDefault="005F1E9D"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lang w:bidi="ar-EG"/>
        </w:rPr>
      </w:pPr>
      <w:proofErr w:type="spellStart"/>
      <w:r w:rsidRPr="0023574F">
        <w:rPr>
          <w:rFonts w:cs="Times New Roman"/>
          <w:sz w:val="20"/>
          <w:szCs w:val="20"/>
          <w:lang w:bidi="ar-EG"/>
        </w:rPr>
        <w:t>Shimoni</w:t>
      </w:r>
      <w:proofErr w:type="spellEnd"/>
      <w:r w:rsidRPr="0023574F">
        <w:rPr>
          <w:rFonts w:cs="Times New Roman"/>
          <w:sz w:val="20"/>
          <w:szCs w:val="20"/>
          <w:lang w:bidi="ar-EG"/>
        </w:rPr>
        <w:t xml:space="preserve">, M; </w:t>
      </w:r>
      <w:proofErr w:type="spellStart"/>
      <w:r w:rsidRPr="0023574F">
        <w:rPr>
          <w:rFonts w:cs="Times New Roman"/>
          <w:sz w:val="20"/>
          <w:szCs w:val="20"/>
          <w:lang w:bidi="ar-EG"/>
        </w:rPr>
        <w:t>Putievsky</w:t>
      </w:r>
      <w:proofErr w:type="spellEnd"/>
      <w:r w:rsidRPr="0023574F">
        <w:rPr>
          <w:rFonts w:cs="Times New Roman"/>
          <w:sz w:val="20"/>
          <w:szCs w:val="20"/>
          <w:lang w:bidi="ar-EG"/>
        </w:rPr>
        <w:t xml:space="preserve">, E.; </w:t>
      </w:r>
      <w:proofErr w:type="spellStart"/>
      <w:r w:rsidRPr="0023574F">
        <w:rPr>
          <w:rFonts w:cs="Times New Roman"/>
          <w:sz w:val="20"/>
          <w:szCs w:val="20"/>
          <w:lang w:bidi="ar-EG"/>
        </w:rPr>
        <w:t>Ravid</w:t>
      </w:r>
      <w:proofErr w:type="spellEnd"/>
      <w:r w:rsidRPr="0023574F">
        <w:rPr>
          <w:rFonts w:cs="Times New Roman"/>
          <w:sz w:val="20"/>
          <w:szCs w:val="20"/>
          <w:lang w:bidi="ar-EG"/>
        </w:rPr>
        <w:t xml:space="preserve">, U. and </w:t>
      </w:r>
      <w:proofErr w:type="spellStart"/>
      <w:r w:rsidRPr="0023574F">
        <w:rPr>
          <w:rFonts w:cs="Times New Roman"/>
          <w:sz w:val="20"/>
          <w:szCs w:val="20"/>
          <w:lang w:bidi="ar-EG"/>
        </w:rPr>
        <w:t>Reuveni</w:t>
      </w:r>
      <w:proofErr w:type="spellEnd"/>
      <w:r w:rsidRPr="0023574F">
        <w:rPr>
          <w:rFonts w:cs="Times New Roman"/>
          <w:sz w:val="20"/>
          <w:szCs w:val="20"/>
          <w:lang w:bidi="ar-EG"/>
        </w:rPr>
        <w:t xml:space="preserve">, R. </w:t>
      </w:r>
      <w:r w:rsidRPr="0023574F">
        <w:rPr>
          <w:rFonts w:cs="Times New Roman"/>
          <w:bCs/>
          <w:sz w:val="20"/>
          <w:szCs w:val="20"/>
          <w:lang w:bidi="ar-EG"/>
        </w:rPr>
        <w:t>(1993).</w:t>
      </w:r>
      <w:r w:rsidR="00E97FA7">
        <w:rPr>
          <w:rFonts w:cs="Times New Roman"/>
          <w:bCs/>
          <w:sz w:val="20"/>
          <w:szCs w:val="20"/>
          <w:lang w:bidi="ar-EG"/>
        </w:rPr>
        <w:t xml:space="preserve"> </w:t>
      </w:r>
      <w:r w:rsidRPr="0023574F">
        <w:rPr>
          <w:rFonts w:cs="Times New Roman"/>
          <w:sz w:val="20"/>
          <w:szCs w:val="20"/>
          <w:lang w:bidi="ar-EG"/>
        </w:rPr>
        <w:t xml:space="preserve">Antifungal activity of volatile fractions of essential oils from four </w:t>
      </w:r>
      <w:r w:rsidRPr="0023574F">
        <w:rPr>
          <w:rFonts w:cs="Times New Roman"/>
          <w:sz w:val="20"/>
          <w:szCs w:val="20"/>
          <w:lang w:bidi="ar-EG"/>
        </w:rPr>
        <w:lastRenderedPageBreak/>
        <w:t>aromatic wild plants in Israel.</w:t>
      </w:r>
      <w:r w:rsidR="004048ED">
        <w:rPr>
          <w:rFonts w:cs="Times New Roman"/>
          <w:sz w:val="20"/>
          <w:szCs w:val="20"/>
          <w:lang w:bidi="ar-EG"/>
        </w:rPr>
        <w:t xml:space="preserve"> </w:t>
      </w:r>
      <w:r w:rsidRPr="0023574F">
        <w:rPr>
          <w:rFonts w:cs="Times New Roman"/>
          <w:sz w:val="20"/>
          <w:szCs w:val="20"/>
          <w:lang w:bidi="ar-EG"/>
        </w:rPr>
        <w:t>J. Chem. Ecol. 19: 1129 – 1133.</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r w:rsidRPr="0023574F">
        <w:rPr>
          <w:rFonts w:cs="Times New Roman"/>
          <w:sz w:val="20"/>
          <w:szCs w:val="20"/>
        </w:rPr>
        <w:t xml:space="preserve">Singh, K.; </w:t>
      </w:r>
      <w:proofErr w:type="spellStart"/>
      <w:r w:rsidRPr="0023574F">
        <w:rPr>
          <w:rFonts w:cs="Times New Roman"/>
          <w:sz w:val="20"/>
          <w:szCs w:val="20"/>
        </w:rPr>
        <w:t>Frisvad</w:t>
      </w:r>
      <w:proofErr w:type="spellEnd"/>
      <w:r w:rsidRPr="0023574F">
        <w:rPr>
          <w:rFonts w:cs="Times New Roman"/>
          <w:sz w:val="20"/>
          <w:szCs w:val="20"/>
        </w:rPr>
        <w:t xml:space="preserve">, J. C.; </w:t>
      </w:r>
      <w:proofErr w:type="spellStart"/>
      <w:r w:rsidRPr="0023574F">
        <w:rPr>
          <w:rFonts w:cs="Times New Roman"/>
          <w:sz w:val="20"/>
          <w:szCs w:val="20"/>
        </w:rPr>
        <w:t>Thrane</w:t>
      </w:r>
      <w:proofErr w:type="spellEnd"/>
      <w:r w:rsidRPr="0023574F">
        <w:rPr>
          <w:rFonts w:cs="Times New Roman"/>
          <w:sz w:val="20"/>
          <w:szCs w:val="20"/>
        </w:rPr>
        <w:t xml:space="preserve">, U. and </w:t>
      </w:r>
      <w:proofErr w:type="spellStart"/>
      <w:r w:rsidRPr="0023574F">
        <w:rPr>
          <w:rFonts w:cs="Times New Roman"/>
          <w:sz w:val="20"/>
          <w:szCs w:val="20"/>
        </w:rPr>
        <w:t>Mathur</w:t>
      </w:r>
      <w:proofErr w:type="spellEnd"/>
      <w:r w:rsidRPr="0023574F">
        <w:rPr>
          <w:rFonts w:cs="Times New Roman"/>
          <w:sz w:val="20"/>
          <w:szCs w:val="20"/>
        </w:rPr>
        <w:t xml:space="preserve">, S. B. </w:t>
      </w:r>
      <w:r w:rsidRPr="0023574F">
        <w:rPr>
          <w:rFonts w:cs="Times New Roman"/>
          <w:bCs/>
          <w:sz w:val="20"/>
          <w:szCs w:val="20"/>
        </w:rPr>
        <w:t>(1991).</w:t>
      </w:r>
      <w:r w:rsidRPr="0023574F">
        <w:rPr>
          <w:rFonts w:cs="Times New Roman"/>
          <w:sz w:val="20"/>
          <w:szCs w:val="20"/>
        </w:rPr>
        <w:t xml:space="preserve"> An Illustrated Manual on </w:t>
      </w:r>
      <w:proofErr w:type="spellStart"/>
      <w:r w:rsidRPr="0023574F">
        <w:rPr>
          <w:rFonts w:cs="Times New Roman"/>
          <w:sz w:val="20"/>
          <w:szCs w:val="20"/>
        </w:rPr>
        <w:t>Identiﬁcation</w:t>
      </w:r>
      <w:proofErr w:type="spellEnd"/>
      <w:r w:rsidRPr="0023574F">
        <w:rPr>
          <w:rFonts w:cs="Times New Roman"/>
          <w:sz w:val="20"/>
          <w:szCs w:val="20"/>
        </w:rPr>
        <w:t xml:space="preserve"> of Some Seed-borne </w:t>
      </w:r>
      <w:proofErr w:type="spellStart"/>
      <w:r w:rsidRPr="0023574F">
        <w:rPr>
          <w:rFonts w:cs="Times New Roman"/>
          <w:i/>
          <w:iCs/>
          <w:sz w:val="20"/>
          <w:szCs w:val="20"/>
        </w:rPr>
        <w:t>Aspergilli</w:t>
      </w:r>
      <w:proofErr w:type="spellEnd"/>
      <w:r w:rsidRPr="0023574F">
        <w:rPr>
          <w:rFonts w:cs="Times New Roman"/>
          <w:i/>
          <w:iCs/>
          <w:sz w:val="20"/>
          <w:szCs w:val="20"/>
        </w:rPr>
        <w:t xml:space="preserve">, </w:t>
      </w:r>
      <w:proofErr w:type="spellStart"/>
      <w:r w:rsidRPr="0023574F">
        <w:rPr>
          <w:rFonts w:cs="Times New Roman"/>
          <w:i/>
          <w:iCs/>
          <w:sz w:val="20"/>
          <w:szCs w:val="20"/>
        </w:rPr>
        <w:t>Fusaria</w:t>
      </w:r>
      <w:proofErr w:type="spellEnd"/>
      <w:r w:rsidRPr="0023574F">
        <w:rPr>
          <w:rFonts w:cs="Times New Roman"/>
          <w:i/>
          <w:iCs/>
          <w:sz w:val="20"/>
          <w:szCs w:val="20"/>
        </w:rPr>
        <w:t xml:space="preserve">, </w:t>
      </w:r>
      <w:proofErr w:type="spellStart"/>
      <w:r w:rsidRPr="0023574F">
        <w:rPr>
          <w:rFonts w:cs="Times New Roman"/>
          <w:i/>
          <w:iCs/>
          <w:sz w:val="20"/>
          <w:szCs w:val="20"/>
        </w:rPr>
        <w:t>Penicillia</w:t>
      </w:r>
      <w:proofErr w:type="spellEnd"/>
      <w:r w:rsidRPr="0023574F">
        <w:rPr>
          <w:rFonts w:cs="Times New Roman"/>
          <w:sz w:val="20"/>
          <w:szCs w:val="20"/>
        </w:rPr>
        <w:t xml:space="preserve"> and their </w:t>
      </w:r>
      <w:proofErr w:type="spellStart"/>
      <w:r w:rsidRPr="0023574F">
        <w:rPr>
          <w:rFonts w:cs="Times New Roman"/>
          <w:sz w:val="20"/>
          <w:szCs w:val="20"/>
        </w:rPr>
        <w:t>Mycotoxins</w:t>
      </w:r>
      <w:proofErr w:type="spellEnd"/>
      <w:r w:rsidRPr="0023574F">
        <w:rPr>
          <w:rFonts w:cs="Times New Roman"/>
          <w:sz w:val="20"/>
          <w:szCs w:val="20"/>
        </w:rPr>
        <w:t xml:space="preserve">. </w:t>
      </w:r>
      <w:proofErr w:type="spellStart"/>
      <w:r w:rsidRPr="0023574F">
        <w:rPr>
          <w:rFonts w:cs="Times New Roman"/>
          <w:sz w:val="20"/>
          <w:szCs w:val="20"/>
        </w:rPr>
        <w:t>Jordbrugsforlaget</w:t>
      </w:r>
      <w:proofErr w:type="spellEnd"/>
      <w:r w:rsidRPr="0023574F">
        <w:rPr>
          <w:rFonts w:cs="Times New Roman"/>
          <w:sz w:val="20"/>
          <w:szCs w:val="20"/>
        </w:rPr>
        <w:t>, Frederiksberg, Denmark.133 pp.</w:t>
      </w:r>
    </w:p>
    <w:p w:rsidR="005F1E9D" w:rsidRPr="0023574F" w:rsidRDefault="005F1E9D" w:rsidP="0023574F">
      <w:pPr>
        <w:pStyle w:val="ListParagraph"/>
        <w:numPr>
          <w:ilvl w:val="0"/>
          <w:numId w:val="21"/>
        </w:numPr>
        <w:bidi w:val="0"/>
        <w:snapToGrid w:val="0"/>
        <w:jc w:val="both"/>
        <w:rPr>
          <w:rFonts w:cs="Times New Roman"/>
          <w:sz w:val="20"/>
          <w:szCs w:val="20"/>
        </w:rPr>
      </w:pPr>
      <w:proofErr w:type="spellStart"/>
      <w:r w:rsidRPr="0023574F">
        <w:rPr>
          <w:rFonts w:cs="Times New Roman"/>
          <w:sz w:val="20"/>
          <w:szCs w:val="20"/>
        </w:rPr>
        <w:t>Sirot</w:t>
      </w:r>
      <w:proofErr w:type="spellEnd"/>
      <w:r w:rsidRPr="0023574F">
        <w:rPr>
          <w:rFonts w:cs="Times New Roman"/>
          <w:sz w:val="20"/>
          <w:szCs w:val="20"/>
        </w:rPr>
        <w:t xml:space="preserve">, J. </w:t>
      </w:r>
      <w:r w:rsidRPr="0023574F">
        <w:rPr>
          <w:rFonts w:cs="Times New Roman"/>
          <w:bCs/>
          <w:sz w:val="20"/>
          <w:szCs w:val="20"/>
        </w:rPr>
        <w:t>(1990).</w:t>
      </w:r>
      <w:r w:rsidR="00E97FA7">
        <w:rPr>
          <w:rFonts w:cs="Times New Roman"/>
          <w:bCs/>
          <w:sz w:val="20"/>
          <w:szCs w:val="20"/>
        </w:rPr>
        <w:t xml:space="preserve"> </w:t>
      </w:r>
      <w:proofErr w:type="spellStart"/>
      <w:r w:rsidRPr="0023574F">
        <w:rPr>
          <w:rFonts w:cs="Times New Roman"/>
          <w:sz w:val="20"/>
          <w:szCs w:val="20"/>
        </w:rPr>
        <w:t>Bactèriologie</w:t>
      </w:r>
      <w:proofErr w:type="spellEnd"/>
      <w:r w:rsidR="00E97FA7">
        <w:rPr>
          <w:rFonts w:cs="Times New Roman"/>
          <w:sz w:val="20"/>
          <w:szCs w:val="20"/>
        </w:rPr>
        <w:t xml:space="preserve"> </w:t>
      </w:r>
      <w:proofErr w:type="spellStart"/>
      <w:r w:rsidRPr="0023574F">
        <w:rPr>
          <w:rFonts w:cs="Times New Roman"/>
          <w:sz w:val="20"/>
          <w:szCs w:val="20"/>
        </w:rPr>
        <w:t>Mèdicale</w:t>
      </w:r>
      <w:proofErr w:type="spellEnd"/>
      <w:r w:rsidRPr="0023574F">
        <w:rPr>
          <w:rFonts w:cs="Times New Roman"/>
          <w:sz w:val="20"/>
          <w:szCs w:val="20"/>
        </w:rPr>
        <w:t xml:space="preserve">, 2nd Ed., Edits. L. Le Minor and M. </w:t>
      </w:r>
      <w:proofErr w:type="spellStart"/>
      <w:r w:rsidRPr="0023574F">
        <w:rPr>
          <w:rFonts w:cs="Times New Roman"/>
          <w:sz w:val="20"/>
          <w:szCs w:val="20"/>
        </w:rPr>
        <w:t>Vèron</w:t>
      </w:r>
      <w:proofErr w:type="spellEnd"/>
      <w:r w:rsidRPr="0023574F">
        <w:rPr>
          <w:rFonts w:cs="Times New Roman"/>
          <w:sz w:val="20"/>
          <w:szCs w:val="20"/>
        </w:rPr>
        <w:t>, pp. 303, Paris.</w:t>
      </w:r>
    </w:p>
    <w:p w:rsidR="005F1E9D" w:rsidRPr="0023574F" w:rsidRDefault="005F1E9D" w:rsidP="0023574F">
      <w:pPr>
        <w:pStyle w:val="ListParagraph"/>
        <w:numPr>
          <w:ilvl w:val="0"/>
          <w:numId w:val="21"/>
        </w:numPr>
        <w:bidi w:val="0"/>
        <w:snapToGrid w:val="0"/>
        <w:jc w:val="both"/>
        <w:rPr>
          <w:rFonts w:cs="Times New Roman"/>
          <w:sz w:val="20"/>
          <w:szCs w:val="20"/>
        </w:rPr>
      </w:pPr>
      <w:r w:rsidRPr="0023574F">
        <w:rPr>
          <w:rFonts w:cs="Times New Roman"/>
          <w:sz w:val="20"/>
          <w:szCs w:val="20"/>
        </w:rPr>
        <w:t xml:space="preserve">Steffens, J. J.; Pell, E. J. and </w:t>
      </w:r>
      <w:proofErr w:type="spellStart"/>
      <w:r w:rsidRPr="0023574F">
        <w:rPr>
          <w:rFonts w:cs="Times New Roman"/>
          <w:sz w:val="20"/>
          <w:szCs w:val="20"/>
        </w:rPr>
        <w:t>Tien</w:t>
      </w:r>
      <w:proofErr w:type="spellEnd"/>
      <w:r w:rsidRPr="0023574F">
        <w:rPr>
          <w:rFonts w:cs="Times New Roman"/>
          <w:sz w:val="20"/>
          <w:szCs w:val="20"/>
        </w:rPr>
        <w:t xml:space="preserve">, M., </w:t>
      </w:r>
      <w:r w:rsidRPr="0023574F">
        <w:rPr>
          <w:rFonts w:cs="Times New Roman"/>
          <w:bCs/>
          <w:sz w:val="20"/>
          <w:szCs w:val="20"/>
        </w:rPr>
        <w:t>(1996).</w:t>
      </w:r>
      <w:r w:rsidR="00E97FA7">
        <w:rPr>
          <w:rFonts w:cs="Times New Roman"/>
          <w:bCs/>
          <w:sz w:val="20"/>
          <w:szCs w:val="20"/>
        </w:rPr>
        <w:t xml:space="preserve"> </w:t>
      </w:r>
      <w:r w:rsidRPr="0023574F">
        <w:rPr>
          <w:rFonts w:cs="Times New Roman"/>
          <w:sz w:val="20"/>
          <w:szCs w:val="20"/>
        </w:rPr>
        <w:t xml:space="preserve">Mechanisms of fungicide resistance in </w:t>
      </w:r>
      <w:proofErr w:type="spellStart"/>
      <w:r w:rsidRPr="0023574F">
        <w:rPr>
          <w:rFonts w:cs="Times New Roman"/>
          <w:sz w:val="20"/>
          <w:szCs w:val="20"/>
        </w:rPr>
        <w:t>phytopathogenic</w:t>
      </w:r>
      <w:proofErr w:type="spellEnd"/>
      <w:r w:rsidRPr="0023574F">
        <w:rPr>
          <w:rFonts w:cs="Times New Roman"/>
          <w:sz w:val="20"/>
          <w:szCs w:val="20"/>
        </w:rPr>
        <w:t xml:space="preserve"> fungi.</w:t>
      </w:r>
      <w:r w:rsidR="00E97FA7">
        <w:rPr>
          <w:rFonts w:cs="Times New Roman"/>
          <w:sz w:val="20"/>
          <w:szCs w:val="20"/>
        </w:rPr>
        <w:t xml:space="preserve"> </w:t>
      </w:r>
      <w:proofErr w:type="spellStart"/>
      <w:r w:rsidRPr="0023574F">
        <w:rPr>
          <w:rFonts w:cs="Times New Roman"/>
          <w:sz w:val="20"/>
          <w:szCs w:val="20"/>
        </w:rPr>
        <w:t>Curr</w:t>
      </w:r>
      <w:proofErr w:type="spellEnd"/>
      <w:r w:rsidRPr="0023574F">
        <w:rPr>
          <w:rFonts w:cs="Times New Roman"/>
          <w:sz w:val="20"/>
          <w:szCs w:val="20"/>
        </w:rPr>
        <w:t>.</w:t>
      </w:r>
      <w:r w:rsidR="00E97FA7">
        <w:rPr>
          <w:rFonts w:cs="Times New Roman"/>
          <w:sz w:val="20"/>
          <w:szCs w:val="20"/>
        </w:rPr>
        <w:t xml:space="preserve"> </w:t>
      </w:r>
      <w:proofErr w:type="spellStart"/>
      <w:r w:rsidRPr="0023574F">
        <w:rPr>
          <w:rFonts w:cs="Times New Roman"/>
          <w:sz w:val="20"/>
          <w:szCs w:val="20"/>
        </w:rPr>
        <w:t>Opin</w:t>
      </w:r>
      <w:proofErr w:type="spellEnd"/>
      <w:r w:rsidRPr="0023574F">
        <w:rPr>
          <w:rFonts w:cs="Times New Roman"/>
          <w:sz w:val="20"/>
          <w:szCs w:val="20"/>
        </w:rPr>
        <w:t>.</w:t>
      </w:r>
      <w:r w:rsidR="00E97FA7">
        <w:rPr>
          <w:rFonts w:cs="Times New Roman"/>
          <w:sz w:val="20"/>
          <w:szCs w:val="20"/>
        </w:rPr>
        <w:t xml:space="preserve"> </w:t>
      </w:r>
      <w:proofErr w:type="spellStart"/>
      <w:r w:rsidRPr="0023574F">
        <w:rPr>
          <w:rFonts w:cs="Times New Roman"/>
          <w:sz w:val="20"/>
          <w:szCs w:val="20"/>
        </w:rPr>
        <w:t>Biotechnol</w:t>
      </w:r>
      <w:proofErr w:type="spellEnd"/>
      <w:r w:rsidRPr="0023574F">
        <w:rPr>
          <w:rFonts w:cs="Times New Roman"/>
          <w:sz w:val="20"/>
          <w:szCs w:val="20"/>
        </w:rPr>
        <w:t>. 7, 348–355.</w:t>
      </w:r>
    </w:p>
    <w:p w:rsidR="005F1E9D" w:rsidRPr="0023574F" w:rsidRDefault="005F1E9D" w:rsidP="0023574F">
      <w:pPr>
        <w:pStyle w:val="BodyText2"/>
        <w:numPr>
          <w:ilvl w:val="0"/>
          <w:numId w:val="21"/>
        </w:numPr>
        <w:bidi w:val="0"/>
        <w:snapToGrid w:val="0"/>
        <w:spacing w:after="0" w:line="240" w:lineRule="auto"/>
        <w:jc w:val="both"/>
        <w:rPr>
          <w:sz w:val="20"/>
          <w:szCs w:val="20"/>
        </w:rPr>
      </w:pPr>
      <w:r w:rsidRPr="0023574F">
        <w:rPr>
          <w:bCs/>
          <w:sz w:val="20"/>
          <w:szCs w:val="20"/>
        </w:rPr>
        <w:t xml:space="preserve">Sun, Y. P. </w:t>
      </w:r>
      <w:r w:rsidRPr="0023574F">
        <w:rPr>
          <w:sz w:val="20"/>
          <w:szCs w:val="20"/>
        </w:rPr>
        <w:t>(1950): Toxicity Index and improved method of comparing the relative toxicity of insecticides.</w:t>
      </w:r>
      <w:r w:rsidRPr="0023574F">
        <w:rPr>
          <w:iCs/>
          <w:sz w:val="20"/>
          <w:szCs w:val="20"/>
        </w:rPr>
        <w:t xml:space="preserve"> J. Econ. Entom., 43: 45 – 53</w:t>
      </w:r>
      <w:r w:rsidRPr="0023574F">
        <w:rPr>
          <w:sz w:val="20"/>
          <w:szCs w:val="20"/>
        </w:rPr>
        <w:t>.</w:t>
      </w:r>
    </w:p>
    <w:p w:rsidR="005F1E9D" w:rsidRPr="0023574F" w:rsidRDefault="005F1E9D" w:rsidP="0023574F">
      <w:pPr>
        <w:pStyle w:val="ListParagraph"/>
        <w:numPr>
          <w:ilvl w:val="0"/>
          <w:numId w:val="21"/>
        </w:numPr>
        <w:autoSpaceDE w:val="0"/>
        <w:autoSpaceDN w:val="0"/>
        <w:bidi w:val="0"/>
        <w:adjustRightInd w:val="0"/>
        <w:snapToGrid w:val="0"/>
        <w:jc w:val="both"/>
        <w:rPr>
          <w:rFonts w:cs="Times New Roman"/>
          <w:sz w:val="20"/>
          <w:szCs w:val="20"/>
        </w:rPr>
      </w:pPr>
      <w:proofErr w:type="spellStart"/>
      <w:r w:rsidRPr="0023574F">
        <w:rPr>
          <w:rFonts w:cs="Times New Roman"/>
          <w:sz w:val="20"/>
          <w:szCs w:val="20"/>
        </w:rPr>
        <w:t>Sztejnberg</w:t>
      </w:r>
      <w:proofErr w:type="spellEnd"/>
      <w:r w:rsidRPr="0023574F">
        <w:rPr>
          <w:rFonts w:cs="Times New Roman"/>
          <w:sz w:val="20"/>
          <w:szCs w:val="20"/>
        </w:rPr>
        <w:t xml:space="preserve">, A. H.; </w:t>
      </w:r>
      <w:proofErr w:type="spellStart"/>
      <w:r w:rsidRPr="0023574F">
        <w:rPr>
          <w:rFonts w:cs="Times New Roman"/>
          <w:sz w:val="20"/>
          <w:szCs w:val="20"/>
        </w:rPr>
        <w:t>Azaizi</w:t>
      </w:r>
      <w:proofErr w:type="spellEnd"/>
      <w:r w:rsidRPr="0023574F">
        <w:rPr>
          <w:rFonts w:cs="Times New Roman"/>
          <w:sz w:val="20"/>
          <w:szCs w:val="20"/>
        </w:rPr>
        <w:t xml:space="preserve">, I and Chet </w:t>
      </w:r>
      <w:r w:rsidRPr="0023574F">
        <w:rPr>
          <w:rFonts w:cs="Times New Roman"/>
          <w:bCs/>
          <w:sz w:val="20"/>
          <w:szCs w:val="20"/>
        </w:rPr>
        <w:t>(1983).</w:t>
      </w:r>
      <w:r w:rsidR="00E97FA7">
        <w:rPr>
          <w:rFonts w:cs="Times New Roman"/>
          <w:bCs/>
          <w:sz w:val="20"/>
          <w:szCs w:val="20"/>
        </w:rPr>
        <w:t xml:space="preserve"> </w:t>
      </w:r>
      <w:r w:rsidRPr="0023574F">
        <w:rPr>
          <w:rFonts w:cs="Times New Roman"/>
          <w:sz w:val="20"/>
          <w:szCs w:val="20"/>
        </w:rPr>
        <w:t xml:space="preserve">The possible role of </w:t>
      </w:r>
      <w:proofErr w:type="spellStart"/>
      <w:r w:rsidRPr="0023574F">
        <w:rPr>
          <w:rFonts w:cs="Times New Roman"/>
          <w:sz w:val="20"/>
          <w:szCs w:val="20"/>
        </w:rPr>
        <w:t>phenolic</w:t>
      </w:r>
      <w:proofErr w:type="spellEnd"/>
      <w:r w:rsidRPr="0023574F">
        <w:rPr>
          <w:rFonts w:cs="Times New Roman"/>
          <w:sz w:val="20"/>
          <w:szCs w:val="20"/>
        </w:rPr>
        <w:t xml:space="preserve"> compounds in resistance of horticultural crops to </w:t>
      </w:r>
      <w:proofErr w:type="spellStart"/>
      <w:r w:rsidRPr="0023574F">
        <w:rPr>
          <w:rFonts w:cs="Times New Roman"/>
          <w:i/>
          <w:iCs/>
          <w:sz w:val="20"/>
          <w:szCs w:val="20"/>
        </w:rPr>
        <w:t>Dematophtoranecatrix</w:t>
      </w:r>
      <w:proofErr w:type="spellEnd"/>
      <w:r w:rsidR="00E97FA7">
        <w:rPr>
          <w:rFonts w:cs="Times New Roman"/>
          <w:i/>
          <w:iCs/>
          <w:sz w:val="20"/>
          <w:szCs w:val="20"/>
        </w:rPr>
        <w:t xml:space="preserve"> </w:t>
      </w:r>
      <w:proofErr w:type="spellStart"/>
      <w:r w:rsidRPr="0023574F">
        <w:rPr>
          <w:rFonts w:cs="Times New Roman"/>
          <w:sz w:val="20"/>
          <w:szCs w:val="20"/>
        </w:rPr>
        <w:t>Hartig</w:t>
      </w:r>
      <w:proofErr w:type="spellEnd"/>
      <w:r w:rsidRPr="0023574F">
        <w:rPr>
          <w:rFonts w:cs="Times New Roman"/>
          <w:sz w:val="20"/>
          <w:szCs w:val="20"/>
        </w:rPr>
        <w:t>.</w:t>
      </w:r>
      <w:r w:rsidR="00E97FA7">
        <w:rPr>
          <w:rFonts w:cs="Times New Roman"/>
          <w:sz w:val="20"/>
          <w:szCs w:val="20"/>
        </w:rPr>
        <w:t xml:space="preserve"> </w:t>
      </w:r>
      <w:proofErr w:type="spellStart"/>
      <w:r w:rsidRPr="0023574F">
        <w:rPr>
          <w:rFonts w:cs="Times New Roman"/>
          <w:sz w:val="20"/>
          <w:szCs w:val="20"/>
        </w:rPr>
        <w:t>Phytopath</w:t>
      </w:r>
      <w:proofErr w:type="spellEnd"/>
      <w:r w:rsidRPr="0023574F">
        <w:rPr>
          <w:rFonts w:cs="Times New Roman"/>
          <w:sz w:val="20"/>
          <w:szCs w:val="20"/>
        </w:rPr>
        <w:t>.</w:t>
      </w:r>
      <w:r w:rsidR="004048ED">
        <w:rPr>
          <w:rFonts w:cs="Times New Roman"/>
          <w:sz w:val="20"/>
          <w:szCs w:val="20"/>
        </w:rPr>
        <w:t xml:space="preserve"> </w:t>
      </w:r>
      <w:r w:rsidRPr="0023574F">
        <w:rPr>
          <w:rFonts w:cs="Times New Roman"/>
          <w:sz w:val="20"/>
          <w:szCs w:val="20"/>
        </w:rPr>
        <w:t>Z. 107: 318 – 326.</w:t>
      </w:r>
    </w:p>
    <w:p w:rsidR="005F1E9D" w:rsidRPr="0023574F" w:rsidRDefault="005F1E9D" w:rsidP="0023574F">
      <w:pPr>
        <w:pStyle w:val="ListParagraph"/>
        <w:numPr>
          <w:ilvl w:val="0"/>
          <w:numId w:val="21"/>
        </w:numPr>
        <w:bidi w:val="0"/>
        <w:snapToGrid w:val="0"/>
        <w:jc w:val="both"/>
        <w:rPr>
          <w:rFonts w:cs="Times New Roman"/>
          <w:sz w:val="20"/>
          <w:szCs w:val="20"/>
        </w:rPr>
      </w:pPr>
      <w:r w:rsidRPr="0023574F">
        <w:rPr>
          <w:rFonts w:cs="Times New Roman"/>
          <w:sz w:val="20"/>
          <w:szCs w:val="20"/>
        </w:rPr>
        <w:t xml:space="preserve">Williams, J. G. K.; </w:t>
      </w:r>
      <w:proofErr w:type="spellStart"/>
      <w:r w:rsidRPr="0023574F">
        <w:rPr>
          <w:rFonts w:cs="Times New Roman"/>
          <w:sz w:val="20"/>
          <w:szCs w:val="20"/>
        </w:rPr>
        <w:t>Kubelik</w:t>
      </w:r>
      <w:proofErr w:type="spellEnd"/>
      <w:r w:rsidRPr="0023574F">
        <w:rPr>
          <w:rFonts w:cs="Times New Roman"/>
          <w:sz w:val="20"/>
          <w:szCs w:val="20"/>
        </w:rPr>
        <w:t xml:space="preserve">, A. R.; </w:t>
      </w:r>
      <w:proofErr w:type="spellStart"/>
      <w:r w:rsidRPr="0023574F">
        <w:rPr>
          <w:rFonts w:cs="Times New Roman"/>
          <w:sz w:val="20"/>
          <w:szCs w:val="20"/>
        </w:rPr>
        <w:t>Livark</w:t>
      </w:r>
      <w:proofErr w:type="spellEnd"/>
      <w:r w:rsidRPr="0023574F">
        <w:rPr>
          <w:rFonts w:cs="Times New Roman"/>
          <w:sz w:val="20"/>
          <w:szCs w:val="20"/>
        </w:rPr>
        <w:t xml:space="preserve">, K. J.; </w:t>
      </w:r>
      <w:proofErr w:type="spellStart"/>
      <w:r w:rsidRPr="0023574F">
        <w:rPr>
          <w:rFonts w:cs="Times New Roman"/>
          <w:sz w:val="20"/>
          <w:szCs w:val="20"/>
        </w:rPr>
        <w:t>Rafalsk</w:t>
      </w:r>
      <w:proofErr w:type="spellEnd"/>
      <w:r w:rsidRPr="0023574F">
        <w:rPr>
          <w:rFonts w:cs="Times New Roman"/>
          <w:sz w:val="20"/>
          <w:szCs w:val="20"/>
        </w:rPr>
        <w:t xml:space="preserve">, J. A. and </w:t>
      </w:r>
      <w:proofErr w:type="spellStart"/>
      <w:r w:rsidRPr="0023574F">
        <w:rPr>
          <w:rFonts w:cs="Times New Roman"/>
          <w:sz w:val="20"/>
          <w:szCs w:val="20"/>
        </w:rPr>
        <w:t>Tingey</w:t>
      </w:r>
      <w:proofErr w:type="spellEnd"/>
      <w:r w:rsidRPr="0023574F">
        <w:rPr>
          <w:rFonts w:cs="Times New Roman"/>
          <w:sz w:val="20"/>
          <w:szCs w:val="20"/>
        </w:rPr>
        <w:t xml:space="preserve">, S. V. </w:t>
      </w:r>
      <w:r w:rsidRPr="0023574F">
        <w:rPr>
          <w:rFonts w:cs="Times New Roman"/>
          <w:bCs/>
          <w:sz w:val="20"/>
          <w:szCs w:val="20"/>
        </w:rPr>
        <w:t>(1990)</w:t>
      </w:r>
      <w:r w:rsidRPr="0023574F">
        <w:rPr>
          <w:rFonts w:cs="Times New Roman"/>
          <w:sz w:val="20"/>
          <w:szCs w:val="20"/>
        </w:rPr>
        <w:t>.</w:t>
      </w:r>
      <w:r w:rsidR="004048ED">
        <w:rPr>
          <w:rFonts w:cs="Times New Roman"/>
          <w:sz w:val="20"/>
          <w:szCs w:val="20"/>
        </w:rPr>
        <w:t xml:space="preserve"> </w:t>
      </w:r>
      <w:r w:rsidRPr="0023574F">
        <w:rPr>
          <w:rFonts w:cs="Times New Roman"/>
          <w:sz w:val="20"/>
          <w:szCs w:val="20"/>
        </w:rPr>
        <w:t>DNA polymorphisms amplified by arbitrary primers are useful as genetic markers.</w:t>
      </w:r>
      <w:r w:rsidR="004048ED">
        <w:rPr>
          <w:rFonts w:cs="Times New Roman"/>
          <w:sz w:val="20"/>
          <w:szCs w:val="20"/>
        </w:rPr>
        <w:t xml:space="preserve"> </w:t>
      </w:r>
      <w:r w:rsidRPr="0023574F">
        <w:rPr>
          <w:rFonts w:cs="Times New Roman"/>
          <w:sz w:val="20"/>
          <w:szCs w:val="20"/>
        </w:rPr>
        <w:t>Nucleic Acid Research, 18: 6531 – 6535.</w:t>
      </w:r>
    </w:p>
    <w:p w:rsidR="005F1E9D" w:rsidRPr="0023574F" w:rsidRDefault="005F1E9D" w:rsidP="0023574F">
      <w:pPr>
        <w:pStyle w:val="ListParagraph"/>
        <w:numPr>
          <w:ilvl w:val="0"/>
          <w:numId w:val="21"/>
        </w:numPr>
        <w:bidi w:val="0"/>
        <w:snapToGrid w:val="0"/>
        <w:jc w:val="both"/>
        <w:rPr>
          <w:rFonts w:cs="Times New Roman"/>
          <w:sz w:val="20"/>
          <w:szCs w:val="20"/>
        </w:rPr>
      </w:pPr>
      <w:r w:rsidRPr="0023574F">
        <w:rPr>
          <w:rFonts w:cs="Times New Roman"/>
          <w:sz w:val="20"/>
          <w:szCs w:val="20"/>
        </w:rPr>
        <w:t xml:space="preserve">Yen, T.; Chang, H.; Hsieh, C. and Chang, S., </w:t>
      </w:r>
      <w:r w:rsidRPr="0023574F">
        <w:rPr>
          <w:rFonts w:cs="Times New Roman"/>
          <w:bCs/>
          <w:sz w:val="20"/>
          <w:szCs w:val="20"/>
        </w:rPr>
        <w:t>(2008).</w:t>
      </w:r>
      <w:r w:rsidR="00E97FA7">
        <w:rPr>
          <w:rFonts w:cs="Times New Roman"/>
          <w:bCs/>
          <w:sz w:val="20"/>
          <w:szCs w:val="20"/>
        </w:rPr>
        <w:t xml:space="preserve"> </w:t>
      </w:r>
      <w:r w:rsidRPr="0023574F">
        <w:rPr>
          <w:rFonts w:cs="Times New Roman"/>
          <w:sz w:val="20"/>
          <w:szCs w:val="20"/>
        </w:rPr>
        <w:t xml:space="preserve">Antifungal properties of </w:t>
      </w:r>
      <w:proofErr w:type="spellStart"/>
      <w:r w:rsidRPr="0023574F">
        <w:rPr>
          <w:rFonts w:cs="Times New Roman"/>
          <w:sz w:val="20"/>
          <w:szCs w:val="20"/>
        </w:rPr>
        <w:t>ethanolic</w:t>
      </w:r>
      <w:proofErr w:type="spellEnd"/>
      <w:r w:rsidRPr="0023574F">
        <w:rPr>
          <w:rFonts w:cs="Times New Roman"/>
          <w:sz w:val="20"/>
          <w:szCs w:val="20"/>
        </w:rPr>
        <w:t xml:space="preserve"> extract and its active compounds from </w:t>
      </w:r>
      <w:proofErr w:type="spellStart"/>
      <w:r w:rsidRPr="0023574F">
        <w:rPr>
          <w:rFonts w:cs="Times New Roman"/>
          <w:i/>
          <w:iCs/>
          <w:sz w:val="20"/>
          <w:szCs w:val="20"/>
        </w:rPr>
        <w:t>Calocedrusmacrolepis</w:t>
      </w:r>
      <w:proofErr w:type="spellEnd"/>
      <w:r w:rsidRPr="0023574F">
        <w:rPr>
          <w:rFonts w:cs="Times New Roman"/>
          <w:sz w:val="20"/>
          <w:szCs w:val="20"/>
        </w:rPr>
        <w:t xml:space="preserve"> var. </w:t>
      </w:r>
      <w:proofErr w:type="spellStart"/>
      <w:r w:rsidRPr="0023574F">
        <w:rPr>
          <w:rFonts w:cs="Times New Roman"/>
          <w:i/>
          <w:iCs/>
          <w:sz w:val="20"/>
          <w:szCs w:val="20"/>
        </w:rPr>
        <w:t>formosana</w:t>
      </w:r>
      <w:proofErr w:type="spellEnd"/>
      <w:r w:rsidRPr="0023574F">
        <w:rPr>
          <w:rFonts w:cs="Times New Roman"/>
          <w:sz w:val="20"/>
          <w:szCs w:val="20"/>
        </w:rPr>
        <w:t xml:space="preserve"> (Florin) heartwood.</w:t>
      </w:r>
      <w:r w:rsidR="004048ED">
        <w:rPr>
          <w:rFonts w:cs="Times New Roman"/>
          <w:sz w:val="20"/>
          <w:szCs w:val="20"/>
        </w:rPr>
        <w:t xml:space="preserve"> </w:t>
      </w:r>
      <w:proofErr w:type="spellStart"/>
      <w:r w:rsidRPr="0023574F">
        <w:rPr>
          <w:rFonts w:cs="Times New Roman"/>
          <w:sz w:val="20"/>
          <w:szCs w:val="20"/>
        </w:rPr>
        <w:t>Bioresour.Technol</w:t>
      </w:r>
      <w:proofErr w:type="spellEnd"/>
      <w:r w:rsidRPr="0023574F">
        <w:rPr>
          <w:rFonts w:cs="Times New Roman"/>
          <w:sz w:val="20"/>
          <w:szCs w:val="20"/>
        </w:rPr>
        <w:t>. 99, 4871–4877.</w:t>
      </w:r>
    </w:p>
    <w:p w:rsidR="00F22B32" w:rsidRPr="0023574F" w:rsidRDefault="00F22B32" w:rsidP="0023574F">
      <w:pPr>
        <w:pStyle w:val="ListParagraph"/>
        <w:numPr>
          <w:ilvl w:val="0"/>
          <w:numId w:val="21"/>
        </w:numPr>
        <w:tabs>
          <w:tab w:val="left" w:pos="567"/>
        </w:tabs>
        <w:autoSpaceDE w:val="0"/>
        <w:autoSpaceDN w:val="0"/>
        <w:bidi w:val="0"/>
        <w:adjustRightInd w:val="0"/>
        <w:snapToGrid w:val="0"/>
        <w:jc w:val="both"/>
        <w:rPr>
          <w:rFonts w:cs="Times New Roman"/>
          <w:sz w:val="20"/>
          <w:szCs w:val="20"/>
          <w:lang w:bidi="ar-EG"/>
        </w:rPr>
      </w:pPr>
      <w:proofErr w:type="spellStart"/>
      <w:r w:rsidRPr="0023574F">
        <w:rPr>
          <w:rFonts w:cs="Times New Roman"/>
          <w:sz w:val="20"/>
          <w:szCs w:val="20"/>
          <w:lang w:bidi="ar-EG"/>
        </w:rPr>
        <w:t>Zygadlo</w:t>
      </w:r>
      <w:proofErr w:type="spellEnd"/>
      <w:r w:rsidRPr="0023574F">
        <w:rPr>
          <w:rFonts w:cs="Times New Roman"/>
          <w:sz w:val="20"/>
          <w:szCs w:val="20"/>
          <w:lang w:bidi="ar-EG"/>
        </w:rPr>
        <w:t xml:space="preserve">, J. A.; Guzman, C. A. and </w:t>
      </w:r>
      <w:proofErr w:type="spellStart"/>
      <w:r w:rsidRPr="0023574F">
        <w:rPr>
          <w:rFonts w:cs="Times New Roman"/>
          <w:sz w:val="20"/>
          <w:szCs w:val="20"/>
          <w:lang w:bidi="ar-EG"/>
        </w:rPr>
        <w:t>Grosso</w:t>
      </w:r>
      <w:proofErr w:type="spellEnd"/>
      <w:r w:rsidRPr="0023574F">
        <w:rPr>
          <w:rFonts w:cs="Times New Roman"/>
          <w:sz w:val="20"/>
          <w:szCs w:val="20"/>
          <w:lang w:bidi="ar-EG"/>
        </w:rPr>
        <w:t xml:space="preserve">, N. R. </w:t>
      </w:r>
      <w:r w:rsidRPr="0023574F">
        <w:rPr>
          <w:rFonts w:cs="Times New Roman"/>
          <w:bCs/>
          <w:sz w:val="20"/>
          <w:szCs w:val="20"/>
          <w:lang w:bidi="ar-EG"/>
        </w:rPr>
        <w:t>(1994).</w:t>
      </w:r>
      <w:r w:rsidR="004048ED">
        <w:rPr>
          <w:rFonts w:cs="Times New Roman"/>
          <w:sz w:val="20"/>
          <w:szCs w:val="20"/>
          <w:lang w:bidi="ar-EG"/>
        </w:rPr>
        <w:t xml:space="preserve"> </w:t>
      </w:r>
      <w:r w:rsidRPr="0023574F">
        <w:rPr>
          <w:rFonts w:cs="Times New Roman"/>
          <w:sz w:val="20"/>
          <w:szCs w:val="20"/>
          <w:lang w:bidi="ar-EG"/>
        </w:rPr>
        <w:t xml:space="preserve">Antifungal properties of the leaf oil of </w:t>
      </w:r>
      <w:proofErr w:type="spellStart"/>
      <w:r w:rsidRPr="0023574F">
        <w:rPr>
          <w:rFonts w:cs="Times New Roman"/>
          <w:i/>
          <w:iCs/>
          <w:sz w:val="20"/>
          <w:szCs w:val="20"/>
          <w:lang w:bidi="ar-EG"/>
        </w:rPr>
        <w:t>Tagetesminula</w:t>
      </w:r>
      <w:proofErr w:type="spellEnd"/>
      <w:r w:rsidR="00E97FA7">
        <w:rPr>
          <w:rFonts w:cs="Times New Roman"/>
          <w:i/>
          <w:iCs/>
          <w:sz w:val="20"/>
          <w:szCs w:val="20"/>
          <w:lang w:bidi="ar-EG"/>
        </w:rPr>
        <w:t xml:space="preserve"> </w:t>
      </w:r>
      <w:r w:rsidRPr="0023574F">
        <w:rPr>
          <w:rFonts w:cs="Times New Roman"/>
          <w:sz w:val="20"/>
          <w:szCs w:val="20"/>
          <w:lang w:bidi="ar-EG"/>
        </w:rPr>
        <w:t xml:space="preserve">and </w:t>
      </w:r>
      <w:proofErr w:type="spellStart"/>
      <w:r w:rsidRPr="0023574F">
        <w:rPr>
          <w:rFonts w:cs="Times New Roman"/>
          <w:i/>
          <w:iCs/>
          <w:sz w:val="20"/>
          <w:szCs w:val="20"/>
          <w:lang w:bidi="ar-EG"/>
        </w:rPr>
        <w:t>Tagetsfilifolia</w:t>
      </w:r>
      <w:proofErr w:type="spellEnd"/>
      <w:r w:rsidR="00E97FA7">
        <w:rPr>
          <w:rFonts w:cs="Times New Roman"/>
          <w:i/>
          <w:iCs/>
          <w:sz w:val="20"/>
          <w:szCs w:val="20"/>
          <w:lang w:bidi="ar-EG"/>
        </w:rPr>
        <w:t xml:space="preserve"> </w:t>
      </w:r>
      <w:r w:rsidRPr="0023574F">
        <w:rPr>
          <w:rFonts w:cs="Times New Roman"/>
          <w:sz w:val="20"/>
          <w:szCs w:val="20"/>
          <w:lang w:bidi="ar-EG"/>
        </w:rPr>
        <w:t xml:space="preserve">Lag. J. </w:t>
      </w:r>
      <w:proofErr w:type="spellStart"/>
      <w:r w:rsidRPr="0023574F">
        <w:rPr>
          <w:rFonts w:cs="Times New Roman"/>
          <w:sz w:val="20"/>
          <w:szCs w:val="20"/>
          <w:lang w:bidi="ar-EG"/>
        </w:rPr>
        <w:t>Essent</w:t>
      </w:r>
      <w:proofErr w:type="spellEnd"/>
      <w:r w:rsidRPr="0023574F">
        <w:rPr>
          <w:rFonts w:cs="Times New Roman"/>
          <w:sz w:val="20"/>
          <w:szCs w:val="20"/>
          <w:lang w:bidi="ar-EG"/>
        </w:rPr>
        <w:t>. Oil Res. 6: 617 – 621.</w:t>
      </w:r>
    </w:p>
    <w:p w:rsidR="0023574F" w:rsidRPr="004048ED" w:rsidRDefault="005F1E9D" w:rsidP="0023574F">
      <w:pPr>
        <w:pStyle w:val="ListParagraph"/>
        <w:numPr>
          <w:ilvl w:val="0"/>
          <w:numId w:val="21"/>
        </w:numPr>
        <w:tabs>
          <w:tab w:val="left" w:pos="567"/>
        </w:tabs>
        <w:autoSpaceDE w:val="0"/>
        <w:autoSpaceDN w:val="0"/>
        <w:bidi w:val="0"/>
        <w:adjustRightInd w:val="0"/>
        <w:snapToGrid w:val="0"/>
        <w:ind w:left="425" w:hanging="425"/>
        <w:jc w:val="both"/>
        <w:rPr>
          <w:sz w:val="20"/>
          <w:szCs w:val="20"/>
        </w:rPr>
      </w:pPr>
      <w:proofErr w:type="spellStart"/>
      <w:r w:rsidRPr="004048ED">
        <w:rPr>
          <w:rFonts w:cs="Times New Roman"/>
          <w:sz w:val="20"/>
          <w:szCs w:val="20"/>
          <w:lang w:bidi="ar-EG"/>
        </w:rPr>
        <w:t>Zygadlo</w:t>
      </w:r>
      <w:proofErr w:type="spellEnd"/>
      <w:r w:rsidRPr="004048ED">
        <w:rPr>
          <w:rFonts w:cs="Times New Roman"/>
          <w:sz w:val="20"/>
          <w:szCs w:val="20"/>
          <w:lang w:bidi="ar-EG"/>
        </w:rPr>
        <w:t xml:space="preserve">, J. A. and </w:t>
      </w:r>
      <w:proofErr w:type="spellStart"/>
      <w:r w:rsidRPr="004048ED">
        <w:rPr>
          <w:rFonts w:cs="Times New Roman"/>
          <w:sz w:val="20"/>
          <w:szCs w:val="20"/>
          <w:lang w:bidi="ar-EG"/>
        </w:rPr>
        <w:t>Grosso</w:t>
      </w:r>
      <w:proofErr w:type="spellEnd"/>
      <w:r w:rsidRPr="004048ED">
        <w:rPr>
          <w:rFonts w:cs="Times New Roman"/>
          <w:sz w:val="20"/>
          <w:szCs w:val="20"/>
          <w:lang w:bidi="ar-EG"/>
        </w:rPr>
        <w:t xml:space="preserve">, N. R. </w:t>
      </w:r>
      <w:r w:rsidRPr="004048ED">
        <w:rPr>
          <w:rFonts w:cs="Times New Roman"/>
          <w:bCs/>
          <w:sz w:val="20"/>
          <w:szCs w:val="20"/>
          <w:lang w:bidi="ar-EG"/>
        </w:rPr>
        <w:t>(1995).</w:t>
      </w:r>
      <w:r w:rsidR="004048ED">
        <w:rPr>
          <w:rFonts w:cs="Times New Roman"/>
          <w:bCs/>
          <w:sz w:val="20"/>
          <w:szCs w:val="20"/>
          <w:lang w:bidi="ar-EG"/>
        </w:rPr>
        <w:t xml:space="preserve"> </w:t>
      </w:r>
      <w:r w:rsidRPr="004048ED">
        <w:rPr>
          <w:rFonts w:cs="Times New Roman"/>
          <w:sz w:val="20"/>
          <w:szCs w:val="20"/>
          <w:lang w:bidi="ar-EG"/>
        </w:rPr>
        <w:t>Comparative study of the antifungal activity of essential oils from aromatic wild in the Central Region of Argentina.</w:t>
      </w:r>
      <w:r w:rsidR="00E97FA7">
        <w:rPr>
          <w:rFonts w:cs="Times New Roman"/>
          <w:sz w:val="20"/>
          <w:szCs w:val="20"/>
          <w:lang w:bidi="ar-EG"/>
        </w:rPr>
        <w:t xml:space="preserve"> </w:t>
      </w:r>
      <w:proofErr w:type="spellStart"/>
      <w:r w:rsidRPr="004048ED">
        <w:rPr>
          <w:rFonts w:cs="Times New Roman"/>
          <w:sz w:val="20"/>
          <w:szCs w:val="20"/>
          <w:lang w:bidi="ar-EG"/>
        </w:rPr>
        <w:t>Flav</w:t>
      </w:r>
      <w:proofErr w:type="spellEnd"/>
      <w:r w:rsidRPr="004048ED">
        <w:rPr>
          <w:rFonts w:cs="Times New Roman"/>
          <w:sz w:val="20"/>
          <w:szCs w:val="20"/>
          <w:lang w:bidi="ar-EG"/>
        </w:rPr>
        <w:t>.</w:t>
      </w:r>
      <w:r w:rsidR="00E97FA7">
        <w:rPr>
          <w:rFonts w:cs="Times New Roman"/>
          <w:sz w:val="20"/>
          <w:szCs w:val="20"/>
          <w:lang w:bidi="ar-EG"/>
        </w:rPr>
        <w:t xml:space="preserve"> </w:t>
      </w:r>
      <w:proofErr w:type="spellStart"/>
      <w:r w:rsidRPr="004048ED">
        <w:rPr>
          <w:rFonts w:cs="Times New Roman"/>
          <w:sz w:val="20"/>
          <w:szCs w:val="20"/>
          <w:lang w:bidi="ar-EG"/>
        </w:rPr>
        <w:t>Frag</w:t>
      </w:r>
      <w:proofErr w:type="spellEnd"/>
      <w:r w:rsidRPr="004048ED">
        <w:rPr>
          <w:rFonts w:cs="Times New Roman"/>
          <w:sz w:val="20"/>
          <w:szCs w:val="20"/>
          <w:lang w:bidi="ar-EG"/>
        </w:rPr>
        <w:t>. J. 10: 113 – 118.</w:t>
      </w:r>
      <w:r w:rsidR="004048ED" w:rsidRPr="004048ED">
        <w:rPr>
          <w:rFonts w:cs="Times New Roman"/>
          <w:sz w:val="20"/>
          <w:szCs w:val="20"/>
          <w:lang w:bidi="ar-EG"/>
        </w:rPr>
        <w:t xml:space="preserve"> </w:t>
      </w:r>
    </w:p>
    <w:p w:rsidR="0023574F" w:rsidRPr="0023574F" w:rsidRDefault="0023574F" w:rsidP="0023574F">
      <w:pPr>
        <w:pStyle w:val="BodyText2"/>
        <w:bidi w:val="0"/>
        <w:snapToGrid w:val="0"/>
        <w:spacing w:after="0" w:line="240" w:lineRule="auto"/>
        <w:ind w:left="425" w:hanging="425"/>
        <w:jc w:val="both"/>
        <w:rPr>
          <w:sz w:val="20"/>
          <w:szCs w:val="20"/>
        </w:rPr>
        <w:sectPr w:rsidR="0023574F" w:rsidRPr="0023574F" w:rsidSect="004048ED">
          <w:headerReference w:type="default" r:id="rId51"/>
          <w:footerReference w:type="even" r:id="rId52"/>
          <w:footerReference w:type="default" r:id="rId53"/>
          <w:type w:val="continuous"/>
          <w:pgSz w:w="12240" w:h="15840" w:code="1"/>
          <w:pgMar w:top="1440" w:right="1440" w:bottom="1440" w:left="1440" w:header="720" w:footer="720" w:gutter="0"/>
          <w:cols w:num="2" w:space="600"/>
          <w:docGrid w:linePitch="360"/>
        </w:sectPr>
      </w:pPr>
    </w:p>
    <w:p w:rsidR="0023574F" w:rsidRDefault="0023574F" w:rsidP="0023574F">
      <w:pPr>
        <w:widowControl w:val="0"/>
        <w:autoSpaceDE w:val="0"/>
        <w:autoSpaceDN w:val="0"/>
        <w:adjustRightInd w:val="0"/>
        <w:snapToGrid w:val="0"/>
        <w:ind w:left="425" w:hanging="425"/>
        <w:jc w:val="both"/>
        <w:rPr>
          <w:rFonts w:eastAsiaTheme="minorEastAsia"/>
          <w:sz w:val="20"/>
          <w:szCs w:val="20"/>
          <w:lang w:eastAsia="zh-CN"/>
        </w:rPr>
      </w:pPr>
    </w:p>
    <w:p w:rsidR="0023574F" w:rsidRDefault="0023574F" w:rsidP="0023574F">
      <w:pPr>
        <w:widowControl w:val="0"/>
        <w:autoSpaceDE w:val="0"/>
        <w:autoSpaceDN w:val="0"/>
        <w:adjustRightInd w:val="0"/>
        <w:snapToGrid w:val="0"/>
        <w:ind w:left="425" w:hanging="425"/>
        <w:jc w:val="both"/>
        <w:rPr>
          <w:rFonts w:eastAsiaTheme="minorEastAsia"/>
          <w:sz w:val="20"/>
          <w:szCs w:val="20"/>
          <w:lang w:eastAsia="zh-CN"/>
        </w:rPr>
      </w:pPr>
    </w:p>
    <w:p w:rsidR="00B536A9" w:rsidRPr="0023574F" w:rsidRDefault="0023574F" w:rsidP="0023574F">
      <w:pPr>
        <w:widowControl w:val="0"/>
        <w:autoSpaceDE w:val="0"/>
        <w:autoSpaceDN w:val="0"/>
        <w:adjustRightInd w:val="0"/>
        <w:snapToGrid w:val="0"/>
        <w:ind w:left="425" w:hanging="425"/>
        <w:jc w:val="both"/>
        <w:rPr>
          <w:rFonts w:eastAsia="Batang"/>
          <w:sz w:val="20"/>
          <w:szCs w:val="20"/>
        </w:rPr>
      </w:pPr>
      <w:r>
        <w:rPr>
          <w:rFonts w:eastAsia="Batang"/>
          <w:sz w:val="20"/>
          <w:szCs w:val="20"/>
        </w:rPr>
        <w:t>12/2</w:t>
      </w:r>
      <w:r w:rsidR="004048ED">
        <w:rPr>
          <w:rFonts w:eastAsia="Batang"/>
          <w:sz w:val="20"/>
          <w:szCs w:val="20"/>
        </w:rPr>
        <w:t>5</w:t>
      </w:r>
      <w:r>
        <w:rPr>
          <w:rFonts w:eastAsia="Batang"/>
          <w:sz w:val="20"/>
          <w:szCs w:val="20"/>
        </w:rPr>
        <w:t>/2015</w:t>
      </w:r>
    </w:p>
    <w:sectPr w:rsidR="00B536A9" w:rsidRPr="0023574F" w:rsidSect="005A20CA">
      <w:headerReference w:type="default" r:id="rId54"/>
      <w:footerReference w:type="even" r:id="rId55"/>
      <w:footerReference w:type="default" r:id="rId5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8ED" w:rsidRDefault="004048ED">
      <w:r>
        <w:separator/>
      </w:r>
    </w:p>
  </w:endnote>
  <w:endnote w:type="continuationSeparator" w:id="0">
    <w:p w:rsidR="004048ED" w:rsidRDefault="00404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vE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8ED" w:rsidRDefault="004048E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jc w:val="center"/>
      <w:rPr>
        <w:sz w:val="20"/>
      </w:rPr>
    </w:pPr>
    <w:r w:rsidRPr="0023574F">
      <w:rPr>
        <w:sz w:val="20"/>
      </w:rPr>
      <w:fldChar w:fldCharType="begin"/>
    </w:r>
    <w:r w:rsidRPr="0023574F">
      <w:rPr>
        <w:sz w:val="20"/>
      </w:rPr>
      <w:instrText xml:space="preserve"> page </w:instrText>
    </w:r>
    <w:r w:rsidRPr="0023574F">
      <w:rPr>
        <w:sz w:val="20"/>
      </w:rPr>
      <w:fldChar w:fldCharType="separate"/>
    </w:r>
    <w:r w:rsidR="0019042B">
      <w:rPr>
        <w:noProof/>
        <w:sz w:val="20"/>
      </w:rPr>
      <w:t>153</w:t>
    </w:r>
    <w:r w:rsidRPr="0023574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8ED" w:rsidRDefault="004048ED">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jc w:val="center"/>
      <w:rPr>
        <w:sz w:val="20"/>
      </w:rPr>
    </w:pPr>
    <w:r w:rsidRPr="0023574F">
      <w:rPr>
        <w:sz w:val="20"/>
      </w:rPr>
      <w:fldChar w:fldCharType="begin"/>
    </w:r>
    <w:r w:rsidRPr="0023574F">
      <w:rPr>
        <w:sz w:val="20"/>
      </w:rPr>
      <w:instrText xml:space="preserve"> page </w:instrText>
    </w:r>
    <w:r w:rsidRPr="0023574F">
      <w:rPr>
        <w:sz w:val="20"/>
      </w:rPr>
      <w:fldChar w:fldCharType="separate"/>
    </w:r>
    <w:r w:rsidR="0019042B">
      <w:rPr>
        <w:noProof/>
        <w:sz w:val="20"/>
      </w:rPr>
      <w:t>160</w:t>
    </w:r>
    <w:r w:rsidRPr="0023574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8ED" w:rsidRDefault="004048ED">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48ED" w:rsidRDefault="004048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jc w:val="center"/>
      <w:rPr>
        <w:sz w:val="20"/>
      </w:rPr>
    </w:pPr>
    <w:r w:rsidRPr="0023574F">
      <w:rPr>
        <w:sz w:val="20"/>
      </w:rPr>
      <w:fldChar w:fldCharType="begin"/>
    </w:r>
    <w:r w:rsidRPr="0023574F">
      <w:rPr>
        <w:sz w:val="20"/>
      </w:rPr>
      <w:instrText xml:space="preserve"> page </w:instrText>
    </w:r>
    <w:r w:rsidRPr="0023574F">
      <w:rPr>
        <w:sz w:val="20"/>
      </w:rPr>
      <w:fldChar w:fldCharType="separate"/>
    </w:r>
    <w:r w:rsidR="00E97FA7">
      <w:rPr>
        <w:noProof/>
        <w:sz w:val="20"/>
      </w:rPr>
      <w:t>146</w:t>
    </w:r>
    <w:r w:rsidRPr="0023574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8ED" w:rsidRDefault="004048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jc w:val="center"/>
      <w:rPr>
        <w:sz w:val="20"/>
      </w:rPr>
    </w:pPr>
    <w:r w:rsidRPr="0023574F">
      <w:rPr>
        <w:sz w:val="20"/>
      </w:rPr>
      <w:fldChar w:fldCharType="begin"/>
    </w:r>
    <w:r w:rsidRPr="0023574F">
      <w:rPr>
        <w:sz w:val="20"/>
      </w:rPr>
      <w:instrText xml:space="preserve"> page </w:instrText>
    </w:r>
    <w:r w:rsidRPr="0023574F">
      <w:rPr>
        <w:sz w:val="20"/>
      </w:rPr>
      <w:fldChar w:fldCharType="separate"/>
    </w:r>
    <w:r w:rsidR="0019042B">
      <w:rPr>
        <w:noProof/>
        <w:sz w:val="20"/>
      </w:rPr>
      <w:t>151</w:t>
    </w:r>
    <w:r w:rsidRPr="0023574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8ED" w:rsidRDefault="004048E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48ED" w:rsidRDefault="004048E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8ED" w:rsidRDefault="004048E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jc w:val="center"/>
      <w:rPr>
        <w:sz w:val="20"/>
      </w:rPr>
    </w:pPr>
    <w:r w:rsidRPr="0023574F">
      <w:rPr>
        <w:sz w:val="20"/>
      </w:rPr>
      <w:fldChar w:fldCharType="begin"/>
    </w:r>
    <w:r w:rsidRPr="0023574F">
      <w:rPr>
        <w:sz w:val="20"/>
      </w:rPr>
      <w:instrText xml:space="preserve"> page </w:instrText>
    </w:r>
    <w:r w:rsidRPr="0023574F">
      <w:rPr>
        <w:sz w:val="20"/>
      </w:rPr>
      <w:fldChar w:fldCharType="separate"/>
    </w:r>
    <w:r w:rsidR="0019042B">
      <w:rPr>
        <w:noProof/>
        <w:sz w:val="20"/>
      </w:rPr>
      <w:t>152</w:t>
    </w:r>
    <w:r w:rsidRPr="0023574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Default="004048ED"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48ED" w:rsidRDefault="00404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8ED" w:rsidRDefault="004048ED">
      <w:r>
        <w:separator/>
      </w:r>
    </w:p>
  </w:footnote>
  <w:footnote w:type="continuationSeparator" w:id="0">
    <w:p w:rsidR="004048ED" w:rsidRDefault="00404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pBdr>
        <w:bottom w:val="thinThickMediumGap" w:sz="12" w:space="1" w:color="auto"/>
      </w:pBdr>
      <w:tabs>
        <w:tab w:val="left" w:pos="851"/>
        <w:tab w:val="right" w:pos="8364"/>
      </w:tabs>
      <w:adjustRightInd w:val="0"/>
      <w:snapToGrid w:val="0"/>
      <w:jc w:val="both"/>
      <w:rPr>
        <w:sz w:val="20"/>
        <w:szCs w:val="20"/>
      </w:rPr>
    </w:pPr>
    <w:r w:rsidRPr="0023574F">
      <w:rPr>
        <w:rFonts w:hint="eastAsia"/>
        <w:iCs/>
        <w:color w:val="000000"/>
        <w:sz w:val="20"/>
        <w:szCs w:val="20"/>
      </w:rPr>
      <w:tab/>
    </w:r>
    <w:r w:rsidRPr="0023574F">
      <w:rPr>
        <w:sz w:val="20"/>
        <w:szCs w:val="20"/>
      </w:rPr>
      <w:t>Nature and Science 201</w:t>
    </w:r>
    <w:r w:rsidRPr="0023574F">
      <w:rPr>
        <w:rFonts w:hint="eastAsia"/>
        <w:sz w:val="20"/>
        <w:szCs w:val="20"/>
      </w:rPr>
      <w:t>5</w:t>
    </w:r>
    <w:r w:rsidRPr="0023574F">
      <w:rPr>
        <w:sz w:val="20"/>
        <w:szCs w:val="20"/>
      </w:rPr>
      <w:t>;1</w:t>
    </w:r>
    <w:r w:rsidRPr="0023574F">
      <w:rPr>
        <w:rFonts w:hint="eastAsia"/>
        <w:sz w:val="20"/>
        <w:szCs w:val="20"/>
      </w:rPr>
      <w:t>3</w:t>
    </w:r>
    <w:r w:rsidRPr="0023574F">
      <w:rPr>
        <w:sz w:val="20"/>
        <w:szCs w:val="20"/>
      </w:rPr>
      <w:t>(</w:t>
    </w:r>
    <w:r w:rsidRPr="0023574F">
      <w:rPr>
        <w:rFonts w:hint="eastAsia"/>
        <w:sz w:val="20"/>
        <w:szCs w:val="20"/>
      </w:rPr>
      <w:t>12)</w:t>
    </w:r>
    <w:r w:rsidRPr="0023574F">
      <w:rPr>
        <w:color w:val="000000"/>
        <w:sz w:val="20"/>
        <w:szCs w:val="20"/>
      </w:rPr>
      <w:t xml:space="preserve"> </w:t>
    </w:r>
    <w:r w:rsidRPr="0023574F">
      <w:rPr>
        <w:rFonts w:hint="eastAsia"/>
        <w:color w:val="000000"/>
        <w:sz w:val="20"/>
        <w:szCs w:val="20"/>
      </w:rPr>
      <w:tab/>
    </w:r>
    <w:r w:rsidRPr="0023574F">
      <w:rPr>
        <w:color w:val="000000"/>
        <w:sz w:val="20"/>
        <w:szCs w:val="20"/>
      </w:rPr>
      <w:t xml:space="preserve"> </w:t>
    </w:r>
    <w:hyperlink r:id="rId1" w:history="1">
      <w:r w:rsidRPr="0023574F">
        <w:rPr>
          <w:rStyle w:val="Hyperlink"/>
          <w:sz w:val="20"/>
          <w:szCs w:val="20"/>
        </w:rPr>
        <w:t>http://www.sciencepub.net/nature</w:t>
      </w:r>
    </w:hyperlink>
  </w:p>
  <w:p w:rsidR="004048ED" w:rsidRPr="0023574F" w:rsidRDefault="004048ED" w:rsidP="0023574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pBdr>
        <w:bottom w:val="thinThickMediumGap" w:sz="12" w:space="1" w:color="auto"/>
      </w:pBdr>
      <w:tabs>
        <w:tab w:val="left" w:pos="851"/>
        <w:tab w:val="right" w:pos="8364"/>
      </w:tabs>
      <w:adjustRightInd w:val="0"/>
      <w:snapToGrid w:val="0"/>
      <w:jc w:val="both"/>
      <w:rPr>
        <w:sz w:val="20"/>
        <w:szCs w:val="20"/>
      </w:rPr>
    </w:pPr>
    <w:r w:rsidRPr="0023574F">
      <w:rPr>
        <w:rFonts w:hint="eastAsia"/>
        <w:iCs/>
        <w:color w:val="000000"/>
        <w:sz w:val="20"/>
        <w:szCs w:val="20"/>
      </w:rPr>
      <w:tab/>
    </w:r>
    <w:r w:rsidRPr="0023574F">
      <w:rPr>
        <w:sz w:val="20"/>
        <w:szCs w:val="20"/>
      </w:rPr>
      <w:t>Nature and Science 201</w:t>
    </w:r>
    <w:r w:rsidRPr="0023574F">
      <w:rPr>
        <w:rFonts w:hint="eastAsia"/>
        <w:sz w:val="20"/>
        <w:szCs w:val="20"/>
      </w:rPr>
      <w:t>5</w:t>
    </w:r>
    <w:r w:rsidRPr="0023574F">
      <w:rPr>
        <w:sz w:val="20"/>
        <w:szCs w:val="20"/>
      </w:rPr>
      <w:t>;1</w:t>
    </w:r>
    <w:r w:rsidRPr="0023574F">
      <w:rPr>
        <w:rFonts w:hint="eastAsia"/>
        <w:sz w:val="20"/>
        <w:szCs w:val="20"/>
      </w:rPr>
      <w:t>3</w:t>
    </w:r>
    <w:r w:rsidRPr="0023574F">
      <w:rPr>
        <w:sz w:val="20"/>
        <w:szCs w:val="20"/>
      </w:rPr>
      <w:t>(</w:t>
    </w:r>
    <w:r w:rsidRPr="0023574F">
      <w:rPr>
        <w:rFonts w:hint="eastAsia"/>
        <w:sz w:val="20"/>
        <w:szCs w:val="20"/>
      </w:rPr>
      <w:t>12)</w:t>
    </w:r>
    <w:r w:rsidRPr="0023574F">
      <w:rPr>
        <w:color w:val="000000"/>
        <w:sz w:val="20"/>
        <w:szCs w:val="20"/>
      </w:rPr>
      <w:t xml:space="preserve"> </w:t>
    </w:r>
    <w:r w:rsidRPr="0023574F">
      <w:rPr>
        <w:rFonts w:hint="eastAsia"/>
        <w:color w:val="000000"/>
        <w:sz w:val="20"/>
        <w:szCs w:val="20"/>
      </w:rPr>
      <w:tab/>
    </w:r>
    <w:r w:rsidRPr="0023574F">
      <w:rPr>
        <w:color w:val="000000"/>
        <w:sz w:val="20"/>
        <w:szCs w:val="20"/>
      </w:rPr>
      <w:t xml:space="preserve"> </w:t>
    </w:r>
    <w:hyperlink r:id="rId1" w:history="1">
      <w:r w:rsidRPr="0023574F">
        <w:rPr>
          <w:rStyle w:val="Hyperlink"/>
          <w:sz w:val="20"/>
          <w:szCs w:val="20"/>
        </w:rPr>
        <w:t>http://www.sciencepub.net/nature</w:t>
      </w:r>
    </w:hyperlink>
  </w:p>
  <w:p w:rsidR="004048ED" w:rsidRPr="0023574F" w:rsidRDefault="004048ED" w:rsidP="0023574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023073" w:rsidRDefault="004048ED" w:rsidP="00023073">
    <w:pPr>
      <w:pBdr>
        <w:bottom w:val="thinThickMediumGap" w:sz="12" w:space="1" w:color="auto"/>
      </w:pBdr>
      <w:tabs>
        <w:tab w:val="left" w:pos="9360"/>
      </w:tabs>
      <w:jc w:val="center"/>
      <w:rPr>
        <w:rFonts w:eastAsia="Calibri"/>
        <w:sz w:val="20"/>
        <w:szCs w:val="20"/>
        <w:lang w:bidi="ar-EG"/>
      </w:rPr>
    </w:pPr>
    <w:r w:rsidRPr="006C76C6">
      <w:rPr>
        <w:rFonts w:eastAsia="Calibri"/>
        <w:sz w:val="20"/>
        <w:szCs w:val="20"/>
      </w:rPr>
      <w:t>Nature and Science 2015;13(X)</w:t>
    </w:r>
    <w:r>
      <w:rPr>
        <w:rFonts w:eastAsia="Calibri"/>
        <w:sz w:val="20"/>
        <w:szCs w:val="20"/>
      </w:rPr>
      <w:t xml:space="preserve">                                         </w:t>
    </w:r>
    <w:hyperlink r:id="rId1" w:history="1">
      <w:r w:rsidRPr="006C76C6">
        <w:rPr>
          <w:rFonts w:eastAsia="Calibri"/>
          <w:color w:val="0563C1"/>
          <w:sz w:val="20"/>
          <w:szCs w:val="20"/>
          <w:u w:val="single"/>
        </w:rPr>
        <w:t>http://www.sciencepub.net/nature</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pBdr>
        <w:bottom w:val="thinThickMediumGap" w:sz="12" w:space="1" w:color="auto"/>
      </w:pBdr>
      <w:tabs>
        <w:tab w:val="left" w:pos="851"/>
        <w:tab w:val="right" w:pos="8364"/>
      </w:tabs>
      <w:adjustRightInd w:val="0"/>
      <w:snapToGrid w:val="0"/>
      <w:jc w:val="both"/>
      <w:rPr>
        <w:sz w:val="20"/>
        <w:szCs w:val="20"/>
      </w:rPr>
    </w:pPr>
    <w:r w:rsidRPr="0023574F">
      <w:rPr>
        <w:rFonts w:hint="eastAsia"/>
        <w:iCs/>
        <w:color w:val="000000"/>
        <w:sz w:val="20"/>
        <w:szCs w:val="20"/>
      </w:rPr>
      <w:tab/>
    </w:r>
    <w:r w:rsidRPr="0023574F">
      <w:rPr>
        <w:sz w:val="20"/>
        <w:szCs w:val="20"/>
      </w:rPr>
      <w:t>Nature and Science 201</w:t>
    </w:r>
    <w:r w:rsidRPr="0023574F">
      <w:rPr>
        <w:rFonts w:hint="eastAsia"/>
        <w:sz w:val="20"/>
        <w:szCs w:val="20"/>
      </w:rPr>
      <w:t>5</w:t>
    </w:r>
    <w:r w:rsidRPr="0023574F">
      <w:rPr>
        <w:sz w:val="20"/>
        <w:szCs w:val="20"/>
      </w:rPr>
      <w:t>;1</w:t>
    </w:r>
    <w:r w:rsidRPr="0023574F">
      <w:rPr>
        <w:rFonts w:hint="eastAsia"/>
        <w:sz w:val="20"/>
        <w:szCs w:val="20"/>
      </w:rPr>
      <w:t>3</w:t>
    </w:r>
    <w:r w:rsidRPr="0023574F">
      <w:rPr>
        <w:sz w:val="20"/>
        <w:szCs w:val="20"/>
      </w:rPr>
      <w:t>(</w:t>
    </w:r>
    <w:r w:rsidRPr="0023574F">
      <w:rPr>
        <w:rFonts w:hint="eastAsia"/>
        <w:sz w:val="20"/>
        <w:szCs w:val="20"/>
      </w:rPr>
      <w:t>12)</w:t>
    </w:r>
    <w:r w:rsidRPr="0023574F">
      <w:rPr>
        <w:color w:val="000000"/>
        <w:sz w:val="20"/>
        <w:szCs w:val="20"/>
      </w:rPr>
      <w:t xml:space="preserve"> </w:t>
    </w:r>
    <w:r w:rsidRPr="0023574F">
      <w:rPr>
        <w:rFonts w:hint="eastAsia"/>
        <w:color w:val="000000"/>
        <w:sz w:val="20"/>
        <w:szCs w:val="20"/>
      </w:rPr>
      <w:tab/>
    </w:r>
    <w:r w:rsidRPr="0023574F">
      <w:rPr>
        <w:color w:val="000000"/>
        <w:sz w:val="20"/>
        <w:szCs w:val="20"/>
      </w:rPr>
      <w:t xml:space="preserve"> </w:t>
    </w:r>
    <w:hyperlink r:id="rId1" w:history="1">
      <w:r w:rsidRPr="0023574F">
        <w:rPr>
          <w:rStyle w:val="Hyperlink"/>
          <w:sz w:val="20"/>
          <w:szCs w:val="20"/>
        </w:rPr>
        <w:t>http://www.sciencepub.net/nature</w:t>
      </w:r>
    </w:hyperlink>
  </w:p>
  <w:p w:rsidR="004048ED" w:rsidRPr="0023574F" w:rsidRDefault="004048ED" w:rsidP="0023574F">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pBdr>
        <w:bottom w:val="thinThickMediumGap" w:sz="12" w:space="1" w:color="auto"/>
      </w:pBdr>
      <w:tabs>
        <w:tab w:val="left" w:pos="851"/>
        <w:tab w:val="right" w:pos="8364"/>
      </w:tabs>
      <w:adjustRightInd w:val="0"/>
      <w:snapToGrid w:val="0"/>
      <w:jc w:val="both"/>
      <w:rPr>
        <w:sz w:val="20"/>
        <w:szCs w:val="20"/>
      </w:rPr>
    </w:pPr>
    <w:r w:rsidRPr="0023574F">
      <w:rPr>
        <w:rFonts w:hint="eastAsia"/>
        <w:iCs/>
        <w:color w:val="000000"/>
        <w:sz w:val="20"/>
        <w:szCs w:val="20"/>
      </w:rPr>
      <w:tab/>
    </w:r>
    <w:r w:rsidRPr="0023574F">
      <w:rPr>
        <w:sz w:val="20"/>
        <w:szCs w:val="20"/>
      </w:rPr>
      <w:t>Nature and Science 201</w:t>
    </w:r>
    <w:r w:rsidRPr="0023574F">
      <w:rPr>
        <w:rFonts w:hint="eastAsia"/>
        <w:sz w:val="20"/>
        <w:szCs w:val="20"/>
      </w:rPr>
      <w:t>5</w:t>
    </w:r>
    <w:r w:rsidRPr="0023574F">
      <w:rPr>
        <w:sz w:val="20"/>
        <w:szCs w:val="20"/>
      </w:rPr>
      <w:t>;1</w:t>
    </w:r>
    <w:r w:rsidRPr="0023574F">
      <w:rPr>
        <w:rFonts w:hint="eastAsia"/>
        <w:sz w:val="20"/>
        <w:szCs w:val="20"/>
      </w:rPr>
      <w:t>3</w:t>
    </w:r>
    <w:r w:rsidRPr="0023574F">
      <w:rPr>
        <w:sz w:val="20"/>
        <w:szCs w:val="20"/>
      </w:rPr>
      <w:t>(</w:t>
    </w:r>
    <w:r w:rsidRPr="0023574F">
      <w:rPr>
        <w:rFonts w:hint="eastAsia"/>
        <w:sz w:val="20"/>
        <w:szCs w:val="20"/>
      </w:rPr>
      <w:t>12)</w:t>
    </w:r>
    <w:r w:rsidRPr="0023574F">
      <w:rPr>
        <w:color w:val="000000"/>
        <w:sz w:val="20"/>
        <w:szCs w:val="20"/>
      </w:rPr>
      <w:t xml:space="preserve"> </w:t>
    </w:r>
    <w:r w:rsidRPr="0023574F">
      <w:rPr>
        <w:rFonts w:hint="eastAsia"/>
        <w:color w:val="000000"/>
        <w:sz w:val="20"/>
        <w:szCs w:val="20"/>
      </w:rPr>
      <w:tab/>
    </w:r>
    <w:r w:rsidRPr="0023574F">
      <w:rPr>
        <w:color w:val="000000"/>
        <w:sz w:val="20"/>
        <w:szCs w:val="20"/>
      </w:rPr>
      <w:t xml:space="preserve"> </w:t>
    </w:r>
    <w:hyperlink r:id="rId1" w:history="1">
      <w:r w:rsidRPr="0023574F">
        <w:rPr>
          <w:rStyle w:val="Hyperlink"/>
          <w:sz w:val="20"/>
          <w:szCs w:val="20"/>
        </w:rPr>
        <w:t>http://www.sciencepub.net/nature</w:t>
      </w:r>
    </w:hyperlink>
  </w:p>
  <w:p w:rsidR="004048ED" w:rsidRPr="0023574F" w:rsidRDefault="004048ED" w:rsidP="0023574F">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23574F" w:rsidRDefault="004048ED" w:rsidP="0023574F">
    <w:pPr>
      <w:pBdr>
        <w:bottom w:val="thinThickMediumGap" w:sz="12" w:space="1" w:color="auto"/>
      </w:pBdr>
      <w:tabs>
        <w:tab w:val="left" w:pos="851"/>
        <w:tab w:val="right" w:pos="8364"/>
      </w:tabs>
      <w:adjustRightInd w:val="0"/>
      <w:snapToGrid w:val="0"/>
      <w:jc w:val="both"/>
      <w:rPr>
        <w:sz w:val="20"/>
        <w:szCs w:val="20"/>
      </w:rPr>
    </w:pPr>
    <w:r w:rsidRPr="0023574F">
      <w:rPr>
        <w:rFonts w:hint="eastAsia"/>
        <w:iCs/>
        <w:color w:val="000000"/>
        <w:sz w:val="20"/>
        <w:szCs w:val="20"/>
      </w:rPr>
      <w:tab/>
    </w:r>
    <w:r w:rsidRPr="0023574F">
      <w:rPr>
        <w:sz w:val="20"/>
        <w:szCs w:val="20"/>
      </w:rPr>
      <w:t>Nature and Science 201</w:t>
    </w:r>
    <w:r w:rsidRPr="0023574F">
      <w:rPr>
        <w:rFonts w:hint="eastAsia"/>
        <w:sz w:val="20"/>
        <w:szCs w:val="20"/>
      </w:rPr>
      <w:t>5</w:t>
    </w:r>
    <w:r w:rsidRPr="0023574F">
      <w:rPr>
        <w:sz w:val="20"/>
        <w:szCs w:val="20"/>
      </w:rPr>
      <w:t>;1</w:t>
    </w:r>
    <w:r w:rsidRPr="0023574F">
      <w:rPr>
        <w:rFonts w:hint="eastAsia"/>
        <w:sz w:val="20"/>
        <w:szCs w:val="20"/>
      </w:rPr>
      <w:t>3</w:t>
    </w:r>
    <w:r w:rsidRPr="0023574F">
      <w:rPr>
        <w:sz w:val="20"/>
        <w:szCs w:val="20"/>
      </w:rPr>
      <w:t>(</w:t>
    </w:r>
    <w:r w:rsidRPr="0023574F">
      <w:rPr>
        <w:rFonts w:hint="eastAsia"/>
        <w:sz w:val="20"/>
        <w:szCs w:val="20"/>
      </w:rPr>
      <w:t>12)</w:t>
    </w:r>
    <w:r w:rsidRPr="0023574F">
      <w:rPr>
        <w:color w:val="000000"/>
        <w:sz w:val="20"/>
        <w:szCs w:val="20"/>
      </w:rPr>
      <w:t xml:space="preserve"> </w:t>
    </w:r>
    <w:r w:rsidRPr="0023574F">
      <w:rPr>
        <w:rFonts w:hint="eastAsia"/>
        <w:color w:val="000000"/>
        <w:sz w:val="20"/>
        <w:szCs w:val="20"/>
      </w:rPr>
      <w:tab/>
    </w:r>
    <w:r w:rsidRPr="0023574F">
      <w:rPr>
        <w:color w:val="000000"/>
        <w:sz w:val="20"/>
        <w:szCs w:val="20"/>
      </w:rPr>
      <w:t xml:space="preserve"> </w:t>
    </w:r>
    <w:hyperlink r:id="rId1" w:history="1">
      <w:r w:rsidRPr="0023574F">
        <w:rPr>
          <w:rStyle w:val="Hyperlink"/>
          <w:sz w:val="20"/>
          <w:szCs w:val="20"/>
        </w:rPr>
        <w:t>http://www.sciencepub.net/nature</w:t>
      </w:r>
    </w:hyperlink>
  </w:p>
  <w:p w:rsidR="004048ED" w:rsidRPr="0023574F" w:rsidRDefault="004048ED" w:rsidP="0023574F">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8ED" w:rsidRPr="00023073" w:rsidRDefault="004048ED" w:rsidP="00023073">
    <w:pPr>
      <w:pBdr>
        <w:bottom w:val="thinThickMediumGap" w:sz="12" w:space="1" w:color="auto"/>
      </w:pBdr>
      <w:tabs>
        <w:tab w:val="left" w:pos="9360"/>
      </w:tabs>
      <w:jc w:val="center"/>
      <w:rPr>
        <w:rFonts w:eastAsia="Calibri"/>
        <w:sz w:val="20"/>
        <w:szCs w:val="20"/>
        <w:lang w:bidi="ar-EG"/>
      </w:rPr>
    </w:pPr>
    <w:r w:rsidRPr="006C76C6">
      <w:rPr>
        <w:rFonts w:eastAsia="Calibri"/>
        <w:sz w:val="20"/>
        <w:szCs w:val="20"/>
      </w:rPr>
      <w:t>Nature and Science 2015;13(X)</w:t>
    </w:r>
    <w:r>
      <w:rPr>
        <w:rFonts w:eastAsia="Calibri"/>
        <w:sz w:val="20"/>
        <w:szCs w:val="20"/>
      </w:rPr>
      <w:t xml:space="preserve">                                         </w:t>
    </w:r>
    <w:hyperlink r:id="rId1" w:history="1">
      <w:r w:rsidRPr="006C76C6">
        <w:rPr>
          <w:rFonts w:eastAsia="Calibri"/>
          <w:color w:val="0563C1"/>
          <w:sz w:val="20"/>
          <w:szCs w:val="20"/>
          <w:u w:val="single"/>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56"/>
    <w:multiLevelType w:val="hybridMultilevel"/>
    <w:tmpl w:val="41C237E2"/>
    <w:lvl w:ilvl="0" w:tplc="4CE6A8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260C9"/>
    <w:multiLevelType w:val="hybridMultilevel"/>
    <w:tmpl w:val="C2E21428"/>
    <w:lvl w:ilvl="0" w:tplc="6694BF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1F75DB"/>
    <w:multiLevelType w:val="hybridMultilevel"/>
    <w:tmpl w:val="347276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94791B"/>
    <w:multiLevelType w:val="multilevel"/>
    <w:tmpl w:val="BF4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74DF1"/>
    <w:multiLevelType w:val="hybridMultilevel"/>
    <w:tmpl w:val="DD9AEB22"/>
    <w:lvl w:ilvl="0" w:tplc="7DB86AF2">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6C27A9"/>
    <w:multiLevelType w:val="hybridMultilevel"/>
    <w:tmpl w:val="1C5C7050"/>
    <w:lvl w:ilvl="0" w:tplc="754446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95DD2"/>
    <w:multiLevelType w:val="multilevel"/>
    <w:tmpl w:val="063EFB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368712BF"/>
    <w:multiLevelType w:val="multilevel"/>
    <w:tmpl w:val="ACC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9782D"/>
    <w:multiLevelType w:val="hybridMultilevel"/>
    <w:tmpl w:val="38E2A962"/>
    <w:lvl w:ilvl="0" w:tplc="83D89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307EA"/>
    <w:multiLevelType w:val="hybridMultilevel"/>
    <w:tmpl w:val="9816EF10"/>
    <w:lvl w:ilvl="0" w:tplc="59AA61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596605C"/>
    <w:multiLevelType w:val="multilevel"/>
    <w:tmpl w:val="7F28C2A6"/>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61254B7"/>
    <w:multiLevelType w:val="hybridMultilevel"/>
    <w:tmpl w:val="76CCD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42299D"/>
    <w:multiLevelType w:val="hybridMultilevel"/>
    <w:tmpl w:val="2026C0DA"/>
    <w:lvl w:ilvl="0" w:tplc="6B3EAB74">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3">
    <w:nsid w:val="4B653721"/>
    <w:multiLevelType w:val="hybridMultilevel"/>
    <w:tmpl w:val="C826CCFE"/>
    <w:lvl w:ilvl="0" w:tplc="05CA5E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61D6D05"/>
    <w:multiLevelType w:val="hybridMultilevel"/>
    <w:tmpl w:val="BC06D0A4"/>
    <w:lvl w:ilvl="0" w:tplc="482C4A9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98E5E37"/>
    <w:multiLevelType w:val="hybridMultilevel"/>
    <w:tmpl w:val="9C2E2528"/>
    <w:lvl w:ilvl="0" w:tplc="831C38EC">
      <w:start w:val="1"/>
      <w:numFmt w:val="decimal"/>
      <w:lvlText w:val="%1."/>
      <w:lvlJc w:val="left"/>
      <w:pPr>
        <w:tabs>
          <w:tab w:val="num" w:pos="735"/>
        </w:tabs>
        <w:ind w:left="735" w:hanging="375"/>
      </w:pPr>
      <w:rPr>
        <w:rFonts w:hint="default"/>
      </w:rPr>
    </w:lvl>
    <w:lvl w:ilvl="1" w:tplc="B136D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555E7E"/>
    <w:multiLevelType w:val="hybridMultilevel"/>
    <w:tmpl w:val="635C3348"/>
    <w:lvl w:ilvl="0" w:tplc="9F527CE2">
      <w:start w:val="1"/>
      <w:numFmt w:val="upperLetter"/>
      <w:lvlText w:val="(%1)"/>
      <w:lvlJc w:val="left"/>
      <w:pPr>
        <w:tabs>
          <w:tab w:val="num" w:pos="555"/>
        </w:tabs>
        <w:ind w:left="555" w:hanging="37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B1668C"/>
    <w:multiLevelType w:val="hybridMultilevel"/>
    <w:tmpl w:val="FD2C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9E11DF"/>
    <w:multiLevelType w:val="hybridMultilevel"/>
    <w:tmpl w:val="737499C4"/>
    <w:lvl w:ilvl="0" w:tplc="5F885C72">
      <w:start w:val="1"/>
      <w:numFmt w:val="decimal"/>
      <w:lvlText w:val="%1."/>
      <w:lvlJc w:val="left"/>
      <w:pPr>
        <w:tabs>
          <w:tab w:val="num" w:pos="720"/>
        </w:tabs>
        <w:ind w:left="720" w:hanging="360"/>
      </w:pPr>
      <w:rPr>
        <w:rFonts w:hint="default"/>
      </w:rPr>
    </w:lvl>
    <w:lvl w:ilvl="1" w:tplc="FE5A5838">
      <w:numFmt w:val="none"/>
      <w:lvlText w:val=""/>
      <w:lvlJc w:val="left"/>
      <w:pPr>
        <w:tabs>
          <w:tab w:val="num" w:pos="360"/>
        </w:tabs>
      </w:pPr>
    </w:lvl>
    <w:lvl w:ilvl="2" w:tplc="C1C094E2">
      <w:numFmt w:val="none"/>
      <w:lvlText w:val=""/>
      <w:lvlJc w:val="left"/>
      <w:pPr>
        <w:tabs>
          <w:tab w:val="num" w:pos="360"/>
        </w:tabs>
      </w:pPr>
    </w:lvl>
    <w:lvl w:ilvl="3" w:tplc="4538C8E2">
      <w:numFmt w:val="none"/>
      <w:lvlText w:val=""/>
      <w:lvlJc w:val="left"/>
      <w:pPr>
        <w:tabs>
          <w:tab w:val="num" w:pos="360"/>
        </w:tabs>
      </w:pPr>
    </w:lvl>
    <w:lvl w:ilvl="4" w:tplc="3BB2A3CE">
      <w:numFmt w:val="none"/>
      <w:lvlText w:val=""/>
      <w:lvlJc w:val="left"/>
      <w:pPr>
        <w:tabs>
          <w:tab w:val="num" w:pos="360"/>
        </w:tabs>
      </w:pPr>
    </w:lvl>
    <w:lvl w:ilvl="5" w:tplc="ABCE9FAC">
      <w:numFmt w:val="none"/>
      <w:lvlText w:val=""/>
      <w:lvlJc w:val="left"/>
      <w:pPr>
        <w:tabs>
          <w:tab w:val="num" w:pos="360"/>
        </w:tabs>
      </w:pPr>
    </w:lvl>
    <w:lvl w:ilvl="6" w:tplc="1F8A4262">
      <w:numFmt w:val="none"/>
      <w:lvlText w:val=""/>
      <w:lvlJc w:val="left"/>
      <w:pPr>
        <w:tabs>
          <w:tab w:val="num" w:pos="360"/>
        </w:tabs>
      </w:pPr>
    </w:lvl>
    <w:lvl w:ilvl="7" w:tplc="1F321BC4">
      <w:numFmt w:val="none"/>
      <w:lvlText w:val=""/>
      <w:lvlJc w:val="left"/>
      <w:pPr>
        <w:tabs>
          <w:tab w:val="num" w:pos="360"/>
        </w:tabs>
      </w:pPr>
    </w:lvl>
    <w:lvl w:ilvl="8" w:tplc="A7A4CAD2">
      <w:numFmt w:val="none"/>
      <w:lvlText w:val=""/>
      <w:lvlJc w:val="left"/>
      <w:pPr>
        <w:tabs>
          <w:tab w:val="num" w:pos="360"/>
        </w:tabs>
      </w:pPr>
    </w:lvl>
  </w:abstractNum>
  <w:abstractNum w:abstractNumId="19">
    <w:nsid w:val="7639335F"/>
    <w:multiLevelType w:val="hybridMultilevel"/>
    <w:tmpl w:val="35883086"/>
    <w:lvl w:ilvl="0" w:tplc="6400BCB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E32F90"/>
    <w:multiLevelType w:val="multilevel"/>
    <w:tmpl w:val="C250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16"/>
  </w:num>
  <w:num w:numId="7">
    <w:abstractNumId w:val="19"/>
  </w:num>
  <w:num w:numId="8">
    <w:abstractNumId w:val="11"/>
  </w:num>
  <w:num w:numId="9">
    <w:abstractNumId w:val="0"/>
  </w:num>
  <w:num w:numId="10">
    <w:abstractNumId w:val="5"/>
  </w:num>
  <w:num w:numId="11">
    <w:abstractNumId w:val="18"/>
  </w:num>
  <w:num w:numId="12">
    <w:abstractNumId w:val="13"/>
  </w:num>
  <w:num w:numId="13">
    <w:abstractNumId w:val="9"/>
  </w:num>
  <w:num w:numId="14">
    <w:abstractNumId w:val="10"/>
  </w:num>
  <w:num w:numId="15">
    <w:abstractNumId w:val="20"/>
  </w:num>
  <w:num w:numId="16">
    <w:abstractNumId w:val="3"/>
  </w:num>
  <w:num w:numId="17">
    <w:abstractNumId w:val="7"/>
  </w:num>
  <w:num w:numId="18">
    <w:abstractNumId w:val="17"/>
  </w:num>
  <w:num w:numId="19">
    <w:abstractNumId w:val="8"/>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applyBreakingRules/>
    <w:useFELayout/>
  </w:compat>
  <w:rsids>
    <w:rsidRoot w:val="00EE0016"/>
    <w:rsid w:val="00007F8C"/>
    <w:rsid w:val="00016108"/>
    <w:rsid w:val="00020CCF"/>
    <w:rsid w:val="00023073"/>
    <w:rsid w:val="00024808"/>
    <w:rsid w:val="0003321E"/>
    <w:rsid w:val="00037F9D"/>
    <w:rsid w:val="000429FC"/>
    <w:rsid w:val="000477EA"/>
    <w:rsid w:val="0005154E"/>
    <w:rsid w:val="0005582F"/>
    <w:rsid w:val="00066784"/>
    <w:rsid w:val="0006683F"/>
    <w:rsid w:val="00092842"/>
    <w:rsid w:val="0009314B"/>
    <w:rsid w:val="000A05EC"/>
    <w:rsid w:val="000B29B9"/>
    <w:rsid w:val="000B4524"/>
    <w:rsid w:val="000B6915"/>
    <w:rsid w:val="000C4D29"/>
    <w:rsid w:val="000D4D76"/>
    <w:rsid w:val="000D655A"/>
    <w:rsid w:val="000E0700"/>
    <w:rsid w:val="000F26DB"/>
    <w:rsid w:val="001047D1"/>
    <w:rsid w:val="001054E6"/>
    <w:rsid w:val="00120A85"/>
    <w:rsid w:val="00143F00"/>
    <w:rsid w:val="001458F8"/>
    <w:rsid w:val="00155BB6"/>
    <w:rsid w:val="001611F5"/>
    <w:rsid w:val="00162574"/>
    <w:rsid w:val="00164EEC"/>
    <w:rsid w:val="00165BF4"/>
    <w:rsid w:val="00176943"/>
    <w:rsid w:val="0019042B"/>
    <w:rsid w:val="00195BB1"/>
    <w:rsid w:val="00197907"/>
    <w:rsid w:val="001A2582"/>
    <w:rsid w:val="001A2A95"/>
    <w:rsid w:val="001A4FDC"/>
    <w:rsid w:val="001A5ECB"/>
    <w:rsid w:val="001B6861"/>
    <w:rsid w:val="001C27DF"/>
    <w:rsid w:val="001D0111"/>
    <w:rsid w:val="001D37CC"/>
    <w:rsid w:val="001E77B8"/>
    <w:rsid w:val="001F0D46"/>
    <w:rsid w:val="001F3EE4"/>
    <w:rsid w:val="001F5256"/>
    <w:rsid w:val="002029BC"/>
    <w:rsid w:val="00204FDF"/>
    <w:rsid w:val="00214F87"/>
    <w:rsid w:val="00230233"/>
    <w:rsid w:val="00231FDD"/>
    <w:rsid w:val="0023574F"/>
    <w:rsid w:val="00236D44"/>
    <w:rsid w:val="00243B9E"/>
    <w:rsid w:val="00244353"/>
    <w:rsid w:val="00253187"/>
    <w:rsid w:val="0025332C"/>
    <w:rsid w:val="00260CAA"/>
    <w:rsid w:val="00261024"/>
    <w:rsid w:val="00266A7B"/>
    <w:rsid w:val="00274DF1"/>
    <w:rsid w:val="0027500F"/>
    <w:rsid w:val="00275E29"/>
    <w:rsid w:val="002778A5"/>
    <w:rsid w:val="00277A82"/>
    <w:rsid w:val="00284329"/>
    <w:rsid w:val="002977F1"/>
    <w:rsid w:val="002A1B2C"/>
    <w:rsid w:val="002A50CB"/>
    <w:rsid w:val="002A58B8"/>
    <w:rsid w:val="002B5076"/>
    <w:rsid w:val="002B6967"/>
    <w:rsid w:val="002B79B6"/>
    <w:rsid w:val="002C0DB3"/>
    <w:rsid w:val="002C26C2"/>
    <w:rsid w:val="002C31C7"/>
    <w:rsid w:val="002F15C1"/>
    <w:rsid w:val="002F302C"/>
    <w:rsid w:val="00303073"/>
    <w:rsid w:val="00306F36"/>
    <w:rsid w:val="00310B11"/>
    <w:rsid w:val="00326E0A"/>
    <w:rsid w:val="00340ADC"/>
    <w:rsid w:val="00344047"/>
    <w:rsid w:val="0035488D"/>
    <w:rsid w:val="00360C51"/>
    <w:rsid w:val="00363D80"/>
    <w:rsid w:val="00366E4E"/>
    <w:rsid w:val="003734E5"/>
    <w:rsid w:val="00377E4B"/>
    <w:rsid w:val="0038020F"/>
    <w:rsid w:val="0038554F"/>
    <w:rsid w:val="003A2830"/>
    <w:rsid w:val="003A369F"/>
    <w:rsid w:val="003B1A96"/>
    <w:rsid w:val="003B4612"/>
    <w:rsid w:val="003E4612"/>
    <w:rsid w:val="003F6650"/>
    <w:rsid w:val="0040364F"/>
    <w:rsid w:val="004048ED"/>
    <w:rsid w:val="0040518D"/>
    <w:rsid w:val="0040611E"/>
    <w:rsid w:val="004149CF"/>
    <w:rsid w:val="00430BCE"/>
    <w:rsid w:val="004367ED"/>
    <w:rsid w:val="00467ACA"/>
    <w:rsid w:val="0047180D"/>
    <w:rsid w:val="004771F8"/>
    <w:rsid w:val="00490493"/>
    <w:rsid w:val="0049312D"/>
    <w:rsid w:val="00497863"/>
    <w:rsid w:val="004A1816"/>
    <w:rsid w:val="004A3192"/>
    <w:rsid w:val="004A39AD"/>
    <w:rsid w:val="004D2F66"/>
    <w:rsid w:val="004E1253"/>
    <w:rsid w:val="004F2F21"/>
    <w:rsid w:val="004F34A4"/>
    <w:rsid w:val="004F4194"/>
    <w:rsid w:val="004F7FDF"/>
    <w:rsid w:val="00505461"/>
    <w:rsid w:val="005202B2"/>
    <w:rsid w:val="005202FD"/>
    <w:rsid w:val="00520B08"/>
    <w:rsid w:val="00522BBA"/>
    <w:rsid w:val="00537CF0"/>
    <w:rsid w:val="005647A0"/>
    <w:rsid w:val="00565988"/>
    <w:rsid w:val="00567AC0"/>
    <w:rsid w:val="005727FE"/>
    <w:rsid w:val="0057675D"/>
    <w:rsid w:val="00582AD4"/>
    <w:rsid w:val="005844F2"/>
    <w:rsid w:val="00590393"/>
    <w:rsid w:val="005A018B"/>
    <w:rsid w:val="005A20CA"/>
    <w:rsid w:val="005A2727"/>
    <w:rsid w:val="005A3439"/>
    <w:rsid w:val="005A3B51"/>
    <w:rsid w:val="005B503E"/>
    <w:rsid w:val="005D2597"/>
    <w:rsid w:val="005E0385"/>
    <w:rsid w:val="005E2BBF"/>
    <w:rsid w:val="005F1E9D"/>
    <w:rsid w:val="00606658"/>
    <w:rsid w:val="00630172"/>
    <w:rsid w:val="0064005C"/>
    <w:rsid w:val="006465DE"/>
    <w:rsid w:val="0065212A"/>
    <w:rsid w:val="00654EAD"/>
    <w:rsid w:val="0068662F"/>
    <w:rsid w:val="006874C1"/>
    <w:rsid w:val="006A29ED"/>
    <w:rsid w:val="006C0E25"/>
    <w:rsid w:val="006D0F19"/>
    <w:rsid w:val="006D77CA"/>
    <w:rsid w:val="006E0D02"/>
    <w:rsid w:val="006E1D79"/>
    <w:rsid w:val="006E76F1"/>
    <w:rsid w:val="006F6251"/>
    <w:rsid w:val="00703A82"/>
    <w:rsid w:val="00711EF6"/>
    <w:rsid w:val="00716D4D"/>
    <w:rsid w:val="007224BB"/>
    <w:rsid w:val="007417C6"/>
    <w:rsid w:val="00741EFF"/>
    <w:rsid w:val="0075654D"/>
    <w:rsid w:val="007636B9"/>
    <w:rsid w:val="00770444"/>
    <w:rsid w:val="00773196"/>
    <w:rsid w:val="00773C92"/>
    <w:rsid w:val="00777AA3"/>
    <w:rsid w:val="0078246A"/>
    <w:rsid w:val="00790D22"/>
    <w:rsid w:val="007D0EA2"/>
    <w:rsid w:val="007D37E4"/>
    <w:rsid w:val="007D75CA"/>
    <w:rsid w:val="007E2FAD"/>
    <w:rsid w:val="008006E6"/>
    <w:rsid w:val="00807D6F"/>
    <w:rsid w:val="00814F50"/>
    <w:rsid w:val="0081724B"/>
    <w:rsid w:val="00826087"/>
    <w:rsid w:val="00841E45"/>
    <w:rsid w:val="00847ABE"/>
    <w:rsid w:val="00851804"/>
    <w:rsid w:val="0085250B"/>
    <w:rsid w:val="00852C1C"/>
    <w:rsid w:val="00853066"/>
    <w:rsid w:val="00877AD6"/>
    <w:rsid w:val="00881583"/>
    <w:rsid w:val="008939D7"/>
    <w:rsid w:val="008943D1"/>
    <w:rsid w:val="008A0E76"/>
    <w:rsid w:val="008A5AE9"/>
    <w:rsid w:val="008A70F7"/>
    <w:rsid w:val="008B158E"/>
    <w:rsid w:val="008B313E"/>
    <w:rsid w:val="008B35E3"/>
    <w:rsid w:val="008C1772"/>
    <w:rsid w:val="008C6058"/>
    <w:rsid w:val="008C6436"/>
    <w:rsid w:val="008D033E"/>
    <w:rsid w:val="008D03E4"/>
    <w:rsid w:val="008D295F"/>
    <w:rsid w:val="008F261E"/>
    <w:rsid w:val="008F5972"/>
    <w:rsid w:val="009077B3"/>
    <w:rsid w:val="00924565"/>
    <w:rsid w:val="00926BAB"/>
    <w:rsid w:val="009272BA"/>
    <w:rsid w:val="009453A8"/>
    <w:rsid w:val="00947E85"/>
    <w:rsid w:val="00960A69"/>
    <w:rsid w:val="00962816"/>
    <w:rsid w:val="009649CF"/>
    <w:rsid w:val="00966839"/>
    <w:rsid w:val="00974E44"/>
    <w:rsid w:val="009867F7"/>
    <w:rsid w:val="009A34A1"/>
    <w:rsid w:val="009A75A3"/>
    <w:rsid w:val="009C6D20"/>
    <w:rsid w:val="009D0781"/>
    <w:rsid w:val="009D6283"/>
    <w:rsid w:val="009D7802"/>
    <w:rsid w:val="009F24C6"/>
    <w:rsid w:val="009F4DF5"/>
    <w:rsid w:val="009F5FBD"/>
    <w:rsid w:val="009F6CEA"/>
    <w:rsid w:val="00A00C3D"/>
    <w:rsid w:val="00A01983"/>
    <w:rsid w:val="00A112DC"/>
    <w:rsid w:val="00A170EF"/>
    <w:rsid w:val="00A34229"/>
    <w:rsid w:val="00A43CB4"/>
    <w:rsid w:val="00A4481D"/>
    <w:rsid w:val="00A45EF8"/>
    <w:rsid w:val="00A74F92"/>
    <w:rsid w:val="00A74F9A"/>
    <w:rsid w:val="00A86D3F"/>
    <w:rsid w:val="00A87707"/>
    <w:rsid w:val="00A90E36"/>
    <w:rsid w:val="00A929BE"/>
    <w:rsid w:val="00A9460C"/>
    <w:rsid w:val="00AA0D08"/>
    <w:rsid w:val="00AA2621"/>
    <w:rsid w:val="00AB0617"/>
    <w:rsid w:val="00AB1286"/>
    <w:rsid w:val="00AB57F2"/>
    <w:rsid w:val="00AC42F1"/>
    <w:rsid w:val="00AC61BC"/>
    <w:rsid w:val="00AD11E9"/>
    <w:rsid w:val="00AF314C"/>
    <w:rsid w:val="00B1617C"/>
    <w:rsid w:val="00B40076"/>
    <w:rsid w:val="00B5353D"/>
    <w:rsid w:val="00B536A9"/>
    <w:rsid w:val="00B54009"/>
    <w:rsid w:val="00B56478"/>
    <w:rsid w:val="00B6001E"/>
    <w:rsid w:val="00B637FA"/>
    <w:rsid w:val="00B76CBC"/>
    <w:rsid w:val="00B820B0"/>
    <w:rsid w:val="00B82FE6"/>
    <w:rsid w:val="00B851E0"/>
    <w:rsid w:val="00B867B0"/>
    <w:rsid w:val="00B952E0"/>
    <w:rsid w:val="00B96414"/>
    <w:rsid w:val="00BA02FE"/>
    <w:rsid w:val="00BA5A1C"/>
    <w:rsid w:val="00BB065F"/>
    <w:rsid w:val="00BB727C"/>
    <w:rsid w:val="00BB72A2"/>
    <w:rsid w:val="00BD1BE0"/>
    <w:rsid w:val="00BD3BCB"/>
    <w:rsid w:val="00BE2864"/>
    <w:rsid w:val="00BE4468"/>
    <w:rsid w:val="00BE69B6"/>
    <w:rsid w:val="00BF06AF"/>
    <w:rsid w:val="00C0348C"/>
    <w:rsid w:val="00C0362D"/>
    <w:rsid w:val="00C07E81"/>
    <w:rsid w:val="00C13B4C"/>
    <w:rsid w:val="00C15DBB"/>
    <w:rsid w:val="00C27E0D"/>
    <w:rsid w:val="00C32156"/>
    <w:rsid w:val="00C324F2"/>
    <w:rsid w:val="00C32714"/>
    <w:rsid w:val="00C42AC4"/>
    <w:rsid w:val="00C5682F"/>
    <w:rsid w:val="00C76506"/>
    <w:rsid w:val="00C76DF7"/>
    <w:rsid w:val="00C8179D"/>
    <w:rsid w:val="00C8261B"/>
    <w:rsid w:val="00C82756"/>
    <w:rsid w:val="00C84B68"/>
    <w:rsid w:val="00C86743"/>
    <w:rsid w:val="00C927D4"/>
    <w:rsid w:val="00C92ADE"/>
    <w:rsid w:val="00CA57E9"/>
    <w:rsid w:val="00CA69B2"/>
    <w:rsid w:val="00CB28F4"/>
    <w:rsid w:val="00CB4601"/>
    <w:rsid w:val="00CB4821"/>
    <w:rsid w:val="00CC4276"/>
    <w:rsid w:val="00CC7E67"/>
    <w:rsid w:val="00CD0BED"/>
    <w:rsid w:val="00CF326C"/>
    <w:rsid w:val="00D1366C"/>
    <w:rsid w:val="00D14F81"/>
    <w:rsid w:val="00D15F32"/>
    <w:rsid w:val="00D23954"/>
    <w:rsid w:val="00D25AC0"/>
    <w:rsid w:val="00D27AF5"/>
    <w:rsid w:val="00D27BD8"/>
    <w:rsid w:val="00D30BF8"/>
    <w:rsid w:val="00D373B5"/>
    <w:rsid w:val="00D4172B"/>
    <w:rsid w:val="00D43562"/>
    <w:rsid w:val="00D561A6"/>
    <w:rsid w:val="00D60F23"/>
    <w:rsid w:val="00D714D7"/>
    <w:rsid w:val="00D77255"/>
    <w:rsid w:val="00D911CF"/>
    <w:rsid w:val="00DA1C2C"/>
    <w:rsid w:val="00DA5D19"/>
    <w:rsid w:val="00DB137D"/>
    <w:rsid w:val="00DB4985"/>
    <w:rsid w:val="00DC0F2C"/>
    <w:rsid w:val="00DC1999"/>
    <w:rsid w:val="00DD0500"/>
    <w:rsid w:val="00DD5363"/>
    <w:rsid w:val="00DE43E6"/>
    <w:rsid w:val="00DE5360"/>
    <w:rsid w:val="00DF30A0"/>
    <w:rsid w:val="00E104E8"/>
    <w:rsid w:val="00E33668"/>
    <w:rsid w:val="00E47171"/>
    <w:rsid w:val="00E75E1F"/>
    <w:rsid w:val="00E80FD6"/>
    <w:rsid w:val="00E90B50"/>
    <w:rsid w:val="00E92E2D"/>
    <w:rsid w:val="00E94269"/>
    <w:rsid w:val="00E971EC"/>
    <w:rsid w:val="00E97E73"/>
    <w:rsid w:val="00E97FA7"/>
    <w:rsid w:val="00EA1BD8"/>
    <w:rsid w:val="00EA38F0"/>
    <w:rsid w:val="00EA4169"/>
    <w:rsid w:val="00EA42FF"/>
    <w:rsid w:val="00EA5692"/>
    <w:rsid w:val="00EA6583"/>
    <w:rsid w:val="00EA7B59"/>
    <w:rsid w:val="00EB011D"/>
    <w:rsid w:val="00EB28DC"/>
    <w:rsid w:val="00EB6329"/>
    <w:rsid w:val="00EC1ED5"/>
    <w:rsid w:val="00EC3D45"/>
    <w:rsid w:val="00EE0016"/>
    <w:rsid w:val="00F06756"/>
    <w:rsid w:val="00F14886"/>
    <w:rsid w:val="00F22B32"/>
    <w:rsid w:val="00F350DE"/>
    <w:rsid w:val="00F4445C"/>
    <w:rsid w:val="00F47227"/>
    <w:rsid w:val="00F54909"/>
    <w:rsid w:val="00F55892"/>
    <w:rsid w:val="00F64DB1"/>
    <w:rsid w:val="00F6552F"/>
    <w:rsid w:val="00F65D84"/>
    <w:rsid w:val="00F71B25"/>
    <w:rsid w:val="00F72008"/>
    <w:rsid w:val="00F74303"/>
    <w:rsid w:val="00F838D0"/>
    <w:rsid w:val="00F939D8"/>
    <w:rsid w:val="00FA6C53"/>
    <w:rsid w:val="00FC1060"/>
    <w:rsid w:val="00FC6AE5"/>
    <w:rsid w:val="00FD56E6"/>
    <w:rsid w:val="00FE25AA"/>
    <w:rsid w:val="00FE3520"/>
    <w:rsid w:val="00FE6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uiPriority="22" w:qFormat="1"/>
    <w:lsdException w:name="Emphasis" w:qFormat="1"/>
    <w:lsdException w:name="HTML Top of Form" w:uiPriority="99"/>
    <w:lsdException w:name="HTML Bottom of Form"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16"/>
    <w:rPr>
      <w:rFonts w:eastAsia="Times New Roman"/>
      <w:sz w:val="24"/>
      <w:szCs w:val="24"/>
    </w:rPr>
  </w:style>
  <w:style w:type="paragraph" w:styleId="Heading1">
    <w:name w:val="heading 1"/>
    <w:basedOn w:val="Normal"/>
    <w:next w:val="Normal"/>
    <w:link w:val="Heading1Char"/>
    <w:qFormat/>
    <w:rsid w:val="004A3192"/>
    <w:pPr>
      <w:keepNext/>
      <w:bidi/>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A3192"/>
    <w:pPr>
      <w:keepNext/>
      <w:bidi/>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unhideWhenUsed/>
    <w:qFormat/>
    <w:rsid w:val="00260CAA"/>
    <w:pPr>
      <w:keepNext/>
      <w:keepLines/>
      <w:bidi/>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192"/>
    <w:rPr>
      <w:rFonts w:ascii="Cambria" w:eastAsia="Times New Roman" w:hAnsi="Cambria"/>
      <w:b/>
      <w:bCs/>
      <w:kern w:val="32"/>
      <w:sz w:val="32"/>
      <w:szCs w:val="32"/>
    </w:rPr>
  </w:style>
  <w:style w:type="character" w:customStyle="1" w:styleId="Heading2Char">
    <w:name w:val="Heading 2 Char"/>
    <w:basedOn w:val="DefaultParagraphFont"/>
    <w:link w:val="Heading2"/>
    <w:rsid w:val="004A3192"/>
    <w:rPr>
      <w:rFonts w:ascii="Arial" w:eastAsia="Times New Roman" w:hAnsi="Arial" w:cs="Arial"/>
      <w:b/>
      <w:bCs/>
      <w:i/>
      <w:iCs/>
      <w:sz w:val="28"/>
      <w:szCs w:val="28"/>
    </w:rPr>
  </w:style>
  <w:style w:type="paragraph" w:styleId="NormalWeb">
    <w:name w:val="Normal (Web)"/>
    <w:basedOn w:val="Normal"/>
    <w:rsid w:val="00EE0016"/>
    <w:pPr>
      <w:spacing w:before="100" w:beforeAutospacing="1" w:after="100" w:afterAutospacing="1"/>
    </w:pPr>
  </w:style>
  <w:style w:type="paragraph" w:styleId="Footer">
    <w:name w:val="footer"/>
    <w:basedOn w:val="Normal"/>
    <w:link w:val="FooterChar"/>
    <w:uiPriority w:val="99"/>
    <w:rsid w:val="00EE0016"/>
    <w:pPr>
      <w:tabs>
        <w:tab w:val="center" w:pos="4320"/>
        <w:tab w:val="right" w:pos="8640"/>
      </w:tabs>
    </w:pPr>
  </w:style>
  <w:style w:type="character" w:customStyle="1" w:styleId="FooterChar">
    <w:name w:val="Footer Char"/>
    <w:basedOn w:val="DefaultParagraphFont"/>
    <w:link w:val="Footer"/>
    <w:uiPriority w:val="99"/>
    <w:rsid w:val="004A3192"/>
    <w:rPr>
      <w:rFonts w:eastAsia="Times New Roman"/>
      <w:sz w:val="24"/>
      <w:szCs w:val="24"/>
    </w:rPr>
  </w:style>
  <w:style w:type="character" w:styleId="PageNumber">
    <w:name w:val="page number"/>
    <w:rsid w:val="00EE0016"/>
    <w:rPr>
      <w:rFonts w:cs="Times New Roman"/>
    </w:rPr>
  </w:style>
  <w:style w:type="paragraph" w:styleId="BalloonText">
    <w:name w:val="Balloon Text"/>
    <w:basedOn w:val="Normal"/>
    <w:link w:val="BalloonTextChar"/>
    <w:uiPriority w:val="99"/>
    <w:semiHidden/>
    <w:rsid w:val="00EE0016"/>
    <w:rPr>
      <w:rFonts w:ascii="Tahoma" w:hAnsi="Tahoma" w:cs="Tahoma"/>
      <w:sz w:val="16"/>
      <w:szCs w:val="16"/>
    </w:rPr>
  </w:style>
  <w:style w:type="character" w:customStyle="1" w:styleId="BalloonTextChar">
    <w:name w:val="Balloon Text Char"/>
    <w:basedOn w:val="DefaultParagraphFont"/>
    <w:link w:val="BalloonText"/>
    <w:uiPriority w:val="99"/>
    <w:semiHidden/>
    <w:rsid w:val="004A3192"/>
    <w:rPr>
      <w:rFonts w:ascii="Tahoma" w:eastAsia="Times New Roman" w:hAnsi="Tahoma" w:cs="Tahoma"/>
      <w:sz w:val="16"/>
      <w:szCs w:val="16"/>
    </w:rPr>
  </w:style>
  <w:style w:type="paragraph" w:styleId="Header">
    <w:name w:val="header"/>
    <w:basedOn w:val="Normal"/>
    <w:link w:val="HeaderChar"/>
    <w:uiPriority w:val="99"/>
    <w:rsid w:val="00974E44"/>
    <w:pPr>
      <w:tabs>
        <w:tab w:val="center" w:pos="4153"/>
        <w:tab w:val="right" w:pos="8306"/>
      </w:tabs>
    </w:pPr>
  </w:style>
  <w:style w:type="character" w:customStyle="1" w:styleId="HeaderChar">
    <w:name w:val="Header Char"/>
    <w:basedOn w:val="DefaultParagraphFont"/>
    <w:link w:val="Header"/>
    <w:uiPriority w:val="99"/>
    <w:rsid w:val="00974E44"/>
    <w:rPr>
      <w:rFonts w:eastAsia="Times New Roman"/>
      <w:sz w:val="24"/>
      <w:szCs w:val="24"/>
    </w:rPr>
  </w:style>
  <w:style w:type="character" w:styleId="Hyperlink">
    <w:name w:val="Hyperlink"/>
    <w:basedOn w:val="DefaultParagraphFont"/>
    <w:uiPriority w:val="99"/>
    <w:unhideWhenUsed/>
    <w:rsid w:val="00974E44"/>
    <w:rPr>
      <w:color w:val="0000FF"/>
      <w:u w:val="single"/>
    </w:rPr>
  </w:style>
  <w:style w:type="paragraph" w:styleId="NoSpacing">
    <w:name w:val="No Spacing"/>
    <w:uiPriority w:val="1"/>
    <w:qFormat/>
    <w:rsid w:val="00974E44"/>
    <w:rPr>
      <w:rFonts w:eastAsia="Times New Roman"/>
      <w:sz w:val="24"/>
      <w:szCs w:val="24"/>
    </w:rPr>
  </w:style>
  <w:style w:type="table" w:styleId="TableGrid">
    <w:name w:val="Table Grid"/>
    <w:basedOn w:val="TableNormal"/>
    <w:uiPriority w:val="59"/>
    <w:rsid w:val="00FD56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B820B0"/>
    <w:rPr>
      <w:sz w:val="16"/>
      <w:szCs w:val="16"/>
    </w:rPr>
  </w:style>
  <w:style w:type="paragraph" w:styleId="CommentText">
    <w:name w:val="annotation text"/>
    <w:basedOn w:val="Normal"/>
    <w:link w:val="CommentTextChar"/>
    <w:uiPriority w:val="99"/>
    <w:rsid w:val="00B820B0"/>
    <w:pPr>
      <w:bidi/>
    </w:pPr>
    <w:rPr>
      <w:rFonts w:cs="Simplified Arabic"/>
      <w:sz w:val="20"/>
      <w:szCs w:val="20"/>
    </w:rPr>
  </w:style>
  <w:style w:type="character" w:customStyle="1" w:styleId="CommentTextChar">
    <w:name w:val="Comment Text Char"/>
    <w:basedOn w:val="DefaultParagraphFont"/>
    <w:link w:val="CommentText"/>
    <w:uiPriority w:val="99"/>
    <w:rsid w:val="00B820B0"/>
    <w:rPr>
      <w:rFonts w:eastAsia="Times New Roman" w:cs="Simplified Arabic"/>
    </w:rPr>
  </w:style>
  <w:style w:type="paragraph" w:styleId="ListParagraph">
    <w:name w:val="List Paragraph"/>
    <w:basedOn w:val="Normal"/>
    <w:uiPriority w:val="34"/>
    <w:qFormat/>
    <w:rsid w:val="00B820B0"/>
    <w:pPr>
      <w:bidi/>
      <w:ind w:left="720"/>
    </w:pPr>
    <w:rPr>
      <w:rFonts w:cs="Simplified Arabic"/>
      <w:sz w:val="28"/>
      <w:szCs w:val="28"/>
    </w:rPr>
  </w:style>
  <w:style w:type="paragraph" w:styleId="DocumentMap">
    <w:name w:val="Document Map"/>
    <w:basedOn w:val="Normal"/>
    <w:link w:val="DocumentMapChar"/>
    <w:rsid w:val="004A3192"/>
    <w:pPr>
      <w:shd w:val="clear" w:color="auto" w:fill="000080"/>
      <w:bidi/>
    </w:pPr>
    <w:rPr>
      <w:rFonts w:ascii="Tahoma" w:hAnsi="Tahoma" w:cs="Tahoma"/>
      <w:sz w:val="20"/>
      <w:szCs w:val="20"/>
    </w:rPr>
  </w:style>
  <w:style w:type="character" w:customStyle="1" w:styleId="DocumentMapChar">
    <w:name w:val="Document Map Char"/>
    <w:basedOn w:val="DefaultParagraphFont"/>
    <w:link w:val="DocumentMap"/>
    <w:rsid w:val="004A3192"/>
    <w:rPr>
      <w:rFonts w:ascii="Tahoma" w:eastAsia="Times New Roman" w:hAnsi="Tahoma" w:cs="Tahoma"/>
      <w:shd w:val="clear" w:color="auto" w:fill="000080"/>
    </w:rPr>
  </w:style>
  <w:style w:type="table" w:styleId="TableTheme">
    <w:name w:val="Table Theme"/>
    <w:basedOn w:val="TableNormal"/>
    <w:rsid w:val="004A3192"/>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4A3192"/>
    <w:pPr>
      <w:jc w:val="lowKashida"/>
    </w:pPr>
    <w:rPr>
      <w:sz w:val="20"/>
      <w:szCs w:val="20"/>
    </w:rPr>
  </w:style>
  <w:style w:type="character" w:customStyle="1" w:styleId="BodyText3Char">
    <w:name w:val="Body Text 3 Char"/>
    <w:basedOn w:val="DefaultParagraphFont"/>
    <w:link w:val="BodyText3"/>
    <w:rsid w:val="004A3192"/>
    <w:rPr>
      <w:rFonts w:eastAsia="Times New Roman"/>
    </w:rPr>
  </w:style>
  <w:style w:type="paragraph" w:styleId="Title">
    <w:name w:val="Title"/>
    <w:basedOn w:val="Normal"/>
    <w:next w:val="Normal"/>
    <w:link w:val="TitleChar"/>
    <w:qFormat/>
    <w:rsid w:val="004A3192"/>
    <w:pPr>
      <w:bidi/>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A3192"/>
    <w:rPr>
      <w:rFonts w:ascii="Cambria" w:eastAsia="Times New Roman" w:hAnsi="Cambria"/>
      <w:b/>
      <w:bCs/>
      <w:kern w:val="28"/>
      <w:sz w:val="32"/>
      <w:szCs w:val="32"/>
    </w:rPr>
  </w:style>
  <w:style w:type="paragraph" w:styleId="BodyText2">
    <w:name w:val="Body Text 2"/>
    <w:basedOn w:val="Normal"/>
    <w:link w:val="BodyText2Char"/>
    <w:rsid w:val="004A3192"/>
    <w:pPr>
      <w:bidi/>
      <w:spacing w:after="120" w:line="480" w:lineRule="auto"/>
    </w:pPr>
  </w:style>
  <w:style w:type="character" w:customStyle="1" w:styleId="BodyText2Char">
    <w:name w:val="Body Text 2 Char"/>
    <w:basedOn w:val="DefaultParagraphFont"/>
    <w:link w:val="BodyText2"/>
    <w:rsid w:val="004A3192"/>
    <w:rPr>
      <w:rFonts w:eastAsia="Times New Roman"/>
      <w:sz w:val="24"/>
      <w:szCs w:val="24"/>
    </w:rPr>
  </w:style>
  <w:style w:type="paragraph" w:styleId="CommentSubject">
    <w:name w:val="annotation subject"/>
    <w:basedOn w:val="CommentText"/>
    <w:next w:val="CommentText"/>
    <w:link w:val="CommentSubjectChar"/>
    <w:uiPriority w:val="99"/>
    <w:unhideWhenUsed/>
    <w:rsid w:val="004A3192"/>
    <w:rPr>
      <w:rFonts w:cs="Times New Roman"/>
      <w:b/>
      <w:bCs/>
    </w:rPr>
  </w:style>
  <w:style w:type="character" w:customStyle="1" w:styleId="CommentSubjectChar">
    <w:name w:val="Comment Subject Char"/>
    <w:basedOn w:val="CommentTextChar"/>
    <w:link w:val="CommentSubject"/>
    <w:uiPriority w:val="99"/>
    <w:rsid w:val="004A3192"/>
    <w:rPr>
      <w:rFonts w:eastAsia="Times New Roman" w:cs="Simplified Arabic"/>
      <w:b/>
      <w:bCs/>
    </w:rPr>
  </w:style>
  <w:style w:type="character" w:customStyle="1" w:styleId="Heading7Char">
    <w:name w:val="Heading 7 Char"/>
    <w:basedOn w:val="DefaultParagraphFont"/>
    <w:link w:val="Heading7"/>
    <w:uiPriority w:val="9"/>
    <w:rsid w:val="00260CAA"/>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uiPriority w:val="99"/>
    <w:unhideWhenUsed/>
    <w:rsid w:val="00260CAA"/>
    <w:pPr>
      <w:bidi/>
      <w:spacing w:after="120"/>
      <w:ind w:left="360"/>
    </w:pPr>
    <w:rPr>
      <w:sz w:val="16"/>
      <w:szCs w:val="16"/>
    </w:rPr>
  </w:style>
  <w:style w:type="character" w:customStyle="1" w:styleId="BodyTextIndent3Char">
    <w:name w:val="Body Text Indent 3 Char"/>
    <w:basedOn w:val="DefaultParagraphFont"/>
    <w:link w:val="BodyTextIndent3"/>
    <w:uiPriority w:val="99"/>
    <w:rsid w:val="00260CAA"/>
    <w:rPr>
      <w:rFonts w:eastAsia="Times New Roman"/>
      <w:sz w:val="16"/>
      <w:szCs w:val="16"/>
    </w:rPr>
  </w:style>
  <w:style w:type="character" w:customStyle="1" w:styleId="st">
    <w:name w:val="st"/>
    <w:basedOn w:val="DefaultParagraphFont"/>
    <w:rsid w:val="00B5353D"/>
    <w:rPr>
      <w:rFonts w:cs="Times New Roman"/>
    </w:rPr>
  </w:style>
  <w:style w:type="character" w:styleId="Strong">
    <w:name w:val="Strong"/>
    <w:basedOn w:val="DefaultParagraphFont"/>
    <w:uiPriority w:val="22"/>
    <w:qFormat/>
    <w:rsid w:val="00F65D84"/>
    <w:rPr>
      <w:b/>
      <w:bCs/>
    </w:rPr>
  </w:style>
  <w:style w:type="paragraph" w:customStyle="1" w:styleId="restitle">
    <w:name w:val="restitle"/>
    <w:basedOn w:val="Normal"/>
    <w:rsid w:val="006D77CA"/>
    <w:pPr>
      <w:spacing w:before="100" w:beforeAutospacing="1" w:after="100" w:afterAutospacing="1"/>
    </w:pPr>
  </w:style>
  <w:style w:type="paragraph" w:styleId="z-TopofForm">
    <w:name w:val="HTML Top of Form"/>
    <w:basedOn w:val="Normal"/>
    <w:next w:val="Normal"/>
    <w:link w:val="z-TopofFormChar"/>
    <w:hidden/>
    <w:uiPriority w:val="99"/>
    <w:unhideWhenUsed/>
    <w:rsid w:val="004F34A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34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F34A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34A4"/>
    <w:rPr>
      <w:rFonts w:ascii="Arial" w:eastAsia="Times New Roman" w:hAnsi="Arial" w:cs="Arial"/>
      <w:vanish/>
      <w:sz w:val="16"/>
      <w:szCs w:val="16"/>
    </w:rPr>
  </w:style>
  <w:style w:type="character" w:styleId="FollowedHyperlink">
    <w:name w:val="FollowedHyperlink"/>
    <w:basedOn w:val="DefaultParagraphFont"/>
    <w:rsid w:val="00344047"/>
    <w:rPr>
      <w:color w:val="800080" w:themeColor="followedHyperlink"/>
      <w:u w:val="single"/>
    </w:rPr>
  </w:style>
  <w:style w:type="paragraph" w:styleId="BodyTextIndent2">
    <w:name w:val="Body Text Indent 2"/>
    <w:basedOn w:val="Normal"/>
    <w:link w:val="BodyTextIndent2Char"/>
    <w:rsid w:val="008B35E3"/>
    <w:pPr>
      <w:bidi/>
      <w:spacing w:after="120" w:line="480" w:lineRule="auto"/>
      <w:ind w:left="360"/>
    </w:pPr>
  </w:style>
  <w:style w:type="character" w:customStyle="1" w:styleId="BodyTextIndent2Char">
    <w:name w:val="Body Text Indent 2 Char"/>
    <w:basedOn w:val="DefaultParagraphFont"/>
    <w:link w:val="BodyTextIndent2"/>
    <w:rsid w:val="008B35E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547247">
      <w:bodyDiv w:val="1"/>
      <w:marLeft w:val="0"/>
      <w:marRight w:val="0"/>
      <w:marTop w:val="0"/>
      <w:marBottom w:val="0"/>
      <w:divBdr>
        <w:top w:val="none" w:sz="0" w:space="0" w:color="auto"/>
        <w:left w:val="none" w:sz="0" w:space="0" w:color="auto"/>
        <w:bottom w:val="none" w:sz="0" w:space="0" w:color="auto"/>
        <w:right w:val="none" w:sz="0" w:space="0" w:color="auto"/>
      </w:divBdr>
      <w:divsChild>
        <w:div w:id="504981645">
          <w:marLeft w:val="0"/>
          <w:marRight w:val="0"/>
          <w:marTop w:val="0"/>
          <w:marBottom w:val="0"/>
          <w:divBdr>
            <w:top w:val="none" w:sz="0" w:space="0" w:color="auto"/>
            <w:left w:val="none" w:sz="0" w:space="0" w:color="auto"/>
            <w:bottom w:val="none" w:sz="0" w:space="0" w:color="auto"/>
            <w:right w:val="none" w:sz="0" w:space="0" w:color="auto"/>
          </w:divBdr>
          <w:divsChild>
            <w:div w:id="1188519189">
              <w:marLeft w:val="0"/>
              <w:marRight w:val="0"/>
              <w:marTop w:val="0"/>
              <w:marBottom w:val="0"/>
              <w:divBdr>
                <w:top w:val="none" w:sz="0" w:space="0" w:color="auto"/>
                <w:left w:val="none" w:sz="0" w:space="0" w:color="auto"/>
                <w:bottom w:val="none" w:sz="0" w:space="0" w:color="auto"/>
                <w:right w:val="none" w:sz="0" w:space="0" w:color="auto"/>
              </w:divBdr>
              <w:divsChild>
                <w:div w:id="1793860094">
                  <w:marLeft w:val="0"/>
                  <w:marRight w:val="0"/>
                  <w:marTop w:val="0"/>
                  <w:marBottom w:val="0"/>
                  <w:divBdr>
                    <w:top w:val="none" w:sz="0" w:space="0" w:color="auto"/>
                    <w:left w:val="none" w:sz="0" w:space="0" w:color="auto"/>
                    <w:bottom w:val="none" w:sz="0" w:space="0" w:color="auto"/>
                    <w:right w:val="none" w:sz="0" w:space="0" w:color="auto"/>
                  </w:divBdr>
                </w:div>
                <w:div w:id="774712131">
                  <w:marLeft w:val="0"/>
                  <w:marRight w:val="0"/>
                  <w:marTop w:val="0"/>
                  <w:marBottom w:val="0"/>
                  <w:divBdr>
                    <w:top w:val="none" w:sz="0" w:space="0" w:color="auto"/>
                    <w:left w:val="none" w:sz="0" w:space="0" w:color="auto"/>
                    <w:bottom w:val="none" w:sz="0" w:space="0" w:color="auto"/>
                    <w:right w:val="none" w:sz="0" w:space="0" w:color="auto"/>
                  </w:divBdr>
                  <w:divsChild>
                    <w:div w:id="1085420719">
                      <w:marLeft w:val="0"/>
                      <w:marRight w:val="0"/>
                      <w:marTop w:val="0"/>
                      <w:marBottom w:val="0"/>
                      <w:divBdr>
                        <w:top w:val="none" w:sz="0" w:space="0" w:color="auto"/>
                        <w:left w:val="none" w:sz="0" w:space="0" w:color="auto"/>
                        <w:bottom w:val="none" w:sz="0" w:space="0" w:color="auto"/>
                        <w:right w:val="none" w:sz="0" w:space="0" w:color="auto"/>
                      </w:divBdr>
                    </w:div>
                    <w:div w:id="16987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4935">
          <w:marLeft w:val="0"/>
          <w:marRight w:val="0"/>
          <w:marTop w:val="0"/>
          <w:marBottom w:val="0"/>
          <w:divBdr>
            <w:top w:val="none" w:sz="0" w:space="0" w:color="auto"/>
            <w:left w:val="none" w:sz="0" w:space="0" w:color="auto"/>
            <w:bottom w:val="none" w:sz="0" w:space="0" w:color="auto"/>
            <w:right w:val="none" w:sz="0" w:space="0" w:color="auto"/>
          </w:divBdr>
        </w:div>
        <w:div w:id="775832522">
          <w:marLeft w:val="0"/>
          <w:marRight w:val="0"/>
          <w:marTop w:val="0"/>
          <w:marBottom w:val="0"/>
          <w:divBdr>
            <w:top w:val="none" w:sz="0" w:space="0" w:color="auto"/>
            <w:left w:val="none" w:sz="0" w:space="0" w:color="auto"/>
            <w:bottom w:val="none" w:sz="0" w:space="0" w:color="auto"/>
            <w:right w:val="none" w:sz="0" w:space="0" w:color="auto"/>
          </w:divBdr>
        </w:div>
      </w:divsChild>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sChild>
        <w:div w:id="1002512321">
          <w:marLeft w:val="0"/>
          <w:marRight w:val="0"/>
          <w:marTop w:val="0"/>
          <w:marBottom w:val="0"/>
          <w:divBdr>
            <w:top w:val="none" w:sz="0" w:space="0" w:color="auto"/>
            <w:left w:val="none" w:sz="0" w:space="0" w:color="auto"/>
            <w:bottom w:val="none" w:sz="0" w:space="0" w:color="auto"/>
            <w:right w:val="none" w:sz="0" w:space="0" w:color="auto"/>
          </w:divBdr>
        </w:div>
      </w:divsChild>
    </w:div>
    <w:div w:id="17895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7.wmf"/><Relationship Id="rId39" Type="http://schemas.openxmlformats.org/officeDocument/2006/relationships/footer" Target="footer7.xml"/><Relationship Id="rId21" Type="http://schemas.openxmlformats.org/officeDocument/2006/relationships/oleObject" Target="embeddings/oleObject4.bin"/><Relationship Id="rId34" Type="http://schemas.openxmlformats.org/officeDocument/2006/relationships/header" Target="header3.xml"/><Relationship Id="rId42" Type="http://schemas.openxmlformats.org/officeDocument/2006/relationships/header" Target="header5.xml"/><Relationship Id="rId47" Type="http://schemas.openxmlformats.org/officeDocument/2006/relationships/image" Target="media/image14.jpeg"/><Relationship Id="rId50" Type="http://schemas.openxmlformats.org/officeDocument/2006/relationships/image" Target="media/image17.png"/><Relationship Id="rId55"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9.png"/><Relationship Id="rId38" Type="http://schemas.openxmlformats.org/officeDocument/2006/relationships/header" Target="header4.xml"/><Relationship Id="rId46" Type="http://schemas.openxmlformats.org/officeDocument/2006/relationships/image" Target="media/image13.jpeg"/><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oleObject8.bin"/><Relationship Id="rId41" Type="http://schemas.openxmlformats.org/officeDocument/2006/relationships/image" Target="media/image11.png"/><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footer" Target="footer4.xml"/><Relationship Id="rId37" Type="http://schemas.openxmlformats.org/officeDocument/2006/relationships/image" Target="media/image10.png"/><Relationship Id="rId40" Type="http://schemas.openxmlformats.org/officeDocument/2006/relationships/footer" Target="footer8.xml"/><Relationship Id="rId45" Type="http://schemas.openxmlformats.org/officeDocument/2006/relationships/image" Target="media/image12.jpeg"/><Relationship Id="rId53" Type="http://schemas.openxmlformats.org/officeDocument/2006/relationships/footer" Target="footer1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6.xml"/><Relationship Id="rId49" Type="http://schemas.openxmlformats.org/officeDocument/2006/relationships/image" Target="media/image16.jpeg"/><Relationship Id="rId57" Type="http://schemas.openxmlformats.org/officeDocument/2006/relationships/fontTable" Target="fontTable.xml"/><Relationship Id="rId10" Type="http://schemas.openxmlformats.org/officeDocument/2006/relationships/hyperlink" Target="http://www.dx.doi.org/10.7537/marsnsj131215.20" TargetMode="External"/><Relationship Id="rId19" Type="http://schemas.openxmlformats.org/officeDocument/2006/relationships/oleObject" Target="embeddings/oleObject3.bin"/><Relationship Id="rId31" Type="http://schemas.openxmlformats.org/officeDocument/2006/relationships/footer" Target="footer3.xml"/><Relationship Id="rId44" Type="http://schemas.openxmlformats.org/officeDocument/2006/relationships/footer" Target="footer10.xm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oleObject7.bin"/><Relationship Id="rId30" Type="http://schemas.openxmlformats.org/officeDocument/2006/relationships/header" Target="header2.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image" Target="media/image15.jpeg"/><Relationship Id="rId56" Type="http://schemas.openxmlformats.org/officeDocument/2006/relationships/footer" Target="footer14.xml"/><Relationship Id="rId8" Type="http://schemas.openxmlformats.org/officeDocument/2006/relationships/hyperlink" Target="mailto:shaymaa_abdelwahab@yahoo.com" TargetMode="External"/><Relationship Id="rId51" Type="http://schemas.openxmlformats.org/officeDocument/2006/relationships/header" Target="header6.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0A041-C841-452A-BA29-FAF990C7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8839</Words>
  <Characters>47344</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Effect of amino acids on the growth and production of steroids in date palm using tissue culture technique</vt:lpstr>
    </vt:vector>
  </TitlesOfParts>
  <Company>ACPFG, Uni odf Adelaide</Company>
  <LinksUpToDate>false</LinksUpToDate>
  <CharactersWithSpaces>56071</CharactersWithSpaces>
  <SharedDoc>false</SharedDoc>
  <HLinks>
    <vt:vector size="24" baseType="variant">
      <vt:variant>
        <vt:i4>7864411</vt:i4>
      </vt:variant>
      <vt:variant>
        <vt:i4>9</vt:i4>
      </vt:variant>
      <vt:variant>
        <vt:i4>0</vt:i4>
      </vt:variant>
      <vt:variant>
        <vt:i4>5</vt:i4>
      </vt:variant>
      <vt:variant>
        <vt:lpwstr>mailto:yasserwahied@yahoo.com</vt:lpwstr>
      </vt:variant>
      <vt:variant>
        <vt:lpwstr/>
      </vt:variant>
      <vt:variant>
        <vt:i4>2818109</vt:i4>
      </vt:variant>
      <vt:variant>
        <vt:i4>3</vt:i4>
      </vt:variant>
      <vt:variant>
        <vt:i4>0</vt:i4>
      </vt:variant>
      <vt:variant>
        <vt:i4>5</vt:i4>
      </vt:variant>
      <vt:variant>
        <vt:lpwstr>http://www.sciencepub.net/</vt:lpwstr>
      </vt:variant>
      <vt:variant>
        <vt:lpwstr/>
      </vt:variant>
      <vt:variant>
        <vt:i4>7864411</vt:i4>
      </vt:variant>
      <vt:variant>
        <vt:i4>0</vt:i4>
      </vt:variant>
      <vt:variant>
        <vt:i4>0</vt:i4>
      </vt:variant>
      <vt:variant>
        <vt:i4>5</vt:i4>
      </vt:variant>
      <vt:variant>
        <vt:lpwstr>mailto:yasserwahied@yahoo.com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amino acids on the growth and production of steroids in date palm using tissue culture technique</dc:title>
  <dc:creator>Gehan</dc:creator>
  <cp:lastModifiedBy>Administrator</cp:lastModifiedBy>
  <cp:revision>6</cp:revision>
  <cp:lastPrinted>2015-12-29T07:30:00Z</cp:lastPrinted>
  <dcterms:created xsi:type="dcterms:W3CDTF">2015-12-29T12:30:00Z</dcterms:created>
  <dcterms:modified xsi:type="dcterms:W3CDTF">2015-12-30T02:56:00Z</dcterms:modified>
</cp:coreProperties>
</file>