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E3" w:rsidRPr="00940B86" w:rsidRDefault="003A4047" w:rsidP="008E2E6C">
      <w:pPr>
        <w:pStyle w:val="rprtid"/>
        <w:shd w:val="clear" w:color="auto" w:fill="FFFFFF"/>
        <w:jc w:val="center"/>
        <w:rPr>
          <w:b/>
          <w:sz w:val="20"/>
          <w:szCs w:val="20"/>
        </w:rPr>
      </w:pPr>
      <w:r w:rsidRPr="00940B86">
        <w:rPr>
          <w:b/>
          <w:sz w:val="20"/>
          <w:szCs w:val="20"/>
        </w:rPr>
        <w:t>The Effect of C</w:t>
      </w:r>
      <w:r w:rsidR="009E7464" w:rsidRPr="00940B86">
        <w:rPr>
          <w:b/>
          <w:sz w:val="20"/>
          <w:szCs w:val="20"/>
        </w:rPr>
        <w:t>limate on Dengue</w:t>
      </w:r>
      <w:r w:rsidR="003127BD" w:rsidRPr="00940B86">
        <w:rPr>
          <w:b/>
          <w:sz w:val="20"/>
          <w:szCs w:val="20"/>
        </w:rPr>
        <w:t xml:space="preserve"> </w:t>
      </w:r>
      <w:r w:rsidRPr="00940B86">
        <w:rPr>
          <w:b/>
          <w:sz w:val="20"/>
          <w:szCs w:val="20"/>
        </w:rPr>
        <w:t>V</w:t>
      </w:r>
      <w:r w:rsidR="00C607C9" w:rsidRPr="00940B86">
        <w:rPr>
          <w:b/>
          <w:sz w:val="20"/>
          <w:szCs w:val="20"/>
        </w:rPr>
        <w:t>irus</w:t>
      </w:r>
      <w:r w:rsidR="00A620FB" w:rsidRPr="00940B86">
        <w:rPr>
          <w:b/>
          <w:sz w:val="20"/>
          <w:szCs w:val="20"/>
        </w:rPr>
        <w:t xml:space="preserve"> Infections</w:t>
      </w:r>
      <w:r w:rsidR="00C607C9" w:rsidRPr="00940B86">
        <w:rPr>
          <w:b/>
          <w:sz w:val="20"/>
          <w:szCs w:val="20"/>
        </w:rPr>
        <w:t xml:space="preserve"> in </w:t>
      </w:r>
      <w:smartTag w:uri="urn:schemas-microsoft-com:office:smarttags" w:element="country-region">
        <w:smartTag w:uri="urn:schemas-microsoft-com:office:smarttags" w:element="place">
          <w:r w:rsidR="00C607C9" w:rsidRPr="00940B86">
            <w:rPr>
              <w:b/>
              <w:sz w:val="20"/>
              <w:szCs w:val="20"/>
            </w:rPr>
            <w:t>Nigeria</w:t>
          </w:r>
        </w:smartTag>
      </w:smartTag>
    </w:p>
    <w:p w:rsidR="00111723" w:rsidRPr="00940B86" w:rsidRDefault="00111723" w:rsidP="008E2E6C">
      <w:pPr>
        <w:pStyle w:val="rprtid"/>
        <w:shd w:val="clear" w:color="auto" w:fill="FFFFFF"/>
        <w:jc w:val="center"/>
        <w:rPr>
          <w:sz w:val="20"/>
          <w:szCs w:val="20"/>
        </w:rPr>
      </w:pPr>
      <w:r w:rsidRPr="00940B86">
        <w:rPr>
          <w:sz w:val="20"/>
          <w:szCs w:val="20"/>
        </w:rPr>
        <w:t>M.M</w:t>
      </w:r>
      <w:r w:rsidR="008E2E6C" w:rsidRPr="00940B86">
        <w:rPr>
          <w:sz w:val="20"/>
          <w:szCs w:val="20"/>
        </w:rPr>
        <w:t xml:space="preserve"> Baba and</w:t>
      </w:r>
      <w:r w:rsidRPr="00940B86">
        <w:rPr>
          <w:sz w:val="20"/>
          <w:szCs w:val="20"/>
        </w:rPr>
        <w:t xml:space="preserve"> M</w:t>
      </w:r>
      <w:r w:rsidR="008E2E6C" w:rsidRPr="00940B86">
        <w:rPr>
          <w:sz w:val="20"/>
          <w:szCs w:val="20"/>
        </w:rPr>
        <w:t>uhammad Talle</w:t>
      </w:r>
    </w:p>
    <w:p w:rsidR="00111723" w:rsidRPr="00940B86" w:rsidRDefault="00F021A6" w:rsidP="008E2E6C">
      <w:pPr>
        <w:pStyle w:val="rprtid"/>
        <w:shd w:val="clear" w:color="auto" w:fill="FFFFFF"/>
        <w:jc w:val="center"/>
        <w:rPr>
          <w:sz w:val="20"/>
          <w:szCs w:val="20"/>
        </w:rPr>
      </w:pPr>
      <w:smartTag w:uri="urn:schemas-microsoft-com:office:smarttags" w:element="PlaceName">
        <w:r w:rsidRPr="00940B86">
          <w:rPr>
            <w:sz w:val="20"/>
            <w:szCs w:val="20"/>
          </w:rPr>
          <w:t>WHO</w:t>
        </w:r>
      </w:smartTag>
      <w:r w:rsidRPr="00940B86">
        <w:rPr>
          <w:sz w:val="20"/>
          <w:szCs w:val="20"/>
        </w:rPr>
        <w:t xml:space="preserve"> </w:t>
      </w:r>
      <w:smartTag w:uri="urn:schemas-microsoft-com:office:smarttags" w:element="PlaceName">
        <w:r w:rsidRPr="00940B86">
          <w:rPr>
            <w:sz w:val="20"/>
            <w:szCs w:val="20"/>
          </w:rPr>
          <w:t>N</w:t>
        </w:r>
        <w:r w:rsidR="008E2E6C" w:rsidRPr="00940B86">
          <w:rPr>
            <w:sz w:val="20"/>
            <w:szCs w:val="20"/>
          </w:rPr>
          <w:t>ational</w:t>
        </w:r>
      </w:smartTag>
      <w:r w:rsidR="008E2E6C" w:rsidRPr="00940B86">
        <w:rPr>
          <w:sz w:val="20"/>
          <w:szCs w:val="20"/>
        </w:rPr>
        <w:t xml:space="preserve"> </w:t>
      </w:r>
      <w:smartTag w:uri="urn:schemas-microsoft-com:office:smarttags" w:element="PlaceName">
        <w:r w:rsidR="008E2E6C" w:rsidRPr="00940B86">
          <w:rPr>
            <w:sz w:val="20"/>
            <w:szCs w:val="20"/>
          </w:rPr>
          <w:t>Polio</w:t>
        </w:r>
      </w:smartTag>
      <w:r w:rsidR="008E2E6C" w:rsidRPr="00940B86">
        <w:rPr>
          <w:sz w:val="20"/>
          <w:szCs w:val="20"/>
        </w:rPr>
        <w:t xml:space="preserve"> </w:t>
      </w:r>
      <w:smartTag w:uri="urn:schemas-microsoft-com:office:smarttags" w:element="PlaceName">
        <w:r w:rsidR="008E2E6C" w:rsidRPr="00940B86">
          <w:rPr>
            <w:sz w:val="20"/>
            <w:szCs w:val="20"/>
          </w:rPr>
          <w:t>Laboratory</w:t>
        </w:r>
      </w:smartTag>
      <w:r w:rsidR="008E2E6C" w:rsidRPr="00940B86">
        <w:rPr>
          <w:sz w:val="20"/>
          <w:szCs w:val="20"/>
        </w:rPr>
        <w:t xml:space="preserve"> </w:t>
      </w:r>
      <w:smartTag w:uri="urn:schemas-microsoft-com:office:smarttags" w:element="PlaceType">
        <w:r w:rsidR="008E2E6C" w:rsidRPr="00940B86">
          <w:rPr>
            <w:sz w:val="20"/>
            <w:szCs w:val="20"/>
          </w:rPr>
          <w:t>University</w:t>
        </w:r>
      </w:smartTag>
      <w:r w:rsidR="008E2E6C" w:rsidRPr="00940B86">
        <w:rPr>
          <w:sz w:val="20"/>
          <w:szCs w:val="20"/>
        </w:rPr>
        <w:t xml:space="preserve"> of </w:t>
      </w:r>
      <w:smartTag w:uri="urn:schemas-microsoft-com:office:smarttags" w:element="City">
        <w:smartTag w:uri="urn:schemas-microsoft-com:office:smarttags" w:element="place">
          <w:r w:rsidR="008E2E6C" w:rsidRPr="00940B86">
            <w:rPr>
              <w:sz w:val="20"/>
              <w:szCs w:val="20"/>
            </w:rPr>
            <w:t>Maiduguri</w:t>
          </w:r>
        </w:smartTag>
      </w:smartTag>
      <w:r w:rsidR="008E2E6C" w:rsidRPr="00940B86">
        <w:rPr>
          <w:sz w:val="20"/>
          <w:szCs w:val="20"/>
        </w:rPr>
        <w:t xml:space="preserve"> Teaching Hospital</w:t>
      </w:r>
    </w:p>
    <w:p w:rsidR="003127BD" w:rsidRPr="00940B86" w:rsidRDefault="00BA7BE3" w:rsidP="008E2E6C">
      <w:pPr>
        <w:pStyle w:val="rprtid"/>
        <w:shd w:val="clear" w:color="auto" w:fill="FFFFFF"/>
        <w:jc w:val="center"/>
        <w:rPr>
          <w:sz w:val="20"/>
          <w:szCs w:val="20"/>
        </w:rPr>
      </w:pPr>
      <w:r w:rsidRPr="00940B86">
        <w:rPr>
          <w:sz w:val="20"/>
          <w:szCs w:val="20"/>
        </w:rPr>
        <w:t>muhammadt6@gmail.com</w:t>
      </w:r>
    </w:p>
    <w:p w:rsidR="00073FC0" w:rsidRPr="00940B86" w:rsidRDefault="00BA7BE3" w:rsidP="008C227F">
      <w:pPr>
        <w:tabs>
          <w:tab w:val="left" w:pos="5715"/>
          <w:tab w:val="right" w:pos="9360"/>
        </w:tabs>
        <w:spacing w:line="240" w:lineRule="auto"/>
        <w:jc w:val="both"/>
        <w:rPr>
          <w:sz w:val="20"/>
          <w:szCs w:val="20"/>
        </w:rPr>
      </w:pPr>
      <w:r w:rsidRPr="00940B86">
        <w:rPr>
          <w:b/>
          <w:sz w:val="20"/>
          <w:szCs w:val="20"/>
        </w:rPr>
        <w:t>ABSTRACT</w:t>
      </w:r>
      <w:r w:rsidR="006B64C4" w:rsidRPr="00940B86">
        <w:rPr>
          <w:b/>
          <w:sz w:val="20"/>
          <w:szCs w:val="20"/>
        </w:rPr>
        <w:t>:</w:t>
      </w:r>
      <w:r w:rsidR="006B64C4" w:rsidRPr="00940B86">
        <w:rPr>
          <w:sz w:val="20"/>
          <w:szCs w:val="20"/>
        </w:rPr>
        <w:t xml:space="preserve"> </w:t>
      </w:r>
      <w:r w:rsidR="004146BF" w:rsidRPr="00940B86">
        <w:rPr>
          <w:sz w:val="20"/>
          <w:szCs w:val="20"/>
        </w:rPr>
        <w:t xml:space="preserve"> Dengue viruses (serotypes 1-4), </w:t>
      </w:r>
      <w:r w:rsidR="00FE1802" w:rsidRPr="00940B86">
        <w:rPr>
          <w:sz w:val="20"/>
          <w:szCs w:val="20"/>
        </w:rPr>
        <w:t>are the</w:t>
      </w:r>
      <w:r w:rsidR="004146BF" w:rsidRPr="00940B86">
        <w:rPr>
          <w:sz w:val="20"/>
          <w:szCs w:val="20"/>
        </w:rPr>
        <w:t xml:space="preserve"> </w:t>
      </w:r>
      <w:r w:rsidR="00FE1802" w:rsidRPr="00940B86">
        <w:rPr>
          <w:sz w:val="20"/>
          <w:szCs w:val="20"/>
        </w:rPr>
        <w:t>causative agents</w:t>
      </w:r>
      <w:r w:rsidR="004146BF" w:rsidRPr="00940B86">
        <w:rPr>
          <w:sz w:val="20"/>
          <w:szCs w:val="20"/>
        </w:rPr>
        <w:t xml:space="preserve"> of </w:t>
      </w:r>
      <w:r w:rsidR="00FE1802" w:rsidRPr="00940B86">
        <w:rPr>
          <w:sz w:val="20"/>
          <w:szCs w:val="20"/>
        </w:rPr>
        <w:t>dengue fever,</w:t>
      </w:r>
      <w:r w:rsidR="004146BF" w:rsidRPr="00940B86">
        <w:rPr>
          <w:sz w:val="20"/>
          <w:szCs w:val="20"/>
        </w:rPr>
        <w:t xml:space="preserve"> dengue hemorrhagic fever and dengue shock syndrom</w:t>
      </w:r>
      <w:r w:rsidR="004D799E" w:rsidRPr="00940B86">
        <w:rPr>
          <w:sz w:val="20"/>
          <w:szCs w:val="20"/>
        </w:rPr>
        <w:t>e</w:t>
      </w:r>
      <w:r w:rsidR="004146BF" w:rsidRPr="00940B86">
        <w:rPr>
          <w:sz w:val="20"/>
          <w:szCs w:val="20"/>
        </w:rPr>
        <w:t xml:space="preserve"> in humans and  are transmitted predominantly by the  </w:t>
      </w:r>
      <w:r w:rsidR="001E6D7A" w:rsidRPr="00940B86">
        <w:rPr>
          <w:sz w:val="20"/>
          <w:szCs w:val="20"/>
        </w:rPr>
        <w:t xml:space="preserve">Aedes </w:t>
      </w:r>
      <w:r w:rsidR="004146BF" w:rsidRPr="00940B86">
        <w:rPr>
          <w:sz w:val="20"/>
          <w:szCs w:val="20"/>
        </w:rPr>
        <w:t xml:space="preserve"> mosquitoes</w:t>
      </w:r>
      <w:r w:rsidR="001D3533" w:rsidRPr="00940B86">
        <w:rPr>
          <w:sz w:val="20"/>
          <w:szCs w:val="20"/>
        </w:rPr>
        <w:t>.</w:t>
      </w:r>
      <w:r w:rsidR="004146BF" w:rsidRPr="00940B86">
        <w:rPr>
          <w:sz w:val="20"/>
          <w:szCs w:val="20"/>
        </w:rPr>
        <w:t xml:space="preserve"> </w:t>
      </w:r>
      <w:r w:rsidR="00FE1802" w:rsidRPr="00940B86">
        <w:rPr>
          <w:sz w:val="20"/>
          <w:szCs w:val="20"/>
        </w:rPr>
        <w:t xml:space="preserve"> Arbovirus infections are usually sensitive to changes in rainfall and temperature. Consequently, their transmission intensity may be regulated by weather and climate. </w:t>
      </w:r>
      <w:r w:rsidR="00263A52" w:rsidRPr="00940B86">
        <w:rPr>
          <w:sz w:val="20"/>
          <w:szCs w:val="20"/>
        </w:rPr>
        <w:t>This study was designed to determine</w:t>
      </w:r>
      <w:r w:rsidR="00284606" w:rsidRPr="00940B86">
        <w:rPr>
          <w:sz w:val="20"/>
          <w:szCs w:val="20"/>
        </w:rPr>
        <w:t xml:space="preserve"> the seasonal</w:t>
      </w:r>
      <w:r w:rsidR="00CF24EC" w:rsidRPr="00940B86">
        <w:rPr>
          <w:sz w:val="20"/>
          <w:szCs w:val="20"/>
        </w:rPr>
        <w:t xml:space="preserve"> distribution</w:t>
      </w:r>
      <w:r w:rsidR="004146BF" w:rsidRPr="00940B86">
        <w:rPr>
          <w:sz w:val="20"/>
          <w:szCs w:val="20"/>
        </w:rPr>
        <w:t xml:space="preserve"> of dengue </w:t>
      </w:r>
      <w:r w:rsidR="00284606" w:rsidRPr="00940B86">
        <w:rPr>
          <w:sz w:val="20"/>
          <w:szCs w:val="20"/>
        </w:rPr>
        <w:t>virus infections</w:t>
      </w:r>
      <w:r w:rsidR="00CF24EC" w:rsidRPr="00940B86">
        <w:rPr>
          <w:sz w:val="20"/>
          <w:szCs w:val="20"/>
        </w:rPr>
        <w:t xml:space="preserve"> </w:t>
      </w:r>
      <w:r w:rsidR="00284606" w:rsidRPr="00940B86">
        <w:rPr>
          <w:sz w:val="20"/>
          <w:szCs w:val="20"/>
        </w:rPr>
        <w:t>among</w:t>
      </w:r>
      <w:r w:rsidR="00263A52" w:rsidRPr="00940B86">
        <w:rPr>
          <w:sz w:val="20"/>
          <w:szCs w:val="20"/>
        </w:rPr>
        <w:t xml:space="preserve"> febri</w:t>
      </w:r>
      <w:r w:rsidR="00284606" w:rsidRPr="00940B86">
        <w:rPr>
          <w:sz w:val="20"/>
          <w:szCs w:val="20"/>
        </w:rPr>
        <w:t>le patients</w:t>
      </w:r>
      <w:r w:rsidR="001D3533" w:rsidRPr="00940B86">
        <w:rPr>
          <w:sz w:val="20"/>
          <w:szCs w:val="20"/>
        </w:rPr>
        <w:t xml:space="preserve"> in a</w:t>
      </w:r>
      <w:r w:rsidR="004D799E" w:rsidRPr="00940B86">
        <w:rPr>
          <w:sz w:val="20"/>
          <w:szCs w:val="20"/>
        </w:rPr>
        <w:t xml:space="preserve"> semi-arid zone</w:t>
      </w:r>
      <w:r w:rsidR="00284606" w:rsidRPr="00940B86">
        <w:rPr>
          <w:sz w:val="20"/>
          <w:szCs w:val="20"/>
        </w:rPr>
        <w:t xml:space="preserve"> in </w:t>
      </w:r>
      <w:smartTag w:uri="urn:schemas-microsoft-com:office:smarttags" w:element="country-region">
        <w:smartTag w:uri="urn:schemas-microsoft-com:office:smarttags" w:element="place">
          <w:r w:rsidR="00284606" w:rsidRPr="00940B86">
            <w:rPr>
              <w:sz w:val="20"/>
              <w:szCs w:val="20"/>
            </w:rPr>
            <w:t>Nigeria</w:t>
          </w:r>
        </w:smartTag>
      </w:smartTag>
      <w:r w:rsidR="004146BF" w:rsidRPr="00940B86">
        <w:rPr>
          <w:sz w:val="20"/>
          <w:szCs w:val="20"/>
        </w:rPr>
        <w:t xml:space="preserve">. </w:t>
      </w:r>
      <w:r w:rsidR="003E3C74" w:rsidRPr="00940B86">
        <w:rPr>
          <w:sz w:val="20"/>
          <w:szCs w:val="20"/>
        </w:rPr>
        <w:t xml:space="preserve"> 973 samples </w:t>
      </w:r>
      <w:r w:rsidR="00284606" w:rsidRPr="00940B86">
        <w:rPr>
          <w:sz w:val="20"/>
          <w:szCs w:val="20"/>
        </w:rPr>
        <w:t>collected during</w:t>
      </w:r>
      <w:r w:rsidR="003E3C74" w:rsidRPr="00940B86">
        <w:rPr>
          <w:sz w:val="20"/>
          <w:szCs w:val="20"/>
        </w:rPr>
        <w:t xml:space="preserve"> the</w:t>
      </w:r>
      <w:r w:rsidR="001D3533" w:rsidRPr="00940B86">
        <w:rPr>
          <w:sz w:val="20"/>
          <w:szCs w:val="20"/>
        </w:rPr>
        <w:t xml:space="preserve"> rainy, harmattan</w:t>
      </w:r>
      <w:r w:rsidR="00FE1802" w:rsidRPr="00940B86">
        <w:rPr>
          <w:sz w:val="20"/>
          <w:szCs w:val="20"/>
        </w:rPr>
        <w:t xml:space="preserve"> (cold)</w:t>
      </w:r>
      <w:r w:rsidR="001D3533" w:rsidRPr="00940B86">
        <w:rPr>
          <w:sz w:val="20"/>
          <w:szCs w:val="20"/>
        </w:rPr>
        <w:t xml:space="preserve"> and dry seasons</w:t>
      </w:r>
      <w:r w:rsidR="003E3C74" w:rsidRPr="00940B86">
        <w:rPr>
          <w:sz w:val="20"/>
          <w:szCs w:val="20"/>
        </w:rPr>
        <w:t xml:space="preserve"> of the year</w:t>
      </w:r>
      <w:r w:rsidR="004D799E" w:rsidRPr="00940B86">
        <w:rPr>
          <w:sz w:val="20"/>
          <w:szCs w:val="20"/>
        </w:rPr>
        <w:t xml:space="preserve"> in</w:t>
      </w:r>
      <w:r w:rsidR="001D3533" w:rsidRPr="00940B86">
        <w:rPr>
          <w:sz w:val="20"/>
          <w:szCs w:val="20"/>
        </w:rPr>
        <w:t xml:space="preserve"> a semi-arid zone</w:t>
      </w:r>
      <w:r w:rsidR="004146BF" w:rsidRPr="00940B86">
        <w:rPr>
          <w:sz w:val="20"/>
          <w:szCs w:val="20"/>
        </w:rPr>
        <w:t xml:space="preserve">  were tested for</w:t>
      </w:r>
      <w:r w:rsidR="004D799E" w:rsidRPr="00940B86">
        <w:rPr>
          <w:sz w:val="20"/>
          <w:szCs w:val="20"/>
        </w:rPr>
        <w:t xml:space="preserve"> antibodies</w:t>
      </w:r>
      <w:r w:rsidR="004146BF" w:rsidRPr="00940B86">
        <w:rPr>
          <w:sz w:val="20"/>
          <w:szCs w:val="20"/>
        </w:rPr>
        <w:t xml:space="preserve"> </w:t>
      </w:r>
      <w:r w:rsidR="001D3533" w:rsidRPr="00940B86">
        <w:rPr>
          <w:sz w:val="20"/>
          <w:szCs w:val="20"/>
        </w:rPr>
        <w:t xml:space="preserve">to </w:t>
      </w:r>
      <w:r w:rsidR="004146BF" w:rsidRPr="00940B86">
        <w:rPr>
          <w:sz w:val="20"/>
          <w:szCs w:val="20"/>
        </w:rPr>
        <w:t>dengue viruses</w:t>
      </w:r>
      <w:r w:rsidR="00284606" w:rsidRPr="00940B86">
        <w:rPr>
          <w:sz w:val="20"/>
          <w:szCs w:val="20"/>
        </w:rPr>
        <w:t xml:space="preserve"> by MAC ELISA</w:t>
      </w:r>
      <w:r w:rsidR="003E3C74" w:rsidRPr="00940B86">
        <w:rPr>
          <w:sz w:val="20"/>
          <w:szCs w:val="20"/>
        </w:rPr>
        <w:t>.</w:t>
      </w:r>
      <w:r w:rsidR="004D799E" w:rsidRPr="00940B86">
        <w:rPr>
          <w:sz w:val="20"/>
          <w:szCs w:val="20"/>
        </w:rPr>
        <w:t xml:space="preserve">  Den IgM positive samples were further tested by PRNT and RT-PCR. </w:t>
      </w:r>
      <w:r w:rsidR="007E4462" w:rsidRPr="00940B86">
        <w:rPr>
          <w:color w:val="000000"/>
          <w:sz w:val="20"/>
          <w:szCs w:val="20"/>
        </w:rPr>
        <w:t>Five (0.5%) of the 973 sera were positive for DEN virus IgM antibodies (4 DEN-2 and 1 DEN-1). A patient had an acute DEN-2 virus infection as demonstrated by a very high OD value of 1.151. All the sera that were DEN IgM positive by MAC-ELISA were found posit</w:t>
      </w:r>
      <w:r w:rsidR="001D3533" w:rsidRPr="00940B86">
        <w:rPr>
          <w:color w:val="000000"/>
          <w:sz w:val="20"/>
          <w:szCs w:val="20"/>
        </w:rPr>
        <w:t>ive by PRNT</w:t>
      </w:r>
      <w:r w:rsidR="007E4462" w:rsidRPr="00940B86">
        <w:rPr>
          <w:color w:val="000000"/>
          <w:sz w:val="20"/>
          <w:szCs w:val="20"/>
        </w:rPr>
        <w:t>. Two sera which showed mixed infections of WNV and dengue by MAC-ELISA were later confirmed to be positive for WNV by PRNT</w:t>
      </w:r>
      <w:r w:rsidR="007E4462" w:rsidRPr="00940B86">
        <w:rPr>
          <w:sz w:val="20"/>
          <w:szCs w:val="20"/>
        </w:rPr>
        <w:t>.</w:t>
      </w:r>
      <w:r w:rsidR="001D3533" w:rsidRPr="00940B86">
        <w:rPr>
          <w:sz w:val="20"/>
          <w:szCs w:val="20"/>
        </w:rPr>
        <w:t xml:space="preserve"> DEN </w:t>
      </w:r>
      <w:r w:rsidR="001D3533" w:rsidRPr="00940B86">
        <w:rPr>
          <w:bCs/>
          <w:color w:val="000000"/>
          <w:sz w:val="20"/>
          <w:szCs w:val="20"/>
        </w:rPr>
        <w:t xml:space="preserve">antibodies were significantly higher during the rainy season (1.3%) than the cold harmattan period (0.3%). No </w:t>
      </w:r>
      <w:r w:rsidR="00FE1802" w:rsidRPr="00940B86">
        <w:rPr>
          <w:bCs/>
          <w:color w:val="000000"/>
          <w:sz w:val="20"/>
          <w:szCs w:val="20"/>
        </w:rPr>
        <w:t>IgM antibody</w:t>
      </w:r>
      <w:r w:rsidR="001D3533" w:rsidRPr="00940B86">
        <w:rPr>
          <w:bCs/>
          <w:color w:val="000000"/>
          <w:sz w:val="20"/>
          <w:szCs w:val="20"/>
        </w:rPr>
        <w:t xml:space="preserve"> to DEN virus was detected during the dry season.  </w:t>
      </w:r>
      <w:r w:rsidR="00092050" w:rsidRPr="00940B86">
        <w:rPr>
          <w:bCs/>
          <w:color w:val="000000"/>
          <w:sz w:val="20"/>
          <w:szCs w:val="20"/>
        </w:rPr>
        <w:t xml:space="preserve">July may be the peak of dengue virus activities in a semi-arid zone in </w:t>
      </w:r>
      <w:smartTag w:uri="urn:schemas-microsoft-com:office:smarttags" w:element="country-region">
        <w:smartTag w:uri="urn:schemas-microsoft-com:office:smarttags" w:element="place">
          <w:r w:rsidR="00092050" w:rsidRPr="00940B86">
            <w:rPr>
              <w:bCs/>
              <w:color w:val="000000"/>
              <w:sz w:val="20"/>
              <w:szCs w:val="20"/>
            </w:rPr>
            <w:t>Nigeria</w:t>
          </w:r>
        </w:smartTag>
      </w:smartTag>
      <w:r w:rsidR="00092050" w:rsidRPr="00940B86">
        <w:rPr>
          <w:bCs/>
          <w:color w:val="000000"/>
          <w:sz w:val="20"/>
          <w:szCs w:val="20"/>
        </w:rPr>
        <w:t>.</w:t>
      </w:r>
      <w:r w:rsidR="003E3C74" w:rsidRPr="00940B86">
        <w:rPr>
          <w:sz w:val="20"/>
          <w:szCs w:val="20"/>
        </w:rPr>
        <w:t xml:space="preserve"> </w:t>
      </w:r>
      <w:r w:rsidR="00284606" w:rsidRPr="00940B86">
        <w:rPr>
          <w:bCs/>
          <w:sz w:val="20"/>
          <w:szCs w:val="20"/>
        </w:rPr>
        <w:t>Disease surveillance and control are best exercised during the season</w:t>
      </w:r>
      <w:r w:rsidR="00092050" w:rsidRPr="00940B86">
        <w:rPr>
          <w:bCs/>
          <w:sz w:val="20"/>
          <w:szCs w:val="20"/>
        </w:rPr>
        <w:t xml:space="preserve"> and </w:t>
      </w:r>
      <w:r w:rsidR="00342859" w:rsidRPr="00940B86">
        <w:rPr>
          <w:bCs/>
          <w:sz w:val="20"/>
          <w:szCs w:val="20"/>
        </w:rPr>
        <w:t>month with</w:t>
      </w:r>
      <w:r w:rsidR="00284606" w:rsidRPr="00940B86">
        <w:rPr>
          <w:bCs/>
          <w:sz w:val="20"/>
          <w:szCs w:val="20"/>
        </w:rPr>
        <w:t xml:space="preserve"> highest virus activity.</w:t>
      </w:r>
    </w:p>
    <w:p w:rsidR="00DB4CFA" w:rsidRPr="00940B86" w:rsidRDefault="00940B86" w:rsidP="008C227F">
      <w:pPr>
        <w:pStyle w:val="Default"/>
        <w:jc w:val="both"/>
        <w:rPr>
          <w:sz w:val="20"/>
          <w:szCs w:val="20"/>
        </w:rPr>
      </w:pPr>
      <w:r w:rsidRPr="00940B86">
        <w:rPr>
          <w:b/>
          <w:sz w:val="20"/>
          <w:szCs w:val="20"/>
        </w:rPr>
        <w:t>[</w:t>
      </w:r>
      <w:r w:rsidRPr="00940B86">
        <w:rPr>
          <w:sz w:val="20"/>
          <w:szCs w:val="20"/>
        </w:rPr>
        <w:t>M.M Baba and Muhammad Talle.</w:t>
      </w:r>
      <w:r w:rsidRPr="00940B86">
        <w:rPr>
          <w:b/>
          <w:sz w:val="20"/>
          <w:szCs w:val="20"/>
        </w:rPr>
        <w:t xml:space="preserve"> The Effect of Climate on Dengue Virus Infections in </w:t>
      </w:r>
      <w:smartTag w:uri="urn:schemas-microsoft-com:office:smarttags" w:element="country-region">
        <w:smartTag w:uri="urn:schemas-microsoft-com:office:smarttags" w:element="place">
          <w:r w:rsidRPr="00940B86">
            <w:rPr>
              <w:b/>
              <w:sz w:val="20"/>
              <w:szCs w:val="20"/>
            </w:rPr>
            <w:t>Nigeria</w:t>
          </w:r>
        </w:smartTag>
      </w:smartTag>
      <w:r w:rsidRPr="00940B86">
        <w:rPr>
          <w:b/>
          <w:sz w:val="20"/>
          <w:szCs w:val="20"/>
        </w:rPr>
        <w:t>.</w:t>
      </w:r>
      <w:r w:rsidRPr="00940B86">
        <w:rPr>
          <w:sz w:val="20"/>
          <w:szCs w:val="20"/>
        </w:rPr>
        <w:t xml:space="preserve"> </w:t>
      </w:r>
      <w:r w:rsidR="003D4FDA" w:rsidRPr="00940B86">
        <w:rPr>
          <w:sz w:val="20"/>
          <w:szCs w:val="20"/>
        </w:rPr>
        <w:t>New York Science Journal 2011;4(1):</w:t>
      </w:r>
      <w:r w:rsidRPr="00940B86">
        <w:rPr>
          <w:sz w:val="20"/>
          <w:szCs w:val="20"/>
        </w:rPr>
        <w:t>28-3</w:t>
      </w:r>
      <w:r w:rsidR="00C06BAF">
        <w:rPr>
          <w:sz w:val="20"/>
          <w:szCs w:val="20"/>
        </w:rPr>
        <w:t>3</w:t>
      </w:r>
      <w:r w:rsidR="003D4FDA" w:rsidRPr="00940B86">
        <w:rPr>
          <w:sz w:val="20"/>
          <w:szCs w:val="20"/>
        </w:rPr>
        <w:t xml:space="preserve">]. (ISSN: 1554-0200). </w:t>
      </w:r>
      <w:hyperlink r:id="rId7" w:history="1">
        <w:r w:rsidR="003D4FDA" w:rsidRPr="00940B86">
          <w:rPr>
            <w:rStyle w:val="Hyperlink"/>
            <w:sz w:val="20"/>
            <w:szCs w:val="20"/>
          </w:rPr>
          <w:t>http://www.sciencepub.net/newyork</w:t>
        </w:r>
      </w:hyperlink>
      <w:r w:rsidR="003D4FDA" w:rsidRPr="00940B86">
        <w:rPr>
          <w:sz w:val="20"/>
          <w:szCs w:val="20"/>
        </w:rPr>
        <w:t>.</w:t>
      </w:r>
    </w:p>
    <w:p w:rsidR="003D4FDA" w:rsidRPr="00940B86" w:rsidRDefault="003D4FDA" w:rsidP="008C227F">
      <w:pPr>
        <w:pStyle w:val="Default"/>
        <w:jc w:val="both"/>
        <w:rPr>
          <w:b/>
          <w:sz w:val="20"/>
          <w:szCs w:val="20"/>
        </w:rPr>
      </w:pPr>
    </w:p>
    <w:p w:rsidR="003D0008" w:rsidRPr="00940B86" w:rsidRDefault="003D0008" w:rsidP="008C227F">
      <w:pPr>
        <w:pStyle w:val="Default"/>
        <w:jc w:val="both"/>
        <w:rPr>
          <w:sz w:val="20"/>
          <w:szCs w:val="20"/>
        </w:rPr>
      </w:pPr>
      <w:r w:rsidRPr="00940B86">
        <w:rPr>
          <w:b/>
          <w:sz w:val="20"/>
          <w:szCs w:val="20"/>
        </w:rPr>
        <w:t xml:space="preserve">Keyword: </w:t>
      </w:r>
      <w:r w:rsidR="003127BD" w:rsidRPr="00940B86">
        <w:rPr>
          <w:sz w:val="20"/>
          <w:szCs w:val="20"/>
        </w:rPr>
        <w:t>D</w:t>
      </w:r>
      <w:r w:rsidRPr="00940B86">
        <w:rPr>
          <w:sz w:val="20"/>
          <w:szCs w:val="20"/>
        </w:rPr>
        <w:t xml:space="preserve">engue and </w:t>
      </w:r>
      <w:r w:rsidR="003127BD" w:rsidRPr="00940B86">
        <w:rPr>
          <w:sz w:val="20"/>
          <w:szCs w:val="20"/>
        </w:rPr>
        <w:t>W</w:t>
      </w:r>
      <w:r w:rsidR="00A620FB" w:rsidRPr="00940B86">
        <w:rPr>
          <w:sz w:val="20"/>
          <w:szCs w:val="20"/>
        </w:rPr>
        <w:t>est</w:t>
      </w:r>
      <w:r w:rsidR="003127BD" w:rsidRPr="00940B86">
        <w:rPr>
          <w:sz w:val="20"/>
          <w:szCs w:val="20"/>
        </w:rPr>
        <w:t xml:space="preserve"> Nile viruses, Antibodies, Season, </w:t>
      </w:r>
      <w:smartTag w:uri="urn:schemas-microsoft-com:office:smarttags" w:element="country-region">
        <w:smartTag w:uri="urn:schemas-microsoft-com:office:smarttags" w:element="place">
          <w:r w:rsidR="003127BD" w:rsidRPr="00940B86">
            <w:rPr>
              <w:sz w:val="20"/>
              <w:szCs w:val="20"/>
            </w:rPr>
            <w:t>Nigeria</w:t>
          </w:r>
        </w:smartTag>
      </w:smartTag>
      <w:r w:rsidR="003127BD" w:rsidRPr="00940B86">
        <w:rPr>
          <w:sz w:val="20"/>
          <w:szCs w:val="20"/>
        </w:rPr>
        <w:t>.</w:t>
      </w:r>
    </w:p>
    <w:p w:rsidR="00705797" w:rsidRPr="00940B86" w:rsidRDefault="00705797" w:rsidP="008C227F">
      <w:pPr>
        <w:pStyle w:val="Default"/>
        <w:jc w:val="both"/>
        <w:rPr>
          <w:sz w:val="20"/>
          <w:szCs w:val="20"/>
        </w:rPr>
      </w:pPr>
    </w:p>
    <w:p w:rsidR="00A74389" w:rsidRPr="00940B86" w:rsidRDefault="00A74389" w:rsidP="008C227F">
      <w:pPr>
        <w:spacing w:line="240" w:lineRule="auto"/>
        <w:jc w:val="both"/>
        <w:rPr>
          <w:b/>
          <w:sz w:val="20"/>
          <w:szCs w:val="20"/>
        </w:rPr>
        <w:sectPr w:rsidR="00A74389" w:rsidRPr="00940B86" w:rsidSect="00940B86">
          <w:headerReference w:type="default" r:id="rId8"/>
          <w:footerReference w:type="even" r:id="rId9"/>
          <w:footerReference w:type="default" r:id="rId10"/>
          <w:pgSz w:w="12240" w:h="15840"/>
          <w:pgMar w:top="1440" w:right="1440" w:bottom="1440" w:left="1440" w:header="720" w:footer="720" w:gutter="0"/>
          <w:pgNumType w:start="28"/>
          <w:cols w:space="720"/>
          <w:docGrid w:linePitch="360"/>
        </w:sectPr>
      </w:pPr>
    </w:p>
    <w:p w:rsidR="00073FC0" w:rsidRPr="00940B86" w:rsidRDefault="000644EF" w:rsidP="008C227F">
      <w:pPr>
        <w:spacing w:line="240" w:lineRule="auto"/>
        <w:jc w:val="both"/>
        <w:rPr>
          <w:b/>
          <w:sz w:val="20"/>
          <w:szCs w:val="20"/>
        </w:rPr>
      </w:pPr>
      <w:r w:rsidRPr="00940B86">
        <w:rPr>
          <w:b/>
          <w:sz w:val="20"/>
          <w:szCs w:val="20"/>
        </w:rPr>
        <w:lastRenderedPageBreak/>
        <w:t>INTRODUCTION</w:t>
      </w:r>
    </w:p>
    <w:p w:rsidR="00DE5281" w:rsidRPr="00940B86" w:rsidRDefault="00FD433A" w:rsidP="00940B86">
      <w:pPr>
        <w:autoSpaceDE w:val="0"/>
        <w:autoSpaceDN w:val="0"/>
        <w:adjustRightInd w:val="0"/>
        <w:spacing w:after="0" w:line="240" w:lineRule="auto"/>
        <w:ind w:firstLine="540"/>
        <w:jc w:val="both"/>
        <w:rPr>
          <w:sz w:val="20"/>
          <w:szCs w:val="20"/>
        </w:rPr>
      </w:pPr>
      <w:r w:rsidRPr="00940B86">
        <w:rPr>
          <w:sz w:val="20"/>
          <w:szCs w:val="20"/>
        </w:rPr>
        <w:t xml:space="preserve">Dengue </w:t>
      </w:r>
      <w:r w:rsidR="006240E4" w:rsidRPr="00940B86">
        <w:rPr>
          <w:sz w:val="20"/>
          <w:szCs w:val="20"/>
        </w:rPr>
        <w:t>(DEN)</w:t>
      </w:r>
      <w:r w:rsidR="00A91313" w:rsidRPr="00940B86">
        <w:rPr>
          <w:sz w:val="20"/>
          <w:szCs w:val="20"/>
        </w:rPr>
        <w:t xml:space="preserve"> viruses</w:t>
      </w:r>
      <w:r w:rsidR="006240E4" w:rsidRPr="00940B86">
        <w:rPr>
          <w:sz w:val="20"/>
          <w:szCs w:val="20"/>
        </w:rPr>
        <w:t xml:space="preserve"> </w:t>
      </w:r>
      <w:r w:rsidRPr="00940B86">
        <w:rPr>
          <w:sz w:val="20"/>
          <w:szCs w:val="20"/>
        </w:rPr>
        <w:t>are the most widely distributed and damaging arthropod-borne viruses (arboviruses) affecting humans.</w:t>
      </w:r>
      <w:r w:rsidR="003A61A8" w:rsidRPr="00940B86">
        <w:rPr>
          <w:sz w:val="20"/>
          <w:szCs w:val="20"/>
        </w:rPr>
        <w:t xml:space="preserve">  Th</w:t>
      </w:r>
      <w:r w:rsidR="006C08D6" w:rsidRPr="00940B86">
        <w:rPr>
          <w:sz w:val="20"/>
          <w:szCs w:val="20"/>
        </w:rPr>
        <w:t xml:space="preserve">ese </w:t>
      </w:r>
      <w:r w:rsidR="00DB4F43" w:rsidRPr="00940B86">
        <w:rPr>
          <w:sz w:val="20"/>
          <w:szCs w:val="20"/>
        </w:rPr>
        <w:t>viruses are</w:t>
      </w:r>
      <w:r w:rsidR="003A61A8" w:rsidRPr="00940B86">
        <w:rPr>
          <w:sz w:val="20"/>
          <w:szCs w:val="20"/>
        </w:rPr>
        <w:t xml:space="preserve"> transmitted by mosquitoes that are sensitive to</w:t>
      </w:r>
      <w:r w:rsidRPr="00940B86">
        <w:rPr>
          <w:sz w:val="20"/>
          <w:szCs w:val="20"/>
        </w:rPr>
        <w:t xml:space="preserve"> </w:t>
      </w:r>
      <w:r w:rsidR="003A61A8" w:rsidRPr="00940B86">
        <w:rPr>
          <w:sz w:val="20"/>
          <w:szCs w:val="20"/>
        </w:rPr>
        <w:t xml:space="preserve">changes in rainfall and temperature. Consequently, their transmission intensity may be regulated </w:t>
      </w:r>
      <w:r w:rsidR="00342859" w:rsidRPr="00940B86">
        <w:rPr>
          <w:sz w:val="20"/>
          <w:szCs w:val="20"/>
        </w:rPr>
        <w:t>by weather and climate.  (Johan</w:t>
      </w:r>
      <w:r w:rsidR="003A61A8" w:rsidRPr="00940B86">
        <w:rPr>
          <w:sz w:val="20"/>
          <w:szCs w:val="20"/>
        </w:rPr>
        <w:t xml:space="preserve">son et al 2009). </w:t>
      </w:r>
      <w:r w:rsidR="007561D2" w:rsidRPr="00940B86">
        <w:rPr>
          <w:sz w:val="20"/>
          <w:szCs w:val="20"/>
        </w:rPr>
        <w:t xml:space="preserve">DEN </w:t>
      </w:r>
      <w:r w:rsidR="00E1371E" w:rsidRPr="00940B86">
        <w:rPr>
          <w:sz w:val="20"/>
          <w:szCs w:val="20"/>
        </w:rPr>
        <w:t>viruses cause Dengue</w:t>
      </w:r>
      <w:r w:rsidR="007561D2" w:rsidRPr="00940B86">
        <w:rPr>
          <w:sz w:val="20"/>
          <w:szCs w:val="20"/>
        </w:rPr>
        <w:t xml:space="preserve"> fever  (DF),  dengue haemorrhagic fever (DHF)/ den</w:t>
      </w:r>
      <w:r w:rsidR="00A91313" w:rsidRPr="00940B86">
        <w:rPr>
          <w:sz w:val="20"/>
          <w:szCs w:val="20"/>
        </w:rPr>
        <w:t>gue shock syndrome (DSS)</w:t>
      </w:r>
      <w:r w:rsidR="006B1FD3" w:rsidRPr="00940B86">
        <w:rPr>
          <w:sz w:val="20"/>
          <w:szCs w:val="20"/>
        </w:rPr>
        <w:t xml:space="preserve">. </w:t>
      </w:r>
      <w:r w:rsidR="006C08D6" w:rsidRPr="00940B86">
        <w:rPr>
          <w:sz w:val="20"/>
          <w:szCs w:val="20"/>
        </w:rPr>
        <w:t xml:space="preserve"> The t</w:t>
      </w:r>
      <w:r w:rsidR="006B1FD3" w:rsidRPr="00940B86">
        <w:rPr>
          <w:sz w:val="20"/>
          <w:szCs w:val="20"/>
        </w:rPr>
        <w:t>ransmission</w:t>
      </w:r>
      <w:r w:rsidR="006C08D6" w:rsidRPr="00940B86">
        <w:rPr>
          <w:sz w:val="20"/>
          <w:szCs w:val="20"/>
        </w:rPr>
        <w:t xml:space="preserve"> of these diseases</w:t>
      </w:r>
      <w:r w:rsidR="006B1FD3" w:rsidRPr="00940B86">
        <w:rPr>
          <w:sz w:val="20"/>
          <w:szCs w:val="20"/>
        </w:rPr>
        <w:t xml:space="preserve"> is climate sensitive for several reasons: mosquitoes require standing water to breed and a warm ambient temperature is critical to adult </w:t>
      </w:r>
      <w:r w:rsidR="006240E4" w:rsidRPr="00940B86">
        <w:rPr>
          <w:sz w:val="20"/>
          <w:szCs w:val="20"/>
        </w:rPr>
        <w:t>feeding behavior, the mortality</w:t>
      </w:r>
      <w:r w:rsidR="006B1FD3" w:rsidRPr="00940B86">
        <w:rPr>
          <w:sz w:val="20"/>
          <w:szCs w:val="20"/>
        </w:rPr>
        <w:t xml:space="preserve"> rate of larval development and speed of virus replication (</w:t>
      </w:r>
      <w:r w:rsidR="004E7990" w:rsidRPr="00940B86">
        <w:rPr>
          <w:sz w:val="20"/>
          <w:szCs w:val="20"/>
        </w:rPr>
        <w:t>Keirans and Fay 1968</w:t>
      </w:r>
      <w:r w:rsidR="006B1FD3" w:rsidRPr="00940B86">
        <w:rPr>
          <w:sz w:val="20"/>
          <w:szCs w:val="20"/>
        </w:rPr>
        <w:t>).</w:t>
      </w:r>
      <w:r w:rsidR="000F7934" w:rsidRPr="00940B86">
        <w:rPr>
          <w:sz w:val="20"/>
          <w:szCs w:val="20"/>
        </w:rPr>
        <w:t xml:space="preserve"> </w:t>
      </w:r>
      <w:r w:rsidR="001E6D7A" w:rsidRPr="00940B86">
        <w:rPr>
          <w:color w:val="000000"/>
          <w:sz w:val="20"/>
          <w:szCs w:val="20"/>
        </w:rPr>
        <w:t>In countries where transmission does routinely occur, short-term changes in weather, particularly temperature, precipitation, and humidity, are often </w:t>
      </w:r>
      <w:hyperlink r:id="rId11" w:anchor="climate" w:history="1">
        <w:r w:rsidR="001E6D7A" w:rsidRPr="00940B86">
          <w:rPr>
            <w:sz w:val="20"/>
            <w:szCs w:val="20"/>
          </w:rPr>
          <w:t>correlated with dengue incidence</w:t>
        </w:r>
      </w:hyperlink>
      <w:r w:rsidR="001E6D7A" w:rsidRPr="00940B86">
        <w:rPr>
          <w:sz w:val="20"/>
          <w:szCs w:val="20"/>
        </w:rPr>
        <w:t xml:space="preserve">. (CDC, 2010). </w:t>
      </w:r>
      <w:r w:rsidR="000F7934" w:rsidRPr="00940B86">
        <w:rPr>
          <w:sz w:val="20"/>
          <w:szCs w:val="20"/>
        </w:rPr>
        <w:t xml:space="preserve"> DEN </w:t>
      </w:r>
      <w:r w:rsidR="00AC07A5" w:rsidRPr="00940B86">
        <w:rPr>
          <w:sz w:val="20"/>
          <w:szCs w:val="20"/>
        </w:rPr>
        <w:t>viruses have</w:t>
      </w:r>
      <w:r w:rsidR="000F7934" w:rsidRPr="00940B86">
        <w:rPr>
          <w:sz w:val="20"/>
          <w:szCs w:val="20"/>
        </w:rPr>
        <w:t xml:space="preserve"> been reported to cause seasonal epidemics of varying sizes in tropical and subtropical regions of the world</w:t>
      </w:r>
      <w:r w:rsidR="00DE5281" w:rsidRPr="00940B86">
        <w:rPr>
          <w:sz w:val="20"/>
          <w:szCs w:val="20"/>
        </w:rPr>
        <w:t xml:space="preserve">. </w:t>
      </w:r>
      <w:r w:rsidR="004E7990" w:rsidRPr="00940B86">
        <w:rPr>
          <w:sz w:val="20"/>
          <w:szCs w:val="20"/>
        </w:rPr>
        <w:t>( Christophers 1960, Keirans</w:t>
      </w:r>
      <w:r w:rsidRPr="00940B86">
        <w:rPr>
          <w:sz w:val="20"/>
          <w:szCs w:val="20"/>
        </w:rPr>
        <w:t xml:space="preserve"> and Fay 196</w:t>
      </w:r>
      <w:r w:rsidR="004E7990" w:rsidRPr="00940B86">
        <w:rPr>
          <w:sz w:val="20"/>
          <w:szCs w:val="20"/>
        </w:rPr>
        <w:t>8, Pant and Yasuno</w:t>
      </w:r>
      <w:r w:rsidRPr="00940B86">
        <w:rPr>
          <w:sz w:val="20"/>
          <w:szCs w:val="20"/>
        </w:rPr>
        <w:t xml:space="preserve"> 1973, Reuda</w:t>
      </w:r>
      <w:r w:rsidR="004E7990" w:rsidRPr="00940B86">
        <w:rPr>
          <w:sz w:val="20"/>
          <w:szCs w:val="20"/>
        </w:rPr>
        <w:t xml:space="preserve"> </w:t>
      </w:r>
      <w:r w:rsidRPr="00940B86">
        <w:rPr>
          <w:sz w:val="20"/>
          <w:szCs w:val="20"/>
        </w:rPr>
        <w:t>et al 1990)</w:t>
      </w:r>
      <w:r w:rsidR="00A22BF6" w:rsidRPr="00940B86">
        <w:rPr>
          <w:sz w:val="20"/>
          <w:szCs w:val="20"/>
        </w:rPr>
        <w:t xml:space="preserve">. </w:t>
      </w:r>
      <w:r w:rsidR="00FE1802" w:rsidRPr="00940B86">
        <w:rPr>
          <w:sz w:val="20"/>
          <w:szCs w:val="20"/>
        </w:rPr>
        <w:t xml:space="preserve"> Despite the public health importance of diseases caused by these viruses,</w:t>
      </w:r>
      <w:r w:rsidR="00940B86" w:rsidRPr="00940B86">
        <w:rPr>
          <w:sz w:val="20"/>
          <w:szCs w:val="20"/>
        </w:rPr>
        <w:t xml:space="preserve"> </w:t>
      </w:r>
      <w:r w:rsidR="00FE1802" w:rsidRPr="00940B86">
        <w:rPr>
          <w:sz w:val="20"/>
          <w:szCs w:val="20"/>
        </w:rPr>
        <w:t>s</w:t>
      </w:r>
      <w:r w:rsidR="006B1FD3" w:rsidRPr="00940B86">
        <w:rPr>
          <w:sz w:val="20"/>
          <w:szCs w:val="20"/>
        </w:rPr>
        <w:t xml:space="preserve">urveillance for arbovirus activities in </w:t>
      </w:r>
      <w:smartTag w:uri="urn:schemas-microsoft-com:office:smarttags" w:element="country-region">
        <w:smartTag w:uri="urn:schemas-microsoft-com:office:smarttags" w:element="place">
          <w:r w:rsidR="006B1FD3" w:rsidRPr="00940B86">
            <w:rPr>
              <w:sz w:val="20"/>
              <w:szCs w:val="20"/>
            </w:rPr>
            <w:lastRenderedPageBreak/>
            <w:t>Nigeria</w:t>
          </w:r>
        </w:smartTag>
      </w:smartTag>
      <w:r w:rsidR="006B1FD3" w:rsidRPr="00940B86">
        <w:rPr>
          <w:sz w:val="20"/>
          <w:szCs w:val="20"/>
        </w:rPr>
        <w:t xml:space="preserve"> is generally </w:t>
      </w:r>
      <w:r w:rsidR="0056076A" w:rsidRPr="00940B86">
        <w:rPr>
          <w:sz w:val="20"/>
          <w:szCs w:val="20"/>
        </w:rPr>
        <w:t>poor</w:t>
      </w:r>
      <w:r w:rsidR="00131BF6" w:rsidRPr="00940B86">
        <w:rPr>
          <w:sz w:val="20"/>
          <w:szCs w:val="20"/>
        </w:rPr>
        <w:t xml:space="preserve"> probably due to lack of diagnostic reagents</w:t>
      </w:r>
      <w:r w:rsidR="00C14447" w:rsidRPr="00940B86">
        <w:rPr>
          <w:sz w:val="20"/>
          <w:szCs w:val="20"/>
        </w:rPr>
        <w:t xml:space="preserve"> and facilities</w:t>
      </w:r>
      <w:r w:rsidR="00131BF6" w:rsidRPr="00940B86">
        <w:rPr>
          <w:sz w:val="20"/>
          <w:szCs w:val="20"/>
        </w:rPr>
        <w:t>. This study</w:t>
      </w:r>
      <w:r w:rsidR="006240E4" w:rsidRPr="00940B86">
        <w:rPr>
          <w:sz w:val="20"/>
          <w:szCs w:val="20"/>
        </w:rPr>
        <w:t xml:space="preserve"> seeks a possible </w:t>
      </w:r>
      <w:r w:rsidR="006B1FD3" w:rsidRPr="00940B86">
        <w:rPr>
          <w:sz w:val="20"/>
          <w:szCs w:val="20"/>
        </w:rPr>
        <w:t>association betw</w:t>
      </w:r>
      <w:r w:rsidR="00131BF6" w:rsidRPr="00940B86">
        <w:rPr>
          <w:sz w:val="20"/>
          <w:szCs w:val="20"/>
        </w:rPr>
        <w:t xml:space="preserve">een seasons and incidence of </w:t>
      </w:r>
      <w:r w:rsidR="002701B4" w:rsidRPr="00940B86">
        <w:rPr>
          <w:sz w:val="20"/>
          <w:szCs w:val="20"/>
        </w:rPr>
        <w:t>dengue virus</w:t>
      </w:r>
      <w:r w:rsidR="00131BF6" w:rsidRPr="00940B86">
        <w:rPr>
          <w:sz w:val="20"/>
          <w:szCs w:val="20"/>
        </w:rPr>
        <w:t xml:space="preserve"> infections</w:t>
      </w:r>
      <w:r w:rsidR="006B1FD3" w:rsidRPr="00940B86">
        <w:rPr>
          <w:sz w:val="20"/>
          <w:szCs w:val="20"/>
        </w:rPr>
        <w:t xml:space="preserve"> </w:t>
      </w:r>
      <w:r w:rsidR="004E7990" w:rsidRPr="00940B86">
        <w:rPr>
          <w:sz w:val="20"/>
          <w:szCs w:val="20"/>
        </w:rPr>
        <w:t xml:space="preserve">in </w:t>
      </w:r>
      <w:smartTag w:uri="urn:schemas-microsoft-com:office:smarttags" w:element="country-region">
        <w:r w:rsidR="004E7990" w:rsidRPr="00940B86">
          <w:rPr>
            <w:sz w:val="20"/>
            <w:szCs w:val="20"/>
          </w:rPr>
          <w:t>Nigeria</w:t>
        </w:r>
      </w:smartTag>
      <w:r w:rsidR="000F7934" w:rsidRPr="00940B86">
        <w:rPr>
          <w:sz w:val="20"/>
          <w:szCs w:val="20"/>
        </w:rPr>
        <w:t xml:space="preserve"> </w:t>
      </w:r>
      <w:r w:rsidR="004E7990" w:rsidRPr="00940B86">
        <w:rPr>
          <w:sz w:val="20"/>
          <w:szCs w:val="20"/>
        </w:rPr>
        <w:t xml:space="preserve">and </w:t>
      </w:r>
      <w:r w:rsidR="00B64DE3" w:rsidRPr="00940B86">
        <w:rPr>
          <w:sz w:val="20"/>
          <w:szCs w:val="20"/>
        </w:rPr>
        <w:t>to determine</w:t>
      </w:r>
      <w:r w:rsidR="00246D3B" w:rsidRPr="00940B86">
        <w:rPr>
          <w:sz w:val="20"/>
          <w:szCs w:val="20"/>
        </w:rPr>
        <w:t xml:space="preserve"> the period  when DEN activities peak in </w:t>
      </w:r>
      <w:r w:rsidR="00E1371E" w:rsidRPr="00940B86">
        <w:rPr>
          <w:sz w:val="20"/>
          <w:szCs w:val="20"/>
        </w:rPr>
        <w:t xml:space="preserve">a semi-arid zone in </w:t>
      </w:r>
      <w:smartTag w:uri="urn:schemas-microsoft-com:office:smarttags" w:element="country-region">
        <w:smartTag w:uri="urn:schemas-microsoft-com:office:smarttags" w:element="place">
          <w:r w:rsidR="00E1371E" w:rsidRPr="00940B86">
            <w:rPr>
              <w:sz w:val="20"/>
              <w:szCs w:val="20"/>
            </w:rPr>
            <w:t>Nigeria</w:t>
          </w:r>
        </w:smartTag>
      </w:smartTag>
    </w:p>
    <w:p w:rsidR="00E1371E" w:rsidRPr="00940B86" w:rsidRDefault="00E1371E" w:rsidP="00940B86">
      <w:pPr>
        <w:autoSpaceDE w:val="0"/>
        <w:autoSpaceDN w:val="0"/>
        <w:adjustRightInd w:val="0"/>
        <w:spacing w:after="0" w:line="240" w:lineRule="auto"/>
        <w:ind w:firstLine="540"/>
        <w:jc w:val="both"/>
        <w:rPr>
          <w:sz w:val="20"/>
          <w:szCs w:val="20"/>
        </w:rPr>
      </w:pPr>
    </w:p>
    <w:p w:rsidR="00DE5281" w:rsidRPr="00940B86" w:rsidRDefault="00DE5281" w:rsidP="00940B86">
      <w:pPr>
        <w:spacing w:line="240" w:lineRule="auto"/>
        <w:jc w:val="both"/>
        <w:rPr>
          <w:b/>
          <w:sz w:val="20"/>
          <w:szCs w:val="20"/>
        </w:rPr>
      </w:pPr>
      <w:r w:rsidRPr="00940B86">
        <w:rPr>
          <w:b/>
          <w:bCs/>
          <w:sz w:val="20"/>
          <w:szCs w:val="20"/>
        </w:rPr>
        <w:t>MATERIALS AND METHODS</w:t>
      </w:r>
    </w:p>
    <w:p w:rsidR="00940B86" w:rsidRPr="00940B86" w:rsidRDefault="00DE5281" w:rsidP="00940B86">
      <w:pPr>
        <w:pStyle w:val="BodyText"/>
        <w:spacing w:line="240" w:lineRule="auto"/>
        <w:jc w:val="both"/>
        <w:rPr>
          <w:sz w:val="20"/>
          <w:szCs w:val="20"/>
        </w:rPr>
      </w:pPr>
      <w:r w:rsidRPr="00940B86">
        <w:rPr>
          <w:b/>
          <w:bCs/>
          <w:sz w:val="20"/>
          <w:szCs w:val="20"/>
        </w:rPr>
        <w:t>STUDY SITE</w:t>
      </w:r>
      <w:r w:rsidRPr="00940B86">
        <w:rPr>
          <w:sz w:val="20"/>
          <w:szCs w:val="20"/>
        </w:rPr>
        <w:t xml:space="preserve">: </w:t>
      </w:r>
    </w:p>
    <w:p w:rsidR="00DE5281" w:rsidRPr="00940B86" w:rsidRDefault="00DE5281" w:rsidP="00940B86">
      <w:pPr>
        <w:pStyle w:val="BodyText"/>
        <w:spacing w:line="240" w:lineRule="auto"/>
        <w:ind w:firstLine="720"/>
        <w:jc w:val="both"/>
        <w:rPr>
          <w:sz w:val="20"/>
          <w:szCs w:val="20"/>
        </w:rPr>
      </w:pPr>
      <w:r w:rsidRPr="00940B86">
        <w:rPr>
          <w:sz w:val="20"/>
          <w:szCs w:val="20"/>
        </w:rPr>
        <w:t xml:space="preserve">Serum samples were collected from patients who visited University of Maiduguri Teaching Hospital (UMTH), </w:t>
      </w:r>
      <w:smartTag w:uri="urn:schemas-microsoft-com:office:smarttags" w:element="place">
        <w:smartTag w:uri="urn:schemas-microsoft-com:office:smarttags" w:element="City">
          <w:r w:rsidRPr="00940B86">
            <w:rPr>
              <w:sz w:val="20"/>
              <w:szCs w:val="20"/>
            </w:rPr>
            <w:t>Maiduguri</w:t>
          </w:r>
        </w:smartTag>
        <w:r w:rsidRPr="00940B86">
          <w:rPr>
            <w:sz w:val="20"/>
            <w:szCs w:val="20"/>
          </w:rPr>
          <w:t xml:space="preserve">, </w:t>
        </w:r>
        <w:smartTag w:uri="urn:schemas-microsoft-com:office:smarttags" w:element="country-region">
          <w:r w:rsidRPr="00940B86">
            <w:rPr>
              <w:sz w:val="20"/>
              <w:szCs w:val="20"/>
            </w:rPr>
            <w:t>Nigeria</w:t>
          </w:r>
        </w:smartTag>
      </w:smartTag>
      <w:r w:rsidRPr="00940B86">
        <w:rPr>
          <w:sz w:val="20"/>
          <w:szCs w:val="20"/>
        </w:rPr>
        <w:t xml:space="preserve"> for medical attention. The hospital is a tertiary Health Institution, located in </w:t>
      </w:r>
      <w:smartTag w:uri="urn:schemas-microsoft-com:office:smarttags" w:element="City">
        <w:r w:rsidRPr="00940B86">
          <w:rPr>
            <w:sz w:val="20"/>
            <w:szCs w:val="20"/>
          </w:rPr>
          <w:t>Borno State</w:t>
        </w:r>
      </w:smartTag>
      <w:r w:rsidRPr="00940B86">
        <w:rPr>
          <w:sz w:val="20"/>
          <w:szCs w:val="20"/>
        </w:rPr>
        <w:t xml:space="preserve">, </w:t>
      </w:r>
      <w:smartTag w:uri="urn:schemas-microsoft-com:office:smarttags" w:element="country-region">
        <w:r w:rsidRPr="00940B86">
          <w:rPr>
            <w:sz w:val="20"/>
            <w:szCs w:val="20"/>
          </w:rPr>
          <w:t>Nigeria</w:t>
        </w:r>
      </w:smartTag>
      <w:r w:rsidRPr="00940B86">
        <w:rPr>
          <w:sz w:val="20"/>
          <w:szCs w:val="20"/>
        </w:rPr>
        <w:t xml:space="preserve"> and serves as a reference center for six States in Northeastern Nigeria, and neighboring West African countries (</w:t>
      </w:r>
      <w:smartTag w:uri="urn:schemas-microsoft-com:office:smarttags" w:element="country-region">
        <w:r w:rsidRPr="00940B86">
          <w:rPr>
            <w:sz w:val="20"/>
            <w:szCs w:val="20"/>
          </w:rPr>
          <w:t>Chad</w:t>
        </w:r>
      </w:smartTag>
      <w:r w:rsidRPr="00940B86">
        <w:rPr>
          <w:sz w:val="20"/>
          <w:szCs w:val="20"/>
        </w:rPr>
        <w:t xml:space="preserve">, </w:t>
      </w:r>
      <w:smartTag w:uri="urn:schemas-microsoft-com:office:smarttags" w:element="country-region">
        <w:r w:rsidRPr="00940B86">
          <w:rPr>
            <w:sz w:val="20"/>
            <w:szCs w:val="20"/>
          </w:rPr>
          <w:t>Niger</w:t>
        </w:r>
      </w:smartTag>
      <w:r w:rsidRPr="00940B86">
        <w:rPr>
          <w:sz w:val="20"/>
          <w:szCs w:val="20"/>
        </w:rPr>
        <w:t xml:space="preserve"> and </w:t>
      </w:r>
      <w:smartTag w:uri="urn:schemas-microsoft-com:office:smarttags" w:element="country-region">
        <w:smartTag w:uri="urn:schemas-microsoft-com:office:smarttags" w:element="place">
          <w:r w:rsidRPr="00940B86">
            <w:rPr>
              <w:sz w:val="20"/>
              <w:szCs w:val="20"/>
            </w:rPr>
            <w:t>Cameroon</w:t>
          </w:r>
        </w:smartTag>
      </w:smartTag>
      <w:r w:rsidRPr="00940B86">
        <w:rPr>
          <w:sz w:val="20"/>
          <w:szCs w:val="20"/>
        </w:rPr>
        <w:t xml:space="preserve">). </w:t>
      </w:r>
      <w:r w:rsidR="00BC79F3" w:rsidRPr="00940B86">
        <w:rPr>
          <w:sz w:val="20"/>
          <w:szCs w:val="20"/>
        </w:rPr>
        <w:t>The samples</w:t>
      </w:r>
      <w:r w:rsidR="006240E4" w:rsidRPr="00940B86">
        <w:rPr>
          <w:sz w:val="20"/>
          <w:szCs w:val="20"/>
        </w:rPr>
        <w:t xml:space="preserve"> were collected from </w:t>
      </w:r>
      <w:smartTag w:uri="urn:schemas-microsoft-com:office:smarttags" w:element="country-region">
        <w:r w:rsidR="006240E4" w:rsidRPr="00940B86">
          <w:rPr>
            <w:sz w:val="20"/>
            <w:szCs w:val="20"/>
          </w:rPr>
          <w:t>Nigeria</w:t>
        </w:r>
      </w:smartTag>
      <w:r w:rsidR="006240E4" w:rsidRPr="00940B86">
        <w:rPr>
          <w:sz w:val="20"/>
          <w:szCs w:val="20"/>
        </w:rPr>
        <w:t xml:space="preserve"> and transported </w:t>
      </w:r>
      <w:r w:rsidR="00B64DE3" w:rsidRPr="00940B86">
        <w:rPr>
          <w:sz w:val="20"/>
          <w:szCs w:val="20"/>
        </w:rPr>
        <w:t xml:space="preserve">in </w:t>
      </w:r>
      <w:r w:rsidR="006240E4" w:rsidRPr="00940B86">
        <w:rPr>
          <w:sz w:val="20"/>
          <w:szCs w:val="20"/>
        </w:rPr>
        <w:t xml:space="preserve">isothermal flask by air to </w:t>
      </w:r>
      <w:smartTag w:uri="urn:schemas-microsoft-com:office:smarttags" w:element="City">
        <w:r w:rsidR="006240E4" w:rsidRPr="00940B86">
          <w:rPr>
            <w:sz w:val="20"/>
            <w:szCs w:val="20"/>
          </w:rPr>
          <w:t>Dakar</w:t>
        </w:r>
      </w:smartTag>
      <w:r w:rsidR="006240E4" w:rsidRPr="00940B86">
        <w:rPr>
          <w:sz w:val="20"/>
          <w:szCs w:val="20"/>
        </w:rPr>
        <w:t xml:space="preserve">, </w:t>
      </w:r>
      <w:smartTag w:uri="urn:schemas-microsoft-com:office:smarttags" w:element="country-region">
        <w:r w:rsidR="006240E4" w:rsidRPr="00940B86">
          <w:rPr>
            <w:sz w:val="20"/>
            <w:szCs w:val="20"/>
          </w:rPr>
          <w:t>Senegal</w:t>
        </w:r>
      </w:smartTag>
      <w:r w:rsidR="006240E4" w:rsidRPr="00940B86">
        <w:rPr>
          <w:sz w:val="20"/>
          <w:szCs w:val="20"/>
        </w:rPr>
        <w:t xml:space="preserve"> where the experiment  </w:t>
      </w:r>
      <w:r w:rsidRPr="00940B86">
        <w:rPr>
          <w:sz w:val="20"/>
          <w:szCs w:val="20"/>
        </w:rPr>
        <w:t xml:space="preserve"> was carried out at the Virology Department of Institut Pasteur </w:t>
      </w:r>
      <w:smartTag w:uri="urn:schemas-microsoft-com:office:smarttags" w:element="place">
        <w:smartTag w:uri="urn:schemas-microsoft-com:office:smarttags" w:element="City">
          <w:r w:rsidRPr="00940B86">
            <w:rPr>
              <w:sz w:val="20"/>
              <w:szCs w:val="20"/>
            </w:rPr>
            <w:t>de Dakar</w:t>
          </w:r>
        </w:smartTag>
        <w:r w:rsidRPr="00940B86">
          <w:rPr>
            <w:sz w:val="20"/>
            <w:szCs w:val="20"/>
          </w:rPr>
          <w:t xml:space="preserve">, </w:t>
        </w:r>
        <w:smartTag w:uri="urn:schemas-microsoft-com:office:smarttags" w:element="country-region">
          <w:r w:rsidRPr="00940B86">
            <w:rPr>
              <w:sz w:val="20"/>
              <w:szCs w:val="20"/>
            </w:rPr>
            <w:t>Senegal</w:t>
          </w:r>
        </w:smartTag>
      </w:smartTag>
      <w:r w:rsidRPr="00940B86">
        <w:rPr>
          <w:sz w:val="20"/>
          <w:szCs w:val="20"/>
        </w:rPr>
        <w:t>.</w:t>
      </w:r>
    </w:p>
    <w:p w:rsidR="00940B86" w:rsidRPr="00940B86" w:rsidRDefault="00940B86" w:rsidP="00940B86">
      <w:pPr>
        <w:pStyle w:val="Heading1"/>
        <w:rPr>
          <w:sz w:val="20"/>
          <w:szCs w:val="20"/>
        </w:rPr>
      </w:pPr>
    </w:p>
    <w:p w:rsidR="00940B86" w:rsidRPr="00940B86" w:rsidRDefault="00DE5281" w:rsidP="00940B86">
      <w:pPr>
        <w:pStyle w:val="Heading1"/>
        <w:rPr>
          <w:b w:val="0"/>
          <w:bCs w:val="0"/>
          <w:sz w:val="20"/>
          <w:szCs w:val="20"/>
        </w:rPr>
      </w:pPr>
      <w:r w:rsidRPr="00940B86">
        <w:rPr>
          <w:sz w:val="20"/>
          <w:szCs w:val="20"/>
        </w:rPr>
        <w:t xml:space="preserve">Study population: </w:t>
      </w:r>
      <w:r w:rsidRPr="00940B86">
        <w:rPr>
          <w:b w:val="0"/>
          <w:bCs w:val="0"/>
          <w:sz w:val="20"/>
          <w:szCs w:val="20"/>
        </w:rPr>
        <w:t xml:space="preserve"> </w:t>
      </w:r>
    </w:p>
    <w:p w:rsidR="00DE5281" w:rsidRPr="00940B86" w:rsidRDefault="00DE5281" w:rsidP="00940B86">
      <w:pPr>
        <w:pStyle w:val="Heading1"/>
        <w:ind w:firstLine="540"/>
        <w:rPr>
          <w:b w:val="0"/>
          <w:bCs w:val="0"/>
          <w:sz w:val="20"/>
          <w:szCs w:val="20"/>
        </w:rPr>
      </w:pPr>
      <w:r w:rsidRPr="00940B86">
        <w:rPr>
          <w:b w:val="0"/>
          <w:bCs w:val="0"/>
          <w:sz w:val="20"/>
          <w:szCs w:val="20"/>
        </w:rPr>
        <w:t xml:space="preserve">Patients of both sexes whose ages ranged from less than 10 to above 60 years with  fever </w:t>
      </w:r>
      <w:r w:rsidRPr="00940B86">
        <w:rPr>
          <w:b w:val="0"/>
          <w:bCs w:val="0"/>
          <w:sz w:val="20"/>
          <w:szCs w:val="20"/>
        </w:rPr>
        <w:sym w:font="Symbol" w:char="F0B3"/>
      </w:r>
      <w:r w:rsidRPr="00940B86">
        <w:rPr>
          <w:b w:val="0"/>
          <w:bCs w:val="0"/>
          <w:sz w:val="20"/>
          <w:szCs w:val="20"/>
        </w:rPr>
        <w:t>38</w:t>
      </w:r>
      <w:r w:rsidRPr="00940B86">
        <w:rPr>
          <w:b w:val="0"/>
          <w:bCs w:val="0"/>
          <w:sz w:val="20"/>
          <w:szCs w:val="20"/>
          <w:vertAlign w:val="superscript"/>
        </w:rPr>
        <w:t>o</w:t>
      </w:r>
      <w:r w:rsidRPr="00940B86">
        <w:rPr>
          <w:b w:val="0"/>
          <w:bCs w:val="0"/>
          <w:sz w:val="20"/>
          <w:szCs w:val="20"/>
        </w:rPr>
        <w:t xml:space="preserve">C and </w:t>
      </w:r>
      <w:r w:rsidRPr="00940B86">
        <w:rPr>
          <w:b w:val="0"/>
          <w:bCs w:val="0"/>
          <w:sz w:val="20"/>
          <w:szCs w:val="20"/>
        </w:rPr>
        <w:lastRenderedPageBreak/>
        <w:t xml:space="preserve">other clinical features suggestive of typhoid fever, sent to the Immunology laboratory of UMTH for Widal tests were used for the study. From the clinical records of these patients, other symptoms include headache, abdominal discomfort, and diarrhea. </w:t>
      </w:r>
      <w:r w:rsidR="00B64DE3" w:rsidRPr="00940B86">
        <w:rPr>
          <w:b w:val="0"/>
          <w:bCs w:val="0"/>
          <w:sz w:val="20"/>
          <w:szCs w:val="20"/>
        </w:rPr>
        <w:t xml:space="preserve"> Any patients without fever were excluded from the study.</w:t>
      </w:r>
    </w:p>
    <w:p w:rsidR="00940B86" w:rsidRPr="00940B86" w:rsidRDefault="00940B86" w:rsidP="00940B86">
      <w:pPr>
        <w:pStyle w:val="Heading1"/>
        <w:rPr>
          <w:sz w:val="20"/>
          <w:szCs w:val="20"/>
        </w:rPr>
      </w:pPr>
    </w:p>
    <w:p w:rsidR="00940B86" w:rsidRPr="00940B86" w:rsidRDefault="00DE5281" w:rsidP="00940B86">
      <w:pPr>
        <w:pStyle w:val="Heading1"/>
        <w:rPr>
          <w:sz w:val="20"/>
          <w:szCs w:val="20"/>
        </w:rPr>
      </w:pPr>
      <w:r w:rsidRPr="00940B86">
        <w:rPr>
          <w:sz w:val="20"/>
          <w:szCs w:val="20"/>
        </w:rPr>
        <w:t>Serum Samples Collection:</w:t>
      </w:r>
      <w:r w:rsidR="006240E4" w:rsidRPr="00940B86">
        <w:rPr>
          <w:sz w:val="20"/>
          <w:szCs w:val="20"/>
        </w:rPr>
        <w:t xml:space="preserve"> </w:t>
      </w:r>
    </w:p>
    <w:p w:rsidR="00DE5281" w:rsidRPr="00940B86" w:rsidRDefault="00DE5281" w:rsidP="00940B86">
      <w:pPr>
        <w:pStyle w:val="Heading1"/>
        <w:ind w:firstLine="540"/>
        <w:rPr>
          <w:b w:val="0"/>
          <w:sz w:val="20"/>
          <w:szCs w:val="20"/>
        </w:rPr>
      </w:pPr>
      <w:r w:rsidRPr="00940B86">
        <w:rPr>
          <w:b w:val="0"/>
          <w:sz w:val="20"/>
          <w:szCs w:val="20"/>
        </w:rPr>
        <w:t xml:space="preserve">A total of 973 sera were collected from these patients in 2001. </w:t>
      </w:r>
      <w:r w:rsidR="00025EB1" w:rsidRPr="00940B86">
        <w:rPr>
          <w:b w:val="0"/>
          <w:sz w:val="20"/>
          <w:szCs w:val="20"/>
        </w:rPr>
        <w:t xml:space="preserve">These samples were collected during the three seasons of the year which include: hot </w:t>
      </w:r>
      <w:r w:rsidR="006240E4" w:rsidRPr="00940B86">
        <w:rPr>
          <w:b w:val="0"/>
          <w:sz w:val="20"/>
          <w:szCs w:val="20"/>
        </w:rPr>
        <w:t>dry (</w:t>
      </w:r>
      <w:r w:rsidR="00025EB1" w:rsidRPr="00940B86">
        <w:rPr>
          <w:b w:val="0"/>
          <w:sz w:val="20"/>
          <w:szCs w:val="20"/>
        </w:rPr>
        <w:t xml:space="preserve">January to April), </w:t>
      </w:r>
      <w:r w:rsidR="006240E4" w:rsidRPr="00940B86">
        <w:rPr>
          <w:b w:val="0"/>
          <w:sz w:val="20"/>
          <w:szCs w:val="20"/>
        </w:rPr>
        <w:t>Rainy (</w:t>
      </w:r>
      <w:r w:rsidR="00025EB1" w:rsidRPr="00940B86">
        <w:rPr>
          <w:b w:val="0"/>
          <w:sz w:val="20"/>
          <w:szCs w:val="20"/>
        </w:rPr>
        <w:t xml:space="preserve">May to August) </w:t>
      </w:r>
      <w:r w:rsidR="006240E4" w:rsidRPr="00940B86">
        <w:rPr>
          <w:b w:val="0"/>
          <w:sz w:val="20"/>
          <w:szCs w:val="20"/>
        </w:rPr>
        <w:t>and cold</w:t>
      </w:r>
      <w:r w:rsidR="00025EB1" w:rsidRPr="00940B86">
        <w:rPr>
          <w:b w:val="0"/>
          <w:sz w:val="20"/>
          <w:szCs w:val="20"/>
        </w:rPr>
        <w:t xml:space="preserve"> harmattan (September to December) seasons. Occasionally the seasons overlap each other although they are very distinct in the semi arid </w:t>
      </w:r>
      <w:r w:rsidR="00BC79F3" w:rsidRPr="00940B86">
        <w:rPr>
          <w:b w:val="0"/>
          <w:sz w:val="20"/>
          <w:szCs w:val="20"/>
        </w:rPr>
        <w:t>zone (</w:t>
      </w:r>
      <w:r w:rsidR="00025EB1" w:rsidRPr="00940B86">
        <w:rPr>
          <w:b w:val="0"/>
          <w:sz w:val="20"/>
          <w:szCs w:val="20"/>
        </w:rPr>
        <w:t xml:space="preserve">Sahel savanna) compared to the southern part of </w:t>
      </w:r>
      <w:smartTag w:uri="urn:schemas-microsoft-com:office:smarttags" w:element="country-region">
        <w:smartTag w:uri="urn:schemas-microsoft-com:office:smarttags" w:element="place">
          <w:r w:rsidR="00025EB1" w:rsidRPr="00940B86">
            <w:rPr>
              <w:b w:val="0"/>
              <w:sz w:val="20"/>
              <w:szCs w:val="20"/>
            </w:rPr>
            <w:t>Nigeria</w:t>
          </w:r>
        </w:smartTag>
      </w:smartTag>
      <w:r w:rsidR="006240E4" w:rsidRPr="00940B86">
        <w:rPr>
          <w:b w:val="0"/>
          <w:sz w:val="20"/>
          <w:szCs w:val="20"/>
        </w:rPr>
        <w:t>.</w:t>
      </w:r>
      <w:r w:rsidR="00025EB1" w:rsidRPr="00940B86">
        <w:rPr>
          <w:b w:val="0"/>
          <w:sz w:val="20"/>
          <w:szCs w:val="20"/>
        </w:rPr>
        <w:t xml:space="preserve">  </w:t>
      </w:r>
      <w:r w:rsidRPr="00940B86">
        <w:rPr>
          <w:b w:val="0"/>
          <w:sz w:val="20"/>
          <w:szCs w:val="20"/>
        </w:rPr>
        <w:t>About 5ml of blood was collected by venu puncture from febrile patients. The blood was allowed to clot at room temperature and the serum was carefully collected after centrifugation at 8,000rpm for 5 min and stored at –20</w:t>
      </w:r>
      <w:r w:rsidRPr="00940B86">
        <w:rPr>
          <w:b w:val="0"/>
          <w:sz w:val="20"/>
          <w:szCs w:val="20"/>
          <w:vertAlign w:val="superscript"/>
        </w:rPr>
        <w:t>o</w:t>
      </w:r>
      <w:r w:rsidRPr="00940B86">
        <w:rPr>
          <w:b w:val="0"/>
          <w:sz w:val="20"/>
          <w:szCs w:val="20"/>
        </w:rPr>
        <w:t>C until tested.</w:t>
      </w:r>
      <w:r w:rsidRPr="00940B86">
        <w:rPr>
          <w:b w:val="0"/>
          <w:sz w:val="20"/>
          <w:szCs w:val="20"/>
        </w:rPr>
        <w:tab/>
        <w:t xml:space="preserve"> </w:t>
      </w:r>
    </w:p>
    <w:p w:rsidR="00DE5281" w:rsidRPr="00940B86" w:rsidRDefault="00DE5281" w:rsidP="00940B86">
      <w:pPr>
        <w:spacing w:line="240" w:lineRule="auto"/>
        <w:ind w:firstLine="540"/>
        <w:jc w:val="both"/>
        <w:rPr>
          <w:b/>
          <w:bCs/>
          <w:sz w:val="20"/>
          <w:szCs w:val="20"/>
        </w:rPr>
      </w:pPr>
    </w:p>
    <w:p w:rsidR="00DE5281" w:rsidRPr="00940B86" w:rsidRDefault="00DE5281" w:rsidP="00940B86">
      <w:pPr>
        <w:spacing w:line="240" w:lineRule="auto"/>
        <w:jc w:val="both"/>
        <w:rPr>
          <w:sz w:val="20"/>
          <w:szCs w:val="20"/>
        </w:rPr>
      </w:pPr>
      <w:r w:rsidRPr="00940B86">
        <w:rPr>
          <w:b/>
          <w:bCs/>
          <w:sz w:val="20"/>
          <w:szCs w:val="20"/>
        </w:rPr>
        <w:t>STANDARDIZATION OF STOCK ANTIGENS AND OTHER REACTANTS</w:t>
      </w:r>
      <w:r w:rsidRPr="00940B86">
        <w:rPr>
          <w:sz w:val="20"/>
          <w:szCs w:val="20"/>
        </w:rPr>
        <w:t xml:space="preserve">: </w:t>
      </w:r>
    </w:p>
    <w:p w:rsidR="00DE5281" w:rsidRPr="00940B86" w:rsidRDefault="00DE5281" w:rsidP="00940B86">
      <w:pPr>
        <w:spacing w:line="240" w:lineRule="auto"/>
        <w:ind w:firstLine="540"/>
        <w:jc w:val="both"/>
        <w:rPr>
          <w:vanish/>
          <w:sz w:val="20"/>
          <w:szCs w:val="20"/>
        </w:rPr>
      </w:pPr>
      <w:r w:rsidRPr="00940B86">
        <w:rPr>
          <w:sz w:val="20"/>
          <w:szCs w:val="20"/>
        </w:rPr>
        <w:t xml:space="preserve">The stock antigens were prepared in mouse brain and titrated against the corresponding hyper immune mouse ascitic fluid by both Chessboard and ELISA methods using Maxisorp microtiter plates. WHO collaborating Center for Reference and Research on Arboviruses (CRORA), IPD, </w:t>
      </w:r>
      <w:smartTag w:uri="urn:schemas-microsoft-com:office:smarttags" w:element="country-region">
        <w:smartTag w:uri="urn:schemas-microsoft-com:office:smarttags" w:element="place">
          <w:r w:rsidRPr="00940B86">
            <w:rPr>
              <w:sz w:val="20"/>
              <w:szCs w:val="20"/>
            </w:rPr>
            <w:t>Senegal</w:t>
          </w:r>
        </w:smartTag>
      </w:smartTag>
      <w:r w:rsidRPr="00940B86">
        <w:rPr>
          <w:sz w:val="20"/>
          <w:szCs w:val="20"/>
        </w:rPr>
        <w:t>, kindly supplied the seed viruses DEN</w:t>
      </w:r>
      <w:r w:rsidR="00B64DE3" w:rsidRPr="00940B86">
        <w:rPr>
          <w:sz w:val="20"/>
          <w:szCs w:val="20"/>
        </w:rPr>
        <w:t xml:space="preserve"> 1-4</w:t>
      </w:r>
      <w:r w:rsidRPr="00940B86">
        <w:rPr>
          <w:sz w:val="20"/>
          <w:szCs w:val="20"/>
        </w:rPr>
        <w:t xml:space="preserve"> including their correspon</w:t>
      </w:r>
      <w:r w:rsidR="00BC79F3" w:rsidRPr="00940B86">
        <w:rPr>
          <w:sz w:val="20"/>
          <w:szCs w:val="20"/>
        </w:rPr>
        <w:t>ding hyper immune ascitic fluid.</w:t>
      </w:r>
      <w:r w:rsidRPr="00940B86">
        <w:rPr>
          <w:sz w:val="20"/>
          <w:szCs w:val="20"/>
        </w:rPr>
        <w:t xml:space="preserve"> The reference strains were used in all control experiments as well as in the preparation of virus stock antigens. </w:t>
      </w:r>
    </w:p>
    <w:p w:rsidR="00DE5281" w:rsidRPr="00940B86" w:rsidRDefault="00DE5281" w:rsidP="00940B86">
      <w:pPr>
        <w:spacing w:line="240" w:lineRule="auto"/>
        <w:ind w:firstLine="540"/>
        <w:jc w:val="both"/>
        <w:rPr>
          <w:sz w:val="20"/>
          <w:szCs w:val="20"/>
          <w:lang w:val="fr-FR"/>
        </w:rPr>
      </w:pPr>
    </w:p>
    <w:p w:rsidR="00DE5281" w:rsidRPr="00940B86" w:rsidRDefault="00DE5281" w:rsidP="00940B86">
      <w:pPr>
        <w:spacing w:line="240" w:lineRule="auto"/>
        <w:ind w:firstLine="540"/>
        <w:jc w:val="both"/>
        <w:rPr>
          <w:b/>
          <w:bCs/>
          <w:sz w:val="20"/>
          <w:szCs w:val="20"/>
        </w:rPr>
      </w:pPr>
    </w:p>
    <w:p w:rsidR="00DE5281" w:rsidRPr="00940B86" w:rsidRDefault="00DE5281" w:rsidP="00940B86">
      <w:pPr>
        <w:spacing w:line="240" w:lineRule="auto"/>
        <w:jc w:val="both"/>
        <w:rPr>
          <w:b/>
          <w:bCs/>
          <w:sz w:val="20"/>
          <w:szCs w:val="20"/>
        </w:rPr>
      </w:pPr>
      <w:r w:rsidRPr="00940B86">
        <w:rPr>
          <w:b/>
          <w:bCs/>
          <w:sz w:val="20"/>
          <w:szCs w:val="20"/>
        </w:rPr>
        <w:t>SEROLOGY</w:t>
      </w:r>
    </w:p>
    <w:p w:rsidR="00DE5281" w:rsidRPr="00940B86" w:rsidRDefault="00DE5281" w:rsidP="00940B86">
      <w:pPr>
        <w:spacing w:line="240" w:lineRule="auto"/>
        <w:ind w:firstLine="540"/>
        <w:jc w:val="both"/>
        <w:rPr>
          <w:sz w:val="20"/>
          <w:szCs w:val="20"/>
        </w:rPr>
      </w:pPr>
      <w:r w:rsidRPr="00940B86">
        <w:rPr>
          <w:sz w:val="20"/>
          <w:szCs w:val="20"/>
        </w:rPr>
        <w:t>The capture ELISA (MAC– ELISA-</w:t>
      </w:r>
      <w:r w:rsidRPr="00940B86">
        <w:rPr>
          <w:b/>
          <w:bCs/>
          <w:sz w:val="20"/>
          <w:szCs w:val="20"/>
          <w:lang w:val="fr-FR"/>
        </w:rPr>
        <w:t xml:space="preserve"> </w:t>
      </w:r>
      <w:r w:rsidRPr="00940B86">
        <w:rPr>
          <w:bCs/>
          <w:sz w:val="20"/>
          <w:szCs w:val="20"/>
          <w:lang w:val="fr-FR"/>
        </w:rPr>
        <w:t>developed in</w:t>
      </w:r>
      <w:r w:rsidRPr="00940B86">
        <w:rPr>
          <w:b/>
          <w:bCs/>
          <w:sz w:val="20"/>
          <w:szCs w:val="20"/>
          <w:lang w:val="fr-FR"/>
        </w:rPr>
        <w:t xml:space="preserve"> </w:t>
      </w:r>
      <w:r w:rsidRPr="00940B86">
        <w:rPr>
          <w:sz w:val="20"/>
          <w:szCs w:val="20"/>
        </w:rPr>
        <w:t xml:space="preserve">WHO CRORA, IPD, </w:t>
      </w:r>
      <w:smartTag w:uri="urn:schemas-microsoft-com:office:smarttags" w:element="country-region">
        <w:smartTag w:uri="urn:schemas-microsoft-com:office:smarttags" w:element="place">
          <w:r w:rsidRPr="00940B86">
            <w:rPr>
              <w:sz w:val="20"/>
              <w:szCs w:val="20"/>
            </w:rPr>
            <w:t>Senegal</w:t>
          </w:r>
        </w:smartTag>
      </w:smartTag>
      <w:r w:rsidRPr="00940B86">
        <w:rPr>
          <w:sz w:val="20"/>
          <w:szCs w:val="20"/>
        </w:rPr>
        <w:t xml:space="preserve">) was used to assess all the sera for IgM and IgG antibodies for </w:t>
      </w:r>
      <w:r w:rsidR="00BC79F3" w:rsidRPr="00940B86">
        <w:rPr>
          <w:sz w:val="20"/>
          <w:szCs w:val="20"/>
        </w:rPr>
        <w:t>the four DEN viruses.</w:t>
      </w:r>
      <w:r w:rsidRPr="00940B86">
        <w:rPr>
          <w:sz w:val="20"/>
          <w:szCs w:val="20"/>
        </w:rPr>
        <w:t xml:space="preserve"> IgM positive sera were retested against Yellow Fever Virus (YFV) and </w:t>
      </w:r>
      <w:r w:rsidR="00BC79F3" w:rsidRPr="00940B86">
        <w:rPr>
          <w:sz w:val="20"/>
          <w:szCs w:val="20"/>
        </w:rPr>
        <w:t>WNV for possible cross-reactions.</w:t>
      </w:r>
      <w:r w:rsidRPr="00940B86">
        <w:rPr>
          <w:sz w:val="20"/>
          <w:szCs w:val="20"/>
        </w:rPr>
        <w:t xml:space="preserve"> </w:t>
      </w:r>
      <w:r w:rsidR="00BC79F3" w:rsidRPr="00940B86">
        <w:rPr>
          <w:sz w:val="20"/>
          <w:szCs w:val="20"/>
        </w:rPr>
        <w:t>S</w:t>
      </w:r>
      <w:r w:rsidRPr="00940B86">
        <w:rPr>
          <w:sz w:val="20"/>
          <w:szCs w:val="20"/>
        </w:rPr>
        <w:t>era with higher OD value was considered the possible infecting virus</w:t>
      </w:r>
      <w:r w:rsidR="00940B86" w:rsidRPr="00940B86">
        <w:rPr>
          <w:sz w:val="20"/>
          <w:szCs w:val="20"/>
        </w:rPr>
        <w:t>.</w:t>
      </w:r>
    </w:p>
    <w:p w:rsidR="00940B86" w:rsidRPr="00940B86" w:rsidRDefault="00DE5281" w:rsidP="00940B86">
      <w:pPr>
        <w:spacing w:after="0" w:line="240" w:lineRule="auto"/>
        <w:jc w:val="both"/>
        <w:rPr>
          <w:b/>
          <w:bCs/>
          <w:sz w:val="20"/>
          <w:szCs w:val="20"/>
          <w:lang w:val="fr-FR"/>
        </w:rPr>
      </w:pPr>
      <w:r w:rsidRPr="00940B86">
        <w:rPr>
          <w:b/>
          <w:bCs/>
          <w:sz w:val="20"/>
          <w:szCs w:val="20"/>
          <w:lang w:val="fr-FR"/>
        </w:rPr>
        <w:t xml:space="preserve">Detection of IgM : </w:t>
      </w:r>
    </w:p>
    <w:p w:rsidR="00DE5281" w:rsidRPr="00940B86" w:rsidRDefault="00DE5281" w:rsidP="00940B86">
      <w:pPr>
        <w:spacing w:after="0" w:line="240" w:lineRule="auto"/>
        <w:ind w:firstLine="360"/>
        <w:jc w:val="both"/>
        <w:rPr>
          <w:sz w:val="20"/>
          <w:szCs w:val="20"/>
        </w:rPr>
      </w:pPr>
      <w:r w:rsidRPr="00940B86">
        <w:rPr>
          <w:bCs/>
          <w:sz w:val="20"/>
          <w:szCs w:val="20"/>
          <w:lang w:val="fr-FR"/>
        </w:rPr>
        <w:t>Briefly</w:t>
      </w:r>
      <w:r w:rsidRPr="00940B86">
        <w:rPr>
          <w:sz w:val="20"/>
          <w:szCs w:val="20"/>
        </w:rPr>
        <w:t xml:space="preserve"> the  anti-human IgM coated  onto the plate captures human IgM from the test sera.  Positive and negative human control serum was included in the test.  The trapped human </w:t>
      </w:r>
      <w:r w:rsidR="008C4F5C" w:rsidRPr="00940B86">
        <w:rPr>
          <w:sz w:val="20"/>
          <w:szCs w:val="20"/>
        </w:rPr>
        <w:t>IgM was</w:t>
      </w:r>
      <w:r w:rsidRPr="00940B86">
        <w:rPr>
          <w:sz w:val="20"/>
          <w:szCs w:val="20"/>
        </w:rPr>
        <w:t xml:space="preserve"> made to react with an appropriately tittered antigen in the next step. The complex was allowed to react with a monoclonal antibody from mouse ascitic fluid. The </w:t>
      </w:r>
      <w:r w:rsidRPr="00940B86">
        <w:rPr>
          <w:sz w:val="20"/>
          <w:szCs w:val="20"/>
        </w:rPr>
        <w:lastRenderedPageBreak/>
        <w:t xml:space="preserve">final complex formed was detected by the signal generating system comprising the conjugate (peroxidase-conjugated Sheep IGG Fraction to mouse) </w:t>
      </w:r>
      <w:r w:rsidR="008C4F5C" w:rsidRPr="00940B86">
        <w:rPr>
          <w:sz w:val="20"/>
          <w:szCs w:val="20"/>
        </w:rPr>
        <w:t>and substrate</w:t>
      </w:r>
      <w:r w:rsidRPr="00940B86">
        <w:rPr>
          <w:sz w:val="20"/>
          <w:szCs w:val="20"/>
        </w:rPr>
        <w:t xml:space="preserve"> before the reaction was stopped with 4N sulphuric acid</w:t>
      </w:r>
      <w:r w:rsidR="008C4F5C" w:rsidRPr="00940B86">
        <w:rPr>
          <w:sz w:val="20"/>
          <w:szCs w:val="20"/>
        </w:rPr>
        <w:t>.</w:t>
      </w:r>
    </w:p>
    <w:p w:rsidR="00940B86" w:rsidRPr="00940B86" w:rsidRDefault="00940B86" w:rsidP="00940B86">
      <w:pPr>
        <w:pStyle w:val="BodyTextIndent2"/>
        <w:ind w:firstLine="0"/>
        <w:rPr>
          <w:b/>
          <w:bCs/>
          <w:szCs w:val="20"/>
        </w:rPr>
      </w:pPr>
    </w:p>
    <w:p w:rsidR="00940B86" w:rsidRPr="00940B86" w:rsidRDefault="00DE5281" w:rsidP="00940B86">
      <w:pPr>
        <w:pStyle w:val="BodyTextIndent2"/>
        <w:ind w:firstLine="0"/>
        <w:rPr>
          <w:szCs w:val="20"/>
        </w:rPr>
      </w:pPr>
      <w:r w:rsidRPr="00940B86">
        <w:rPr>
          <w:b/>
          <w:bCs/>
          <w:szCs w:val="20"/>
        </w:rPr>
        <w:t>Detection of IgG</w:t>
      </w:r>
      <w:r w:rsidRPr="00940B86">
        <w:rPr>
          <w:szCs w:val="20"/>
        </w:rPr>
        <w:t xml:space="preserve">: </w:t>
      </w:r>
    </w:p>
    <w:p w:rsidR="00DE5281" w:rsidRPr="00940B86" w:rsidRDefault="00DE5281" w:rsidP="00940B86">
      <w:pPr>
        <w:pStyle w:val="BodyTextIndent2"/>
        <w:ind w:firstLine="540"/>
        <w:rPr>
          <w:b/>
          <w:bCs/>
          <w:szCs w:val="20"/>
        </w:rPr>
      </w:pPr>
      <w:r w:rsidRPr="00940B86">
        <w:rPr>
          <w:szCs w:val="20"/>
        </w:rPr>
        <w:t>Monoclonal antibody from specific mouse ascitic fluid was used to capture appropriately tittered antigen which further reacted with specific antibody from the test serum. Positive and negative human control sera were included in the test. The complex formed was detected by signal generating system which consisted of conjugate [peroxidase-conjugated Goat F (AB´) 2 Fragment to Human IgG] and substrate. The reaction was stopped using 4N sulphuric acid</w:t>
      </w:r>
      <w:r w:rsidR="00940B86">
        <w:rPr>
          <w:szCs w:val="20"/>
        </w:rPr>
        <w:t>.</w:t>
      </w:r>
    </w:p>
    <w:p w:rsidR="00940B86" w:rsidRPr="00940B86" w:rsidRDefault="00940B86" w:rsidP="00940B86">
      <w:pPr>
        <w:pStyle w:val="BodyTextIndent2"/>
        <w:ind w:firstLine="0"/>
        <w:rPr>
          <w:b/>
          <w:bCs/>
          <w:szCs w:val="20"/>
        </w:rPr>
      </w:pPr>
    </w:p>
    <w:p w:rsidR="00940B86" w:rsidRPr="00940B86" w:rsidRDefault="00DE5281" w:rsidP="00940B86">
      <w:pPr>
        <w:pStyle w:val="BodyTextIndent2"/>
        <w:ind w:firstLine="0"/>
        <w:rPr>
          <w:szCs w:val="20"/>
        </w:rPr>
      </w:pPr>
      <w:r w:rsidRPr="00940B86">
        <w:rPr>
          <w:b/>
          <w:bCs/>
          <w:szCs w:val="20"/>
        </w:rPr>
        <w:t>Calculation of Results and Interpretation.</w:t>
      </w:r>
      <w:r w:rsidRPr="00940B86">
        <w:rPr>
          <w:szCs w:val="20"/>
        </w:rPr>
        <w:t xml:space="preserve"> </w:t>
      </w:r>
    </w:p>
    <w:p w:rsidR="00940B86" w:rsidRPr="00940B86" w:rsidRDefault="00DE5281" w:rsidP="00940B86">
      <w:pPr>
        <w:pStyle w:val="BodyTextIndent2"/>
        <w:ind w:firstLine="540"/>
        <w:rPr>
          <w:b/>
          <w:bCs/>
          <w:szCs w:val="20"/>
        </w:rPr>
      </w:pPr>
      <w:r w:rsidRPr="00940B86">
        <w:rPr>
          <w:szCs w:val="20"/>
        </w:rPr>
        <w:t xml:space="preserve">The difference between the OD values of serum with positive antigen and serum with negative antigens were obtained for each patient to validate the test.  Invalid tests were repeated. Three standard deviations from the mean of a battery of negative sera were used as the cut off value to minimize false results. </w:t>
      </w:r>
    </w:p>
    <w:p w:rsidR="00940B86" w:rsidRPr="00940B86" w:rsidRDefault="00940B86" w:rsidP="00940B86">
      <w:pPr>
        <w:pStyle w:val="BodyTextIndent2"/>
        <w:ind w:firstLine="540"/>
        <w:rPr>
          <w:b/>
          <w:bCs/>
          <w:szCs w:val="20"/>
        </w:rPr>
      </w:pPr>
    </w:p>
    <w:p w:rsidR="00940B86" w:rsidRPr="00940B86" w:rsidRDefault="00DE5281" w:rsidP="00940B86">
      <w:pPr>
        <w:pStyle w:val="BodyTextIndent2"/>
        <w:ind w:firstLine="0"/>
        <w:rPr>
          <w:b/>
          <w:bCs/>
          <w:szCs w:val="20"/>
        </w:rPr>
      </w:pPr>
      <w:r w:rsidRPr="00940B86">
        <w:rPr>
          <w:b/>
          <w:bCs/>
          <w:szCs w:val="20"/>
        </w:rPr>
        <w:t xml:space="preserve">Plaque reduction neutralization test (PRNT):  </w:t>
      </w:r>
    </w:p>
    <w:p w:rsidR="00DE5281" w:rsidRPr="00940B86" w:rsidRDefault="00DE5281" w:rsidP="00940B86">
      <w:pPr>
        <w:pStyle w:val="BodyTextIndent2"/>
        <w:ind w:firstLine="540"/>
        <w:rPr>
          <w:b/>
          <w:bCs/>
          <w:szCs w:val="20"/>
        </w:rPr>
      </w:pPr>
      <w:r w:rsidRPr="00940B86">
        <w:rPr>
          <w:szCs w:val="20"/>
        </w:rPr>
        <w:t xml:space="preserve">This test was performed as previously described (7) for the </w:t>
      </w:r>
      <w:r w:rsidR="008C4F5C" w:rsidRPr="00940B86">
        <w:rPr>
          <w:szCs w:val="20"/>
        </w:rPr>
        <w:t>DEN</w:t>
      </w:r>
      <w:r w:rsidRPr="00940B86">
        <w:rPr>
          <w:szCs w:val="20"/>
        </w:rPr>
        <w:t xml:space="preserve"> IgM positive samples.   Briefly virus diluted to contain approximately 100 plaque- forming -units per 0.1 ml were mixed with an equal volume of serial four- fold serum.  After incubation at 4</w:t>
      </w:r>
      <w:r w:rsidRPr="00940B86">
        <w:rPr>
          <w:szCs w:val="20"/>
          <w:vertAlign w:val="superscript"/>
        </w:rPr>
        <w:t>o</w:t>
      </w:r>
      <w:r w:rsidRPr="00940B86">
        <w:rPr>
          <w:szCs w:val="20"/>
        </w:rPr>
        <w:t xml:space="preserve">C, the mixture was </w:t>
      </w:r>
      <w:r w:rsidR="008C4F5C" w:rsidRPr="00940B86">
        <w:rPr>
          <w:szCs w:val="20"/>
        </w:rPr>
        <w:t>inocu</w:t>
      </w:r>
      <w:r w:rsidRPr="00940B86">
        <w:rPr>
          <w:szCs w:val="20"/>
        </w:rPr>
        <w:t xml:space="preserve">lated in duplicate wells containing Vero cell in a 12 well- plate. The inoculated plates were incubated for one hour at 37oC before being overlaid with medium containing 1% nutrient agar. A second nutrient agar overlay containing 0.17% neutral red was added 48 hours later and plaques were counted the following day. </w:t>
      </w:r>
      <w:r w:rsidR="00240F6F" w:rsidRPr="00940B86">
        <w:rPr>
          <w:szCs w:val="20"/>
        </w:rPr>
        <w:t>The neu</w:t>
      </w:r>
      <w:r w:rsidRPr="00940B86">
        <w:rPr>
          <w:szCs w:val="20"/>
        </w:rPr>
        <w:t xml:space="preserve">tralizing antibody titer of the positive serum was expressed as the reciprocal of the highest dilution of serum that inhibited </w:t>
      </w:r>
      <w:r w:rsidRPr="00940B86">
        <w:rPr>
          <w:szCs w:val="20"/>
        </w:rPr>
        <w:sym w:font="Symbol" w:char="F0B3"/>
      </w:r>
      <w:r w:rsidRPr="00940B86">
        <w:rPr>
          <w:szCs w:val="20"/>
        </w:rPr>
        <w:t>80% of the plaques compared with the virus control titration (PRNT</w:t>
      </w:r>
      <w:r w:rsidRPr="00940B86">
        <w:rPr>
          <w:szCs w:val="20"/>
          <w:vertAlign w:val="subscript"/>
        </w:rPr>
        <w:t>80</w:t>
      </w:r>
      <w:r w:rsidRPr="00940B86">
        <w:rPr>
          <w:szCs w:val="20"/>
        </w:rPr>
        <w:t>).</w:t>
      </w:r>
    </w:p>
    <w:p w:rsidR="00940B86" w:rsidRPr="00940B86" w:rsidRDefault="00940B86" w:rsidP="00940B86">
      <w:pPr>
        <w:pStyle w:val="BodyTextIndent2"/>
        <w:ind w:firstLine="540"/>
        <w:rPr>
          <w:b/>
          <w:szCs w:val="20"/>
        </w:rPr>
      </w:pPr>
    </w:p>
    <w:p w:rsidR="00347A03" w:rsidRPr="00940B86" w:rsidRDefault="00E1371E" w:rsidP="00940B86">
      <w:pPr>
        <w:pStyle w:val="BodyTextIndent2"/>
        <w:ind w:firstLine="0"/>
        <w:rPr>
          <w:b/>
          <w:szCs w:val="20"/>
        </w:rPr>
      </w:pPr>
      <w:r w:rsidRPr="00940B86">
        <w:rPr>
          <w:b/>
          <w:szCs w:val="20"/>
        </w:rPr>
        <w:t>RT-PCR with DEN IgM positive sera</w:t>
      </w:r>
    </w:p>
    <w:p w:rsidR="00347A03" w:rsidRPr="00940B86" w:rsidRDefault="0029611B" w:rsidP="00940B86">
      <w:pPr>
        <w:pStyle w:val="BodyTextIndent2"/>
        <w:ind w:firstLine="540"/>
        <w:rPr>
          <w:szCs w:val="20"/>
        </w:rPr>
      </w:pPr>
      <w:r w:rsidRPr="00940B86">
        <w:rPr>
          <w:szCs w:val="20"/>
        </w:rPr>
        <w:t>The IgM positive sera for DEN viruses  were also tested by RT-PCR as previously described by Laciotti et al (1992).</w:t>
      </w:r>
    </w:p>
    <w:p w:rsidR="00940B86" w:rsidRPr="00940B86" w:rsidRDefault="00940B86" w:rsidP="00940B86">
      <w:pPr>
        <w:pStyle w:val="BodyTextIndent2"/>
        <w:ind w:firstLine="540"/>
        <w:rPr>
          <w:b/>
          <w:bCs/>
          <w:color w:val="000000"/>
          <w:szCs w:val="20"/>
        </w:rPr>
      </w:pPr>
    </w:p>
    <w:p w:rsidR="00B51CD7" w:rsidRPr="00940B86" w:rsidRDefault="00B51CD7" w:rsidP="00940B86">
      <w:pPr>
        <w:pStyle w:val="BodyTextIndent2"/>
        <w:ind w:firstLine="0"/>
        <w:rPr>
          <w:szCs w:val="20"/>
        </w:rPr>
      </w:pPr>
      <w:r w:rsidRPr="00940B86">
        <w:rPr>
          <w:b/>
          <w:bCs/>
          <w:color w:val="000000"/>
          <w:szCs w:val="20"/>
        </w:rPr>
        <w:t>Comparative titration to differentiate the four serotypes of dengue viruses:</w:t>
      </w:r>
    </w:p>
    <w:p w:rsidR="00940B86" w:rsidRPr="00940B86" w:rsidRDefault="00B51CD7" w:rsidP="00940B86">
      <w:pPr>
        <w:autoSpaceDE w:val="0"/>
        <w:autoSpaceDN w:val="0"/>
        <w:adjustRightInd w:val="0"/>
        <w:spacing w:after="0" w:line="240" w:lineRule="auto"/>
        <w:ind w:firstLine="540"/>
        <w:jc w:val="both"/>
        <w:rPr>
          <w:bCs/>
          <w:color w:val="000000"/>
          <w:sz w:val="20"/>
          <w:szCs w:val="20"/>
        </w:rPr>
      </w:pPr>
      <w:r w:rsidRPr="00940B86">
        <w:rPr>
          <w:b/>
          <w:bCs/>
          <w:color w:val="000000"/>
          <w:sz w:val="20"/>
          <w:szCs w:val="20"/>
        </w:rPr>
        <w:t xml:space="preserve">  </w:t>
      </w:r>
      <w:r w:rsidRPr="00940B86">
        <w:rPr>
          <w:bCs/>
          <w:color w:val="000000"/>
          <w:sz w:val="20"/>
          <w:szCs w:val="20"/>
        </w:rPr>
        <w:t xml:space="preserve">Each sample considered positive for DEN IgM was further diluted and treated against the four serotypes of DEN viruses to determine the infecting </w:t>
      </w:r>
      <w:r w:rsidRPr="00940B86">
        <w:rPr>
          <w:bCs/>
          <w:color w:val="000000"/>
          <w:sz w:val="20"/>
          <w:szCs w:val="20"/>
        </w:rPr>
        <w:lastRenderedPageBreak/>
        <w:t>agent. For example, sample VF 30 was diluted from 1:100 to 1: 102400</w:t>
      </w:r>
      <w:r w:rsidR="00940B86" w:rsidRPr="00940B86">
        <w:rPr>
          <w:bCs/>
          <w:color w:val="000000"/>
          <w:sz w:val="20"/>
          <w:szCs w:val="20"/>
        </w:rPr>
        <w:t xml:space="preserve">. </w:t>
      </w:r>
    </w:p>
    <w:p w:rsidR="00940B86" w:rsidRPr="00940B86" w:rsidRDefault="00940B86" w:rsidP="00940B86">
      <w:pPr>
        <w:autoSpaceDE w:val="0"/>
        <w:autoSpaceDN w:val="0"/>
        <w:adjustRightInd w:val="0"/>
        <w:spacing w:after="0" w:line="240" w:lineRule="auto"/>
        <w:jc w:val="both"/>
        <w:rPr>
          <w:bCs/>
          <w:color w:val="000000"/>
          <w:sz w:val="20"/>
          <w:szCs w:val="20"/>
        </w:rPr>
      </w:pPr>
    </w:p>
    <w:p w:rsidR="000D19A4" w:rsidRPr="00940B86" w:rsidRDefault="00AD135D" w:rsidP="00940B86">
      <w:pPr>
        <w:autoSpaceDE w:val="0"/>
        <w:autoSpaceDN w:val="0"/>
        <w:adjustRightInd w:val="0"/>
        <w:spacing w:after="0" w:line="240" w:lineRule="auto"/>
        <w:jc w:val="both"/>
        <w:rPr>
          <w:b/>
          <w:bCs/>
          <w:color w:val="000000"/>
          <w:sz w:val="20"/>
          <w:szCs w:val="20"/>
        </w:rPr>
      </w:pPr>
      <w:r w:rsidRPr="00940B86">
        <w:rPr>
          <w:b/>
          <w:bCs/>
          <w:color w:val="000000"/>
          <w:sz w:val="20"/>
          <w:szCs w:val="20"/>
        </w:rPr>
        <w:t>RESULTS.</w:t>
      </w:r>
    </w:p>
    <w:p w:rsidR="000D19A4" w:rsidRPr="00940B86" w:rsidRDefault="004D799E" w:rsidP="00940B86">
      <w:pPr>
        <w:autoSpaceDE w:val="0"/>
        <w:autoSpaceDN w:val="0"/>
        <w:adjustRightInd w:val="0"/>
        <w:spacing w:after="0" w:line="240" w:lineRule="auto"/>
        <w:ind w:firstLine="540"/>
        <w:jc w:val="both"/>
        <w:rPr>
          <w:color w:val="000000"/>
          <w:sz w:val="20"/>
          <w:szCs w:val="20"/>
        </w:rPr>
      </w:pPr>
      <w:r w:rsidRPr="00940B86">
        <w:rPr>
          <w:color w:val="000000"/>
          <w:sz w:val="20"/>
          <w:szCs w:val="20"/>
        </w:rPr>
        <w:t>Five (0.5%)</w:t>
      </w:r>
      <w:r w:rsidR="00D74D56" w:rsidRPr="00940B86">
        <w:rPr>
          <w:color w:val="000000"/>
          <w:sz w:val="20"/>
          <w:szCs w:val="20"/>
        </w:rPr>
        <w:t xml:space="preserve"> of the 973</w:t>
      </w:r>
      <w:r w:rsidR="007B0A95" w:rsidRPr="00940B86">
        <w:rPr>
          <w:color w:val="000000"/>
          <w:sz w:val="20"/>
          <w:szCs w:val="20"/>
        </w:rPr>
        <w:t xml:space="preserve"> sera were positive for DEN</w:t>
      </w:r>
      <w:r w:rsidR="00347A03" w:rsidRPr="00940B86">
        <w:rPr>
          <w:color w:val="000000"/>
          <w:sz w:val="20"/>
          <w:szCs w:val="20"/>
        </w:rPr>
        <w:t xml:space="preserve"> virus IgM antibodies (</w:t>
      </w:r>
      <w:r w:rsidR="00D74D56" w:rsidRPr="00940B86">
        <w:rPr>
          <w:color w:val="000000"/>
          <w:sz w:val="20"/>
          <w:szCs w:val="20"/>
        </w:rPr>
        <w:t>4 DEN-2 and 1 DEN-</w:t>
      </w:r>
      <w:r w:rsidR="007B0A95" w:rsidRPr="00940B86">
        <w:rPr>
          <w:color w:val="000000"/>
          <w:sz w:val="20"/>
          <w:szCs w:val="20"/>
        </w:rPr>
        <w:t>1</w:t>
      </w:r>
      <w:r w:rsidR="00D74D56" w:rsidRPr="00940B86">
        <w:rPr>
          <w:color w:val="000000"/>
          <w:sz w:val="20"/>
          <w:szCs w:val="20"/>
        </w:rPr>
        <w:t>)</w:t>
      </w:r>
      <w:r w:rsidR="007B0A95" w:rsidRPr="00940B86">
        <w:rPr>
          <w:color w:val="000000"/>
          <w:sz w:val="20"/>
          <w:szCs w:val="20"/>
        </w:rPr>
        <w:t xml:space="preserve">. A patient had an acute DEN-2 virus infection as demonstrated by a very high OD </w:t>
      </w:r>
      <w:r w:rsidR="00D74D56" w:rsidRPr="00940B86">
        <w:rPr>
          <w:color w:val="000000"/>
          <w:sz w:val="20"/>
          <w:szCs w:val="20"/>
        </w:rPr>
        <w:t>value of</w:t>
      </w:r>
      <w:r w:rsidR="007B0A95" w:rsidRPr="00940B86">
        <w:rPr>
          <w:color w:val="000000"/>
          <w:sz w:val="20"/>
          <w:szCs w:val="20"/>
        </w:rPr>
        <w:t xml:space="preserve"> 1.151</w:t>
      </w:r>
      <w:r w:rsidR="000D19A4" w:rsidRPr="00940B86">
        <w:rPr>
          <w:color w:val="000000"/>
          <w:sz w:val="20"/>
          <w:szCs w:val="20"/>
        </w:rPr>
        <w:t xml:space="preserve"> </w:t>
      </w:r>
      <w:r w:rsidR="00D74D56" w:rsidRPr="00940B86">
        <w:rPr>
          <w:color w:val="000000"/>
          <w:sz w:val="20"/>
          <w:szCs w:val="20"/>
        </w:rPr>
        <w:t>while another showed</w:t>
      </w:r>
      <w:r w:rsidR="007B0A95" w:rsidRPr="00940B86">
        <w:rPr>
          <w:color w:val="000000"/>
          <w:sz w:val="20"/>
          <w:szCs w:val="20"/>
        </w:rPr>
        <w:t xml:space="preserve"> </w:t>
      </w:r>
      <w:r w:rsidR="00D74D56" w:rsidRPr="00940B86">
        <w:rPr>
          <w:color w:val="000000"/>
          <w:sz w:val="20"/>
          <w:szCs w:val="20"/>
        </w:rPr>
        <w:t>an anamnestic</w:t>
      </w:r>
      <w:r w:rsidR="000D19A4" w:rsidRPr="00940B86">
        <w:rPr>
          <w:color w:val="000000"/>
          <w:sz w:val="20"/>
          <w:szCs w:val="20"/>
        </w:rPr>
        <w:t xml:space="preserve"> </w:t>
      </w:r>
      <w:r w:rsidR="003A6978" w:rsidRPr="00940B86">
        <w:rPr>
          <w:color w:val="000000"/>
          <w:sz w:val="20"/>
          <w:szCs w:val="20"/>
        </w:rPr>
        <w:t xml:space="preserve">response. </w:t>
      </w:r>
    </w:p>
    <w:p w:rsidR="00940B86" w:rsidRPr="00940B86" w:rsidRDefault="00940B86" w:rsidP="00940B86">
      <w:pPr>
        <w:autoSpaceDE w:val="0"/>
        <w:autoSpaceDN w:val="0"/>
        <w:adjustRightInd w:val="0"/>
        <w:spacing w:after="0" w:line="240" w:lineRule="auto"/>
        <w:jc w:val="both"/>
        <w:rPr>
          <w:b/>
          <w:bCs/>
          <w:color w:val="000000"/>
          <w:sz w:val="20"/>
          <w:szCs w:val="20"/>
        </w:rPr>
      </w:pPr>
    </w:p>
    <w:p w:rsidR="000D19A4" w:rsidRPr="00940B86" w:rsidRDefault="000D19A4" w:rsidP="00940B86">
      <w:pPr>
        <w:autoSpaceDE w:val="0"/>
        <w:autoSpaceDN w:val="0"/>
        <w:adjustRightInd w:val="0"/>
        <w:spacing w:after="0" w:line="240" w:lineRule="auto"/>
        <w:jc w:val="both"/>
        <w:rPr>
          <w:color w:val="000000"/>
          <w:sz w:val="20"/>
          <w:szCs w:val="20"/>
        </w:rPr>
      </w:pPr>
      <w:r w:rsidRPr="00940B86">
        <w:rPr>
          <w:b/>
          <w:bCs/>
          <w:color w:val="000000"/>
          <w:sz w:val="20"/>
          <w:szCs w:val="20"/>
        </w:rPr>
        <w:t xml:space="preserve">Plaque Reduction Neutralization Test on DEN IgM Positive Sera: </w:t>
      </w:r>
    </w:p>
    <w:p w:rsidR="000D19A4" w:rsidRPr="00940B86" w:rsidRDefault="000D19A4" w:rsidP="00940B86">
      <w:pPr>
        <w:autoSpaceDE w:val="0"/>
        <w:autoSpaceDN w:val="0"/>
        <w:adjustRightInd w:val="0"/>
        <w:spacing w:after="0" w:line="240" w:lineRule="auto"/>
        <w:ind w:firstLine="540"/>
        <w:jc w:val="both"/>
        <w:rPr>
          <w:color w:val="000000"/>
          <w:sz w:val="20"/>
          <w:szCs w:val="20"/>
        </w:rPr>
      </w:pPr>
      <w:r w:rsidRPr="00940B86">
        <w:rPr>
          <w:color w:val="000000"/>
          <w:sz w:val="20"/>
          <w:szCs w:val="20"/>
        </w:rPr>
        <w:t xml:space="preserve">All the sera that were DEN IgM positive by MAC-ELISA were found positive by PRNT. (Data not included). Two sera which showed mixed infections of WNV and dengue by MAC-ELISA were later confirmed to be positive for WNV by PRNT. Failure to carry out PRNT for all the samples limits this study from giving the precise status of these patients with regards to dengue virus infections in </w:t>
      </w:r>
      <w:smartTag w:uri="urn:schemas-microsoft-com:office:smarttags" w:element="country-region">
        <w:smartTag w:uri="urn:schemas-microsoft-com:office:smarttags" w:element="place">
          <w:r w:rsidRPr="00940B86">
            <w:rPr>
              <w:color w:val="000000"/>
              <w:sz w:val="20"/>
              <w:szCs w:val="20"/>
            </w:rPr>
            <w:t>Nigeria</w:t>
          </w:r>
        </w:smartTag>
      </w:smartTag>
      <w:r w:rsidRPr="00940B86">
        <w:rPr>
          <w:color w:val="000000"/>
          <w:sz w:val="20"/>
          <w:szCs w:val="20"/>
        </w:rPr>
        <w:t xml:space="preserve">. This is because a negative acute-phase specimen is inadequate for ruling out such an infection underscoring confirmation by demonstrating virus-specific serum IgG antibodies in the same or later specimen. </w:t>
      </w:r>
    </w:p>
    <w:p w:rsidR="00940B86" w:rsidRPr="00940B86" w:rsidRDefault="00940B86" w:rsidP="00940B86">
      <w:pPr>
        <w:tabs>
          <w:tab w:val="left" w:pos="5715"/>
          <w:tab w:val="right" w:pos="9360"/>
        </w:tabs>
        <w:spacing w:line="240" w:lineRule="auto"/>
        <w:jc w:val="both"/>
        <w:rPr>
          <w:b/>
          <w:sz w:val="20"/>
          <w:szCs w:val="20"/>
        </w:rPr>
      </w:pPr>
    </w:p>
    <w:p w:rsidR="00940B86" w:rsidRPr="00940B86" w:rsidRDefault="00397F8A" w:rsidP="00940B86">
      <w:pPr>
        <w:tabs>
          <w:tab w:val="left" w:pos="5715"/>
          <w:tab w:val="right" w:pos="9360"/>
        </w:tabs>
        <w:spacing w:line="240" w:lineRule="auto"/>
        <w:jc w:val="both"/>
        <w:rPr>
          <w:b/>
          <w:sz w:val="20"/>
          <w:szCs w:val="20"/>
        </w:rPr>
      </w:pPr>
      <w:r w:rsidRPr="00940B86">
        <w:rPr>
          <w:b/>
          <w:sz w:val="20"/>
          <w:szCs w:val="20"/>
        </w:rPr>
        <w:t xml:space="preserve">RT-PCR </w:t>
      </w:r>
      <w:r w:rsidR="00996E1B" w:rsidRPr="00940B86">
        <w:rPr>
          <w:b/>
          <w:sz w:val="20"/>
          <w:szCs w:val="20"/>
        </w:rPr>
        <w:t>with DEN</w:t>
      </w:r>
      <w:r w:rsidR="008D227D" w:rsidRPr="00940B86">
        <w:rPr>
          <w:b/>
          <w:sz w:val="20"/>
          <w:szCs w:val="20"/>
        </w:rPr>
        <w:t xml:space="preserve"> I</w:t>
      </w:r>
      <w:r w:rsidR="00996E1B" w:rsidRPr="00940B86">
        <w:rPr>
          <w:b/>
          <w:sz w:val="20"/>
          <w:szCs w:val="20"/>
        </w:rPr>
        <w:t>gM</w:t>
      </w:r>
      <w:r w:rsidR="008D227D" w:rsidRPr="00940B86">
        <w:rPr>
          <w:b/>
          <w:sz w:val="20"/>
          <w:szCs w:val="20"/>
        </w:rPr>
        <w:t xml:space="preserve"> positive sera is presented on table </w:t>
      </w:r>
      <w:r w:rsidR="005159C4" w:rsidRPr="00940B86">
        <w:rPr>
          <w:b/>
          <w:sz w:val="20"/>
          <w:szCs w:val="20"/>
        </w:rPr>
        <w:t>3</w:t>
      </w:r>
      <w:r w:rsidRPr="00940B86">
        <w:rPr>
          <w:b/>
          <w:sz w:val="20"/>
          <w:szCs w:val="20"/>
        </w:rPr>
        <w:t xml:space="preserve">:  </w:t>
      </w:r>
    </w:p>
    <w:p w:rsidR="007B0A95" w:rsidRPr="00940B86" w:rsidRDefault="00940B86" w:rsidP="00940B86">
      <w:pPr>
        <w:tabs>
          <w:tab w:val="left" w:pos="5715"/>
          <w:tab w:val="right" w:pos="9360"/>
        </w:tabs>
        <w:spacing w:line="240" w:lineRule="auto"/>
        <w:jc w:val="both"/>
        <w:rPr>
          <w:sz w:val="20"/>
          <w:szCs w:val="20"/>
        </w:rPr>
      </w:pPr>
      <w:r w:rsidRPr="00940B86">
        <w:rPr>
          <w:sz w:val="20"/>
          <w:szCs w:val="20"/>
        </w:rPr>
        <w:t xml:space="preserve">         </w:t>
      </w:r>
      <w:r w:rsidR="00397F8A" w:rsidRPr="00940B86">
        <w:rPr>
          <w:sz w:val="20"/>
          <w:szCs w:val="20"/>
        </w:rPr>
        <w:t xml:space="preserve">Out </w:t>
      </w:r>
      <w:r w:rsidR="00D74D56" w:rsidRPr="00940B86">
        <w:rPr>
          <w:sz w:val="20"/>
          <w:szCs w:val="20"/>
        </w:rPr>
        <w:t xml:space="preserve">of </w:t>
      </w:r>
      <w:r>
        <w:rPr>
          <w:sz w:val="20"/>
          <w:szCs w:val="20"/>
        </w:rPr>
        <w:t>5</w:t>
      </w:r>
      <w:r w:rsidR="00397F8A" w:rsidRPr="00940B86">
        <w:rPr>
          <w:sz w:val="20"/>
          <w:szCs w:val="20"/>
        </w:rPr>
        <w:t xml:space="preserve"> IgM </w:t>
      </w:r>
      <w:r w:rsidR="009457FE" w:rsidRPr="00940B86">
        <w:rPr>
          <w:sz w:val="20"/>
          <w:szCs w:val="20"/>
        </w:rPr>
        <w:t>positive sera</w:t>
      </w:r>
      <w:r w:rsidR="008D227D" w:rsidRPr="00940B86">
        <w:rPr>
          <w:sz w:val="20"/>
          <w:szCs w:val="20"/>
        </w:rPr>
        <w:t xml:space="preserve">, </w:t>
      </w:r>
      <w:r>
        <w:rPr>
          <w:sz w:val="20"/>
          <w:szCs w:val="20"/>
        </w:rPr>
        <w:t>3</w:t>
      </w:r>
      <w:r w:rsidR="008D227D" w:rsidRPr="00940B86">
        <w:rPr>
          <w:sz w:val="20"/>
          <w:szCs w:val="20"/>
        </w:rPr>
        <w:t xml:space="preserve"> showed detectable viral RNA. However, </w:t>
      </w:r>
      <w:r>
        <w:rPr>
          <w:sz w:val="20"/>
          <w:szCs w:val="20"/>
        </w:rPr>
        <w:t>1</w:t>
      </w:r>
      <w:r w:rsidR="008D227D" w:rsidRPr="00940B86">
        <w:rPr>
          <w:sz w:val="20"/>
          <w:szCs w:val="20"/>
        </w:rPr>
        <w:t xml:space="preserve"> DEN</w:t>
      </w:r>
      <w:r w:rsidR="007E4462" w:rsidRPr="00940B86">
        <w:rPr>
          <w:sz w:val="20"/>
          <w:szCs w:val="20"/>
        </w:rPr>
        <w:t>-2</w:t>
      </w:r>
      <w:r w:rsidR="008D227D" w:rsidRPr="00940B86">
        <w:rPr>
          <w:sz w:val="20"/>
          <w:szCs w:val="20"/>
        </w:rPr>
        <w:t xml:space="preserve"> IgM negative serum was found positive (DEN-3) by RT-PCR.</w:t>
      </w:r>
    </w:p>
    <w:p w:rsidR="007B0A95" w:rsidRPr="00940B86" w:rsidRDefault="007B0A95" w:rsidP="00940B86">
      <w:pPr>
        <w:autoSpaceDE w:val="0"/>
        <w:autoSpaceDN w:val="0"/>
        <w:adjustRightInd w:val="0"/>
        <w:spacing w:after="0" w:line="240" w:lineRule="auto"/>
        <w:jc w:val="both"/>
        <w:rPr>
          <w:b/>
          <w:bCs/>
          <w:color w:val="000000"/>
          <w:sz w:val="20"/>
          <w:szCs w:val="20"/>
        </w:rPr>
      </w:pPr>
      <w:r w:rsidRPr="00940B86">
        <w:rPr>
          <w:b/>
          <w:bCs/>
          <w:color w:val="000000"/>
          <w:sz w:val="20"/>
          <w:szCs w:val="20"/>
        </w:rPr>
        <w:t>Seasonal distribution of dengue virus IgM antibodies</w:t>
      </w:r>
    </w:p>
    <w:p w:rsidR="007B0A95" w:rsidRPr="00940B86" w:rsidRDefault="007B0A95" w:rsidP="00940B86">
      <w:pPr>
        <w:autoSpaceDE w:val="0"/>
        <w:autoSpaceDN w:val="0"/>
        <w:adjustRightInd w:val="0"/>
        <w:spacing w:after="0" w:line="240" w:lineRule="auto"/>
        <w:ind w:firstLine="540"/>
        <w:jc w:val="both"/>
        <w:rPr>
          <w:bCs/>
          <w:color w:val="000000"/>
          <w:sz w:val="20"/>
          <w:szCs w:val="20"/>
        </w:rPr>
      </w:pPr>
      <w:r w:rsidRPr="00940B86">
        <w:rPr>
          <w:bCs/>
          <w:color w:val="000000"/>
          <w:sz w:val="20"/>
          <w:szCs w:val="20"/>
        </w:rPr>
        <w:t xml:space="preserve">The seasonal distribution antibodies to dengue viruses are presented in figure </w:t>
      </w:r>
      <w:r w:rsidR="00D74D56" w:rsidRPr="00940B86">
        <w:rPr>
          <w:bCs/>
          <w:color w:val="000000"/>
          <w:sz w:val="20"/>
          <w:szCs w:val="20"/>
        </w:rPr>
        <w:t>1</w:t>
      </w:r>
      <w:r w:rsidR="00F97E78" w:rsidRPr="00940B86">
        <w:rPr>
          <w:bCs/>
          <w:color w:val="000000"/>
          <w:sz w:val="20"/>
          <w:szCs w:val="20"/>
        </w:rPr>
        <w:t xml:space="preserve">.  A significant association (X2 = 5.82, df = 2, P = 0.054) was observed between the prevalence of dengue antibodies and the seasons of the year in </w:t>
      </w:r>
      <w:smartTag w:uri="urn:schemas-microsoft-com:office:smarttags" w:element="country-region">
        <w:smartTag w:uri="urn:schemas-microsoft-com:office:smarttags" w:element="place">
          <w:r w:rsidR="00F97E78" w:rsidRPr="00940B86">
            <w:rPr>
              <w:bCs/>
              <w:color w:val="000000"/>
              <w:sz w:val="20"/>
              <w:szCs w:val="20"/>
            </w:rPr>
            <w:t>Nigeria</w:t>
          </w:r>
        </w:smartTag>
      </w:smartTag>
      <w:r w:rsidR="00F97E78" w:rsidRPr="00940B86">
        <w:rPr>
          <w:bCs/>
          <w:color w:val="000000"/>
          <w:sz w:val="20"/>
          <w:szCs w:val="20"/>
        </w:rPr>
        <w:t>. DEN antibodies were significantly higher during the rainy season (1.3%) than the cold harmattan period (0.3%). No</w:t>
      </w:r>
      <w:r w:rsidR="00D74D56" w:rsidRPr="00940B86">
        <w:rPr>
          <w:bCs/>
          <w:color w:val="000000"/>
          <w:sz w:val="20"/>
          <w:szCs w:val="20"/>
        </w:rPr>
        <w:t xml:space="preserve"> IgM </w:t>
      </w:r>
      <w:r w:rsidR="00F97E78" w:rsidRPr="00940B86">
        <w:rPr>
          <w:bCs/>
          <w:color w:val="000000"/>
          <w:sz w:val="20"/>
          <w:szCs w:val="20"/>
        </w:rPr>
        <w:t xml:space="preserve"> antibody to DEN virus was detected during the dry season. </w:t>
      </w:r>
      <w:r w:rsidR="009457FE" w:rsidRPr="00940B86">
        <w:rPr>
          <w:bCs/>
          <w:color w:val="000000"/>
          <w:sz w:val="20"/>
          <w:szCs w:val="20"/>
        </w:rPr>
        <w:t>When the previous</w:t>
      </w:r>
      <w:r w:rsidR="00B64DE3" w:rsidRPr="00940B86">
        <w:rPr>
          <w:bCs/>
          <w:color w:val="000000"/>
          <w:sz w:val="20"/>
          <w:szCs w:val="20"/>
        </w:rPr>
        <w:t xml:space="preserve"> work on den viruses</w:t>
      </w:r>
      <w:r w:rsidR="009457FE" w:rsidRPr="00940B86">
        <w:rPr>
          <w:bCs/>
          <w:color w:val="000000"/>
          <w:sz w:val="20"/>
          <w:szCs w:val="20"/>
        </w:rPr>
        <w:t xml:space="preserve"> (Baba et al 2010) and this study were compared, it </w:t>
      </w:r>
      <w:r w:rsidR="00F97E78" w:rsidRPr="00940B86">
        <w:rPr>
          <w:bCs/>
          <w:color w:val="000000"/>
          <w:sz w:val="20"/>
          <w:szCs w:val="20"/>
        </w:rPr>
        <w:t xml:space="preserve">was also observed that </w:t>
      </w:r>
      <w:r w:rsidR="00B21CDC" w:rsidRPr="00940B86">
        <w:rPr>
          <w:bCs/>
          <w:color w:val="000000"/>
          <w:sz w:val="20"/>
          <w:szCs w:val="20"/>
        </w:rPr>
        <w:t>2 (11.1%), 10 (55.6%), and 5 (27.8%) of the</w:t>
      </w:r>
      <w:r w:rsidR="00F97E78" w:rsidRPr="00940B86">
        <w:rPr>
          <w:bCs/>
          <w:color w:val="000000"/>
          <w:sz w:val="20"/>
          <w:szCs w:val="20"/>
        </w:rPr>
        <w:t xml:space="preserve"> DEN IgM positive sera were col</w:t>
      </w:r>
      <w:r w:rsidR="00B21CDC" w:rsidRPr="00940B86">
        <w:rPr>
          <w:bCs/>
          <w:color w:val="000000"/>
          <w:sz w:val="20"/>
          <w:szCs w:val="20"/>
        </w:rPr>
        <w:t>lected in the month of June</w:t>
      </w:r>
      <w:r w:rsidR="007F2356" w:rsidRPr="00940B86">
        <w:rPr>
          <w:bCs/>
          <w:color w:val="000000"/>
          <w:sz w:val="20"/>
          <w:szCs w:val="20"/>
        </w:rPr>
        <w:t>, July</w:t>
      </w:r>
      <w:r w:rsidR="00B21CDC" w:rsidRPr="00940B86">
        <w:rPr>
          <w:bCs/>
          <w:color w:val="000000"/>
          <w:sz w:val="20"/>
          <w:szCs w:val="20"/>
        </w:rPr>
        <w:t xml:space="preserve">, and August respectively. This implies that July may be the peak of dengue </w:t>
      </w:r>
      <w:r w:rsidR="009457FE" w:rsidRPr="00940B86">
        <w:rPr>
          <w:bCs/>
          <w:color w:val="000000"/>
          <w:sz w:val="20"/>
          <w:szCs w:val="20"/>
        </w:rPr>
        <w:t>virus activities in</w:t>
      </w:r>
      <w:r w:rsidR="00B21CDC" w:rsidRPr="00940B86">
        <w:rPr>
          <w:bCs/>
          <w:color w:val="000000"/>
          <w:sz w:val="20"/>
          <w:szCs w:val="20"/>
        </w:rPr>
        <w:t xml:space="preserve"> </w:t>
      </w:r>
      <w:smartTag w:uri="urn:schemas-microsoft-com:office:smarttags" w:element="country-region">
        <w:smartTag w:uri="urn:schemas-microsoft-com:office:smarttags" w:element="place">
          <w:r w:rsidR="00B21CDC" w:rsidRPr="00940B86">
            <w:rPr>
              <w:bCs/>
              <w:color w:val="000000"/>
              <w:sz w:val="20"/>
              <w:szCs w:val="20"/>
            </w:rPr>
            <w:t>Nigeria</w:t>
          </w:r>
        </w:smartTag>
      </w:smartTag>
      <w:r w:rsidR="00B21CDC" w:rsidRPr="00940B86">
        <w:rPr>
          <w:bCs/>
          <w:color w:val="000000"/>
          <w:sz w:val="20"/>
          <w:szCs w:val="20"/>
        </w:rPr>
        <w:t>.</w:t>
      </w:r>
    </w:p>
    <w:p w:rsidR="00940B86" w:rsidRPr="00940B86" w:rsidRDefault="00940B86" w:rsidP="00940B86">
      <w:pPr>
        <w:autoSpaceDE w:val="0"/>
        <w:autoSpaceDN w:val="0"/>
        <w:adjustRightInd w:val="0"/>
        <w:spacing w:after="0" w:line="240" w:lineRule="auto"/>
        <w:jc w:val="both"/>
        <w:rPr>
          <w:b/>
          <w:bCs/>
          <w:color w:val="000000"/>
          <w:sz w:val="20"/>
          <w:szCs w:val="20"/>
        </w:rPr>
      </w:pPr>
    </w:p>
    <w:p w:rsidR="000D19A4" w:rsidRPr="00940B86" w:rsidRDefault="005159C4" w:rsidP="00940B86">
      <w:pPr>
        <w:autoSpaceDE w:val="0"/>
        <w:autoSpaceDN w:val="0"/>
        <w:adjustRightInd w:val="0"/>
        <w:spacing w:after="0" w:line="240" w:lineRule="auto"/>
        <w:jc w:val="both"/>
        <w:rPr>
          <w:color w:val="000000"/>
          <w:sz w:val="20"/>
          <w:szCs w:val="20"/>
        </w:rPr>
      </w:pPr>
      <w:r w:rsidRPr="00940B86">
        <w:rPr>
          <w:b/>
          <w:bCs/>
          <w:color w:val="000000"/>
          <w:sz w:val="20"/>
          <w:szCs w:val="20"/>
        </w:rPr>
        <w:t>Table 2</w:t>
      </w:r>
      <w:r w:rsidR="00E83403" w:rsidRPr="00940B86">
        <w:rPr>
          <w:b/>
          <w:bCs/>
          <w:color w:val="000000"/>
          <w:sz w:val="20"/>
          <w:szCs w:val="20"/>
        </w:rPr>
        <w:t xml:space="preserve"> shows t</w:t>
      </w:r>
      <w:r w:rsidR="00B21CDC" w:rsidRPr="00940B86">
        <w:rPr>
          <w:b/>
          <w:bCs/>
          <w:color w:val="000000"/>
          <w:sz w:val="20"/>
          <w:szCs w:val="20"/>
        </w:rPr>
        <w:t xml:space="preserve">he seasonal distribution </w:t>
      </w:r>
      <w:r w:rsidR="006D7592" w:rsidRPr="00940B86">
        <w:rPr>
          <w:b/>
          <w:bCs/>
          <w:color w:val="000000"/>
          <w:sz w:val="20"/>
          <w:szCs w:val="20"/>
        </w:rPr>
        <w:t>of IgG</w:t>
      </w:r>
      <w:r w:rsidR="00EE62E0" w:rsidRPr="00940B86">
        <w:rPr>
          <w:b/>
          <w:bCs/>
          <w:color w:val="000000"/>
          <w:sz w:val="20"/>
          <w:szCs w:val="20"/>
        </w:rPr>
        <w:t xml:space="preserve"> </w:t>
      </w:r>
      <w:r w:rsidR="00B21CDC" w:rsidRPr="00940B86">
        <w:rPr>
          <w:b/>
          <w:bCs/>
          <w:color w:val="000000"/>
          <w:sz w:val="20"/>
          <w:szCs w:val="20"/>
        </w:rPr>
        <w:t>antibodies to dengue viruses</w:t>
      </w:r>
      <w:r w:rsidR="000D19A4" w:rsidRPr="00940B86">
        <w:rPr>
          <w:b/>
          <w:bCs/>
          <w:color w:val="000000"/>
          <w:sz w:val="20"/>
          <w:szCs w:val="20"/>
        </w:rPr>
        <w:t xml:space="preserve"> </w:t>
      </w:r>
    </w:p>
    <w:p w:rsidR="000D19A4" w:rsidRPr="00940B86" w:rsidRDefault="00FC7C68" w:rsidP="00940B86">
      <w:pPr>
        <w:autoSpaceDE w:val="0"/>
        <w:autoSpaceDN w:val="0"/>
        <w:adjustRightInd w:val="0"/>
        <w:spacing w:after="0" w:line="240" w:lineRule="auto"/>
        <w:ind w:firstLine="540"/>
        <w:jc w:val="both"/>
        <w:rPr>
          <w:bCs/>
          <w:color w:val="000000"/>
          <w:sz w:val="20"/>
          <w:szCs w:val="20"/>
        </w:rPr>
      </w:pPr>
      <w:r w:rsidRPr="00940B86">
        <w:rPr>
          <w:color w:val="000000"/>
          <w:sz w:val="20"/>
          <w:szCs w:val="20"/>
        </w:rPr>
        <w:lastRenderedPageBreak/>
        <w:t>83.9%, 88.9% and 86.2% of DEN IgG were obtained during the dry, rainy and harmattan seasons respectively.</w:t>
      </w:r>
      <w:r w:rsidR="00B21CDC" w:rsidRPr="00940B86">
        <w:rPr>
          <w:color w:val="000000"/>
          <w:sz w:val="20"/>
          <w:szCs w:val="20"/>
        </w:rPr>
        <w:t xml:space="preserve"> </w:t>
      </w:r>
      <w:r w:rsidR="000D19A4" w:rsidRPr="00940B86">
        <w:rPr>
          <w:b/>
          <w:bCs/>
          <w:color w:val="000000"/>
          <w:sz w:val="20"/>
          <w:szCs w:val="20"/>
        </w:rPr>
        <w:t xml:space="preserve"> </w:t>
      </w:r>
      <w:r w:rsidR="00B21CDC" w:rsidRPr="00940B86">
        <w:rPr>
          <w:b/>
          <w:bCs/>
          <w:color w:val="000000"/>
          <w:sz w:val="20"/>
          <w:szCs w:val="20"/>
        </w:rPr>
        <w:t xml:space="preserve"> </w:t>
      </w:r>
      <w:r w:rsidR="00B21CDC" w:rsidRPr="00940B86">
        <w:rPr>
          <w:bCs/>
          <w:color w:val="000000"/>
          <w:sz w:val="20"/>
          <w:szCs w:val="20"/>
        </w:rPr>
        <w:t xml:space="preserve">No significant relationship between the prevalence of </w:t>
      </w:r>
      <w:r w:rsidR="007F2356" w:rsidRPr="00940B86">
        <w:rPr>
          <w:bCs/>
          <w:color w:val="000000"/>
          <w:sz w:val="20"/>
          <w:szCs w:val="20"/>
        </w:rPr>
        <w:t>dengue IgG</w:t>
      </w:r>
      <w:r w:rsidR="00B21CDC" w:rsidRPr="00940B86">
        <w:rPr>
          <w:bCs/>
          <w:color w:val="000000"/>
          <w:sz w:val="20"/>
          <w:szCs w:val="20"/>
        </w:rPr>
        <w:t xml:space="preserve"> antibodies and the seasons of the year was observed.</w:t>
      </w:r>
    </w:p>
    <w:p w:rsidR="00940B86" w:rsidRPr="00940B86" w:rsidRDefault="00940B86" w:rsidP="00940B86">
      <w:pPr>
        <w:autoSpaceDE w:val="0"/>
        <w:autoSpaceDN w:val="0"/>
        <w:adjustRightInd w:val="0"/>
        <w:spacing w:after="0" w:line="240" w:lineRule="auto"/>
        <w:jc w:val="both"/>
        <w:rPr>
          <w:b/>
          <w:bCs/>
          <w:color w:val="000000"/>
          <w:sz w:val="20"/>
          <w:szCs w:val="20"/>
        </w:rPr>
      </w:pPr>
    </w:p>
    <w:p w:rsidR="00AD135D" w:rsidRPr="00940B86" w:rsidRDefault="00FB23DB" w:rsidP="00940B86">
      <w:pPr>
        <w:autoSpaceDE w:val="0"/>
        <w:autoSpaceDN w:val="0"/>
        <w:adjustRightInd w:val="0"/>
        <w:spacing w:after="0" w:line="240" w:lineRule="auto"/>
        <w:jc w:val="both"/>
        <w:rPr>
          <w:b/>
          <w:bCs/>
          <w:color w:val="000000"/>
          <w:sz w:val="20"/>
          <w:szCs w:val="20"/>
        </w:rPr>
      </w:pPr>
      <w:r w:rsidRPr="00940B86">
        <w:rPr>
          <w:b/>
          <w:bCs/>
          <w:color w:val="000000"/>
          <w:sz w:val="20"/>
          <w:szCs w:val="20"/>
        </w:rPr>
        <w:t>T</w:t>
      </w:r>
      <w:r w:rsidR="005159C4" w:rsidRPr="00940B86">
        <w:rPr>
          <w:b/>
          <w:bCs/>
          <w:color w:val="000000"/>
          <w:sz w:val="20"/>
          <w:szCs w:val="20"/>
        </w:rPr>
        <w:t>able 4</w:t>
      </w:r>
      <w:r w:rsidRPr="00940B86">
        <w:rPr>
          <w:b/>
          <w:bCs/>
          <w:color w:val="000000"/>
          <w:sz w:val="20"/>
          <w:szCs w:val="20"/>
        </w:rPr>
        <w:t xml:space="preserve"> shows </w:t>
      </w:r>
      <w:r w:rsidR="006D7592" w:rsidRPr="00940B86">
        <w:rPr>
          <w:b/>
          <w:bCs/>
          <w:color w:val="000000"/>
          <w:sz w:val="20"/>
          <w:szCs w:val="20"/>
        </w:rPr>
        <w:t>the cross</w:t>
      </w:r>
      <w:r w:rsidRPr="00940B86">
        <w:rPr>
          <w:b/>
          <w:bCs/>
          <w:color w:val="000000"/>
          <w:sz w:val="20"/>
          <w:szCs w:val="20"/>
        </w:rPr>
        <w:t xml:space="preserve"> reactivity between DEN, WNV, and YFV by MAC-ELISA </w:t>
      </w:r>
    </w:p>
    <w:p w:rsidR="00FB23DB" w:rsidRPr="00940B86" w:rsidRDefault="00FB23DB" w:rsidP="00940B86">
      <w:pPr>
        <w:autoSpaceDE w:val="0"/>
        <w:autoSpaceDN w:val="0"/>
        <w:adjustRightInd w:val="0"/>
        <w:spacing w:after="0" w:line="240" w:lineRule="auto"/>
        <w:ind w:firstLine="540"/>
        <w:jc w:val="both"/>
        <w:rPr>
          <w:bCs/>
          <w:color w:val="000000"/>
          <w:sz w:val="20"/>
          <w:szCs w:val="20"/>
        </w:rPr>
      </w:pPr>
      <w:r w:rsidRPr="00940B86">
        <w:rPr>
          <w:bCs/>
          <w:color w:val="000000"/>
          <w:sz w:val="20"/>
          <w:szCs w:val="20"/>
        </w:rPr>
        <w:t xml:space="preserve">Although cross –reactions among flaviviruses render MAC-ELISA less specific, the difference in the OD </w:t>
      </w:r>
      <w:r w:rsidR="006D7592" w:rsidRPr="00940B86">
        <w:rPr>
          <w:bCs/>
          <w:color w:val="000000"/>
          <w:sz w:val="20"/>
          <w:szCs w:val="20"/>
        </w:rPr>
        <w:t>values,</w:t>
      </w:r>
      <w:r w:rsidRPr="00940B86">
        <w:rPr>
          <w:bCs/>
          <w:color w:val="000000"/>
          <w:sz w:val="20"/>
          <w:szCs w:val="20"/>
        </w:rPr>
        <w:t xml:space="preserve"> to some extent could give a presumptive idea to the infecting flavivirus. Samples 3515 and 2575 were suspected cases of mixed infections of DEN and </w:t>
      </w:r>
      <w:smartTag w:uri="urn:schemas-microsoft-com:office:smarttags" w:element="place">
        <w:r w:rsidRPr="00940B86">
          <w:rPr>
            <w:bCs/>
            <w:color w:val="000000"/>
            <w:sz w:val="20"/>
            <w:szCs w:val="20"/>
          </w:rPr>
          <w:t>West Nile</w:t>
        </w:r>
      </w:smartTag>
      <w:r w:rsidRPr="00940B86">
        <w:rPr>
          <w:bCs/>
          <w:color w:val="000000"/>
          <w:sz w:val="20"/>
          <w:szCs w:val="20"/>
        </w:rPr>
        <w:t xml:space="preserve"> virus (WNV)</w:t>
      </w:r>
      <w:r w:rsidR="00627E50" w:rsidRPr="00940B86">
        <w:rPr>
          <w:bCs/>
          <w:color w:val="000000"/>
          <w:sz w:val="20"/>
          <w:szCs w:val="20"/>
        </w:rPr>
        <w:t>.</w:t>
      </w:r>
    </w:p>
    <w:p w:rsidR="00627E50" w:rsidRPr="00940B86" w:rsidRDefault="00627E50" w:rsidP="00940B86">
      <w:pPr>
        <w:autoSpaceDE w:val="0"/>
        <w:autoSpaceDN w:val="0"/>
        <w:adjustRightInd w:val="0"/>
        <w:spacing w:after="0" w:line="240" w:lineRule="auto"/>
        <w:ind w:firstLine="540"/>
        <w:jc w:val="both"/>
        <w:rPr>
          <w:bCs/>
          <w:color w:val="000000"/>
          <w:sz w:val="20"/>
          <w:szCs w:val="20"/>
        </w:rPr>
      </w:pPr>
    </w:p>
    <w:p w:rsidR="00627E50" w:rsidRPr="00940B86" w:rsidRDefault="00627E50" w:rsidP="00940B86">
      <w:pPr>
        <w:autoSpaceDE w:val="0"/>
        <w:autoSpaceDN w:val="0"/>
        <w:adjustRightInd w:val="0"/>
        <w:spacing w:after="0" w:line="240" w:lineRule="auto"/>
        <w:jc w:val="both"/>
        <w:rPr>
          <w:b/>
          <w:bCs/>
          <w:color w:val="000000"/>
          <w:sz w:val="20"/>
          <w:szCs w:val="20"/>
        </w:rPr>
      </w:pPr>
      <w:r w:rsidRPr="00940B86">
        <w:rPr>
          <w:b/>
          <w:bCs/>
          <w:color w:val="000000"/>
          <w:sz w:val="20"/>
          <w:szCs w:val="20"/>
        </w:rPr>
        <w:t xml:space="preserve">Comparative titration to </w:t>
      </w:r>
      <w:r w:rsidR="007C20A9" w:rsidRPr="00940B86">
        <w:rPr>
          <w:b/>
          <w:bCs/>
          <w:color w:val="000000"/>
          <w:sz w:val="20"/>
          <w:szCs w:val="20"/>
        </w:rPr>
        <w:t>differentiate the</w:t>
      </w:r>
      <w:r w:rsidRPr="00940B86">
        <w:rPr>
          <w:b/>
          <w:bCs/>
          <w:color w:val="000000"/>
          <w:sz w:val="20"/>
          <w:szCs w:val="20"/>
        </w:rPr>
        <w:t xml:space="preserve"> four serotypes of dengue viruses:</w:t>
      </w:r>
    </w:p>
    <w:p w:rsidR="00627E50" w:rsidRPr="00940B86" w:rsidRDefault="00627E50" w:rsidP="00940B86">
      <w:pPr>
        <w:autoSpaceDE w:val="0"/>
        <w:autoSpaceDN w:val="0"/>
        <w:adjustRightInd w:val="0"/>
        <w:spacing w:after="0" w:line="240" w:lineRule="auto"/>
        <w:ind w:firstLine="540"/>
        <w:jc w:val="both"/>
        <w:rPr>
          <w:bCs/>
          <w:color w:val="000000"/>
          <w:sz w:val="20"/>
          <w:szCs w:val="20"/>
        </w:rPr>
      </w:pPr>
      <w:r w:rsidRPr="00940B86">
        <w:rPr>
          <w:b/>
          <w:bCs/>
          <w:color w:val="000000"/>
          <w:sz w:val="20"/>
          <w:szCs w:val="20"/>
        </w:rPr>
        <w:t xml:space="preserve">  </w:t>
      </w:r>
      <w:r w:rsidR="007C20A9" w:rsidRPr="00940B86">
        <w:rPr>
          <w:bCs/>
          <w:color w:val="000000"/>
          <w:sz w:val="20"/>
          <w:szCs w:val="20"/>
        </w:rPr>
        <w:t xml:space="preserve">The dilution of sample VF 30 as an example showed </w:t>
      </w:r>
      <w:r w:rsidR="007A15B6" w:rsidRPr="00940B86">
        <w:rPr>
          <w:bCs/>
          <w:color w:val="000000"/>
          <w:sz w:val="20"/>
          <w:szCs w:val="20"/>
        </w:rPr>
        <w:t>that:</w:t>
      </w:r>
      <w:r w:rsidR="007C20A9" w:rsidRPr="00940B86">
        <w:rPr>
          <w:bCs/>
          <w:color w:val="000000"/>
          <w:sz w:val="20"/>
          <w:szCs w:val="20"/>
        </w:rPr>
        <w:t xml:space="preserve"> DEN-</w:t>
      </w:r>
      <w:r w:rsidR="007A15B6" w:rsidRPr="00940B86">
        <w:rPr>
          <w:bCs/>
          <w:color w:val="000000"/>
          <w:sz w:val="20"/>
          <w:szCs w:val="20"/>
        </w:rPr>
        <w:t>I,</w:t>
      </w:r>
      <w:r w:rsidR="007C20A9" w:rsidRPr="00940B86">
        <w:rPr>
          <w:bCs/>
          <w:color w:val="000000"/>
          <w:sz w:val="20"/>
          <w:szCs w:val="20"/>
        </w:rPr>
        <w:t xml:space="preserve"> DEN-2, DEN-3 and DEN-4 had OD values </w:t>
      </w:r>
      <w:r w:rsidR="007A15B6" w:rsidRPr="00940B86">
        <w:rPr>
          <w:bCs/>
          <w:color w:val="000000"/>
          <w:sz w:val="20"/>
          <w:szCs w:val="20"/>
        </w:rPr>
        <w:t xml:space="preserve">of 0.126, </w:t>
      </w:r>
      <w:r w:rsidR="007C20A9" w:rsidRPr="00940B86">
        <w:rPr>
          <w:bCs/>
          <w:color w:val="000000"/>
          <w:sz w:val="20"/>
          <w:szCs w:val="20"/>
        </w:rPr>
        <w:t>0.329, 0.216 and 0.267</w:t>
      </w:r>
      <w:r w:rsidR="007A15B6" w:rsidRPr="00940B86">
        <w:rPr>
          <w:bCs/>
          <w:color w:val="000000"/>
          <w:sz w:val="20"/>
          <w:szCs w:val="20"/>
        </w:rPr>
        <w:t xml:space="preserve"> </w:t>
      </w:r>
      <w:r w:rsidR="003A6978" w:rsidRPr="00940B86">
        <w:rPr>
          <w:bCs/>
          <w:color w:val="000000"/>
          <w:sz w:val="20"/>
          <w:szCs w:val="20"/>
        </w:rPr>
        <w:t>respectively at</w:t>
      </w:r>
      <w:r w:rsidR="007C20A9" w:rsidRPr="00940B86">
        <w:rPr>
          <w:bCs/>
          <w:color w:val="000000"/>
          <w:sz w:val="20"/>
          <w:szCs w:val="20"/>
        </w:rPr>
        <w:t xml:space="preserve"> dilution 1: 3200.  Theref</w:t>
      </w:r>
      <w:r w:rsidR="00262B3B" w:rsidRPr="00940B86">
        <w:rPr>
          <w:bCs/>
          <w:color w:val="000000"/>
          <w:sz w:val="20"/>
          <w:szCs w:val="20"/>
        </w:rPr>
        <w:t>ore DEN-2 was implicated  in that case</w:t>
      </w:r>
      <w:r w:rsidR="007C20A9" w:rsidRPr="00940B86">
        <w:rPr>
          <w:bCs/>
          <w:color w:val="000000"/>
          <w:sz w:val="20"/>
          <w:szCs w:val="20"/>
        </w:rPr>
        <w:t xml:space="preserve">. </w:t>
      </w:r>
    </w:p>
    <w:p w:rsidR="008C227F" w:rsidRDefault="008C227F" w:rsidP="008C227F">
      <w:pPr>
        <w:autoSpaceDE w:val="0"/>
        <w:autoSpaceDN w:val="0"/>
        <w:adjustRightInd w:val="0"/>
        <w:spacing w:after="0" w:line="240" w:lineRule="auto"/>
        <w:jc w:val="both"/>
        <w:rPr>
          <w:b/>
          <w:bCs/>
          <w:color w:val="000000"/>
          <w:sz w:val="20"/>
          <w:szCs w:val="20"/>
        </w:rPr>
      </w:pPr>
    </w:p>
    <w:p w:rsidR="00536D85" w:rsidRPr="00940B86" w:rsidRDefault="008A3D6B" w:rsidP="00536D85">
      <w:pPr>
        <w:spacing w:line="240" w:lineRule="auto"/>
        <w:jc w:val="center"/>
        <w:rPr>
          <w:sz w:val="20"/>
          <w:szCs w:val="20"/>
        </w:rPr>
      </w:pPr>
      <w:r>
        <w:rPr>
          <w:noProof/>
          <w:sz w:val="20"/>
          <w:szCs w:val="20"/>
        </w:rPr>
        <w:drawing>
          <wp:inline distT="0" distB="0" distL="0" distR="0">
            <wp:extent cx="2732405" cy="16306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32405" cy="1630680"/>
                    </a:xfrm>
                    <a:prstGeom prst="rect">
                      <a:avLst/>
                    </a:prstGeom>
                    <a:noFill/>
                    <a:ln w="9525">
                      <a:noFill/>
                      <a:miter lim="800000"/>
                      <a:headEnd/>
                      <a:tailEnd/>
                    </a:ln>
                  </pic:spPr>
                </pic:pic>
              </a:graphicData>
            </a:graphic>
          </wp:inline>
        </w:drawing>
      </w:r>
    </w:p>
    <w:p w:rsidR="00536D85" w:rsidRPr="00940B86" w:rsidRDefault="00536D85" w:rsidP="00536D85">
      <w:pPr>
        <w:tabs>
          <w:tab w:val="left" w:pos="5715"/>
          <w:tab w:val="right" w:pos="9360"/>
        </w:tabs>
        <w:spacing w:line="240" w:lineRule="auto"/>
        <w:jc w:val="both"/>
        <w:rPr>
          <w:b/>
          <w:sz w:val="20"/>
          <w:szCs w:val="20"/>
        </w:rPr>
      </w:pPr>
      <w:r w:rsidRPr="00940B86">
        <w:rPr>
          <w:b/>
          <w:sz w:val="20"/>
          <w:szCs w:val="20"/>
        </w:rPr>
        <w:t>Figure 1: Seasonal  Distribution of IgM to Dengue</w:t>
      </w:r>
    </w:p>
    <w:p w:rsidR="00536D85" w:rsidRDefault="00536D85" w:rsidP="00536D85">
      <w:pPr>
        <w:tabs>
          <w:tab w:val="left" w:pos="5715"/>
          <w:tab w:val="right" w:pos="9360"/>
        </w:tabs>
        <w:spacing w:line="240" w:lineRule="auto"/>
        <w:jc w:val="both"/>
        <w:rPr>
          <w:noProof/>
          <w:sz w:val="20"/>
          <w:szCs w:val="20"/>
        </w:rPr>
      </w:pPr>
      <w:r w:rsidRPr="00940B86">
        <w:rPr>
          <w:noProof/>
          <w:sz w:val="20"/>
          <w:szCs w:val="20"/>
        </w:rPr>
        <w:t xml:space="preserve">                                     </w:t>
      </w:r>
    </w:p>
    <w:p w:rsidR="00536D85" w:rsidRDefault="00536D85" w:rsidP="00536D85">
      <w:pPr>
        <w:tabs>
          <w:tab w:val="left" w:pos="5715"/>
          <w:tab w:val="right" w:pos="9360"/>
        </w:tabs>
        <w:spacing w:line="240" w:lineRule="auto"/>
        <w:jc w:val="both"/>
        <w:rPr>
          <w:noProof/>
          <w:sz w:val="20"/>
          <w:szCs w:val="20"/>
        </w:rPr>
      </w:pPr>
    </w:p>
    <w:p w:rsidR="00536D85" w:rsidRPr="00940B86" w:rsidRDefault="008A3D6B" w:rsidP="00536D85">
      <w:pPr>
        <w:tabs>
          <w:tab w:val="left" w:pos="5715"/>
          <w:tab w:val="right" w:pos="9360"/>
        </w:tabs>
        <w:spacing w:line="240" w:lineRule="auto"/>
        <w:jc w:val="center"/>
        <w:rPr>
          <w:sz w:val="20"/>
          <w:szCs w:val="20"/>
        </w:rPr>
      </w:pPr>
      <w:r>
        <w:rPr>
          <w:noProof/>
          <w:sz w:val="20"/>
          <w:szCs w:val="20"/>
        </w:rPr>
        <w:drawing>
          <wp:inline distT="0" distB="0" distL="0" distR="0">
            <wp:extent cx="2721521" cy="1594122"/>
            <wp:effectExtent l="7256" t="3538" r="3628"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6D85" w:rsidRPr="00940B86" w:rsidRDefault="00536D85" w:rsidP="00536D85">
      <w:pPr>
        <w:tabs>
          <w:tab w:val="left" w:pos="5715"/>
          <w:tab w:val="right" w:pos="9360"/>
        </w:tabs>
        <w:spacing w:line="240" w:lineRule="auto"/>
        <w:jc w:val="both"/>
        <w:rPr>
          <w:b/>
          <w:sz w:val="20"/>
          <w:szCs w:val="20"/>
        </w:rPr>
      </w:pPr>
      <w:r w:rsidRPr="00940B86">
        <w:rPr>
          <w:b/>
          <w:sz w:val="20"/>
          <w:szCs w:val="20"/>
        </w:rPr>
        <w:t>Figure 2: Seasonal  Distribution of IgG to Dengue</w:t>
      </w:r>
    </w:p>
    <w:p w:rsidR="00536D85" w:rsidRPr="00940B86" w:rsidRDefault="00536D85" w:rsidP="008C227F">
      <w:pPr>
        <w:autoSpaceDE w:val="0"/>
        <w:autoSpaceDN w:val="0"/>
        <w:adjustRightInd w:val="0"/>
        <w:spacing w:after="0" w:line="240" w:lineRule="auto"/>
        <w:jc w:val="both"/>
        <w:rPr>
          <w:b/>
          <w:bCs/>
          <w:color w:val="000000"/>
          <w:sz w:val="20"/>
          <w:szCs w:val="20"/>
        </w:rPr>
        <w:sectPr w:rsidR="00536D85" w:rsidRPr="00940B86" w:rsidSect="008C227F">
          <w:type w:val="continuous"/>
          <w:pgSz w:w="12240" w:h="15840"/>
          <w:pgMar w:top="1440" w:right="1440" w:bottom="1440" w:left="1440" w:header="720" w:footer="720" w:gutter="0"/>
          <w:cols w:num="2" w:space="720"/>
          <w:docGrid w:linePitch="360"/>
        </w:sectPr>
      </w:pPr>
    </w:p>
    <w:p w:rsidR="000210A6" w:rsidRPr="00940B86" w:rsidRDefault="00647600" w:rsidP="008C227F">
      <w:pPr>
        <w:spacing w:line="240" w:lineRule="auto"/>
        <w:jc w:val="both"/>
        <w:rPr>
          <w:sz w:val="20"/>
          <w:szCs w:val="20"/>
        </w:rPr>
      </w:pPr>
      <w:r w:rsidRPr="00940B86">
        <w:rPr>
          <w:sz w:val="20"/>
          <w:szCs w:val="20"/>
        </w:rPr>
        <w:lastRenderedPageBreak/>
        <w:t xml:space="preserve">                                   </w:t>
      </w:r>
    </w:p>
    <w:p w:rsidR="008C227F" w:rsidRPr="00536D85" w:rsidRDefault="00647600" w:rsidP="00536D85">
      <w:pPr>
        <w:spacing w:line="240" w:lineRule="auto"/>
        <w:jc w:val="both"/>
        <w:rPr>
          <w:sz w:val="20"/>
          <w:szCs w:val="20"/>
        </w:rPr>
      </w:pPr>
      <w:r w:rsidRPr="00940B86">
        <w:rPr>
          <w:b/>
          <w:sz w:val="20"/>
          <w:szCs w:val="20"/>
        </w:rPr>
        <w:lastRenderedPageBreak/>
        <w:t>TABLE 2</w:t>
      </w:r>
      <w:r w:rsidR="008C227F" w:rsidRPr="00940B86">
        <w:rPr>
          <w:b/>
          <w:sz w:val="20"/>
          <w:szCs w:val="20"/>
        </w:rPr>
        <w:t>: RT-PCR WITH DENS IGM POSITIVE SERA</w:t>
      </w:r>
    </w:p>
    <w:tbl>
      <w:tblPr>
        <w:tblW w:w="0" w:type="auto"/>
        <w:tblLook w:val="04A0"/>
      </w:tblPr>
      <w:tblGrid>
        <w:gridCol w:w="1278"/>
        <w:gridCol w:w="2610"/>
        <w:gridCol w:w="3294"/>
        <w:gridCol w:w="2394"/>
      </w:tblGrid>
      <w:tr w:rsidR="008C227F" w:rsidRPr="00536D85" w:rsidTr="000B7554">
        <w:trPr>
          <w:trHeight w:val="530"/>
        </w:trPr>
        <w:tc>
          <w:tcPr>
            <w:tcW w:w="1278" w:type="dxa"/>
            <w:tcBorders>
              <w:top w:val="single" w:sz="4" w:space="0" w:color="000000"/>
              <w:bottom w:val="single" w:sz="4" w:space="0" w:color="000000"/>
            </w:tcBorders>
          </w:tcPr>
          <w:p w:rsidR="008C227F" w:rsidRPr="00536D85" w:rsidRDefault="008C227F" w:rsidP="00647600">
            <w:pPr>
              <w:tabs>
                <w:tab w:val="left" w:pos="5715"/>
                <w:tab w:val="right" w:pos="9360"/>
              </w:tabs>
              <w:spacing w:line="240" w:lineRule="auto"/>
              <w:jc w:val="both"/>
              <w:rPr>
                <w:b/>
                <w:sz w:val="18"/>
                <w:szCs w:val="18"/>
              </w:rPr>
            </w:pPr>
            <w:r w:rsidRPr="00536D85">
              <w:rPr>
                <w:b/>
                <w:sz w:val="18"/>
                <w:szCs w:val="18"/>
              </w:rPr>
              <w:t>S/NO</w:t>
            </w:r>
          </w:p>
        </w:tc>
        <w:tc>
          <w:tcPr>
            <w:tcW w:w="2610" w:type="dxa"/>
            <w:tcBorders>
              <w:top w:val="single" w:sz="4" w:space="0" w:color="000000"/>
              <w:bottom w:val="single" w:sz="4" w:space="0" w:color="000000"/>
            </w:tcBorders>
          </w:tcPr>
          <w:p w:rsidR="008C227F" w:rsidRPr="00536D85" w:rsidRDefault="008C227F" w:rsidP="008E2E6C">
            <w:pPr>
              <w:tabs>
                <w:tab w:val="left" w:pos="5715"/>
                <w:tab w:val="right" w:pos="9360"/>
              </w:tabs>
              <w:spacing w:line="240" w:lineRule="auto"/>
              <w:jc w:val="center"/>
              <w:rPr>
                <w:b/>
                <w:sz w:val="18"/>
                <w:szCs w:val="18"/>
              </w:rPr>
            </w:pPr>
            <w:r w:rsidRPr="00536D85">
              <w:rPr>
                <w:b/>
                <w:sz w:val="18"/>
                <w:szCs w:val="18"/>
              </w:rPr>
              <w:t>SAMPLE NO</w:t>
            </w:r>
          </w:p>
        </w:tc>
        <w:tc>
          <w:tcPr>
            <w:tcW w:w="3294" w:type="dxa"/>
            <w:tcBorders>
              <w:top w:val="single" w:sz="4" w:space="0" w:color="000000"/>
              <w:bottom w:val="single" w:sz="4" w:space="0" w:color="000000"/>
            </w:tcBorders>
          </w:tcPr>
          <w:p w:rsidR="008C227F" w:rsidRPr="00536D85" w:rsidRDefault="008C227F" w:rsidP="008E2E6C">
            <w:pPr>
              <w:tabs>
                <w:tab w:val="left" w:pos="5715"/>
                <w:tab w:val="right" w:pos="9360"/>
              </w:tabs>
              <w:spacing w:line="240" w:lineRule="auto"/>
              <w:jc w:val="center"/>
              <w:rPr>
                <w:b/>
                <w:sz w:val="18"/>
                <w:szCs w:val="18"/>
              </w:rPr>
            </w:pPr>
            <w:r w:rsidRPr="00536D85">
              <w:rPr>
                <w:b/>
                <w:sz w:val="18"/>
                <w:szCs w:val="18"/>
              </w:rPr>
              <w:t>RT-PCR</w:t>
            </w:r>
          </w:p>
        </w:tc>
        <w:tc>
          <w:tcPr>
            <w:tcW w:w="2394" w:type="dxa"/>
            <w:tcBorders>
              <w:top w:val="single" w:sz="4" w:space="0" w:color="000000"/>
              <w:bottom w:val="single" w:sz="4" w:space="0" w:color="000000"/>
            </w:tcBorders>
          </w:tcPr>
          <w:p w:rsidR="008C227F" w:rsidRPr="00536D85" w:rsidRDefault="008C227F" w:rsidP="008E2E6C">
            <w:pPr>
              <w:tabs>
                <w:tab w:val="left" w:pos="5715"/>
                <w:tab w:val="right" w:pos="9360"/>
              </w:tabs>
              <w:spacing w:line="240" w:lineRule="auto"/>
              <w:jc w:val="center"/>
              <w:rPr>
                <w:b/>
                <w:sz w:val="18"/>
                <w:szCs w:val="18"/>
              </w:rPr>
            </w:pPr>
            <w:r w:rsidRPr="00536D85">
              <w:rPr>
                <w:b/>
                <w:sz w:val="18"/>
                <w:szCs w:val="18"/>
              </w:rPr>
              <w:t>IgM POSITIVE SERA</w:t>
            </w:r>
          </w:p>
        </w:tc>
      </w:tr>
      <w:tr w:rsidR="008C227F" w:rsidRPr="00536D85" w:rsidTr="00647600">
        <w:trPr>
          <w:trHeight w:val="242"/>
        </w:trPr>
        <w:tc>
          <w:tcPr>
            <w:tcW w:w="1278" w:type="dxa"/>
            <w:tcBorders>
              <w:top w:val="single" w:sz="4" w:space="0" w:color="000000"/>
            </w:tcBorders>
          </w:tcPr>
          <w:p w:rsidR="008C227F" w:rsidRPr="00536D85" w:rsidRDefault="008C227F" w:rsidP="00647600">
            <w:pPr>
              <w:tabs>
                <w:tab w:val="left" w:pos="5715"/>
                <w:tab w:val="right" w:pos="9360"/>
              </w:tabs>
              <w:spacing w:line="240" w:lineRule="auto"/>
              <w:jc w:val="both"/>
              <w:rPr>
                <w:sz w:val="18"/>
                <w:szCs w:val="18"/>
              </w:rPr>
            </w:pPr>
            <w:r w:rsidRPr="00536D85">
              <w:rPr>
                <w:sz w:val="18"/>
                <w:szCs w:val="18"/>
              </w:rPr>
              <w:t>1</w:t>
            </w:r>
          </w:p>
        </w:tc>
        <w:tc>
          <w:tcPr>
            <w:tcW w:w="2610" w:type="dxa"/>
            <w:tcBorders>
              <w:top w:val="single" w:sz="4" w:space="0" w:color="000000"/>
            </w:tcBorders>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VF 30</w:t>
            </w:r>
          </w:p>
        </w:tc>
        <w:tc>
          <w:tcPr>
            <w:tcW w:w="3294" w:type="dxa"/>
            <w:tcBorders>
              <w:top w:val="single" w:sz="4" w:space="0" w:color="000000"/>
            </w:tcBorders>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Negative</w:t>
            </w:r>
          </w:p>
        </w:tc>
        <w:tc>
          <w:tcPr>
            <w:tcW w:w="2394" w:type="dxa"/>
            <w:tcBorders>
              <w:top w:val="single" w:sz="4" w:space="0" w:color="000000"/>
            </w:tcBorders>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D2</w:t>
            </w:r>
          </w:p>
        </w:tc>
      </w:tr>
      <w:tr w:rsidR="008C227F" w:rsidRPr="00536D85" w:rsidTr="0025315F">
        <w:trPr>
          <w:trHeight w:val="522"/>
        </w:trPr>
        <w:tc>
          <w:tcPr>
            <w:tcW w:w="1278" w:type="dxa"/>
          </w:tcPr>
          <w:p w:rsidR="008C227F" w:rsidRPr="00536D85" w:rsidRDefault="008C227F" w:rsidP="00647600">
            <w:pPr>
              <w:tabs>
                <w:tab w:val="left" w:pos="5715"/>
                <w:tab w:val="right" w:pos="9360"/>
              </w:tabs>
              <w:spacing w:line="240" w:lineRule="auto"/>
              <w:jc w:val="both"/>
              <w:rPr>
                <w:sz w:val="18"/>
                <w:szCs w:val="18"/>
              </w:rPr>
            </w:pPr>
            <w:r w:rsidRPr="00536D85">
              <w:rPr>
                <w:sz w:val="18"/>
                <w:szCs w:val="18"/>
              </w:rPr>
              <w:t>2</w:t>
            </w:r>
          </w:p>
        </w:tc>
        <w:tc>
          <w:tcPr>
            <w:tcW w:w="2610" w:type="dxa"/>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VF32</w:t>
            </w:r>
          </w:p>
        </w:tc>
        <w:tc>
          <w:tcPr>
            <w:tcW w:w="3294" w:type="dxa"/>
          </w:tcPr>
          <w:p w:rsidR="008C227F" w:rsidRPr="00536D85" w:rsidRDefault="008C227F" w:rsidP="008E2E6C">
            <w:pPr>
              <w:spacing w:line="240" w:lineRule="auto"/>
              <w:jc w:val="center"/>
              <w:rPr>
                <w:sz w:val="18"/>
                <w:szCs w:val="18"/>
              </w:rPr>
            </w:pPr>
            <w:r w:rsidRPr="00536D85">
              <w:rPr>
                <w:sz w:val="18"/>
                <w:szCs w:val="18"/>
              </w:rPr>
              <w:t>positive</w:t>
            </w:r>
          </w:p>
        </w:tc>
        <w:tc>
          <w:tcPr>
            <w:tcW w:w="2394" w:type="dxa"/>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D2</w:t>
            </w:r>
          </w:p>
        </w:tc>
      </w:tr>
      <w:tr w:rsidR="008C227F" w:rsidRPr="00536D85" w:rsidTr="000B7554">
        <w:tc>
          <w:tcPr>
            <w:tcW w:w="1278" w:type="dxa"/>
          </w:tcPr>
          <w:p w:rsidR="008C227F" w:rsidRPr="00536D85" w:rsidRDefault="008C227F" w:rsidP="00647600">
            <w:pPr>
              <w:tabs>
                <w:tab w:val="left" w:pos="5715"/>
                <w:tab w:val="right" w:pos="9360"/>
              </w:tabs>
              <w:spacing w:line="240" w:lineRule="auto"/>
              <w:jc w:val="both"/>
              <w:rPr>
                <w:sz w:val="18"/>
                <w:szCs w:val="18"/>
              </w:rPr>
            </w:pPr>
            <w:r w:rsidRPr="00536D85">
              <w:rPr>
                <w:sz w:val="18"/>
                <w:szCs w:val="18"/>
              </w:rPr>
              <w:t>3</w:t>
            </w:r>
          </w:p>
        </w:tc>
        <w:tc>
          <w:tcPr>
            <w:tcW w:w="2610" w:type="dxa"/>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VF 641</w:t>
            </w:r>
          </w:p>
        </w:tc>
        <w:tc>
          <w:tcPr>
            <w:tcW w:w="3294" w:type="dxa"/>
          </w:tcPr>
          <w:p w:rsidR="008C227F" w:rsidRPr="00536D85" w:rsidRDefault="008C227F" w:rsidP="008E2E6C">
            <w:pPr>
              <w:spacing w:line="240" w:lineRule="auto"/>
              <w:jc w:val="center"/>
              <w:rPr>
                <w:sz w:val="18"/>
                <w:szCs w:val="18"/>
              </w:rPr>
            </w:pPr>
            <w:r w:rsidRPr="00536D85">
              <w:rPr>
                <w:sz w:val="18"/>
                <w:szCs w:val="18"/>
              </w:rPr>
              <w:t>positive</w:t>
            </w:r>
          </w:p>
        </w:tc>
        <w:tc>
          <w:tcPr>
            <w:tcW w:w="2394" w:type="dxa"/>
          </w:tcPr>
          <w:p w:rsidR="008C227F" w:rsidRPr="00536D85" w:rsidRDefault="008C227F" w:rsidP="008E2E6C">
            <w:pPr>
              <w:spacing w:line="240" w:lineRule="auto"/>
              <w:jc w:val="center"/>
              <w:rPr>
                <w:sz w:val="18"/>
                <w:szCs w:val="18"/>
              </w:rPr>
            </w:pPr>
            <w:r w:rsidRPr="00536D85">
              <w:rPr>
                <w:sz w:val="18"/>
                <w:szCs w:val="18"/>
              </w:rPr>
              <w:t>D2</w:t>
            </w:r>
          </w:p>
        </w:tc>
      </w:tr>
      <w:tr w:rsidR="008C227F" w:rsidRPr="00536D85" w:rsidTr="00536D85">
        <w:trPr>
          <w:trHeight w:val="216"/>
        </w:trPr>
        <w:tc>
          <w:tcPr>
            <w:tcW w:w="1278" w:type="dxa"/>
          </w:tcPr>
          <w:p w:rsidR="0025315F" w:rsidRPr="00536D85" w:rsidRDefault="0025315F" w:rsidP="00647600">
            <w:pPr>
              <w:tabs>
                <w:tab w:val="left" w:pos="5715"/>
                <w:tab w:val="right" w:pos="9360"/>
              </w:tabs>
              <w:spacing w:line="240" w:lineRule="auto"/>
              <w:jc w:val="both"/>
              <w:rPr>
                <w:sz w:val="18"/>
                <w:szCs w:val="18"/>
              </w:rPr>
            </w:pPr>
          </w:p>
        </w:tc>
        <w:tc>
          <w:tcPr>
            <w:tcW w:w="2610" w:type="dxa"/>
          </w:tcPr>
          <w:p w:rsidR="008C227F" w:rsidRPr="00536D85" w:rsidRDefault="008C227F" w:rsidP="008E2E6C">
            <w:pPr>
              <w:tabs>
                <w:tab w:val="left" w:pos="5715"/>
                <w:tab w:val="right" w:pos="9360"/>
              </w:tabs>
              <w:spacing w:line="240" w:lineRule="auto"/>
              <w:jc w:val="center"/>
              <w:rPr>
                <w:sz w:val="18"/>
                <w:szCs w:val="18"/>
              </w:rPr>
            </w:pPr>
          </w:p>
        </w:tc>
        <w:tc>
          <w:tcPr>
            <w:tcW w:w="3294" w:type="dxa"/>
          </w:tcPr>
          <w:p w:rsidR="008C227F" w:rsidRPr="00536D85" w:rsidRDefault="008C227F" w:rsidP="008E2E6C">
            <w:pPr>
              <w:tabs>
                <w:tab w:val="left" w:pos="5715"/>
                <w:tab w:val="right" w:pos="9360"/>
              </w:tabs>
              <w:spacing w:line="240" w:lineRule="auto"/>
              <w:jc w:val="center"/>
              <w:rPr>
                <w:sz w:val="18"/>
                <w:szCs w:val="18"/>
              </w:rPr>
            </w:pPr>
          </w:p>
        </w:tc>
        <w:tc>
          <w:tcPr>
            <w:tcW w:w="2394" w:type="dxa"/>
          </w:tcPr>
          <w:p w:rsidR="008C227F" w:rsidRPr="00536D85" w:rsidRDefault="008C227F" w:rsidP="008E2E6C">
            <w:pPr>
              <w:spacing w:line="240" w:lineRule="auto"/>
              <w:jc w:val="center"/>
              <w:rPr>
                <w:sz w:val="18"/>
                <w:szCs w:val="18"/>
              </w:rPr>
            </w:pPr>
          </w:p>
        </w:tc>
      </w:tr>
      <w:tr w:rsidR="008C227F" w:rsidRPr="00536D85" w:rsidTr="000B7554">
        <w:tc>
          <w:tcPr>
            <w:tcW w:w="1278" w:type="dxa"/>
          </w:tcPr>
          <w:p w:rsidR="008C227F" w:rsidRPr="00536D85" w:rsidRDefault="0025315F" w:rsidP="00647600">
            <w:pPr>
              <w:tabs>
                <w:tab w:val="left" w:pos="5715"/>
                <w:tab w:val="right" w:pos="9360"/>
              </w:tabs>
              <w:spacing w:line="240" w:lineRule="auto"/>
              <w:jc w:val="both"/>
              <w:rPr>
                <w:b/>
                <w:sz w:val="18"/>
                <w:szCs w:val="18"/>
              </w:rPr>
            </w:pPr>
            <w:r w:rsidRPr="00536D85">
              <w:rPr>
                <w:b/>
                <w:sz w:val="18"/>
                <w:szCs w:val="18"/>
              </w:rPr>
              <w:t>4</w:t>
            </w:r>
          </w:p>
        </w:tc>
        <w:tc>
          <w:tcPr>
            <w:tcW w:w="2610" w:type="dxa"/>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VF 334</w:t>
            </w:r>
          </w:p>
        </w:tc>
        <w:tc>
          <w:tcPr>
            <w:tcW w:w="3294" w:type="dxa"/>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D3</w:t>
            </w:r>
          </w:p>
        </w:tc>
        <w:tc>
          <w:tcPr>
            <w:tcW w:w="2394" w:type="dxa"/>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Negative</w:t>
            </w:r>
          </w:p>
        </w:tc>
      </w:tr>
      <w:tr w:rsidR="008C227F" w:rsidRPr="00536D85" w:rsidTr="000B7554">
        <w:tc>
          <w:tcPr>
            <w:tcW w:w="1278" w:type="dxa"/>
          </w:tcPr>
          <w:p w:rsidR="008C227F" w:rsidRPr="00536D85" w:rsidRDefault="0025315F" w:rsidP="00647600">
            <w:pPr>
              <w:tabs>
                <w:tab w:val="left" w:pos="5715"/>
                <w:tab w:val="right" w:pos="9360"/>
              </w:tabs>
              <w:spacing w:line="240" w:lineRule="auto"/>
              <w:jc w:val="both"/>
              <w:rPr>
                <w:sz w:val="18"/>
                <w:szCs w:val="18"/>
              </w:rPr>
            </w:pPr>
            <w:r w:rsidRPr="00536D85">
              <w:rPr>
                <w:sz w:val="18"/>
                <w:szCs w:val="18"/>
              </w:rPr>
              <w:t>5</w:t>
            </w:r>
          </w:p>
        </w:tc>
        <w:tc>
          <w:tcPr>
            <w:tcW w:w="2610" w:type="dxa"/>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VF 2463</w:t>
            </w:r>
          </w:p>
        </w:tc>
        <w:tc>
          <w:tcPr>
            <w:tcW w:w="3294" w:type="dxa"/>
          </w:tcPr>
          <w:p w:rsidR="008C227F" w:rsidRPr="00536D85" w:rsidRDefault="008C227F" w:rsidP="008E2E6C">
            <w:pPr>
              <w:spacing w:line="240" w:lineRule="auto"/>
              <w:jc w:val="center"/>
              <w:rPr>
                <w:sz w:val="18"/>
                <w:szCs w:val="18"/>
              </w:rPr>
            </w:pPr>
            <w:r w:rsidRPr="00536D85">
              <w:rPr>
                <w:sz w:val="18"/>
                <w:szCs w:val="18"/>
              </w:rPr>
              <w:t>positive</w:t>
            </w:r>
          </w:p>
        </w:tc>
        <w:tc>
          <w:tcPr>
            <w:tcW w:w="2394" w:type="dxa"/>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D1</w:t>
            </w:r>
          </w:p>
        </w:tc>
      </w:tr>
      <w:tr w:rsidR="008C227F" w:rsidRPr="00536D85" w:rsidTr="000B7554">
        <w:tc>
          <w:tcPr>
            <w:tcW w:w="1278" w:type="dxa"/>
            <w:tcBorders>
              <w:bottom w:val="single" w:sz="4" w:space="0" w:color="000000"/>
            </w:tcBorders>
          </w:tcPr>
          <w:p w:rsidR="008C227F" w:rsidRPr="00536D85" w:rsidRDefault="0025315F" w:rsidP="00647600">
            <w:pPr>
              <w:tabs>
                <w:tab w:val="left" w:pos="5715"/>
                <w:tab w:val="right" w:pos="9360"/>
              </w:tabs>
              <w:spacing w:line="240" w:lineRule="auto"/>
              <w:jc w:val="both"/>
              <w:rPr>
                <w:sz w:val="18"/>
                <w:szCs w:val="18"/>
              </w:rPr>
            </w:pPr>
            <w:r w:rsidRPr="00536D85">
              <w:rPr>
                <w:sz w:val="18"/>
                <w:szCs w:val="18"/>
              </w:rPr>
              <w:t>6</w:t>
            </w:r>
          </w:p>
        </w:tc>
        <w:tc>
          <w:tcPr>
            <w:tcW w:w="2610" w:type="dxa"/>
            <w:tcBorders>
              <w:bottom w:val="single" w:sz="4" w:space="0" w:color="000000"/>
            </w:tcBorders>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VF 667</w:t>
            </w:r>
          </w:p>
        </w:tc>
        <w:tc>
          <w:tcPr>
            <w:tcW w:w="3294" w:type="dxa"/>
            <w:tcBorders>
              <w:bottom w:val="single" w:sz="4" w:space="0" w:color="000000"/>
            </w:tcBorders>
          </w:tcPr>
          <w:p w:rsidR="008C227F" w:rsidRPr="00536D85" w:rsidRDefault="008C227F" w:rsidP="008E2E6C">
            <w:pPr>
              <w:spacing w:line="240" w:lineRule="auto"/>
              <w:jc w:val="center"/>
              <w:rPr>
                <w:sz w:val="18"/>
                <w:szCs w:val="18"/>
              </w:rPr>
            </w:pPr>
            <w:r w:rsidRPr="00536D85">
              <w:rPr>
                <w:sz w:val="18"/>
                <w:szCs w:val="18"/>
              </w:rPr>
              <w:t>Negative</w:t>
            </w:r>
          </w:p>
        </w:tc>
        <w:tc>
          <w:tcPr>
            <w:tcW w:w="2394" w:type="dxa"/>
            <w:tcBorders>
              <w:bottom w:val="single" w:sz="4" w:space="0" w:color="000000"/>
            </w:tcBorders>
          </w:tcPr>
          <w:p w:rsidR="008C227F" w:rsidRPr="00536D85" w:rsidRDefault="008C227F" w:rsidP="008E2E6C">
            <w:pPr>
              <w:tabs>
                <w:tab w:val="left" w:pos="5715"/>
                <w:tab w:val="right" w:pos="9360"/>
              </w:tabs>
              <w:spacing w:line="240" w:lineRule="auto"/>
              <w:jc w:val="center"/>
              <w:rPr>
                <w:sz w:val="18"/>
                <w:szCs w:val="18"/>
              </w:rPr>
            </w:pPr>
            <w:r w:rsidRPr="00536D85">
              <w:rPr>
                <w:sz w:val="18"/>
                <w:szCs w:val="18"/>
              </w:rPr>
              <w:t>D1</w:t>
            </w:r>
          </w:p>
        </w:tc>
      </w:tr>
    </w:tbl>
    <w:p w:rsidR="008C227F" w:rsidRPr="00940B86" w:rsidRDefault="008C227F" w:rsidP="008C227F">
      <w:pPr>
        <w:tabs>
          <w:tab w:val="left" w:pos="5715"/>
          <w:tab w:val="right" w:pos="9360"/>
        </w:tabs>
        <w:spacing w:line="240" w:lineRule="auto"/>
        <w:jc w:val="both"/>
        <w:rPr>
          <w:b/>
          <w:sz w:val="20"/>
          <w:szCs w:val="20"/>
        </w:rPr>
      </w:pPr>
    </w:p>
    <w:p w:rsidR="008C227F" w:rsidRPr="00F37580" w:rsidRDefault="00647600" w:rsidP="008C227F">
      <w:pPr>
        <w:tabs>
          <w:tab w:val="left" w:pos="5715"/>
          <w:tab w:val="right" w:pos="9360"/>
        </w:tabs>
        <w:spacing w:line="240" w:lineRule="auto"/>
        <w:jc w:val="both"/>
        <w:rPr>
          <w:b/>
          <w:bCs/>
          <w:sz w:val="20"/>
          <w:szCs w:val="20"/>
        </w:rPr>
      </w:pPr>
      <w:r w:rsidRPr="00940B86">
        <w:rPr>
          <w:b/>
          <w:bCs/>
          <w:sz w:val="20"/>
          <w:szCs w:val="20"/>
        </w:rPr>
        <w:t>TABLE 3</w:t>
      </w:r>
      <w:r w:rsidR="008C227F" w:rsidRPr="00940B86">
        <w:rPr>
          <w:b/>
          <w:bCs/>
          <w:sz w:val="20"/>
          <w:szCs w:val="20"/>
        </w:rPr>
        <w:t>: CROSS REACTIVITY BETWEEN DEN, WNV AND YFV</w:t>
      </w:r>
      <w:r w:rsidR="000210A6" w:rsidRPr="00940B86">
        <w:rPr>
          <w:b/>
          <w:bCs/>
          <w:sz w:val="20"/>
          <w:szCs w:val="20"/>
        </w:rPr>
        <w:t xml:space="preserve"> BY MAC-ELISA (Using the OD   values)</w:t>
      </w:r>
    </w:p>
    <w:tbl>
      <w:tblPr>
        <w:tblpPr w:leftFromText="180" w:rightFromText="180" w:vertAnchor="text" w:horzAnchor="margin" w:tblpY="62"/>
        <w:tblW w:w="5025" w:type="pct"/>
        <w:tblBorders>
          <w:top w:val="single" w:sz="8" w:space="0" w:color="000000"/>
          <w:bottom w:val="single" w:sz="8" w:space="0" w:color="000000"/>
        </w:tblBorders>
        <w:tblCellMar>
          <w:left w:w="0" w:type="dxa"/>
          <w:right w:w="0" w:type="dxa"/>
        </w:tblCellMar>
        <w:tblLook w:val="04A0"/>
      </w:tblPr>
      <w:tblGrid>
        <w:gridCol w:w="2418"/>
        <w:gridCol w:w="1429"/>
        <w:gridCol w:w="1509"/>
        <w:gridCol w:w="1429"/>
        <w:gridCol w:w="2911"/>
      </w:tblGrid>
      <w:tr w:rsidR="00F37580" w:rsidRPr="00536D85" w:rsidTr="00F37580">
        <w:trPr>
          <w:trHeight w:val="173"/>
        </w:trPr>
        <w:tc>
          <w:tcPr>
            <w:tcW w:w="1247" w:type="pct"/>
            <w:tcBorders>
              <w:top w:val="single" w:sz="8" w:space="0" w:color="000000"/>
              <w:bottom w:val="single" w:sz="8" w:space="0" w:color="000000"/>
            </w:tcBorders>
            <w:shd w:val="clear" w:color="auto" w:fill="auto"/>
            <w:tcMar>
              <w:top w:w="72" w:type="dxa"/>
              <w:left w:w="144" w:type="dxa"/>
              <w:bottom w:w="72" w:type="dxa"/>
              <w:right w:w="144" w:type="dxa"/>
            </w:tcMar>
          </w:tcPr>
          <w:p w:rsidR="00F37580" w:rsidRPr="00536D85" w:rsidRDefault="00F37580" w:rsidP="00F37580">
            <w:pPr>
              <w:tabs>
                <w:tab w:val="left" w:pos="5715"/>
                <w:tab w:val="right" w:pos="9360"/>
              </w:tabs>
              <w:spacing w:line="240" w:lineRule="auto"/>
              <w:jc w:val="both"/>
              <w:rPr>
                <w:b/>
                <w:sz w:val="18"/>
                <w:szCs w:val="18"/>
              </w:rPr>
            </w:pPr>
            <w:r w:rsidRPr="00536D85">
              <w:rPr>
                <w:b/>
                <w:bCs/>
                <w:sz w:val="18"/>
                <w:szCs w:val="18"/>
              </w:rPr>
              <w:t xml:space="preserve">Sample No </w:t>
            </w:r>
          </w:p>
        </w:tc>
        <w:tc>
          <w:tcPr>
            <w:tcW w:w="737" w:type="pct"/>
            <w:tcBorders>
              <w:top w:val="single" w:sz="8" w:space="0" w:color="000000"/>
              <w:bottom w:val="single" w:sz="8" w:space="0" w:color="000000"/>
            </w:tcBorders>
            <w:shd w:val="clear" w:color="auto" w:fill="auto"/>
            <w:tcMar>
              <w:top w:w="72" w:type="dxa"/>
              <w:left w:w="144" w:type="dxa"/>
              <w:bottom w:w="72" w:type="dxa"/>
              <w:right w:w="144" w:type="dxa"/>
            </w:tcMar>
          </w:tcPr>
          <w:p w:rsidR="00F37580" w:rsidRPr="00536D85" w:rsidRDefault="00F37580" w:rsidP="00F37580">
            <w:pPr>
              <w:tabs>
                <w:tab w:val="left" w:pos="5715"/>
                <w:tab w:val="right" w:pos="9360"/>
              </w:tabs>
              <w:spacing w:line="240" w:lineRule="auto"/>
              <w:jc w:val="both"/>
              <w:rPr>
                <w:b/>
                <w:sz w:val="18"/>
                <w:szCs w:val="18"/>
              </w:rPr>
            </w:pPr>
            <w:r w:rsidRPr="00536D85">
              <w:rPr>
                <w:b/>
                <w:bCs/>
                <w:sz w:val="18"/>
                <w:szCs w:val="18"/>
              </w:rPr>
              <w:t xml:space="preserve">DEN </w:t>
            </w:r>
          </w:p>
        </w:tc>
        <w:tc>
          <w:tcPr>
            <w:tcW w:w="778" w:type="pct"/>
            <w:tcBorders>
              <w:top w:val="single" w:sz="8" w:space="0" w:color="000000"/>
              <w:bottom w:val="single" w:sz="8" w:space="0" w:color="000000"/>
            </w:tcBorders>
            <w:shd w:val="clear" w:color="auto" w:fill="auto"/>
            <w:tcMar>
              <w:top w:w="72" w:type="dxa"/>
              <w:left w:w="144" w:type="dxa"/>
              <w:bottom w:w="72" w:type="dxa"/>
              <w:right w:w="144" w:type="dxa"/>
            </w:tcMar>
          </w:tcPr>
          <w:p w:rsidR="00F37580" w:rsidRPr="00536D85" w:rsidRDefault="00F37580" w:rsidP="00F37580">
            <w:pPr>
              <w:tabs>
                <w:tab w:val="left" w:pos="5715"/>
                <w:tab w:val="right" w:pos="9360"/>
              </w:tabs>
              <w:spacing w:line="240" w:lineRule="auto"/>
              <w:jc w:val="both"/>
              <w:rPr>
                <w:b/>
                <w:sz w:val="18"/>
                <w:szCs w:val="18"/>
              </w:rPr>
            </w:pPr>
            <w:r w:rsidRPr="00536D85">
              <w:rPr>
                <w:b/>
                <w:bCs/>
                <w:sz w:val="18"/>
                <w:szCs w:val="18"/>
              </w:rPr>
              <w:t>WNV</w:t>
            </w:r>
            <w:r w:rsidRPr="00536D85">
              <w:rPr>
                <w:b/>
                <w:sz w:val="18"/>
                <w:szCs w:val="18"/>
              </w:rPr>
              <w:t xml:space="preserve"> </w:t>
            </w:r>
          </w:p>
        </w:tc>
        <w:tc>
          <w:tcPr>
            <w:tcW w:w="737" w:type="pct"/>
            <w:tcBorders>
              <w:top w:val="single" w:sz="8" w:space="0" w:color="000000"/>
              <w:bottom w:val="single" w:sz="8" w:space="0" w:color="000000"/>
            </w:tcBorders>
            <w:shd w:val="clear" w:color="auto" w:fill="auto"/>
            <w:tcMar>
              <w:top w:w="72" w:type="dxa"/>
              <w:left w:w="144" w:type="dxa"/>
              <w:bottom w:w="72" w:type="dxa"/>
              <w:right w:w="144" w:type="dxa"/>
            </w:tcMar>
          </w:tcPr>
          <w:p w:rsidR="00F37580" w:rsidRPr="00536D85" w:rsidRDefault="00F37580" w:rsidP="00F37580">
            <w:pPr>
              <w:tabs>
                <w:tab w:val="left" w:pos="5715"/>
                <w:tab w:val="right" w:pos="9360"/>
              </w:tabs>
              <w:spacing w:line="240" w:lineRule="auto"/>
              <w:jc w:val="both"/>
              <w:rPr>
                <w:b/>
                <w:sz w:val="18"/>
                <w:szCs w:val="18"/>
              </w:rPr>
            </w:pPr>
            <w:r w:rsidRPr="00536D85">
              <w:rPr>
                <w:b/>
                <w:bCs/>
                <w:sz w:val="18"/>
                <w:szCs w:val="18"/>
              </w:rPr>
              <w:t>YFV</w:t>
            </w:r>
            <w:r w:rsidRPr="00536D85">
              <w:rPr>
                <w:b/>
                <w:sz w:val="18"/>
                <w:szCs w:val="18"/>
              </w:rPr>
              <w:t xml:space="preserve"> </w:t>
            </w:r>
          </w:p>
        </w:tc>
        <w:tc>
          <w:tcPr>
            <w:tcW w:w="1501" w:type="pct"/>
            <w:tcBorders>
              <w:top w:val="single" w:sz="8" w:space="0" w:color="000000"/>
              <w:bottom w:val="single" w:sz="8" w:space="0" w:color="000000"/>
            </w:tcBorders>
            <w:shd w:val="clear" w:color="auto" w:fill="auto"/>
            <w:tcMar>
              <w:top w:w="72" w:type="dxa"/>
              <w:left w:w="144" w:type="dxa"/>
              <w:bottom w:w="72" w:type="dxa"/>
              <w:right w:w="144" w:type="dxa"/>
            </w:tcMar>
          </w:tcPr>
          <w:p w:rsidR="00F37580" w:rsidRPr="00536D85" w:rsidRDefault="00F37580" w:rsidP="00F37580">
            <w:pPr>
              <w:tabs>
                <w:tab w:val="left" w:pos="5715"/>
                <w:tab w:val="right" w:pos="9360"/>
              </w:tabs>
              <w:spacing w:line="240" w:lineRule="auto"/>
              <w:jc w:val="both"/>
              <w:rPr>
                <w:b/>
                <w:sz w:val="18"/>
                <w:szCs w:val="18"/>
              </w:rPr>
            </w:pPr>
            <w:r w:rsidRPr="00536D85">
              <w:rPr>
                <w:b/>
                <w:bCs/>
                <w:sz w:val="18"/>
                <w:szCs w:val="18"/>
              </w:rPr>
              <w:t>RESULTS</w:t>
            </w:r>
            <w:r w:rsidRPr="00536D85">
              <w:rPr>
                <w:b/>
                <w:sz w:val="18"/>
                <w:szCs w:val="18"/>
              </w:rPr>
              <w:t xml:space="preserve"> </w:t>
            </w:r>
          </w:p>
        </w:tc>
      </w:tr>
      <w:tr w:rsidR="00F37580" w:rsidRPr="00536D85" w:rsidTr="00F37580">
        <w:trPr>
          <w:trHeight w:val="173"/>
        </w:trPr>
        <w:tc>
          <w:tcPr>
            <w:tcW w:w="1247" w:type="pct"/>
            <w:tcBorders>
              <w:top w:val="single" w:sz="8" w:space="0" w:color="000000"/>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1243 </w:t>
            </w:r>
          </w:p>
        </w:tc>
        <w:tc>
          <w:tcPr>
            <w:tcW w:w="737" w:type="pct"/>
            <w:tcBorders>
              <w:top w:val="single" w:sz="8" w:space="0" w:color="000000"/>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0.001 </w:t>
            </w:r>
          </w:p>
        </w:tc>
        <w:tc>
          <w:tcPr>
            <w:tcW w:w="778" w:type="pct"/>
            <w:tcBorders>
              <w:top w:val="single" w:sz="8" w:space="0" w:color="000000"/>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0.581 </w:t>
            </w:r>
          </w:p>
        </w:tc>
        <w:tc>
          <w:tcPr>
            <w:tcW w:w="737" w:type="pct"/>
            <w:tcBorders>
              <w:top w:val="single" w:sz="8" w:space="0" w:color="000000"/>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0.172 </w:t>
            </w:r>
          </w:p>
        </w:tc>
        <w:tc>
          <w:tcPr>
            <w:tcW w:w="1501" w:type="pct"/>
            <w:tcBorders>
              <w:top w:val="single" w:sz="8" w:space="0" w:color="000000"/>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w:t>
            </w:r>
          </w:p>
        </w:tc>
      </w:tr>
      <w:tr w:rsidR="00F37580" w:rsidRPr="00536D85" w:rsidTr="00F37580">
        <w:trPr>
          <w:trHeight w:val="173"/>
        </w:trPr>
        <w:tc>
          <w:tcPr>
            <w:tcW w:w="1247"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3515 </w:t>
            </w:r>
          </w:p>
        </w:tc>
        <w:tc>
          <w:tcPr>
            <w:tcW w:w="737"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0.352 </w:t>
            </w:r>
          </w:p>
        </w:tc>
        <w:tc>
          <w:tcPr>
            <w:tcW w:w="778"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0.254 </w:t>
            </w:r>
          </w:p>
        </w:tc>
        <w:tc>
          <w:tcPr>
            <w:tcW w:w="737"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0.192 </w:t>
            </w:r>
          </w:p>
        </w:tc>
        <w:tc>
          <w:tcPr>
            <w:tcW w:w="1501"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DEN &amp;WNV </w:t>
            </w:r>
          </w:p>
        </w:tc>
      </w:tr>
      <w:tr w:rsidR="00F37580" w:rsidRPr="00536D85" w:rsidTr="00F37580">
        <w:trPr>
          <w:trHeight w:val="173"/>
        </w:trPr>
        <w:tc>
          <w:tcPr>
            <w:tcW w:w="124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2172 </w:t>
            </w:r>
          </w:p>
        </w:tc>
        <w:tc>
          <w:tcPr>
            <w:tcW w:w="73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0.112 </w:t>
            </w:r>
          </w:p>
        </w:tc>
        <w:tc>
          <w:tcPr>
            <w:tcW w:w="778"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0.302 </w:t>
            </w:r>
          </w:p>
        </w:tc>
        <w:tc>
          <w:tcPr>
            <w:tcW w:w="73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0.215 </w:t>
            </w:r>
          </w:p>
        </w:tc>
        <w:tc>
          <w:tcPr>
            <w:tcW w:w="1501"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&amp; YFV </w:t>
            </w:r>
          </w:p>
        </w:tc>
      </w:tr>
      <w:tr w:rsidR="00F37580" w:rsidRPr="00536D85" w:rsidTr="00F37580">
        <w:trPr>
          <w:trHeight w:val="173"/>
        </w:trPr>
        <w:tc>
          <w:tcPr>
            <w:tcW w:w="1247"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3545 </w:t>
            </w:r>
          </w:p>
        </w:tc>
        <w:tc>
          <w:tcPr>
            <w:tcW w:w="737"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0.131 </w:t>
            </w:r>
          </w:p>
        </w:tc>
        <w:tc>
          <w:tcPr>
            <w:tcW w:w="778"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0.277 </w:t>
            </w:r>
          </w:p>
        </w:tc>
        <w:tc>
          <w:tcPr>
            <w:tcW w:w="737"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0.158 </w:t>
            </w:r>
          </w:p>
        </w:tc>
        <w:tc>
          <w:tcPr>
            <w:tcW w:w="1501"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w:t>
            </w:r>
          </w:p>
        </w:tc>
      </w:tr>
      <w:tr w:rsidR="00F37580" w:rsidRPr="00536D85" w:rsidTr="00F37580">
        <w:trPr>
          <w:trHeight w:val="173"/>
        </w:trPr>
        <w:tc>
          <w:tcPr>
            <w:tcW w:w="1247"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4394 </w:t>
            </w:r>
          </w:p>
        </w:tc>
        <w:tc>
          <w:tcPr>
            <w:tcW w:w="737"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0.121 </w:t>
            </w:r>
          </w:p>
        </w:tc>
        <w:tc>
          <w:tcPr>
            <w:tcW w:w="778"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0.29 </w:t>
            </w:r>
          </w:p>
        </w:tc>
        <w:tc>
          <w:tcPr>
            <w:tcW w:w="737"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0.114 </w:t>
            </w:r>
          </w:p>
        </w:tc>
        <w:tc>
          <w:tcPr>
            <w:tcW w:w="1501" w:type="pct"/>
            <w:tcBorders>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w:t>
            </w:r>
          </w:p>
        </w:tc>
      </w:tr>
      <w:tr w:rsidR="00F37580" w:rsidRPr="00536D85" w:rsidTr="00F37580">
        <w:trPr>
          <w:trHeight w:val="173"/>
        </w:trPr>
        <w:tc>
          <w:tcPr>
            <w:tcW w:w="124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3679 </w:t>
            </w:r>
          </w:p>
        </w:tc>
        <w:tc>
          <w:tcPr>
            <w:tcW w:w="73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0.198 </w:t>
            </w:r>
          </w:p>
        </w:tc>
        <w:tc>
          <w:tcPr>
            <w:tcW w:w="778"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0.763 </w:t>
            </w:r>
          </w:p>
        </w:tc>
        <w:tc>
          <w:tcPr>
            <w:tcW w:w="73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0.295 </w:t>
            </w:r>
          </w:p>
        </w:tc>
        <w:tc>
          <w:tcPr>
            <w:tcW w:w="1501"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w:t>
            </w:r>
          </w:p>
        </w:tc>
      </w:tr>
      <w:tr w:rsidR="00F37580" w:rsidRPr="00536D85" w:rsidTr="00F37580">
        <w:trPr>
          <w:trHeight w:val="173"/>
        </w:trPr>
        <w:tc>
          <w:tcPr>
            <w:tcW w:w="124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3322 </w:t>
            </w:r>
          </w:p>
        </w:tc>
        <w:tc>
          <w:tcPr>
            <w:tcW w:w="73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0.116 </w:t>
            </w:r>
          </w:p>
        </w:tc>
        <w:tc>
          <w:tcPr>
            <w:tcW w:w="778"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0.427 </w:t>
            </w:r>
          </w:p>
        </w:tc>
        <w:tc>
          <w:tcPr>
            <w:tcW w:w="73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0.227 </w:t>
            </w:r>
          </w:p>
        </w:tc>
        <w:tc>
          <w:tcPr>
            <w:tcW w:w="1501"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w:t>
            </w:r>
          </w:p>
        </w:tc>
      </w:tr>
      <w:tr w:rsidR="00F37580" w:rsidRPr="00536D85" w:rsidTr="00F37580">
        <w:trPr>
          <w:trHeight w:val="173"/>
        </w:trPr>
        <w:tc>
          <w:tcPr>
            <w:tcW w:w="124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2725 </w:t>
            </w:r>
          </w:p>
        </w:tc>
        <w:tc>
          <w:tcPr>
            <w:tcW w:w="73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0.23 </w:t>
            </w:r>
          </w:p>
        </w:tc>
        <w:tc>
          <w:tcPr>
            <w:tcW w:w="778"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0.32 </w:t>
            </w:r>
          </w:p>
        </w:tc>
        <w:tc>
          <w:tcPr>
            <w:tcW w:w="737"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0.113 </w:t>
            </w:r>
          </w:p>
        </w:tc>
        <w:tc>
          <w:tcPr>
            <w:tcW w:w="1501" w:type="pct"/>
            <w:tcBorders>
              <w:top w:val="nil"/>
              <w:bottom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DEN &amp;WNV </w:t>
            </w:r>
          </w:p>
        </w:tc>
      </w:tr>
      <w:tr w:rsidR="00F37580" w:rsidRPr="00536D85" w:rsidTr="00F37580">
        <w:trPr>
          <w:trHeight w:val="173"/>
        </w:trPr>
        <w:tc>
          <w:tcPr>
            <w:tcW w:w="1247"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3460 </w:t>
            </w:r>
          </w:p>
        </w:tc>
        <w:tc>
          <w:tcPr>
            <w:tcW w:w="737"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0.118 </w:t>
            </w:r>
          </w:p>
        </w:tc>
        <w:tc>
          <w:tcPr>
            <w:tcW w:w="778"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0.478 </w:t>
            </w:r>
          </w:p>
        </w:tc>
        <w:tc>
          <w:tcPr>
            <w:tcW w:w="737"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0.108 </w:t>
            </w:r>
          </w:p>
        </w:tc>
        <w:tc>
          <w:tcPr>
            <w:tcW w:w="1501" w:type="pct"/>
            <w:tcBorders>
              <w:top w:val="nil"/>
            </w:tcBorders>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w:t>
            </w:r>
          </w:p>
        </w:tc>
      </w:tr>
      <w:tr w:rsidR="00F37580" w:rsidRPr="00536D85" w:rsidTr="00F37580">
        <w:trPr>
          <w:trHeight w:val="173"/>
        </w:trPr>
        <w:tc>
          <w:tcPr>
            <w:tcW w:w="1247"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3255 </w:t>
            </w:r>
          </w:p>
        </w:tc>
        <w:tc>
          <w:tcPr>
            <w:tcW w:w="737"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0.189 </w:t>
            </w:r>
          </w:p>
        </w:tc>
        <w:tc>
          <w:tcPr>
            <w:tcW w:w="778"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0.49 </w:t>
            </w:r>
          </w:p>
        </w:tc>
        <w:tc>
          <w:tcPr>
            <w:tcW w:w="737"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0.109 </w:t>
            </w:r>
          </w:p>
        </w:tc>
        <w:tc>
          <w:tcPr>
            <w:tcW w:w="1501"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w:t>
            </w:r>
          </w:p>
        </w:tc>
      </w:tr>
      <w:tr w:rsidR="00F37580" w:rsidRPr="00536D85" w:rsidTr="00F37580">
        <w:trPr>
          <w:trHeight w:val="173"/>
        </w:trPr>
        <w:tc>
          <w:tcPr>
            <w:tcW w:w="1247"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3481 </w:t>
            </w:r>
          </w:p>
        </w:tc>
        <w:tc>
          <w:tcPr>
            <w:tcW w:w="737"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0.119 </w:t>
            </w:r>
          </w:p>
        </w:tc>
        <w:tc>
          <w:tcPr>
            <w:tcW w:w="778"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0.25 </w:t>
            </w:r>
          </w:p>
        </w:tc>
        <w:tc>
          <w:tcPr>
            <w:tcW w:w="737"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0.087 </w:t>
            </w:r>
          </w:p>
        </w:tc>
        <w:tc>
          <w:tcPr>
            <w:tcW w:w="1501"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w:t>
            </w:r>
          </w:p>
        </w:tc>
      </w:tr>
      <w:tr w:rsidR="00F37580" w:rsidRPr="00536D85" w:rsidTr="00F37580">
        <w:trPr>
          <w:trHeight w:val="173"/>
        </w:trPr>
        <w:tc>
          <w:tcPr>
            <w:tcW w:w="1247"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3500 </w:t>
            </w:r>
          </w:p>
        </w:tc>
        <w:tc>
          <w:tcPr>
            <w:tcW w:w="737"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0.121 </w:t>
            </w:r>
          </w:p>
        </w:tc>
        <w:tc>
          <w:tcPr>
            <w:tcW w:w="778"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0.276 </w:t>
            </w:r>
          </w:p>
        </w:tc>
        <w:tc>
          <w:tcPr>
            <w:tcW w:w="737"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0.084 </w:t>
            </w:r>
          </w:p>
        </w:tc>
        <w:tc>
          <w:tcPr>
            <w:tcW w:w="1501" w:type="pct"/>
            <w:shd w:val="clear" w:color="auto" w:fill="auto"/>
            <w:tcMar>
              <w:top w:w="72" w:type="dxa"/>
              <w:left w:w="144" w:type="dxa"/>
              <w:bottom w:w="72" w:type="dxa"/>
              <w:right w:w="144" w:type="dxa"/>
            </w:tcMar>
            <w:vAlign w:val="bottom"/>
          </w:tcPr>
          <w:p w:rsidR="00F37580" w:rsidRPr="00536D85" w:rsidRDefault="00F37580" w:rsidP="00F37580">
            <w:pPr>
              <w:tabs>
                <w:tab w:val="left" w:pos="5715"/>
                <w:tab w:val="right" w:pos="9360"/>
              </w:tabs>
              <w:spacing w:line="240" w:lineRule="auto"/>
              <w:jc w:val="both"/>
              <w:rPr>
                <w:b/>
                <w:sz w:val="18"/>
                <w:szCs w:val="18"/>
              </w:rPr>
            </w:pPr>
            <w:r w:rsidRPr="00536D85">
              <w:rPr>
                <w:b/>
                <w:sz w:val="18"/>
                <w:szCs w:val="18"/>
              </w:rPr>
              <w:t xml:space="preserve">WNV </w:t>
            </w:r>
          </w:p>
        </w:tc>
      </w:tr>
    </w:tbl>
    <w:p w:rsidR="008C227F" w:rsidRPr="00940B86" w:rsidRDefault="008C227F" w:rsidP="008C227F">
      <w:pPr>
        <w:tabs>
          <w:tab w:val="left" w:pos="5715"/>
          <w:tab w:val="right" w:pos="9360"/>
        </w:tabs>
        <w:spacing w:line="240" w:lineRule="auto"/>
        <w:jc w:val="both"/>
        <w:rPr>
          <w:b/>
          <w:sz w:val="20"/>
          <w:szCs w:val="20"/>
        </w:rPr>
      </w:pPr>
    </w:p>
    <w:p w:rsidR="00647600" w:rsidRPr="00940B86" w:rsidRDefault="00647600" w:rsidP="008C227F">
      <w:pPr>
        <w:autoSpaceDE w:val="0"/>
        <w:autoSpaceDN w:val="0"/>
        <w:adjustRightInd w:val="0"/>
        <w:spacing w:after="0" w:line="240" w:lineRule="auto"/>
        <w:jc w:val="both"/>
        <w:rPr>
          <w:b/>
          <w:bCs/>
          <w:color w:val="000000"/>
          <w:sz w:val="20"/>
          <w:szCs w:val="20"/>
        </w:rPr>
        <w:sectPr w:rsidR="00647600" w:rsidRPr="00940B86" w:rsidSect="008C227F">
          <w:type w:val="continuous"/>
          <w:pgSz w:w="12240" w:h="15840"/>
          <w:pgMar w:top="1440" w:right="1440" w:bottom="1440" w:left="1440" w:header="720" w:footer="720" w:gutter="0"/>
          <w:cols w:space="720"/>
          <w:docGrid w:linePitch="360"/>
        </w:sectPr>
      </w:pPr>
    </w:p>
    <w:p w:rsidR="00DD33F0" w:rsidRPr="00940B86" w:rsidRDefault="00A74389" w:rsidP="008C227F">
      <w:pPr>
        <w:autoSpaceDE w:val="0"/>
        <w:autoSpaceDN w:val="0"/>
        <w:adjustRightInd w:val="0"/>
        <w:spacing w:after="0" w:line="240" w:lineRule="auto"/>
        <w:jc w:val="both"/>
        <w:rPr>
          <w:b/>
          <w:bCs/>
          <w:color w:val="000000"/>
          <w:sz w:val="20"/>
          <w:szCs w:val="20"/>
        </w:rPr>
      </w:pPr>
      <w:r w:rsidRPr="00940B86">
        <w:rPr>
          <w:b/>
          <w:bCs/>
          <w:color w:val="000000"/>
          <w:sz w:val="20"/>
          <w:szCs w:val="20"/>
        </w:rPr>
        <w:lastRenderedPageBreak/>
        <w:t>DISCUSS</w:t>
      </w:r>
      <w:r w:rsidR="00E70612" w:rsidRPr="00940B86">
        <w:rPr>
          <w:b/>
          <w:bCs/>
          <w:color w:val="000000"/>
          <w:sz w:val="20"/>
          <w:szCs w:val="20"/>
        </w:rPr>
        <w:t>IONS</w:t>
      </w:r>
      <w:r w:rsidR="00DD33F0" w:rsidRPr="00940B86">
        <w:rPr>
          <w:b/>
          <w:bCs/>
          <w:color w:val="000000"/>
          <w:sz w:val="20"/>
          <w:szCs w:val="20"/>
        </w:rPr>
        <w:t xml:space="preserve"> </w:t>
      </w:r>
    </w:p>
    <w:p w:rsidR="00A54DD2" w:rsidRPr="00940B86" w:rsidRDefault="007D48FB" w:rsidP="00F37580">
      <w:pPr>
        <w:spacing w:line="240" w:lineRule="auto"/>
        <w:ind w:firstLine="720"/>
        <w:jc w:val="both"/>
        <w:rPr>
          <w:color w:val="000000"/>
          <w:sz w:val="20"/>
          <w:szCs w:val="20"/>
        </w:rPr>
      </w:pPr>
      <w:r w:rsidRPr="00940B86">
        <w:rPr>
          <w:color w:val="000000"/>
          <w:sz w:val="20"/>
          <w:szCs w:val="20"/>
        </w:rPr>
        <w:t xml:space="preserve">Temperature, precipitation, and humidity are critical to mosquito survival, reproduction, and development and can influence mosquito presence and </w:t>
      </w:r>
      <w:r w:rsidR="00C14447" w:rsidRPr="00940B86">
        <w:rPr>
          <w:color w:val="000000"/>
          <w:sz w:val="20"/>
          <w:szCs w:val="20"/>
        </w:rPr>
        <w:t>abundance. Additionally</w:t>
      </w:r>
      <w:r w:rsidRPr="00940B86">
        <w:rPr>
          <w:color w:val="000000"/>
          <w:sz w:val="20"/>
          <w:szCs w:val="20"/>
        </w:rPr>
        <w:t>, higher temperatures reduce the time required for the virus to replicate and disseminate in the mosquito (</w:t>
      </w:r>
      <w:r w:rsidRPr="00940B86">
        <w:rPr>
          <w:sz w:val="20"/>
          <w:szCs w:val="20"/>
        </w:rPr>
        <w:t>Johansson et al 2009</w:t>
      </w:r>
      <w:r w:rsidR="008D5A0E" w:rsidRPr="00940B86">
        <w:rPr>
          <w:sz w:val="20"/>
          <w:szCs w:val="20"/>
        </w:rPr>
        <w:t>, CDC 2010</w:t>
      </w:r>
      <w:r w:rsidRPr="00940B86">
        <w:rPr>
          <w:color w:val="000000"/>
          <w:sz w:val="20"/>
          <w:szCs w:val="20"/>
        </w:rPr>
        <w:t xml:space="preserve">). </w:t>
      </w:r>
      <w:r w:rsidR="008D5A0E" w:rsidRPr="00940B86">
        <w:rPr>
          <w:color w:val="000000"/>
          <w:sz w:val="20"/>
          <w:szCs w:val="20"/>
        </w:rPr>
        <w:t>In the latter report</w:t>
      </w:r>
      <w:r w:rsidR="00C14447" w:rsidRPr="00940B86">
        <w:rPr>
          <w:color w:val="000000"/>
          <w:sz w:val="20"/>
          <w:szCs w:val="20"/>
        </w:rPr>
        <w:t>, the</w:t>
      </w:r>
      <w:r w:rsidRPr="00940B86">
        <w:rPr>
          <w:color w:val="000000"/>
          <w:sz w:val="20"/>
          <w:szCs w:val="20"/>
        </w:rPr>
        <w:t xml:space="preserve"> extrinsic incubation period must occur before the virus can reach the mosquito’s salivary glands and be transmitted to humans. If the mosquito becomes infectious faster because temperatures are warmer, it has a greater chance of infecting a human before it dies.</w:t>
      </w:r>
      <w:r w:rsidR="00990080" w:rsidRPr="00940B86">
        <w:rPr>
          <w:color w:val="000000"/>
          <w:sz w:val="20"/>
          <w:szCs w:val="20"/>
        </w:rPr>
        <w:t xml:space="preserve"> </w:t>
      </w:r>
      <w:r w:rsidR="008D5A0E" w:rsidRPr="00940B86">
        <w:rPr>
          <w:color w:val="000000"/>
          <w:sz w:val="20"/>
          <w:szCs w:val="20"/>
        </w:rPr>
        <w:t xml:space="preserve">As important as </w:t>
      </w:r>
      <w:r w:rsidR="00990080" w:rsidRPr="00940B86">
        <w:rPr>
          <w:color w:val="000000"/>
          <w:sz w:val="20"/>
          <w:szCs w:val="20"/>
        </w:rPr>
        <w:t>the environmental</w:t>
      </w:r>
      <w:r w:rsidR="008D5A0E" w:rsidRPr="00940B86">
        <w:rPr>
          <w:color w:val="000000"/>
          <w:sz w:val="20"/>
          <w:szCs w:val="20"/>
        </w:rPr>
        <w:t xml:space="preserve"> factors may be, others such as  presence of the virus, sufficient numbers of susceptible population, and mosquito vectors </w:t>
      </w:r>
      <w:r w:rsidRPr="00940B86">
        <w:rPr>
          <w:color w:val="000000"/>
          <w:sz w:val="20"/>
          <w:szCs w:val="20"/>
        </w:rPr>
        <w:t xml:space="preserve"> are critical to dengue transmission. </w:t>
      </w:r>
    </w:p>
    <w:p w:rsidR="00E75F72" w:rsidRPr="00940B86" w:rsidRDefault="00990080" w:rsidP="008C227F">
      <w:pPr>
        <w:autoSpaceDE w:val="0"/>
        <w:autoSpaceDN w:val="0"/>
        <w:adjustRightInd w:val="0"/>
        <w:spacing w:after="0" w:line="240" w:lineRule="auto"/>
        <w:jc w:val="both"/>
        <w:rPr>
          <w:color w:val="000000"/>
          <w:sz w:val="20"/>
          <w:szCs w:val="20"/>
        </w:rPr>
      </w:pPr>
      <w:r w:rsidRPr="00940B86">
        <w:rPr>
          <w:color w:val="000000"/>
          <w:sz w:val="20"/>
          <w:szCs w:val="20"/>
        </w:rPr>
        <w:tab/>
        <w:t>In this study, the prevalence of DEN IgM was</w:t>
      </w:r>
      <w:r w:rsidR="009348A1" w:rsidRPr="00940B86">
        <w:rPr>
          <w:color w:val="000000"/>
          <w:sz w:val="20"/>
          <w:szCs w:val="20"/>
        </w:rPr>
        <w:t xml:space="preserve"> significantly </w:t>
      </w:r>
      <w:r w:rsidRPr="00940B86">
        <w:rPr>
          <w:color w:val="000000"/>
          <w:sz w:val="20"/>
          <w:szCs w:val="20"/>
        </w:rPr>
        <w:t xml:space="preserve"> higher during the rainy season compared to harmattan</w:t>
      </w:r>
      <w:r w:rsidR="009348A1" w:rsidRPr="00940B86">
        <w:rPr>
          <w:color w:val="000000"/>
          <w:sz w:val="20"/>
          <w:szCs w:val="20"/>
        </w:rPr>
        <w:t xml:space="preserve"> and  dry periods with a</w:t>
      </w:r>
      <w:r w:rsidRPr="00940B86">
        <w:rPr>
          <w:color w:val="000000"/>
          <w:sz w:val="20"/>
          <w:szCs w:val="20"/>
        </w:rPr>
        <w:t xml:space="preserve"> seasonal peak in July. In contrast to DEN, WNV was significantly higher during the harmattan period than </w:t>
      </w:r>
      <w:r w:rsidR="009348A1" w:rsidRPr="00940B86">
        <w:rPr>
          <w:color w:val="000000"/>
          <w:sz w:val="20"/>
          <w:szCs w:val="20"/>
        </w:rPr>
        <w:t>rainy  and dry</w:t>
      </w:r>
      <w:r w:rsidRPr="00940B86">
        <w:rPr>
          <w:color w:val="000000"/>
          <w:sz w:val="20"/>
          <w:szCs w:val="20"/>
        </w:rPr>
        <w:t xml:space="preserve"> season with a peak in November</w:t>
      </w:r>
      <w:r w:rsidR="00386E60" w:rsidRPr="00940B86">
        <w:rPr>
          <w:color w:val="000000"/>
          <w:sz w:val="20"/>
          <w:szCs w:val="20"/>
        </w:rPr>
        <w:t xml:space="preserve"> in the same environment as this study</w:t>
      </w:r>
      <w:r w:rsidRPr="00940B86">
        <w:rPr>
          <w:color w:val="000000"/>
          <w:sz w:val="20"/>
          <w:szCs w:val="20"/>
        </w:rPr>
        <w:t>.</w:t>
      </w:r>
      <w:r w:rsidR="009C0140" w:rsidRPr="00940B86">
        <w:rPr>
          <w:color w:val="000000"/>
          <w:sz w:val="20"/>
          <w:szCs w:val="20"/>
        </w:rPr>
        <w:t xml:space="preserve"> This finding compared</w:t>
      </w:r>
      <w:r w:rsidR="00386E60" w:rsidRPr="00940B86">
        <w:rPr>
          <w:color w:val="000000"/>
          <w:sz w:val="20"/>
          <w:szCs w:val="20"/>
        </w:rPr>
        <w:t xml:space="preserve"> favorably  with the report of M</w:t>
      </w:r>
      <w:r w:rsidR="00C14447" w:rsidRPr="00940B86">
        <w:rPr>
          <w:color w:val="000000"/>
          <w:sz w:val="20"/>
          <w:szCs w:val="20"/>
        </w:rPr>
        <w:t xml:space="preserve"> </w:t>
      </w:r>
      <w:r w:rsidR="009C0140" w:rsidRPr="00940B86">
        <w:rPr>
          <w:color w:val="000000"/>
          <w:sz w:val="20"/>
          <w:szCs w:val="20"/>
        </w:rPr>
        <w:t xml:space="preserve">oore et al (1975) who revealed that arboviral activity was highest during the rainy season with peak in the month of June, July and August and lowest in the dry month of January and February in </w:t>
      </w:r>
      <w:smartTag w:uri="urn:schemas-microsoft-com:office:smarttags" w:element="country-region">
        <w:smartTag w:uri="urn:schemas-microsoft-com:office:smarttags" w:element="place">
          <w:r w:rsidR="009C0140" w:rsidRPr="00940B86">
            <w:rPr>
              <w:color w:val="000000"/>
              <w:sz w:val="20"/>
              <w:szCs w:val="20"/>
            </w:rPr>
            <w:t>Nigeria</w:t>
          </w:r>
        </w:smartTag>
      </w:smartTag>
      <w:r w:rsidR="009C0140" w:rsidRPr="00940B86">
        <w:rPr>
          <w:color w:val="000000"/>
          <w:sz w:val="20"/>
          <w:szCs w:val="20"/>
        </w:rPr>
        <w:t>.</w:t>
      </w:r>
      <w:r w:rsidR="00682EB6" w:rsidRPr="00940B86">
        <w:rPr>
          <w:color w:val="000000"/>
          <w:sz w:val="20"/>
          <w:szCs w:val="20"/>
        </w:rPr>
        <w:t xml:space="preserve"> </w:t>
      </w:r>
      <w:r w:rsidR="00682EB6" w:rsidRPr="00940B86">
        <w:rPr>
          <w:sz w:val="20"/>
          <w:szCs w:val="20"/>
        </w:rPr>
        <w:t xml:space="preserve">The results of this study imply that temperature induced variations in the Vectoral efficiency of mosquito vector may be significant determinant of annual pattern of DEN virus infections. </w:t>
      </w:r>
      <w:r w:rsidR="00B1622B" w:rsidRPr="00940B86">
        <w:rPr>
          <w:sz w:val="20"/>
          <w:szCs w:val="20"/>
        </w:rPr>
        <w:t>A report showed that,</w:t>
      </w:r>
      <w:r w:rsidR="00682EB6" w:rsidRPr="00940B86">
        <w:rPr>
          <w:sz w:val="20"/>
          <w:szCs w:val="20"/>
        </w:rPr>
        <w:t xml:space="preserve"> during th</w:t>
      </w:r>
      <w:r w:rsidR="00B1622B" w:rsidRPr="00940B86">
        <w:rPr>
          <w:sz w:val="20"/>
          <w:szCs w:val="20"/>
        </w:rPr>
        <w:t>e dry</w:t>
      </w:r>
      <w:r w:rsidR="00682EB6" w:rsidRPr="00940B86">
        <w:rPr>
          <w:sz w:val="20"/>
          <w:szCs w:val="20"/>
        </w:rPr>
        <w:t xml:space="preserve"> and the rainy seasons</w:t>
      </w:r>
      <w:r w:rsidR="00B1622B" w:rsidRPr="00940B86">
        <w:rPr>
          <w:sz w:val="20"/>
          <w:szCs w:val="20"/>
        </w:rPr>
        <w:t xml:space="preserve">, </w:t>
      </w:r>
      <w:r w:rsidR="00682EB6" w:rsidRPr="00940B86">
        <w:rPr>
          <w:sz w:val="20"/>
          <w:szCs w:val="20"/>
        </w:rPr>
        <w:t xml:space="preserve"> the extreme lowest temperature could vary from 16.3 </w:t>
      </w:r>
      <w:r w:rsidR="00682EB6" w:rsidRPr="00940B86">
        <w:rPr>
          <w:sz w:val="20"/>
          <w:szCs w:val="20"/>
          <w:vertAlign w:val="superscript"/>
        </w:rPr>
        <w:t>o</w:t>
      </w:r>
      <w:r w:rsidR="00682EB6" w:rsidRPr="00940B86">
        <w:rPr>
          <w:sz w:val="20"/>
          <w:szCs w:val="20"/>
        </w:rPr>
        <w:t xml:space="preserve">C to 21.4 </w:t>
      </w:r>
      <w:r w:rsidR="00682EB6" w:rsidRPr="00940B86">
        <w:rPr>
          <w:sz w:val="20"/>
          <w:szCs w:val="20"/>
          <w:vertAlign w:val="superscript"/>
        </w:rPr>
        <w:t>o</w:t>
      </w:r>
      <w:r w:rsidR="00682EB6" w:rsidRPr="00940B86">
        <w:rPr>
          <w:sz w:val="20"/>
          <w:szCs w:val="20"/>
        </w:rPr>
        <w:t>C   and 21.0</w:t>
      </w:r>
      <w:r w:rsidR="00682EB6" w:rsidRPr="00940B86">
        <w:rPr>
          <w:sz w:val="20"/>
          <w:szCs w:val="20"/>
          <w:vertAlign w:val="superscript"/>
        </w:rPr>
        <w:t>o</w:t>
      </w:r>
      <w:r w:rsidR="00682EB6" w:rsidRPr="00940B86">
        <w:rPr>
          <w:sz w:val="20"/>
          <w:szCs w:val="20"/>
        </w:rPr>
        <w:t>C to 23.3</w:t>
      </w:r>
      <w:r w:rsidR="00682EB6" w:rsidRPr="00940B86">
        <w:rPr>
          <w:sz w:val="20"/>
          <w:szCs w:val="20"/>
          <w:vertAlign w:val="superscript"/>
        </w:rPr>
        <w:t>o</w:t>
      </w:r>
      <w:r w:rsidR="00682EB6" w:rsidRPr="00940B86">
        <w:rPr>
          <w:sz w:val="20"/>
          <w:szCs w:val="20"/>
        </w:rPr>
        <w:t>C respectively</w:t>
      </w:r>
      <w:r w:rsidR="00B1622B" w:rsidRPr="00940B86">
        <w:rPr>
          <w:sz w:val="20"/>
          <w:szCs w:val="20"/>
        </w:rPr>
        <w:t xml:space="preserve"> </w:t>
      </w:r>
      <w:r w:rsidR="00B1622B" w:rsidRPr="00940B86">
        <w:rPr>
          <w:color w:val="000000"/>
          <w:sz w:val="20"/>
          <w:szCs w:val="20"/>
        </w:rPr>
        <w:t>(Gimand Associates 2002).</w:t>
      </w:r>
      <w:r w:rsidR="00682EB6" w:rsidRPr="00940B86">
        <w:rPr>
          <w:sz w:val="20"/>
          <w:szCs w:val="20"/>
        </w:rPr>
        <w:t>. It may be necessary to state that, the temperatures could be as high as 45-50</w:t>
      </w:r>
      <w:r w:rsidR="00682EB6" w:rsidRPr="00940B86">
        <w:rPr>
          <w:sz w:val="20"/>
          <w:szCs w:val="20"/>
          <w:vertAlign w:val="superscript"/>
        </w:rPr>
        <w:t>o</w:t>
      </w:r>
      <w:r w:rsidR="00682EB6" w:rsidRPr="00940B86">
        <w:rPr>
          <w:sz w:val="20"/>
          <w:szCs w:val="20"/>
        </w:rPr>
        <w:t xml:space="preserve">C during the dry season in </w:t>
      </w:r>
      <w:smartTag w:uri="urn:schemas-microsoft-com:office:smarttags" w:element="City">
        <w:smartTag w:uri="urn:schemas-microsoft-com:office:smarttags" w:element="place">
          <w:r w:rsidR="00682EB6" w:rsidRPr="00940B86">
            <w:rPr>
              <w:sz w:val="20"/>
              <w:szCs w:val="20"/>
            </w:rPr>
            <w:t>Maiduguri</w:t>
          </w:r>
        </w:smartTag>
      </w:smartTag>
      <w:r w:rsidR="00B1622B" w:rsidRPr="00940B86">
        <w:rPr>
          <w:sz w:val="20"/>
          <w:szCs w:val="20"/>
        </w:rPr>
        <w:t xml:space="preserve"> where this study was carried out</w:t>
      </w:r>
      <w:r w:rsidR="00682EB6" w:rsidRPr="00940B86">
        <w:rPr>
          <w:sz w:val="20"/>
          <w:szCs w:val="20"/>
        </w:rPr>
        <w:t>.</w:t>
      </w:r>
      <w:r w:rsidR="00B1622B" w:rsidRPr="00940B86">
        <w:rPr>
          <w:sz w:val="20"/>
          <w:szCs w:val="20"/>
        </w:rPr>
        <w:t xml:space="preserve"> </w:t>
      </w:r>
      <w:r w:rsidR="00682EB6" w:rsidRPr="00940B86">
        <w:rPr>
          <w:sz w:val="20"/>
          <w:szCs w:val="20"/>
        </w:rPr>
        <w:t xml:space="preserve">This probably explains why no DEN activity was demonstrated during the dry season. </w:t>
      </w:r>
      <w:r w:rsidR="00682EB6" w:rsidRPr="00940B86">
        <w:rPr>
          <w:color w:val="000000"/>
          <w:sz w:val="20"/>
          <w:szCs w:val="20"/>
        </w:rPr>
        <w:t>The low DEN activity obtained in this study during the harmattan period</w:t>
      </w:r>
      <w:r w:rsidR="00B1622B" w:rsidRPr="00940B86">
        <w:rPr>
          <w:color w:val="000000"/>
          <w:sz w:val="20"/>
          <w:szCs w:val="20"/>
        </w:rPr>
        <w:t xml:space="preserve"> (when the temperature could be as low as 11- 18oC)</w:t>
      </w:r>
      <w:r w:rsidR="00682EB6" w:rsidRPr="00940B86">
        <w:rPr>
          <w:color w:val="000000"/>
          <w:sz w:val="20"/>
          <w:szCs w:val="20"/>
        </w:rPr>
        <w:t xml:space="preserve"> is supported by </w:t>
      </w:r>
      <w:r w:rsidR="00B1622B" w:rsidRPr="00940B86">
        <w:rPr>
          <w:color w:val="000000"/>
          <w:sz w:val="20"/>
          <w:szCs w:val="20"/>
        </w:rPr>
        <w:t>Hales et al 2002</w:t>
      </w:r>
      <w:r w:rsidR="00566C89" w:rsidRPr="00940B86">
        <w:rPr>
          <w:color w:val="000000"/>
          <w:sz w:val="20"/>
          <w:szCs w:val="20"/>
        </w:rPr>
        <w:t>)</w:t>
      </w:r>
      <w:r w:rsidR="00566C89" w:rsidRPr="00940B86">
        <w:rPr>
          <w:sz w:val="20"/>
          <w:szCs w:val="20"/>
        </w:rPr>
        <w:t xml:space="preserve">. </w:t>
      </w:r>
      <w:r w:rsidR="00B1622B" w:rsidRPr="00940B86">
        <w:rPr>
          <w:sz w:val="20"/>
          <w:szCs w:val="20"/>
        </w:rPr>
        <w:t xml:space="preserve">These authors </w:t>
      </w:r>
      <w:r w:rsidR="00682EB6" w:rsidRPr="00940B86">
        <w:rPr>
          <w:color w:val="000000"/>
          <w:sz w:val="20"/>
          <w:szCs w:val="20"/>
        </w:rPr>
        <w:t xml:space="preserve">revealed that, if the climate is too cold, viral development is slow and mosquitoes are unlikely to survive long enough to become infectious. </w:t>
      </w:r>
      <w:r w:rsidR="00566C89" w:rsidRPr="00940B86">
        <w:rPr>
          <w:color w:val="000000"/>
          <w:sz w:val="20"/>
          <w:szCs w:val="20"/>
        </w:rPr>
        <w:t>It has been determined that warmer temperatures reduce larval size of Ae. Aegypti (</w:t>
      </w:r>
      <w:r w:rsidR="00347D33" w:rsidRPr="00940B86">
        <w:rPr>
          <w:color w:val="000000"/>
          <w:sz w:val="20"/>
          <w:szCs w:val="20"/>
        </w:rPr>
        <w:t>the principal vector</w:t>
      </w:r>
      <w:r w:rsidR="00566C89" w:rsidRPr="00940B86">
        <w:rPr>
          <w:color w:val="000000"/>
          <w:sz w:val="20"/>
          <w:szCs w:val="20"/>
        </w:rPr>
        <w:t xml:space="preserve"> of dengue viruses) which results in smaller adult size (Reuda, 1990). Smaller  adult female mosquitoes have been found to feed more frequently to nourish their developing eggs which increases the possibility of transmission (Reita 1988). The positive relationship between biting rates and </w:t>
      </w:r>
      <w:r w:rsidR="00566C89" w:rsidRPr="00940B86">
        <w:rPr>
          <w:color w:val="000000"/>
          <w:sz w:val="20"/>
          <w:szCs w:val="20"/>
        </w:rPr>
        <w:lastRenderedPageBreak/>
        <w:t xml:space="preserve">temperatures have been reported in field studies </w:t>
      </w:r>
      <w:r w:rsidR="00347D33" w:rsidRPr="00940B86">
        <w:rPr>
          <w:color w:val="000000"/>
          <w:sz w:val="20"/>
          <w:szCs w:val="20"/>
        </w:rPr>
        <w:t xml:space="preserve">in </w:t>
      </w:r>
      <w:smartTag w:uri="urn:schemas-microsoft-com:office:smarttags" w:element="City">
        <w:smartTag w:uri="urn:schemas-microsoft-com:office:smarttags" w:element="place">
          <w:r w:rsidR="00347D33" w:rsidRPr="00940B86">
            <w:rPr>
              <w:color w:val="000000"/>
              <w:sz w:val="20"/>
              <w:szCs w:val="20"/>
            </w:rPr>
            <w:t>Bangkok</w:t>
          </w:r>
        </w:smartTag>
      </w:smartTag>
      <w:r w:rsidR="00386E60" w:rsidRPr="00940B86">
        <w:rPr>
          <w:color w:val="000000"/>
          <w:sz w:val="20"/>
          <w:szCs w:val="20"/>
        </w:rPr>
        <w:t xml:space="preserve"> by</w:t>
      </w:r>
      <w:r w:rsidR="00347D33" w:rsidRPr="00940B86">
        <w:rPr>
          <w:color w:val="000000"/>
          <w:sz w:val="20"/>
          <w:szCs w:val="20"/>
        </w:rPr>
        <w:t xml:space="preserve"> </w:t>
      </w:r>
      <w:r w:rsidR="00566C89" w:rsidRPr="00940B86">
        <w:rPr>
          <w:color w:val="000000"/>
          <w:sz w:val="20"/>
          <w:szCs w:val="20"/>
        </w:rPr>
        <w:t>Pant 1973)</w:t>
      </w:r>
      <w:r w:rsidR="00347D33" w:rsidRPr="00940B86">
        <w:rPr>
          <w:color w:val="000000"/>
          <w:sz w:val="20"/>
          <w:szCs w:val="20"/>
        </w:rPr>
        <w:t xml:space="preserve">. In </w:t>
      </w:r>
      <w:r w:rsidR="00566C89" w:rsidRPr="00940B86">
        <w:rPr>
          <w:color w:val="000000"/>
          <w:sz w:val="20"/>
          <w:szCs w:val="20"/>
        </w:rPr>
        <w:t>addition, extrinsic incubation period (EIP) for Ae. Aegypti decreased from twelve to seven days when mosquitoes were kept at 32-35</w:t>
      </w:r>
      <w:r w:rsidR="00566C89" w:rsidRPr="00940B86">
        <w:rPr>
          <w:color w:val="000000"/>
          <w:sz w:val="20"/>
          <w:szCs w:val="20"/>
          <w:vertAlign w:val="superscript"/>
        </w:rPr>
        <w:t>0</w:t>
      </w:r>
      <w:r w:rsidR="00566C89" w:rsidRPr="00940B86">
        <w:rPr>
          <w:color w:val="000000"/>
          <w:sz w:val="20"/>
          <w:szCs w:val="20"/>
        </w:rPr>
        <w:t>C instead of 30</w:t>
      </w:r>
      <w:r w:rsidR="00347D33" w:rsidRPr="00940B86">
        <w:rPr>
          <w:color w:val="000000"/>
          <w:sz w:val="20"/>
          <w:szCs w:val="20"/>
          <w:vertAlign w:val="superscript"/>
        </w:rPr>
        <w:t>0</w:t>
      </w:r>
      <w:r w:rsidR="00566C89" w:rsidRPr="00940B86">
        <w:rPr>
          <w:color w:val="000000"/>
          <w:sz w:val="20"/>
          <w:szCs w:val="20"/>
        </w:rPr>
        <w:t xml:space="preserve">C (Watts et al 1987). </w:t>
      </w:r>
      <w:r w:rsidR="00CB2A8F" w:rsidRPr="00940B86">
        <w:rPr>
          <w:color w:val="000000"/>
          <w:sz w:val="20"/>
          <w:szCs w:val="20"/>
        </w:rPr>
        <w:t xml:space="preserve">Several other reports also have shown that,  temperature affects the rate of mosquito larval development, adult survival, vector size, gonotrophic cycle as well as the EIP of the virus in the </w:t>
      </w:r>
      <w:r w:rsidR="00386E60" w:rsidRPr="00940B86">
        <w:rPr>
          <w:color w:val="000000"/>
          <w:sz w:val="20"/>
          <w:szCs w:val="20"/>
        </w:rPr>
        <w:t xml:space="preserve">vector </w:t>
      </w:r>
      <w:r w:rsidR="00386E60" w:rsidRPr="00940B86">
        <w:rPr>
          <w:sz w:val="20"/>
          <w:szCs w:val="20"/>
        </w:rPr>
        <w:t>(Focks et al 1993</w:t>
      </w:r>
      <w:r w:rsidR="00CB2A8F" w:rsidRPr="00940B86">
        <w:rPr>
          <w:sz w:val="20"/>
          <w:szCs w:val="20"/>
        </w:rPr>
        <w:t>).</w:t>
      </w:r>
      <w:r w:rsidR="00CB2A8F" w:rsidRPr="00940B86">
        <w:rPr>
          <w:color w:val="000000"/>
          <w:sz w:val="20"/>
          <w:szCs w:val="20"/>
        </w:rPr>
        <w:t xml:space="preserve"> </w:t>
      </w:r>
      <w:r w:rsidR="00566C89" w:rsidRPr="00940B86">
        <w:rPr>
          <w:color w:val="000000"/>
          <w:sz w:val="20"/>
          <w:szCs w:val="20"/>
        </w:rPr>
        <w:t xml:space="preserve">Koopman et </w:t>
      </w:r>
      <w:r w:rsidR="00347D33" w:rsidRPr="00940B86">
        <w:rPr>
          <w:color w:val="000000"/>
          <w:sz w:val="20"/>
          <w:szCs w:val="20"/>
        </w:rPr>
        <w:t>al (</w:t>
      </w:r>
      <w:r w:rsidR="00566C89" w:rsidRPr="00940B86">
        <w:rPr>
          <w:color w:val="000000"/>
          <w:sz w:val="20"/>
          <w:szCs w:val="20"/>
        </w:rPr>
        <w:t xml:space="preserve">1991) therefore concluded that </w:t>
      </w:r>
      <w:r w:rsidR="00347D33" w:rsidRPr="00940B86">
        <w:rPr>
          <w:color w:val="000000"/>
          <w:sz w:val="20"/>
          <w:szCs w:val="20"/>
        </w:rPr>
        <w:t>median temperatures during the rainy season were</w:t>
      </w:r>
      <w:r w:rsidR="00566C89" w:rsidRPr="00940B86">
        <w:rPr>
          <w:color w:val="000000"/>
          <w:sz w:val="20"/>
          <w:szCs w:val="20"/>
        </w:rPr>
        <w:t xml:space="preserve"> the strongest predictor of DEN infections.  </w:t>
      </w:r>
      <w:r w:rsidR="00360A59" w:rsidRPr="00940B86">
        <w:rPr>
          <w:sz w:val="20"/>
          <w:szCs w:val="20"/>
        </w:rPr>
        <w:t>It is worth noting that the climatic conditi</w:t>
      </w:r>
      <w:r w:rsidR="00CB2A8F" w:rsidRPr="00940B86">
        <w:rPr>
          <w:sz w:val="20"/>
          <w:szCs w:val="20"/>
        </w:rPr>
        <w:t xml:space="preserve">ons are different in other different parts </w:t>
      </w:r>
      <w:r w:rsidR="00360A59" w:rsidRPr="00940B86">
        <w:rPr>
          <w:sz w:val="20"/>
          <w:szCs w:val="20"/>
        </w:rPr>
        <w:t xml:space="preserve"> of </w:t>
      </w:r>
      <w:smartTag w:uri="urn:schemas-microsoft-com:office:smarttags" w:element="country-region">
        <w:smartTag w:uri="urn:schemas-microsoft-com:office:smarttags" w:element="place">
          <w:r w:rsidR="00360A59" w:rsidRPr="00940B86">
            <w:rPr>
              <w:sz w:val="20"/>
              <w:szCs w:val="20"/>
            </w:rPr>
            <w:t>Nigeria</w:t>
          </w:r>
        </w:smartTag>
      </w:smartTag>
      <w:r w:rsidR="00360A59" w:rsidRPr="00940B86">
        <w:rPr>
          <w:sz w:val="20"/>
          <w:szCs w:val="20"/>
        </w:rPr>
        <w:t>. For instance, the harmattan and the dry seasons are not very distinct and the rainy season is longer in the Southern part of the country compared with the northeastern  when the three seasons are distinct</w:t>
      </w:r>
      <w:r w:rsidR="00CB2A8F" w:rsidRPr="00940B86">
        <w:rPr>
          <w:sz w:val="20"/>
          <w:szCs w:val="20"/>
        </w:rPr>
        <w:t xml:space="preserve"> but with shorter duration of the rainy period</w:t>
      </w:r>
      <w:r w:rsidR="00360A59" w:rsidRPr="00940B86">
        <w:rPr>
          <w:sz w:val="20"/>
          <w:szCs w:val="20"/>
        </w:rPr>
        <w:t>.</w:t>
      </w:r>
      <w:r w:rsidR="009C0140" w:rsidRPr="00940B86">
        <w:rPr>
          <w:color w:val="000000"/>
          <w:sz w:val="20"/>
          <w:szCs w:val="20"/>
        </w:rPr>
        <w:t xml:space="preserve"> </w:t>
      </w:r>
    </w:p>
    <w:p w:rsidR="005209F0" w:rsidRPr="00940B86" w:rsidRDefault="00E75F72" w:rsidP="008C227F">
      <w:pPr>
        <w:autoSpaceDE w:val="0"/>
        <w:autoSpaceDN w:val="0"/>
        <w:adjustRightInd w:val="0"/>
        <w:spacing w:after="0" w:line="240" w:lineRule="auto"/>
        <w:ind w:firstLine="720"/>
        <w:jc w:val="both"/>
        <w:rPr>
          <w:color w:val="000000"/>
          <w:sz w:val="20"/>
          <w:szCs w:val="20"/>
        </w:rPr>
      </w:pPr>
      <w:r w:rsidRPr="00940B86">
        <w:rPr>
          <w:color w:val="000000"/>
          <w:sz w:val="20"/>
          <w:szCs w:val="20"/>
        </w:rPr>
        <w:t xml:space="preserve"> </w:t>
      </w:r>
      <w:r w:rsidR="009C0140" w:rsidRPr="00940B86">
        <w:rPr>
          <w:color w:val="000000"/>
          <w:sz w:val="20"/>
          <w:szCs w:val="20"/>
        </w:rPr>
        <w:t>In addition, Akhtar and Ebi (2001)</w:t>
      </w:r>
      <w:r w:rsidR="00310718" w:rsidRPr="00940B86">
        <w:rPr>
          <w:color w:val="000000"/>
          <w:sz w:val="20"/>
          <w:szCs w:val="20"/>
        </w:rPr>
        <w:t xml:space="preserve"> reported that DEN virus transmission occurs</w:t>
      </w:r>
      <w:r w:rsidR="00C14447" w:rsidRPr="00940B86">
        <w:rPr>
          <w:color w:val="000000"/>
          <w:sz w:val="20"/>
          <w:szCs w:val="20"/>
        </w:rPr>
        <w:t xml:space="preserve"> </w:t>
      </w:r>
      <w:r w:rsidR="00795784" w:rsidRPr="00940B86">
        <w:rPr>
          <w:color w:val="000000"/>
          <w:sz w:val="20"/>
          <w:szCs w:val="20"/>
        </w:rPr>
        <w:t>all year</w:t>
      </w:r>
      <w:r w:rsidR="00310718" w:rsidRPr="00940B86">
        <w:rPr>
          <w:color w:val="000000"/>
          <w:sz w:val="20"/>
          <w:szCs w:val="20"/>
        </w:rPr>
        <w:t xml:space="preserve"> round in the tropics but has seasonal peaks in most countries</w:t>
      </w:r>
      <w:r w:rsidR="00C14447" w:rsidRPr="00940B86">
        <w:rPr>
          <w:color w:val="000000"/>
          <w:sz w:val="20"/>
          <w:szCs w:val="20"/>
        </w:rPr>
        <w:t xml:space="preserve"> during</w:t>
      </w:r>
      <w:r w:rsidR="00310718" w:rsidRPr="00940B86">
        <w:rPr>
          <w:color w:val="000000"/>
          <w:sz w:val="20"/>
          <w:szCs w:val="20"/>
        </w:rPr>
        <w:t xml:space="preserve"> the months</w:t>
      </w:r>
      <w:r w:rsidR="00C14447" w:rsidRPr="00940B86">
        <w:rPr>
          <w:color w:val="000000"/>
          <w:sz w:val="20"/>
          <w:szCs w:val="20"/>
        </w:rPr>
        <w:t xml:space="preserve"> </w:t>
      </w:r>
      <w:r w:rsidR="00795784" w:rsidRPr="00940B86">
        <w:rPr>
          <w:color w:val="000000"/>
          <w:sz w:val="20"/>
          <w:szCs w:val="20"/>
        </w:rPr>
        <w:t>with high</w:t>
      </w:r>
      <w:r w:rsidR="00310718" w:rsidRPr="00940B86">
        <w:rPr>
          <w:color w:val="000000"/>
          <w:sz w:val="20"/>
          <w:szCs w:val="20"/>
        </w:rPr>
        <w:t xml:space="preserve"> rainfall and humidity.</w:t>
      </w:r>
      <w:r w:rsidR="00D73CFC" w:rsidRPr="00940B86">
        <w:rPr>
          <w:color w:val="000000"/>
          <w:sz w:val="20"/>
          <w:szCs w:val="20"/>
        </w:rPr>
        <w:t xml:space="preserve"> </w:t>
      </w:r>
      <w:r w:rsidR="00310718" w:rsidRPr="00940B86">
        <w:rPr>
          <w:color w:val="000000"/>
          <w:sz w:val="20"/>
          <w:szCs w:val="20"/>
        </w:rPr>
        <w:t>In accordance with that report, the bulk of the yearly rainfall (over 90%)</w:t>
      </w:r>
      <w:r w:rsidR="00566C89" w:rsidRPr="00940B86">
        <w:rPr>
          <w:color w:val="000000"/>
          <w:sz w:val="20"/>
          <w:szCs w:val="20"/>
        </w:rPr>
        <w:t xml:space="preserve"> in </w:t>
      </w:r>
      <w:smartTag w:uri="urn:schemas-microsoft-com:office:smarttags" w:element="City">
        <w:smartTag w:uri="urn:schemas-microsoft-com:office:smarttags" w:element="place">
          <w:r w:rsidR="00566C89" w:rsidRPr="00940B86">
            <w:rPr>
              <w:color w:val="000000"/>
              <w:sz w:val="20"/>
              <w:szCs w:val="20"/>
            </w:rPr>
            <w:t>Maiduguri</w:t>
          </w:r>
        </w:smartTag>
      </w:smartTag>
      <w:r w:rsidR="00566C89" w:rsidRPr="00940B86">
        <w:rPr>
          <w:color w:val="000000"/>
          <w:sz w:val="20"/>
          <w:szCs w:val="20"/>
        </w:rPr>
        <w:t>,</w:t>
      </w:r>
      <w:r w:rsidR="00310718" w:rsidRPr="00940B86">
        <w:rPr>
          <w:color w:val="000000"/>
          <w:sz w:val="20"/>
          <w:szCs w:val="20"/>
        </w:rPr>
        <w:t xml:space="preserve"> is concentrated between the months of June and September (Gimand Associates 2002). That report further revealed that</w:t>
      </w:r>
      <w:r w:rsidR="00D6089B" w:rsidRPr="00940B86">
        <w:rPr>
          <w:color w:val="000000"/>
          <w:sz w:val="20"/>
          <w:szCs w:val="20"/>
        </w:rPr>
        <w:t xml:space="preserve"> (i)</w:t>
      </w:r>
      <w:r w:rsidR="00310718" w:rsidRPr="00940B86">
        <w:rPr>
          <w:color w:val="000000"/>
          <w:sz w:val="20"/>
          <w:szCs w:val="20"/>
        </w:rPr>
        <w:t xml:space="preserve"> the month of August marks the peak of the rainy season with the </w:t>
      </w:r>
      <w:r w:rsidR="00D6089B" w:rsidRPr="00940B86">
        <w:rPr>
          <w:color w:val="000000"/>
          <w:sz w:val="20"/>
          <w:szCs w:val="20"/>
        </w:rPr>
        <w:t xml:space="preserve">mean rainfall amount of 205.9mm and  (ii) </w:t>
      </w:r>
      <w:r w:rsidR="00566C89" w:rsidRPr="00940B86">
        <w:rPr>
          <w:color w:val="000000"/>
          <w:sz w:val="20"/>
          <w:szCs w:val="20"/>
        </w:rPr>
        <w:t>Months of July to Se</w:t>
      </w:r>
      <w:r w:rsidR="00D6089B" w:rsidRPr="00940B86">
        <w:rPr>
          <w:color w:val="000000"/>
          <w:sz w:val="20"/>
          <w:szCs w:val="20"/>
        </w:rPr>
        <w:t>ptember are associated with high relative humidity of more than 60%. This implies that the month of July during which the DEN virus activities peaked had high rainfall and relative humidity sufficient for the transmission of the</w:t>
      </w:r>
      <w:r w:rsidR="00795784" w:rsidRPr="00940B86">
        <w:rPr>
          <w:color w:val="000000"/>
          <w:sz w:val="20"/>
          <w:szCs w:val="20"/>
        </w:rPr>
        <w:t xml:space="preserve"> virus</w:t>
      </w:r>
      <w:r w:rsidR="00504C61" w:rsidRPr="00940B86">
        <w:rPr>
          <w:color w:val="000000"/>
          <w:sz w:val="20"/>
          <w:szCs w:val="20"/>
        </w:rPr>
        <w:t>.</w:t>
      </w:r>
      <w:r w:rsidR="005209F0" w:rsidRPr="00940B86">
        <w:rPr>
          <w:color w:val="000000"/>
          <w:sz w:val="20"/>
          <w:szCs w:val="20"/>
        </w:rPr>
        <w:t xml:space="preserve"> </w:t>
      </w:r>
    </w:p>
    <w:p w:rsidR="00990080" w:rsidRPr="00940B86" w:rsidRDefault="005209F0" w:rsidP="008C227F">
      <w:pPr>
        <w:autoSpaceDE w:val="0"/>
        <w:autoSpaceDN w:val="0"/>
        <w:adjustRightInd w:val="0"/>
        <w:spacing w:after="0" w:line="240" w:lineRule="auto"/>
        <w:ind w:firstLine="720"/>
        <w:jc w:val="both"/>
        <w:rPr>
          <w:sz w:val="20"/>
          <w:szCs w:val="20"/>
        </w:rPr>
      </w:pPr>
      <w:r w:rsidRPr="00940B86">
        <w:rPr>
          <w:color w:val="000000"/>
          <w:sz w:val="20"/>
          <w:szCs w:val="20"/>
        </w:rPr>
        <w:t>Johnson et al (2009) revealed that, the strength of the association between monthly changes in temperature and precipitation and monthly changes in dengue transmission varies based on differences in local climate. These authors therefore concluded that,</w:t>
      </w:r>
      <w:r w:rsidRPr="00940B86">
        <w:rPr>
          <w:sz w:val="20"/>
          <w:szCs w:val="20"/>
        </w:rPr>
        <w:t xml:space="preserve"> </w:t>
      </w:r>
      <w:r w:rsidR="00E96412" w:rsidRPr="00940B86">
        <w:rPr>
          <w:sz w:val="20"/>
          <w:szCs w:val="20"/>
        </w:rPr>
        <w:t xml:space="preserve"> why DEN virus transmission may have a general system, its  manifestation on a local scale may differ from global expectations</w:t>
      </w:r>
      <w:r w:rsidRPr="00940B86">
        <w:rPr>
          <w:sz w:val="20"/>
          <w:szCs w:val="20"/>
        </w:rPr>
        <w:t xml:space="preserve">. </w:t>
      </w:r>
      <w:r w:rsidR="00B1622B" w:rsidRPr="00940B86">
        <w:rPr>
          <w:sz w:val="20"/>
          <w:szCs w:val="20"/>
        </w:rPr>
        <w:t xml:space="preserve">Therefore there is need for a more detailed study for endemic arboviruses in different parts of </w:t>
      </w:r>
      <w:smartTag w:uri="urn:schemas-microsoft-com:office:smarttags" w:element="country-region">
        <w:smartTag w:uri="urn:schemas-microsoft-com:office:smarttags" w:element="place">
          <w:r w:rsidR="00B1622B" w:rsidRPr="00940B86">
            <w:rPr>
              <w:sz w:val="20"/>
              <w:szCs w:val="20"/>
            </w:rPr>
            <w:t>Nigeria</w:t>
          </w:r>
        </w:smartTag>
      </w:smartTag>
      <w:r w:rsidR="00B1622B" w:rsidRPr="00940B86">
        <w:rPr>
          <w:sz w:val="20"/>
          <w:szCs w:val="20"/>
        </w:rPr>
        <w:t xml:space="preserve"> at different seasons to determine the precise relationship between arboviral infections and the seasons of the year. Such information would suggest when disease prevention and surveillance measures should be focused to determine the risks of increased transmission. </w:t>
      </w:r>
      <w:r w:rsidR="00585BC0" w:rsidRPr="00940B86">
        <w:rPr>
          <w:color w:val="000000"/>
          <w:sz w:val="20"/>
          <w:szCs w:val="20"/>
        </w:rPr>
        <w:t xml:space="preserve"> </w:t>
      </w:r>
    </w:p>
    <w:p w:rsidR="00E75F72" w:rsidRPr="00940B86" w:rsidRDefault="00E75F72" w:rsidP="008C227F">
      <w:pPr>
        <w:spacing w:line="240" w:lineRule="auto"/>
        <w:jc w:val="both"/>
        <w:rPr>
          <w:b/>
          <w:sz w:val="20"/>
          <w:szCs w:val="20"/>
        </w:rPr>
      </w:pPr>
    </w:p>
    <w:p w:rsidR="004A2E0A" w:rsidRPr="00940B86" w:rsidRDefault="001231CF" w:rsidP="004A2E0A">
      <w:pPr>
        <w:spacing w:line="240" w:lineRule="auto"/>
        <w:jc w:val="both"/>
        <w:rPr>
          <w:color w:val="000000"/>
          <w:sz w:val="20"/>
          <w:szCs w:val="20"/>
        </w:rPr>
      </w:pPr>
      <w:r w:rsidRPr="00940B86">
        <w:rPr>
          <w:b/>
          <w:sz w:val="20"/>
          <w:szCs w:val="20"/>
        </w:rPr>
        <w:t>REFERE</w:t>
      </w:r>
      <w:r w:rsidR="00375AB0" w:rsidRPr="00940B86">
        <w:rPr>
          <w:b/>
          <w:sz w:val="20"/>
          <w:szCs w:val="20"/>
        </w:rPr>
        <w:t>NCES</w:t>
      </w:r>
    </w:p>
    <w:p w:rsidR="003A4047" w:rsidRPr="00940B86" w:rsidRDefault="003A4047" w:rsidP="003A4047">
      <w:pPr>
        <w:spacing w:after="0" w:line="240" w:lineRule="auto"/>
        <w:ind w:left="540" w:hanging="540"/>
        <w:jc w:val="both"/>
        <w:rPr>
          <w:sz w:val="20"/>
          <w:szCs w:val="20"/>
        </w:rPr>
      </w:pPr>
      <w:r w:rsidRPr="00940B86">
        <w:rPr>
          <w:sz w:val="20"/>
          <w:szCs w:val="20"/>
        </w:rPr>
        <w:t xml:space="preserve">Akhtar and Ebi (2001): Working group II:     Climate change;Impacts, adaptation and vulunerability. Chapter 9. Human Health </w:t>
      </w:r>
    </w:p>
    <w:p w:rsidR="003A4047" w:rsidRPr="00940B86" w:rsidRDefault="003A4047" w:rsidP="003A4047">
      <w:pPr>
        <w:pStyle w:val="Default"/>
        <w:ind w:left="540" w:hanging="540"/>
        <w:rPr>
          <w:sz w:val="20"/>
          <w:szCs w:val="20"/>
        </w:rPr>
      </w:pPr>
      <w:r w:rsidRPr="00940B86">
        <w:rPr>
          <w:sz w:val="20"/>
          <w:szCs w:val="20"/>
        </w:rPr>
        <w:lastRenderedPageBreak/>
        <w:t xml:space="preserve">Baba M M , Marie-Francois Saron, VorndamA V, Adeniji J A, Diop O  and Olaleye D (2009) : </w:t>
      </w:r>
      <w:r w:rsidRPr="00940B86">
        <w:rPr>
          <w:bCs/>
          <w:sz w:val="20"/>
          <w:szCs w:val="20"/>
        </w:rPr>
        <w:t xml:space="preserve">Dengue Virus Infections in Patients Suspected of Malaria/Typhoid in </w:t>
      </w:r>
      <w:smartTag w:uri="urn:schemas-microsoft-com:office:smarttags" w:element="country-region">
        <w:smartTag w:uri="urn:schemas-microsoft-com:office:smarttags" w:element="place">
          <w:r w:rsidRPr="00940B86">
            <w:rPr>
              <w:bCs/>
              <w:sz w:val="20"/>
              <w:szCs w:val="20"/>
            </w:rPr>
            <w:t>Nigeria</w:t>
          </w:r>
        </w:smartTag>
      </w:smartTag>
      <w:r w:rsidRPr="00940B86">
        <w:rPr>
          <w:bCs/>
          <w:sz w:val="20"/>
          <w:szCs w:val="20"/>
        </w:rPr>
        <w:t>.</w:t>
      </w:r>
      <w:r w:rsidRPr="00940B86">
        <w:rPr>
          <w:sz w:val="20"/>
          <w:szCs w:val="20"/>
        </w:rPr>
        <w:t xml:space="preserve"> Journal of American Science 2009;5(5):129-134</w:t>
      </w:r>
    </w:p>
    <w:p w:rsidR="003A4047" w:rsidRPr="00940B86" w:rsidRDefault="003A4047" w:rsidP="003A4047">
      <w:pPr>
        <w:spacing w:after="0" w:line="240" w:lineRule="auto"/>
        <w:ind w:left="540" w:hanging="540"/>
        <w:jc w:val="both"/>
        <w:rPr>
          <w:sz w:val="20"/>
          <w:szCs w:val="20"/>
        </w:rPr>
      </w:pPr>
      <w:r w:rsidRPr="00940B86">
        <w:rPr>
          <w:sz w:val="20"/>
          <w:szCs w:val="20"/>
        </w:rPr>
        <w:t>Christophers SR (1960) Aedes aegypti (L.): The Yellow Fever Mosquito.Cambridge: The University Press.</w:t>
      </w:r>
    </w:p>
    <w:p w:rsidR="003A4047" w:rsidRPr="00940B86" w:rsidRDefault="003A4047" w:rsidP="003A4047">
      <w:pPr>
        <w:spacing w:after="0" w:line="240" w:lineRule="auto"/>
        <w:ind w:left="540" w:hanging="540"/>
        <w:jc w:val="both"/>
        <w:rPr>
          <w:sz w:val="20"/>
          <w:szCs w:val="20"/>
        </w:rPr>
      </w:pPr>
      <w:r w:rsidRPr="00940B86">
        <w:rPr>
          <w:sz w:val="20"/>
          <w:szCs w:val="20"/>
        </w:rPr>
        <w:t xml:space="preserve">Focks,  D.; Haile, D.; Daniels, E. and   Mount, G. (1993): Dynamic life table model for Aedes aegypty (L) (Diptera; Culicidae), Analysis of the literature and model development </w:t>
      </w:r>
      <w:r w:rsidRPr="00940B86">
        <w:rPr>
          <w:i/>
          <w:iCs/>
          <w:sz w:val="20"/>
          <w:szCs w:val="20"/>
        </w:rPr>
        <w:t>J. Med. Entmol</w:t>
      </w:r>
      <w:r w:rsidRPr="00940B86">
        <w:rPr>
          <w:sz w:val="20"/>
          <w:szCs w:val="20"/>
        </w:rPr>
        <w:t>. 30; 1003-17.</w:t>
      </w:r>
    </w:p>
    <w:p w:rsidR="003A4047" w:rsidRPr="00940B86" w:rsidRDefault="003A4047" w:rsidP="003A4047">
      <w:pPr>
        <w:spacing w:line="240" w:lineRule="auto"/>
        <w:ind w:left="540" w:hanging="540"/>
        <w:jc w:val="both"/>
        <w:rPr>
          <w:color w:val="000000"/>
          <w:sz w:val="20"/>
          <w:szCs w:val="20"/>
        </w:rPr>
      </w:pPr>
      <w:r w:rsidRPr="00940B86">
        <w:rPr>
          <w:sz w:val="20"/>
          <w:szCs w:val="20"/>
        </w:rPr>
        <w:t>Gimand Associates (Environmental and human resources development consultant(2002): Environmental impact  assessment of Nigerian Bottling Company PLC. Coca Cola Maiduguri Plant ‘A’ Wastewater discharge project: Draft report:  1-81.</w:t>
      </w:r>
    </w:p>
    <w:p w:rsidR="003A4047" w:rsidRPr="00940B86" w:rsidRDefault="003A4047" w:rsidP="003A4047">
      <w:pPr>
        <w:spacing w:line="240" w:lineRule="auto"/>
        <w:ind w:left="540" w:hanging="540"/>
        <w:jc w:val="both"/>
        <w:rPr>
          <w:color w:val="000000"/>
          <w:sz w:val="20"/>
          <w:szCs w:val="20"/>
        </w:rPr>
      </w:pPr>
      <w:r w:rsidRPr="00940B86">
        <w:rPr>
          <w:sz w:val="20"/>
          <w:szCs w:val="20"/>
        </w:rPr>
        <w:t xml:space="preserve">Hales,S, dewet ,N., Maindonald,J. and woodward A (2002): potential effect of population and climate changes on global distribution of dengue fever:an empirical model: </w:t>
      </w:r>
      <w:r w:rsidRPr="00940B86">
        <w:rPr>
          <w:i/>
          <w:iCs/>
          <w:sz w:val="20"/>
          <w:szCs w:val="20"/>
        </w:rPr>
        <w:t xml:space="preserve"> Lancet. Vol</w:t>
      </w:r>
      <w:r w:rsidRPr="00940B86">
        <w:rPr>
          <w:sz w:val="20"/>
          <w:szCs w:val="20"/>
        </w:rPr>
        <w:t>. 360:830-34.</w:t>
      </w:r>
    </w:p>
    <w:p w:rsidR="003A4047" w:rsidRPr="00940B86" w:rsidRDefault="003A4047" w:rsidP="003A4047">
      <w:pPr>
        <w:spacing w:line="240" w:lineRule="auto"/>
        <w:ind w:left="540" w:hanging="540"/>
        <w:jc w:val="both"/>
        <w:rPr>
          <w:bCs/>
          <w:i/>
          <w:sz w:val="20"/>
          <w:szCs w:val="20"/>
        </w:rPr>
      </w:pPr>
      <w:r w:rsidRPr="00940B86">
        <w:rPr>
          <w:sz w:val="20"/>
          <w:szCs w:val="20"/>
        </w:rPr>
        <w:t xml:space="preserve">Johansson A Michael, Francesca Dominici, Gregory E. Glass (2009)  Local and Global Effects of Climate on Dengue Transmission in </w:t>
      </w:r>
      <w:smartTag w:uri="urn:schemas-microsoft-com:office:smarttags" w:element="place">
        <w:r w:rsidRPr="00940B86">
          <w:rPr>
            <w:sz w:val="20"/>
            <w:szCs w:val="20"/>
          </w:rPr>
          <w:t>Puerto Rico</w:t>
        </w:r>
      </w:smartTag>
      <w:r w:rsidRPr="00940B86">
        <w:rPr>
          <w:sz w:val="20"/>
          <w:szCs w:val="20"/>
        </w:rPr>
        <w:t>. PLoS Negl Trop Dis 3(2): e382.doi:10.1371/journal.pntd.0000382</w:t>
      </w:r>
      <w:r w:rsidRPr="00940B86">
        <w:rPr>
          <w:bCs/>
          <w:sz w:val="20"/>
          <w:szCs w:val="20"/>
        </w:rPr>
        <w:t>Centers for  Disease Control and Prevention (2010)</w:t>
      </w:r>
      <w:r w:rsidRPr="00940B86">
        <w:rPr>
          <w:bCs/>
          <w:i/>
          <w:sz w:val="20"/>
          <w:szCs w:val="20"/>
        </w:rPr>
        <w:t xml:space="preserve">. Dengue and Climate </w:t>
      </w:r>
      <w:hyperlink r:id="rId14" w:history="1">
        <w:r w:rsidRPr="00940B86">
          <w:rPr>
            <w:rStyle w:val="Hyperlink"/>
            <w:bCs/>
            <w:i/>
            <w:sz w:val="20"/>
            <w:szCs w:val="20"/>
          </w:rPr>
          <w:t>http://www.cdc.gov/dengue/entamologyEcology/climate</w:t>
        </w:r>
      </w:hyperlink>
      <w:r w:rsidRPr="00940B86">
        <w:rPr>
          <w:bCs/>
          <w:i/>
          <w:sz w:val="20"/>
          <w:szCs w:val="20"/>
        </w:rPr>
        <w:t xml:space="preserve"> html#az.</w:t>
      </w:r>
    </w:p>
    <w:p w:rsidR="003A4047" w:rsidRPr="00940B86" w:rsidRDefault="003A4047" w:rsidP="003A4047">
      <w:pPr>
        <w:autoSpaceDE w:val="0"/>
        <w:autoSpaceDN w:val="0"/>
        <w:adjustRightInd w:val="0"/>
        <w:spacing w:after="0" w:line="240" w:lineRule="auto"/>
        <w:ind w:left="540" w:hanging="540"/>
        <w:jc w:val="both"/>
        <w:rPr>
          <w:sz w:val="20"/>
          <w:szCs w:val="20"/>
        </w:rPr>
      </w:pPr>
      <w:r w:rsidRPr="00940B86">
        <w:rPr>
          <w:sz w:val="20"/>
          <w:szCs w:val="20"/>
        </w:rPr>
        <w:t>Keirans JE, Fay RW (1968) Effect of food and temperature on Aedes aegypti (L.)and Aedes triseriatus (Say) larval development. Mosq News 28: 338–341.</w:t>
      </w:r>
    </w:p>
    <w:p w:rsidR="003A4047" w:rsidRPr="00940B86" w:rsidRDefault="003A4047" w:rsidP="003A4047">
      <w:pPr>
        <w:spacing w:after="0" w:line="240" w:lineRule="auto"/>
        <w:ind w:left="540" w:hanging="540"/>
        <w:jc w:val="both"/>
        <w:rPr>
          <w:sz w:val="20"/>
          <w:szCs w:val="20"/>
        </w:rPr>
      </w:pPr>
      <w:r w:rsidRPr="00940B86">
        <w:rPr>
          <w:sz w:val="20"/>
          <w:szCs w:val="20"/>
        </w:rPr>
        <w:t xml:space="preserve">Koopman, J S, Prevots D R, Marin M A V et al (1991): Determinants and predictors of dengue infections in </w:t>
      </w:r>
      <w:smartTag w:uri="urn:schemas-microsoft-com:office:smarttags" w:element="country-region">
        <w:smartTag w:uri="urn:schemas-microsoft-com:office:smarttags" w:element="place">
          <w:r w:rsidRPr="00940B86">
            <w:rPr>
              <w:sz w:val="20"/>
              <w:szCs w:val="20"/>
            </w:rPr>
            <w:t>Mexico</w:t>
          </w:r>
        </w:smartTag>
      </w:smartTag>
      <w:r w:rsidRPr="00940B86">
        <w:rPr>
          <w:sz w:val="20"/>
          <w:szCs w:val="20"/>
        </w:rPr>
        <w:t>. Am. J. Epidemiol. 133.1168-1178.</w:t>
      </w:r>
    </w:p>
    <w:p w:rsidR="003A4047" w:rsidRPr="00940B86" w:rsidRDefault="003A4047" w:rsidP="003A4047">
      <w:pPr>
        <w:spacing w:line="240" w:lineRule="auto"/>
        <w:ind w:left="540" w:hanging="540"/>
        <w:jc w:val="both"/>
        <w:rPr>
          <w:color w:val="000000"/>
          <w:sz w:val="20"/>
          <w:szCs w:val="20"/>
        </w:rPr>
      </w:pPr>
      <w:r w:rsidRPr="00940B86">
        <w:rPr>
          <w:sz w:val="20"/>
          <w:szCs w:val="20"/>
        </w:rPr>
        <w:t xml:space="preserve">Lanciotti, R.S.; Calisher, C. H.; Gubler, D. J.; Chang, G. J. and Vorndam, A.V. (1992) Rapid  detection and Typing  of Dengue Viruses from clinical samples by using reverse transcriptase-polymerase chain reaction. </w:t>
      </w:r>
      <w:r w:rsidRPr="00940B86">
        <w:rPr>
          <w:i/>
          <w:sz w:val="20"/>
          <w:szCs w:val="20"/>
        </w:rPr>
        <w:t>J. Clin. Microbiol.30, 545-551.</w:t>
      </w:r>
    </w:p>
    <w:p w:rsidR="003A4047" w:rsidRPr="00940B86" w:rsidRDefault="003A4047" w:rsidP="003A4047">
      <w:pPr>
        <w:tabs>
          <w:tab w:val="num" w:pos="360"/>
        </w:tabs>
        <w:spacing w:line="240" w:lineRule="auto"/>
        <w:ind w:left="540" w:hanging="540"/>
        <w:jc w:val="both"/>
        <w:rPr>
          <w:sz w:val="20"/>
          <w:szCs w:val="20"/>
        </w:rPr>
      </w:pPr>
      <w:r w:rsidRPr="00940B86">
        <w:rPr>
          <w:sz w:val="20"/>
          <w:szCs w:val="20"/>
        </w:rPr>
        <w:t>Moore D.L,Causey OR, Carey DE, Reddy S, Cooke AR, Akinkugbe FM,et al.Artropod borne viral infections of man in Nigeria, 1964-1970. Ann Trop Med Parasitol 1975; 69;49-64.</w:t>
      </w:r>
    </w:p>
    <w:p w:rsidR="003A4047" w:rsidRPr="00940B86" w:rsidRDefault="003A4047" w:rsidP="003A4047">
      <w:pPr>
        <w:autoSpaceDE w:val="0"/>
        <w:autoSpaceDN w:val="0"/>
        <w:adjustRightInd w:val="0"/>
        <w:spacing w:after="0" w:line="240" w:lineRule="auto"/>
        <w:ind w:left="540" w:hanging="540"/>
        <w:jc w:val="both"/>
        <w:rPr>
          <w:sz w:val="20"/>
          <w:szCs w:val="20"/>
        </w:rPr>
      </w:pPr>
      <w:r w:rsidRPr="00940B86">
        <w:rPr>
          <w:sz w:val="20"/>
          <w:szCs w:val="20"/>
        </w:rPr>
        <w:lastRenderedPageBreak/>
        <w:t xml:space="preserve">Pant CP, Yasuno M (1973) Field studies on the gonotrophic cycle of Aedes aegyptiin </w:t>
      </w:r>
      <w:smartTag w:uri="urn:schemas-microsoft-com:office:smarttags" w:element="place">
        <w:smartTag w:uri="urn:schemas-microsoft-com:office:smarttags" w:element="City">
          <w:r w:rsidRPr="00940B86">
            <w:rPr>
              <w:sz w:val="20"/>
              <w:szCs w:val="20"/>
            </w:rPr>
            <w:t>Bangkok</w:t>
          </w:r>
        </w:smartTag>
        <w:r w:rsidRPr="00940B86">
          <w:rPr>
            <w:sz w:val="20"/>
            <w:szCs w:val="20"/>
          </w:rPr>
          <w:t xml:space="preserve">, </w:t>
        </w:r>
        <w:smartTag w:uri="urn:schemas-microsoft-com:office:smarttags" w:element="country-region">
          <w:r w:rsidRPr="00940B86">
            <w:rPr>
              <w:sz w:val="20"/>
              <w:szCs w:val="20"/>
            </w:rPr>
            <w:t>Thailand</w:t>
          </w:r>
        </w:smartTag>
      </w:smartTag>
      <w:r w:rsidRPr="00940B86">
        <w:rPr>
          <w:sz w:val="20"/>
          <w:szCs w:val="20"/>
        </w:rPr>
        <w:t>. J Med Entomol 10: 219–223.</w:t>
      </w:r>
    </w:p>
    <w:p w:rsidR="003A4047" w:rsidRPr="00940B86" w:rsidRDefault="003A4047" w:rsidP="003A4047">
      <w:pPr>
        <w:tabs>
          <w:tab w:val="num" w:pos="360"/>
        </w:tabs>
        <w:spacing w:line="240" w:lineRule="auto"/>
        <w:ind w:left="540" w:hanging="540"/>
        <w:jc w:val="both"/>
        <w:rPr>
          <w:sz w:val="20"/>
          <w:szCs w:val="20"/>
        </w:rPr>
      </w:pPr>
      <w:r w:rsidRPr="00940B86">
        <w:rPr>
          <w:sz w:val="20"/>
          <w:szCs w:val="20"/>
        </w:rPr>
        <w:t xml:space="preserve"> Reita, P.(1988).Weather,vector biology and arboviral recruderscence. In Monah T.P.,ed. The arboviruses1 Epidemiology and Ecology. </w:t>
      </w:r>
      <w:smartTag w:uri="urn:schemas-microsoft-com:office:smarttags" w:element="place">
        <w:smartTag w:uri="urn:schemas-microsoft-com:office:smarttags" w:element="City">
          <w:r w:rsidRPr="00940B86">
            <w:rPr>
              <w:sz w:val="20"/>
              <w:szCs w:val="20"/>
            </w:rPr>
            <w:t>Boca Raton</w:t>
          </w:r>
        </w:smartTag>
        <w:r w:rsidRPr="00940B86">
          <w:rPr>
            <w:sz w:val="20"/>
            <w:szCs w:val="20"/>
          </w:rPr>
          <w:t>,</w:t>
        </w:r>
        <w:smartTag w:uri="urn:schemas-microsoft-com:office:smarttags" w:element="State">
          <w:r w:rsidRPr="00940B86">
            <w:rPr>
              <w:sz w:val="20"/>
              <w:szCs w:val="20"/>
            </w:rPr>
            <w:t>Fla</w:t>
          </w:r>
        </w:smartTag>
      </w:smartTag>
      <w:r w:rsidRPr="00940B86">
        <w:rPr>
          <w:sz w:val="20"/>
          <w:szCs w:val="20"/>
        </w:rPr>
        <w:t>:CRCpress;245-255.</w:t>
      </w:r>
    </w:p>
    <w:p w:rsidR="003A4047" w:rsidRPr="00940B86" w:rsidRDefault="003A4047" w:rsidP="003A4047">
      <w:pPr>
        <w:autoSpaceDE w:val="0"/>
        <w:autoSpaceDN w:val="0"/>
        <w:adjustRightInd w:val="0"/>
        <w:spacing w:after="0" w:line="240" w:lineRule="auto"/>
        <w:ind w:left="540" w:hanging="540"/>
        <w:jc w:val="both"/>
        <w:rPr>
          <w:sz w:val="20"/>
          <w:szCs w:val="20"/>
        </w:rPr>
      </w:pPr>
      <w:r w:rsidRPr="00940B86">
        <w:rPr>
          <w:sz w:val="20"/>
          <w:szCs w:val="20"/>
        </w:rPr>
        <w:t>Rueda LM, Patel KJ, Axtell RC, Stinner RE (1990) Temperature-dependent development and survival rates of Culex quinquefasciatus and Aedes aegypti (Diptera: Culicidae). J Med Entomol 27: 892–898.</w:t>
      </w:r>
    </w:p>
    <w:p w:rsidR="003A4047" w:rsidRPr="00940B86" w:rsidRDefault="003A4047" w:rsidP="003A4047">
      <w:pPr>
        <w:autoSpaceDE w:val="0"/>
        <w:autoSpaceDN w:val="0"/>
        <w:adjustRightInd w:val="0"/>
        <w:spacing w:after="0" w:line="240" w:lineRule="auto"/>
        <w:ind w:left="540" w:hanging="540"/>
        <w:jc w:val="both"/>
        <w:rPr>
          <w:sz w:val="20"/>
          <w:szCs w:val="20"/>
        </w:rPr>
      </w:pPr>
      <w:r w:rsidRPr="00940B86">
        <w:rPr>
          <w:sz w:val="20"/>
          <w:szCs w:val="20"/>
        </w:rPr>
        <w:t>Watts DM, Burke DS, Harrison BA, Whitmire RE, Nisalak A (1987) Effect oftemperature on the vector efficiency of Aedes aegypti for dengue 2 virus. Am J Trop Med Hyg 36: 143–152.</w:t>
      </w:r>
    </w:p>
    <w:p w:rsidR="00B831BA" w:rsidRDefault="00B831BA" w:rsidP="00B37097">
      <w:pPr>
        <w:pStyle w:val="Default"/>
        <w:rPr>
          <w:sz w:val="20"/>
          <w:szCs w:val="20"/>
        </w:rPr>
      </w:pPr>
    </w:p>
    <w:p w:rsidR="00F37580" w:rsidRDefault="00F37580" w:rsidP="00B37097">
      <w:pPr>
        <w:pStyle w:val="Default"/>
        <w:rPr>
          <w:sz w:val="20"/>
          <w:szCs w:val="20"/>
        </w:rPr>
      </w:pPr>
    </w:p>
    <w:p w:rsidR="00F37580" w:rsidRPr="00940B86" w:rsidRDefault="00F37580" w:rsidP="00B37097">
      <w:pPr>
        <w:pStyle w:val="Default"/>
        <w:rPr>
          <w:sz w:val="20"/>
          <w:szCs w:val="20"/>
        </w:rPr>
      </w:pPr>
      <w:r>
        <w:rPr>
          <w:sz w:val="20"/>
          <w:szCs w:val="20"/>
        </w:rPr>
        <w:t>11/4/2010</w:t>
      </w:r>
    </w:p>
    <w:sectPr w:rsidR="00F37580" w:rsidRPr="00940B86" w:rsidSect="00647600">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838" w:rsidRDefault="00830838" w:rsidP="001A25AA">
      <w:pPr>
        <w:spacing w:after="0" w:line="240" w:lineRule="auto"/>
      </w:pPr>
      <w:r>
        <w:separator/>
      </w:r>
    </w:p>
  </w:endnote>
  <w:endnote w:type="continuationSeparator" w:id="0">
    <w:p w:rsidR="00830838" w:rsidRDefault="00830838" w:rsidP="001A2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AF" w:rsidRDefault="00C06BAF" w:rsidP="000815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6BAF" w:rsidRDefault="00C06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AF" w:rsidRDefault="00C06BAF" w:rsidP="000815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3D6B">
      <w:rPr>
        <w:rStyle w:val="PageNumber"/>
        <w:noProof/>
      </w:rPr>
      <w:t>28</w:t>
    </w:r>
    <w:r>
      <w:rPr>
        <w:rStyle w:val="PageNumber"/>
      </w:rPr>
      <w:fldChar w:fldCharType="end"/>
    </w:r>
  </w:p>
  <w:p w:rsidR="00C06BAF" w:rsidRDefault="00C06BAF" w:rsidP="008E2E6C">
    <w:pPr>
      <w:pStyle w:val="Footer"/>
      <w:tabs>
        <w:tab w:val="clear" w:pos="9360"/>
      </w:tabs>
    </w:pPr>
    <w:r>
      <w:t>htt://www.sciencepub.net/newyork</w:t>
    </w:r>
    <w:r>
      <w:tab/>
      <w:t xml:space="preserve">                                                                   </w:t>
    </w:r>
    <w:hyperlink r:id="rId1" w:history="1">
      <w:r w:rsidRPr="00550793">
        <w:rPr>
          <w:rStyle w:val="Hyperlink"/>
        </w:rPr>
        <w:t>newyorksci@gmail.com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838" w:rsidRDefault="00830838" w:rsidP="001A25AA">
      <w:pPr>
        <w:spacing w:after="0" w:line="240" w:lineRule="auto"/>
      </w:pPr>
      <w:r>
        <w:separator/>
      </w:r>
    </w:p>
  </w:footnote>
  <w:footnote w:type="continuationSeparator" w:id="0">
    <w:p w:rsidR="00830838" w:rsidRDefault="00830838" w:rsidP="001A2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AF" w:rsidRPr="00A73C16" w:rsidRDefault="00C06BAF" w:rsidP="003D4FDA">
    <w:pPr>
      <w:pBdr>
        <w:bottom w:val="thinThickMediumGap" w:sz="12" w:space="1" w:color="auto"/>
      </w:pBdr>
      <w:jc w:val="center"/>
      <w:rPr>
        <w:iCs/>
        <w:sz w:val="20"/>
        <w:szCs w:val="20"/>
      </w:rPr>
    </w:pPr>
    <w:r w:rsidRPr="00A73C16">
      <w:rPr>
        <w:sz w:val="20"/>
        <w:szCs w:val="20"/>
      </w:rPr>
      <w:t>New York Science Journal, 201</w:t>
    </w:r>
    <w:r>
      <w:rPr>
        <w:sz w:val="20"/>
        <w:szCs w:val="20"/>
      </w:rPr>
      <w:t>1</w:t>
    </w:r>
    <w:r w:rsidRPr="00A73C16">
      <w:rPr>
        <w:sz w:val="20"/>
        <w:szCs w:val="20"/>
      </w:rPr>
      <w:t>;</w:t>
    </w:r>
    <w:r>
      <w:rPr>
        <w:sz w:val="20"/>
        <w:szCs w:val="20"/>
      </w:rPr>
      <w:t>4</w:t>
    </w:r>
    <w:r w:rsidRPr="00A73C16">
      <w:rPr>
        <w:sz w:val="20"/>
        <w:szCs w:val="20"/>
      </w:rPr>
      <w:t>(1)</w:t>
    </w:r>
    <w:r w:rsidRPr="00A73C16">
      <w:rPr>
        <w:iCs/>
        <w:sz w:val="20"/>
        <w:szCs w:val="20"/>
      </w:rPr>
      <w:t xml:space="preserve">                                 </w:t>
    </w:r>
    <w:r>
      <w:rPr>
        <w:iCs/>
        <w:sz w:val="20"/>
        <w:szCs w:val="20"/>
      </w:rPr>
      <w:t xml:space="preserve">   </w:t>
    </w:r>
    <w:r w:rsidRPr="00A73C16">
      <w:rPr>
        <w:iCs/>
        <w:sz w:val="20"/>
        <w:szCs w:val="20"/>
      </w:rPr>
      <w:t xml:space="preserve">                 </w:t>
    </w:r>
    <w:hyperlink r:id="rId1" w:history="1">
      <w:r w:rsidRPr="00A73C16">
        <w:rPr>
          <w:rStyle w:val="Hyperlink"/>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E3032"/>
    <w:multiLevelType w:val="hybridMultilevel"/>
    <w:tmpl w:val="18524E86"/>
    <w:lvl w:ilvl="0" w:tplc="E460E79C">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3B597A61"/>
    <w:multiLevelType w:val="hybridMultilevel"/>
    <w:tmpl w:val="4A3AF9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B674B9"/>
    <w:multiLevelType w:val="hybridMultilevel"/>
    <w:tmpl w:val="6D7456F6"/>
    <w:lvl w:ilvl="0" w:tplc="9DD8EA0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444E1"/>
    <w:multiLevelType w:val="hybridMultilevel"/>
    <w:tmpl w:val="823A6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80745A"/>
    <w:multiLevelType w:val="hybridMultilevel"/>
    <w:tmpl w:val="18524E86"/>
    <w:lvl w:ilvl="0" w:tplc="E460E79C">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66441D83"/>
    <w:multiLevelType w:val="hybridMultilevel"/>
    <w:tmpl w:val="DD54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1"/>
    <w:footnote w:id="0"/>
  </w:footnotePr>
  <w:endnotePr>
    <w:endnote w:id="-1"/>
    <w:endnote w:id="0"/>
  </w:endnotePr>
  <w:compat/>
  <w:rsids>
    <w:rsidRoot w:val="00C211B2"/>
    <w:rsid w:val="000210A6"/>
    <w:rsid w:val="00025EB1"/>
    <w:rsid w:val="000505DD"/>
    <w:rsid w:val="0005221F"/>
    <w:rsid w:val="000627C7"/>
    <w:rsid w:val="000644EF"/>
    <w:rsid w:val="0007260E"/>
    <w:rsid w:val="00073FC0"/>
    <w:rsid w:val="00081590"/>
    <w:rsid w:val="000839C1"/>
    <w:rsid w:val="00092050"/>
    <w:rsid w:val="00094CBF"/>
    <w:rsid w:val="000B30AD"/>
    <w:rsid w:val="000B7554"/>
    <w:rsid w:val="000D19A4"/>
    <w:rsid w:val="000E46EF"/>
    <w:rsid w:val="000E4BF3"/>
    <w:rsid w:val="000F7934"/>
    <w:rsid w:val="00111723"/>
    <w:rsid w:val="001231CF"/>
    <w:rsid w:val="001246A4"/>
    <w:rsid w:val="00131BF6"/>
    <w:rsid w:val="001902EC"/>
    <w:rsid w:val="001A25AA"/>
    <w:rsid w:val="001C3399"/>
    <w:rsid w:val="001D3533"/>
    <w:rsid w:val="001E6D7A"/>
    <w:rsid w:val="00200B8A"/>
    <w:rsid w:val="002038B5"/>
    <w:rsid w:val="00240F6F"/>
    <w:rsid w:val="00246D3B"/>
    <w:rsid w:val="0025315F"/>
    <w:rsid w:val="00262B3B"/>
    <w:rsid w:val="00263A52"/>
    <w:rsid w:val="002701B4"/>
    <w:rsid w:val="00284606"/>
    <w:rsid w:val="00291229"/>
    <w:rsid w:val="0029611B"/>
    <w:rsid w:val="00310718"/>
    <w:rsid w:val="00311807"/>
    <w:rsid w:val="003127BD"/>
    <w:rsid w:val="00315FD0"/>
    <w:rsid w:val="00323D56"/>
    <w:rsid w:val="00342859"/>
    <w:rsid w:val="00347A03"/>
    <w:rsid w:val="00347D33"/>
    <w:rsid w:val="00360A59"/>
    <w:rsid w:val="00370A95"/>
    <w:rsid w:val="00375AB0"/>
    <w:rsid w:val="003822C7"/>
    <w:rsid w:val="00386E60"/>
    <w:rsid w:val="00397F8A"/>
    <w:rsid w:val="003A4047"/>
    <w:rsid w:val="003A61A8"/>
    <w:rsid w:val="003A6978"/>
    <w:rsid w:val="003D0008"/>
    <w:rsid w:val="003D4FDA"/>
    <w:rsid w:val="003E3C74"/>
    <w:rsid w:val="003E730E"/>
    <w:rsid w:val="003F143A"/>
    <w:rsid w:val="003F372A"/>
    <w:rsid w:val="004146BF"/>
    <w:rsid w:val="0045742A"/>
    <w:rsid w:val="00473C60"/>
    <w:rsid w:val="00483544"/>
    <w:rsid w:val="004A2E0A"/>
    <w:rsid w:val="004B1479"/>
    <w:rsid w:val="004D799E"/>
    <w:rsid w:val="004E7990"/>
    <w:rsid w:val="004F0B8E"/>
    <w:rsid w:val="00504C61"/>
    <w:rsid w:val="0050622B"/>
    <w:rsid w:val="005159C4"/>
    <w:rsid w:val="00515D13"/>
    <w:rsid w:val="005209F0"/>
    <w:rsid w:val="00532F50"/>
    <w:rsid w:val="00536D85"/>
    <w:rsid w:val="0056076A"/>
    <w:rsid w:val="005658B2"/>
    <w:rsid w:val="00566C89"/>
    <w:rsid w:val="00571096"/>
    <w:rsid w:val="00575949"/>
    <w:rsid w:val="00585BC0"/>
    <w:rsid w:val="005C2EB8"/>
    <w:rsid w:val="005C3395"/>
    <w:rsid w:val="005C3FE8"/>
    <w:rsid w:val="00611004"/>
    <w:rsid w:val="00620784"/>
    <w:rsid w:val="006240E4"/>
    <w:rsid w:val="00627E50"/>
    <w:rsid w:val="00635D86"/>
    <w:rsid w:val="00647600"/>
    <w:rsid w:val="0065237A"/>
    <w:rsid w:val="00682EB6"/>
    <w:rsid w:val="00683A91"/>
    <w:rsid w:val="00683BBE"/>
    <w:rsid w:val="006907B0"/>
    <w:rsid w:val="006B1FD3"/>
    <w:rsid w:val="006B64C4"/>
    <w:rsid w:val="006C08D6"/>
    <w:rsid w:val="006D7592"/>
    <w:rsid w:val="006E219A"/>
    <w:rsid w:val="006F6DAA"/>
    <w:rsid w:val="00705797"/>
    <w:rsid w:val="007371CB"/>
    <w:rsid w:val="007405D0"/>
    <w:rsid w:val="0074225C"/>
    <w:rsid w:val="00742578"/>
    <w:rsid w:val="00750448"/>
    <w:rsid w:val="00753762"/>
    <w:rsid w:val="007561D2"/>
    <w:rsid w:val="00764C95"/>
    <w:rsid w:val="00776C13"/>
    <w:rsid w:val="00794DED"/>
    <w:rsid w:val="00795784"/>
    <w:rsid w:val="007A15B6"/>
    <w:rsid w:val="007A2FBF"/>
    <w:rsid w:val="007A4BFC"/>
    <w:rsid w:val="007B0A95"/>
    <w:rsid w:val="007C20A9"/>
    <w:rsid w:val="007D48FB"/>
    <w:rsid w:val="007E4462"/>
    <w:rsid w:val="007F2356"/>
    <w:rsid w:val="00830838"/>
    <w:rsid w:val="0083336A"/>
    <w:rsid w:val="008464F9"/>
    <w:rsid w:val="00864B56"/>
    <w:rsid w:val="00873C80"/>
    <w:rsid w:val="00881F25"/>
    <w:rsid w:val="0089153A"/>
    <w:rsid w:val="008A3D6B"/>
    <w:rsid w:val="008C113C"/>
    <w:rsid w:val="008C227F"/>
    <w:rsid w:val="008C4F5C"/>
    <w:rsid w:val="008C6A7E"/>
    <w:rsid w:val="008D227D"/>
    <w:rsid w:val="008D5A0E"/>
    <w:rsid w:val="008E2E6C"/>
    <w:rsid w:val="00902AF8"/>
    <w:rsid w:val="00921041"/>
    <w:rsid w:val="009348A1"/>
    <w:rsid w:val="00940B86"/>
    <w:rsid w:val="009457FE"/>
    <w:rsid w:val="00963511"/>
    <w:rsid w:val="00967310"/>
    <w:rsid w:val="00990080"/>
    <w:rsid w:val="0099217F"/>
    <w:rsid w:val="00995450"/>
    <w:rsid w:val="00996E1B"/>
    <w:rsid w:val="009A7224"/>
    <w:rsid w:val="009C0140"/>
    <w:rsid w:val="009C0168"/>
    <w:rsid w:val="009D561C"/>
    <w:rsid w:val="009E7464"/>
    <w:rsid w:val="00A07580"/>
    <w:rsid w:val="00A22BF6"/>
    <w:rsid w:val="00A243BC"/>
    <w:rsid w:val="00A54DD2"/>
    <w:rsid w:val="00A620FB"/>
    <w:rsid w:val="00A74389"/>
    <w:rsid w:val="00A8198F"/>
    <w:rsid w:val="00A91313"/>
    <w:rsid w:val="00AB108A"/>
    <w:rsid w:val="00AC07A5"/>
    <w:rsid w:val="00AC3929"/>
    <w:rsid w:val="00AD135D"/>
    <w:rsid w:val="00AE6384"/>
    <w:rsid w:val="00B1622B"/>
    <w:rsid w:val="00B21CDC"/>
    <w:rsid w:val="00B32371"/>
    <w:rsid w:val="00B37097"/>
    <w:rsid w:val="00B51CD7"/>
    <w:rsid w:val="00B62890"/>
    <w:rsid w:val="00B64DE3"/>
    <w:rsid w:val="00B64ED0"/>
    <w:rsid w:val="00B8117F"/>
    <w:rsid w:val="00B831BA"/>
    <w:rsid w:val="00BA0809"/>
    <w:rsid w:val="00BA7BE3"/>
    <w:rsid w:val="00BC690F"/>
    <w:rsid w:val="00BC79F3"/>
    <w:rsid w:val="00BD3D97"/>
    <w:rsid w:val="00BF6814"/>
    <w:rsid w:val="00C06BAF"/>
    <w:rsid w:val="00C07F63"/>
    <w:rsid w:val="00C14447"/>
    <w:rsid w:val="00C211B2"/>
    <w:rsid w:val="00C607C9"/>
    <w:rsid w:val="00CA5289"/>
    <w:rsid w:val="00CB1306"/>
    <w:rsid w:val="00CB2A8F"/>
    <w:rsid w:val="00CD24FF"/>
    <w:rsid w:val="00CF24EC"/>
    <w:rsid w:val="00D05BA4"/>
    <w:rsid w:val="00D459B4"/>
    <w:rsid w:val="00D6089B"/>
    <w:rsid w:val="00D67BF0"/>
    <w:rsid w:val="00D73CFC"/>
    <w:rsid w:val="00D74D56"/>
    <w:rsid w:val="00D845C0"/>
    <w:rsid w:val="00D84D29"/>
    <w:rsid w:val="00D96AF1"/>
    <w:rsid w:val="00DA7440"/>
    <w:rsid w:val="00DB2E81"/>
    <w:rsid w:val="00DB4CFA"/>
    <w:rsid w:val="00DB4F43"/>
    <w:rsid w:val="00DD33F0"/>
    <w:rsid w:val="00DE5281"/>
    <w:rsid w:val="00E0397E"/>
    <w:rsid w:val="00E1371E"/>
    <w:rsid w:val="00E3415D"/>
    <w:rsid w:val="00E345B0"/>
    <w:rsid w:val="00E63C97"/>
    <w:rsid w:val="00E6634F"/>
    <w:rsid w:val="00E70612"/>
    <w:rsid w:val="00E75F72"/>
    <w:rsid w:val="00E77161"/>
    <w:rsid w:val="00E82483"/>
    <w:rsid w:val="00E83403"/>
    <w:rsid w:val="00E91E85"/>
    <w:rsid w:val="00E96412"/>
    <w:rsid w:val="00E96716"/>
    <w:rsid w:val="00EA29D8"/>
    <w:rsid w:val="00EB264C"/>
    <w:rsid w:val="00EE62E0"/>
    <w:rsid w:val="00F021A6"/>
    <w:rsid w:val="00F122D1"/>
    <w:rsid w:val="00F37580"/>
    <w:rsid w:val="00F51254"/>
    <w:rsid w:val="00F702C3"/>
    <w:rsid w:val="00F97E78"/>
    <w:rsid w:val="00FA1947"/>
    <w:rsid w:val="00FB23DB"/>
    <w:rsid w:val="00FC07AD"/>
    <w:rsid w:val="00FC7C68"/>
    <w:rsid w:val="00FD433A"/>
    <w:rsid w:val="00FE1802"/>
    <w:rsid w:val="00FE6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56"/>
    <w:pPr>
      <w:spacing w:after="200" w:line="276" w:lineRule="auto"/>
    </w:pPr>
    <w:rPr>
      <w:sz w:val="22"/>
      <w:szCs w:val="22"/>
    </w:rPr>
  </w:style>
  <w:style w:type="paragraph" w:styleId="Heading1">
    <w:name w:val="heading 1"/>
    <w:basedOn w:val="Normal"/>
    <w:next w:val="Normal"/>
    <w:link w:val="Heading1Char"/>
    <w:qFormat/>
    <w:rsid w:val="000644EF"/>
    <w:pPr>
      <w:keepNext/>
      <w:spacing w:after="0" w:line="240" w:lineRule="auto"/>
      <w:jc w:val="both"/>
      <w:outlineLvl w:val="0"/>
    </w:pPr>
    <w:rPr>
      <w:b/>
      <w:bCs/>
      <w:sz w:val="24"/>
      <w:szCs w:val="24"/>
    </w:rPr>
  </w:style>
  <w:style w:type="paragraph" w:styleId="Heading9">
    <w:name w:val="heading 9"/>
    <w:basedOn w:val="Normal"/>
    <w:next w:val="Normal"/>
    <w:link w:val="Heading9Char"/>
    <w:qFormat/>
    <w:rsid w:val="000644EF"/>
    <w:pPr>
      <w:keepNext/>
      <w:spacing w:after="0" w:line="240" w:lineRule="auto"/>
      <w:jc w:val="both"/>
      <w:outlineLvl w:val="8"/>
    </w:pPr>
    <w:rPr>
      <w:b/>
      <w:bCs/>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1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D24FF"/>
    <w:pPr>
      <w:ind w:left="720"/>
      <w:contextualSpacing/>
    </w:pPr>
  </w:style>
  <w:style w:type="character" w:customStyle="1" w:styleId="Heading1Char">
    <w:name w:val="Heading 1 Char"/>
    <w:basedOn w:val="DefaultParagraphFont"/>
    <w:link w:val="Heading1"/>
    <w:rsid w:val="000644EF"/>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0644EF"/>
    <w:rPr>
      <w:rFonts w:ascii="Times New Roman" w:eastAsia="Times New Roman" w:hAnsi="Times New Roman" w:cs="Times New Roman"/>
      <w:b/>
      <w:bCs/>
      <w:sz w:val="28"/>
      <w:szCs w:val="24"/>
    </w:rPr>
  </w:style>
  <w:style w:type="paragraph" w:customStyle="1" w:styleId="rprtid">
    <w:name w:val="rprtid"/>
    <w:basedOn w:val="Normal"/>
    <w:rsid w:val="000644EF"/>
    <w:pPr>
      <w:spacing w:before="100" w:beforeAutospacing="1" w:after="100" w:afterAutospacing="1" w:line="240" w:lineRule="auto"/>
    </w:pPr>
    <w:rPr>
      <w:sz w:val="24"/>
      <w:szCs w:val="24"/>
    </w:rPr>
  </w:style>
  <w:style w:type="paragraph" w:styleId="BodyTextIndent2">
    <w:name w:val="Body Text Indent 2"/>
    <w:basedOn w:val="Normal"/>
    <w:link w:val="BodyTextIndent2Char"/>
    <w:semiHidden/>
    <w:rsid w:val="000644EF"/>
    <w:pPr>
      <w:spacing w:after="0" w:line="240" w:lineRule="auto"/>
      <w:ind w:firstLine="360"/>
      <w:jc w:val="both"/>
    </w:pPr>
    <w:rPr>
      <w:sz w:val="20"/>
      <w:szCs w:val="24"/>
    </w:rPr>
  </w:style>
  <w:style w:type="character" w:customStyle="1" w:styleId="BodyTextIndent2Char">
    <w:name w:val="Body Text Indent 2 Char"/>
    <w:basedOn w:val="DefaultParagraphFont"/>
    <w:link w:val="BodyTextIndent2"/>
    <w:semiHidden/>
    <w:rsid w:val="000644EF"/>
    <w:rPr>
      <w:rFonts w:ascii="Times New Roman" w:eastAsia="Times New Roman" w:hAnsi="Times New Roman" w:cs="Times New Roman"/>
      <w:sz w:val="20"/>
      <w:szCs w:val="24"/>
    </w:rPr>
  </w:style>
  <w:style w:type="paragraph" w:styleId="Header">
    <w:name w:val="header"/>
    <w:basedOn w:val="Normal"/>
    <w:link w:val="HeaderChar1"/>
    <w:uiPriority w:val="99"/>
    <w:unhideWhenUsed/>
    <w:rsid w:val="001A25A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A25AA"/>
  </w:style>
  <w:style w:type="paragraph" w:styleId="Footer">
    <w:name w:val="footer"/>
    <w:basedOn w:val="Normal"/>
    <w:link w:val="FooterChar"/>
    <w:uiPriority w:val="99"/>
    <w:unhideWhenUsed/>
    <w:rsid w:val="001A2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5AA"/>
  </w:style>
  <w:style w:type="paragraph" w:customStyle="1" w:styleId="Default">
    <w:name w:val="Default"/>
    <w:rsid w:val="00263A52"/>
    <w:pPr>
      <w:autoSpaceDE w:val="0"/>
      <w:autoSpaceDN w:val="0"/>
      <w:adjustRightInd w:val="0"/>
    </w:pPr>
    <w:rPr>
      <w:color w:val="000000"/>
      <w:sz w:val="24"/>
      <w:szCs w:val="24"/>
    </w:rPr>
  </w:style>
  <w:style w:type="paragraph" w:styleId="BodyText3">
    <w:name w:val="Body Text 3"/>
    <w:basedOn w:val="Normal"/>
    <w:link w:val="BodyText3Char"/>
    <w:uiPriority w:val="99"/>
    <w:semiHidden/>
    <w:unhideWhenUsed/>
    <w:rsid w:val="00375AB0"/>
    <w:pPr>
      <w:spacing w:after="120"/>
    </w:pPr>
    <w:rPr>
      <w:sz w:val="16"/>
      <w:szCs w:val="16"/>
    </w:rPr>
  </w:style>
  <w:style w:type="character" w:customStyle="1" w:styleId="BodyText3Char">
    <w:name w:val="Body Text 3 Char"/>
    <w:basedOn w:val="DefaultParagraphFont"/>
    <w:link w:val="BodyText3"/>
    <w:uiPriority w:val="99"/>
    <w:semiHidden/>
    <w:rsid w:val="00375AB0"/>
    <w:rPr>
      <w:sz w:val="16"/>
      <w:szCs w:val="16"/>
    </w:rPr>
  </w:style>
  <w:style w:type="paragraph" w:styleId="NormalWeb">
    <w:name w:val="Normal (Web)"/>
    <w:basedOn w:val="Normal"/>
    <w:uiPriority w:val="99"/>
    <w:semiHidden/>
    <w:unhideWhenUsed/>
    <w:rsid w:val="00073FC0"/>
    <w:pPr>
      <w:spacing w:before="100" w:beforeAutospacing="1" w:after="100" w:afterAutospacing="1" w:line="240" w:lineRule="auto"/>
    </w:pPr>
    <w:rPr>
      <w:sz w:val="24"/>
      <w:szCs w:val="24"/>
    </w:rPr>
  </w:style>
  <w:style w:type="paragraph" w:styleId="BodyText">
    <w:name w:val="Body Text"/>
    <w:basedOn w:val="Normal"/>
    <w:link w:val="BodyTextChar"/>
    <w:uiPriority w:val="99"/>
    <w:semiHidden/>
    <w:unhideWhenUsed/>
    <w:rsid w:val="006B1FD3"/>
    <w:pPr>
      <w:spacing w:after="120"/>
    </w:pPr>
  </w:style>
  <w:style w:type="character" w:customStyle="1" w:styleId="BodyTextChar">
    <w:name w:val="Body Text Char"/>
    <w:basedOn w:val="DefaultParagraphFont"/>
    <w:link w:val="BodyText"/>
    <w:uiPriority w:val="99"/>
    <w:semiHidden/>
    <w:rsid w:val="006B1FD3"/>
  </w:style>
  <w:style w:type="character" w:styleId="Hyperlink">
    <w:name w:val="Hyperlink"/>
    <w:basedOn w:val="DefaultParagraphFont"/>
    <w:uiPriority w:val="99"/>
    <w:unhideWhenUsed/>
    <w:rsid w:val="00E96716"/>
    <w:rPr>
      <w:color w:val="0000FF"/>
      <w:u w:val="single"/>
    </w:rPr>
  </w:style>
  <w:style w:type="paragraph" w:styleId="BalloonText">
    <w:name w:val="Balloon Text"/>
    <w:basedOn w:val="Normal"/>
    <w:link w:val="BalloonTextChar"/>
    <w:uiPriority w:val="99"/>
    <w:semiHidden/>
    <w:unhideWhenUsed/>
    <w:rsid w:val="008E2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E6C"/>
    <w:rPr>
      <w:rFonts w:ascii="Tahoma" w:hAnsi="Tahoma" w:cs="Tahoma"/>
      <w:sz w:val="16"/>
      <w:szCs w:val="16"/>
    </w:rPr>
  </w:style>
  <w:style w:type="character" w:customStyle="1" w:styleId="HeaderChar">
    <w:name w:val="Header Char"/>
    <w:basedOn w:val="DefaultParagraphFont"/>
    <w:semiHidden/>
    <w:locked/>
    <w:rsid w:val="003D4FDA"/>
    <w:rPr>
      <w:sz w:val="24"/>
      <w:szCs w:val="24"/>
      <w:lang w:val="en-US" w:eastAsia="en-US" w:bidi="ar-SA"/>
    </w:rPr>
  </w:style>
  <w:style w:type="character" w:styleId="PageNumber">
    <w:name w:val="page number"/>
    <w:basedOn w:val="DefaultParagraphFont"/>
    <w:rsid w:val="00940B86"/>
  </w:style>
</w:styles>
</file>

<file path=word/webSettings.xml><?xml version="1.0" encoding="utf-8"?>
<w:webSettings xmlns:r="http://schemas.openxmlformats.org/officeDocument/2006/relationships" xmlns:w="http://schemas.openxmlformats.org/wordprocessingml/2006/main">
  <w:divs>
    <w:div w:id="113330489">
      <w:bodyDiv w:val="1"/>
      <w:marLeft w:val="0"/>
      <w:marRight w:val="0"/>
      <w:marTop w:val="0"/>
      <w:marBottom w:val="0"/>
      <w:divBdr>
        <w:top w:val="none" w:sz="0" w:space="0" w:color="auto"/>
        <w:left w:val="none" w:sz="0" w:space="0" w:color="auto"/>
        <w:bottom w:val="none" w:sz="0" w:space="0" w:color="auto"/>
        <w:right w:val="none" w:sz="0" w:space="0" w:color="auto"/>
      </w:divBdr>
    </w:div>
    <w:div w:id="588852165">
      <w:bodyDiv w:val="1"/>
      <w:marLeft w:val="0"/>
      <w:marRight w:val="0"/>
      <w:marTop w:val="0"/>
      <w:marBottom w:val="0"/>
      <w:divBdr>
        <w:top w:val="none" w:sz="0" w:space="0" w:color="auto"/>
        <w:left w:val="none" w:sz="0" w:space="0" w:color="auto"/>
        <w:bottom w:val="none" w:sz="0" w:space="0" w:color="auto"/>
        <w:right w:val="none" w:sz="0" w:space="0" w:color="auto"/>
      </w:divBdr>
    </w:div>
    <w:div w:id="887644015">
      <w:bodyDiv w:val="1"/>
      <w:marLeft w:val="0"/>
      <w:marRight w:val="0"/>
      <w:marTop w:val="0"/>
      <w:marBottom w:val="0"/>
      <w:divBdr>
        <w:top w:val="none" w:sz="0" w:space="0" w:color="auto"/>
        <w:left w:val="none" w:sz="0" w:space="0" w:color="auto"/>
        <w:bottom w:val="none" w:sz="0" w:space="0" w:color="auto"/>
        <w:right w:val="none" w:sz="0" w:space="0" w:color="auto"/>
      </w:divBdr>
    </w:div>
    <w:div w:id="1117869281">
      <w:bodyDiv w:val="1"/>
      <w:marLeft w:val="0"/>
      <w:marRight w:val="0"/>
      <w:marTop w:val="0"/>
      <w:marBottom w:val="0"/>
      <w:divBdr>
        <w:top w:val="none" w:sz="0" w:space="0" w:color="auto"/>
        <w:left w:val="none" w:sz="0" w:space="0" w:color="auto"/>
        <w:bottom w:val="none" w:sz="0" w:space="0" w:color="auto"/>
        <w:right w:val="none" w:sz="0" w:space="0" w:color="auto"/>
      </w:divBdr>
    </w:div>
    <w:div w:id="21379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dengue/entomologyEcology/climat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dc.gov/dengue/entamologyEcology/climat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ewyorksci@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explosion val="3"/>
          <c:dPt>
            <c:idx val="0"/>
            <c:explosion val="0"/>
          </c:dPt>
          <c:dPt>
            <c:idx val="1"/>
            <c:explosion val="0"/>
          </c:dPt>
          <c:dPt>
            <c:idx val="2"/>
            <c:explosion val="1"/>
          </c:dPt>
          <c:dLbls>
            <c:dLbl>
              <c:idx val="1"/>
              <c:tx>
                <c:rich>
                  <a:bodyPr/>
                  <a:lstStyle/>
                  <a:p>
                    <a:r>
                      <a:rPr lang="en-US"/>
                      <a:t>272 RAINY SAESON</a:t>
                    </a:r>
                  </a:p>
                </c:rich>
              </c:tx>
              <c:showVal val="1"/>
            </c:dLbl>
            <c:dLbl>
              <c:idx val="2"/>
              <c:showVal val="1"/>
            </c:dLbl>
            <c:delete val="1"/>
          </c:dLbls>
          <c:val>
            <c:numRef>
              <c:f>Sheet1!$I$15:$I$17</c:f>
              <c:numCache>
                <c:formatCode>General</c:formatCode>
                <c:ptCount val="3"/>
                <c:pt idx="0">
                  <c:v>296</c:v>
                </c:pt>
                <c:pt idx="1">
                  <c:v>272</c:v>
                </c:pt>
                <c:pt idx="2">
                  <c:v>271</c:v>
                </c:pt>
              </c:numCache>
            </c:numRef>
          </c:val>
        </c:ser>
        <c:firstSliceAng val="0"/>
      </c:pieChart>
    </c:plotArea>
    <c:legend>
      <c:legendPos val="r"/>
      <c:layout>
        <c:manualLayout>
          <c:xMode val="edge"/>
          <c:yMode val="edge"/>
          <c:x val="0.93595975503062112"/>
          <c:y val="0.3605351414406533"/>
          <c:w val="6.1262467191601111E-2"/>
          <c:h val="0.25115157480314959"/>
        </c:manualLayout>
      </c:layout>
      <c:txPr>
        <a:bodyPr/>
        <a:lstStyle/>
        <a:p>
          <a:pPr rtl="0">
            <a:defRPr/>
          </a:pPr>
          <a:endParaRPr lang="en-US"/>
        </a:p>
      </c:txPr>
    </c:legend>
    <c:plotVisOnly val="1"/>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0.5625</cdr:x>
      <cdr:y>0.44444</cdr:y>
    </cdr:from>
    <cdr:to>
      <cdr:x>0.7625</cdr:x>
      <cdr:y>0.77778</cdr:y>
    </cdr:to>
    <cdr:sp macro="" textlink="">
      <cdr:nvSpPr>
        <cdr:cNvPr id="2" name="TextBox 1"/>
        <cdr:cNvSpPr txBox="1"/>
      </cdr:nvSpPr>
      <cdr:spPr>
        <a:xfrm xmlns:a="http://schemas.openxmlformats.org/drawingml/2006/main">
          <a:off x="2571750" y="1219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0.54167</cdr:x>
      <cdr:y>0.28819</cdr:y>
    </cdr:from>
    <cdr:to>
      <cdr:x>0.68125</cdr:x>
      <cdr:y>0.47222</cdr:y>
    </cdr:to>
    <cdr:sp macro="" textlink="">
      <cdr:nvSpPr>
        <cdr:cNvPr id="3" name="TextBox 2"/>
        <cdr:cNvSpPr txBox="1"/>
      </cdr:nvSpPr>
      <cdr:spPr>
        <a:xfrm xmlns:a="http://schemas.openxmlformats.org/drawingml/2006/main">
          <a:off x="2476500" y="790575"/>
          <a:ext cx="638175" cy="504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296(HOT</a:t>
          </a:r>
          <a:r>
            <a:rPr lang="en-US" sz="800" baseline="0"/>
            <a:t> DRY SEASON</a:t>
          </a:r>
          <a:endParaRPr lang="en-US" sz="800"/>
        </a:p>
      </cdr:txBody>
    </cdr:sp>
  </cdr:relSizeAnchor>
  <cdr:relSizeAnchor xmlns:cdr="http://schemas.openxmlformats.org/drawingml/2006/chartDrawing">
    <cdr:from>
      <cdr:x>0.23125</cdr:x>
      <cdr:y>0.36806</cdr:y>
    </cdr:from>
    <cdr:to>
      <cdr:x>0.47083</cdr:x>
      <cdr:y>0.45486</cdr:y>
    </cdr:to>
    <cdr:sp macro="" textlink="">
      <cdr:nvSpPr>
        <cdr:cNvPr id="4" name="TextBox 3"/>
        <cdr:cNvSpPr txBox="1"/>
      </cdr:nvSpPr>
      <cdr:spPr>
        <a:xfrm xmlns:a="http://schemas.openxmlformats.org/drawingml/2006/main">
          <a:off x="1057275" y="1009650"/>
          <a:ext cx="109537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aseline="0"/>
            <a:t>COLD </a:t>
          </a:r>
          <a:r>
            <a:rPr lang="en-US" sz="1100"/>
            <a:t>SEASON</a:t>
          </a:r>
        </a:p>
      </cdr:txBody>
    </cdr:sp>
  </cdr:relSizeAnchor>
  <cdr:relSizeAnchor xmlns:cdr="http://schemas.openxmlformats.org/drawingml/2006/chartDrawing">
    <cdr:from>
      <cdr:x>0.21667</cdr:x>
      <cdr:y>0.04514</cdr:y>
    </cdr:from>
    <cdr:to>
      <cdr:x>0.222</cdr:x>
      <cdr:y>0.05403</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90600" y="123825"/>
          <a:ext cx="24386" cy="24386"/>
        </a:xfrm>
        <a:prstGeom xmlns:a="http://schemas.openxmlformats.org/drawingml/2006/main" prst="rect">
          <a:avLst/>
        </a:prstGeom>
      </cdr:spPr>
    </cdr:pic>
  </cdr:relSizeAnchor>
  <cdr:relSizeAnchor xmlns:cdr="http://schemas.openxmlformats.org/drawingml/2006/chartDrawing">
    <cdr:from>
      <cdr:x>0.79375</cdr:x>
      <cdr:y>0.33333</cdr:y>
    </cdr:from>
    <cdr:to>
      <cdr:x>0.99375</cdr:x>
      <cdr:y>0.66667</cdr:y>
    </cdr:to>
    <cdr:sp macro="" textlink="">
      <cdr:nvSpPr>
        <cdr:cNvPr id="6" name="TextBox 5"/>
        <cdr:cNvSpPr txBox="1"/>
      </cdr:nvSpPr>
      <cdr:spPr>
        <a:xfrm xmlns:a="http://schemas.openxmlformats.org/drawingml/2006/main">
          <a:off x="3629025" y="914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0.31875</cdr:x>
      <cdr:y>0.42361</cdr:y>
    </cdr:from>
    <cdr:to>
      <cdr:x>0.51875</cdr:x>
      <cdr:y>0.53819</cdr:y>
    </cdr:to>
    <cdr:sp macro="" textlink="">
      <cdr:nvSpPr>
        <cdr:cNvPr id="7" name="TextBox 6"/>
        <cdr:cNvSpPr txBox="1"/>
      </cdr:nvSpPr>
      <cdr:spPr>
        <a:xfrm xmlns:a="http://schemas.openxmlformats.org/drawingml/2006/main">
          <a:off x="1457325" y="1162050"/>
          <a:ext cx="914400"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20755</CharactersWithSpaces>
  <SharedDoc>false</SharedDoc>
  <HLinks>
    <vt:vector size="30" baseType="variant">
      <vt:variant>
        <vt:i4>3014717</vt:i4>
      </vt:variant>
      <vt:variant>
        <vt:i4>6</vt:i4>
      </vt:variant>
      <vt:variant>
        <vt:i4>0</vt:i4>
      </vt:variant>
      <vt:variant>
        <vt:i4>5</vt:i4>
      </vt:variant>
      <vt:variant>
        <vt:lpwstr>http://www.cdc.gov/dengue/entamologyEcology/climate</vt:lpwstr>
      </vt:variant>
      <vt:variant>
        <vt:lpwstr/>
      </vt:variant>
      <vt:variant>
        <vt:i4>6488118</vt:i4>
      </vt:variant>
      <vt:variant>
        <vt:i4>3</vt:i4>
      </vt:variant>
      <vt:variant>
        <vt:i4>0</vt:i4>
      </vt:variant>
      <vt:variant>
        <vt:i4>5</vt:i4>
      </vt:variant>
      <vt:variant>
        <vt:lpwstr>http://www.cdc.gov/dengue/entomologyEcology/climate.html</vt:lpwstr>
      </vt:variant>
      <vt:variant>
        <vt:lpwstr>climate</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8</vt:i4>
      </vt:variant>
      <vt:variant>
        <vt:i4>0</vt:i4>
      </vt:variant>
      <vt:variant>
        <vt:i4>5</vt:i4>
      </vt:variant>
      <vt:variant>
        <vt:lpwstr>mailto:newyorksci@gmail.com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Maiduguri Lab1</cp:lastModifiedBy>
  <cp:revision>2</cp:revision>
  <dcterms:created xsi:type="dcterms:W3CDTF">2010-11-23T17:12:00Z</dcterms:created>
  <dcterms:modified xsi:type="dcterms:W3CDTF">2010-11-23T17:12:00Z</dcterms:modified>
</cp:coreProperties>
</file>