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25" w:rsidRPr="007E4D9A" w:rsidRDefault="006F6D3B" w:rsidP="004C4586">
      <w:pPr>
        <w:spacing w:after="0" w:line="240" w:lineRule="auto"/>
        <w:jc w:val="center"/>
        <w:rPr>
          <w:rFonts w:ascii="Times New Roman" w:hAnsi="Times New Roman" w:cs="Times New Roman"/>
          <w:b/>
          <w:bCs/>
          <w:sz w:val="20"/>
          <w:szCs w:val="20"/>
        </w:rPr>
      </w:pPr>
      <w:r w:rsidRPr="007E4D9A">
        <w:rPr>
          <w:rFonts w:ascii="Times New Roman" w:hAnsi="Times New Roman" w:cs="Times New Roman"/>
          <w:b/>
          <w:bCs/>
          <w:sz w:val="20"/>
          <w:szCs w:val="20"/>
        </w:rPr>
        <w:t xml:space="preserve">Investigating the effective </w:t>
      </w:r>
      <w:r w:rsidR="00FF4B18" w:rsidRPr="007E4D9A">
        <w:rPr>
          <w:rFonts w:ascii="Times New Roman" w:hAnsi="Times New Roman" w:cs="Times New Roman"/>
          <w:b/>
          <w:bCs/>
          <w:sz w:val="20"/>
          <w:szCs w:val="20"/>
        </w:rPr>
        <w:t>indexes on investment and stocks abnormal return increasing of accepted firms in Tehran Stock Exchange</w:t>
      </w:r>
    </w:p>
    <w:p w:rsidR="004C4586" w:rsidRPr="007E4D9A" w:rsidRDefault="004C4586" w:rsidP="004C4586">
      <w:pPr>
        <w:spacing w:after="0" w:line="240" w:lineRule="auto"/>
        <w:jc w:val="center"/>
        <w:rPr>
          <w:rFonts w:ascii="Times New Roman" w:hAnsi="Times New Roman" w:cs="Times New Roman"/>
          <w:b/>
          <w:bCs/>
          <w:sz w:val="20"/>
          <w:szCs w:val="20"/>
        </w:rPr>
      </w:pPr>
    </w:p>
    <w:p w:rsidR="00535F7A" w:rsidRPr="007E4D9A" w:rsidRDefault="007E4D9A" w:rsidP="004C4586">
      <w:pPr>
        <w:spacing w:after="0" w:line="240" w:lineRule="auto"/>
        <w:jc w:val="center"/>
        <w:rPr>
          <w:rFonts w:ascii="Times New Roman" w:hAnsi="Times New Roman" w:cs="Times New Roman"/>
          <w:sz w:val="20"/>
          <w:szCs w:val="20"/>
        </w:rPr>
      </w:pPr>
      <w:proofErr w:type="spellStart"/>
      <w:r w:rsidRPr="007E4D9A">
        <w:rPr>
          <w:rFonts w:ascii="Times New Roman" w:hAnsi="Times New Roman" w:cs="Times New Roman"/>
          <w:sz w:val="20"/>
          <w:szCs w:val="20"/>
        </w:rPr>
        <w:t>Alireza</w:t>
      </w:r>
      <w:proofErr w:type="spellEnd"/>
      <w:r w:rsidRPr="007E4D9A">
        <w:rPr>
          <w:rFonts w:ascii="Times New Roman" w:hAnsi="Times New Roman" w:cs="Times New Roman"/>
          <w:sz w:val="20"/>
          <w:szCs w:val="20"/>
        </w:rPr>
        <w:t xml:space="preserve"> </w:t>
      </w:r>
      <w:proofErr w:type="spellStart"/>
      <w:r w:rsidRPr="007E4D9A">
        <w:rPr>
          <w:rFonts w:ascii="Times New Roman" w:hAnsi="Times New Roman" w:cs="Times New Roman"/>
          <w:sz w:val="20"/>
          <w:szCs w:val="20"/>
        </w:rPr>
        <w:t>Zamanpour</w:t>
      </w:r>
      <w:proofErr w:type="spellEnd"/>
    </w:p>
    <w:p w:rsidR="00535F7A" w:rsidRPr="007E4D9A" w:rsidRDefault="00535F7A" w:rsidP="004C4586">
      <w:pPr>
        <w:spacing w:after="0" w:line="240" w:lineRule="auto"/>
        <w:jc w:val="center"/>
        <w:rPr>
          <w:rFonts w:ascii="Times New Roman" w:hAnsi="Times New Roman" w:cs="Times New Roman"/>
          <w:sz w:val="20"/>
          <w:szCs w:val="20"/>
        </w:rPr>
      </w:pPr>
      <w:bookmarkStart w:id="0" w:name="_GoBack"/>
      <w:r w:rsidRPr="007E4D9A">
        <w:rPr>
          <w:rFonts w:ascii="Times New Roman" w:hAnsi="Times New Roman" w:cs="Times New Roman"/>
          <w:sz w:val="20"/>
          <w:szCs w:val="20"/>
        </w:rPr>
        <w:t xml:space="preserve">Department of Accounting, </w:t>
      </w:r>
      <w:proofErr w:type="spellStart"/>
      <w:r w:rsidRPr="007E4D9A">
        <w:rPr>
          <w:rFonts w:ascii="Times New Roman" w:hAnsi="Times New Roman" w:cs="Times New Roman"/>
          <w:sz w:val="20"/>
          <w:szCs w:val="20"/>
        </w:rPr>
        <w:t>Masjed</w:t>
      </w:r>
      <w:proofErr w:type="spellEnd"/>
      <w:r w:rsidRPr="007E4D9A">
        <w:rPr>
          <w:rFonts w:ascii="Times New Roman" w:hAnsi="Times New Roman" w:cs="Times New Roman"/>
          <w:sz w:val="20"/>
          <w:szCs w:val="20"/>
        </w:rPr>
        <w:t xml:space="preserve"> </w:t>
      </w:r>
      <w:proofErr w:type="spellStart"/>
      <w:r w:rsidRPr="007E4D9A">
        <w:rPr>
          <w:rFonts w:ascii="Times New Roman" w:hAnsi="Times New Roman" w:cs="Times New Roman"/>
          <w:sz w:val="20"/>
          <w:szCs w:val="20"/>
        </w:rPr>
        <w:t>Soleyman</w:t>
      </w:r>
      <w:proofErr w:type="spellEnd"/>
      <w:r w:rsidRPr="007E4D9A">
        <w:rPr>
          <w:rFonts w:ascii="Times New Roman" w:hAnsi="Times New Roman" w:cs="Times New Roman"/>
          <w:sz w:val="20"/>
          <w:szCs w:val="20"/>
        </w:rPr>
        <w:t xml:space="preserve"> Branch, Islamic Azad University, </w:t>
      </w:r>
      <w:bookmarkEnd w:id="0"/>
      <w:proofErr w:type="spellStart"/>
      <w:r w:rsidRPr="007E4D9A">
        <w:rPr>
          <w:rFonts w:ascii="Times New Roman" w:hAnsi="Times New Roman" w:cs="Times New Roman"/>
          <w:sz w:val="20"/>
          <w:szCs w:val="20"/>
        </w:rPr>
        <w:t>Masjed</w:t>
      </w:r>
      <w:proofErr w:type="spellEnd"/>
      <w:r w:rsidRPr="007E4D9A">
        <w:rPr>
          <w:rFonts w:ascii="Times New Roman" w:hAnsi="Times New Roman" w:cs="Times New Roman"/>
          <w:sz w:val="20"/>
          <w:szCs w:val="20"/>
        </w:rPr>
        <w:t xml:space="preserve"> </w:t>
      </w:r>
      <w:proofErr w:type="spellStart"/>
      <w:r w:rsidRPr="007E4D9A">
        <w:rPr>
          <w:rFonts w:ascii="Times New Roman" w:hAnsi="Times New Roman" w:cs="Times New Roman"/>
          <w:sz w:val="20"/>
          <w:szCs w:val="20"/>
        </w:rPr>
        <w:t>Soleyman</w:t>
      </w:r>
      <w:proofErr w:type="spellEnd"/>
      <w:r w:rsidRPr="007E4D9A">
        <w:rPr>
          <w:rFonts w:ascii="Times New Roman" w:hAnsi="Times New Roman" w:cs="Times New Roman"/>
          <w:sz w:val="20"/>
          <w:szCs w:val="20"/>
        </w:rPr>
        <w:t>, Iran</w:t>
      </w:r>
    </w:p>
    <w:p w:rsidR="008A271C" w:rsidRPr="007E4D9A" w:rsidRDefault="007E4D9A" w:rsidP="004C4586">
      <w:pPr>
        <w:autoSpaceDE w:val="0"/>
        <w:autoSpaceDN w:val="0"/>
        <w:adjustRightInd w:val="0"/>
        <w:spacing w:after="0" w:line="240" w:lineRule="auto"/>
        <w:jc w:val="center"/>
        <w:rPr>
          <w:rFonts w:ascii="Times New Roman" w:hAnsi="Times New Roman" w:cs="Times New Roman"/>
          <w:sz w:val="20"/>
          <w:szCs w:val="20"/>
          <w:lang w:bidi="fa-IR"/>
        </w:rPr>
      </w:pPr>
      <w:proofErr w:type="spellStart"/>
      <w:r w:rsidRPr="007E4D9A">
        <w:rPr>
          <w:rFonts w:ascii="Times New Roman" w:hAnsi="Times New Roman" w:cs="Times New Roman"/>
          <w:sz w:val="20"/>
          <w:szCs w:val="20"/>
          <w:lang w:bidi="fa-IR"/>
        </w:rPr>
        <w:t>Fazel</w:t>
      </w:r>
      <w:proofErr w:type="spellEnd"/>
      <w:r w:rsidRPr="007E4D9A">
        <w:rPr>
          <w:rFonts w:ascii="Times New Roman" w:hAnsi="Times New Roman" w:cs="Times New Roman"/>
          <w:sz w:val="20"/>
          <w:szCs w:val="20"/>
          <w:lang w:bidi="fa-IR"/>
        </w:rPr>
        <w:t xml:space="preserve"> </w:t>
      </w:r>
      <w:proofErr w:type="spellStart"/>
      <w:r w:rsidRPr="007E4D9A">
        <w:rPr>
          <w:rFonts w:ascii="Times New Roman" w:hAnsi="Times New Roman" w:cs="Times New Roman"/>
          <w:sz w:val="20"/>
          <w:szCs w:val="20"/>
          <w:lang w:bidi="fa-IR"/>
        </w:rPr>
        <w:t>Tamoradi</w:t>
      </w:r>
      <w:proofErr w:type="spellEnd"/>
    </w:p>
    <w:p w:rsidR="00FF4433" w:rsidRPr="007E4D9A" w:rsidRDefault="00A70A55" w:rsidP="004C4586">
      <w:pPr>
        <w:autoSpaceDE w:val="0"/>
        <w:autoSpaceDN w:val="0"/>
        <w:adjustRightInd w:val="0"/>
        <w:spacing w:after="0" w:line="240" w:lineRule="auto"/>
        <w:jc w:val="center"/>
        <w:rPr>
          <w:rFonts w:ascii="Times New Roman" w:hAnsi="Times New Roman" w:cs="Times New Roman"/>
          <w:iCs/>
          <w:sz w:val="20"/>
          <w:szCs w:val="20"/>
        </w:rPr>
      </w:pPr>
      <w:r w:rsidRPr="007E4D9A">
        <w:rPr>
          <w:rFonts w:ascii="Times New Roman" w:hAnsi="Times New Roman" w:cs="Times New Roman"/>
          <w:iCs/>
          <w:sz w:val="20"/>
          <w:szCs w:val="20"/>
        </w:rPr>
        <w:t>Department of Accounting</w:t>
      </w:r>
      <w:r w:rsidR="007E4D9A">
        <w:rPr>
          <w:rFonts w:ascii="Times New Roman" w:hAnsi="Times New Roman" w:cs="Times New Roman"/>
          <w:iCs/>
          <w:sz w:val="20"/>
          <w:szCs w:val="20"/>
        </w:rPr>
        <w:t>,</w:t>
      </w:r>
      <w:r w:rsidR="008A271C" w:rsidRPr="007E4D9A">
        <w:rPr>
          <w:rFonts w:ascii="Times New Roman" w:hAnsi="Times New Roman" w:cs="Times New Roman"/>
          <w:iCs/>
          <w:sz w:val="20"/>
          <w:szCs w:val="20"/>
        </w:rPr>
        <w:t xml:space="preserve"> </w:t>
      </w:r>
      <w:proofErr w:type="spellStart"/>
      <w:r w:rsidR="008A271C" w:rsidRPr="007E4D9A">
        <w:rPr>
          <w:rFonts w:ascii="Times New Roman" w:hAnsi="Times New Roman" w:cs="Times New Roman"/>
          <w:iCs/>
          <w:sz w:val="20"/>
          <w:szCs w:val="20"/>
        </w:rPr>
        <w:t>Ramhormoz</w:t>
      </w:r>
      <w:proofErr w:type="spellEnd"/>
      <w:r w:rsidR="007E4D9A" w:rsidRPr="007E4D9A">
        <w:rPr>
          <w:rFonts w:ascii="Times New Roman" w:hAnsi="Times New Roman" w:cs="Times New Roman"/>
          <w:iCs/>
          <w:sz w:val="20"/>
          <w:szCs w:val="20"/>
        </w:rPr>
        <w:t xml:space="preserve"> </w:t>
      </w:r>
      <w:r w:rsidRPr="007E4D9A">
        <w:rPr>
          <w:rFonts w:ascii="Times New Roman" w:hAnsi="Times New Roman" w:cs="Times New Roman"/>
          <w:iCs/>
          <w:sz w:val="20"/>
          <w:szCs w:val="20"/>
        </w:rPr>
        <w:t>Br</w:t>
      </w:r>
      <w:r w:rsidR="008A271C" w:rsidRPr="007E4D9A">
        <w:rPr>
          <w:rFonts w:ascii="Times New Roman" w:hAnsi="Times New Roman" w:cs="Times New Roman"/>
          <w:iCs/>
          <w:sz w:val="20"/>
          <w:szCs w:val="20"/>
        </w:rPr>
        <w:t xml:space="preserve">anch, Islamic Azad University, </w:t>
      </w:r>
      <w:proofErr w:type="spellStart"/>
      <w:r w:rsidR="008A271C" w:rsidRPr="007E4D9A">
        <w:rPr>
          <w:rFonts w:ascii="Times New Roman" w:hAnsi="Times New Roman" w:cs="Times New Roman"/>
          <w:iCs/>
          <w:sz w:val="20"/>
          <w:szCs w:val="20"/>
        </w:rPr>
        <w:t>Ramhormoz</w:t>
      </w:r>
      <w:proofErr w:type="spellEnd"/>
      <w:r w:rsidR="007E4D9A">
        <w:rPr>
          <w:rFonts w:ascii="Times New Roman" w:hAnsi="Times New Roman" w:cs="Times New Roman"/>
          <w:iCs/>
          <w:sz w:val="20"/>
          <w:szCs w:val="20"/>
        </w:rPr>
        <w:t>,</w:t>
      </w:r>
      <w:r w:rsidRPr="007E4D9A">
        <w:rPr>
          <w:rFonts w:ascii="Times New Roman" w:hAnsi="Times New Roman" w:cs="Times New Roman"/>
          <w:iCs/>
          <w:sz w:val="20"/>
          <w:szCs w:val="20"/>
        </w:rPr>
        <w:t xml:space="preserve"> Iran</w:t>
      </w:r>
    </w:p>
    <w:p w:rsidR="00A70A55" w:rsidRPr="007E4D9A" w:rsidRDefault="00FF4433" w:rsidP="004C4586">
      <w:pPr>
        <w:spacing w:after="0" w:line="240" w:lineRule="auto"/>
        <w:jc w:val="center"/>
        <w:rPr>
          <w:rFonts w:ascii="Times New Roman" w:hAnsi="Times New Roman" w:cs="Times New Roman"/>
          <w:sz w:val="20"/>
          <w:szCs w:val="20"/>
        </w:rPr>
      </w:pPr>
      <w:r w:rsidRPr="007E4D9A">
        <w:rPr>
          <w:rFonts w:ascii="Times New Roman" w:hAnsi="Times New Roman" w:cs="Times New Roman"/>
          <w:sz w:val="20"/>
          <w:szCs w:val="20"/>
        </w:rPr>
        <w:t xml:space="preserve">Zahra </w:t>
      </w:r>
      <w:proofErr w:type="spellStart"/>
      <w:r w:rsidRPr="007E4D9A">
        <w:rPr>
          <w:rFonts w:ascii="Times New Roman" w:hAnsi="Times New Roman" w:cs="Times New Roman"/>
          <w:sz w:val="20"/>
          <w:szCs w:val="20"/>
        </w:rPr>
        <w:t>rahmati</w:t>
      </w:r>
      <w:proofErr w:type="spellEnd"/>
    </w:p>
    <w:p w:rsidR="00FF4433" w:rsidRPr="007E4D9A" w:rsidRDefault="00FF4433" w:rsidP="004C4586">
      <w:pPr>
        <w:autoSpaceDE w:val="0"/>
        <w:autoSpaceDN w:val="0"/>
        <w:adjustRightInd w:val="0"/>
        <w:spacing w:after="0" w:line="240" w:lineRule="auto"/>
        <w:jc w:val="center"/>
        <w:rPr>
          <w:rFonts w:ascii="Times New Roman" w:hAnsi="Times New Roman" w:cs="Times New Roman"/>
          <w:iCs/>
          <w:sz w:val="20"/>
          <w:szCs w:val="20"/>
        </w:rPr>
      </w:pPr>
      <w:r w:rsidRPr="007E4D9A">
        <w:rPr>
          <w:rFonts w:ascii="Times New Roman" w:hAnsi="Times New Roman" w:cs="Times New Roman"/>
          <w:iCs/>
          <w:sz w:val="20"/>
          <w:szCs w:val="20"/>
        </w:rPr>
        <w:t>Department of Accounting</w:t>
      </w:r>
      <w:r w:rsidR="007E4D9A">
        <w:rPr>
          <w:rFonts w:ascii="Times New Roman" w:hAnsi="Times New Roman" w:cs="Times New Roman"/>
          <w:iCs/>
          <w:sz w:val="20"/>
          <w:szCs w:val="20"/>
        </w:rPr>
        <w:t>,</w:t>
      </w:r>
      <w:r w:rsidRPr="007E4D9A">
        <w:rPr>
          <w:rFonts w:ascii="Times New Roman" w:hAnsi="Times New Roman" w:cs="Times New Roman"/>
          <w:iCs/>
          <w:sz w:val="20"/>
          <w:szCs w:val="20"/>
        </w:rPr>
        <w:t xml:space="preserve"> </w:t>
      </w:r>
      <w:proofErr w:type="spellStart"/>
      <w:r w:rsidRPr="007E4D9A">
        <w:rPr>
          <w:rFonts w:ascii="Times New Roman" w:hAnsi="Times New Roman" w:cs="Times New Roman"/>
          <w:iCs/>
          <w:sz w:val="20"/>
          <w:szCs w:val="20"/>
        </w:rPr>
        <w:t>Dehloran</w:t>
      </w:r>
      <w:proofErr w:type="spellEnd"/>
      <w:r w:rsidR="007E4D9A" w:rsidRPr="007E4D9A">
        <w:rPr>
          <w:rFonts w:ascii="Times New Roman" w:hAnsi="Times New Roman" w:cs="Times New Roman"/>
          <w:iCs/>
          <w:sz w:val="20"/>
          <w:szCs w:val="20"/>
        </w:rPr>
        <w:t xml:space="preserve"> </w:t>
      </w:r>
      <w:r w:rsidRPr="007E4D9A">
        <w:rPr>
          <w:rFonts w:ascii="Times New Roman" w:hAnsi="Times New Roman" w:cs="Times New Roman"/>
          <w:iCs/>
          <w:sz w:val="20"/>
          <w:szCs w:val="20"/>
        </w:rPr>
        <w:t xml:space="preserve">Branch, Islamic Azad University, </w:t>
      </w:r>
      <w:proofErr w:type="spellStart"/>
      <w:r w:rsidRPr="007E4D9A">
        <w:rPr>
          <w:rFonts w:ascii="Times New Roman" w:hAnsi="Times New Roman" w:cs="Times New Roman"/>
          <w:iCs/>
          <w:sz w:val="20"/>
          <w:szCs w:val="20"/>
        </w:rPr>
        <w:t>Dehloran</w:t>
      </w:r>
      <w:proofErr w:type="spellEnd"/>
      <w:r w:rsidR="007E4D9A">
        <w:rPr>
          <w:rFonts w:ascii="Times New Roman" w:hAnsi="Times New Roman" w:cs="Times New Roman"/>
          <w:iCs/>
          <w:sz w:val="20"/>
          <w:szCs w:val="20"/>
        </w:rPr>
        <w:t>,</w:t>
      </w:r>
      <w:r w:rsidRPr="007E4D9A">
        <w:rPr>
          <w:rFonts w:ascii="Times New Roman" w:hAnsi="Times New Roman" w:cs="Times New Roman"/>
          <w:iCs/>
          <w:sz w:val="20"/>
          <w:szCs w:val="20"/>
        </w:rPr>
        <w:t xml:space="preserve"> Iran</w:t>
      </w:r>
    </w:p>
    <w:p w:rsidR="00FF4433" w:rsidRPr="007E4D9A" w:rsidRDefault="00FF4433" w:rsidP="004C4586">
      <w:pPr>
        <w:spacing w:after="0" w:line="240" w:lineRule="auto"/>
        <w:jc w:val="center"/>
        <w:rPr>
          <w:rFonts w:ascii="Times New Roman" w:hAnsi="Times New Roman" w:cs="Times New Roman"/>
          <w:sz w:val="20"/>
          <w:szCs w:val="20"/>
        </w:rPr>
      </w:pPr>
    </w:p>
    <w:p w:rsidR="004C4586" w:rsidRPr="007E4D9A" w:rsidRDefault="00FF4B18" w:rsidP="004C4586">
      <w:pPr>
        <w:spacing w:after="0" w:line="240" w:lineRule="auto"/>
        <w:jc w:val="both"/>
        <w:rPr>
          <w:rFonts w:ascii="Times New Roman" w:hAnsi="Times New Roman" w:cs="Times New Roman"/>
          <w:sz w:val="20"/>
          <w:szCs w:val="20"/>
        </w:rPr>
      </w:pPr>
      <w:r w:rsidRPr="007E4D9A">
        <w:rPr>
          <w:rFonts w:ascii="Times New Roman" w:hAnsi="Times New Roman" w:cs="Times New Roman"/>
          <w:b/>
          <w:bCs/>
          <w:sz w:val="20"/>
          <w:szCs w:val="20"/>
        </w:rPr>
        <w:t>Abstract</w:t>
      </w:r>
      <w:r w:rsidR="007E4D9A" w:rsidRPr="007E4D9A">
        <w:rPr>
          <w:rFonts w:ascii="Times New Roman" w:hAnsi="Times New Roman" w:cs="Times New Roman"/>
          <w:b/>
          <w:bCs/>
          <w:sz w:val="20"/>
          <w:szCs w:val="20"/>
        </w:rPr>
        <w:t xml:space="preserve">: </w:t>
      </w:r>
      <w:r w:rsidRPr="007E4D9A">
        <w:rPr>
          <w:rFonts w:ascii="Times New Roman" w:hAnsi="Times New Roman" w:cs="Times New Roman"/>
          <w:sz w:val="20"/>
          <w:szCs w:val="20"/>
        </w:rPr>
        <w:t>This study is an attempt to investigate the abnormal return and effective indexes on capital increasing in Tehran Stock Exchange. The sample size of the present study includes 296 firms in the period of 1998to 2008. The findings of this study show that abnormal return is affected by effective factors on capital increasing in accepted firms in Tehran Stock Exchange</w:t>
      </w:r>
      <w:r w:rsidR="002A3323" w:rsidRPr="007E4D9A">
        <w:rPr>
          <w:rFonts w:ascii="Times New Roman" w:hAnsi="Times New Roman" w:cs="Times New Roman"/>
          <w:sz w:val="20"/>
          <w:szCs w:val="20"/>
        </w:rPr>
        <w:t xml:space="preserve"> and basically </w:t>
      </w:r>
      <w:r w:rsidRPr="007E4D9A">
        <w:rPr>
          <w:rFonts w:ascii="Times New Roman" w:hAnsi="Times New Roman" w:cs="Times New Roman"/>
          <w:sz w:val="20"/>
          <w:szCs w:val="20"/>
        </w:rPr>
        <w:t>affected by variables like capital increasing resulted from</w:t>
      </w:r>
      <w:r w:rsidR="002A3323" w:rsidRPr="007E4D9A">
        <w:rPr>
          <w:rFonts w:ascii="Times New Roman" w:hAnsi="Times New Roman" w:cs="Times New Roman"/>
          <w:sz w:val="20"/>
          <w:szCs w:val="20"/>
        </w:rPr>
        <w:t xml:space="preserve"> stock liquidity, cash and claims</w:t>
      </w:r>
      <w:r w:rsidR="007E4D9A">
        <w:rPr>
          <w:rFonts w:ascii="Times New Roman" w:hAnsi="Times New Roman" w:cs="Times New Roman"/>
          <w:sz w:val="20"/>
          <w:szCs w:val="20"/>
        </w:rPr>
        <w:t>,</w:t>
      </w:r>
      <w:r w:rsidR="002A3323" w:rsidRPr="007E4D9A">
        <w:rPr>
          <w:rFonts w:ascii="Times New Roman" w:hAnsi="Times New Roman" w:cs="Times New Roman"/>
          <w:sz w:val="20"/>
          <w:szCs w:val="20"/>
        </w:rPr>
        <w:t xml:space="preserve"> rate of ownership centralization, firm size, debt ratio and firm size. Also, announcement of capital increasing from cash and claims</w:t>
      </w:r>
      <w:r w:rsidR="00274846" w:rsidRPr="007E4D9A">
        <w:rPr>
          <w:rFonts w:ascii="Times New Roman" w:hAnsi="Times New Roman" w:cs="Times New Roman"/>
          <w:sz w:val="20"/>
          <w:szCs w:val="20"/>
        </w:rPr>
        <w:t xml:space="preserve"> at the end of announcement week had positive cumulative return for stockholders which was 2.72.</w:t>
      </w:r>
      <w:r w:rsidR="007E4D9A" w:rsidRPr="007E4D9A">
        <w:rPr>
          <w:rFonts w:ascii="Times New Roman" w:hAnsi="Times New Roman" w:cs="Times New Roman"/>
          <w:sz w:val="20"/>
          <w:szCs w:val="20"/>
        </w:rPr>
        <w:t xml:space="preserve"> </w:t>
      </w:r>
      <w:r w:rsidR="00274846" w:rsidRPr="007E4D9A">
        <w:rPr>
          <w:rFonts w:ascii="Times New Roman" w:hAnsi="Times New Roman" w:cs="Times New Roman"/>
          <w:sz w:val="20"/>
          <w:szCs w:val="20"/>
        </w:rPr>
        <w:t xml:space="preserve">The results of this study revealed that in Iran market the stockholders in reaction to this announcement pay more attention to capital increasing </w:t>
      </w:r>
      <w:r w:rsidR="0073260B" w:rsidRPr="007E4D9A">
        <w:rPr>
          <w:rFonts w:ascii="Times New Roman" w:hAnsi="Times New Roman" w:cs="Times New Roman"/>
          <w:sz w:val="20"/>
          <w:szCs w:val="20"/>
        </w:rPr>
        <w:t>than other mentioned factors.</w:t>
      </w:r>
    </w:p>
    <w:p w:rsidR="008A271C" w:rsidRPr="007E4D9A" w:rsidRDefault="004C4586" w:rsidP="004C4586">
      <w:pPr>
        <w:spacing w:after="0" w:line="240" w:lineRule="auto"/>
        <w:rPr>
          <w:rFonts w:ascii="Times New Roman" w:hAnsi="Times New Roman" w:cs="Times New Roman"/>
          <w:sz w:val="20"/>
          <w:szCs w:val="20"/>
        </w:rPr>
      </w:pPr>
      <w:r w:rsidRPr="007E4D9A">
        <w:rPr>
          <w:rFonts w:ascii="Times New Roman" w:hAnsi="Times New Roman" w:cs="Times New Roman"/>
          <w:sz w:val="20"/>
          <w:szCs w:val="20"/>
        </w:rPr>
        <w:t>[</w:t>
      </w:r>
      <w:proofErr w:type="spellStart"/>
      <w:r w:rsidR="007E4D9A" w:rsidRPr="007E4D9A">
        <w:rPr>
          <w:rFonts w:ascii="Times New Roman" w:hAnsi="Times New Roman" w:cs="Times New Roman"/>
          <w:sz w:val="20"/>
          <w:szCs w:val="20"/>
        </w:rPr>
        <w:t>Alireza</w:t>
      </w:r>
      <w:proofErr w:type="spellEnd"/>
      <w:r w:rsidR="007E4D9A" w:rsidRPr="007E4D9A">
        <w:rPr>
          <w:rFonts w:ascii="Times New Roman" w:hAnsi="Times New Roman" w:cs="Times New Roman"/>
          <w:sz w:val="20"/>
          <w:szCs w:val="20"/>
        </w:rPr>
        <w:t xml:space="preserve"> </w:t>
      </w:r>
      <w:proofErr w:type="spellStart"/>
      <w:r w:rsidR="007E4D9A" w:rsidRPr="007E4D9A">
        <w:rPr>
          <w:rFonts w:ascii="Times New Roman" w:hAnsi="Times New Roman" w:cs="Times New Roman"/>
          <w:sz w:val="20"/>
          <w:szCs w:val="20"/>
        </w:rPr>
        <w:t>Zamanpour</w:t>
      </w:r>
      <w:proofErr w:type="spellEnd"/>
      <w:r w:rsidR="007E4D9A" w:rsidRPr="007E4D9A">
        <w:rPr>
          <w:rFonts w:ascii="Times New Roman" w:hAnsi="Times New Roman" w:cs="Times New Roman"/>
          <w:sz w:val="20"/>
          <w:szCs w:val="20"/>
        </w:rPr>
        <w:t>,</w:t>
      </w:r>
      <w:r w:rsidR="007E4D9A" w:rsidRPr="007E4D9A">
        <w:rPr>
          <w:rFonts w:ascii="Times New Roman" w:hAnsi="Times New Roman" w:cs="Times New Roman"/>
          <w:sz w:val="20"/>
          <w:szCs w:val="20"/>
          <w:lang w:bidi="fa-IR"/>
        </w:rPr>
        <w:t xml:space="preserve"> </w:t>
      </w:r>
      <w:proofErr w:type="spellStart"/>
      <w:r w:rsidR="007E4D9A" w:rsidRPr="007E4D9A">
        <w:rPr>
          <w:rFonts w:ascii="Times New Roman" w:hAnsi="Times New Roman" w:cs="Times New Roman"/>
          <w:sz w:val="20"/>
          <w:szCs w:val="20"/>
          <w:lang w:bidi="fa-IR"/>
        </w:rPr>
        <w:t>Fazel</w:t>
      </w:r>
      <w:proofErr w:type="spellEnd"/>
      <w:r w:rsidR="007E4D9A" w:rsidRPr="007E4D9A">
        <w:rPr>
          <w:rFonts w:ascii="Times New Roman" w:hAnsi="Times New Roman" w:cs="Times New Roman"/>
          <w:sz w:val="20"/>
          <w:szCs w:val="20"/>
          <w:lang w:bidi="fa-IR"/>
        </w:rPr>
        <w:t xml:space="preserve"> </w:t>
      </w:r>
      <w:proofErr w:type="spellStart"/>
      <w:r w:rsidR="007E4D9A" w:rsidRPr="007E4D9A">
        <w:rPr>
          <w:rFonts w:ascii="Times New Roman" w:hAnsi="Times New Roman" w:cs="Times New Roman"/>
          <w:sz w:val="20"/>
          <w:szCs w:val="20"/>
          <w:lang w:bidi="fa-IR"/>
        </w:rPr>
        <w:t>Tamoradi</w:t>
      </w:r>
      <w:proofErr w:type="spellEnd"/>
      <w:r w:rsidRPr="007E4D9A">
        <w:rPr>
          <w:rFonts w:ascii="Times New Roman" w:hAnsi="Times New Roman" w:cs="Times New Roman"/>
          <w:sz w:val="20"/>
          <w:szCs w:val="20"/>
          <w:lang w:bidi="fa-IR"/>
        </w:rPr>
        <w:t>,</w:t>
      </w:r>
      <w:r w:rsidRPr="007E4D9A">
        <w:rPr>
          <w:rFonts w:ascii="Times New Roman" w:hAnsi="Times New Roman" w:cs="Times New Roman"/>
          <w:sz w:val="20"/>
          <w:szCs w:val="20"/>
        </w:rPr>
        <w:t xml:space="preserve"> Zahra </w:t>
      </w:r>
      <w:proofErr w:type="spellStart"/>
      <w:r w:rsidRPr="007E4D9A">
        <w:rPr>
          <w:rFonts w:ascii="Times New Roman" w:hAnsi="Times New Roman" w:cs="Times New Roman"/>
          <w:sz w:val="20"/>
          <w:szCs w:val="20"/>
        </w:rPr>
        <w:t>rahmati</w:t>
      </w:r>
      <w:proofErr w:type="spellEnd"/>
      <w:r w:rsidR="007E4D9A" w:rsidRPr="007E4D9A">
        <w:rPr>
          <w:rFonts w:ascii="Times New Roman" w:hAnsi="Times New Roman" w:cs="Times New Roman"/>
          <w:sz w:val="20"/>
          <w:szCs w:val="20"/>
        </w:rPr>
        <w:t>.</w:t>
      </w:r>
      <w:r w:rsidR="008A271C" w:rsidRPr="007E4D9A">
        <w:rPr>
          <w:rFonts w:ascii="Times New Roman" w:hAnsi="Times New Roman" w:cs="Times New Roman"/>
          <w:sz w:val="20"/>
          <w:szCs w:val="20"/>
        </w:rPr>
        <w:t xml:space="preserve"> </w:t>
      </w:r>
      <w:r w:rsidR="008A271C" w:rsidRPr="007E4D9A">
        <w:rPr>
          <w:rFonts w:ascii="Times New Roman" w:hAnsi="Times New Roman" w:cs="Times New Roman"/>
          <w:b/>
          <w:bCs/>
          <w:sz w:val="20"/>
          <w:szCs w:val="20"/>
        </w:rPr>
        <w:t>Investigating the effective indexes on investment and stocks abnormal return increasing of accepted firms in Tehran Stock Exchange</w:t>
      </w:r>
      <w:r w:rsidR="007E4D9A" w:rsidRPr="007E4D9A">
        <w:rPr>
          <w:rFonts w:ascii="Times New Roman" w:hAnsi="Times New Roman" w:cs="Times New Roman"/>
          <w:b/>
          <w:bCs/>
          <w:sz w:val="20"/>
          <w:szCs w:val="20"/>
        </w:rPr>
        <w:t>.</w:t>
      </w:r>
      <w:r w:rsidR="00E52DDC" w:rsidRPr="007E4D9A">
        <w:rPr>
          <w:rFonts w:ascii="Times New Roman" w:eastAsia="Times New Roman" w:hAnsi="Times New Roman" w:cs="Times New Roman"/>
          <w:bCs/>
          <w:i/>
          <w:sz w:val="20"/>
          <w:szCs w:val="20"/>
        </w:rPr>
        <w:t xml:space="preserve"> N Y </w:t>
      </w:r>
      <w:proofErr w:type="spellStart"/>
      <w:r w:rsidR="00E52DDC" w:rsidRPr="007E4D9A">
        <w:rPr>
          <w:rFonts w:ascii="Times New Roman" w:eastAsia="Times New Roman" w:hAnsi="Times New Roman" w:cs="Times New Roman"/>
          <w:bCs/>
          <w:i/>
          <w:sz w:val="20"/>
          <w:szCs w:val="20"/>
        </w:rPr>
        <w:t>Sci</w:t>
      </w:r>
      <w:proofErr w:type="spellEnd"/>
      <w:r w:rsidR="00E52DDC" w:rsidRPr="007E4D9A">
        <w:rPr>
          <w:rFonts w:ascii="Times New Roman" w:eastAsia="Times New Roman" w:hAnsi="Times New Roman" w:cs="Times New Roman"/>
          <w:bCs/>
          <w:i/>
          <w:sz w:val="20"/>
          <w:szCs w:val="20"/>
        </w:rPr>
        <w:t xml:space="preserve"> J</w:t>
      </w:r>
      <w:r w:rsidR="00E52DDC" w:rsidRPr="007E4D9A">
        <w:rPr>
          <w:rFonts w:ascii="Times New Roman" w:eastAsia="Times New Roman" w:hAnsi="Times New Roman" w:cs="Times New Roman"/>
          <w:bCs/>
          <w:sz w:val="20"/>
          <w:szCs w:val="20"/>
        </w:rPr>
        <w:t xml:space="preserve"> </w:t>
      </w:r>
      <w:r w:rsidRPr="007E4D9A">
        <w:rPr>
          <w:rFonts w:ascii="Times New Roman" w:hAnsi="Times New Roman" w:cs="Times New Roman"/>
          <w:sz w:val="20"/>
          <w:szCs w:val="20"/>
        </w:rPr>
        <w:t>2013;6(9</w:t>
      </w:r>
      <w:r w:rsidR="00E52DDC" w:rsidRPr="007E4D9A">
        <w:rPr>
          <w:rFonts w:ascii="Times New Roman" w:hAnsi="Times New Roman" w:cs="Times New Roman"/>
          <w:sz w:val="20"/>
          <w:szCs w:val="20"/>
        </w:rPr>
        <w:t>):</w:t>
      </w:r>
      <w:r w:rsidR="00CE1187" w:rsidRPr="007E4D9A">
        <w:rPr>
          <w:rFonts w:ascii="Times New Roman" w:hAnsi="Times New Roman" w:cs="Times New Roman"/>
          <w:sz w:val="20"/>
          <w:szCs w:val="20"/>
        </w:rPr>
        <w:t>112-117</w:t>
      </w:r>
      <w:r w:rsidR="00E52DDC" w:rsidRPr="007E4D9A">
        <w:rPr>
          <w:rFonts w:ascii="Times New Roman" w:hAnsi="Times New Roman" w:cs="Times New Roman"/>
          <w:sz w:val="20"/>
          <w:szCs w:val="20"/>
        </w:rPr>
        <w:t xml:space="preserve">]. (ISSN: 1554-0200). </w:t>
      </w:r>
      <w:hyperlink r:id="rId7" w:history="1">
        <w:r w:rsidR="00E52DDC" w:rsidRPr="007E4D9A">
          <w:rPr>
            <w:rFonts w:ascii="Times New Roman" w:hAnsi="Times New Roman" w:cs="Times New Roman"/>
            <w:color w:val="0000FF"/>
            <w:sz w:val="20"/>
            <w:szCs w:val="20"/>
            <w:u w:val="single"/>
          </w:rPr>
          <w:t>http://www.sciencepub.net/newyork</w:t>
        </w:r>
      </w:hyperlink>
      <w:r w:rsidR="007E4D9A" w:rsidRPr="007E4D9A">
        <w:rPr>
          <w:sz w:val="20"/>
          <w:szCs w:val="20"/>
        </w:rPr>
        <w:t>.</w:t>
      </w:r>
      <w:r w:rsidRPr="007E4D9A">
        <w:rPr>
          <w:rFonts w:ascii="Times New Roman" w:hAnsi="Times New Roman" w:cs="Times New Roman"/>
          <w:sz w:val="20"/>
          <w:szCs w:val="20"/>
        </w:rPr>
        <w:t xml:space="preserve"> 19</w:t>
      </w:r>
    </w:p>
    <w:p w:rsidR="00274846" w:rsidRPr="007E4D9A" w:rsidRDefault="00274846" w:rsidP="004C4586">
      <w:pPr>
        <w:spacing w:after="0" w:line="240" w:lineRule="auto"/>
        <w:contextualSpacing/>
        <w:rPr>
          <w:rFonts w:ascii="Times New Roman" w:hAnsi="Times New Roman" w:cs="Times New Roman"/>
          <w:sz w:val="20"/>
          <w:szCs w:val="20"/>
        </w:rPr>
      </w:pPr>
    </w:p>
    <w:p w:rsidR="0073260B" w:rsidRPr="007E4D9A" w:rsidRDefault="0073260B" w:rsidP="004C4586">
      <w:pPr>
        <w:spacing w:after="0" w:line="240" w:lineRule="auto"/>
        <w:jc w:val="both"/>
        <w:rPr>
          <w:rFonts w:ascii="Times New Roman" w:hAnsi="Times New Roman" w:cs="Times New Roman"/>
          <w:sz w:val="20"/>
          <w:szCs w:val="20"/>
        </w:rPr>
      </w:pPr>
      <w:r w:rsidRPr="007E4D9A">
        <w:rPr>
          <w:rFonts w:ascii="Times New Roman" w:hAnsi="Times New Roman" w:cs="Times New Roman"/>
          <w:b/>
          <w:bCs/>
          <w:sz w:val="20"/>
          <w:szCs w:val="20"/>
        </w:rPr>
        <w:t>Key Words</w:t>
      </w:r>
      <w:r w:rsidRPr="007E4D9A">
        <w:rPr>
          <w:rFonts w:ascii="Times New Roman" w:hAnsi="Times New Roman" w:cs="Times New Roman"/>
          <w:sz w:val="20"/>
          <w:szCs w:val="20"/>
        </w:rPr>
        <w:t>: abnormal return, percentage of equity financing, the firm’s stock liquidity, rate of ownership centralization, size of firm, firm debt ratio, kind of industry</w:t>
      </w:r>
    </w:p>
    <w:p w:rsidR="00E52DDC" w:rsidRPr="007E4D9A" w:rsidRDefault="00E52DDC" w:rsidP="004C4586">
      <w:pPr>
        <w:spacing w:after="0" w:line="240" w:lineRule="auto"/>
        <w:jc w:val="both"/>
        <w:rPr>
          <w:rFonts w:ascii="Times New Roman" w:hAnsi="Times New Roman" w:cs="Times New Roman"/>
          <w:b/>
          <w:bCs/>
          <w:sz w:val="20"/>
          <w:szCs w:val="20"/>
        </w:rPr>
      </w:pPr>
    </w:p>
    <w:p w:rsidR="007E4D9A" w:rsidRPr="007E4D9A" w:rsidRDefault="007E4D9A" w:rsidP="004C4586">
      <w:pPr>
        <w:spacing w:after="0" w:line="240" w:lineRule="auto"/>
        <w:jc w:val="both"/>
        <w:rPr>
          <w:rFonts w:ascii="Times New Roman" w:hAnsi="Times New Roman" w:cs="Times New Roman"/>
          <w:b/>
          <w:bCs/>
          <w:sz w:val="20"/>
          <w:szCs w:val="20"/>
        </w:rPr>
        <w:sectPr w:rsidR="007E4D9A" w:rsidRPr="007E4D9A" w:rsidSect="007E4D9A">
          <w:headerReference w:type="default" r:id="rId8"/>
          <w:footerReference w:type="default" r:id="rId9"/>
          <w:type w:val="continuous"/>
          <w:pgSz w:w="12240" w:h="15840" w:code="1"/>
          <w:pgMar w:top="1440" w:right="1440" w:bottom="1440" w:left="1440" w:header="720" w:footer="720" w:gutter="0"/>
          <w:pgNumType w:start="112"/>
          <w:cols w:space="720"/>
          <w:docGrid w:linePitch="360"/>
        </w:sectPr>
      </w:pPr>
    </w:p>
    <w:p w:rsidR="0073260B" w:rsidRPr="007E4D9A" w:rsidRDefault="0073260B" w:rsidP="004C4586">
      <w:pPr>
        <w:spacing w:after="0" w:line="240" w:lineRule="auto"/>
        <w:jc w:val="both"/>
        <w:rPr>
          <w:rFonts w:ascii="Times New Roman" w:hAnsi="Times New Roman" w:cs="Times New Roman"/>
          <w:b/>
          <w:bCs/>
          <w:sz w:val="20"/>
          <w:szCs w:val="20"/>
        </w:rPr>
      </w:pPr>
      <w:r w:rsidRPr="007E4D9A">
        <w:rPr>
          <w:rFonts w:ascii="Times New Roman" w:hAnsi="Times New Roman" w:cs="Times New Roman"/>
          <w:b/>
          <w:bCs/>
          <w:sz w:val="20"/>
          <w:szCs w:val="20"/>
        </w:rPr>
        <w:lastRenderedPageBreak/>
        <w:t>Introduction</w:t>
      </w:r>
    </w:p>
    <w:p w:rsidR="0073260B" w:rsidRPr="007E4D9A" w:rsidRDefault="0073260B" w:rsidP="004C4586">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Establishing the priority as a way of financing in accepted firms in Tehran Stock Exchange is more common in comparison to stock dividend. The</w:t>
      </w:r>
      <w:r w:rsidR="003457F7" w:rsidRPr="007E4D9A">
        <w:rPr>
          <w:rFonts w:ascii="Times New Roman" w:hAnsi="Times New Roman" w:cs="Times New Roman"/>
          <w:sz w:val="20"/>
          <w:szCs w:val="20"/>
        </w:rPr>
        <w:t xml:space="preserve"> conducted studies showed that the decision making on financing and establishing the common stocks predict better future of firms. The investors expect the dividend increases after capital increasing. In this study, deciding to establish the stocks sends some signals to market and if these signals have significant content, they have positive effect on stock volume. Consequently, the stockholders will face with positive return in announced date and capital increasing as well. The studies also showed that if the announcement of capital increasing does not contain significant message</w:t>
      </w:r>
      <w:r w:rsidR="006E7D0E" w:rsidRPr="007E4D9A">
        <w:rPr>
          <w:rFonts w:ascii="Times New Roman" w:hAnsi="Times New Roman" w:cs="Times New Roman"/>
          <w:sz w:val="20"/>
          <w:szCs w:val="20"/>
        </w:rPr>
        <w:t xml:space="preserve"> of high profit of firms, this type of financial decision making lacks abnormal return.</w:t>
      </w:r>
    </w:p>
    <w:p w:rsidR="006E7D0E" w:rsidRPr="007E4D9A" w:rsidRDefault="006E7D0E" w:rsidP="004C4586">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There are different types of financing methods such as bonds establishing, stock dividend, banking loan and capital increasing through priority. One of the most common methods of financing in Iran, i.e. establishing stocks through priority was focused in this study.</w:t>
      </w:r>
    </w:p>
    <w:p w:rsidR="00F55FDB" w:rsidRPr="007E4D9A" w:rsidRDefault="00F55FDB" w:rsidP="004C4586">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What is important for stockholders is “what effect does management decision making to increase capital have on stockholders wealth? and what is the value of priority certificate for them?”</w:t>
      </w:r>
    </w:p>
    <w:p w:rsidR="00F55FDB" w:rsidRPr="007E4D9A" w:rsidRDefault="00F55FDB" w:rsidP="004C4586">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In the condition of asymmetric information, the exposure and announcement of priority establishment can affect the return ratio of stockholders in stock exchanges. </w:t>
      </w:r>
    </w:p>
    <w:p w:rsidR="00F55FDB" w:rsidRPr="007E4D9A" w:rsidRDefault="00F55FDB" w:rsidP="004C4586">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lastRenderedPageBreak/>
        <w:t xml:space="preserve">As </w:t>
      </w:r>
      <w:r w:rsidR="009751A4" w:rsidRPr="007E4D9A">
        <w:rPr>
          <w:rFonts w:ascii="Times New Roman" w:hAnsi="Times New Roman" w:cs="Times New Roman"/>
          <w:sz w:val="20"/>
          <w:szCs w:val="20"/>
        </w:rPr>
        <w:t xml:space="preserve">the result of priority passing, along with stock exchange of common stocks, there will be a market for priority certificate. The value of priority certificate depends on common stock price. </w:t>
      </w:r>
      <w:proofErr w:type="spellStart"/>
      <w:r w:rsidR="009751A4" w:rsidRPr="007E4D9A">
        <w:rPr>
          <w:rFonts w:ascii="Times New Roman" w:hAnsi="Times New Roman" w:cs="Times New Roman"/>
          <w:sz w:val="20"/>
          <w:szCs w:val="20"/>
        </w:rPr>
        <w:t>Boyant</w:t>
      </w:r>
      <w:proofErr w:type="spellEnd"/>
      <w:r w:rsidR="009751A4" w:rsidRPr="007E4D9A">
        <w:rPr>
          <w:rFonts w:ascii="Times New Roman" w:hAnsi="Times New Roman" w:cs="Times New Roman"/>
          <w:sz w:val="20"/>
          <w:szCs w:val="20"/>
        </w:rPr>
        <w:t xml:space="preserve"> (1983) </w:t>
      </w:r>
      <w:r w:rsidR="00465CF8" w:rsidRPr="007E4D9A">
        <w:rPr>
          <w:rFonts w:ascii="Times New Roman" w:hAnsi="Times New Roman" w:cs="Times New Roman"/>
          <w:sz w:val="20"/>
          <w:szCs w:val="20"/>
        </w:rPr>
        <w:t xml:space="preserve">suggested </w:t>
      </w:r>
      <w:r w:rsidR="00453FBD" w:rsidRPr="007E4D9A">
        <w:rPr>
          <w:rFonts w:ascii="Times New Roman" w:hAnsi="Times New Roman" w:cs="Times New Roman"/>
          <w:sz w:val="20"/>
          <w:szCs w:val="20"/>
        </w:rPr>
        <w:t>that the effect of deciding to establish stocks on price should be separated from the effects of priority establishing and guaranteed public stock providing.</w:t>
      </w:r>
      <w:r w:rsidR="009B2958" w:rsidRPr="007E4D9A">
        <w:rPr>
          <w:rFonts w:ascii="Times New Roman" w:hAnsi="Times New Roman" w:cs="Times New Roman"/>
          <w:sz w:val="20"/>
          <w:szCs w:val="20"/>
        </w:rPr>
        <w:t xml:space="preserve"> Selecting every method of providing and selling the stocks have expenses for firms. If it is supposed that other factors do not change, it is expected that the market reac</w:t>
      </w:r>
      <w:r w:rsidR="003D773A" w:rsidRPr="007E4D9A">
        <w:rPr>
          <w:rFonts w:ascii="Times New Roman" w:hAnsi="Times New Roman" w:cs="Times New Roman"/>
          <w:sz w:val="20"/>
          <w:szCs w:val="20"/>
        </w:rPr>
        <w:t>t</w:t>
      </w:r>
      <w:r w:rsidR="009B2958" w:rsidRPr="007E4D9A">
        <w:rPr>
          <w:rFonts w:ascii="Times New Roman" w:hAnsi="Times New Roman" w:cs="Times New Roman"/>
          <w:sz w:val="20"/>
          <w:szCs w:val="20"/>
        </w:rPr>
        <w:t xml:space="preserve"> positively to that method which has less </w:t>
      </w:r>
      <w:r w:rsidR="003D773A" w:rsidRPr="007E4D9A">
        <w:rPr>
          <w:rFonts w:ascii="Times New Roman" w:hAnsi="Times New Roman" w:cs="Times New Roman"/>
          <w:sz w:val="20"/>
          <w:szCs w:val="20"/>
        </w:rPr>
        <w:t>expense</w:t>
      </w:r>
      <w:r w:rsidR="009B2958" w:rsidRPr="007E4D9A">
        <w:rPr>
          <w:rFonts w:ascii="Times New Roman" w:hAnsi="Times New Roman" w:cs="Times New Roman"/>
          <w:sz w:val="20"/>
          <w:szCs w:val="20"/>
        </w:rPr>
        <w:t>.</w:t>
      </w:r>
      <w:r w:rsidR="003D773A" w:rsidRPr="007E4D9A">
        <w:rPr>
          <w:rFonts w:ascii="Times New Roman" w:hAnsi="Times New Roman" w:cs="Times New Roman"/>
          <w:sz w:val="20"/>
          <w:szCs w:val="20"/>
        </w:rPr>
        <w:t xml:space="preserve"> Since the announcement of stock establishing and selling method selection are simultaneous, the stock price change is the result of combination of five following effects:</w:t>
      </w:r>
    </w:p>
    <w:p w:rsidR="003D773A" w:rsidRPr="007E4D9A" w:rsidRDefault="003D773A" w:rsidP="00253B58">
      <w:pPr>
        <w:pStyle w:val="ListParagraph"/>
        <w:numPr>
          <w:ilvl w:val="0"/>
          <w:numId w:val="1"/>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Investment project effect: if it is expected that the capital increasing be invested on new projects with theoretical and positive value, then the stock price will increase at the time of establishing.</w:t>
      </w:r>
    </w:p>
    <w:p w:rsidR="003D773A" w:rsidRPr="007E4D9A" w:rsidRDefault="003D773A" w:rsidP="00253B58">
      <w:pPr>
        <w:pStyle w:val="ListParagraph"/>
        <w:numPr>
          <w:ilvl w:val="0"/>
          <w:numId w:val="1"/>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Symbol effects: Managers my disclose the private and secrete information through financial decision making and capital structure changing.</w:t>
      </w:r>
    </w:p>
    <w:p w:rsidR="003D773A" w:rsidRPr="007E4D9A" w:rsidRDefault="003D773A" w:rsidP="00253B58">
      <w:pPr>
        <w:pStyle w:val="ListParagraph"/>
        <w:numPr>
          <w:ilvl w:val="0"/>
          <w:numId w:val="1"/>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 xml:space="preserve">The effects resulted from changes in capital structure: the effects of stock price can be resulted from </w:t>
      </w:r>
      <w:r w:rsidR="006621A6" w:rsidRPr="007E4D9A">
        <w:rPr>
          <w:rFonts w:ascii="Times New Roman" w:hAnsi="Times New Roman" w:cs="Times New Roman"/>
          <w:sz w:val="20"/>
          <w:szCs w:val="20"/>
        </w:rPr>
        <w:t>revenue and wealth added tax, expected expenses, broke up, and dividing the wealth among stockholders and those have bonds.</w:t>
      </w:r>
    </w:p>
    <w:p w:rsidR="006621A6" w:rsidRPr="007E4D9A" w:rsidRDefault="006621A6" w:rsidP="00253B58">
      <w:pPr>
        <w:pStyle w:val="ListParagraph"/>
        <w:numPr>
          <w:ilvl w:val="0"/>
          <w:numId w:val="1"/>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 xml:space="preserve">Management motivation effects: the representative expense model predicts that the capital structure of firms affects the management </w:t>
      </w:r>
      <w:r w:rsidRPr="007E4D9A">
        <w:rPr>
          <w:rFonts w:ascii="Times New Roman" w:hAnsi="Times New Roman" w:cs="Times New Roman"/>
          <w:sz w:val="20"/>
          <w:szCs w:val="20"/>
        </w:rPr>
        <w:lastRenderedPageBreak/>
        <w:t>motivation to decide about stockholders’ properties.</w:t>
      </w:r>
    </w:p>
    <w:p w:rsidR="00FE2022" w:rsidRPr="007E4D9A" w:rsidRDefault="006621A6" w:rsidP="00253B58">
      <w:pPr>
        <w:pStyle w:val="ListParagraph"/>
        <w:numPr>
          <w:ilvl w:val="0"/>
          <w:numId w:val="1"/>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 xml:space="preserve"> The effects caused by financing expenses of securities: it should be taken into account that the first four effects are the same for two methods of priority establishing and the guarante</w:t>
      </w:r>
      <w:r w:rsidR="00FE2022" w:rsidRPr="007E4D9A">
        <w:rPr>
          <w:rFonts w:ascii="Times New Roman" w:hAnsi="Times New Roman" w:cs="Times New Roman"/>
          <w:sz w:val="20"/>
          <w:szCs w:val="20"/>
        </w:rPr>
        <w:t xml:space="preserve">ed public providing method and </w:t>
      </w:r>
      <w:r w:rsidRPr="007E4D9A">
        <w:rPr>
          <w:rFonts w:ascii="Times New Roman" w:hAnsi="Times New Roman" w:cs="Times New Roman"/>
          <w:sz w:val="20"/>
          <w:szCs w:val="20"/>
        </w:rPr>
        <w:t xml:space="preserve">there is no systematic </w:t>
      </w:r>
      <w:r w:rsidR="00FE2022" w:rsidRPr="007E4D9A">
        <w:rPr>
          <w:rFonts w:ascii="Times New Roman" w:hAnsi="Times New Roman" w:cs="Times New Roman"/>
          <w:sz w:val="20"/>
          <w:szCs w:val="20"/>
        </w:rPr>
        <w:t>difference between two forms based on the method type. The only difference between these two methods of stock selling is related to the financing and establishing expense.</w:t>
      </w:r>
      <w:r w:rsidR="007E4D9A" w:rsidRPr="007E4D9A">
        <w:rPr>
          <w:rFonts w:ascii="Times New Roman" w:hAnsi="Times New Roman" w:cs="Times New Roman"/>
          <w:sz w:val="20"/>
          <w:szCs w:val="20"/>
        </w:rPr>
        <w:t xml:space="preserve"> </w:t>
      </w:r>
    </w:p>
    <w:p w:rsidR="007E4D9A" w:rsidRDefault="007E4D9A" w:rsidP="007E4D9A">
      <w:pPr>
        <w:spacing w:after="0" w:line="240" w:lineRule="auto"/>
        <w:jc w:val="both"/>
        <w:rPr>
          <w:rFonts w:ascii="Times New Roman" w:hAnsi="Times New Roman" w:cs="Times New Roman"/>
          <w:b/>
          <w:bCs/>
          <w:sz w:val="20"/>
          <w:szCs w:val="20"/>
        </w:rPr>
      </w:pPr>
    </w:p>
    <w:p w:rsidR="00FE2022" w:rsidRPr="007E4D9A" w:rsidRDefault="00FE2022" w:rsidP="007E4D9A">
      <w:pPr>
        <w:spacing w:after="0" w:line="240" w:lineRule="auto"/>
        <w:jc w:val="both"/>
        <w:rPr>
          <w:rFonts w:ascii="Times New Roman" w:hAnsi="Times New Roman" w:cs="Times New Roman"/>
          <w:sz w:val="20"/>
          <w:szCs w:val="20"/>
        </w:rPr>
      </w:pPr>
      <w:r w:rsidRPr="007E4D9A">
        <w:rPr>
          <w:rFonts w:ascii="Times New Roman" w:hAnsi="Times New Roman" w:cs="Times New Roman"/>
          <w:b/>
          <w:bCs/>
          <w:sz w:val="20"/>
          <w:szCs w:val="20"/>
        </w:rPr>
        <w:t>Research</w:t>
      </w:r>
      <w:r w:rsidRPr="007E4D9A">
        <w:rPr>
          <w:rFonts w:ascii="Times New Roman" w:hAnsi="Times New Roman" w:cs="Times New Roman"/>
          <w:sz w:val="20"/>
          <w:szCs w:val="20"/>
        </w:rPr>
        <w:t xml:space="preserve"> </w:t>
      </w:r>
      <w:r w:rsidRPr="007E4D9A">
        <w:rPr>
          <w:rFonts w:ascii="Times New Roman" w:hAnsi="Times New Roman" w:cs="Times New Roman"/>
          <w:b/>
          <w:bCs/>
          <w:sz w:val="20"/>
          <w:szCs w:val="20"/>
        </w:rPr>
        <w:t>Background</w:t>
      </w:r>
      <w:r w:rsidRPr="007E4D9A">
        <w:rPr>
          <w:rFonts w:ascii="Times New Roman" w:hAnsi="Times New Roman" w:cs="Times New Roman"/>
          <w:sz w:val="20"/>
          <w:szCs w:val="20"/>
        </w:rPr>
        <w:t xml:space="preserve"> </w:t>
      </w:r>
    </w:p>
    <w:p w:rsidR="006621A6" w:rsidRPr="007E4D9A" w:rsidRDefault="004D46E8" w:rsidP="004C4586">
      <w:pPr>
        <w:spacing w:after="0" w:line="240" w:lineRule="auto"/>
        <w:ind w:left="1" w:firstLineChars="212" w:firstLine="424"/>
        <w:jc w:val="both"/>
        <w:rPr>
          <w:rFonts w:ascii="Times New Roman" w:hAnsi="Times New Roman" w:cs="Times New Roman"/>
          <w:sz w:val="20"/>
          <w:szCs w:val="20"/>
        </w:rPr>
      </w:pPr>
      <w:r w:rsidRPr="007E4D9A">
        <w:rPr>
          <w:rFonts w:ascii="Times New Roman" w:hAnsi="Times New Roman" w:cs="Times New Roman"/>
          <w:sz w:val="20"/>
          <w:szCs w:val="20"/>
        </w:rPr>
        <w:t>Different hypotheses were presented to justify lack of reflecting the firms borrowing in financing completely which are presented below in details:</w:t>
      </w:r>
    </w:p>
    <w:p w:rsidR="004D46E8" w:rsidRPr="007E4D9A" w:rsidRDefault="002A270B" w:rsidP="004C4586">
      <w:pPr>
        <w:spacing w:after="0" w:line="240" w:lineRule="auto"/>
        <w:ind w:left="2" w:firstLineChars="212" w:firstLine="426"/>
        <w:jc w:val="both"/>
        <w:rPr>
          <w:rFonts w:ascii="Times New Roman" w:hAnsi="Times New Roman" w:cs="Times New Roman"/>
          <w:sz w:val="20"/>
          <w:szCs w:val="20"/>
        </w:rPr>
      </w:pPr>
      <w:r w:rsidRPr="007E4D9A">
        <w:rPr>
          <w:rFonts w:ascii="Times New Roman" w:hAnsi="Times New Roman" w:cs="Times New Roman"/>
          <w:b/>
          <w:bCs/>
          <w:sz w:val="20"/>
          <w:szCs w:val="20"/>
        </w:rPr>
        <w:t xml:space="preserve">1. </w:t>
      </w:r>
      <w:r w:rsidR="00566F84" w:rsidRPr="007E4D9A">
        <w:rPr>
          <w:rFonts w:ascii="Times New Roman" w:hAnsi="Times New Roman" w:cs="Times New Roman"/>
          <w:b/>
          <w:bCs/>
          <w:sz w:val="20"/>
          <w:szCs w:val="20"/>
        </w:rPr>
        <w:t>Information asymmetry hypothesis</w:t>
      </w:r>
      <w:r w:rsidR="00566F84" w:rsidRPr="007E4D9A">
        <w:rPr>
          <w:rFonts w:ascii="Times New Roman" w:hAnsi="Times New Roman" w:cs="Times New Roman"/>
          <w:sz w:val="20"/>
          <w:szCs w:val="20"/>
        </w:rPr>
        <w:t>:</w:t>
      </w:r>
      <w:r w:rsidRPr="007E4D9A">
        <w:rPr>
          <w:rFonts w:ascii="Times New Roman" w:hAnsi="Times New Roman" w:cs="Times New Roman"/>
          <w:sz w:val="20"/>
          <w:szCs w:val="20"/>
        </w:rPr>
        <w:t xml:space="preserve"> </w:t>
      </w:r>
      <w:r w:rsidR="00566F84" w:rsidRPr="007E4D9A">
        <w:rPr>
          <w:rFonts w:ascii="Times New Roman" w:hAnsi="Times New Roman" w:cs="Times New Roman"/>
          <w:sz w:val="20"/>
          <w:szCs w:val="20"/>
        </w:rPr>
        <w:t xml:space="preserve">managers have more and better information about firms in comparison to market in the world of information </w:t>
      </w:r>
      <w:proofErr w:type="spellStart"/>
      <w:r w:rsidR="00566F84" w:rsidRPr="007E4D9A">
        <w:rPr>
          <w:rFonts w:ascii="Times New Roman" w:hAnsi="Times New Roman" w:cs="Times New Roman"/>
          <w:sz w:val="20"/>
          <w:szCs w:val="20"/>
        </w:rPr>
        <w:t>asymmetry</w:t>
      </w:r>
      <w:r w:rsidR="007E4D9A">
        <w:rPr>
          <w:rFonts w:ascii="Times New Roman" w:hAnsi="Times New Roman" w:cs="Times New Roman"/>
          <w:sz w:val="20"/>
          <w:szCs w:val="20"/>
        </w:rPr>
        <w:t>.</w:t>
      </w:r>
      <w:r w:rsidR="00566F84" w:rsidRPr="007E4D9A">
        <w:rPr>
          <w:rFonts w:ascii="Times New Roman" w:hAnsi="Times New Roman" w:cs="Times New Roman"/>
          <w:sz w:val="20"/>
          <w:szCs w:val="20"/>
        </w:rPr>
        <w:t>Managers</w:t>
      </w:r>
      <w:proofErr w:type="spellEnd"/>
      <w:r w:rsidR="00566F84" w:rsidRPr="007E4D9A">
        <w:rPr>
          <w:rFonts w:ascii="Times New Roman" w:hAnsi="Times New Roman" w:cs="Times New Roman"/>
          <w:sz w:val="20"/>
          <w:szCs w:val="20"/>
        </w:rPr>
        <w:t xml:space="preserve"> know more about the firms because they have more private and secret </w:t>
      </w:r>
      <w:proofErr w:type="spellStart"/>
      <w:r w:rsidR="00566F84" w:rsidRPr="007E4D9A">
        <w:rPr>
          <w:rFonts w:ascii="Times New Roman" w:hAnsi="Times New Roman" w:cs="Times New Roman"/>
          <w:sz w:val="20"/>
          <w:szCs w:val="20"/>
        </w:rPr>
        <w:t>information</w:t>
      </w:r>
      <w:r w:rsidR="007E4D9A">
        <w:rPr>
          <w:rFonts w:ascii="Times New Roman" w:hAnsi="Times New Roman" w:cs="Times New Roman"/>
          <w:sz w:val="20"/>
          <w:szCs w:val="20"/>
        </w:rPr>
        <w:t>,</w:t>
      </w:r>
      <w:r w:rsidR="00566F84" w:rsidRPr="007E4D9A">
        <w:rPr>
          <w:rFonts w:ascii="Times New Roman" w:hAnsi="Times New Roman" w:cs="Times New Roman"/>
          <w:sz w:val="20"/>
          <w:szCs w:val="20"/>
        </w:rPr>
        <w:t>that</w:t>
      </w:r>
      <w:proofErr w:type="spellEnd"/>
      <w:r w:rsidR="00566F84" w:rsidRPr="007E4D9A">
        <w:rPr>
          <w:rFonts w:ascii="Times New Roman" w:hAnsi="Times New Roman" w:cs="Times New Roman"/>
          <w:sz w:val="20"/>
          <w:szCs w:val="20"/>
        </w:rPr>
        <w:t xml:space="preserve"> is</w:t>
      </w:r>
      <w:r w:rsidR="007E4D9A">
        <w:rPr>
          <w:rFonts w:ascii="Times New Roman" w:hAnsi="Times New Roman" w:cs="Times New Roman"/>
          <w:sz w:val="20"/>
          <w:szCs w:val="20"/>
        </w:rPr>
        <w:t>,</w:t>
      </w:r>
      <w:r w:rsidR="00566F84" w:rsidRPr="007E4D9A">
        <w:rPr>
          <w:rFonts w:ascii="Times New Roman" w:hAnsi="Times New Roman" w:cs="Times New Roman"/>
          <w:sz w:val="20"/>
          <w:szCs w:val="20"/>
        </w:rPr>
        <w:t xml:space="preserve"> they access to particular type of more firm information before the market become aware of </w:t>
      </w:r>
      <w:proofErr w:type="spellStart"/>
      <w:r w:rsidR="00566F84" w:rsidRPr="007E4D9A">
        <w:rPr>
          <w:rFonts w:ascii="Times New Roman" w:hAnsi="Times New Roman" w:cs="Times New Roman"/>
          <w:sz w:val="20"/>
          <w:szCs w:val="20"/>
        </w:rPr>
        <w:t>it</w:t>
      </w:r>
      <w:r w:rsidR="007E4D9A">
        <w:rPr>
          <w:rFonts w:ascii="Times New Roman" w:hAnsi="Times New Roman" w:cs="Times New Roman"/>
          <w:sz w:val="20"/>
          <w:szCs w:val="20"/>
        </w:rPr>
        <w:t>.</w:t>
      </w:r>
      <w:r w:rsidR="00566F84" w:rsidRPr="007E4D9A">
        <w:rPr>
          <w:rFonts w:ascii="Times New Roman" w:hAnsi="Times New Roman" w:cs="Times New Roman"/>
          <w:sz w:val="20"/>
          <w:szCs w:val="20"/>
        </w:rPr>
        <w:t>For</w:t>
      </w:r>
      <w:proofErr w:type="spellEnd"/>
      <w:r w:rsidR="00566F84" w:rsidRPr="007E4D9A">
        <w:rPr>
          <w:rFonts w:ascii="Times New Roman" w:hAnsi="Times New Roman" w:cs="Times New Roman"/>
          <w:sz w:val="20"/>
          <w:szCs w:val="20"/>
        </w:rPr>
        <w:t xml:space="preserve"> example</w:t>
      </w:r>
      <w:r w:rsidR="007E4D9A">
        <w:rPr>
          <w:rFonts w:ascii="Times New Roman" w:hAnsi="Times New Roman" w:cs="Times New Roman"/>
          <w:sz w:val="20"/>
          <w:szCs w:val="20"/>
        </w:rPr>
        <w:t>,</w:t>
      </w:r>
      <w:r w:rsidR="00566F84" w:rsidRPr="007E4D9A">
        <w:rPr>
          <w:rFonts w:ascii="Times New Roman" w:hAnsi="Times New Roman" w:cs="Times New Roman"/>
          <w:sz w:val="20"/>
          <w:szCs w:val="20"/>
        </w:rPr>
        <w:t xml:space="preserve"> Meyers and Major (1984) suggest</w:t>
      </w:r>
      <w:r w:rsidR="007E4D9A" w:rsidRPr="007E4D9A">
        <w:rPr>
          <w:rFonts w:ascii="Times New Roman" w:hAnsi="Times New Roman" w:cs="Times New Roman"/>
          <w:sz w:val="20"/>
          <w:szCs w:val="20"/>
        </w:rPr>
        <w:t xml:space="preserve"> </w:t>
      </w:r>
      <w:r w:rsidR="00566F84" w:rsidRPr="007E4D9A">
        <w:rPr>
          <w:rFonts w:ascii="Times New Roman" w:hAnsi="Times New Roman" w:cs="Times New Roman"/>
          <w:sz w:val="20"/>
          <w:szCs w:val="20"/>
        </w:rPr>
        <w:t>that if investors have less information about the actual value of firm, they may misprice the shares of the firm</w:t>
      </w:r>
      <w:r w:rsidR="007E4D9A">
        <w:rPr>
          <w:rFonts w:ascii="Times New Roman" w:hAnsi="Times New Roman" w:cs="Times New Roman"/>
          <w:sz w:val="20"/>
          <w:szCs w:val="20"/>
        </w:rPr>
        <w:t>.</w:t>
      </w:r>
      <w:r w:rsidR="00566F84" w:rsidRPr="007E4D9A">
        <w:rPr>
          <w:rFonts w:ascii="Times New Roman" w:hAnsi="Times New Roman" w:cs="Times New Roman"/>
          <w:sz w:val="20"/>
          <w:szCs w:val="20"/>
        </w:rPr>
        <w:t xml:space="preserve"> If the firm has to financial the new projects through stocks selling, the pricing may be less that market value and new investors gain more that the net present value of the project and the previous stockholders face with </w:t>
      </w:r>
      <w:proofErr w:type="spellStart"/>
      <w:r w:rsidR="00566F84" w:rsidRPr="007E4D9A">
        <w:rPr>
          <w:rFonts w:ascii="Times New Roman" w:hAnsi="Times New Roman" w:cs="Times New Roman"/>
          <w:sz w:val="20"/>
          <w:szCs w:val="20"/>
        </w:rPr>
        <w:t>losing</w:t>
      </w:r>
      <w:r w:rsidR="007E4D9A">
        <w:rPr>
          <w:rFonts w:ascii="Times New Roman" w:hAnsi="Times New Roman" w:cs="Times New Roman"/>
          <w:sz w:val="20"/>
          <w:szCs w:val="20"/>
        </w:rPr>
        <w:t>.</w:t>
      </w:r>
      <w:r w:rsidR="00566F84" w:rsidRPr="007E4D9A">
        <w:rPr>
          <w:rFonts w:ascii="Times New Roman" w:hAnsi="Times New Roman" w:cs="Times New Roman"/>
          <w:sz w:val="20"/>
          <w:szCs w:val="20"/>
        </w:rPr>
        <w:t>The</w:t>
      </w:r>
      <w:proofErr w:type="spellEnd"/>
      <w:r w:rsidR="00566F84" w:rsidRPr="007E4D9A">
        <w:rPr>
          <w:rFonts w:ascii="Times New Roman" w:hAnsi="Times New Roman" w:cs="Times New Roman"/>
          <w:sz w:val="20"/>
          <w:szCs w:val="20"/>
        </w:rPr>
        <w:t xml:space="preserve"> rare, in such a situation the firm has to ignore the</w:t>
      </w:r>
      <w:r w:rsidR="00B654A0" w:rsidRPr="007E4D9A">
        <w:rPr>
          <w:rFonts w:ascii="Times New Roman" w:hAnsi="Times New Roman" w:cs="Times New Roman"/>
          <w:sz w:val="20"/>
          <w:szCs w:val="20"/>
        </w:rPr>
        <w:t xml:space="preserve"> new project investment with positive net present value (Harris and Rio, 1991).</w:t>
      </w:r>
    </w:p>
    <w:p w:rsidR="00B654A0" w:rsidRPr="007E4D9A" w:rsidRDefault="00B654A0" w:rsidP="004C4586">
      <w:pPr>
        <w:spacing w:after="0" w:line="240" w:lineRule="auto"/>
        <w:ind w:left="2" w:firstLineChars="212" w:firstLine="426"/>
        <w:contextualSpacing/>
        <w:jc w:val="both"/>
        <w:rPr>
          <w:rFonts w:ascii="Times New Roman" w:hAnsi="Times New Roman" w:cs="Times New Roman"/>
          <w:sz w:val="20"/>
          <w:szCs w:val="20"/>
        </w:rPr>
      </w:pPr>
      <w:r w:rsidRPr="007E4D9A">
        <w:rPr>
          <w:rFonts w:ascii="Times New Roman" w:hAnsi="Times New Roman" w:cs="Times New Roman"/>
          <w:b/>
          <w:bCs/>
          <w:sz w:val="20"/>
          <w:szCs w:val="20"/>
        </w:rPr>
        <w:t>2. Fixed or stable balance theory</w:t>
      </w:r>
      <w:r w:rsidRPr="007E4D9A">
        <w:rPr>
          <w:rFonts w:ascii="Times New Roman" w:hAnsi="Times New Roman" w:cs="Times New Roman"/>
          <w:sz w:val="20"/>
          <w:szCs w:val="20"/>
        </w:rPr>
        <w:t xml:space="preserve">: This theory says that tax debt advantage increases the value of a firm which has debt. On the other hand, bankruptcy and financial crisis costs resulted from not doing obligations on time decreases the firm value. So we can consider the capital structure of the firm as the balance between tax debt advantage and probable bankruptcy and financial crisis cost </w:t>
      </w:r>
    </w:p>
    <w:p w:rsidR="00B654A0" w:rsidRPr="007E4D9A" w:rsidRDefault="00B654A0" w:rsidP="004C4586">
      <w:pPr>
        <w:spacing w:after="0" w:line="240" w:lineRule="auto"/>
        <w:ind w:left="1" w:firstLineChars="212" w:firstLine="424"/>
        <w:contextualSpacing/>
        <w:jc w:val="both"/>
        <w:rPr>
          <w:rFonts w:ascii="Times New Roman" w:hAnsi="Times New Roman" w:cs="Times New Roman"/>
          <w:sz w:val="20"/>
          <w:szCs w:val="20"/>
        </w:rPr>
      </w:pPr>
      <w:r w:rsidRPr="007E4D9A">
        <w:rPr>
          <w:rFonts w:ascii="Times New Roman" w:hAnsi="Times New Roman" w:cs="Times New Roman"/>
          <w:sz w:val="20"/>
          <w:szCs w:val="20"/>
        </w:rPr>
        <w:t>resulted from debt (Braila and Mayors, 2004).</w:t>
      </w:r>
    </w:p>
    <w:p w:rsidR="004059B9" w:rsidRPr="007E4D9A" w:rsidRDefault="002A270B" w:rsidP="004C4586">
      <w:pPr>
        <w:spacing w:after="0" w:line="240" w:lineRule="auto"/>
        <w:ind w:left="2" w:firstLineChars="212" w:firstLine="426"/>
        <w:contextualSpacing/>
        <w:jc w:val="both"/>
        <w:rPr>
          <w:rFonts w:ascii="Times New Roman" w:hAnsi="Times New Roman" w:cs="Times New Roman"/>
          <w:sz w:val="20"/>
          <w:szCs w:val="20"/>
        </w:rPr>
      </w:pPr>
      <w:r w:rsidRPr="007E4D9A">
        <w:rPr>
          <w:rFonts w:ascii="Times New Roman" w:hAnsi="Times New Roman" w:cs="Times New Roman"/>
          <w:b/>
          <w:bCs/>
          <w:sz w:val="20"/>
          <w:szCs w:val="20"/>
        </w:rPr>
        <w:t xml:space="preserve">3. </w:t>
      </w:r>
      <w:r w:rsidR="004059B9" w:rsidRPr="007E4D9A">
        <w:rPr>
          <w:rFonts w:ascii="Times New Roman" w:hAnsi="Times New Roman" w:cs="Times New Roman"/>
          <w:b/>
          <w:bCs/>
          <w:sz w:val="20"/>
          <w:szCs w:val="20"/>
        </w:rPr>
        <w:t>Free cash flow theory</w:t>
      </w:r>
      <w:r w:rsidR="004059B9" w:rsidRPr="007E4D9A">
        <w:rPr>
          <w:rFonts w:ascii="Times New Roman" w:hAnsi="Times New Roman" w:cs="Times New Roman"/>
          <w:sz w:val="20"/>
          <w:szCs w:val="20"/>
        </w:rPr>
        <w:t xml:space="preserve">: is another theory which explains the capital structure and has a suitable back </w:t>
      </w:r>
      <w:proofErr w:type="spellStart"/>
      <w:r w:rsidR="004059B9" w:rsidRPr="007E4D9A">
        <w:rPr>
          <w:rFonts w:ascii="Times New Roman" w:hAnsi="Times New Roman" w:cs="Times New Roman"/>
          <w:sz w:val="20"/>
          <w:szCs w:val="20"/>
        </w:rPr>
        <w:t>ground</w:t>
      </w:r>
      <w:r w:rsidR="007E4D9A">
        <w:rPr>
          <w:rFonts w:ascii="Times New Roman" w:hAnsi="Times New Roman" w:cs="Times New Roman"/>
          <w:sz w:val="20"/>
          <w:szCs w:val="20"/>
        </w:rPr>
        <w:t>.</w:t>
      </w:r>
      <w:r w:rsidR="004059B9" w:rsidRPr="007E4D9A">
        <w:rPr>
          <w:rFonts w:ascii="Times New Roman" w:hAnsi="Times New Roman" w:cs="Times New Roman"/>
          <w:sz w:val="20"/>
          <w:szCs w:val="20"/>
        </w:rPr>
        <w:t>studies</w:t>
      </w:r>
      <w:proofErr w:type="spellEnd"/>
      <w:r w:rsidR="004059B9" w:rsidRPr="007E4D9A">
        <w:rPr>
          <w:rFonts w:ascii="Times New Roman" w:hAnsi="Times New Roman" w:cs="Times New Roman"/>
          <w:sz w:val="20"/>
          <w:szCs w:val="20"/>
        </w:rPr>
        <w:t xml:space="preserve"> which was introduced in 1986 by Michel </w:t>
      </w:r>
      <w:proofErr w:type="spellStart"/>
      <w:r w:rsidR="004059B9" w:rsidRPr="007E4D9A">
        <w:rPr>
          <w:rFonts w:ascii="Times New Roman" w:hAnsi="Times New Roman" w:cs="Times New Roman"/>
          <w:sz w:val="20"/>
          <w:szCs w:val="20"/>
        </w:rPr>
        <w:t>Jenson</w:t>
      </w:r>
      <w:r w:rsidR="007E4D9A">
        <w:rPr>
          <w:rFonts w:ascii="Times New Roman" w:hAnsi="Times New Roman" w:cs="Times New Roman"/>
          <w:sz w:val="20"/>
          <w:szCs w:val="20"/>
        </w:rPr>
        <w:t>.</w:t>
      </w:r>
      <w:r w:rsidR="004059B9" w:rsidRPr="007E4D9A">
        <w:rPr>
          <w:rFonts w:ascii="Times New Roman" w:hAnsi="Times New Roman" w:cs="Times New Roman"/>
          <w:sz w:val="20"/>
          <w:szCs w:val="20"/>
        </w:rPr>
        <w:t>They</w:t>
      </w:r>
      <w:proofErr w:type="spellEnd"/>
      <w:r w:rsidR="004059B9" w:rsidRPr="007E4D9A">
        <w:rPr>
          <w:rFonts w:ascii="Times New Roman" w:hAnsi="Times New Roman" w:cs="Times New Roman"/>
          <w:sz w:val="20"/>
          <w:szCs w:val="20"/>
        </w:rPr>
        <w:t xml:space="preserve"> theory has important reactions for capital structure</w:t>
      </w:r>
      <w:r w:rsidRPr="007E4D9A">
        <w:rPr>
          <w:rFonts w:ascii="Times New Roman" w:hAnsi="Times New Roman" w:cs="Times New Roman"/>
          <w:sz w:val="20"/>
          <w:szCs w:val="20"/>
        </w:rPr>
        <w:t>.</w:t>
      </w:r>
      <w:r w:rsidR="004059B9" w:rsidRPr="007E4D9A">
        <w:rPr>
          <w:rFonts w:ascii="Times New Roman" w:hAnsi="Times New Roman" w:cs="Times New Roman"/>
          <w:sz w:val="20"/>
          <w:szCs w:val="20"/>
        </w:rPr>
        <w:t xml:space="preserve"> According this hypothesis paying dividends to the shareholders increases the free cash flow of </w:t>
      </w:r>
      <w:r w:rsidRPr="007E4D9A">
        <w:rPr>
          <w:rFonts w:ascii="Times New Roman" w:hAnsi="Times New Roman" w:cs="Times New Roman"/>
          <w:sz w:val="20"/>
          <w:szCs w:val="20"/>
        </w:rPr>
        <w:t>the firm. Therefore</w:t>
      </w:r>
      <w:r w:rsidR="004059B9" w:rsidRPr="007E4D9A">
        <w:rPr>
          <w:rFonts w:ascii="Times New Roman" w:hAnsi="Times New Roman" w:cs="Times New Roman"/>
          <w:sz w:val="20"/>
          <w:szCs w:val="20"/>
        </w:rPr>
        <w:t xml:space="preserve">, it is expected that increasing the payable dividends with reduction </w:t>
      </w:r>
      <w:r w:rsidRPr="007E4D9A">
        <w:rPr>
          <w:rFonts w:ascii="Times New Roman" w:hAnsi="Times New Roman" w:cs="Times New Roman"/>
          <w:sz w:val="20"/>
          <w:szCs w:val="20"/>
        </w:rPr>
        <w:t>manager’s</w:t>
      </w:r>
      <w:r w:rsidR="004059B9" w:rsidRPr="007E4D9A">
        <w:rPr>
          <w:rFonts w:ascii="Times New Roman" w:hAnsi="Times New Roman" w:cs="Times New Roman"/>
          <w:sz w:val="20"/>
          <w:szCs w:val="20"/>
        </w:rPr>
        <w:t xml:space="preserve"> ability to follow the goals or activities which are in conf</w:t>
      </w:r>
      <w:r w:rsidRPr="007E4D9A">
        <w:rPr>
          <w:rFonts w:ascii="Times New Roman" w:hAnsi="Times New Roman" w:cs="Times New Roman"/>
          <w:sz w:val="20"/>
          <w:szCs w:val="20"/>
        </w:rPr>
        <w:t>lict with stockholders interest</w:t>
      </w:r>
      <w:r w:rsidR="004059B9" w:rsidRPr="007E4D9A">
        <w:rPr>
          <w:rFonts w:ascii="Times New Roman" w:hAnsi="Times New Roman" w:cs="Times New Roman"/>
          <w:sz w:val="20"/>
          <w:szCs w:val="20"/>
        </w:rPr>
        <w:t xml:space="preserve">, the interest of </w:t>
      </w:r>
      <w:r w:rsidRPr="007E4D9A">
        <w:rPr>
          <w:rFonts w:ascii="Times New Roman" w:hAnsi="Times New Roman" w:cs="Times New Roman"/>
          <w:sz w:val="20"/>
          <w:szCs w:val="20"/>
        </w:rPr>
        <w:t>stockholders increases.</w:t>
      </w:r>
    </w:p>
    <w:p w:rsidR="007E4D9A" w:rsidRDefault="007E4D9A" w:rsidP="007E4D9A">
      <w:pPr>
        <w:spacing w:after="0" w:line="240" w:lineRule="auto"/>
        <w:ind w:left="2"/>
        <w:contextualSpacing/>
        <w:jc w:val="both"/>
        <w:rPr>
          <w:rFonts w:ascii="Times New Roman" w:hAnsi="Times New Roman" w:cs="Times New Roman"/>
          <w:b/>
          <w:bCs/>
          <w:sz w:val="20"/>
          <w:szCs w:val="20"/>
        </w:rPr>
      </w:pPr>
    </w:p>
    <w:p w:rsidR="00253B58" w:rsidRPr="007E4D9A" w:rsidRDefault="009C4198" w:rsidP="007E4D9A">
      <w:pPr>
        <w:spacing w:after="0" w:line="240" w:lineRule="auto"/>
        <w:ind w:left="2"/>
        <w:contextualSpacing/>
        <w:jc w:val="both"/>
        <w:rPr>
          <w:rFonts w:ascii="Times New Roman" w:hAnsi="Times New Roman" w:cs="Times New Roman"/>
          <w:sz w:val="20"/>
          <w:szCs w:val="20"/>
        </w:rPr>
      </w:pPr>
      <w:r w:rsidRPr="007E4D9A">
        <w:rPr>
          <w:rFonts w:ascii="Times New Roman" w:hAnsi="Times New Roman" w:cs="Times New Roman"/>
          <w:b/>
          <w:bCs/>
          <w:sz w:val="20"/>
          <w:szCs w:val="20"/>
        </w:rPr>
        <w:lastRenderedPageBreak/>
        <w:t>Reviewing the studies conducted in other countries:</w:t>
      </w:r>
    </w:p>
    <w:p w:rsidR="006D6D46" w:rsidRPr="007E4D9A" w:rsidRDefault="009C4198" w:rsidP="004C4586">
      <w:pPr>
        <w:spacing w:after="0" w:line="240" w:lineRule="auto"/>
        <w:ind w:left="1" w:firstLineChars="212" w:firstLine="424"/>
        <w:contextualSpacing/>
        <w:jc w:val="both"/>
        <w:rPr>
          <w:rFonts w:ascii="Times New Roman" w:hAnsi="Times New Roman" w:cs="Times New Roman"/>
          <w:sz w:val="20"/>
          <w:szCs w:val="20"/>
        </w:rPr>
      </w:pPr>
      <w:r w:rsidRPr="007E4D9A">
        <w:rPr>
          <w:rFonts w:ascii="Times New Roman" w:hAnsi="Times New Roman" w:cs="Times New Roman"/>
          <w:sz w:val="20"/>
          <w:szCs w:val="20"/>
        </w:rPr>
        <w:t>Hans (1988) estimated the average abnormal return for a period of two days for providing stocks by industrial firms as -2.61 and for public firms as -1.21 in which guaranteed priority providing had a significant abnormal reduction in stock price before providing of stocks, but there was no abnormal reduction in stock price in provision or</w:t>
      </w:r>
      <w:r w:rsidR="006D6D46" w:rsidRPr="007E4D9A">
        <w:rPr>
          <w:rFonts w:ascii="Times New Roman" w:hAnsi="Times New Roman" w:cs="Times New Roman"/>
          <w:sz w:val="20"/>
          <w:szCs w:val="20"/>
        </w:rPr>
        <w:t xml:space="preserve"> current </w:t>
      </w:r>
      <w:r w:rsidRPr="007E4D9A">
        <w:rPr>
          <w:rFonts w:ascii="Times New Roman" w:hAnsi="Times New Roman" w:cs="Times New Roman"/>
          <w:sz w:val="20"/>
          <w:szCs w:val="20"/>
        </w:rPr>
        <w:t xml:space="preserve">periods of </w:t>
      </w:r>
      <w:r w:rsidR="006D6D46" w:rsidRPr="007E4D9A">
        <w:rPr>
          <w:rFonts w:ascii="Times New Roman" w:hAnsi="Times New Roman" w:cs="Times New Roman"/>
          <w:sz w:val="20"/>
          <w:szCs w:val="20"/>
        </w:rPr>
        <w:t>presenting stocks.</w:t>
      </w:r>
      <w:r w:rsidR="00BF2B33" w:rsidRPr="007E4D9A">
        <w:rPr>
          <w:rFonts w:ascii="Times New Roman" w:hAnsi="Times New Roman" w:cs="Times New Roman"/>
          <w:sz w:val="20"/>
          <w:szCs w:val="20"/>
        </w:rPr>
        <w:t xml:space="preserve"> </w:t>
      </w:r>
    </w:p>
    <w:p w:rsidR="00C327E3" w:rsidRPr="007E4D9A" w:rsidRDefault="00C327E3" w:rsidP="004C4586">
      <w:pPr>
        <w:spacing w:after="0" w:line="240" w:lineRule="auto"/>
        <w:ind w:left="1" w:firstLineChars="212" w:firstLine="424"/>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Schools (1972) investigated the price effects of providing of stocks based on comprehensive abnormal return for 696 cases of stocks in New York Stock Exchange from 1926-1966. The average abnormal return of the date before providing was positive and in providing month reduced about 3 percent, but after providing month, there was no abnormal benefit or loss. Therefore, these findings rejected the hypothesis of price pressure </w:t>
      </w:r>
      <w:r w:rsidR="008167C3" w:rsidRPr="007E4D9A">
        <w:rPr>
          <w:rFonts w:ascii="Times New Roman" w:hAnsi="Times New Roman" w:cs="Times New Roman"/>
          <w:sz w:val="20"/>
          <w:szCs w:val="20"/>
        </w:rPr>
        <w:t>and considered the little reduction of price as the information effect. He suggested that stock selling does not provide proper information about the future of firm.</w:t>
      </w:r>
    </w:p>
    <w:p w:rsidR="008167C3" w:rsidRPr="007E4D9A" w:rsidRDefault="008167C3" w:rsidP="004C4586">
      <w:pPr>
        <w:spacing w:after="0" w:line="240" w:lineRule="auto"/>
        <w:ind w:left="1" w:firstLineChars="212" w:firstLine="424"/>
        <w:contextualSpacing/>
        <w:jc w:val="both"/>
        <w:rPr>
          <w:rFonts w:ascii="Times New Roman" w:hAnsi="Times New Roman" w:cs="Times New Roman"/>
          <w:sz w:val="20"/>
          <w:szCs w:val="20"/>
        </w:rPr>
      </w:pPr>
      <w:proofErr w:type="spellStart"/>
      <w:r w:rsidRPr="007E4D9A">
        <w:rPr>
          <w:rFonts w:ascii="Times New Roman" w:hAnsi="Times New Roman" w:cs="Times New Roman"/>
          <w:sz w:val="20"/>
          <w:szCs w:val="20"/>
        </w:rPr>
        <w:t>Tesangarakiss</w:t>
      </w:r>
      <w:proofErr w:type="spellEnd"/>
      <w:r w:rsidRPr="007E4D9A">
        <w:rPr>
          <w:rFonts w:ascii="Times New Roman" w:hAnsi="Times New Roman" w:cs="Times New Roman"/>
          <w:sz w:val="20"/>
          <w:szCs w:val="20"/>
        </w:rPr>
        <w:t xml:space="preserve"> (1996) analyzed the price reaction of stocks to priority establishing in Greece for the period of 1980-1990 and the findings were different from findings resulted in the U.S.A. There was no organized second market for priority establishing in Greece during the period. In Greece most of stocks belong to government or special families which follow the limitation</w:t>
      </w:r>
      <w:r w:rsidR="00597619" w:rsidRPr="007E4D9A">
        <w:rPr>
          <w:rFonts w:ascii="Times New Roman" w:hAnsi="Times New Roman" w:cs="Times New Roman"/>
          <w:sz w:val="20"/>
          <w:szCs w:val="20"/>
        </w:rPr>
        <w:t xml:space="preserve"> </w:t>
      </w:r>
      <w:r w:rsidR="000717C9" w:rsidRPr="007E4D9A">
        <w:rPr>
          <w:rFonts w:ascii="Times New Roman" w:hAnsi="Times New Roman" w:cs="Times New Roman"/>
          <w:sz w:val="20"/>
          <w:szCs w:val="20"/>
        </w:rPr>
        <w:t>of ownership.</w:t>
      </w:r>
      <w:r w:rsidR="007E4D9A" w:rsidRPr="007E4D9A">
        <w:rPr>
          <w:rFonts w:ascii="Times New Roman" w:hAnsi="Times New Roman" w:cs="Times New Roman"/>
          <w:sz w:val="20"/>
          <w:szCs w:val="20"/>
        </w:rPr>
        <w:t xml:space="preserve"> </w:t>
      </w:r>
      <w:r w:rsidR="000717C9" w:rsidRPr="007E4D9A">
        <w:rPr>
          <w:rFonts w:ascii="Times New Roman" w:hAnsi="Times New Roman" w:cs="Times New Roman"/>
          <w:sz w:val="20"/>
          <w:szCs w:val="20"/>
        </w:rPr>
        <w:t>Providing the stocks in Greece is in the form of priority method. One of the differences between these two methods is the possibility of property transfer from new stockholder</w:t>
      </w:r>
      <w:r w:rsidR="006F3D72" w:rsidRPr="007E4D9A">
        <w:rPr>
          <w:rFonts w:ascii="Times New Roman" w:hAnsi="Times New Roman" w:cs="Times New Roman"/>
          <w:sz w:val="20"/>
          <w:szCs w:val="20"/>
        </w:rPr>
        <w:t xml:space="preserve">s to old ones as the result of </w:t>
      </w:r>
      <w:r w:rsidR="000717C9" w:rsidRPr="007E4D9A">
        <w:rPr>
          <w:rFonts w:ascii="Times New Roman" w:hAnsi="Times New Roman" w:cs="Times New Roman"/>
          <w:sz w:val="20"/>
          <w:szCs w:val="20"/>
        </w:rPr>
        <w:t xml:space="preserve">information </w:t>
      </w:r>
      <w:r w:rsidR="006F3D72" w:rsidRPr="007E4D9A">
        <w:rPr>
          <w:rFonts w:ascii="Times New Roman" w:hAnsi="Times New Roman" w:cs="Times New Roman"/>
          <w:sz w:val="20"/>
          <w:szCs w:val="20"/>
        </w:rPr>
        <w:t xml:space="preserve">asymmetry </w:t>
      </w:r>
      <w:r w:rsidR="000717C9" w:rsidRPr="007E4D9A">
        <w:rPr>
          <w:rFonts w:ascii="Times New Roman" w:hAnsi="Times New Roman" w:cs="Times New Roman"/>
          <w:sz w:val="20"/>
          <w:szCs w:val="20"/>
        </w:rPr>
        <w:t>among managers and external investors.</w:t>
      </w:r>
    </w:p>
    <w:p w:rsidR="00E52DDC" w:rsidRPr="007E4D9A" w:rsidRDefault="000717C9" w:rsidP="004C4586">
      <w:pPr>
        <w:spacing w:after="0" w:line="240" w:lineRule="auto"/>
        <w:ind w:left="1" w:firstLineChars="212" w:firstLine="424"/>
        <w:contextualSpacing/>
        <w:jc w:val="both"/>
        <w:rPr>
          <w:rFonts w:ascii="Times New Roman" w:hAnsi="Times New Roman" w:cs="Times New Roman"/>
          <w:sz w:val="20"/>
          <w:szCs w:val="20"/>
        </w:rPr>
      </w:pPr>
      <w:r w:rsidRPr="007E4D9A">
        <w:rPr>
          <w:rFonts w:ascii="Times New Roman" w:hAnsi="Times New Roman" w:cs="Times New Roman"/>
          <w:sz w:val="20"/>
          <w:szCs w:val="20"/>
        </w:rPr>
        <w:t>In spite of public</w:t>
      </w:r>
      <w:r w:rsidR="001662B1" w:rsidRPr="007E4D9A">
        <w:rPr>
          <w:rFonts w:ascii="Times New Roman" w:hAnsi="Times New Roman" w:cs="Times New Roman"/>
          <w:sz w:val="20"/>
          <w:szCs w:val="20"/>
        </w:rPr>
        <w:t xml:space="preserve"> </w:t>
      </w:r>
      <w:r w:rsidR="004F7EDC" w:rsidRPr="007E4D9A">
        <w:rPr>
          <w:rFonts w:ascii="Times New Roman" w:hAnsi="Times New Roman" w:cs="Times New Roman"/>
          <w:sz w:val="20"/>
          <w:szCs w:val="20"/>
        </w:rPr>
        <w:t>providing method, if all stockholders use their priority right, then the effect of wealth tr</w:t>
      </w:r>
      <w:r w:rsidR="008D5FE9" w:rsidRPr="007E4D9A">
        <w:rPr>
          <w:rFonts w:ascii="Times New Roman" w:hAnsi="Times New Roman" w:cs="Times New Roman"/>
          <w:sz w:val="20"/>
          <w:szCs w:val="20"/>
        </w:rPr>
        <w:t>ansferring explained by</w:t>
      </w:r>
      <w:r w:rsidR="004F7EDC" w:rsidRPr="007E4D9A">
        <w:rPr>
          <w:rFonts w:ascii="Times New Roman" w:hAnsi="Times New Roman" w:cs="Times New Roman"/>
          <w:sz w:val="20"/>
          <w:szCs w:val="20"/>
        </w:rPr>
        <w:t xml:space="preserve"> </w:t>
      </w:r>
      <w:proofErr w:type="spellStart"/>
      <w:r w:rsidR="004F7EDC" w:rsidRPr="007E4D9A">
        <w:rPr>
          <w:rFonts w:ascii="Times New Roman" w:hAnsi="Times New Roman" w:cs="Times New Roman"/>
          <w:sz w:val="20"/>
          <w:szCs w:val="20"/>
        </w:rPr>
        <w:t>Mayers</w:t>
      </w:r>
      <w:proofErr w:type="spellEnd"/>
      <w:r w:rsidR="004F7EDC" w:rsidRPr="007E4D9A">
        <w:rPr>
          <w:rFonts w:ascii="Times New Roman" w:hAnsi="Times New Roman" w:cs="Times New Roman"/>
          <w:sz w:val="20"/>
          <w:szCs w:val="20"/>
        </w:rPr>
        <w:t xml:space="preserve"> and </w:t>
      </w:r>
      <w:proofErr w:type="spellStart"/>
      <w:r w:rsidR="004F7EDC" w:rsidRPr="007E4D9A">
        <w:rPr>
          <w:rFonts w:ascii="Times New Roman" w:hAnsi="Times New Roman" w:cs="Times New Roman"/>
          <w:sz w:val="20"/>
          <w:szCs w:val="20"/>
        </w:rPr>
        <w:t>Mayolf</w:t>
      </w:r>
      <w:proofErr w:type="spellEnd"/>
      <w:r w:rsidR="004F7EDC" w:rsidRPr="007E4D9A">
        <w:rPr>
          <w:rFonts w:ascii="Times New Roman" w:hAnsi="Times New Roman" w:cs="Times New Roman"/>
          <w:sz w:val="20"/>
          <w:szCs w:val="20"/>
        </w:rPr>
        <w:t>(1984) will be unrelated. As a result, the stock price effect in relation to priority establishing announcement cannot be considered the result of information effect. In this study the priority establishing</w:t>
      </w:r>
      <w:r w:rsidR="00BE56B2" w:rsidRPr="007E4D9A">
        <w:rPr>
          <w:rFonts w:ascii="Times New Roman" w:hAnsi="Times New Roman" w:cs="Times New Roman"/>
          <w:sz w:val="20"/>
          <w:szCs w:val="20"/>
        </w:rPr>
        <w:t xml:space="preserve"> of stock daily return of every case for a period of 211 days was calculat</w:t>
      </w:r>
      <w:r w:rsidR="004C4586" w:rsidRPr="007E4D9A">
        <w:rPr>
          <w:rFonts w:ascii="Times New Roman" w:hAnsi="Times New Roman" w:cs="Times New Roman"/>
          <w:sz w:val="20"/>
          <w:szCs w:val="20"/>
        </w:rPr>
        <w:t>ed. The average abnormal return</w:t>
      </w:r>
    </w:p>
    <w:p w:rsidR="000717C9" w:rsidRPr="007E4D9A" w:rsidRDefault="00BE56B2" w:rsidP="004C4586">
      <w:pPr>
        <w:spacing w:after="0" w:line="240" w:lineRule="auto"/>
        <w:ind w:left="1" w:firstLineChars="212" w:firstLine="424"/>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on announcement </w:t>
      </w:r>
      <w:r w:rsidR="00EE6AA6" w:rsidRPr="007E4D9A">
        <w:rPr>
          <w:rFonts w:ascii="Times New Roman" w:hAnsi="Times New Roman" w:cs="Times New Roman"/>
          <w:sz w:val="20"/>
          <w:szCs w:val="20"/>
        </w:rPr>
        <w:t xml:space="preserve">day was 2.45. The average abnormal return for 2 days before announcement was 3.97, for all days before announcement was 11.52. </w:t>
      </w:r>
      <w:proofErr w:type="spellStart"/>
      <w:r w:rsidR="00EE6AA6" w:rsidRPr="007E4D9A">
        <w:rPr>
          <w:rFonts w:ascii="Times New Roman" w:hAnsi="Times New Roman" w:cs="Times New Roman"/>
          <w:sz w:val="20"/>
          <w:szCs w:val="20"/>
        </w:rPr>
        <w:t>Tesangarakiss</w:t>
      </w:r>
      <w:proofErr w:type="spellEnd"/>
      <w:r w:rsidR="00EE6AA6" w:rsidRPr="007E4D9A">
        <w:rPr>
          <w:rFonts w:ascii="Times New Roman" w:hAnsi="Times New Roman" w:cs="Times New Roman"/>
          <w:sz w:val="20"/>
          <w:szCs w:val="20"/>
        </w:rPr>
        <w:t xml:space="preserve"> suggested that these abnormal returns before announcement are due to the management decision disclosing about priority providing suggestion. Another reason is the information of individuals inside the organization</w:t>
      </w:r>
      <w:r w:rsidR="00CD25F4" w:rsidRPr="007E4D9A">
        <w:rPr>
          <w:rFonts w:ascii="Times New Roman" w:hAnsi="Times New Roman" w:cs="Times New Roman"/>
          <w:sz w:val="20"/>
          <w:szCs w:val="20"/>
        </w:rPr>
        <w:t xml:space="preserve"> because dealing with secret information was not forbidden.</w:t>
      </w:r>
    </w:p>
    <w:p w:rsidR="00CD25F4" w:rsidRPr="007E4D9A" w:rsidRDefault="00CD25F4" w:rsidP="00253B58">
      <w:pPr>
        <w:spacing w:after="0" w:line="240" w:lineRule="auto"/>
        <w:ind w:firstLineChars="178" w:firstLine="356"/>
        <w:contextualSpacing/>
        <w:jc w:val="both"/>
        <w:rPr>
          <w:rFonts w:ascii="Times New Roman" w:hAnsi="Times New Roman" w:cs="Times New Roman"/>
          <w:sz w:val="20"/>
          <w:szCs w:val="20"/>
        </w:rPr>
      </w:pPr>
      <w:r w:rsidRPr="007E4D9A">
        <w:rPr>
          <w:rFonts w:ascii="Times New Roman" w:hAnsi="Times New Roman" w:cs="Times New Roman"/>
          <w:sz w:val="20"/>
          <w:szCs w:val="20"/>
        </w:rPr>
        <w:lastRenderedPageBreak/>
        <w:t>The negative hypothesis was that abnormal return around announcement date was zero. His findings showed that this hypothesis can be accepted. He concluded that priority establishing announcement of stocks has negative effect on price stock. These findings are consistent with findings of Kang</w:t>
      </w:r>
      <w:r w:rsidR="002370D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(1990) and to some extent </w:t>
      </w:r>
      <w:r w:rsidR="002370DA" w:rsidRPr="007E4D9A">
        <w:rPr>
          <w:rFonts w:ascii="Times New Roman" w:hAnsi="Times New Roman" w:cs="Times New Roman"/>
          <w:sz w:val="20"/>
          <w:szCs w:val="20"/>
        </w:rPr>
        <w:t>with Zimmerman and Loader (1988). The findings of the study on priority method in Greece showed that:</w:t>
      </w:r>
    </w:p>
    <w:p w:rsidR="002370DA" w:rsidRPr="007E4D9A" w:rsidRDefault="002370DA" w:rsidP="00253B58">
      <w:pPr>
        <w:pStyle w:val="ListParagraph"/>
        <w:numPr>
          <w:ilvl w:val="0"/>
          <w:numId w:val="2"/>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 xml:space="preserve">The findings in </w:t>
      </w:r>
      <w:proofErr w:type="spellStart"/>
      <w:r w:rsidRPr="007E4D9A">
        <w:rPr>
          <w:rFonts w:ascii="Times New Roman" w:hAnsi="Times New Roman" w:cs="Times New Roman"/>
          <w:sz w:val="20"/>
          <w:szCs w:val="20"/>
        </w:rPr>
        <w:t>Aten</w:t>
      </w:r>
      <w:proofErr w:type="spellEnd"/>
      <w:r w:rsidRPr="007E4D9A">
        <w:rPr>
          <w:rFonts w:ascii="Times New Roman" w:hAnsi="Times New Roman" w:cs="Times New Roman"/>
          <w:sz w:val="20"/>
          <w:szCs w:val="20"/>
        </w:rPr>
        <w:t xml:space="preserve"> st</w:t>
      </w:r>
      <w:r w:rsidR="006F3D72" w:rsidRPr="007E4D9A">
        <w:rPr>
          <w:rFonts w:ascii="Times New Roman" w:hAnsi="Times New Roman" w:cs="Times New Roman"/>
          <w:sz w:val="20"/>
          <w:szCs w:val="20"/>
        </w:rPr>
        <w:t xml:space="preserve">ock exchange cannot justify the </w:t>
      </w:r>
      <w:r w:rsidRPr="007E4D9A">
        <w:rPr>
          <w:rFonts w:ascii="Times New Roman" w:hAnsi="Times New Roman" w:cs="Times New Roman"/>
          <w:sz w:val="20"/>
          <w:szCs w:val="20"/>
        </w:rPr>
        <w:t xml:space="preserve">information </w:t>
      </w:r>
      <w:r w:rsidR="006F3D72" w:rsidRPr="007E4D9A">
        <w:rPr>
          <w:rFonts w:ascii="Times New Roman" w:hAnsi="Times New Roman" w:cs="Times New Roman"/>
          <w:sz w:val="20"/>
          <w:szCs w:val="20"/>
        </w:rPr>
        <w:t xml:space="preserve">asymmetry </w:t>
      </w:r>
      <w:r w:rsidRPr="007E4D9A">
        <w:rPr>
          <w:rFonts w:ascii="Times New Roman" w:hAnsi="Times New Roman" w:cs="Times New Roman"/>
          <w:sz w:val="20"/>
          <w:szCs w:val="20"/>
        </w:rPr>
        <w:t>hypothesis of Heller and Rock (1985). In return this hypothesis predicts good news about investment. In other word,</w:t>
      </w:r>
      <w:r w:rsidR="007F0E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the stockholders believed that </w:t>
      </w:r>
      <w:r w:rsidR="007F0E9A" w:rsidRPr="007E4D9A">
        <w:rPr>
          <w:rFonts w:ascii="Times New Roman" w:hAnsi="Times New Roman" w:cs="Times New Roman"/>
          <w:sz w:val="20"/>
          <w:szCs w:val="20"/>
        </w:rPr>
        <w:t>the firms establish new shares with current positive net price for financing.</w:t>
      </w:r>
    </w:p>
    <w:p w:rsidR="007F0E9A" w:rsidRPr="007E4D9A" w:rsidRDefault="007F0E9A" w:rsidP="00253B58">
      <w:pPr>
        <w:pStyle w:val="ListParagraph"/>
        <w:numPr>
          <w:ilvl w:val="0"/>
          <w:numId w:val="2"/>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The findings of price pressure hypothesis did not support</w:t>
      </w:r>
      <w:r w:rsidR="00643BED" w:rsidRPr="007E4D9A">
        <w:rPr>
          <w:rFonts w:ascii="Times New Roman" w:hAnsi="Times New Roman" w:cs="Times New Roman"/>
          <w:sz w:val="20"/>
          <w:szCs w:val="20"/>
        </w:rPr>
        <w:t xml:space="preserve"> the</w:t>
      </w:r>
      <w:r w:rsidRPr="007E4D9A">
        <w:rPr>
          <w:rFonts w:ascii="Times New Roman" w:hAnsi="Times New Roman" w:cs="Times New Roman"/>
          <w:sz w:val="20"/>
          <w:szCs w:val="20"/>
        </w:rPr>
        <w:t xml:space="preserve"> dividing </w:t>
      </w:r>
      <w:r w:rsidR="00643BED" w:rsidRPr="007E4D9A">
        <w:rPr>
          <w:rFonts w:ascii="Times New Roman" w:hAnsi="Times New Roman" w:cs="Times New Roman"/>
          <w:sz w:val="20"/>
          <w:szCs w:val="20"/>
        </w:rPr>
        <w:t xml:space="preserve">of </w:t>
      </w:r>
      <w:r w:rsidRPr="007E4D9A">
        <w:rPr>
          <w:rFonts w:ascii="Times New Roman" w:hAnsi="Times New Roman" w:cs="Times New Roman"/>
          <w:sz w:val="20"/>
          <w:szCs w:val="20"/>
        </w:rPr>
        <w:t xml:space="preserve">the wealth </w:t>
      </w:r>
      <w:r w:rsidR="00643BED" w:rsidRPr="007E4D9A">
        <w:rPr>
          <w:rFonts w:ascii="Times New Roman" w:hAnsi="Times New Roman" w:cs="Times New Roman"/>
          <w:sz w:val="20"/>
          <w:szCs w:val="20"/>
        </w:rPr>
        <w:t>for the second time.</w:t>
      </w:r>
    </w:p>
    <w:p w:rsidR="00643BED" w:rsidRPr="007E4D9A" w:rsidRDefault="00643BED" w:rsidP="00253B58">
      <w:pPr>
        <w:pStyle w:val="ListParagraph"/>
        <w:numPr>
          <w:ilvl w:val="0"/>
          <w:numId w:val="2"/>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The shareholders are indifferent about price of subscription in regard to priority establishing.</w:t>
      </w:r>
    </w:p>
    <w:p w:rsidR="00643BED" w:rsidRPr="007E4D9A" w:rsidRDefault="00643BED" w:rsidP="00253B58">
      <w:pPr>
        <w:pStyle w:val="ListParagraph"/>
        <w:numPr>
          <w:ilvl w:val="0"/>
          <w:numId w:val="2"/>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 xml:space="preserve">The symbols effect hypothesis was verified because market reacts positively to centralized ownership as the signs about future perspectives of firm. These findings </w:t>
      </w:r>
      <w:r w:rsidR="004238C2" w:rsidRPr="007E4D9A">
        <w:rPr>
          <w:rFonts w:ascii="Times New Roman" w:hAnsi="Times New Roman" w:cs="Times New Roman"/>
          <w:sz w:val="20"/>
          <w:szCs w:val="20"/>
        </w:rPr>
        <w:t xml:space="preserve">are consistent with the findings of </w:t>
      </w:r>
      <w:proofErr w:type="spellStart"/>
      <w:r w:rsidR="004238C2" w:rsidRPr="007E4D9A">
        <w:rPr>
          <w:rFonts w:ascii="Times New Roman" w:hAnsi="Times New Roman" w:cs="Times New Roman"/>
          <w:sz w:val="20"/>
          <w:szCs w:val="20"/>
        </w:rPr>
        <w:t>Velen</w:t>
      </w:r>
      <w:proofErr w:type="spellEnd"/>
      <w:r w:rsidR="004238C2" w:rsidRPr="007E4D9A">
        <w:rPr>
          <w:rFonts w:ascii="Times New Roman" w:hAnsi="Times New Roman" w:cs="Times New Roman"/>
          <w:sz w:val="20"/>
          <w:szCs w:val="20"/>
        </w:rPr>
        <w:t xml:space="preserve"> (1985) about the relationship between stock providing and higher centralized ownership with less representative effect.</w:t>
      </w:r>
    </w:p>
    <w:p w:rsidR="00643BED" w:rsidRPr="007E4D9A" w:rsidRDefault="004238C2" w:rsidP="00253B58">
      <w:pPr>
        <w:pStyle w:val="ListParagraph"/>
        <w:numPr>
          <w:ilvl w:val="0"/>
          <w:numId w:val="2"/>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 xml:space="preserve">Stock establishing has less relationship with selection effects’ these findings also are consistent with findings of </w:t>
      </w:r>
      <w:proofErr w:type="spellStart"/>
      <w:r w:rsidRPr="007E4D9A">
        <w:rPr>
          <w:rFonts w:ascii="Times New Roman" w:hAnsi="Times New Roman" w:cs="Times New Roman"/>
          <w:sz w:val="20"/>
          <w:szCs w:val="20"/>
        </w:rPr>
        <w:t>Masolaz</w:t>
      </w:r>
      <w:proofErr w:type="spellEnd"/>
      <w:r w:rsidRPr="007E4D9A">
        <w:rPr>
          <w:rFonts w:ascii="Times New Roman" w:hAnsi="Times New Roman" w:cs="Times New Roman"/>
          <w:sz w:val="20"/>
          <w:szCs w:val="20"/>
        </w:rPr>
        <w:t xml:space="preserve"> and Nada (1993).</w:t>
      </w:r>
    </w:p>
    <w:p w:rsidR="007E4D9A" w:rsidRDefault="007E4D9A" w:rsidP="004C4586">
      <w:pPr>
        <w:spacing w:after="0" w:line="240" w:lineRule="auto"/>
        <w:jc w:val="both"/>
        <w:rPr>
          <w:rFonts w:ascii="Times New Roman" w:hAnsi="Times New Roman" w:cs="Times New Roman"/>
          <w:b/>
          <w:bCs/>
          <w:sz w:val="20"/>
          <w:szCs w:val="20"/>
        </w:rPr>
      </w:pPr>
    </w:p>
    <w:p w:rsidR="004238C2" w:rsidRPr="007E4D9A" w:rsidRDefault="004238C2" w:rsidP="004C4586">
      <w:pPr>
        <w:spacing w:after="0" w:line="240" w:lineRule="auto"/>
        <w:jc w:val="both"/>
        <w:rPr>
          <w:rFonts w:ascii="Times New Roman" w:hAnsi="Times New Roman" w:cs="Times New Roman"/>
          <w:b/>
          <w:bCs/>
          <w:sz w:val="20"/>
          <w:szCs w:val="20"/>
        </w:rPr>
      </w:pPr>
      <w:r w:rsidRPr="007E4D9A">
        <w:rPr>
          <w:rFonts w:ascii="Times New Roman" w:hAnsi="Times New Roman" w:cs="Times New Roman"/>
          <w:b/>
          <w:bCs/>
          <w:sz w:val="20"/>
          <w:szCs w:val="20"/>
        </w:rPr>
        <w:t>Hypotheses</w:t>
      </w:r>
    </w:p>
    <w:p w:rsidR="00270303" w:rsidRPr="007E4D9A" w:rsidRDefault="00270303" w:rsidP="00253B58">
      <w:pPr>
        <w:pStyle w:val="ListParagraph"/>
        <w:numPr>
          <w:ilvl w:val="0"/>
          <w:numId w:val="3"/>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There is a relationship between capital increasing from cash and claims and abnormal return ratio.</w:t>
      </w:r>
    </w:p>
    <w:p w:rsidR="00270303" w:rsidRPr="007E4D9A" w:rsidRDefault="00270303" w:rsidP="00253B58">
      <w:pPr>
        <w:pStyle w:val="ListParagraph"/>
        <w:numPr>
          <w:ilvl w:val="0"/>
          <w:numId w:val="3"/>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 xml:space="preserve"> There is a relationship between stock liquidity and abnormal return ratio.</w:t>
      </w:r>
    </w:p>
    <w:p w:rsidR="004238C2" w:rsidRPr="007E4D9A" w:rsidRDefault="00270303" w:rsidP="00253B58">
      <w:pPr>
        <w:pStyle w:val="ListParagraph"/>
        <w:numPr>
          <w:ilvl w:val="0"/>
          <w:numId w:val="3"/>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 xml:space="preserve">There is a significant relationship between </w:t>
      </w:r>
      <w:r w:rsidR="008D5FE9" w:rsidRPr="007E4D9A">
        <w:rPr>
          <w:rFonts w:ascii="Times New Roman" w:hAnsi="Times New Roman" w:cs="Times New Roman"/>
          <w:sz w:val="20"/>
          <w:szCs w:val="20"/>
        </w:rPr>
        <w:t>ownership centralization rate</w:t>
      </w:r>
      <w:r w:rsidRPr="007E4D9A">
        <w:rPr>
          <w:rFonts w:ascii="Times New Roman" w:hAnsi="Times New Roman" w:cs="Times New Roman"/>
          <w:sz w:val="20"/>
          <w:szCs w:val="20"/>
        </w:rPr>
        <w:t xml:space="preserve"> and abnormal return ratio.</w:t>
      </w:r>
    </w:p>
    <w:p w:rsidR="00270303" w:rsidRPr="007E4D9A" w:rsidRDefault="00270303" w:rsidP="00253B58">
      <w:pPr>
        <w:pStyle w:val="ListParagraph"/>
        <w:numPr>
          <w:ilvl w:val="0"/>
          <w:numId w:val="3"/>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There is a significant relationship between firm size and abnormal return ratio.</w:t>
      </w:r>
    </w:p>
    <w:p w:rsidR="00270303" w:rsidRPr="007E4D9A" w:rsidRDefault="00270303" w:rsidP="00253B58">
      <w:pPr>
        <w:pStyle w:val="ListParagraph"/>
        <w:numPr>
          <w:ilvl w:val="0"/>
          <w:numId w:val="3"/>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There is a significant relationship between firm debt ratio and abnormal return ratio.</w:t>
      </w:r>
    </w:p>
    <w:p w:rsidR="00270303" w:rsidRPr="007E4D9A" w:rsidRDefault="00270303" w:rsidP="00253B58">
      <w:pPr>
        <w:pStyle w:val="ListParagraph"/>
        <w:numPr>
          <w:ilvl w:val="0"/>
          <w:numId w:val="3"/>
        </w:numPr>
        <w:spacing w:after="0" w:line="240" w:lineRule="auto"/>
        <w:ind w:left="284" w:hanging="284"/>
        <w:jc w:val="both"/>
        <w:rPr>
          <w:rFonts w:ascii="Times New Roman" w:hAnsi="Times New Roman" w:cs="Times New Roman"/>
          <w:sz w:val="20"/>
          <w:szCs w:val="20"/>
        </w:rPr>
      </w:pPr>
      <w:r w:rsidRPr="007E4D9A">
        <w:rPr>
          <w:rFonts w:ascii="Times New Roman" w:hAnsi="Times New Roman" w:cs="Times New Roman"/>
          <w:sz w:val="20"/>
          <w:szCs w:val="20"/>
        </w:rPr>
        <w:t>There is a significant relationship between type of firm industry and abnormal return ratio.</w:t>
      </w:r>
    </w:p>
    <w:p w:rsidR="00270303" w:rsidRPr="007E4D9A" w:rsidRDefault="00270303" w:rsidP="004C4586">
      <w:pPr>
        <w:spacing w:after="0" w:line="240" w:lineRule="auto"/>
        <w:ind w:firstLineChars="211" w:firstLine="424"/>
        <w:jc w:val="both"/>
        <w:rPr>
          <w:rFonts w:ascii="Times New Roman" w:hAnsi="Times New Roman" w:cs="Times New Roman"/>
          <w:b/>
          <w:bCs/>
          <w:sz w:val="20"/>
          <w:szCs w:val="20"/>
        </w:rPr>
      </w:pPr>
      <w:r w:rsidRPr="007E4D9A">
        <w:rPr>
          <w:rFonts w:ascii="Times New Roman" w:hAnsi="Times New Roman" w:cs="Times New Roman"/>
          <w:b/>
          <w:bCs/>
          <w:sz w:val="20"/>
          <w:szCs w:val="20"/>
        </w:rPr>
        <w:t>Research Variables</w:t>
      </w:r>
    </w:p>
    <w:p w:rsidR="00270303" w:rsidRPr="007E4D9A" w:rsidRDefault="00270303" w:rsidP="004C4586">
      <w:pPr>
        <w:spacing w:after="0" w:line="240" w:lineRule="auto"/>
        <w:ind w:left="-1" w:firstLineChars="211" w:firstLine="422"/>
        <w:jc w:val="both"/>
        <w:rPr>
          <w:rFonts w:ascii="Times New Roman" w:hAnsi="Times New Roman" w:cs="Times New Roman"/>
          <w:sz w:val="20"/>
          <w:szCs w:val="20"/>
        </w:rPr>
      </w:pPr>
      <w:r w:rsidRPr="007E4D9A">
        <w:rPr>
          <w:rFonts w:ascii="Times New Roman" w:hAnsi="Times New Roman" w:cs="Times New Roman"/>
          <w:sz w:val="20"/>
          <w:szCs w:val="20"/>
        </w:rPr>
        <w:t xml:space="preserve"> Capital Increasing</w:t>
      </w:r>
    </w:p>
    <w:p w:rsidR="00270303" w:rsidRPr="007E4D9A" w:rsidRDefault="00270303" w:rsidP="004C4586">
      <w:pPr>
        <w:spacing w:after="0" w:line="240" w:lineRule="auto"/>
        <w:ind w:left="-1" w:firstLineChars="211" w:firstLine="422"/>
        <w:jc w:val="both"/>
        <w:rPr>
          <w:rFonts w:ascii="Times New Roman" w:hAnsi="Times New Roman" w:cs="Times New Roman"/>
          <w:sz w:val="20"/>
          <w:szCs w:val="20"/>
        </w:rPr>
      </w:pPr>
      <w:r w:rsidRPr="007E4D9A">
        <w:rPr>
          <w:rFonts w:ascii="Times New Roman" w:hAnsi="Times New Roman" w:cs="Times New Roman"/>
          <w:sz w:val="20"/>
          <w:szCs w:val="20"/>
        </w:rPr>
        <w:lastRenderedPageBreak/>
        <w:t xml:space="preserve">According to </w:t>
      </w:r>
      <w:r w:rsidR="00F679D0" w:rsidRPr="007E4D9A">
        <w:rPr>
          <w:rFonts w:ascii="Times New Roman" w:hAnsi="Times New Roman" w:cs="Times New Roman"/>
          <w:sz w:val="20"/>
          <w:szCs w:val="20"/>
        </w:rPr>
        <w:t>a</w:t>
      </w:r>
      <w:r w:rsidRPr="007E4D9A">
        <w:rPr>
          <w:rFonts w:ascii="Times New Roman" w:hAnsi="Times New Roman" w:cs="Times New Roman"/>
          <w:sz w:val="20"/>
          <w:szCs w:val="20"/>
        </w:rPr>
        <w:t xml:space="preserve">rticle 157 of trading law, the firm capital can be increased through establishing new par value stocks or increasing the current </w:t>
      </w:r>
      <w:r w:rsidR="00F679D0" w:rsidRPr="007E4D9A">
        <w:rPr>
          <w:rFonts w:ascii="Times New Roman" w:hAnsi="Times New Roman" w:cs="Times New Roman"/>
          <w:sz w:val="20"/>
          <w:szCs w:val="20"/>
        </w:rPr>
        <w:t>price of stocks and also based on article 158 of trading law, confirming the price of new par value stocks is possible in one of the following ways:</w:t>
      </w:r>
    </w:p>
    <w:p w:rsidR="00F679D0" w:rsidRPr="007E4D9A" w:rsidRDefault="00F679D0" w:rsidP="00253B58">
      <w:pPr>
        <w:pStyle w:val="ListParagraph"/>
        <w:numPr>
          <w:ilvl w:val="0"/>
          <w:numId w:val="4"/>
        </w:numPr>
        <w:spacing w:after="0" w:line="240" w:lineRule="auto"/>
        <w:ind w:left="426" w:hangingChars="213" w:hanging="426"/>
        <w:jc w:val="both"/>
        <w:rPr>
          <w:rFonts w:ascii="Times New Roman" w:hAnsi="Times New Roman" w:cs="Times New Roman"/>
          <w:sz w:val="20"/>
          <w:szCs w:val="20"/>
        </w:rPr>
      </w:pPr>
      <w:r w:rsidRPr="007E4D9A">
        <w:rPr>
          <w:rFonts w:ascii="Times New Roman" w:hAnsi="Times New Roman" w:cs="Times New Roman"/>
          <w:sz w:val="20"/>
          <w:szCs w:val="20"/>
        </w:rPr>
        <w:t>Paying the par value in cash.</w:t>
      </w:r>
    </w:p>
    <w:p w:rsidR="00F679D0" w:rsidRPr="007E4D9A" w:rsidRDefault="00F679D0" w:rsidP="00253B58">
      <w:pPr>
        <w:pStyle w:val="ListParagraph"/>
        <w:numPr>
          <w:ilvl w:val="0"/>
          <w:numId w:val="4"/>
        </w:numPr>
        <w:spacing w:after="0" w:line="240" w:lineRule="auto"/>
        <w:ind w:left="426" w:hangingChars="213" w:hanging="426"/>
        <w:jc w:val="both"/>
        <w:rPr>
          <w:rFonts w:ascii="Times New Roman" w:hAnsi="Times New Roman" w:cs="Times New Roman"/>
          <w:sz w:val="20"/>
          <w:szCs w:val="20"/>
        </w:rPr>
      </w:pPr>
      <w:r w:rsidRPr="007E4D9A">
        <w:rPr>
          <w:rFonts w:ascii="Times New Roman" w:hAnsi="Times New Roman" w:cs="Times New Roman"/>
          <w:sz w:val="20"/>
          <w:szCs w:val="20"/>
        </w:rPr>
        <w:t>Changing updated claims of firm’s individuals into new stocks.</w:t>
      </w:r>
    </w:p>
    <w:p w:rsidR="00F679D0" w:rsidRPr="007E4D9A" w:rsidRDefault="00F679D0" w:rsidP="00253B58">
      <w:pPr>
        <w:pStyle w:val="ListParagraph"/>
        <w:numPr>
          <w:ilvl w:val="0"/>
          <w:numId w:val="4"/>
        </w:numPr>
        <w:spacing w:after="0" w:line="240" w:lineRule="auto"/>
        <w:ind w:left="426" w:hangingChars="213" w:hanging="426"/>
        <w:jc w:val="both"/>
        <w:rPr>
          <w:rFonts w:ascii="Times New Roman" w:hAnsi="Times New Roman" w:cs="Times New Roman"/>
          <w:sz w:val="20"/>
          <w:szCs w:val="20"/>
        </w:rPr>
      </w:pPr>
      <w:r w:rsidRPr="007E4D9A">
        <w:rPr>
          <w:rFonts w:ascii="Times New Roman" w:hAnsi="Times New Roman" w:cs="Times New Roman"/>
          <w:sz w:val="20"/>
          <w:szCs w:val="20"/>
        </w:rPr>
        <w:t>Transferring the non –divided profit or savings into firm’s capital</w:t>
      </w:r>
    </w:p>
    <w:p w:rsidR="00F679D0" w:rsidRPr="007E4D9A" w:rsidRDefault="00F679D0" w:rsidP="00253B58">
      <w:pPr>
        <w:pStyle w:val="ListParagraph"/>
        <w:numPr>
          <w:ilvl w:val="0"/>
          <w:numId w:val="4"/>
        </w:numPr>
        <w:spacing w:after="0" w:line="240" w:lineRule="auto"/>
        <w:ind w:left="426" w:hangingChars="213" w:hanging="426"/>
        <w:jc w:val="both"/>
        <w:rPr>
          <w:rFonts w:ascii="Times New Roman" w:hAnsi="Times New Roman" w:cs="Times New Roman"/>
          <w:sz w:val="20"/>
          <w:szCs w:val="20"/>
        </w:rPr>
      </w:pPr>
      <w:r w:rsidRPr="007E4D9A">
        <w:rPr>
          <w:rFonts w:ascii="Times New Roman" w:hAnsi="Times New Roman" w:cs="Times New Roman"/>
          <w:sz w:val="20"/>
          <w:szCs w:val="20"/>
        </w:rPr>
        <w:t xml:space="preserve">Changing bonds into stocks. </w:t>
      </w:r>
    </w:p>
    <w:p w:rsidR="00F679D0" w:rsidRPr="007E4D9A" w:rsidRDefault="00F679D0" w:rsidP="004C4586">
      <w:pPr>
        <w:pStyle w:val="ListParagraph"/>
        <w:spacing w:after="0" w:line="240" w:lineRule="auto"/>
        <w:ind w:left="-1" w:firstLineChars="211" w:firstLine="422"/>
        <w:jc w:val="both"/>
        <w:rPr>
          <w:rFonts w:ascii="Times New Roman" w:hAnsi="Times New Roman" w:cs="Times New Roman"/>
          <w:sz w:val="20"/>
          <w:szCs w:val="20"/>
        </w:rPr>
      </w:pPr>
      <w:r w:rsidRPr="007E4D9A">
        <w:rPr>
          <w:rFonts w:ascii="Times New Roman" w:hAnsi="Times New Roman" w:cs="Times New Roman"/>
          <w:sz w:val="20"/>
          <w:szCs w:val="20"/>
        </w:rPr>
        <w:t>The form of capital increasing in this study is increasing through cash and claims.</w:t>
      </w:r>
    </w:p>
    <w:p w:rsidR="00F679D0" w:rsidRPr="007E4D9A" w:rsidRDefault="00F679D0" w:rsidP="004C4586">
      <w:pPr>
        <w:pStyle w:val="ListParagraph"/>
        <w:spacing w:after="0" w:line="240" w:lineRule="auto"/>
        <w:ind w:left="-1" w:firstLineChars="211" w:firstLine="422"/>
        <w:jc w:val="both"/>
        <w:rPr>
          <w:rFonts w:ascii="Times New Roman" w:hAnsi="Times New Roman" w:cs="Times New Roman"/>
          <w:sz w:val="20"/>
          <w:szCs w:val="20"/>
        </w:rPr>
      </w:pPr>
      <w:r w:rsidRPr="007E4D9A">
        <w:rPr>
          <w:rFonts w:ascii="Times New Roman" w:hAnsi="Times New Roman" w:cs="Times New Roman"/>
          <w:sz w:val="20"/>
          <w:szCs w:val="20"/>
        </w:rPr>
        <w:t>Abnormal Return</w:t>
      </w:r>
    </w:p>
    <w:p w:rsidR="00F679D0" w:rsidRPr="007E4D9A" w:rsidRDefault="00F679D0" w:rsidP="004C4586">
      <w:pPr>
        <w:pStyle w:val="ListParagraph"/>
        <w:spacing w:after="0" w:line="240" w:lineRule="auto"/>
        <w:ind w:left="-1" w:firstLineChars="211" w:firstLine="422"/>
        <w:jc w:val="both"/>
        <w:rPr>
          <w:rFonts w:ascii="Times New Roman" w:hAnsi="Times New Roman" w:cs="Times New Roman"/>
          <w:sz w:val="20"/>
          <w:szCs w:val="20"/>
        </w:rPr>
      </w:pPr>
      <w:r w:rsidRPr="007E4D9A">
        <w:rPr>
          <w:rFonts w:ascii="Times New Roman" w:hAnsi="Times New Roman" w:cs="Times New Roman"/>
          <w:sz w:val="20"/>
          <w:szCs w:val="20"/>
        </w:rPr>
        <w:t xml:space="preserve">Abnormal return is the difference between real return of firm ( </w:t>
      </w:r>
      <w:proofErr w:type="spellStart"/>
      <w:r w:rsidRPr="007E4D9A">
        <w:rPr>
          <w:rFonts w:ascii="Times New Roman" w:hAnsi="Times New Roman" w:cs="Times New Roman"/>
          <w:sz w:val="20"/>
          <w:szCs w:val="20"/>
        </w:rPr>
        <w:t>Rj.t</w:t>
      </w:r>
      <w:proofErr w:type="spellEnd"/>
      <w:r w:rsidRPr="007E4D9A">
        <w:rPr>
          <w:rFonts w:ascii="Times New Roman" w:hAnsi="Times New Roman" w:cs="Times New Roman"/>
          <w:sz w:val="20"/>
          <w:szCs w:val="20"/>
        </w:rPr>
        <w:t>) and real return of market (</w:t>
      </w:r>
      <w:proofErr w:type="spellStart"/>
      <w:r w:rsidRPr="007E4D9A">
        <w:rPr>
          <w:rFonts w:ascii="Times New Roman" w:hAnsi="Times New Roman" w:cs="Times New Roman"/>
          <w:sz w:val="20"/>
          <w:szCs w:val="20"/>
        </w:rPr>
        <w:t>Rm.t</w:t>
      </w:r>
      <w:proofErr w:type="spellEnd"/>
      <w:r w:rsidRPr="007E4D9A">
        <w:rPr>
          <w:rFonts w:ascii="Times New Roman" w:hAnsi="Times New Roman" w:cs="Times New Roman"/>
          <w:sz w:val="20"/>
          <w:szCs w:val="20"/>
        </w:rPr>
        <w:t xml:space="preserve">) and calculated through </w:t>
      </w:r>
      <w:r w:rsidR="00C34D9B" w:rsidRPr="007E4D9A">
        <w:rPr>
          <w:rFonts w:ascii="Times New Roman" w:hAnsi="Times New Roman" w:cs="Times New Roman"/>
          <w:sz w:val="20"/>
          <w:szCs w:val="20"/>
        </w:rPr>
        <w:t>the following equation:</w:t>
      </w:r>
    </w:p>
    <w:p w:rsidR="00C34D9B" w:rsidRPr="007E4D9A" w:rsidRDefault="00C34D9B" w:rsidP="00253B58">
      <w:pPr>
        <w:pStyle w:val="ListParagraph"/>
        <w:spacing w:after="0" w:line="240" w:lineRule="auto"/>
        <w:ind w:left="-1" w:firstLine="1"/>
        <w:jc w:val="both"/>
        <w:rPr>
          <w:rFonts w:ascii="Times New Roman" w:hAnsi="Times New Roman" w:cs="Times New Roman"/>
          <w:sz w:val="20"/>
          <w:szCs w:val="20"/>
        </w:rPr>
      </w:pPr>
      <w:proofErr w:type="spellStart"/>
      <w:r w:rsidRPr="007E4D9A">
        <w:rPr>
          <w:rFonts w:ascii="Times New Roman" w:hAnsi="Times New Roman" w:cs="Times New Roman"/>
          <w:sz w:val="20"/>
          <w:szCs w:val="20"/>
        </w:rPr>
        <w:t>ARj.t</w:t>
      </w:r>
      <w:proofErr w:type="spellEnd"/>
      <w:r w:rsidRPr="007E4D9A">
        <w:rPr>
          <w:rFonts w:ascii="Times New Roman" w:hAnsi="Times New Roman" w:cs="Times New Roman"/>
          <w:sz w:val="20"/>
          <w:szCs w:val="20"/>
        </w:rPr>
        <w:t>=</w:t>
      </w:r>
      <w:proofErr w:type="spellStart"/>
      <w:r w:rsidRPr="007E4D9A">
        <w:rPr>
          <w:rFonts w:ascii="Times New Roman" w:hAnsi="Times New Roman" w:cs="Times New Roman"/>
          <w:sz w:val="20"/>
          <w:szCs w:val="20"/>
        </w:rPr>
        <w:t>Rj.t-Rm.t</w:t>
      </w:r>
      <w:proofErr w:type="spellEnd"/>
    </w:p>
    <w:p w:rsidR="00C34D9B" w:rsidRPr="007E4D9A" w:rsidRDefault="00C34D9B" w:rsidP="00253B58">
      <w:pPr>
        <w:pStyle w:val="ListParagraph"/>
        <w:spacing w:after="0" w:line="240" w:lineRule="auto"/>
        <w:ind w:left="-1" w:firstLine="1"/>
        <w:jc w:val="both"/>
        <w:rPr>
          <w:rFonts w:ascii="Times New Roman" w:hAnsi="Times New Roman" w:cs="Times New Roman"/>
          <w:sz w:val="20"/>
          <w:szCs w:val="20"/>
        </w:rPr>
      </w:pPr>
      <w:r w:rsidRPr="007E4D9A">
        <w:rPr>
          <w:rFonts w:ascii="Times New Roman" w:hAnsi="Times New Roman" w:cs="Times New Roman"/>
          <w:sz w:val="20"/>
          <w:szCs w:val="20"/>
        </w:rPr>
        <w:t>In this formula:</w:t>
      </w:r>
    </w:p>
    <w:p w:rsidR="00C34D9B" w:rsidRPr="007E4D9A" w:rsidRDefault="00C34D9B" w:rsidP="00253B58">
      <w:pPr>
        <w:pStyle w:val="ListParagraph"/>
        <w:spacing w:after="0" w:line="240" w:lineRule="auto"/>
        <w:ind w:left="-1" w:firstLine="1"/>
        <w:jc w:val="both"/>
        <w:rPr>
          <w:rFonts w:ascii="Times New Roman" w:hAnsi="Times New Roman" w:cs="Times New Roman"/>
          <w:sz w:val="20"/>
          <w:szCs w:val="20"/>
        </w:rPr>
      </w:pPr>
      <w:proofErr w:type="spellStart"/>
      <w:r w:rsidRPr="007E4D9A">
        <w:rPr>
          <w:rFonts w:ascii="Times New Roman" w:hAnsi="Times New Roman" w:cs="Times New Roman"/>
          <w:sz w:val="20"/>
          <w:szCs w:val="20"/>
        </w:rPr>
        <w:t>ARj.t</w:t>
      </w:r>
      <w:proofErr w:type="spellEnd"/>
      <w:r w:rsidRPr="007E4D9A">
        <w:rPr>
          <w:rFonts w:ascii="Times New Roman" w:hAnsi="Times New Roman" w:cs="Times New Roman"/>
          <w:sz w:val="20"/>
          <w:szCs w:val="20"/>
        </w:rPr>
        <w:t>= abnormal return of firm j in the week of t</w:t>
      </w:r>
    </w:p>
    <w:p w:rsidR="00C34D9B" w:rsidRPr="007E4D9A" w:rsidRDefault="00C34D9B" w:rsidP="00253B58">
      <w:pPr>
        <w:pStyle w:val="ListParagraph"/>
        <w:spacing w:after="0" w:line="240" w:lineRule="auto"/>
        <w:ind w:left="-1" w:firstLine="1"/>
        <w:jc w:val="both"/>
        <w:rPr>
          <w:rFonts w:ascii="Times New Roman" w:hAnsi="Times New Roman" w:cs="Times New Roman"/>
          <w:sz w:val="20"/>
          <w:szCs w:val="20"/>
        </w:rPr>
      </w:pPr>
      <w:proofErr w:type="spellStart"/>
      <w:r w:rsidRPr="007E4D9A">
        <w:rPr>
          <w:rFonts w:ascii="Times New Roman" w:hAnsi="Times New Roman" w:cs="Times New Roman"/>
          <w:sz w:val="20"/>
          <w:szCs w:val="20"/>
        </w:rPr>
        <w:t>Rj.t</w:t>
      </w:r>
      <w:proofErr w:type="spellEnd"/>
      <w:r w:rsidRPr="007E4D9A">
        <w:rPr>
          <w:rFonts w:ascii="Times New Roman" w:hAnsi="Times New Roman" w:cs="Times New Roman"/>
          <w:sz w:val="20"/>
          <w:szCs w:val="20"/>
        </w:rPr>
        <w:t>= real return of firm j in the week of t</w:t>
      </w:r>
    </w:p>
    <w:p w:rsidR="00C34D9B" w:rsidRPr="007E4D9A" w:rsidRDefault="00C34D9B" w:rsidP="00253B58">
      <w:pPr>
        <w:pStyle w:val="ListParagraph"/>
        <w:spacing w:after="0" w:line="240" w:lineRule="auto"/>
        <w:ind w:left="-1" w:firstLine="1"/>
        <w:jc w:val="both"/>
        <w:rPr>
          <w:rFonts w:ascii="Times New Roman" w:hAnsi="Times New Roman" w:cs="Times New Roman"/>
          <w:sz w:val="20"/>
          <w:szCs w:val="20"/>
        </w:rPr>
      </w:pPr>
      <w:proofErr w:type="spellStart"/>
      <w:r w:rsidRPr="007E4D9A">
        <w:rPr>
          <w:rFonts w:ascii="Times New Roman" w:hAnsi="Times New Roman" w:cs="Times New Roman"/>
          <w:sz w:val="20"/>
          <w:szCs w:val="20"/>
        </w:rPr>
        <w:t>Rm.t</w:t>
      </w:r>
      <w:proofErr w:type="spellEnd"/>
      <w:r w:rsidRPr="007E4D9A">
        <w:rPr>
          <w:rFonts w:ascii="Times New Roman" w:hAnsi="Times New Roman" w:cs="Times New Roman"/>
          <w:sz w:val="20"/>
          <w:szCs w:val="20"/>
        </w:rPr>
        <w:t>= real return of market in week of t</w:t>
      </w:r>
    </w:p>
    <w:p w:rsidR="00C34D9B" w:rsidRPr="007E4D9A" w:rsidRDefault="00C34D9B" w:rsidP="00253B58">
      <w:pPr>
        <w:pStyle w:val="ListParagraph"/>
        <w:spacing w:after="0" w:line="240" w:lineRule="auto"/>
        <w:ind w:left="-1" w:firstLine="1"/>
        <w:jc w:val="both"/>
        <w:rPr>
          <w:rFonts w:ascii="Times New Roman" w:hAnsi="Times New Roman" w:cs="Times New Roman"/>
          <w:sz w:val="20"/>
          <w:szCs w:val="20"/>
        </w:rPr>
      </w:pPr>
      <w:r w:rsidRPr="007E4D9A">
        <w:rPr>
          <w:rFonts w:ascii="Times New Roman" w:hAnsi="Times New Roman" w:cs="Times New Roman"/>
          <w:sz w:val="20"/>
          <w:szCs w:val="20"/>
        </w:rPr>
        <w:t>The real return of firm (</w:t>
      </w:r>
      <w:proofErr w:type="spellStart"/>
      <w:r w:rsidRPr="007E4D9A">
        <w:rPr>
          <w:rFonts w:ascii="Times New Roman" w:hAnsi="Times New Roman" w:cs="Times New Roman"/>
          <w:sz w:val="20"/>
          <w:szCs w:val="20"/>
        </w:rPr>
        <w:t>Rj.t</w:t>
      </w:r>
      <w:proofErr w:type="spellEnd"/>
      <w:r w:rsidRPr="007E4D9A">
        <w:rPr>
          <w:rFonts w:ascii="Times New Roman" w:hAnsi="Times New Roman" w:cs="Times New Roman"/>
          <w:sz w:val="20"/>
          <w:szCs w:val="20"/>
        </w:rPr>
        <w:t>) is calculated as:</w:t>
      </w:r>
    </w:p>
    <w:p w:rsidR="00C34D9B" w:rsidRPr="007E4D9A" w:rsidRDefault="00C34D9B" w:rsidP="00253B58">
      <w:pPr>
        <w:pStyle w:val="ListParagraph"/>
        <w:spacing w:after="0" w:line="240" w:lineRule="auto"/>
        <w:ind w:left="-1" w:firstLine="1"/>
        <w:jc w:val="both"/>
        <w:rPr>
          <w:rFonts w:ascii="Times New Roman" w:eastAsiaTheme="minorEastAsia" w:hAnsi="Times New Roman" w:cs="Times New Roman"/>
          <w:sz w:val="20"/>
          <w:szCs w:val="20"/>
        </w:rPr>
      </w:pPr>
      <w:proofErr w:type="spellStart"/>
      <w:r w:rsidRPr="007E4D9A">
        <w:rPr>
          <w:rFonts w:ascii="Times New Roman" w:hAnsi="Times New Roman" w:cs="Times New Roman"/>
          <w:sz w:val="20"/>
          <w:szCs w:val="20"/>
        </w:rPr>
        <w:t>Rj.t</w:t>
      </w:r>
      <w:proofErr w:type="spellEnd"/>
      <w:r w:rsidRPr="007E4D9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Rj</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r>
              <w:rPr>
                <w:rFonts w:ascii="Cambria Math" w:hAnsi="Cambria Math" w:cs="Times New Roman"/>
                <w:sz w:val="20"/>
                <w:szCs w:val="20"/>
              </w:rPr>
              <m:t>Dj</m:t>
            </m:r>
            <m:r>
              <w:rPr>
                <w:rFonts w:ascii="Cambria Math" w:hAnsi="Times New Roman" w:cs="Times New Roman"/>
                <w:sz w:val="20"/>
                <w:szCs w:val="20"/>
              </w:rPr>
              <m:t>.</m:t>
            </m:r>
            <m:r>
              <w:rPr>
                <w:rFonts w:ascii="Cambria Math" w:hAnsi="Cambria Math" w:cs="Times New Roman"/>
                <w:sz w:val="20"/>
                <w:szCs w:val="20"/>
              </w:rPr>
              <m:t>t</m:t>
            </m:r>
          </m:num>
          <m:den>
            <m:r>
              <w:rPr>
                <w:rFonts w:ascii="Cambria Math" w:hAnsi="Cambria Math" w:cs="Times New Roman"/>
                <w:sz w:val="20"/>
                <w:szCs w:val="20"/>
              </w:rPr>
              <m:t>Pj</m:t>
            </m:r>
            <m:r>
              <w:rPr>
                <w:rFonts w:ascii="Cambria Math" w:hAnsi="Times New Roman" w:cs="Times New Roman"/>
                <w:sz w:val="20"/>
                <w:szCs w:val="20"/>
              </w:rPr>
              <m:t>.(</m:t>
            </m:r>
            <m:r>
              <w:rPr>
                <w:rFonts w:ascii="Cambria Math" w:hAnsi="Cambria Math" w:cs="Times New Roman"/>
                <w:sz w:val="20"/>
                <w:szCs w:val="20"/>
              </w:rPr>
              <m:t>t</m:t>
            </m:r>
            <m:r>
              <w:rPr>
                <w:rFonts w:ascii="Times New Roman" w:hAnsi="Times New Roman" w:cs="Times New Roman"/>
                <w:sz w:val="20"/>
                <w:szCs w:val="20"/>
              </w:rPr>
              <m:t>-</m:t>
            </m:r>
            <m:r>
              <w:rPr>
                <w:rFonts w:ascii="Cambria Math" w:hAnsi="Times New Roman" w:cs="Times New Roman"/>
                <w:sz w:val="20"/>
                <w:szCs w:val="20"/>
              </w:rPr>
              <m:t>1)</m:t>
            </m:r>
          </m:den>
        </m:f>
      </m:oMath>
      <w:r w:rsidR="007E4D9A" w:rsidRPr="007E4D9A">
        <w:rPr>
          <w:rFonts w:ascii="Times New Roman" w:eastAsiaTheme="minorEastAsia" w:hAnsi="Times New Roman" w:cs="Times New Roman"/>
          <w:sz w:val="20"/>
          <w:szCs w:val="20"/>
        </w:rPr>
        <w:t xml:space="preserve">   </w:t>
      </w:r>
      <w:r w:rsidR="00F11F0D" w:rsidRPr="007E4D9A">
        <w:rPr>
          <w:rFonts w:ascii="Times New Roman" w:eastAsiaTheme="minorEastAsia" w:hAnsi="Times New Roman" w:cs="Times New Roman"/>
          <w:sz w:val="20"/>
          <w:szCs w:val="20"/>
        </w:rPr>
        <w:t>-15‹t‹12 j=1,2,……n</w:t>
      </w:r>
    </w:p>
    <w:p w:rsidR="00F11F0D" w:rsidRPr="007E4D9A" w:rsidRDefault="00F11F0D" w:rsidP="00253B58">
      <w:pPr>
        <w:pStyle w:val="ListParagraph"/>
        <w:spacing w:after="0" w:line="240" w:lineRule="auto"/>
        <w:ind w:left="-1" w:firstLine="1"/>
        <w:jc w:val="both"/>
        <w:rPr>
          <w:rFonts w:ascii="Times New Roman" w:eastAsiaTheme="minorEastAsia" w:hAnsi="Times New Roman" w:cs="Times New Roman"/>
          <w:sz w:val="20"/>
          <w:szCs w:val="20"/>
        </w:rPr>
      </w:pPr>
      <w:proofErr w:type="spellStart"/>
      <w:r w:rsidRPr="007E4D9A">
        <w:rPr>
          <w:rFonts w:ascii="Times New Roman" w:eastAsiaTheme="minorEastAsia" w:hAnsi="Times New Roman" w:cs="Times New Roman"/>
          <w:sz w:val="20"/>
          <w:szCs w:val="20"/>
        </w:rPr>
        <w:t>Rj.t</w:t>
      </w:r>
      <w:proofErr w:type="spellEnd"/>
      <w:r w:rsidRPr="007E4D9A">
        <w:rPr>
          <w:rFonts w:ascii="Times New Roman" w:eastAsiaTheme="minorEastAsia" w:hAnsi="Times New Roman" w:cs="Times New Roman"/>
          <w:sz w:val="20"/>
          <w:szCs w:val="20"/>
        </w:rPr>
        <w:t xml:space="preserve"> = real return of firm j in week t</w:t>
      </w:r>
    </w:p>
    <w:p w:rsidR="00F11F0D" w:rsidRPr="007E4D9A" w:rsidRDefault="00F11F0D" w:rsidP="00253B58">
      <w:pPr>
        <w:pStyle w:val="ListParagraph"/>
        <w:spacing w:after="0" w:line="240" w:lineRule="auto"/>
        <w:ind w:left="-1" w:firstLine="1"/>
        <w:jc w:val="both"/>
        <w:rPr>
          <w:rFonts w:ascii="Times New Roman" w:eastAsiaTheme="minorEastAsia" w:hAnsi="Times New Roman" w:cs="Times New Roman"/>
          <w:sz w:val="20"/>
          <w:szCs w:val="20"/>
        </w:rPr>
      </w:pPr>
      <w:proofErr w:type="spellStart"/>
      <w:r w:rsidRPr="007E4D9A">
        <w:rPr>
          <w:rFonts w:ascii="Times New Roman" w:eastAsiaTheme="minorEastAsia" w:hAnsi="Times New Roman" w:cs="Times New Roman"/>
          <w:sz w:val="20"/>
          <w:szCs w:val="20"/>
        </w:rPr>
        <w:t>Pj</w:t>
      </w:r>
      <w:proofErr w:type="spellEnd"/>
      <w:r w:rsidRPr="007E4D9A">
        <w:rPr>
          <w:rFonts w:ascii="Times New Roman" w:eastAsiaTheme="minorEastAsia" w:hAnsi="Times New Roman" w:cs="Times New Roman"/>
          <w:sz w:val="20"/>
          <w:szCs w:val="20"/>
        </w:rPr>
        <w:t>.(t-1)= the price of stock market of firm j at the end of week t</w:t>
      </w:r>
    </w:p>
    <w:p w:rsidR="00F11F0D" w:rsidRPr="007E4D9A" w:rsidRDefault="00F11F0D" w:rsidP="00253B58">
      <w:pPr>
        <w:pStyle w:val="ListParagraph"/>
        <w:spacing w:after="0" w:line="240" w:lineRule="auto"/>
        <w:ind w:left="-1" w:firstLine="1"/>
        <w:jc w:val="both"/>
        <w:rPr>
          <w:rFonts w:ascii="Times New Roman" w:hAnsi="Times New Roman" w:cs="Times New Roman"/>
          <w:sz w:val="20"/>
          <w:szCs w:val="20"/>
        </w:rPr>
      </w:pPr>
      <w:proofErr w:type="spellStart"/>
      <w:r w:rsidRPr="007E4D9A">
        <w:rPr>
          <w:rFonts w:ascii="Times New Roman" w:hAnsi="Times New Roman" w:cs="Times New Roman"/>
          <w:sz w:val="20"/>
          <w:szCs w:val="20"/>
        </w:rPr>
        <w:t>Dj.t</w:t>
      </w:r>
      <w:proofErr w:type="spellEnd"/>
      <w:r w:rsidRPr="007E4D9A">
        <w:rPr>
          <w:rFonts w:ascii="Times New Roman" w:hAnsi="Times New Roman" w:cs="Times New Roman"/>
          <w:sz w:val="20"/>
          <w:szCs w:val="20"/>
        </w:rPr>
        <w:t xml:space="preserve">= advantages resulted from priority </w:t>
      </w:r>
    </w:p>
    <w:p w:rsidR="00F11F0D" w:rsidRPr="007E4D9A" w:rsidRDefault="00F11F0D" w:rsidP="00253B58">
      <w:pPr>
        <w:pStyle w:val="ListParagraph"/>
        <w:spacing w:after="0" w:line="240" w:lineRule="auto"/>
        <w:ind w:left="-1" w:firstLine="1"/>
        <w:jc w:val="both"/>
        <w:rPr>
          <w:rFonts w:ascii="Times New Roman" w:hAnsi="Times New Roman" w:cs="Times New Roman"/>
          <w:sz w:val="20"/>
          <w:szCs w:val="20"/>
        </w:rPr>
      </w:pPr>
      <w:r w:rsidRPr="007E4D9A">
        <w:rPr>
          <w:rFonts w:ascii="Times New Roman" w:hAnsi="Times New Roman" w:cs="Times New Roman"/>
          <w:sz w:val="20"/>
          <w:szCs w:val="20"/>
        </w:rPr>
        <w:t>The advantages resulted from priority (</w:t>
      </w:r>
      <w:proofErr w:type="spellStart"/>
      <w:r w:rsidRPr="007E4D9A">
        <w:rPr>
          <w:rFonts w:ascii="Times New Roman" w:hAnsi="Times New Roman" w:cs="Times New Roman"/>
          <w:sz w:val="20"/>
          <w:szCs w:val="20"/>
        </w:rPr>
        <w:t>Dj.t</w:t>
      </w:r>
      <w:proofErr w:type="spellEnd"/>
      <w:r w:rsidRPr="007E4D9A">
        <w:rPr>
          <w:rFonts w:ascii="Times New Roman" w:hAnsi="Times New Roman" w:cs="Times New Roman"/>
          <w:sz w:val="20"/>
          <w:szCs w:val="20"/>
        </w:rPr>
        <w:t>) is calculated via:</w:t>
      </w:r>
    </w:p>
    <w:p w:rsidR="00F11F0D" w:rsidRPr="007E4D9A" w:rsidRDefault="00F11F0D" w:rsidP="00253B58">
      <w:pPr>
        <w:pStyle w:val="ListParagraph"/>
        <w:spacing w:after="0" w:line="240" w:lineRule="auto"/>
        <w:ind w:left="-1" w:firstLine="1"/>
        <w:jc w:val="both"/>
        <w:rPr>
          <w:rFonts w:ascii="Times New Roman" w:hAnsi="Times New Roman" w:cs="Times New Roman"/>
          <w:sz w:val="20"/>
          <w:szCs w:val="20"/>
        </w:rPr>
      </w:pPr>
      <w:proofErr w:type="spellStart"/>
      <w:r w:rsidRPr="007E4D9A">
        <w:rPr>
          <w:rFonts w:ascii="Times New Roman" w:hAnsi="Times New Roman" w:cs="Times New Roman"/>
          <w:sz w:val="20"/>
          <w:szCs w:val="20"/>
        </w:rPr>
        <w:t>D</w:t>
      </w:r>
      <w:r w:rsidR="00896976" w:rsidRPr="007E4D9A">
        <w:rPr>
          <w:rFonts w:ascii="Times New Roman" w:hAnsi="Times New Roman" w:cs="Times New Roman"/>
          <w:sz w:val="20"/>
          <w:szCs w:val="20"/>
        </w:rPr>
        <w:t>j.t</w:t>
      </w:r>
      <w:proofErr w:type="spellEnd"/>
      <w:r w:rsidR="00896976" w:rsidRPr="007E4D9A">
        <w:rPr>
          <w:rFonts w:ascii="Times New Roman" w:hAnsi="Times New Roman" w:cs="Times New Roman"/>
          <w:sz w:val="20"/>
          <w:szCs w:val="20"/>
        </w:rPr>
        <w:t>=PPR (PAMj-1000)</w:t>
      </w:r>
    </w:p>
    <w:p w:rsidR="00896976" w:rsidRPr="007E4D9A" w:rsidRDefault="00896976" w:rsidP="00253B58">
      <w:pPr>
        <w:pStyle w:val="ListParagraph"/>
        <w:spacing w:after="0" w:line="240" w:lineRule="auto"/>
        <w:ind w:left="-1" w:firstLine="1"/>
        <w:jc w:val="both"/>
        <w:rPr>
          <w:rFonts w:ascii="Times New Roman" w:hAnsi="Times New Roman" w:cs="Times New Roman"/>
          <w:sz w:val="20"/>
          <w:szCs w:val="20"/>
        </w:rPr>
      </w:pPr>
      <w:r w:rsidRPr="007E4D9A">
        <w:rPr>
          <w:rFonts w:ascii="Times New Roman" w:hAnsi="Times New Roman" w:cs="Times New Roman"/>
          <w:sz w:val="20"/>
          <w:szCs w:val="20"/>
        </w:rPr>
        <w:t>In this formula:</w:t>
      </w:r>
    </w:p>
    <w:p w:rsidR="00896976" w:rsidRPr="007E4D9A" w:rsidRDefault="00896976" w:rsidP="00253B58">
      <w:pPr>
        <w:pStyle w:val="ListParagraph"/>
        <w:spacing w:after="0" w:line="240" w:lineRule="auto"/>
        <w:ind w:left="-1" w:firstLine="1"/>
        <w:jc w:val="both"/>
        <w:rPr>
          <w:rFonts w:ascii="Times New Roman" w:hAnsi="Times New Roman" w:cs="Times New Roman"/>
          <w:sz w:val="20"/>
          <w:szCs w:val="20"/>
        </w:rPr>
      </w:pPr>
      <w:r w:rsidRPr="007E4D9A">
        <w:rPr>
          <w:rFonts w:ascii="Times New Roman" w:hAnsi="Times New Roman" w:cs="Times New Roman"/>
          <w:sz w:val="20"/>
          <w:szCs w:val="20"/>
        </w:rPr>
        <w:t>PPR= capital increasing from cash and claims</w:t>
      </w:r>
    </w:p>
    <w:p w:rsidR="00896976" w:rsidRPr="007E4D9A" w:rsidRDefault="00896976" w:rsidP="00253B58">
      <w:pPr>
        <w:pStyle w:val="ListParagraph"/>
        <w:spacing w:after="0" w:line="240" w:lineRule="auto"/>
        <w:ind w:left="-1" w:firstLine="1"/>
        <w:jc w:val="both"/>
        <w:rPr>
          <w:rFonts w:ascii="Times New Roman" w:hAnsi="Times New Roman" w:cs="Times New Roman"/>
          <w:sz w:val="20"/>
          <w:szCs w:val="20"/>
        </w:rPr>
      </w:pPr>
      <w:r w:rsidRPr="007E4D9A">
        <w:rPr>
          <w:rFonts w:ascii="Times New Roman" w:hAnsi="Times New Roman" w:cs="Times New Roman"/>
          <w:sz w:val="20"/>
          <w:szCs w:val="20"/>
        </w:rPr>
        <w:t>PAM= the first stock market price of firm j after board meeting extra ordinary</w:t>
      </w:r>
    </w:p>
    <w:p w:rsidR="00896976" w:rsidRPr="007E4D9A" w:rsidRDefault="00896976" w:rsidP="00253B58">
      <w:pPr>
        <w:pStyle w:val="ListParagraph"/>
        <w:spacing w:after="0" w:line="240" w:lineRule="auto"/>
        <w:ind w:left="-1" w:firstLine="1"/>
        <w:jc w:val="both"/>
        <w:rPr>
          <w:rFonts w:ascii="Times New Roman" w:hAnsi="Times New Roman" w:cs="Times New Roman"/>
          <w:sz w:val="20"/>
          <w:szCs w:val="20"/>
        </w:rPr>
      </w:pPr>
      <w:r w:rsidRPr="007E4D9A">
        <w:rPr>
          <w:rFonts w:ascii="Times New Roman" w:hAnsi="Times New Roman" w:cs="Times New Roman"/>
          <w:sz w:val="20"/>
          <w:szCs w:val="20"/>
        </w:rPr>
        <w:t>1000= par value of every share accepted in Tehran Stock Exchange</w:t>
      </w:r>
    </w:p>
    <w:p w:rsidR="00896976" w:rsidRPr="007E4D9A" w:rsidRDefault="00896976" w:rsidP="00253B58">
      <w:pPr>
        <w:pStyle w:val="ListParagraph"/>
        <w:spacing w:after="0" w:line="240" w:lineRule="auto"/>
        <w:ind w:left="-1" w:firstLine="1"/>
        <w:jc w:val="both"/>
        <w:rPr>
          <w:rFonts w:ascii="Times New Roman" w:hAnsi="Times New Roman" w:cs="Times New Roman"/>
          <w:sz w:val="20"/>
          <w:szCs w:val="20"/>
        </w:rPr>
      </w:pPr>
      <w:r w:rsidRPr="007E4D9A">
        <w:rPr>
          <w:rFonts w:ascii="Times New Roman" w:hAnsi="Times New Roman" w:cs="Times New Roman"/>
          <w:sz w:val="20"/>
          <w:szCs w:val="20"/>
        </w:rPr>
        <w:t>Real return of market is calculated through:</w:t>
      </w:r>
    </w:p>
    <w:p w:rsidR="00896976" w:rsidRPr="007E4D9A" w:rsidRDefault="00896976" w:rsidP="00253B58">
      <w:pPr>
        <w:pStyle w:val="ListParagraph"/>
        <w:spacing w:after="0" w:line="240" w:lineRule="auto"/>
        <w:ind w:left="-1" w:firstLine="1"/>
        <w:jc w:val="both"/>
        <w:rPr>
          <w:rFonts w:ascii="Times New Roman" w:eastAsiaTheme="minorEastAsia" w:hAnsi="Times New Roman" w:cs="Times New Roman"/>
          <w:sz w:val="20"/>
          <w:szCs w:val="20"/>
        </w:rPr>
      </w:pPr>
      <w:proofErr w:type="spellStart"/>
      <w:r w:rsidRPr="007E4D9A">
        <w:rPr>
          <w:rFonts w:ascii="Times New Roman" w:hAnsi="Times New Roman" w:cs="Times New Roman"/>
          <w:sz w:val="20"/>
          <w:szCs w:val="20"/>
        </w:rPr>
        <w:t>Rm.t</w:t>
      </w:r>
      <w:proofErr w:type="spellEnd"/>
      <w:r w:rsidRPr="007E4D9A">
        <w:rPr>
          <w:rFonts w:ascii="Times New Roman" w:hAnsi="Times New Roman" w:cs="Times New Roman"/>
          <w:sz w:val="20"/>
          <w:szCs w:val="20"/>
        </w:rPr>
        <w:t>=</w:t>
      </w:r>
      <m:oMath>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t</m:t>
            </m:r>
          </m:num>
          <m:den>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t</m:t>
            </m:r>
            <m:r>
              <w:rPr>
                <w:rFonts w:ascii="Times New Roman" w:hAnsi="Times New Roman" w:cs="Times New Roman"/>
                <w:sz w:val="20"/>
                <w:szCs w:val="20"/>
              </w:rPr>
              <m:t>-</m:t>
            </m:r>
            <m:r>
              <w:rPr>
                <w:rFonts w:ascii="Cambria Math" w:hAnsi="Times New Roman" w:cs="Times New Roman"/>
                <w:sz w:val="20"/>
                <w:szCs w:val="20"/>
              </w:rPr>
              <m:t>1)</m:t>
            </m:r>
          </m:den>
        </m:f>
      </m:oMath>
      <w:r w:rsidRPr="007E4D9A">
        <w:rPr>
          <w:rFonts w:ascii="Times New Roman" w:eastAsiaTheme="minorEastAsia" w:hAnsi="Times New Roman" w:cs="Times New Roman"/>
          <w:sz w:val="20"/>
          <w:szCs w:val="20"/>
        </w:rPr>
        <w:t xml:space="preserve"> </w:t>
      </w:r>
      <m:oMath>
        <m:r>
          <w:rPr>
            <w:rFonts w:ascii="Cambria Math" w:eastAsiaTheme="minorEastAsia"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It</m:t>
            </m:r>
            <m:r>
              <w:rPr>
                <w:rFonts w:ascii="Times New Roman" w:hAnsi="Times New Roman" w:cs="Times New Roman"/>
                <w:sz w:val="20"/>
                <w:szCs w:val="20"/>
              </w:rPr>
              <m:t>-</m:t>
            </m:r>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t</m:t>
            </m:r>
            <m:r>
              <w:rPr>
                <w:rFonts w:ascii="Times New Roman" w:hAnsi="Times New Roman" w:cs="Times New Roman"/>
                <w:sz w:val="20"/>
                <w:szCs w:val="20"/>
              </w:rPr>
              <m:t>-</m:t>
            </m:r>
            <m:r>
              <w:rPr>
                <w:rFonts w:ascii="Cambria Math" w:hAnsi="Times New Roman" w:cs="Times New Roman"/>
                <w:sz w:val="20"/>
                <w:szCs w:val="20"/>
              </w:rPr>
              <m:t>1)</m:t>
            </m:r>
          </m:num>
          <m:den>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t</m:t>
            </m:r>
            <m:r>
              <w:rPr>
                <w:rFonts w:ascii="Times New Roman" w:hAnsi="Times New Roman" w:cs="Times New Roman"/>
                <w:sz w:val="20"/>
                <w:szCs w:val="20"/>
              </w:rPr>
              <m:t>-</m:t>
            </m:r>
            <m:r>
              <w:rPr>
                <w:rFonts w:ascii="Cambria Math" w:hAnsi="Times New Roman" w:cs="Times New Roman"/>
                <w:sz w:val="20"/>
                <w:szCs w:val="20"/>
              </w:rPr>
              <m:t>1)</m:t>
            </m:r>
          </m:den>
        </m:f>
      </m:oMath>
      <w:r w:rsidR="007E4D9A" w:rsidRPr="007E4D9A">
        <w:rPr>
          <w:rFonts w:ascii="Times New Roman" w:eastAsiaTheme="minorEastAsia" w:hAnsi="Times New Roman" w:cs="Times New Roman"/>
          <w:sz w:val="20"/>
          <w:szCs w:val="20"/>
        </w:rPr>
        <w:t xml:space="preserve">   </w:t>
      </w:r>
    </w:p>
    <w:p w:rsidR="00D1241B" w:rsidRPr="007E4D9A" w:rsidRDefault="00896976" w:rsidP="00253B58">
      <w:pPr>
        <w:pStyle w:val="ListParagraph"/>
        <w:spacing w:after="0" w:line="240" w:lineRule="auto"/>
        <w:ind w:left="-1" w:firstLine="1"/>
        <w:jc w:val="both"/>
        <w:rPr>
          <w:rFonts w:ascii="Times New Roman" w:eastAsiaTheme="minorEastAsia" w:hAnsi="Times New Roman" w:cs="Times New Roman"/>
          <w:sz w:val="20"/>
          <w:szCs w:val="20"/>
        </w:rPr>
      </w:pPr>
      <w:r w:rsidRPr="007E4D9A">
        <w:rPr>
          <w:rFonts w:ascii="Times New Roman" w:eastAsiaTheme="minorEastAsia" w:hAnsi="Times New Roman" w:cs="Times New Roman"/>
          <w:sz w:val="20"/>
          <w:szCs w:val="20"/>
        </w:rPr>
        <w:t xml:space="preserve">In this formula: </w:t>
      </w:r>
      <w:proofErr w:type="spellStart"/>
      <w:r w:rsidRPr="007E4D9A">
        <w:rPr>
          <w:rFonts w:ascii="Times New Roman" w:eastAsiaTheme="minorEastAsia" w:hAnsi="Times New Roman" w:cs="Times New Roman"/>
          <w:sz w:val="20"/>
          <w:szCs w:val="20"/>
        </w:rPr>
        <w:t>Rm.t</w:t>
      </w:r>
      <w:proofErr w:type="spellEnd"/>
      <w:r w:rsidRPr="007E4D9A">
        <w:rPr>
          <w:rFonts w:ascii="Times New Roman" w:eastAsiaTheme="minorEastAsia" w:hAnsi="Times New Roman" w:cs="Times New Roman"/>
          <w:sz w:val="20"/>
          <w:szCs w:val="20"/>
        </w:rPr>
        <w:t xml:space="preserve">= real return </w:t>
      </w:r>
      <w:r w:rsidR="00D1241B" w:rsidRPr="007E4D9A">
        <w:rPr>
          <w:rFonts w:ascii="Times New Roman" w:eastAsiaTheme="minorEastAsia" w:hAnsi="Times New Roman" w:cs="Times New Roman"/>
          <w:sz w:val="20"/>
          <w:szCs w:val="20"/>
        </w:rPr>
        <w:t>in week t</w:t>
      </w:r>
    </w:p>
    <w:p w:rsidR="00D1241B" w:rsidRPr="007E4D9A" w:rsidRDefault="00D1241B" w:rsidP="00253B58">
      <w:pPr>
        <w:pStyle w:val="ListParagraph"/>
        <w:spacing w:after="0" w:line="240" w:lineRule="auto"/>
        <w:ind w:left="-1" w:firstLine="1"/>
        <w:jc w:val="both"/>
        <w:rPr>
          <w:rFonts w:ascii="Times New Roman" w:eastAsiaTheme="minorEastAsia" w:hAnsi="Times New Roman" w:cs="Times New Roman"/>
          <w:sz w:val="20"/>
          <w:szCs w:val="20"/>
        </w:rPr>
      </w:pPr>
      <w:r w:rsidRPr="007E4D9A">
        <w:rPr>
          <w:rFonts w:ascii="Times New Roman" w:eastAsiaTheme="minorEastAsia" w:hAnsi="Times New Roman" w:cs="Times New Roman"/>
          <w:sz w:val="20"/>
          <w:szCs w:val="20"/>
        </w:rPr>
        <w:t>It= total stock market index at the end of week t</w:t>
      </w:r>
    </w:p>
    <w:p w:rsidR="00D1241B" w:rsidRPr="007E4D9A" w:rsidRDefault="00D1241B" w:rsidP="00253B58">
      <w:pPr>
        <w:pStyle w:val="ListParagraph"/>
        <w:spacing w:after="0" w:line="240" w:lineRule="auto"/>
        <w:ind w:left="-1" w:firstLine="1"/>
        <w:jc w:val="both"/>
        <w:rPr>
          <w:rFonts w:ascii="Times New Roman" w:eastAsiaTheme="minorEastAsia" w:hAnsi="Times New Roman" w:cs="Times New Roman"/>
          <w:sz w:val="20"/>
          <w:szCs w:val="20"/>
        </w:rPr>
      </w:pPr>
      <w:r w:rsidRPr="007E4D9A">
        <w:rPr>
          <w:rFonts w:ascii="Times New Roman" w:eastAsiaTheme="minorEastAsia" w:hAnsi="Times New Roman" w:cs="Times New Roman"/>
          <w:sz w:val="20"/>
          <w:szCs w:val="20"/>
        </w:rPr>
        <w:t>I(t-1)= total stock market index at the end of week before week t</w:t>
      </w:r>
    </w:p>
    <w:p w:rsidR="00D1241B" w:rsidRPr="007E4D9A" w:rsidRDefault="00D1241B" w:rsidP="004C4586">
      <w:pPr>
        <w:pStyle w:val="ListParagraph"/>
        <w:spacing w:after="0" w:line="240" w:lineRule="auto"/>
        <w:ind w:left="-1" w:firstLineChars="211" w:firstLine="422"/>
        <w:jc w:val="both"/>
        <w:rPr>
          <w:rFonts w:ascii="Times New Roman" w:eastAsiaTheme="minorEastAsia" w:hAnsi="Times New Roman" w:cs="Times New Roman"/>
          <w:sz w:val="20"/>
          <w:szCs w:val="20"/>
        </w:rPr>
      </w:pPr>
      <w:r w:rsidRPr="007E4D9A">
        <w:rPr>
          <w:rFonts w:ascii="Times New Roman" w:eastAsiaTheme="minorEastAsia" w:hAnsi="Times New Roman" w:cs="Times New Roman"/>
          <w:sz w:val="20"/>
          <w:szCs w:val="20"/>
        </w:rPr>
        <w:t>Capital increasing percent</w:t>
      </w:r>
    </w:p>
    <w:p w:rsidR="00D1241B" w:rsidRPr="007E4D9A" w:rsidRDefault="00D1241B" w:rsidP="004C4586">
      <w:pPr>
        <w:pStyle w:val="ListParagraph"/>
        <w:spacing w:after="0" w:line="240" w:lineRule="auto"/>
        <w:ind w:left="-1" w:firstLineChars="211" w:firstLine="422"/>
        <w:jc w:val="both"/>
        <w:rPr>
          <w:rFonts w:ascii="Times New Roman" w:eastAsiaTheme="minorEastAsia" w:hAnsi="Times New Roman" w:cs="Times New Roman"/>
          <w:sz w:val="20"/>
          <w:szCs w:val="20"/>
        </w:rPr>
      </w:pPr>
      <w:r w:rsidRPr="007E4D9A">
        <w:rPr>
          <w:rFonts w:ascii="Times New Roman" w:eastAsiaTheme="minorEastAsia" w:hAnsi="Times New Roman" w:cs="Times New Roman"/>
          <w:sz w:val="20"/>
          <w:szCs w:val="20"/>
        </w:rPr>
        <w:t>Amount of capital increasing is calculated through the following equation:</w:t>
      </w:r>
    </w:p>
    <w:p w:rsidR="00253B58" w:rsidRPr="007E4D9A" w:rsidRDefault="00D1241B" w:rsidP="004C4586">
      <w:pPr>
        <w:spacing w:after="0" w:line="240" w:lineRule="auto"/>
        <w:jc w:val="both"/>
        <w:rPr>
          <w:rFonts w:ascii="Times New Roman" w:eastAsiaTheme="minorEastAsia" w:hAnsi="Times New Roman" w:cs="Times New Roman"/>
          <w:sz w:val="20"/>
          <w:szCs w:val="20"/>
        </w:rPr>
      </w:pPr>
      <w:r w:rsidRPr="007E4D9A">
        <w:rPr>
          <w:rFonts w:ascii="Times New Roman" w:eastAsiaTheme="minorEastAsia" w:hAnsi="Times New Roman" w:cs="Times New Roman"/>
          <w:sz w:val="20"/>
          <w:szCs w:val="20"/>
        </w:rPr>
        <w:t>Capital</w:t>
      </w:r>
    </w:p>
    <w:p w:rsidR="007E4D9A" w:rsidRPr="007E4D9A" w:rsidRDefault="007E4D9A" w:rsidP="004C4586">
      <w:pPr>
        <w:spacing w:after="0" w:line="240" w:lineRule="auto"/>
        <w:jc w:val="both"/>
        <w:rPr>
          <w:rFonts w:ascii="Times New Roman" w:eastAsiaTheme="minorEastAsia" w:hAnsi="Times New Roman" w:cs="Times New Roman"/>
          <w:sz w:val="20"/>
          <w:szCs w:val="20"/>
        </w:rPr>
        <w:sectPr w:rsidR="007E4D9A" w:rsidRPr="007E4D9A" w:rsidSect="007E4D9A">
          <w:type w:val="continuous"/>
          <w:pgSz w:w="12240" w:h="15840" w:code="1"/>
          <w:pgMar w:top="1440" w:right="1440" w:bottom="1440" w:left="1440" w:header="720" w:footer="720" w:gutter="0"/>
          <w:cols w:num="2" w:space="720"/>
          <w:docGrid w:linePitch="360"/>
        </w:sectPr>
      </w:pPr>
    </w:p>
    <w:p w:rsidR="007E4D9A" w:rsidRPr="007E4D9A" w:rsidRDefault="007E4D9A" w:rsidP="004C4586">
      <w:pPr>
        <w:spacing w:after="0" w:line="240" w:lineRule="auto"/>
        <w:jc w:val="both"/>
        <w:rPr>
          <w:rFonts w:ascii="Times New Roman" w:eastAsiaTheme="minorEastAsia" w:hAnsi="Times New Roman" w:cs="Times New Roman"/>
          <w:sz w:val="20"/>
          <w:szCs w:val="20"/>
        </w:rPr>
      </w:pPr>
    </w:p>
    <w:p w:rsidR="00896976" w:rsidRPr="007E4D9A" w:rsidRDefault="00D1241B" w:rsidP="004C4586">
      <w:pPr>
        <w:spacing w:after="0" w:line="240" w:lineRule="auto"/>
        <w:jc w:val="both"/>
        <w:rPr>
          <w:rFonts w:ascii="Times New Roman" w:eastAsiaTheme="minorEastAsia" w:hAnsi="Times New Roman" w:cs="Times New Roman"/>
          <w:sz w:val="20"/>
          <w:szCs w:val="20"/>
        </w:rPr>
      </w:pPr>
      <w:r w:rsidRPr="007E4D9A">
        <w:rPr>
          <w:rFonts w:ascii="Times New Roman" w:eastAsiaTheme="minorEastAsia" w:hAnsi="Times New Roman" w:cs="Times New Roman"/>
          <w:sz w:val="20"/>
          <w:szCs w:val="20"/>
        </w:rPr>
        <w:t>Increasing=</w:t>
      </w:r>
    </w:p>
    <w:p w:rsidR="007E4D9A" w:rsidRPr="007E4D9A" w:rsidRDefault="002232E6" w:rsidP="004C4586">
      <w:pPr>
        <w:spacing w:after="0" w:line="240" w:lineRule="auto"/>
        <w:jc w:val="both"/>
        <w:rPr>
          <w:rFonts w:ascii="Times New Roman" w:eastAsiaTheme="minorEastAsia"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Number</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s</m:t>
              </m:r>
              <m:r>
                <w:rPr>
                  <w:rFonts w:ascii="Times New Roman" w:hAnsi="Cambria Math" w:cs="Times New Roman"/>
                  <w:sz w:val="20"/>
                  <w:szCs w:val="20"/>
                </w:rPr>
                <m:t>h</m:t>
              </m:r>
              <m:r>
                <w:rPr>
                  <w:rFonts w:ascii="Cambria Math" w:hAnsi="Cambria Math" w:cs="Times New Roman"/>
                  <w:sz w:val="20"/>
                  <w:szCs w:val="20"/>
                </w:rPr>
                <m:t>ares</m:t>
              </m:r>
              <m:r>
                <w:rPr>
                  <w:rFonts w:ascii="Cambria Math" w:hAnsi="Times New Roman" w:cs="Times New Roman"/>
                  <w:sz w:val="20"/>
                  <w:szCs w:val="20"/>
                </w:rPr>
                <m:t xml:space="preserve"> </m:t>
              </m:r>
              <m:r>
                <w:rPr>
                  <w:rFonts w:ascii="Cambria Math" w:hAnsi="Cambria Math" w:cs="Times New Roman"/>
                  <w:sz w:val="20"/>
                  <w:szCs w:val="20"/>
                </w:rPr>
                <m:t>after</m:t>
              </m:r>
              <m:r>
                <w:rPr>
                  <w:rFonts w:ascii="Cambria Math" w:hAnsi="Times New Roman" w:cs="Times New Roman"/>
                  <w:sz w:val="20"/>
                  <w:szCs w:val="20"/>
                </w:rPr>
                <m:t xml:space="preserve"> </m:t>
              </m:r>
              <m:r>
                <w:rPr>
                  <w:rFonts w:ascii="Cambria Math" w:hAnsi="Cambria Math" w:cs="Times New Roman"/>
                  <w:sz w:val="20"/>
                  <w:szCs w:val="20"/>
                </w:rPr>
                <m:t>capital</m:t>
              </m:r>
              <m:r>
                <w:rPr>
                  <w:rFonts w:ascii="Cambria Math" w:hAnsi="Times New Roman" w:cs="Times New Roman"/>
                  <w:sz w:val="20"/>
                  <w:szCs w:val="20"/>
                </w:rPr>
                <m:t xml:space="preserve"> </m:t>
              </m:r>
              <m:r>
                <w:rPr>
                  <w:rFonts w:ascii="Cambria Math" w:hAnsi="Cambria Math" w:cs="Times New Roman"/>
                  <w:sz w:val="20"/>
                  <w:szCs w:val="20"/>
                </w:rPr>
                <m:t>increasing</m:t>
              </m:r>
              <m:r>
                <w:rPr>
                  <w:rFonts w:ascii="Times New Roman" w:hAnsi="Times New Roman" w:cs="Times New Roman"/>
                  <w:sz w:val="20"/>
                  <w:szCs w:val="20"/>
                </w:rPr>
                <m:t>-</m:t>
              </m:r>
              <m:r>
                <w:rPr>
                  <w:rFonts w:ascii="Cambria Math" w:hAnsi="Cambria Math" w:cs="Times New Roman"/>
                  <w:sz w:val="20"/>
                  <w:szCs w:val="20"/>
                </w:rPr>
                <m:t>number</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s</m:t>
              </m:r>
              <m:r>
                <w:rPr>
                  <w:rFonts w:ascii="Times New Roman" w:hAnsi="Cambria Math" w:cs="Times New Roman"/>
                  <w:sz w:val="20"/>
                  <w:szCs w:val="20"/>
                </w:rPr>
                <m:t>h</m:t>
              </m:r>
              <m:r>
                <w:rPr>
                  <w:rFonts w:ascii="Cambria Math" w:hAnsi="Cambria Math" w:cs="Times New Roman"/>
                  <w:sz w:val="20"/>
                  <w:szCs w:val="20"/>
                </w:rPr>
                <m:t>ares</m:t>
              </m:r>
              <m:r>
                <w:rPr>
                  <w:rFonts w:ascii="Cambria Math" w:hAnsi="Times New Roman" w:cs="Times New Roman"/>
                  <w:sz w:val="20"/>
                  <w:szCs w:val="20"/>
                </w:rPr>
                <m:t xml:space="preserve"> </m:t>
              </m:r>
              <m:r>
                <w:rPr>
                  <w:rFonts w:ascii="Cambria Math" w:hAnsi="Cambria Math" w:cs="Times New Roman"/>
                  <w:sz w:val="20"/>
                  <w:szCs w:val="20"/>
                </w:rPr>
                <m:t>beforecapital</m:t>
              </m:r>
              <m:r>
                <w:rPr>
                  <w:rFonts w:ascii="Cambria Math" w:hAnsi="Times New Roman" w:cs="Times New Roman"/>
                  <w:sz w:val="20"/>
                  <w:szCs w:val="20"/>
                </w:rPr>
                <m:t xml:space="preserve"> </m:t>
              </m:r>
              <m:r>
                <w:rPr>
                  <w:rFonts w:ascii="Cambria Math" w:hAnsi="Cambria Math" w:cs="Times New Roman"/>
                  <w:sz w:val="20"/>
                  <w:szCs w:val="20"/>
                </w:rPr>
                <m:t>increasing</m:t>
              </m:r>
            </m:num>
            <m:den>
              <m:r>
                <w:rPr>
                  <w:rFonts w:ascii="Cambria Math" w:hAnsi="Cambria Math" w:cs="Times New Roman"/>
                  <w:sz w:val="20"/>
                  <w:szCs w:val="20"/>
                </w:rPr>
                <m:t>Number</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s</m:t>
              </m:r>
              <m:r>
                <w:rPr>
                  <w:rFonts w:ascii="Times New Roman" w:hAnsi="Cambria Math" w:cs="Times New Roman"/>
                  <w:sz w:val="20"/>
                  <w:szCs w:val="20"/>
                </w:rPr>
                <m:t>h</m:t>
              </m:r>
              <m:r>
                <w:rPr>
                  <w:rFonts w:ascii="Cambria Math" w:hAnsi="Cambria Math" w:cs="Times New Roman"/>
                  <w:sz w:val="20"/>
                  <w:szCs w:val="20"/>
                </w:rPr>
                <m:t>are</m:t>
              </m:r>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before</m:t>
              </m:r>
              <m:r>
                <w:rPr>
                  <w:rFonts w:ascii="Cambria Math" w:hAnsi="Times New Roman" w:cs="Times New Roman"/>
                  <w:sz w:val="20"/>
                  <w:szCs w:val="20"/>
                </w:rPr>
                <m:t xml:space="preserve"> </m:t>
              </m:r>
              <m:r>
                <w:rPr>
                  <w:rFonts w:ascii="Cambria Math" w:hAnsi="Cambria Math" w:cs="Times New Roman"/>
                  <w:sz w:val="20"/>
                  <w:szCs w:val="20"/>
                </w:rPr>
                <m:t>capital</m:t>
              </m:r>
              <m:r>
                <w:rPr>
                  <w:rFonts w:ascii="Cambria Math" w:hAnsi="Times New Roman" w:cs="Times New Roman"/>
                  <w:sz w:val="20"/>
                  <w:szCs w:val="20"/>
                </w:rPr>
                <m:t xml:space="preserve"> </m:t>
              </m:r>
              <m:r>
                <w:rPr>
                  <w:rFonts w:ascii="Cambria Math" w:hAnsi="Cambria Math" w:cs="Times New Roman"/>
                  <w:sz w:val="20"/>
                  <w:szCs w:val="20"/>
                </w:rPr>
                <m:t>Increasing</m:t>
              </m:r>
            </m:den>
          </m:f>
        </m:oMath>
      </m:oMathPara>
    </w:p>
    <w:p w:rsidR="00253B58" w:rsidRPr="007E4D9A" w:rsidRDefault="00253B58" w:rsidP="004C4586">
      <w:pPr>
        <w:spacing w:after="0" w:line="240" w:lineRule="auto"/>
        <w:jc w:val="both"/>
        <w:rPr>
          <w:rFonts w:ascii="Times New Roman" w:hAnsi="Times New Roman" w:cs="Times New Roman"/>
          <w:b/>
          <w:bCs/>
          <w:sz w:val="20"/>
          <w:szCs w:val="20"/>
        </w:rPr>
      </w:pPr>
    </w:p>
    <w:p w:rsidR="007E4D9A" w:rsidRDefault="007E4D9A" w:rsidP="004C4586">
      <w:pPr>
        <w:spacing w:after="0" w:line="240" w:lineRule="auto"/>
        <w:jc w:val="both"/>
        <w:rPr>
          <w:rFonts w:ascii="Times New Roman" w:hAnsi="Times New Roman" w:cs="Times New Roman"/>
          <w:b/>
          <w:bCs/>
          <w:sz w:val="20"/>
          <w:szCs w:val="20"/>
        </w:rPr>
      </w:pPr>
    </w:p>
    <w:p w:rsidR="007E4D9A" w:rsidRPr="007E4D9A" w:rsidRDefault="007E4D9A" w:rsidP="004C4586">
      <w:pPr>
        <w:spacing w:after="0" w:line="240" w:lineRule="auto"/>
        <w:jc w:val="both"/>
        <w:rPr>
          <w:rFonts w:ascii="Times New Roman" w:hAnsi="Times New Roman" w:cs="Times New Roman"/>
          <w:b/>
          <w:bCs/>
          <w:sz w:val="20"/>
          <w:szCs w:val="20"/>
        </w:rPr>
        <w:sectPr w:rsidR="007E4D9A" w:rsidRPr="007E4D9A" w:rsidSect="007E4D9A">
          <w:type w:val="continuous"/>
          <w:pgSz w:w="12240" w:h="15840" w:code="1"/>
          <w:pgMar w:top="1440" w:right="1440" w:bottom="1440" w:left="1440" w:header="720" w:footer="720" w:gutter="0"/>
          <w:cols w:space="720"/>
          <w:docGrid w:linePitch="360"/>
        </w:sectPr>
      </w:pPr>
    </w:p>
    <w:p w:rsidR="004238C2" w:rsidRPr="007E4D9A" w:rsidRDefault="00D26636" w:rsidP="004C4586">
      <w:pPr>
        <w:spacing w:after="0" w:line="240" w:lineRule="auto"/>
        <w:jc w:val="both"/>
        <w:rPr>
          <w:rFonts w:ascii="Times New Roman" w:hAnsi="Times New Roman" w:cs="Times New Roman"/>
          <w:b/>
          <w:bCs/>
          <w:sz w:val="20"/>
          <w:szCs w:val="20"/>
        </w:rPr>
      </w:pPr>
      <w:r w:rsidRPr="007E4D9A">
        <w:rPr>
          <w:rFonts w:ascii="Times New Roman" w:hAnsi="Times New Roman" w:cs="Times New Roman"/>
          <w:b/>
          <w:bCs/>
          <w:sz w:val="20"/>
          <w:szCs w:val="20"/>
        </w:rPr>
        <w:lastRenderedPageBreak/>
        <w:t>Stock Liquidity of firm</w:t>
      </w:r>
    </w:p>
    <w:p w:rsidR="00D26636" w:rsidRPr="007E4D9A" w:rsidRDefault="00D26636" w:rsidP="004C4586">
      <w:pPr>
        <w:spacing w:after="0" w:line="240" w:lineRule="auto"/>
        <w:jc w:val="both"/>
        <w:rPr>
          <w:rFonts w:ascii="Times New Roman" w:hAnsi="Times New Roman" w:cs="Times New Roman"/>
          <w:sz w:val="20"/>
          <w:szCs w:val="20"/>
        </w:rPr>
      </w:pPr>
      <w:r w:rsidRPr="007E4D9A">
        <w:rPr>
          <w:rFonts w:ascii="Times New Roman" w:hAnsi="Times New Roman" w:cs="Times New Roman"/>
          <w:sz w:val="20"/>
          <w:szCs w:val="20"/>
        </w:rPr>
        <w:t>Stock liquidity of firm is the ratio of exchanges of firm stock during one year before increasing to average number of stocks of shareholders during one year before capital increasing.</w:t>
      </w:r>
    </w:p>
    <w:p w:rsidR="00D26636" w:rsidRPr="007E4D9A" w:rsidRDefault="00D26636" w:rsidP="004C4586">
      <w:pPr>
        <w:spacing w:after="0" w:line="240" w:lineRule="auto"/>
        <w:jc w:val="both"/>
        <w:rPr>
          <w:rFonts w:ascii="Times New Roman" w:hAnsi="Times New Roman" w:cs="Times New Roman"/>
          <w:b/>
          <w:bCs/>
          <w:sz w:val="20"/>
          <w:szCs w:val="20"/>
        </w:rPr>
      </w:pPr>
      <w:r w:rsidRPr="007E4D9A">
        <w:rPr>
          <w:rFonts w:ascii="Times New Roman" w:hAnsi="Times New Roman" w:cs="Times New Roman"/>
          <w:b/>
          <w:bCs/>
          <w:sz w:val="20"/>
          <w:szCs w:val="20"/>
        </w:rPr>
        <w:t>Rate of Ownership Centralization</w:t>
      </w:r>
    </w:p>
    <w:p w:rsidR="00D26636" w:rsidRPr="007E4D9A" w:rsidRDefault="00253B58" w:rsidP="004C4586">
      <w:pPr>
        <w:spacing w:after="0" w:line="240" w:lineRule="auto"/>
        <w:jc w:val="both"/>
        <w:rPr>
          <w:rFonts w:ascii="Times New Roman" w:hAnsi="Times New Roman" w:cs="Times New Roman"/>
          <w:sz w:val="20"/>
          <w:szCs w:val="20"/>
        </w:rPr>
      </w:pPr>
      <w:r w:rsidRPr="007E4D9A">
        <w:rPr>
          <w:rFonts w:ascii="Times New Roman" w:hAnsi="Times New Roman" w:cs="Times New Roman"/>
          <w:sz w:val="20"/>
          <w:szCs w:val="20"/>
        </w:rPr>
        <w:tab/>
      </w:r>
      <w:r w:rsidR="00D26636" w:rsidRPr="007E4D9A">
        <w:rPr>
          <w:rFonts w:ascii="Times New Roman" w:hAnsi="Times New Roman" w:cs="Times New Roman"/>
          <w:sz w:val="20"/>
          <w:szCs w:val="20"/>
        </w:rPr>
        <w:t>It is the way of dividing stock ownership among stockholders. In other words, if the main part of stocks is allocated to a limited</w:t>
      </w:r>
      <w:r w:rsidR="00022C0E" w:rsidRPr="007E4D9A">
        <w:rPr>
          <w:rFonts w:ascii="Times New Roman" w:hAnsi="Times New Roman" w:cs="Times New Roman"/>
          <w:sz w:val="20"/>
          <w:szCs w:val="20"/>
        </w:rPr>
        <w:t xml:space="preserve"> number of stockholders, the firm will be centralized.</w:t>
      </w:r>
    </w:p>
    <w:p w:rsidR="00022C0E" w:rsidRPr="007E4D9A" w:rsidRDefault="00022C0E" w:rsidP="004C4586">
      <w:pPr>
        <w:spacing w:after="0" w:line="240" w:lineRule="auto"/>
        <w:jc w:val="both"/>
        <w:rPr>
          <w:rFonts w:ascii="Times New Roman" w:hAnsi="Times New Roman" w:cs="Times New Roman"/>
          <w:b/>
          <w:bCs/>
          <w:sz w:val="20"/>
          <w:szCs w:val="20"/>
        </w:rPr>
      </w:pPr>
      <w:r w:rsidRPr="007E4D9A">
        <w:rPr>
          <w:rFonts w:ascii="Times New Roman" w:hAnsi="Times New Roman" w:cs="Times New Roman"/>
          <w:b/>
          <w:bCs/>
          <w:sz w:val="20"/>
          <w:szCs w:val="20"/>
        </w:rPr>
        <w:t>Firm Size</w:t>
      </w:r>
    </w:p>
    <w:p w:rsidR="00022C0E" w:rsidRPr="007E4D9A" w:rsidRDefault="00253B58" w:rsidP="004C4586">
      <w:pPr>
        <w:spacing w:after="0" w:line="240" w:lineRule="auto"/>
        <w:contextualSpacing/>
        <w:jc w:val="both"/>
        <w:rPr>
          <w:rFonts w:ascii="Times New Roman" w:hAnsi="Times New Roman" w:cs="Times New Roman"/>
          <w:sz w:val="20"/>
          <w:szCs w:val="20"/>
        </w:rPr>
      </w:pPr>
      <w:r w:rsidRPr="007E4D9A">
        <w:rPr>
          <w:rFonts w:ascii="Times New Roman" w:hAnsi="Times New Roman" w:cs="Times New Roman"/>
          <w:sz w:val="20"/>
          <w:szCs w:val="20"/>
        </w:rPr>
        <w:tab/>
      </w:r>
      <w:r w:rsidR="00022C0E" w:rsidRPr="007E4D9A">
        <w:rPr>
          <w:rFonts w:ascii="Times New Roman" w:hAnsi="Times New Roman" w:cs="Times New Roman"/>
          <w:sz w:val="20"/>
          <w:szCs w:val="20"/>
        </w:rPr>
        <w:t>In this study, the firm size means the market value of the firm which is calculated through:</w:t>
      </w:r>
    </w:p>
    <w:p w:rsidR="00022C0E" w:rsidRPr="007E4D9A" w:rsidRDefault="00022C0E" w:rsidP="004C4586">
      <w:pPr>
        <w:spacing w:after="0" w:line="240" w:lineRule="auto"/>
        <w:contextualSpacing/>
        <w:jc w:val="both"/>
        <w:rPr>
          <w:rFonts w:ascii="Times New Roman" w:hAnsi="Times New Roman" w:cs="Times New Roman"/>
          <w:sz w:val="20"/>
          <w:szCs w:val="20"/>
        </w:rPr>
      </w:pPr>
      <w:proofErr w:type="spellStart"/>
      <w:r w:rsidRPr="007E4D9A">
        <w:rPr>
          <w:rFonts w:ascii="Times New Roman" w:hAnsi="Times New Roman" w:cs="Times New Roman"/>
          <w:sz w:val="20"/>
          <w:szCs w:val="20"/>
        </w:rPr>
        <w:t>Sj</w:t>
      </w:r>
      <w:proofErr w:type="spellEnd"/>
      <w:r w:rsidRPr="007E4D9A">
        <w:rPr>
          <w:rFonts w:ascii="Times New Roman" w:hAnsi="Times New Roman" w:cs="Times New Roman"/>
          <w:sz w:val="20"/>
          <w:szCs w:val="20"/>
        </w:rPr>
        <w:t>=log (</w:t>
      </w:r>
      <w:proofErr w:type="spellStart"/>
      <w:r w:rsidRPr="007E4D9A">
        <w:rPr>
          <w:rFonts w:ascii="Times New Roman" w:hAnsi="Times New Roman" w:cs="Times New Roman"/>
          <w:sz w:val="20"/>
          <w:szCs w:val="20"/>
        </w:rPr>
        <w:t>Nj×pj</w:t>
      </w:r>
      <w:proofErr w:type="spellEnd"/>
      <w:r w:rsidRPr="007E4D9A">
        <w:rPr>
          <w:rFonts w:ascii="Times New Roman" w:hAnsi="Times New Roman" w:cs="Times New Roman"/>
          <w:sz w:val="20"/>
          <w:szCs w:val="20"/>
        </w:rPr>
        <w:t>)</w:t>
      </w:r>
    </w:p>
    <w:p w:rsidR="00022C0E" w:rsidRPr="007E4D9A" w:rsidRDefault="00022C0E" w:rsidP="004C4586">
      <w:pPr>
        <w:spacing w:after="0" w:line="240" w:lineRule="auto"/>
        <w:contextualSpacing/>
        <w:jc w:val="both"/>
        <w:rPr>
          <w:rFonts w:ascii="Times New Roman" w:hAnsi="Times New Roman" w:cs="Times New Roman"/>
          <w:b/>
          <w:bCs/>
          <w:sz w:val="20"/>
          <w:szCs w:val="20"/>
        </w:rPr>
      </w:pPr>
      <w:r w:rsidRPr="007E4D9A">
        <w:rPr>
          <w:rFonts w:ascii="Times New Roman" w:hAnsi="Times New Roman" w:cs="Times New Roman"/>
          <w:b/>
          <w:bCs/>
          <w:sz w:val="20"/>
          <w:szCs w:val="20"/>
        </w:rPr>
        <w:t>Firm Debt Ratio</w:t>
      </w:r>
    </w:p>
    <w:p w:rsidR="00022C0E" w:rsidRPr="007E4D9A" w:rsidRDefault="00253B58" w:rsidP="004C4586">
      <w:pPr>
        <w:spacing w:after="0" w:line="240" w:lineRule="auto"/>
        <w:contextualSpacing/>
        <w:jc w:val="both"/>
        <w:rPr>
          <w:rFonts w:ascii="Times New Roman" w:hAnsi="Times New Roman" w:cs="Times New Roman"/>
          <w:sz w:val="20"/>
          <w:szCs w:val="20"/>
        </w:rPr>
      </w:pPr>
      <w:r w:rsidRPr="007E4D9A">
        <w:rPr>
          <w:rFonts w:ascii="Times New Roman" w:hAnsi="Times New Roman" w:cs="Times New Roman"/>
          <w:sz w:val="20"/>
          <w:szCs w:val="20"/>
        </w:rPr>
        <w:tab/>
      </w:r>
      <w:r w:rsidR="00022C0E" w:rsidRPr="007E4D9A">
        <w:rPr>
          <w:rFonts w:ascii="Times New Roman" w:hAnsi="Times New Roman" w:cs="Times New Roman"/>
          <w:sz w:val="20"/>
          <w:szCs w:val="20"/>
        </w:rPr>
        <w:t>Firm debt ratio is the ratio of firm debt to total properties based on the last balance sheet before capital increasing.</w:t>
      </w:r>
    </w:p>
    <w:p w:rsidR="00022C0E" w:rsidRPr="007E4D9A" w:rsidRDefault="00022C0E" w:rsidP="004C4586">
      <w:pPr>
        <w:spacing w:after="0" w:line="240" w:lineRule="auto"/>
        <w:contextualSpacing/>
        <w:jc w:val="both"/>
        <w:rPr>
          <w:rFonts w:ascii="Times New Roman" w:hAnsi="Times New Roman" w:cs="Times New Roman"/>
          <w:b/>
          <w:bCs/>
          <w:sz w:val="20"/>
          <w:szCs w:val="20"/>
        </w:rPr>
      </w:pPr>
      <w:r w:rsidRPr="007E4D9A">
        <w:rPr>
          <w:rFonts w:ascii="Times New Roman" w:hAnsi="Times New Roman" w:cs="Times New Roman"/>
          <w:b/>
          <w:bCs/>
          <w:sz w:val="20"/>
          <w:szCs w:val="20"/>
        </w:rPr>
        <w:lastRenderedPageBreak/>
        <w:t>Kind of Industries</w:t>
      </w:r>
    </w:p>
    <w:p w:rsidR="00022C0E" w:rsidRPr="007E4D9A" w:rsidRDefault="00253B58" w:rsidP="004C4586">
      <w:pPr>
        <w:spacing w:after="0" w:line="240" w:lineRule="auto"/>
        <w:contextualSpacing/>
        <w:jc w:val="both"/>
        <w:rPr>
          <w:rFonts w:ascii="Times New Roman" w:hAnsi="Times New Roman" w:cs="Times New Roman"/>
          <w:sz w:val="20"/>
          <w:szCs w:val="20"/>
        </w:rPr>
      </w:pPr>
      <w:r w:rsidRPr="007E4D9A">
        <w:rPr>
          <w:rFonts w:ascii="Times New Roman" w:hAnsi="Times New Roman" w:cs="Times New Roman"/>
          <w:sz w:val="20"/>
          <w:szCs w:val="20"/>
        </w:rPr>
        <w:tab/>
      </w:r>
      <w:r w:rsidR="00CB7022" w:rsidRPr="007E4D9A">
        <w:rPr>
          <w:rFonts w:ascii="Times New Roman" w:hAnsi="Times New Roman" w:cs="Times New Roman"/>
          <w:sz w:val="20"/>
          <w:szCs w:val="20"/>
        </w:rPr>
        <w:t>It means the industry that</w:t>
      </w:r>
      <w:r w:rsidR="00022C0E" w:rsidRPr="007E4D9A">
        <w:rPr>
          <w:rFonts w:ascii="Times New Roman" w:hAnsi="Times New Roman" w:cs="Times New Roman"/>
          <w:sz w:val="20"/>
          <w:szCs w:val="20"/>
        </w:rPr>
        <w:t xml:space="preserve"> focused</w:t>
      </w:r>
      <w:r w:rsidR="00CB7022" w:rsidRPr="007E4D9A">
        <w:rPr>
          <w:rFonts w:ascii="Times New Roman" w:hAnsi="Times New Roman" w:cs="Times New Roman"/>
          <w:sz w:val="20"/>
          <w:szCs w:val="20"/>
        </w:rPr>
        <w:t xml:space="preserve"> firm</w:t>
      </w:r>
      <w:r w:rsidR="00022C0E" w:rsidRPr="007E4D9A">
        <w:rPr>
          <w:rFonts w:ascii="Times New Roman" w:hAnsi="Times New Roman" w:cs="Times New Roman"/>
          <w:sz w:val="20"/>
          <w:szCs w:val="20"/>
        </w:rPr>
        <w:t xml:space="preserve"> in this study is active and works in this field.</w:t>
      </w:r>
    </w:p>
    <w:p w:rsidR="00022C0E" w:rsidRPr="007E4D9A" w:rsidRDefault="00022C0E" w:rsidP="004C4586">
      <w:pPr>
        <w:spacing w:after="0" w:line="240" w:lineRule="auto"/>
        <w:jc w:val="both"/>
        <w:rPr>
          <w:rFonts w:ascii="Times New Roman" w:hAnsi="Times New Roman" w:cs="Times New Roman"/>
          <w:b/>
          <w:bCs/>
          <w:sz w:val="20"/>
          <w:szCs w:val="20"/>
        </w:rPr>
      </w:pPr>
      <w:r w:rsidRPr="007E4D9A">
        <w:rPr>
          <w:rFonts w:ascii="Times New Roman" w:hAnsi="Times New Roman" w:cs="Times New Roman"/>
          <w:b/>
          <w:bCs/>
          <w:sz w:val="20"/>
          <w:szCs w:val="20"/>
        </w:rPr>
        <w:t>Methodology</w:t>
      </w:r>
    </w:p>
    <w:p w:rsidR="002D4435" w:rsidRPr="007E4D9A" w:rsidRDefault="00253B58" w:rsidP="004C4586">
      <w:pPr>
        <w:spacing w:after="0" w:line="240" w:lineRule="auto"/>
        <w:jc w:val="both"/>
        <w:rPr>
          <w:rFonts w:ascii="Times New Roman" w:hAnsi="Times New Roman" w:cs="Times New Roman"/>
          <w:sz w:val="20"/>
          <w:szCs w:val="20"/>
        </w:rPr>
      </w:pPr>
      <w:r w:rsidRPr="007E4D9A">
        <w:rPr>
          <w:rFonts w:ascii="Times New Roman" w:hAnsi="Times New Roman" w:cs="Times New Roman"/>
          <w:sz w:val="20"/>
          <w:szCs w:val="20"/>
        </w:rPr>
        <w:tab/>
      </w:r>
      <w:r w:rsidR="002D4435" w:rsidRPr="007E4D9A">
        <w:rPr>
          <w:rFonts w:ascii="Times New Roman" w:hAnsi="Times New Roman" w:cs="Times New Roman"/>
          <w:sz w:val="20"/>
          <w:szCs w:val="20"/>
        </w:rPr>
        <w:t xml:space="preserve">The required data </w:t>
      </w:r>
      <w:r w:rsidR="00795855" w:rsidRPr="007E4D9A">
        <w:rPr>
          <w:rFonts w:ascii="Times New Roman" w:hAnsi="Times New Roman" w:cs="Times New Roman"/>
          <w:sz w:val="20"/>
          <w:szCs w:val="20"/>
        </w:rPr>
        <w:t xml:space="preserve">of the present study obtained from annual financial statements (income statement, balance sheet, cash flow statement) of nonfinancial firms selected at the end financial year. The period of this study is 10 years which is from 1998-2008. The research data are obtained from all nonfinancial firms accepted in Tehran Stock Exchange and the sample size of this study includes 296 firms using the Criteria-filtering technique. </w:t>
      </w:r>
    </w:p>
    <w:p w:rsidR="00795855" w:rsidRPr="007E4D9A" w:rsidRDefault="00795855" w:rsidP="004C4586">
      <w:pPr>
        <w:spacing w:after="0" w:line="240" w:lineRule="auto"/>
        <w:jc w:val="both"/>
        <w:rPr>
          <w:rFonts w:ascii="Times New Roman" w:hAnsi="Times New Roman" w:cs="Times New Roman"/>
          <w:sz w:val="20"/>
          <w:szCs w:val="20"/>
        </w:rPr>
      </w:pPr>
      <w:r w:rsidRPr="007E4D9A">
        <w:rPr>
          <w:rFonts w:ascii="Times New Roman" w:hAnsi="Times New Roman" w:cs="Times New Roman"/>
          <w:sz w:val="20"/>
          <w:szCs w:val="20"/>
        </w:rPr>
        <w:t>Table1. shows the frequency of every industry</w:t>
      </w:r>
      <w:r w:rsidR="000A7F16" w:rsidRPr="007E4D9A">
        <w:rPr>
          <w:rFonts w:ascii="Times New Roman" w:hAnsi="Times New Roman" w:cs="Times New Roman"/>
          <w:sz w:val="20"/>
          <w:szCs w:val="20"/>
        </w:rPr>
        <w:t xml:space="preserve"> and </w:t>
      </w:r>
      <w:r w:rsidRPr="007E4D9A">
        <w:rPr>
          <w:rFonts w:ascii="Times New Roman" w:hAnsi="Times New Roman" w:cs="Times New Roman"/>
          <w:sz w:val="20"/>
          <w:szCs w:val="20"/>
        </w:rPr>
        <w:t xml:space="preserve">Table2. </w:t>
      </w:r>
      <w:r w:rsidR="000A7F16" w:rsidRPr="007E4D9A">
        <w:rPr>
          <w:rFonts w:ascii="Times New Roman" w:hAnsi="Times New Roman" w:cs="Times New Roman"/>
          <w:sz w:val="20"/>
          <w:szCs w:val="20"/>
        </w:rPr>
        <w:t>shows the frequency of centralized and semi-centralized firms of the samples in the present study. Table3. Shows some of central indexes and research variable scattering.</w:t>
      </w:r>
    </w:p>
    <w:p w:rsidR="00E52DDC" w:rsidRPr="007E4D9A" w:rsidRDefault="00E52DDC" w:rsidP="004C4586">
      <w:pPr>
        <w:spacing w:after="0" w:line="240" w:lineRule="auto"/>
        <w:jc w:val="both"/>
        <w:rPr>
          <w:rFonts w:ascii="Times New Roman" w:hAnsi="Times New Roman" w:cs="Times New Roman"/>
          <w:sz w:val="20"/>
          <w:szCs w:val="20"/>
        </w:rPr>
        <w:sectPr w:rsidR="00E52DDC" w:rsidRPr="007E4D9A" w:rsidSect="007E4D9A">
          <w:type w:val="continuous"/>
          <w:pgSz w:w="12240" w:h="15840" w:code="1"/>
          <w:pgMar w:top="1440" w:right="1440" w:bottom="1440" w:left="1440" w:header="720" w:footer="720" w:gutter="0"/>
          <w:cols w:num="2" w:space="720"/>
          <w:docGrid w:linePitch="360"/>
        </w:sectPr>
      </w:pPr>
    </w:p>
    <w:p w:rsidR="007E4D9A" w:rsidRPr="007E4D9A" w:rsidRDefault="007E4D9A" w:rsidP="004C4586">
      <w:pPr>
        <w:spacing w:after="0" w:line="240" w:lineRule="auto"/>
        <w:jc w:val="center"/>
        <w:rPr>
          <w:rFonts w:ascii="Times New Roman" w:hAnsi="Times New Roman" w:cs="Times New Roman"/>
          <w:b/>
          <w:bCs/>
          <w:sz w:val="20"/>
          <w:szCs w:val="20"/>
        </w:rPr>
      </w:pPr>
    </w:p>
    <w:p w:rsidR="000A7F16" w:rsidRPr="007E4D9A" w:rsidRDefault="000D2390" w:rsidP="004C4586">
      <w:pPr>
        <w:spacing w:after="0" w:line="240" w:lineRule="auto"/>
        <w:jc w:val="center"/>
        <w:rPr>
          <w:rFonts w:ascii="Times New Roman" w:hAnsi="Times New Roman" w:cs="Times New Roman"/>
          <w:b/>
          <w:bCs/>
          <w:sz w:val="20"/>
          <w:szCs w:val="20"/>
        </w:rPr>
      </w:pPr>
      <w:r w:rsidRPr="007E4D9A">
        <w:rPr>
          <w:rFonts w:ascii="Times New Roman" w:hAnsi="Times New Roman" w:cs="Times New Roman"/>
          <w:b/>
          <w:bCs/>
          <w:sz w:val="20"/>
          <w:szCs w:val="20"/>
        </w:rPr>
        <w:t>Table</w:t>
      </w:r>
      <w:r w:rsidR="007E4D9A" w:rsidRPr="007E4D9A">
        <w:rPr>
          <w:rFonts w:ascii="Times New Roman" w:hAnsi="Times New Roman" w:cs="Times New Roman"/>
          <w:b/>
          <w:bCs/>
          <w:sz w:val="20"/>
          <w:szCs w:val="20"/>
        </w:rPr>
        <w:t xml:space="preserve"> </w:t>
      </w:r>
      <w:r w:rsidRPr="007E4D9A">
        <w:rPr>
          <w:rFonts w:ascii="Times New Roman" w:hAnsi="Times New Roman" w:cs="Times New Roman"/>
          <w:b/>
          <w:bCs/>
          <w:sz w:val="20"/>
          <w:szCs w:val="20"/>
        </w:rPr>
        <w:t>1. Frequency of every industry in study</w:t>
      </w:r>
    </w:p>
    <w:tbl>
      <w:tblPr>
        <w:tblStyle w:val="TableGrid"/>
        <w:tblW w:w="5000" w:type="pct"/>
        <w:tblLook w:val="04A0"/>
      </w:tblPr>
      <w:tblGrid>
        <w:gridCol w:w="1952"/>
        <w:gridCol w:w="3648"/>
        <w:gridCol w:w="1821"/>
        <w:gridCol w:w="2155"/>
      </w:tblGrid>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Industry Code</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Industry Name</w:t>
            </w:r>
          </w:p>
        </w:tc>
        <w:tc>
          <w:tcPr>
            <w:tcW w:w="951"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Frequency</w:t>
            </w:r>
          </w:p>
        </w:tc>
        <w:tc>
          <w:tcPr>
            <w:tcW w:w="112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Percentage</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1</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Food Industries</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37</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12.5</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2</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Chemical and oil Industries</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40</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13.5</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3</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 xml:space="preserve">Basic metals </w:t>
            </w:r>
            <w:r w:rsidR="00256E20" w:rsidRPr="007E4D9A">
              <w:rPr>
                <w:rFonts w:ascii="Times New Roman" w:hAnsi="Times New Roman" w:cs="Times New Roman"/>
                <w:sz w:val="20"/>
                <w:szCs w:val="20"/>
              </w:rPr>
              <w:t>and marbles</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52</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17.6</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4</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Mine extraction and metals</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34</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11.49</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5</w:t>
            </w:r>
          </w:p>
        </w:tc>
        <w:tc>
          <w:tcPr>
            <w:tcW w:w="1905" w:type="pct"/>
          </w:tcPr>
          <w:p w:rsidR="000A7F16" w:rsidRPr="007E4D9A" w:rsidRDefault="008D5FE9" w:rsidP="004C4586">
            <w:pPr>
              <w:jc w:val="both"/>
              <w:rPr>
                <w:rFonts w:ascii="Times New Roman" w:hAnsi="Times New Roman" w:cs="Times New Roman"/>
                <w:sz w:val="20"/>
                <w:szCs w:val="20"/>
              </w:rPr>
            </w:pPr>
            <w:r w:rsidRPr="007E4D9A">
              <w:rPr>
                <w:rFonts w:ascii="Times New Roman" w:hAnsi="Times New Roman" w:cs="Times New Roman"/>
                <w:sz w:val="20"/>
                <w:szCs w:val="20"/>
              </w:rPr>
              <w:t>E</w:t>
            </w:r>
            <w:r w:rsidR="000A7F16" w:rsidRPr="007E4D9A">
              <w:rPr>
                <w:rFonts w:ascii="Times New Roman" w:hAnsi="Times New Roman" w:cs="Times New Roman"/>
                <w:sz w:val="20"/>
                <w:szCs w:val="20"/>
              </w:rPr>
              <w:t>quipment</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37</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12.5</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6</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 xml:space="preserve">Trafficking facilities </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20</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6.76</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7</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Financial mediating</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29</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9.8</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8</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Telecommunication and electric sets</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20</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6.76</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9</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 xml:space="preserve">Textile </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9</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3</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10</w:t>
            </w:r>
          </w:p>
        </w:tc>
        <w:tc>
          <w:tcPr>
            <w:tcW w:w="1905"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Paper and publication</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6</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2</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11</w:t>
            </w:r>
          </w:p>
        </w:tc>
        <w:tc>
          <w:tcPr>
            <w:tcW w:w="190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 xml:space="preserve">Plastic and tire </w:t>
            </w: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12</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4.09</w:t>
            </w:r>
          </w:p>
        </w:tc>
      </w:tr>
      <w:tr w:rsidR="000A7F16" w:rsidRPr="007E4D9A" w:rsidTr="004C4586">
        <w:tc>
          <w:tcPr>
            <w:tcW w:w="1019" w:type="pct"/>
          </w:tcPr>
          <w:p w:rsidR="000A7F16" w:rsidRPr="007E4D9A" w:rsidRDefault="000A7F16" w:rsidP="004C4586">
            <w:pPr>
              <w:jc w:val="both"/>
              <w:rPr>
                <w:rFonts w:ascii="Times New Roman" w:hAnsi="Times New Roman" w:cs="Times New Roman"/>
                <w:sz w:val="20"/>
                <w:szCs w:val="20"/>
              </w:rPr>
            </w:pPr>
            <w:r w:rsidRPr="007E4D9A">
              <w:rPr>
                <w:rFonts w:ascii="Times New Roman" w:hAnsi="Times New Roman" w:cs="Times New Roman"/>
                <w:sz w:val="20"/>
                <w:szCs w:val="20"/>
              </w:rPr>
              <w:t>Total</w:t>
            </w:r>
          </w:p>
        </w:tc>
        <w:tc>
          <w:tcPr>
            <w:tcW w:w="1905" w:type="pct"/>
          </w:tcPr>
          <w:p w:rsidR="000A7F16" w:rsidRPr="007E4D9A" w:rsidRDefault="000A7F16" w:rsidP="004C4586">
            <w:pPr>
              <w:jc w:val="both"/>
              <w:rPr>
                <w:rFonts w:ascii="Times New Roman" w:hAnsi="Times New Roman" w:cs="Times New Roman"/>
                <w:sz w:val="20"/>
                <w:szCs w:val="20"/>
              </w:rPr>
            </w:pPr>
          </w:p>
        </w:tc>
        <w:tc>
          <w:tcPr>
            <w:tcW w:w="951"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296</w:t>
            </w:r>
          </w:p>
        </w:tc>
        <w:tc>
          <w:tcPr>
            <w:tcW w:w="1125" w:type="pct"/>
          </w:tcPr>
          <w:p w:rsidR="000A7F16" w:rsidRPr="007E4D9A" w:rsidRDefault="000D2390" w:rsidP="004C4586">
            <w:pPr>
              <w:jc w:val="both"/>
              <w:rPr>
                <w:rFonts w:ascii="Times New Roman" w:hAnsi="Times New Roman" w:cs="Times New Roman"/>
                <w:sz w:val="20"/>
                <w:szCs w:val="20"/>
              </w:rPr>
            </w:pPr>
            <w:r w:rsidRPr="007E4D9A">
              <w:rPr>
                <w:rFonts w:ascii="Times New Roman" w:hAnsi="Times New Roman" w:cs="Times New Roman"/>
                <w:sz w:val="20"/>
                <w:szCs w:val="20"/>
              </w:rPr>
              <w:t>100</w:t>
            </w:r>
          </w:p>
        </w:tc>
      </w:tr>
    </w:tbl>
    <w:p w:rsidR="000A7F16" w:rsidRPr="007E4D9A" w:rsidRDefault="000A7F16" w:rsidP="004C4586">
      <w:pPr>
        <w:spacing w:after="0" w:line="240" w:lineRule="auto"/>
        <w:jc w:val="both"/>
        <w:rPr>
          <w:rFonts w:ascii="Times New Roman" w:hAnsi="Times New Roman" w:cs="Times New Roman"/>
          <w:sz w:val="20"/>
          <w:szCs w:val="20"/>
        </w:rPr>
      </w:pPr>
    </w:p>
    <w:p w:rsidR="00022C0E" w:rsidRPr="007E4D9A" w:rsidRDefault="000D2390" w:rsidP="004C4586">
      <w:pPr>
        <w:spacing w:after="0" w:line="240" w:lineRule="auto"/>
        <w:jc w:val="both"/>
        <w:rPr>
          <w:rFonts w:ascii="Times New Roman" w:hAnsi="Times New Roman" w:cs="Times New Roman"/>
          <w:sz w:val="20"/>
          <w:szCs w:val="20"/>
        </w:rPr>
      </w:pPr>
      <w:r w:rsidRPr="007E4D9A">
        <w:rPr>
          <w:rFonts w:ascii="Times New Roman" w:hAnsi="Times New Roman" w:cs="Times New Roman"/>
          <w:sz w:val="20"/>
          <w:szCs w:val="20"/>
        </w:rPr>
        <w:t>Table2. Frequency of centralized and non-centralized firms in study</w:t>
      </w:r>
    </w:p>
    <w:tbl>
      <w:tblPr>
        <w:tblStyle w:val="TableGrid"/>
        <w:tblW w:w="5000" w:type="pct"/>
        <w:tblLook w:val="04A0"/>
      </w:tblPr>
      <w:tblGrid>
        <w:gridCol w:w="2768"/>
        <w:gridCol w:w="2212"/>
        <w:gridCol w:w="2212"/>
        <w:gridCol w:w="2384"/>
      </w:tblGrid>
      <w:tr w:rsidR="000D2390" w:rsidRPr="007E4D9A" w:rsidTr="007E4D9A">
        <w:tc>
          <w:tcPr>
            <w:tcW w:w="144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Centralization degree</w:t>
            </w:r>
          </w:p>
        </w:tc>
        <w:tc>
          <w:tcPr>
            <w:tcW w:w="115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description</w:t>
            </w:r>
          </w:p>
        </w:tc>
        <w:tc>
          <w:tcPr>
            <w:tcW w:w="115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Frequency</w:t>
            </w:r>
          </w:p>
        </w:tc>
        <w:tc>
          <w:tcPr>
            <w:tcW w:w="124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percentage</w:t>
            </w:r>
          </w:p>
        </w:tc>
      </w:tr>
      <w:tr w:rsidR="000D2390" w:rsidRPr="007E4D9A" w:rsidTr="007E4D9A">
        <w:tc>
          <w:tcPr>
            <w:tcW w:w="144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w:t>
            </w:r>
          </w:p>
        </w:tc>
        <w:tc>
          <w:tcPr>
            <w:tcW w:w="115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centralized</w:t>
            </w:r>
          </w:p>
        </w:tc>
        <w:tc>
          <w:tcPr>
            <w:tcW w:w="115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238</w:t>
            </w:r>
          </w:p>
        </w:tc>
        <w:tc>
          <w:tcPr>
            <w:tcW w:w="124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80</w:t>
            </w:r>
          </w:p>
        </w:tc>
      </w:tr>
      <w:tr w:rsidR="000D2390" w:rsidRPr="007E4D9A" w:rsidTr="007E4D9A">
        <w:tc>
          <w:tcPr>
            <w:tcW w:w="144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w:t>
            </w:r>
          </w:p>
        </w:tc>
        <w:tc>
          <w:tcPr>
            <w:tcW w:w="115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Non-centralized</w:t>
            </w:r>
          </w:p>
        </w:tc>
        <w:tc>
          <w:tcPr>
            <w:tcW w:w="115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58</w:t>
            </w:r>
          </w:p>
        </w:tc>
        <w:tc>
          <w:tcPr>
            <w:tcW w:w="124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20</w:t>
            </w:r>
          </w:p>
        </w:tc>
      </w:tr>
      <w:tr w:rsidR="000D2390" w:rsidRPr="007E4D9A" w:rsidTr="007E4D9A">
        <w:tc>
          <w:tcPr>
            <w:tcW w:w="1445" w:type="pct"/>
          </w:tcPr>
          <w:p w:rsidR="000D2390" w:rsidRPr="007E4D9A" w:rsidRDefault="000D2390" w:rsidP="004C4586">
            <w:pPr>
              <w:contextualSpacing/>
              <w:jc w:val="both"/>
              <w:rPr>
                <w:rFonts w:ascii="Times New Roman" w:hAnsi="Times New Roman" w:cs="Times New Roman"/>
                <w:sz w:val="20"/>
                <w:szCs w:val="20"/>
              </w:rPr>
            </w:pPr>
          </w:p>
        </w:tc>
        <w:tc>
          <w:tcPr>
            <w:tcW w:w="115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Total</w:t>
            </w:r>
          </w:p>
        </w:tc>
        <w:tc>
          <w:tcPr>
            <w:tcW w:w="115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296</w:t>
            </w:r>
          </w:p>
        </w:tc>
        <w:tc>
          <w:tcPr>
            <w:tcW w:w="1245" w:type="pct"/>
          </w:tcPr>
          <w:p w:rsidR="000D2390" w:rsidRPr="007E4D9A" w:rsidRDefault="000D2390"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100</w:t>
            </w:r>
          </w:p>
        </w:tc>
      </w:tr>
    </w:tbl>
    <w:p w:rsidR="00C327E3" w:rsidRPr="007E4D9A" w:rsidRDefault="00C327E3" w:rsidP="004C4586">
      <w:pPr>
        <w:spacing w:after="0" w:line="240" w:lineRule="auto"/>
        <w:ind w:left="357"/>
        <w:contextualSpacing/>
        <w:jc w:val="both"/>
        <w:rPr>
          <w:rFonts w:ascii="Times New Roman" w:hAnsi="Times New Roman" w:cs="Times New Roman"/>
          <w:sz w:val="20"/>
          <w:szCs w:val="20"/>
        </w:rPr>
      </w:pPr>
    </w:p>
    <w:p w:rsidR="003B3CFE" w:rsidRPr="007E4D9A" w:rsidRDefault="003B3CFE" w:rsidP="004C4586">
      <w:pPr>
        <w:spacing w:after="0" w:line="240" w:lineRule="auto"/>
        <w:ind w:left="357"/>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Table3.central indexes and variable scattering </w:t>
      </w:r>
    </w:p>
    <w:tbl>
      <w:tblPr>
        <w:tblStyle w:val="TableGrid"/>
        <w:tblW w:w="0" w:type="auto"/>
        <w:tblLook w:val="04A0"/>
      </w:tblPr>
      <w:tblGrid>
        <w:gridCol w:w="1434"/>
        <w:gridCol w:w="1084"/>
        <w:gridCol w:w="1134"/>
        <w:gridCol w:w="1134"/>
        <w:gridCol w:w="1843"/>
        <w:gridCol w:w="850"/>
        <w:gridCol w:w="996"/>
        <w:gridCol w:w="1101"/>
      </w:tblGrid>
      <w:tr w:rsidR="0097361D" w:rsidRPr="007E4D9A" w:rsidTr="00BE5ED7">
        <w:trPr>
          <w:trHeight w:val="64"/>
        </w:trPr>
        <w:tc>
          <w:tcPr>
            <w:tcW w:w="0" w:type="auto"/>
            <w:tcBorders>
              <w:tr2bl w:val="single" w:sz="4" w:space="0" w:color="auto"/>
            </w:tcBorders>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Variables </w:t>
            </w:r>
          </w:p>
          <w:p w:rsidR="004B6BE8" w:rsidRPr="007E4D9A" w:rsidRDefault="007E4D9A" w:rsidP="00BE5ED7">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7E4D9A">
              <w:rPr>
                <w:rFonts w:ascii="Times New Roman" w:hAnsi="Times New Roman" w:cs="Times New Roman"/>
                <w:sz w:val="20"/>
                <w:szCs w:val="20"/>
              </w:rPr>
              <w:t xml:space="preserve">  </w:t>
            </w:r>
            <w:r w:rsidR="003B3CFE" w:rsidRPr="007E4D9A">
              <w:rPr>
                <w:rFonts w:ascii="Times New Roman" w:hAnsi="Times New Roman" w:cs="Times New Roman"/>
                <w:sz w:val="20"/>
                <w:szCs w:val="20"/>
              </w:rPr>
              <w:t>D</w:t>
            </w:r>
            <w:r w:rsidR="004B6BE8" w:rsidRPr="007E4D9A">
              <w:rPr>
                <w:rFonts w:ascii="Times New Roman" w:hAnsi="Times New Roman" w:cs="Times New Roman"/>
                <w:sz w:val="20"/>
                <w:szCs w:val="20"/>
              </w:rPr>
              <w:t>escription</w:t>
            </w:r>
          </w:p>
        </w:tc>
        <w:tc>
          <w:tcPr>
            <w:tcW w:w="1084" w:type="dxa"/>
          </w:tcPr>
          <w:p w:rsidR="004B6BE8" w:rsidRPr="007E4D9A" w:rsidRDefault="004B6BE8" w:rsidP="007E4D9A">
            <w:pPr>
              <w:contextualSpacing/>
              <w:jc w:val="both"/>
              <w:rPr>
                <w:rFonts w:ascii="Times New Roman" w:hAnsi="Times New Roman" w:cs="Times New Roman"/>
                <w:sz w:val="20"/>
                <w:szCs w:val="20"/>
              </w:rPr>
            </w:pPr>
            <w:r w:rsidRPr="007E4D9A">
              <w:rPr>
                <w:rFonts w:ascii="Times New Roman" w:hAnsi="Times New Roman" w:cs="Times New Roman"/>
                <w:sz w:val="20"/>
                <w:szCs w:val="20"/>
              </w:rPr>
              <w:t>Abnormal return</w:t>
            </w:r>
          </w:p>
        </w:tc>
        <w:tc>
          <w:tcPr>
            <w:tcW w:w="1134" w:type="dxa"/>
          </w:tcPr>
          <w:p w:rsidR="004B6BE8" w:rsidRPr="007E4D9A" w:rsidRDefault="004B6BE8" w:rsidP="007E4D9A">
            <w:pPr>
              <w:contextualSpacing/>
              <w:jc w:val="both"/>
              <w:rPr>
                <w:rFonts w:ascii="Times New Roman" w:hAnsi="Times New Roman" w:cs="Times New Roman"/>
                <w:sz w:val="20"/>
                <w:szCs w:val="20"/>
              </w:rPr>
            </w:pPr>
            <w:r w:rsidRPr="007E4D9A">
              <w:rPr>
                <w:rFonts w:ascii="Times New Roman" w:hAnsi="Times New Roman" w:cs="Times New Roman"/>
                <w:sz w:val="20"/>
                <w:szCs w:val="20"/>
              </w:rPr>
              <w:t>Capital</w:t>
            </w:r>
            <w:r w:rsidR="007E4D9A">
              <w:rPr>
                <w:rFonts w:ascii="Times New Roman" w:hAnsi="Times New Roman" w:cs="Times New Roman"/>
                <w:sz w:val="20"/>
                <w:szCs w:val="20"/>
              </w:rPr>
              <w:t xml:space="preserve"> </w:t>
            </w:r>
            <w:r w:rsidRPr="007E4D9A">
              <w:rPr>
                <w:rFonts w:ascii="Times New Roman" w:hAnsi="Times New Roman" w:cs="Times New Roman"/>
                <w:sz w:val="20"/>
                <w:szCs w:val="20"/>
              </w:rPr>
              <w:t>Increasing</w:t>
            </w:r>
          </w:p>
        </w:tc>
        <w:tc>
          <w:tcPr>
            <w:tcW w:w="1134" w:type="dxa"/>
          </w:tcPr>
          <w:p w:rsidR="004B6BE8" w:rsidRPr="007E4D9A" w:rsidRDefault="004B6BE8" w:rsidP="007E4D9A">
            <w:pPr>
              <w:contextualSpacing/>
              <w:jc w:val="both"/>
              <w:rPr>
                <w:rFonts w:ascii="Times New Roman" w:hAnsi="Times New Roman" w:cs="Times New Roman"/>
                <w:sz w:val="20"/>
                <w:szCs w:val="20"/>
              </w:rPr>
            </w:pPr>
            <w:r w:rsidRPr="007E4D9A">
              <w:rPr>
                <w:rFonts w:ascii="Times New Roman" w:hAnsi="Times New Roman" w:cs="Times New Roman"/>
                <w:sz w:val="20"/>
                <w:szCs w:val="20"/>
              </w:rPr>
              <w:t>Stock Liquidity</w:t>
            </w:r>
          </w:p>
        </w:tc>
        <w:tc>
          <w:tcPr>
            <w:tcW w:w="1843" w:type="dxa"/>
          </w:tcPr>
          <w:p w:rsidR="004B6BE8" w:rsidRPr="007E4D9A" w:rsidRDefault="008D5FE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Ownership centralization rate</w:t>
            </w:r>
          </w:p>
        </w:tc>
        <w:tc>
          <w:tcPr>
            <w:tcW w:w="850" w:type="dxa"/>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Firm size</w:t>
            </w:r>
          </w:p>
        </w:tc>
        <w:tc>
          <w:tcPr>
            <w:tcW w:w="996" w:type="dxa"/>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Firm debt ratio</w:t>
            </w:r>
          </w:p>
        </w:tc>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Kind of industry</w:t>
            </w:r>
          </w:p>
        </w:tc>
      </w:tr>
      <w:tr w:rsidR="0097361D" w:rsidRPr="007E4D9A" w:rsidTr="00BE5ED7">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Mean</w:t>
            </w:r>
          </w:p>
        </w:tc>
        <w:tc>
          <w:tcPr>
            <w:tcW w:w="1084" w:type="dxa"/>
          </w:tcPr>
          <w:p w:rsidR="004B6BE8" w:rsidRPr="007E4D9A" w:rsidRDefault="003B3CFE"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1.0</w:t>
            </w:r>
            <w:r w:rsidR="0097361D" w:rsidRPr="007E4D9A">
              <w:rPr>
                <w:rFonts w:ascii="Times New Roman" w:hAnsi="Times New Roman" w:cs="Times New Roman"/>
                <w:sz w:val="20"/>
                <w:szCs w:val="20"/>
              </w:rPr>
              <w:t>52</w:t>
            </w:r>
          </w:p>
        </w:tc>
        <w:tc>
          <w:tcPr>
            <w:tcW w:w="113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80.9411</w:t>
            </w:r>
          </w:p>
        </w:tc>
        <w:tc>
          <w:tcPr>
            <w:tcW w:w="113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12.1256</w:t>
            </w:r>
          </w:p>
        </w:tc>
        <w:tc>
          <w:tcPr>
            <w:tcW w:w="1843"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67156</w:t>
            </w:r>
          </w:p>
        </w:tc>
        <w:tc>
          <w:tcPr>
            <w:tcW w:w="850"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.0524</w:t>
            </w:r>
          </w:p>
        </w:tc>
        <w:tc>
          <w:tcPr>
            <w:tcW w:w="996"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.254</w:t>
            </w:r>
          </w:p>
        </w:tc>
        <w:tc>
          <w:tcPr>
            <w:tcW w:w="0" w:type="auto"/>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.00245</w:t>
            </w:r>
          </w:p>
        </w:tc>
      </w:tr>
      <w:tr w:rsidR="0097361D" w:rsidRPr="007E4D9A" w:rsidTr="00BE5ED7">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Median</w:t>
            </w:r>
          </w:p>
        </w:tc>
        <w:tc>
          <w:tcPr>
            <w:tcW w:w="108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.9588</w:t>
            </w:r>
          </w:p>
        </w:tc>
        <w:tc>
          <w:tcPr>
            <w:tcW w:w="113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51.110</w:t>
            </w:r>
          </w:p>
        </w:tc>
        <w:tc>
          <w:tcPr>
            <w:tcW w:w="113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12.1600</w:t>
            </w:r>
          </w:p>
        </w:tc>
        <w:tc>
          <w:tcPr>
            <w:tcW w:w="1843"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.7435</w:t>
            </w:r>
          </w:p>
        </w:tc>
        <w:tc>
          <w:tcPr>
            <w:tcW w:w="850"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.0404</w:t>
            </w:r>
          </w:p>
        </w:tc>
        <w:tc>
          <w:tcPr>
            <w:tcW w:w="996"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.0408</w:t>
            </w:r>
          </w:p>
        </w:tc>
        <w:tc>
          <w:tcPr>
            <w:tcW w:w="0" w:type="auto"/>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.00180</w:t>
            </w:r>
          </w:p>
        </w:tc>
      </w:tr>
      <w:tr w:rsidR="0097361D" w:rsidRPr="007E4D9A" w:rsidTr="00BE5ED7">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First quarter</w:t>
            </w:r>
          </w:p>
        </w:tc>
        <w:tc>
          <w:tcPr>
            <w:tcW w:w="108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.7734</w:t>
            </w:r>
          </w:p>
        </w:tc>
        <w:tc>
          <w:tcPr>
            <w:tcW w:w="113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34.23</w:t>
            </w:r>
          </w:p>
        </w:tc>
        <w:tc>
          <w:tcPr>
            <w:tcW w:w="113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10.8400</w:t>
            </w:r>
          </w:p>
        </w:tc>
        <w:tc>
          <w:tcPr>
            <w:tcW w:w="1843"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.6217</w:t>
            </w:r>
          </w:p>
        </w:tc>
        <w:tc>
          <w:tcPr>
            <w:tcW w:w="850"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.0218</w:t>
            </w:r>
          </w:p>
        </w:tc>
        <w:tc>
          <w:tcPr>
            <w:tcW w:w="996"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.0314</w:t>
            </w:r>
          </w:p>
        </w:tc>
        <w:tc>
          <w:tcPr>
            <w:tcW w:w="0" w:type="auto"/>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.00070</w:t>
            </w:r>
          </w:p>
        </w:tc>
      </w:tr>
      <w:tr w:rsidR="0097361D" w:rsidRPr="007E4D9A" w:rsidTr="00BE5ED7">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Third quarter</w:t>
            </w:r>
          </w:p>
        </w:tc>
        <w:tc>
          <w:tcPr>
            <w:tcW w:w="108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1.1866</w:t>
            </w:r>
          </w:p>
        </w:tc>
        <w:tc>
          <w:tcPr>
            <w:tcW w:w="113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102.10</w:t>
            </w:r>
          </w:p>
        </w:tc>
        <w:tc>
          <w:tcPr>
            <w:tcW w:w="113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11.5400</w:t>
            </w:r>
          </w:p>
        </w:tc>
        <w:tc>
          <w:tcPr>
            <w:tcW w:w="1843"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.8309</w:t>
            </w:r>
          </w:p>
        </w:tc>
        <w:tc>
          <w:tcPr>
            <w:tcW w:w="850"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.667</w:t>
            </w:r>
          </w:p>
        </w:tc>
        <w:tc>
          <w:tcPr>
            <w:tcW w:w="996"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.0556</w:t>
            </w:r>
          </w:p>
        </w:tc>
        <w:tc>
          <w:tcPr>
            <w:tcW w:w="0" w:type="auto"/>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.0041</w:t>
            </w:r>
          </w:p>
        </w:tc>
      </w:tr>
      <w:tr w:rsidR="0097361D" w:rsidRPr="007E4D9A" w:rsidTr="00BE5ED7">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SD</w:t>
            </w:r>
          </w:p>
        </w:tc>
        <w:tc>
          <w:tcPr>
            <w:tcW w:w="108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.3760</w:t>
            </w:r>
          </w:p>
        </w:tc>
        <w:tc>
          <w:tcPr>
            <w:tcW w:w="1134" w:type="dxa"/>
          </w:tcPr>
          <w:p w:rsidR="004B6BE8" w:rsidRPr="007E4D9A" w:rsidRDefault="0097361D"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62.</w:t>
            </w:r>
            <w:r w:rsidR="00C75669" w:rsidRPr="007E4D9A">
              <w:rPr>
                <w:rFonts w:ascii="Times New Roman" w:hAnsi="Times New Roman" w:cs="Times New Roman"/>
                <w:sz w:val="20"/>
                <w:szCs w:val="20"/>
              </w:rPr>
              <w:t>2526</w:t>
            </w:r>
          </w:p>
        </w:tc>
        <w:tc>
          <w:tcPr>
            <w:tcW w:w="113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.5263</w:t>
            </w:r>
          </w:p>
        </w:tc>
        <w:tc>
          <w:tcPr>
            <w:tcW w:w="1843"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.1441</w:t>
            </w:r>
          </w:p>
        </w:tc>
        <w:tc>
          <w:tcPr>
            <w:tcW w:w="850"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.436</w:t>
            </w:r>
          </w:p>
        </w:tc>
        <w:tc>
          <w:tcPr>
            <w:tcW w:w="996"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.476</w:t>
            </w:r>
          </w:p>
        </w:tc>
        <w:tc>
          <w:tcPr>
            <w:tcW w:w="0" w:type="auto"/>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.00356</w:t>
            </w:r>
          </w:p>
        </w:tc>
      </w:tr>
      <w:tr w:rsidR="0097361D" w:rsidRPr="007E4D9A" w:rsidTr="00BE5ED7">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Range</w:t>
            </w:r>
          </w:p>
        </w:tc>
        <w:tc>
          <w:tcPr>
            <w:tcW w:w="108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2.23</w:t>
            </w:r>
          </w:p>
        </w:tc>
        <w:tc>
          <w:tcPr>
            <w:tcW w:w="113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300.000</w:t>
            </w:r>
          </w:p>
        </w:tc>
        <w:tc>
          <w:tcPr>
            <w:tcW w:w="113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3.01</w:t>
            </w:r>
          </w:p>
        </w:tc>
        <w:tc>
          <w:tcPr>
            <w:tcW w:w="1843"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.7091</w:t>
            </w:r>
          </w:p>
        </w:tc>
        <w:tc>
          <w:tcPr>
            <w:tcW w:w="850"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.2104</w:t>
            </w:r>
          </w:p>
        </w:tc>
        <w:tc>
          <w:tcPr>
            <w:tcW w:w="996"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.2204</w:t>
            </w:r>
          </w:p>
        </w:tc>
        <w:tc>
          <w:tcPr>
            <w:tcW w:w="0" w:type="auto"/>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.0158</w:t>
            </w:r>
          </w:p>
        </w:tc>
      </w:tr>
      <w:tr w:rsidR="0097361D" w:rsidRPr="007E4D9A" w:rsidTr="00BE5ED7">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Minimum</w:t>
            </w:r>
          </w:p>
        </w:tc>
        <w:tc>
          <w:tcPr>
            <w:tcW w:w="108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.50</w:t>
            </w:r>
          </w:p>
        </w:tc>
        <w:tc>
          <w:tcPr>
            <w:tcW w:w="113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1.1030</w:t>
            </w:r>
          </w:p>
        </w:tc>
        <w:tc>
          <w:tcPr>
            <w:tcW w:w="113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9.46</w:t>
            </w:r>
          </w:p>
        </w:tc>
        <w:tc>
          <w:tcPr>
            <w:tcW w:w="1843"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.2818</w:t>
            </w:r>
          </w:p>
        </w:tc>
        <w:tc>
          <w:tcPr>
            <w:tcW w:w="850"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.0044</w:t>
            </w:r>
          </w:p>
        </w:tc>
        <w:tc>
          <w:tcPr>
            <w:tcW w:w="996"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.0055</w:t>
            </w:r>
          </w:p>
        </w:tc>
        <w:tc>
          <w:tcPr>
            <w:tcW w:w="0" w:type="auto"/>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.0002</w:t>
            </w:r>
          </w:p>
        </w:tc>
      </w:tr>
      <w:tr w:rsidR="0097361D" w:rsidRPr="007E4D9A" w:rsidTr="00BE5ED7">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Maximum</w:t>
            </w:r>
          </w:p>
        </w:tc>
        <w:tc>
          <w:tcPr>
            <w:tcW w:w="108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2.80</w:t>
            </w:r>
          </w:p>
        </w:tc>
        <w:tc>
          <w:tcPr>
            <w:tcW w:w="113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301.000</w:t>
            </w:r>
          </w:p>
        </w:tc>
        <w:tc>
          <w:tcPr>
            <w:tcW w:w="113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13.65</w:t>
            </w:r>
          </w:p>
        </w:tc>
        <w:tc>
          <w:tcPr>
            <w:tcW w:w="1843"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.9712</w:t>
            </w:r>
          </w:p>
        </w:tc>
        <w:tc>
          <w:tcPr>
            <w:tcW w:w="850"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.2145</w:t>
            </w:r>
          </w:p>
        </w:tc>
        <w:tc>
          <w:tcPr>
            <w:tcW w:w="996"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.3150</w:t>
            </w:r>
          </w:p>
        </w:tc>
        <w:tc>
          <w:tcPr>
            <w:tcW w:w="0" w:type="auto"/>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.0169</w:t>
            </w:r>
          </w:p>
        </w:tc>
      </w:tr>
      <w:tr w:rsidR="0097361D" w:rsidRPr="007E4D9A" w:rsidTr="00BE5ED7">
        <w:tc>
          <w:tcPr>
            <w:tcW w:w="0" w:type="auto"/>
          </w:tcPr>
          <w:p w:rsidR="004B6BE8" w:rsidRPr="007E4D9A" w:rsidRDefault="004B6BE8"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Scattering Coefficient</w:t>
            </w:r>
          </w:p>
        </w:tc>
        <w:tc>
          <w:tcPr>
            <w:tcW w:w="108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37.70</w:t>
            </w:r>
          </w:p>
        </w:tc>
        <w:tc>
          <w:tcPr>
            <w:tcW w:w="113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77.62</w:t>
            </w:r>
          </w:p>
        </w:tc>
        <w:tc>
          <w:tcPr>
            <w:tcW w:w="1134"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4.92</w:t>
            </w:r>
          </w:p>
        </w:tc>
        <w:tc>
          <w:tcPr>
            <w:tcW w:w="1843"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20.14</w:t>
            </w:r>
          </w:p>
        </w:tc>
        <w:tc>
          <w:tcPr>
            <w:tcW w:w="850"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83.25</w:t>
            </w:r>
          </w:p>
        </w:tc>
        <w:tc>
          <w:tcPr>
            <w:tcW w:w="996" w:type="dxa"/>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84.35</w:t>
            </w:r>
          </w:p>
        </w:tc>
        <w:tc>
          <w:tcPr>
            <w:tcW w:w="0" w:type="auto"/>
          </w:tcPr>
          <w:p w:rsidR="004B6BE8" w:rsidRPr="007E4D9A" w:rsidRDefault="00C75669" w:rsidP="004C4586">
            <w:pPr>
              <w:contextualSpacing/>
              <w:jc w:val="both"/>
              <w:rPr>
                <w:rFonts w:ascii="Times New Roman" w:hAnsi="Times New Roman" w:cs="Times New Roman"/>
                <w:sz w:val="20"/>
                <w:szCs w:val="20"/>
              </w:rPr>
            </w:pPr>
            <w:r w:rsidRPr="007E4D9A">
              <w:rPr>
                <w:rFonts w:ascii="Times New Roman" w:hAnsi="Times New Roman" w:cs="Times New Roman"/>
                <w:sz w:val="20"/>
                <w:szCs w:val="20"/>
              </w:rPr>
              <w:t>105.20</w:t>
            </w:r>
          </w:p>
        </w:tc>
      </w:tr>
    </w:tbl>
    <w:p w:rsidR="004B6BE8" w:rsidRPr="007E4D9A" w:rsidRDefault="004B6BE8" w:rsidP="004C4586">
      <w:pPr>
        <w:spacing w:after="0" w:line="240" w:lineRule="auto"/>
        <w:ind w:left="357"/>
        <w:contextualSpacing/>
        <w:jc w:val="both"/>
        <w:rPr>
          <w:rFonts w:ascii="Times New Roman" w:hAnsi="Times New Roman" w:cs="Times New Roman"/>
          <w:sz w:val="20"/>
          <w:szCs w:val="20"/>
        </w:rPr>
      </w:pPr>
    </w:p>
    <w:p w:rsidR="00C423C2" w:rsidRPr="007E4D9A" w:rsidRDefault="00C423C2" w:rsidP="004C4586">
      <w:pPr>
        <w:spacing w:after="0" w:line="240" w:lineRule="auto"/>
        <w:ind w:left="357"/>
        <w:contextualSpacing/>
        <w:jc w:val="both"/>
        <w:rPr>
          <w:rFonts w:ascii="Times New Roman" w:hAnsi="Times New Roman" w:cs="Times New Roman"/>
          <w:sz w:val="20"/>
          <w:szCs w:val="20"/>
        </w:rPr>
      </w:pPr>
      <w:r w:rsidRPr="007E4D9A">
        <w:rPr>
          <w:rFonts w:ascii="Times New Roman" w:hAnsi="Times New Roman" w:cs="Times New Roman"/>
          <w:sz w:val="20"/>
          <w:szCs w:val="20"/>
        </w:rPr>
        <w:t>The coefficient matrix of the research variables is shown as the following:</w:t>
      </w:r>
    </w:p>
    <w:p w:rsidR="007E4D9A" w:rsidRDefault="007E4D9A" w:rsidP="004C4586">
      <w:pPr>
        <w:spacing w:after="0" w:line="240" w:lineRule="auto"/>
        <w:ind w:left="357"/>
        <w:contextualSpacing/>
        <w:jc w:val="both"/>
        <w:rPr>
          <w:rFonts w:ascii="Times New Roman" w:hAnsi="Times New Roman" w:cs="Times New Roman"/>
          <w:sz w:val="20"/>
          <w:szCs w:val="20"/>
        </w:rPr>
      </w:pPr>
    </w:p>
    <w:p w:rsidR="007E4D9A" w:rsidRDefault="007E4D9A" w:rsidP="004C4586">
      <w:pPr>
        <w:spacing w:after="0" w:line="240" w:lineRule="auto"/>
        <w:ind w:left="357"/>
        <w:contextualSpacing/>
        <w:jc w:val="both"/>
        <w:rPr>
          <w:rFonts w:ascii="Times New Roman" w:hAnsi="Times New Roman" w:cs="Times New Roman"/>
          <w:sz w:val="20"/>
          <w:szCs w:val="20"/>
        </w:rPr>
      </w:pPr>
    </w:p>
    <w:p w:rsidR="00BA1DD9" w:rsidRPr="007E4D9A" w:rsidRDefault="00BA1DD9" w:rsidP="004C4586">
      <w:pPr>
        <w:spacing w:after="0" w:line="240" w:lineRule="auto"/>
        <w:ind w:left="357"/>
        <w:contextualSpacing/>
        <w:jc w:val="both"/>
        <w:rPr>
          <w:rFonts w:ascii="Times New Roman" w:hAnsi="Times New Roman" w:cs="Times New Roman"/>
          <w:sz w:val="20"/>
          <w:szCs w:val="20"/>
        </w:rPr>
      </w:pPr>
      <w:r w:rsidRPr="007E4D9A">
        <w:rPr>
          <w:rFonts w:ascii="Times New Roman" w:hAnsi="Times New Roman" w:cs="Times New Roman"/>
          <w:sz w:val="20"/>
          <w:szCs w:val="20"/>
        </w:rPr>
        <w:t>Table</w:t>
      </w:r>
      <w:r w:rsidR="007E4D9A">
        <w:rPr>
          <w:rFonts w:ascii="Times New Roman" w:hAnsi="Times New Roman" w:cs="Times New Roman"/>
          <w:sz w:val="20"/>
          <w:szCs w:val="20"/>
        </w:rPr>
        <w:t xml:space="preserve"> </w:t>
      </w:r>
      <w:r w:rsidRPr="007E4D9A">
        <w:rPr>
          <w:rFonts w:ascii="Times New Roman" w:hAnsi="Times New Roman" w:cs="Times New Roman"/>
          <w:sz w:val="20"/>
          <w:szCs w:val="20"/>
        </w:rPr>
        <w:t>4. The coefficient matrix of the research variables</w:t>
      </w:r>
    </w:p>
    <w:tbl>
      <w:tblPr>
        <w:tblStyle w:val="TableGrid"/>
        <w:tblW w:w="0" w:type="auto"/>
        <w:tblInd w:w="357" w:type="dxa"/>
        <w:tblLook w:val="04A0"/>
      </w:tblPr>
      <w:tblGrid>
        <w:gridCol w:w="1196"/>
        <w:gridCol w:w="1036"/>
        <w:gridCol w:w="997"/>
        <w:gridCol w:w="999"/>
        <w:gridCol w:w="965"/>
        <w:gridCol w:w="1196"/>
        <w:gridCol w:w="935"/>
        <w:gridCol w:w="935"/>
        <w:gridCol w:w="960"/>
      </w:tblGrid>
      <w:tr w:rsidR="00C66605" w:rsidRPr="007E4D9A" w:rsidTr="00185766">
        <w:tc>
          <w:tcPr>
            <w:tcW w:w="1196" w:type="dxa"/>
          </w:tcPr>
          <w:p w:rsidR="00C66605" w:rsidRPr="007E4D9A" w:rsidRDefault="00C66605" w:rsidP="004C4586">
            <w:pPr>
              <w:contextualSpacing/>
              <w:jc w:val="both"/>
              <w:rPr>
                <w:rFonts w:ascii="Times New Roman" w:hAnsi="Times New Roman" w:cs="Times New Roman"/>
                <w:sz w:val="18"/>
                <w:szCs w:val="18"/>
              </w:rPr>
            </w:pPr>
          </w:p>
        </w:tc>
        <w:tc>
          <w:tcPr>
            <w:tcW w:w="1036" w:type="dxa"/>
          </w:tcPr>
          <w:p w:rsidR="00C66605" w:rsidRPr="007E4D9A" w:rsidRDefault="00C66605" w:rsidP="004C4586">
            <w:pPr>
              <w:contextualSpacing/>
              <w:jc w:val="both"/>
              <w:rPr>
                <w:rFonts w:ascii="Times New Roman" w:hAnsi="Times New Roman" w:cs="Times New Roman"/>
                <w:sz w:val="18"/>
                <w:szCs w:val="18"/>
              </w:rPr>
            </w:pPr>
          </w:p>
        </w:tc>
        <w:tc>
          <w:tcPr>
            <w:tcW w:w="997" w:type="dxa"/>
          </w:tcPr>
          <w:p w:rsidR="00C66605" w:rsidRPr="007E4D9A" w:rsidRDefault="00C66605"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Abnormal return</w:t>
            </w:r>
          </w:p>
        </w:tc>
        <w:tc>
          <w:tcPr>
            <w:tcW w:w="999" w:type="dxa"/>
          </w:tcPr>
          <w:p w:rsidR="00C66605" w:rsidRPr="007E4D9A" w:rsidRDefault="00C66605"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 xml:space="preserve"> Capital </w:t>
            </w:r>
          </w:p>
          <w:p w:rsidR="00C66605" w:rsidRPr="007E4D9A" w:rsidRDefault="00C66605"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increasing</w:t>
            </w:r>
          </w:p>
        </w:tc>
        <w:tc>
          <w:tcPr>
            <w:tcW w:w="965" w:type="dxa"/>
          </w:tcPr>
          <w:p w:rsidR="00C66605" w:rsidRPr="007E4D9A" w:rsidRDefault="00C66605"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Stock liquidity</w:t>
            </w:r>
          </w:p>
        </w:tc>
        <w:tc>
          <w:tcPr>
            <w:tcW w:w="1196" w:type="dxa"/>
          </w:tcPr>
          <w:p w:rsidR="00C66605" w:rsidRPr="007E4D9A" w:rsidRDefault="008D5FE9"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Ownership centralization rate</w:t>
            </w:r>
          </w:p>
        </w:tc>
        <w:tc>
          <w:tcPr>
            <w:tcW w:w="935" w:type="dxa"/>
          </w:tcPr>
          <w:p w:rsidR="00C66605" w:rsidRPr="007E4D9A" w:rsidRDefault="00C66605"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Firm size</w:t>
            </w:r>
          </w:p>
        </w:tc>
        <w:tc>
          <w:tcPr>
            <w:tcW w:w="935" w:type="dxa"/>
          </w:tcPr>
          <w:p w:rsidR="00C66605" w:rsidRPr="007E4D9A" w:rsidRDefault="00C66605"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 xml:space="preserve"> Firm debt ratio</w:t>
            </w:r>
          </w:p>
        </w:tc>
        <w:tc>
          <w:tcPr>
            <w:tcW w:w="960" w:type="dxa"/>
          </w:tcPr>
          <w:p w:rsidR="00C66605" w:rsidRPr="007E4D9A" w:rsidRDefault="00C66605"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Kind of industry</w:t>
            </w:r>
          </w:p>
        </w:tc>
      </w:tr>
      <w:tr w:rsidR="00D55DA4" w:rsidRPr="007E4D9A" w:rsidTr="00185766">
        <w:tc>
          <w:tcPr>
            <w:tcW w:w="1196" w:type="dxa"/>
            <w:vMerge w:val="restart"/>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 xml:space="preserve">Abnormal </w:t>
            </w:r>
          </w:p>
          <w:p w:rsidR="00D55DA4" w:rsidRPr="007E4D9A" w:rsidRDefault="00E52DDC"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R</w:t>
            </w:r>
            <w:r w:rsidR="00D55DA4" w:rsidRPr="007E4D9A">
              <w:rPr>
                <w:rFonts w:ascii="Times New Roman" w:hAnsi="Times New Roman" w:cs="Times New Roman"/>
                <w:sz w:val="18"/>
                <w:szCs w:val="18"/>
              </w:rPr>
              <w:t>eturn</w:t>
            </w: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Correlation coefficient</w:t>
            </w:r>
          </w:p>
        </w:tc>
        <w:tc>
          <w:tcPr>
            <w:tcW w:w="997"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1.000</w:t>
            </w:r>
          </w:p>
        </w:tc>
        <w:tc>
          <w:tcPr>
            <w:tcW w:w="999" w:type="dxa"/>
          </w:tcPr>
          <w:p w:rsidR="00D55DA4" w:rsidRPr="007E4D9A" w:rsidRDefault="00D55DA4" w:rsidP="004C4586">
            <w:pPr>
              <w:contextualSpacing/>
              <w:jc w:val="both"/>
              <w:rPr>
                <w:rFonts w:ascii="Times New Roman" w:hAnsi="Times New Roman" w:cs="Times New Roman"/>
                <w:sz w:val="18"/>
                <w:szCs w:val="18"/>
                <w:vertAlign w:val="superscript"/>
              </w:rPr>
            </w:pPr>
            <w:r w:rsidRPr="007E4D9A">
              <w:rPr>
                <w:rFonts w:ascii="Times New Roman" w:hAnsi="Times New Roman" w:cs="Times New Roman"/>
                <w:sz w:val="18"/>
                <w:szCs w:val="18"/>
              </w:rPr>
              <w:t>.752</w:t>
            </w:r>
            <w:r w:rsidRPr="007E4D9A">
              <w:rPr>
                <w:rFonts w:ascii="Times New Roman" w:hAnsi="Times New Roman" w:cs="Times New Roman"/>
                <w:sz w:val="18"/>
                <w:szCs w:val="18"/>
                <w:rtl/>
              </w:rPr>
              <w:t>٭٭</w:t>
            </w:r>
          </w:p>
        </w:tc>
        <w:tc>
          <w:tcPr>
            <w:tcW w:w="965"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-.015</w:t>
            </w:r>
          </w:p>
        </w:tc>
        <w:tc>
          <w:tcPr>
            <w:tcW w:w="119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.762</w:t>
            </w:r>
          </w:p>
        </w:tc>
        <w:tc>
          <w:tcPr>
            <w:tcW w:w="935"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.052</w:t>
            </w:r>
          </w:p>
        </w:tc>
        <w:tc>
          <w:tcPr>
            <w:tcW w:w="935"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.856</w:t>
            </w:r>
          </w:p>
        </w:tc>
        <w:tc>
          <w:tcPr>
            <w:tcW w:w="960"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.672</w:t>
            </w:r>
          </w:p>
        </w:tc>
      </w:tr>
      <w:tr w:rsidR="00D55DA4" w:rsidRPr="007E4D9A" w:rsidTr="00185766">
        <w:tc>
          <w:tcPr>
            <w:tcW w:w="1196" w:type="dxa"/>
            <w:vMerge/>
          </w:tcPr>
          <w:p w:rsidR="00D55DA4" w:rsidRPr="007E4D9A" w:rsidRDefault="00D55DA4" w:rsidP="004C4586">
            <w:pPr>
              <w:contextualSpacing/>
              <w:jc w:val="both"/>
              <w:rPr>
                <w:rFonts w:ascii="Times New Roman" w:hAnsi="Times New Roman" w:cs="Times New Roman"/>
                <w:sz w:val="18"/>
                <w:szCs w:val="18"/>
              </w:rPr>
            </w:pP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P-value</w:t>
            </w:r>
          </w:p>
        </w:tc>
        <w:tc>
          <w:tcPr>
            <w:tcW w:w="997" w:type="dxa"/>
          </w:tcPr>
          <w:p w:rsidR="00D55DA4" w:rsidRPr="007E4D9A" w:rsidRDefault="00D55DA4" w:rsidP="004C4586">
            <w:pPr>
              <w:contextualSpacing/>
              <w:jc w:val="both"/>
              <w:rPr>
                <w:rFonts w:ascii="Times New Roman" w:hAnsi="Times New Roman" w:cs="Times New Roman"/>
                <w:sz w:val="18"/>
                <w:szCs w:val="18"/>
              </w:rPr>
            </w:pPr>
          </w:p>
        </w:tc>
        <w:tc>
          <w:tcPr>
            <w:tcW w:w="999"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.001</w:t>
            </w:r>
          </w:p>
        </w:tc>
        <w:tc>
          <w:tcPr>
            <w:tcW w:w="965"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.848</w:t>
            </w:r>
          </w:p>
        </w:tc>
        <w:tc>
          <w:tcPr>
            <w:tcW w:w="119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.001</w:t>
            </w:r>
          </w:p>
        </w:tc>
        <w:tc>
          <w:tcPr>
            <w:tcW w:w="935"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.489</w:t>
            </w:r>
          </w:p>
        </w:tc>
        <w:tc>
          <w:tcPr>
            <w:tcW w:w="935"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.846</w:t>
            </w:r>
          </w:p>
        </w:tc>
        <w:tc>
          <w:tcPr>
            <w:tcW w:w="960"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.269</w:t>
            </w:r>
          </w:p>
        </w:tc>
      </w:tr>
      <w:tr w:rsidR="00D55DA4" w:rsidRPr="007E4D9A" w:rsidTr="00185766">
        <w:tc>
          <w:tcPr>
            <w:tcW w:w="1196" w:type="dxa"/>
            <w:vMerge w:val="restart"/>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 xml:space="preserve">Capital </w:t>
            </w:r>
          </w:p>
          <w:p w:rsidR="00D55DA4" w:rsidRPr="007E4D9A" w:rsidRDefault="00E52DDC"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I</w:t>
            </w:r>
            <w:r w:rsidR="00D55DA4" w:rsidRPr="007E4D9A">
              <w:rPr>
                <w:rFonts w:ascii="Times New Roman" w:hAnsi="Times New Roman" w:cs="Times New Roman"/>
                <w:sz w:val="18"/>
                <w:szCs w:val="18"/>
              </w:rPr>
              <w:t>ncreasing</w:t>
            </w: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Correlation coefficient</w:t>
            </w:r>
          </w:p>
        </w:tc>
        <w:tc>
          <w:tcPr>
            <w:tcW w:w="997"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.752</w:t>
            </w:r>
            <w:r w:rsidRPr="007E4D9A">
              <w:rPr>
                <w:rFonts w:ascii="Times New Roman" w:hAnsi="Times New Roman" w:cs="Times New Roman"/>
                <w:sz w:val="18"/>
                <w:szCs w:val="18"/>
                <w:rtl/>
              </w:rPr>
              <w:t>٭٭</w:t>
            </w:r>
          </w:p>
        </w:tc>
        <w:tc>
          <w:tcPr>
            <w:tcW w:w="999"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1.000</w:t>
            </w:r>
          </w:p>
        </w:tc>
        <w:tc>
          <w:tcPr>
            <w:tcW w:w="965"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.189</w:t>
            </w:r>
            <w:r w:rsidRPr="007E4D9A">
              <w:rPr>
                <w:rFonts w:ascii="Times New Roman" w:hAnsi="Times New Roman" w:cs="Times New Roman"/>
                <w:sz w:val="18"/>
                <w:szCs w:val="18"/>
                <w:rtl/>
              </w:rPr>
              <w:t>٭</w:t>
            </w:r>
          </w:p>
        </w:tc>
        <w:tc>
          <w:tcPr>
            <w:tcW w:w="119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.421</w:t>
            </w:r>
            <w:r w:rsidRPr="007E4D9A">
              <w:rPr>
                <w:rFonts w:ascii="Times New Roman" w:hAnsi="Times New Roman" w:cs="Times New Roman"/>
                <w:sz w:val="18"/>
                <w:szCs w:val="18"/>
                <w:rtl/>
              </w:rPr>
              <w:t>٭٭</w:t>
            </w:r>
          </w:p>
        </w:tc>
        <w:tc>
          <w:tcPr>
            <w:tcW w:w="935"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-.154</w:t>
            </w:r>
            <w:r w:rsidRPr="007E4D9A">
              <w:rPr>
                <w:rFonts w:ascii="Times New Roman" w:hAnsi="Times New Roman" w:cs="Times New Roman"/>
                <w:sz w:val="18"/>
                <w:szCs w:val="18"/>
                <w:rtl/>
              </w:rPr>
              <w:t>٭</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.316</w:t>
            </w:r>
            <w:r w:rsidRPr="007E4D9A">
              <w:rPr>
                <w:rFonts w:ascii="Times New Roman" w:hAnsi="Times New Roman" w:cs="Times New Roman"/>
                <w:sz w:val="18"/>
                <w:szCs w:val="18"/>
                <w:rtl/>
              </w:rPr>
              <w:t>٭٭</w:t>
            </w: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.279</w:t>
            </w:r>
            <w:r w:rsidRPr="007E4D9A">
              <w:rPr>
                <w:rFonts w:ascii="Times New Roman" w:hAnsi="Times New Roman" w:cs="Times New Roman"/>
                <w:sz w:val="18"/>
                <w:szCs w:val="18"/>
                <w:rtl/>
              </w:rPr>
              <w:t>٭٭</w:t>
            </w:r>
          </w:p>
        </w:tc>
      </w:tr>
      <w:tr w:rsidR="00D55DA4" w:rsidRPr="007E4D9A" w:rsidTr="00185766">
        <w:tc>
          <w:tcPr>
            <w:tcW w:w="1196" w:type="dxa"/>
            <w:vMerge/>
          </w:tcPr>
          <w:p w:rsidR="00D55DA4" w:rsidRPr="007E4D9A" w:rsidRDefault="00D55DA4" w:rsidP="004C4586">
            <w:pPr>
              <w:contextualSpacing/>
              <w:jc w:val="both"/>
              <w:rPr>
                <w:rFonts w:ascii="Times New Roman" w:hAnsi="Times New Roman" w:cs="Times New Roman"/>
                <w:sz w:val="18"/>
                <w:szCs w:val="18"/>
              </w:rPr>
            </w:pP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P-value</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.001</w:t>
            </w:r>
          </w:p>
        </w:tc>
        <w:tc>
          <w:tcPr>
            <w:tcW w:w="999" w:type="dxa"/>
          </w:tcPr>
          <w:p w:rsidR="00D55DA4" w:rsidRPr="007E4D9A" w:rsidRDefault="00D55DA4" w:rsidP="004C4586">
            <w:pPr>
              <w:contextualSpacing/>
              <w:jc w:val="both"/>
              <w:rPr>
                <w:rFonts w:ascii="Times New Roman" w:hAnsi="Times New Roman" w:cs="Times New Roman"/>
                <w:sz w:val="18"/>
                <w:szCs w:val="18"/>
              </w:rPr>
            </w:pPr>
          </w:p>
        </w:tc>
        <w:tc>
          <w:tcPr>
            <w:tcW w:w="96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.012</w:t>
            </w:r>
          </w:p>
        </w:tc>
        <w:tc>
          <w:tcPr>
            <w:tcW w:w="1196"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.000</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.38</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.000</w:t>
            </w: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.000</w:t>
            </w:r>
          </w:p>
        </w:tc>
      </w:tr>
      <w:tr w:rsidR="00D55DA4" w:rsidRPr="007E4D9A" w:rsidTr="00185766">
        <w:tc>
          <w:tcPr>
            <w:tcW w:w="1196" w:type="dxa"/>
            <w:vMerge w:val="restart"/>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Stock liquidity</w:t>
            </w: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Correlation coefficient</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.015</w:t>
            </w:r>
          </w:p>
        </w:tc>
        <w:tc>
          <w:tcPr>
            <w:tcW w:w="999"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.189</w:t>
            </w:r>
            <w:r w:rsidRPr="007E4D9A">
              <w:rPr>
                <w:rFonts w:ascii="Times New Roman" w:hAnsi="Times New Roman" w:cs="Times New Roman"/>
                <w:sz w:val="18"/>
                <w:szCs w:val="18"/>
                <w:rtl/>
              </w:rPr>
              <w:t>٭</w:t>
            </w:r>
          </w:p>
        </w:tc>
        <w:tc>
          <w:tcPr>
            <w:tcW w:w="96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1.000</w:t>
            </w:r>
          </w:p>
        </w:tc>
        <w:tc>
          <w:tcPr>
            <w:tcW w:w="1196"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.0152</w:t>
            </w:r>
            <w:r w:rsidRPr="007E4D9A">
              <w:rPr>
                <w:rFonts w:ascii="Times New Roman" w:hAnsi="Times New Roman" w:cs="Times New Roman"/>
                <w:sz w:val="18"/>
                <w:szCs w:val="18"/>
                <w:rtl/>
              </w:rPr>
              <w:t>٭</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-.209</w:t>
            </w:r>
            <w:r w:rsidRPr="007E4D9A">
              <w:rPr>
                <w:rFonts w:ascii="Times New Roman" w:hAnsi="Times New Roman" w:cs="Times New Roman"/>
                <w:sz w:val="18"/>
                <w:szCs w:val="18"/>
                <w:rtl/>
              </w:rPr>
              <w:t>٭٭</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.094</w:t>
            </w: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.752</w:t>
            </w:r>
            <w:r w:rsidRPr="007E4D9A">
              <w:rPr>
                <w:rFonts w:ascii="Times New Roman" w:hAnsi="Times New Roman" w:cs="Times New Roman"/>
                <w:sz w:val="18"/>
                <w:szCs w:val="18"/>
                <w:rtl/>
              </w:rPr>
              <w:t>٭٭</w:t>
            </w:r>
          </w:p>
        </w:tc>
      </w:tr>
      <w:tr w:rsidR="00D55DA4" w:rsidRPr="007E4D9A" w:rsidTr="00185766">
        <w:tc>
          <w:tcPr>
            <w:tcW w:w="1196" w:type="dxa"/>
            <w:vMerge/>
          </w:tcPr>
          <w:p w:rsidR="00D55DA4" w:rsidRPr="007E4D9A" w:rsidRDefault="00D55DA4" w:rsidP="004C4586">
            <w:pPr>
              <w:contextualSpacing/>
              <w:jc w:val="both"/>
              <w:rPr>
                <w:rFonts w:ascii="Times New Roman" w:hAnsi="Times New Roman" w:cs="Times New Roman"/>
                <w:sz w:val="18"/>
                <w:szCs w:val="18"/>
              </w:rPr>
            </w:pP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P-value</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.848</w:t>
            </w:r>
          </w:p>
        </w:tc>
        <w:tc>
          <w:tcPr>
            <w:tcW w:w="999"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.012</w:t>
            </w:r>
          </w:p>
        </w:tc>
        <w:tc>
          <w:tcPr>
            <w:tcW w:w="965" w:type="dxa"/>
          </w:tcPr>
          <w:p w:rsidR="00D55DA4" w:rsidRPr="007E4D9A" w:rsidRDefault="00D55DA4" w:rsidP="004C4586">
            <w:pPr>
              <w:contextualSpacing/>
              <w:jc w:val="both"/>
              <w:rPr>
                <w:rFonts w:ascii="Times New Roman" w:hAnsi="Times New Roman" w:cs="Times New Roman"/>
                <w:sz w:val="18"/>
                <w:szCs w:val="18"/>
              </w:rPr>
            </w:pPr>
          </w:p>
        </w:tc>
        <w:tc>
          <w:tcPr>
            <w:tcW w:w="1196"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.37</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.005</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.217</w:t>
            </w: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.001</w:t>
            </w:r>
          </w:p>
        </w:tc>
      </w:tr>
      <w:tr w:rsidR="00D55DA4" w:rsidRPr="007E4D9A" w:rsidTr="00185766">
        <w:tc>
          <w:tcPr>
            <w:tcW w:w="1196" w:type="dxa"/>
            <w:vMerge w:val="restart"/>
          </w:tcPr>
          <w:p w:rsidR="00D55DA4" w:rsidRPr="007E4D9A" w:rsidRDefault="008D5FE9"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Ownership centralization rate</w:t>
            </w: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Correlation coefficient</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.753</w:t>
            </w:r>
            <w:r w:rsidRPr="007E4D9A">
              <w:rPr>
                <w:rFonts w:ascii="Times New Roman" w:hAnsi="Times New Roman" w:cs="Times New Roman"/>
                <w:sz w:val="18"/>
                <w:szCs w:val="18"/>
                <w:rtl/>
              </w:rPr>
              <w:t>٭٭</w:t>
            </w:r>
          </w:p>
        </w:tc>
        <w:tc>
          <w:tcPr>
            <w:tcW w:w="999"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-.15</w:t>
            </w:r>
          </w:p>
        </w:tc>
        <w:tc>
          <w:tcPr>
            <w:tcW w:w="96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.0154</w:t>
            </w:r>
          </w:p>
        </w:tc>
        <w:tc>
          <w:tcPr>
            <w:tcW w:w="1196"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1.000</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.053</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.130</w:t>
            </w: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.276</w:t>
            </w:r>
          </w:p>
        </w:tc>
      </w:tr>
      <w:tr w:rsidR="00D55DA4" w:rsidRPr="007E4D9A" w:rsidTr="00185766">
        <w:tc>
          <w:tcPr>
            <w:tcW w:w="1196" w:type="dxa"/>
            <w:vMerge/>
          </w:tcPr>
          <w:p w:rsidR="00D55DA4" w:rsidRPr="007E4D9A" w:rsidRDefault="00D55DA4" w:rsidP="004C4586">
            <w:pPr>
              <w:contextualSpacing/>
              <w:jc w:val="both"/>
              <w:rPr>
                <w:rFonts w:ascii="Times New Roman" w:hAnsi="Times New Roman" w:cs="Times New Roman"/>
                <w:sz w:val="18"/>
                <w:szCs w:val="18"/>
              </w:rPr>
            </w:pP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P-value</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.001</w:t>
            </w:r>
          </w:p>
        </w:tc>
        <w:tc>
          <w:tcPr>
            <w:tcW w:w="999"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.848</w:t>
            </w:r>
          </w:p>
        </w:tc>
        <w:tc>
          <w:tcPr>
            <w:tcW w:w="96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.37</w:t>
            </w:r>
          </w:p>
        </w:tc>
        <w:tc>
          <w:tcPr>
            <w:tcW w:w="1196" w:type="dxa"/>
          </w:tcPr>
          <w:p w:rsidR="00D55DA4" w:rsidRPr="007E4D9A" w:rsidRDefault="00D55DA4" w:rsidP="004C4586">
            <w:pPr>
              <w:contextualSpacing/>
              <w:jc w:val="both"/>
              <w:rPr>
                <w:rFonts w:ascii="Times New Roman" w:hAnsi="Times New Roman" w:cs="Times New Roman"/>
                <w:sz w:val="18"/>
                <w:szCs w:val="18"/>
              </w:rPr>
            </w:pP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.480</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.087</w:t>
            </w: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.000</w:t>
            </w:r>
          </w:p>
        </w:tc>
      </w:tr>
      <w:tr w:rsidR="00D55DA4" w:rsidRPr="007E4D9A" w:rsidTr="00185766">
        <w:tc>
          <w:tcPr>
            <w:tcW w:w="1196" w:type="dxa"/>
            <w:vMerge w:val="restart"/>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Firm size</w:t>
            </w: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Correlation coefficient</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.052</w:t>
            </w:r>
          </w:p>
        </w:tc>
        <w:tc>
          <w:tcPr>
            <w:tcW w:w="999"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-.154</w:t>
            </w:r>
          </w:p>
        </w:tc>
        <w:tc>
          <w:tcPr>
            <w:tcW w:w="96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.316</w:t>
            </w:r>
            <w:r w:rsidRPr="007E4D9A">
              <w:rPr>
                <w:rFonts w:ascii="Times New Roman" w:hAnsi="Times New Roman" w:cs="Times New Roman"/>
                <w:sz w:val="18"/>
                <w:szCs w:val="18"/>
                <w:rtl/>
              </w:rPr>
              <w:t>٭٭</w:t>
            </w:r>
          </w:p>
        </w:tc>
        <w:tc>
          <w:tcPr>
            <w:tcW w:w="1196"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.094</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1.000</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-.072</w:t>
            </w: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.082</w:t>
            </w:r>
          </w:p>
        </w:tc>
      </w:tr>
      <w:tr w:rsidR="00D55DA4" w:rsidRPr="007E4D9A" w:rsidTr="00185766">
        <w:tc>
          <w:tcPr>
            <w:tcW w:w="1196" w:type="dxa"/>
            <w:vMerge/>
          </w:tcPr>
          <w:p w:rsidR="00D55DA4" w:rsidRPr="007E4D9A" w:rsidRDefault="00D55DA4" w:rsidP="004C4586">
            <w:pPr>
              <w:contextualSpacing/>
              <w:jc w:val="both"/>
              <w:rPr>
                <w:rFonts w:ascii="Times New Roman" w:hAnsi="Times New Roman" w:cs="Times New Roman"/>
                <w:sz w:val="18"/>
                <w:szCs w:val="18"/>
              </w:rPr>
            </w:pP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P-value</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.489</w:t>
            </w:r>
          </w:p>
        </w:tc>
        <w:tc>
          <w:tcPr>
            <w:tcW w:w="999"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.038</w:t>
            </w:r>
          </w:p>
        </w:tc>
        <w:tc>
          <w:tcPr>
            <w:tcW w:w="96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.000</w:t>
            </w:r>
          </w:p>
        </w:tc>
        <w:tc>
          <w:tcPr>
            <w:tcW w:w="1196"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.217</w:t>
            </w:r>
          </w:p>
        </w:tc>
        <w:tc>
          <w:tcPr>
            <w:tcW w:w="935" w:type="dxa"/>
          </w:tcPr>
          <w:p w:rsidR="00D55DA4" w:rsidRPr="007E4D9A" w:rsidRDefault="00D55DA4" w:rsidP="004C4586">
            <w:pPr>
              <w:contextualSpacing/>
              <w:jc w:val="both"/>
              <w:rPr>
                <w:rFonts w:ascii="Times New Roman" w:hAnsi="Times New Roman" w:cs="Times New Roman"/>
                <w:sz w:val="18"/>
                <w:szCs w:val="18"/>
              </w:rPr>
            </w:pP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.342</w:t>
            </w: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.318</w:t>
            </w:r>
          </w:p>
        </w:tc>
      </w:tr>
      <w:tr w:rsidR="00D55DA4" w:rsidRPr="007E4D9A" w:rsidTr="00185766">
        <w:tc>
          <w:tcPr>
            <w:tcW w:w="1196" w:type="dxa"/>
            <w:vMerge w:val="restart"/>
          </w:tcPr>
          <w:p w:rsidR="00D55DA4" w:rsidRPr="007E4D9A" w:rsidRDefault="00D55DA4" w:rsidP="004C4586">
            <w:pPr>
              <w:contextualSpacing/>
              <w:jc w:val="both"/>
              <w:rPr>
                <w:rFonts w:ascii="Times New Roman" w:hAnsi="Times New Roman" w:cs="Times New Roman"/>
                <w:sz w:val="18"/>
                <w:szCs w:val="18"/>
              </w:rPr>
            </w:pPr>
          </w:p>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Firm debt ratio</w:t>
            </w: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Correlation coefficient</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.130</w:t>
            </w:r>
          </w:p>
        </w:tc>
        <w:tc>
          <w:tcPr>
            <w:tcW w:w="999"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.316</w:t>
            </w:r>
            <w:r w:rsidRPr="007E4D9A">
              <w:rPr>
                <w:rFonts w:ascii="Times New Roman" w:hAnsi="Times New Roman" w:cs="Times New Roman"/>
                <w:sz w:val="18"/>
                <w:szCs w:val="18"/>
                <w:rtl/>
              </w:rPr>
              <w:t>٭٭</w:t>
            </w:r>
          </w:p>
        </w:tc>
        <w:tc>
          <w:tcPr>
            <w:tcW w:w="96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-.072</w:t>
            </w:r>
          </w:p>
        </w:tc>
        <w:tc>
          <w:tcPr>
            <w:tcW w:w="1196"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-.094</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.209</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1.000</w:t>
            </w: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.761</w:t>
            </w:r>
          </w:p>
        </w:tc>
      </w:tr>
      <w:tr w:rsidR="00D55DA4" w:rsidRPr="007E4D9A" w:rsidTr="00185766">
        <w:tc>
          <w:tcPr>
            <w:tcW w:w="1196" w:type="dxa"/>
            <w:vMerge/>
          </w:tcPr>
          <w:p w:rsidR="00D55DA4" w:rsidRPr="007E4D9A" w:rsidRDefault="00D55DA4" w:rsidP="004C4586">
            <w:pPr>
              <w:contextualSpacing/>
              <w:jc w:val="both"/>
              <w:rPr>
                <w:rFonts w:ascii="Times New Roman" w:hAnsi="Times New Roman" w:cs="Times New Roman"/>
                <w:sz w:val="18"/>
                <w:szCs w:val="18"/>
              </w:rPr>
            </w:pP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P-value</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.87</w:t>
            </w:r>
          </w:p>
        </w:tc>
        <w:tc>
          <w:tcPr>
            <w:tcW w:w="999"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.000</w:t>
            </w:r>
          </w:p>
        </w:tc>
        <w:tc>
          <w:tcPr>
            <w:tcW w:w="96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.342</w:t>
            </w:r>
          </w:p>
        </w:tc>
        <w:tc>
          <w:tcPr>
            <w:tcW w:w="1196"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.217</w:t>
            </w:r>
          </w:p>
        </w:tc>
        <w:tc>
          <w:tcPr>
            <w:tcW w:w="93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-.005</w:t>
            </w:r>
          </w:p>
        </w:tc>
        <w:tc>
          <w:tcPr>
            <w:tcW w:w="935" w:type="dxa"/>
          </w:tcPr>
          <w:p w:rsidR="00D55DA4" w:rsidRPr="007E4D9A" w:rsidRDefault="00D55DA4" w:rsidP="004C4586">
            <w:pPr>
              <w:contextualSpacing/>
              <w:jc w:val="both"/>
              <w:rPr>
                <w:rFonts w:ascii="Times New Roman" w:hAnsi="Times New Roman" w:cs="Times New Roman"/>
                <w:sz w:val="18"/>
                <w:szCs w:val="18"/>
              </w:rPr>
            </w:pPr>
          </w:p>
        </w:tc>
        <w:tc>
          <w:tcPr>
            <w:tcW w:w="960"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.0001</w:t>
            </w:r>
          </w:p>
        </w:tc>
      </w:tr>
      <w:tr w:rsidR="00D55DA4" w:rsidRPr="007E4D9A" w:rsidTr="00185766">
        <w:tc>
          <w:tcPr>
            <w:tcW w:w="1196" w:type="dxa"/>
            <w:vMerge w:val="restart"/>
          </w:tcPr>
          <w:p w:rsidR="00D55DA4" w:rsidRPr="007E4D9A" w:rsidRDefault="00D55DA4" w:rsidP="004C4586">
            <w:pPr>
              <w:contextualSpacing/>
              <w:jc w:val="both"/>
              <w:rPr>
                <w:rFonts w:ascii="Times New Roman" w:hAnsi="Times New Roman" w:cs="Times New Roman"/>
                <w:sz w:val="18"/>
                <w:szCs w:val="18"/>
              </w:rPr>
            </w:pPr>
          </w:p>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Kind of industry</w:t>
            </w: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Correlation coefficient</w:t>
            </w:r>
          </w:p>
        </w:tc>
        <w:tc>
          <w:tcPr>
            <w:tcW w:w="997"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.015</w:t>
            </w:r>
          </w:p>
        </w:tc>
        <w:tc>
          <w:tcPr>
            <w:tcW w:w="999"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.189</w:t>
            </w:r>
            <w:r w:rsidRPr="007E4D9A">
              <w:rPr>
                <w:rFonts w:ascii="Times New Roman" w:hAnsi="Times New Roman" w:cs="Times New Roman"/>
                <w:sz w:val="18"/>
                <w:szCs w:val="18"/>
                <w:rtl/>
              </w:rPr>
              <w:t>٭</w:t>
            </w:r>
          </w:p>
        </w:tc>
        <w:tc>
          <w:tcPr>
            <w:tcW w:w="965" w:type="dxa"/>
          </w:tcPr>
          <w:p w:rsidR="00D55DA4" w:rsidRPr="007E4D9A" w:rsidRDefault="00F12B0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w:t>
            </w:r>
            <w:r w:rsidR="000C4CF6" w:rsidRPr="007E4D9A">
              <w:rPr>
                <w:rFonts w:ascii="Times New Roman" w:hAnsi="Times New Roman" w:cs="Times New Roman"/>
                <w:sz w:val="18"/>
                <w:szCs w:val="18"/>
              </w:rPr>
              <w:t>03</w:t>
            </w:r>
            <w:r w:rsidR="000C4CF6" w:rsidRPr="007E4D9A">
              <w:rPr>
                <w:rFonts w:ascii="Times New Roman" w:hAnsi="Times New Roman" w:cs="Times New Roman"/>
                <w:sz w:val="18"/>
                <w:szCs w:val="18"/>
                <w:rtl/>
              </w:rPr>
              <w:t>٭٭</w:t>
            </w:r>
          </w:p>
        </w:tc>
        <w:tc>
          <w:tcPr>
            <w:tcW w:w="1196"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.023</w:t>
            </w:r>
          </w:p>
        </w:tc>
        <w:tc>
          <w:tcPr>
            <w:tcW w:w="935"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.094</w:t>
            </w:r>
          </w:p>
        </w:tc>
        <w:tc>
          <w:tcPr>
            <w:tcW w:w="935"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.544</w:t>
            </w:r>
            <w:r w:rsidRPr="007E4D9A">
              <w:rPr>
                <w:rFonts w:ascii="Times New Roman" w:hAnsi="Times New Roman" w:cs="Times New Roman"/>
                <w:sz w:val="18"/>
                <w:szCs w:val="18"/>
                <w:rtl/>
              </w:rPr>
              <w:t>٭٭</w:t>
            </w:r>
          </w:p>
        </w:tc>
        <w:tc>
          <w:tcPr>
            <w:tcW w:w="960"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1.000</w:t>
            </w:r>
          </w:p>
        </w:tc>
      </w:tr>
      <w:tr w:rsidR="00D55DA4" w:rsidRPr="007E4D9A" w:rsidTr="00185766">
        <w:tc>
          <w:tcPr>
            <w:tcW w:w="1196" w:type="dxa"/>
            <w:vMerge/>
          </w:tcPr>
          <w:p w:rsidR="00D55DA4" w:rsidRPr="007E4D9A" w:rsidRDefault="00D55DA4" w:rsidP="004C4586">
            <w:pPr>
              <w:contextualSpacing/>
              <w:jc w:val="both"/>
              <w:rPr>
                <w:rFonts w:ascii="Times New Roman" w:hAnsi="Times New Roman" w:cs="Times New Roman"/>
                <w:sz w:val="18"/>
                <w:szCs w:val="18"/>
              </w:rPr>
            </w:pPr>
          </w:p>
        </w:tc>
        <w:tc>
          <w:tcPr>
            <w:tcW w:w="1036" w:type="dxa"/>
          </w:tcPr>
          <w:p w:rsidR="00D55DA4" w:rsidRPr="007E4D9A" w:rsidRDefault="00D55DA4"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P-value</w:t>
            </w:r>
          </w:p>
        </w:tc>
        <w:tc>
          <w:tcPr>
            <w:tcW w:w="997"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.848</w:t>
            </w:r>
          </w:p>
        </w:tc>
        <w:tc>
          <w:tcPr>
            <w:tcW w:w="999"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.012</w:t>
            </w:r>
          </w:p>
        </w:tc>
        <w:tc>
          <w:tcPr>
            <w:tcW w:w="965"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.005</w:t>
            </w:r>
          </w:p>
        </w:tc>
        <w:tc>
          <w:tcPr>
            <w:tcW w:w="1196"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.002</w:t>
            </w:r>
          </w:p>
        </w:tc>
        <w:tc>
          <w:tcPr>
            <w:tcW w:w="935"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.217</w:t>
            </w:r>
          </w:p>
        </w:tc>
        <w:tc>
          <w:tcPr>
            <w:tcW w:w="935" w:type="dxa"/>
          </w:tcPr>
          <w:p w:rsidR="00D55DA4" w:rsidRPr="007E4D9A" w:rsidRDefault="000C4CF6" w:rsidP="004C4586">
            <w:pPr>
              <w:contextualSpacing/>
              <w:jc w:val="both"/>
              <w:rPr>
                <w:rFonts w:ascii="Times New Roman" w:hAnsi="Times New Roman" w:cs="Times New Roman"/>
                <w:sz w:val="18"/>
                <w:szCs w:val="18"/>
              </w:rPr>
            </w:pPr>
            <w:r w:rsidRPr="007E4D9A">
              <w:rPr>
                <w:rFonts w:ascii="Times New Roman" w:hAnsi="Times New Roman" w:cs="Times New Roman"/>
                <w:sz w:val="18"/>
                <w:szCs w:val="18"/>
              </w:rPr>
              <w:t>.005</w:t>
            </w:r>
          </w:p>
        </w:tc>
        <w:tc>
          <w:tcPr>
            <w:tcW w:w="960" w:type="dxa"/>
          </w:tcPr>
          <w:p w:rsidR="00D55DA4" w:rsidRPr="007E4D9A" w:rsidRDefault="00D55DA4" w:rsidP="004C4586">
            <w:pPr>
              <w:contextualSpacing/>
              <w:jc w:val="both"/>
              <w:rPr>
                <w:rFonts w:ascii="Times New Roman" w:hAnsi="Times New Roman" w:cs="Times New Roman"/>
                <w:sz w:val="18"/>
                <w:szCs w:val="18"/>
              </w:rPr>
            </w:pPr>
          </w:p>
        </w:tc>
      </w:tr>
    </w:tbl>
    <w:p w:rsidR="007E4D9A" w:rsidRPr="007E4D9A" w:rsidRDefault="007E4D9A" w:rsidP="004C4586">
      <w:pPr>
        <w:spacing w:after="0" w:line="240" w:lineRule="auto"/>
        <w:ind w:left="357"/>
        <w:contextualSpacing/>
        <w:jc w:val="both"/>
        <w:rPr>
          <w:rFonts w:ascii="Times New Roman" w:hAnsi="Times New Roman" w:cs="Times New Roman"/>
          <w:sz w:val="20"/>
          <w:szCs w:val="20"/>
          <w:rtl/>
        </w:rPr>
      </w:pPr>
      <w:r w:rsidRPr="007E4D9A">
        <w:rPr>
          <w:rFonts w:ascii="Times New Roman" w:hAnsi="Times New Roman" w:cs="Times New Roman"/>
          <w:sz w:val="20"/>
          <w:szCs w:val="20"/>
          <w:rtl/>
        </w:rPr>
        <w:t>٭</w:t>
      </w:r>
      <w:r w:rsidRPr="007E4D9A">
        <w:rPr>
          <w:rFonts w:ascii="Times New Roman" w:hAnsi="Times New Roman" w:cs="Times New Roman"/>
          <w:sz w:val="20"/>
          <w:szCs w:val="20"/>
        </w:rPr>
        <w:t xml:space="preserve"> is significant at the level of</w:t>
      </w:r>
      <w:r>
        <w:rPr>
          <w:rFonts w:ascii="Times New Roman" w:hAnsi="Times New Roman" w:cs="Times New Roman"/>
          <w:sz w:val="20"/>
          <w:szCs w:val="20"/>
        </w:rPr>
        <w:t>.</w:t>
      </w:r>
      <w:r w:rsidRPr="007E4D9A">
        <w:rPr>
          <w:rFonts w:ascii="Times New Roman" w:hAnsi="Times New Roman" w:cs="Times New Roman"/>
          <w:sz w:val="20"/>
          <w:szCs w:val="20"/>
        </w:rPr>
        <w:t>05</w:t>
      </w:r>
    </w:p>
    <w:p w:rsidR="00185766" w:rsidRPr="007E4D9A" w:rsidRDefault="00185766" w:rsidP="004C4586">
      <w:pPr>
        <w:spacing w:after="0" w:line="240" w:lineRule="auto"/>
        <w:ind w:left="357"/>
        <w:contextualSpacing/>
        <w:jc w:val="both"/>
        <w:rPr>
          <w:rFonts w:ascii="Times New Roman" w:hAnsi="Times New Roman" w:cs="Times New Roman"/>
          <w:sz w:val="20"/>
          <w:szCs w:val="20"/>
        </w:rPr>
      </w:pPr>
      <w:r w:rsidRPr="007E4D9A">
        <w:rPr>
          <w:rFonts w:ascii="Times New Roman" w:hAnsi="Times New Roman" w:cs="Times New Roman"/>
          <w:sz w:val="20"/>
          <w:szCs w:val="20"/>
          <w:rtl/>
        </w:rPr>
        <w:t>٭٭</w:t>
      </w:r>
      <w:r w:rsidRPr="007E4D9A">
        <w:rPr>
          <w:rFonts w:ascii="Times New Roman" w:hAnsi="Times New Roman" w:cs="Times New Roman"/>
          <w:sz w:val="20"/>
          <w:szCs w:val="20"/>
        </w:rPr>
        <w:t xml:space="preserve"> is significant at the level of</w:t>
      </w:r>
      <w:r w:rsidR="007E4D9A">
        <w:rPr>
          <w:rFonts w:ascii="Times New Roman" w:hAnsi="Times New Roman" w:cs="Times New Roman"/>
          <w:sz w:val="20"/>
          <w:szCs w:val="20"/>
        </w:rPr>
        <w:t>.</w:t>
      </w:r>
      <w:r w:rsidRPr="007E4D9A">
        <w:rPr>
          <w:rFonts w:ascii="Times New Roman" w:hAnsi="Times New Roman" w:cs="Times New Roman"/>
          <w:sz w:val="20"/>
          <w:szCs w:val="20"/>
        </w:rPr>
        <w:t>01</w:t>
      </w:r>
    </w:p>
    <w:p w:rsidR="00E52DDC" w:rsidRPr="007E4D9A" w:rsidRDefault="00185766" w:rsidP="004C4586">
      <w:pPr>
        <w:spacing w:after="0" w:line="240" w:lineRule="auto"/>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 </w:t>
      </w:r>
    </w:p>
    <w:p w:rsidR="007E4D9A" w:rsidRPr="007E4D9A" w:rsidRDefault="007E4D9A" w:rsidP="004C4586">
      <w:pPr>
        <w:spacing w:after="0" w:line="240" w:lineRule="auto"/>
        <w:contextualSpacing/>
        <w:jc w:val="both"/>
        <w:rPr>
          <w:rFonts w:ascii="Times New Roman" w:hAnsi="Times New Roman" w:cs="Times New Roman"/>
          <w:sz w:val="20"/>
          <w:szCs w:val="20"/>
          <w:rtl/>
        </w:rPr>
        <w:sectPr w:rsidR="007E4D9A" w:rsidRPr="007E4D9A" w:rsidSect="007E4D9A">
          <w:type w:val="continuous"/>
          <w:pgSz w:w="12240" w:h="15840" w:code="1"/>
          <w:pgMar w:top="1440" w:right="1440" w:bottom="1440" w:left="1440" w:header="720" w:footer="720" w:gutter="0"/>
          <w:cols w:space="720"/>
          <w:docGrid w:linePitch="360"/>
        </w:sectPr>
      </w:pPr>
    </w:p>
    <w:p w:rsidR="007C147B" w:rsidRPr="007E4D9A" w:rsidRDefault="007C147B" w:rsidP="004C4586">
      <w:pPr>
        <w:spacing w:after="0" w:line="240" w:lineRule="auto"/>
        <w:contextualSpacing/>
        <w:jc w:val="both"/>
        <w:rPr>
          <w:rFonts w:ascii="Times New Roman" w:hAnsi="Times New Roman" w:cs="Times New Roman"/>
          <w:b/>
          <w:bCs/>
          <w:sz w:val="20"/>
          <w:szCs w:val="20"/>
        </w:rPr>
      </w:pPr>
      <w:r w:rsidRPr="007E4D9A">
        <w:rPr>
          <w:rFonts w:ascii="Times New Roman" w:hAnsi="Times New Roman" w:cs="Times New Roman"/>
          <w:b/>
          <w:bCs/>
          <w:sz w:val="20"/>
          <w:szCs w:val="20"/>
        </w:rPr>
        <w:lastRenderedPageBreak/>
        <w:t>Research Results and Discussion</w:t>
      </w:r>
    </w:p>
    <w:p w:rsidR="00C842F2" w:rsidRPr="007E4D9A" w:rsidRDefault="00FB515D" w:rsidP="00253B58">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This </w:t>
      </w:r>
      <w:r w:rsidR="00C842F2" w:rsidRPr="007E4D9A">
        <w:rPr>
          <w:rFonts w:ascii="Times New Roman" w:hAnsi="Times New Roman" w:cs="Times New Roman"/>
          <w:sz w:val="20"/>
          <w:szCs w:val="20"/>
        </w:rPr>
        <w:t>session includes discussion of findings of this study about the hypotheses of study.</w:t>
      </w:r>
    </w:p>
    <w:p w:rsidR="007C147B" w:rsidRPr="007E4D9A" w:rsidRDefault="00C842F2" w:rsidP="00253B58">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First hypothesis: to answer this hypothesis, it should be said that capital increasing from cash and claims and abnormal return have significant and direct relationship and it is consistent with findings of </w:t>
      </w:r>
      <w:proofErr w:type="spellStart"/>
      <w:r w:rsidRPr="007E4D9A">
        <w:rPr>
          <w:rFonts w:ascii="Times New Roman" w:hAnsi="Times New Roman" w:cs="Times New Roman"/>
          <w:sz w:val="20"/>
          <w:szCs w:val="20"/>
        </w:rPr>
        <w:t>Tesangarakiss</w:t>
      </w:r>
      <w:proofErr w:type="spellEnd"/>
      <w:r w:rsidRPr="007E4D9A">
        <w:rPr>
          <w:rFonts w:ascii="Times New Roman" w:hAnsi="Times New Roman" w:cs="Times New Roman"/>
          <w:sz w:val="20"/>
          <w:szCs w:val="20"/>
        </w:rPr>
        <w:t xml:space="preserve"> Marsh (1979). These findings reject price pressure hypothesis. This hypothesis indicates that new stock providing increasing causes price reduction. </w:t>
      </w:r>
      <w:r w:rsidR="00E12890" w:rsidRPr="007E4D9A">
        <w:rPr>
          <w:rFonts w:ascii="Times New Roman" w:hAnsi="Times New Roman" w:cs="Times New Roman"/>
          <w:sz w:val="20"/>
          <w:szCs w:val="20"/>
        </w:rPr>
        <w:t>These findings show that in Iran market, investors pay attention to capital increasing announcement as an effective variable.</w:t>
      </w:r>
    </w:p>
    <w:p w:rsidR="00E12890" w:rsidRPr="007E4D9A" w:rsidRDefault="00E12890" w:rsidP="00253B58">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Second hypothesis: to answer the second hypothesis, it could be said that there is no significant relationship between stock liquidity and abnormal return ratio. The findings of this study are consistent with findings of </w:t>
      </w:r>
      <w:proofErr w:type="spellStart"/>
      <w:r w:rsidRPr="007E4D9A">
        <w:rPr>
          <w:rFonts w:ascii="Times New Roman" w:hAnsi="Times New Roman" w:cs="Times New Roman"/>
          <w:sz w:val="20"/>
          <w:szCs w:val="20"/>
        </w:rPr>
        <w:t>Tesangarakiss</w:t>
      </w:r>
      <w:proofErr w:type="spellEnd"/>
      <w:r w:rsidRPr="007E4D9A">
        <w:rPr>
          <w:rFonts w:ascii="Times New Roman" w:hAnsi="Times New Roman" w:cs="Times New Roman"/>
          <w:sz w:val="20"/>
          <w:szCs w:val="20"/>
        </w:rPr>
        <w:t xml:space="preserve"> and reveals that investors in Iran market pay less attention to exchangeability of stocks to react to capital increasing announcement.</w:t>
      </w:r>
    </w:p>
    <w:p w:rsidR="00E12890" w:rsidRPr="007E4D9A" w:rsidRDefault="00E12890" w:rsidP="00253B58">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Third hypothesis: to answer to the third hypothesis, it should be said that there is no significant relationship between </w:t>
      </w:r>
      <w:r w:rsidR="008D5FE9" w:rsidRPr="007E4D9A">
        <w:rPr>
          <w:rFonts w:ascii="Times New Roman" w:hAnsi="Times New Roman" w:cs="Times New Roman"/>
          <w:sz w:val="20"/>
          <w:szCs w:val="20"/>
        </w:rPr>
        <w:t>ownership centralization rate</w:t>
      </w:r>
      <w:r w:rsidRPr="007E4D9A">
        <w:rPr>
          <w:rFonts w:ascii="Times New Roman" w:hAnsi="Times New Roman" w:cs="Times New Roman"/>
          <w:sz w:val="20"/>
          <w:szCs w:val="20"/>
        </w:rPr>
        <w:t xml:space="preserve"> and abnormal return ratio. These findings suggested that in Iran market, firm stock ownership distribution is less paid attention due to </w:t>
      </w:r>
      <w:r w:rsidRPr="007E4D9A">
        <w:rPr>
          <w:rFonts w:ascii="Times New Roman" w:hAnsi="Times New Roman" w:cs="Times New Roman"/>
          <w:sz w:val="20"/>
          <w:szCs w:val="20"/>
        </w:rPr>
        <w:lastRenderedPageBreak/>
        <w:t>reaction of investors to capital</w:t>
      </w:r>
      <w:r w:rsidR="009319BD" w:rsidRPr="007E4D9A">
        <w:rPr>
          <w:rFonts w:ascii="Times New Roman" w:hAnsi="Times New Roman" w:cs="Times New Roman"/>
          <w:sz w:val="20"/>
          <w:szCs w:val="20"/>
        </w:rPr>
        <w:t xml:space="preserve"> i</w:t>
      </w:r>
      <w:r w:rsidRPr="007E4D9A">
        <w:rPr>
          <w:rFonts w:ascii="Times New Roman" w:hAnsi="Times New Roman" w:cs="Times New Roman"/>
          <w:sz w:val="20"/>
          <w:szCs w:val="20"/>
        </w:rPr>
        <w:t xml:space="preserve">ncreasing as </w:t>
      </w:r>
      <w:r w:rsidR="009319BD" w:rsidRPr="007E4D9A">
        <w:rPr>
          <w:rFonts w:ascii="Times New Roman" w:hAnsi="Times New Roman" w:cs="Times New Roman"/>
          <w:sz w:val="20"/>
          <w:szCs w:val="20"/>
        </w:rPr>
        <w:t>an effective variable.</w:t>
      </w:r>
    </w:p>
    <w:p w:rsidR="009319BD" w:rsidRPr="007E4D9A" w:rsidRDefault="009319BD" w:rsidP="00253B58">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Forth hypothesis: to verify or reject this hypothesis, it should be said that there is no significant relationship between firm size and abnormal return ratio. These results are consistent with findings of </w:t>
      </w:r>
      <w:proofErr w:type="spellStart"/>
      <w:r w:rsidRPr="007E4D9A">
        <w:rPr>
          <w:rFonts w:ascii="Times New Roman" w:hAnsi="Times New Roman" w:cs="Times New Roman"/>
          <w:sz w:val="20"/>
          <w:szCs w:val="20"/>
        </w:rPr>
        <w:t>Tesangarakiss</w:t>
      </w:r>
      <w:proofErr w:type="spellEnd"/>
      <w:r w:rsidRPr="007E4D9A">
        <w:rPr>
          <w:rFonts w:ascii="Times New Roman" w:hAnsi="Times New Roman" w:cs="Times New Roman"/>
          <w:sz w:val="20"/>
          <w:szCs w:val="20"/>
        </w:rPr>
        <w:t xml:space="preserve"> and indicate that investors in Iran market in reacting to capital increasing announcement, pay less attention to firm size.</w:t>
      </w:r>
    </w:p>
    <w:p w:rsidR="009319BD" w:rsidRPr="007E4D9A" w:rsidRDefault="009319BD" w:rsidP="00253B58">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Fifth hypothesis: to answer fifth hypothesis, it could be said that there is no significant relationship between firm debt ratio and abnormal return ratio. These findings are consistent with findings of </w:t>
      </w:r>
      <w:proofErr w:type="spellStart"/>
      <w:r w:rsidRPr="007E4D9A">
        <w:rPr>
          <w:rFonts w:ascii="Times New Roman" w:hAnsi="Times New Roman" w:cs="Times New Roman"/>
          <w:sz w:val="20"/>
          <w:szCs w:val="20"/>
        </w:rPr>
        <w:t>Tesangarakiss</w:t>
      </w:r>
      <w:proofErr w:type="spellEnd"/>
      <w:r w:rsidRPr="007E4D9A">
        <w:rPr>
          <w:rFonts w:ascii="Times New Roman" w:hAnsi="Times New Roman" w:cs="Times New Roman"/>
          <w:sz w:val="20"/>
          <w:szCs w:val="20"/>
        </w:rPr>
        <w:t xml:space="preserve"> and indicate that investors in Iran market pay no attention to debt in reacting to capital increasing announcement.</w:t>
      </w:r>
    </w:p>
    <w:p w:rsidR="009319BD" w:rsidRPr="007E4D9A" w:rsidRDefault="009319BD" w:rsidP="00253B58">
      <w:pPr>
        <w:spacing w:after="0" w:line="240" w:lineRule="auto"/>
        <w:ind w:firstLineChars="213" w:firstLine="426"/>
        <w:contextualSpacing/>
        <w:jc w:val="both"/>
        <w:rPr>
          <w:rFonts w:ascii="Times New Roman" w:hAnsi="Times New Roman" w:cs="Times New Roman"/>
          <w:sz w:val="20"/>
          <w:szCs w:val="20"/>
        </w:rPr>
      </w:pPr>
      <w:r w:rsidRPr="007E4D9A">
        <w:rPr>
          <w:rFonts w:ascii="Times New Roman" w:hAnsi="Times New Roman" w:cs="Times New Roman"/>
          <w:sz w:val="20"/>
          <w:szCs w:val="20"/>
        </w:rPr>
        <w:t xml:space="preserve">Sixth hypothesis: to reject or verify </w:t>
      </w:r>
      <w:r w:rsidR="002A0D92" w:rsidRPr="007E4D9A">
        <w:rPr>
          <w:rFonts w:ascii="Times New Roman" w:hAnsi="Times New Roman" w:cs="Times New Roman"/>
          <w:sz w:val="20"/>
          <w:szCs w:val="20"/>
        </w:rPr>
        <w:t>the last hypothesis, it could be said that there is no significant relationship between kind of industry and abnormal return ratio. This indicates that in Iran market the kind of industry is not paid attention by industry in reacting to capital increasing announcement.</w:t>
      </w:r>
    </w:p>
    <w:p w:rsidR="00253B58" w:rsidRPr="007E4D9A" w:rsidRDefault="00253B58" w:rsidP="004C4586">
      <w:pPr>
        <w:spacing w:after="0" w:line="240" w:lineRule="auto"/>
        <w:contextualSpacing/>
        <w:jc w:val="both"/>
        <w:rPr>
          <w:rFonts w:ascii="Times New Roman" w:hAnsi="Times New Roman" w:cs="Times New Roman"/>
          <w:sz w:val="20"/>
          <w:szCs w:val="20"/>
        </w:rPr>
      </w:pPr>
    </w:p>
    <w:p w:rsidR="00C3146A" w:rsidRPr="007E4D9A" w:rsidRDefault="00490154" w:rsidP="007E4D9A">
      <w:pPr>
        <w:spacing w:after="0" w:line="240" w:lineRule="auto"/>
        <w:ind w:left="422" w:hangingChars="210" w:hanging="422"/>
        <w:contextualSpacing/>
        <w:jc w:val="both"/>
        <w:rPr>
          <w:rFonts w:ascii="Times New Roman" w:hAnsi="Times New Roman" w:cs="Times New Roman"/>
          <w:b/>
          <w:sz w:val="20"/>
          <w:szCs w:val="20"/>
        </w:rPr>
      </w:pPr>
      <w:r w:rsidRPr="007E4D9A">
        <w:rPr>
          <w:rFonts w:ascii="Times New Roman" w:hAnsi="Times New Roman" w:cs="Times New Roman"/>
          <w:b/>
          <w:sz w:val="20"/>
          <w:szCs w:val="20"/>
        </w:rPr>
        <w:t>References</w:t>
      </w:r>
    </w:p>
    <w:p w:rsidR="00C3146A" w:rsidRPr="007E4D9A" w:rsidRDefault="00C3146A"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Allen, D. E. and </w:t>
      </w:r>
      <w:proofErr w:type="spellStart"/>
      <w:r w:rsidRPr="007E4D9A">
        <w:rPr>
          <w:rFonts w:ascii="Times New Roman" w:hAnsi="Times New Roman" w:cs="Times New Roman"/>
          <w:sz w:val="20"/>
          <w:szCs w:val="20"/>
        </w:rPr>
        <w:t>mizuno</w:t>
      </w:r>
      <w:proofErr w:type="spellEnd"/>
      <w:r w:rsidRPr="007E4D9A">
        <w:rPr>
          <w:rFonts w:ascii="Times New Roman" w:hAnsi="Times New Roman" w:cs="Times New Roman"/>
          <w:sz w:val="20"/>
          <w:szCs w:val="20"/>
        </w:rPr>
        <w:t xml:space="preserve"> H. (1989). The determinants of corporate capital</w:t>
      </w:r>
      <w:r w:rsidR="007E4D9A" w:rsidRPr="007E4D9A">
        <w:rPr>
          <w:rFonts w:ascii="Times New Roman" w:hAnsi="Times New Roman" w:cs="Times New Roman"/>
          <w:sz w:val="20"/>
          <w:szCs w:val="20"/>
        </w:rPr>
        <w:t xml:space="preserve"> </w:t>
      </w:r>
    </w:p>
    <w:p w:rsidR="00C3146A" w:rsidRPr="007E4D9A" w:rsidRDefault="00C3146A"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lastRenderedPageBreak/>
        <w:t>2.</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Structure: Japanese Evidence. Applied Economics 21.pp.569-585. </w:t>
      </w:r>
    </w:p>
    <w:p w:rsidR="00C3146A" w:rsidRPr="007E4D9A" w:rsidRDefault="00C3146A"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3.</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Barclay, M. J. and Smith, C. W. (1999). The capital structure Puzzle: </w:t>
      </w:r>
    </w:p>
    <w:p w:rsidR="00C3146A" w:rsidRPr="007E4D9A" w:rsidRDefault="00C3146A"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4.</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Another Look at the Evidence. Journal of applied finance 12(1).pp.8-20. </w:t>
      </w:r>
    </w:p>
    <w:p w:rsidR="00C3146A" w:rsidRPr="007E4D9A" w:rsidRDefault="00C3146A"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5.</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Barclay, M. J. and Smith, C. W. and watts R. L. (1995). The determinants of corporate leverage and dividend policies.</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Journal of applied corporate finance7 (4).pp4-19. </w:t>
      </w:r>
    </w:p>
    <w:p w:rsidR="00C3146A" w:rsidRPr="007E4D9A" w:rsidRDefault="00C3146A"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6.</w:t>
      </w:r>
      <w:r w:rsidR="007E4D9A" w:rsidRPr="007E4D9A">
        <w:rPr>
          <w:rFonts w:ascii="Times New Roman" w:hAnsi="Times New Roman" w:cs="Times New Roman"/>
          <w:sz w:val="20"/>
          <w:szCs w:val="20"/>
        </w:rPr>
        <w:t xml:space="preserve"> </w:t>
      </w:r>
      <w:proofErr w:type="spellStart"/>
      <w:r w:rsidRPr="007E4D9A">
        <w:rPr>
          <w:rFonts w:ascii="Times New Roman" w:hAnsi="Times New Roman" w:cs="Times New Roman"/>
          <w:sz w:val="20"/>
          <w:szCs w:val="20"/>
        </w:rPr>
        <w:t>Beven</w:t>
      </w:r>
      <w:proofErr w:type="spellEnd"/>
      <w:r w:rsidR="007E4D9A">
        <w:rPr>
          <w:rFonts w:ascii="Times New Roman" w:hAnsi="Times New Roman" w:cs="Times New Roman"/>
          <w:sz w:val="20"/>
          <w:szCs w:val="20"/>
        </w:rPr>
        <w:t>,</w:t>
      </w:r>
      <w:r w:rsidRPr="007E4D9A">
        <w:rPr>
          <w:rFonts w:ascii="Times New Roman" w:hAnsi="Times New Roman" w:cs="Times New Roman"/>
          <w:sz w:val="20"/>
          <w:szCs w:val="20"/>
        </w:rPr>
        <w:t xml:space="preserve"> Alan and </w:t>
      </w:r>
      <w:proofErr w:type="spellStart"/>
      <w:r w:rsidRPr="007E4D9A">
        <w:rPr>
          <w:rFonts w:ascii="Times New Roman" w:hAnsi="Times New Roman" w:cs="Times New Roman"/>
          <w:sz w:val="20"/>
          <w:szCs w:val="20"/>
        </w:rPr>
        <w:t>Danbolt</w:t>
      </w:r>
      <w:proofErr w:type="spellEnd"/>
      <w:r w:rsidRPr="007E4D9A">
        <w:rPr>
          <w:rFonts w:ascii="Times New Roman" w:hAnsi="Times New Roman" w:cs="Times New Roman"/>
          <w:sz w:val="20"/>
          <w:szCs w:val="20"/>
        </w:rPr>
        <w:t xml:space="preserve"> Jo.(2002).Capital Structure and Its Determinates in the UK:A </w:t>
      </w:r>
      <w:proofErr w:type="spellStart"/>
      <w:r w:rsidRPr="007E4D9A">
        <w:rPr>
          <w:rFonts w:ascii="Times New Roman" w:hAnsi="Times New Roman" w:cs="Times New Roman"/>
          <w:sz w:val="20"/>
          <w:szCs w:val="20"/>
        </w:rPr>
        <w:t>Dcompositional</w:t>
      </w:r>
      <w:proofErr w:type="spellEnd"/>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structure. Applied financial Economic s 12.pp. 159-170. </w:t>
      </w:r>
    </w:p>
    <w:p w:rsidR="00C3146A" w:rsidRPr="007E4D9A" w:rsidRDefault="00C3146A"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7.</w:t>
      </w:r>
      <w:r w:rsidR="007E4D9A" w:rsidRPr="007E4D9A">
        <w:rPr>
          <w:rFonts w:ascii="Times New Roman" w:hAnsi="Times New Roman" w:cs="Times New Roman"/>
          <w:sz w:val="20"/>
          <w:szCs w:val="20"/>
        </w:rPr>
        <w:t xml:space="preserve"> </w:t>
      </w:r>
      <w:proofErr w:type="spellStart"/>
      <w:r w:rsidRPr="007E4D9A">
        <w:rPr>
          <w:rFonts w:ascii="Times New Roman" w:hAnsi="Times New Roman" w:cs="Times New Roman"/>
          <w:sz w:val="20"/>
          <w:szCs w:val="20"/>
        </w:rPr>
        <w:t>Bhaduri</w:t>
      </w:r>
      <w:proofErr w:type="spellEnd"/>
      <w:r w:rsidRPr="007E4D9A">
        <w:rPr>
          <w:rFonts w:ascii="Times New Roman" w:hAnsi="Times New Roman" w:cs="Times New Roman"/>
          <w:sz w:val="20"/>
          <w:szCs w:val="20"/>
        </w:rPr>
        <w:t xml:space="preserve">, N. </w:t>
      </w:r>
      <w:proofErr w:type="spellStart"/>
      <w:r w:rsidRPr="007E4D9A">
        <w:rPr>
          <w:rFonts w:ascii="Times New Roman" w:hAnsi="Times New Roman" w:cs="Times New Roman"/>
          <w:sz w:val="20"/>
          <w:szCs w:val="20"/>
        </w:rPr>
        <w:t>Saumitra</w:t>
      </w:r>
      <w:proofErr w:type="spellEnd"/>
      <w:r w:rsidRPr="007E4D9A">
        <w:rPr>
          <w:rFonts w:ascii="Times New Roman" w:hAnsi="Times New Roman" w:cs="Times New Roman"/>
          <w:sz w:val="20"/>
          <w:szCs w:val="20"/>
        </w:rPr>
        <w:t xml:space="preserve">.(2002). Capital Structure Choice: </w:t>
      </w:r>
      <w:proofErr w:type="spellStart"/>
      <w:r w:rsidRPr="007E4D9A">
        <w:rPr>
          <w:rFonts w:ascii="Times New Roman" w:hAnsi="Times New Roman" w:cs="Times New Roman"/>
          <w:sz w:val="20"/>
          <w:szCs w:val="20"/>
        </w:rPr>
        <w:t>Astudy</w:t>
      </w:r>
      <w:proofErr w:type="spellEnd"/>
      <w:r w:rsidRPr="007E4D9A">
        <w:rPr>
          <w:rFonts w:ascii="Times New Roman" w:hAnsi="Times New Roman" w:cs="Times New Roman"/>
          <w:sz w:val="20"/>
          <w:szCs w:val="20"/>
        </w:rPr>
        <w:t xml:space="preserve"> of the India corporate </w:t>
      </w:r>
      <w:proofErr w:type="spellStart"/>
      <w:r w:rsidRPr="007E4D9A">
        <w:rPr>
          <w:rFonts w:ascii="Times New Roman" w:hAnsi="Times New Roman" w:cs="Times New Roman"/>
          <w:sz w:val="20"/>
          <w:szCs w:val="20"/>
        </w:rPr>
        <w:t>sector</w:t>
      </w:r>
      <w:r w:rsidR="007E4D9A">
        <w:rPr>
          <w:rFonts w:ascii="Times New Roman" w:hAnsi="Times New Roman" w:cs="Times New Roman"/>
          <w:sz w:val="20"/>
          <w:szCs w:val="20"/>
        </w:rPr>
        <w:t>.</w:t>
      </w:r>
      <w:r w:rsidRPr="007E4D9A">
        <w:rPr>
          <w:rFonts w:ascii="Times New Roman" w:hAnsi="Times New Roman" w:cs="Times New Roman"/>
          <w:sz w:val="20"/>
          <w:szCs w:val="20"/>
        </w:rPr>
        <w:t>Applied</w:t>
      </w:r>
      <w:proofErr w:type="spellEnd"/>
      <w:r w:rsidRPr="007E4D9A">
        <w:rPr>
          <w:rFonts w:ascii="Times New Roman" w:hAnsi="Times New Roman" w:cs="Times New Roman"/>
          <w:sz w:val="20"/>
          <w:szCs w:val="20"/>
        </w:rPr>
        <w:t xml:space="preserve"> financial Economic s12.pp.655-665 </w:t>
      </w:r>
    </w:p>
    <w:p w:rsidR="00C3146A" w:rsidRPr="007E4D9A" w:rsidRDefault="00C3146A"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8.</w:t>
      </w:r>
      <w:r w:rsidR="007E4D9A" w:rsidRPr="007E4D9A">
        <w:rPr>
          <w:rFonts w:ascii="Times New Roman" w:hAnsi="Times New Roman" w:cs="Times New Roman"/>
          <w:sz w:val="20"/>
          <w:szCs w:val="20"/>
        </w:rPr>
        <w:t xml:space="preserve"> </w:t>
      </w:r>
      <w:proofErr w:type="spellStart"/>
      <w:r w:rsidRPr="007E4D9A">
        <w:rPr>
          <w:rFonts w:ascii="Times New Roman" w:hAnsi="Times New Roman" w:cs="Times New Roman"/>
          <w:sz w:val="20"/>
          <w:szCs w:val="20"/>
        </w:rPr>
        <w:t>Bradly</w:t>
      </w:r>
      <w:proofErr w:type="spellEnd"/>
      <w:r w:rsidRPr="007E4D9A">
        <w:rPr>
          <w:rFonts w:ascii="Times New Roman" w:hAnsi="Times New Roman" w:cs="Times New Roman"/>
          <w:sz w:val="20"/>
          <w:szCs w:val="20"/>
        </w:rPr>
        <w:t xml:space="preserve">, M., </w:t>
      </w:r>
      <w:proofErr w:type="spellStart"/>
      <w:r w:rsidRPr="007E4D9A">
        <w:rPr>
          <w:rFonts w:ascii="Times New Roman" w:hAnsi="Times New Roman" w:cs="Times New Roman"/>
          <w:sz w:val="20"/>
          <w:szCs w:val="20"/>
        </w:rPr>
        <w:t>Jarrel</w:t>
      </w:r>
      <w:proofErr w:type="spellEnd"/>
      <w:r w:rsidRPr="007E4D9A">
        <w:rPr>
          <w:rFonts w:ascii="Times New Roman" w:hAnsi="Times New Roman" w:cs="Times New Roman"/>
          <w:sz w:val="20"/>
          <w:szCs w:val="20"/>
        </w:rPr>
        <w:t xml:space="preserve"> G. and Kim, E</w:t>
      </w:r>
      <w:r w:rsidR="007E4D9A">
        <w:rPr>
          <w:rFonts w:ascii="Times New Roman" w:hAnsi="Times New Roman" w:cs="Times New Roman"/>
          <w:sz w:val="20"/>
          <w:szCs w:val="20"/>
        </w:rPr>
        <w:t>.</w:t>
      </w:r>
      <w:r w:rsidRPr="007E4D9A">
        <w:rPr>
          <w:rFonts w:ascii="Times New Roman" w:hAnsi="Times New Roman" w:cs="Times New Roman"/>
          <w:sz w:val="20"/>
          <w:szCs w:val="20"/>
        </w:rPr>
        <w:t>H</w:t>
      </w:r>
      <w:r w:rsidR="007E4D9A">
        <w:rPr>
          <w:rFonts w:ascii="Times New Roman" w:hAnsi="Times New Roman" w:cs="Times New Roman"/>
          <w:sz w:val="20"/>
          <w:szCs w:val="20"/>
        </w:rPr>
        <w:t>.</w:t>
      </w:r>
      <w:r w:rsidRPr="007E4D9A">
        <w:rPr>
          <w:rFonts w:ascii="Times New Roman" w:hAnsi="Times New Roman" w:cs="Times New Roman"/>
          <w:sz w:val="20"/>
          <w:szCs w:val="20"/>
        </w:rPr>
        <w:t>(1984). On the Existence of an Optimal Capital Structure: Theory and Evidence. Journal Of Finance 39.pp.857-878.</w:t>
      </w:r>
    </w:p>
    <w:p w:rsidR="003554C9" w:rsidRPr="007E4D9A" w:rsidRDefault="003554C9"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9.</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Copeland</w:t>
      </w:r>
      <w:r w:rsidR="007E4D9A">
        <w:rPr>
          <w:rFonts w:ascii="Times New Roman" w:hAnsi="Times New Roman" w:cs="Times New Roman"/>
          <w:sz w:val="20"/>
          <w:szCs w:val="20"/>
        </w:rPr>
        <w:t>,</w:t>
      </w:r>
      <w:r w:rsidR="007E4D9A" w:rsidRPr="007E4D9A">
        <w:rPr>
          <w:rFonts w:ascii="Times New Roman" w:hAnsi="Times New Roman" w:cs="Times New Roman"/>
          <w:sz w:val="20"/>
          <w:szCs w:val="20"/>
        </w:rPr>
        <w:t xml:space="preserve"> </w:t>
      </w:r>
      <w:proofErr w:type="spellStart"/>
      <w:r w:rsidRPr="007E4D9A">
        <w:rPr>
          <w:rFonts w:ascii="Times New Roman" w:hAnsi="Times New Roman" w:cs="Times New Roman"/>
          <w:sz w:val="20"/>
          <w:szCs w:val="20"/>
        </w:rPr>
        <w:t>T.and</w:t>
      </w:r>
      <w:proofErr w:type="spellEnd"/>
      <w:r w:rsidRPr="007E4D9A">
        <w:rPr>
          <w:rFonts w:ascii="Times New Roman" w:hAnsi="Times New Roman" w:cs="Times New Roman"/>
          <w:sz w:val="20"/>
          <w:szCs w:val="20"/>
        </w:rPr>
        <w:t xml:space="preserve"> </w:t>
      </w:r>
      <w:proofErr w:type="spellStart"/>
      <w:r w:rsidRPr="007E4D9A">
        <w:rPr>
          <w:rFonts w:ascii="Times New Roman" w:hAnsi="Times New Roman" w:cs="Times New Roman"/>
          <w:sz w:val="20"/>
          <w:szCs w:val="20"/>
        </w:rPr>
        <w:t>Weaton</w:t>
      </w:r>
      <w:proofErr w:type="spellEnd"/>
      <w:r w:rsidRPr="007E4D9A">
        <w:rPr>
          <w:rFonts w:ascii="Times New Roman" w:hAnsi="Times New Roman" w:cs="Times New Roman"/>
          <w:sz w:val="20"/>
          <w:szCs w:val="20"/>
        </w:rPr>
        <w:t xml:space="preserve">, F.(1992).Financial Theory and Corporate Policy. </w:t>
      </w:r>
    </w:p>
    <w:p w:rsidR="003554C9" w:rsidRPr="007E4D9A" w:rsidRDefault="003554C9"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10.</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Third Edition. Reading-Mass. Addison </w:t>
      </w:r>
      <w:proofErr w:type="spellStart"/>
      <w:r w:rsidRPr="007E4D9A">
        <w:rPr>
          <w:rFonts w:ascii="Times New Roman" w:hAnsi="Times New Roman" w:cs="Times New Roman"/>
          <w:sz w:val="20"/>
          <w:szCs w:val="20"/>
        </w:rPr>
        <w:t>Weslay</w:t>
      </w:r>
      <w:proofErr w:type="spellEnd"/>
      <w:r w:rsidRPr="007E4D9A">
        <w:rPr>
          <w:rFonts w:ascii="Times New Roman" w:hAnsi="Times New Roman" w:cs="Times New Roman"/>
          <w:sz w:val="20"/>
          <w:szCs w:val="20"/>
        </w:rPr>
        <w:t xml:space="preserve">. </w:t>
      </w:r>
    </w:p>
    <w:p w:rsidR="003554C9" w:rsidRPr="007E4D9A" w:rsidRDefault="003554C9"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11.</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Fame, E., and French, K(1992). The Cross-section of Expected Stock Returns. Journal of Finance 46.pp.427-466. </w:t>
      </w:r>
    </w:p>
    <w:p w:rsidR="003554C9" w:rsidRPr="007E4D9A" w:rsidRDefault="003554C9"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12.</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Harris, M and </w:t>
      </w:r>
      <w:proofErr w:type="spellStart"/>
      <w:r w:rsidRPr="007E4D9A">
        <w:rPr>
          <w:rFonts w:ascii="Times New Roman" w:hAnsi="Times New Roman" w:cs="Times New Roman"/>
          <w:sz w:val="20"/>
          <w:szCs w:val="20"/>
        </w:rPr>
        <w:t>Raviv</w:t>
      </w:r>
      <w:proofErr w:type="spellEnd"/>
      <w:r w:rsidRPr="007E4D9A">
        <w:rPr>
          <w:rFonts w:ascii="Times New Roman" w:hAnsi="Times New Roman" w:cs="Times New Roman"/>
          <w:sz w:val="20"/>
          <w:szCs w:val="20"/>
        </w:rPr>
        <w:t xml:space="preserve">, A.(1991). The Theory of Capital structure. Journal of Finance 46(1).pp.297-355. </w:t>
      </w:r>
    </w:p>
    <w:p w:rsidR="003554C9" w:rsidRPr="007E4D9A" w:rsidRDefault="003554C9"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lastRenderedPageBreak/>
        <w:t>13.</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Jensen,</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M. and </w:t>
      </w:r>
      <w:proofErr w:type="spellStart"/>
      <w:r w:rsidRPr="007E4D9A">
        <w:rPr>
          <w:rFonts w:ascii="Times New Roman" w:hAnsi="Times New Roman" w:cs="Times New Roman"/>
          <w:sz w:val="20"/>
          <w:szCs w:val="20"/>
        </w:rPr>
        <w:t>Mecking</w:t>
      </w:r>
      <w:proofErr w:type="spellEnd"/>
      <w:r w:rsidRPr="007E4D9A">
        <w:rPr>
          <w:rFonts w:ascii="Times New Roman" w:hAnsi="Times New Roman" w:cs="Times New Roman"/>
          <w:sz w:val="20"/>
          <w:szCs w:val="20"/>
        </w:rPr>
        <w:t xml:space="preserve">, W.(1976). Theory of the </w:t>
      </w:r>
      <w:proofErr w:type="spellStart"/>
      <w:r w:rsidRPr="007E4D9A">
        <w:rPr>
          <w:rFonts w:ascii="Times New Roman" w:hAnsi="Times New Roman" w:cs="Times New Roman"/>
          <w:sz w:val="20"/>
          <w:szCs w:val="20"/>
        </w:rPr>
        <w:t>Firm:Managerial</w:t>
      </w:r>
      <w:proofErr w:type="spellEnd"/>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Behavior, Agency Costs and Ownership Structure. Journal of Financial Economics 3.pp. 305-360. </w:t>
      </w:r>
    </w:p>
    <w:p w:rsidR="003554C9" w:rsidRPr="007E4D9A" w:rsidRDefault="003554C9"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14.</w:t>
      </w:r>
      <w:r w:rsidR="007E4D9A" w:rsidRPr="007E4D9A">
        <w:rPr>
          <w:rFonts w:ascii="Times New Roman" w:hAnsi="Times New Roman" w:cs="Times New Roman"/>
          <w:sz w:val="20"/>
          <w:szCs w:val="20"/>
        </w:rPr>
        <w:t xml:space="preserve"> </w:t>
      </w:r>
      <w:proofErr w:type="spellStart"/>
      <w:r w:rsidRPr="007E4D9A">
        <w:rPr>
          <w:rFonts w:ascii="Times New Roman" w:hAnsi="Times New Roman" w:cs="Times New Roman"/>
          <w:sz w:val="20"/>
          <w:szCs w:val="20"/>
        </w:rPr>
        <w:t>Jenes</w:t>
      </w:r>
      <w:proofErr w:type="spellEnd"/>
      <w:r w:rsidRPr="007E4D9A">
        <w:rPr>
          <w:rFonts w:ascii="Times New Roman" w:hAnsi="Times New Roman" w:cs="Times New Roman"/>
          <w:sz w:val="20"/>
          <w:szCs w:val="20"/>
        </w:rPr>
        <w:t xml:space="preserve">, M. C. (1986). Agency Costs of Free Cash Flow, Corporate Finance and Takeovers. American Economic Review 26(May).pp.323. </w:t>
      </w:r>
    </w:p>
    <w:p w:rsidR="00C3146A" w:rsidRPr="007E4D9A" w:rsidRDefault="003554C9"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15.</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Modigliani, F. and Miller</w:t>
      </w:r>
      <w:r w:rsidR="007E4D9A">
        <w:rPr>
          <w:rFonts w:ascii="Times New Roman" w:hAnsi="Times New Roman" w:cs="Times New Roman"/>
          <w:sz w:val="20"/>
          <w:szCs w:val="20"/>
        </w:rPr>
        <w:t>,</w:t>
      </w:r>
      <w:r w:rsidRPr="007E4D9A">
        <w:rPr>
          <w:rFonts w:ascii="Times New Roman" w:hAnsi="Times New Roman" w:cs="Times New Roman"/>
          <w:sz w:val="20"/>
          <w:szCs w:val="20"/>
        </w:rPr>
        <w:t xml:space="preserve"> M.(1958). The Cost of Capital</w:t>
      </w:r>
      <w:r w:rsidR="007E4D9A">
        <w:rPr>
          <w:rFonts w:ascii="Times New Roman" w:hAnsi="Times New Roman" w:cs="Times New Roman"/>
          <w:sz w:val="20"/>
          <w:szCs w:val="20"/>
        </w:rPr>
        <w:t>,</w:t>
      </w:r>
      <w:r w:rsidRPr="007E4D9A">
        <w:rPr>
          <w:rFonts w:ascii="Times New Roman" w:hAnsi="Times New Roman" w:cs="Times New Roman"/>
          <w:sz w:val="20"/>
          <w:szCs w:val="20"/>
        </w:rPr>
        <w:t xml:space="preserve"> Corporation Finance, and the Theory of Investment. American Economic Review 48.pp. 261-297.</w:t>
      </w:r>
    </w:p>
    <w:p w:rsidR="00C0759B" w:rsidRPr="007E4D9A" w:rsidRDefault="00C0759B"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16.</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Myers, S. C,(1993). Still Searching</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for Optimal Capital structure.</w:t>
      </w:r>
    </w:p>
    <w:p w:rsidR="004B1088" w:rsidRPr="007E4D9A" w:rsidRDefault="004B1088"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17.</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Journal of Applied Corporate</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Finance 6(Spring).pp.4-14 </w:t>
      </w:r>
    </w:p>
    <w:p w:rsidR="004B1088" w:rsidRPr="007E4D9A" w:rsidRDefault="004B1088"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18.</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Myers, S. C,(1984). The Capital Structure Puzzle</w:t>
      </w:r>
      <w:r w:rsidR="007E4D9A">
        <w:rPr>
          <w:rFonts w:ascii="Times New Roman" w:hAnsi="Times New Roman" w:cs="Times New Roman"/>
          <w:sz w:val="20"/>
          <w:szCs w:val="20"/>
        </w:rPr>
        <w:t>.</w:t>
      </w:r>
      <w:r w:rsidRPr="007E4D9A">
        <w:rPr>
          <w:rFonts w:ascii="Times New Roman" w:hAnsi="Times New Roman" w:cs="Times New Roman"/>
          <w:sz w:val="20"/>
          <w:szCs w:val="20"/>
        </w:rPr>
        <w:t xml:space="preserve"> Journal of Finance 34(3).pp.575-592. </w:t>
      </w:r>
    </w:p>
    <w:p w:rsidR="004B1088" w:rsidRPr="007E4D9A" w:rsidRDefault="004B1088"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19.</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Myers, S, C. and </w:t>
      </w:r>
      <w:proofErr w:type="spellStart"/>
      <w:r w:rsidRPr="007E4D9A">
        <w:rPr>
          <w:rFonts w:ascii="Times New Roman" w:hAnsi="Times New Roman" w:cs="Times New Roman"/>
          <w:sz w:val="20"/>
          <w:szCs w:val="20"/>
        </w:rPr>
        <w:t>Majluf</w:t>
      </w:r>
      <w:proofErr w:type="spellEnd"/>
      <w:r w:rsidRPr="007E4D9A">
        <w:rPr>
          <w:rFonts w:ascii="Times New Roman" w:hAnsi="Times New Roman" w:cs="Times New Roman"/>
          <w:sz w:val="20"/>
          <w:szCs w:val="20"/>
        </w:rPr>
        <w:t xml:space="preserve">, N. S. (1984). Corporate Financing and Investment Decision When Firms Have Information </w:t>
      </w:r>
      <w:proofErr w:type="spellStart"/>
      <w:r w:rsidRPr="007E4D9A">
        <w:rPr>
          <w:rFonts w:ascii="Times New Roman" w:hAnsi="Times New Roman" w:cs="Times New Roman"/>
          <w:sz w:val="20"/>
          <w:szCs w:val="20"/>
        </w:rPr>
        <w:t>Thst</w:t>
      </w:r>
      <w:proofErr w:type="spellEnd"/>
      <w:r w:rsidRPr="007E4D9A">
        <w:rPr>
          <w:rFonts w:ascii="Times New Roman" w:hAnsi="Times New Roman" w:cs="Times New Roman"/>
          <w:sz w:val="20"/>
          <w:szCs w:val="20"/>
        </w:rPr>
        <w:t xml:space="preserve"> Investors Do Not Have. </w:t>
      </w:r>
    </w:p>
    <w:p w:rsidR="004B1088" w:rsidRPr="007E4D9A" w:rsidRDefault="004B1088"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20.</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Journal </w:t>
      </w:r>
      <w:proofErr w:type="spellStart"/>
      <w:r w:rsidRPr="007E4D9A">
        <w:rPr>
          <w:rFonts w:ascii="Times New Roman" w:hAnsi="Times New Roman" w:cs="Times New Roman"/>
          <w:sz w:val="20"/>
          <w:szCs w:val="20"/>
        </w:rPr>
        <w:t>pf</w:t>
      </w:r>
      <w:proofErr w:type="spellEnd"/>
      <w:r w:rsidRPr="007E4D9A">
        <w:rPr>
          <w:rFonts w:ascii="Times New Roman" w:hAnsi="Times New Roman" w:cs="Times New Roman"/>
          <w:sz w:val="20"/>
          <w:szCs w:val="20"/>
        </w:rPr>
        <w:t xml:space="preserve"> Financial Economics 13. Pp. 187-221. </w:t>
      </w:r>
    </w:p>
    <w:p w:rsidR="004B1088" w:rsidRPr="007E4D9A" w:rsidRDefault="004B1088"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21.</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R. G. </w:t>
      </w:r>
      <w:proofErr w:type="spellStart"/>
      <w:r w:rsidRPr="007E4D9A">
        <w:rPr>
          <w:rFonts w:ascii="Times New Roman" w:hAnsi="Times New Roman" w:cs="Times New Roman"/>
          <w:sz w:val="20"/>
          <w:szCs w:val="20"/>
        </w:rPr>
        <w:t>Rajan</w:t>
      </w:r>
      <w:proofErr w:type="spellEnd"/>
      <w:r w:rsidRPr="007E4D9A">
        <w:rPr>
          <w:rFonts w:ascii="Times New Roman" w:hAnsi="Times New Roman" w:cs="Times New Roman"/>
          <w:sz w:val="20"/>
          <w:szCs w:val="20"/>
        </w:rPr>
        <w:t xml:space="preserve"> and L. </w:t>
      </w:r>
      <w:proofErr w:type="spellStart"/>
      <w:r w:rsidRPr="007E4D9A">
        <w:rPr>
          <w:rFonts w:ascii="Times New Roman" w:hAnsi="Times New Roman" w:cs="Times New Roman"/>
          <w:sz w:val="20"/>
          <w:szCs w:val="20"/>
        </w:rPr>
        <w:t>Zingales</w:t>
      </w:r>
      <w:proofErr w:type="spellEnd"/>
      <w:r w:rsidRPr="007E4D9A">
        <w:rPr>
          <w:rFonts w:ascii="Times New Roman" w:hAnsi="Times New Roman" w:cs="Times New Roman"/>
          <w:sz w:val="20"/>
          <w:szCs w:val="20"/>
        </w:rPr>
        <w:t>. (1995). What Do We Know about Capital</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Structure? Some Evidence from International Data. Journal of Finance 50(5) pp. 1421-1460. </w:t>
      </w:r>
    </w:p>
    <w:p w:rsidR="004B1088" w:rsidRPr="007E4D9A" w:rsidRDefault="004B1088"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22.</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 xml:space="preserve">Ross, S. A. </w:t>
      </w:r>
      <w:proofErr w:type="spellStart"/>
      <w:r w:rsidRPr="007E4D9A">
        <w:rPr>
          <w:rFonts w:ascii="Times New Roman" w:hAnsi="Times New Roman" w:cs="Times New Roman"/>
          <w:sz w:val="20"/>
          <w:szCs w:val="20"/>
        </w:rPr>
        <w:t>Westerfield</w:t>
      </w:r>
      <w:proofErr w:type="spellEnd"/>
      <w:r w:rsidRPr="007E4D9A">
        <w:rPr>
          <w:rFonts w:ascii="Times New Roman" w:hAnsi="Times New Roman" w:cs="Times New Roman"/>
          <w:sz w:val="20"/>
          <w:szCs w:val="20"/>
        </w:rPr>
        <w:t xml:space="preserve">, R W. and Jaffe, J. F. (2002). Corporate Finance. </w:t>
      </w:r>
    </w:p>
    <w:p w:rsidR="00253B58" w:rsidRPr="007E4D9A" w:rsidRDefault="004B1088" w:rsidP="007E4D9A">
      <w:pPr>
        <w:spacing w:after="0" w:line="240" w:lineRule="auto"/>
        <w:ind w:left="420" w:hangingChars="210" w:hanging="420"/>
        <w:contextualSpacing/>
        <w:jc w:val="both"/>
        <w:rPr>
          <w:rFonts w:ascii="Times New Roman" w:hAnsi="Times New Roman" w:cs="Times New Roman"/>
          <w:sz w:val="20"/>
          <w:szCs w:val="20"/>
        </w:rPr>
      </w:pPr>
      <w:r w:rsidRPr="007E4D9A">
        <w:rPr>
          <w:rFonts w:ascii="Times New Roman" w:hAnsi="Times New Roman" w:cs="Times New Roman"/>
          <w:sz w:val="20"/>
          <w:szCs w:val="20"/>
        </w:rPr>
        <w:t>23.</w:t>
      </w:r>
      <w:r w:rsidR="007E4D9A" w:rsidRPr="007E4D9A">
        <w:rPr>
          <w:rFonts w:ascii="Times New Roman" w:hAnsi="Times New Roman" w:cs="Times New Roman"/>
          <w:sz w:val="20"/>
          <w:szCs w:val="20"/>
        </w:rPr>
        <w:t xml:space="preserve"> </w:t>
      </w:r>
      <w:r w:rsidRPr="007E4D9A">
        <w:rPr>
          <w:rFonts w:ascii="Times New Roman" w:hAnsi="Times New Roman" w:cs="Times New Roman"/>
          <w:sz w:val="20"/>
          <w:szCs w:val="20"/>
        </w:rPr>
        <w:t>Sixth International Edition. McGraw-Hill.</w:t>
      </w:r>
    </w:p>
    <w:p w:rsidR="007E4D9A" w:rsidRPr="007E4D9A" w:rsidRDefault="007E4D9A" w:rsidP="00253B58">
      <w:pPr>
        <w:spacing w:after="0" w:line="240" w:lineRule="auto"/>
        <w:ind w:left="142" w:hangingChars="71" w:hanging="142"/>
        <w:contextualSpacing/>
        <w:jc w:val="both"/>
        <w:rPr>
          <w:rFonts w:ascii="Times New Roman" w:hAnsi="Times New Roman" w:cs="Times New Roman"/>
          <w:sz w:val="20"/>
          <w:szCs w:val="20"/>
        </w:rPr>
        <w:sectPr w:rsidR="007E4D9A" w:rsidRPr="007E4D9A" w:rsidSect="007E4D9A">
          <w:type w:val="continuous"/>
          <w:pgSz w:w="12240" w:h="15840" w:code="1"/>
          <w:pgMar w:top="1440" w:right="1440" w:bottom="1440" w:left="1440" w:header="720" w:footer="720" w:gutter="0"/>
          <w:cols w:num="2" w:space="720"/>
          <w:docGrid w:linePitch="360"/>
        </w:sectPr>
      </w:pPr>
    </w:p>
    <w:p w:rsidR="00253B58" w:rsidRPr="007E4D9A" w:rsidRDefault="00253B58" w:rsidP="004C4586">
      <w:pPr>
        <w:spacing w:after="0" w:line="240" w:lineRule="auto"/>
        <w:contextualSpacing/>
        <w:jc w:val="both"/>
        <w:rPr>
          <w:rFonts w:ascii="Times New Roman" w:hAnsi="Times New Roman" w:cs="Times New Roman"/>
          <w:sz w:val="20"/>
          <w:szCs w:val="20"/>
        </w:rPr>
      </w:pPr>
    </w:p>
    <w:p w:rsidR="004B1088" w:rsidRPr="007E4D9A" w:rsidRDefault="00253B58" w:rsidP="004C4586">
      <w:pPr>
        <w:spacing w:after="0" w:line="240" w:lineRule="auto"/>
        <w:contextualSpacing/>
        <w:jc w:val="both"/>
        <w:rPr>
          <w:rFonts w:ascii="Times New Roman" w:hAnsi="Times New Roman" w:cs="Times New Roman"/>
          <w:sz w:val="20"/>
          <w:szCs w:val="20"/>
        </w:rPr>
      </w:pPr>
      <w:r w:rsidRPr="007E4D9A">
        <w:rPr>
          <w:rFonts w:ascii="Times New Roman" w:hAnsi="Times New Roman" w:cs="Times New Roman"/>
          <w:sz w:val="20"/>
          <w:szCs w:val="20"/>
        </w:rPr>
        <w:t>7/22/2013</w:t>
      </w:r>
    </w:p>
    <w:sectPr w:rsidR="004B1088" w:rsidRPr="007E4D9A" w:rsidSect="007E4D9A">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D9A" w:rsidRDefault="007E4D9A" w:rsidP="009C4198">
      <w:pPr>
        <w:spacing w:after="0" w:line="240" w:lineRule="auto"/>
      </w:pPr>
      <w:r>
        <w:separator/>
      </w:r>
    </w:p>
  </w:endnote>
  <w:endnote w:type="continuationSeparator" w:id="0">
    <w:p w:rsidR="007E4D9A" w:rsidRDefault="007E4D9A" w:rsidP="009C4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20452"/>
      <w:docPartObj>
        <w:docPartGallery w:val="Page Numbers (Bottom of Page)"/>
        <w:docPartUnique/>
      </w:docPartObj>
    </w:sdtPr>
    <w:sdtEndPr>
      <w:rPr>
        <w:sz w:val="20"/>
        <w:szCs w:val="20"/>
      </w:rPr>
    </w:sdtEndPr>
    <w:sdtContent>
      <w:p w:rsidR="007E4D9A" w:rsidRPr="00CE1187" w:rsidRDefault="007E4D9A">
        <w:pPr>
          <w:pStyle w:val="Footer"/>
          <w:jc w:val="center"/>
          <w:rPr>
            <w:sz w:val="20"/>
            <w:szCs w:val="20"/>
          </w:rPr>
        </w:pPr>
        <w:r w:rsidRPr="00CE1187">
          <w:rPr>
            <w:sz w:val="20"/>
            <w:szCs w:val="20"/>
          </w:rPr>
          <w:fldChar w:fldCharType="begin"/>
        </w:r>
        <w:r w:rsidRPr="00CE1187">
          <w:rPr>
            <w:sz w:val="20"/>
            <w:szCs w:val="20"/>
          </w:rPr>
          <w:instrText xml:space="preserve"> PAGE   \* MERGEFORMAT </w:instrText>
        </w:r>
        <w:r w:rsidRPr="00CE1187">
          <w:rPr>
            <w:sz w:val="20"/>
            <w:szCs w:val="20"/>
          </w:rPr>
          <w:fldChar w:fldCharType="separate"/>
        </w:r>
        <w:r w:rsidR="00BE5ED7" w:rsidRPr="00BE5ED7">
          <w:rPr>
            <w:noProof/>
            <w:sz w:val="20"/>
            <w:szCs w:val="20"/>
            <w:lang w:val="zh-CN"/>
          </w:rPr>
          <w:t>117</w:t>
        </w:r>
        <w:r w:rsidRPr="00CE1187">
          <w:rPr>
            <w:sz w:val="20"/>
            <w:szCs w:val="20"/>
          </w:rPr>
          <w:fldChar w:fldCharType="end"/>
        </w:r>
      </w:p>
    </w:sdtContent>
  </w:sdt>
  <w:p w:rsidR="007E4D9A" w:rsidRDefault="007E4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D9A" w:rsidRDefault="007E4D9A" w:rsidP="009C4198">
      <w:pPr>
        <w:spacing w:after="0" w:line="240" w:lineRule="auto"/>
      </w:pPr>
      <w:r>
        <w:separator/>
      </w:r>
    </w:p>
  </w:footnote>
  <w:footnote w:type="continuationSeparator" w:id="0">
    <w:p w:rsidR="007E4D9A" w:rsidRDefault="007E4D9A" w:rsidP="009C4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9A" w:rsidRPr="00A55BD3" w:rsidRDefault="007E4D9A" w:rsidP="008A271C">
    <w:pPr>
      <w:pBdr>
        <w:bottom w:val="thinThickMediumGap" w:sz="12" w:space="1" w:color="auto"/>
      </w:pBdr>
      <w:suppressAutoHyphens/>
      <w:spacing w:after="0" w:line="240" w:lineRule="auto"/>
      <w:jc w:val="center"/>
      <w:rPr>
        <w:rFonts w:ascii="Times New Roman" w:eastAsia="SimSun" w:hAnsi="Times New Roman" w:cs="Times New Roman"/>
        <w:iCs/>
        <w:sz w:val="20"/>
        <w:szCs w:val="24"/>
        <w:lang w:eastAsia="ar-SA"/>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sidRPr="00A55BD3">
      <w:rPr>
        <w:rFonts w:ascii="Times New Roman" w:eastAsia="SimSun" w:hAnsi="Times New Roman" w:cs="Times New Roman"/>
        <w:sz w:val="20"/>
        <w:szCs w:val="24"/>
        <w:lang w:eastAsia="ar-SA"/>
      </w:rPr>
      <w:t>New York Science Journal 201</w:t>
    </w:r>
    <w:r w:rsidRPr="00A55BD3">
      <w:rPr>
        <w:rFonts w:ascii="Times New Roman" w:eastAsia="SimSun" w:hAnsi="Times New Roman" w:cs="Times New Roman"/>
        <w:sz w:val="20"/>
        <w:szCs w:val="24"/>
        <w:lang w:eastAsia="zh-CN"/>
      </w:rPr>
      <w:t>3</w:t>
    </w:r>
    <w:r>
      <w:rPr>
        <w:rFonts w:ascii="Times New Roman" w:eastAsia="SimSun" w:hAnsi="Times New Roman" w:cs="Times New Roman"/>
        <w:sz w:val="20"/>
        <w:szCs w:val="24"/>
        <w:lang w:eastAsia="ar-SA"/>
      </w:rPr>
      <w:t>;6(9</w:t>
    </w:r>
    <w:r w:rsidRPr="00A55BD3">
      <w:rPr>
        <w:rFonts w:ascii="Times New Roman" w:eastAsia="SimSun" w:hAnsi="Times New Roman" w:cs="Times New Roman"/>
        <w:sz w:val="20"/>
        <w:szCs w:val="24"/>
        <w:lang w:eastAsia="ar-SA"/>
      </w:rPr>
      <w:t>)</w:t>
    </w:r>
    <w:r w:rsidRPr="00A55BD3">
      <w:rPr>
        <w:rFonts w:ascii="Times New Roman" w:eastAsia="SimSun" w:hAnsi="Times New Roman" w:cs="Times New Roman"/>
        <w:iCs/>
        <w:sz w:val="20"/>
        <w:szCs w:val="24"/>
        <w:lang w:eastAsia="ar-SA"/>
      </w:rPr>
      <w:t xml:space="preserve">                                                </w:t>
    </w:r>
    <w:hyperlink r:id="rId1" w:history="1">
      <w:r w:rsidRPr="00A55BD3">
        <w:rPr>
          <w:rFonts w:ascii="Times New Roman" w:eastAsia="SimSun" w:hAnsi="Times New Roman" w:cs="Times New Roman"/>
          <w:color w:val="0000FF"/>
          <w:sz w:val="20"/>
          <w:szCs w:val="24"/>
          <w:u w:val="single"/>
          <w:lang w:eastAsia="ar-SA"/>
        </w:rPr>
        <w:t>http://www.sciencepub.net/newyork</w:t>
      </w:r>
    </w:hyperlink>
    <w:bookmarkEnd w:id="1"/>
    <w:bookmarkEnd w:id="2"/>
    <w:bookmarkEnd w:id="3"/>
    <w:bookmarkEnd w:id="4"/>
    <w:bookmarkEnd w:id="5"/>
    <w:bookmarkEnd w:id="6"/>
    <w:bookmarkEnd w:id="7"/>
    <w:bookmarkEnd w:id="8"/>
    <w:bookmarkEnd w:id="9"/>
  </w:p>
  <w:bookmarkEnd w:id="10"/>
  <w:bookmarkEnd w:id="11"/>
  <w:bookmarkEnd w:id="12"/>
  <w:bookmarkEnd w:id="13"/>
  <w:bookmarkEnd w:id="14"/>
  <w:bookmarkEnd w:id="15"/>
  <w:p w:rsidR="007E4D9A" w:rsidRDefault="007E4D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644A"/>
    <w:multiLevelType w:val="hybridMultilevel"/>
    <w:tmpl w:val="123E4128"/>
    <w:lvl w:ilvl="0" w:tplc="03D0BB6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2BF20B4B"/>
    <w:multiLevelType w:val="hybridMultilevel"/>
    <w:tmpl w:val="D21A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0D0244"/>
    <w:multiLevelType w:val="hybridMultilevel"/>
    <w:tmpl w:val="3632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085674"/>
    <w:multiLevelType w:val="hybridMultilevel"/>
    <w:tmpl w:val="4684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6F6D3B"/>
    <w:rsid w:val="00022C0E"/>
    <w:rsid w:val="000717C9"/>
    <w:rsid w:val="000775B0"/>
    <w:rsid w:val="000A7F16"/>
    <w:rsid w:val="000C4CF6"/>
    <w:rsid w:val="000D2390"/>
    <w:rsid w:val="00115AAF"/>
    <w:rsid w:val="00144206"/>
    <w:rsid w:val="001662B1"/>
    <w:rsid w:val="00167425"/>
    <w:rsid w:val="00185766"/>
    <w:rsid w:val="001B3F43"/>
    <w:rsid w:val="001B4B70"/>
    <w:rsid w:val="001D3EC0"/>
    <w:rsid w:val="001F6DA5"/>
    <w:rsid w:val="002232E6"/>
    <w:rsid w:val="002370DA"/>
    <w:rsid w:val="00253B58"/>
    <w:rsid w:val="00256E20"/>
    <w:rsid w:val="00262225"/>
    <w:rsid w:val="00270303"/>
    <w:rsid w:val="00274846"/>
    <w:rsid w:val="00277D9C"/>
    <w:rsid w:val="002A0D92"/>
    <w:rsid w:val="002A270B"/>
    <w:rsid w:val="002A3323"/>
    <w:rsid w:val="002D0CF8"/>
    <w:rsid w:val="002D4435"/>
    <w:rsid w:val="003325E5"/>
    <w:rsid w:val="00332FE4"/>
    <w:rsid w:val="00334ADD"/>
    <w:rsid w:val="003457F7"/>
    <w:rsid w:val="003554C9"/>
    <w:rsid w:val="00383964"/>
    <w:rsid w:val="003B1D2F"/>
    <w:rsid w:val="003B3CFE"/>
    <w:rsid w:val="003B693B"/>
    <w:rsid w:val="003D773A"/>
    <w:rsid w:val="004059B9"/>
    <w:rsid w:val="00422AC1"/>
    <w:rsid w:val="004238C2"/>
    <w:rsid w:val="00453FBD"/>
    <w:rsid w:val="00463246"/>
    <w:rsid w:val="00465CF8"/>
    <w:rsid w:val="00490154"/>
    <w:rsid w:val="004B1088"/>
    <w:rsid w:val="004B6BE8"/>
    <w:rsid w:val="004C4586"/>
    <w:rsid w:val="004D3387"/>
    <w:rsid w:val="004D46E8"/>
    <w:rsid w:val="004F7EDC"/>
    <w:rsid w:val="00524078"/>
    <w:rsid w:val="00535F7A"/>
    <w:rsid w:val="00536330"/>
    <w:rsid w:val="00540331"/>
    <w:rsid w:val="00566F84"/>
    <w:rsid w:val="00567AB4"/>
    <w:rsid w:val="00597619"/>
    <w:rsid w:val="00636423"/>
    <w:rsid w:val="00643BED"/>
    <w:rsid w:val="006621A6"/>
    <w:rsid w:val="006703CA"/>
    <w:rsid w:val="006A5CEC"/>
    <w:rsid w:val="006B2722"/>
    <w:rsid w:val="006D5AA6"/>
    <w:rsid w:val="006D6D46"/>
    <w:rsid w:val="006D6F9B"/>
    <w:rsid w:val="006E7D0E"/>
    <w:rsid w:val="006F3D72"/>
    <w:rsid w:val="006F6D3B"/>
    <w:rsid w:val="0073260B"/>
    <w:rsid w:val="00795855"/>
    <w:rsid w:val="007C147B"/>
    <w:rsid w:val="007E4D9A"/>
    <w:rsid w:val="007F0E9A"/>
    <w:rsid w:val="008167C3"/>
    <w:rsid w:val="00855EA7"/>
    <w:rsid w:val="008609D7"/>
    <w:rsid w:val="00887BFD"/>
    <w:rsid w:val="00896976"/>
    <w:rsid w:val="008A271C"/>
    <w:rsid w:val="008D5FE9"/>
    <w:rsid w:val="008F1B3A"/>
    <w:rsid w:val="009319BD"/>
    <w:rsid w:val="0097361D"/>
    <w:rsid w:val="009751A4"/>
    <w:rsid w:val="009B2958"/>
    <w:rsid w:val="009C4198"/>
    <w:rsid w:val="00A02A8C"/>
    <w:rsid w:val="00A63033"/>
    <w:rsid w:val="00A70A55"/>
    <w:rsid w:val="00AC7D15"/>
    <w:rsid w:val="00AE7EC6"/>
    <w:rsid w:val="00B654A0"/>
    <w:rsid w:val="00BA1DD9"/>
    <w:rsid w:val="00BE56B2"/>
    <w:rsid w:val="00BE5ED7"/>
    <w:rsid w:val="00BF2B33"/>
    <w:rsid w:val="00C0759B"/>
    <w:rsid w:val="00C3146A"/>
    <w:rsid w:val="00C327E3"/>
    <w:rsid w:val="00C33B08"/>
    <w:rsid w:val="00C34D9B"/>
    <w:rsid w:val="00C423C2"/>
    <w:rsid w:val="00C66605"/>
    <w:rsid w:val="00C66EE6"/>
    <w:rsid w:val="00C75669"/>
    <w:rsid w:val="00C842F2"/>
    <w:rsid w:val="00C93900"/>
    <w:rsid w:val="00CB7022"/>
    <w:rsid w:val="00CD25F4"/>
    <w:rsid w:val="00CE1187"/>
    <w:rsid w:val="00CE33D6"/>
    <w:rsid w:val="00D02B02"/>
    <w:rsid w:val="00D1241B"/>
    <w:rsid w:val="00D26636"/>
    <w:rsid w:val="00D55DA4"/>
    <w:rsid w:val="00D653F0"/>
    <w:rsid w:val="00DC0936"/>
    <w:rsid w:val="00E12890"/>
    <w:rsid w:val="00E52DDC"/>
    <w:rsid w:val="00E667DD"/>
    <w:rsid w:val="00E7222D"/>
    <w:rsid w:val="00E73236"/>
    <w:rsid w:val="00EA3804"/>
    <w:rsid w:val="00EA506A"/>
    <w:rsid w:val="00EE6AA6"/>
    <w:rsid w:val="00EF27C6"/>
    <w:rsid w:val="00F11F0D"/>
    <w:rsid w:val="00F12B04"/>
    <w:rsid w:val="00F3281A"/>
    <w:rsid w:val="00F32AAC"/>
    <w:rsid w:val="00F55FDB"/>
    <w:rsid w:val="00F66E95"/>
    <w:rsid w:val="00F6756C"/>
    <w:rsid w:val="00F679D0"/>
    <w:rsid w:val="00F852C8"/>
    <w:rsid w:val="00FB515D"/>
    <w:rsid w:val="00FC286A"/>
    <w:rsid w:val="00FD238A"/>
    <w:rsid w:val="00FD287A"/>
    <w:rsid w:val="00FD447B"/>
    <w:rsid w:val="00FE2022"/>
    <w:rsid w:val="00FF4433"/>
    <w:rsid w:val="00FF4B1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73A"/>
    <w:pPr>
      <w:ind w:left="720"/>
      <w:contextualSpacing/>
    </w:pPr>
  </w:style>
  <w:style w:type="paragraph" w:styleId="Header">
    <w:name w:val="header"/>
    <w:basedOn w:val="Normal"/>
    <w:link w:val="HeaderChar"/>
    <w:uiPriority w:val="99"/>
    <w:unhideWhenUsed/>
    <w:rsid w:val="009C4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198"/>
  </w:style>
  <w:style w:type="paragraph" w:styleId="Footer">
    <w:name w:val="footer"/>
    <w:basedOn w:val="Normal"/>
    <w:link w:val="FooterChar"/>
    <w:uiPriority w:val="99"/>
    <w:unhideWhenUsed/>
    <w:rsid w:val="009C4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98"/>
  </w:style>
  <w:style w:type="character" w:styleId="PlaceholderText">
    <w:name w:val="Placeholder Text"/>
    <w:basedOn w:val="DefaultParagraphFont"/>
    <w:uiPriority w:val="99"/>
    <w:semiHidden/>
    <w:rsid w:val="00C34D9B"/>
    <w:rPr>
      <w:color w:val="808080"/>
    </w:rPr>
  </w:style>
  <w:style w:type="table" w:styleId="TableGrid">
    <w:name w:val="Table Grid"/>
    <w:basedOn w:val="TableNormal"/>
    <w:uiPriority w:val="59"/>
    <w:rsid w:val="000A7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154"/>
    <w:rPr>
      <w:rFonts w:ascii="Tahoma" w:hAnsi="Tahoma" w:cs="Tahoma"/>
      <w:sz w:val="16"/>
      <w:szCs w:val="16"/>
    </w:rPr>
  </w:style>
  <w:style w:type="character" w:customStyle="1" w:styleId="hps">
    <w:name w:val="hps"/>
    <w:basedOn w:val="DefaultParagraphFont"/>
    <w:rsid w:val="008A2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73A"/>
    <w:pPr>
      <w:ind w:left="720"/>
      <w:contextualSpacing/>
    </w:pPr>
  </w:style>
  <w:style w:type="paragraph" w:styleId="Header">
    <w:name w:val="header"/>
    <w:basedOn w:val="Normal"/>
    <w:link w:val="HeaderChar"/>
    <w:uiPriority w:val="99"/>
    <w:unhideWhenUsed/>
    <w:rsid w:val="009C4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198"/>
  </w:style>
  <w:style w:type="paragraph" w:styleId="Footer">
    <w:name w:val="footer"/>
    <w:basedOn w:val="Normal"/>
    <w:link w:val="FooterChar"/>
    <w:uiPriority w:val="99"/>
    <w:unhideWhenUsed/>
    <w:rsid w:val="009C4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98"/>
  </w:style>
  <w:style w:type="character" w:styleId="PlaceholderText">
    <w:name w:val="Placeholder Text"/>
    <w:basedOn w:val="DefaultParagraphFont"/>
    <w:uiPriority w:val="99"/>
    <w:semiHidden/>
    <w:rsid w:val="00C34D9B"/>
    <w:rPr>
      <w:color w:val="808080"/>
    </w:rPr>
  </w:style>
  <w:style w:type="table" w:styleId="TableGrid">
    <w:name w:val="Table Grid"/>
    <w:basedOn w:val="TableNormal"/>
    <w:uiPriority w:val="59"/>
    <w:rsid w:val="000A7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154"/>
    <w:rPr>
      <w:rFonts w:ascii="Tahoma" w:hAnsi="Tahoma" w:cs="Tahoma"/>
      <w:sz w:val="16"/>
      <w:szCs w:val="16"/>
    </w:rPr>
  </w:style>
  <w:style w:type="character" w:customStyle="1" w:styleId="hps">
    <w:name w:val="hps"/>
    <w:basedOn w:val="DefaultParagraphFont"/>
    <w:rsid w:val="008A27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shakiba</dc:creator>
  <cp:lastModifiedBy>Administrator</cp:lastModifiedBy>
  <cp:revision>4</cp:revision>
  <dcterms:created xsi:type="dcterms:W3CDTF">2013-08-25T01:56:00Z</dcterms:created>
  <dcterms:modified xsi:type="dcterms:W3CDTF">2013-08-26T01:46:00Z</dcterms:modified>
</cp:coreProperties>
</file>