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BC" w:rsidRPr="00176193" w:rsidRDefault="00356580" w:rsidP="00560B79">
      <w:pPr>
        <w:bidi w:val="0"/>
        <w:jc w:val="center"/>
        <w:rPr>
          <w:b/>
          <w:bCs/>
          <w:sz w:val="20"/>
          <w:szCs w:val="20"/>
        </w:rPr>
      </w:pPr>
      <w:r w:rsidRPr="00176193">
        <w:rPr>
          <w:b/>
          <w:bCs/>
          <w:sz w:val="20"/>
          <w:szCs w:val="20"/>
        </w:rPr>
        <w:t xml:space="preserve">Effect of Ultrasound Guided Embryo Transfer on Pregnancy Rates </w:t>
      </w:r>
    </w:p>
    <w:p w:rsidR="00356580" w:rsidRPr="00176193" w:rsidRDefault="00356580" w:rsidP="00560B79">
      <w:pPr>
        <w:bidi w:val="0"/>
        <w:jc w:val="center"/>
        <w:rPr>
          <w:b/>
          <w:bCs/>
          <w:sz w:val="20"/>
          <w:szCs w:val="20"/>
        </w:rPr>
      </w:pPr>
    </w:p>
    <w:p w:rsidR="000731E8" w:rsidRPr="00176193" w:rsidRDefault="00A64B96" w:rsidP="00560B79">
      <w:pPr>
        <w:bidi w:val="0"/>
        <w:jc w:val="center"/>
        <w:rPr>
          <w:sz w:val="20"/>
          <w:szCs w:val="20"/>
        </w:rPr>
      </w:pPr>
      <w:r w:rsidRPr="00176193">
        <w:rPr>
          <w:sz w:val="20"/>
          <w:szCs w:val="20"/>
        </w:rPr>
        <w:t>Ahmed Rushdi Ammar</w:t>
      </w:r>
      <w:r w:rsidR="00D541A8" w:rsidRPr="00176193">
        <w:rPr>
          <w:sz w:val="20"/>
          <w:szCs w:val="20"/>
          <w:vertAlign w:val="superscript"/>
        </w:rPr>
        <w:t>1</w:t>
      </w:r>
      <w:r w:rsidR="00356580" w:rsidRPr="00176193">
        <w:rPr>
          <w:sz w:val="20"/>
          <w:szCs w:val="20"/>
        </w:rPr>
        <w:t>, Khaled</w:t>
      </w:r>
      <w:r w:rsidR="00FA026D" w:rsidRPr="00176193">
        <w:rPr>
          <w:sz w:val="20"/>
          <w:szCs w:val="20"/>
        </w:rPr>
        <w:t xml:space="preserve"> Said Mousa</w:t>
      </w:r>
      <w:r w:rsidR="00D541A8" w:rsidRPr="00176193">
        <w:rPr>
          <w:sz w:val="20"/>
          <w:szCs w:val="20"/>
          <w:vertAlign w:val="superscript"/>
        </w:rPr>
        <w:t>1</w:t>
      </w:r>
      <w:r w:rsidR="00FA026D" w:rsidRPr="00176193">
        <w:rPr>
          <w:sz w:val="20"/>
          <w:szCs w:val="20"/>
        </w:rPr>
        <w:t>,</w:t>
      </w:r>
      <w:r w:rsidR="00523637" w:rsidRPr="00176193">
        <w:rPr>
          <w:sz w:val="20"/>
          <w:szCs w:val="20"/>
        </w:rPr>
        <w:t xml:space="preserve"> </w:t>
      </w:r>
      <w:r w:rsidRPr="00176193">
        <w:rPr>
          <w:sz w:val="20"/>
          <w:szCs w:val="20"/>
        </w:rPr>
        <w:t xml:space="preserve">Noha Hamed Rabei </w:t>
      </w:r>
      <w:r w:rsidR="00356580" w:rsidRPr="00176193">
        <w:rPr>
          <w:sz w:val="20"/>
          <w:szCs w:val="20"/>
          <w:vertAlign w:val="superscript"/>
        </w:rPr>
        <w:t>2</w:t>
      </w:r>
      <w:r w:rsidR="00356580" w:rsidRPr="00176193">
        <w:rPr>
          <w:sz w:val="20"/>
          <w:szCs w:val="20"/>
        </w:rPr>
        <w:t xml:space="preserve"> and</w:t>
      </w:r>
      <w:r w:rsidRPr="00176193">
        <w:rPr>
          <w:sz w:val="20"/>
          <w:szCs w:val="20"/>
        </w:rPr>
        <w:t xml:space="preserve"> </w:t>
      </w:r>
      <w:r w:rsidR="00FA026D" w:rsidRPr="00176193">
        <w:rPr>
          <w:sz w:val="20"/>
          <w:szCs w:val="20"/>
        </w:rPr>
        <w:t xml:space="preserve">Amira Galal </w:t>
      </w:r>
      <w:r w:rsidR="00356580" w:rsidRPr="00176193">
        <w:rPr>
          <w:sz w:val="20"/>
          <w:szCs w:val="20"/>
          <w:vertAlign w:val="superscript"/>
        </w:rPr>
        <w:t>2</w:t>
      </w:r>
    </w:p>
    <w:p w:rsidR="00356580" w:rsidRPr="00176193" w:rsidRDefault="00356580" w:rsidP="00560B79">
      <w:pPr>
        <w:bidi w:val="0"/>
        <w:jc w:val="center"/>
        <w:rPr>
          <w:b/>
          <w:bCs/>
          <w:sz w:val="20"/>
          <w:szCs w:val="20"/>
        </w:rPr>
      </w:pPr>
    </w:p>
    <w:p w:rsidR="000731E8" w:rsidRPr="00176193" w:rsidRDefault="00D541A8" w:rsidP="00560B79">
      <w:pPr>
        <w:bidi w:val="0"/>
        <w:jc w:val="center"/>
        <w:rPr>
          <w:sz w:val="20"/>
          <w:szCs w:val="20"/>
        </w:rPr>
      </w:pPr>
      <w:r w:rsidRPr="00176193">
        <w:rPr>
          <w:sz w:val="20"/>
          <w:szCs w:val="20"/>
          <w:vertAlign w:val="superscript"/>
        </w:rPr>
        <w:t>1</w:t>
      </w:r>
      <w:r w:rsidR="00A64B96" w:rsidRPr="00176193">
        <w:rPr>
          <w:sz w:val="20"/>
          <w:szCs w:val="20"/>
        </w:rPr>
        <w:t>Department of Obstetrics and Gy</w:t>
      </w:r>
      <w:r w:rsidR="00356580" w:rsidRPr="00176193">
        <w:rPr>
          <w:sz w:val="20"/>
          <w:szCs w:val="20"/>
        </w:rPr>
        <w:t xml:space="preserve">necology, Faculty of Medicine,  </w:t>
      </w:r>
      <w:r w:rsidR="00A64B96" w:rsidRPr="00176193">
        <w:rPr>
          <w:sz w:val="20"/>
          <w:szCs w:val="20"/>
        </w:rPr>
        <w:t>Ain Shams University</w:t>
      </w:r>
      <w:r w:rsidR="00FA026D" w:rsidRPr="00176193">
        <w:rPr>
          <w:sz w:val="20"/>
          <w:szCs w:val="20"/>
        </w:rPr>
        <w:t>, Cairo Egypt</w:t>
      </w:r>
    </w:p>
    <w:p w:rsidR="00FA026D" w:rsidRPr="00176193" w:rsidRDefault="00356580" w:rsidP="00560B79">
      <w:pPr>
        <w:bidi w:val="0"/>
        <w:jc w:val="center"/>
        <w:rPr>
          <w:sz w:val="20"/>
          <w:szCs w:val="20"/>
        </w:rPr>
      </w:pPr>
      <w:r w:rsidRPr="00176193">
        <w:rPr>
          <w:sz w:val="20"/>
          <w:szCs w:val="20"/>
          <w:vertAlign w:val="superscript"/>
        </w:rPr>
        <w:t>2</w:t>
      </w:r>
      <w:r w:rsidR="00FA026D" w:rsidRPr="00176193">
        <w:rPr>
          <w:sz w:val="20"/>
          <w:szCs w:val="20"/>
        </w:rPr>
        <w:t xml:space="preserve"> M.B., B.Ch. </w:t>
      </w:r>
      <w:r w:rsidRPr="00176193">
        <w:rPr>
          <w:sz w:val="20"/>
          <w:szCs w:val="20"/>
        </w:rPr>
        <w:t xml:space="preserve">Department of Obstetrics and Gynecology, Faculty of Medicine </w:t>
      </w:r>
      <w:r w:rsidR="00FA026D" w:rsidRPr="00176193">
        <w:rPr>
          <w:sz w:val="20"/>
          <w:szCs w:val="20"/>
        </w:rPr>
        <w:t>Benha University</w:t>
      </w:r>
      <w:r w:rsidRPr="00176193">
        <w:rPr>
          <w:sz w:val="20"/>
          <w:szCs w:val="20"/>
        </w:rPr>
        <w:t>, Egypt</w:t>
      </w:r>
    </w:p>
    <w:p w:rsidR="00356580" w:rsidRPr="00176193" w:rsidRDefault="00C46DE3" w:rsidP="00560B79">
      <w:pPr>
        <w:bidi w:val="0"/>
        <w:ind w:left="602" w:hanging="602"/>
        <w:jc w:val="center"/>
        <w:rPr>
          <w:color w:val="0000FF"/>
          <w:sz w:val="20"/>
          <w:szCs w:val="20"/>
        </w:rPr>
      </w:pPr>
      <w:hyperlink r:id="rId7" w:history="1">
        <w:r w:rsidR="00876D26" w:rsidRPr="00176193">
          <w:rPr>
            <w:rStyle w:val="Hyperlink"/>
            <w:sz w:val="20"/>
            <w:szCs w:val="20"/>
          </w:rPr>
          <w:t>noha.rabei@yahoo.com</w:t>
        </w:r>
      </w:hyperlink>
      <w:r w:rsidR="00876D26" w:rsidRPr="00176193">
        <w:rPr>
          <w:color w:val="0000FF"/>
          <w:sz w:val="20"/>
          <w:szCs w:val="20"/>
        </w:rPr>
        <w:t xml:space="preserve"> </w:t>
      </w:r>
    </w:p>
    <w:p w:rsidR="00356580" w:rsidRPr="00176193" w:rsidRDefault="00356580" w:rsidP="00560B79">
      <w:pPr>
        <w:bidi w:val="0"/>
        <w:jc w:val="lowKashida"/>
        <w:rPr>
          <w:b/>
          <w:bCs/>
          <w:sz w:val="20"/>
          <w:szCs w:val="20"/>
        </w:rPr>
      </w:pPr>
    </w:p>
    <w:p w:rsidR="00FB1785" w:rsidRPr="00176193" w:rsidRDefault="00356580" w:rsidP="00560B79">
      <w:pPr>
        <w:bidi w:val="0"/>
        <w:jc w:val="lowKashida"/>
        <w:rPr>
          <w:sz w:val="20"/>
          <w:szCs w:val="20"/>
        </w:rPr>
      </w:pPr>
      <w:r w:rsidRPr="00176193">
        <w:rPr>
          <w:b/>
          <w:bCs/>
          <w:sz w:val="20"/>
          <w:szCs w:val="20"/>
        </w:rPr>
        <w:t>Abstract</w:t>
      </w:r>
      <w:r w:rsidRPr="00176193">
        <w:rPr>
          <w:sz w:val="20"/>
          <w:szCs w:val="20"/>
        </w:rPr>
        <w:t xml:space="preserve">: </w:t>
      </w:r>
      <w:r w:rsidR="00FA026D" w:rsidRPr="00176193">
        <w:rPr>
          <w:b/>
          <w:bCs/>
          <w:sz w:val="20"/>
          <w:szCs w:val="20"/>
        </w:rPr>
        <w:t xml:space="preserve">Objective: </w:t>
      </w:r>
      <w:r w:rsidR="00FA026D" w:rsidRPr="00176193">
        <w:rPr>
          <w:sz w:val="20"/>
          <w:szCs w:val="20"/>
        </w:rPr>
        <w:t xml:space="preserve">to assess the effect of transabdominal ultrasound guidance during </w:t>
      </w:r>
      <w:r w:rsidR="00395596" w:rsidRPr="00176193">
        <w:rPr>
          <w:sz w:val="20"/>
          <w:szCs w:val="20"/>
        </w:rPr>
        <w:t>embryo transfer (ET) on the per transfer pregnancy rate</w:t>
      </w:r>
      <w:r w:rsidR="00FA026D" w:rsidRPr="00176193">
        <w:rPr>
          <w:sz w:val="20"/>
          <w:szCs w:val="20"/>
        </w:rPr>
        <w:t xml:space="preserve">. </w:t>
      </w:r>
      <w:r w:rsidR="00FA026D" w:rsidRPr="00176193">
        <w:rPr>
          <w:b/>
          <w:bCs/>
          <w:sz w:val="20"/>
          <w:szCs w:val="20"/>
        </w:rPr>
        <w:t>Design</w:t>
      </w:r>
      <w:r w:rsidR="00A64B96" w:rsidRPr="00176193">
        <w:rPr>
          <w:b/>
          <w:bCs/>
          <w:sz w:val="20"/>
          <w:szCs w:val="20"/>
        </w:rPr>
        <w:t>:</w:t>
      </w:r>
      <w:r w:rsidR="00A64B96" w:rsidRPr="00176193">
        <w:rPr>
          <w:sz w:val="20"/>
          <w:szCs w:val="20"/>
        </w:rPr>
        <w:t xml:space="preserve"> </w:t>
      </w:r>
      <w:r w:rsidR="00FA026D" w:rsidRPr="00176193">
        <w:rPr>
          <w:sz w:val="20"/>
          <w:szCs w:val="20"/>
        </w:rPr>
        <w:t xml:space="preserve">A prospective randomized </w:t>
      </w:r>
      <w:r w:rsidR="00395596" w:rsidRPr="00176193">
        <w:rPr>
          <w:sz w:val="20"/>
          <w:szCs w:val="20"/>
        </w:rPr>
        <w:t xml:space="preserve">double blind </w:t>
      </w:r>
      <w:r w:rsidR="00FA026D" w:rsidRPr="00176193">
        <w:rPr>
          <w:sz w:val="20"/>
          <w:szCs w:val="20"/>
        </w:rPr>
        <w:t>study.</w:t>
      </w:r>
      <w:r w:rsidR="00523637" w:rsidRPr="00176193">
        <w:rPr>
          <w:sz w:val="20"/>
          <w:szCs w:val="20"/>
        </w:rPr>
        <w:t xml:space="preserve"> </w:t>
      </w:r>
      <w:r w:rsidR="00FA026D" w:rsidRPr="00176193">
        <w:rPr>
          <w:b/>
          <w:bCs/>
          <w:sz w:val="20"/>
          <w:szCs w:val="20"/>
        </w:rPr>
        <w:t xml:space="preserve">Setting: </w:t>
      </w:r>
      <w:r w:rsidR="00FA026D" w:rsidRPr="00176193">
        <w:rPr>
          <w:sz w:val="20"/>
          <w:szCs w:val="20"/>
        </w:rPr>
        <w:t>University based IVF practice.</w:t>
      </w:r>
      <w:r w:rsidR="00523637" w:rsidRPr="00176193">
        <w:rPr>
          <w:sz w:val="20"/>
          <w:szCs w:val="20"/>
        </w:rPr>
        <w:t xml:space="preserve"> </w:t>
      </w:r>
      <w:r w:rsidR="00A64B96" w:rsidRPr="00176193">
        <w:rPr>
          <w:b/>
          <w:bCs/>
          <w:sz w:val="20"/>
          <w:szCs w:val="20"/>
        </w:rPr>
        <w:t>Patients and methods:</w:t>
      </w:r>
      <w:r w:rsidR="00A64B96" w:rsidRPr="00176193">
        <w:rPr>
          <w:sz w:val="20"/>
          <w:szCs w:val="20"/>
        </w:rPr>
        <w:t xml:space="preserve"> </w:t>
      </w:r>
      <w:r w:rsidR="00FA026D" w:rsidRPr="00176193">
        <w:rPr>
          <w:sz w:val="20"/>
          <w:szCs w:val="20"/>
        </w:rPr>
        <w:t>a total of 90 patients u</w:t>
      </w:r>
      <w:r w:rsidR="00395596" w:rsidRPr="00176193">
        <w:rPr>
          <w:sz w:val="20"/>
          <w:szCs w:val="20"/>
        </w:rPr>
        <w:t>ndergoing treatment with ICSI w</w:t>
      </w:r>
      <w:r w:rsidR="00FA026D" w:rsidRPr="00176193">
        <w:rPr>
          <w:sz w:val="20"/>
          <w:szCs w:val="20"/>
        </w:rPr>
        <w:t xml:space="preserve">ere divided into two groups: </w:t>
      </w:r>
      <w:r w:rsidR="00FA026D" w:rsidRPr="00176193">
        <w:rPr>
          <w:b/>
          <w:bCs/>
          <w:sz w:val="20"/>
          <w:szCs w:val="20"/>
        </w:rPr>
        <w:t>Group I:</w:t>
      </w:r>
      <w:r w:rsidR="00FA026D" w:rsidRPr="00176193">
        <w:rPr>
          <w:sz w:val="20"/>
          <w:szCs w:val="20"/>
        </w:rPr>
        <w:t xml:space="preserve"> had ultrasound guided ET, </w:t>
      </w:r>
      <w:r w:rsidR="00FA026D" w:rsidRPr="00176193">
        <w:rPr>
          <w:b/>
          <w:bCs/>
          <w:sz w:val="20"/>
          <w:szCs w:val="20"/>
        </w:rPr>
        <w:t>Group II:</w:t>
      </w:r>
      <w:r w:rsidR="00FA026D" w:rsidRPr="00176193">
        <w:rPr>
          <w:sz w:val="20"/>
          <w:szCs w:val="20"/>
        </w:rPr>
        <w:t xml:space="preserve"> Underwent ET using the clinical touch technique. </w:t>
      </w:r>
      <w:r w:rsidR="00FA026D" w:rsidRPr="00176193">
        <w:rPr>
          <w:b/>
          <w:bCs/>
          <w:sz w:val="20"/>
          <w:szCs w:val="20"/>
        </w:rPr>
        <w:t xml:space="preserve">Main </w:t>
      </w:r>
      <w:r w:rsidR="00FB1785" w:rsidRPr="00176193">
        <w:rPr>
          <w:b/>
          <w:bCs/>
          <w:sz w:val="20"/>
          <w:szCs w:val="20"/>
        </w:rPr>
        <w:t xml:space="preserve">outcomes </w:t>
      </w:r>
      <w:r w:rsidR="00FA026D" w:rsidRPr="00176193">
        <w:rPr>
          <w:b/>
          <w:bCs/>
          <w:sz w:val="20"/>
          <w:szCs w:val="20"/>
        </w:rPr>
        <w:t>measure:</w:t>
      </w:r>
      <w:r w:rsidR="00FB1785" w:rsidRPr="00176193">
        <w:rPr>
          <w:sz w:val="20"/>
          <w:szCs w:val="20"/>
        </w:rPr>
        <w:t xml:space="preserve"> </w:t>
      </w:r>
      <w:r w:rsidR="00FA026D" w:rsidRPr="00176193">
        <w:rPr>
          <w:sz w:val="20"/>
          <w:szCs w:val="20"/>
        </w:rPr>
        <w:t>Clinical pregnancy rate, the ongoi</w:t>
      </w:r>
      <w:r w:rsidR="00395596" w:rsidRPr="00176193">
        <w:rPr>
          <w:sz w:val="20"/>
          <w:szCs w:val="20"/>
        </w:rPr>
        <w:t>ng pregnancy rate and the aborti</w:t>
      </w:r>
      <w:r w:rsidR="00FA026D" w:rsidRPr="00176193">
        <w:rPr>
          <w:sz w:val="20"/>
          <w:szCs w:val="20"/>
        </w:rPr>
        <w:t xml:space="preserve">on rate </w:t>
      </w:r>
      <w:r w:rsidR="00395596" w:rsidRPr="00176193">
        <w:rPr>
          <w:sz w:val="20"/>
          <w:szCs w:val="20"/>
        </w:rPr>
        <w:t>were evaluated</w:t>
      </w:r>
      <w:r w:rsidR="00FA026D" w:rsidRPr="00176193">
        <w:rPr>
          <w:sz w:val="20"/>
          <w:szCs w:val="20"/>
        </w:rPr>
        <w:t>.</w:t>
      </w:r>
      <w:r w:rsidR="00523637" w:rsidRPr="00176193">
        <w:rPr>
          <w:sz w:val="20"/>
          <w:szCs w:val="20"/>
        </w:rPr>
        <w:t xml:space="preserve"> </w:t>
      </w:r>
      <w:r w:rsidR="00395596" w:rsidRPr="00176193">
        <w:rPr>
          <w:b/>
          <w:bCs/>
          <w:sz w:val="20"/>
          <w:szCs w:val="20"/>
        </w:rPr>
        <w:t>Results:</w:t>
      </w:r>
      <w:r w:rsidR="00395596" w:rsidRPr="00176193">
        <w:rPr>
          <w:sz w:val="20"/>
          <w:szCs w:val="20"/>
        </w:rPr>
        <w:t xml:space="preserve"> There was an increase in the clinical pregnancy rate and the ongoing pregnancy rate but with no statistical significant difference.</w:t>
      </w:r>
      <w:r w:rsidR="00523637" w:rsidRPr="00176193">
        <w:rPr>
          <w:sz w:val="20"/>
          <w:szCs w:val="20"/>
        </w:rPr>
        <w:t xml:space="preserve"> </w:t>
      </w:r>
      <w:r w:rsidR="00FB1785" w:rsidRPr="00176193">
        <w:rPr>
          <w:b/>
          <w:bCs/>
          <w:sz w:val="20"/>
          <w:szCs w:val="20"/>
        </w:rPr>
        <w:t xml:space="preserve">Conclusion: </w:t>
      </w:r>
      <w:r w:rsidR="00FA026D" w:rsidRPr="00176193">
        <w:rPr>
          <w:sz w:val="20"/>
          <w:szCs w:val="20"/>
        </w:rPr>
        <w:t xml:space="preserve">Ultrasound guided ET is simple and improves the outcomes though with no statistical significance yet it may be used to offer the patients </w:t>
      </w:r>
      <w:r w:rsidR="00395596" w:rsidRPr="00176193">
        <w:rPr>
          <w:sz w:val="20"/>
          <w:szCs w:val="20"/>
        </w:rPr>
        <w:t>the</w:t>
      </w:r>
      <w:r w:rsidR="00FA026D" w:rsidRPr="00176193">
        <w:rPr>
          <w:sz w:val="20"/>
          <w:szCs w:val="20"/>
        </w:rPr>
        <w:t xml:space="preserve"> maximum possibility of pregnancy. </w:t>
      </w:r>
    </w:p>
    <w:p w:rsidR="00356580" w:rsidRPr="00176193" w:rsidRDefault="00356580" w:rsidP="00560B79">
      <w:pPr>
        <w:bidi w:val="0"/>
        <w:jc w:val="both"/>
        <w:rPr>
          <w:sz w:val="20"/>
          <w:szCs w:val="20"/>
          <w:lang w:eastAsia="zh-CN"/>
        </w:rPr>
      </w:pPr>
      <w:r w:rsidRPr="00176193">
        <w:rPr>
          <w:sz w:val="20"/>
          <w:szCs w:val="20"/>
        </w:rPr>
        <w:t>[Ahmed Rushdi Ammar, Khaled Said Mousa, Noha Hamed Rabei and Amira Galal</w:t>
      </w:r>
      <w:r w:rsidR="00176193" w:rsidRPr="00176193">
        <w:rPr>
          <w:sz w:val="20"/>
          <w:szCs w:val="20"/>
        </w:rPr>
        <w:t>.</w:t>
      </w:r>
      <w:r w:rsidRPr="00176193">
        <w:rPr>
          <w:b/>
          <w:bCs/>
          <w:sz w:val="20"/>
          <w:szCs w:val="20"/>
        </w:rPr>
        <w:t xml:space="preserve"> Effect of Ultrasound Guided Embryo Transfer on Pregnancy Rates</w:t>
      </w:r>
      <w:r w:rsidR="008035CE" w:rsidRPr="00176193">
        <w:rPr>
          <w:rFonts w:eastAsia="Times New Roman"/>
          <w:b/>
          <w:bCs/>
          <w:sz w:val="20"/>
          <w:szCs w:val="20"/>
          <w:lang w:bidi="fa-IR"/>
        </w:rPr>
        <w:t>.</w:t>
      </w:r>
      <w:r w:rsidR="008035CE" w:rsidRPr="00176193">
        <w:rPr>
          <w:bCs/>
          <w:i/>
          <w:sz w:val="20"/>
          <w:szCs w:val="20"/>
        </w:rPr>
        <w:t xml:space="preserve"> N Y Sci J</w:t>
      </w:r>
      <w:r w:rsidR="008035CE" w:rsidRPr="00176193">
        <w:rPr>
          <w:bCs/>
          <w:sz w:val="20"/>
          <w:szCs w:val="20"/>
        </w:rPr>
        <w:t xml:space="preserve"> </w:t>
      </w:r>
      <w:r w:rsidR="008035CE" w:rsidRPr="00176193">
        <w:rPr>
          <w:sz w:val="20"/>
          <w:szCs w:val="20"/>
        </w:rPr>
        <w:t>2013;6(</w:t>
      </w:r>
      <w:r w:rsidR="008035CE" w:rsidRPr="00176193">
        <w:rPr>
          <w:rFonts w:hint="eastAsia"/>
          <w:sz w:val="20"/>
          <w:szCs w:val="20"/>
        </w:rPr>
        <w:t>12</w:t>
      </w:r>
      <w:r w:rsidR="008035CE" w:rsidRPr="00176193">
        <w:rPr>
          <w:sz w:val="20"/>
          <w:szCs w:val="20"/>
        </w:rPr>
        <w:t>):</w:t>
      </w:r>
      <w:r w:rsidR="00176193">
        <w:rPr>
          <w:noProof/>
          <w:sz w:val="20"/>
          <w:szCs w:val="20"/>
        </w:rPr>
        <w:t>79</w:t>
      </w:r>
      <w:r w:rsidR="008035CE" w:rsidRPr="00176193">
        <w:rPr>
          <w:sz w:val="20"/>
          <w:szCs w:val="20"/>
        </w:rPr>
        <w:t>-</w:t>
      </w:r>
      <w:r w:rsidR="00176193">
        <w:rPr>
          <w:sz w:val="20"/>
          <w:szCs w:val="20"/>
        </w:rPr>
        <w:t>83</w:t>
      </w:r>
      <w:r w:rsidR="008035CE" w:rsidRPr="00176193">
        <w:rPr>
          <w:sz w:val="20"/>
          <w:szCs w:val="20"/>
        </w:rPr>
        <w:t xml:space="preserve">]. (ISSN: 1554-0200). </w:t>
      </w:r>
      <w:hyperlink r:id="rId8" w:history="1">
        <w:r w:rsidR="008035CE" w:rsidRPr="00176193">
          <w:rPr>
            <w:rStyle w:val="Hyperlink"/>
            <w:color w:val="auto"/>
            <w:sz w:val="20"/>
            <w:szCs w:val="20"/>
          </w:rPr>
          <w:t>http://www.sciencepub.net/newyork</w:t>
        </w:r>
      </w:hyperlink>
      <w:r w:rsidR="008035CE" w:rsidRPr="00176193">
        <w:rPr>
          <w:sz w:val="20"/>
          <w:szCs w:val="20"/>
        </w:rPr>
        <w:t>.</w:t>
      </w:r>
      <w:r w:rsidR="00176193" w:rsidRPr="00176193">
        <w:rPr>
          <w:sz w:val="20"/>
          <w:szCs w:val="20"/>
        </w:rPr>
        <w:t xml:space="preserve"> </w:t>
      </w:r>
      <w:r w:rsidR="00560B79" w:rsidRPr="00176193">
        <w:rPr>
          <w:rFonts w:hint="eastAsia"/>
          <w:sz w:val="20"/>
          <w:szCs w:val="20"/>
          <w:lang w:eastAsia="zh-CN"/>
        </w:rPr>
        <w:t>13</w:t>
      </w:r>
    </w:p>
    <w:p w:rsidR="00560B79" w:rsidRPr="00176193" w:rsidRDefault="00560B79" w:rsidP="00560B79">
      <w:pPr>
        <w:bidi w:val="0"/>
        <w:jc w:val="both"/>
        <w:rPr>
          <w:b/>
          <w:bCs/>
          <w:sz w:val="20"/>
          <w:szCs w:val="20"/>
          <w:lang w:eastAsia="zh-CN"/>
        </w:rPr>
      </w:pPr>
    </w:p>
    <w:p w:rsidR="001D2F2E" w:rsidRPr="00176193" w:rsidRDefault="00FA026D" w:rsidP="00560B79">
      <w:pPr>
        <w:bidi w:val="0"/>
        <w:ind w:left="1666" w:hanging="1666"/>
        <w:jc w:val="lowKashida"/>
        <w:rPr>
          <w:sz w:val="20"/>
          <w:szCs w:val="20"/>
        </w:rPr>
      </w:pPr>
      <w:r w:rsidRPr="00176193">
        <w:rPr>
          <w:b/>
          <w:bCs/>
          <w:sz w:val="20"/>
          <w:szCs w:val="20"/>
        </w:rPr>
        <w:t>Key words:</w:t>
      </w:r>
      <w:r w:rsidR="00356580" w:rsidRPr="00176193">
        <w:rPr>
          <w:sz w:val="20"/>
          <w:szCs w:val="20"/>
        </w:rPr>
        <w:t xml:space="preserve"> </w:t>
      </w:r>
      <w:r w:rsidRPr="00176193">
        <w:rPr>
          <w:sz w:val="20"/>
          <w:szCs w:val="20"/>
        </w:rPr>
        <w:t xml:space="preserve">Embryo transfer, Transabdominal ultrasound, </w:t>
      </w:r>
      <w:r w:rsidRPr="00176193">
        <w:rPr>
          <w:i/>
          <w:iCs/>
          <w:sz w:val="20"/>
          <w:szCs w:val="20"/>
        </w:rPr>
        <w:t>in vitro</w:t>
      </w:r>
      <w:r w:rsidRPr="00176193">
        <w:rPr>
          <w:sz w:val="20"/>
          <w:szCs w:val="20"/>
        </w:rPr>
        <w:t xml:space="preserve"> fertilization.</w:t>
      </w:r>
      <w:r w:rsidR="00356580" w:rsidRPr="00176193">
        <w:rPr>
          <w:sz w:val="20"/>
          <w:szCs w:val="20"/>
        </w:rPr>
        <w:t xml:space="preserve"> </w:t>
      </w:r>
      <w:r w:rsidR="00707520">
        <w:rPr>
          <w:sz w:val="20"/>
          <w:szCs w:val="20"/>
        </w:rPr>
        <w:t>ClinicalTrials.gov identifier</w:t>
      </w:r>
      <w:r w:rsidR="008920C8" w:rsidRPr="00176193">
        <w:rPr>
          <w:sz w:val="20"/>
          <w:szCs w:val="20"/>
        </w:rPr>
        <w:t xml:space="preserve"> </w:t>
      </w:r>
    </w:p>
    <w:p w:rsidR="00356580" w:rsidRPr="00176193" w:rsidRDefault="00356580" w:rsidP="00560B79">
      <w:pPr>
        <w:bidi w:val="0"/>
        <w:jc w:val="lowKashida"/>
        <w:rPr>
          <w:sz w:val="20"/>
          <w:szCs w:val="20"/>
        </w:rPr>
      </w:pPr>
    </w:p>
    <w:p w:rsidR="00356580" w:rsidRDefault="00356580" w:rsidP="00560B79">
      <w:pPr>
        <w:bidi w:val="0"/>
        <w:jc w:val="lowKashida"/>
        <w:rPr>
          <w:b/>
          <w:bCs/>
          <w:sz w:val="20"/>
          <w:szCs w:val="20"/>
        </w:rPr>
      </w:pPr>
    </w:p>
    <w:p w:rsidR="00176193" w:rsidRPr="00176193" w:rsidRDefault="00176193" w:rsidP="00176193">
      <w:pPr>
        <w:bidi w:val="0"/>
        <w:jc w:val="lowKashida"/>
        <w:rPr>
          <w:b/>
          <w:bCs/>
          <w:sz w:val="20"/>
          <w:szCs w:val="20"/>
        </w:rPr>
        <w:sectPr w:rsidR="00176193" w:rsidRPr="00176193" w:rsidSect="00176193">
          <w:headerReference w:type="default" r:id="rId9"/>
          <w:footerReference w:type="even" r:id="rId10"/>
          <w:footerReference w:type="default" r:id="rId11"/>
          <w:type w:val="continuous"/>
          <w:pgSz w:w="12240" w:h="15840" w:code="1"/>
          <w:pgMar w:top="1440" w:right="1440" w:bottom="1440" w:left="1440" w:header="720" w:footer="720" w:gutter="0"/>
          <w:pgNumType w:start="79"/>
          <w:cols w:space="708"/>
          <w:docGrid w:linePitch="360"/>
        </w:sectPr>
      </w:pPr>
    </w:p>
    <w:p w:rsidR="00FB1785" w:rsidRPr="00176193" w:rsidRDefault="00356580" w:rsidP="00560B79">
      <w:pPr>
        <w:bidi w:val="0"/>
        <w:jc w:val="lowKashida"/>
        <w:rPr>
          <w:b/>
          <w:bCs/>
          <w:sz w:val="20"/>
          <w:szCs w:val="20"/>
        </w:rPr>
      </w:pPr>
      <w:r w:rsidRPr="00176193">
        <w:rPr>
          <w:b/>
          <w:bCs/>
          <w:sz w:val="20"/>
          <w:szCs w:val="20"/>
        </w:rPr>
        <w:lastRenderedPageBreak/>
        <w:t xml:space="preserve">1.Introduction </w:t>
      </w:r>
    </w:p>
    <w:p w:rsidR="001D2F2E" w:rsidRPr="00176193" w:rsidRDefault="001D2F2E" w:rsidP="00560B79">
      <w:pPr>
        <w:bidi w:val="0"/>
        <w:ind w:firstLine="425"/>
        <w:jc w:val="both"/>
        <w:rPr>
          <w:sz w:val="20"/>
          <w:szCs w:val="20"/>
        </w:rPr>
      </w:pPr>
      <w:r w:rsidRPr="00176193">
        <w:rPr>
          <w:sz w:val="20"/>
          <w:szCs w:val="20"/>
        </w:rPr>
        <w:t>Since the first pregnancy using IVF was achieved nearly 30 years ago many aspects of this procedure have undergone significant progress. In contrast, the technique of E</w:t>
      </w:r>
      <w:r w:rsidR="00395596" w:rsidRPr="00176193">
        <w:rPr>
          <w:sz w:val="20"/>
          <w:szCs w:val="20"/>
        </w:rPr>
        <w:t>T</w:t>
      </w:r>
      <w:r w:rsidRPr="00176193">
        <w:rPr>
          <w:sz w:val="20"/>
          <w:szCs w:val="20"/>
        </w:rPr>
        <w:t xml:space="preserve"> has remained relatively unchanged. A simple yet critical element in the final step of IVF, ET has received little attention until recently. Because poor implantation rates have increasingly hindered the growing success of IVF, the procedure of ET is now under greater scrutiny. Although poor embryo quality or suboptimal uterine receptivity may be responsible for implantation failure, the transfer technique itself is now also recognized as an important determinant of IVF success. </w:t>
      </w:r>
      <w:r w:rsidR="00395596" w:rsidRPr="00176193">
        <w:rPr>
          <w:sz w:val="20"/>
          <w:szCs w:val="20"/>
        </w:rPr>
        <w:t xml:space="preserve"> </w:t>
      </w:r>
      <w:r w:rsidRPr="00176193">
        <w:rPr>
          <w:sz w:val="20"/>
          <w:szCs w:val="20"/>
        </w:rPr>
        <w:t>The goal of a successful ET is to deliver the embryos a</w:t>
      </w:r>
      <w:r w:rsidR="00523637" w:rsidRPr="00176193">
        <w:rPr>
          <w:sz w:val="20"/>
          <w:szCs w:val="20"/>
        </w:rPr>
        <w:t xml:space="preserve"> </w:t>
      </w:r>
      <w:r w:rsidRPr="00176193">
        <w:rPr>
          <w:sz w:val="20"/>
          <w:szCs w:val="20"/>
        </w:rPr>
        <w:t>traumatically to a location in the uterus where implantation is maximized</w:t>
      </w:r>
      <w:r w:rsidRPr="00176193">
        <w:rPr>
          <w:sz w:val="20"/>
          <w:szCs w:val="20"/>
          <w:vertAlign w:val="superscript"/>
        </w:rPr>
        <w:t>(1)</w:t>
      </w:r>
      <w:r w:rsidRPr="00176193">
        <w:rPr>
          <w:sz w:val="20"/>
          <w:szCs w:val="20"/>
        </w:rPr>
        <w:t>.</w:t>
      </w:r>
    </w:p>
    <w:p w:rsidR="001D2F2E" w:rsidRPr="00176193" w:rsidRDefault="001D2F2E" w:rsidP="00560B79">
      <w:pPr>
        <w:bidi w:val="0"/>
        <w:ind w:firstLine="426"/>
        <w:jc w:val="lowKashida"/>
        <w:rPr>
          <w:sz w:val="20"/>
          <w:szCs w:val="20"/>
        </w:rPr>
      </w:pPr>
      <w:r w:rsidRPr="00176193">
        <w:rPr>
          <w:sz w:val="20"/>
          <w:szCs w:val="20"/>
        </w:rPr>
        <w:t>Ultrasound guidance is used to facilitate atraumatic insertion of the catheter, as well as ensure correct location in the uterine cavity. Touching the fundus can easily be avoided with ultrasound and one can be certain that the catheter is beyond the internal os in cases of an elongated cervical canal. Ultrasound can be especially helpful in uteri distor</w:t>
      </w:r>
      <w:r w:rsidR="00395596" w:rsidRPr="00176193">
        <w:rPr>
          <w:sz w:val="20"/>
          <w:szCs w:val="20"/>
        </w:rPr>
        <w:t>ted</w:t>
      </w:r>
      <w:r w:rsidRPr="00176193">
        <w:rPr>
          <w:sz w:val="20"/>
          <w:szCs w:val="20"/>
        </w:rPr>
        <w:t xml:space="preserve"> by fibroids or those with previous cesarean section sca</w:t>
      </w:r>
      <w:r w:rsidR="00395596" w:rsidRPr="00176193">
        <w:rPr>
          <w:sz w:val="20"/>
          <w:szCs w:val="20"/>
        </w:rPr>
        <w:t>r</w:t>
      </w:r>
      <w:r w:rsidRPr="00176193">
        <w:rPr>
          <w:sz w:val="20"/>
          <w:szCs w:val="20"/>
        </w:rPr>
        <w:t xml:space="preserve"> defects in which the catheter can get hung up or misdirected. Direct visualization of the catheter at the cervicouterine angle can facilitate its insertion, allowing the physician to place an appropriate curve on the catheter, which can be particularly h</w:t>
      </w:r>
      <w:r w:rsidR="00395596" w:rsidRPr="00176193">
        <w:rPr>
          <w:sz w:val="20"/>
          <w:szCs w:val="20"/>
        </w:rPr>
        <w:t>elpful in severely flexed uteri. T</w:t>
      </w:r>
      <w:r w:rsidRPr="00176193">
        <w:rPr>
          <w:sz w:val="20"/>
          <w:szCs w:val="20"/>
        </w:rPr>
        <w:t xml:space="preserve">he full bladder required for abdominal ultrasound also helps to straighten the cerviccouterine angle and facilitate entry of the </w:t>
      </w:r>
      <w:r w:rsidRPr="00176193">
        <w:rPr>
          <w:sz w:val="20"/>
          <w:szCs w:val="20"/>
        </w:rPr>
        <w:lastRenderedPageBreak/>
        <w:t xml:space="preserve">catheter, particularly for the strongly anteverted uterus </w:t>
      </w:r>
      <w:r w:rsidRPr="00176193">
        <w:rPr>
          <w:sz w:val="20"/>
          <w:szCs w:val="20"/>
          <w:vertAlign w:val="superscript"/>
        </w:rPr>
        <w:t>(2,3,4)</w:t>
      </w:r>
      <w:r w:rsidRPr="00176193">
        <w:rPr>
          <w:sz w:val="20"/>
          <w:szCs w:val="20"/>
        </w:rPr>
        <w:t>.</w:t>
      </w:r>
    </w:p>
    <w:p w:rsidR="001D2F2E" w:rsidRPr="00176193" w:rsidRDefault="00EB41EB" w:rsidP="00560B79">
      <w:pPr>
        <w:bidi w:val="0"/>
        <w:ind w:firstLine="426"/>
        <w:jc w:val="lowKashida"/>
        <w:rPr>
          <w:sz w:val="20"/>
          <w:szCs w:val="20"/>
        </w:rPr>
      </w:pPr>
      <w:r w:rsidRPr="00176193">
        <w:rPr>
          <w:sz w:val="20"/>
          <w:szCs w:val="20"/>
        </w:rPr>
        <w:t>Most programmes, have relied on "feel" by the clinician placing the transfer catheter and embryos within the uterine cavity at a point "near" the fundus</w:t>
      </w:r>
      <w:r w:rsidRPr="00176193">
        <w:rPr>
          <w:sz w:val="20"/>
          <w:szCs w:val="20"/>
          <w:vertAlign w:val="superscript"/>
        </w:rPr>
        <w:t>(5)</w:t>
      </w:r>
      <w:r w:rsidRPr="00176193">
        <w:rPr>
          <w:sz w:val="20"/>
          <w:szCs w:val="20"/>
        </w:rPr>
        <w:t>.</w:t>
      </w:r>
    </w:p>
    <w:p w:rsidR="00FA2F81" w:rsidRPr="00176193" w:rsidRDefault="00EB41EB" w:rsidP="00560B79">
      <w:pPr>
        <w:bidi w:val="0"/>
        <w:ind w:firstLine="426"/>
        <w:jc w:val="lowKashida"/>
        <w:rPr>
          <w:sz w:val="20"/>
          <w:szCs w:val="20"/>
        </w:rPr>
      </w:pPr>
      <w:r w:rsidRPr="00176193">
        <w:rPr>
          <w:sz w:val="20"/>
          <w:szCs w:val="20"/>
        </w:rPr>
        <w:t>The aim of the work is to assess the effect of transabdominal ultrasound guidance during embryo transfer on the per transfer pregnancy rate.</w:t>
      </w:r>
    </w:p>
    <w:p w:rsidR="00356580" w:rsidRPr="00176193" w:rsidRDefault="00356580" w:rsidP="00560B79">
      <w:pPr>
        <w:bidi w:val="0"/>
        <w:jc w:val="lowKashida"/>
        <w:rPr>
          <w:b/>
          <w:bCs/>
          <w:sz w:val="20"/>
          <w:szCs w:val="20"/>
        </w:rPr>
      </w:pPr>
    </w:p>
    <w:p w:rsidR="008D22B9" w:rsidRPr="00176193" w:rsidRDefault="00356580" w:rsidP="00560B79">
      <w:pPr>
        <w:bidi w:val="0"/>
        <w:jc w:val="lowKashida"/>
        <w:rPr>
          <w:b/>
          <w:bCs/>
          <w:sz w:val="20"/>
          <w:szCs w:val="20"/>
        </w:rPr>
      </w:pPr>
      <w:r w:rsidRPr="00176193">
        <w:rPr>
          <w:b/>
          <w:bCs/>
          <w:sz w:val="20"/>
          <w:szCs w:val="20"/>
        </w:rPr>
        <w:t xml:space="preserve">2.Patients and Methods </w:t>
      </w:r>
    </w:p>
    <w:p w:rsidR="009C56F0" w:rsidRPr="00176193" w:rsidRDefault="009C56F0" w:rsidP="00560B79">
      <w:pPr>
        <w:bidi w:val="0"/>
        <w:ind w:firstLine="426"/>
        <w:jc w:val="lowKashida"/>
        <w:rPr>
          <w:sz w:val="20"/>
          <w:szCs w:val="20"/>
        </w:rPr>
      </w:pPr>
      <w:r w:rsidRPr="00176193">
        <w:rPr>
          <w:sz w:val="20"/>
          <w:szCs w:val="20"/>
        </w:rPr>
        <w:t xml:space="preserve">This randomized study was carried out in Ain Shams Maternity hospital, in the period between September 2009 and August 2011. A total of 90 infertile patients undergoing treatment with ICSI attending assisted reproductive unit in Ain Shams Maternity Hospital were included in the study. They were divided into 2 groups: </w:t>
      </w:r>
      <w:r w:rsidRPr="00176193">
        <w:rPr>
          <w:b/>
          <w:bCs/>
          <w:i/>
          <w:iCs/>
          <w:sz w:val="20"/>
          <w:szCs w:val="20"/>
        </w:rPr>
        <w:t>Group I:</w:t>
      </w:r>
      <w:r w:rsidRPr="00176193">
        <w:rPr>
          <w:sz w:val="20"/>
          <w:szCs w:val="20"/>
        </w:rPr>
        <w:t xml:space="preserve"> </w:t>
      </w:r>
      <w:r w:rsidR="00395596" w:rsidRPr="00176193">
        <w:rPr>
          <w:sz w:val="20"/>
          <w:szCs w:val="20"/>
        </w:rPr>
        <w:t>U</w:t>
      </w:r>
      <w:r w:rsidRPr="00176193">
        <w:rPr>
          <w:sz w:val="20"/>
          <w:szCs w:val="20"/>
        </w:rPr>
        <w:t xml:space="preserve">ltrasound guided ET, and </w:t>
      </w:r>
      <w:r w:rsidR="00395596" w:rsidRPr="00176193">
        <w:rPr>
          <w:b/>
          <w:bCs/>
          <w:i/>
          <w:iCs/>
          <w:sz w:val="20"/>
          <w:szCs w:val="20"/>
        </w:rPr>
        <w:t>g</w:t>
      </w:r>
      <w:r w:rsidRPr="00176193">
        <w:rPr>
          <w:b/>
          <w:bCs/>
          <w:i/>
          <w:iCs/>
          <w:sz w:val="20"/>
          <w:szCs w:val="20"/>
        </w:rPr>
        <w:t>roup II</w:t>
      </w:r>
      <w:r w:rsidR="00395596" w:rsidRPr="00176193">
        <w:rPr>
          <w:b/>
          <w:bCs/>
          <w:i/>
          <w:iCs/>
          <w:sz w:val="20"/>
          <w:szCs w:val="20"/>
        </w:rPr>
        <w:t>:</w:t>
      </w:r>
      <w:r w:rsidRPr="00176193">
        <w:rPr>
          <w:sz w:val="20"/>
          <w:szCs w:val="20"/>
        </w:rPr>
        <w:t xml:space="preserve"> </w:t>
      </w:r>
      <w:r w:rsidR="00395596" w:rsidRPr="00176193">
        <w:rPr>
          <w:sz w:val="20"/>
          <w:szCs w:val="20"/>
        </w:rPr>
        <w:t>C</w:t>
      </w:r>
      <w:r w:rsidRPr="00176193">
        <w:rPr>
          <w:sz w:val="20"/>
          <w:szCs w:val="20"/>
        </w:rPr>
        <w:t>linical touch technique.</w:t>
      </w:r>
    </w:p>
    <w:p w:rsidR="009C56F0" w:rsidRDefault="009C56F0" w:rsidP="00560B79">
      <w:pPr>
        <w:bidi w:val="0"/>
        <w:ind w:firstLine="426"/>
        <w:jc w:val="lowKashida"/>
        <w:rPr>
          <w:sz w:val="20"/>
          <w:szCs w:val="20"/>
        </w:rPr>
      </w:pPr>
      <w:r w:rsidRPr="00176193">
        <w:rPr>
          <w:sz w:val="20"/>
          <w:szCs w:val="20"/>
        </w:rPr>
        <w:t xml:space="preserve">An informed written consent was obtained from patients prior to participation in the study. </w:t>
      </w:r>
    </w:p>
    <w:p w:rsidR="00176193" w:rsidRPr="00176193" w:rsidRDefault="00176193" w:rsidP="00176193">
      <w:pPr>
        <w:bidi w:val="0"/>
        <w:ind w:firstLine="426"/>
        <w:jc w:val="lowKashida"/>
        <w:rPr>
          <w:sz w:val="20"/>
          <w:szCs w:val="20"/>
        </w:rPr>
      </w:pPr>
    </w:p>
    <w:p w:rsidR="00EB41EB" w:rsidRPr="00176193" w:rsidRDefault="009C56F0" w:rsidP="00560B79">
      <w:pPr>
        <w:bidi w:val="0"/>
        <w:jc w:val="lowKashida"/>
        <w:rPr>
          <w:b/>
          <w:bCs/>
          <w:sz w:val="20"/>
          <w:szCs w:val="20"/>
        </w:rPr>
      </w:pPr>
      <w:r w:rsidRPr="00176193">
        <w:rPr>
          <w:b/>
          <w:bCs/>
          <w:sz w:val="20"/>
          <w:szCs w:val="20"/>
        </w:rPr>
        <w:t xml:space="preserve">Inclusion criteria </w:t>
      </w:r>
    </w:p>
    <w:p w:rsidR="009C56F0" w:rsidRPr="00176193" w:rsidRDefault="009C56F0" w:rsidP="00560B79">
      <w:pPr>
        <w:bidi w:val="0"/>
        <w:ind w:left="357"/>
        <w:jc w:val="lowKashida"/>
        <w:rPr>
          <w:sz w:val="20"/>
          <w:szCs w:val="20"/>
        </w:rPr>
      </w:pPr>
      <w:r w:rsidRPr="00176193">
        <w:rPr>
          <w:sz w:val="20"/>
          <w:szCs w:val="20"/>
        </w:rPr>
        <w:t xml:space="preserve">1- Age between 20 and 39 years old. </w:t>
      </w:r>
    </w:p>
    <w:p w:rsidR="009C56F0" w:rsidRPr="00176193" w:rsidRDefault="009C56F0" w:rsidP="00560B79">
      <w:pPr>
        <w:bidi w:val="0"/>
        <w:ind w:left="357"/>
        <w:jc w:val="lowKashida"/>
        <w:rPr>
          <w:sz w:val="20"/>
          <w:szCs w:val="20"/>
        </w:rPr>
      </w:pPr>
      <w:r w:rsidRPr="00176193">
        <w:rPr>
          <w:sz w:val="20"/>
          <w:szCs w:val="20"/>
        </w:rPr>
        <w:t xml:space="preserve">2- Male factor infertility. </w:t>
      </w:r>
    </w:p>
    <w:p w:rsidR="009C56F0" w:rsidRPr="00176193" w:rsidRDefault="009C56F0" w:rsidP="00560B79">
      <w:pPr>
        <w:bidi w:val="0"/>
        <w:ind w:left="357"/>
        <w:jc w:val="lowKashida"/>
        <w:rPr>
          <w:sz w:val="20"/>
          <w:szCs w:val="20"/>
        </w:rPr>
      </w:pPr>
      <w:r w:rsidRPr="00176193">
        <w:rPr>
          <w:sz w:val="20"/>
          <w:szCs w:val="20"/>
        </w:rPr>
        <w:t xml:space="preserve">3- Ovarian factor and unexplained infertility. </w:t>
      </w:r>
    </w:p>
    <w:p w:rsidR="00176193" w:rsidRDefault="00176193" w:rsidP="00560B79">
      <w:pPr>
        <w:bidi w:val="0"/>
        <w:jc w:val="lowKashida"/>
        <w:rPr>
          <w:b/>
          <w:bCs/>
          <w:sz w:val="20"/>
          <w:szCs w:val="20"/>
        </w:rPr>
      </w:pPr>
    </w:p>
    <w:p w:rsidR="009C56F0" w:rsidRPr="00176193" w:rsidRDefault="009C56F0" w:rsidP="00176193">
      <w:pPr>
        <w:bidi w:val="0"/>
        <w:jc w:val="lowKashida"/>
        <w:rPr>
          <w:b/>
          <w:bCs/>
          <w:sz w:val="20"/>
          <w:szCs w:val="20"/>
        </w:rPr>
      </w:pPr>
      <w:r w:rsidRPr="00176193">
        <w:rPr>
          <w:b/>
          <w:bCs/>
          <w:sz w:val="20"/>
          <w:szCs w:val="20"/>
        </w:rPr>
        <w:t xml:space="preserve">Exclusion criteria </w:t>
      </w:r>
    </w:p>
    <w:p w:rsidR="009C56F0" w:rsidRPr="00176193" w:rsidRDefault="009C56F0" w:rsidP="00560B79">
      <w:pPr>
        <w:numPr>
          <w:ilvl w:val="0"/>
          <w:numId w:val="9"/>
        </w:numPr>
        <w:tabs>
          <w:tab w:val="clear" w:pos="1440"/>
          <w:tab w:val="num" w:pos="720"/>
        </w:tabs>
        <w:bidi w:val="0"/>
        <w:ind w:left="714" w:hanging="357"/>
        <w:jc w:val="lowKashida"/>
        <w:rPr>
          <w:sz w:val="20"/>
          <w:szCs w:val="20"/>
        </w:rPr>
      </w:pPr>
      <w:r w:rsidRPr="00176193">
        <w:rPr>
          <w:sz w:val="20"/>
          <w:szCs w:val="20"/>
        </w:rPr>
        <w:t xml:space="preserve">Tubal factor infertility. </w:t>
      </w:r>
    </w:p>
    <w:p w:rsidR="009C56F0" w:rsidRPr="00176193" w:rsidRDefault="009C56F0" w:rsidP="00560B79">
      <w:pPr>
        <w:numPr>
          <w:ilvl w:val="0"/>
          <w:numId w:val="9"/>
        </w:numPr>
        <w:tabs>
          <w:tab w:val="clear" w:pos="1440"/>
          <w:tab w:val="num" w:pos="720"/>
        </w:tabs>
        <w:bidi w:val="0"/>
        <w:ind w:left="714" w:hanging="357"/>
        <w:jc w:val="lowKashida"/>
        <w:rPr>
          <w:sz w:val="20"/>
          <w:szCs w:val="20"/>
        </w:rPr>
      </w:pPr>
      <w:r w:rsidRPr="00176193">
        <w:rPr>
          <w:sz w:val="20"/>
          <w:szCs w:val="20"/>
        </w:rPr>
        <w:t>Endomet</w:t>
      </w:r>
      <w:r w:rsidR="009F769E" w:rsidRPr="00176193">
        <w:rPr>
          <w:sz w:val="20"/>
          <w:szCs w:val="20"/>
        </w:rPr>
        <w:t>r</w:t>
      </w:r>
      <w:r w:rsidRPr="00176193">
        <w:rPr>
          <w:sz w:val="20"/>
          <w:szCs w:val="20"/>
        </w:rPr>
        <w:t xml:space="preserve">iosis </w:t>
      </w:r>
    </w:p>
    <w:p w:rsidR="009C56F0" w:rsidRPr="00176193" w:rsidRDefault="009C56F0" w:rsidP="00560B79">
      <w:pPr>
        <w:numPr>
          <w:ilvl w:val="0"/>
          <w:numId w:val="9"/>
        </w:numPr>
        <w:tabs>
          <w:tab w:val="clear" w:pos="1440"/>
          <w:tab w:val="num" w:pos="720"/>
        </w:tabs>
        <w:bidi w:val="0"/>
        <w:ind w:left="714" w:hanging="357"/>
        <w:jc w:val="lowKashida"/>
        <w:rPr>
          <w:sz w:val="20"/>
          <w:szCs w:val="20"/>
        </w:rPr>
      </w:pPr>
      <w:r w:rsidRPr="00176193">
        <w:rPr>
          <w:sz w:val="20"/>
          <w:szCs w:val="20"/>
        </w:rPr>
        <w:t>FSH concentration</w:t>
      </w:r>
      <w:r w:rsidR="00395596" w:rsidRPr="00176193">
        <w:rPr>
          <w:sz w:val="20"/>
          <w:szCs w:val="20"/>
        </w:rPr>
        <w:t xml:space="preserve"> &gt; 16 iu/ml on cycle day 3. </w:t>
      </w:r>
    </w:p>
    <w:p w:rsidR="009C56F0" w:rsidRPr="00176193" w:rsidRDefault="009C56F0" w:rsidP="00560B79">
      <w:pPr>
        <w:numPr>
          <w:ilvl w:val="0"/>
          <w:numId w:val="9"/>
        </w:numPr>
        <w:tabs>
          <w:tab w:val="clear" w:pos="1440"/>
          <w:tab w:val="num" w:pos="720"/>
        </w:tabs>
        <w:bidi w:val="0"/>
        <w:ind w:left="714" w:hanging="357"/>
        <w:jc w:val="lowKashida"/>
        <w:rPr>
          <w:sz w:val="20"/>
          <w:szCs w:val="20"/>
        </w:rPr>
      </w:pPr>
      <w:r w:rsidRPr="00176193">
        <w:rPr>
          <w:sz w:val="20"/>
          <w:szCs w:val="20"/>
        </w:rPr>
        <w:t xml:space="preserve">Less than </w:t>
      </w:r>
      <w:r w:rsidR="00395596" w:rsidRPr="00176193">
        <w:rPr>
          <w:sz w:val="20"/>
          <w:szCs w:val="20"/>
        </w:rPr>
        <w:t>two</w:t>
      </w:r>
      <w:r w:rsidRPr="00176193">
        <w:rPr>
          <w:sz w:val="20"/>
          <w:szCs w:val="20"/>
        </w:rPr>
        <w:t xml:space="preserve"> embryo</w:t>
      </w:r>
      <w:r w:rsidR="009F769E" w:rsidRPr="00176193">
        <w:rPr>
          <w:sz w:val="20"/>
          <w:szCs w:val="20"/>
        </w:rPr>
        <w:t>s</w:t>
      </w:r>
      <w:r w:rsidRPr="00176193">
        <w:rPr>
          <w:sz w:val="20"/>
          <w:szCs w:val="20"/>
        </w:rPr>
        <w:t xml:space="preserve"> gra</w:t>
      </w:r>
      <w:r w:rsidR="00395596" w:rsidRPr="00176193">
        <w:rPr>
          <w:sz w:val="20"/>
          <w:szCs w:val="20"/>
        </w:rPr>
        <w:t>d</w:t>
      </w:r>
      <w:r w:rsidRPr="00176193">
        <w:rPr>
          <w:sz w:val="20"/>
          <w:szCs w:val="20"/>
        </w:rPr>
        <w:t>e A</w:t>
      </w:r>
    </w:p>
    <w:p w:rsidR="009C56F0" w:rsidRPr="00176193" w:rsidRDefault="009C56F0" w:rsidP="00560B79">
      <w:pPr>
        <w:numPr>
          <w:ilvl w:val="0"/>
          <w:numId w:val="9"/>
        </w:numPr>
        <w:tabs>
          <w:tab w:val="clear" w:pos="1440"/>
          <w:tab w:val="num" w:pos="720"/>
        </w:tabs>
        <w:bidi w:val="0"/>
        <w:ind w:left="714" w:hanging="357"/>
        <w:jc w:val="lowKashida"/>
        <w:rPr>
          <w:sz w:val="20"/>
          <w:szCs w:val="20"/>
        </w:rPr>
      </w:pPr>
      <w:r w:rsidRPr="00176193">
        <w:rPr>
          <w:sz w:val="20"/>
          <w:szCs w:val="20"/>
        </w:rPr>
        <w:lastRenderedPageBreak/>
        <w:t>Difficult embryo transfer which needs cervical dilatation, tenaculum or anaethesia.</w:t>
      </w:r>
    </w:p>
    <w:p w:rsidR="00176193" w:rsidRDefault="00176193" w:rsidP="00560B79">
      <w:pPr>
        <w:bidi w:val="0"/>
        <w:ind w:firstLine="426"/>
        <w:jc w:val="lowKashida"/>
        <w:rPr>
          <w:sz w:val="20"/>
          <w:szCs w:val="20"/>
        </w:rPr>
      </w:pPr>
    </w:p>
    <w:p w:rsidR="009C56F0" w:rsidRPr="00176193" w:rsidRDefault="00592CFE" w:rsidP="00176193">
      <w:pPr>
        <w:bidi w:val="0"/>
        <w:ind w:firstLine="426"/>
        <w:jc w:val="lowKashida"/>
        <w:rPr>
          <w:sz w:val="20"/>
          <w:szCs w:val="20"/>
        </w:rPr>
      </w:pPr>
      <w:r w:rsidRPr="00176193">
        <w:rPr>
          <w:sz w:val="20"/>
          <w:szCs w:val="20"/>
        </w:rPr>
        <w:t xml:space="preserve">Fresh embryos were transferred in all the patients. They were randomized prospectively by computer-generated random table on the day of embryo transfer into two groups: </w:t>
      </w:r>
    </w:p>
    <w:p w:rsidR="00592CFE" w:rsidRPr="00176193" w:rsidRDefault="00592CFE" w:rsidP="00560B79">
      <w:pPr>
        <w:bidi w:val="0"/>
        <w:jc w:val="lowKashida"/>
        <w:rPr>
          <w:sz w:val="20"/>
          <w:szCs w:val="20"/>
        </w:rPr>
      </w:pPr>
      <w:r w:rsidRPr="00176193">
        <w:rPr>
          <w:sz w:val="20"/>
          <w:szCs w:val="20"/>
        </w:rPr>
        <w:t>1- Transabdominal ultrasound-guided embryo transfer</w:t>
      </w:r>
    </w:p>
    <w:p w:rsidR="00592CFE" w:rsidRPr="00176193" w:rsidRDefault="00592CFE" w:rsidP="00560B79">
      <w:pPr>
        <w:bidi w:val="0"/>
        <w:jc w:val="lowKashida"/>
        <w:rPr>
          <w:sz w:val="20"/>
          <w:szCs w:val="20"/>
        </w:rPr>
      </w:pPr>
      <w:r w:rsidRPr="00176193">
        <w:rPr>
          <w:sz w:val="20"/>
          <w:szCs w:val="20"/>
        </w:rPr>
        <w:t xml:space="preserve">2- Clinical touch embryo transfer. </w:t>
      </w:r>
    </w:p>
    <w:p w:rsidR="00592CFE" w:rsidRPr="00176193" w:rsidRDefault="00592CFE" w:rsidP="00560B79">
      <w:pPr>
        <w:bidi w:val="0"/>
        <w:ind w:firstLine="426"/>
        <w:jc w:val="lowKashida"/>
        <w:rPr>
          <w:sz w:val="20"/>
          <w:szCs w:val="20"/>
        </w:rPr>
      </w:pPr>
      <w:r w:rsidRPr="00176193">
        <w:rPr>
          <w:sz w:val="20"/>
          <w:szCs w:val="20"/>
        </w:rPr>
        <w:t>The randomization table was made and kept by a nurse who was not involved in the recruitment of subjects. Skilled gynecologist was responsible for conducting embryo transfer in</w:t>
      </w:r>
      <w:r w:rsidR="00395596" w:rsidRPr="00176193">
        <w:rPr>
          <w:sz w:val="20"/>
          <w:szCs w:val="20"/>
        </w:rPr>
        <w:t xml:space="preserve"> the</w:t>
      </w:r>
      <w:r w:rsidRPr="00176193">
        <w:rPr>
          <w:sz w:val="20"/>
          <w:szCs w:val="20"/>
        </w:rPr>
        <w:t xml:space="preserve"> two groups. </w:t>
      </w:r>
    </w:p>
    <w:p w:rsidR="00176193" w:rsidRDefault="00176193" w:rsidP="00560B79">
      <w:pPr>
        <w:bidi w:val="0"/>
        <w:jc w:val="lowKashida"/>
        <w:rPr>
          <w:b/>
          <w:bCs/>
          <w:sz w:val="20"/>
          <w:szCs w:val="20"/>
        </w:rPr>
      </w:pPr>
    </w:p>
    <w:p w:rsidR="00592CFE" w:rsidRPr="00176193" w:rsidRDefault="00592CFE" w:rsidP="00176193">
      <w:pPr>
        <w:bidi w:val="0"/>
        <w:jc w:val="lowKashida"/>
        <w:rPr>
          <w:b/>
          <w:bCs/>
          <w:sz w:val="20"/>
          <w:szCs w:val="20"/>
        </w:rPr>
      </w:pPr>
      <w:r w:rsidRPr="00176193">
        <w:rPr>
          <w:b/>
          <w:bCs/>
          <w:sz w:val="20"/>
          <w:szCs w:val="20"/>
        </w:rPr>
        <w:t xml:space="preserve">Ovarian stimulation protocol </w:t>
      </w:r>
    </w:p>
    <w:p w:rsidR="009C56F0" w:rsidRPr="00176193" w:rsidRDefault="00763CB3" w:rsidP="00560B79">
      <w:pPr>
        <w:bidi w:val="0"/>
        <w:ind w:firstLine="426"/>
        <w:jc w:val="lowKashida"/>
        <w:rPr>
          <w:sz w:val="20"/>
          <w:szCs w:val="20"/>
        </w:rPr>
      </w:pPr>
      <w:r w:rsidRPr="00176193">
        <w:rPr>
          <w:sz w:val="20"/>
          <w:szCs w:val="20"/>
        </w:rPr>
        <w:t xml:space="preserve">The patients were all treated with a long protocol for ovarian stimulation. In the long protocol, pituitary down-regulation was achieved by administrating </w:t>
      </w:r>
      <w:r w:rsidR="00772427" w:rsidRPr="00176193">
        <w:rPr>
          <w:sz w:val="20"/>
          <w:szCs w:val="20"/>
        </w:rPr>
        <w:t>T</w:t>
      </w:r>
      <w:r w:rsidRPr="00176193">
        <w:rPr>
          <w:sz w:val="20"/>
          <w:szCs w:val="20"/>
        </w:rPr>
        <w:t>riptolin</w:t>
      </w:r>
      <w:r w:rsidR="00B11F1C" w:rsidRPr="00176193">
        <w:rPr>
          <w:sz w:val="20"/>
          <w:szCs w:val="20"/>
          <w:vertAlign w:val="superscript"/>
        </w:rPr>
        <w:t>®</w:t>
      </w:r>
      <w:r w:rsidRPr="00176193">
        <w:rPr>
          <w:sz w:val="20"/>
          <w:szCs w:val="20"/>
        </w:rPr>
        <w:t xml:space="preserve"> (0.1 mg S.C.) per day starting from day 21 of menstrual cycle and the dose was decreased to 0.05 mg per day with </w:t>
      </w:r>
      <w:r w:rsidR="00395596" w:rsidRPr="00176193">
        <w:rPr>
          <w:sz w:val="20"/>
          <w:szCs w:val="20"/>
        </w:rPr>
        <w:t xml:space="preserve">the </w:t>
      </w:r>
      <w:r w:rsidRPr="00176193">
        <w:rPr>
          <w:sz w:val="20"/>
          <w:szCs w:val="20"/>
        </w:rPr>
        <w:t>onset of menstruation. Human mensopausal gonadotrophin (HMG) (</w:t>
      </w:r>
      <w:r w:rsidR="00B11F1C" w:rsidRPr="00176193">
        <w:rPr>
          <w:sz w:val="20"/>
          <w:szCs w:val="20"/>
        </w:rPr>
        <w:t>M</w:t>
      </w:r>
      <w:r w:rsidRPr="00176193">
        <w:rPr>
          <w:sz w:val="20"/>
          <w:szCs w:val="20"/>
        </w:rPr>
        <w:t>enogon</w:t>
      </w:r>
      <w:r w:rsidR="00B11F1C" w:rsidRPr="00176193">
        <w:rPr>
          <w:sz w:val="20"/>
          <w:szCs w:val="20"/>
          <w:vertAlign w:val="superscript"/>
        </w:rPr>
        <w:t>®</w:t>
      </w:r>
      <w:r w:rsidRPr="00176193">
        <w:rPr>
          <w:sz w:val="20"/>
          <w:szCs w:val="20"/>
        </w:rPr>
        <w:t xml:space="preserve">, Ferring, Germany) was started from the second day of the menstrual cycle with a dose of 150-300 IU per day according to </w:t>
      </w:r>
      <w:r w:rsidR="00395596" w:rsidRPr="00176193">
        <w:rPr>
          <w:sz w:val="20"/>
          <w:szCs w:val="20"/>
        </w:rPr>
        <w:t xml:space="preserve">the </w:t>
      </w:r>
      <w:r w:rsidRPr="00176193">
        <w:rPr>
          <w:sz w:val="20"/>
          <w:szCs w:val="20"/>
        </w:rPr>
        <w:t>patient</w:t>
      </w:r>
      <w:r w:rsidR="00395596" w:rsidRPr="00176193">
        <w:rPr>
          <w:sz w:val="20"/>
          <w:szCs w:val="20"/>
        </w:rPr>
        <w:t>'s</w:t>
      </w:r>
      <w:r w:rsidRPr="00176193">
        <w:rPr>
          <w:sz w:val="20"/>
          <w:szCs w:val="20"/>
        </w:rPr>
        <w:t xml:space="preserve"> age,  body mass index (BMI), antral follicular count and FSH basal level. </w:t>
      </w:r>
    </w:p>
    <w:p w:rsidR="00763CB3" w:rsidRPr="00176193" w:rsidRDefault="00763CB3" w:rsidP="00560B79">
      <w:pPr>
        <w:bidi w:val="0"/>
        <w:ind w:firstLine="426"/>
        <w:jc w:val="lowKashida"/>
        <w:rPr>
          <w:sz w:val="20"/>
          <w:szCs w:val="20"/>
        </w:rPr>
      </w:pPr>
      <w:r w:rsidRPr="00176193">
        <w:rPr>
          <w:sz w:val="20"/>
          <w:szCs w:val="20"/>
        </w:rPr>
        <w:t>Just prior to ovarian stimulation a mock transfer was performed. In the mock transfer the following data was recorded: uterine position</w:t>
      </w:r>
      <w:r w:rsidR="00395596" w:rsidRPr="00176193">
        <w:rPr>
          <w:sz w:val="20"/>
          <w:szCs w:val="20"/>
        </w:rPr>
        <w:t>,</w:t>
      </w:r>
      <w:r w:rsidRPr="00176193">
        <w:rPr>
          <w:sz w:val="20"/>
          <w:szCs w:val="20"/>
        </w:rPr>
        <w:t xml:space="preserve"> special characteristics of cervical canal, length of cervix </w:t>
      </w:r>
      <w:r w:rsidR="00395596" w:rsidRPr="00176193">
        <w:rPr>
          <w:sz w:val="20"/>
          <w:szCs w:val="20"/>
        </w:rPr>
        <w:t xml:space="preserve">and </w:t>
      </w:r>
      <w:r w:rsidRPr="00176193">
        <w:rPr>
          <w:sz w:val="20"/>
          <w:szCs w:val="20"/>
        </w:rPr>
        <w:t>any difficulty</w:t>
      </w:r>
      <w:r w:rsidR="00395596" w:rsidRPr="00176193">
        <w:rPr>
          <w:sz w:val="20"/>
          <w:szCs w:val="20"/>
        </w:rPr>
        <w:t xml:space="preserve"> that has </w:t>
      </w:r>
      <w:r w:rsidRPr="00176193">
        <w:rPr>
          <w:sz w:val="20"/>
          <w:szCs w:val="20"/>
        </w:rPr>
        <w:t xml:space="preserve">occurred. The information of mock transfer was recorded and used when performing the embryo transfer. For embryo transfer as well as mock transfer the Lapotect catheter was used. </w:t>
      </w:r>
    </w:p>
    <w:p w:rsidR="00763CB3" w:rsidRPr="00176193" w:rsidRDefault="009A2E29" w:rsidP="00560B79">
      <w:pPr>
        <w:bidi w:val="0"/>
        <w:ind w:firstLine="426"/>
        <w:jc w:val="lowKashida"/>
        <w:rPr>
          <w:sz w:val="20"/>
          <w:szCs w:val="20"/>
        </w:rPr>
      </w:pPr>
      <w:r w:rsidRPr="00176193">
        <w:rPr>
          <w:sz w:val="20"/>
          <w:szCs w:val="20"/>
        </w:rPr>
        <w:t>Monitoring was carried out by transvaginal ultrasound on day 7 of HMG stimulation. When 3 follicles or more larger than 18 mm in diameter were observed, 10000 IU of human chorionic gonadotrophin (hCG) (Choiomon</w:t>
      </w:r>
      <w:r w:rsidRPr="00176193">
        <w:rPr>
          <w:sz w:val="20"/>
          <w:szCs w:val="20"/>
          <w:vertAlign w:val="superscript"/>
        </w:rPr>
        <w:t>®</w:t>
      </w:r>
      <w:r w:rsidRPr="00176193">
        <w:rPr>
          <w:sz w:val="20"/>
          <w:szCs w:val="20"/>
        </w:rPr>
        <w:t xml:space="preserve"> 5000) was administered intramuscularly,</w:t>
      </w:r>
      <w:r w:rsidR="0059398C" w:rsidRPr="00176193">
        <w:rPr>
          <w:sz w:val="20"/>
          <w:szCs w:val="20"/>
        </w:rPr>
        <w:t xml:space="preserve"> and 36 hours later, oocyte</w:t>
      </w:r>
      <w:r w:rsidRPr="00176193">
        <w:rPr>
          <w:sz w:val="20"/>
          <w:szCs w:val="20"/>
        </w:rPr>
        <w:t>s</w:t>
      </w:r>
      <w:r w:rsidR="0059398C" w:rsidRPr="00176193">
        <w:rPr>
          <w:sz w:val="20"/>
          <w:szCs w:val="20"/>
        </w:rPr>
        <w:t xml:space="preserve"> </w:t>
      </w:r>
      <w:r w:rsidRPr="00176193">
        <w:rPr>
          <w:sz w:val="20"/>
          <w:szCs w:val="20"/>
        </w:rPr>
        <w:t xml:space="preserve">were </w:t>
      </w:r>
      <w:r w:rsidR="0059398C" w:rsidRPr="00176193">
        <w:rPr>
          <w:sz w:val="20"/>
          <w:szCs w:val="20"/>
        </w:rPr>
        <w:t>retrieved</w:t>
      </w:r>
      <w:r w:rsidRPr="00176193">
        <w:rPr>
          <w:sz w:val="20"/>
          <w:szCs w:val="20"/>
        </w:rPr>
        <w:t xml:space="preserve"> under general anesthesia by transvaginal ultrasound-guid</w:t>
      </w:r>
      <w:r w:rsidR="00395596" w:rsidRPr="00176193">
        <w:rPr>
          <w:sz w:val="20"/>
          <w:szCs w:val="20"/>
        </w:rPr>
        <w:t>ed</w:t>
      </w:r>
      <w:r w:rsidRPr="00176193">
        <w:rPr>
          <w:sz w:val="20"/>
          <w:szCs w:val="20"/>
        </w:rPr>
        <w:t xml:space="preserve"> aspiration. Mature </w:t>
      </w:r>
      <w:r w:rsidR="0059398C" w:rsidRPr="00176193">
        <w:rPr>
          <w:sz w:val="20"/>
          <w:szCs w:val="20"/>
        </w:rPr>
        <w:t>oocytes wer</w:t>
      </w:r>
      <w:r w:rsidRPr="00176193">
        <w:rPr>
          <w:sz w:val="20"/>
          <w:szCs w:val="20"/>
        </w:rPr>
        <w:t>e</w:t>
      </w:r>
      <w:r w:rsidR="0059398C" w:rsidRPr="00176193">
        <w:rPr>
          <w:sz w:val="20"/>
          <w:szCs w:val="20"/>
        </w:rPr>
        <w:t xml:space="preserve"> </w:t>
      </w:r>
      <w:r w:rsidR="00395596" w:rsidRPr="00176193">
        <w:rPr>
          <w:sz w:val="20"/>
          <w:szCs w:val="20"/>
        </w:rPr>
        <w:t>retrieved</w:t>
      </w:r>
      <w:r w:rsidRPr="00176193">
        <w:rPr>
          <w:sz w:val="20"/>
          <w:szCs w:val="20"/>
        </w:rPr>
        <w:t xml:space="preserve"> from follicular fluid and placed in G-1 TM version 3 </w:t>
      </w:r>
      <w:r w:rsidR="00772427" w:rsidRPr="00176193">
        <w:rPr>
          <w:sz w:val="20"/>
          <w:szCs w:val="20"/>
        </w:rPr>
        <w:t>(V</w:t>
      </w:r>
      <w:r w:rsidRPr="00176193">
        <w:rPr>
          <w:sz w:val="20"/>
          <w:szCs w:val="20"/>
        </w:rPr>
        <w:t>itrolife, Goteborg, Sweden)</w:t>
      </w:r>
      <w:r w:rsidR="009F769E" w:rsidRPr="00176193">
        <w:rPr>
          <w:sz w:val="20"/>
          <w:szCs w:val="20"/>
        </w:rPr>
        <w:t xml:space="preserve"> </w:t>
      </w:r>
      <w:r w:rsidRPr="00176193">
        <w:rPr>
          <w:sz w:val="20"/>
          <w:szCs w:val="20"/>
        </w:rPr>
        <w:t>All embryo transfers were performed 48 h</w:t>
      </w:r>
      <w:r w:rsidR="00772427" w:rsidRPr="00176193">
        <w:rPr>
          <w:sz w:val="20"/>
          <w:szCs w:val="20"/>
        </w:rPr>
        <w:t>rs</w:t>
      </w:r>
      <w:r w:rsidRPr="00176193">
        <w:rPr>
          <w:sz w:val="20"/>
          <w:szCs w:val="20"/>
        </w:rPr>
        <w:t xml:space="preserve"> after oocyte retrieval. </w:t>
      </w:r>
      <w:r w:rsidR="00101E0C" w:rsidRPr="00176193">
        <w:rPr>
          <w:sz w:val="20"/>
          <w:szCs w:val="20"/>
        </w:rPr>
        <w:t xml:space="preserve">Before the transfer, the embryos were evaluated microscopically and the best-quality embryos were selected for the transfer. A maximum of three embryos were transferred. The luteal phase was supported with progesterone in oil, intramuscularly, per day administered by starting on day of ovum retrieval. Embryo transfer was carried out on the fifth day after fertilization. </w:t>
      </w:r>
    </w:p>
    <w:p w:rsidR="00101E0C" w:rsidRPr="00176193" w:rsidRDefault="00101E0C" w:rsidP="00560B79">
      <w:pPr>
        <w:bidi w:val="0"/>
        <w:jc w:val="lowKashida"/>
        <w:rPr>
          <w:b/>
          <w:bCs/>
          <w:sz w:val="20"/>
          <w:szCs w:val="20"/>
        </w:rPr>
      </w:pPr>
      <w:r w:rsidRPr="00176193">
        <w:rPr>
          <w:b/>
          <w:bCs/>
          <w:sz w:val="20"/>
          <w:szCs w:val="20"/>
        </w:rPr>
        <w:lastRenderedPageBreak/>
        <w:t xml:space="preserve">Technique of embryo transfer </w:t>
      </w:r>
    </w:p>
    <w:p w:rsidR="0059398C" w:rsidRPr="00176193" w:rsidRDefault="00FF1262" w:rsidP="00560B79">
      <w:pPr>
        <w:bidi w:val="0"/>
        <w:ind w:firstLine="426"/>
        <w:jc w:val="lowKashida"/>
        <w:rPr>
          <w:sz w:val="20"/>
          <w:szCs w:val="20"/>
        </w:rPr>
      </w:pPr>
      <w:r w:rsidRPr="00176193">
        <w:rPr>
          <w:sz w:val="20"/>
          <w:szCs w:val="20"/>
        </w:rPr>
        <w:t xml:space="preserve">Patients were admitted on the morning of embryo </w:t>
      </w:r>
      <w:r w:rsidR="002066C0" w:rsidRPr="00176193">
        <w:rPr>
          <w:sz w:val="20"/>
          <w:szCs w:val="20"/>
        </w:rPr>
        <w:t xml:space="preserve">transfer </w:t>
      </w:r>
      <w:r w:rsidRPr="00176193">
        <w:rPr>
          <w:sz w:val="20"/>
          <w:szCs w:val="20"/>
        </w:rPr>
        <w:t>and were randomized into two groups: embryo transfer under transabominal ultrasound-guid</w:t>
      </w:r>
      <w:r w:rsidR="00395596" w:rsidRPr="00176193">
        <w:rPr>
          <w:sz w:val="20"/>
          <w:szCs w:val="20"/>
        </w:rPr>
        <w:t>ance</w:t>
      </w:r>
      <w:r w:rsidRPr="00176193">
        <w:rPr>
          <w:sz w:val="20"/>
          <w:szCs w:val="20"/>
        </w:rPr>
        <w:t xml:space="preserve"> and clinical touch method. Those patients randomized to the ultrasound-guided group were asked to keep a full bladder before the transfer to assist visualization during the procedure. The patients in the clinical touch were allowed to pass urine according to their need. The patient was placed in the dorsolithotomy position and a sterile speculum was inserted into the vagina. When the speculum was adequately positioned to visualize the cervix, the cervix was washed with a sponge soaked with transfer media. </w:t>
      </w:r>
    </w:p>
    <w:p w:rsidR="00B76093" w:rsidRPr="00176193" w:rsidRDefault="00395596" w:rsidP="00560B79">
      <w:pPr>
        <w:bidi w:val="0"/>
        <w:ind w:firstLine="426"/>
        <w:jc w:val="lowKashida"/>
        <w:rPr>
          <w:sz w:val="20"/>
          <w:szCs w:val="20"/>
        </w:rPr>
      </w:pPr>
      <w:r w:rsidRPr="00176193">
        <w:rPr>
          <w:sz w:val="20"/>
          <w:szCs w:val="20"/>
        </w:rPr>
        <w:t>Embryos were prepare</w:t>
      </w:r>
      <w:r w:rsidR="00EF5FDB" w:rsidRPr="00176193">
        <w:rPr>
          <w:sz w:val="20"/>
          <w:szCs w:val="20"/>
        </w:rPr>
        <w:t>d</w:t>
      </w:r>
      <w:r w:rsidRPr="00176193">
        <w:rPr>
          <w:sz w:val="20"/>
          <w:szCs w:val="20"/>
        </w:rPr>
        <w:t xml:space="preserve"> </w:t>
      </w:r>
      <w:r w:rsidR="00EF5FDB" w:rsidRPr="00176193">
        <w:rPr>
          <w:sz w:val="20"/>
          <w:szCs w:val="20"/>
        </w:rPr>
        <w:t>in the laboratory by lab technician prior to the transfer. When ultrasound was used, the position of the uterus and cervix was ascertained before placement of the transfer catheter, labotect catheter was used in al</w:t>
      </w:r>
      <w:r w:rsidRPr="00176193">
        <w:rPr>
          <w:sz w:val="20"/>
          <w:szCs w:val="20"/>
        </w:rPr>
        <w:t>l</w:t>
      </w:r>
      <w:r w:rsidR="00EF5FDB" w:rsidRPr="00176193">
        <w:rPr>
          <w:sz w:val="20"/>
          <w:szCs w:val="20"/>
        </w:rPr>
        <w:t xml:space="preserve"> patients of both groups. </w:t>
      </w:r>
    </w:p>
    <w:p w:rsidR="00EF5FDB" w:rsidRPr="00176193" w:rsidRDefault="00EF5FDB" w:rsidP="00560B79">
      <w:pPr>
        <w:bidi w:val="0"/>
        <w:ind w:firstLine="426"/>
        <w:jc w:val="lowKashida"/>
        <w:rPr>
          <w:sz w:val="20"/>
          <w:szCs w:val="20"/>
        </w:rPr>
      </w:pPr>
      <w:r w:rsidRPr="00176193">
        <w:rPr>
          <w:sz w:val="20"/>
          <w:szCs w:val="20"/>
        </w:rPr>
        <w:t>In case group where ultrasound guidance was used, the catheter was advanced so that the tip was approximately 1.5 cm from the uterine fundus and the 2 embryos were slowly released. In control group where the clinical touch method was used, the catheter was inserted through the cervical canal and the embryos were released according to the clinician's feeling as to the position of the catheter. In both groups, the catheter was carefully removed after a period of 10s. Then it was checked under a stereomicroscope to ensure that all embryos had been transferred. After embryo transfer, the patient was transferred to the recovery room and allowed to rest in the supine position with her legs slightly elevated for 30 min following the procedure.</w:t>
      </w:r>
      <w:r w:rsidR="00395596" w:rsidRPr="00176193">
        <w:rPr>
          <w:sz w:val="20"/>
          <w:szCs w:val="20"/>
        </w:rPr>
        <w:t xml:space="preserve"> </w:t>
      </w:r>
      <w:r w:rsidR="009577DC" w:rsidRPr="00176193">
        <w:rPr>
          <w:sz w:val="20"/>
          <w:szCs w:val="20"/>
        </w:rPr>
        <w:sym w:font="Symbol" w:char="F062"/>
      </w:r>
      <w:r w:rsidR="009577DC" w:rsidRPr="00176193">
        <w:rPr>
          <w:sz w:val="20"/>
          <w:szCs w:val="20"/>
        </w:rPr>
        <w:t>HCG was measured 2 weeks after transfer while ultrasound was done 4 weeks after ET.</w:t>
      </w:r>
    </w:p>
    <w:p w:rsidR="005E72BF" w:rsidRPr="00176193" w:rsidRDefault="00120C1B" w:rsidP="00560B79">
      <w:pPr>
        <w:bidi w:val="0"/>
        <w:ind w:firstLine="426"/>
        <w:jc w:val="lowKashida"/>
        <w:rPr>
          <w:sz w:val="20"/>
          <w:szCs w:val="20"/>
        </w:rPr>
      </w:pPr>
      <w:r w:rsidRPr="00176193">
        <w:rPr>
          <w:sz w:val="20"/>
          <w:szCs w:val="20"/>
        </w:rPr>
        <w:t xml:space="preserve">Clinical pregnancy </w:t>
      </w:r>
      <w:r w:rsidR="00CF392D" w:rsidRPr="00176193">
        <w:rPr>
          <w:sz w:val="20"/>
          <w:szCs w:val="20"/>
        </w:rPr>
        <w:t>w</w:t>
      </w:r>
      <w:r w:rsidRPr="00176193">
        <w:rPr>
          <w:sz w:val="20"/>
          <w:szCs w:val="20"/>
        </w:rPr>
        <w:t xml:space="preserve">as defined as the presence of at least one </w:t>
      </w:r>
      <w:r w:rsidR="00CF392D" w:rsidRPr="00176193">
        <w:rPr>
          <w:sz w:val="20"/>
          <w:szCs w:val="20"/>
        </w:rPr>
        <w:t xml:space="preserve">gestational sac by ultrasound examination. An ongoing pregnancy was defined as the presence of at least one fetus with positive heart pulsations seen with ultrasound examination beyond the first </w:t>
      </w:r>
      <w:r w:rsidR="005E72BF" w:rsidRPr="00176193">
        <w:rPr>
          <w:sz w:val="20"/>
          <w:szCs w:val="20"/>
        </w:rPr>
        <w:t>trimester of pregnancy. Also the incidence of miscarriage was included.</w:t>
      </w:r>
    </w:p>
    <w:p w:rsidR="00356580" w:rsidRPr="00176193" w:rsidRDefault="00356580" w:rsidP="00560B79">
      <w:pPr>
        <w:bidi w:val="0"/>
        <w:jc w:val="lowKashida"/>
        <w:rPr>
          <w:b/>
          <w:bCs/>
          <w:caps/>
          <w:sz w:val="20"/>
          <w:szCs w:val="20"/>
        </w:rPr>
      </w:pPr>
    </w:p>
    <w:p w:rsidR="00E23A3D" w:rsidRPr="00176193" w:rsidRDefault="00356580" w:rsidP="00560B79">
      <w:pPr>
        <w:bidi w:val="0"/>
        <w:jc w:val="lowKashida"/>
        <w:rPr>
          <w:b/>
          <w:bCs/>
          <w:caps/>
          <w:sz w:val="20"/>
          <w:szCs w:val="20"/>
        </w:rPr>
      </w:pPr>
      <w:r w:rsidRPr="00176193">
        <w:rPr>
          <w:b/>
          <w:bCs/>
          <w:sz w:val="20"/>
          <w:szCs w:val="20"/>
        </w:rPr>
        <w:t>3.</w:t>
      </w:r>
      <w:r w:rsidR="00176193">
        <w:rPr>
          <w:b/>
          <w:bCs/>
          <w:sz w:val="20"/>
          <w:szCs w:val="20"/>
        </w:rPr>
        <w:t xml:space="preserve"> </w:t>
      </w:r>
      <w:r w:rsidRPr="00176193">
        <w:rPr>
          <w:b/>
          <w:bCs/>
          <w:sz w:val="20"/>
          <w:szCs w:val="20"/>
        </w:rPr>
        <w:t xml:space="preserve">Results </w:t>
      </w:r>
    </w:p>
    <w:p w:rsidR="00561FFB" w:rsidRPr="00176193" w:rsidRDefault="00E00A4F" w:rsidP="00560B79">
      <w:pPr>
        <w:bidi w:val="0"/>
        <w:ind w:firstLine="426"/>
        <w:jc w:val="lowKashida"/>
        <w:rPr>
          <w:sz w:val="20"/>
          <w:szCs w:val="20"/>
        </w:rPr>
      </w:pPr>
      <w:r w:rsidRPr="00176193">
        <w:rPr>
          <w:sz w:val="20"/>
          <w:szCs w:val="20"/>
        </w:rPr>
        <w:t xml:space="preserve">Both groups were comparable as regards the main demographic characteristics as well as the main cycle parameter as shown in table </w:t>
      </w:r>
      <w:r w:rsidR="000F7A42" w:rsidRPr="00176193">
        <w:rPr>
          <w:sz w:val="20"/>
          <w:szCs w:val="20"/>
        </w:rPr>
        <w:t>(1).</w:t>
      </w:r>
      <w:r w:rsidRPr="00176193">
        <w:rPr>
          <w:sz w:val="20"/>
          <w:szCs w:val="20"/>
        </w:rPr>
        <w:t xml:space="preserve"> </w:t>
      </w:r>
    </w:p>
    <w:p w:rsidR="00176193" w:rsidRPr="00176193" w:rsidRDefault="00E00A4F" w:rsidP="00176193">
      <w:pPr>
        <w:bidi w:val="0"/>
        <w:ind w:firstLine="720"/>
        <w:jc w:val="lowKashida"/>
        <w:rPr>
          <w:b/>
          <w:bCs/>
          <w:sz w:val="20"/>
          <w:szCs w:val="20"/>
        </w:rPr>
      </w:pPr>
      <w:r w:rsidRPr="00176193">
        <w:rPr>
          <w:sz w:val="20"/>
          <w:szCs w:val="20"/>
        </w:rPr>
        <w:t>Clinical pregnancy rate was 22.2% in the ultrasound-guided group and 15.</w:t>
      </w:r>
      <w:r w:rsidR="00395596" w:rsidRPr="00176193">
        <w:rPr>
          <w:sz w:val="20"/>
          <w:szCs w:val="20"/>
        </w:rPr>
        <w:t>5</w:t>
      </w:r>
      <w:r w:rsidRPr="00176193">
        <w:rPr>
          <w:sz w:val="20"/>
          <w:szCs w:val="20"/>
        </w:rPr>
        <w:t>% in the clinical touch group (</w:t>
      </w:r>
      <w:r w:rsidRPr="00176193">
        <w:rPr>
          <w:i/>
          <w:iCs/>
          <w:sz w:val="20"/>
          <w:szCs w:val="20"/>
        </w:rPr>
        <w:t>p</w:t>
      </w:r>
      <w:r w:rsidRPr="00176193">
        <w:rPr>
          <w:sz w:val="20"/>
          <w:szCs w:val="20"/>
        </w:rPr>
        <w:t xml:space="preserve"> value =0.3). </w:t>
      </w:r>
      <w:r w:rsidR="000F7A42" w:rsidRPr="00176193">
        <w:rPr>
          <w:sz w:val="20"/>
          <w:szCs w:val="20"/>
        </w:rPr>
        <w:t>T</w:t>
      </w:r>
      <w:r w:rsidRPr="00176193">
        <w:rPr>
          <w:sz w:val="20"/>
          <w:szCs w:val="20"/>
        </w:rPr>
        <w:t xml:space="preserve">he difference was not statistically significant. The ongoing pregnancy rate was 20% in the ultrasound and 11.2% in the clinical group and again the difference was not statistically </w:t>
      </w:r>
      <w:r w:rsidRPr="00176193">
        <w:rPr>
          <w:sz w:val="20"/>
          <w:szCs w:val="20"/>
        </w:rPr>
        <w:lastRenderedPageBreak/>
        <w:t xml:space="preserve">significant. In addition, all of the embryos were singleton and no significant differences were </w:t>
      </w:r>
      <w:r w:rsidRPr="00176193">
        <w:rPr>
          <w:sz w:val="20"/>
          <w:szCs w:val="20"/>
        </w:rPr>
        <w:lastRenderedPageBreak/>
        <w:t xml:space="preserve">observed between two groups as shown in table </w:t>
      </w:r>
      <w:r w:rsidR="009F769E" w:rsidRPr="00176193">
        <w:rPr>
          <w:sz w:val="20"/>
          <w:szCs w:val="20"/>
        </w:rPr>
        <w:t>2</w:t>
      </w:r>
      <w:r w:rsidRPr="00176193">
        <w:rPr>
          <w:sz w:val="20"/>
          <w:szCs w:val="20"/>
        </w:rPr>
        <w:t xml:space="preserve">. </w:t>
      </w:r>
      <w:r w:rsidR="00176193" w:rsidRPr="00176193">
        <w:rPr>
          <w:sz w:val="20"/>
          <w:szCs w:val="20"/>
        </w:rPr>
        <w:t xml:space="preserve"> </w:t>
      </w:r>
    </w:p>
    <w:p w:rsidR="00176193" w:rsidRPr="00176193" w:rsidRDefault="00176193" w:rsidP="00176193">
      <w:pPr>
        <w:bidi w:val="0"/>
        <w:ind w:left="1440" w:hanging="1440"/>
        <w:jc w:val="lowKashida"/>
        <w:rPr>
          <w:b/>
          <w:bCs/>
          <w:sz w:val="20"/>
          <w:szCs w:val="20"/>
        </w:rPr>
        <w:sectPr w:rsidR="00176193" w:rsidRPr="00176193" w:rsidSect="000B2074">
          <w:type w:val="continuous"/>
          <w:pgSz w:w="12240" w:h="15840" w:code="1"/>
          <w:pgMar w:top="1440" w:right="1440" w:bottom="1440" w:left="1440" w:header="720" w:footer="720" w:gutter="0"/>
          <w:cols w:num="2" w:space="709"/>
          <w:docGrid w:linePitch="360"/>
        </w:sectPr>
      </w:pPr>
    </w:p>
    <w:p w:rsidR="00176193" w:rsidRDefault="00176193" w:rsidP="00176193">
      <w:pPr>
        <w:bidi w:val="0"/>
        <w:ind w:left="1440" w:hanging="1440"/>
        <w:jc w:val="center"/>
        <w:rPr>
          <w:b/>
          <w:bCs/>
          <w:sz w:val="20"/>
          <w:szCs w:val="20"/>
        </w:rPr>
      </w:pPr>
    </w:p>
    <w:p w:rsidR="00176193" w:rsidRDefault="00176193" w:rsidP="00176193">
      <w:pPr>
        <w:bidi w:val="0"/>
        <w:ind w:left="1440" w:hanging="1440"/>
        <w:jc w:val="center"/>
        <w:rPr>
          <w:b/>
          <w:bCs/>
          <w:sz w:val="20"/>
          <w:szCs w:val="20"/>
        </w:rPr>
      </w:pPr>
    </w:p>
    <w:p w:rsidR="00E00A4F" w:rsidRPr="00176193" w:rsidRDefault="00E00A4F" w:rsidP="00176193">
      <w:pPr>
        <w:bidi w:val="0"/>
        <w:ind w:left="1440" w:hanging="1440"/>
        <w:jc w:val="center"/>
        <w:rPr>
          <w:sz w:val="20"/>
          <w:szCs w:val="20"/>
        </w:rPr>
      </w:pPr>
      <w:r w:rsidRPr="00176193">
        <w:rPr>
          <w:b/>
          <w:bCs/>
          <w:sz w:val="20"/>
          <w:szCs w:val="20"/>
        </w:rPr>
        <w:t>Table (1):</w:t>
      </w:r>
      <w:r w:rsidR="00176193" w:rsidRPr="00176193">
        <w:rPr>
          <w:b/>
          <w:bCs/>
          <w:sz w:val="20"/>
          <w:szCs w:val="20"/>
        </w:rPr>
        <w:t xml:space="preserve"> </w:t>
      </w:r>
      <w:r w:rsidRPr="00176193">
        <w:rPr>
          <w:sz w:val="20"/>
          <w:szCs w:val="20"/>
        </w:rPr>
        <w:t>Main characteristics of ultrasound-guided transfer and clinical touch transfer populations.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1852"/>
        <w:gridCol w:w="1509"/>
        <w:gridCol w:w="1534"/>
        <w:gridCol w:w="1251"/>
        <w:gridCol w:w="1015"/>
      </w:tblGrid>
      <w:tr w:rsidR="00E00A4F" w:rsidRPr="00176193" w:rsidTr="00176193">
        <w:trPr>
          <w:cantSplit/>
          <w:jc w:val="center"/>
        </w:trPr>
        <w:tc>
          <w:tcPr>
            <w:tcW w:w="1261" w:type="pct"/>
          </w:tcPr>
          <w:p w:rsidR="00E00A4F" w:rsidRPr="00176193" w:rsidRDefault="00E00A4F" w:rsidP="00560B79">
            <w:pPr>
              <w:bidi w:val="0"/>
              <w:jc w:val="center"/>
              <w:rPr>
                <w:rFonts w:eastAsiaTheme="minorEastAsia"/>
                <w:b/>
                <w:bCs/>
                <w:sz w:val="20"/>
                <w:szCs w:val="20"/>
              </w:rPr>
            </w:pPr>
          </w:p>
        </w:tc>
        <w:tc>
          <w:tcPr>
            <w:tcW w:w="1754" w:type="pct"/>
            <w:gridSpan w:val="2"/>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Ultrasound guided 45 patients</w:t>
            </w:r>
          </w:p>
        </w:tc>
        <w:tc>
          <w:tcPr>
            <w:tcW w:w="1454" w:type="pct"/>
            <w:gridSpan w:val="2"/>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Clinical touch 45 patient</w:t>
            </w:r>
          </w:p>
        </w:tc>
        <w:tc>
          <w:tcPr>
            <w:tcW w:w="531" w:type="pct"/>
          </w:tcPr>
          <w:p w:rsidR="00E00A4F" w:rsidRPr="00176193" w:rsidRDefault="00E00A4F" w:rsidP="00560B79">
            <w:pPr>
              <w:bidi w:val="0"/>
              <w:jc w:val="center"/>
              <w:rPr>
                <w:rFonts w:eastAsiaTheme="minorEastAsia"/>
                <w:b/>
                <w:bCs/>
                <w:sz w:val="20"/>
                <w:szCs w:val="20"/>
              </w:rPr>
            </w:pPr>
            <w:r w:rsidRPr="00176193">
              <w:rPr>
                <w:rFonts w:eastAsiaTheme="minorEastAsia"/>
                <w:b/>
                <w:bCs/>
                <w:i/>
                <w:iCs/>
                <w:sz w:val="20"/>
                <w:szCs w:val="20"/>
              </w:rPr>
              <w:t>P</w:t>
            </w:r>
            <w:r w:rsidRPr="00176193">
              <w:rPr>
                <w:rFonts w:eastAsiaTheme="minorEastAsia"/>
                <w:b/>
                <w:bCs/>
                <w:sz w:val="20"/>
                <w:szCs w:val="20"/>
              </w:rPr>
              <w:t xml:space="preserve"> value</w:t>
            </w:r>
          </w:p>
        </w:tc>
      </w:tr>
      <w:tr w:rsidR="00E00A4F" w:rsidRPr="00176193" w:rsidTr="00176193">
        <w:trPr>
          <w:cantSplit/>
          <w:jc w:val="center"/>
        </w:trPr>
        <w:tc>
          <w:tcPr>
            <w:tcW w:w="1261" w:type="pct"/>
          </w:tcPr>
          <w:p w:rsidR="00E00A4F" w:rsidRPr="00176193" w:rsidRDefault="00E00A4F" w:rsidP="00560B79">
            <w:pPr>
              <w:bidi w:val="0"/>
              <w:jc w:val="lowKashida"/>
              <w:rPr>
                <w:rFonts w:eastAsiaTheme="minorEastAsia"/>
                <w:sz w:val="20"/>
                <w:szCs w:val="20"/>
              </w:rPr>
            </w:pPr>
            <w:r w:rsidRPr="00176193">
              <w:rPr>
                <w:rFonts w:eastAsiaTheme="minorEastAsia"/>
                <w:sz w:val="20"/>
                <w:szCs w:val="20"/>
              </w:rPr>
              <w:t>Mean age (years)</w:t>
            </w:r>
          </w:p>
        </w:tc>
        <w:tc>
          <w:tcPr>
            <w:tcW w:w="1754" w:type="pct"/>
            <w:gridSpan w:val="2"/>
            <w:vAlign w:val="center"/>
          </w:tcPr>
          <w:p w:rsidR="00E00A4F" w:rsidRPr="00176193" w:rsidRDefault="00E00A4F" w:rsidP="00560B79">
            <w:pPr>
              <w:bidi w:val="0"/>
              <w:jc w:val="center"/>
              <w:rPr>
                <w:rFonts w:eastAsiaTheme="minorEastAsia"/>
                <w:sz w:val="20"/>
                <w:szCs w:val="20"/>
              </w:rPr>
            </w:pPr>
            <w:r w:rsidRPr="00176193">
              <w:rPr>
                <w:rFonts w:eastAsiaTheme="minorEastAsia"/>
                <w:sz w:val="20"/>
                <w:szCs w:val="20"/>
              </w:rPr>
              <w:t>29±5</w:t>
            </w:r>
          </w:p>
        </w:tc>
        <w:tc>
          <w:tcPr>
            <w:tcW w:w="1454" w:type="pct"/>
            <w:gridSpan w:val="2"/>
            <w:vAlign w:val="center"/>
          </w:tcPr>
          <w:p w:rsidR="00E00A4F" w:rsidRPr="00176193" w:rsidRDefault="00E00A4F" w:rsidP="00560B79">
            <w:pPr>
              <w:bidi w:val="0"/>
              <w:jc w:val="center"/>
              <w:rPr>
                <w:rFonts w:eastAsiaTheme="minorEastAsia"/>
                <w:sz w:val="20"/>
                <w:szCs w:val="20"/>
              </w:rPr>
            </w:pPr>
            <w:r w:rsidRPr="00176193">
              <w:rPr>
                <w:rFonts w:eastAsiaTheme="minorEastAsia"/>
                <w:sz w:val="20"/>
                <w:szCs w:val="20"/>
              </w:rPr>
              <w:t>30±5</w:t>
            </w:r>
          </w:p>
        </w:tc>
        <w:tc>
          <w:tcPr>
            <w:tcW w:w="531" w:type="pct"/>
            <w:vAlign w:val="center"/>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r w:rsidR="00E00A4F" w:rsidRPr="00176193" w:rsidTr="00176193">
        <w:trPr>
          <w:cantSplit/>
          <w:jc w:val="center"/>
        </w:trPr>
        <w:tc>
          <w:tcPr>
            <w:tcW w:w="1261" w:type="pct"/>
          </w:tcPr>
          <w:p w:rsidR="00E00A4F" w:rsidRPr="00176193" w:rsidRDefault="00E00A4F" w:rsidP="00560B79">
            <w:pPr>
              <w:bidi w:val="0"/>
              <w:jc w:val="lowKashida"/>
              <w:rPr>
                <w:rFonts w:eastAsiaTheme="minorEastAsia"/>
                <w:sz w:val="20"/>
                <w:szCs w:val="20"/>
              </w:rPr>
            </w:pPr>
            <w:r w:rsidRPr="00176193">
              <w:rPr>
                <w:rFonts w:eastAsiaTheme="minorEastAsia"/>
                <w:sz w:val="20"/>
                <w:szCs w:val="20"/>
              </w:rPr>
              <w:t xml:space="preserve">No of embryo transfer </w:t>
            </w:r>
          </w:p>
        </w:tc>
        <w:tc>
          <w:tcPr>
            <w:tcW w:w="1754" w:type="pct"/>
            <w:gridSpan w:val="2"/>
            <w:vAlign w:val="center"/>
          </w:tcPr>
          <w:p w:rsidR="00E00A4F" w:rsidRPr="00176193" w:rsidRDefault="00E00A4F" w:rsidP="00560B79">
            <w:pPr>
              <w:bidi w:val="0"/>
              <w:jc w:val="center"/>
              <w:rPr>
                <w:rFonts w:eastAsiaTheme="minorEastAsia"/>
                <w:sz w:val="20"/>
                <w:szCs w:val="20"/>
              </w:rPr>
            </w:pPr>
            <w:r w:rsidRPr="00176193">
              <w:rPr>
                <w:rFonts w:eastAsiaTheme="minorEastAsia"/>
                <w:sz w:val="20"/>
                <w:szCs w:val="20"/>
              </w:rPr>
              <w:t>2.11±0.6</w:t>
            </w:r>
          </w:p>
        </w:tc>
        <w:tc>
          <w:tcPr>
            <w:tcW w:w="1454" w:type="pct"/>
            <w:gridSpan w:val="2"/>
            <w:vAlign w:val="center"/>
          </w:tcPr>
          <w:p w:rsidR="00E00A4F" w:rsidRPr="00176193" w:rsidRDefault="00E00A4F" w:rsidP="00560B79">
            <w:pPr>
              <w:bidi w:val="0"/>
              <w:jc w:val="center"/>
              <w:rPr>
                <w:rFonts w:eastAsiaTheme="minorEastAsia"/>
                <w:sz w:val="20"/>
                <w:szCs w:val="20"/>
              </w:rPr>
            </w:pPr>
            <w:r w:rsidRPr="00176193">
              <w:rPr>
                <w:rFonts w:eastAsiaTheme="minorEastAsia"/>
                <w:sz w:val="20"/>
                <w:szCs w:val="20"/>
              </w:rPr>
              <w:t>2.2±0.6</w:t>
            </w:r>
          </w:p>
        </w:tc>
        <w:tc>
          <w:tcPr>
            <w:tcW w:w="531" w:type="pct"/>
            <w:vAlign w:val="center"/>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r w:rsidR="00E00A4F" w:rsidRPr="00176193" w:rsidTr="00176193">
        <w:trPr>
          <w:cantSplit/>
          <w:jc w:val="center"/>
        </w:trPr>
        <w:tc>
          <w:tcPr>
            <w:tcW w:w="1261" w:type="pct"/>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Type of infertility</w:t>
            </w:r>
          </w:p>
        </w:tc>
        <w:tc>
          <w:tcPr>
            <w:tcW w:w="967" w:type="pct"/>
            <w:shd w:val="clear" w:color="auto" w:fill="auto"/>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No.</w:t>
            </w:r>
          </w:p>
        </w:tc>
        <w:tc>
          <w:tcPr>
            <w:tcW w:w="788" w:type="pct"/>
            <w:shd w:val="clear" w:color="auto" w:fill="auto"/>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w:t>
            </w:r>
          </w:p>
        </w:tc>
        <w:tc>
          <w:tcPr>
            <w:tcW w:w="801" w:type="pct"/>
            <w:shd w:val="clear" w:color="auto" w:fill="auto"/>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No.</w:t>
            </w:r>
          </w:p>
        </w:tc>
        <w:tc>
          <w:tcPr>
            <w:tcW w:w="652" w:type="pct"/>
            <w:shd w:val="clear" w:color="auto" w:fill="auto"/>
          </w:tcPr>
          <w:p w:rsidR="00E00A4F" w:rsidRPr="00176193" w:rsidRDefault="00E00A4F" w:rsidP="00560B79">
            <w:pPr>
              <w:bidi w:val="0"/>
              <w:jc w:val="center"/>
              <w:rPr>
                <w:rFonts w:eastAsiaTheme="minorEastAsia"/>
                <w:b/>
                <w:bCs/>
                <w:sz w:val="20"/>
                <w:szCs w:val="20"/>
              </w:rPr>
            </w:pPr>
            <w:r w:rsidRPr="00176193">
              <w:rPr>
                <w:rFonts w:eastAsiaTheme="minorEastAsia"/>
                <w:b/>
                <w:bCs/>
                <w:sz w:val="20"/>
                <w:szCs w:val="20"/>
              </w:rPr>
              <w:t>%</w:t>
            </w:r>
          </w:p>
        </w:tc>
        <w:tc>
          <w:tcPr>
            <w:tcW w:w="531" w:type="pct"/>
          </w:tcPr>
          <w:p w:rsidR="00E00A4F" w:rsidRPr="00176193" w:rsidRDefault="00E00A4F" w:rsidP="00560B79">
            <w:pPr>
              <w:bidi w:val="0"/>
              <w:jc w:val="center"/>
              <w:rPr>
                <w:rFonts w:eastAsiaTheme="minorEastAsia"/>
                <w:b/>
                <w:bCs/>
                <w:sz w:val="20"/>
                <w:szCs w:val="20"/>
              </w:rPr>
            </w:pPr>
          </w:p>
        </w:tc>
      </w:tr>
      <w:tr w:rsidR="00E00A4F" w:rsidRPr="00176193" w:rsidTr="00176193">
        <w:trPr>
          <w:cantSplit/>
          <w:jc w:val="center"/>
        </w:trPr>
        <w:tc>
          <w:tcPr>
            <w:tcW w:w="1261" w:type="pct"/>
          </w:tcPr>
          <w:p w:rsidR="00E00A4F" w:rsidRPr="00176193" w:rsidRDefault="00E00A4F" w:rsidP="00560B79">
            <w:pPr>
              <w:bidi w:val="0"/>
              <w:jc w:val="lowKashida"/>
              <w:rPr>
                <w:rFonts w:eastAsiaTheme="minorEastAsia"/>
                <w:sz w:val="20"/>
                <w:szCs w:val="20"/>
              </w:rPr>
            </w:pPr>
            <w:r w:rsidRPr="00176193">
              <w:rPr>
                <w:rFonts w:eastAsiaTheme="minorEastAsia"/>
                <w:sz w:val="20"/>
                <w:szCs w:val="20"/>
              </w:rPr>
              <w:t xml:space="preserve">Primary </w:t>
            </w:r>
          </w:p>
        </w:tc>
        <w:tc>
          <w:tcPr>
            <w:tcW w:w="967" w:type="pct"/>
            <w:shd w:val="clear" w:color="auto" w:fill="auto"/>
          </w:tcPr>
          <w:p w:rsidR="00E00A4F" w:rsidRPr="00176193" w:rsidRDefault="00395596" w:rsidP="00560B79">
            <w:pPr>
              <w:bidi w:val="0"/>
              <w:jc w:val="center"/>
              <w:rPr>
                <w:rFonts w:eastAsiaTheme="minorEastAsia"/>
                <w:sz w:val="20"/>
                <w:szCs w:val="20"/>
              </w:rPr>
            </w:pPr>
            <w:r w:rsidRPr="00176193">
              <w:rPr>
                <w:rFonts w:eastAsiaTheme="minorEastAsia"/>
                <w:sz w:val="20"/>
                <w:szCs w:val="20"/>
              </w:rPr>
              <w:t>43</w:t>
            </w:r>
          </w:p>
        </w:tc>
        <w:tc>
          <w:tcPr>
            <w:tcW w:w="788"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96</w:t>
            </w:r>
          </w:p>
        </w:tc>
        <w:tc>
          <w:tcPr>
            <w:tcW w:w="801"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40</w:t>
            </w:r>
          </w:p>
        </w:tc>
        <w:tc>
          <w:tcPr>
            <w:tcW w:w="652"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90</w:t>
            </w:r>
          </w:p>
        </w:tc>
        <w:tc>
          <w:tcPr>
            <w:tcW w:w="531" w:type="pct"/>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r w:rsidR="00E00A4F" w:rsidRPr="00176193" w:rsidTr="00176193">
        <w:trPr>
          <w:cantSplit/>
          <w:jc w:val="center"/>
        </w:trPr>
        <w:tc>
          <w:tcPr>
            <w:tcW w:w="1261" w:type="pct"/>
          </w:tcPr>
          <w:p w:rsidR="00E00A4F" w:rsidRPr="00176193" w:rsidRDefault="00E00A4F" w:rsidP="00560B79">
            <w:pPr>
              <w:bidi w:val="0"/>
              <w:jc w:val="lowKashida"/>
              <w:rPr>
                <w:rFonts w:eastAsiaTheme="minorEastAsia"/>
                <w:sz w:val="20"/>
                <w:szCs w:val="20"/>
              </w:rPr>
            </w:pPr>
            <w:r w:rsidRPr="00176193">
              <w:rPr>
                <w:rFonts w:eastAsiaTheme="minorEastAsia"/>
                <w:sz w:val="20"/>
                <w:szCs w:val="20"/>
              </w:rPr>
              <w:t xml:space="preserve">Secondary </w:t>
            </w:r>
          </w:p>
        </w:tc>
        <w:tc>
          <w:tcPr>
            <w:tcW w:w="967"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2</w:t>
            </w:r>
          </w:p>
        </w:tc>
        <w:tc>
          <w:tcPr>
            <w:tcW w:w="788"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31</w:t>
            </w:r>
          </w:p>
        </w:tc>
        <w:tc>
          <w:tcPr>
            <w:tcW w:w="801"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5</w:t>
            </w:r>
          </w:p>
        </w:tc>
        <w:tc>
          <w:tcPr>
            <w:tcW w:w="652"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11</w:t>
            </w:r>
          </w:p>
        </w:tc>
        <w:tc>
          <w:tcPr>
            <w:tcW w:w="531" w:type="pct"/>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r w:rsidR="00E00A4F" w:rsidRPr="00176193" w:rsidTr="00176193">
        <w:trPr>
          <w:cantSplit/>
          <w:jc w:val="center"/>
        </w:trPr>
        <w:tc>
          <w:tcPr>
            <w:tcW w:w="1261" w:type="pct"/>
          </w:tcPr>
          <w:p w:rsidR="00E00A4F" w:rsidRPr="00176193" w:rsidRDefault="00E00A4F" w:rsidP="00560B79">
            <w:pPr>
              <w:bidi w:val="0"/>
              <w:rPr>
                <w:rFonts w:eastAsiaTheme="minorEastAsia"/>
                <w:b/>
                <w:bCs/>
                <w:sz w:val="20"/>
                <w:szCs w:val="20"/>
              </w:rPr>
            </w:pPr>
            <w:r w:rsidRPr="00176193">
              <w:rPr>
                <w:rFonts w:eastAsiaTheme="minorEastAsia"/>
                <w:b/>
                <w:bCs/>
                <w:sz w:val="20"/>
                <w:szCs w:val="20"/>
              </w:rPr>
              <w:t xml:space="preserve">Etiology of infertility </w:t>
            </w:r>
          </w:p>
        </w:tc>
        <w:tc>
          <w:tcPr>
            <w:tcW w:w="967" w:type="pct"/>
            <w:shd w:val="clear" w:color="auto" w:fill="auto"/>
          </w:tcPr>
          <w:p w:rsidR="00E00A4F" w:rsidRPr="00176193" w:rsidRDefault="00E00A4F" w:rsidP="00560B79">
            <w:pPr>
              <w:bidi w:val="0"/>
              <w:jc w:val="center"/>
              <w:rPr>
                <w:rFonts w:eastAsiaTheme="minorEastAsia"/>
                <w:sz w:val="20"/>
                <w:szCs w:val="20"/>
              </w:rPr>
            </w:pPr>
          </w:p>
        </w:tc>
        <w:tc>
          <w:tcPr>
            <w:tcW w:w="788" w:type="pct"/>
            <w:shd w:val="clear" w:color="auto" w:fill="auto"/>
          </w:tcPr>
          <w:p w:rsidR="00E00A4F" w:rsidRPr="00176193" w:rsidRDefault="00E00A4F" w:rsidP="00560B79">
            <w:pPr>
              <w:bidi w:val="0"/>
              <w:jc w:val="center"/>
              <w:rPr>
                <w:rFonts w:eastAsiaTheme="minorEastAsia"/>
                <w:sz w:val="20"/>
                <w:szCs w:val="20"/>
              </w:rPr>
            </w:pPr>
          </w:p>
        </w:tc>
        <w:tc>
          <w:tcPr>
            <w:tcW w:w="801" w:type="pct"/>
            <w:shd w:val="clear" w:color="auto" w:fill="auto"/>
          </w:tcPr>
          <w:p w:rsidR="00E00A4F" w:rsidRPr="00176193" w:rsidRDefault="00E00A4F" w:rsidP="00560B79">
            <w:pPr>
              <w:bidi w:val="0"/>
              <w:jc w:val="center"/>
              <w:rPr>
                <w:rFonts w:eastAsiaTheme="minorEastAsia"/>
                <w:sz w:val="20"/>
                <w:szCs w:val="20"/>
              </w:rPr>
            </w:pPr>
          </w:p>
        </w:tc>
        <w:tc>
          <w:tcPr>
            <w:tcW w:w="652" w:type="pct"/>
            <w:shd w:val="clear" w:color="auto" w:fill="auto"/>
          </w:tcPr>
          <w:p w:rsidR="00E00A4F" w:rsidRPr="00176193" w:rsidRDefault="00E00A4F" w:rsidP="00560B79">
            <w:pPr>
              <w:bidi w:val="0"/>
              <w:jc w:val="center"/>
              <w:rPr>
                <w:rFonts w:eastAsiaTheme="minorEastAsia"/>
                <w:sz w:val="20"/>
                <w:szCs w:val="20"/>
              </w:rPr>
            </w:pPr>
          </w:p>
        </w:tc>
        <w:tc>
          <w:tcPr>
            <w:tcW w:w="531" w:type="pct"/>
          </w:tcPr>
          <w:p w:rsidR="00E00A4F" w:rsidRPr="00176193" w:rsidRDefault="00E00A4F" w:rsidP="00560B79">
            <w:pPr>
              <w:bidi w:val="0"/>
              <w:jc w:val="center"/>
              <w:rPr>
                <w:rFonts w:eastAsiaTheme="minorEastAsia"/>
                <w:sz w:val="20"/>
                <w:szCs w:val="20"/>
              </w:rPr>
            </w:pPr>
          </w:p>
        </w:tc>
      </w:tr>
      <w:tr w:rsidR="00E00A4F" w:rsidRPr="00176193" w:rsidTr="00176193">
        <w:trPr>
          <w:cantSplit/>
          <w:jc w:val="center"/>
        </w:trPr>
        <w:tc>
          <w:tcPr>
            <w:tcW w:w="1261" w:type="pct"/>
          </w:tcPr>
          <w:p w:rsidR="00E00A4F" w:rsidRPr="00176193" w:rsidRDefault="00E00A4F" w:rsidP="00560B79">
            <w:pPr>
              <w:bidi w:val="0"/>
              <w:rPr>
                <w:rFonts w:eastAsiaTheme="minorEastAsia"/>
                <w:sz w:val="20"/>
                <w:szCs w:val="20"/>
              </w:rPr>
            </w:pPr>
            <w:r w:rsidRPr="00176193">
              <w:rPr>
                <w:rFonts w:eastAsiaTheme="minorEastAsia"/>
                <w:sz w:val="20"/>
                <w:szCs w:val="20"/>
              </w:rPr>
              <w:t>Male factor</w:t>
            </w:r>
          </w:p>
        </w:tc>
        <w:tc>
          <w:tcPr>
            <w:tcW w:w="967"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30</w:t>
            </w:r>
          </w:p>
        </w:tc>
        <w:tc>
          <w:tcPr>
            <w:tcW w:w="788"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67</w:t>
            </w:r>
          </w:p>
        </w:tc>
        <w:tc>
          <w:tcPr>
            <w:tcW w:w="801"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27</w:t>
            </w:r>
          </w:p>
        </w:tc>
        <w:tc>
          <w:tcPr>
            <w:tcW w:w="652"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63</w:t>
            </w:r>
          </w:p>
        </w:tc>
        <w:tc>
          <w:tcPr>
            <w:tcW w:w="531" w:type="pct"/>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r w:rsidR="00E00A4F" w:rsidRPr="00176193" w:rsidTr="00176193">
        <w:trPr>
          <w:cantSplit/>
          <w:jc w:val="center"/>
        </w:trPr>
        <w:tc>
          <w:tcPr>
            <w:tcW w:w="1261" w:type="pct"/>
          </w:tcPr>
          <w:p w:rsidR="00E00A4F" w:rsidRPr="00176193" w:rsidRDefault="00E00A4F" w:rsidP="00560B79">
            <w:pPr>
              <w:bidi w:val="0"/>
              <w:rPr>
                <w:rFonts w:eastAsiaTheme="minorEastAsia"/>
                <w:sz w:val="20"/>
                <w:szCs w:val="20"/>
              </w:rPr>
            </w:pPr>
            <w:r w:rsidRPr="00176193">
              <w:rPr>
                <w:rFonts w:eastAsiaTheme="minorEastAsia"/>
                <w:sz w:val="20"/>
                <w:szCs w:val="20"/>
              </w:rPr>
              <w:t xml:space="preserve">Ovarian factor </w:t>
            </w:r>
          </w:p>
        </w:tc>
        <w:tc>
          <w:tcPr>
            <w:tcW w:w="967"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9</w:t>
            </w:r>
          </w:p>
        </w:tc>
        <w:tc>
          <w:tcPr>
            <w:tcW w:w="788"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19</w:t>
            </w:r>
          </w:p>
        </w:tc>
        <w:tc>
          <w:tcPr>
            <w:tcW w:w="801"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5</w:t>
            </w:r>
          </w:p>
        </w:tc>
        <w:tc>
          <w:tcPr>
            <w:tcW w:w="652"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21</w:t>
            </w:r>
          </w:p>
        </w:tc>
        <w:tc>
          <w:tcPr>
            <w:tcW w:w="531" w:type="pct"/>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r w:rsidR="00E00A4F" w:rsidRPr="00176193" w:rsidTr="00176193">
        <w:trPr>
          <w:cantSplit/>
          <w:jc w:val="center"/>
        </w:trPr>
        <w:tc>
          <w:tcPr>
            <w:tcW w:w="1261" w:type="pct"/>
          </w:tcPr>
          <w:p w:rsidR="00E00A4F" w:rsidRPr="00176193" w:rsidRDefault="00E00A4F" w:rsidP="00560B79">
            <w:pPr>
              <w:bidi w:val="0"/>
              <w:rPr>
                <w:rFonts w:eastAsiaTheme="minorEastAsia"/>
                <w:sz w:val="20"/>
                <w:szCs w:val="20"/>
              </w:rPr>
            </w:pPr>
            <w:r w:rsidRPr="00176193">
              <w:rPr>
                <w:rFonts w:eastAsiaTheme="minorEastAsia"/>
                <w:sz w:val="20"/>
                <w:szCs w:val="20"/>
              </w:rPr>
              <w:t xml:space="preserve">Unexplained factor </w:t>
            </w:r>
          </w:p>
        </w:tc>
        <w:tc>
          <w:tcPr>
            <w:tcW w:w="967"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6</w:t>
            </w:r>
          </w:p>
        </w:tc>
        <w:tc>
          <w:tcPr>
            <w:tcW w:w="788"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12</w:t>
            </w:r>
          </w:p>
        </w:tc>
        <w:tc>
          <w:tcPr>
            <w:tcW w:w="801"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13</w:t>
            </w:r>
          </w:p>
        </w:tc>
        <w:tc>
          <w:tcPr>
            <w:tcW w:w="652" w:type="pct"/>
            <w:shd w:val="clear" w:color="auto" w:fill="auto"/>
          </w:tcPr>
          <w:p w:rsidR="00E00A4F" w:rsidRPr="00176193" w:rsidRDefault="00E00A4F" w:rsidP="00560B79">
            <w:pPr>
              <w:bidi w:val="0"/>
              <w:jc w:val="center"/>
              <w:rPr>
                <w:rFonts w:eastAsiaTheme="minorEastAsia"/>
                <w:sz w:val="20"/>
                <w:szCs w:val="20"/>
              </w:rPr>
            </w:pPr>
            <w:r w:rsidRPr="00176193">
              <w:rPr>
                <w:rFonts w:eastAsiaTheme="minorEastAsia"/>
                <w:sz w:val="20"/>
                <w:szCs w:val="20"/>
              </w:rPr>
              <w:t>16</w:t>
            </w:r>
          </w:p>
        </w:tc>
        <w:tc>
          <w:tcPr>
            <w:tcW w:w="531" w:type="pct"/>
          </w:tcPr>
          <w:p w:rsidR="00E00A4F" w:rsidRPr="00176193" w:rsidRDefault="00E00A4F" w:rsidP="00560B79">
            <w:pPr>
              <w:bidi w:val="0"/>
              <w:jc w:val="center"/>
              <w:rPr>
                <w:rFonts w:eastAsiaTheme="minorEastAsia"/>
                <w:sz w:val="20"/>
                <w:szCs w:val="20"/>
              </w:rPr>
            </w:pPr>
            <w:r w:rsidRPr="00176193">
              <w:rPr>
                <w:rFonts w:eastAsiaTheme="minorEastAsia"/>
                <w:sz w:val="20"/>
                <w:szCs w:val="20"/>
              </w:rPr>
              <w:t>NS</w:t>
            </w:r>
          </w:p>
        </w:tc>
      </w:tr>
    </w:tbl>
    <w:p w:rsidR="00560B79" w:rsidRPr="00176193" w:rsidRDefault="00560B79" w:rsidP="00560B79">
      <w:pPr>
        <w:bidi w:val="0"/>
        <w:ind w:firstLine="720"/>
        <w:jc w:val="lowKashida"/>
        <w:rPr>
          <w:sz w:val="20"/>
          <w:szCs w:val="20"/>
          <w:lang w:eastAsia="zh-CN"/>
        </w:rPr>
      </w:pPr>
    </w:p>
    <w:p w:rsidR="00E00A4F" w:rsidRPr="00176193" w:rsidRDefault="00905B25" w:rsidP="00560B79">
      <w:pPr>
        <w:bidi w:val="0"/>
        <w:ind w:firstLine="720"/>
        <w:jc w:val="lowKashida"/>
        <w:rPr>
          <w:sz w:val="20"/>
          <w:szCs w:val="20"/>
        </w:rPr>
      </w:pPr>
      <w:r w:rsidRPr="00176193">
        <w:rPr>
          <w:sz w:val="20"/>
          <w:szCs w:val="20"/>
        </w:rPr>
        <w:t xml:space="preserve">There was no significant differences in the age, duration and etiology of infertility and the number of embryos transferred between the ultrasound guided and the clinical touch groups. </w:t>
      </w:r>
    </w:p>
    <w:p w:rsidR="00356580" w:rsidRDefault="00356580" w:rsidP="00560B79">
      <w:pPr>
        <w:bidi w:val="0"/>
        <w:ind w:left="1440" w:hanging="1440"/>
        <w:jc w:val="lowKashida"/>
        <w:rPr>
          <w:b/>
          <w:bCs/>
          <w:sz w:val="20"/>
          <w:szCs w:val="20"/>
        </w:rPr>
      </w:pPr>
    </w:p>
    <w:p w:rsidR="00176193" w:rsidRPr="00176193" w:rsidRDefault="00176193" w:rsidP="00176193">
      <w:pPr>
        <w:bidi w:val="0"/>
        <w:ind w:left="1440" w:hanging="1440"/>
        <w:jc w:val="lowKashida"/>
        <w:rPr>
          <w:b/>
          <w:bCs/>
          <w:sz w:val="20"/>
          <w:szCs w:val="20"/>
        </w:rPr>
      </w:pPr>
    </w:p>
    <w:p w:rsidR="00905B25" w:rsidRPr="00176193" w:rsidRDefault="00905B25" w:rsidP="00560B79">
      <w:pPr>
        <w:bidi w:val="0"/>
        <w:ind w:left="1440" w:hanging="1440"/>
        <w:jc w:val="center"/>
        <w:rPr>
          <w:sz w:val="20"/>
          <w:szCs w:val="20"/>
        </w:rPr>
      </w:pPr>
      <w:r w:rsidRPr="00176193">
        <w:rPr>
          <w:b/>
          <w:bCs/>
          <w:sz w:val="20"/>
          <w:szCs w:val="20"/>
        </w:rPr>
        <w:t xml:space="preserve">Table (2): </w:t>
      </w:r>
      <w:r w:rsidRPr="00176193">
        <w:rPr>
          <w:sz w:val="20"/>
          <w:szCs w:val="20"/>
        </w:rPr>
        <w:t>The pregnancy outcomes of the 90 cycles fresh embryo transfer cycles.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1192"/>
        <w:gridCol w:w="1428"/>
        <w:gridCol w:w="1243"/>
        <w:gridCol w:w="1517"/>
        <w:gridCol w:w="1517"/>
      </w:tblGrid>
      <w:tr w:rsidR="00905B25" w:rsidRPr="00176193" w:rsidTr="00176193">
        <w:trPr>
          <w:cantSplit/>
          <w:jc w:val="center"/>
        </w:trPr>
        <w:tc>
          <w:tcPr>
            <w:tcW w:w="2202" w:type="dxa"/>
            <w:vMerge w:val="restart"/>
            <w:vAlign w:val="center"/>
          </w:tcPr>
          <w:p w:rsidR="00905B25" w:rsidRPr="00176193" w:rsidRDefault="00905B25" w:rsidP="00560B79">
            <w:pPr>
              <w:bidi w:val="0"/>
              <w:jc w:val="center"/>
              <w:rPr>
                <w:rFonts w:eastAsiaTheme="minorEastAsia"/>
                <w:b/>
                <w:bCs/>
                <w:sz w:val="20"/>
                <w:szCs w:val="20"/>
              </w:rPr>
            </w:pPr>
            <w:r w:rsidRPr="00176193">
              <w:rPr>
                <w:rFonts w:eastAsiaTheme="minorEastAsia"/>
                <w:b/>
                <w:bCs/>
                <w:sz w:val="20"/>
                <w:szCs w:val="20"/>
              </w:rPr>
              <w:t>Pregnancy</w:t>
            </w:r>
          </w:p>
        </w:tc>
        <w:tc>
          <w:tcPr>
            <w:tcW w:w="2619" w:type="dxa"/>
            <w:gridSpan w:val="2"/>
          </w:tcPr>
          <w:p w:rsidR="00905B25" w:rsidRPr="00176193" w:rsidRDefault="00905B25" w:rsidP="00560B79">
            <w:pPr>
              <w:bidi w:val="0"/>
              <w:jc w:val="center"/>
              <w:rPr>
                <w:rFonts w:eastAsiaTheme="minorEastAsia"/>
                <w:b/>
                <w:bCs/>
                <w:sz w:val="20"/>
                <w:szCs w:val="20"/>
              </w:rPr>
            </w:pPr>
            <w:r w:rsidRPr="00176193">
              <w:rPr>
                <w:rFonts w:eastAsiaTheme="minorEastAsia"/>
                <w:b/>
                <w:bCs/>
                <w:sz w:val="20"/>
                <w:szCs w:val="20"/>
              </w:rPr>
              <w:t>Ultrasound guided</w:t>
            </w:r>
          </w:p>
          <w:p w:rsidR="00631A80" w:rsidRPr="00176193" w:rsidRDefault="00631A80" w:rsidP="00560B79">
            <w:pPr>
              <w:bidi w:val="0"/>
              <w:jc w:val="center"/>
              <w:rPr>
                <w:rFonts w:eastAsiaTheme="minorEastAsia"/>
                <w:b/>
                <w:bCs/>
                <w:sz w:val="20"/>
                <w:szCs w:val="20"/>
              </w:rPr>
            </w:pPr>
            <w:r w:rsidRPr="00176193">
              <w:rPr>
                <w:rFonts w:eastAsiaTheme="minorEastAsia"/>
                <w:b/>
                <w:bCs/>
                <w:sz w:val="20"/>
                <w:szCs w:val="20"/>
              </w:rPr>
              <w:t>N=45</w:t>
            </w:r>
          </w:p>
        </w:tc>
        <w:tc>
          <w:tcPr>
            <w:tcW w:w="2760" w:type="dxa"/>
            <w:gridSpan w:val="2"/>
          </w:tcPr>
          <w:p w:rsidR="00905B25" w:rsidRPr="00176193" w:rsidRDefault="00905B25" w:rsidP="00560B79">
            <w:pPr>
              <w:bidi w:val="0"/>
              <w:jc w:val="center"/>
              <w:rPr>
                <w:rFonts w:eastAsiaTheme="minorEastAsia"/>
                <w:b/>
                <w:bCs/>
                <w:sz w:val="20"/>
                <w:szCs w:val="20"/>
              </w:rPr>
            </w:pPr>
            <w:r w:rsidRPr="00176193">
              <w:rPr>
                <w:rFonts w:eastAsiaTheme="minorEastAsia"/>
                <w:b/>
                <w:bCs/>
                <w:sz w:val="20"/>
                <w:szCs w:val="20"/>
              </w:rPr>
              <w:t>Clinical touch technique</w:t>
            </w:r>
          </w:p>
          <w:p w:rsidR="00631A80" w:rsidRPr="00176193" w:rsidRDefault="00631A80" w:rsidP="00560B79">
            <w:pPr>
              <w:bidi w:val="0"/>
              <w:jc w:val="center"/>
              <w:rPr>
                <w:rFonts w:eastAsiaTheme="minorEastAsia"/>
                <w:b/>
                <w:bCs/>
                <w:sz w:val="20"/>
                <w:szCs w:val="20"/>
              </w:rPr>
            </w:pPr>
            <w:r w:rsidRPr="00176193">
              <w:rPr>
                <w:rFonts w:eastAsiaTheme="minorEastAsia"/>
                <w:b/>
                <w:bCs/>
                <w:sz w:val="20"/>
                <w:szCs w:val="20"/>
              </w:rPr>
              <w:t>N=45</w:t>
            </w:r>
          </w:p>
        </w:tc>
        <w:tc>
          <w:tcPr>
            <w:tcW w:w="1517" w:type="dxa"/>
          </w:tcPr>
          <w:p w:rsidR="00905B25" w:rsidRPr="00176193" w:rsidRDefault="00905B25" w:rsidP="00560B79">
            <w:pPr>
              <w:bidi w:val="0"/>
              <w:jc w:val="center"/>
              <w:rPr>
                <w:rFonts w:eastAsiaTheme="minorEastAsia"/>
                <w:b/>
                <w:bCs/>
                <w:sz w:val="20"/>
                <w:szCs w:val="20"/>
              </w:rPr>
            </w:pPr>
            <w:r w:rsidRPr="00176193">
              <w:rPr>
                <w:rFonts w:eastAsiaTheme="minorEastAsia"/>
                <w:b/>
                <w:bCs/>
                <w:i/>
                <w:iCs/>
                <w:sz w:val="20"/>
                <w:szCs w:val="20"/>
              </w:rPr>
              <w:t>P</w:t>
            </w:r>
            <w:r w:rsidRPr="00176193">
              <w:rPr>
                <w:rFonts w:eastAsiaTheme="minorEastAsia"/>
                <w:b/>
                <w:bCs/>
                <w:sz w:val="20"/>
                <w:szCs w:val="20"/>
              </w:rPr>
              <w:t xml:space="preserve"> value</w:t>
            </w:r>
          </w:p>
        </w:tc>
      </w:tr>
      <w:tr w:rsidR="00631A80" w:rsidRPr="00176193" w:rsidTr="00176193">
        <w:trPr>
          <w:cantSplit/>
          <w:jc w:val="center"/>
        </w:trPr>
        <w:tc>
          <w:tcPr>
            <w:tcW w:w="2202" w:type="dxa"/>
            <w:vMerge/>
          </w:tcPr>
          <w:p w:rsidR="00631A80" w:rsidRPr="00176193" w:rsidRDefault="00631A80" w:rsidP="00560B79">
            <w:pPr>
              <w:bidi w:val="0"/>
              <w:jc w:val="center"/>
              <w:rPr>
                <w:rFonts w:eastAsiaTheme="minorEastAsia"/>
                <w:sz w:val="20"/>
                <w:szCs w:val="20"/>
              </w:rPr>
            </w:pPr>
          </w:p>
        </w:tc>
        <w:tc>
          <w:tcPr>
            <w:tcW w:w="1192" w:type="dxa"/>
          </w:tcPr>
          <w:p w:rsidR="00631A80" w:rsidRPr="00176193" w:rsidRDefault="00631A80" w:rsidP="00560B79">
            <w:pPr>
              <w:bidi w:val="0"/>
              <w:jc w:val="center"/>
              <w:rPr>
                <w:rFonts w:eastAsiaTheme="minorEastAsia"/>
                <w:b/>
                <w:bCs/>
                <w:sz w:val="20"/>
                <w:szCs w:val="20"/>
              </w:rPr>
            </w:pPr>
            <w:r w:rsidRPr="00176193">
              <w:rPr>
                <w:rFonts w:eastAsiaTheme="minorEastAsia"/>
                <w:b/>
                <w:bCs/>
                <w:sz w:val="20"/>
                <w:szCs w:val="20"/>
              </w:rPr>
              <w:t>No.</w:t>
            </w:r>
          </w:p>
        </w:tc>
        <w:tc>
          <w:tcPr>
            <w:tcW w:w="1428" w:type="dxa"/>
          </w:tcPr>
          <w:p w:rsidR="00631A80" w:rsidRPr="00176193" w:rsidRDefault="00631A80" w:rsidP="00560B79">
            <w:pPr>
              <w:bidi w:val="0"/>
              <w:jc w:val="center"/>
              <w:rPr>
                <w:rFonts w:eastAsiaTheme="minorEastAsia"/>
                <w:b/>
                <w:bCs/>
                <w:sz w:val="20"/>
                <w:szCs w:val="20"/>
              </w:rPr>
            </w:pPr>
            <w:r w:rsidRPr="00176193">
              <w:rPr>
                <w:rFonts w:eastAsiaTheme="minorEastAsia"/>
                <w:b/>
                <w:bCs/>
                <w:sz w:val="20"/>
                <w:szCs w:val="20"/>
              </w:rPr>
              <w:t>%</w:t>
            </w:r>
          </w:p>
        </w:tc>
        <w:tc>
          <w:tcPr>
            <w:tcW w:w="1243" w:type="dxa"/>
          </w:tcPr>
          <w:p w:rsidR="00631A80" w:rsidRPr="00176193" w:rsidRDefault="00631A80" w:rsidP="00560B79">
            <w:pPr>
              <w:bidi w:val="0"/>
              <w:jc w:val="center"/>
              <w:rPr>
                <w:rFonts w:eastAsiaTheme="minorEastAsia"/>
                <w:b/>
                <w:bCs/>
                <w:sz w:val="20"/>
                <w:szCs w:val="20"/>
              </w:rPr>
            </w:pPr>
            <w:r w:rsidRPr="00176193">
              <w:rPr>
                <w:rFonts w:eastAsiaTheme="minorEastAsia"/>
                <w:b/>
                <w:bCs/>
                <w:sz w:val="20"/>
                <w:szCs w:val="20"/>
              </w:rPr>
              <w:t>No.</w:t>
            </w:r>
          </w:p>
        </w:tc>
        <w:tc>
          <w:tcPr>
            <w:tcW w:w="1517" w:type="dxa"/>
          </w:tcPr>
          <w:p w:rsidR="00631A80" w:rsidRPr="00176193" w:rsidRDefault="00631A80" w:rsidP="00560B79">
            <w:pPr>
              <w:bidi w:val="0"/>
              <w:jc w:val="center"/>
              <w:rPr>
                <w:rFonts w:eastAsiaTheme="minorEastAsia"/>
                <w:b/>
                <w:bCs/>
                <w:sz w:val="20"/>
                <w:szCs w:val="20"/>
              </w:rPr>
            </w:pPr>
            <w:r w:rsidRPr="00176193">
              <w:rPr>
                <w:rFonts w:eastAsiaTheme="minorEastAsia"/>
                <w:b/>
                <w:bCs/>
                <w:sz w:val="20"/>
                <w:szCs w:val="20"/>
              </w:rPr>
              <w:t>%</w:t>
            </w:r>
          </w:p>
        </w:tc>
        <w:tc>
          <w:tcPr>
            <w:tcW w:w="1517" w:type="dxa"/>
          </w:tcPr>
          <w:p w:rsidR="00631A80" w:rsidRPr="00176193" w:rsidRDefault="00631A80" w:rsidP="00560B79">
            <w:pPr>
              <w:bidi w:val="0"/>
              <w:jc w:val="center"/>
              <w:rPr>
                <w:rFonts w:eastAsiaTheme="minorEastAsia"/>
                <w:sz w:val="20"/>
                <w:szCs w:val="20"/>
              </w:rPr>
            </w:pPr>
          </w:p>
        </w:tc>
      </w:tr>
      <w:tr w:rsidR="00905B25" w:rsidRPr="00176193" w:rsidTr="00176193">
        <w:trPr>
          <w:cantSplit/>
          <w:jc w:val="center"/>
        </w:trPr>
        <w:tc>
          <w:tcPr>
            <w:tcW w:w="2202" w:type="dxa"/>
          </w:tcPr>
          <w:p w:rsidR="00905B25" w:rsidRPr="00176193" w:rsidRDefault="00631A80" w:rsidP="00560B79">
            <w:pPr>
              <w:bidi w:val="0"/>
              <w:jc w:val="lowKashida"/>
              <w:rPr>
                <w:rFonts w:eastAsiaTheme="minorEastAsia"/>
                <w:sz w:val="20"/>
                <w:szCs w:val="20"/>
              </w:rPr>
            </w:pPr>
            <w:r w:rsidRPr="00176193">
              <w:rPr>
                <w:rFonts w:eastAsiaTheme="minorEastAsia"/>
                <w:sz w:val="20"/>
                <w:szCs w:val="20"/>
              </w:rPr>
              <w:t xml:space="preserve">Clinical pregnancy </w:t>
            </w:r>
          </w:p>
        </w:tc>
        <w:tc>
          <w:tcPr>
            <w:tcW w:w="1192"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10</w:t>
            </w:r>
          </w:p>
        </w:tc>
        <w:tc>
          <w:tcPr>
            <w:tcW w:w="1428"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22.2</w:t>
            </w:r>
          </w:p>
        </w:tc>
        <w:tc>
          <w:tcPr>
            <w:tcW w:w="1243"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7</w:t>
            </w:r>
          </w:p>
        </w:tc>
        <w:tc>
          <w:tcPr>
            <w:tcW w:w="1517"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15.5</w:t>
            </w:r>
          </w:p>
        </w:tc>
        <w:tc>
          <w:tcPr>
            <w:tcW w:w="1517"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N S</w:t>
            </w:r>
          </w:p>
        </w:tc>
      </w:tr>
      <w:tr w:rsidR="00905B25" w:rsidRPr="00176193" w:rsidTr="00176193">
        <w:trPr>
          <w:cantSplit/>
          <w:jc w:val="center"/>
        </w:trPr>
        <w:tc>
          <w:tcPr>
            <w:tcW w:w="2202" w:type="dxa"/>
          </w:tcPr>
          <w:p w:rsidR="00905B25" w:rsidRPr="00176193" w:rsidRDefault="00631A80" w:rsidP="00560B79">
            <w:pPr>
              <w:bidi w:val="0"/>
              <w:jc w:val="lowKashida"/>
              <w:rPr>
                <w:rFonts w:eastAsiaTheme="minorEastAsia"/>
                <w:sz w:val="20"/>
                <w:szCs w:val="20"/>
              </w:rPr>
            </w:pPr>
            <w:r w:rsidRPr="00176193">
              <w:rPr>
                <w:rFonts w:eastAsiaTheme="minorEastAsia"/>
                <w:sz w:val="20"/>
                <w:szCs w:val="20"/>
              </w:rPr>
              <w:t xml:space="preserve">Miscarriage </w:t>
            </w:r>
          </w:p>
        </w:tc>
        <w:tc>
          <w:tcPr>
            <w:tcW w:w="1192"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1</w:t>
            </w:r>
          </w:p>
        </w:tc>
        <w:tc>
          <w:tcPr>
            <w:tcW w:w="1428"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2.2</w:t>
            </w:r>
          </w:p>
        </w:tc>
        <w:tc>
          <w:tcPr>
            <w:tcW w:w="1243"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2</w:t>
            </w:r>
          </w:p>
        </w:tc>
        <w:tc>
          <w:tcPr>
            <w:tcW w:w="1517"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4.4</w:t>
            </w:r>
          </w:p>
        </w:tc>
        <w:tc>
          <w:tcPr>
            <w:tcW w:w="1517"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NS</w:t>
            </w:r>
          </w:p>
        </w:tc>
      </w:tr>
      <w:tr w:rsidR="00905B25" w:rsidRPr="00176193" w:rsidTr="00176193">
        <w:trPr>
          <w:cantSplit/>
          <w:jc w:val="center"/>
        </w:trPr>
        <w:tc>
          <w:tcPr>
            <w:tcW w:w="2202" w:type="dxa"/>
          </w:tcPr>
          <w:p w:rsidR="00905B25" w:rsidRPr="00176193" w:rsidRDefault="00631A80" w:rsidP="00560B79">
            <w:pPr>
              <w:bidi w:val="0"/>
              <w:jc w:val="lowKashida"/>
              <w:rPr>
                <w:rFonts w:eastAsiaTheme="minorEastAsia"/>
                <w:sz w:val="20"/>
                <w:szCs w:val="20"/>
              </w:rPr>
            </w:pPr>
            <w:r w:rsidRPr="00176193">
              <w:rPr>
                <w:rFonts w:eastAsiaTheme="minorEastAsia"/>
                <w:sz w:val="20"/>
                <w:szCs w:val="20"/>
              </w:rPr>
              <w:t xml:space="preserve">On-going pregnancy </w:t>
            </w:r>
          </w:p>
        </w:tc>
        <w:tc>
          <w:tcPr>
            <w:tcW w:w="1192"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9</w:t>
            </w:r>
          </w:p>
        </w:tc>
        <w:tc>
          <w:tcPr>
            <w:tcW w:w="1428"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20</w:t>
            </w:r>
          </w:p>
        </w:tc>
        <w:tc>
          <w:tcPr>
            <w:tcW w:w="1243"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5</w:t>
            </w:r>
          </w:p>
        </w:tc>
        <w:tc>
          <w:tcPr>
            <w:tcW w:w="1517"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11.1</w:t>
            </w:r>
          </w:p>
        </w:tc>
        <w:tc>
          <w:tcPr>
            <w:tcW w:w="1517" w:type="dxa"/>
            <w:vAlign w:val="center"/>
          </w:tcPr>
          <w:p w:rsidR="00905B25" w:rsidRPr="00176193" w:rsidRDefault="00631A80" w:rsidP="00560B79">
            <w:pPr>
              <w:bidi w:val="0"/>
              <w:jc w:val="center"/>
              <w:rPr>
                <w:rFonts w:eastAsiaTheme="minorEastAsia"/>
                <w:sz w:val="20"/>
                <w:szCs w:val="20"/>
              </w:rPr>
            </w:pPr>
            <w:r w:rsidRPr="00176193">
              <w:rPr>
                <w:rFonts w:eastAsiaTheme="minorEastAsia"/>
                <w:sz w:val="20"/>
                <w:szCs w:val="20"/>
              </w:rPr>
              <w:t>N S</w:t>
            </w:r>
          </w:p>
        </w:tc>
      </w:tr>
    </w:tbl>
    <w:p w:rsidR="00E00A4F" w:rsidRPr="00176193" w:rsidRDefault="00631A80" w:rsidP="00560B79">
      <w:pPr>
        <w:bidi w:val="0"/>
        <w:jc w:val="lowKashida"/>
        <w:rPr>
          <w:sz w:val="20"/>
          <w:szCs w:val="20"/>
        </w:rPr>
      </w:pPr>
      <w:r w:rsidRPr="00176193">
        <w:rPr>
          <w:sz w:val="20"/>
          <w:szCs w:val="20"/>
        </w:rPr>
        <w:t xml:space="preserve">NS: Non significant </w:t>
      </w:r>
    </w:p>
    <w:p w:rsidR="00560B79" w:rsidRPr="00176193" w:rsidRDefault="00560B79" w:rsidP="00560B79">
      <w:pPr>
        <w:bidi w:val="0"/>
        <w:ind w:firstLine="720"/>
        <w:jc w:val="lowKashida"/>
        <w:rPr>
          <w:sz w:val="20"/>
          <w:szCs w:val="20"/>
          <w:lang w:eastAsia="zh-CN"/>
        </w:rPr>
      </w:pPr>
    </w:p>
    <w:p w:rsidR="00631A80" w:rsidRPr="00176193" w:rsidRDefault="00631A80" w:rsidP="00560B79">
      <w:pPr>
        <w:bidi w:val="0"/>
        <w:ind w:firstLine="720"/>
        <w:jc w:val="lowKashida"/>
        <w:rPr>
          <w:sz w:val="20"/>
          <w:szCs w:val="20"/>
        </w:rPr>
      </w:pPr>
      <w:r w:rsidRPr="00176193">
        <w:rPr>
          <w:sz w:val="20"/>
          <w:szCs w:val="20"/>
        </w:rPr>
        <w:t xml:space="preserve">There was no significant difference between both groups as regards the clinical pregnancy rate and the ongoing pregnancy rate. </w:t>
      </w:r>
    </w:p>
    <w:p w:rsidR="00356580" w:rsidRDefault="00356580" w:rsidP="00560B79">
      <w:pPr>
        <w:bidi w:val="0"/>
        <w:jc w:val="lowKashida"/>
        <w:rPr>
          <w:b/>
          <w:bCs/>
          <w:sz w:val="20"/>
          <w:szCs w:val="20"/>
        </w:rPr>
      </w:pPr>
    </w:p>
    <w:p w:rsidR="00176193" w:rsidRPr="00176193" w:rsidRDefault="00176193" w:rsidP="00176193">
      <w:pPr>
        <w:bidi w:val="0"/>
        <w:jc w:val="lowKashida"/>
        <w:rPr>
          <w:b/>
          <w:bCs/>
          <w:sz w:val="20"/>
          <w:szCs w:val="20"/>
        </w:rPr>
      </w:pPr>
    </w:p>
    <w:p w:rsidR="00356580" w:rsidRPr="00176193" w:rsidRDefault="00356580" w:rsidP="00560B79">
      <w:pPr>
        <w:bidi w:val="0"/>
        <w:jc w:val="lowKashida"/>
        <w:rPr>
          <w:b/>
          <w:bCs/>
          <w:sz w:val="20"/>
          <w:szCs w:val="20"/>
        </w:rPr>
        <w:sectPr w:rsidR="00356580" w:rsidRPr="00176193" w:rsidSect="000B2074">
          <w:type w:val="continuous"/>
          <w:pgSz w:w="12240" w:h="15840" w:code="1"/>
          <w:pgMar w:top="1440" w:right="1440" w:bottom="1440" w:left="1440" w:header="720" w:footer="720" w:gutter="0"/>
          <w:cols w:space="708"/>
          <w:docGrid w:linePitch="360"/>
        </w:sectPr>
      </w:pPr>
    </w:p>
    <w:p w:rsidR="00163554" w:rsidRPr="00176193" w:rsidRDefault="00E5698B" w:rsidP="00560B79">
      <w:pPr>
        <w:bidi w:val="0"/>
        <w:jc w:val="lowKashida"/>
        <w:rPr>
          <w:b/>
          <w:bCs/>
          <w:sz w:val="20"/>
          <w:szCs w:val="20"/>
        </w:rPr>
      </w:pPr>
      <w:r w:rsidRPr="00176193">
        <w:rPr>
          <w:b/>
          <w:bCs/>
          <w:sz w:val="20"/>
          <w:szCs w:val="20"/>
        </w:rPr>
        <w:lastRenderedPageBreak/>
        <w:t>4</w:t>
      </w:r>
      <w:r w:rsidR="00356580" w:rsidRPr="00176193">
        <w:rPr>
          <w:b/>
          <w:bCs/>
          <w:sz w:val="20"/>
          <w:szCs w:val="20"/>
        </w:rPr>
        <w:t xml:space="preserve">.Discussion </w:t>
      </w:r>
    </w:p>
    <w:p w:rsidR="00631A80" w:rsidRPr="00176193" w:rsidRDefault="00F904F2" w:rsidP="00560B79">
      <w:pPr>
        <w:bidi w:val="0"/>
        <w:ind w:firstLine="425"/>
        <w:jc w:val="both"/>
        <w:rPr>
          <w:sz w:val="20"/>
          <w:szCs w:val="20"/>
        </w:rPr>
      </w:pPr>
      <w:r w:rsidRPr="00176193">
        <w:rPr>
          <w:sz w:val="20"/>
          <w:szCs w:val="20"/>
        </w:rPr>
        <w:t>Since the introduction of ultrasound guided embryo transfer during the mid-1980s, this technique has evolved into a more routine part of assisted reproductive technique (ART) practices around the world</w:t>
      </w:r>
      <w:r w:rsidRPr="00176193">
        <w:rPr>
          <w:sz w:val="20"/>
          <w:szCs w:val="20"/>
          <w:vertAlign w:val="superscript"/>
        </w:rPr>
        <w:t>(6)</w:t>
      </w:r>
      <w:r w:rsidRPr="00176193">
        <w:rPr>
          <w:sz w:val="20"/>
          <w:szCs w:val="20"/>
        </w:rPr>
        <w:t>.</w:t>
      </w:r>
    </w:p>
    <w:p w:rsidR="00F904F2" w:rsidRPr="00176193" w:rsidRDefault="00F904F2" w:rsidP="00560B79">
      <w:pPr>
        <w:bidi w:val="0"/>
        <w:ind w:firstLine="425"/>
        <w:jc w:val="both"/>
        <w:rPr>
          <w:sz w:val="20"/>
          <w:szCs w:val="20"/>
        </w:rPr>
      </w:pPr>
      <w:r w:rsidRPr="00176193">
        <w:rPr>
          <w:sz w:val="20"/>
          <w:szCs w:val="20"/>
        </w:rPr>
        <w:t>Various facets of embryo transfer may be pivotal in improv</w:t>
      </w:r>
      <w:r w:rsidR="006048BF" w:rsidRPr="00176193">
        <w:rPr>
          <w:sz w:val="20"/>
          <w:szCs w:val="20"/>
        </w:rPr>
        <w:t>ing</w:t>
      </w:r>
      <w:r w:rsidRPr="00176193">
        <w:rPr>
          <w:sz w:val="20"/>
          <w:szCs w:val="20"/>
        </w:rPr>
        <w:t xml:space="preserve"> implantation and pregnancy clinical success: catheter position in the uterine cavity, choice of transfer catheter, volume of transfer medium, retention of the fluid droplet and endometrial receptivity </w:t>
      </w:r>
      <w:r w:rsidRPr="00176193">
        <w:rPr>
          <w:sz w:val="20"/>
          <w:szCs w:val="20"/>
          <w:vertAlign w:val="superscript"/>
        </w:rPr>
        <w:t>(5)</w:t>
      </w:r>
      <w:r w:rsidRPr="00176193">
        <w:rPr>
          <w:sz w:val="20"/>
          <w:szCs w:val="20"/>
        </w:rPr>
        <w:t>.</w:t>
      </w:r>
      <w:r w:rsidR="006048BF" w:rsidRPr="00176193">
        <w:rPr>
          <w:sz w:val="20"/>
          <w:szCs w:val="20"/>
        </w:rPr>
        <w:t xml:space="preserve"> </w:t>
      </w:r>
      <w:r w:rsidRPr="00176193">
        <w:rPr>
          <w:sz w:val="20"/>
          <w:szCs w:val="20"/>
        </w:rPr>
        <w:t>The use of ultrasound clearly plays a role in embryo transfer. Tactile assessment of embryo transfer has been assessed as unreliable</w:t>
      </w:r>
      <w:r w:rsidRPr="00176193">
        <w:rPr>
          <w:sz w:val="20"/>
          <w:szCs w:val="20"/>
          <w:vertAlign w:val="superscript"/>
        </w:rPr>
        <w:t>(7)</w:t>
      </w:r>
      <w:r w:rsidRPr="00176193">
        <w:rPr>
          <w:sz w:val="20"/>
          <w:szCs w:val="20"/>
        </w:rPr>
        <w:t>.</w:t>
      </w:r>
    </w:p>
    <w:p w:rsidR="00F904F2" w:rsidRPr="00176193" w:rsidRDefault="00F904F2" w:rsidP="00560B79">
      <w:pPr>
        <w:bidi w:val="0"/>
        <w:ind w:firstLine="425"/>
        <w:jc w:val="both"/>
        <w:rPr>
          <w:sz w:val="20"/>
          <w:szCs w:val="20"/>
        </w:rPr>
      </w:pPr>
      <w:r w:rsidRPr="00176193">
        <w:rPr>
          <w:sz w:val="20"/>
          <w:szCs w:val="20"/>
        </w:rPr>
        <w:t>Woolcott and Stranger noted sub-optimal catheter placement, from subendometrial transfers to tubal transfers and embedding of the transfer catheter within the endometrium or the fundus</w:t>
      </w:r>
      <w:r w:rsidRPr="00176193">
        <w:rPr>
          <w:sz w:val="20"/>
          <w:szCs w:val="20"/>
          <w:vertAlign w:val="superscript"/>
        </w:rPr>
        <w:t>(7)</w:t>
      </w:r>
      <w:r w:rsidRPr="00176193">
        <w:rPr>
          <w:sz w:val="20"/>
          <w:szCs w:val="20"/>
        </w:rPr>
        <w:t>. Although facilitation of proper embryo placement with ultrasound seems intu</w:t>
      </w:r>
      <w:r w:rsidR="005D5D6D" w:rsidRPr="00176193">
        <w:rPr>
          <w:sz w:val="20"/>
          <w:szCs w:val="20"/>
        </w:rPr>
        <w:t>itive, the use of ultrasound to</w:t>
      </w:r>
      <w:r w:rsidRPr="00176193">
        <w:rPr>
          <w:sz w:val="20"/>
          <w:szCs w:val="20"/>
        </w:rPr>
        <w:t xml:space="preserve"> minimize endometrial trauma and possibly to </w:t>
      </w:r>
      <w:r w:rsidRPr="00176193">
        <w:rPr>
          <w:sz w:val="20"/>
          <w:szCs w:val="20"/>
        </w:rPr>
        <w:lastRenderedPageBreak/>
        <w:t>decrease myometrial contractions may indeed be helpful in enhancing implantation and clinical pregnancy rates</w:t>
      </w:r>
      <w:r w:rsidRPr="00176193">
        <w:rPr>
          <w:sz w:val="20"/>
          <w:szCs w:val="20"/>
          <w:vertAlign w:val="superscript"/>
        </w:rPr>
        <w:t>(8,9)</w:t>
      </w:r>
      <w:r w:rsidRPr="00176193">
        <w:rPr>
          <w:sz w:val="20"/>
          <w:szCs w:val="20"/>
        </w:rPr>
        <w:t>.</w:t>
      </w:r>
    </w:p>
    <w:p w:rsidR="00F904F2" w:rsidRPr="00176193" w:rsidRDefault="00F904F2" w:rsidP="00560B79">
      <w:pPr>
        <w:bidi w:val="0"/>
        <w:ind w:firstLine="426"/>
        <w:jc w:val="lowKashida"/>
        <w:rPr>
          <w:sz w:val="20"/>
          <w:szCs w:val="20"/>
        </w:rPr>
      </w:pPr>
      <w:r w:rsidRPr="00176193">
        <w:rPr>
          <w:sz w:val="20"/>
          <w:szCs w:val="20"/>
        </w:rPr>
        <w:t>Strong fundo-</w:t>
      </w:r>
      <w:r w:rsidR="00D0719F" w:rsidRPr="00176193">
        <w:rPr>
          <w:sz w:val="20"/>
          <w:szCs w:val="20"/>
        </w:rPr>
        <w:t xml:space="preserve">cervical </w:t>
      </w:r>
      <w:r w:rsidRPr="00176193">
        <w:rPr>
          <w:sz w:val="20"/>
          <w:szCs w:val="20"/>
        </w:rPr>
        <w:t xml:space="preserve">contractions and random </w:t>
      </w:r>
      <w:r w:rsidR="006048BF" w:rsidRPr="00176193">
        <w:rPr>
          <w:sz w:val="20"/>
          <w:szCs w:val="20"/>
        </w:rPr>
        <w:t>uterine waves were demonstrated</w:t>
      </w:r>
      <w:r w:rsidRPr="00176193">
        <w:rPr>
          <w:sz w:val="20"/>
          <w:szCs w:val="20"/>
          <w:vertAlign w:val="superscript"/>
        </w:rPr>
        <w:t>(10)</w:t>
      </w:r>
      <w:r w:rsidRPr="00176193">
        <w:rPr>
          <w:sz w:val="20"/>
          <w:szCs w:val="20"/>
        </w:rPr>
        <w:t xml:space="preserve"> by touching the uterine fundus twice with the soft end of the catheter. Following the pathway of the catheter by ultrasound guidance should decrease the propensity for the clinic</w:t>
      </w:r>
      <w:r w:rsidR="006048BF" w:rsidRPr="00176193">
        <w:rPr>
          <w:sz w:val="20"/>
          <w:szCs w:val="20"/>
        </w:rPr>
        <w:t xml:space="preserve">ian </w:t>
      </w:r>
      <w:r w:rsidRPr="00176193">
        <w:rPr>
          <w:sz w:val="20"/>
          <w:szCs w:val="20"/>
        </w:rPr>
        <w:t xml:space="preserve">to make catheter contact with the fundus. </w:t>
      </w:r>
    </w:p>
    <w:p w:rsidR="00D0719F" w:rsidRPr="00176193" w:rsidRDefault="00D0719F" w:rsidP="00560B79">
      <w:pPr>
        <w:bidi w:val="0"/>
        <w:ind w:firstLine="426"/>
        <w:jc w:val="lowKashida"/>
        <w:rPr>
          <w:sz w:val="20"/>
          <w:szCs w:val="20"/>
        </w:rPr>
      </w:pPr>
      <w:r w:rsidRPr="00176193">
        <w:rPr>
          <w:sz w:val="20"/>
          <w:szCs w:val="20"/>
        </w:rPr>
        <w:t>The value of ultrasound-guided transfer is in its ability to detect malpositioned catheters and to circumvent transfer of the embryo to an inappropriate site which might decrease the probability of implantation. By one report, suboptimal catheter location is estimated to occur in 24.7% of cases</w:t>
      </w:r>
      <w:r w:rsidRPr="00176193">
        <w:rPr>
          <w:sz w:val="20"/>
          <w:szCs w:val="20"/>
          <w:vertAlign w:val="superscript"/>
        </w:rPr>
        <w:t>(7)</w:t>
      </w:r>
      <w:r w:rsidRPr="00176193">
        <w:rPr>
          <w:sz w:val="20"/>
          <w:szCs w:val="20"/>
        </w:rPr>
        <w:t>. The role of ultrasound, then, is to optimize transfer by directing and confirming catheter placement</w:t>
      </w:r>
      <w:r w:rsidRPr="00176193">
        <w:rPr>
          <w:sz w:val="20"/>
          <w:szCs w:val="20"/>
          <w:vertAlign w:val="superscript"/>
        </w:rPr>
        <w:t>(11)</w:t>
      </w:r>
      <w:r w:rsidRPr="00176193">
        <w:rPr>
          <w:sz w:val="20"/>
          <w:szCs w:val="20"/>
        </w:rPr>
        <w:t>.</w:t>
      </w:r>
    </w:p>
    <w:p w:rsidR="00F904F2" w:rsidRPr="00176193" w:rsidRDefault="00D0719F" w:rsidP="00560B79">
      <w:pPr>
        <w:bidi w:val="0"/>
        <w:ind w:firstLine="426"/>
        <w:jc w:val="lowKashida"/>
        <w:rPr>
          <w:sz w:val="20"/>
          <w:szCs w:val="20"/>
        </w:rPr>
      </w:pPr>
      <w:r w:rsidRPr="00176193">
        <w:rPr>
          <w:sz w:val="20"/>
          <w:szCs w:val="20"/>
        </w:rPr>
        <w:t xml:space="preserve">The use of ultrasonography may have additional benefits other than visualization of catheter location. Although no difference was seen in pregnancy outcome when using ultrasound guidance, the use of ultrasound has been associated with easier transfer </w:t>
      </w:r>
      <w:r w:rsidRPr="00176193">
        <w:rPr>
          <w:sz w:val="20"/>
          <w:szCs w:val="20"/>
          <w:vertAlign w:val="superscript"/>
        </w:rPr>
        <w:lastRenderedPageBreak/>
        <w:t>(12,13)</w:t>
      </w:r>
      <w:r w:rsidRPr="00176193">
        <w:rPr>
          <w:sz w:val="20"/>
          <w:szCs w:val="20"/>
        </w:rPr>
        <w:t xml:space="preserve"> decreased use of a tenaculum. And decreased presence of blood in the catheter following retrieval </w:t>
      </w:r>
      <w:r w:rsidRPr="00176193">
        <w:rPr>
          <w:sz w:val="20"/>
          <w:szCs w:val="20"/>
          <w:vertAlign w:val="superscript"/>
        </w:rPr>
        <w:t>(12)</w:t>
      </w:r>
      <w:r w:rsidRPr="00176193">
        <w:rPr>
          <w:sz w:val="20"/>
          <w:szCs w:val="20"/>
        </w:rPr>
        <w:t xml:space="preserve">, </w:t>
      </w:r>
      <w:r w:rsidR="006048BF" w:rsidRPr="00176193">
        <w:rPr>
          <w:sz w:val="20"/>
          <w:szCs w:val="20"/>
        </w:rPr>
        <w:t>and this</w:t>
      </w:r>
      <w:r w:rsidRPr="00176193">
        <w:rPr>
          <w:sz w:val="20"/>
          <w:szCs w:val="20"/>
        </w:rPr>
        <w:t xml:space="preserve"> may justify its use</w:t>
      </w:r>
      <w:r w:rsidR="006048BF" w:rsidRPr="00176193">
        <w:rPr>
          <w:sz w:val="20"/>
          <w:szCs w:val="20"/>
          <w:vertAlign w:val="superscript"/>
        </w:rPr>
        <w:t>(12)</w:t>
      </w:r>
      <w:r w:rsidR="006048BF" w:rsidRPr="00176193">
        <w:rPr>
          <w:sz w:val="20"/>
          <w:szCs w:val="20"/>
        </w:rPr>
        <w:t>.</w:t>
      </w:r>
      <w:r w:rsidRPr="00176193">
        <w:rPr>
          <w:sz w:val="20"/>
          <w:szCs w:val="20"/>
        </w:rPr>
        <w:t xml:space="preserve"> </w:t>
      </w:r>
    </w:p>
    <w:p w:rsidR="00F904F2" w:rsidRPr="00176193" w:rsidRDefault="00DF2C78" w:rsidP="00560B79">
      <w:pPr>
        <w:bidi w:val="0"/>
        <w:ind w:firstLine="426"/>
        <w:jc w:val="lowKashida"/>
        <w:rPr>
          <w:sz w:val="20"/>
          <w:szCs w:val="20"/>
        </w:rPr>
      </w:pPr>
      <w:r w:rsidRPr="00176193">
        <w:rPr>
          <w:sz w:val="20"/>
          <w:szCs w:val="20"/>
        </w:rPr>
        <w:t>In the current study, the clinical pregnancy rate and the</w:t>
      </w:r>
      <w:r w:rsidR="006048BF" w:rsidRPr="00176193">
        <w:rPr>
          <w:sz w:val="20"/>
          <w:szCs w:val="20"/>
        </w:rPr>
        <w:t xml:space="preserve"> ongoing</w:t>
      </w:r>
      <w:r w:rsidRPr="00176193">
        <w:rPr>
          <w:sz w:val="20"/>
          <w:szCs w:val="20"/>
        </w:rPr>
        <w:t xml:space="preserve"> </w:t>
      </w:r>
      <w:r w:rsidR="006048BF" w:rsidRPr="00176193">
        <w:rPr>
          <w:sz w:val="20"/>
          <w:szCs w:val="20"/>
        </w:rPr>
        <w:t xml:space="preserve">pregnancy </w:t>
      </w:r>
      <w:r w:rsidRPr="00176193">
        <w:rPr>
          <w:sz w:val="20"/>
          <w:szCs w:val="20"/>
        </w:rPr>
        <w:t xml:space="preserve">rate increased in the US guided group compared to the clinical touch group </w:t>
      </w:r>
      <w:r w:rsidR="006048BF" w:rsidRPr="00176193">
        <w:rPr>
          <w:sz w:val="20"/>
          <w:szCs w:val="20"/>
        </w:rPr>
        <w:t xml:space="preserve">but </w:t>
      </w:r>
      <w:r w:rsidRPr="00176193">
        <w:rPr>
          <w:sz w:val="20"/>
          <w:szCs w:val="20"/>
        </w:rPr>
        <w:t xml:space="preserve">with no significant difference. </w:t>
      </w:r>
    </w:p>
    <w:p w:rsidR="00DF2C78" w:rsidRPr="00176193" w:rsidRDefault="00384A58" w:rsidP="00560B79">
      <w:pPr>
        <w:bidi w:val="0"/>
        <w:ind w:firstLine="426"/>
        <w:jc w:val="lowKashida"/>
        <w:rPr>
          <w:sz w:val="20"/>
          <w:szCs w:val="20"/>
        </w:rPr>
      </w:pPr>
      <w:r w:rsidRPr="00176193">
        <w:rPr>
          <w:sz w:val="20"/>
          <w:szCs w:val="20"/>
        </w:rPr>
        <w:t xml:space="preserve">In a prospective study by Prapas </w:t>
      </w:r>
      <w:r w:rsidRPr="00176193">
        <w:rPr>
          <w:i/>
          <w:iCs/>
          <w:sz w:val="20"/>
          <w:szCs w:val="20"/>
        </w:rPr>
        <w:t>et al.</w:t>
      </w:r>
      <w:r w:rsidRPr="00176193">
        <w:rPr>
          <w:sz w:val="20"/>
          <w:szCs w:val="20"/>
        </w:rPr>
        <w:t xml:space="preserve"> (1995), it was found that there was a significant effect of ultrasound on pregnancy outcome</w:t>
      </w:r>
      <w:r w:rsidRPr="00176193">
        <w:rPr>
          <w:sz w:val="20"/>
          <w:szCs w:val="20"/>
          <w:vertAlign w:val="superscript"/>
        </w:rPr>
        <w:t>(14)</w:t>
      </w:r>
      <w:r w:rsidRPr="00176193">
        <w:rPr>
          <w:sz w:val="20"/>
          <w:szCs w:val="20"/>
        </w:rPr>
        <w:t>.</w:t>
      </w:r>
    </w:p>
    <w:p w:rsidR="00384A58" w:rsidRPr="00176193" w:rsidRDefault="00384A58" w:rsidP="00560B79">
      <w:pPr>
        <w:bidi w:val="0"/>
        <w:ind w:firstLine="426"/>
        <w:jc w:val="lowKashida"/>
        <w:rPr>
          <w:sz w:val="20"/>
          <w:szCs w:val="20"/>
        </w:rPr>
      </w:pPr>
      <w:r w:rsidRPr="00176193">
        <w:rPr>
          <w:sz w:val="20"/>
          <w:szCs w:val="20"/>
        </w:rPr>
        <w:t>In a study by Co</w:t>
      </w:r>
      <w:r w:rsidR="006048BF" w:rsidRPr="00176193">
        <w:rPr>
          <w:sz w:val="20"/>
          <w:szCs w:val="20"/>
        </w:rPr>
        <w:t>ro</w:t>
      </w:r>
      <w:r w:rsidRPr="00176193">
        <w:rPr>
          <w:sz w:val="20"/>
          <w:szCs w:val="20"/>
        </w:rPr>
        <w:t xml:space="preserve">leu (2000) a higher pregnancy and implantation rates were found in the ultrasound-guided group (50% and 25.3% respectively) compared with the clinical touch group </w:t>
      </w:r>
      <w:r w:rsidR="006048BF" w:rsidRPr="00176193">
        <w:rPr>
          <w:sz w:val="20"/>
          <w:szCs w:val="20"/>
        </w:rPr>
        <w:t>(</w:t>
      </w:r>
      <w:r w:rsidRPr="00176193">
        <w:rPr>
          <w:sz w:val="20"/>
          <w:szCs w:val="20"/>
        </w:rPr>
        <w:t>33.9% and 18.07% respectively). The advantage of the use of ultrasound in guiding the embryo replacement is that it assures the correct positioning of the catheter</w:t>
      </w:r>
      <w:r w:rsidRPr="00176193">
        <w:rPr>
          <w:sz w:val="20"/>
          <w:szCs w:val="20"/>
          <w:vertAlign w:val="superscript"/>
        </w:rPr>
        <w:t>(15)</w:t>
      </w:r>
      <w:r w:rsidRPr="00176193">
        <w:rPr>
          <w:sz w:val="20"/>
          <w:szCs w:val="20"/>
        </w:rPr>
        <w:t>.</w:t>
      </w:r>
    </w:p>
    <w:p w:rsidR="00384A58" w:rsidRPr="00176193" w:rsidRDefault="00384A58" w:rsidP="00560B79">
      <w:pPr>
        <w:bidi w:val="0"/>
        <w:ind w:firstLine="426"/>
        <w:jc w:val="lowKashida"/>
        <w:rPr>
          <w:sz w:val="20"/>
          <w:szCs w:val="20"/>
        </w:rPr>
      </w:pPr>
      <w:r w:rsidRPr="00176193">
        <w:rPr>
          <w:sz w:val="20"/>
          <w:szCs w:val="20"/>
        </w:rPr>
        <w:t xml:space="preserve">In a prospective study using abdominal ultrasound, Al Shawaf </w:t>
      </w:r>
      <w:r w:rsidRPr="00176193">
        <w:rPr>
          <w:i/>
          <w:iCs/>
          <w:sz w:val="20"/>
          <w:szCs w:val="20"/>
        </w:rPr>
        <w:t>et al.</w:t>
      </w:r>
      <w:r w:rsidRPr="00176193">
        <w:rPr>
          <w:sz w:val="20"/>
          <w:szCs w:val="20"/>
        </w:rPr>
        <w:t xml:space="preserve"> (1993) found that there was no significant affect of ultrasound on pregnancy outcome </w:t>
      </w:r>
      <w:r w:rsidRPr="00176193">
        <w:rPr>
          <w:sz w:val="20"/>
          <w:szCs w:val="20"/>
          <w:vertAlign w:val="superscript"/>
        </w:rPr>
        <w:t>(16)</w:t>
      </w:r>
      <w:r w:rsidRPr="00176193">
        <w:rPr>
          <w:sz w:val="20"/>
          <w:szCs w:val="20"/>
        </w:rPr>
        <w:t xml:space="preserve">. More recently, in what was until then the largest prospective study. Kan </w:t>
      </w:r>
      <w:r w:rsidR="00E5698B" w:rsidRPr="00176193">
        <w:rPr>
          <w:i/>
          <w:iCs/>
          <w:sz w:val="20"/>
          <w:szCs w:val="20"/>
        </w:rPr>
        <w:t>et al.</w:t>
      </w:r>
      <w:r w:rsidR="00E5698B" w:rsidRPr="00176193">
        <w:rPr>
          <w:sz w:val="20"/>
          <w:szCs w:val="20"/>
        </w:rPr>
        <w:t xml:space="preserve"> </w:t>
      </w:r>
      <w:r w:rsidRPr="00176193">
        <w:rPr>
          <w:sz w:val="20"/>
          <w:szCs w:val="20"/>
        </w:rPr>
        <w:t xml:space="preserve">found that there was still no significant improvement seen </w:t>
      </w:r>
      <w:r w:rsidR="006048BF" w:rsidRPr="00176193">
        <w:rPr>
          <w:sz w:val="20"/>
          <w:szCs w:val="20"/>
        </w:rPr>
        <w:t>i</w:t>
      </w:r>
      <w:r w:rsidRPr="00176193">
        <w:rPr>
          <w:sz w:val="20"/>
          <w:szCs w:val="20"/>
        </w:rPr>
        <w:t>n</w:t>
      </w:r>
      <w:r w:rsidR="006048BF" w:rsidRPr="00176193">
        <w:rPr>
          <w:sz w:val="20"/>
          <w:szCs w:val="20"/>
        </w:rPr>
        <w:t xml:space="preserve"> </w:t>
      </w:r>
      <w:r w:rsidRPr="00176193">
        <w:rPr>
          <w:sz w:val="20"/>
          <w:szCs w:val="20"/>
        </w:rPr>
        <w:t>either pregnancy or implantation rates</w:t>
      </w:r>
      <w:r w:rsidRPr="00176193">
        <w:rPr>
          <w:sz w:val="20"/>
          <w:szCs w:val="20"/>
          <w:vertAlign w:val="superscript"/>
        </w:rPr>
        <w:t>(17)</w:t>
      </w:r>
      <w:r w:rsidRPr="00176193">
        <w:rPr>
          <w:sz w:val="20"/>
          <w:szCs w:val="20"/>
        </w:rPr>
        <w:t xml:space="preserve">. A possible key factor in </w:t>
      </w:r>
      <w:r w:rsidR="006048BF" w:rsidRPr="00176193">
        <w:rPr>
          <w:sz w:val="20"/>
          <w:szCs w:val="20"/>
        </w:rPr>
        <w:t>Al Shawaf's</w:t>
      </w:r>
      <w:r w:rsidRPr="00176193">
        <w:rPr>
          <w:sz w:val="20"/>
          <w:szCs w:val="20"/>
        </w:rPr>
        <w:t xml:space="preserve"> </w:t>
      </w:r>
      <w:r w:rsidR="006048BF" w:rsidRPr="00176193">
        <w:rPr>
          <w:sz w:val="20"/>
          <w:szCs w:val="20"/>
        </w:rPr>
        <w:t xml:space="preserve">and Kan's studies </w:t>
      </w:r>
      <w:r w:rsidRPr="00176193">
        <w:rPr>
          <w:sz w:val="20"/>
          <w:szCs w:val="20"/>
        </w:rPr>
        <w:t xml:space="preserve">is that the catheter tip was positioned 1 cm from the fundus of the uterine cavity. In </w:t>
      </w:r>
      <w:r w:rsidR="008552A2" w:rsidRPr="00176193">
        <w:rPr>
          <w:sz w:val="20"/>
          <w:szCs w:val="20"/>
        </w:rPr>
        <w:t xml:space="preserve">Coroleu's </w:t>
      </w:r>
      <w:r w:rsidRPr="00176193">
        <w:rPr>
          <w:sz w:val="20"/>
          <w:szCs w:val="20"/>
        </w:rPr>
        <w:t xml:space="preserve">study, the tip </w:t>
      </w:r>
      <w:r w:rsidR="008552A2" w:rsidRPr="00176193">
        <w:rPr>
          <w:sz w:val="20"/>
          <w:szCs w:val="20"/>
        </w:rPr>
        <w:t>of</w:t>
      </w:r>
      <w:r w:rsidRPr="00176193">
        <w:rPr>
          <w:sz w:val="20"/>
          <w:szCs w:val="20"/>
        </w:rPr>
        <w:t xml:space="preserve"> the catheter was positioned with the use of ultrasound at 1.5 cm from the fundus of the uterine cavity. </w:t>
      </w:r>
    </w:p>
    <w:p w:rsidR="00384A58" w:rsidRPr="00176193" w:rsidRDefault="00384A58" w:rsidP="00560B79">
      <w:pPr>
        <w:bidi w:val="0"/>
        <w:ind w:firstLine="426"/>
        <w:jc w:val="lowKashida"/>
        <w:rPr>
          <w:sz w:val="20"/>
          <w:szCs w:val="20"/>
        </w:rPr>
      </w:pPr>
      <w:r w:rsidRPr="00176193">
        <w:rPr>
          <w:sz w:val="20"/>
          <w:szCs w:val="20"/>
        </w:rPr>
        <w:t xml:space="preserve">A 2010 Cochrane review of 17 RCTs comparing ultrasound versus clinical touch concluded that ultrasound </w:t>
      </w:r>
      <w:r w:rsidR="008552A2" w:rsidRPr="00176193">
        <w:rPr>
          <w:sz w:val="20"/>
          <w:szCs w:val="20"/>
        </w:rPr>
        <w:t>did increase ongoing clinical PRs over clinical touch (441</w:t>
      </w:r>
      <w:r w:rsidR="006048BF" w:rsidRPr="00176193">
        <w:rPr>
          <w:sz w:val="20"/>
          <w:szCs w:val="20"/>
        </w:rPr>
        <w:t>/</w:t>
      </w:r>
      <w:r w:rsidR="008552A2" w:rsidRPr="00176193">
        <w:rPr>
          <w:sz w:val="20"/>
          <w:szCs w:val="20"/>
        </w:rPr>
        <w:t xml:space="preserve">1254 vs. 350/1218, odds ratio [OR] 1.38, 95% CI 1.16-1.64, </w:t>
      </w:r>
      <w:r w:rsidR="008552A2" w:rsidRPr="00176193">
        <w:rPr>
          <w:i/>
          <w:iCs/>
          <w:sz w:val="20"/>
          <w:szCs w:val="20"/>
        </w:rPr>
        <w:t>P</w:t>
      </w:r>
      <w:r w:rsidR="008552A2" w:rsidRPr="00176193">
        <w:rPr>
          <w:sz w:val="20"/>
          <w:szCs w:val="20"/>
        </w:rPr>
        <w:t>&lt; 0.0003)</w:t>
      </w:r>
      <w:r w:rsidR="008552A2" w:rsidRPr="00176193">
        <w:rPr>
          <w:sz w:val="20"/>
          <w:szCs w:val="20"/>
          <w:vertAlign w:val="superscript"/>
        </w:rPr>
        <w:t>(18)</w:t>
      </w:r>
      <w:r w:rsidR="008552A2" w:rsidRPr="00176193">
        <w:rPr>
          <w:sz w:val="20"/>
          <w:szCs w:val="20"/>
        </w:rPr>
        <w:t>. Three other meta-analyses of RCTs have had similar conclusions</w:t>
      </w:r>
      <w:r w:rsidR="006048BF" w:rsidRPr="00176193">
        <w:rPr>
          <w:sz w:val="20"/>
          <w:szCs w:val="20"/>
          <w:vertAlign w:val="superscript"/>
        </w:rPr>
        <w:t>(2,</w:t>
      </w:r>
      <w:r w:rsidR="008552A2" w:rsidRPr="00176193">
        <w:rPr>
          <w:sz w:val="20"/>
          <w:szCs w:val="20"/>
          <w:vertAlign w:val="superscript"/>
        </w:rPr>
        <w:t>19)</w:t>
      </w:r>
      <w:r w:rsidR="008552A2" w:rsidRPr="00176193">
        <w:rPr>
          <w:sz w:val="20"/>
          <w:szCs w:val="20"/>
        </w:rPr>
        <w:t>. Due to the simplicity and good outcomes</w:t>
      </w:r>
      <w:r w:rsidR="006048BF" w:rsidRPr="00176193">
        <w:rPr>
          <w:sz w:val="20"/>
          <w:szCs w:val="20"/>
        </w:rPr>
        <w:t xml:space="preserve"> in the previously mentioned studies</w:t>
      </w:r>
      <w:r w:rsidR="008552A2" w:rsidRPr="00176193">
        <w:rPr>
          <w:sz w:val="20"/>
          <w:szCs w:val="20"/>
        </w:rPr>
        <w:t>, ultrasound guidance would appear to be an essential factor in improving the results of embryo transfer and, moreover, is one which offers our patients the maximum possibility of a successful pregnancy</w:t>
      </w:r>
      <w:r w:rsidR="008552A2" w:rsidRPr="00176193">
        <w:rPr>
          <w:sz w:val="20"/>
          <w:szCs w:val="20"/>
          <w:vertAlign w:val="superscript"/>
        </w:rPr>
        <w:t>(15)</w:t>
      </w:r>
      <w:r w:rsidR="008552A2" w:rsidRPr="00176193">
        <w:rPr>
          <w:sz w:val="20"/>
          <w:szCs w:val="20"/>
        </w:rPr>
        <w:t>.</w:t>
      </w:r>
    </w:p>
    <w:p w:rsidR="00356580" w:rsidRDefault="00356580" w:rsidP="00560B79">
      <w:pPr>
        <w:bidi w:val="0"/>
        <w:jc w:val="lowKashida"/>
        <w:rPr>
          <w:b/>
          <w:bCs/>
          <w:sz w:val="20"/>
          <w:szCs w:val="20"/>
        </w:rPr>
      </w:pPr>
    </w:p>
    <w:p w:rsidR="00176193" w:rsidRPr="00176193" w:rsidRDefault="00176193" w:rsidP="00176193">
      <w:pPr>
        <w:bidi w:val="0"/>
        <w:jc w:val="lowKashida"/>
        <w:rPr>
          <w:b/>
          <w:bCs/>
          <w:sz w:val="20"/>
          <w:szCs w:val="20"/>
        </w:rPr>
      </w:pPr>
    </w:p>
    <w:p w:rsidR="008920C8" w:rsidRPr="00176193" w:rsidRDefault="008920C8" w:rsidP="00560B79">
      <w:pPr>
        <w:bidi w:val="0"/>
        <w:jc w:val="lowKashida"/>
        <w:rPr>
          <w:b/>
          <w:bCs/>
          <w:sz w:val="20"/>
          <w:szCs w:val="20"/>
        </w:rPr>
      </w:pPr>
      <w:r w:rsidRPr="00176193">
        <w:rPr>
          <w:b/>
          <w:bCs/>
          <w:sz w:val="20"/>
          <w:szCs w:val="20"/>
        </w:rPr>
        <w:t xml:space="preserve">Conflict of interest statement </w:t>
      </w:r>
    </w:p>
    <w:p w:rsidR="008920C8" w:rsidRPr="00176193" w:rsidRDefault="008920C8" w:rsidP="00560B79">
      <w:pPr>
        <w:bidi w:val="0"/>
        <w:ind w:firstLine="426"/>
        <w:jc w:val="lowKashida"/>
        <w:rPr>
          <w:sz w:val="20"/>
          <w:szCs w:val="20"/>
        </w:rPr>
      </w:pPr>
      <w:r w:rsidRPr="00176193">
        <w:rPr>
          <w:sz w:val="20"/>
          <w:szCs w:val="20"/>
        </w:rPr>
        <w:t>There is no relationship for any author that may influence the objectivity of the paper.</w:t>
      </w:r>
    </w:p>
    <w:p w:rsidR="00356580" w:rsidRDefault="00356580" w:rsidP="00560B79">
      <w:pPr>
        <w:bidi w:val="0"/>
        <w:jc w:val="lowKashida"/>
        <w:rPr>
          <w:sz w:val="20"/>
          <w:szCs w:val="20"/>
        </w:rPr>
      </w:pPr>
    </w:p>
    <w:p w:rsidR="00176193" w:rsidRPr="00176193" w:rsidRDefault="00176193" w:rsidP="00176193">
      <w:pPr>
        <w:bidi w:val="0"/>
        <w:jc w:val="lowKashida"/>
        <w:rPr>
          <w:sz w:val="20"/>
          <w:szCs w:val="20"/>
        </w:rPr>
      </w:pPr>
    </w:p>
    <w:p w:rsidR="008C15A3" w:rsidRPr="00176193" w:rsidRDefault="00356580" w:rsidP="00560B79">
      <w:pPr>
        <w:bidi w:val="0"/>
        <w:jc w:val="lowKashida"/>
        <w:rPr>
          <w:b/>
          <w:bCs/>
          <w:sz w:val="20"/>
          <w:szCs w:val="20"/>
        </w:rPr>
      </w:pPr>
      <w:r w:rsidRPr="00176193">
        <w:rPr>
          <w:b/>
          <w:bCs/>
          <w:sz w:val="20"/>
          <w:szCs w:val="20"/>
        </w:rPr>
        <w:t>References</w:t>
      </w:r>
    </w:p>
    <w:p w:rsidR="004A1792" w:rsidRPr="00176193" w:rsidRDefault="008552A2" w:rsidP="00560B79">
      <w:pPr>
        <w:numPr>
          <w:ilvl w:val="0"/>
          <w:numId w:val="11"/>
        </w:numPr>
        <w:bidi w:val="0"/>
        <w:jc w:val="lowKashida"/>
        <w:rPr>
          <w:sz w:val="20"/>
          <w:szCs w:val="20"/>
        </w:rPr>
      </w:pPr>
      <w:r w:rsidRPr="00176193">
        <w:rPr>
          <w:sz w:val="20"/>
          <w:szCs w:val="20"/>
        </w:rPr>
        <w:t>Mains Lindsay and Bradley J van Voorhis: Optimizing the technique of embryo transfer</w:t>
      </w:r>
      <w:r w:rsidR="006048BF" w:rsidRPr="00176193">
        <w:rPr>
          <w:sz w:val="20"/>
          <w:szCs w:val="20"/>
        </w:rPr>
        <w:t>.</w:t>
      </w:r>
      <w:r w:rsidRPr="00176193">
        <w:rPr>
          <w:sz w:val="20"/>
          <w:szCs w:val="20"/>
        </w:rPr>
        <w:t xml:space="preserve"> </w:t>
      </w:r>
      <w:r w:rsidR="006048BF" w:rsidRPr="00176193">
        <w:rPr>
          <w:sz w:val="20"/>
          <w:szCs w:val="20"/>
        </w:rPr>
        <w:t xml:space="preserve">Fertility and Sterility </w:t>
      </w:r>
      <w:r w:rsidRPr="00176193">
        <w:rPr>
          <w:sz w:val="20"/>
          <w:szCs w:val="20"/>
        </w:rPr>
        <w:t>2010; 94(3)</w:t>
      </w:r>
      <w:r w:rsidR="009F769E" w:rsidRPr="00176193">
        <w:rPr>
          <w:sz w:val="20"/>
          <w:szCs w:val="20"/>
        </w:rPr>
        <w:t>: 785-790.</w:t>
      </w:r>
    </w:p>
    <w:p w:rsidR="008552A2" w:rsidRPr="00176193" w:rsidRDefault="008552A2" w:rsidP="00560B79">
      <w:pPr>
        <w:numPr>
          <w:ilvl w:val="0"/>
          <w:numId w:val="11"/>
        </w:numPr>
        <w:bidi w:val="0"/>
        <w:jc w:val="lowKashida"/>
        <w:rPr>
          <w:sz w:val="20"/>
          <w:szCs w:val="20"/>
        </w:rPr>
      </w:pPr>
      <w:r w:rsidRPr="00176193">
        <w:rPr>
          <w:sz w:val="20"/>
          <w:szCs w:val="20"/>
        </w:rPr>
        <w:t>Sund</w:t>
      </w:r>
      <w:r w:rsidR="006048BF" w:rsidRPr="00176193">
        <w:rPr>
          <w:sz w:val="20"/>
          <w:szCs w:val="20"/>
        </w:rPr>
        <w:t>r</w:t>
      </w:r>
      <w:r w:rsidRPr="00176193">
        <w:rPr>
          <w:sz w:val="20"/>
          <w:szCs w:val="20"/>
        </w:rPr>
        <w:t xml:space="preserve">strom P, Wramsby H, Person PH, Liedhom P. Filled bladder simplifies human embryo transfer. Br J Obstet </w:t>
      </w:r>
      <w:r w:rsidR="00E5698B" w:rsidRPr="00176193">
        <w:rPr>
          <w:sz w:val="20"/>
          <w:szCs w:val="20"/>
        </w:rPr>
        <w:t>G</w:t>
      </w:r>
      <w:r w:rsidRPr="00176193">
        <w:rPr>
          <w:sz w:val="20"/>
          <w:szCs w:val="20"/>
        </w:rPr>
        <w:t>ynecol 1984; 91: 506-7.</w:t>
      </w:r>
    </w:p>
    <w:p w:rsidR="008552A2" w:rsidRPr="00176193" w:rsidRDefault="008552A2" w:rsidP="00560B79">
      <w:pPr>
        <w:numPr>
          <w:ilvl w:val="0"/>
          <w:numId w:val="11"/>
        </w:numPr>
        <w:bidi w:val="0"/>
        <w:jc w:val="lowKashida"/>
        <w:rPr>
          <w:sz w:val="20"/>
          <w:szCs w:val="20"/>
        </w:rPr>
      </w:pPr>
      <w:r w:rsidRPr="00176193">
        <w:rPr>
          <w:sz w:val="20"/>
          <w:szCs w:val="20"/>
        </w:rPr>
        <w:lastRenderedPageBreak/>
        <w:t xml:space="preserve">Lewin A. Schenker JG, Avrech O, Shapira S, Safran A, Friedler S. The role of uterine straightening by passive bladder distension before embryo transfer in IVF cycles. J Assist </w:t>
      </w:r>
      <w:r w:rsidR="00E5698B" w:rsidRPr="00176193">
        <w:rPr>
          <w:sz w:val="20"/>
          <w:szCs w:val="20"/>
        </w:rPr>
        <w:t>R</w:t>
      </w:r>
      <w:r w:rsidRPr="00176193">
        <w:rPr>
          <w:sz w:val="20"/>
          <w:szCs w:val="20"/>
        </w:rPr>
        <w:t>epord Genet 1997; 14: 32-4.</w:t>
      </w:r>
    </w:p>
    <w:p w:rsidR="008552A2" w:rsidRPr="00176193" w:rsidRDefault="008552A2" w:rsidP="00560B79">
      <w:pPr>
        <w:numPr>
          <w:ilvl w:val="0"/>
          <w:numId w:val="11"/>
        </w:numPr>
        <w:bidi w:val="0"/>
        <w:jc w:val="lowKashida"/>
        <w:rPr>
          <w:sz w:val="20"/>
          <w:szCs w:val="20"/>
        </w:rPr>
      </w:pPr>
      <w:r w:rsidRPr="00176193">
        <w:rPr>
          <w:sz w:val="20"/>
          <w:szCs w:val="20"/>
        </w:rPr>
        <w:t>Oorusso F, Depalo R, Bettocchi S, Vacca M, Vimercati A, Selvaggi L</w:t>
      </w:r>
      <w:r w:rsidR="006048BF" w:rsidRPr="00176193">
        <w:rPr>
          <w:sz w:val="20"/>
          <w:szCs w:val="20"/>
        </w:rPr>
        <w:t>.</w:t>
      </w:r>
      <w:r w:rsidRPr="00176193">
        <w:rPr>
          <w:sz w:val="20"/>
          <w:szCs w:val="20"/>
        </w:rPr>
        <w:t xml:space="preserve"> </w:t>
      </w:r>
      <w:r w:rsidR="006048BF" w:rsidRPr="00176193">
        <w:rPr>
          <w:sz w:val="20"/>
          <w:szCs w:val="20"/>
        </w:rPr>
        <w:t>O</w:t>
      </w:r>
      <w:r w:rsidRPr="00176193">
        <w:rPr>
          <w:sz w:val="20"/>
          <w:szCs w:val="20"/>
        </w:rPr>
        <w:t>utcome of in vitro fertilization after transabdominal ultrasound-assisted embryo transfer with a full or empty bladder. Fertile Steril 2005; 84-1046-8.</w:t>
      </w:r>
    </w:p>
    <w:p w:rsidR="008552A2" w:rsidRPr="00176193" w:rsidRDefault="008552A2" w:rsidP="00560B79">
      <w:pPr>
        <w:numPr>
          <w:ilvl w:val="0"/>
          <w:numId w:val="11"/>
        </w:numPr>
        <w:bidi w:val="0"/>
        <w:jc w:val="lowKashida"/>
        <w:rPr>
          <w:sz w:val="20"/>
          <w:szCs w:val="20"/>
        </w:rPr>
      </w:pPr>
      <w:r w:rsidRPr="00176193">
        <w:rPr>
          <w:sz w:val="20"/>
          <w:szCs w:val="20"/>
        </w:rPr>
        <w:t>Wood Ellen G, Frances P, Batzer, Kathryn J, GO Jacqueline N, Gutamann, and Stephen L. Corson. Ultrasound-guided soft catheter embryo transfers will improve pregnancy rates</w:t>
      </w:r>
      <w:r w:rsidR="006048BF" w:rsidRPr="00176193">
        <w:rPr>
          <w:sz w:val="20"/>
          <w:szCs w:val="20"/>
        </w:rPr>
        <w:t xml:space="preserve"> </w:t>
      </w:r>
      <w:r w:rsidRPr="00176193">
        <w:rPr>
          <w:sz w:val="20"/>
          <w:szCs w:val="20"/>
        </w:rPr>
        <w:t xml:space="preserve">in </w:t>
      </w:r>
      <w:r w:rsidRPr="00176193">
        <w:rPr>
          <w:i/>
          <w:iCs/>
          <w:sz w:val="20"/>
          <w:szCs w:val="20"/>
        </w:rPr>
        <w:t>in-vitro</w:t>
      </w:r>
      <w:r w:rsidRPr="00176193">
        <w:rPr>
          <w:sz w:val="20"/>
          <w:szCs w:val="20"/>
        </w:rPr>
        <w:t xml:space="preserve"> fertilization</w:t>
      </w:r>
      <w:r w:rsidR="006048BF" w:rsidRPr="00176193">
        <w:rPr>
          <w:sz w:val="20"/>
          <w:szCs w:val="20"/>
        </w:rPr>
        <w:t>.</w:t>
      </w:r>
      <w:r w:rsidRPr="00176193">
        <w:rPr>
          <w:sz w:val="20"/>
          <w:szCs w:val="20"/>
        </w:rPr>
        <w:t xml:space="preserve"> Human Reproduction 2000; 15 (1): 107-112.</w:t>
      </w:r>
    </w:p>
    <w:p w:rsidR="00B22FF8" w:rsidRPr="00176193" w:rsidRDefault="00B22FF8" w:rsidP="00560B79">
      <w:pPr>
        <w:numPr>
          <w:ilvl w:val="0"/>
          <w:numId w:val="11"/>
        </w:numPr>
        <w:bidi w:val="0"/>
        <w:jc w:val="lowKashida"/>
        <w:rPr>
          <w:sz w:val="20"/>
          <w:szCs w:val="20"/>
        </w:rPr>
      </w:pPr>
      <w:r w:rsidRPr="00176193">
        <w:rPr>
          <w:sz w:val="20"/>
          <w:szCs w:val="20"/>
        </w:rPr>
        <w:t>Tang OS Ng, EHY, So WWK and Ho P. Ultrasound-guided embryo transfer: a prospective randomized controlled trial. Hum Reprod 2004; 16: 2310-2315.</w:t>
      </w:r>
    </w:p>
    <w:p w:rsidR="00B22FF8" w:rsidRPr="00176193" w:rsidRDefault="00B22FF8" w:rsidP="00560B79">
      <w:pPr>
        <w:numPr>
          <w:ilvl w:val="0"/>
          <w:numId w:val="11"/>
        </w:numPr>
        <w:bidi w:val="0"/>
        <w:jc w:val="lowKashida"/>
        <w:rPr>
          <w:sz w:val="20"/>
          <w:szCs w:val="20"/>
        </w:rPr>
      </w:pPr>
      <w:r w:rsidRPr="00176193">
        <w:rPr>
          <w:sz w:val="20"/>
          <w:szCs w:val="20"/>
        </w:rPr>
        <w:t>Woolcott R, and Stanger J. Potentially important variables identified by transvaginal ultrasound-guided embryo transfer. Hum Reprod 1997; 12: 963-966.</w:t>
      </w:r>
    </w:p>
    <w:p w:rsidR="00B22FF8" w:rsidRPr="00176193" w:rsidRDefault="00B22FF8" w:rsidP="00560B79">
      <w:pPr>
        <w:numPr>
          <w:ilvl w:val="0"/>
          <w:numId w:val="11"/>
        </w:numPr>
        <w:bidi w:val="0"/>
        <w:jc w:val="lowKashida"/>
        <w:rPr>
          <w:sz w:val="20"/>
          <w:szCs w:val="20"/>
        </w:rPr>
      </w:pPr>
      <w:r w:rsidRPr="00176193">
        <w:rPr>
          <w:sz w:val="20"/>
          <w:szCs w:val="20"/>
          <w:lang w:val="da-DK"/>
        </w:rPr>
        <w:t xml:space="preserve">Fanchin R, Righini C, Olivennes F </w:t>
      </w:r>
      <w:r w:rsidRPr="00176193">
        <w:rPr>
          <w:i/>
          <w:iCs/>
          <w:sz w:val="20"/>
          <w:szCs w:val="20"/>
          <w:lang w:val="da-DK"/>
        </w:rPr>
        <w:t>et al.</w:t>
      </w:r>
      <w:r w:rsidRPr="00176193">
        <w:rPr>
          <w:sz w:val="20"/>
          <w:szCs w:val="20"/>
          <w:lang w:val="da-DK"/>
        </w:rPr>
        <w:t xml:space="preserve"> </w:t>
      </w:r>
      <w:r w:rsidRPr="00176193">
        <w:rPr>
          <w:sz w:val="20"/>
          <w:szCs w:val="20"/>
        </w:rPr>
        <w:t>Uterine contractions</w:t>
      </w:r>
      <w:r w:rsidR="006048BF" w:rsidRPr="00176193">
        <w:rPr>
          <w:sz w:val="20"/>
          <w:szCs w:val="20"/>
        </w:rPr>
        <w:t xml:space="preserve"> at the line of embryo transfer alter pregnancy rates after </w:t>
      </w:r>
      <w:r w:rsidR="006048BF" w:rsidRPr="00176193">
        <w:rPr>
          <w:i/>
          <w:iCs/>
          <w:sz w:val="20"/>
          <w:szCs w:val="20"/>
        </w:rPr>
        <w:t>in vitro</w:t>
      </w:r>
      <w:r w:rsidR="006048BF" w:rsidRPr="00176193">
        <w:rPr>
          <w:sz w:val="20"/>
          <w:szCs w:val="20"/>
        </w:rPr>
        <w:t xml:space="preserve"> fertilization</w:t>
      </w:r>
      <w:r w:rsidRPr="00176193">
        <w:rPr>
          <w:sz w:val="20"/>
          <w:szCs w:val="20"/>
        </w:rPr>
        <w:t xml:space="preserve">. Hum Reprod. Update </w:t>
      </w:r>
      <w:r w:rsidR="006048BF" w:rsidRPr="00176193">
        <w:rPr>
          <w:sz w:val="20"/>
          <w:szCs w:val="20"/>
        </w:rPr>
        <w:t xml:space="preserve">1988; </w:t>
      </w:r>
      <w:r w:rsidRPr="00176193">
        <w:rPr>
          <w:sz w:val="20"/>
          <w:szCs w:val="20"/>
        </w:rPr>
        <w:t>5: 87-88.</w:t>
      </w:r>
    </w:p>
    <w:p w:rsidR="004D17FB" w:rsidRPr="00176193" w:rsidRDefault="004D17FB" w:rsidP="00560B79">
      <w:pPr>
        <w:numPr>
          <w:ilvl w:val="0"/>
          <w:numId w:val="11"/>
        </w:numPr>
        <w:bidi w:val="0"/>
        <w:jc w:val="lowKashida"/>
        <w:rPr>
          <w:sz w:val="20"/>
          <w:szCs w:val="20"/>
        </w:rPr>
      </w:pPr>
      <w:r w:rsidRPr="00176193">
        <w:rPr>
          <w:sz w:val="20"/>
          <w:szCs w:val="20"/>
        </w:rPr>
        <w:t xml:space="preserve">Lesny P, Killick SR, Tetlow RL </w:t>
      </w:r>
      <w:r w:rsidRPr="00176193">
        <w:rPr>
          <w:i/>
          <w:iCs/>
          <w:sz w:val="20"/>
          <w:szCs w:val="20"/>
        </w:rPr>
        <w:t>et al.</w:t>
      </w:r>
      <w:r w:rsidRPr="00176193">
        <w:rPr>
          <w:sz w:val="20"/>
          <w:szCs w:val="20"/>
        </w:rPr>
        <w:t xml:space="preserve"> embryo transfer-can we learn anything new from the observation of junctional zone contractions. Hum Reprod 1998; 13: 1540-1546.</w:t>
      </w:r>
    </w:p>
    <w:p w:rsidR="004D17FB" w:rsidRPr="00176193" w:rsidRDefault="004D17FB" w:rsidP="00560B79">
      <w:pPr>
        <w:numPr>
          <w:ilvl w:val="0"/>
          <w:numId w:val="11"/>
        </w:numPr>
        <w:bidi w:val="0"/>
        <w:jc w:val="lowKashida"/>
        <w:rPr>
          <w:sz w:val="20"/>
          <w:szCs w:val="20"/>
        </w:rPr>
      </w:pPr>
      <w:r w:rsidRPr="00176193">
        <w:rPr>
          <w:sz w:val="20"/>
          <w:szCs w:val="20"/>
        </w:rPr>
        <w:t>Lesny P, Killick SR, Tetlow RL. Embryo transfer and uterine junction zone contractions. Hum Reprod. Update 1999; 5: 87-88.</w:t>
      </w:r>
    </w:p>
    <w:p w:rsidR="00B22FF8" w:rsidRPr="00176193" w:rsidRDefault="00B22FF8" w:rsidP="00560B79">
      <w:pPr>
        <w:numPr>
          <w:ilvl w:val="0"/>
          <w:numId w:val="11"/>
        </w:numPr>
        <w:bidi w:val="0"/>
        <w:jc w:val="lowKashida"/>
        <w:rPr>
          <w:sz w:val="20"/>
          <w:szCs w:val="20"/>
        </w:rPr>
      </w:pPr>
      <w:r w:rsidRPr="00176193">
        <w:rPr>
          <w:sz w:val="20"/>
          <w:szCs w:val="20"/>
        </w:rPr>
        <w:t xml:space="preserve">Flisser E, Grifo JA, Kery LC, Noyes N. Transabdominal ultrasound-assisted embryo transfer and pregnancy outcome. Fertil Steril 2006; 85: 353-357. </w:t>
      </w:r>
    </w:p>
    <w:p w:rsidR="00B22FF8" w:rsidRPr="00176193" w:rsidRDefault="00EC105E" w:rsidP="00560B79">
      <w:pPr>
        <w:numPr>
          <w:ilvl w:val="0"/>
          <w:numId w:val="11"/>
        </w:numPr>
        <w:bidi w:val="0"/>
        <w:jc w:val="lowKashida"/>
        <w:rPr>
          <w:sz w:val="20"/>
          <w:szCs w:val="20"/>
        </w:rPr>
      </w:pPr>
      <w:r w:rsidRPr="00176193">
        <w:rPr>
          <w:sz w:val="20"/>
          <w:szCs w:val="20"/>
        </w:rPr>
        <w:t>Mirkin S, Jones EL, Mayer JF, Stadtmauer L, Gibbons WE, Oehunger S. Impact of transabdominal ultrasound guidance on performance and outcome of transcervical uterine embryo transfer. J Assist Reprod Genet 2003; 20: 318-22.</w:t>
      </w:r>
    </w:p>
    <w:p w:rsidR="00EC105E" w:rsidRPr="00176193" w:rsidRDefault="00EC105E" w:rsidP="00560B79">
      <w:pPr>
        <w:numPr>
          <w:ilvl w:val="0"/>
          <w:numId w:val="11"/>
        </w:numPr>
        <w:bidi w:val="0"/>
        <w:jc w:val="lowKashida"/>
        <w:rPr>
          <w:sz w:val="20"/>
          <w:szCs w:val="20"/>
        </w:rPr>
      </w:pPr>
      <w:r w:rsidRPr="00176193">
        <w:rPr>
          <w:sz w:val="20"/>
          <w:szCs w:val="20"/>
          <w:lang w:val="pt-BR"/>
        </w:rPr>
        <w:t xml:space="preserve">Matorras R, Urquijo E, Mendoza R, Corcostegui B, Exposito A, </w:t>
      </w:r>
      <w:r w:rsidR="007B165E" w:rsidRPr="00176193">
        <w:rPr>
          <w:sz w:val="20"/>
          <w:szCs w:val="20"/>
          <w:lang w:val="pt-BR"/>
        </w:rPr>
        <w:t xml:space="preserve">A, Rodriguez-Escudero FJ. </w:t>
      </w:r>
      <w:r w:rsidR="007B165E" w:rsidRPr="00176193">
        <w:rPr>
          <w:sz w:val="20"/>
          <w:szCs w:val="20"/>
        </w:rPr>
        <w:t>Ultrasound-guided embryo tr</w:t>
      </w:r>
      <w:r w:rsidR="004D17FB" w:rsidRPr="00176193">
        <w:rPr>
          <w:sz w:val="20"/>
          <w:szCs w:val="20"/>
        </w:rPr>
        <w:t>a</w:t>
      </w:r>
      <w:r w:rsidR="007B165E" w:rsidRPr="00176193">
        <w:rPr>
          <w:sz w:val="20"/>
          <w:szCs w:val="20"/>
        </w:rPr>
        <w:t>nsfer improves pregnancy rates and increases the frequency of easy transfers. Human Reprod 2002; 17: 1762-6.</w:t>
      </w:r>
    </w:p>
    <w:p w:rsidR="004D17FB" w:rsidRPr="00176193" w:rsidRDefault="004D17FB" w:rsidP="00560B79">
      <w:pPr>
        <w:numPr>
          <w:ilvl w:val="0"/>
          <w:numId w:val="11"/>
        </w:numPr>
        <w:bidi w:val="0"/>
        <w:jc w:val="lowKashida"/>
        <w:rPr>
          <w:sz w:val="20"/>
          <w:szCs w:val="20"/>
        </w:rPr>
      </w:pPr>
      <w:r w:rsidRPr="00176193">
        <w:rPr>
          <w:sz w:val="20"/>
          <w:szCs w:val="20"/>
        </w:rPr>
        <w:t xml:space="preserve">Prapas Y, Prapas N, Hatziparasidou A </w:t>
      </w:r>
      <w:r w:rsidR="00B56FBB" w:rsidRPr="00176193">
        <w:rPr>
          <w:i/>
          <w:iCs/>
          <w:sz w:val="20"/>
          <w:szCs w:val="20"/>
        </w:rPr>
        <w:t>et al.</w:t>
      </w:r>
      <w:r w:rsidR="00B56FBB" w:rsidRPr="00176193">
        <w:rPr>
          <w:sz w:val="20"/>
          <w:szCs w:val="20"/>
        </w:rPr>
        <w:t xml:space="preserve"> </w:t>
      </w:r>
      <w:r w:rsidRPr="00176193">
        <w:rPr>
          <w:sz w:val="20"/>
          <w:szCs w:val="20"/>
        </w:rPr>
        <w:t>The echoguide embryo transfer maximizes the IVF results Acta Eur Fertil 26: 113-115.</w:t>
      </w:r>
    </w:p>
    <w:p w:rsidR="007B165E" w:rsidRPr="00176193" w:rsidRDefault="007B165E" w:rsidP="00560B79">
      <w:pPr>
        <w:numPr>
          <w:ilvl w:val="0"/>
          <w:numId w:val="11"/>
        </w:numPr>
        <w:bidi w:val="0"/>
        <w:jc w:val="lowKashida"/>
        <w:rPr>
          <w:sz w:val="20"/>
          <w:szCs w:val="20"/>
        </w:rPr>
      </w:pPr>
      <w:r w:rsidRPr="00176193">
        <w:rPr>
          <w:sz w:val="20"/>
          <w:szCs w:val="20"/>
        </w:rPr>
        <w:t xml:space="preserve">Coroleu B, Carreras O, </w:t>
      </w:r>
      <w:r w:rsidR="008B6A6C" w:rsidRPr="00176193">
        <w:rPr>
          <w:sz w:val="20"/>
          <w:szCs w:val="20"/>
        </w:rPr>
        <w:t xml:space="preserve">Veiga A, Veiga A, Martell, A, Martinez F, Belil I, Hereter L and Barri PN Embryo transfer under ultrasound </w:t>
      </w:r>
      <w:r w:rsidR="008B6A6C" w:rsidRPr="00176193">
        <w:rPr>
          <w:sz w:val="20"/>
          <w:szCs w:val="20"/>
        </w:rPr>
        <w:lastRenderedPageBreak/>
        <w:t xml:space="preserve">guidance improves pregnancy rates after </w:t>
      </w:r>
      <w:r w:rsidR="008B6A6C" w:rsidRPr="00176193">
        <w:rPr>
          <w:i/>
          <w:iCs/>
          <w:sz w:val="20"/>
          <w:szCs w:val="20"/>
        </w:rPr>
        <w:t>in-vitro</w:t>
      </w:r>
      <w:r w:rsidR="008B6A6C" w:rsidRPr="00176193">
        <w:rPr>
          <w:sz w:val="20"/>
          <w:szCs w:val="20"/>
        </w:rPr>
        <w:t xml:space="preserve"> fertilization. Huma Reprod 2000; 15: 616-620.</w:t>
      </w:r>
    </w:p>
    <w:p w:rsidR="008B6A6C" w:rsidRPr="00176193" w:rsidRDefault="008B6A6C" w:rsidP="00560B79">
      <w:pPr>
        <w:numPr>
          <w:ilvl w:val="0"/>
          <w:numId w:val="11"/>
        </w:numPr>
        <w:bidi w:val="0"/>
        <w:jc w:val="lowKashida"/>
        <w:rPr>
          <w:sz w:val="20"/>
          <w:szCs w:val="20"/>
        </w:rPr>
      </w:pPr>
      <w:r w:rsidRPr="00176193">
        <w:rPr>
          <w:sz w:val="20"/>
          <w:szCs w:val="20"/>
        </w:rPr>
        <w:t>Al-Shawaf T, Dave R, Harper</w:t>
      </w:r>
      <w:r w:rsidR="005D5D6D" w:rsidRPr="00176193">
        <w:rPr>
          <w:sz w:val="20"/>
          <w:szCs w:val="20"/>
        </w:rPr>
        <w:t xml:space="preserve"> J </w:t>
      </w:r>
      <w:r w:rsidR="00B56FBB" w:rsidRPr="00176193">
        <w:rPr>
          <w:i/>
          <w:iCs/>
          <w:sz w:val="20"/>
          <w:szCs w:val="20"/>
        </w:rPr>
        <w:t>et al.</w:t>
      </w:r>
      <w:r w:rsidR="00B56FBB" w:rsidRPr="00176193">
        <w:rPr>
          <w:sz w:val="20"/>
          <w:szCs w:val="20"/>
        </w:rPr>
        <w:t xml:space="preserve"> </w:t>
      </w:r>
      <w:r w:rsidR="005D5D6D" w:rsidRPr="00176193">
        <w:rPr>
          <w:sz w:val="20"/>
          <w:szCs w:val="20"/>
        </w:rPr>
        <w:t>Tr</w:t>
      </w:r>
      <w:r w:rsidR="004D17FB" w:rsidRPr="00176193">
        <w:rPr>
          <w:sz w:val="20"/>
          <w:szCs w:val="20"/>
        </w:rPr>
        <w:t>a</w:t>
      </w:r>
      <w:r w:rsidR="005D5D6D" w:rsidRPr="00176193">
        <w:rPr>
          <w:sz w:val="20"/>
          <w:szCs w:val="20"/>
        </w:rPr>
        <w:t xml:space="preserve">nsfer of embryos into the uterus: how much do technical factors </w:t>
      </w:r>
      <w:r w:rsidR="004D17FB" w:rsidRPr="00176193">
        <w:rPr>
          <w:sz w:val="20"/>
          <w:szCs w:val="20"/>
        </w:rPr>
        <w:t>affect pregnancy rate</w:t>
      </w:r>
      <w:r w:rsidR="005D5D6D" w:rsidRPr="00176193">
        <w:rPr>
          <w:sz w:val="20"/>
          <w:szCs w:val="20"/>
        </w:rPr>
        <w:t>s? J Assist Reprod Genet 1993; 10: 31-36.</w:t>
      </w:r>
      <w:r w:rsidRPr="00176193">
        <w:rPr>
          <w:sz w:val="20"/>
          <w:szCs w:val="20"/>
        </w:rPr>
        <w:t xml:space="preserve"> </w:t>
      </w:r>
    </w:p>
    <w:p w:rsidR="005D5D6D" w:rsidRPr="00176193" w:rsidRDefault="005D5D6D" w:rsidP="00560B79">
      <w:pPr>
        <w:numPr>
          <w:ilvl w:val="0"/>
          <w:numId w:val="11"/>
        </w:numPr>
        <w:bidi w:val="0"/>
        <w:jc w:val="lowKashida"/>
        <w:rPr>
          <w:sz w:val="20"/>
          <w:szCs w:val="20"/>
        </w:rPr>
      </w:pPr>
      <w:r w:rsidRPr="00176193">
        <w:rPr>
          <w:sz w:val="20"/>
          <w:szCs w:val="20"/>
        </w:rPr>
        <w:t xml:space="preserve">Kan AKS, Abdalla HI, Gafar AH </w:t>
      </w:r>
      <w:r w:rsidR="00B56FBB" w:rsidRPr="00176193">
        <w:rPr>
          <w:i/>
          <w:iCs/>
          <w:sz w:val="20"/>
          <w:szCs w:val="20"/>
        </w:rPr>
        <w:t>et al.</w:t>
      </w:r>
      <w:r w:rsidR="00B56FBB" w:rsidRPr="00176193">
        <w:rPr>
          <w:sz w:val="20"/>
          <w:szCs w:val="20"/>
        </w:rPr>
        <w:t xml:space="preserve"> </w:t>
      </w:r>
      <w:r w:rsidRPr="00176193">
        <w:rPr>
          <w:sz w:val="20"/>
          <w:szCs w:val="20"/>
        </w:rPr>
        <w:t>Embryo Tr</w:t>
      </w:r>
      <w:r w:rsidR="004D17FB" w:rsidRPr="00176193">
        <w:rPr>
          <w:sz w:val="20"/>
          <w:szCs w:val="20"/>
        </w:rPr>
        <w:t>a</w:t>
      </w:r>
      <w:r w:rsidRPr="00176193">
        <w:rPr>
          <w:sz w:val="20"/>
          <w:szCs w:val="20"/>
        </w:rPr>
        <w:t>nsfer ultrasound-</w:t>
      </w:r>
      <w:r w:rsidR="004D17FB" w:rsidRPr="00176193">
        <w:rPr>
          <w:sz w:val="20"/>
          <w:szCs w:val="20"/>
        </w:rPr>
        <w:t xml:space="preserve">guided versus clinical </w:t>
      </w:r>
      <w:r w:rsidRPr="00176193">
        <w:rPr>
          <w:sz w:val="20"/>
          <w:szCs w:val="20"/>
        </w:rPr>
        <w:t>touch</w:t>
      </w:r>
      <w:r w:rsidR="004D17FB" w:rsidRPr="00176193">
        <w:rPr>
          <w:sz w:val="20"/>
          <w:szCs w:val="20"/>
        </w:rPr>
        <w:t>.</w:t>
      </w:r>
      <w:r w:rsidRPr="00176193">
        <w:rPr>
          <w:sz w:val="20"/>
          <w:szCs w:val="20"/>
        </w:rPr>
        <w:t xml:space="preserve"> Hum Reprod 1999; 14: 1259-1261.</w:t>
      </w:r>
    </w:p>
    <w:p w:rsidR="005D5D6D" w:rsidRPr="00176193" w:rsidRDefault="005D5D6D" w:rsidP="00560B79">
      <w:pPr>
        <w:numPr>
          <w:ilvl w:val="0"/>
          <w:numId w:val="11"/>
        </w:numPr>
        <w:bidi w:val="0"/>
        <w:jc w:val="lowKashida"/>
        <w:rPr>
          <w:sz w:val="20"/>
          <w:szCs w:val="20"/>
        </w:rPr>
      </w:pPr>
      <w:r w:rsidRPr="00176193">
        <w:rPr>
          <w:sz w:val="20"/>
          <w:szCs w:val="20"/>
        </w:rPr>
        <w:t xml:space="preserve">Brown JA, Buckingham K, About-Setta A, Buckett W. Ultrasound versus "clinical touch" for catheter guidance during embryo transfer in </w:t>
      </w:r>
      <w:r w:rsidRPr="00176193">
        <w:rPr>
          <w:sz w:val="20"/>
          <w:szCs w:val="20"/>
        </w:rPr>
        <w:lastRenderedPageBreak/>
        <w:t>women [review]. The Cochrane Database Syst Rev 2010; 20(1): CD006107.</w:t>
      </w:r>
    </w:p>
    <w:p w:rsidR="004D17FB" w:rsidRPr="00176193" w:rsidRDefault="004D17FB" w:rsidP="00560B79">
      <w:pPr>
        <w:numPr>
          <w:ilvl w:val="0"/>
          <w:numId w:val="11"/>
        </w:numPr>
        <w:bidi w:val="0"/>
        <w:jc w:val="lowKashida"/>
        <w:rPr>
          <w:sz w:val="20"/>
          <w:szCs w:val="20"/>
        </w:rPr>
      </w:pPr>
      <w:r w:rsidRPr="00176193">
        <w:rPr>
          <w:sz w:val="20"/>
          <w:szCs w:val="20"/>
        </w:rPr>
        <w:t>Bucktt WM. A meta-analysis of ultrasound-guided versus clinical touch embryo transfer. Fertil Steril 2003; 80: 1037-41.</w:t>
      </w:r>
    </w:p>
    <w:p w:rsidR="005D5D6D" w:rsidRPr="00176193" w:rsidRDefault="005D5D6D" w:rsidP="00560B79">
      <w:pPr>
        <w:numPr>
          <w:ilvl w:val="0"/>
          <w:numId w:val="11"/>
        </w:numPr>
        <w:bidi w:val="0"/>
        <w:jc w:val="lowKashida"/>
        <w:rPr>
          <w:sz w:val="20"/>
          <w:szCs w:val="20"/>
        </w:rPr>
      </w:pPr>
      <w:r w:rsidRPr="00176193">
        <w:rPr>
          <w:sz w:val="20"/>
          <w:szCs w:val="20"/>
        </w:rPr>
        <w:t>Abou-Setta</w:t>
      </w:r>
      <w:r w:rsidR="004D17FB" w:rsidRPr="00176193">
        <w:rPr>
          <w:sz w:val="20"/>
          <w:szCs w:val="20"/>
        </w:rPr>
        <w:t xml:space="preserve"> </w:t>
      </w:r>
      <w:r w:rsidRPr="00176193">
        <w:rPr>
          <w:sz w:val="20"/>
          <w:szCs w:val="20"/>
        </w:rPr>
        <w:t>AM, Mansour RT. Al-Inany HG. Aboulghar MM. Aboulghar MA, Serour GI. Among women undergoing Embryo transfer, is the probability of pregnancy and life birth improved with ultrasound guidance over clinical touch alone? A systemic review and meta-analysis of prospective randomized trials. Fertil Steril 2007; 88: 333-41.</w:t>
      </w:r>
    </w:p>
    <w:p w:rsidR="00176193" w:rsidRDefault="00176193" w:rsidP="00560B79">
      <w:pPr>
        <w:tabs>
          <w:tab w:val="right" w:pos="540"/>
        </w:tabs>
        <w:bidi w:val="0"/>
        <w:jc w:val="lowKashida"/>
        <w:rPr>
          <w:sz w:val="20"/>
          <w:szCs w:val="20"/>
        </w:rPr>
        <w:sectPr w:rsidR="00176193" w:rsidSect="000B2074">
          <w:type w:val="continuous"/>
          <w:pgSz w:w="12240" w:h="15840" w:code="1"/>
          <w:pgMar w:top="1440" w:right="1440" w:bottom="1440" w:left="1440" w:header="720" w:footer="720" w:gutter="0"/>
          <w:cols w:num="2" w:space="709"/>
          <w:docGrid w:linePitch="360"/>
        </w:sectPr>
      </w:pPr>
    </w:p>
    <w:p w:rsidR="005D5D6D" w:rsidRPr="00176193" w:rsidRDefault="005D5D6D" w:rsidP="00560B79">
      <w:pPr>
        <w:tabs>
          <w:tab w:val="right" w:pos="540"/>
        </w:tabs>
        <w:bidi w:val="0"/>
        <w:jc w:val="lowKashida"/>
        <w:rPr>
          <w:sz w:val="20"/>
          <w:szCs w:val="20"/>
        </w:rPr>
      </w:pPr>
    </w:p>
    <w:p w:rsidR="00176193" w:rsidRPr="00176193" w:rsidRDefault="00176193" w:rsidP="00176193">
      <w:pPr>
        <w:tabs>
          <w:tab w:val="right" w:pos="540"/>
        </w:tabs>
        <w:bidi w:val="0"/>
        <w:jc w:val="lowKashida"/>
        <w:rPr>
          <w:sz w:val="20"/>
          <w:szCs w:val="20"/>
        </w:rPr>
      </w:pPr>
    </w:p>
    <w:p w:rsidR="00176193" w:rsidRPr="00176193" w:rsidRDefault="00176193" w:rsidP="00176193">
      <w:pPr>
        <w:tabs>
          <w:tab w:val="right" w:pos="540"/>
        </w:tabs>
        <w:bidi w:val="0"/>
        <w:jc w:val="lowKashida"/>
        <w:rPr>
          <w:sz w:val="20"/>
          <w:szCs w:val="20"/>
        </w:rPr>
      </w:pPr>
      <w:r w:rsidRPr="00176193">
        <w:rPr>
          <w:sz w:val="20"/>
          <w:szCs w:val="20"/>
        </w:rPr>
        <w:t>12/2/2013</w:t>
      </w:r>
    </w:p>
    <w:sectPr w:rsidR="00176193" w:rsidRPr="00176193" w:rsidSect="00176193">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64B" w:rsidRDefault="00F3764B">
      <w:r>
        <w:separator/>
      </w:r>
    </w:p>
  </w:endnote>
  <w:endnote w:type="continuationSeparator" w:id="0">
    <w:p w:rsidR="00F3764B" w:rsidRDefault="00F37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F2" w:rsidRDefault="00C46DE3" w:rsidP="00A43490">
    <w:pPr>
      <w:pStyle w:val="Footer"/>
      <w:framePr w:wrap="around" w:vAnchor="text" w:hAnchor="text" w:xAlign="center" w:y="1"/>
      <w:rPr>
        <w:rStyle w:val="PageNumber"/>
      </w:rPr>
    </w:pPr>
    <w:r>
      <w:rPr>
        <w:rStyle w:val="PageNumber"/>
        <w:rtl/>
      </w:rPr>
      <w:fldChar w:fldCharType="begin"/>
    </w:r>
    <w:r w:rsidR="00F904F2">
      <w:rPr>
        <w:rStyle w:val="PageNumber"/>
      </w:rPr>
      <w:instrText xml:space="preserve">PAGE  </w:instrText>
    </w:r>
    <w:r>
      <w:rPr>
        <w:rStyle w:val="PageNumber"/>
        <w:rtl/>
      </w:rPr>
      <w:fldChar w:fldCharType="separate"/>
    </w:r>
    <w:r w:rsidR="00F904F2">
      <w:rPr>
        <w:rStyle w:val="PageNumber"/>
        <w:noProof/>
        <w:rtl/>
      </w:rPr>
      <w:t>- 9 -</w:t>
    </w:r>
    <w:r>
      <w:rPr>
        <w:rStyle w:val="PageNumber"/>
        <w:rtl/>
      </w:rPr>
      <w:fldChar w:fldCharType="end"/>
    </w:r>
  </w:p>
  <w:p w:rsidR="00F904F2" w:rsidRDefault="00F904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CE" w:rsidRPr="001E1539" w:rsidRDefault="00C46DE3" w:rsidP="001E1539">
    <w:pPr>
      <w:bidi w:val="0"/>
      <w:jc w:val="center"/>
      <w:rPr>
        <w:sz w:val="20"/>
      </w:rPr>
    </w:pPr>
    <w:r w:rsidRPr="001E1539">
      <w:rPr>
        <w:sz w:val="20"/>
      </w:rPr>
      <w:fldChar w:fldCharType="begin"/>
    </w:r>
    <w:r w:rsidR="001E1539" w:rsidRPr="001E1539">
      <w:rPr>
        <w:sz w:val="20"/>
      </w:rPr>
      <w:instrText xml:space="preserve"> page </w:instrText>
    </w:r>
    <w:r w:rsidRPr="001E1539">
      <w:rPr>
        <w:sz w:val="20"/>
      </w:rPr>
      <w:fldChar w:fldCharType="separate"/>
    </w:r>
    <w:r w:rsidR="00707520">
      <w:rPr>
        <w:noProof/>
        <w:sz w:val="20"/>
      </w:rPr>
      <w:t>79</w:t>
    </w:r>
    <w:r w:rsidRPr="001E153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64B" w:rsidRDefault="00F3764B">
      <w:r>
        <w:separator/>
      </w:r>
    </w:p>
  </w:footnote>
  <w:footnote w:type="continuationSeparator" w:id="0">
    <w:p w:rsidR="00F3764B" w:rsidRDefault="00F37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39" w:rsidRPr="001E1539" w:rsidRDefault="001E1539" w:rsidP="001E1539">
    <w:pPr>
      <w:pBdr>
        <w:bottom w:val="thinThickMediumGap" w:sz="12" w:space="1" w:color="auto"/>
      </w:pBdr>
      <w:tabs>
        <w:tab w:val="left" w:pos="851"/>
        <w:tab w:val="right" w:pos="8364"/>
      </w:tabs>
      <w:bidi w:val="0"/>
      <w:adjustRightInd w:val="0"/>
      <w:snapToGrid w:val="0"/>
      <w:jc w:val="both"/>
      <w:rPr>
        <w:iCs/>
        <w:sz w:val="20"/>
        <w:szCs w:val="20"/>
      </w:rPr>
    </w:pPr>
    <w:bookmarkStart w:id="0" w:name="OLE_LINK2"/>
    <w:bookmarkStart w:id="1" w:name="_Hlk302678399"/>
    <w:bookmarkStart w:id="2" w:name="_Hlk302678401"/>
    <w:r w:rsidRPr="001E1539">
      <w:rPr>
        <w:rFonts w:hint="eastAsia"/>
        <w:sz w:val="20"/>
        <w:szCs w:val="20"/>
      </w:rPr>
      <w:tab/>
    </w:r>
    <w:r w:rsidRPr="001E1539">
      <w:rPr>
        <w:sz w:val="20"/>
        <w:szCs w:val="20"/>
      </w:rPr>
      <w:t>New York Science Journal 2013;6(</w:t>
    </w:r>
    <w:r w:rsidRPr="001E1539">
      <w:rPr>
        <w:rFonts w:hint="eastAsia"/>
        <w:sz w:val="20"/>
        <w:szCs w:val="20"/>
      </w:rPr>
      <w:t>12</w:t>
    </w:r>
    <w:r w:rsidRPr="001E1539">
      <w:rPr>
        <w:sz w:val="20"/>
        <w:szCs w:val="20"/>
      </w:rPr>
      <w:t>)</w:t>
    </w:r>
    <w:r w:rsidRPr="001E1539">
      <w:rPr>
        <w:iCs/>
        <w:sz w:val="20"/>
        <w:szCs w:val="20"/>
      </w:rPr>
      <w:t xml:space="preserve">     </w:t>
    </w:r>
    <w:r w:rsidRPr="001E1539">
      <w:rPr>
        <w:rFonts w:hint="eastAsia"/>
        <w:iCs/>
        <w:sz w:val="20"/>
        <w:szCs w:val="20"/>
      </w:rPr>
      <w:tab/>
    </w:r>
    <w:r w:rsidRPr="001E1539">
      <w:rPr>
        <w:iCs/>
        <w:sz w:val="20"/>
        <w:szCs w:val="20"/>
      </w:rPr>
      <w:t xml:space="preserve"> </w:t>
    </w:r>
    <w:r w:rsidRPr="001E1539">
      <w:rPr>
        <w:rFonts w:hint="eastAsia"/>
        <w:iCs/>
        <w:sz w:val="20"/>
        <w:szCs w:val="20"/>
      </w:rPr>
      <w:t xml:space="preserve"> </w:t>
    </w:r>
    <w:r w:rsidRPr="001E1539">
      <w:rPr>
        <w:iCs/>
        <w:sz w:val="20"/>
        <w:szCs w:val="20"/>
      </w:rPr>
      <w:t xml:space="preserve">   </w:t>
    </w:r>
    <w:hyperlink r:id="rId1" w:history="1">
      <w:r w:rsidRPr="001E1539">
        <w:rPr>
          <w:rStyle w:val="Hyperlink"/>
          <w:sz w:val="20"/>
          <w:szCs w:val="20"/>
        </w:rPr>
        <w:t>http://www.sciencepub.net/newyork</w:t>
      </w:r>
    </w:hyperlink>
    <w:bookmarkEnd w:id="0"/>
    <w:bookmarkEnd w:id="1"/>
    <w:bookmarkEnd w:id="2"/>
  </w:p>
  <w:p w:rsidR="001E1539" w:rsidRPr="001E1539" w:rsidRDefault="001E1539" w:rsidP="001E1539">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25E7E"/>
    <w:multiLevelType w:val="hybridMultilevel"/>
    <w:tmpl w:val="B484DC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9B41145"/>
    <w:multiLevelType w:val="multilevel"/>
    <w:tmpl w:val="D44622D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CD2355F"/>
    <w:multiLevelType w:val="hybridMultilevel"/>
    <w:tmpl w:val="AC50F184"/>
    <w:lvl w:ilvl="0" w:tplc="5352EB5C">
      <w:start w:val="1"/>
      <w:numFmt w:val="bullet"/>
      <w:lvlText w:val="-"/>
      <w:lvlJc w:val="left"/>
      <w:pPr>
        <w:tabs>
          <w:tab w:val="num" w:pos="1740"/>
        </w:tabs>
        <w:ind w:left="1740" w:hanging="10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6C30C30"/>
    <w:multiLevelType w:val="hybridMultilevel"/>
    <w:tmpl w:val="96746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053BD4"/>
    <w:multiLevelType w:val="multilevel"/>
    <w:tmpl w:val="D44622D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AFA507A"/>
    <w:multiLevelType w:val="hybridMultilevel"/>
    <w:tmpl w:val="F45874E8"/>
    <w:lvl w:ilvl="0" w:tplc="4C303AEE">
      <w:start w:val="1"/>
      <w:numFmt w:val="upperLetter"/>
      <w:lvlText w:val="%1."/>
      <w:lvlJc w:val="left"/>
      <w:pPr>
        <w:tabs>
          <w:tab w:val="num" w:pos="720"/>
        </w:tabs>
        <w:ind w:left="720" w:hanging="360"/>
      </w:pPr>
      <w:rPr>
        <w:rFonts w:hint="default"/>
        <w:b/>
        <w:bCs/>
        <w:i/>
        <w:i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5F0F8C"/>
    <w:multiLevelType w:val="hybridMultilevel"/>
    <w:tmpl w:val="E4E0E018"/>
    <w:lvl w:ilvl="0" w:tplc="CC4AAE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64033B"/>
    <w:multiLevelType w:val="hybridMultilevel"/>
    <w:tmpl w:val="26363CBA"/>
    <w:lvl w:ilvl="0" w:tplc="334EAF1A">
      <w:start w:val="1"/>
      <w:numFmt w:val="upperLetter"/>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24D3D"/>
    <w:multiLevelType w:val="hybridMultilevel"/>
    <w:tmpl w:val="D44622DC"/>
    <w:lvl w:ilvl="0" w:tplc="06867EF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DE06C0"/>
    <w:multiLevelType w:val="hybridMultilevel"/>
    <w:tmpl w:val="4BD6B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F6265F"/>
    <w:multiLevelType w:val="hybridMultilevel"/>
    <w:tmpl w:val="8F7E691E"/>
    <w:lvl w:ilvl="0" w:tplc="043AA674">
      <w:start w:val="1"/>
      <w:numFmt w:val="upperLetter"/>
      <w:lvlText w:val="%1."/>
      <w:lvlJc w:val="left"/>
      <w:pPr>
        <w:tabs>
          <w:tab w:val="num" w:pos="720"/>
        </w:tabs>
        <w:ind w:left="720" w:hanging="360"/>
      </w:pPr>
      <w:rPr>
        <w:rFonts w:hint="default"/>
        <w:b/>
        <w:bCs/>
        <w:i/>
        <w:i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4"/>
  </w:num>
  <w:num w:numId="5">
    <w:abstractNumId w:val="10"/>
  </w:num>
  <w:num w:numId="6">
    <w:abstractNumId w:val="6"/>
  </w:num>
  <w:num w:numId="7">
    <w:abstractNumId w:val="7"/>
  </w:num>
  <w:num w:numId="8">
    <w:abstractNumId w:val="2"/>
  </w:num>
  <w:num w:numId="9">
    <w:abstractNumId w:val="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5F21"/>
    <w:rsid w:val="000037DF"/>
    <w:rsid w:val="00003F1A"/>
    <w:rsid w:val="00026F7D"/>
    <w:rsid w:val="00031B29"/>
    <w:rsid w:val="0005216B"/>
    <w:rsid w:val="000545B4"/>
    <w:rsid w:val="00061260"/>
    <w:rsid w:val="000617DC"/>
    <w:rsid w:val="000731E8"/>
    <w:rsid w:val="00086496"/>
    <w:rsid w:val="000A5466"/>
    <w:rsid w:val="000B2074"/>
    <w:rsid w:val="000E2728"/>
    <w:rsid w:val="000E530B"/>
    <w:rsid w:val="000F1ED0"/>
    <w:rsid w:val="000F42E1"/>
    <w:rsid w:val="000F7A42"/>
    <w:rsid w:val="00101E0C"/>
    <w:rsid w:val="001107E6"/>
    <w:rsid w:val="00114798"/>
    <w:rsid w:val="00120C1B"/>
    <w:rsid w:val="00136BFE"/>
    <w:rsid w:val="00140720"/>
    <w:rsid w:val="00163554"/>
    <w:rsid w:val="00171F29"/>
    <w:rsid w:val="00176193"/>
    <w:rsid w:val="00180A83"/>
    <w:rsid w:val="001835CC"/>
    <w:rsid w:val="0018436C"/>
    <w:rsid w:val="001845C2"/>
    <w:rsid w:val="00185864"/>
    <w:rsid w:val="001A7E23"/>
    <w:rsid w:val="001C0A18"/>
    <w:rsid w:val="001C1B9B"/>
    <w:rsid w:val="001D1CD3"/>
    <w:rsid w:val="001D2F2E"/>
    <w:rsid w:val="001E1539"/>
    <w:rsid w:val="002066C0"/>
    <w:rsid w:val="00214022"/>
    <w:rsid w:val="00226A92"/>
    <w:rsid w:val="00243AE3"/>
    <w:rsid w:val="00246A95"/>
    <w:rsid w:val="00266FF4"/>
    <w:rsid w:val="002805CF"/>
    <w:rsid w:val="002931BD"/>
    <w:rsid w:val="00293BDE"/>
    <w:rsid w:val="002A39B2"/>
    <w:rsid w:val="002A5296"/>
    <w:rsid w:val="002D3655"/>
    <w:rsid w:val="002E0B9B"/>
    <w:rsid w:val="002F068C"/>
    <w:rsid w:val="003136EB"/>
    <w:rsid w:val="00316E13"/>
    <w:rsid w:val="00317107"/>
    <w:rsid w:val="003343F3"/>
    <w:rsid w:val="00334562"/>
    <w:rsid w:val="0034015F"/>
    <w:rsid w:val="00344AED"/>
    <w:rsid w:val="00351FB0"/>
    <w:rsid w:val="00356580"/>
    <w:rsid w:val="00357347"/>
    <w:rsid w:val="003658AF"/>
    <w:rsid w:val="00370BED"/>
    <w:rsid w:val="00384A58"/>
    <w:rsid w:val="00395596"/>
    <w:rsid w:val="003A5EBC"/>
    <w:rsid w:val="003B7235"/>
    <w:rsid w:val="003C46DE"/>
    <w:rsid w:val="003D587E"/>
    <w:rsid w:val="003F1782"/>
    <w:rsid w:val="00404802"/>
    <w:rsid w:val="0040749E"/>
    <w:rsid w:val="00410AD8"/>
    <w:rsid w:val="004115C1"/>
    <w:rsid w:val="004330DA"/>
    <w:rsid w:val="00447B47"/>
    <w:rsid w:val="004500F6"/>
    <w:rsid w:val="004666D5"/>
    <w:rsid w:val="0048627A"/>
    <w:rsid w:val="004940DD"/>
    <w:rsid w:val="004A1792"/>
    <w:rsid w:val="004A3283"/>
    <w:rsid w:val="004A5421"/>
    <w:rsid w:val="004A6E68"/>
    <w:rsid w:val="004B0531"/>
    <w:rsid w:val="004B5796"/>
    <w:rsid w:val="004C7B0A"/>
    <w:rsid w:val="004D17FB"/>
    <w:rsid w:val="00514311"/>
    <w:rsid w:val="00523637"/>
    <w:rsid w:val="00536D2B"/>
    <w:rsid w:val="00560B79"/>
    <w:rsid w:val="00561FFB"/>
    <w:rsid w:val="00583D02"/>
    <w:rsid w:val="00592CFE"/>
    <w:rsid w:val="0059398C"/>
    <w:rsid w:val="005D37D0"/>
    <w:rsid w:val="005D5D6D"/>
    <w:rsid w:val="005E72BF"/>
    <w:rsid w:val="006048BF"/>
    <w:rsid w:val="00622DD3"/>
    <w:rsid w:val="00631A80"/>
    <w:rsid w:val="00633BFF"/>
    <w:rsid w:val="00645C7A"/>
    <w:rsid w:val="00651723"/>
    <w:rsid w:val="00653F31"/>
    <w:rsid w:val="00684486"/>
    <w:rsid w:val="006A006F"/>
    <w:rsid w:val="006D428B"/>
    <w:rsid w:val="006D59E2"/>
    <w:rsid w:val="006E2D92"/>
    <w:rsid w:val="006F116E"/>
    <w:rsid w:val="006F49F7"/>
    <w:rsid w:val="00707520"/>
    <w:rsid w:val="007140B4"/>
    <w:rsid w:val="00717134"/>
    <w:rsid w:val="007255CD"/>
    <w:rsid w:val="00734683"/>
    <w:rsid w:val="00743A0E"/>
    <w:rsid w:val="007508B8"/>
    <w:rsid w:val="00763CB3"/>
    <w:rsid w:val="00772427"/>
    <w:rsid w:val="007732A1"/>
    <w:rsid w:val="00776BF2"/>
    <w:rsid w:val="007B165E"/>
    <w:rsid w:val="007B2B8B"/>
    <w:rsid w:val="007B4340"/>
    <w:rsid w:val="007E2F69"/>
    <w:rsid w:val="008035CE"/>
    <w:rsid w:val="008040B7"/>
    <w:rsid w:val="0080494A"/>
    <w:rsid w:val="00835F21"/>
    <w:rsid w:val="00837485"/>
    <w:rsid w:val="0084451C"/>
    <w:rsid w:val="008552A2"/>
    <w:rsid w:val="00872845"/>
    <w:rsid w:val="00876D26"/>
    <w:rsid w:val="008920C8"/>
    <w:rsid w:val="008B3AC7"/>
    <w:rsid w:val="008B6A6C"/>
    <w:rsid w:val="008C15A3"/>
    <w:rsid w:val="008C505D"/>
    <w:rsid w:val="008C65F5"/>
    <w:rsid w:val="008D0EC2"/>
    <w:rsid w:val="008D22B9"/>
    <w:rsid w:val="00905B25"/>
    <w:rsid w:val="00906284"/>
    <w:rsid w:val="00916A4E"/>
    <w:rsid w:val="009414F6"/>
    <w:rsid w:val="00942C67"/>
    <w:rsid w:val="009577DC"/>
    <w:rsid w:val="00982350"/>
    <w:rsid w:val="009A2E29"/>
    <w:rsid w:val="009A4118"/>
    <w:rsid w:val="009A6457"/>
    <w:rsid w:val="009C2F5F"/>
    <w:rsid w:val="009C56F0"/>
    <w:rsid w:val="009D679B"/>
    <w:rsid w:val="009F14EC"/>
    <w:rsid w:val="009F769E"/>
    <w:rsid w:val="009F7F8E"/>
    <w:rsid w:val="00A0148E"/>
    <w:rsid w:val="00A3180F"/>
    <w:rsid w:val="00A332AA"/>
    <w:rsid w:val="00A43490"/>
    <w:rsid w:val="00A6489E"/>
    <w:rsid w:val="00A64B96"/>
    <w:rsid w:val="00AA5C11"/>
    <w:rsid w:val="00AB3F13"/>
    <w:rsid w:val="00B11F1C"/>
    <w:rsid w:val="00B17DC3"/>
    <w:rsid w:val="00B22FF8"/>
    <w:rsid w:val="00B447A4"/>
    <w:rsid w:val="00B4783C"/>
    <w:rsid w:val="00B538EA"/>
    <w:rsid w:val="00B56FBB"/>
    <w:rsid w:val="00B64531"/>
    <w:rsid w:val="00B76093"/>
    <w:rsid w:val="00B761B4"/>
    <w:rsid w:val="00BB0B85"/>
    <w:rsid w:val="00BB24E2"/>
    <w:rsid w:val="00BE0747"/>
    <w:rsid w:val="00BF4C09"/>
    <w:rsid w:val="00C014DC"/>
    <w:rsid w:val="00C37F50"/>
    <w:rsid w:val="00C46DE3"/>
    <w:rsid w:val="00C5198D"/>
    <w:rsid w:val="00C65B52"/>
    <w:rsid w:val="00C65D0C"/>
    <w:rsid w:val="00C714DD"/>
    <w:rsid w:val="00C75554"/>
    <w:rsid w:val="00C77190"/>
    <w:rsid w:val="00C92B1F"/>
    <w:rsid w:val="00CA7FC1"/>
    <w:rsid w:val="00CE5827"/>
    <w:rsid w:val="00CE5EC3"/>
    <w:rsid w:val="00CF392D"/>
    <w:rsid w:val="00D0719F"/>
    <w:rsid w:val="00D3006A"/>
    <w:rsid w:val="00D30C47"/>
    <w:rsid w:val="00D5075E"/>
    <w:rsid w:val="00D541A8"/>
    <w:rsid w:val="00D62303"/>
    <w:rsid w:val="00D66F30"/>
    <w:rsid w:val="00D741BC"/>
    <w:rsid w:val="00D808E0"/>
    <w:rsid w:val="00DA0B22"/>
    <w:rsid w:val="00DA2C24"/>
    <w:rsid w:val="00DA61ED"/>
    <w:rsid w:val="00DB44B9"/>
    <w:rsid w:val="00DB611C"/>
    <w:rsid w:val="00DC1A90"/>
    <w:rsid w:val="00DD3F5C"/>
    <w:rsid w:val="00DF0BA5"/>
    <w:rsid w:val="00DF2C78"/>
    <w:rsid w:val="00DF43F8"/>
    <w:rsid w:val="00DF61A2"/>
    <w:rsid w:val="00E00A4F"/>
    <w:rsid w:val="00E0116C"/>
    <w:rsid w:val="00E02997"/>
    <w:rsid w:val="00E23A3D"/>
    <w:rsid w:val="00E35F1B"/>
    <w:rsid w:val="00E5698B"/>
    <w:rsid w:val="00E64588"/>
    <w:rsid w:val="00E730E8"/>
    <w:rsid w:val="00E863C3"/>
    <w:rsid w:val="00EA0D69"/>
    <w:rsid w:val="00EA1579"/>
    <w:rsid w:val="00EA2CED"/>
    <w:rsid w:val="00EB41EB"/>
    <w:rsid w:val="00EC105E"/>
    <w:rsid w:val="00ED5A70"/>
    <w:rsid w:val="00ED621D"/>
    <w:rsid w:val="00EE23BD"/>
    <w:rsid w:val="00EF5FDB"/>
    <w:rsid w:val="00F01B86"/>
    <w:rsid w:val="00F26B5B"/>
    <w:rsid w:val="00F313D1"/>
    <w:rsid w:val="00F3764B"/>
    <w:rsid w:val="00F43A6B"/>
    <w:rsid w:val="00F50582"/>
    <w:rsid w:val="00F50F98"/>
    <w:rsid w:val="00F51E56"/>
    <w:rsid w:val="00F665FF"/>
    <w:rsid w:val="00F73678"/>
    <w:rsid w:val="00F904F2"/>
    <w:rsid w:val="00F9739A"/>
    <w:rsid w:val="00FA026D"/>
    <w:rsid w:val="00FA2F81"/>
    <w:rsid w:val="00FB1785"/>
    <w:rsid w:val="00FB696B"/>
    <w:rsid w:val="00FC0EBA"/>
    <w:rsid w:val="00FC696B"/>
    <w:rsid w:val="00FE187C"/>
    <w:rsid w:val="00FF12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C67"/>
    <w:pPr>
      <w:bidi/>
    </w:pPr>
    <w:rPr>
      <w:sz w:val="24"/>
      <w:szCs w:val="24"/>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3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43490"/>
    <w:pPr>
      <w:tabs>
        <w:tab w:val="center" w:pos="4153"/>
        <w:tab w:val="right" w:pos="8306"/>
      </w:tabs>
    </w:pPr>
  </w:style>
  <w:style w:type="character" w:styleId="PageNumber">
    <w:name w:val="page number"/>
    <w:basedOn w:val="DefaultParagraphFont"/>
    <w:rsid w:val="00A43490"/>
  </w:style>
  <w:style w:type="paragraph" w:styleId="Header">
    <w:name w:val="header"/>
    <w:basedOn w:val="Normal"/>
    <w:rsid w:val="00A43490"/>
    <w:pPr>
      <w:tabs>
        <w:tab w:val="center" w:pos="4153"/>
        <w:tab w:val="right" w:pos="8306"/>
      </w:tabs>
    </w:pPr>
  </w:style>
  <w:style w:type="character" w:styleId="Hyperlink">
    <w:name w:val="Hyperlink"/>
    <w:rsid w:val="008920C8"/>
    <w:rPr>
      <w:color w:val="0000FF"/>
      <w:u w:val="single"/>
    </w:rPr>
  </w:style>
  <w:style w:type="character" w:styleId="CommentReference">
    <w:name w:val="annotation reference"/>
    <w:rsid w:val="00B11F1C"/>
    <w:rPr>
      <w:sz w:val="16"/>
      <w:szCs w:val="16"/>
    </w:rPr>
  </w:style>
  <w:style w:type="paragraph" w:styleId="CommentText">
    <w:name w:val="annotation text"/>
    <w:basedOn w:val="Normal"/>
    <w:link w:val="CommentTextChar"/>
    <w:rsid w:val="00B11F1C"/>
    <w:rPr>
      <w:sz w:val="20"/>
      <w:szCs w:val="20"/>
    </w:rPr>
  </w:style>
  <w:style w:type="character" w:customStyle="1" w:styleId="CommentTextChar">
    <w:name w:val="Comment Text Char"/>
    <w:link w:val="CommentText"/>
    <w:rsid w:val="00B11F1C"/>
    <w:rPr>
      <w:lang w:bidi="ar-EG"/>
    </w:rPr>
  </w:style>
  <w:style w:type="paragraph" w:styleId="CommentSubject">
    <w:name w:val="annotation subject"/>
    <w:basedOn w:val="CommentText"/>
    <w:next w:val="CommentText"/>
    <w:link w:val="CommentSubjectChar"/>
    <w:rsid w:val="00B11F1C"/>
    <w:rPr>
      <w:b/>
      <w:bCs/>
    </w:rPr>
  </w:style>
  <w:style w:type="character" w:customStyle="1" w:styleId="CommentSubjectChar">
    <w:name w:val="Comment Subject Char"/>
    <w:link w:val="CommentSubject"/>
    <w:rsid w:val="00B11F1C"/>
    <w:rPr>
      <w:b/>
      <w:bCs/>
      <w:lang w:bidi="ar-EG"/>
    </w:rPr>
  </w:style>
  <w:style w:type="paragraph" w:styleId="BalloonText">
    <w:name w:val="Balloon Text"/>
    <w:basedOn w:val="Normal"/>
    <w:link w:val="BalloonTextChar"/>
    <w:rsid w:val="00B11F1C"/>
    <w:rPr>
      <w:rFonts w:ascii="Tahoma" w:hAnsi="Tahoma" w:cs="Tahoma"/>
      <w:sz w:val="16"/>
      <w:szCs w:val="16"/>
    </w:rPr>
  </w:style>
  <w:style w:type="character" w:customStyle="1" w:styleId="BalloonTextChar">
    <w:name w:val="Balloon Text Char"/>
    <w:link w:val="BalloonText"/>
    <w:rsid w:val="00B11F1C"/>
    <w:rPr>
      <w:rFonts w:ascii="Tahoma" w:hAnsi="Tahoma" w:cs="Tahoma"/>
      <w:sz w:val="16"/>
      <w:szCs w:val="16"/>
      <w:lang w:bidi="ar-EG"/>
    </w:rPr>
  </w:style>
</w:styles>
</file>

<file path=word/webSettings.xml><?xml version="1.0" encoding="utf-8"?>
<w:webSettings xmlns:r="http://schemas.openxmlformats.org/officeDocument/2006/relationships" xmlns:w="http://schemas.openxmlformats.org/wordprocessingml/2006/main">
  <w:divs>
    <w:div w:id="899822583">
      <w:bodyDiv w:val="1"/>
      <w:marLeft w:val="0"/>
      <w:marRight w:val="0"/>
      <w:marTop w:val="0"/>
      <w:marBottom w:val="0"/>
      <w:divBdr>
        <w:top w:val="none" w:sz="0" w:space="0" w:color="auto"/>
        <w:left w:val="none" w:sz="0" w:space="0" w:color="auto"/>
        <w:bottom w:val="none" w:sz="0" w:space="0" w:color="auto"/>
        <w:right w:val="none" w:sz="0" w:space="0" w:color="auto"/>
      </w:divBdr>
    </w:div>
    <w:div w:id="904337135">
      <w:bodyDiv w:val="1"/>
      <w:marLeft w:val="0"/>
      <w:marRight w:val="0"/>
      <w:marTop w:val="0"/>
      <w:marBottom w:val="0"/>
      <w:divBdr>
        <w:top w:val="none" w:sz="0" w:space="0" w:color="auto"/>
        <w:left w:val="none" w:sz="0" w:space="0" w:color="auto"/>
        <w:bottom w:val="none" w:sz="0" w:space="0" w:color="auto"/>
        <w:right w:val="none" w:sz="0" w:space="0" w:color="auto"/>
      </w:divBdr>
    </w:div>
    <w:div w:id="18487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ha.rabe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Ahmed</vt:lpstr>
    </vt:vector>
  </TitlesOfParts>
  <Company>微软中国</Company>
  <LinksUpToDate>false</LinksUpToDate>
  <CharactersWithSpaces>18480</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4259872</vt:i4>
      </vt:variant>
      <vt:variant>
        <vt:i4>0</vt:i4>
      </vt:variant>
      <vt:variant>
        <vt:i4>0</vt:i4>
      </vt:variant>
      <vt:variant>
        <vt:i4>5</vt:i4>
      </vt:variant>
      <vt:variant>
        <vt:lpwstr>mailto:noha.rabei@yahoo.com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dc:title>
  <dc:creator>abd el aziz</dc:creator>
  <cp:lastModifiedBy>Administrator</cp:lastModifiedBy>
  <cp:revision>5</cp:revision>
  <cp:lastPrinted>2013-03-13T00:57:00Z</cp:lastPrinted>
  <dcterms:created xsi:type="dcterms:W3CDTF">2013-12-15T07:43:00Z</dcterms:created>
  <dcterms:modified xsi:type="dcterms:W3CDTF">2013-12-15T12:30:00Z</dcterms:modified>
</cp:coreProperties>
</file>