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3C" w:rsidRPr="004D5CFA" w:rsidRDefault="00CB213C" w:rsidP="004D5CFA">
      <w:pPr>
        <w:pStyle w:val="Subtitle"/>
        <w:bidi w:val="0"/>
        <w:snapToGrid w:val="0"/>
        <w:ind w:left="0" w:firstLine="0"/>
        <w:rPr>
          <w:rFonts w:cs="Times New Roman"/>
          <w:b/>
          <w:bCs/>
          <w:sz w:val="20"/>
          <w:szCs w:val="20"/>
        </w:rPr>
      </w:pPr>
      <w:r w:rsidRPr="004D5CFA">
        <w:rPr>
          <w:rFonts w:cs="Times New Roman"/>
          <w:b/>
          <w:bCs/>
          <w:sz w:val="20"/>
          <w:szCs w:val="20"/>
        </w:rPr>
        <w:t>Economics analysis of feeding effect with co</w:t>
      </w:r>
      <w:r w:rsidRPr="004D5CFA">
        <w:rPr>
          <w:rFonts w:cs="Times New Roman"/>
          <w:b/>
          <w:bCs/>
          <w:sz w:val="20"/>
          <w:szCs w:val="20"/>
          <w:vertAlign w:val="subscript"/>
        </w:rPr>
        <w:t>2</w:t>
      </w:r>
      <w:r w:rsidRPr="004D5CFA">
        <w:rPr>
          <w:rFonts w:cs="Times New Roman"/>
          <w:b/>
          <w:bCs/>
          <w:sz w:val="20"/>
          <w:szCs w:val="20"/>
        </w:rPr>
        <w:t xml:space="preserve"> on greenhouse cucumber production in Iran (Case study of Greenhouses of </w:t>
      </w:r>
      <w:proofErr w:type="spellStart"/>
      <w:r w:rsidRPr="004D5CFA">
        <w:rPr>
          <w:rFonts w:cs="Times New Roman"/>
          <w:b/>
          <w:bCs/>
          <w:sz w:val="20"/>
          <w:szCs w:val="20"/>
        </w:rPr>
        <w:t>Mahalat</w:t>
      </w:r>
      <w:proofErr w:type="spellEnd"/>
      <w:r w:rsidRPr="004D5CFA">
        <w:rPr>
          <w:rFonts w:cs="Times New Roman"/>
          <w:b/>
          <w:bCs/>
          <w:sz w:val="20"/>
          <w:szCs w:val="20"/>
        </w:rPr>
        <w:t xml:space="preserve"> Township)</w:t>
      </w:r>
    </w:p>
    <w:p w:rsidR="00145AFC" w:rsidRPr="004D5CFA" w:rsidRDefault="00145AFC" w:rsidP="004D5CFA">
      <w:pPr>
        <w:snapToGrid w:val="0"/>
        <w:jc w:val="center"/>
        <w:rPr>
          <w:rStyle w:val="hps"/>
          <w:b/>
          <w:bCs/>
          <w:sz w:val="20"/>
          <w:szCs w:val="20"/>
        </w:rPr>
      </w:pPr>
    </w:p>
    <w:p w:rsidR="00CB213C" w:rsidRPr="004D5CFA" w:rsidRDefault="00CB213C" w:rsidP="004D5CFA">
      <w:pPr>
        <w:snapToGrid w:val="0"/>
        <w:jc w:val="center"/>
        <w:rPr>
          <w:rStyle w:val="Strong"/>
          <w:rFonts w:cs="Times New Roman"/>
          <w:b w:val="0"/>
          <w:bCs w:val="0"/>
          <w:sz w:val="20"/>
          <w:szCs w:val="20"/>
          <w:vertAlign w:val="superscript"/>
        </w:rPr>
      </w:pPr>
      <w:proofErr w:type="spellStart"/>
      <w:r w:rsidRPr="004D5CFA">
        <w:rPr>
          <w:rStyle w:val="Strong"/>
          <w:rFonts w:cs="Times New Roman"/>
          <w:b w:val="0"/>
          <w:bCs w:val="0"/>
          <w:sz w:val="20"/>
          <w:szCs w:val="20"/>
        </w:rPr>
        <w:t>Mohsen</w:t>
      </w:r>
      <w:proofErr w:type="spellEnd"/>
      <w:r w:rsidRPr="004D5CFA">
        <w:rPr>
          <w:rStyle w:val="Strong"/>
          <w:rFonts w:cs="Times New Roman"/>
          <w:b w:val="0"/>
          <w:bCs w:val="0"/>
          <w:sz w:val="20"/>
          <w:szCs w:val="20"/>
        </w:rPr>
        <w:t xml:space="preserve"> </w:t>
      </w:r>
      <w:proofErr w:type="spellStart"/>
      <w:r w:rsidRPr="004D5CFA">
        <w:rPr>
          <w:rStyle w:val="Strong"/>
          <w:rFonts w:cs="Times New Roman"/>
          <w:b w:val="0"/>
          <w:bCs w:val="0"/>
          <w:sz w:val="20"/>
          <w:szCs w:val="20"/>
        </w:rPr>
        <w:t>Rafiee</w:t>
      </w:r>
      <w:proofErr w:type="spellEnd"/>
      <w:r w:rsidRPr="004D5CFA">
        <w:rPr>
          <w:rStyle w:val="Strong"/>
          <w:rFonts w:cs="Times New Roman"/>
          <w:b w:val="0"/>
          <w:bCs w:val="0"/>
          <w:sz w:val="20"/>
          <w:szCs w:val="20"/>
        </w:rPr>
        <w:t xml:space="preserve"> SefidDashti</w:t>
      </w:r>
      <w:r w:rsidRPr="004D5CFA">
        <w:rPr>
          <w:rStyle w:val="Strong"/>
          <w:rFonts w:cs="Times New Roman"/>
          <w:b w:val="0"/>
          <w:bCs w:val="0"/>
          <w:sz w:val="20"/>
          <w:szCs w:val="20"/>
          <w:vertAlign w:val="superscript"/>
        </w:rPr>
        <w:t>1</w:t>
      </w:r>
      <w:r w:rsidRPr="004D5CFA">
        <w:rPr>
          <w:rStyle w:val="Strong"/>
          <w:rFonts w:cs="Times New Roman"/>
          <w:b w:val="0"/>
          <w:bCs w:val="0"/>
          <w:sz w:val="20"/>
          <w:szCs w:val="20"/>
        </w:rPr>
        <w:t xml:space="preserve"> (Corresponding author), Amir </w:t>
      </w:r>
      <w:proofErr w:type="spellStart"/>
      <w:r w:rsidRPr="004D5CFA">
        <w:rPr>
          <w:rStyle w:val="Strong"/>
          <w:rFonts w:cs="Times New Roman"/>
          <w:b w:val="0"/>
          <w:bCs w:val="0"/>
          <w:sz w:val="20"/>
          <w:szCs w:val="20"/>
        </w:rPr>
        <w:t>Mohammadi</w:t>
      </w:r>
      <w:proofErr w:type="spellEnd"/>
      <w:r w:rsidRPr="004D5CFA">
        <w:rPr>
          <w:rStyle w:val="Strong"/>
          <w:rFonts w:cs="Times New Roman"/>
          <w:b w:val="0"/>
          <w:bCs w:val="0"/>
          <w:sz w:val="20"/>
          <w:szCs w:val="20"/>
        </w:rPr>
        <w:t xml:space="preserve"> Nejad</w:t>
      </w:r>
      <w:r w:rsidRPr="004D5CFA">
        <w:rPr>
          <w:rStyle w:val="Strong"/>
          <w:rFonts w:cs="Times New Roman"/>
          <w:b w:val="0"/>
          <w:bCs w:val="0"/>
          <w:sz w:val="20"/>
          <w:szCs w:val="20"/>
          <w:vertAlign w:val="superscript"/>
        </w:rPr>
        <w:t>2</w:t>
      </w:r>
      <w:r w:rsidRPr="004D5CFA">
        <w:rPr>
          <w:rStyle w:val="Strong"/>
          <w:rFonts w:cs="Times New Roman"/>
          <w:b w:val="0"/>
          <w:bCs w:val="0"/>
          <w:sz w:val="20"/>
          <w:szCs w:val="20"/>
        </w:rPr>
        <w:t xml:space="preserve">, Ali </w:t>
      </w:r>
      <w:proofErr w:type="spellStart"/>
      <w:r w:rsidRPr="004D5CFA">
        <w:rPr>
          <w:rStyle w:val="Strong"/>
          <w:rFonts w:cs="Times New Roman"/>
          <w:b w:val="0"/>
          <w:bCs w:val="0"/>
          <w:sz w:val="20"/>
          <w:szCs w:val="20"/>
        </w:rPr>
        <w:t>Kiani</w:t>
      </w:r>
      <w:proofErr w:type="spellEnd"/>
      <w:r w:rsidRPr="004D5CFA">
        <w:rPr>
          <w:rStyle w:val="Strong"/>
          <w:rFonts w:cs="Times New Roman"/>
          <w:b w:val="0"/>
          <w:bCs w:val="0"/>
          <w:sz w:val="20"/>
          <w:szCs w:val="20"/>
        </w:rPr>
        <w:t xml:space="preserve"> Rad</w:t>
      </w:r>
      <w:r w:rsidRPr="004D5CFA">
        <w:rPr>
          <w:rStyle w:val="Strong"/>
          <w:rFonts w:cs="Times New Roman"/>
          <w:b w:val="0"/>
          <w:bCs w:val="0"/>
          <w:sz w:val="20"/>
          <w:szCs w:val="20"/>
          <w:vertAlign w:val="superscript"/>
        </w:rPr>
        <w:t>3</w:t>
      </w:r>
    </w:p>
    <w:p w:rsidR="00CB213C" w:rsidRPr="004D5CFA" w:rsidRDefault="00CB213C" w:rsidP="004D5CFA">
      <w:pPr>
        <w:snapToGrid w:val="0"/>
        <w:jc w:val="center"/>
        <w:rPr>
          <w:rStyle w:val="Strong"/>
          <w:rFonts w:cs="Times New Roman"/>
          <w:b w:val="0"/>
          <w:bCs w:val="0"/>
          <w:sz w:val="20"/>
          <w:szCs w:val="20"/>
        </w:rPr>
      </w:pPr>
    </w:p>
    <w:p w:rsidR="00CB213C" w:rsidRPr="004D5CFA" w:rsidRDefault="00CB213C" w:rsidP="004D5CFA">
      <w:pPr>
        <w:pStyle w:val="Subtitle"/>
        <w:bidi w:val="0"/>
        <w:snapToGrid w:val="0"/>
        <w:ind w:left="0" w:firstLine="0"/>
        <w:rPr>
          <w:rFonts w:eastAsia="Calibri" w:cs="Times New Roman"/>
          <w:sz w:val="20"/>
          <w:szCs w:val="20"/>
        </w:rPr>
      </w:pPr>
      <w:smartTag w:uri="urn:schemas-microsoft-com:office:smarttags" w:element="metricconverter">
        <w:smartTagPr>
          <w:attr w:name="ProductID" w:val="1. M"/>
        </w:smartTagPr>
        <w:r w:rsidRPr="004D5CFA">
          <w:rPr>
            <w:rFonts w:eastAsia="Calibri" w:cs="Times New Roman"/>
            <w:sz w:val="20"/>
            <w:szCs w:val="20"/>
            <w:vertAlign w:val="superscript"/>
          </w:rPr>
          <w:t xml:space="preserve">1. </w:t>
        </w:r>
        <w:r w:rsidRPr="004D5CFA">
          <w:rPr>
            <w:rFonts w:eastAsia="Calibri" w:cs="Times New Roman"/>
            <w:sz w:val="20"/>
            <w:szCs w:val="20"/>
          </w:rPr>
          <w:t>M</w:t>
        </w:r>
      </w:smartTag>
      <w:r w:rsidRPr="004D5CFA">
        <w:rPr>
          <w:rFonts w:eastAsia="Calibri" w:cs="Times New Roman"/>
          <w:sz w:val="20"/>
          <w:szCs w:val="20"/>
        </w:rPr>
        <w:t>.A. student, Islamic Azad University Tehran Science and Research Branch</w:t>
      </w:r>
    </w:p>
    <w:p w:rsidR="00CB213C" w:rsidRPr="004D5CFA" w:rsidRDefault="00CB213C" w:rsidP="004D5CFA">
      <w:pPr>
        <w:pStyle w:val="Subtitle"/>
        <w:bidi w:val="0"/>
        <w:snapToGrid w:val="0"/>
        <w:ind w:left="0" w:firstLine="0"/>
        <w:rPr>
          <w:rFonts w:eastAsia="Calibri" w:cs="Times New Roman"/>
          <w:sz w:val="20"/>
          <w:szCs w:val="20"/>
        </w:rPr>
      </w:pPr>
      <w:r w:rsidRPr="004D5CFA">
        <w:rPr>
          <w:rFonts w:eastAsia="Calibri" w:cs="Times New Roman"/>
          <w:sz w:val="20"/>
          <w:szCs w:val="20"/>
          <w:vertAlign w:val="superscript"/>
        </w:rPr>
        <w:t xml:space="preserve">2. </w:t>
      </w:r>
      <w:r w:rsidRPr="004D5CFA">
        <w:rPr>
          <w:rFonts w:eastAsia="Calibri" w:cs="Times New Roman"/>
          <w:sz w:val="20"/>
          <w:szCs w:val="20"/>
        </w:rPr>
        <w:t>Assistant professor of department of Agricultural Economics, Islamic Azad University Tehran Science and Research Branch,</w:t>
      </w:r>
    </w:p>
    <w:p w:rsidR="00CB213C" w:rsidRPr="004D5CFA" w:rsidRDefault="00CB213C" w:rsidP="004D5CFA">
      <w:pPr>
        <w:pStyle w:val="Subtitle"/>
        <w:bidi w:val="0"/>
        <w:snapToGrid w:val="0"/>
        <w:ind w:left="0" w:firstLine="0"/>
        <w:rPr>
          <w:rFonts w:eastAsia="Calibri" w:cs="Times New Roman"/>
          <w:sz w:val="20"/>
          <w:szCs w:val="20"/>
        </w:rPr>
      </w:pPr>
      <w:r w:rsidRPr="004D5CFA">
        <w:rPr>
          <w:rFonts w:eastAsia="Calibri" w:cs="Times New Roman"/>
          <w:sz w:val="20"/>
          <w:szCs w:val="20"/>
          <w:vertAlign w:val="superscript"/>
        </w:rPr>
        <w:t xml:space="preserve">3. </w:t>
      </w:r>
      <w:r w:rsidRPr="004D5CFA">
        <w:rPr>
          <w:rFonts w:eastAsia="Calibri" w:cs="Times New Roman"/>
          <w:sz w:val="20"/>
          <w:szCs w:val="20"/>
        </w:rPr>
        <w:t>Assistant professor and faculty member of the Institute of Planning research and agricultural economics</w:t>
      </w:r>
    </w:p>
    <w:p w:rsidR="00CB213C" w:rsidRPr="004D5CFA" w:rsidRDefault="00CB213C" w:rsidP="004D5CFA">
      <w:pPr>
        <w:snapToGrid w:val="0"/>
        <w:jc w:val="center"/>
        <w:rPr>
          <w:rStyle w:val="Strong"/>
          <w:rFonts w:cs="Times New Roman"/>
          <w:b w:val="0"/>
          <w:bCs w:val="0"/>
          <w:color w:val="0000FF"/>
          <w:sz w:val="20"/>
          <w:szCs w:val="20"/>
          <w:u w:val="single"/>
        </w:rPr>
      </w:pPr>
      <w:r w:rsidRPr="004D5CFA">
        <w:rPr>
          <w:rStyle w:val="Strong"/>
          <w:rFonts w:cs="Times New Roman"/>
          <w:b w:val="0"/>
          <w:bCs w:val="0"/>
          <w:color w:val="0000FF"/>
          <w:sz w:val="20"/>
          <w:szCs w:val="20"/>
          <w:u w:val="single"/>
        </w:rPr>
        <w:t>mohsenrafiee93@yahoo.com</w:t>
      </w:r>
    </w:p>
    <w:p w:rsidR="00CB213C" w:rsidRPr="004D5CFA" w:rsidRDefault="00CB213C" w:rsidP="004D5CFA">
      <w:pPr>
        <w:snapToGrid w:val="0"/>
        <w:jc w:val="center"/>
        <w:rPr>
          <w:rStyle w:val="Strong"/>
          <w:rFonts w:cs="Times New Roman"/>
          <w:sz w:val="20"/>
          <w:szCs w:val="20"/>
        </w:rPr>
      </w:pPr>
    </w:p>
    <w:p w:rsidR="00CB213C" w:rsidRPr="004D5CFA" w:rsidRDefault="00145AFC" w:rsidP="004D5CFA">
      <w:pPr>
        <w:snapToGrid w:val="0"/>
        <w:jc w:val="both"/>
        <w:rPr>
          <w:sz w:val="20"/>
          <w:szCs w:val="20"/>
        </w:rPr>
      </w:pPr>
      <w:r w:rsidRPr="004D5CFA">
        <w:rPr>
          <w:b/>
          <w:sz w:val="20"/>
          <w:szCs w:val="20"/>
        </w:rPr>
        <w:t xml:space="preserve">Abstract: </w:t>
      </w:r>
      <w:proofErr w:type="spellStart"/>
      <w:r w:rsidR="00CB213C" w:rsidRPr="004D5CFA">
        <w:rPr>
          <w:sz w:val="20"/>
          <w:szCs w:val="20"/>
        </w:rPr>
        <w:t>Mahalat</w:t>
      </w:r>
      <w:proofErr w:type="spellEnd"/>
      <w:r w:rsidR="00CB213C" w:rsidRPr="004D5CFA">
        <w:rPr>
          <w:sz w:val="20"/>
          <w:szCs w:val="20"/>
        </w:rPr>
        <w:t xml:space="preserve"> Township having </w:t>
      </w:r>
      <w:smartTag w:uri="urn:schemas-microsoft-com:office:smarttags" w:element="metricconverter">
        <w:smartTagPr>
          <w:attr w:name="ProductID" w:val="27 hectare"/>
        </w:smartTagPr>
        <w:r w:rsidR="00CB213C" w:rsidRPr="004D5CFA">
          <w:rPr>
            <w:sz w:val="20"/>
            <w:szCs w:val="20"/>
          </w:rPr>
          <w:t>27 hectare</w:t>
        </w:r>
      </w:smartTag>
      <w:r w:rsidR="00CB213C" w:rsidRPr="004D5CFA">
        <w:rPr>
          <w:sz w:val="20"/>
          <w:szCs w:val="20"/>
        </w:rPr>
        <w:t xml:space="preserve"> cultivated area of modern greenhouse cucumber is the main centers of greenhouse cucumber in the country. In this study we examine economics effect of feeding with co2 on greenhouse cucumber production in </w:t>
      </w:r>
      <w:proofErr w:type="spellStart"/>
      <w:r w:rsidR="00CB213C" w:rsidRPr="004D5CFA">
        <w:rPr>
          <w:sz w:val="20"/>
          <w:szCs w:val="20"/>
        </w:rPr>
        <w:t>Mahalat</w:t>
      </w:r>
      <w:proofErr w:type="spellEnd"/>
      <w:r w:rsidR="00CB213C" w:rsidRPr="004D5CFA">
        <w:rPr>
          <w:sz w:val="20"/>
          <w:szCs w:val="20"/>
        </w:rPr>
        <w:t xml:space="preserve"> Township. For this purpose function Cobb - Douglas that compared with other types of flexibility production functions, with attention to performed statistical tests were detected more appropriate, were used. Statistics and data used in this study obtained in personal and through completion 78 questionnaires of production costs from Beneficiaries of greenhouse cucumber production of </w:t>
      </w:r>
      <w:proofErr w:type="spellStart"/>
      <w:r w:rsidR="00CB213C" w:rsidRPr="004D5CFA">
        <w:rPr>
          <w:sz w:val="20"/>
          <w:szCs w:val="20"/>
        </w:rPr>
        <w:t>Mahalat</w:t>
      </w:r>
      <w:proofErr w:type="spellEnd"/>
      <w:r w:rsidR="00CB213C" w:rsidRPr="004D5CFA">
        <w:rPr>
          <w:sz w:val="20"/>
          <w:szCs w:val="20"/>
        </w:rPr>
        <w:t xml:space="preserve"> township in 2011-2012.The results of the data analysis indicates that beneficiaries that used co2 gas in their greenhouses,</w:t>
      </w:r>
      <w:r w:rsidR="00CB213C" w:rsidRPr="004D5CFA">
        <w:rPr>
          <w:sz w:val="20"/>
          <w:szCs w:val="20"/>
          <w:lang w:bidi="fa-IR"/>
        </w:rPr>
        <w:t xml:space="preserve"> compared with </w:t>
      </w:r>
      <w:r w:rsidR="00CB213C" w:rsidRPr="004D5CFA">
        <w:rPr>
          <w:sz w:val="20"/>
          <w:szCs w:val="20"/>
        </w:rPr>
        <w:t>beneficiaries that</w:t>
      </w:r>
      <w:r w:rsidR="00CB213C" w:rsidRPr="004D5CFA">
        <w:rPr>
          <w:sz w:val="20"/>
          <w:szCs w:val="20"/>
          <w:lang w:bidi="fa-IR"/>
        </w:rPr>
        <w:t xml:space="preserve"> did not use it, on average, 26/1 percent more cucumber were harvested, in other words, efficiency improvement of greenhouse </w:t>
      </w:r>
      <w:r w:rsidR="00CB213C" w:rsidRPr="004D5CFA">
        <w:rPr>
          <w:sz w:val="20"/>
          <w:szCs w:val="20"/>
        </w:rPr>
        <w:t>cucumber</w:t>
      </w:r>
      <w:r w:rsidR="00CB213C" w:rsidRPr="004D5CFA">
        <w:rPr>
          <w:sz w:val="20"/>
          <w:szCs w:val="20"/>
          <w:lang w:bidi="fa-IR"/>
        </w:rPr>
        <w:t xml:space="preserve"> production, due to early growth of production with feeding co2 gas is known as major factor of production development.</w:t>
      </w:r>
      <w:r w:rsidR="00CB213C" w:rsidRPr="004D5CFA">
        <w:rPr>
          <w:sz w:val="20"/>
          <w:szCs w:val="20"/>
        </w:rPr>
        <w:t xml:space="preserve"> Those beneficiaries on average have 25 percent </w:t>
      </w:r>
      <w:proofErr w:type="gramStart"/>
      <w:r w:rsidR="00CB213C" w:rsidRPr="004D5CFA">
        <w:rPr>
          <w:sz w:val="20"/>
          <w:szCs w:val="20"/>
        </w:rPr>
        <w:t>precocity</w:t>
      </w:r>
      <w:proofErr w:type="gramEnd"/>
      <w:r w:rsidR="00CB213C" w:rsidRPr="004D5CFA">
        <w:rPr>
          <w:sz w:val="20"/>
          <w:szCs w:val="20"/>
        </w:rPr>
        <w:t xml:space="preserve"> in their production. Also the total cost of greenhouse cucumber in units that feeding with co2 gas on average 120 Rails in kilo, is lower.</w:t>
      </w:r>
    </w:p>
    <w:p w:rsidR="004D5CFA" w:rsidRPr="004D5CFA" w:rsidRDefault="00145AFC" w:rsidP="004D5CFA">
      <w:pPr>
        <w:snapToGrid w:val="0"/>
        <w:jc w:val="both"/>
        <w:rPr>
          <w:sz w:val="20"/>
          <w:szCs w:val="20"/>
          <w:lang w:eastAsia="zh-CN"/>
        </w:rPr>
      </w:pPr>
      <w:r w:rsidRPr="004D5CFA">
        <w:rPr>
          <w:sz w:val="20"/>
          <w:szCs w:val="20"/>
        </w:rPr>
        <w:t>[</w:t>
      </w:r>
      <w:proofErr w:type="spellStart"/>
      <w:r w:rsidR="00CB213C" w:rsidRPr="004D5CFA">
        <w:rPr>
          <w:rStyle w:val="Strong"/>
          <w:rFonts w:cs="Times New Roman"/>
          <w:b w:val="0"/>
          <w:bCs w:val="0"/>
          <w:sz w:val="20"/>
          <w:szCs w:val="20"/>
        </w:rPr>
        <w:t>Mohsen</w:t>
      </w:r>
      <w:proofErr w:type="spellEnd"/>
      <w:r w:rsidR="00CB213C" w:rsidRPr="004D5CFA">
        <w:rPr>
          <w:rStyle w:val="Strong"/>
          <w:rFonts w:cs="Times New Roman"/>
          <w:b w:val="0"/>
          <w:bCs w:val="0"/>
          <w:sz w:val="20"/>
          <w:szCs w:val="20"/>
        </w:rPr>
        <w:t xml:space="preserve"> </w:t>
      </w:r>
      <w:proofErr w:type="spellStart"/>
      <w:r w:rsidR="00CB213C" w:rsidRPr="004D5CFA">
        <w:rPr>
          <w:rStyle w:val="Strong"/>
          <w:rFonts w:cs="Times New Roman"/>
          <w:b w:val="0"/>
          <w:bCs w:val="0"/>
          <w:sz w:val="20"/>
          <w:szCs w:val="20"/>
        </w:rPr>
        <w:t>Rafiee</w:t>
      </w:r>
      <w:proofErr w:type="spellEnd"/>
      <w:r w:rsidR="00CB213C" w:rsidRPr="004D5CFA">
        <w:rPr>
          <w:rStyle w:val="Strong"/>
          <w:rFonts w:cs="Times New Roman"/>
          <w:b w:val="0"/>
          <w:bCs w:val="0"/>
          <w:sz w:val="20"/>
          <w:szCs w:val="20"/>
        </w:rPr>
        <w:t xml:space="preserve"> </w:t>
      </w:r>
      <w:proofErr w:type="spellStart"/>
      <w:r w:rsidR="00CB213C" w:rsidRPr="004D5CFA">
        <w:rPr>
          <w:rStyle w:val="Strong"/>
          <w:rFonts w:cs="Times New Roman"/>
          <w:b w:val="0"/>
          <w:bCs w:val="0"/>
          <w:sz w:val="20"/>
          <w:szCs w:val="20"/>
        </w:rPr>
        <w:t>SefidDashti</w:t>
      </w:r>
      <w:proofErr w:type="spellEnd"/>
      <w:r w:rsidR="00CB213C" w:rsidRPr="004D5CFA">
        <w:rPr>
          <w:rStyle w:val="Strong"/>
          <w:rFonts w:cs="Times New Roman"/>
          <w:b w:val="0"/>
          <w:bCs w:val="0"/>
          <w:sz w:val="20"/>
          <w:szCs w:val="20"/>
        </w:rPr>
        <w:t xml:space="preserve">, Amir </w:t>
      </w:r>
      <w:proofErr w:type="spellStart"/>
      <w:r w:rsidR="00CB213C" w:rsidRPr="004D5CFA">
        <w:rPr>
          <w:rStyle w:val="Strong"/>
          <w:rFonts w:cs="Times New Roman"/>
          <w:b w:val="0"/>
          <w:bCs w:val="0"/>
          <w:sz w:val="20"/>
          <w:szCs w:val="20"/>
        </w:rPr>
        <w:t>Mohammadi</w:t>
      </w:r>
      <w:proofErr w:type="spellEnd"/>
      <w:r w:rsidR="00CB213C" w:rsidRPr="004D5CFA">
        <w:rPr>
          <w:rStyle w:val="Strong"/>
          <w:rFonts w:cs="Times New Roman"/>
          <w:b w:val="0"/>
          <w:bCs w:val="0"/>
          <w:sz w:val="20"/>
          <w:szCs w:val="20"/>
        </w:rPr>
        <w:t xml:space="preserve"> </w:t>
      </w:r>
      <w:proofErr w:type="spellStart"/>
      <w:r w:rsidR="00CB213C" w:rsidRPr="004D5CFA">
        <w:rPr>
          <w:rStyle w:val="Strong"/>
          <w:rFonts w:cs="Times New Roman"/>
          <w:b w:val="0"/>
          <w:bCs w:val="0"/>
          <w:sz w:val="20"/>
          <w:szCs w:val="20"/>
        </w:rPr>
        <w:t>Nejad</w:t>
      </w:r>
      <w:proofErr w:type="spellEnd"/>
      <w:r w:rsidR="00CB213C" w:rsidRPr="004D5CFA">
        <w:rPr>
          <w:rStyle w:val="Strong"/>
          <w:rFonts w:cs="Times New Roman"/>
          <w:b w:val="0"/>
          <w:bCs w:val="0"/>
          <w:sz w:val="20"/>
          <w:szCs w:val="20"/>
        </w:rPr>
        <w:t xml:space="preserve">, Ali </w:t>
      </w:r>
      <w:proofErr w:type="spellStart"/>
      <w:r w:rsidR="00CB213C" w:rsidRPr="004D5CFA">
        <w:rPr>
          <w:rStyle w:val="Strong"/>
          <w:rFonts w:cs="Times New Roman"/>
          <w:b w:val="0"/>
          <w:bCs w:val="0"/>
          <w:sz w:val="20"/>
          <w:szCs w:val="20"/>
        </w:rPr>
        <w:t>Kiani</w:t>
      </w:r>
      <w:proofErr w:type="spellEnd"/>
      <w:r w:rsidR="00CB213C" w:rsidRPr="004D5CFA">
        <w:rPr>
          <w:rStyle w:val="Strong"/>
          <w:rFonts w:cs="Times New Roman"/>
          <w:b w:val="0"/>
          <w:bCs w:val="0"/>
          <w:sz w:val="20"/>
          <w:szCs w:val="20"/>
        </w:rPr>
        <w:t xml:space="preserve"> Rad</w:t>
      </w:r>
      <w:r w:rsidRPr="004D5CFA">
        <w:rPr>
          <w:sz w:val="20"/>
          <w:szCs w:val="20"/>
        </w:rPr>
        <w:t xml:space="preserve">. </w:t>
      </w:r>
      <w:r w:rsidR="00CB213C" w:rsidRPr="004D5CFA">
        <w:rPr>
          <w:b/>
          <w:bCs/>
          <w:sz w:val="20"/>
          <w:szCs w:val="20"/>
        </w:rPr>
        <w:t>Economics analysis of feeding effect with co</w:t>
      </w:r>
      <w:r w:rsidR="00CB213C" w:rsidRPr="004D5CFA">
        <w:rPr>
          <w:b/>
          <w:bCs/>
          <w:sz w:val="20"/>
          <w:szCs w:val="20"/>
          <w:vertAlign w:val="subscript"/>
        </w:rPr>
        <w:t>2</w:t>
      </w:r>
      <w:r w:rsidR="00CB213C" w:rsidRPr="004D5CFA">
        <w:rPr>
          <w:b/>
          <w:bCs/>
          <w:sz w:val="20"/>
          <w:szCs w:val="20"/>
        </w:rPr>
        <w:t xml:space="preserve"> on greenhouse cucumber production in Iran (Case study of Greenhouses of </w:t>
      </w:r>
      <w:proofErr w:type="spellStart"/>
      <w:r w:rsidR="00CB213C" w:rsidRPr="004D5CFA">
        <w:rPr>
          <w:b/>
          <w:bCs/>
          <w:sz w:val="20"/>
          <w:szCs w:val="20"/>
        </w:rPr>
        <w:t>Mahalat</w:t>
      </w:r>
      <w:proofErr w:type="spellEnd"/>
      <w:r w:rsidR="00CB213C" w:rsidRPr="004D5CFA">
        <w:rPr>
          <w:b/>
          <w:bCs/>
          <w:sz w:val="20"/>
          <w:szCs w:val="20"/>
        </w:rPr>
        <w:t xml:space="preserve"> Township)</w:t>
      </w:r>
      <w:r w:rsidR="004D5CFA" w:rsidRPr="004D5CFA">
        <w:rPr>
          <w:rFonts w:eastAsia="Times New Roman"/>
          <w:b/>
          <w:bCs/>
          <w:sz w:val="20"/>
          <w:szCs w:val="20"/>
          <w:lang w:bidi="fa-IR"/>
        </w:rPr>
        <w:t>.</w:t>
      </w:r>
      <w:r w:rsidR="004D5CFA" w:rsidRPr="004D5CFA">
        <w:rPr>
          <w:bCs/>
          <w:i/>
          <w:sz w:val="20"/>
          <w:szCs w:val="20"/>
        </w:rPr>
        <w:t xml:space="preserve"> N Y </w:t>
      </w:r>
      <w:proofErr w:type="spellStart"/>
      <w:r w:rsidR="004D5CFA" w:rsidRPr="004D5CFA">
        <w:rPr>
          <w:bCs/>
          <w:i/>
          <w:sz w:val="20"/>
          <w:szCs w:val="20"/>
        </w:rPr>
        <w:t>Sci</w:t>
      </w:r>
      <w:proofErr w:type="spellEnd"/>
      <w:r w:rsidR="004D5CFA" w:rsidRPr="004D5CFA">
        <w:rPr>
          <w:bCs/>
          <w:i/>
          <w:sz w:val="20"/>
          <w:szCs w:val="20"/>
        </w:rPr>
        <w:t xml:space="preserve"> J</w:t>
      </w:r>
      <w:r w:rsidR="004D5CFA" w:rsidRPr="004D5CFA">
        <w:rPr>
          <w:bCs/>
          <w:sz w:val="20"/>
          <w:szCs w:val="20"/>
        </w:rPr>
        <w:t xml:space="preserve"> </w:t>
      </w:r>
      <w:r w:rsidR="004D5CFA" w:rsidRPr="004D5CFA">
        <w:rPr>
          <w:sz w:val="20"/>
          <w:szCs w:val="20"/>
        </w:rPr>
        <w:t>201</w:t>
      </w:r>
      <w:r w:rsidR="004D5CFA" w:rsidRPr="004D5CFA">
        <w:rPr>
          <w:rFonts w:hint="eastAsia"/>
          <w:sz w:val="20"/>
          <w:szCs w:val="20"/>
        </w:rPr>
        <w:t>4</w:t>
      </w:r>
      <w:r w:rsidR="004D5CFA" w:rsidRPr="004D5CFA">
        <w:rPr>
          <w:sz w:val="20"/>
          <w:szCs w:val="20"/>
        </w:rPr>
        <w:t>;</w:t>
      </w:r>
      <w:r w:rsidR="004D5CFA" w:rsidRPr="004D5CFA">
        <w:rPr>
          <w:rFonts w:hint="eastAsia"/>
          <w:sz w:val="20"/>
          <w:szCs w:val="20"/>
        </w:rPr>
        <w:t>7</w:t>
      </w:r>
      <w:r w:rsidR="004D5CFA" w:rsidRPr="004D5CFA">
        <w:rPr>
          <w:sz w:val="20"/>
          <w:szCs w:val="20"/>
        </w:rPr>
        <w:t>(</w:t>
      </w:r>
      <w:r w:rsidR="004D5CFA" w:rsidRPr="004D5CFA">
        <w:rPr>
          <w:rFonts w:hint="eastAsia"/>
          <w:sz w:val="20"/>
          <w:szCs w:val="20"/>
        </w:rPr>
        <w:t>2</w:t>
      </w:r>
      <w:r w:rsidR="004D5CFA" w:rsidRPr="004D5CFA">
        <w:rPr>
          <w:sz w:val="20"/>
          <w:szCs w:val="20"/>
        </w:rPr>
        <w:t>):</w:t>
      </w:r>
      <w:r w:rsidR="00D01B9D">
        <w:rPr>
          <w:noProof/>
          <w:color w:val="000000"/>
          <w:sz w:val="20"/>
          <w:szCs w:val="20"/>
        </w:rPr>
        <w:t>106</w:t>
      </w:r>
      <w:r w:rsidR="004D5CFA" w:rsidRPr="004D5CFA">
        <w:rPr>
          <w:color w:val="000000"/>
          <w:sz w:val="20"/>
          <w:szCs w:val="20"/>
        </w:rPr>
        <w:t>-</w:t>
      </w:r>
      <w:r w:rsidR="00D01B9D">
        <w:rPr>
          <w:noProof/>
          <w:color w:val="000000"/>
          <w:sz w:val="20"/>
          <w:szCs w:val="20"/>
        </w:rPr>
        <w:t>111</w:t>
      </w:r>
      <w:r w:rsidR="004D5CFA" w:rsidRPr="004D5CFA">
        <w:rPr>
          <w:sz w:val="20"/>
          <w:szCs w:val="20"/>
        </w:rPr>
        <w:t xml:space="preserve">]. (ISSN: 1554-0200). </w:t>
      </w:r>
      <w:hyperlink r:id="rId7" w:history="1">
        <w:r w:rsidR="004D5CFA" w:rsidRPr="004D5CFA">
          <w:rPr>
            <w:rStyle w:val="Hyperlink"/>
            <w:sz w:val="20"/>
            <w:szCs w:val="20"/>
          </w:rPr>
          <w:t>http://www.sciencepub.net/newyork</w:t>
        </w:r>
      </w:hyperlink>
      <w:r w:rsidR="004D5CFA" w:rsidRPr="004D5CFA">
        <w:rPr>
          <w:sz w:val="20"/>
          <w:szCs w:val="20"/>
        </w:rPr>
        <w:t xml:space="preserve">. </w:t>
      </w:r>
      <w:r w:rsidR="004D5CFA" w:rsidRPr="004D5CFA">
        <w:rPr>
          <w:rFonts w:hint="eastAsia"/>
          <w:sz w:val="20"/>
          <w:szCs w:val="20"/>
          <w:lang w:eastAsia="zh-CN"/>
        </w:rPr>
        <w:t>15</w:t>
      </w:r>
    </w:p>
    <w:p w:rsidR="00145AFC" w:rsidRPr="004D5CFA" w:rsidRDefault="00145AFC" w:rsidP="004D5CFA">
      <w:pPr>
        <w:snapToGrid w:val="0"/>
        <w:jc w:val="both"/>
        <w:rPr>
          <w:sz w:val="20"/>
          <w:szCs w:val="20"/>
        </w:rPr>
      </w:pPr>
    </w:p>
    <w:p w:rsidR="001817C7" w:rsidRPr="004D5CFA" w:rsidRDefault="00145AFC" w:rsidP="004D5CFA">
      <w:pPr>
        <w:snapToGrid w:val="0"/>
        <w:jc w:val="both"/>
        <w:rPr>
          <w:sz w:val="20"/>
          <w:szCs w:val="20"/>
        </w:rPr>
      </w:pPr>
      <w:r w:rsidRPr="004D5CFA">
        <w:rPr>
          <w:b/>
          <w:sz w:val="20"/>
          <w:szCs w:val="20"/>
        </w:rPr>
        <w:t xml:space="preserve">Keywords: </w:t>
      </w:r>
      <w:proofErr w:type="spellStart"/>
      <w:r w:rsidR="00CB213C" w:rsidRPr="004D5CFA">
        <w:rPr>
          <w:sz w:val="20"/>
          <w:szCs w:val="20"/>
        </w:rPr>
        <w:t>Mahalat</w:t>
      </w:r>
      <w:proofErr w:type="spellEnd"/>
      <w:r w:rsidR="00CB213C" w:rsidRPr="004D5CFA">
        <w:rPr>
          <w:sz w:val="20"/>
          <w:szCs w:val="20"/>
        </w:rPr>
        <w:t xml:space="preserve"> Township, the production function, greenhouse cucumber, feeding with carbon dioxide</w:t>
      </w:r>
    </w:p>
    <w:p w:rsidR="00CB213C" w:rsidRPr="004D5CFA" w:rsidRDefault="00CB213C" w:rsidP="004D5CFA">
      <w:pPr>
        <w:snapToGrid w:val="0"/>
        <w:ind w:firstLine="425"/>
        <w:jc w:val="both"/>
        <w:rPr>
          <w:sz w:val="20"/>
          <w:szCs w:val="20"/>
        </w:rPr>
      </w:pPr>
    </w:p>
    <w:p w:rsidR="002F20CD" w:rsidRPr="004D5CFA" w:rsidRDefault="002F20CD" w:rsidP="004D5CFA">
      <w:pPr>
        <w:snapToGrid w:val="0"/>
        <w:jc w:val="both"/>
        <w:rPr>
          <w:b/>
          <w:sz w:val="20"/>
          <w:szCs w:val="20"/>
        </w:rPr>
        <w:sectPr w:rsidR="002F20CD" w:rsidRPr="004D5CFA" w:rsidSect="00D01B9D">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106"/>
          <w:cols w:space="720"/>
          <w:docGrid w:linePitch="360"/>
        </w:sectPr>
      </w:pPr>
    </w:p>
    <w:p w:rsidR="0030034F" w:rsidRPr="004D5CFA" w:rsidRDefault="006600EA" w:rsidP="004D5CFA">
      <w:pPr>
        <w:snapToGrid w:val="0"/>
        <w:contextualSpacing/>
        <w:jc w:val="both"/>
        <w:rPr>
          <w:b/>
          <w:bCs/>
          <w:sz w:val="20"/>
          <w:szCs w:val="20"/>
        </w:rPr>
      </w:pPr>
      <w:r w:rsidRPr="004D5CFA">
        <w:rPr>
          <w:b/>
          <w:bCs/>
          <w:sz w:val="20"/>
          <w:szCs w:val="20"/>
        </w:rPr>
        <w:lastRenderedPageBreak/>
        <w:t>1. Introduction</w:t>
      </w:r>
    </w:p>
    <w:p w:rsidR="002710E0" w:rsidRPr="004D5CFA" w:rsidRDefault="008E623D" w:rsidP="004D5CFA">
      <w:pPr>
        <w:pStyle w:val="Subtitle"/>
        <w:bidi w:val="0"/>
        <w:snapToGrid w:val="0"/>
        <w:ind w:left="0" w:firstLine="425"/>
        <w:jc w:val="both"/>
        <w:rPr>
          <w:rFonts w:eastAsia="Calibri" w:cs="Times New Roman"/>
          <w:sz w:val="20"/>
          <w:szCs w:val="20"/>
        </w:rPr>
      </w:pPr>
      <w:r w:rsidRPr="004D5CFA">
        <w:rPr>
          <w:rStyle w:val="Strong"/>
          <w:rFonts w:cs="Times New Roman"/>
          <w:b w:val="0"/>
          <w:bCs w:val="0"/>
          <w:sz w:val="20"/>
          <w:szCs w:val="20"/>
        </w:rPr>
        <w:t>Carbon is one of the required elements of the plants that its rate in comparison with the other elements is too high.</w:t>
      </w:r>
      <w:r w:rsidRPr="004D5CFA">
        <w:rPr>
          <w:rFonts w:cs="Times New Roman"/>
          <w:sz w:val="20"/>
          <w:szCs w:val="20"/>
        </w:rPr>
        <w:t xml:space="preserve"> Nearly 40% of the plant dry weight is carbon. Plants get their </w:t>
      </w:r>
      <w:r w:rsidRPr="004D5CFA">
        <w:rPr>
          <w:rStyle w:val="Strong"/>
          <w:rFonts w:cs="Times New Roman"/>
          <w:b w:val="0"/>
          <w:bCs w:val="0"/>
          <w:sz w:val="20"/>
          <w:szCs w:val="20"/>
        </w:rPr>
        <w:t>required</w:t>
      </w:r>
      <w:r w:rsidRPr="004D5CFA">
        <w:rPr>
          <w:rFonts w:cs="Times New Roman"/>
          <w:sz w:val="20"/>
          <w:szCs w:val="20"/>
        </w:rPr>
        <w:t xml:space="preserve"> carbon from existing carbon dioxide in the air and most of the gas through the leaves stomas that have open state enter into the plant.</w:t>
      </w:r>
      <w:r w:rsidRPr="004D5CFA">
        <w:rPr>
          <w:rFonts w:eastAsia="Calibri" w:cs="Times New Roman"/>
          <w:sz w:val="20"/>
          <w:szCs w:val="20"/>
        </w:rPr>
        <w:t xml:space="preserve"> When carbon dioxide gas enters into the plant cells, using energy of sunlight is converted to the carbohydrates (sugars). Produced carbohydrates are transferred to other parts of the plant and participate in structure of other plant material (Powell, 1993).</w:t>
      </w:r>
    </w:p>
    <w:p w:rsidR="008E623D" w:rsidRPr="004D5CFA" w:rsidRDefault="008E623D" w:rsidP="004D5CFA">
      <w:pPr>
        <w:pStyle w:val="Subtitle"/>
        <w:bidi w:val="0"/>
        <w:snapToGrid w:val="0"/>
        <w:ind w:left="0" w:firstLine="425"/>
        <w:jc w:val="both"/>
        <w:rPr>
          <w:rFonts w:eastAsia="Calibri" w:cs="Times New Roman"/>
          <w:sz w:val="20"/>
          <w:szCs w:val="20"/>
        </w:rPr>
      </w:pPr>
      <w:r w:rsidRPr="004D5CFA">
        <w:rPr>
          <w:rFonts w:eastAsia="Calibri" w:cs="Times New Roman"/>
          <w:sz w:val="20"/>
          <w:szCs w:val="20"/>
        </w:rPr>
        <w:t xml:space="preserve">In winter to prevent heat loss, the air exchange of inside the greenhouse with the outside due to blocking of the space to minimize, this situation especially in northern areas of the earth that cold continues consecutive days to cause in the sunshine day, existing carbon dioxide in space of the closed </w:t>
      </w:r>
      <w:r w:rsidRPr="004D5CFA">
        <w:rPr>
          <w:rFonts w:cs="Times New Roman"/>
          <w:sz w:val="20"/>
          <w:szCs w:val="20"/>
        </w:rPr>
        <w:t>greenhouse</w:t>
      </w:r>
      <w:r w:rsidRPr="004D5CFA">
        <w:rPr>
          <w:rFonts w:eastAsia="Calibri" w:cs="Times New Roman"/>
          <w:sz w:val="20"/>
          <w:szCs w:val="20"/>
        </w:rPr>
        <w:t xml:space="preserve"> frequently become decreased. Following this change, the process of photosynthesis consistent with this change to decrease and the time reaches that the plant growing is stopped completely. On average, slightly more than 0/03% of air is carbon dioxide that its rate in current condition is 345 parts in per million (345ppm) (Hosndokht</w:t>
      </w:r>
      <w:proofErr w:type="gramStart"/>
      <w:r w:rsidRPr="004D5CFA">
        <w:rPr>
          <w:rFonts w:eastAsia="Calibri" w:cs="Times New Roman"/>
          <w:sz w:val="20"/>
          <w:szCs w:val="20"/>
        </w:rPr>
        <w:t>,2005</w:t>
      </w:r>
      <w:proofErr w:type="gramEnd"/>
      <w:r w:rsidRPr="004D5CFA">
        <w:rPr>
          <w:rFonts w:eastAsia="Calibri" w:cs="Times New Roman"/>
          <w:sz w:val="20"/>
          <w:szCs w:val="20"/>
        </w:rPr>
        <w:t>).</w:t>
      </w:r>
    </w:p>
    <w:p w:rsidR="002710E0" w:rsidRPr="004D5CFA" w:rsidRDefault="008E623D" w:rsidP="004D5CFA">
      <w:pPr>
        <w:pStyle w:val="Subtitle"/>
        <w:bidi w:val="0"/>
        <w:snapToGrid w:val="0"/>
        <w:ind w:left="0" w:firstLine="425"/>
        <w:jc w:val="both"/>
        <w:rPr>
          <w:rFonts w:cs="Times New Roman"/>
          <w:sz w:val="20"/>
          <w:szCs w:val="20"/>
        </w:rPr>
      </w:pPr>
      <w:r w:rsidRPr="004D5CFA">
        <w:rPr>
          <w:rFonts w:eastAsia="Calibri" w:cs="Times New Roman"/>
          <w:sz w:val="20"/>
          <w:szCs w:val="20"/>
        </w:rPr>
        <w:lastRenderedPageBreak/>
        <w:t xml:space="preserve">However, amount of carbon dioxide in a closed greenhouse, may to drop in a few hours to a critical point and finally its growing to stop. Concentration of co2 that causes this condition is variable and depends entirely on the type of greenhouses plant. Generally this condition once happens that amount of co2 is </w:t>
      </w:r>
      <w:proofErr w:type="gramStart"/>
      <w:r w:rsidRPr="004D5CFA">
        <w:rPr>
          <w:rFonts w:eastAsia="Calibri" w:cs="Times New Roman"/>
          <w:sz w:val="20"/>
          <w:szCs w:val="20"/>
        </w:rPr>
        <w:t>between 50-125</w:t>
      </w:r>
      <w:proofErr w:type="gramEnd"/>
      <w:r w:rsidRPr="004D5CFA">
        <w:rPr>
          <w:rFonts w:eastAsia="Calibri" w:cs="Times New Roman"/>
          <w:sz w:val="20"/>
          <w:szCs w:val="20"/>
        </w:rPr>
        <w:t xml:space="preserve">. If this deficiency happens for several days in a cultivation period, lead to prolong cultivation period and reduction of the quality of crop. </w:t>
      </w:r>
      <w:r w:rsidRPr="004D5CFA">
        <w:rPr>
          <w:rFonts w:eastAsia="Calibri" w:cs="Times New Roman"/>
          <w:sz w:val="20"/>
          <w:szCs w:val="20"/>
          <w:lang w:bidi="fa-IR"/>
        </w:rPr>
        <w:t>Lack of carbon dioxide around the plant (canopy) may be higher than other parts, so greenhouses ventilation can maintain uniformity of co2 concentration inside the greenhouse (Powell, 1993).</w:t>
      </w:r>
      <w:r w:rsidR="00FE3101">
        <w:rPr>
          <w:rFonts w:eastAsiaTheme="minorEastAsia" w:cs="Times New Roman" w:hint="eastAsia"/>
          <w:sz w:val="20"/>
          <w:szCs w:val="20"/>
          <w:lang w:eastAsia="zh-CN" w:bidi="fa-IR"/>
        </w:rPr>
        <w:t xml:space="preserve"> </w:t>
      </w:r>
      <w:r w:rsidRPr="004D5CFA">
        <w:rPr>
          <w:rFonts w:eastAsia="Calibri" w:cs="Times New Roman"/>
          <w:sz w:val="20"/>
          <w:szCs w:val="20"/>
          <w:lang w:bidi="fa-IR"/>
        </w:rPr>
        <w:t xml:space="preserve">It should be noted that greenhouses ventilation in maximum can reach concentration of co2 gas to usual limit that is same 345 </w:t>
      </w:r>
      <w:proofErr w:type="spellStart"/>
      <w:r w:rsidRPr="004D5CFA">
        <w:rPr>
          <w:rFonts w:eastAsia="Calibri" w:cs="Times New Roman"/>
          <w:sz w:val="20"/>
          <w:szCs w:val="20"/>
          <w:lang w:bidi="fa-IR"/>
        </w:rPr>
        <w:t>ppm</w:t>
      </w:r>
      <w:proofErr w:type="spellEnd"/>
      <w:r w:rsidRPr="004D5CFA">
        <w:rPr>
          <w:rFonts w:eastAsia="Calibri" w:cs="Times New Roman"/>
          <w:sz w:val="20"/>
          <w:szCs w:val="20"/>
          <w:lang w:bidi="fa-IR"/>
        </w:rPr>
        <w:t xml:space="preserve"> (part per million) that it’s increasing with feeding co2 gas to ppm1300 (part per million) causes ideal greenhouse cucumber growing (</w:t>
      </w:r>
      <w:proofErr w:type="spellStart"/>
      <w:r w:rsidRPr="004D5CFA">
        <w:rPr>
          <w:rFonts w:eastAsia="Calibri" w:cs="Times New Roman"/>
          <w:sz w:val="20"/>
          <w:szCs w:val="20"/>
          <w:lang w:bidi="fa-IR"/>
        </w:rPr>
        <w:t>Barzegar</w:t>
      </w:r>
      <w:proofErr w:type="spellEnd"/>
      <w:r w:rsidRPr="004D5CFA">
        <w:rPr>
          <w:rFonts w:eastAsia="Calibri" w:cs="Times New Roman"/>
          <w:sz w:val="20"/>
          <w:szCs w:val="20"/>
          <w:lang w:bidi="fa-IR"/>
        </w:rPr>
        <w:t>, 2010).</w:t>
      </w:r>
    </w:p>
    <w:p w:rsidR="008E623D" w:rsidRPr="004D5CFA" w:rsidRDefault="008E623D" w:rsidP="004D5CFA">
      <w:pPr>
        <w:pStyle w:val="Subtitle"/>
        <w:bidi w:val="0"/>
        <w:snapToGrid w:val="0"/>
        <w:ind w:left="0" w:firstLine="425"/>
        <w:jc w:val="both"/>
        <w:rPr>
          <w:rFonts w:cs="Times New Roman"/>
          <w:sz w:val="20"/>
          <w:szCs w:val="20"/>
        </w:rPr>
      </w:pPr>
      <w:r w:rsidRPr="004D5CFA">
        <w:rPr>
          <w:rFonts w:cs="Times New Roman"/>
          <w:sz w:val="20"/>
          <w:szCs w:val="20"/>
        </w:rPr>
        <w:t>With increasing consumer awareness about nutritional issues, amount of Vegetable consumption in the food basket of households is growing and hence attention to the current methods and technologies to produce these products should be considered. Lack of resources, has prompted human that find more efficient solutions for own food supplying,</w:t>
      </w:r>
      <w:r w:rsidRPr="004D5CFA">
        <w:rPr>
          <w:rFonts w:cs="Times New Roman"/>
          <w:sz w:val="20"/>
          <w:szCs w:val="20"/>
          <w:lang w:bidi="fa-IR"/>
        </w:rPr>
        <w:t xml:space="preserve"> on the other hand seasonality of </w:t>
      </w:r>
      <w:r w:rsidRPr="004D5CFA">
        <w:rPr>
          <w:rFonts w:cs="Times New Roman"/>
          <w:sz w:val="20"/>
          <w:szCs w:val="20"/>
          <w:lang w:bidi="fa-IR"/>
        </w:rPr>
        <w:lastRenderedPageBreak/>
        <w:t>agricultural products especially summer crop in conditions of ongoing demand and also increasing significance of quality level and market-friendly of produced crops, has caused in recent years see increasing development of the greenhouses in our country.</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 xml:space="preserve">So given the greenhouses economy and enhance production efficiency especially in the current situation that plan of making targeted the subsidies has been implemented is very important. In this study we want to estimate economic impact of feeding with co2 on greenhouse cucumber production </w:t>
      </w:r>
      <w:proofErr w:type="spellStart"/>
      <w:r w:rsidRPr="004D5CFA">
        <w:rPr>
          <w:rFonts w:cs="Times New Roman"/>
          <w:sz w:val="20"/>
          <w:szCs w:val="20"/>
          <w:lang w:bidi="fa-IR"/>
        </w:rPr>
        <w:t>Mahalat</w:t>
      </w:r>
      <w:proofErr w:type="spellEnd"/>
      <w:r w:rsidRPr="004D5CFA">
        <w:rPr>
          <w:rFonts w:cs="Times New Roman"/>
          <w:sz w:val="20"/>
          <w:szCs w:val="20"/>
          <w:lang w:bidi="fa-IR"/>
        </w:rPr>
        <w:t xml:space="preserve"> </w:t>
      </w:r>
      <w:proofErr w:type="gramStart"/>
      <w:r w:rsidRPr="004D5CFA">
        <w:rPr>
          <w:rFonts w:cs="Times New Roman"/>
          <w:sz w:val="20"/>
          <w:szCs w:val="20"/>
          <w:lang w:bidi="fa-IR"/>
        </w:rPr>
        <w:t>township</w:t>
      </w:r>
      <w:proofErr w:type="gramEnd"/>
      <w:r w:rsidRPr="004D5CFA">
        <w:rPr>
          <w:rFonts w:cs="Times New Roman"/>
          <w:sz w:val="20"/>
          <w:szCs w:val="20"/>
          <w:lang w:bidi="fa-IR"/>
        </w:rPr>
        <w:t xml:space="preserve"> so that with respect to revenues and expenses of using this technology suggestions and recommendations will be presented. Generally, in Iran economic study in the field of effects of feeding co2 on greenhouse cucumber production hasn’t done, but in the field of</w:t>
      </w:r>
      <w:r w:rsidRPr="004D5CFA">
        <w:rPr>
          <w:rFonts w:cs="Times New Roman"/>
          <w:sz w:val="20"/>
          <w:szCs w:val="20"/>
        </w:rPr>
        <w:t xml:space="preserve"> </w:t>
      </w:r>
      <w:r w:rsidRPr="004D5CFA">
        <w:rPr>
          <w:rFonts w:cs="Times New Roman"/>
          <w:sz w:val="20"/>
          <w:szCs w:val="20"/>
          <w:lang w:bidi="fa-IR"/>
        </w:rPr>
        <w:t>foreign studies in this regard studies has been done.</w:t>
      </w:r>
    </w:p>
    <w:p w:rsidR="008E623D" w:rsidRPr="004D5CFA" w:rsidRDefault="008E623D" w:rsidP="004D5CFA">
      <w:pPr>
        <w:snapToGrid w:val="0"/>
        <w:ind w:firstLine="425"/>
        <w:jc w:val="both"/>
        <w:rPr>
          <w:sz w:val="20"/>
          <w:szCs w:val="20"/>
        </w:rPr>
      </w:pPr>
      <w:proofErr w:type="spellStart"/>
      <w:r w:rsidRPr="004D5CFA">
        <w:rPr>
          <w:sz w:val="20"/>
          <w:szCs w:val="20"/>
        </w:rPr>
        <w:t>Mahmoud</w:t>
      </w:r>
      <w:proofErr w:type="spellEnd"/>
      <w:r w:rsidRPr="004D5CFA">
        <w:rPr>
          <w:sz w:val="20"/>
          <w:szCs w:val="20"/>
        </w:rPr>
        <w:t xml:space="preserve"> </w:t>
      </w:r>
      <w:proofErr w:type="spellStart"/>
      <w:r w:rsidRPr="004D5CFA">
        <w:rPr>
          <w:sz w:val="20"/>
          <w:szCs w:val="20"/>
        </w:rPr>
        <w:t>Shoor</w:t>
      </w:r>
      <w:proofErr w:type="spellEnd"/>
      <w:r w:rsidRPr="004D5CFA">
        <w:rPr>
          <w:sz w:val="20"/>
          <w:szCs w:val="20"/>
        </w:rPr>
        <w:t xml:space="preserve"> and et al (2010) in a study entitled examination of the effects of increasing carbon dioxide on anatomical and morphological traits of marigold in a greenhouse condition, for anatomical, morphological, precocity of the plant seedling, put them in control concentrations (350) 700, 1050 and 1400 micromoles mol of carbon dioxide. This experiment was conducted in experimental design completely randomized with three replications and characteristics such as stem diameter, number of leaves, height, chlorophyll content, stoma density, epidermal cell density, stoma index, stoma length and width, length and width of guard cells, leaf total area and shoot dry weight were studied. The results showed that high concentrations of carbon dioxide, affected most of the understudy traits. But concentration </w:t>
      </w:r>
      <w:proofErr w:type="gramStart"/>
      <w:r w:rsidRPr="004D5CFA">
        <w:rPr>
          <w:sz w:val="20"/>
          <w:szCs w:val="20"/>
        </w:rPr>
        <w:t>of 700 micro mol</w:t>
      </w:r>
      <w:proofErr w:type="gramEnd"/>
      <w:r w:rsidRPr="004D5CFA">
        <w:rPr>
          <w:sz w:val="20"/>
          <w:szCs w:val="20"/>
        </w:rPr>
        <w:t xml:space="preserve"> on mol carbon dioxide had greatest effect on under study traits. As Average stem diameter69% and increased stem height compared to the control mean more than twice. The high concentration of carbon dioxide significantly increased the stoma and epidermal cell density, length and size of stoma, guard cell length, leaf area and plant dry weight. Concentrations of 700 micromoles on carbon dioxide accelerated flowering 15 to 20 days compared with control plants.</w:t>
      </w:r>
    </w:p>
    <w:p w:rsidR="008E623D" w:rsidRPr="004D5CFA" w:rsidRDefault="008E623D" w:rsidP="004D5CFA">
      <w:pPr>
        <w:snapToGrid w:val="0"/>
        <w:ind w:firstLine="425"/>
        <w:jc w:val="both"/>
        <w:rPr>
          <w:sz w:val="20"/>
          <w:szCs w:val="20"/>
          <w:lang w:bidi="fa-IR"/>
        </w:rPr>
      </w:pPr>
      <w:r w:rsidRPr="004D5CFA">
        <w:rPr>
          <w:sz w:val="20"/>
          <w:szCs w:val="20"/>
          <w:lang w:bidi="fa-IR"/>
        </w:rPr>
        <w:t xml:space="preserve">Mohammad </w:t>
      </w:r>
      <w:proofErr w:type="spellStart"/>
      <w:r w:rsidRPr="004D5CFA">
        <w:rPr>
          <w:sz w:val="20"/>
          <w:szCs w:val="20"/>
          <w:lang w:bidi="fa-IR"/>
        </w:rPr>
        <w:t>Banayan</w:t>
      </w:r>
      <w:proofErr w:type="spellEnd"/>
      <w:r w:rsidRPr="004D5CFA">
        <w:rPr>
          <w:sz w:val="20"/>
          <w:szCs w:val="20"/>
          <w:lang w:bidi="fa-IR"/>
        </w:rPr>
        <w:t xml:space="preserve"> </w:t>
      </w:r>
      <w:proofErr w:type="spellStart"/>
      <w:proofErr w:type="gramStart"/>
      <w:r w:rsidRPr="004D5CFA">
        <w:rPr>
          <w:sz w:val="20"/>
          <w:szCs w:val="20"/>
          <w:lang w:bidi="fa-IR"/>
        </w:rPr>
        <w:t>aval</w:t>
      </w:r>
      <w:proofErr w:type="spellEnd"/>
      <w:r w:rsidRPr="004D5CFA">
        <w:rPr>
          <w:sz w:val="20"/>
          <w:szCs w:val="20"/>
          <w:lang w:bidi="fa-IR"/>
        </w:rPr>
        <w:t>(</w:t>
      </w:r>
      <w:proofErr w:type="gramEnd"/>
      <w:r w:rsidRPr="004D5CFA">
        <w:rPr>
          <w:sz w:val="20"/>
          <w:szCs w:val="20"/>
          <w:lang w:bidi="fa-IR"/>
        </w:rPr>
        <w:t>2009) performed a research under the title performance evaluation of crops growth models in condition of increasing co2 rice and peanuts.</w:t>
      </w:r>
      <w:r w:rsidRPr="004D5CFA">
        <w:rPr>
          <w:sz w:val="20"/>
          <w:szCs w:val="20"/>
        </w:rPr>
        <w:t xml:space="preserve"> In this study he used of published data from two international research on rice (increased carbon dioxide and nitrogen) and peanuts (increased carbon dioxide and temperature).</w:t>
      </w:r>
      <w:r w:rsidR="00FE3101">
        <w:rPr>
          <w:rFonts w:hint="eastAsia"/>
          <w:sz w:val="20"/>
          <w:szCs w:val="20"/>
          <w:lang w:eastAsia="zh-CN"/>
        </w:rPr>
        <w:t xml:space="preserve"> </w:t>
      </w:r>
      <w:r w:rsidRPr="004D5CFA">
        <w:rPr>
          <w:sz w:val="20"/>
          <w:szCs w:val="20"/>
        </w:rPr>
        <w:t xml:space="preserve">Simulation models of plant response to increased carbon dioxide have forecasted production increase to </w:t>
      </w:r>
      <w:r w:rsidRPr="004D5CFA">
        <w:rPr>
          <w:sz w:val="20"/>
          <w:szCs w:val="20"/>
        </w:rPr>
        <w:lastRenderedPageBreak/>
        <w:t>30% in controlled environments and situations that there isn’t water and nutrients limitation.</w:t>
      </w:r>
    </w:p>
    <w:p w:rsidR="008E623D" w:rsidRPr="004D5CFA" w:rsidRDefault="008E623D" w:rsidP="004D5CFA">
      <w:pPr>
        <w:snapToGrid w:val="0"/>
        <w:ind w:firstLine="425"/>
        <w:jc w:val="both"/>
        <w:rPr>
          <w:rFonts w:eastAsia="Times New Roman"/>
          <w:sz w:val="20"/>
          <w:szCs w:val="20"/>
          <w:lang w:bidi="fa-IR"/>
        </w:rPr>
      </w:pPr>
      <w:proofErr w:type="spellStart"/>
      <w:r w:rsidRPr="004D5CFA">
        <w:rPr>
          <w:rFonts w:eastAsia="Times New Roman"/>
          <w:sz w:val="20"/>
          <w:szCs w:val="20"/>
        </w:rPr>
        <w:t>Alireza</w:t>
      </w:r>
      <w:proofErr w:type="spellEnd"/>
      <w:r w:rsidRPr="004D5CFA">
        <w:rPr>
          <w:rFonts w:eastAsia="Times New Roman"/>
          <w:sz w:val="20"/>
          <w:szCs w:val="20"/>
        </w:rPr>
        <w:t xml:space="preserve"> </w:t>
      </w:r>
      <w:proofErr w:type="spellStart"/>
      <w:r w:rsidRPr="004D5CFA">
        <w:rPr>
          <w:rFonts w:eastAsia="Times New Roman"/>
          <w:sz w:val="20"/>
          <w:szCs w:val="20"/>
        </w:rPr>
        <w:t>Kochaki</w:t>
      </w:r>
      <w:proofErr w:type="spellEnd"/>
      <w:r w:rsidRPr="004D5CFA">
        <w:rPr>
          <w:rFonts w:eastAsia="Times New Roman"/>
          <w:sz w:val="20"/>
          <w:szCs w:val="20"/>
        </w:rPr>
        <w:t xml:space="preserve"> and et al (2008) to calculate the interaction of increasing co2 on photosynthetic parameters have used SUCROS</w:t>
      </w:r>
      <w:r w:rsidRPr="004D5CFA">
        <w:rPr>
          <w:rStyle w:val="FootnoteReference"/>
          <w:sz w:val="20"/>
          <w:szCs w:val="20"/>
        </w:rPr>
        <w:footnoteRef/>
      </w:r>
      <w:r w:rsidRPr="004D5CFA">
        <w:rPr>
          <w:rFonts w:eastAsia="Times New Roman"/>
          <w:sz w:val="20"/>
          <w:szCs w:val="20"/>
        </w:rPr>
        <w:t xml:space="preserve"> model. For evaluation of co2 concentration Interaction and increasing temperature of wheat yield in three concentrations 350 (current), 550 and ppm700 (double) in combination with increasing mean daily temperature to  zero, 1, 2, 3</w:t>
      </w:r>
      <w:r w:rsidR="00FE3101">
        <w:rPr>
          <w:rFonts w:eastAsia="Times New Roman"/>
          <w:sz w:val="20"/>
          <w:szCs w:val="20"/>
        </w:rPr>
        <w:t>,</w:t>
      </w:r>
      <w:r w:rsidRPr="004D5CFA">
        <w:rPr>
          <w:rFonts w:eastAsia="Times New Roman"/>
          <w:sz w:val="20"/>
          <w:szCs w:val="20"/>
        </w:rPr>
        <w:t xml:space="preserve"> 4 centigrade degree was simulated.</w:t>
      </w:r>
      <w:r w:rsidRPr="004D5CFA">
        <w:rPr>
          <w:rFonts w:eastAsia="Times New Roman"/>
          <w:sz w:val="20"/>
          <w:szCs w:val="20"/>
          <w:lang w:bidi="fa-IR"/>
        </w:rPr>
        <w:t xml:space="preserve"> They showed that effect of increasing co2 concentration without heating on wheat yield was positive.</w:t>
      </w:r>
    </w:p>
    <w:p w:rsidR="008E623D" w:rsidRPr="004D5CFA" w:rsidRDefault="008E623D" w:rsidP="004D5CFA">
      <w:pPr>
        <w:pStyle w:val="Subtitle"/>
        <w:tabs>
          <w:tab w:val="left" w:pos="1668"/>
        </w:tabs>
        <w:bidi w:val="0"/>
        <w:snapToGrid w:val="0"/>
        <w:ind w:left="0" w:firstLine="425"/>
        <w:jc w:val="both"/>
        <w:rPr>
          <w:rFonts w:cs="Times New Roman"/>
          <w:sz w:val="20"/>
          <w:szCs w:val="20"/>
          <w:lang w:bidi="fa-IR"/>
        </w:rPr>
      </w:pPr>
      <w:r w:rsidRPr="004D5CFA">
        <w:rPr>
          <w:rFonts w:cs="Times New Roman"/>
          <w:sz w:val="20"/>
          <w:szCs w:val="20"/>
          <w:lang w:bidi="fa-IR"/>
        </w:rPr>
        <w:t>Sanchez and et al (2009) in a study entitled effects of feeding with co2 gas with consumable water in the hydroponic greenhouse using statistical methods showed that the in effect of feeding with co2 gas in greenhouse, cucumber production rate, increases 19% compared to other greenhouses that hadn’t fed with co2 gas, without any change in using consumable water.</w:t>
      </w:r>
    </w:p>
    <w:p w:rsidR="008E623D" w:rsidRPr="004D5CFA" w:rsidRDefault="008E623D" w:rsidP="004D5CFA">
      <w:pPr>
        <w:pStyle w:val="Subtitle"/>
        <w:tabs>
          <w:tab w:val="left" w:pos="1668"/>
        </w:tabs>
        <w:bidi w:val="0"/>
        <w:snapToGrid w:val="0"/>
        <w:ind w:left="0" w:firstLine="425"/>
        <w:jc w:val="both"/>
        <w:rPr>
          <w:rFonts w:cs="Times New Roman"/>
          <w:sz w:val="20"/>
          <w:szCs w:val="20"/>
          <w:lang w:bidi="fa-IR"/>
        </w:rPr>
      </w:pPr>
      <w:proofErr w:type="spellStart"/>
      <w:r w:rsidRPr="004D5CFA">
        <w:rPr>
          <w:rFonts w:cs="Times New Roman"/>
          <w:sz w:val="20"/>
          <w:szCs w:val="20"/>
          <w:lang w:bidi="fa-IR"/>
        </w:rPr>
        <w:t>Chalabi</w:t>
      </w:r>
      <w:proofErr w:type="spellEnd"/>
      <w:r w:rsidRPr="004D5CFA">
        <w:rPr>
          <w:rFonts w:cs="Times New Roman"/>
          <w:sz w:val="20"/>
          <w:szCs w:val="20"/>
          <w:lang w:bidi="fa-IR"/>
        </w:rPr>
        <w:t xml:space="preserve"> and et al (1990) in research entitled a general optimal strategy for feeding with co2 gas in greenhouse showed that feeding with carbon dioxide causes increased greenhouse cucumber dry weight. They performed their research in the greenhouse by injecting co2 on cucumber bush that obtained optimum amount of co2 gas for cucumber photosynthesis. They showed that increasing co2 cause increasing the production and its quality.</w:t>
      </w:r>
    </w:p>
    <w:p w:rsidR="008E623D" w:rsidRPr="004D5CFA" w:rsidRDefault="008E623D" w:rsidP="004D5CFA">
      <w:pPr>
        <w:snapToGrid w:val="0"/>
        <w:ind w:firstLine="425"/>
        <w:jc w:val="both"/>
        <w:rPr>
          <w:sz w:val="20"/>
          <w:szCs w:val="20"/>
        </w:rPr>
      </w:pPr>
      <w:proofErr w:type="spellStart"/>
      <w:r w:rsidRPr="004D5CFA">
        <w:rPr>
          <w:sz w:val="20"/>
          <w:szCs w:val="20"/>
        </w:rPr>
        <w:t>Pandy</w:t>
      </w:r>
      <w:proofErr w:type="spellEnd"/>
      <w:r w:rsidRPr="004D5CFA">
        <w:rPr>
          <w:sz w:val="20"/>
          <w:szCs w:val="20"/>
        </w:rPr>
        <w:t xml:space="preserve"> and et al (17) showed that if rose plants exposed to high concentrations of carbon dioxide 1000 </w:t>
      </w:r>
      <w:proofErr w:type="spellStart"/>
      <w:r w:rsidRPr="004D5CFA">
        <w:rPr>
          <w:sz w:val="20"/>
          <w:szCs w:val="20"/>
        </w:rPr>
        <w:t>ppm</w:t>
      </w:r>
      <w:proofErr w:type="spellEnd"/>
      <w:r w:rsidRPr="004D5CFA">
        <w:rPr>
          <w:sz w:val="20"/>
          <w:szCs w:val="20"/>
        </w:rPr>
        <w:t xml:space="preserve"> and temperature 28 centigrade in day  and </w:t>
      </w:r>
      <w:smartTag w:uri="urn:schemas-microsoft-com:office:smarttags" w:element="metricconverter">
        <w:smartTagPr>
          <w:attr w:name="ProductID" w:val="18 in"/>
        </w:smartTagPr>
        <w:r w:rsidRPr="004D5CFA">
          <w:rPr>
            <w:sz w:val="20"/>
            <w:szCs w:val="20"/>
          </w:rPr>
          <w:t>18 in</w:t>
        </w:r>
      </w:smartTag>
      <w:r w:rsidRPr="004D5CFA">
        <w:rPr>
          <w:sz w:val="20"/>
          <w:szCs w:val="20"/>
        </w:rPr>
        <w:t xml:space="preserve"> night for 50 days, caused significant increase in stoma density (68/7% relative to control plants) and epidermal cell density (37/3% relative to control plants).</w:t>
      </w:r>
    </w:p>
    <w:p w:rsidR="008E623D" w:rsidRPr="004D5CFA" w:rsidRDefault="008E623D" w:rsidP="004D5CFA">
      <w:pPr>
        <w:snapToGrid w:val="0"/>
        <w:ind w:firstLine="425"/>
        <w:jc w:val="both"/>
        <w:rPr>
          <w:rStyle w:val="Strong"/>
          <w:rFonts w:eastAsia="Times New Roman" w:cs="Times New Roman"/>
          <w:b w:val="0"/>
          <w:bCs w:val="0"/>
          <w:sz w:val="20"/>
          <w:szCs w:val="20"/>
          <w:lang w:bidi="fa-IR"/>
        </w:rPr>
      </w:pPr>
      <w:r w:rsidRPr="004D5CFA">
        <w:rPr>
          <w:rStyle w:val="Strong"/>
          <w:rFonts w:eastAsia="Times New Roman" w:cs="Times New Roman"/>
          <w:b w:val="0"/>
          <w:bCs w:val="0"/>
          <w:sz w:val="20"/>
          <w:szCs w:val="20"/>
          <w:lang w:bidi="fa-IR"/>
        </w:rPr>
        <w:t xml:space="preserve">Also </w:t>
      </w:r>
      <w:proofErr w:type="spellStart"/>
      <w:r w:rsidRPr="004D5CFA">
        <w:rPr>
          <w:rStyle w:val="Strong"/>
          <w:rFonts w:eastAsia="Times New Roman" w:cs="Times New Roman"/>
          <w:b w:val="0"/>
          <w:bCs w:val="0"/>
          <w:sz w:val="20"/>
          <w:szCs w:val="20"/>
          <w:lang w:bidi="fa-IR"/>
        </w:rPr>
        <w:t>Dath</w:t>
      </w:r>
      <w:proofErr w:type="spellEnd"/>
      <w:r w:rsidRPr="004D5CFA">
        <w:rPr>
          <w:rStyle w:val="Strong"/>
          <w:rFonts w:eastAsia="Times New Roman" w:cs="Times New Roman"/>
          <w:b w:val="0"/>
          <w:bCs w:val="0"/>
          <w:sz w:val="20"/>
          <w:szCs w:val="20"/>
          <w:lang w:bidi="fa-IR"/>
        </w:rPr>
        <w:t xml:space="preserve"> (18), </w:t>
      </w:r>
      <w:proofErr w:type="spellStart"/>
      <w:r w:rsidRPr="004D5CFA">
        <w:rPr>
          <w:rStyle w:val="Strong"/>
          <w:rFonts w:eastAsia="Times New Roman" w:cs="Times New Roman"/>
          <w:b w:val="0"/>
          <w:bCs w:val="0"/>
          <w:sz w:val="20"/>
          <w:szCs w:val="20"/>
          <w:lang w:bidi="fa-IR"/>
        </w:rPr>
        <w:t>Operty</w:t>
      </w:r>
      <w:proofErr w:type="spellEnd"/>
      <w:r w:rsidRPr="004D5CFA">
        <w:rPr>
          <w:rStyle w:val="Strong"/>
          <w:rFonts w:eastAsia="Times New Roman" w:cs="Times New Roman"/>
          <w:b w:val="0"/>
          <w:bCs w:val="0"/>
          <w:sz w:val="20"/>
          <w:szCs w:val="20"/>
          <w:lang w:bidi="fa-IR"/>
        </w:rPr>
        <w:t xml:space="preserve"> and et al (19) were reported increasing in stoma length, length and width of guard cells under conditions of carbon dioxide with high concentrations in numbers cabbage and rice respectively.</w:t>
      </w:r>
    </w:p>
    <w:p w:rsidR="008E623D" w:rsidRPr="004D5CFA" w:rsidRDefault="008E623D" w:rsidP="004D5CFA">
      <w:pPr>
        <w:pStyle w:val="Subtitle"/>
        <w:bidi w:val="0"/>
        <w:snapToGrid w:val="0"/>
        <w:ind w:left="0" w:firstLine="0"/>
        <w:jc w:val="both"/>
        <w:rPr>
          <w:rFonts w:cs="Times New Roman"/>
          <w:sz w:val="20"/>
          <w:szCs w:val="20"/>
          <w:lang w:bidi="fa-IR"/>
        </w:rPr>
      </w:pPr>
    </w:p>
    <w:p w:rsidR="008E623D" w:rsidRPr="004D5CFA" w:rsidRDefault="008E623D" w:rsidP="004D5CFA">
      <w:pPr>
        <w:pStyle w:val="Subtitle"/>
        <w:bidi w:val="0"/>
        <w:snapToGrid w:val="0"/>
        <w:ind w:left="0" w:firstLine="0"/>
        <w:jc w:val="both"/>
        <w:rPr>
          <w:rFonts w:cs="Times New Roman"/>
          <w:b/>
          <w:bCs/>
          <w:sz w:val="20"/>
          <w:szCs w:val="20"/>
          <w:lang w:bidi="fa-IR"/>
        </w:rPr>
      </w:pPr>
      <w:r w:rsidRPr="004D5CFA">
        <w:rPr>
          <w:rFonts w:cs="Times New Roman"/>
          <w:b/>
          <w:bCs/>
          <w:sz w:val="20"/>
          <w:szCs w:val="20"/>
          <w:lang w:bidi="fa-IR"/>
        </w:rPr>
        <w:t>Materials and Methods</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 xml:space="preserve">Statistics and data used in this study through in personal interviews and completion 78 questionnaires cost of greenhouse cucumber production in simple randomly was collected from </w:t>
      </w:r>
      <w:proofErr w:type="spellStart"/>
      <w:r w:rsidRPr="004D5CFA">
        <w:rPr>
          <w:rFonts w:cs="Times New Roman"/>
          <w:sz w:val="20"/>
          <w:szCs w:val="20"/>
          <w:lang w:bidi="fa-IR"/>
        </w:rPr>
        <w:t>Mahalat</w:t>
      </w:r>
      <w:proofErr w:type="spellEnd"/>
      <w:r w:rsidRPr="004D5CFA">
        <w:rPr>
          <w:rFonts w:cs="Times New Roman"/>
          <w:sz w:val="20"/>
          <w:szCs w:val="20"/>
          <w:lang w:bidi="fa-IR"/>
        </w:rPr>
        <w:t xml:space="preserve"> </w:t>
      </w:r>
      <w:proofErr w:type="gramStart"/>
      <w:r w:rsidRPr="004D5CFA">
        <w:rPr>
          <w:rFonts w:cs="Times New Roman"/>
          <w:sz w:val="20"/>
          <w:szCs w:val="20"/>
          <w:lang w:bidi="fa-IR"/>
        </w:rPr>
        <w:t>township</w:t>
      </w:r>
      <w:proofErr w:type="gramEnd"/>
      <w:r w:rsidRPr="004D5CFA">
        <w:rPr>
          <w:rFonts w:cs="Times New Roman"/>
          <w:sz w:val="20"/>
          <w:szCs w:val="20"/>
          <w:lang w:bidi="fa-IR"/>
        </w:rPr>
        <w:t>.</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Then for examination of feeding effect with co2 gas on greenhouse cucumber production have been used from production function estimation.</w:t>
      </w:r>
    </w:p>
    <w:p w:rsidR="008E623D" w:rsidRDefault="008E623D" w:rsidP="00B96C4E">
      <w:pPr>
        <w:pStyle w:val="Subtitle"/>
        <w:bidi w:val="0"/>
        <w:snapToGrid w:val="0"/>
        <w:ind w:left="0" w:firstLine="425"/>
        <w:jc w:val="both"/>
        <w:rPr>
          <w:rFonts w:cs="Times New Roman"/>
          <w:sz w:val="20"/>
          <w:szCs w:val="20"/>
          <w:lang w:eastAsia="zh-CN" w:bidi="fa-IR"/>
        </w:rPr>
      </w:pPr>
      <w:r w:rsidRPr="004D5CFA">
        <w:rPr>
          <w:rFonts w:cs="Times New Roman"/>
          <w:sz w:val="20"/>
          <w:szCs w:val="20"/>
          <w:lang w:bidi="fa-IR"/>
        </w:rPr>
        <w:t xml:space="preserve">For this purpose three generalized production functions Cobb - Douglas, </w:t>
      </w:r>
      <w:proofErr w:type="spellStart"/>
      <w:r w:rsidRPr="004D5CFA">
        <w:rPr>
          <w:rFonts w:cs="Times New Roman"/>
          <w:sz w:val="20"/>
          <w:szCs w:val="20"/>
          <w:lang w:bidi="fa-IR"/>
        </w:rPr>
        <w:t>Translog</w:t>
      </w:r>
      <w:proofErr w:type="spellEnd"/>
      <w:r w:rsidRPr="004D5CFA">
        <w:rPr>
          <w:rFonts w:cs="Times New Roman"/>
          <w:sz w:val="20"/>
          <w:szCs w:val="20"/>
          <w:lang w:bidi="fa-IR"/>
        </w:rPr>
        <w:t xml:space="preserve"> and Leontief was estimated.</w:t>
      </w:r>
    </w:p>
    <w:p w:rsidR="00B96C4E" w:rsidRDefault="00B96C4E" w:rsidP="00FE3101">
      <w:pPr>
        <w:pStyle w:val="Subtitle"/>
        <w:bidi w:val="0"/>
        <w:snapToGrid w:val="0"/>
        <w:jc w:val="both"/>
        <w:rPr>
          <w:rFonts w:cs="Times New Roman"/>
          <w:sz w:val="20"/>
          <w:szCs w:val="20"/>
          <w:lang w:eastAsia="zh-CN" w:bidi="fa-IR"/>
        </w:rPr>
      </w:pPr>
    </w:p>
    <w:p w:rsidR="00B96C4E" w:rsidRPr="004D5CFA" w:rsidRDefault="00B96C4E" w:rsidP="00B96C4E">
      <w:pPr>
        <w:pStyle w:val="Subtitle"/>
        <w:bidi w:val="0"/>
        <w:snapToGrid w:val="0"/>
        <w:ind w:left="0" w:firstLine="425"/>
        <w:jc w:val="both"/>
        <w:rPr>
          <w:rFonts w:cs="Times New Roman"/>
          <w:sz w:val="20"/>
          <w:szCs w:val="20"/>
          <w:lang w:eastAsia="zh-CN"/>
        </w:rPr>
        <w:sectPr w:rsidR="00B96C4E" w:rsidRPr="004D5CFA" w:rsidSect="00F305D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8E623D" w:rsidRPr="004D5CFA" w:rsidRDefault="008E623D" w:rsidP="004D5CFA">
      <w:pPr>
        <w:pStyle w:val="ListParagraph"/>
        <w:numPr>
          <w:ilvl w:val="0"/>
          <w:numId w:val="24"/>
        </w:numPr>
        <w:snapToGrid w:val="0"/>
        <w:spacing w:after="0" w:line="240" w:lineRule="auto"/>
        <w:ind w:left="0" w:firstLine="425"/>
        <w:jc w:val="both"/>
        <w:rPr>
          <w:rFonts w:ascii="Times New Roman" w:hAnsi="Times New Roman" w:cs="Times New Roman"/>
          <w:sz w:val="20"/>
          <w:szCs w:val="20"/>
        </w:rPr>
      </w:pPr>
    </w:p>
    <w:p w:rsidR="008E623D" w:rsidRPr="004D5CFA" w:rsidRDefault="00B23F50" w:rsidP="004D5CFA">
      <w:pPr>
        <w:snapToGrid w:val="0"/>
        <w:ind w:firstLine="425"/>
        <w:jc w:val="center"/>
        <w:rPr>
          <w:i/>
          <w:sz w:val="20"/>
          <w:szCs w:val="20"/>
        </w:rPr>
      </w:pPr>
      <w:r w:rsidRPr="00B23F50">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5.05pt" equationxml="&lt;">
            <v:imagedata r:id="rId11" o:title=""/>
          </v:shape>
        </w:pict>
      </w:r>
    </w:p>
    <w:p w:rsidR="00B96C4E" w:rsidRDefault="00B96C4E" w:rsidP="004D5CFA">
      <w:pPr>
        <w:snapToGrid w:val="0"/>
        <w:ind w:firstLine="425"/>
        <w:jc w:val="both"/>
        <w:rPr>
          <w:sz w:val="20"/>
          <w:szCs w:val="20"/>
          <w:lang w:eastAsia="zh-CN" w:bidi="fa-IR"/>
        </w:rPr>
      </w:pPr>
    </w:p>
    <w:p w:rsidR="008E623D" w:rsidRPr="004D5CFA" w:rsidRDefault="008E623D" w:rsidP="004D5CFA">
      <w:pPr>
        <w:snapToGrid w:val="0"/>
        <w:ind w:firstLine="425"/>
        <w:jc w:val="both"/>
        <w:rPr>
          <w:i/>
          <w:sz w:val="20"/>
          <w:szCs w:val="20"/>
        </w:rPr>
      </w:pPr>
      <w:r w:rsidRPr="004D5CFA">
        <w:rPr>
          <w:sz w:val="20"/>
          <w:szCs w:val="20"/>
          <w:lang w:bidi="fa-IR"/>
        </w:rPr>
        <w:t>(2)</w:t>
      </w:r>
      <w:r w:rsidR="00B23F50" w:rsidRPr="004D5CFA">
        <w:rPr>
          <w:sz w:val="20"/>
          <w:szCs w:val="20"/>
        </w:rPr>
        <w:fldChar w:fldCharType="begin"/>
      </w:r>
      <w:r w:rsidRPr="004D5CFA">
        <w:rPr>
          <w:sz w:val="20"/>
          <w:szCs w:val="20"/>
        </w:rPr>
        <w:instrText xml:space="preserve"> QUOTE </w:instrText>
      </w:r>
      <w:r w:rsidR="00B23F50" w:rsidRPr="00B23F50">
        <w:rPr>
          <w:sz w:val="20"/>
          <w:szCs w:val="20"/>
        </w:rPr>
        <w:pict>
          <v:shape id="_x0000_i1026" type="#_x0000_t75" style="width:467.7pt;height:39.45pt" equationxml="&lt;">
            <v:imagedata r:id="rId12" o:title="" chromakey="white"/>
          </v:shape>
        </w:pict>
      </w:r>
      <w:r w:rsidRPr="004D5CFA">
        <w:rPr>
          <w:sz w:val="20"/>
          <w:szCs w:val="20"/>
        </w:rPr>
        <w:instrText xml:space="preserve"> </w:instrText>
      </w:r>
      <w:r w:rsidR="00B23F50" w:rsidRPr="004D5CFA">
        <w:rPr>
          <w:sz w:val="20"/>
          <w:szCs w:val="20"/>
        </w:rPr>
        <w:fldChar w:fldCharType="separate"/>
      </w:r>
      <w:r w:rsidR="00B23F50" w:rsidRPr="00B23F50">
        <w:rPr>
          <w:sz w:val="20"/>
          <w:szCs w:val="20"/>
        </w:rPr>
        <w:pict>
          <v:shape id="_x0000_i1027" type="#_x0000_t75" style="width:359.35pt;height:30.05pt" equationxml="&lt;">
            <v:imagedata r:id="rId12" o:title=""/>
          </v:shape>
        </w:pict>
      </w:r>
      <w:r w:rsidR="00B23F50" w:rsidRPr="004D5CFA">
        <w:rPr>
          <w:sz w:val="20"/>
          <w:szCs w:val="20"/>
        </w:rPr>
        <w:fldChar w:fldCharType="end"/>
      </w:r>
    </w:p>
    <w:p w:rsidR="00B96C4E" w:rsidRDefault="00B96C4E" w:rsidP="004D5CFA">
      <w:pPr>
        <w:snapToGrid w:val="0"/>
        <w:ind w:firstLine="425"/>
        <w:jc w:val="both"/>
        <w:rPr>
          <w:sz w:val="20"/>
          <w:szCs w:val="20"/>
          <w:lang w:eastAsia="zh-CN" w:bidi="fa-IR"/>
        </w:rPr>
      </w:pPr>
    </w:p>
    <w:p w:rsidR="008E623D" w:rsidRPr="004D5CFA" w:rsidRDefault="008E623D" w:rsidP="004D5CFA">
      <w:pPr>
        <w:snapToGrid w:val="0"/>
        <w:ind w:firstLine="425"/>
        <w:jc w:val="both"/>
        <w:rPr>
          <w:sz w:val="20"/>
          <w:szCs w:val="20"/>
          <w:lang w:bidi="fa-IR"/>
        </w:rPr>
      </w:pPr>
      <w:r w:rsidRPr="004D5CFA">
        <w:rPr>
          <w:sz w:val="20"/>
          <w:szCs w:val="20"/>
          <w:lang w:bidi="fa-IR"/>
        </w:rPr>
        <w:t>(3)</w:t>
      </w:r>
    </w:p>
    <w:p w:rsidR="008E623D" w:rsidRPr="004D5CFA" w:rsidRDefault="00B23F50" w:rsidP="004D5CFA">
      <w:pPr>
        <w:snapToGrid w:val="0"/>
        <w:ind w:firstLine="425"/>
        <w:jc w:val="center"/>
        <w:rPr>
          <w:i/>
          <w:sz w:val="20"/>
          <w:szCs w:val="20"/>
          <w:lang w:bidi="fa-IR"/>
        </w:rPr>
      </w:pPr>
      <w:r w:rsidRPr="00B23F50">
        <w:rPr>
          <w:sz w:val="20"/>
          <w:szCs w:val="20"/>
        </w:rPr>
        <w:pict>
          <v:shape id="_x0000_i1028" type="#_x0000_t75" style="width:241.65pt;height:36.3pt" equationxml="&lt;">
            <v:imagedata r:id="rId13" o:title=""/>
          </v:shape>
        </w:pict>
      </w:r>
    </w:p>
    <w:p w:rsidR="008E623D" w:rsidRDefault="008E623D" w:rsidP="004D5CFA">
      <w:pPr>
        <w:snapToGrid w:val="0"/>
        <w:ind w:firstLine="425"/>
        <w:jc w:val="both"/>
        <w:rPr>
          <w:rFonts w:eastAsiaTheme="minorEastAsia"/>
          <w:sz w:val="20"/>
          <w:szCs w:val="20"/>
          <w:lang w:eastAsia="zh-CN"/>
        </w:rPr>
      </w:pPr>
    </w:p>
    <w:p w:rsidR="00B96C4E" w:rsidRPr="00B96C4E" w:rsidRDefault="00B96C4E" w:rsidP="004D5CFA">
      <w:pPr>
        <w:snapToGrid w:val="0"/>
        <w:ind w:firstLine="425"/>
        <w:jc w:val="both"/>
        <w:rPr>
          <w:rFonts w:eastAsiaTheme="minorEastAsia"/>
          <w:sz w:val="20"/>
          <w:szCs w:val="20"/>
          <w:lang w:eastAsia="zh-CN"/>
        </w:rPr>
        <w:sectPr w:rsidR="00B96C4E" w:rsidRPr="00B96C4E" w:rsidSect="00F305D6">
          <w:footnotePr>
            <w:pos w:val="beneathText"/>
          </w:footnotePr>
          <w:type w:val="continuous"/>
          <w:pgSz w:w="12240" w:h="15840" w:code="1"/>
          <w:pgMar w:top="1440" w:right="1440" w:bottom="1440" w:left="1440" w:header="720" w:footer="720" w:gutter="0"/>
          <w:cols w:space="720"/>
          <w:docGrid w:linePitch="360"/>
        </w:sectPr>
      </w:pPr>
    </w:p>
    <w:p w:rsidR="008E623D" w:rsidRPr="004D5CFA" w:rsidRDefault="008E623D" w:rsidP="004D5CFA">
      <w:pPr>
        <w:snapToGrid w:val="0"/>
        <w:ind w:firstLine="425"/>
        <w:jc w:val="both"/>
        <w:rPr>
          <w:sz w:val="20"/>
          <w:szCs w:val="20"/>
        </w:rPr>
      </w:pPr>
      <w:r w:rsidRPr="004D5CFA">
        <w:rPr>
          <w:rFonts w:eastAsia="Times New Roman"/>
          <w:sz w:val="20"/>
          <w:szCs w:val="20"/>
        </w:rPr>
        <w:lastRenderedPageBreak/>
        <w:t xml:space="preserve">In the above equations, y is amount of product, Xi quantities of used inputs in production, α, β, and γ model parameters and </w:t>
      </w:r>
      <w:proofErr w:type="spellStart"/>
      <w:r w:rsidRPr="004D5CFA">
        <w:rPr>
          <w:rFonts w:eastAsia="Times New Roman"/>
          <w:sz w:val="20"/>
          <w:szCs w:val="20"/>
        </w:rPr>
        <w:t>Ln</w:t>
      </w:r>
      <w:proofErr w:type="spellEnd"/>
      <w:r w:rsidRPr="004D5CFA">
        <w:rPr>
          <w:rFonts w:eastAsia="Times New Roman"/>
          <w:sz w:val="20"/>
          <w:szCs w:val="20"/>
        </w:rPr>
        <w:t xml:space="preserve"> is the natural logarithm symbol.</w:t>
      </w:r>
      <w:r w:rsidRPr="004D5CFA">
        <w:rPr>
          <w:sz w:val="20"/>
          <w:szCs w:val="20"/>
        </w:rPr>
        <w:t xml:space="preserve"> Also Equation (1) shows the mathematical form of the Cobb - Douglas production function, equation (2) mathematical form of </w:t>
      </w:r>
      <w:proofErr w:type="spellStart"/>
      <w:r w:rsidRPr="004D5CFA">
        <w:rPr>
          <w:sz w:val="20"/>
          <w:szCs w:val="20"/>
        </w:rPr>
        <w:t>Translog</w:t>
      </w:r>
      <w:proofErr w:type="spellEnd"/>
      <w:r w:rsidRPr="004D5CFA">
        <w:rPr>
          <w:sz w:val="20"/>
          <w:szCs w:val="20"/>
        </w:rPr>
        <w:t xml:space="preserve"> function production and equation (3) mathematical form of Leontief production function.</w:t>
      </w:r>
    </w:p>
    <w:p w:rsidR="008E623D" w:rsidRPr="004D5CFA" w:rsidRDefault="008E623D" w:rsidP="004D5CFA">
      <w:pPr>
        <w:snapToGrid w:val="0"/>
        <w:ind w:firstLine="425"/>
        <w:jc w:val="both"/>
        <w:rPr>
          <w:sz w:val="20"/>
          <w:szCs w:val="20"/>
          <w:lang w:bidi="fa-IR"/>
        </w:rPr>
      </w:pPr>
      <w:r w:rsidRPr="004D5CFA">
        <w:rPr>
          <w:sz w:val="20"/>
          <w:szCs w:val="20"/>
          <w:lang w:bidi="fa-IR"/>
        </w:rPr>
        <w:t>After estimating above production functions, Cobb - Douglas production function according to results of Wald test</w:t>
      </w:r>
      <w:r w:rsidRPr="004D5CFA">
        <w:rPr>
          <w:sz w:val="20"/>
          <w:szCs w:val="20"/>
          <w:vertAlign w:val="superscript"/>
          <w:lang w:bidi="fa-IR"/>
        </w:rPr>
        <w:t>1</w:t>
      </w:r>
      <w:r w:rsidRPr="004D5CFA">
        <w:rPr>
          <w:sz w:val="20"/>
          <w:szCs w:val="20"/>
          <w:lang w:bidi="fa-IR"/>
        </w:rPr>
        <w:t xml:space="preserve"> was recognized as a superior form. For examination feeding effect with co2 gas on greenhouse cucumber production used a virtual variable to greenhouses that have used co2 gas to produce cucumber have been separated from the other greenhouses.</w:t>
      </w:r>
    </w:p>
    <w:p w:rsidR="008E623D" w:rsidRDefault="008E623D" w:rsidP="004D5CFA">
      <w:pPr>
        <w:snapToGrid w:val="0"/>
        <w:ind w:firstLine="425"/>
        <w:jc w:val="both"/>
        <w:rPr>
          <w:sz w:val="20"/>
          <w:szCs w:val="20"/>
          <w:lang w:eastAsia="zh-CN" w:bidi="fa-IR"/>
        </w:rPr>
      </w:pPr>
      <w:r w:rsidRPr="004D5CFA">
        <w:rPr>
          <w:sz w:val="20"/>
          <w:szCs w:val="20"/>
          <w:lang w:bidi="fa-IR"/>
        </w:rPr>
        <w:t>The general form of the production function presented in equation (4) (Chambers 1988):</w:t>
      </w:r>
    </w:p>
    <w:p w:rsidR="00B96C4E" w:rsidRPr="004D5CFA" w:rsidRDefault="00B96C4E" w:rsidP="004D5CFA">
      <w:pPr>
        <w:snapToGrid w:val="0"/>
        <w:ind w:firstLine="425"/>
        <w:jc w:val="both"/>
        <w:rPr>
          <w:sz w:val="20"/>
          <w:szCs w:val="20"/>
          <w:lang w:eastAsia="zh-CN" w:bidi="fa-IR"/>
        </w:rPr>
      </w:pPr>
    </w:p>
    <w:p w:rsidR="008E623D" w:rsidRPr="004D5CFA" w:rsidRDefault="008E623D" w:rsidP="004D5CFA">
      <w:pPr>
        <w:snapToGrid w:val="0"/>
        <w:ind w:firstLine="425"/>
        <w:jc w:val="both"/>
        <w:rPr>
          <w:sz w:val="20"/>
          <w:szCs w:val="20"/>
        </w:rPr>
      </w:pPr>
      <w:r w:rsidRPr="004D5CFA">
        <w:rPr>
          <w:sz w:val="20"/>
          <w:szCs w:val="20"/>
        </w:rPr>
        <w:t>(4)                  Q=f(</w:t>
      </w:r>
      <w:proofErr w:type="spellStart"/>
      <w:r w:rsidRPr="004D5CFA">
        <w:rPr>
          <w:sz w:val="20"/>
          <w:szCs w:val="20"/>
        </w:rPr>
        <w:t>x</w:t>
      </w:r>
      <w:proofErr w:type="gramStart"/>
      <w:r w:rsidRPr="004D5CFA">
        <w:rPr>
          <w:sz w:val="20"/>
          <w:szCs w:val="20"/>
        </w:rPr>
        <w:t>,z</w:t>
      </w:r>
      <w:proofErr w:type="spellEnd"/>
      <w:proofErr w:type="gramEnd"/>
      <w:r w:rsidRPr="004D5CFA">
        <w:rPr>
          <w:sz w:val="20"/>
          <w:szCs w:val="20"/>
        </w:rPr>
        <w:t>)</w:t>
      </w:r>
    </w:p>
    <w:p w:rsidR="008E623D" w:rsidRPr="004D5CFA" w:rsidRDefault="008E623D" w:rsidP="004D5CFA">
      <w:pPr>
        <w:pStyle w:val="Subtitle"/>
        <w:bidi w:val="0"/>
        <w:snapToGrid w:val="0"/>
        <w:ind w:left="0" w:firstLine="425"/>
        <w:jc w:val="both"/>
        <w:rPr>
          <w:rFonts w:cs="Times New Roman"/>
          <w:sz w:val="20"/>
          <w:szCs w:val="20"/>
        </w:rPr>
      </w:pPr>
      <w:r w:rsidRPr="004D5CFA">
        <w:rPr>
          <w:rFonts w:cs="Times New Roman"/>
          <w:sz w:val="20"/>
          <w:szCs w:val="20"/>
        </w:rPr>
        <w:t>Where Q is the production rate, f functional equation, x variable input vector and z is a fixed input vector.</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With estimating production function for each production estimation of marginal product of each input can be achieved.</w:t>
      </w:r>
    </w:p>
    <w:p w:rsidR="008E623D" w:rsidRDefault="008E623D" w:rsidP="004D5CFA">
      <w:pPr>
        <w:pStyle w:val="Subtitle"/>
        <w:bidi w:val="0"/>
        <w:snapToGrid w:val="0"/>
        <w:ind w:left="0" w:firstLine="425"/>
        <w:jc w:val="both"/>
        <w:rPr>
          <w:rFonts w:cs="Times New Roman"/>
          <w:sz w:val="20"/>
          <w:szCs w:val="20"/>
          <w:lang w:eastAsia="zh-CN"/>
        </w:rPr>
      </w:pPr>
      <w:r w:rsidRPr="004D5CFA">
        <w:rPr>
          <w:rFonts w:cs="Times New Roman"/>
          <w:sz w:val="20"/>
          <w:szCs w:val="20"/>
        </w:rPr>
        <w:t>Thus, from the parties of Cobb - Douglas production function, equation (1) from natural logarithm to equation (5) is obtained, which with respect to the parameters is linear.</w:t>
      </w:r>
    </w:p>
    <w:p w:rsidR="00B96C4E" w:rsidRPr="00B96C4E" w:rsidRDefault="00B96C4E" w:rsidP="00B96C4E">
      <w:pPr>
        <w:pStyle w:val="Subtitle"/>
        <w:bidi w:val="0"/>
        <w:snapToGrid w:val="0"/>
        <w:ind w:left="0" w:firstLine="425"/>
        <w:jc w:val="both"/>
        <w:rPr>
          <w:rFonts w:cs="Times New Roman"/>
          <w:sz w:val="20"/>
          <w:szCs w:val="20"/>
          <w:lang w:eastAsia="zh-CN"/>
        </w:rPr>
      </w:pP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(5)</w:t>
      </w:r>
    </w:p>
    <w:p w:rsidR="008E623D" w:rsidRPr="004D5CFA" w:rsidRDefault="008E623D" w:rsidP="004D5CFA">
      <w:pPr>
        <w:pStyle w:val="Subtitle"/>
        <w:bidi w:val="0"/>
        <w:snapToGrid w:val="0"/>
        <w:ind w:left="0" w:firstLine="425"/>
        <w:jc w:val="both"/>
        <w:rPr>
          <w:rFonts w:cs="Times New Roman"/>
          <w:i/>
          <w:iCs/>
          <w:sz w:val="20"/>
          <w:szCs w:val="20"/>
          <w:lang w:bidi="fa-IR"/>
        </w:rPr>
      </w:pPr>
      <w:r w:rsidRPr="004D5CFA">
        <w:rPr>
          <w:rFonts w:cs="Times New Roman"/>
          <w:i/>
          <w:iCs/>
          <w:sz w:val="20"/>
          <w:szCs w:val="20"/>
          <w:lang w:bidi="fa-IR"/>
        </w:rPr>
        <w:t>Y=</w:t>
      </w:r>
      <w:proofErr w:type="gramStart"/>
      <w:r w:rsidRPr="004D5CFA">
        <w:rPr>
          <w:rFonts w:cs="Times New Roman"/>
          <w:i/>
          <w:iCs/>
          <w:sz w:val="20"/>
          <w:szCs w:val="20"/>
          <w:lang w:bidi="fa-IR"/>
        </w:rPr>
        <w:t>f(</w:t>
      </w:r>
      <w:proofErr w:type="spellStart"/>
      <w:proofErr w:type="gramEnd"/>
      <w:r w:rsidRPr="004D5CFA">
        <w:rPr>
          <w:rFonts w:cs="Times New Roman"/>
          <w:i/>
          <w:iCs/>
          <w:sz w:val="20"/>
          <w:szCs w:val="20"/>
          <w:lang w:bidi="fa-IR"/>
        </w:rPr>
        <w:t>L,K,W,La,fu</w:t>
      </w:r>
      <w:proofErr w:type="spellEnd"/>
      <w:r w:rsidRPr="004D5CFA">
        <w:rPr>
          <w:rFonts w:cs="Times New Roman"/>
          <w:i/>
          <w:iCs/>
          <w:sz w:val="20"/>
          <w:szCs w:val="20"/>
          <w:lang w:bidi="fa-IR"/>
        </w:rPr>
        <w:t>,</w:t>
      </w:r>
      <w:r w:rsidRPr="004D5CFA">
        <w:rPr>
          <w:rFonts w:cs="Times New Roman"/>
          <w:sz w:val="20"/>
          <w:szCs w:val="20"/>
        </w:rPr>
        <w:t xml:space="preserve"> co</w:t>
      </w:r>
      <w:r w:rsidRPr="004D5CFA">
        <w:rPr>
          <w:rFonts w:cs="Times New Roman"/>
          <w:sz w:val="20"/>
          <w:szCs w:val="20"/>
          <w:vertAlign w:val="subscript"/>
        </w:rPr>
        <w:t>2</w:t>
      </w:r>
      <w:r w:rsidRPr="004D5CFA">
        <w:rPr>
          <w:rFonts w:cs="Times New Roman"/>
          <w:i/>
          <w:iCs/>
          <w:sz w:val="20"/>
          <w:szCs w:val="20"/>
          <w:lang w:bidi="fa-IR"/>
        </w:rPr>
        <w:t>)</w:t>
      </w:r>
    </w:p>
    <w:p w:rsidR="008E623D" w:rsidRPr="004D5CFA" w:rsidRDefault="006009B9" w:rsidP="004D5CFA">
      <w:pPr>
        <w:pStyle w:val="Subtitle"/>
        <w:tabs>
          <w:tab w:val="left" w:pos="8226"/>
        </w:tabs>
        <w:bidi w:val="0"/>
        <w:snapToGrid w:val="0"/>
        <w:ind w:left="0" w:firstLine="425"/>
        <w:rPr>
          <w:rFonts w:cs="Times New Roman"/>
          <w:sz w:val="20"/>
          <w:szCs w:val="20"/>
          <w:lang w:bidi="fa-IR"/>
        </w:rPr>
      </w:pPr>
      <w:r w:rsidRPr="00B23F50">
        <w:rPr>
          <w:rFonts w:cs="Times New Roman"/>
          <w:sz w:val="20"/>
          <w:szCs w:val="20"/>
        </w:rPr>
        <w:pict>
          <v:shape id="_x0000_i1029" type="#_x0000_t75" style="width:222.9pt;height:16.3pt" equationxml="&lt;">
            <v:imagedata r:id="rId14" o:title="" chromakey="white"/>
          </v:shape>
        </w:pict>
      </w:r>
    </w:p>
    <w:p w:rsidR="00175BA5" w:rsidRDefault="00175BA5" w:rsidP="004D5CFA">
      <w:pPr>
        <w:pStyle w:val="Subtitle"/>
        <w:bidi w:val="0"/>
        <w:snapToGrid w:val="0"/>
        <w:ind w:left="0" w:firstLine="425"/>
        <w:jc w:val="both"/>
        <w:rPr>
          <w:rFonts w:cs="Times New Roman" w:hint="eastAsia"/>
          <w:sz w:val="20"/>
          <w:szCs w:val="20"/>
          <w:lang w:eastAsia="zh-CN" w:bidi="fa-IR"/>
        </w:rPr>
      </w:pPr>
    </w:p>
    <w:p w:rsidR="008E623D" w:rsidRPr="004D5CFA" w:rsidRDefault="008E623D" w:rsidP="00175BA5">
      <w:pPr>
        <w:pStyle w:val="Subtitle"/>
        <w:bidi w:val="0"/>
        <w:snapToGrid w:val="0"/>
        <w:ind w:left="0" w:firstLine="425"/>
        <w:jc w:val="both"/>
        <w:rPr>
          <w:rFonts w:cs="Times New Roman"/>
          <w:sz w:val="20"/>
          <w:szCs w:val="20"/>
          <w:lang w:bidi="fa-IR"/>
        </w:rPr>
      </w:pPr>
      <w:proofErr w:type="gramStart"/>
      <w:r w:rsidRPr="004D5CFA">
        <w:rPr>
          <w:rFonts w:cs="Times New Roman"/>
          <w:sz w:val="20"/>
          <w:szCs w:val="20"/>
          <w:lang w:bidi="fa-IR"/>
        </w:rPr>
        <w:t>y</w:t>
      </w:r>
      <w:proofErr w:type="gramEnd"/>
      <w:r w:rsidRPr="004D5CFA">
        <w:rPr>
          <w:rFonts w:cs="Times New Roman"/>
          <w:sz w:val="20"/>
          <w:szCs w:val="20"/>
          <w:lang w:bidi="fa-IR"/>
        </w:rPr>
        <w:t>:  production rate (tons)</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L: Greenhouse cultivation area (square meter)</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K: capital stock (thousand RLs)</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W: water volume (cubic meters)</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La: Number of labor (man-day)</w:t>
      </w:r>
    </w:p>
    <w:p w:rsidR="008E623D" w:rsidRPr="004D5CFA" w:rsidRDefault="008E623D" w:rsidP="004D5CFA">
      <w:pPr>
        <w:pStyle w:val="Subtitle"/>
        <w:bidi w:val="0"/>
        <w:snapToGrid w:val="0"/>
        <w:ind w:left="0" w:firstLine="425"/>
        <w:jc w:val="both"/>
        <w:rPr>
          <w:rFonts w:cs="Times New Roman"/>
          <w:sz w:val="20"/>
          <w:szCs w:val="20"/>
          <w:lang w:bidi="fa-IR"/>
        </w:rPr>
      </w:pPr>
      <w:proofErr w:type="gramStart"/>
      <w:r w:rsidRPr="004D5CFA">
        <w:rPr>
          <w:rFonts w:cs="Times New Roman"/>
          <w:sz w:val="20"/>
          <w:szCs w:val="20"/>
          <w:lang w:bidi="fa-IR"/>
        </w:rPr>
        <w:t>fu</w:t>
      </w:r>
      <w:proofErr w:type="gramEnd"/>
      <w:r w:rsidRPr="004D5CFA">
        <w:rPr>
          <w:rFonts w:cs="Times New Roman"/>
          <w:sz w:val="20"/>
          <w:szCs w:val="20"/>
          <w:lang w:bidi="fa-IR"/>
        </w:rPr>
        <w:t>:  rate of gas consumption (cubic meters)</w:t>
      </w:r>
    </w:p>
    <w:p w:rsidR="008E623D" w:rsidRPr="004D5CFA" w:rsidRDefault="008E623D" w:rsidP="004D5CFA">
      <w:pPr>
        <w:pStyle w:val="Subtitle"/>
        <w:bidi w:val="0"/>
        <w:snapToGrid w:val="0"/>
        <w:ind w:left="0" w:firstLine="425"/>
        <w:jc w:val="both"/>
        <w:rPr>
          <w:rFonts w:cs="Times New Roman"/>
          <w:sz w:val="20"/>
          <w:szCs w:val="20"/>
          <w:lang w:bidi="fa-IR"/>
        </w:rPr>
      </w:pPr>
      <w:r w:rsidRPr="004D5CFA">
        <w:rPr>
          <w:rFonts w:cs="Times New Roman"/>
          <w:sz w:val="20"/>
          <w:szCs w:val="20"/>
          <w:lang w:bidi="fa-IR"/>
        </w:rPr>
        <w:t>co2:  feeding virtual variable with co2</w:t>
      </w:r>
    </w:p>
    <w:p w:rsidR="008E623D" w:rsidRPr="004D5CFA" w:rsidRDefault="008E623D" w:rsidP="004D5CFA">
      <w:pPr>
        <w:pStyle w:val="Subtitle"/>
        <w:bidi w:val="0"/>
        <w:snapToGrid w:val="0"/>
        <w:ind w:left="0" w:firstLine="425"/>
        <w:jc w:val="both"/>
        <w:rPr>
          <w:rFonts w:cs="Times New Roman"/>
          <w:sz w:val="20"/>
          <w:szCs w:val="20"/>
          <w:lang w:bidi="fa-IR"/>
        </w:rPr>
      </w:pPr>
      <w:proofErr w:type="spellStart"/>
      <w:proofErr w:type="gramStart"/>
      <w:r w:rsidRPr="004D5CFA">
        <w:rPr>
          <w:rFonts w:cs="Times New Roman"/>
          <w:sz w:val="20"/>
          <w:szCs w:val="20"/>
          <w:lang w:bidi="fa-IR"/>
        </w:rPr>
        <w:t>ui</w:t>
      </w:r>
      <w:proofErr w:type="spellEnd"/>
      <w:proofErr w:type="gramEnd"/>
      <w:r w:rsidRPr="004D5CFA">
        <w:rPr>
          <w:rFonts w:cs="Times New Roman"/>
          <w:sz w:val="20"/>
          <w:szCs w:val="20"/>
          <w:lang w:bidi="fa-IR"/>
        </w:rPr>
        <w:t>: error</w:t>
      </w:r>
    </w:p>
    <w:p w:rsidR="008E623D" w:rsidRPr="004D5CFA" w:rsidRDefault="008E623D" w:rsidP="004D5CFA">
      <w:pPr>
        <w:pStyle w:val="Subtitle"/>
        <w:bidi w:val="0"/>
        <w:snapToGrid w:val="0"/>
        <w:ind w:left="0" w:firstLine="425"/>
        <w:jc w:val="both"/>
        <w:rPr>
          <w:rFonts w:cs="Times New Roman"/>
          <w:sz w:val="20"/>
          <w:szCs w:val="20"/>
          <w:lang w:bidi="fa-IR"/>
        </w:rPr>
      </w:pPr>
      <w:proofErr w:type="gramStart"/>
      <w:r w:rsidRPr="004D5CFA">
        <w:rPr>
          <w:rFonts w:cs="Times New Roman"/>
          <w:sz w:val="20"/>
          <w:szCs w:val="20"/>
          <w:lang w:bidi="fa-IR"/>
        </w:rPr>
        <w:t>c</w:t>
      </w:r>
      <w:proofErr w:type="gramEnd"/>
      <w:r w:rsidRPr="004D5CFA">
        <w:rPr>
          <w:rFonts w:cs="Times New Roman"/>
          <w:sz w:val="20"/>
          <w:szCs w:val="20"/>
          <w:lang w:bidi="fa-IR"/>
        </w:rPr>
        <w:t>: fixed number (intercept)</w:t>
      </w:r>
    </w:p>
    <w:p w:rsidR="00B96C4E" w:rsidRDefault="008E623D" w:rsidP="004D5CFA">
      <w:pPr>
        <w:snapToGrid w:val="0"/>
        <w:ind w:firstLine="425"/>
        <w:jc w:val="both"/>
        <w:rPr>
          <w:sz w:val="20"/>
          <w:szCs w:val="20"/>
          <w:lang w:bidi="fa-IR"/>
        </w:rPr>
      </w:pPr>
      <w:r w:rsidRPr="004D5CFA">
        <w:rPr>
          <w:sz w:val="20"/>
          <w:szCs w:val="20"/>
          <w:lang w:bidi="fa-IR"/>
        </w:rPr>
        <w:lastRenderedPageBreak/>
        <w:t>K: capital stock: for the calculation of capital inputs, at first the capital storage and capital flows should be separated.</w:t>
      </w:r>
    </w:p>
    <w:p w:rsidR="00B96C4E" w:rsidRDefault="008E623D" w:rsidP="004D5CFA">
      <w:pPr>
        <w:snapToGrid w:val="0"/>
        <w:ind w:firstLine="425"/>
        <w:jc w:val="both"/>
        <w:rPr>
          <w:sz w:val="20"/>
          <w:szCs w:val="20"/>
          <w:lang w:bidi="fa-IR"/>
        </w:rPr>
      </w:pPr>
      <w:r w:rsidRPr="004D5CFA">
        <w:rPr>
          <w:sz w:val="20"/>
          <w:szCs w:val="20"/>
          <w:lang w:bidi="fa-IR"/>
        </w:rPr>
        <w:t>Basically, capital goods are durable goods which in a period production, didn’t consume entirely, but only part of them is used in each period.</w:t>
      </w:r>
    </w:p>
    <w:p w:rsidR="00B96C4E" w:rsidRDefault="008E623D" w:rsidP="004D5CFA">
      <w:pPr>
        <w:snapToGrid w:val="0"/>
        <w:ind w:firstLine="425"/>
        <w:jc w:val="both"/>
        <w:rPr>
          <w:sz w:val="20"/>
          <w:szCs w:val="20"/>
          <w:lang w:bidi="fa-IR"/>
        </w:rPr>
      </w:pPr>
      <w:r w:rsidRPr="004D5CFA">
        <w:rPr>
          <w:sz w:val="20"/>
          <w:szCs w:val="20"/>
          <w:lang w:bidi="fa-IR"/>
        </w:rPr>
        <w:t>For this reason, economists distinguish capital storage and capital inputs.</w:t>
      </w:r>
    </w:p>
    <w:p w:rsidR="00B96C4E" w:rsidRDefault="008E623D" w:rsidP="004D5CFA">
      <w:pPr>
        <w:snapToGrid w:val="0"/>
        <w:ind w:firstLine="425"/>
        <w:jc w:val="both"/>
        <w:rPr>
          <w:sz w:val="20"/>
          <w:szCs w:val="20"/>
          <w:lang w:bidi="fa-IR"/>
        </w:rPr>
      </w:pPr>
      <w:r w:rsidRPr="004D5CFA">
        <w:rPr>
          <w:sz w:val="20"/>
          <w:szCs w:val="20"/>
          <w:lang w:bidi="fa-IR"/>
        </w:rPr>
        <w:t>Capital input refers to that part of the storage capital which is consumed during the production period.</w:t>
      </w:r>
    </w:p>
    <w:p w:rsidR="008E623D" w:rsidRDefault="008E623D" w:rsidP="004D5CFA">
      <w:pPr>
        <w:snapToGrid w:val="0"/>
        <w:ind w:firstLine="425"/>
        <w:jc w:val="both"/>
        <w:rPr>
          <w:sz w:val="20"/>
          <w:szCs w:val="20"/>
          <w:lang w:eastAsia="zh-CN"/>
        </w:rPr>
      </w:pPr>
      <w:r w:rsidRPr="004D5CFA">
        <w:rPr>
          <w:sz w:val="20"/>
          <w:szCs w:val="20"/>
        </w:rPr>
        <w:t>Accordingly, the theory of capital input is defined as follows (Ward, 1976):</w:t>
      </w:r>
    </w:p>
    <w:p w:rsidR="00B96C4E" w:rsidRPr="004D5CFA" w:rsidRDefault="00B96C4E" w:rsidP="004D5CFA">
      <w:pPr>
        <w:snapToGrid w:val="0"/>
        <w:ind w:firstLine="425"/>
        <w:jc w:val="both"/>
        <w:rPr>
          <w:sz w:val="20"/>
          <w:szCs w:val="20"/>
          <w:lang w:eastAsia="zh-CN"/>
        </w:rPr>
      </w:pPr>
    </w:p>
    <w:p w:rsidR="008E623D" w:rsidRPr="004D5CFA" w:rsidRDefault="008E623D" w:rsidP="004D5CFA">
      <w:pPr>
        <w:snapToGrid w:val="0"/>
        <w:ind w:firstLine="425"/>
        <w:jc w:val="both"/>
        <w:rPr>
          <w:sz w:val="20"/>
          <w:szCs w:val="20"/>
          <w:lang w:bidi="fa-IR"/>
        </w:rPr>
      </w:pPr>
      <w:r w:rsidRPr="004D5CFA">
        <w:rPr>
          <w:sz w:val="20"/>
          <w:szCs w:val="20"/>
          <w:lang w:bidi="fa-IR"/>
        </w:rPr>
        <w:t xml:space="preserve">(6)     </w:t>
      </w:r>
      <w:proofErr w:type="spellStart"/>
      <w:r w:rsidRPr="004D5CFA">
        <w:rPr>
          <w:sz w:val="20"/>
          <w:szCs w:val="20"/>
          <w:lang w:bidi="fa-IR"/>
        </w:rPr>
        <w:t>Qk</w:t>
      </w:r>
      <w:proofErr w:type="spellEnd"/>
      <w:r w:rsidRPr="004D5CFA">
        <w:rPr>
          <w:sz w:val="20"/>
          <w:szCs w:val="20"/>
          <w:lang w:bidi="fa-IR"/>
        </w:rPr>
        <w:t xml:space="preserve">=K. </w:t>
      </w:r>
      <w:proofErr w:type="spellStart"/>
      <w:r w:rsidRPr="004D5CFA">
        <w:rPr>
          <w:sz w:val="20"/>
          <w:szCs w:val="20"/>
          <w:lang w:bidi="fa-IR"/>
        </w:rPr>
        <w:t>rk+RFP+DEPN</w:t>
      </w:r>
      <w:proofErr w:type="spellEnd"/>
    </w:p>
    <w:p w:rsidR="008E623D" w:rsidRPr="004D5CFA" w:rsidRDefault="008E623D" w:rsidP="004D5CFA">
      <w:pPr>
        <w:snapToGrid w:val="0"/>
        <w:ind w:firstLine="425"/>
        <w:jc w:val="both"/>
        <w:rPr>
          <w:sz w:val="20"/>
          <w:szCs w:val="20"/>
          <w:lang w:bidi="fa-IR"/>
        </w:rPr>
      </w:pPr>
      <w:r w:rsidRPr="004D5CFA">
        <w:rPr>
          <w:sz w:val="20"/>
          <w:szCs w:val="20"/>
          <w:lang w:bidi="fa-IR"/>
        </w:rPr>
        <w:t xml:space="preserve">In the above equations K is cost of capital goods purchase such as machinery and </w:t>
      </w:r>
      <w:proofErr w:type="spellStart"/>
      <w:r w:rsidRPr="004D5CFA">
        <w:rPr>
          <w:sz w:val="20"/>
          <w:szCs w:val="20"/>
          <w:lang w:bidi="fa-IR"/>
        </w:rPr>
        <w:t>rk</w:t>
      </w:r>
      <w:proofErr w:type="spellEnd"/>
      <w:r w:rsidRPr="004D5CFA">
        <w:rPr>
          <w:sz w:val="20"/>
          <w:szCs w:val="20"/>
          <w:lang w:bidi="fa-IR"/>
        </w:rPr>
        <w:t xml:space="preserve"> the average cost of per unit capital (average rate of bank interest).</w:t>
      </w:r>
    </w:p>
    <w:p w:rsidR="008E623D" w:rsidRPr="004D5CFA" w:rsidRDefault="008E623D" w:rsidP="004D5CFA">
      <w:pPr>
        <w:snapToGrid w:val="0"/>
        <w:ind w:firstLine="425"/>
        <w:jc w:val="both"/>
        <w:rPr>
          <w:sz w:val="20"/>
          <w:szCs w:val="20"/>
          <w:lang w:bidi="fa-IR"/>
        </w:rPr>
      </w:pPr>
      <w:r w:rsidRPr="004D5CFA">
        <w:rPr>
          <w:sz w:val="20"/>
          <w:szCs w:val="20"/>
          <w:lang w:bidi="fa-IR"/>
        </w:rPr>
        <w:t>These part, in fact is same used capital opportunity cost to purchase capital goods.</w:t>
      </w:r>
    </w:p>
    <w:p w:rsidR="008E623D" w:rsidRPr="004D5CFA" w:rsidRDefault="008E623D" w:rsidP="004D5CFA">
      <w:pPr>
        <w:snapToGrid w:val="0"/>
        <w:ind w:firstLine="425"/>
        <w:jc w:val="both"/>
        <w:rPr>
          <w:sz w:val="20"/>
          <w:szCs w:val="20"/>
          <w:lang w:bidi="fa-IR"/>
        </w:rPr>
      </w:pPr>
      <w:r w:rsidRPr="004D5CFA">
        <w:rPr>
          <w:sz w:val="20"/>
          <w:szCs w:val="20"/>
          <w:lang w:bidi="fa-IR"/>
        </w:rPr>
        <w:t>Also RFP is the annual maintenance cost, DEPN is annual depreciation cost, and QK is same took capital inputs or services from total capital storage in one period of production.</w:t>
      </w:r>
    </w:p>
    <w:p w:rsidR="008E623D" w:rsidRPr="004D5CFA" w:rsidRDefault="008E623D" w:rsidP="004D5CFA">
      <w:pPr>
        <w:snapToGrid w:val="0"/>
        <w:ind w:firstLine="425"/>
        <w:jc w:val="both"/>
        <w:rPr>
          <w:sz w:val="20"/>
          <w:szCs w:val="20"/>
          <w:lang w:bidi="fa-IR"/>
        </w:rPr>
      </w:pPr>
      <w:r w:rsidRPr="004D5CFA">
        <w:rPr>
          <w:sz w:val="20"/>
          <w:szCs w:val="20"/>
          <w:lang w:bidi="fa-IR"/>
        </w:rPr>
        <w:t>In cases where a portion of capital has rented by farmer, the lease payments also as other component of capital inputs are accounted.</w:t>
      </w:r>
    </w:p>
    <w:p w:rsidR="008E623D" w:rsidRDefault="008E623D" w:rsidP="004D5CFA">
      <w:pPr>
        <w:snapToGrid w:val="0"/>
        <w:ind w:firstLine="425"/>
        <w:jc w:val="both"/>
        <w:rPr>
          <w:sz w:val="20"/>
          <w:szCs w:val="20"/>
          <w:lang w:eastAsia="zh-CN" w:bidi="fa-IR"/>
        </w:rPr>
      </w:pPr>
      <w:r w:rsidRPr="004D5CFA">
        <w:rPr>
          <w:sz w:val="20"/>
          <w:szCs w:val="20"/>
          <w:lang w:bidi="fa-IR"/>
        </w:rPr>
        <w:t>Thus, the total input of capital in this case can be expressed using the following equation (Salami, 2000).</w:t>
      </w:r>
    </w:p>
    <w:p w:rsidR="00B96C4E" w:rsidRPr="004D5CFA" w:rsidRDefault="00B96C4E" w:rsidP="004D5CFA">
      <w:pPr>
        <w:snapToGrid w:val="0"/>
        <w:ind w:firstLine="425"/>
        <w:jc w:val="both"/>
        <w:rPr>
          <w:sz w:val="20"/>
          <w:szCs w:val="20"/>
          <w:lang w:eastAsia="zh-CN" w:bidi="fa-IR"/>
        </w:rPr>
      </w:pPr>
    </w:p>
    <w:p w:rsidR="008E623D" w:rsidRPr="004D5CFA" w:rsidRDefault="008E623D" w:rsidP="004D5CFA">
      <w:pPr>
        <w:snapToGrid w:val="0"/>
        <w:ind w:firstLine="425"/>
        <w:jc w:val="both"/>
        <w:rPr>
          <w:sz w:val="20"/>
          <w:szCs w:val="20"/>
          <w:lang w:bidi="fa-IR"/>
        </w:rPr>
      </w:pPr>
      <w:r w:rsidRPr="004D5CFA">
        <w:rPr>
          <w:sz w:val="20"/>
          <w:szCs w:val="20"/>
          <w:lang w:bidi="fa-IR"/>
        </w:rPr>
        <w:t xml:space="preserve">(7)   </w:t>
      </w:r>
      <w:proofErr w:type="spellStart"/>
      <w:r w:rsidRPr="004D5CFA">
        <w:rPr>
          <w:sz w:val="20"/>
          <w:szCs w:val="20"/>
          <w:lang w:bidi="fa-IR"/>
        </w:rPr>
        <w:t>Qk</w:t>
      </w:r>
      <w:proofErr w:type="spellEnd"/>
      <w:r w:rsidRPr="004D5CFA">
        <w:rPr>
          <w:sz w:val="20"/>
          <w:szCs w:val="20"/>
          <w:lang w:bidi="fa-IR"/>
        </w:rPr>
        <w:t xml:space="preserve">=K. </w:t>
      </w:r>
      <w:proofErr w:type="spellStart"/>
      <w:r w:rsidRPr="004D5CFA">
        <w:rPr>
          <w:sz w:val="20"/>
          <w:szCs w:val="20"/>
          <w:lang w:bidi="fa-IR"/>
        </w:rPr>
        <w:t>rk+RFP+DEPN+RENT</w:t>
      </w:r>
      <w:proofErr w:type="spellEnd"/>
    </w:p>
    <w:p w:rsidR="00B96C4E" w:rsidRDefault="008E623D" w:rsidP="004D5CFA">
      <w:pPr>
        <w:snapToGrid w:val="0"/>
        <w:ind w:firstLine="425"/>
        <w:jc w:val="both"/>
        <w:rPr>
          <w:sz w:val="20"/>
          <w:szCs w:val="20"/>
          <w:lang w:bidi="fa-IR"/>
        </w:rPr>
      </w:pPr>
      <w:r w:rsidRPr="004D5CFA">
        <w:rPr>
          <w:sz w:val="20"/>
          <w:szCs w:val="20"/>
          <w:lang w:bidi="fa-IR"/>
        </w:rPr>
        <w:t xml:space="preserve">W: to calculate the volume of consumable water, given that greenhouse owners for irrigation greenhouses were used from pools of 20 thousand liters, </w:t>
      </w:r>
      <w:smartTag w:uri="urn:schemas-microsoft-com:office:smarttags" w:element="metricconverter">
        <w:smartTagPr>
          <w:attr w:name="ProductID" w:val="15 liters"/>
        </w:smartTagPr>
        <w:r w:rsidRPr="004D5CFA">
          <w:rPr>
            <w:sz w:val="20"/>
            <w:szCs w:val="20"/>
            <w:lang w:bidi="fa-IR"/>
          </w:rPr>
          <w:t>15 liters</w:t>
        </w:r>
      </w:smartTag>
      <w:r w:rsidRPr="004D5CFA">
        <w:rPr>
          <w:sz w:val="20"/>
          <w:szCs w:val="20"/>
          <w:lang w:bidi="fa-IR"/>
        </w:rPr>
        <w:t xml:space="preserve"> or 10 thousand liters, number of times that pool water become empty for calculation the amount of irrigation water was calculated.</w:t>
      </w:r>
    </w:p>
    <w:p w:rsidR="00B96C4E" w:rsidRDefault="008E623D" w:rsidP="004D5CFA">
      <w:pPr>
        <w:snapToGrid w:val="0"/>
        <w:ind w:firstLine="425"/>
        <w:jc w:val="both"/>
        <w:rPr>
          <w:sz w:val="20"/>
          <w:szCs w:val="20"/>
          <w:lang w:bidi="fa-IR"/>
        </w:rPr>
      </w:pPr>
      <w:r w:rsidRPr="004D5CFA">
        <w:rPr>
          <w:sz w:val="20"/>
          <w:szCs w:val="20"/>
          <w:lang w:bidi="fa-IR"/>
        </w:rPr>
        <w:t>La: To calculate the number of workers (person - day) used in the production of greenhouse cucumbers given that the three categories of labor, employment, family and day worker work in the greenhouses to calculate them, we calculate all three cases with attention to number of workers and number of days that they have worked and sum them.</w:t>
      </w:r>
    </w:p>
    <w:p w:rsidR="00B96C4E" w:rsidRDefault="008E623D" w:rsidP="004D5CFA">
      <w:pPr>
        <w:snapToGrid w:val="0"/>
        <w:ind w:firstLine="425"/>
        <w:jc w:val="both"/>
        <w:rPr>
          <w:rStyle w:val="Strong"/>
          <w:rFonts w:eastAsiaTheme="minorEastAsia" w:cs="Times New Roman"/>
          <w:b w:val="0"/>
          <w:bCs w:val="0"/>
          <w:sz w:val="20"/>
          <w:szCs w:val="20"/>
          <w:lang w:eastAsia="zh-CN"/>
        </w:rPr>
      </w:pPr>
      <w:r w:rsidRPr="004D5CFA">
        <w:rPr>
          <w:rStyle w:val="Strong"/>
          <w:rFonts w:eastAsia="Times New Roman" w:cs="Times New Roman"/>
          <w:b w:val="0"/>
          <w:bCs w:val="0"/>
          <w:sz w:val="20"/>
          <w:szCs w:val="20"/>
        </w:rPr>
        <w:lastRenderedPageBreak/>
        <w:t>Fu: rate of consumable gas, to calculate consumable gas, gas bills which are issued by National Gas Company is used.</w:t>
      </w:r>
    </w:p>
    <w:p w:rsidR="00B96C4E" w:rsidRPr="00B96C4E" w:rsidRDefault="00B96C4E" w:rsidP="004D5CFA">
      <w:pPr>
        <w:snapToGrid w:val="0"/>
        <w:ind w:firstLine="425"/>
        <w:jc w:val="both"/>
        <w:rPr>
          <w:rStyle w:val="Strong"/>
          <w:rFonts w:eastAsiaTheme="minorEastAsia" w:cs="Times New Roman"/>
          <w:b w:val="0"/>
          <w:bCs w:val="0"/>
          <w:sz w:val="20"/>
          <w:szCs w:val="20"/>
          <w:lang w:eastAsia="zh-CN"/>
        </w:rPr>
      </w:pPr>
    </w:p>
    <w:p w:rsidR="00B96C4E" w:rsidRDefault="008E623D" w:rsidP="004D5CFA">
      <w:pPr>
        <w:snapToGrid w:val="0"/>
        <w:jc w:val="both"/>
        <w:rPr>
          <w:rFonts w:eastAsia="Times New Roman"/>
          <w:b/>
          <w:bCs/>
          <w:sz w:val="20"/>
          <w:szCs w:val="20"/>
        </w:rPr>
      </w:pPr>
      <w:r w:rsidRPr="004D5CFA">
        <w:rPr>
          <w:rFonts w:eastAsia="Times New Roman"/>
          <w:b/>
          <w:bCs/>
          <w:sz w:val="20"/>
          <w:szCs w:val="20"/>
        </w:rPr>
        <w:t>Results and Discussion</w:t>
      </w:r>
    </w:p>
    <w:p w:rsidR="00B96C4E" w:rsidRDefault="008E623D" w:rsidP="004D5CFA">
      <w:pPr>
        <w:snapToGrid w:val="0"/>
        <w:ind w:firstLine="425"/>
        <w:jc w:val="both"/>
        <w:rPr>
          <w:rFonts w:eastAsia="Times New Roman"/>
          <w:sz w:val="20"/>
          <w:szCs w:val="20"/>
        </w:rPr>
      </w:pPr>
      <w:r w:rsidRPr="004D5CFA">
        <w:rPr>
          <w:rFonts w:eastAsia="Times New Roman"/>
          <w:sz w:val="20"/>
          <w:szCs w:val="20"/>
        </w:rPr>
        <w:t xml:space="preserve">The results of the estimated coefficients of the Cobb - Douglas production function for cucumber in </w:t>
      </w:r>
      <w:proofErr w:type="spellStart"/>
      <w:r w:rsidRPr="004D5CFA">
        <w:rPr>
          <w:rFonts w:eastAsia="Times New Roman"/>
          <w:sz w:val="20"/>
          <w:szCs w:val="20"/>
        </w:rPr>
        <w:t>Mahalat</w:t>
      </w:r>
      <w:proofErr w:type="spellEnd"/>
      <w:r w:rsidRPr="004D5CFA">
        <w:rPr>
          <w:rFonts w:eastAsia="Times New Roman"/>
          <w:sz w:val="20"/>
          <w:szCs w:val="20"/>
        </w:rPr>
        <w:t xml:space="preserve"> Township have been reported in (Table 1).</w:t>
      </w:r>
    </w:p>
    <w:p w:rsidR="00B96C4E" w:rsidRDefault="008E623D" w:rsidP="004D5CFA">
      <w:pPr>
        <w:pStyle w:val="ListParagraph"/>
        <w:tabs>
          <w:tab w:val="left" w:pos="237"/>
        </w:tabs>
        <w:snapToGrid w:val="0"/>
        <w:spacing w:after="0" w:line="240" w:lineRule="auto"/>
        <w:ind w:left="0" w:firstLine="425"/>
        <w:jc w:val="both"/>
        <w:rPr>
          <w:rFonts w:ascii="Times New Roman" w:hAnsi="Times New Roman" w:cs="Times New Roman"/>
          <w:sz w:val="20"/>
          <w:szCs w:val="20"/>
        </w:rPr>
      </w:pPr>
      <w:r w:rsidRPr="004D5CFA">
        <w:rPr>
          <w:rFonts w:ascii="Times New Roman" w:hAnsi="Times New Roman" w:cs="Times New Roman"/>
          <w:sz w:val="20"/>
          <w:szCs w:val="20"/>
        </w:rPr>
        <w:t>Our findings indicate that with one percent increase in Greenhouse cultivated area assuming remaining constant the other factors, to expect on average amount of greenhouse cucumber production increase 0/92% that this variable statistically is significant.</w:t>
      </w:r>
    </w:p>
    <w:p w:rsidR="00B96C4E" w:rsidRDefault="008E623D" w:rsidP="004D5CFA">
      <w:pPr>
        <w:pStyle w:val="ListParagraph"/>
        <w:tabs>
          <w:tab w:val="left" w:pos="237"/>
        </w:tabs>
        <w:snapToGrid w:val="0"/>
        <w:spacing w:after="0" w:line="240" w:lineRule="auto"/>
        <w:ind w:left="0" w:firstLine="425"/>
        <w:jc w:val="both"/>
        <w:rPr>
          <w:rFonts w:ascii="Times New Roman" w:hAnsi="Times New Roman" w:cs="Times New Roman"/>
          <w:sz w:val="20"/>
          <w:szCs w:val="20"/>
        </w:rPr>
      </w:pPr>
      <w:r w:rsidRPr="004D5CFA">
        <w:rPr>
          <w:rFonts w:ascii="Times New Roman" w:hAnsi="Times New Roman" w:cs="Times New Roman"/>
          <w:sz w:val="20"/>
          <w:szCs w:val="20"/>
        </w:rPr>
        <w:t>Also coefficient 0/033 of the fuel amount of consumable (gas) indicate that with each ten percent increase in fuel consumption production amount of greenhouse cucumber increase 33 % which statistically in level 5% is significant.</w:t>
      </w:r>
    </w:p>
    <w:p w:rsidR="008E623D" w:rsidRPr="004D5CFA" w:rsidRDefault="008E623D" w:rsidP="004D5CFA">
      <w:pPr>
        <w:pStyle w:val="ListParagraph"/>
        <w:tabs>
          <w:tab w:val="left" w:pos="237"/>
        </w:tabs>
        <w:snapToGrid w:val="0"/>
        <w:spacing w:after="0" w:line="240" w:lineRule="auto"/>
        <w:ind w:left="0" w:firstLine="425"/>
        <w:jc w:val="both"/>
        <w:rPr>
          <w:rFonts w:ascii="Times New Roman" w:hAnsi="Times New Roman" w:cs="Times New Roman"/>
          <w:sz w:val="20"/>
          <w:szCs w:val="20"/>
        </w:rPr>
      </w:pPr>
      <w:r w:rsidRPr="004D5CFA">
        <w:rPr>
          <w:rFonts w:ascii="Times New Roman" w:hAnsi="Times New Roman" w:cs="Times New Roman"/>
          <w:sz w:val="20"/>
          <w:szCs w:val="20"/>
        </w:rPr>
        <w:t xml:space="preserve">A virtual variable coefficient of Feeding with co2 gas is positive and statistically significant. These </w:t>
      </w:r>
      <w:r w:rsidRPr="004D5CFA">
        <w:rPr>
          <w:rFonts w:ascii="Times New Roman" w:hAnsi="Times New Roman" w:cs="Times New Roman"/>
          <w:sz w:val="20"/>
          <w:szCs w:val="20"/>
        </w:rPr>
        <w:lastRenderedPageBreak/>
        <w:t xml:space="preserve">coefficients indicate that beneficiaries who using co2 gas in feeding greenhouse with assuming to remain constant other production factors, on average 26/1% more than other greenhouse owner during the year harvest cucumber. 25% precocity and improvement produced cucumber in greenhouse which used co2 gas in production, </w:t>
      </w:r>
      <w:proofErr w:type="gramStart"/>
      <w:r w:rsidRPr="004D5CFA">
        <w:rPr>
          <w:rFonts w:ascii="Times New Roman" w:hAnsi="Times New Roman" w:cs="Times New Roman"/>
          <w:sz w:val="20"/>
          <w:szCs w:val="20"/>
        </w:rPr>
        <w:t>cause</w:t>
      </w:r>
      <w:proofErr w:type="gramEnd"/>
      <w:r w:rsidRPr="004D5CFA">
        <w:rPr>
          <w:rFonts w:ascii="Times New Roman" w:hAnsi="Times New Roman" w:cs="Times New Roman"/>
          <w:sz w:val="20"/>
          <w:szCs w:val="20"/>
        </w:rPr>
        <w:t xml:space="preserve"> the number of times of cucumbers cultivation over the years, in this type greenhouse increase a period. Thus, it seems using co2 gas to provide efficient utilization of land and capital for greenhouse owners.</w:t>
      </w:r>
    </w:p>
    <w:p w:rsidR="008E623D" w:rsidRDefault="008E623D" w:rsidP="004D5CFA">
      <w:pPr>
        <w:tabs>
          <w:tab w:val="left" w:pos="237"/>
        </w:tabs>
        <w:snapToGrid w:val="0"/>
        <w:ind w:firstLine="425"/>
        <w:jc w:val="both"/>
        <w:rPr>
          <w:rFonts w:eastAsiaTheme="minorEastAsia"/>
          <w:sz w:val="20"/>
          <w:szCs w:val="20"/>
          <w:lang w:eastAsia="zh-CN"/>
        </w:rPr>
      </w:pPr>
      <w:r w:rsidRPr="004D5CFA">
        <w:rPr>
          <w:sz w:val="20"/>
          <w:szCs w:val="20"/>
        </w:rPr>
        <w:t>As shown in Table 1 the estimated coefficients of the variables of labor, capital, and water are all positive but not statistically significant.</w:t>
      </w:r>
      <w:r w:rsidRPr="004D5CFA">
        <w:rPr>
          <w:rFonts w:eastAsia="Times New Roman"/>
          <w:sz w:val="20"/>
          <w:szCs w:val="20"/>
        </w:rPr>
        <w:t xml:space="preserve"> It seems that similar pattern of production units in utilization of the production factors that in viewpoint of construction time of the greenhouses and technology are very homogeneous caused these coef</w:t>
      </w:r>
      <w:r w:rsidR="00FE3101">
        <w:rPr>
          <w:rFonts w:eastAsia="Times New Roman"/>
          <w:sz w:val="20"/>
          <w:szCs w:val="20"/>
        </w:rPr>
        <w:t xml:space="preserve">ficients aren’t </w:t>
      </w:r>
      <w:r w:rsidRPr="004D5CFA">
        <w:rPr>
          <w:rFonts w:eastAsia="Times New Roman"/>
          <w:sz w:val="20"/>
          <w:szCs w:val="20"/>
        </w:rPr>
        <w:t>statistically significant.</w:t>
      </w:r>
    </w:p>
    <w:p w:rsidR="00B96C4E" w:rsidRPr="00B96C4E" w:rsidRDefault="00B96C4E" w:rsidP="004D5CFA">
      <w:pPr>
        <w:tabs>
          <w:tab w:val="left" w:pos="237"/>
        </w:tabs>
        <w:snapToGrid w:val="0"/>
        <w:ind w:firstLine="425"/>
        <w:jc w:val="both"/>
        <w:rPr>
          <w:rFonts w:eastAsiaTheme="minorEastAsia"/>
          <w:sz w:val="20"/>
          <w:szCs w:val="20"/>
          <w:lang w:eastAsia="zh-CN"/>
        </w:rPr>
        <w:sectPr w:rsidR="00B96C4E" w:rsidRPr="00B96C4E" w:rsidSect="00F305D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B96C4E" w:rsidRDefault="00B96C4E" w:rsidP="004D5CFA">
      <w:pPr>
        <w:tabs>
          <w:tab w:val="left" w:pos="237"/>
        </w:tabs>
        <w:snapToGrid w:val="0"/>
        <w:ind w:firstLine="425"/>
        <w:jc w:val="both"/>
        <w:rPr>
          <w:rFonts w:eastAsia="Times New Roman"/>
          <w:sz w:val="20"/>
          <w:szCs w:val="20"/>
        </w:rPr>
      </w:pPr>
    </w:p>
    <w:p w:rsidR="008E623D" w:rsidRPr="00806C66" w:rsidRDefault="008E623D" w:rsidP="004D5CFA">
      <w:pPr>
        <w:snapToGrid w:val="0"/>
        <w:jc w:val="center"/>
        <w:rPr>
          <w:sz w:val="20"/>
          <w:szCs w:val="20"/>
        </w:rPr>
      </w:pPr>
      <w:r w:rsidRPr="00806C66">
        <w:rPr>
          <w:sz w:val="20"/>
          <w:szCs w:val="20"/>
        </w:rPr>
        <w:t>Table 1: Estimated coefficients of Cobb - Douglas production function</w:t>
      </w:r>
    </w:p>
    <w:tbl>
      <w:tblPr>
        <w:bidiVisual/>
        <w:tblW w:w="4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1270"/>
        <w:gridCol w:w="1956"/>
        <w:gridCol w:w="1187"/>
        <w:gridCol w:w="1860"/>
      </w:tblGrid>
      <w:tr w:rsidR="00806C66" w:rsidRPr="00FD34ED" w:rsidTr="00042A4A">
        <w:trPr>
          <w:cantSplit/>
          <w:jc w:val="center"/>
        </w:trPr>
        <w:tc>
          <w:tcPr>
            <w:tcW w:w="1300" w:type="pct"/>
            <w:shd w:val="clear" w:color="auto" w:fill="C6D9F1"/>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Variable name</w:t>
            </w:r>
          </w:p>
        </w:tc>
        <w:tc>
          <w:tcPr>
            <w:tcW w:w="749" w:type="pct"/>
            <w:shd w:val="clear" w:color="auto" w:fill="C6D9F1"/>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Coefficient</w:t>
            </w:r>
          </w:p>
        </w:tc>
        <w:tc>
          <w:tcPr>
            <w:tcW w:w="1154" w:type="pct"/>
            <w:shd w:val="clear" w:color="auto" w:fill="C6D9F1"/>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hps"/>
                <w:rFonts w:eastAsia="Times New Roman" w:cs="Times New Roman"/>
                <w:color w:val="000000"/>
                <w:sz w:val="20"/>
                <w:szCs w:val="20"/>
              </w:rPr>
              <w:t>Standard deviation</w:t>
            </w:r>
          </w:p>
        </w:tc>
        <w:tc>
          <w:tcPr>
            <w:tcW w:w="700" w:type="pct"/>
            <w:shd w:val="clear" w:color="auto" w:fill="C6D9F1"/>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bookmarkStart w:id="0" w:name="_Toc334820951"/>
            <w:bookmarkStart w:id="1" w:name="_Toc334824505"/>
            <w:bookmarkStart w:id="2" w:name="_Toc334824885"/>
            <w:bookmarkStart w:id="3" w:name="_Toc335078696"/>
            <w:r w:rsidRPr="00FD34ED">
              <w:rPr>
                <w:rStyle w:val="Strong"/>
                <w:rFonts w:eastAsia="Calibri" w:cs="Times New Roman"/>
                <w:b w:val="0"/>
                <w:bCs w:val="0"/>
                <w:color w:val="000000"/>
                <w:sz w:val="20"/>
                <w:szCs w:val="20"/>
                <w:lang w:bidi="fa-IR"/>
              </w:rPr>
              <w:t>Statistics t</w:t>
            </w:r>
            <w:bookmarkEnd w:id="0"/>
            <w:bookmarkEnd w:id="1"/>
            <w:bookmarkEnd w:id="2"/>
            <w:bookmarkEnd w:id="3"/>
          </w:p>
        </w:tc>
        <w:tc>
          <w:tcPr>
            <w:tcW w:w="1097" w:type="pct"/>
            <w:shd w:val="clear" w:color="auto" w:fill="C6D9F1"/>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r>
      <w:tr w:rsidR="00806C66" w:rsidRPr="00FD34ED" w:rsidTr="00042A4A">
        <w:trPr>
          <w:cantSplit/>
          <w:jc w:val="center"/>
        </w:trPr>
        <w:tc>
          <w:tcPr>
            <w:tcW w:w="1300" w:type="pct"/>
          </w:tcPr>
          <w:p w:rsidR="00806C66" w:rsidRPr="00FD34ED" w:rsidRDefault="00806C66" w:rsidP="004D5CFA">
            <w:pPr>
              <w:snapToGrid w:val="0"/>
              <w:jc w:val="center"/>
              <w:rPr>
                <w:color w:val="000000"/>
                <w:sz w:val="20"/>
                <w:szCs w:val="20"/>
              </w:rPr>
            </w:pPr>
            <w:r w:rsidRPr="00FD34ED">
              <w:rPr>
                <w:color w:val="000000"/>
                <w:sz w:val="20"/>
                <w:szCs w:val="20"/>
              </w:rPr>
              <w:t>Intercept</w:t>
            </w: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vertAlign w:val="superscript"/>
              </w:rPr>
            </w:pPr>
            <w:r w:rsidRPr="00FD34ED">
              <w:rPr>
                <w:rStyle w:val="Strong"/>
                <w:rFonts w:eastAsia="Calibri" w:cs="Times New Roman"/>
                <w:b w:val="0"/>
                <w:bCs w:val="0"/>
                <w:color w:val="000000"/>
                <w:sz w:val="20"/>
                <w:szCs w:val="20"/>
              </w:rPr>
              <w:t>3.616</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0.114</w:t>
            </w: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vertAlign w:val="superscript"/>
                <w:lang w:bidi="fa-IR"/>
              </w:rPr>
            </w:pPr>
            <w:r w:rsidRPr="00FD34ED">
              <w:rPr>
                <w:rStyle w:val="Strong"/>
                <w:rFonts w:eastAsia="Calibri" w:cs="Times New Roman"/>
                <w:b w:val="0"/>
                <w:bCs w:val="0"/>
                <w:color w:val="000000"/>
                <w:sz w:val="20"/>
                <w:szCs w:val="20"/>
              </w:rPr>
              <w:t>31.653</w:t>
            </w:r>
            <w:r w:rsidRPr="00FD34ED">
              <w:rPr>
                <w:rStyle w:val="Strong"/>
                <w:rFonts w:eastAsia="Calibri" w:cs="Times New Roman"/>
                <w:b w:val="0"/>
                <w:bCs w:val="0"/>
                <w:color w:val="000000"/>
                <w:sz w:val="20"/>
                <w:szCs w:val="20"/>
                <w:vertAlign w:val="superscript"/>
              </w:rPr>
              <w:t>**</w:t>
            </w:r>
          </w:p>
        </w:tc>
        <w:tc>
          <w:tcPr>
            <w:tcW w:w="1097"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p>
        </w:tc>
      </w:tr>
      <w:tr w:rsidR="00806C66" w:rsidRPr="00FD34ED" w:rsidTr="00042A4A">
        <w:trPr>
          <w:cantSplit/>
          <w:jc w:val="center"/>
        </w:trPr>
        <w:tc>
          <w:tcPr>
            <w:tcW w:w="1300" w:type="pct"/>
          </w:tcPr>
          <w:p w:rsidR="00806C66" w:rsidRPr="00FD34ED" w:rsidRDefault="00806C66" w:rsidP="004D5CFA">
            <w:pPr>
              <w:snapToGrid w:val="0"/>
              <w:jc w:val="center"/>
              <w:rPr>
                <w:color w:val="000000"/>
                <w:sz w:val="20"/>
                <w:szCs w:val="20"/>
              </w:rPr>
            </w:pPr>
            <w:r w:rsidRPr="00FD34ED">
              <w:rPr>
                <w:color w:val="000000"/>
                <w:sz w:val="20"/>
                <w:szCs w:val="20"/>
              </w:rPr>
              <w:t>Under cultivated area</w:t>
            </w: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0.925</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0.066</w:t>
            </w: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vertAlign w:val="superscript"/>
              </w:rPr>
            </w:pPr>
            <w:r w:rsidRPr="00FD34ED">
              <w:rPr>
                <w:rStyle w:val="Strong"/>
                <w:rFonts w:eastAsia="Calibri" w:cs="Times New Roman"/>
                <w:b w:val="0"/>
                <w:bCs w:val="0"/>
                <w:color w:val="000000"/>
                <w:sz w:val="20"/>
                <w:szCs w:val="20"/>
              </w:rPr>
              <w:t>13.903</w:t>
            </w:r>
            <w:r w:rsidRPr="00FD34ED">
              <w:rPr>
                <w:rStyle w:val="Strong"/>
                <w:rFonts w:eastAsia="Calibri" w:cs="Times New Roman"/>
                <w:b w:val="0"/>
                <w:bCs w:val="0"/>
                <w:color w:val="000000"/>
                <w:sz w:val="20"/>
                <w:szCs w:val="20"/>
                <w:vertAlign w:val="superscript"/>
              </w:rPr>
              <w:t>**</w:t>
            </w:r>
          </w:p>
        </w:tc>
        <w:tc>
          <w:tcPr>
            <w:tcW w:w="1097"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p>
        </w:tc>
      </w:tr>
      <w:tr w:rsidR="00806C66" w:rsidRPr="00FD34ED" w:rsidTr="00042A4A">
        <w:trPr>
          <w:cantSplit/>
          <w:jc w:val="center"/>
        </w:trPr>
        <w:tc>
          <w:tcPr>
            <w:tcW w:w="1300" w:type="pct"/>
          </w:tcPr>
          <w:p w:rsidR="00806C66" w:rsidRPr="00FD34ED" w:rsidRDefault="00806C66" w:rsidP="004D5CFA">
            <w:pPr>
              <w:snapToGrid w:val="0"/>
              <w:jc w:val="center"/>
              <w:rPr>
                <w:color w:val="000000"/>
                <w:sz w:val="20"/>
                <w:szCs w:val="20"/>
              </w:rPr>
            </w:pPr>
            <w:r w:rsidRPr="00FD34ED">
              <w:rPr>
                <w:color w:val="000000"/>
                <w:sz w:val="20"/>
                <w:szCs w:val="20"/>
              </w:rPr>
              <w:t>Water</w:t>
            </w: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0.029</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0.065</w:t>
            </w: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r w:rsidRPr="00FD34ED">
              <w:rPr>
                <w:rStyle w:val="Strong"/>
                <w:rFonts w:eastAsia="Calibri" w:cs="Times New Roman"/>
                <w:b w:val="0"/>
                <w:bCs w:val="0"/>
                <w:color w:val="000000"/>
                <w:sz w:val="20"/>
                <w:szCs w:val="20"/>
              </w:rPr>
              <w:t>0.446</w:t>
            </w:r>
          </w:p>
        </w:tc>
        <w:tc>
          <w:tcPr>
            <w:tcW w:w="1097"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p>
        </w:tc>
      </w:tr>
      <w:tr w:rsidR="00806C66" w:rsidRPr="00FD34ED" w:rsidTr="00042A4A">
        <w:trPr>
          <w:cantSplit/>
          <w:jc w:val="center"/>
        </w:trPr>
        <w:tc>
          <w:tcPr>
            <w:tcW w:w="1300" w:type="pct"/>
          </w:tcPr>
          <w:p w:rsidR="00806C66" w:rsidRPr="00FD34ED" w:rsidRDefault="00806C66" w:rsidP="004D5CFA">
            <w:pPr>
              <w:snapToGrid w:val="0"/>
              <w:jc w:val="center"/>
              <w:rPr>
                <w:color w:val="000000"/>
                <w:sz w:val="20"/>
                <w:szCs w:val="20"/>
              </w:rPr>
            </w:pPr>
            <w:r w:rsidRPr="00FD34ED">
              <w:rPr>
                <w:color w:val="000000"/>
                <w:sz w:val="20"/>
                <w:szCs w:val="20"/>
              </w:rPr>
              <w:t>Labor</w:t>
            </w: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0.011</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0.014</w:t>
            </w: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0.790</w:t>
            </w:r>
          </w:p>
        </w:tc>
        <w:tc>
          <w:tcPr>
            <w:tcW w:w="1097"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p>
        </w:tc>
      </w:tr>
      <w:tr w:rsidR="00806C66" w:rsidRPr="00FD34ED" w:rsidTr="00042A4A">
        <w:trPr>
          <w:cantSplit/>
          <w:jc w:val="center"/>
        </w:trPr>
        <w:tc>
          <w:tcPr>
            <w:tcW w:w="1300" w:type="pct"/>
          </w:tcPr>
          <w:p w:rsidR="00806C66" w:rsidRPr="00FD34ED" w:rsidRDefault="00806C66" w:rsidP="004D5CFA">
            <w:pPr>
              <w:snapToGrid w:val="0"/>
              <w:jc w:val="center"/>
              <w:rPr>
                <w:color w:val="000000"/>
                <w:sz w:val="20"/>
                <w:szCs w:val="20"/>
              </w:rPr>
            </w:pPr>
            <w:r w:rsidRPr="00FD34ED">
              <w:rPr>
                <w:color w:val="000000"/>
                <w:sz w:val="20"/>
                <w:szCs w:val="20"/>
              </w:rPr>
              <w:t>Capital</w:t>
            </w: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0.000</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0.007</w:t>
            </w: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r w:rsidRPr="00FD34ED">
              <w:rPr>
                <w:rStyle w:val="Strong"/>
                <w:rFonts w:eastAsia="Calibri" w:cs="Times New Roman"/>
                <w:b w:val="0"/>
                <w:bCs w:val="0"/>
                <w:color w:val="000000"/>
                <w:sz w:val="20"/>
                <w:szCs w:val="20"/>
              </w:rPr>
              <w:t>0.120</w:t>
            </w:r>
          </w:p>
        </w:tc>
        <w:tc>
          <w:tcPr>
            <w:tcW w:w="1097"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p>
        </w:tc>
      </w:tr>
      <w:tr w:rsidR="00806C66" w:rsidRPr="00FD34ED" w:rsidTr="00042A4A">
        <w:trPr>
          <w:cantSplit/>
          <w:jc w:val="center"/>
        </w:trPr>
        <w:tc>
          <w:tcPr>
            <w:tcW w:w="1300" w:type="pct"/>
          </w:tcPr>
          <w:p w:rsidR="00806C66" w:rsidRPr="00FD34ED" w:rsidRDefault="00806C66" w:rsidP="004D5CFA">
            <w:pPr>
              <w:snapToGrid w:val="0"/>
              <w:jc w:val="center"/>
              <w:rPr>
                <w:color w:val="000000"/>
                <w:sz w:val="20"/>
                <w:szCs w:val="20"/>
              </w:rPr>
            </w:pPr>
            <w:r w:rsidRPr="00FD34ED">
              <w:rPr>
                <w:color w:val="000000"/>
                <w:sz w:val="20"/>
                <w:szCs w:val="20"/>
              </w:rPr>
              <w:t>Fuel</w:t>
            </w: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r w:rsidRPr="00FD34ED">
              <w:rPr>
                <w:rStyle w:val="Strong"/>
                <w:rFonts w:eastAsia="Calibri" w:cs="Times New Roman"/>
                <w:b w:val="0"/>
                <w:bCs w:val="0"/>
                <w:color w:val="000000"/>
                <w:sz w:val="20"/>
                <w:szCs w:val="20"/>
              </w:rPr>
              <w:t>0.033</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0.016</w:t>
            </w: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vertAlign w:val="superscript"/>
              </w:rPr>
            </w:pPr>
            <w:r w:rsidRPr="00FD34ED">
              <w:rPr>
                <w:rStyle w:val="Strong"/>
                <w:rFonts w:eastAsia="Calibri" w:cs="Times New Roman"/>
                <w:b w:val="0"/>
                <w:bCs w:val="0"/>
                <w:color w:val="000000"/>
                <w:sz w:val="20"/>
                <w:szCs w:val="20"/>
                <w:lang w:bidi="fa-IR"/>
              </w:rPr>
              <w:t>2.069</w:t>
            </w:r>
          </w:p>
        </w:tc>
        <w:tc>
          <w:tcPr>
            <w:tcW w:w="1097"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r>
      <w:tr w:rsidR="00806C66" w:rsidRPr="00FD34ED" w:rsidTr="00042A4A">
        <w:trPr>
          <w:cantSplit/>
          <w:jc w:val="center"/>
        </w:trPr>
        <w:tc>
          <w:tcPr>
            <w:tcW w:w="13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bookmarkStart w:id="4" w:name="_Toc334820976"/>
            <w:bookmarkStart w:id="5" w:name="_Toc334824530"/>
            <w:bookmarkStart w:id="6" w:name="_Toc334824910"/>
            <w:bookmarkStart w:id="7" w:name="_Toc335078721"/>
            <w:r w:rsidRPr="00FD34ED">
              <w:rPr>
                <w:rFonts w:eastAsia="Times New Roman" w:cs="Times New Roman"/>
                <w:color w:val="000000"/>
                <w:sz w:val="20"/>
                <w:szCs w:val="20"/>
              </w:rPr>
              <w:t>co</w:t>
            </w:r>
            <w:r w:rsidRPr="00FD34ED">
              <w:rPr>
                <w:rFonts w:eastAsia="Times New Roman" w:cs="Times New Roman"/>
                <w:color w:val="000000"/>
                <w:sz w:val="20"/>
                <w:szCs w:val="20"/>
                <w:vertAlign w:val="subscript"/>
              </w:rPr>
              <w:t>2</w:t>
            </w:r>
            <w:bookmarkEnd w:id="4"/>
            <w:bookmarkEnd w:id="5"/>
            <w:bookmarkEnd w:id="6"/>
            <w:bookmarkEnd w:id="7"/>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0.261</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r w:rsidRPr="00FD34ED">
              <w:rPr>
                <w:rStyle w:val="Strong"/>
                <w:rFonts w:eastAsia="Calibri" w:cs="Times New Roman"/>
                <w:b w:val="0"/>
                <w:bCs w:val="0"/>
                <w:color w:val="000000"/>
                <w:sz w:val="20"/>
                <w:szCs w:val="20"/>
              </w:rPr>
              <w:t>0.026</w:t>
            </w: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vertAlign w:val="superscript"/>
              </w:rPr>
            </w:pPr>
            <w:r w:rsidRPr="00FD34ED">
              <w:rPr>
                <w:rStyle w:val="Strong"/>
                <w:rFonts w:eastAsia="Calibri" w:cs="Times New Roman"/>
                <w:b w:val="0"/>
                <w:bCs w:val="0"/>
                <w:color w:val="000000"/>
                <w:sz w:val="20"/>
                <w:szCs w:val="20"/>
              </w:rPr>
              <w:t>9.991</w:t>
            </w:r>
            <w:r w:rsidRPr="00FD34ED">
              <w:rPr>
                <w:rStyle w:val="Strong"/>
                <w:rFonts w:eastAsia="Calibri" w:cs="Times New Roman"/>
                <w:b w:val="0"/>
                <w:bCs w:val="0"/>
                <w:color w:val="000000"/>
                <w:sz w:val="20"/>
                <w:szCs w:val="20"/>
                <w:vertAlign w:val="superscript"/>
              </w:rPr>
              <w:t>**</w:t>
            </w:r>
          </w:p>
        </w:tc>
        <w:tc>
          <w:tcPr>
            <w:tcW w:w="1097"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rPr>
            </w:pPr>
          </w:p>
        </w:tc>
      </w:tr>
      <w:tr w:rsidR="00806C66" w:rsidRPr="00FD34ED" w:rsidTr="00042A4A">
        <w:trPr>
          <w:cantSplit/>
          <w:trHeight w:val="60"/>
          <w:jc w:val="center"/>
        </w:trPr>
        <w:tc>
          <w:tcPr>
            <w:tcW w:w="13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r w:rsidRPr="00FD34ED">
              <w:rPr>
                <w:rStyle w:val="Strong"/>
                <w:rFonts w:eastAsia="Calibri" w:cs="Times New Roman"/>
                <w:b w:val="0"/>
                <w:bCs w:val="0"/>
                <w:color w:val="000000"/>
                <w:sz w:val="20"/>
                <w:szCs w:val="20"/>
                <w:lang w:bidi="fa-IR"/>
              </w:rPr>
              <w:t>0.975</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c>
          <w:tcPr>
            <w:tcW w:w="1097" w:type="pct"/>
          </w:tcPr>
          <w:p w:rsidR="00806C66" w:rsidRPr="00FD34ED" w:rsidRDefault="00806C66" w:rsidP="004D5CFA">
            <w:pPr>
              <w:pStyle w:val="Subtitle"/>
              <w:bidi w:val="0"/>
              <w:snapToGrid w:val="0"/>
              <w:ind w:left="0" w:firstLine="0"/>
              <w:rPr>
                <w:rStyle w:val="Strong"/>
                <w:rFonts w:eastAsia="Calibri" w:cs="Times New Roman"/>
                <w:color w:val="000000"/>
                <w:sz w:val="20"/>
                <w:szCs w:val="20"/>
                <w:lang w:bidi="fa-IR"/>
              </w:rPr>
            </w:pPr>
            <w:bookmarkStart w:id="8" w:name="_Toc334820981"/>
            <w:bookmarkStart w:id="9" w:name="_Toc334824535"/>
            <w:bookmarkStart w:id="10" w:name="_Toc334824915"/>
            <w:bookmarkStart w:id="11" w:name="_Toc335078726"/>
            <w:r w:rsidRPr="00FD34ED">
              <w:rPr>
                <w:rStyle w:val="Strong"/>
                <w:rFonts w:eastAsia="Calibri" w:cs="Times New Roman"/>
                <w:color w:val="000000"/>
                <w:sz w:val="20"/>
                <w:szCs w:val="20"/>
                <w:lang w:bidi="fa-IR"/>
              </w:rPr>
              <w:t>R-squared</w:t>
            </w:r>
            <w:bookmarkEnd w:id="8"/>
            <w:bookmarkEnd w:id="9"/>
            <w:bookmarkEnd w:id="10"/>
            <w:bookmarkEnd w:id="11"/>
          </w:p>
        </w:tc>
      </w:tr>
      <w:tr w:rsidR="00806C66" w:rsidRPr="00FD34ED" w:rsidTr="00042A4A">
        <w:trPr>
          <w:cantSplit/>
          <w:jc w:val="center"/>
        </w:trPr>
        <w:tc>
          <w:tcPr>
            <w:tcW w:w="13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c>
          <w:tcPr>
            <w:tcW w:w="749"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r w:rsidRPr="00FD34ED">
              <w:rPr>
                <w:rStyle w:val="Strong"/>
                <w:rFonts w:eastAsia="Calibri" w:cs="Times New Roman"/>
                <w:b w:val="0"/>
                <w:bCs w:val="0"/>
                <w:color w:val="000000"/>
                <w:sz w:val="20"/>
                <w:szCs w:val="20"/>
                <w:lang w:bidi="fa-IR"/>
              </w:rPr>
              <w:t>1.597</w:t>
            </w:r>
          </w:p>
        </w:tc>
        <w:tc>
          <w:tcPr>
            <w:tcW w:w="1154"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c>
          <w:tcPr>
            <w:tcW w:w="700" w:type="pct"/>
          </w:tcPr>
          <w:p w:rsidR="00806C66" w:rsidRPr="00FD34ED" w:rsidRDefault="00806C66" w:rsidP="004D5CFA">
            <w:pPr>
              <w:pStyle w:val="Subtitle"/>
              <w:bidi w:val="0"/>
              <w:snapToGrid w:val="0"/>
              <w:ind w:left="0" w:firstLine="0"/>
              <w:rPr>
                <w:rStyle w:val="Strong"/>
                <w:rFonts w:eastAsia="Calibri" w:cs="Times New Roman"/>
                <w:b w:val="0"/>
                <w:bCs w:val="0"/>
                <w:color w:val="000000"/>
                <w:sz w:val="20"/>
                <w:szCs w:val="20"/>
                <w:lang w:bidi="fa-IR"/>
              </w:rPr>
            </w:pPr>
          </w:p>
        </w:tc>
        <w:tc>
          <w:tcPr>
            <w:tcW w:w="1097" w:type="pct"/>
          </w:tcPr>
          <w:p w:rsidR="00806C66" w:rsidRPr="00FD34ED" w:rsidRDefault="00806C66" w:rsidP="004D5CFA">
            <w:pPr>
              <w:snapToGrid w:val="0"/>
              <w:jc w:val="center"/>
              <w:rPr>
                <w:rStyle w:val="Strong"/>
                <w:rFonts w:eastAsia="Times New Roman" w:cs="Times New Roman"/>
                <w:color w:val="000000"/>
                <w:sz w:val="20"/>
                <w:szCs w:val="20"/>
              </w:rPr>
            </w:pPr>
            <w:r w:rsidRPr="00FD34ED">
              <w:rPr>
                <w:rStyle w:val="Strong"/>
                <w:rFonts w:eastAsia="Times New Roman" w:cs="Times New Roman"/>
                <w:color w:val="000000"/>
                <w:sz w:val="20"/>
                <w:szCs w:val="20"/>
              </w:rPr>
              <w:t>Durbin-Watson</w:t>
            </w:r>
          </w:p>
        </w:tc>
      </w:tr>
    </w:tbl>
    <w:p w:rsidR="008E623D" w:rsidRPr="004D5CFA" w:rsidRDefault="008E623D" w:rsidP="004D5CFA">
      <w:pPr>
        <w:pStyle w:val="Subtitle"/>
        <w:bidi w:val="0"/>
        <w:snapToGrid w:val="0"/>
        <w:ind w:left="0" w:firstLine="425"/>
        <w:jc w:val="both"/>
        <w:rPr>
          <w:rStyle w:val="Strong"/>
          <w:rFonts w:eastAsia="Calibri" w:cs="Times New Roman"/>
          <w:b w:val="0"/>
          <w:bCs w:val="0"/>
          <w:sz w:val="20"/>
          <w:szCs w:val="20"/>
          <w:lang w:bidi="fa-IR"/>
        </w:rPr>
      </w:pPr>
      <w:r w:rsidRPr="004D5CFA">
        <w:rPr>
          <w:rStyle w:val="Strong"/>
          <w:rFonts w:eastAsia="Calibri" w:cs="Times New Roman"/>
          <w:b w:val="0"/>
          <w:bCs w:val="0"/>
          <w:sz w:val="20"/>
          <w:szCs w:val="20"/>
          <w:lang w:bidi="fa-IR"/>
        </w:rPr>
        <w:t>Source: Research findings</w:t>
      </w:r>
    </w:p>
    <w:p w:rsidR="00B96C4E" w:rsidRDefault="008E623D" w:rsidP="004D5CFA">
      <w:pPr>
        <w:pStyle w:val="Subtitle"/>
        <w:bidi w:val="0"/>
        <w:snapToGrid w:val="0"/>
        <w:ind w:left="0" w:firstLine="425"/>
        <w:jc w:val="both"/>
        <w:rPr>
          <w:rStyle w:val="Strong"/>
          <w:rFonts w:cs="Times New Roman"/>
          <w:b w:val="0"/>
          <w:bCs w:val="0"/>
          <w:sz w:val="20"/>
          <w:szCs w:val="20"/>
          <w:lang w:bidi="fa-IR"/>
        </w:rPr>
      </w:pPr>
      <w:r w:rsidRPr="004D5CFA">
        <w:rPr>
          <w:rStyle w:val="Strong"/>
          <w:rFonts w:cs="Times New Roman"/>
          <w:b w:val="0"/>
          <w:bCs w:val="0"/>
          <w:sz w:val="20"/>
          <w:szCs w:val="20"/>
          <w:lang w:bidi="fa-IR"/>
        </w:rPr>
        <w:t>* Significant at 5% level ** significant at 1%</w:t>
      </w:r>
    </w:p>
    <w:p w:rsidR="008E623D" w:rsidRDefault="008E623D" w:rsidP="004D5CFA">
      <w:pPr>
        <w:pStyle w:val="Subtitle"/>
        <w:bidi w:val="0"/>
        <w:snapToGrid w:val="0"/>
        <w:ind w:left="0" w:firstLine="425"/>
        <w:jc w:val="both"/>
        <w:rPr>
          <w:rStyle w:val="Strong"/>
          <w:rFonts w:cs="Times New Roman"/>
          <w:b w:val="0"/>
          <w:bCs w:val="0"/>
          <w:sz w:val="20"/>
          <w:szCs w:val="20"/>
          <w:lang w:eastAsia="zh-CN" w:bidi="fa-IR"/>
        </w:rPr>
      </w:pPr>
    </w:p>
    <w:p w:rsidR="00B96C4E" w:rsidRPr="004D5CFA" w:rsidRDefault="00B96C4E" w:rsidP="00B96C4E">
      <w:pPr>
        <w:pStyle w:val="Subtitle"/>
        <w:bidi w:val="0"/>
        <w:snapToGrid w:val="0"/>
        <w:ind w:left="0" w:firstLine="425"/>
        <w:jc w:val="both"/>
        <w:rPr>
          <w:rStyle w:val="Strong"/>
          <w:rFonts w:cs="Times New Roman"/>
          <w:b w:val="0"/>
          <w:bCs w:val="0"/>
          <w:sz w:val="20"/>
          <w:szCs w:val="20"/>
          <w:lang w:eastAsia="zh-CN" w:bidi="fa-IR"/>
        </w:rPr>
        <w:sectPr w:rsidR="00B96C4E" w:rsidRPr="004D5CFA" w:rsidSect="00F305D6">
          <w:footnotePr>
            <w:pos w:val="beneathText"/>
          </w:footnotePr>
          <w:type w:val="continuous"/>
          <w:pgSz w:w="12240" w:h="15840" w:code="1"/>
          <w:pgMar w:top="1440" w:right="1440" w:bottom="1440" w:left="1440" w:header="720" w:footer="720" w:gutter="0"/>
          <w:cols w:space="720"/>
          <w:docGrid w:linePitch="360"/>
        </w:sectPr>
      </w:pPr>
    </w:p>
    <w:p w:rsidR="00B96C4E" w:rsidRDefault="008E623D" w:rsidP="004D5CFA">
      <w:pPr>
        <w:pStyle w:val="Subtitle"/>
        <w:bidi w:val="0"/>
        <w:snapToGrid w:val="0"/>
        <w:ind w:left="0" w:firstLine="425"/>
        <w:jc w:val="both"/>
        <w:rPr>
          <w:rStyle w:val="Strong"/>
          <w:rFonts w:cs="Times New Roman"/>
          <w:b w:val="0"/>
          <w:bCs w:val="0"/>
          <w:sz w:val="20"/>
          <w:szCs w:val="20"/>
          <w:lang w:bidi="fa-IR"/>
        </w:rPr>
      </w:pPr>
      <w:r w:rsidRPr="004D5CFA">
        <w:rPr>
          <w:rStyle w:val="Strong"/>
          <w:rFonts w:cs="Times New Roman"/>
          <w:b w:val="0"/>
          <w:bCs w:val="0"/>
          <w:sz w:val="20"/>
          <w:szCs w:val="20"/>
          <w:lang w:bidi="fa-IR"/>
        </w:rPr>
        <w:lastRenderedPageBreak/>
        <w:t>White test was performed to determine the anisotropy variance that hypothesis H0 based on the absence of anisotropy variance at the level 5% will be accepted.</w:t>
      </w:r>
    </w:p>
    <w:p w:rsidR="00B96C4E" w:rsidRDefault="008E623D" w:rsidP="004D5CFA">
      <w:pPr>
        <w:tabs>
          <w:tab w:val="left" w:pos="429"/>
          <w:tab w:val="right" w:pos="810"/>
        </w:tabs>
        <w:snapToGrid w:val="0"/>
        <w:jc w:val="both"/>
        <w:rPr>
          <w:b/>
          <w:bCs/>
          <w:sz w:val="20"/>
          <w:szCs w:val="20"/>
          <w:lang w:bidi="fa-IR"/>
        </w:rPr>
      </w:pPr>
      <w:r w:rsidRPr="004D5CFA">
        <w:rPr>
          <w:b/>
          <w:bCs/>
          <w:sz w:val="20"/>
          <w:szCs w:val="20"/>
          <w:lang w:bidi="fa-IR"/>
        </w:rPr>
        <w:t>Comparison of greenhouse cucumbers total price with/without co2</w:t>
      </w:r>
    </w:p>
    <w:p w:rsidR="00B96C4E" w:rsidRDefault="008E623D" w:rsidP="004D5CFA">
      <w:pPr>
        <w:tabs>
          <w:tab w:val="left" w:pos="429"/>
          <w:tab w:val="right" w:pos="810"/>
        </w:tabs>
        <w:snapToGrid w:val="0"/>
        <w:ind w:firstLine="425"/>
        <w:jc w:val="both"/>
        <w:rPr>
          <w:sz w:val="20"/>
          <w:szCs w:val="20"/>
          <w:lang w:bidi="fa-IR"/>
        </w:rPr>
      </w:pPr>
      <w:r w:rsidRPr="004D5CFA">
        <w:rPr>
          <w:sz w:val="20"/>
          <w:szCs w:val="20"/>
          <w:lang w:bidi="fa-IR"/>
        </w:rPr>
        <w:t>Income per year is obtained by multiplying amount of greenhouse cucumbers</w:t>
      </w:r>
    </w:p>
    <w:p w:rsidR="00B96C4E" w:rsidRDefault="008E623D" w:rsidP="004D5CFA">
      <w:pPr>
        <w:tabs>
          <w:tab w:val="left" w:pos="429"/>
          <w:tab w:val="right" w:pos="810"/>
        </w:tabs>
        <w:snapToGrid w:val="0"/>
        <w:ind w:firstLine="425"/>
        <w:jc w:val="both"/>
        <w:rPr>
          <w:rFonts w:eastAsiaTheme="minorEastAsia"/>
          <w:sz w:val="20"/>
          <w:szCs w:val="20"/>
          <w:lang w:eastAsia="zh-CN" w:bidi="fa-IR"/>
        </w:rPr>
      </w:pPr>
      <w:r w:rsidRPr="004D5CFA">
        <w:rPr>
          <w:rFonts w:eastAsia="Times New Roman"/>
          <w:sz w:val="20"/>
          <w:szCs w:val="20"/>
          <w:lang w:bidi="fa-IR"/>
        </w:rPr>
        <w:t xml:space="preserve">Given that greenhouse cucumber production units in </w:t>
      </w:r>
      <w:proofErr w:type="spellStart"/>
      <w:r w:rsidRPr="004D5CFA">
        <w:rPr>
          <w:rFonts w:eastAsia="Times New Roman"/>
          <w:sz w:val="20"/>
          <w:szCs w:val="20"/>
          <w:lang w:bidi="fa-IR"/>
        </w:rPr>
        <w:t>Mahalat</w:t>
      </w:r>
      <w:proofErr w:type="spellEnd"/>
      <w:r w:rsidRPr="004D5CFA">
        <w:rPr>
          <w:rFonts w:eastAsia="Times New Roman"/>
          <w:sz w:val="20"/>
          <w:szCs w:val="20"/>
          <w:lang w:bidi="fa-IR"/>
        </w:rPr>
        <w:t xml:space="preserve"> township have been built in 84-1379, so to include cost of inputs in cucumber total price at first using engineering economic relations, capital expenditures, greenhouse construction, plant, machinery and installed co2 production  machinery  at first become changed into the base year 2011 and then using  an interest rate of 10% and 20 years useful life, each them have been converted to the annual value of future using the following formula.</w:t>
      </w:r>
    </w:p>
    <w:p w:rsidR="00A810AA" w:rsidRPr="00A810AA" w:rsidRDefault="00A810AA" w:rsidP="004D5CFA">
      <w:pPr>
        <w:tabs>
          <w:tab w:val="left" w:pos="429"/>
          <w:tab w:val="right" w:pos="810"/>
        </w:tabs>
        <w:snapToGrid w:val="0"/>
        <w:ind w:firstLine="425"/>
        <w:jc w:val="both"/>
        <w:rPr>
          <w:rFonts w:eastAsiaTheme="minorEastAsia"/>
          <w:sz w:val="20"/>
          <w:szCs w:val="20"/>
          <w:lang w:eastAsia="zh-CN" w:bidi="fa-IR"/>
        </w:rPr>
      </w:pPr>
    </w:p>
    <w:p w:rsidR="008E623D" w:rsidRPr="004D5CFA" w:rsidRDefault="008E623D" w:rsidP="004D5CFA">
      <w:pPr>
        <w:tabs>
          <w:tab w:val="left" w:pos="429"/>
          <w:tab w:val="right" w:pos="810"/>
        </w:tabs>
        <w:snapToGrid w:val="0"/>
        <w:ind w:firstLine="425"/>
        <w:jc w:val="both"/>
        <w:rPr>
          <w:rFonts w:eastAsia="Times New Roman"/>
          <w:sz w:val="20"/>
          <w:szCs w:val="20"/>
          <w:vertAlign w:val="superscript"/>
          <w:lang w:bidi="fa-IR"/>
        </w:rPr>
      </w:pPr>
      <w:r w:rsidRPr="004D5CFA">
        <w:rPr>
          <w:rFonts w:eastAsia="Times New Roman"/>
          <w:sz w:val="20"/>
          <w:szCs w:val="20"/>
          <w:lang w:bidi="fa-IR"/>
        </w:rPr>
        <w:t xml:space="preserve">(8) F = P (1 + </w:t>
      </w:r>
      <w:proofErr w:type="spellStart"/>
      <w:r w:rsidRPr="004D5CFA">
        <w:rPr>
          <w:rFonts w:eastAsia="Times New Roman"/>
          <w:sz w:val="20"/>
          <w:szCs w:val="20"/>
          <w:lang w:bidi="fa-IR"/>
        </w:rPr>
        <w:t>i</w:t>
      </w:r>
      <w:proofErr w:type="spellEnd"/>
      <w:r w:rsidRPr="004D5CFA">
        <w:rPr>
          <w:rFonts w:eastAsia="Times New Roman"/>
          <w:sz w:val="20"/>
          <w:szCs w:val="20"/>
          <w:lang w:bidi="fa-IR"/>
        </w:rPr>
        <w:t xml:space="preserve">) </w:t>
      </w:r>
      <w:r w:rsidRPr="004D5CFA">
        <w:rPr>
          <w:rFonts w:eastAsia="Times New Roman"/>
          <w:sz w:val="20"/>
          <w:szCs w:val="20"/>
          <w:vertAlign w:val="superscript"/>
          <w:lang w:bidi="fa-IR"/>
        </w:rPr>
        <w:t>n</w:t>
      </w:r>
    </w:p>
    <w:p w:rsidR="00B96C4E" w:rsidRDefault="008E623D" w:rsidP="004D5CFA">
      <w:pPr>
        <w:tabs>
          <w:tab w:val="left" w:pos="429"/>
          <w:tab w:val="right" w:pos="810"/>
        </w:tabs>
        <w:snapToGrid w:val="0"/>
        <w:ind w:firstLine="425"/>
        <w:jc w:val="both"/>
        <w:rPr>
          <w:rFonts w:eastAsia="Times New Roman"/>
          <w:sz w:val="20"/>
          <w:szCs w:val="20"/>
          <w:lang w:bidi="fa-IR"/>
        </w:rPr>
      </w:pPr>
      <w:r w:rsidRPr="004D5CFA">
        <w:rPr>
          <w:rFonts w:eastAsia="Times New Roman"/>
          <w:sz w:val="20"/>
          <w:szCs w:val="20"/>
          <w:lang w:bidi="fa-IR"/>
        </w:rPr>
        <w:t xml:space="preserve">where, P is current value, F future value, </w:t>
      </w:r>
      <w:proofErr w:type="spellStart"/>
      <w:r w:rsidRPr="004D5CFA">
        <w:rPr>
          <w:rFonts w:eastAsia="Times New Roman"/>
          <w:sz w:val="20"/>
          <w:szCs w:val="20"/>
          <w:lang w:bidi="fa-IR"/>
        </w:rPr>
        <w:t>i</w:t>
      </w:r>
      <w:proofErr w:type="spellEnd"/>
      <w:r w:rsidRPr="004D5CFA">
        <w:rPr>
          <w:rFonts w:eastAsia="Times New Roman"/>
          <w:sz w:val="20"/>
          <w:szCs w:val="20"/>
          <w:lang w:bidi="fa-IR"/>
        </w:rPr>
        <w:t xml:space="preserve"> interest rates and n time in terms of years (useful life).In the above formula, (1 + </w:t>
      </w:r>
      <w:proofErr w:type="spellStart"/>
      <w:r w:rsidRPr="004D5CFA">
        <w:rPr>
          <w:rFonts w:eastAsia="Times New Roman"/>
          <w:sz w:val="20"/>
          <w:szCs w:val="20"/>
          <w:lang w:bidi="fa-IR"/>
        </w:rPr>
        <w:t>i</w:t>
      </w:r>
      <w:proofErr w:type="spellEnd"/>
      <w:r w:rsidRPr="004D5CFA">
        <w:rPr>
          <w:rFonts w:eastAsia="Times New Roman"/>
          <w:sz w:val="20"/>
          <w:szCs w:val="20"/>
          <w:lang w:bidi="fa-IR"/>
        </w:rPr>
        <w:t xml:space="preserve">) </w:t>
      </w:r>
      <w:r w:rsidRPr="004D5CFA">
        <w:rPr>
          <w:rFonts w:eastAsia="Times New Roman"/>
          <w:sz w:val="20"/>
          <w:szCs w:val="20"/>
          <w:vertAlign w:val="superscript"/>
          <w:lang w:bidi="fa-IR"/>
        </w:rPr>
        <w:t>n</w:t>
      </w:r>
      <w:r w:rsidRPr="004D5CFA">
        <w:rPr>
          <w:rFonts w:eastAsia="Times New Roman"/>
          <w:sz w:val="20"/>
          <w:szCs w:val="20"/>
          <w:lang w:bidi="fa-IR"/>
        </w:rPr>
        <w:t xml:space="preserve"> is called the conversion ratio that is shown by (F / P, </w:t>
      </w:r>
      <w:proofErr w:type="spellStart"/>
      <w:r w:rsidRPr="004D5CFA">
        <w:rPr>
          <w:rFonts w:eastAsia="Times New Roman"/>
          <w:sz w:val="20"/>
          <w:szCs w:val="20"/>
          <w:lang w:bidi="fa-IR"/>
        </w:rPr>
        <w:t>i</w:t>
      </w:r>
      <w:proofErr w:type="spellEnd"/>
      <w:r w:rsidRPr="004D5CFA">
        <w:rPr>
          <w:rFonts w:eastAsia="Times New Roman"/>
          <w:sz w:val="20"/>
          <w:szCs w:val="20"/>
          <w:lang w:bidi="fa-IR"/>
        </w:rPr>
        <w:t>, n).For this purpose, using the formula (8) turn the present value into future. Then, using formula (9) turn the present value into the uniform series of 20-year (</w:t>
      </w:r>
      <w:proofErr w:type="spellStart"/>
      <w:r w:rsidRPr="004D5CFA">
        <w:rPr>
          <w:rFonts w:eastAsia="Times New Roman"/>
          <w:sz w:val="20"/>
          <w:szCs w:val="20"/>
          <w:lang w:bidi="fa-IR"/>
        </w:rPr>
        <w:t>Soltani</w:t>
      </w:r>
      <w:proofErr w:type="spellEnd"/>
      <w:r w:rsidRPr="004D5CFA">
        <w:rPr>
          <w:rFonts w:eastAsia="Times New Roman"/>
          <w:sz w:val="20"/>
          <w:szCs w:val="20"/>
          <w:lang w:bidi="fa-IR"/>
        </w:rPr>
        <w:t>, 2009).</w:t>
      </w:r>
    </w:p>
    <w:p w:rsidR="008E623D" w:rsidRPr="004D5CFA" w:rsidRDefault="008E623D" w:rsidP="004D5CFA">
      <w:pPr>
        <w:tabs>
          <w:tab w:val="left" w:pos="8604"/>
        </w:tabs>
        <w:snapToGrid w:val="0"/>
        <w:ind w:firstLine="425"/>
        <w:jc w:val="both"/>
        <w:rPr>
          <w:rFonts w:eastAsia="Times New Roman"/>
          <w:sz w:val="20"/>
          <w:szCs w:val="20"/>
          <w:lang w:bidi="fa-IR"/>
        </w:rPr>
      </w:pPr>
      <w:r w:rsidRPr="004D5CFA">
        <w:rPr>
          <w:rFonts w:eastAsia="Times New Roman"/>
          <w:sz w:val="20"/>
          <w:szCs w:val="20"/>
          <w:lang w:bidi="fa-IR"/>
        </w:rPr>
        <w:t>(9)</w:t>
      </w:r>
      <w:r w:rsidR="00B23F50" w:rsidRPr="004D5CFA">
        <w:rPr>
          <w:rFonts w:eastAsia="Times New Roman"/>
          <w:sz w:val="20"/>
          <w:szCs w:val="20"/>
          <w:lang w:bidi="fa-IR"/>
        </w:rPr>
        <w:fldChar w:fldCharType="begin"/>
      </w:r>
      <w:r w:rsidRPr="004D5CFA">
        <w:rPr>
          <w:rFonts w:eastAsia="Times New Roman"/>
          <w:sz w:val="20"/>
          <w:szCs w:val="20"/>
          <w:lang w:bidi="fa-IR"/>
        </w:rPr>
        <w:instrText xml:space="preserve"> QUOTE </w:instrText>
      </w:r>
      <w:r w:rsidR="00B23F50" w:rsidRPr="00B23F50">
        <w:rPr>
          <w:sz w:val="20"/>
          <w:szCs w:val="20"/>
        </w:rPr>
        <w:pict>
          <v:shape id="_x0000_i1030" type="#_x0000_t75" style="width:93.3pt;height:26.9pt" equationxml="&lt;">
            <v:imagedata r:id="rId15" o:title="" chromakey="white"/>
          </v:shape>
        </w:pict>
      </w:r>
      <w:r w:rsidRPr="004D5CFA">
        <w:rPr>
          <w:rFonts w:eastAsia="Times New Roman"/>
          <w:sz w:val="20"/>
          <w:szCs w:val="20"/>
          <w:lang w:bidi="fa-IR"/>
        </w:rPr>
        <w:instrText xml:space="preserve"> </w:instrText>
      </w:r>
      <w:r w:rsidR="00B23F50" w:rsidRPr="004D5CFA">
        <w:rPr>
          <w:rFonts w:eastAsia="Times New Roman"/>
          <w:sz w:val="20"/>
          <w:szCs w:val="20"/>
          <w:lang w:bidi="fa-IR"/>
        </w:rPr>
        <w:fldChar w:fldCharType="separate"/>
      </w:r>
      <w:r w:rsidR="00B23F50" w:rsidRPr="00B23F50">
        <w:rPr>
          <w:sz w:val="20"/>
          <w:szCs w:val="20"/>
        </w:rPr>
        <w:pict>
          <v:shape id="_x0000_i1031" type="#_x0000_t75" style="width:93.3pt;height:26.9pt" equationxml="&lt;">
            <v:imagedata r:id="rId15" o:title="" chromakey="white"/>
          </v:shape>
        </w:pict>
      </w:r>
      <w:r w:rsidR="00B23F50" w:rsidRPr="004D5CFA">
        <w:rPr>
          <w:rFonts w:eastAsia="Times New Roman"/>
          <w:sz w:val="20"/>
          <w:szCs w:val="20"/>
          <w:lang w:bidi="fa-IR"/>
        </w:rPr>
        <w:fldChar w:fldCharType="end"/>
      </w:r>
    </w:p>
    <w:p w:rsidR="008E623D" w:rsidRPr="004D5CFA" w:rsidRDefault="008E623D" w:rsidP="004D5CFA">
      <w:pPr>
        <w:tabs>
          <w:tab w:val="right" w:pos="810"/>
        </w:tabs>
        <w:snapToGrid w:val="0"/>
        <w:ind w:firstLine="425"/>
        <w:jc w:val="both"/>
        <w:rPr>
          <w:sz w:val="20"/>
          <w:szCs w:val="20"/>
          <w:lang w:bidi="fa-IR"/>
        </w:rPr>
      </w:pPr>
      <w:r w:rsidRPr="004D5CFA">
        <w:rPr>
          <w:sz w:val="20"/>
          <w:szCs w:val="20"/>
          <w:lang w:bidi="fa-IR"/>
        </w:rPr>
        <w:t>A= equivalent uniform of annual value</w:t>
      </w:r>
    </w:p>
    <w:p w:rsidR="008E623D" w:rsidRPr="004D5CFA" w:rsidRDefault="008E623D" w:rsidP="004D5CFA">
      <w:pPr>
        <w:tabs>
          <w:tab w:val="right" w:pos="810"/>
        </w:tabs>
        <w:snapToGrid w:val="0"/>
        <w:ind w:firstLine="425"/>
        <w:jc w:val="both"/>
        <w:rPr>
          <w:sz w:val="20"/>
          <w:szCs w:val="20"/>
          <w:lang w:bidi="fa-IR"/>
        </w:rPr>
      </w:pPr>
      <w:r w:rsidRPr="004D5CFA">
        <w:rPr>
          <w:sz w:val="20"/>
          <w:szCs w:val="20"/>
          <w:lang w:bidi="fa-IR"/>
        </w:rPr>
        <w:t>Depreciation expense includes 5% of the total cost of construction (</w:t>
      </w:r>
      <w:proofErr w:type="spellStart"/>
      <w:r w:rsidRPr="004D5CFA">
        <w:rPr>
          <w:sz w:val="20"/>
          <w:szCs w:val="20"/>
          <w:lang w:bidi="fa-IR"/>
        </w:rPr>
        <w:t>baghban</w:t>
      </w:r>
      <w:proofErr w:type="spellEnd"/>
      <w:r w:rsidRPr="004D5CFA">
        <w:rPr>
          <w:sz w:val="20"/>
          <w:szCs w:val="20"/>
          <w:lang w:bidi="fa-IR"/>
        </w:rPr>
        <w:t>,</w:t>
      </w:r>
      <w:r w:rsidR="00FE3101">
        <w:rPr>
          <w:rFonts w:hint="eastAsia"/>
          <w:sz w:val="20"/>
          <w:szCs w:val="20"/>
          <w:lang w:eastAsia="zh-CN" w:bidi="fa-IR"/>
        </w:rPr>
        <w:t xml:space="preserve"> </w:t>
      </w:r>
      <w:r w:rsidRPr="004D5CFA">
        <w:rPr>
          <w:sz w:val="20"/>
          <w:szCs w:val="20"/>
          <w:lang w:bidi="fa-IR"/>
        </w:rPr>
        <w:t>2011)</w:t>
      </w:r>
    </w:p>
    <w:p w:rsidR="008E623D" w:rsidRPr="004D5CFA" w:rsidRDefault="008E623D" w:rsidP="004D5CFA">
      <w:pPr>
        <w:tabs>
          <w:tab w:val="right" w:pos="810"/>
        </w:tabs>
        <w:snapToGrid w:val="0"/>
        <w:ind w:firstLine="425"/>
        <w:jc w:val="both"/>
        <w:rPr>
          <w:sz w:val="20"/>
          <w:szCs w:val="20"/>
          <w:lang w:eastAsia="zh-CN" w:bidi="fa-IR"/>
        </w:rPr>
      </w:pPr>
      <w:r w:rsidRPr="004D5CFA">
        <w:rPr>
          <w:sz w:val="20"/>
          <w:szCs w:val="20"/>
          <w:lang w:bidi="fa-IR"/>
        </w:rPr>
        <w:t>Total revenue includes total incomes minus total costs (DK, 1990)</w:t>
      </w:r>
      <w:r w:rsidR="00FE3101">
        <w:rPr>
          <w:rFonts w:hint="eastAsia"/>
          <w:sz w:val="20"/>
          <w:szCs w:val="20"/>
          <w:lang w:eastAsia="zh-CN" w:bidi="fa-IR"/>
        </w:rPr>
        <w:t xml:space="preserve">. </w:t>
      </w:r>
    </w:p>
    <w:p w:rsidR="008E623D" w:rsidRPr="004D5CFA" w:rsidRDefault="008E623D" w:rsidP="004D5CFA">
      <w:pPr>
        <w:tabs>
          <w:tab w:val="right" w:pos="810"/>
        </w:tabs>
        <w:snapToGrid w:val="0"/>
        <w:ind w:firstLine="425"/>
        <w:jc w:val="both"/>
        <w:rPr>
          <w:sz w:val="20"/>
          <w:szCs w:val="20"/>
          <w:lang w:bidi="fa-IR"/>
        </w:rPr>
        <w:sectPr w:rsidR="008E623D" w:rsidRPr="004D5CFA" w:rsidSect="00F305D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8E623D" w:rsidRPr="004D5CFA" w:rsidRDefault="008E623D" w:rsidP="004D5CFA">
      <w:pPr>
        <w:snapToGrid w:val="0"/>
        <w:jc w:val="center"/>
        <w:rPr>
          <w:rFonts w:eastAsia="Times New Roman"/>
          <w:sz w:val="20"/>
          <w:szCs w:val="20"/>
          <w:lang w:bidi="fa-IR"/>
        </w:rPr>
      </w:pPr>
      <w:r w:rsidRPr="004D5CFA">
        <w:rPr>
          <w:rFonts w:eastAsia="Times New Roman"/>
          <w:sz w:val="20"/>
          <w:szCs w:val="20"/>
          <w:lang w:bidi="fa-IR"/>
        </w:rPr>
        <w:lastRenderedPageBreak/>
        <w:t xml:space="preserve">Table 2: Average annual costs for greenhouse cucumber production in </w:t>
      </w:r>
      <w:proofErr w:type="spellStart"/>
      <w:r w:rsidRPr="004D5CFA">
        <w:rPr>
          <w:rFonts w:eastAsia="Times New Roman"/>
          <w:sz w:val="20"/>
          <w:szCs w:val="20"/>
          <w:lang w:bidi="fa-IR"/>
        </w:rPr>
        <w:t>Mahalat</w:t>
      </w:r>
      <w:proofErr w:type="spellEnd"/>
      <w:r w:rsidRPr="004D5CFA">
        <w:rPr>
          <w:rFonts w:eastAsia="Times New Roman"/>
          <w:sz w:val="20"/>
          <w:szCs w:val="20"/>
          <w:lang w:bidi="fa-IR"/>
        </w:rPr>
        <w:t xml:space="preserve"> Township instead of </w:t>
      </w:r>
      <w:smartTag w:uri="urn:schemas-microsoft-com:office:smarttags" w:element="metricconverter">
        <w:smartTagPr>
          <w:attr w:name="ProductID" w:val="1000 square meters"/>
        </w:smartTagPr>
        <w:r w:rsidRPr="004D5CFA">
          <w:rPr>
            <w:rFonts w:eastAsia="Times New Roman"/>
            <w:sz w:val="20"/>
            <w:szCs w:val="20"/>
            <w:lang w:bidi="fa-IR"/>
          </w:rPr>
          <w:t>1000 square meters</w:t>
        </w:r>
      </w:smartTag>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1"/>
        <w:gridCol w:w="1871"/>
        <w:gridCol w:w="1984"/>
      </w:tblGrid>
      <w:tr w:rsidR="008E623D" w:rsidRPr="004D5CFA" w:rsidTr="00FE3101">
        <w:trPr>
          <w:cantSplit/>
          <w:jc w:val="center"/>
        </w:trPr>
        <w:tc>
          <w:tcPr>
            <w:tcW w:w="2987" w:type="pct"/>
            <w:shd w:val="clear" w:color="000000" w:fill="DBEEF3"/>
            <w:noWrap/>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Costs (fixed) investment</w:t>
            </w:r>
          </w:p>
        </w:tc>
        <w:tc>
          <w:tcPr>
            <w:tcW w:w="977" w:type="pct"/>
            <w:shd w:val="clear" w:color="000000" w:fill="DBEEF3"/>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Greenhouses with feeding co2</w:t>
            </w:r>
          </w:p>
        </w:tc>
        <w:tc>
          <w:tcPr>
            <w:tcW w:w="1036" w:type="pct"/>
            <w:shd w:val="clear" w:color="000000" w:fill="DBEEF3"/>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Greenhouses without feeding co2</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opportunity cost of constructing greenhouse Building</w:t>
            </w:r>
          </w:p>
        </w:tc>
        <w:tc>
          <w:tcPr>
            <w:tcW w:w="977" w:type="pct"/>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20.505.992</w:t>
            </w:r>
          </w:p>
        </w:tc>
        <w:tc>
          <w:tcPr>
            <w:tcW w:w="1036" w:type="pct"/>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20.505.992</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opportunity cost of constructing installing co2 production machinery</w:t>
            </w:r>
          </w:p>
        </w:tc>
        <w:tc>
          <w:tcPr>
            <w:tcW w:w="977" w:type="pct"/>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1.197.600</w:t>
            </w:r>
          </w:p>
        </w:tc>
        <w:tc>
          <w:tcPr>
            <w:tcW w:w="1036" w:type="pct"/>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Opportunity cost of facilities and equipment</w:t>
            </w:r>
          </w:p>
        </w:tc>
        <w:tc>
          <w:tcPr>
            <w:tcW w:w="977" w:type="pct"/>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7.165.640</w:t>
            </w:r>
          </w:p>
        </w:tc>
        <w:tc>
          <w:tcPr>
            <w:tcW w:w="1036" w:type="pct"/>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6.866.645</w:t>
            </w:r>
          </w:p>
        </w:tc>
      </w:tr>
      <w:tr w:rsidR="008E623D" w:rsidRPr="004D5CFA" w:rsidTr="00FE3101">
        <w:trPr>
          <w:cantSplit/>
          <w:jc w:val="center"/>
        </w:trPr>
        <w:tc>
          <w:tcPr>
            <w:tcW w:w="2987" w:type="pct"/>
            <w:tcBorders>
              <w:bottom w:val="single" w:sz="4" w:space="0" w:color="auto"/>
            </w:tcBorders>
            <w:shd w:val="clear" w:color="auto" w:fill="auto"/>
            <w:noWrap/>
            <w:vAlign w:val="center"/>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Opportunity cost of other tools and machinery</w:t>
            </w:r>
          </w:p>
        </w:tc>
        <w:tc>
          <w:tcPr>
            <w:tcW w:w="977" w:type="pct"/>
            <w:tcBorders>
              <w:bottom w:val="single" w:sz="4" w:space="0" w:color="auto"/>
            </w:tcBorders>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679.320</w:t>
            </w:r>
          </w:p>
        </w:tc>
        <w:tc>
          <w:tcPr>
            <w:tcW w:w="1036" w:type="pct"/>
            <w:tcBorders>
              <w:bottom w:val="single" w:sz="4" w:space="0" w:color="auto"/>
            </w:tcBorders>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456.750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Opportunity cost of capital inputs</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29.548.552</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27.829.397</w:t>
            </w:r>
          </w:p>
        </w:tc>
      </w:tr>
      <w:tr w:rsidR="008E623D" w:rsidRPr="004D5CFA" w:rsidTr="00FE3101">
        <w:trPr>
          <w:cantSplit/>
          <w:jc w:val="center"/>
        </w:trPr>
        <w:tc>
          <w:tcPr>
            <w:tcW w:w="2987" w:type="pct"/>
            <w:shd w:val="clear" w:color="auto" w:fill="DBE5F1"/>
            <w:noWrap/>
            <w:vAlign w:val="center"/>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Current costs</w:t>
            </w:r>
          </w:p>
        </w:tc>
        <w:tc>
          <w:tcPr>
            <w:tcW w:w="977" w:type="pct"/>
            <w:shd w:val="clear" w:color="auto" w:fill="DBE5F1"/>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w:t>
            </w:r>
          </w:p>
        </w:tc>
        <w:tc>
          <w:tcPr>
            <w:tcW w:w="1036" w:type="pct"/>
            <w:shd w:val="clear" w:color="auto" w:fill="DBE5F1"/>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Personnel salary</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49.540.000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37.800.000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Poison</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1.308.566</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954.500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Fuel and energy</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28.560.000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16.600.000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Seed</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26.400.000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17.600.000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Fertilizer</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19.600.000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12.500.000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Maintenance</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4.590.000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4.410.000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Depreciation</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7.650.000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7.620.000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Total current costs</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137.648.000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97.484.900</w:t>
            </w:r>
          </w:p>
        </w:tc>
      </w:tr>
      <w:tr w:rsidR="008E623D" w:rsidRPr="004D5CFA" w:rsidTr="00FE3101">
        <w:trPr>
          <w:cantSplit/>
          <w:jc w:val="center"/>
        </w:trPr>
        <w:tc>
          <w:tcPr>
            <w:tcW w:w="2987" w:type="pct"/>
            <w:shd w:val="clear" w:color="auto" w:fill="DBE5F1"/>
            <w:noWrap/>
            <w:vAlign w:val="center"/>
          </w:tcPr>
          <w:p w:rsidR="008E623D" w:rsidRPr="004D5CFA" w:rsidRDefault="008E623D" w:rsidP="004D5CFA">
            <w:pPr>
              <w:snapToGrid w:val="0"/>
              <w:jc w:val="center"/>
              <w:rPr>
                <w:color w:val="000000"/>
                <w:sz w:val="20"/>
                <w:szCs w:val="20"/>
              </w:rPr>
            </w:pPr>
            <w:r w:rsidRPr="004D5CFA">
              <w:rPr>
                <w:color w:val="000000"/>
                <w:sz w:val="20"/>
                <w:szCs w:val="20"/>
              </w:rPr>
              <w:t>The total annual production costs</w:t>
            </w:r>
          </w:p>
        </w:tc>
        <w:tc>
          <w:tcPr>
            <w:tcW w:w="977" w:type="pct"/>
            <w:shd w:val="clear" w:color="auto" w:fill="DBE5F1"/>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179.437.118</w:t>
            </w:r>
          </w:p>
        </w:tc>
        <w:tc>
          <w:tcPr>
            <w:tcW w:w="1036" w:type="pct"/>
            <w:shd w:val="clear" w:color="auto" w:fill="DBE5F1"/>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137.344.297</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average cucumber production (kg)</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53.000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40.000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Total cucumber prices (USD / kg)</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3.25</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3.370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The average sales price</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6.500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6.000</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The average annual income</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344.500.000</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240.000.000</w:t>
            </w:r>
          </w:p>
        </w:tc>
      </w:tr>
      <w:tr w:rsidR="008E623D" w:rsidRPr="004D5CFA" w:rsidTr="00FE3101">
        <w:trPr>
          <w:cantSplit/>
          <w:jc w:val="center"/>
        </w:trPr>
        <w:tc>
          <w:tcPr>
            <w:tcW w:w="2987" w:type="pct"/>
            <w:shd w:val="clear" w:color="auto" w:fill="DBE5F1"/>
            <w:noWrap/>
            <w:vAlign w:val="center"/>
          </w:tcPr>
          <w:p w:rsidR="008E623D" w:rsidRPr="004D5CFA" w:rsidRDefault="008E623D" w:rsidP="004D5CFA">
            <w:pPr>
              <w:snapToGrid w:val="0"/>
              <w:jc w:val="center"/>
              <w:rPr>
                <w:color w:val="000000"/>
                <w:sz w:val="20"/>
                <w:szCs w:val="20"/>
              </w:rPr>
            </w:pPr>
            <w:r w:rsidRPr="004D5CFA">
              <w:rPr>
                <w:color w:val="000000"/>
                <w:sz w:val="20"/>
                <w:szCs w:val="20"/>
              </w:rPr>
              <w:t>greenhouse net profit</w:t>
            </w:r>
          </w:p>
        </w:tc>
        <w:tc>
          <w:tcPr>
            <w:tcW w:w="977" w:type="pct"/>
            <w:shd w:val="clear" w:color="auto" w:fill="DBE5F1"/>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165.062.882</w:t>
            </w:r>
          </w:p>
        </w:tc>
        <w:tc>
          <w:tcPr>
            <w:tcW w:w="1036" w:type="pct"/>
            <w:shd w:val="clear" w:color="auto" w:fill="DBE5F1"/>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102.655.703</w:t>
            </w:r>
          </w:p>
        </w:tc>
      </w:tr>
      <w:tr w:rsidR="008E623D" w:rsidRPr="004D5CFA" w:rsidTr="00FE3101">
        <w:trPr>
          <w:cantSplit/>
          <w:jc w:val="center"/>
        </w:trPr>
        <w:tc>
          <w:tcPr>
            <w:tcW w:w="2987" w:type="pct"/>
            <w:shd w:val="clear" w:color="auto" w:fill="auto"/>
            <w:noWrap/>
            <w:vAlign w:val="center"/>
          </w:tcPr>
          <w:p w:rsidR="008E623D" w:rsidRPr="004D5CFA" w:rsidRDefault="008E623D" w:rsidP="004D5CFA">
            <w:pPr>
              <w:snapToGrid w:val="0"/>
              <w:jc w:val="center"/>
              <w:rPr>
                <w:color w:val="000000"/>
                <w:sz w:val="20"/>
                <w:szCs w:val="20"/>
              </w:rPr>
            </w:pPr>
            <w:r w:rsidRPr="004D5CFA">
              <w:rPr>
                <w:color w:val="000000"/>
                <w:sz w:val="20"/>
                <w:szCs w:val="20"/>
              </w:rPr>
              <w:t>Cost of capital inputs</w:t>
            </w:r>
          </w:p>
        </w:tc>
        <w:tc>
          <w:tcPr>
            <w:tcW w:w="977"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41.788.552</w:t>
            </w:r>
          </w:p>
        </w:tc>
        <w:tc>
          <w:tcPr>
            <w:tcW w:w="1036" w:type="pct"/>
            <w:shd w:val="clear" w:color="auto" w:fill="auto"/>
          </w:tcPr>
          <w:p w:rsidR="008E623D" w:rsidRPr="004D5CFA" w:rsidRDefault="008E623D" w:rsidP="004D5CFA">
            <w:pPr>
              <w:snapToGrid w:val="0"/>
              <w:jc w:val="center"/>
              <w:rPr>
                <w:color w:val="000000"/>
                <w:sz w:val="20"/>
                <w:szCs w:val="20"/>
                <w:lang w:bidi="fa-IR"/>
              </w:rPr>
            </w:pPr>
            <w:r w:rsidRPr="004D5CFA">
              <w:rPr>
                <w:color w:val="000000"/>
                <w:sz w:val="20"/>
                <w:szCs w:val="20"/>
                <w:lang w:bidi="fa-IR"/>
              </w:rPr>
              <w:t>39.859.397</w:t>
            </w:r>
          </w:p>
        </w:tc>
      </w:tr>
    </w:tbl>
    <w:p w:rsidR="00B96C4E" w:rsidRDefault="008E623D" w:rsidP="004D5CFA">
      <w:pPr>
        <w:pStyle w:val="Subtitle"/>
        <w:bidi w:val="0"/>
        <w:snapToGrid w:val="0"/>
        <w:ind w:left="0" w:firstLine="425"/>
        <w:jc w:val="both"/>
        <w:rPr>
          <w:rStyle w:val="Strong"/>
          <w:rFonts w:eastAsia="Calibri" w:cs="Times New Roman"/>
          <w:b w:val="0"/>
          <w:bCs w:val="0"/>
          <w:sz w:val="20"/>
          <w:szCs w:val="20"/>
          <w:lang w:bidi="fa-IR"/>
        </w:rPr>
      </w:pPr>
      <w:r w:rsidRPr="004D5CFA">
        <w:rPr>
          <w:rStyle w:val="Strong"/>
          <w:rFonts w:eastAsia="Calibri" w:cs="Times New Roman"/>
          <w:b w:val="0"/>
          <w:bCs w:val="0"/>
          <w:sz w:val="20"/>
          <w:szCs w:val="20"/>
          <w:lang w:bidi="fa-IR"/>
        </w:rPr>
        <w:t>Source: Research findings</w:t>
      </w:r>
    </w:p>
    <w:p w:rsidR="008E623D" w:rsidRDefault="008E623D" w:rsidP="00FE3101">
      <w:pPr>
        <w:snapToGrid w:val="0"/>
        <w:jc w:val="both"/>
        <w:rPr>
          <w:sz w:val="20"/>
          <w:szCs w:val="20"/>
          <w:lang w:eastAsia="zh-CN"/>
        </w:rPr>
      </w:pPr>
    </w:p>
    <w:p w:rsidR="00FE3101" w:rsidRPr="004D5CFA" w:rsidRDefault="00FE3101" w:rsidP="004D5CFA">
      <w:pPr>
        <w:snapToGrid w:val="0"/>
        <w:ind w:firstLine="425"/>
        <w:jc w:val="both"/>
        <w:rPr>
          <w:sz w:val="20"/>
          <w:szCs w:val="20"/>
          <w:lang w:eastAsia="zh-CN" w:bidi="fa-IR"/>
        </w:rPr>
        <w:sectPr w:rsidR="00FE3101" w:rsidRPr="004D5CFA" w:rsidSect="00F305D6">
          <w:footnotePr>
            <w:pos w:val="beneathText"/>
          </w:footnotePr>
          <w:type w:val="continuous"/>
          <w:pgSz w:w="12240" w:h="15840" w:code="1"/>
          <w:pgMar w:top="1440" w:right="1440" w:bottom="1440" w:left="1440" w:header="720" w:footer="720" w:gutter="0"/>
          <w:cols w:space="720"/>
          <w:docGrid w:linePitch="360"/>
        </w:sectPr>
      </w:pPr>
    </w:p>
    <w:p w:rsidR="00B96C4E" w:rsidRDefault="008E623D" w:rsidP="004D5CFA">
      <w:pPr>
        <w:snapToGrid w:val="0"/>
        <w:ind w:firstLine="425"/>
        <w:jc w:val="both"/>
        <w:rPr>
          <w:sz w:val="20"/>
          <w:szCs w:val="20"/>
        </w:rPr>
      </w:pPr>
      <w:r w:rsidRPr="004D5CFA">
        <w:rPr>
          <w:sz w:val="20"/>
          <w:szCs w:val="20"/>
        </w:rPr>
        <w:lastRenderedPageBreak/>
        <w:t xml:space="preserve">The total cost of per kilo of cucumbers that is obtained by dividing the total costs on performance show beneficiaries who used the gas co2, the total cost of per kilogram of their cucumbers is 3/250 Rails and beneficiaries who did not use the gas co2 total cost of per kilogram of their cucumbers is 3/370Rails, in other words despite of increasing 31% in cucumber production costs using gas co2, but due to significant promotion of production performance, total cost of greenhouse cucumbers in the first group is 120 Rails less than second </w:t>
      </w:r>
      <w:proofErr w:type="spellStart"/>
      <w:r w:rsidRPr="004D5CFA">
        <w:rPr>
          <w:sz w:val="20"/>
          <w:szCs w:val="20"/>
        </w:rPr>
        <w:t>group.</w:t>
      </w:r>
      <w:r w:rsidRPr="004D5CFA">
        <w:rPr>
          <w:sz w:val="20"/>
          <w:szCs w:val="20"/>
          <w:lang w:bidi="fa-IR"/>
        </w:rPr>
        <w:t>Also</w:t>
      </w:r>
      <w:proofErr w:type="spellEnd"/>
      <w:r w:rsidRPr="004D5CFA">
        <w:rPr>
          <w:sz w:val="20"/>
          <w:szCs w:val="20"/>
          <w:lang w:bidi="fa-IR"/>
        </w:rPr>
        <w:t xml:space="preserve"> beneficiaries who used gas co</w:t>
      </w:r>
      <w:r w:rsidRPr="004D5CFA">
        <w:rPr>
          <w:sz w:val="20"/>
          <w:szCs w:val="20"/>
          <w:vertAlign w:val="subscript"/>
          <w:lang w:bidi="fa-IR"/>
        </w:rPr>
        <w:t>2</w:t>
      </w:r>
      <w:r w:rsidRPr="004D5CFA">
        <w:rPr>
          <w:sz w:val="20"/>
          <w:szCs w:val="20"/>
          <w:lang w:bidi="fa-IR"/>
        </w:rPr>
        <w:t xml:space="preserve"> instead of per </w:t>
      </w:r>
      <w:smartTag w:uri="urn:schemas-microsoft-com:office:smarttags" w:element="metricconverter">
        <w:smartTagPr>
          <w:attr w:name="ProductID" w:val="1000 square meters"/>
        </w:smartTagPr>
        <w:r w:rsidRPr="004D5CFA">
          <w:rPr>
            <w:sz w:val="20"/>
            <w:szCs w:val="20"/>
            <w:lang w:bidi="fa-IR"/>
          </w:rPr>
          <w:t>1000 square meters</w:t>
        </w:r>
      </w:smartTag>
      <w:r w:rsidRPr="004D5CFA">
        <w:rPr>
          <w:sz w:val="20"/>
          <w:szCs w:val="20"/>
          <w:lang w:bidi="fa-IR"/>
        </w:rPr>
        <w:t>, 13 thousands greenhouse cucumber, more than the second groups were harvested.</w:t>
      </w:r>
    </w:p>
    <w:p w:rsidR="00B96C4E" w:rsidRDefault="008E623D" w:rsidP="004D5CFA">
      <w:pPr>
        <w:snapToGrid w:val="0"/>
        <w:ind w:firstLine="425"/>
        <w:jc w:val="both"/>
        <w:rPr>
          <w:rStyle w:val="Strong"/>
          <w:rFonts w:eastAsia="Times New Roman" w:cs="Times New Roman"/>
          <w:b w:val="0"/>
          <w:bCs w:val="0"/>
          <w:sz w:val="20"/>
          <w:szCs w:val="20"/>
          <w:lang w:bidi="fa-IR"/>
        </w:rPr>
      </w:pPr>
      <w:r w:rsidRPr="004D5CFA">
        <w:rPr>
          <w:rStyle w:val="Strong"/>
          <w:rFonts w:eastAsia="Times New Roman" w:cs="Times New Roman"/>
          <w:b w:val="0"/>
          <w:bCs w:val="0"/>
          <w:sz w:val="20"/>
          <w:szCs w:val="20"/>
          <w:lang w:bidi="fa-IR"/>
        </w:rPr>
        <w:t xml:space="preserve">Considering that the net profit of the greenhouse owners that have used gas co2 in feeding cucumbers annually on average instead of per 1000 square 62.407.179 Rails (61 percent),have been more of the other beneficiaries. </w:t>
      </w:r>
      <w:proofErr w:type="gramStart"/>
      <w:r w:rsidRPr="004D5CFA">
        <w:rPr>
          <w:rStyle w:val="Strong"/>
          <w:rFonts w:eastAsia="Times New Roman" w:cs="Times New Roman"/>
          <w:b w:val="0"/>
          <w:bCs w:val="0"/>
          <w:sz w:val="20"/>
          <w:szCs w:val="20"/>
          <w:lang w:bidi="fa-IR"/>
        </w:rPr>
        <w:t xml:space="preserve">Therefore, given that the average size of cucumber production greenhouses in </w:t>
      </w:r>
      <w:proofErr w:type="spellStart"/>
      <w:r w:rsidRPr="004D5CFA">
        <w:rPr>
          <w:rStyle w:val="Strong"/>
          <w:rFonts w:eastAsia="Times New Roman" w:cs="Times New Roman"/>
          <w:b w:val="0"/>
          <w:bCs w:val="0"/>
          <w:sz w:val="20"/>
          <w:szCs w:val="20"/>
          <w:lang w:bidi="fa-IR"/>
        </w:rPr>
        <w:t>Mahalat</w:t>
      </w:r>
      <w:proofErr w:type="spellEnd"/>
      <w:r w:rsidRPr="004D5CFA">
        <w:rPr>
          <w:rStyle w:val="Strong"/>
          <w:rFonts w:eastAsia="Times New Roman" w:cs="Times New Roman"/>
          <w:b w:val="0"/>
          <w:bCs w:val="0"/>
          <w:sz w:val="20"/>
          <w:szCs w:val="20"/>
          <w:lang w:bidi="fa-IR"/>
        </w:rPr>
        <w:t xml:space="preserve"> township</w:t>
      </w:r>
      <w:proofErr w:type="gramEnd"/>
      <w:r w:rsidRPr="004D5CFA">
        <w:rPr>
          <w:rStyle w:val="Strong"/>
          <w:rFonts w:eastAsia="Times New Roman" w:cs="Times New Roman"/>
          <w:b w:val="0"/>
          <w:bCs w:val="0"/>
          <w:sz w:val="20"/>
          <w:szCs w:val="20"/>
          <w:lang w:bidi="fa-IR"/>
        </w:rPr>
        <w:t xml:space="preserve"> is </w:t>
      </w:r>
      <w:smartTag w:uri="urn:schemas-microsoft-com:office:smarttags" w:element="metricconverter">
        <w:smartTagPr>
          <w:attr w:name="ProductID" w:val="3000 square meters"/>
        </w:smartTagPr>
        <w:r w:rsidRPr="004D5CFA">
          <w:rPr>
            <w:rStyle w:val="Strong"/>
            <w:rFonts w:eastAsia="Times New Roman" w:cs="Times New Roman"/>
            <w:b w:val="0"/>
            <w:bCs w:val="0"/>
            <w:sz w:val="20"/>
            <w:szCs w:val="20"/>
            <w:lang w:bidi="fa-IR"/>
          </w:rPr>
          <w:t xml:space="preserve">3000 </w:t>
        </w:r>
        <w:r w:rsidRPr="004D5CFA">
          <w:rPr>
            <w:sz w:val="20"/>
            <w:szCs w:val="20"/>
            <w:lang w:bidi="fa-IR"/>
          </w:rPr>
          <w:t>square meters</w:t>
        </w:r>
      </w:smartTag>
      <w:r w:rsidRPr="004D5CFA">
        <w:rPr>
          <w:rStyle w:val="Strong"/>
          <w:rFonts w:eastAsia="Times New Roman" w:cs="Times New Roman"/>
          <w:b w:val="0"/>
          <w:bCs w:val="0"/>
          <w:sz w:val="20"/>
          <w:szCs w:val="20"/>
          <w:lang w:bidi="fa-IR"/>
        </w:rPr>
        <w:t xml:space="preserve">, it is clear that using gas co2 in cucumbers feeding, is increased net profit of farmers on the average 187.221.179 </w:t>
      </w:r>
      <w:proofErr w:type="spellStart"/>
      <w:r w:rsidRPr="004D5CFA">
        <w:rPr>
          <w:rStyle w:val="Strong"/>
          <w:rFonts w:eastAsia="Times New Roman" w:cs="Times New Roman"/>
          <w:b w:val="0"/>
          <w:bCs w:val="0"/>
          <w:sz w:val="20"/>
          <w:szCs w:val="20"/>
          <w:lang w:bidi="fa-IR"/>
        </w:rPr>
        <w:t>Rials</w:t>
      </w:r>
      <w:proofErr w:type="spellEnd"/>
      <w:r w:rsidRPr="004D5CFA">
        <w:rPr>
          <w:rStyle w:val="Strong"/>
          <w:rFonts w:eastAsia="Times New Roman" w:cs="Times New Roman"/>
          <w:b w:val="0"/>
          <w:bCs w:val="0"/>
          <w:sz w:val="20"/>
          <w:szCs w:val="20"/>
          <w:lang w:bidi="fa-IR"/>
        </w:rPr>
        <w:t>.</w:t>
      </w:r>
    </w:p>
    <w:p w:rsidR="00B96C4E" w:rsidRDefault="008E623D" w:rsidP="004D5CFA">
      <w:pPr>
        <w:snapToGrid w:val="0"/>
        <w:jc w:val="both"/>
        <w:rPr>
          <w:rStyle w:val="Strong"/>
          <w:rFonts w:eastAsia="Times New Roman" w:cs="Times New Roman"/>
          <w:sz w:val="20"/>
          <w:szCs w:val="20"/>
        </w:rPr>
      </w:pPr>
      <w:r w:rsidRPr="004D5CFA">
        <w:rPr>
          <w:rStyle w:val="Strong"/>
          <w:rFonts w:eastAsia="Times New Roman" w:cs="Times New Roman"/>
          <w:sz w:val="20"/>
          <w:szCs w:val="20"/>
        </w:rPr>
        <w:t>Suggestions:</w:t>
      </w:r>
    </w:p>
    <w:p w:rsidR="00B96C4E" w:rsidRDefault="008E623D" w:rsidP="004D5CFA">
      <w:pPr>
        <w:snapToGrid w:val="0"/>
        <w:ind w:firstLine="425"/>
        <w:jc w:val="both"/>
        <w:rPr>
          <w:rStyle w:val="Strong"/>
          <w:rFonts w:eastAsiaTheme="minorEastAsia" w:cs="Times New Roman"/>
          <w:b w:val="0"/>
          <w:bCs w:val="0"/>
          <w:sz w:val="20"/>
          <w:szCs w:val="20"/>
          <w:lang w:eastAsia="zh-CN"/>
        </w:rPr>
      </w:pPr>
      <w:r w:rsidRPr="004D5CFA">
        <w:rPr>
          <w:rStyle w:val="Strong"/>
          <w:rFonts w:eastAsia="Times New Roman" w:cs="Times New Roman"/>
          <w:b w:val="0"/>
          <w:bCs w:val="0"/>
          <w:sz w:val="20"/>
          <w:szCs w:val="20"/>
        </w:rPr>
        <w:t xml:space="preserve">Given that the findings research indicate that operation of the    greenhouse cucumber production in greenhouses which is used gas co2 in their feeding, on the average is 26% more than other beneficiaries, </w:t>
      </w:r>
      <w:r w:rsidRPr="004D5CFA">
        <w:rPr>
          <w:rStyle w:val="Strong"/>
          <w:rFonts w:eastAsia="Times New Roman" w:cs="Times New Roman"/>
          <w:b w:val="0"/>
          <w:bCs w:val="0"/>
          <w:sz w:val="20"/>
          <w:szCs w:val="20"/>
        </w:rPr>
        <w:lastRenderedPageBreak/>
        <w:t>so recommend to officials of agriculture organizations in provinces to celebrate training classes and extension courses and familiar greenhouse owners from benefits of co2 gas in cucumber production so that provide the way of performance improvement of existing resources and assets.</w:t>
      </w:r>
    </w:p>
    <w:p w:rsidR="00A810AA" w:rsidRPr="00A810AA" w:rsidRDefault="00A810AA" w:rsidP="004D5CFA">
      <w:pPr>
        <w:snapToGrid w:val="0"/>
        <w:ind w:firstLine="425"/>
        <w:jc w:val="both"/>
        <w:rPr>
          <w:rStyle w:val="Strong"/>
          <w:rFonts w:eastAsiaTheme="minorEastAsia" w:cs="Times New Roman"/>
          <w:b w:val="0"/>
          <w:bCs w:val="0"/>
          <w:sz w:val="20"/>
          <w:szCs w:val="20"/>
          <w:lang w:eastAsia="zh-CN"/>
        </w:rPr>
      </w:pPr>
    </w:p>
    <w:p w:rsidR="00A810AA" w:rsidRDefault="008E623D" w:rsidP="004D5CFA">
      <w:pPr>
        <w:snapToGrid w:val="0"/>
        <w:jc w:val="both"/>
        <w:rPr>
          <w:rFonts w:eastAsia="Times New Roman"/>
          <w:b/>
          <w:bCs/>
          <w:sz w:val="20"/>
          <w:szCs w:val="20"/>
        </w:rPr>
      </w:pPr>
      <w:r w:rsidRPr="004D5CFA">
        <w:rPr>
          <w:rFonts w:eastAsia="Times New Roman"/>
          <w:b/>
          <w:bCs/>
          <w:sz w:val="20"/>
          <w:szCs w:val="20"/>
        </w:rPr>
        <w:t>References:</w:t>
      </w:r>
    </w:p>
    <w:p w:rsidR="00A810AA" w:rsidRPr="004D5CFA" w:rsidRDefault="00A810AA" w:rsidP="00A810AA">
      <w:pPr>
        <w:pStyle w:val="ListParagraph"/>
        <w:numPr>
          <w:ilvl w:val="0"/>
          <w:numId w:val="26"/>
        </w:numPr>
        <w:snapToGrid w:val="0"/>
        <w:spacing w:after="0" w:line="240" w:lineRule="auto"/>
        <w:ind w:left="426"/>
        <w:jc w:val="both"/>
        <w:rPr>
          <w:rFonts w:ascii="Times New Roman" w:eastAsia="Times New Roman" w:hAnsi="Times New Roman" w:cs="Times New Roman"/>
          <w:sz w:val="20"/>
          <w:szCs w:val="20"/>
        </w:rPr>
      </w:pPr>
      <w:proofErr w:type="spellStart"/>
      <w:r w:rsidRPr="004D5CFA">
        <w:rPr>
          <w:rFonts w:ascii="Times New Roman" w:eastAsia="Times New Roman" w:hAnsi="Times New Roman" w:cs="Times New Roman"/>
          <w:sz w:val="20"/>
          <w:szCs w:val="20"/>
        </w:rPr>
        <w:t>P</w:t>
      </w:r>
      <w:r w:rsidR="008E623D" w:rsidRPr="004D5CFA">
        <w:rPr>
          <w:rFonts w:ascii="Times New Roman" w:eastAsia="Times New Roman" w:hAnsi="Times New Roman" w:cs="Times New Roman"/>
          <w:sz w:val="20"/>
          <w:szCs w:val="20"/>
        </w:rPr>
        <w:t>awlou</w:t>
      </w:r>
      <w:proofErr w:type="spellEnd"/>
      <w:r w:rsidR="008E623D" w:rsidRPr="004D5CFA">
        <w:rPr>
          <w:rFonts w:ascii="Times New Roman" w:eastAsia="Times New Roman" w:hAnsi="Times New Roman" w:cs="Times New Roman"/>
          <w:sz w:val="20"/>
          <w:szCs w:val="20"/>
        </w:rPr>
        <w:t>, Nelson. 1995. Greenhouse management. Translated by publications of Tehran Parks and Green Space. First Edition, Volume II, p 30 to 90</w:t>
      </w:r>
    </w:p>
    <w:p w:rsidR="00A810AA" w:rsidRPr="004D5CFA" w:rsidRDefault="00A810AA" w:rsidP="00A810AA">
      <w:pPr>
        <w:pStyle w:val="ListParagraph"/>
        <w:numPr>
          <w:ilvl w:val="0"/>
          <w:numId w:val="26"/>
        </w:numPr>
        <w:snapToGrid w:val="0"/>
        <w:spacing w:after="0" w:line="240" w:lineRule="auto"/>
        <w:ind w:left="426"/>
        <w:jc w:val="both"/>
        <w:rPr>
          <w:rFonts w:ascii="Times New Roman" w:eastAsia="Times New Roman" w:hAnsi="Times New Roman" w:cs="Times New Roman"/>
          <w:sz w:val="20"/>
          <w:szCs w:val="20"/>
        </w:rPr>
      </w:pPr>
      <w:proofErr w:type="spellStart"/>
      <w:r w:rsidRPr="004D5CFA">
        <w:rPr>
          <w:rFonts w:ascii="Times New Roman" w:eastAsia="Times New Roman" w:hAnsi="Times New Roman" w:cs="Times New Roman"/>
          <w:sz w:val="20"/>
          <w:szCs w:val="20"/>
        </w:rPr>
        <w:t>K</w:t>
      </w:r>
      <w:r w:rsidR="008E623D" w:rsidRPr="004D5CFA">
        <w:rPr>
          <w:rFonts w:ascii="Times New Roman" w:eastAsia="Times New Roman" w:hAnsi="Times New Roman" w:cs="Times New Roman"/>
          <w:sz w:val="20"/>
          <w:szCs w:val="20"/>
        </w:rPr>
        <w:t>hoshkhoi</w:t>
      </w:r>
      <w:proofErr w:type="spellEnd"/>
      <w:r w:rsidR="008E623D" w:rsidRPr="004D5CFA">
        <w:rPr>
          <w:rFonts w:ascii="Times New Roman" w:eastAsia="Times New Roman" w:hAnsi="Times New Roman" w:cs="Times New Roman"/>
          <w:sz w:val="20"/>
          <w:szCs w:val="20"/>
        </w:rPr>
        <w:t xml:space="preserve">, </w:t>
      </w:r>
      <w:proofErr w:type="spellStart"/>
      <w:r w:rsidR="008E623D" w:rsidRPr="004D5CFA">
        <w:rPr>
          <w:rFonts w:ascii="Times New Roman" w:eastAsia="Times New Roman" w:hAnsi="Times New Roman" w:cs="Times New Roman"/>
          <w:sz w:val="20"/>
          <w:szCs w:val="20"/>
        </w:rPr>
        <w:t>Morteza</w:t>
      </w:r>
      <w:proofErr w:type="spellEnd"/>
      <w:r w:rsidR="008E623D" w:rsidRPr="004D5CFA">
        <w:rPr>
          <w:rFonts w:ascii="Times New Roman" w:eastAsia="Times New Roman" w:hAnsi="Times New Roman" w:cs="Times New Roman"/>
          <w:sz w:val="20"/>
          <w:szCs w:val="20"/>
        </w:rPr>
        <w:t xml:space="preserve">, </w:t>
      </w:r>
      <w:proofErr w:type="spellStart"/>
      <w:r w:rsidR="008E623D" w:rsidRPr="004D5CFA">
        <w:rPr>
          <w:rFonts w:ascii="Times New Roman" w:eastAsia="Times New Roman" w:hAnsi="Times New Roman" w:cs="Times New Roman"/>
          <w:sz w:val="20"/>
          <w:szCs w:val="20"/>
        </w:rPr>
        <w:t>Bijan</w:t>
      </w:r>
      <w:proofErr w:type="spellEnd"/>
      <w:r w:rsidR="008E623D" w:rsidRPr="004D5CFA">
        <w:rPr>
          <w:rFonts w:ascii="Times New Roman" w:eastAsia="Times New Roman" w:hAnsi="Times New Roman" w:cs="Times New Roman"/>
          <w:sz w:val="20"/>
          <w:szCs w:val="20"/>
        </w:rPr>
        <w:t xml:space="preserve"> </w:t>
      </w:r>
      <w:proofErr w:type="spellStart"/>
      <w:r w:rsidR="008E623D" w:rsidRPr="004D5CFA">
        <w:rPr>
          <w:rFonts w:ascii="Times New Roman" w:eastAsia="Times New Roman" w:hAnsi="Times New Roman" w:cs="Times New Roman"/>
          <w:sz w:val="20"/>
          <w:szCs w:val="20"/>
        </w:rPr>
        <w:t>Sheibani</w:t>
      </w:r>
      <w:proofErr w:type="spellEnd"/>
      <w:r w:rsidR="008E623D" w:rsidRPr="004D5CFA">
        <w:rPr>
          <w:rFonts w:ascii="Times New Roman" w:eastAsia="Times New Roman" w:hAnsi="Times New Roman" w:cs="Times New Roman"/>
          <w:sz w:val="20"/>
          <w:szCs w:val="20"/>
        </w:rPr>
        <w:t xml:space="preserve">, </w:t>
      </w:r>
      <w:proofErr w:type="spellStart"/>
      <w:r w:rsidR="008E623D" w:rsidRPr="004D5CFA">
        <w:rPr>
          <w:rFonts w:ascii="Times New Roman" w:eastAsia="Times New Roman" w:hAnsi="Times New Roman" w:cs="Times New Roman"/>
          <w:sz w:val="20"/>
          <w:szCs w:val="20"/>
        </w:rPr>
        <w:t>Iraj</w:t>
      </w:r>
      <w:proofErr w:type="spellEnd"/>
      <w:r w:rsidR="008E623D" w:rsidRPr="004D5CFA">
        <w:rPr>
          <w:rFonts w:ascii="Times New Roman" w:eastAsia="Times New Roman" w:hAnsi="Times New Roman" w:cs="Times New Roman"/>
          <w:sz w:val="20"/>
          <w:szCs w:val="20"/>
        </w:rPr>
        <w:t xml:space="preserve"> </w:t>
      </w:r>
      <w:proofErr w:type="spellStart"/>
      <w:r w:rsidR="008E623D" w:rsidRPr="004D5CFA">
        <w:rPr>
          <w:rFonts w:ascii="Times New Roman" w:eastAsia="Times New Roman" w:hAnsi="Times New Roman" w:cs="Times New Roman"/>
          <w:sz w:val="20"/>
          <w:szCs w:val="20"/>
        </w:rPr>
        <w:t>Rohani</w:t>
      </w:r>
      <w:proofErr w:type="spellEnd"/>
      <w:r w:rsidR="008E623D" w:rsidRPr="004D5CFA">
        <w:rPr>
          <w:rFonts w:ascii="Times New Roman" w:eastAsia="Times New Roman" w:hAnsi="Times New Roman" w:cs="Times New Roman"/>
          <w:sz w:val="20"/>
          <w:szCs w:val="20"/>
        </w:rPr>
        <w:t>,</w:t>
      </w:r>
      <w:r w:rsidR="00FE3101">
        <w:rPr>
          <w:rFonts w:ascii="Times New Roman" w:eastAsiaTheme="minorEastAsia" w:hAnsi="Times New Roman" w:cs="Times New Roman" w:hint="eastAsia"/>
          <w:sz w:val="20"/>
          <w:szCs w:val="20"/>
          <w:lang w:eastAsia="zh-CN"/>
        </w:rPr>
        <w:t xml:space="preserve"> </w:t>
      </w:r>
      <w:proofErr w:type="spellStart"/>
      <w:r w:rsidR="008E623D" w:rsidRPr="004D5CFA">
        <w:rPr>
          <w:rFonts w:ascii="Times New Roman" w:eastAsia="Times New Roman" w:hAnsi="Times New Roman" w:cs="Times New Roman"/>
          <w:sz w:val="20"/>
          <w:szCs w:val="20"/>
        </w:rPr>
        <w:t>Enayatollah</w:t>
      </w:r>
      <w:proofErr w:type="spellEnd"/>
      <w:r w:rsidR="008E623D" w:rsidRPr="004D5CFA">
        <w:rPr>
          <w:rFonts w:ascii="Times New Roman" w:eastAsia="Times New Roman" w:hAnsi="Times New Roman" w:cs="Times New Roman"/>
          <w:sz w:val="20"/>
          <w:szCs w:val="20"/>
        </w:rPr>
        <w:t xml:space="preserve"> Tafazzoli.2000. Principles of Horticulture. Sixth edition, Shiraz University Press</w:t>
      </w:r>
      <w:r w:rsidR="00FE3101">
        <w:rPr>
          <w:rFonts w:ascii="Times New Roman" w:eastAsiaTheme="minorEastAsia" w:hAnsi="Times New Roman" w:cs="Times New Roman" w:hint="eastAsia"/>
          <w:sz w:val="20"/>
          <w:szCs w:val="20"/>
          <w:lang w:eastAsia="zh-CN"/>
        </w:rPr>
        <w:t>.</w:t>
      </w:r>
    </w:p>
    <w:p w:rsidR="00A810AA" w:rsidRPr="004D5CFA" w:rsidRDefault="00A810AA" w:rsidP="00A810AA">
      <w:pPr>
        <w:pStyle w:val="ListParagraph"/>
        <w:numPr>
          <w:ilvl w:val="0"/>
          <w:numId w:val="26"/>
        </w:numPr>
        <w:snapToGrid w:val="0"/>
        <w:spacing w:after="0" w:line="240" w:lineRule="auto"/>
        <w:ind w:left="426"/>
        <w:jc w:val="both"/>
        <w:rPr>
          <w:rFonts w:ascii="Times New Roman" w:eastAsia="Times New Roman" w:hAnsi="Times New Roman" w:cs="Times New Roman"/>
          <w:sz w:val="20"/>
          <w:szCs w:val="20"/>
        </w:rPr>
      </w:pPr>
      <w:proofErr w:type="spellStart"/>
      <w:r w:rsidRPr="004D5CFA">
        <w:rPr>
          <w:rFonts w:ascii="Times New Roman" w:eastAsia="Times New Roman" w:hAnsi="Times New Roman" w:cs="Times New Roman"/>
          <w:sz w:val="20"/>
          <w:szCs w:val="20"/>
        </w:rPr>
        <w:t>B</w:t>
      </w:r>
      <w:r w:rsidR="008E623D" w:rsidRPr="004D5CFA">
        <w:rPr>
          <w:rFonts w:ascii="Times New Roman" w:eastAsia="Times New Roman" w:hAnsi="Times New Roman" w:cs="Times New Roman"/>
          <w:sz w:val="20"/>
          <w:szCs w:val="20"/>
        </w:rPr>
        <w:t>akhshodeh</w:t>
      </w:r>
      <w:proofErr w:type="spellEnd"/>
      <w:r w:rsidR="008E623D" w:rsidRPr="004D5CFA">
        <w:rPr>
          <w:rFonts w:ascii="Times New Roman" w:eastAsia="Times New Roman" w:hAnsi="Times New Roman" w:cs="Times New Roman"/>
          <w:sz w:val="20"/>
          <w:szCs w:val="20"/>
        </w:rPr>
        <w:t xml:space="preserve">, Mohammad and Ahmad </w:t>
      </w:r>
      <w:proofErr w:type="spellStart"/>
      <w:r w:rsidR="008E623D" w:rsidRPr="004D5CFA">
        <w:rPr>
          <w:rFonts w:ascii="Times New Roman" w:eastAsia="Times New Roman" w:hAnsi="Times New Roman" w:cs="Times New Roman"/>
          <w:sz w:val="20"/>
          <w:szCs w:val="20"/>
        </w:rPr>
        <w:t>Akbari</w:t>
      </w:r>
      <w:proofErr w:type="spellEnd"/>
      <w:r w:rsidR="008E623D" w:rsidRPr="004D5CFA">
        <w:rPr>
          <w:rFonts w:ascii="Times New Roman" w:eastAsia="Times New Roman" w:hAnsi="Times New Roman" w:cs="Times New Roman"/>
          <w:sz w:val="20"/>
          <w:szCs w:val="20"/>
        </w:rPr>
        <w:t>. 2009. Production Economics (its usage in agriculture). Second edition, Kerman University Press.</w:t>
      </w:r>
    </w:p>
    <w:p w:rsidR="00A810AA" w:rsidRPr="004D5CFA" w:rsidRDefault="00A810AA" w:rsidP="00A810AA">
      <w:pPr>
        <w:pStyle w:val="ListParagraph"/>
        <w:numPr>
          <w:ilvl w:val="0"/>
          <w:numId w:val="26"/>
        </w:numPr>
        <w:snapToGrid w:val="0"/>
        <w:spacing w:after="0" w:line="240" w:lineRule="auto"/>
        <w:ind w:left="426"/>
        <w:jc w:val="both"/>
        <w:rPr>
          <w:rFonts w:ascii="Times New Roman" w:eastAsia="Times New Roman" w:hAnsi="Times New Roman" w:cs="Times New Roman"/>
          <w:sz w:val="20"/>
          <w:szCs w:val="20"/>
        </w:rPr>
      </w:pPr>
      <w:proofErr w:type="spellStart"/>
      <w:r w:rsidRPr="004D5CFA">
        <w:rPr>
          <w:rFonts w:ascii="Times New Roman" w:eastAsia="Times New Roman" w:hAnsi="Times New Roman" w:cs="Times New Roman"/>
          <w:sz w:val="20"/>
          <w:szCs w:val="20"/>
        </w:rPr>
        <w:t>D</w:t>
      </w:r>
      <w:r w:rsidR="008E623D" w:rsidRPr="004D5CFA">
        <w:rPr>
          <w:rFonts w:ascii="Times New Roman" w:eastAsia="Times New Roman" w:hAnsi="Times New Roman" w:cs="Times New Roman"/>
          <w:sz w:val="20"/>
          <w:szCs w:val="20"/>
        </w:rPr>
        <w:t>ashti</w:t>
      </w:r>
      <w:proofErr w:type="spellEnd"/>
      <w:r w:rsidR="008E623D" w:rsidRPr="004D5CFA">
        <w:rPr>
          <w:rFonts w:ascii="Times New Roman" w:eastAsia="Times New Roman" w:hAnsi="Times New Roman" w:cs="Times New Roman"/>
          <w:sz w:val="20"/>
          <w:szCs w:val="20"/>
        </w:rPr>
        <w:t xml:space="preserve">, </w:t>
      </w:r>
      <w:proofErr w:type="spellStart"/>
      <w:r w:rsidR="008E623D" w:rsidRPr="004D5CFA">
        <w:rPr>
          <w:rFonts w:ascii="Times New Roman" w:eastAsia="Times New Roman" w:hAnsi="Times New Roman" w:cs="Times New Roman"/>
          <w:sz w:val="20"/>
          <w:szCs w:val="20"/>
        </w:rPr>
        <w:t>Ghader</w:t>
      </w:r>
      <w:proofErr w:type="spellEnd"/>
      <w:r w:rsidR="008E623D" w:rsidRPr="004D5CFA">
        <w:rPr>
          <w:rFonts w:ascii="Times New Roman" w:eastAsia="Times New Roman" w:hAnsi="Times New Roman" w:cs="Times New Roman"/>
          <w:sz w:val="20"/>
          <w:szCs w:val="20"/>
        </w:rPr>
        <w:t>. 2010. Journal of Sustainable Agriculture, Volume 20, No. 1, assistant professor of agricultural economics, Tabriz University.</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B</w:t>
      </w:r>
      <w:r w:rsidR="008E623D" w:rsidRPr="004D5CFA">
        <w:rPr>
          <w:rFonts w:eastAsia="Times New Roman"/>
          <w:sz w:val="20"/>
          <w:szCs w:val="20"/>
        </w:rPr>
        <w:t>anayan</w:t>
      </w:r>
      <w:proofErr w:type="gramStart"/>
      <w:r w:rsidR="008E623D" w:rsidRPr="004D5CFA">
        <w:rPr>
          <w:rFonts w:eastAsia="Times New Roman"/>
          <w:sz w:val="20"/>
          <w:szCs w:val="20"/>
        </w:rPr>
        <w:t>,aval.2009</w:t>
      </w:r>
      <w:proofErr w:type="gramEnd"/>
      <w:r w:rsidR="008E623D" w:rsidRPr="004D5CFA">
        <w:rPr>
          <w:rFonts w:eastAsia="Times New Roman"/>
          <w:sz w:val="20"/>
          <w:szCs w:val="20"/>
        </w:rPr>
        <w:t>.</w:t>
      </w:r>
      <w:r w:rsidR="00FE3101">
        <w:rPr>
          <w:rFonts w:eastAsiaTheme="minorEastAsia" w:hint="eastAsia"/>
          <w:sz w:val="20"/>
          <w:szCs w:val="20"/>
          <w:lang w:eastAsia="zh-CN"/>
        </w:rPr>
        <w:t xml:space="preserve"> </w:t>
      </w:r>
      <w:r w:rsidR="008E623D" w:rsidRPr="004D5CFA">
        <w:rPr>
          <w:rFonts w:eastAsia="Times New Roman"/>
          <w:sz w:val="20"/>
          <w:szCs w:val="20"/>
        </w:rPr>
        <w:t xml:space="preserve">Journal of Soil and Water (Agricultural Sciences and Technology). </w:t>
      </w:r>
      <w:r w:rsidR="008E623D" w:rsidRPr="004D5CFA">
        <w:rPr>
          <w:rFonts w:eastAsia="Times New Roman"/>
          <w:sz w:val="20"/>
          <w:szCs w:val="20"/>
        </w:rPr>
        <w:lastRenderedPageBreak/>
        <w:t xml:space="preserve">Volume 23, NO.4. </w:t>
      </w:r>
      <w:proofErr w:type="spellStart"/>
      <w:r w:rsidR="008E623D" w:rsidRPr="004D5CFA">
        <w:rPr>
          <w:rFonts w:eastAsia="Times New Roman"/>
          <w:sz w:val="20"/>
          <w:szCs w:val="20"/>
        </w:rPr>
        <w:t>Ferdowsi</w:t>
      </w:r>
      <w:proofErr w:type="spellEnd"/>
      <w:r w:rsidR="008E623D" w:rsidRPr="004D5CFA">
        <w:rPr>
          <w:rFonts w:eastAsia="Times New Roman"/>
          <w:sz w:val="20"/>
          <w:szCs w:val="20"/>
        </w:rPr>
        <w:t xml:space="preserve"> University of Mashhad. P. 115-126.</w:t>
      </w:r>
    </w:p>
    <w:p w:rsidR="00A810AA" w:rsidRPr="004D5CFA" w:rsidRDefault="00A810AA" w:rsidP="00A810AA">
      <w:pPr>
        <w:numPr>
          <w:ilvl w:val="0"/>
          <w:numId w:val="26"/>
        </w:numPr>
        <w:snapToGrid w:val="0"/>
        <w:ind w:left="426"/>
        <w:jc w:val="both"/>
        <w:rPr>
          <w:rFonts w:eastAsia="Times New Roman"/>
          <w:sz w:val="20"/>
          <w:szCs w:val="20"/>
        </w:rPr>
      </w:pPr>
      <w:proofErr w:type="spellStart"/>
      <w:r w:rsidRPr="004D5CFA">
        <w:rPr>
          <w:rFonts w:eastAsia="Times New Roman"/>
          <w:sz w:val="20"/>
          <w:szCs w:val="20"/>
        </w:rPr>
        <w:t>G</w:t>
      </w:r>
      <w:r w:rsidR="008E623D" w:rsidRPr="004D5CFA">
        <w:rPr>
          <w:rFonts w:eastAsia="Times New Roman"/>
          <w:sz w:val="20"/>
          <w:szCs w:val="20"/>
        </w:rPr>
        <w:t>holdani</w:t>
      </w:r>
      <w:proofErr w:type="spellEnd"/>
      <w:r w:rsidR="008E623D" w:rsidRPr="004D5CFA">
        <w:rPr>
          <w:rFonts w:eastAsia="Times New Roman"/>
          <w:sz w:val="20"/>
          <w:szCs w:val="20"/>
        </w:rPr>
        <w:t xml:space="preserve">, Mandy, and </w:t>
      </w:r>
      <w:proofErr w:type="spellStart"/>
      <w:r w:rsidR="008E623D" w:rsidRPr="004D5CFA">
        <w:rPr>
          <w:rFonts w:eastAsia="Times New Roman"/>
          <w:sz w:val="20"/>
          <w:szCs w:val="20"/>
        </w:rPr>
        <w:t>Mahmoud</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Shoor</w:t>
      </w:r>
      <w:proofErr w:type="spellEnd"/>
      <w:r w:rsidR="008E623D" w:rsidRPr="004D5CFA">
        <w:rPr>
          <w:rFonts w:eastAsia="Times New Roman"/>
          <w:sz w:val="20"/>
          <w:szCs w:val="20"/>
        </w:rPr>
        <w:t>. 2009. Journal of Agricultural Ecology. Volume 1, No. 2, p. 101 to108.</w:t>
      </w:r>
    </w:p>
    <w:p w:rsidR="00A810AA" w:rsidRPr="004D5CFA" w:rsidRDefault="00A810AA" w:rsidP="00A810AA">
      <w:pPr>
        <w:numPr>
          <w:ilvl w:val="0"/>
          <w:numId w:val="26"/>
        </w:numPr>
        <w:snapToGrid w:val="0"/>
        <w:ind w:left="426"/>
        <w:jc w:val="both"/>
        <w:rPr>
          <w:rFonts w:eastAsia="Times New Roman"/>
          <w:sz w:val="20"/>
          <w:szCs w:val="20"/>
        </w:rPr>
      </w:pPr>
      <w:proofErr w:type="spellStart"/>
      <w:r w:rsidRPr="004D5CFA">
        <w:rPr>
          <w:rFonts w:eastAsia="Times New Roman"/>
          <w:sz w:val="20"/>
          <w:szCs w:val="20"/>
        </w:rPr>
        <w:t>S</w:t>
      </w:r>
      <w:r w:rsidR="008E623D" w:rsidRPr="004D5CFA">
        <w:rPr>
          <w:rFonts w:eastAsia="Times New Roman"/>
          <w:sz w:val="20"/>
          <w:szCs w:val="20"/>
        </w:rPr>
        <w:t>oltani</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Gholamreza</w:t>
      </w:r>
      <w:proofErr w:type="spellEnd"/>
      <w:r w:rsidR="008E623D" w:rsidRPr="004D5CFA">
        <w:rPr>
          <w:rFonts w:eastAsia="Times New Roman"/>
          <w:sz w:val="20"/>
          <w:szCs w:val="20"/>
        </w:rPr>
        <w:t>. 2008. Economics Engineering. Eleventh edition, Shiraz University Press.</w:t>
      </w:r>
    </w:p>
    <w:p w:rsidR="00A810AA" w:rsidRPr="004D5CFA" w:rsidRDefault="00A810AA" w:rsidP="00A810AA">
      <w:pPr>
        <w:numPr>
          <w:ilvl w:val="0"/>
          <w:numId w:val="26"/>
        </w:numPr>
        <w:snapToGrid w:val="0"/>
        <w:ind w:left="426"/>
        <w:jc w:val="both"/>
        <w:rPr>
          <w:rFonts w:eastAsia="Times New Roman"/>
          <w:sz w:val="20"/>
          <w:szCs w:val="20"/>
        </w:rPr>
      </w:pPr>
      <w:proofErr w:type="spellStart"/>
      <w:r w:rsidRPr="004D5CFA">
        <w:rPr>
          <w:rFonts w:eastAsia="Times New Roman"/>
          <w:sz w:val="20"/>
          <w:szCs w:val="20"/>
        </w:rPr>
        <w:t>D</w:t>
      </w:r>
      <w:r w:rsidR="008E623D" w:rsidRPr="004D5CFA">
        <w:rPr>
          <w:rFonts w:eastAsia="Times New Roman"/>
          <w:sz w:val="20"/>
          <w:szCs w:val="20"/>
        </w:rPr>
        <w:t>.k</w:t>
      </w:r>
      <w:proofErr w:type="gramStart"/>
      <w:r w:rsidR="008E623D" w:rsidRPr="004D5CFA">
        <w:rPr>
          <w:rFonts w:eastAsia="Times New Roman"/>
          <w:sz w:val="20"/>
          <w:szCs w:val="20"/>
        </w:rPr>
        <w:t>,Ronald</w:t>
      </w:r>
      <w:proofErr w:type="spellEnd"/>
      <w:proofErr w:type="gramEnd"/>
      <w:r w:rsidR="008E623D" w:rsidRPr="004D5CFA">
        <w:rPr>
          <w:rFonts w:eastAsia="Times New Roman"/>
          <w:sz w:val="20"/>
          <w:szCs w:val="20"/>
        </w:rPr>
        <w:t xml:space="preserve"> 1994. Managing Agriculture and livestock units. Translated by </w:t>
      </w:r>
      <w:proofErr w:type="spellStart"/>
      <w:r w:rsidR="008E623D" w:rsidRPr="004D5CFA">
        <w:rPr>
          <w:rFonts w:eastAsia="Times New Roman"/>
          <w:sz w:val="20"/>
          <w:szCs w:val="20"/>
        </w:rPr>
        <w:t>Mohammasreza</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Arsalanbod</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Anzali</w:t>
      </w:r>
      <w:proofErr w:type="spellEnd"/>
      <w:r w:rsidR="008E623D" w:rsidRPr="004D5CFA">
        <w:rPr>
          <w:rFonts w:eastAsia="Times New Roman"/>
          <w:sz w:val="20"/>
          <w:szCs w:val="20"/>
        </w:rPr>
        <w:t xml:space="preserve"> press.</w:t>
      </w:r>
    </w:p>
    <w:p w:rsidR="00A810AA" w:rsidRPr="004D5CFA" w:rsidRDefault="00A810AA" w:rsidP="00A810AA">
      <w:pPr>
        <w:numPr>
          <w:ilvl w:val="0"/>
          <w:numId w:val="26"/>
        </w:numPr>
        <w:snapToGrid w:val="0"/>
        <w:ind w:left="426"/>
        <w:jc w:val="both"/>
        <w:rPr>
          <w:rFonts w:eastAsia="Times New Roman"/>
          <w:sz w:val="20"/>
          <w:szCs w:val="20"/>
        </w:rPr>
      </w:pPr>
      <w:proofErr w:type="spellStart"/>
      <w:r w:rsidRPr="004D5CFA">
        <w:rPr>
          <w:rFonts w:eastAsia="Times New Roman"/>
          <w:sz w:val="20"/>
          <w:szCs w:val="20"/>
        </w:rPr>
        <w:t>B</w:t>
      </w:r>
      <w:r w:rsidR="008E623D" w:rsidRPr="004D5CFA">
        <w:rPr>
          <w:rFonts w:eastAsia="Times New Roman"/>
          <w:sz w:val="20"/>
          <w:szCs w:val="20"/>
        </w:rPr>
        <w:t>aghban</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Gholshan</w:t>
      </w:r>
      <w:proofErr w:type="spellEnd"/>
      <w:r w:rsidR="008E623D" w:rsidRPr="004D5CFA">
        <w:rPr>
          <w:rFonts w:eastAsia="Times New Roman"/>
          <w:sz w:val="20"/>
          <w:szCs w:val="20"/>
        </w:rPr>
        <w:t xml:space="preserve"> 2011. Economic assessment of greenhouse cultivation in West Azerbaijan province. M.A. Thesis. Islamic Azad University. Tehran Science and Research Branch.</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F</w:t>
      </w:r>
      <w:r w:rsidR="008E623D" w:rsidRPr="004D5CFA">
        <w:rPr>
          <w:rFonts w:eastAsia="Times New Roman"/>
          <w:sz w:val="20"/>
          <w:szCs w:val="20"/>
        </w:rPr>
        <w:t xml:space="preserve">ritz, D. und </w:t>
      </w:r>
      <w:proofErr w:type="spellStart"/>
      <w:r w:rsidR="008E623D" w:rsidRPr="004D5CFA">
        <w:rPr>
          <w:rFonts w:eastAsia="Times New Roman"/>
          <w:sz w:val="20"/>
          <w:szCs w:val="20"/>
        </w:rPr>
        <w:t>Stolz</w:t>
      </w:r>
      <w:proofErr w:type="gramStart"/>
      <w:r w:rsidR="008E623D" w:rsidRPr="004D5CFA">
        <w:rPr>
          <w:rFonts w:eastAsia="Times New Roman"/>
          <w:sz w:val="20"/>
          <w:szCs w:val="20"/>
        </w:rPr>
        <w:t>,w</w:t>
      </w:r>
      <w:proofErr w:type="spellEnd"/>
      <w:proofErr w:type="gramEnd"/>
      <w:r w:rsidR="008E623D" w:rsidRPr="004D5CFA">
        <w:rPr>
          <w:rFonts w:eastAsia="Times New Roman"/>
          <w:sz w:val="20"/>
          <w:szCs w:val="20"/>
        </w:rPr>
        <w:t xml:space="preserve">. 1973: </w:t>
      </w:r>
      <w:proofErr w:type="spellStart"/>
      <w:r w:rsidR="008E623D" w:rsidRPr="004D5CFA">
        <w:rPr>
          <w:rFonts w:eastAsia="Times New Roman"/>
          <w:sz w:val="20"/>
          <w:szCs w:val="20"/>
        </w:rPr>
        <w:t>Erwerbsgemusebau</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Vergal</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Eugen</w:t>
      </w:r>
      <w:proofErr w:type="spellEnd"/>
      <w:r w:rsidR="008E623D" w:rsidRPr="004D5CFA">
        <w:rPr>
          <w:rFonts w:eastAsia="Times New Roman"/>
          <w:sz w:val="20"/>
          <w:szCs w:val="20"/>
        </w:rPr>
        <w:t xml:space="preserve"> Ulmer Stuttgart.</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F</w:t>
      </w:r>
      <w:r w:rsidR="00FE3101">
        <w:rPr>
          <w:rFonts w:eastAsia="Times New Roman"/>
          <w:sz w:val="20"/>
          <w:szCs w:val="20"/>
        </w:rPr>
        <w:t>ulton, J. M</w:t>
      </w:r>
      <w:r w:rsidR="00FE3101">
        <w:rPr>
          <w:rFonts w:eastAsiaTheme="minorEastAsia" w:hint="eastAsia"/>
          <w:sz w:val="20"/>
          <w:szCs w:val="20"/>
          <w:lang w:eastAsia="zh-CN"/>
        </w:rPr>
        <w:t>.</w:t>
      </w:r>
      <w:r w:rsidR="008E623D" w:rsidRPr="004D5CFA">
        <w:rPr>
          <w:rFonts w:eastAsia="Times New Roman"/>
          <w:sz w:val="20"/>
          <w:szCs w:val="20"/>
        </w:rPr>
        <w:t xml:space="preserve"> and Tan, C. S. 1986: Irrigation of Vegetable Crops. Ontario Ministry of Agriculture and Food </w:t>
      </w:r>
      <w:proofErr w:type="spellStart"/>
      <w:r w:rsidR="008E623D" w:rsidRPr="004D5CFA">
        <w:rPr>
          <w:rFonts w:eastAsia="Times New Roman"/>
          <w:sz w:val="20"/>
          <w:szCs w:val="20"/>
        </w:rPr>
        <w:t>Factssheet</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Agdex</w:t>
      </w:r>
      <w:proofErr w:type="spellEnd"/>
      <w:r w:rsidR="008E623D" w:rsidRPr="004D5CFA">
        <w:rPr>
          <w:rFonts w:eastAsia="Times New Roman"/>
          <w:sz w:val="20"/>
          <w:szCs w:val="20"/>
        </w:rPr>
        <w:t xml:space="preserve"> 250/560.</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A</w:t>
      </w:r>
      <w:r w:rsidR="008E623D" w:rsidRPr="004D5CFA">
        <w:rPr>
          <w:rFonts w:eastAsia="Times New Roman"/>
          <w:sz w:val="20"/>
          <w:szCs w:val="20"/>
        </w:rPr>
        <w:t>non,</w:t>
      </w:r>
      <w:r w:rsidR="00FE3101">
        <w:rPr>
          <w:rFonts w:eastAsiaTheme="minorEastAsia" w:hint="eastAsia"/>
          <w:sz w:val="20"/>
          <w:szCs w:val="20"/>
          <w:lang w:eastAsia="zh-CN"/>
        </w:rPr>
        <w:t xml:space="preserve"> </w:t>
      </w:r>
      <w:r w:rsidR="008E623D" w:rsidRPr="004D5CFA">
        <w:rPr>
          <w:rFonts w:eastAsia="Times New Roman"/>
          <w:sz w:val="20"/>
          <w:szCs w:val="20"/>
        </w:rPr>
        <w:t>1991:</w:t>
      </w:r>
      <w:r w:rsidR="00FE3101">
        <w:rPr>
          <w:rFonts w:eastAsiaTheme="minorEastAsia" w:hint="eastAsia"/>
          <w:sz w:val="20"/>
          <w:szCs w:val="20"/>
          <w:lang w:eastAsia="zh-CN"/>
        </w:rPr>
        <w:t xml:space="preserve"> </w:t>
      </w:r>
      <w:r w:rsidR="008E623D" w:rsidRPr="004D5CFA">
        <w:rPr>
          <w:rFonts w:eastAsia="Times New Roman"/>
          <w:sz w:val="20"/>
          <w:szCs w:val="20"/>
        </w:rPr>
        <w:t xml:space="preserve">Le Melon, Centre Technique </w:t>
      </w:r>
      <w:proofErr w:type="spellStart"/>
      <w:r w:rsidR="008E623D" w:rsidRPr="004D5CFA">
        <w:rPr>
          <w:rFonts w:eastAsia="Times New Roman"/>
          <w:sz w:val="20"/>
          <w:szCs w:val="20"/>
        </w:rPr>
        <w:t>Interprofessionnel</w:t>
      </w:r>
      <w:proofErr w:type="spellEnd"/>
      <w:r w:rsidR="008E623D" w:rsidRPr="004D5CFA">
        <w:rPr>
          <w:rFonts w:eastAsia="Times New Roman"/>
          <w:sz w:val="20"/>
          <w:szCs w:val="20"/>
        </w:rPr>
        <w:t xml:space="preserve"> des </w:t>
      </w:r>
      <w:bookmarkStart w:id="12" w:name="_GoBack"/>
      <w:bookmarkEnd w:id="12"/>
      <w:r w:rsidR="008E623D" w:rsidRPr="004D5CFA">
        <w:rPr>
          <w:rFonts w:eastAsia="Times New Roman"/>
          <w:sz w:val="20"/>
          <w:szCs w:val="20"/>
        </w:rPr>
        <w:t xml:space="preserve">Fruits </w:t>
      </w:r>
      <w:proofErr w:type="gramStart"/>
      <w:r w:rsidR="008E623D" w:rsidRPr="004D5CFA">
        <w:rPr>
          <w:rFonts w:eastAsia="Times New Roman"/>
          <w:sz w:val="20"/>
          <w:szCs w:val="20"/>
        </w:rPr>
        <w:t>et</w:t>
      </w:r>
      <w:proofErr w:type="gramEnd"/>
      <w:r w:rsidR="008E623D" w:rsidRPr="004D5CFA">
        <w:rPr>
          <w:rFonts w:eastAsia="Times New Roman"/>
          <w:sz w:val="20"/>
          <w:szCs w:val="20"/>
        </w:rPr>
        <w:t xml:space="preserve"> Legumes, Paris.</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I</w:t>
      </w:r>
      <w:r w:rsidR="008E623D" w:rsidRPr="004D5CFA">
        <w:rPr>
          <w:rFonts w:eastAsia="Times New Roman"/>
          <w:sz w:val="20"/>
          <w:szCs w:val="20"/>
        </w:rPr>
        <w:t xml:space="preserve">nternet: </w:t>
      </w:r>
      <w:proofErr w:type="spellStart"/>
      <w:r w:rsidR="008E623D" w:rsidRPr="004D5CFA">
        <w:rPr>
          <w:rFonts w:eastAsia="Times New Roman"/>
          <w:sz w:val="20"/>
          <w:szCs w:val="20"/>
        </w:rPr>
        <w:t>htt</w:t>
      </w:r>
      <w:proofErr w:type="gramStart"/>
      <w:r w:rsidR="008E623D" w:rsidRPr="004D5CFA">
        <w:rPr>
          <w:rFonts w:eastAsia="Times New Roman"/>
          <w:sz w:val="20"/>
          <w:szCs w:val="20"/>
        </w:rPr>
        <w:t>:homeharvest</w:t>
      </w:r>
      <w:proofErr w:type="spellEnd"/>
      <w:proofErr w:type="gramEnd"/>
      <w:r w:rsidR="008E623D" w:rsidRPr="004D5CFA">
        <w:rPr>
          <w:rFonts w:eastAsia="Times New Roman"/>
          <w:sz w:val="20"/>
          <w:szCs w:val="20"/>
        </w:rPr>
        <w:t xml:space="preserve">. </w:t>
      </w:r>
      <w:proofErr w:type="gramStart"/>
      <w:r w:rsidR="008E623D" w:rsidRPr="004D5CFA">
        <w:rPr>
          <w:rFonts w:eastAsia="Times New Roman"/>
          <w:sz w:val="20"/>
          <w:szCs w:val="20"/>
        </w:rPr>
        <w:t>com/carbon</w:t>
      </w:r>
      <w:proofErr w:type="gramEnd"/>
      <w:r w:rsidR="008E623D" w:rsidRPr="004D5CFA">
        <w:rPr>
          <w:rFonts w:eastAsia="Times New Roman"/>
          <w:sz w:val="20"/>
          <w:szCs w:val="20"/>
        </w:rPr>
        <w:t xml:space="preserve"> </w:t>
      </w:r>
      <w:proofErr w:type="spellStart"/>
      <w:r w:rsidR="008E623D" w:rsidRPr="004D5CFA">
        <w:rPr>
          <w:rFonts w:eastAsia="Times New Roman"/>
          <w:sz w:val="20"/>
          <w:szCs w:val="20"/>
        </w:rPr>
        <w:t>dioxideenrichment</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htm</w:t>
      </w:r>
      <w:proofErr w:type="spellEnd"/>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I</w:t>
      </w:r>
      <w:r w:rsidR="008E623D" w:rsidRPr="004D5CFA">
        <w:rPr>
          <w:rFonts w:eastAsia="Times New Roman"/>
          <w:sz w:val="20"/>
          <w:szCs w:val="20"/>
        </w:rPr>
        <w:t>nternet: http://magiran. com</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I</w:t>
      </w:r>
      <w:r w:rsidR="008E623D" w:rsidRPr="004D5CFA">
        <w:rPr>
          <w:rFonts w:eastAsia="Times New Roman"/>
          <w:sz w:val="20"/>
          <w:szCs w:val="20"/>
        </w:rPr>
        <w:t xml:space="preserve">nternet: </w:t>
      </w:r>
      <w:hyperlink r:id="rId16" w:history="1">
        <w:r w:rsidR="008E623D" w:rsidRPr="004D5CFA">
          <w:rPr>
            <w:rFonts w:eastAsia="Times New Roman"/>
            <w:sz w:val="20"/>
            <w:szCs w:val="20"/>
          </w:rPr>
          <w:t xml:space="preserve">http://geoheat. </w:t>
        </w:r>
        <w:proofErr w:type="spellStart"/>
        <w:r w:rsidR="008E623D" w:rsidRPr="004D5CFA">
          <w:rPr>
            <w:rFonts w:eastAsia="Times New Roman"/>
            <w:sz w:val="20"/>
            <w:szCs w:val="20"/>
          </w:rPr>
          <w:t>oit</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edu</w:t>
        </w:r>
        <w:proofErr w:type="spellEnd"/>
        <w:r w:rsidR="008E623D" w:rsidRPr="004D5CFA">
          <w:rPr>
            <w:rFonts w:eastAsia="Times New Roman"/>
            <w:sz w:val="20"/>
            <w:szCs w:val="20"/>
          </w:rPr>
          <w:t>/bulletin/bull 18-1/art3</w:t>
        </w:r>
      </w:hyperlink>
      <w:r w:rsidR="008E623D" w:rsidRPr="004D5CFA">
        <w:rPr>
          <w:rFonts w:eastAsia="Times New Roman"/>
          <w:sz w:val="20"/>
          <w:szCs w:val="20"/>
        </w:rPr>
        <w:t>.</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t>I</w:t>
      </w:r>
      <w:r w:rsidR="008E623D" w:rsidRPr="004D5CFA">
        <w:rPr>
          <w:rFonts w:eastAsia="Times New Roman"/>
          <w:sz w:val="20"/>
          <w:szCs w:val="20"/>
        </w:rPr>
        <w:t>nternet:</w:t>
      </w:r>
      <w:r w:rsidR="00FE3101">
        <w:rPr>
          <w:rFonts w:eastAsiaTheme="minorEastAsia" w:hint="eastAsia"/>
          <w:sz w:val="20"/>
          <w:szCs w:val="20"/>
          <w:lang w:eastAsia="zh-CN"/>
        </w:rPr>
        <w:t xml:space="preserve"> </w:t>
      </w:r>
      <w:hyperlink r:id="rId17" w:history="1">
        <w:r w:rsidR="008E623D" w:rsidRPr="004D5CFA">
          <w:rPr>
            <w:rFonts w:eastAsia="Times New Roman"/>
            <w:sz w:val="20"/>
            <w:szCs w:val="20"/>
          </w:rPr>
          <w:t xml:space="preserve">www. </w:t>
        </w:r>
        <w:proofErr w:type="spellStart"/>
        <w:proofErr w:type="gramStart"/>
        <w:r w:rsidR="008E623D" w:rsidRPr="004D5CFA">
          <w:rPr>
            <w:rFonts w:eastAsia="Times New Roman"/>
            <w:sz w:val="20"/>
            <w:szCs w:val="20"/>
          </w:rPr>
          <w:t>irandoc</w:t>
        </w:r>
        <w:proofErr w:type="spellEnd"/>
        <w:proofErr w:type="gramEnd"/>
      </w:hyperlink>
      <w:r w:rsidR="008E623D" w:rsidRPr="004D5CFA">
        <w:rPr>
          <w:rFonts w:eastAsia="Times New Roman"/>
          <w:sz w:val="20"/>
          <w:szCs w:val="20"/>
        </w:rPr>
        <w:t>.</w:t>
      </w:r>
    </w:p>
    <w:p w:rsidR="00A810AA" w:rsidRPr="004D5CFA" w:rsidRDefault="00A810AA" w:rsidP="00A810AA">
      <w:pPr>
        <w:numPr>
          <w:ilvl w:val="0"/>
          <w:numId w:val="26"/>
        </w:numPr>
        <w:snapToGrid w:val="0"/>
        <w:ind w:left="426"/>
        <w:jc w:val="both"/>
        <w:rPr>
          <w:rFonts w:eastAsia="Times New Roman"/>
          <w:sz w:val="20"/>
          <w:szCs w:val="20"/>
        </w:rPr>
      </w:pPr>
      <w:proofErr w:type="spellStart"/>
      <w:r w:rsidRPr="004D5CFA">
        <w:rPr>
          <w:rFonts w:eastAsia="Times New Roman"/>
          <w:sz w:val="20"/>
          <w:szCs w:val="20"/>
        </w:rPr>
        <w:t>P</w:t>
      </w:r>
      <w:r w:rsidR="008E623D" w:rsidRPr="004D5CFA">
        <w:rPr>
          <w:rFonts w:eastAsia="Times New Roman"/>
          <w:sz w:val="20"/>
          <w:szCs w:val="20"/>
        </w:rPr>
        <w:t>andey</w:t>
      </w:r>
      <w:proofErr w:type="spellEnd"/>
      <w:r w:rsidR="008E623D" w:rsidRPr="004D5CFA">
        <w:rPr>
          <w:rFonts w:eastAsia="Times New Roman"/>
          <w:sz w:val="20"/>
          <w:szCs w:val="20"/>
        </w:rPr>
        <w:t xml:space="preserve"> R.</w:t>
      </w:r>
      <w:r w:rsidR="00FE3101">
        <w:rPr>
          <w:rFonts w:eastAsia="Times New Roman"/>
          <w:sz w:val="20"/>
          <w:szCs w:val="20"/>
        </w:rPr>
        <w:t>,</w:t>
      </w:r>
      <w:r w:rsidR="008E623D" w:rsidRPr="004D5CFA">
        <w:rPr>
          <w:rFonts w:eastAsia="Times New Roman"/>
          <w:sz w:val="20"/>
          <w:szCs w:val="20"/>
        </w:rPr>
        <w:t xml:space="preserve"> </w:t>
      </w:r>
      <w:proofErr w:type="spellStart"/>
      <w:r w:rsidR="008E623D" w:rsidRPr="004D5CFA">
        <w:rPr>
          <w:rFonts w:eastAsia="Times New Roman"/>
          <w:sz w:val="20"/>
          <w:szCs w:val="20"/>
        </w:rPr>
        <w:t>Chenhacko</w:t>
      </w:r>
      <w:proofErr w:type="spellEnd"/>
      <w:r w:rsidR="008E623D" w:rsidRPr="004D5CFA">
        <w:rPr>
          <w:rFonts w:eastAsia="Times New Roman"/>
          <w:sz w:val="20"/>
          <w:szCs w:val="20"/>
        </w:rPr>
        <w:t xml:space="preserve"> P. M.</w:t>
      </w:r>
      <w:r w:rsidR="00FE3101">
        <w:rPr>
          <w:rFonts w:eastAsia="Times New Roman"/>
          <w:sz w:val="20"/>
          <w:szCs w:val="20"/>
        </w:rPr>
        <w:t>,</w:t>
      </w:r>
      <w:r w:rsidR="008E623D" w:rsidRPr="004D5CFA">
        <w:rPr>
          <w:rFonts w:eastAsia="Times New Roman"/>
          <w:sz w:val="20"/>
          <w:szCs w:val="20"/>
        </w:rPr>
        <w:t xml:space="preserve"> </w:t>
      </w:r>
      <w:proofErr w:type="spellStart"/>
      <w:r w:rsidR="008E623D" w:rsidRPr="004D5CFA">
        <w:rPr>
          <w:rFonts w:eastAsia="Times New Roman"/>
          <w:sz w:val="20"/>
          <w:szCs w:val="20"/>
        </w:rPr>
        <w:t>Choudhary</w:t>
      </w:r>
      <w:proofErr w:type="spellEnd"/>
      <w:r w:rsidR="008E623D" w:rsidRPr="004D5CFA">
        <w:rPr>
          <w:rFonts w:eastAsia="Times New Roman"/>
          <w:sz w:val="20"/>
          <w:szCs w:val="20"/>
        </w:rPr>
        <w:t xml:space="preserve"> M. L.</w:t>
      </w:r>
      <w:r w:rsidR="00FE3101">
        <w:rPr>
          <w:rFonts w:eastAsia="Times New Roman"/>
          <w:sz w:val="20"/>
          <w:szCs w:val="20"/>
        </w:rPr>
        <w:t>,</w:t>
      </w:r>
      <w:r w:rsidR="008E623D" w:rsidRPr="004D5CFA">
        <w:rPr>
          <w:rFonts w:eastAsia="Times New Roman"/>
          <w:sz w:val="20"/>
          <w:szCs w:val="20"/>
        </w:rPr>
        <w:t xml:space="preserve"> Prasad K. V.</w:t>
      </w:r>
      <w:r w:rsidR="00FE3101">
        <w:rPr>
          <w:rFonts w:eastAsia="Times New Roman"/>
          <w:sz w:val="20"/>
          <w:szCs w:val="20"/>
        </w:rPr>
        <w:t>,</w:t>
      </w:r>
      <w:r w:rsidR="008E623D" w:rsidRPr="004D5CFA">
        <w:rPr>
          <w:rFonts w:eastAsia="Times New Roman"/>
          <w:sz w:val="20"/>
          <w:szCs w:val="20"/>
        </w:rPr>
        <w:t xml:space="preserve"> and </w:t>
      </w:r>
      <w:proofErr w:type="spellStart"/>
      <w:r w:rsidR="008E623D" w:rsidRPr="004D5CFA">
        <w:rPr>
          <w:rFonts w:eastAsia="Times New Roman"/>
          <w:sz w:val="20"/>
          <w:szCs w:val="20"/>
        </w:rPr>
        <w:t>Mada</w:t>
      </w:r>
      <w:proofErr w:type="spellEnd"/>
      <w:r w:rsidR="008E623D" w:rsidRPr="004D5CFA">
        <w:rPr>
          <w:rFonts w:eastAsia="Times New Roman"/>
          <w:sz w:val="20"/>
          <w:szCs w:val="20"/>
        </w:rPr>
        <w:t xml:space="preserve"> P. 2007. Higher than optimum temperature under co2 enrichment influences stomata anatomical characters in rose</w:t>
      </w:r>
      <w:r w:rsidR="00FE3101">
        <w:rPr>
          <w:rFonts w:eastAsiaTheme="minorEastAsia" w:hint="eastAsia"/>
          <w:sz w:val="20"/>
          <w:szCs w:val="20"/>
          <w:lang w:eastAsia="zh-CN"/>
        </w:rPr>
        <w:t xml:space="preserve"> </w:t>
      </w:r>
      <w:r w:rsidR="008E623D" w:rsidRPr="004D5CFA">
        <w:rPr>
          <w:rFonts w:eastAsia="Times New Roman"/>
          <w:sz w:val="20"/>
          <w:szCs w:val="20"/>
        </w:rPr>
        <w:t xml:space="preserve">(Rosa </w:t>
      </w:r>
      <w:proofErr w:type="spellStart"/>
      <w:r w:rsidR="008E623D" w:rsidRPr="004D5CFA">
        <w:rPr>
          <w:rFonts w:eastAsia="Times New Roman"/>
          <w:sz w:val="20"/>
          <w:szCs w:val="20"/>
        </w:rPr>
        <w:t>hibrida</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Scientia</w:t>
      </w:r>
      <w:proofErr w:type="spellEnd"/>
      <w:r w:rsidR="008E623D" w:rsidRPr="004D5CFA">
        <w:rPr>
          <w:rFonts w:eastAsia="Times New Roman"/>
          <w:sz w:val="20"/>
          <w:szCs w:val="20"/>
        </w:rPr>
        <w:t xml:space="preserve"> </w:t>
      </w:r>
      <w:proofErr w:type="spellStart"/>
      <w:r w:rsidR="008E623D" w:rsidRPr="004D5CFA">
        <w:rPr>
          <w:rFonts w:eastAsia="Times New Roman"/>
          <w:sz w:val="20"/>
          <w:szCs w:val="20"/>
        </w:rPr>
        <w:t>horticulturae</w:t>
      </w:r>
      <w:proofErr w:type="spellEnd"/>
      <w:r w:rsidR="008E623D" w:rsidRPr="004D5CFA">
        <w:rPr>
          <w:rFonts w:eastAsia="Times New Roman"/>
          <w:sz w:val="20"/>
          <w:szCs w:val="20"/>
        </w:rPr>
        <w:t>.</w:t>
      </w:r>
      <w:r w:rsidR="00FE3101">
        <w:rPr>
          <w:rFonts w:eastAsia="Times New Roman"/>
          <w:sz w:val="20"/>
          <w:szCs w:val="20"/>
        </w:rPr>
        <w:t>,</w:t>
      </w:r>
      <w:r w:rsidR="008E623D" w:rsidRPr="004D5CFA">
        <w:rPr>
          <w:rFonts w:eastAsia="Times New Roman"/>
          <w:sz w:val="20"/>
          <w:szCs w:val="20"/>
        </w:rPr>
        <w:t xml:space="preserve"> 113(1): 74-81</w:t>
      </w:r>
    </w:p>
    <w:p w:rsidR="00A810AA" w:rsidRPr="004D5CFA" w:rsidRDefault="00A810AA" w:rsidP="00A810AA">
      <w:pPr>
        <w:numPr>
          <w:ilvl w:val="0"/>
          <w:numId w:val="26"/>
        </w:numPr>
        <w:snapToGrid w:val="0"/>
        <w:ind w:left="426"/>
        <w:jc w:val="both"/>
        <w:rPr>
          <w:rFonts w:eastAsia="Times New Roman"/>
          <w:sz w:val="20"/>
          <w:szCs w:val="20"/>
        </w:rPr>
      </w:pPr>
      <w:r w:rsidRPr="004D5CFA">
        <w:rPr>
          <w:rFonts w:eastAsia="Times New Roman"/>
          <w:sz w:val="20"/>
          <w:szCs w:val="20"/>
        </w:rPr>
        <w:lastRenderedPageBreak/>
        <w:t>D</w:t>
      </w:r>
      <w:r w:rsidR="008E623D" w:rsidRPr="004D5CFA">
        <w:rPr>
          <w:rFonts w:eastAsia="Times New Roman"/>
          <w:sz w:val="20"/>
          <w:szCs w:val="20"/>
        </w:rPr>
        <w:t xml:space="preserve">as R. 2003. Characterization of response of </w:t>
      </w:r>
      <w:proofErr w:type="spellStart"/>
      <w:r w:rsidR="008E623D" w:rsidRPr="004D5CFA">
        <w:rPr>
          <w:rFonts w:eastAsia="Times New Roman"/>
          <w:sz w:val="20"/>
          <w:szCs w:val="20"/>
        </w:rPr>
        <w:t>Brassica</w:t>
      </w:r>
      <w:proofErr w:type="spellEnd"/>
      <w:r w:rsidR="008E623D" w:rsidRPr="004D5CFA">
        <w:rPr>
          <w:rFonts w:eastAsia="Times New Roman"/>
          <w:sz w:val="20"/>
          <w:szCs w:val="20"/>
        </w:rPr>
        <w:t xml:space="preserve"> cultivars to elevated carbon dioxide under moisture stress. Ph. D. Thesis, Indian Agricultural Research Institute, New Delhi.</w:t>
      </w:r>
    </w:p>
    <w:p w:rsidR="00A810AA" w:rsidRPr="004D5CFA" w:rsidRDefault="00A810AA" w:rsidP="00A810AA">
      <w:pPr>
        <w:numPr>
          <w:ilvl w:val="0"/>
          <w:numId w:val="26"/>
        </w:numPr>
        <w:snapToGrid w:val="0"/>
        <w:ind w:left="426"/>
        <w:jc w:val="both"/>
        <w:rPr>
          <w:sz w:val="20"/>
          <w:szCs w:val="20"/>
        </w:rPr>
      </w:pPr>
      <w:proofErr w:type="spellStart"/>
      <w:r w:rsidRPr="004D5CFA">
        <w:rPr>
          <w:rFonts w:eastAsia="Times New Roman"/>
          <w:sz w:val="20"/>
          <w:szCs w:val="20"/>
        </w:rPr>
        <w:t>U</w:t>
      </w:r>
      <w:r w:rsidR="008E623D" w:rsidRPr="004D5CFA">
        <w:rPr>
          <w:rFonts w:eastAsia="Times New Roman"/>
          <w:sz w:val="20"/>
          <w:szCs w:val="20"/>
        </w:rPr>
        <w:t>prety</w:t>
      </w:r>
      <w:proofErr w:type="spellEnd"/>
      <w:r w:rsidR="008E623D" w:rsidRPr="004D5CFA">
        <w:rPr>
          <w:rFonts w:eastAsia="Times New Roman"/>
          <w:sz w:val="20"/>
          <w:szCs w:val="20"/>
        </w:rPr>
        <w:t xml:space="preserve"> D. C.</w:t>
      </w:r>
      <w:r w:rsidR="00FE3101">
        <w:rPr>
          <w:rFonts w:eastAsia="Times New Roman"/>
          <w:sz w:val="20"/>
          <w:szCs w:val="20"/>
        </w:rPr>
        <w:t>,</w:t>
      </w:r>
      <w:r w:rsidR="008E623D" w:rsidRPr="004D5CFA">
        <w:rPr>
          <w:rFonts w:eastAsia="Times New Roman"/>
          <w:sz w:val="20"/>
          <w:szCs w:val="20"/>
        </w:rPr>
        <w:t xml:space="preserve"> </w:t>
      </w:r>
      <w:proofErr w:type="spellStart"/>
      <w:r w:rsidR="008E623D" w:rsidRPr="004D5CFA">
        <w:rPr>
          <w:rFonts w:eastAsia="Times New Roman"/>
          <w:sz w:val="20"/>
          <w:szCs w:val="20"/>
        </w:rPr>
        <w:t>Dwivedi</w:t>
      </w:r>
      <w:proofErr w:type="spellEnd"/>
      <w:r w:rsidR="008E623D" w:rsidRPr="004D5CFA">
        <w:rPr>
          <w:rFonts w:eastAsia="Times New Roman"/>
          <w:sz w:val="20"/>
          <w:szCs w:val="20"/>
        </w:rPr>
        <w:t xml:space="preserve"> N. J.</w:t>
      </w:r>
      <w:r w:rsidR="00FE3101">
        <w:rPr>
          <w:rFonts w:eastAsia="Times New Roman"/>
          <w:sz w:val="20"/>
          <w:szCs w:val="20"/>
        </w:rPr>
        <w:t>,</w:t>
      </w:r>
      <w:r w:rsidR="008E623D" w:rsidRPr="004D5CFA">
        <w:rPr>
          <w:rFonts w:eastAsia="Times New Roman"/>
          <w:sz w:val="20"/>
          <w:szCs w:val="20"/>
        </w:rPr>
        <w:t xml:space="preserve"> and Mohan V. R. 2002. Effect of elevated carbon dioxide concentration on the </w:t>
      </w:r>
      <w:proofErr w:type="spellStart"/>
      <w:r w:rsidR="008E623D" w:rsidRPr="004D5CFA">
        <w:rPr>
          <w:rFonts w:eastAsia="Times New Roman"/>
          <w:sz w:val="20"/>
          <w:szCs w:val="20"/>
        </w:rPr>
        <w:t>stomatal</w:t>
      </w:r>
      <w:proofErr w:type="spellEnd"/>
      <w:r w:rsidR="008E623D" w:rsidRPr="004D5CFA">
        <w:rPr>
          <w:rFonts w:eastAsia="Times New Roman"/>
          <w:sz w:val="20"/>
          <w:szCs w:val="20"/>
        </w:rPr>
        <w:t xml:space="preserve"> parameters of rice cultivars. </w:t>
      </w:r>
      <w:proofErr w:type="spellStart"/>
      <w:r w:rsidR="008E623D" w:rsidRPr="004D5CFA">
        <w:rPr>
          <w:rFonts w:eastAsia="Times New Roman"/>
          <w:sz w:val="20"/>
          <w:szCs w:val="20"/>
        </w:rPr>
        <w:t>Photosynthetica</w:t>
      </w:r>
      <w:proofErr w:type="spellEnd"/>
      <w:r w:rsidR="008E623D" w:rsidRPr="004D5CFA">
        <w:rPr>
          <w:rFonts w:eastAsia="Times New Roman"/>
          <w:sz w:val="20"/>
          <w:szCs w:val="20"/>
        </w:rPr>
        <w:t>.</w:t>
      </w:r>
      <w:r w:rsidR="00FE3101">
        <w:rPr>
          <w:rFonts w:eastAsia="Times New Roman"/>
          <w:sz w:val="20"/>
          <w:szCs w:val="20"/>
        </w:rPr>
        <w:t>,</w:t>
      </w:r>
      <w:r w:rsidR="008E623D" w:rsidRPr="004D5CFA">
        <w:rPr>
          <w:rFonts w:eastAsia="Times New Roman"/>
          <w:sz w:val="20"/>
          <w:szCs w:val="20"/>
        </w:rPr>
        <w:t xml:space="preserve"> 40: 315–319.</w:t>
      </w:r>
    </w:p>
    <w:p w:rsidR="00A810AA" w:rsidRPr="004D5CFA" w:rsidRDefault="00A810AA" w:rsidP="00A810AA">
      <w:pPr>
        <w:numPr>
          <w:ilvl w:val="0"/>
          <w:numId w:val="26"/>
        </w:numPr>
        <w:snapToGrid w:val="0"/>
        <w:ind w:left="426"/>
        <w:jc w:val="both"/>
        <w:rPr>
          <w:sz w:val="20"/>
          <w:szCs w:val="20"/>
        </w:rPr>
      </w:pPr>
      <w:r w:rsidRPr="004D5CFA">
        <w:rPr>
          <w:sz w:val="20"/>
          <w:szCs w:val="20"/>
        </w:rPr>
        <w:t>T</w:t>
      </w:r>
      <w:r w:rsidR="008E623D" w:rsidRPr="004D5CFA">
        <w:rPr>
          <w:sz w:val="20"/>
          <w:szCs w:val="20"/>
        </w:rPr>
        <w:t xml:space="preserve">hayer </w:t>
      </w:r>
      <w:proofErr w:type="spellStart"/>
      <w:r w:rsidR="008E623D" w:rsidRPr="004D5CFA">
        <w:rPr>
          <w:sz w:val="20"/>
          <w:szCs w:val="20"/>
        </w:rPr>
        <w:t>H.Roger</w:t>
      </w:r>
      <w:proofErr w:type="spellEnd"/>
      <w:r w:rsidR="008E623D" w:rsidRPr="004D5CFA">
        <w:rPr>
          <w:sz w:val="20"/>
          <w:szCs w:val="20"/>
        </w:rPr>
        <w:t>, Eco Enterpries.2007. Carbon Dioxide Enrichment Methods [online].Available from: http/www.hydrofarm.com/articles/co2_enrichment.php[accessed 12/12/2006].</w:t>
      </w:r>
    </w:p>
    <w:p w:rsidR="00A810AA" w:rsidRPr="004D5CFA" w:rsidRDefault="00A810AA" w:rsidP="00A810AA">
      <w:pPr>
        <w:numPr>
          <w:ilvl w:val="0"/>
          <w:numId w:val="26"/>
        </w:numPr>
        <w:snapToGrid w:val="0"/>
        <w:ind w:left="426"/>
        <w:jc w:val="both"/>
        <w:rPr>
          <w:sz w:val="20"/>
          <w:szCs w:val="20"/>
        </w:rPr>
      </w:pPr>
      <w:proofErr w:type="spellStart"/>
      <w:r w:rsidRPr="004D5CFA">
        <w:rPr>
          <w:sz w:val="20"/>
          <w:szCs w:val="20"/>
        </w:rPr>
        <w:t>W</w:t>
      </w:r>
      <w:r w:rsidR="008E623D" w:rsidRPr="004D5CFA">
        <w:rPr>
          <w:sz w:val="20"/>
          <w:szCs w:val="20"/>
        </w:rPr>
        <w:t>ittwer</w:t>
      </w:r>
      <w:proofErr w:type="spellEnd"/>
      <w:r w:rsidR="008E623D" w:rsidRPr="004D5CFA">
        <w:rPr>
          <w:sz w:val="20"/>
          <w:szCs w:val="20"/>
        </w:rPr>
        <w:t>, S. H., and W. M. Robb. 1964. Carbon dioxide enrichment of greenhouse atmospheres for food crop production Bot. 18:34-56.</w:t>
      </w:r>
    </w:p>
    <w:p w:rsidR="00A810AA" w:rsidRPr="004D5CFA" w:rsidRDefault="00A810AA" w:rsidP="00A810AA">
      <w:pPr>
        <w:numPr>
          <w:ilvl w:val="0"/>
          <w:numId w:val="26"/>
        </w:numPr>
        <w:snapToGrid w:val="0"/>
        <w:ind w:left="426"/>
        <w:jc w:val="both"/>
        <w:rPr>
          <w:sz w:val="20"/>
          <w:szCs w:val="20"/>
        </w:rPr>
      </w:pPr>
      <w:proofErr w:type="spellStart"/>
      <w:r w:rsidRPr="004D5CFA">
        <w:rPr>
          <w:sz w:val="20"/>
          <w:szCs w:val="20"/>
        </w:rPr>
        <w:t>W</w:t>
      </w:r>
      <w:r w:rsidR="008E623D" w:rsidRPr="004D5CFA">
        <w:rPr>
          <w:sz w:val="20"/>
          <w:szCs w:val="20"/>
        </w:rPr>
        <w:t>ittwer</w:t>
      </w:r>
      <w:proofErr w:type="spellEnd"/>
      <w:r w:rsidR="008E623D" w:rsidRPr="004D5CFA">
        <w:rPr>
          <w:sz w:val="20"/>
          <w:szCs w:val="20"/>
        </w:rPr>
        <w:t xml:space="preserve">, S. H. 1966. Carbon dioxide and its </w:t>
      </w:r>
      <w:proofErr w:type="spellStart"/>
      <w:r w:rsidR="008E623D" w:rsidRPr="004D5CFA">
        <w:rPr>
          <w:sz w:val="20"/>
          <w:szCs w:val="20"/>
        </w:rPr>
        <w:t>rol</w:t>
      </w:r>
      <w:proofErr w:type="spellEnd"/>
      <w:r w:rsidR="008E623D" w:rsidRPr="004D5CFA">
        <w:rPr>
          <w:sz w:val="20"/>
          <w:szCs w:val="20"/>
        </w:rPr>
        <w:t xml:space="preserve"> in plant growth. Proc. 17th Intl. Hort. Cong. 3:311-322.</w:t>
      </w:r>
    </w:p>
    <w:p w:rsidR="00A810AA" w:rsidRPr="004D5CFA" w:rsidRDefault="00A810AA" w:rsidP="00A810AA">
      <w:pPr>
        <w:numPr>
          <w:ilvl w:val="0"/>
          <w:numId w:val="26"/>
        </w:numPr>
        <w:snapToGrid w:val="0"/>
        <w:ind w:left="426"/>
        <w:jc w:val="both"/>
        <w:rPr>
          <w:sz w:val="20"/>
          <w:szCs w:val="20"/>
        </w:rPr>
      </w:pPr>
      <w:r w:rsidRPr="004D5CFA">
        <w:rPr>
          <w:sz w:val="20"/>
          <w:szCs w:val="20"/>
        </w:rPr>
        <w:t>N</w:t>
      </w:r>
      <w:r w:rsidR="008E623D" w:rsidRPr="004D5CFA">
        <w:rPr>
          <w:sz w:val="20"/>
          <w:szCs w:val="20"/>
        </w:rPr>
        <w:t>elson, P.V.,</w:t>
      </w:r>
      <w:r w:rsidR="00FE3101">
        <w:rPr>
          <w:rFonts w:hint="eastAsia"/>
          <w:sz w:val="20"/>
          <w:szCs w:val="20"/>
          <w:lang w:eastAsia="zh-CN"/>
        </w:rPr>
        <w:t xml:space="preserve"> </w:t>
      </w:r>
      <w:r w:rsidR="008E623D" w:rsidRPr="004D5CFA">
        <w:rPr>
          <w:sz w:val="20"/>
          <w:szCs w:val="20"/>
        </w:rPr>
        <w:t>and R. A. Larson. 1969. The effects of increased co</w:t>
      </w:r>
      <w:r w:rsidR="008E623D" w:rsidRPr="004D5CFA">
        <w:rPr>
          <w:sz w:val="20"/>
          <w:szCs w:val="20"/>
          <w:vertAlign w:val="subscript"/>
        </w:rPr>
        <w:t>2</w:t>
      </w:r>
      <w:r w:rsidR="008E623D" w:rsidRPr="004D5CFA">
        <w:rPr>
          <w:sz w:val="20"/>
          <w:szCs w:val="20"/>
        </w:rPr>
        <w:t xml:space="preserve"> </w:t>
      </w:r>
      <w:proofErr w:type="spellStart"/>
      <w:r w:rsidR="008E623D" w:rsidRPr="004D5CFA">
        <w:rPr>
          <w:sz w:val="20"/>
          <w:szCs w:val="20"/>
        </w:rPr>
        <w:t>conecentration</w:t>
      </w:r>
      <w:proofErr w:type="spellEnd"/>
      <w:r w:rsidR="008E623D" w:rsidRPr="004D5CFA">
        <w:rPr>
          <w:sz w:val="20"/>
          <w:szCs w:val="20"/>
        </w:rPr>
        <w:t xml:space="preserve"> on chrysanthemum and snapdragon. North Carolina </w:t>
      </w:r>
      <w:proofErr w:type="spellStart"/>
      <w:r w:rsidR="008E623D" w:rsidRPr="004D5CFA">
        <w:rPr>
          <w:sz w:val="20"/>
          <w:szCs w:val="20"/>
        </w:rPr>
        <w:t>Agr</w:t>
      </w:r>
      <w:proofErr w:type="spellEnd"/>
      <w:r w:rsidR="008E623D" w:rsidRPr="004D5CFA">
        <w:rPr>
          <w:sz w:val="20"/>
          <w:szCs w:val="20"/>
        </w:rPr>
        <w:t>. Exp. Sta. Tech. Bul. 194.</w:t>
      </w:r>
    </w:p>
    <w:p w:rsidR="00A810AA" w:rsidRPr="004D5CFA" w:rsidRDefault="00A810AA" w:rsidP="00A810AA">
      <w:pPr>
        <w:numPr>
          <w:ilvl w:val="0"/>
          <w:numId w:val="26"/>
        </w:numPr>
        <w:snapToGrid w:val="0"/>
        <w:ind w:left="426"/>
        <w:jc w:val="both"/>
        <w:rPr>
          <w:sz w:val="20"/>
          <w:szCs w:val="20"/>
        </w:rPr>
      </w:pPr>
      <w:r w:rsidRPr="004D5CFA">
        <w:rPr>
          <w:sz w:val="20"/>
          <w:szCs w:val="20"/>
        </w:rPr>
        <w:t>H</w:t>
      </w:r>
      <w:r w:rsidR="008E623D" w:rsidRPr="004D5CFA">
        <w:rPr>
          <w:sz w:val="20"/>
          <w:szCs w:val="20"/>
        </w:rPr>
        <w:t xml:space="preserve">and, D. W. 1971. </w:t>
      </w:r>
      <w:proofErr w:type="gramStart"/>
      <w:r w:rsidR="008E623D" w:rsidRPr="004D5CFA">
        <w:rPr>
          <w:sz w:val="20"/>
          <w:szCs w:val="20"/>
        </w:rPr>
        <w:t>co</w:t>
      </w:r>
      <w:r w:rsidR="008E623D" w:rsidRPr="004D5CFA">
        <w:rPr>
          <w:sz w:val="20"/>
          <w:szCs w:val="20"/>
          <w:vertAlign w:val="subscript"/>
        </w:rPr>
        <w:t>2</w:t>
      </w:r>
      <w:proofErr w:type="gramEnd"/>
      <w:r w:rsidR="008E623D" w:rsidRPr="004D5CFA">
        <w:rPr>
          <w:sz w:val="20"/>
          <w:szCs w:val="20"/>
        </w:rPr>
        <w:t xml:space="preserve"> and hydrocarbon fuels. ADAS </w:t>
      </w:r>
      <w:proofErr w:type="spellStart"/>
      <w:r w:rsidR="008E623D" w:rsidRPr="004D5CFA">
        <w:rPr>
          <w:sz w:val="20"/>
          <w:szCs w:val="20"/>
        </w:rPr>
        <w:t>Qte</w:t>
      </w:r>
      <w:proofErr w:type="spellEnd"/>
      <w:r w:rsidR="008E623D" w:rsidRPr="004D5CFA">
        <w:rPr>
          <w:sz w:val="20"/>
          <w:szCs w:val="20"/>
        </w:rPr>
        <w:t xml:space="preserve">. </w:t>
      </w:r>
      <w:proofErr w:type="spellStart"/>
      <w:r w:rsidR="008E623D" w:rsidRPr="004D5CFA">
        <w:rPr>
          <w:sz w:val="20"/>
          <w:szCs w:val="20"/>
        </w:rPr>
        <w:t>Reviwe</w:t>
      </w:r>
      <w:proofErr w:type="spellEnd"/>
      <w:r w:rsidR="008E623D" w:rsidRPr="004D5CFA">
        <w:rPr>
          <w:sz w:val="20"/>
          <w:szCs w:val="20"/>
        </w:rPr>
        <w:t xml:space="preserve"> 1:18-23.</w:t>
      </w:r>
    </w:p>
    <w:p w:rsidR="00A810AA" w:rsidRPr="004D5CFA" w:rsidRDefault="00A810AA" w:rsidP="00A810AA">
      <w:pPr>
        <w:numPr>
          <w:ilvl w:val="0"/>
          <w:numId w:val="26"/>
        </w:numPr>
        <w:snapToGrid w:val="0"/>
        <w:ind w:left="426"/>
        <w:jc w:val="both"/>
        <w:rPr>
          <w:sz w:val="20"/>
          <w:szCs w:val="20"/>
        </w:rPr>
      </w:pPr>
      <w:proofErr w:type="spellStart"/>
      <w:r w:rsidRPr="004D5CFA">
        <w:rPr>
          <w:sz w:val="20"/>
          <w:szCs w:val="20"/>
        </w:rPr>
        <w:t>G</w:t>
      </w:r>
      <w:r w:rsidR="008E623D" w:rsidRPr="004D5CFA">
        <w:rPr>
          <w:sz w:val="20"/>
          <w:szCs w:val="20"/>
        </w:rPr>
        <w:t>aastra</w:t>
      </w:r>
      <w:proofErr w:type="spellEnd"/>
      <w:r w:rsidR="008E623D" w:rsidRPr="004D5CFA">
        <w:rPr>
          <w:sz w:val="20"/>
          <w:szCs w:val="20"/>
        </w:rPr>
        <w:t xml:space="preserve">, P. 1966. Some physiological aspects of CO2 application in glasshouse culture. In </w:t>
      </w:r>
      <w:proofErr w:type="spellStart"/>
      <w:r w:rsidR="008E623D" w:rsidRPr="004D5CFA">
        <w:rPr>
          <w:sz w:val="20"/>
          <w:szCs w:val="20"/>
        </w:rPr>
        <w:t>Hardh</w:t>
      </w:r>
      <w:proofErr w:type="spellEnd"/>
      <w:r w:rsidR="008E623D" w:rsidRPr="004D5CFA">
        <w:rPr>
          <w:sz w:val="20"/>
          <w:szCs w:val="20"/>
        </w:rPr>
        <w:t>, J.E., ed. Symposium on vegetable growing under glass. ACTA Hort.4:111-116.</w:t>
      </w:r>
      <w:bookmarkStart w:id="13" w:name="_Toc334821065"/>
      <w:bookmarkStart w:id="14" w:name="_Toc334825000"/>
      <w:bookmarkStart w:id="15" w:name="_Toc335078810"/>
    </w:p>
    <w:p w:rsidR="00A810AA" w:rsidRPr="004D5CFA" w:rsidRDefault="00A810AA" w:rsidP="00A810AA">
      <w:pPr>
        <w:numPr>
          <w:ilvl w:val="0"/>
          <w:numId w:val="26"/>
        </w:numPr>
        <w:snapToGrid w:val="0"/>
        <w:ind w:left="426"/>
        <w:jc w:val="both"/>
        <w:rPr>
          <w:sz w:val="20"/>
          <w:szCs w:val="20"/>
        </w:rPr>
      </w:pPr>
      <w:proofErr w:type="spellStart"/>
      <w:r w:rsidRPr="004D5CFA">
        <w:rPr>
          <w:sz w:val="20"/>
          <w:szCs w:val="20"/>
        </w:rPr>
        <w:t>A</w:t>
      </w:r>
      <w:r w:rsidR="008E623D" w:rsidRPr="004D5CFA">
        <w:rPr>
          <w:sz w:val="20"/>
          <w:szCs w:val="20"/>
        </w:rPr>
        <w:t>killi</w:t>
      </w:r>
      <w:proofErr w:type="spellEnd"/>
      <w:r w:rsidR="008E623D" w:rsidRPr="004D5CFA">
        <w:rPr>
          <w:sz w:val="20"/>
          <w:szCs w:val="20"/>
        </w:rPr>
        <w:t xml:space="preserve">, M., </w:t>
      </w:r>
      <w:proofErr w:type="spellStart"/>
      <w:r w:rsidR="008E623D" w:rsidRPr="004D5CFA">
        <w:rPr>
          <w:sz w:val="20"/>
          <w:szCs w:val="20"/>
        </w:rPr>
        <w:t>Ozmerzi</w:t>
      </w:r>
      <w:proofErr w:type="spellEnd"/>
      <w:r w:rsidR="008E623D" w:rsidRPr="004D5CFA">
        <w:rPr>
          <w:sz w:val="20"/>
          <w:szCs w:val="20"/>
        </w:rPr>
        <w:t xml:space="preserve">, A., </w:t>
      </w:r>
      <w:proofErr w:type="spellStart"/>
      <w:r w:rsidR="008E623D" w:rsidRPr="004D5CFA">
        <w:rPr>
          <w:sz w:val="20"/>
          <w:szCs w:val="20"/>
        </w:rPr>
        <w:t>Ercan</w:t>
      </w:r>
      <w:proofErr w:type="spellEnd"/>
      <w:r w:rsidR="008E623D" w:rsidRPr="004D5CFA">
        <w:rPr>
          <w:sz w:val="20"/>
          <w:szCs w:val="20"/>
        </w:rPr>
        <w:t xml:space="preserve">, N., 2000.Effect of co2 enrichment on yield of some vegetables grown in greenhouses. </w:t>
      </w:r>
      <w:proofErr w:type="spellStart"/>
      <w:r w:rsidR="008E623D" w:rsidRPr="004D5CFA">
        <w:rPr>
          <w:sz w:val="20"/>
          <w:szCs w:val="20"/>
        </w:rPr>
        <w:t>Acta</w:t>
      </w:r>
      <w:proofErr w:type="spellEnd"/>
      <w:r w:rsidR="008E623D" w:rsidRPr="004D5CFA">
        <w:rPr>
          <w:sz w:val="20"/>
          <w:szCs w:val="20"/>
        </w:rPr>
        <w:t xml:space="preserve"> Hort. 534, 231-234</w:t>
      </w:r>
      <w:bookmarkEnd w:id="13"/>
      <w:bookmarkEnd w:id="14"/>
      <w:bookmarkEnd w:id="15"/>
    </w:p>
    <w:p w:rsidR="0030034F" w:rsidRPr="004D5CFA" w:rsidRDefault="00A810AA" w:rsidP="00A810AA">
      <w:pPr>
        <w:numPr>
          <w:ilvl w:val="0"/>
          <w:numId w:val="26"/>
        </w:numPr>
        <w:snapToGrid w:val="0"/>
        <w:ind w:left="426"/>
        <w:jc w:val="both"/>
        <w:rPr>
          <w:sz w:val="20"/>
          <w:szCs w:val="20"/>
        </w:rPr>
      </w:pPr>
      <w:proofErr w:type="spellStart"/>
      <w:r w:rsidRPr="004D5CFA">
        <w:rPr>
          <w:sz w:val="20"/>
          <w:szCs w:val="20"/>
        </w:rPr>
        <w:t>C</w:t>
      </w:r>
      <w:r w:rsidR="008E623D" w:rsidRPr="004D5CFA">
        <w:rPr>
          <w:sz w:val="20"/>
          <w:szCs w:val="20"/>
        </w:rPr>
        <w:t>halabi</w:t>
      </w:r>
      <w:proofErr w:type="spellEnd"/>
      <w:r w:rsidR="008E623D" w:rsidRPr="004D5CFA">
        <w:rPr>
          <w:sz w:val="20"/>
          <w:szCs w:val="20"/>
        </w:rPr>
        <w:t xml:space="preserve">, Z.S., and </w:t>
      </w:r>
      <w:proofErr w:type="spellStart"/>
      <w:r w:rsidR="008E623D" w:rsidRPr="004D5CFA">
        <w:rPr>
          <w:sz w:val="20"/>
          <w:szCs w:val="20"/>
        </w:rPr>
        <w:t>Critten</w:t>
      </w:r>
      <w:proofErr w:type="spellEnd"/>
      <w:r w:rsidR="008E623D" w:rsidRPr="004D5CFA">
        <w:rPr>
          <w:sz w:val="20"/>
          <w:szCs w:val="20"/>
        </w:rPr>
        <w:t xml:space="preserve">, D.L., “The influence of real time filtering strategies </w:t>
      </w:r>
      <w:proofErr w:type="spellStart"/>
      <w:r w:rsidR="008E623D" w:rsidRPr="004D5CFA">
        <w:rPr>
          <w:sz w:val="20"/>
          <w:szCs w:val="20"/>
        </w:rPr>
        <w:t>on</w:t>
      </w:r>
      <w:bookmarkStart w:id="16" w:name="_Toc334821064"/>
      <w:bookmarkStart w:id="17" w:name="_Toc334824999"/>
      <w:bookmarkStart w:id="18" w:name="_Toc335078809"/>
      <w:r w:rsidR="008E623D" w:rsidRPr="004D5CFA">
        <w:rPr>
          <w:sz w:val="20"/>
          <w:szCs w:val="20"/>
        </w:rPr>
        <w:t>Optimal</w:t>
      </w:r>
      <w:proofErr w:type="spellEnd"/>
      <w:r w:rsidR="008E623D" w:rsidRPr="004D5CFA">
        <w:rPr>
          <w:sz w:val="20"/>
          <w:szCs w:val="20"/>
        </w:rPr>
        <w:t xml:space="preserve"> co2 concentration for a greenhouse lettuce crop”, </w:t>
      </w:r>
      <w:proofErr w:type="spellStart"/>
      <w:r w:rsidR="008E623D" w:rsidRPr="004D5CFA">
        <w:rPr>
          <w:sz w:val="20"/>
          <w:szCs w:val="20"/>
        </w:rPr>
        <w:t>Acta</w:t>
      </w:r>
      <w:proofErr w:type="spellEnd"/>
      <w:r w:rsidR="008E623D" w:rsidRPr="004D5CFA">
        <w:rPr>
          <w:sz w:val="20"/>
          <w:szCs w:val="20"/>
        </w:rPr>
        <w:t xml:space="preserve"> </w:t>
      </w:r>
      <w:proofErr w:type="spellStart"/>
      <w:r w:rsidR="008E623D" w:rsidRPr="004D5CFA">
        <w:rPr>
          <w:sz w:val="20"/>
          <w:szCs w:val="20"/>
        </w:rPr>
        <w:t>Horticulturae</w:t>
      </w:r>
      <w:proofErr w:type="spellEnd"/>
      <w:r w:rsidR="008E623D" w:rsidRPr="004D5CFA">
        <w:rPr>
          <w:sz w:val="20"/>
          <w:szCs w:val="20"/>
        </w:rPr>
        <w:t xml:space="preserve"> 2688 (1990): 139-148.</w:t>
      </w:r>
      <w:bookmarkEnd w:id="16"/>
      <w:bookmarkEnd w:id="17"/>
      <w:bookmarkEnd w:id="18"/>
    </w:p>
    <w:p w:rsidR="004D5CFA" w:rsidRDefault="004D5CFA" w:rsidP="004D5CFA">
      <w:pPr>
        <w:snapToGrid w:val="0"/>
        <w:ind w:left="425" w:hanging="425"/>
        <w:contextualSpacing/>
        <w:jc w:val="both"/>
        <w:rPr>
          <w:b/>
          <w:bCs/>
          <w:sz w:val="20"/>
          <w:szCs w:val="20"/>
        </w:rPr>
        <w:sectPr w:rsidR="004D5CFA" w:rsidSect="00F305D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4D5CFA" w:rsidRDefault="004D5CFA" w:rsidP="004D5CFA">
      <w:pPr>
        <w:snapToGrid w:val="0"/>
        <w:ind w:left="425" w:hanging="425"/>
        <w:contextualSpacing/>
        <w:jc w:val="both"/>
        <w:rPr>
          <w:b/>
          <w:bCs/>
          <w:sz w:val="20"/>
          <w:szCs w:val="20"/>
          <w:lang w:eastAsia="zh-CN"/>
        </w:rPr>
      </w:pPr>
    </w:p>
    <w:p w:rsidR="00A810AA" w:rsidRDefault="00A810AA" w:rsidP="004D5CFA">
      <w:pPr>
        <w:snapToGrid w:val="0"/>
        <w:ind w:left="425" w:hanging="425"/>
        <w:contextualSpacing/>
        <w:jc w:val="both"/>
        <w:rPr>
          <w:b/>
          <w:bCs/>
          <w:sz w:val="20"/>
          <w:szCs w:val="20"/>
          <w:lang w:eastAsia="zh-CN"/>
        </w:rPr>
      </w:pPr>
    </w:p>
    <w:p w:rsidR="00A810AA" w:rsidRDefault="00A810AA" w:rsidP="004D5CFA">
      <w:pPr>
        <w:snapToGrid w:val="0"/>
        <w:ind w:left="425" w:hanging="425"/>
        <w:contextualSpacing/>
        <w:jc w:val="both"/>
        <w:rPr>
          <w:b/>
          <w:bCs/>
          <w:sz w:val="20"/>
          <w:szCs w:val="20"/>
          <w:lang w:eastAsia="zh-CN"/>
        </w:rPr>
      </w:pPr>
    </w:p>
    <w:p w:rsidR="006600EA" w:rsidRPr="00A810AA" w:rsidRDefault="004D5CFA" w:rsidP="004D5CFA">
      <w:pPr>
        <w:snapToGrid w:val="0"/>
        <w:ind w:left="425" w:hanging="425"/>
        <w:contextualSpacing/>
        <w:jc w:val="both"/>
        <w:rPr>
          <w:bCs/>
          <w:sz w:val="20"/>
          <w:szCs w:val="20"/>
        </w:rPr>
      </w:pPr>
      <w:r w:rsidRPr="00A810AA">
        <w:rPr>
          <w:bCs/>
          <w:sz w:val="20"/>
          <w:szCs w:val="20"/>
        </w:rPr>
        <w:t>2/13/2014</w:t>
      </w:r>
    </w:p>
    <w:sectPr w:rsidR="006600EA" w:rsidRPr="00A810AA" w:rsidSect="00F305D6">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148" w:rsidRDefault="00E36148">
      <w:r>
        <w:separator/>
      </w:r>
    </w:p>
  </w:endnote>
  <w:endnote w:type="continuationSeparator" w:id="0">
    <w:p w:rsidR="00E36148" w:rsidRDefault="00E3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 Zar">
    <w:altName w:val="Times New Roman"/>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E0" w:rsidRDefault="00B23F50" w:rsidP="00B3167C">
    <w:pPr>
      <w:pStyle w:val="Footer"/>
      <w:framePr w:wrap="around" w:vAnchor="text" w:hAnchor="margin" w:xAlign="center" w:y="1"/>
      <w:rPr>
        <w:rStyle w:val="PageNumber"/>
      </w:rPr>
    </w:pPr>
    <w:r>
      <w:rPr>
        <w:rStyle w:val="PageNumber"/>
      </w:rPr>
      <w:fldChar w:fldCharType="begin"/>
    </w:r>
    <w:r w:rsidR="002710E0">
      <w:rPr>
        <w:rStyle w:val="PageNumber"/>
      </w:rPr>
      <w:instrText xml:space="preserve">PAGE  </w:instrText>
    </w:r>
    <w:r>
      <w:rPr>
        <w:rStyle w:val="PageNumber"/>
      </w:rPr>
      <w:fldChar w:fldCharType="end"/>
    </w:r>
  </w:p>
  <w:p w:rsidR="002710E0" w:rsidRDefault="002710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0E0" w:rsidRPr="004D5CFA" w:rsidRDefault="00B23F50" w:rsidP="004D5CFA">
    <w:pPr>
      <w:jc w:val="center"/>
      <w:rPr>
        <w:sz w:val="20"/>
      </w:rPr>
    </w:pPr>
    <w:r w:rsidRPr="004D5CFA">
      <w:rPr>
        <w:sz w:val="20"/>
      </w:rPr>
      <w:fldChar w:fldCharType="begin"/>
    </w:r>
    <w:r w:rsidR="004D5CFA" w:rsidRPr="004D5CFA">
      <w:rPr>
        <w:sz w:val="20"/>
      </w:rPr>
      <w:instrText xml:space="preserve"> page </w:instrText>
    </w:r>
    <w:r w:rsidRPr="004D5CFA">
      <w:rPr>
        <w:sz w:val="20"/>
      </w:rPr>
      <w:fldChar w:fldCharType="separate"/>
    </w:r>
    <w:r w:rsidR="00952525">
      <w:rPr>
        <w:noProof/>
        <w:sz w:val="20"/>
      </w:rPr>
      <w:t>106</w:t>
    </w:r>
    <w:r w:rsidRPr="004D5CF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148" w:rsidRDefault="00E36148">
      <w:r>
        <w:separator/>
      </w:r>
    </w:p>
  </w:footnote>
  <w:footnote w:type="continuationSeparator" w:id="0">
    <w:p w:rsidR="00E36148" w:rsidRDefault="00E3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FA" w:rsidRPr="004D5CFA" w:rsidRDefault="004D5CFA" w:rsidP="004D5CFA">
    <w:pPr>
      <w:pBdr>
        <w:bottom w:val="thinThickMediumGap" w:sz="12" w:space="1" w:color="auto"/>
      </w:pBdr>
      <w:tabs>
        <w:tab w:val="left" w:pos="851"/>
        <w:tab w:val="right" w:pos="8364"/>
      </w:tabs>
      <w:adjustRightInd w:val="0"/>
      <w:snapToGrid w:val="0"/>
      <w:jc w:val="both"/>
      <w:rPr>
        <w:iCs/>
        <w:sz w:val="20"/>
        <w:szCs w:val="20"/>
      </w:rPr>
    </w:pPr>
    <w:r w:rsidRPr="004D5CFA">
      <w:rPr>
        <w:rFonts w:hint="eastAsia"/>
        <w:sz w:val="20"/>
        <w:szCs w:val="20"/>
      </w:rPr>
      <w:tab/>
    </w:r>
    <w:r w:rsidRPr="004D5CFA">
      <w:rPr>
        <w:sz w:val="20"/>
        <w:szCs w:val="20"/>
      </w:rPr>
      <w:t>New York Science Journal 201</w:t>
    </w:r>
    <w:r w:rsidRPr="004D5CFA">
      <w:rPr>
        <w:rFonts w:hint="eastAsia"/>
        <w:sz w:val="20"/>
        <w:szCs w:val="20"/>
      </w:rPr>
      <w:t>4</w:t>
    </w:r>
    <w:proofErr w:type="gramStart"/>
    <w:r w:rsidRPr="004D5CFA">
      <w:rPr>
        <w:sz w:val="20"/>
        <w:szCs w:val="20"/>
      </w:rPr>
      <w:t>;</w:t>
    </w:r>
    <w:r w:rsidRPr="004D5CFA">
      <w:rPr>
        <w:rFonts w:hint="eastAsia"/>
        <w:sz w:val="20"/>
        <w:szCs w:val="20"/>
      </w:rPr>
      <w:t>7</w:t>
    </w:r>
    <w:proofErr w:type="gramEnd"/>
    <w:r w:rsidRPr="004D5CFA">
      <w:rPr>
        <w:sz w:val="20"/>
        <w:szCs w:val="20"/>
      </w:rPr>
      <w:t>(</w:t>
    </w:r>
    <w:r w:rsidRPr="004D5CFA">
      <w:rPr>
        <w:rFonts w:hint="eastAsia"/>
        <w:sz w:val="20"/>
        <w:szCs w:val="20"/>
      </w:rPr>
      <w:t>2</w:t>
    </w:r>
    <w:r w:rsidRPr="004D5CFA">
      <w:rPr>
        <w:sz w:val="20"/>
        <w:szCs w:val="20"/>
      </w:rPr>
      <w:t>)</w:t>
    </w:r>
    <w:r w:rsidRPr="004D5CFA">
      <w:rPr>
        <w:iCs/>
        <w:sz w:val="20"/>
        <w:szCs w:val="20"/>
      </w:rPr>
      <w:t xml:space="preserve">     </w:t>
    </w:r>
    <w:r w:rsidRPr="004D5CFA">
      <w:rPr>
        <w:rFonts w:hint="eastAsia"/>
        <w:iCs/>
        <w:sz w:val="20"/>
        <w:szCs w:val="20"/>
      </w:rPr>
      <w:tab/>
    </w:r>
    <w:r w:rsidRPr="004D5CFA">
      <w:rPr>
        <w:iCs/>
        <w:sz w:val="20"/>
        <w:szCs w:val="20"/>
      </w:rPr>
      <w:t xml:space="preserve"> </w:t>
    </w:r>
    <w:r w:rsidRPr="004D5CFA">
      <w:rPr>
        <w:rFonts w:hint="eastAsia"/>
        <w:iCs/>
        <w:sz w:val="20"/>
        <w:szCs w:val="20"/>
      </w:rPr>
      <w:t xml:space="preserve"> </w:t>
    </w:r>
    <w:r w:rsidRPr="004D5CFA">
      <w:rPr>
        <w:iCs/>
        <w:sz w:val="20"/>
        <w:szCs w:val="20"/>
      </w:rPr>
      <w:t xml:space="preserve">   </w:t>
    </w:r>
    <w:hyperlink r:id="rId1" w:history="1">
      <w:r w:rsidRPr="004D5CFA">
        <w:rPr>
          <w:rStyle w:val="Hyperlink"/>
          <w:sz w:val="20"/>
          <w:szCs w:val="20"/>
        </w:rPr>
        <w:t>http://www.sciencepub.net/newyork</w:t>
      </w:r>
    </w:hyperlink>
  </w:p>
  <w:p w:rsidR="004D5CFA" w:rsidRPr="004D5CFA" w:rsidRDefault="004D5CFA" w:rsidP="004D5CF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3E5D9A"/>
    <w:multiLevelType w:val="hybridMultilevel"/>
    <w:tmpl w:val="41D8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1C69C3"/>
    <w:multiLevelType w:val="hybridMultilevel"/>
    <w:tmpl w:val="E90275A0"/>
    <w:lvl w:ilvl="0" w:tplc="DAFC80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344538C"/>
    <w:multiLevelType w:val="hybridMultilevel"/>
    <w:tmpl w:val="D24A21A8"/>
    <w:lvl w:ilvl="0" w:tplc="A86CBE7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1D9D41EB"/>
    <w:multiLevelType w:val="hybridMultilevel"/>
    <w:tmpl w:val="E556C534"/>
    <w:lvl w:ilvl="0" w:tplc="E73A5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74E14"/>
    <w:multiLevelType w:val="hybridMultilevel"/>
    <w:tmpl w:val="B8CABD28"/>
    <w:lvl w:ilvl="0" w:tplc="14B48B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4533CBB"/>
    <w:multiLevelType w:val="hybridMultilevel"/>
    <w:tmpl w:val="BCE08B30"/>
    <w:lvl w:ilvl="0" w:tplc="4B9ACA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4B9B4561"/>
    <w:multiLevelType w:val="hybridMultilevel"/>
    <w:tmpl w:val="D2686C64"/>
    <w:lvl w:ilvl="0" w:tplc="5796A48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05C0CAB"/>
    <w:multiLevelType w:val="hybridMultilevel"/>
    <w:tmpl w:val="2468207E"/>
    <w:lvl w:ilvl="0" w:tplc="739C98FA">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D6366E"/>
    <w:multiLevelType w:val="multilevel"/>
    <w:tmpl w:val="958225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62C45420"/>
    <w:multiLevelType w:val="hybridMultilevel"/>
    <w:tmpl w:val="BFDCE462"/>
    <w:lvl w:ilvl="0" w:tplc="1DFCA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827F3"/>
    <w:multiLevelType w:val="hybridMultilevel"/>
    <w:tmpl w:val="7E24CD28"/>
    <w:lvl w:ilvl="0" w:tplc="18C0C4B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520414B"/>
    <w:multiLevelType w:val="hybridMultilevel"/>
    <w:tmpl w:val="EC8673D2"/>
    <w:lvl w:ilvl="0" w:tplc="24EA75D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9360D1E"/>
    <w:multiLevelType w:val="multilevel"/>
    <w:tmpl w:val="BA1A163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ACE1D27"/>
    <w:multiLevelType w:val="hybridMultilevel"/>
    <w:tmpl w:val="4BD6DF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CDF6A6E"/>
    <w:multiLevelType w:val="hybridMultilevel"/>
    <w:tmpl w:val="8634D7F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4A28AB"/>
    <w:multiLevelType w:val="hybridMultilevel"/>
    <w:tmpl w:val="B06A5E5A"/>
    <w:lvl w:ilvl="0" w:tplc="B18E0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F5F5F"/>
    <w:multiLevelType w:val="multilevel"/>
    <w:tmpl w:val="1BD4FE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8"/>
  </w:num>
  <w:num w:numId="3">
    <w:abstractNumId w:val="2"/>
  </w:num>
  <w:num w:numId="4">
    <w:abstractNumId w:val="11"/>
  </w:num>
  <w:num w:numId="5">
    <w:abstractNumId w:val="12"/>
  </w:num>
  <w:num w:numId="6">
    <w:abstractNumId w:val="16"/>
  </w:num>
  <w:num w:numId="7">
    <w:abstractNumId w:val="2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10"/>
  </w:num>
  <w:num w:numId="19">
    <w:abstractNumId w:val="7"/>
  </w:num>
  <w:num w:numId="20">
    <w:abstractNumId w:val="5"/>
  </w:num>
  <w:num w:numId="21">
    <w:abstractNumId w:val="19"/>
  </w:num>
  <w:num w:numId="22">
    <w:abstractNumId w:val="1"/>
  </w:num>
  <w:num w:numId="23">
    <w:abstractNumId w:val="13"/>
  </w:num>
  <w:num w:numId="24">
    <w:abstractNumId w:val="4"/>
  </w:num>
  <w:num w:numId="25">
    <w:abstractNumId w:val="18"/>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675"/>
    <w:rsid w:val="000227A4"/>
    <w:rsid w:val="00027A6F"/>
    <w:rsid w:val="00042A4A"/>
    <w:rsid w:val="00053C93"/>
    <w:rsid w:val="00061E61"/>
    <w:rsid w:val="00064419"/>
    <w:rsid w:val="00070520"/>
    <w:rsid w:val="00080CE9"/>
    <w:rsid w:val="00090A06"/>
    <w:rsid w:val="00092E38"/>
    <w:rsid w:val="000978CC"/>
    <w:rsid w:val="000C533D"/>
    <w:rsid w:val="000E6B0B"/>
    <w:rsid w:val="001144BB"/>
    <w:rsid w:val="00145AFC"/>
    <w:rsid w:val="00175BA5"/>
    <w:rsid w:val="00177C9A"/>
    <w:rsid w:val="001811AA"/>
    <w:rsid w:val="001817C7"/>
    <w:rsid w:val="001B41B8"/>
    <w:rsid w:val="001B5FB7"/>
    <w:rsid w:val="001C10A2"/>
    <w:rsid w:val="00254C12"/>
    <w:rsid w:val="002710E0"/>
    <w:rsid w:val="00281669"/>
    <w:rsid w:val="002B2513"/>
    <w:rsid w:val="002D7A66"/>
    <w:rsid w:val="002F20CD"/>
    <w:rsid w:val="0030034F"/>
    <w:rsid w:val="00322FAB"/>
    <w:rsid w:val="00345581"/>
    <w:rsid w:val="00370978"/>
    <w:rsid w:val="00381BC2"/>
    <w:rsid w:val="00381DD8"/>
    <w:rsid w:val="003834F3"/>
    <w:rsid w:val="003A5A2C"/>
    <w:rsid w:val="003C4738"/>
    <w:rsid w:val="003F56BA"/>
    <w:rsid w:val="00441468"/>
    <w:rsid w:val="004560E8"/>
    <w:rsid w:val="00456753"/>
    <w:rsid w:val="00464A43"/>
    <w:rsid w:val="00471E57"/>
    <w:rsid w:val="00481F52"/>
    <w:rsid w:val="0049143E"/>
    <w:rsid w:val="004A6C92"/>
    <w:rsid w:val="004D0467"/>
    <w:rsid w:val="004D5CFA"/>
    <w:rsid w:val="00507331"/>
    <w:rsid w:val="00562EDE"/>
    <w:rsid w:val="00593132"/>
    <w:rsid w:val="005B0230"/>
    <w:rsid w:val="005D32B9"/>
    <w:rsid w:val="005F5E04"/>
    <w:rsid w:val="006009B9"/>
    <w:rsid w:val="00606CD7"/>
    <w:rsid w:val="00630DD3"/>
    <w:rsid w:val="0065209A"/>
    <w:rsid w:val="006600EA"/>
    <w:rsid w:val="00680E48"/>
    <w:rsid w:val="006D5C2E"/>
    <w:rsid w:val="006E6ACB"/>
    <w:rsid w:val="006F1706"/>
    <w:rsid w:val="00731F06"/>
    <w:rsid w:val="00757302"/>
    <w:rsid w:val="007667F0"/>
    <w:rsid w:val="007726DB"/>
    <w:rsid w:val="00780998"/>
    <w:rsid w:val="007A2854"/>
    <w:rsid w:val="007D493E"/>
    <w:rsid w:val="007D746F"/>
    <w:rsid w:val="00805422"/>
    <w:rsid w:val="00806C66"/>
    <w:rsid w:val="00814FA7"/>
    <w:rsid w:val="00855B40"/>
    <w:rsid w:val="00877C7F"/>
    <w:rsid w:val="008A20AC"/>
    <w:rsid w:val="008B473C"/>
    <w:rsid w:val="008B6E2D"/>
    <w:rsid w:val="008E623D"/>
    <w:rsid w:val="008F0789"/>
    <w:rsid w:val="008F0C29"/>
    <w:rsid w:val="009058F9"/>
    <w:rsid w:val="0091208A"/>
    <w:rsid w:val="00914558"/>
    <w:rsid w:val="009459B3"/>
    <w:rsid w:val="00952525"/>
    <w:rsid w:val="00952EB8"/>
    <w:rsid w:val="009655C9"/>
    <w:rsid w:val="00973C6A"/>
    <w:rsid w:val="009931F3"/>
    <w:rsid w:val="009C7B03"/>
    <w:rsid w:val="00A03677"/>
    <w:rsid w:val="00A213D5"/>
    <w:rsid w:val="00A3476D"/>
    <w:rsid w:val="00A4578E"/>
    <w:rsid w:val="00A50376"/>
    <w:rsid w:val="00A70491"/>
    <w:rsid w:val="00A7297A"/>
    <w:rsid w:val="00A810AA"/>
    <w:rsid w:val="00AC763B"/>
    <w:rsid w:val="00B23F50"/>
    <w:rsid w:val="00B24E4C"/>
    <w:rsid w:val="00B25B3B"/>
    <w:rsid w:val="00B3167C"/>
    <w:rsid w:val="00B4448D"/>
    <w:rsid w:val="00B54CDA"/>
    <w:rsid w:val="00B60E8D"/>
    <w:rsid w:val="00B63D45"/>
    <w:rsid w:val="00B80361"/>
    <w:rsid w:val="00B96C4E"/>
    <w:rsid w:val="00BB2F19"/>
    <w:rsid w:val="00BD2A8D"/>
    <w:rsid w:val="00BF0570"/>
    <w:rsid w:val="00BF6579"/>
    <w:rsid w:val="00C23390"/>
    <w:rsid w:val="00C2476A"/>
    <w:rsid w:val="00C25821"/>
    <w:rsid w:val="00C307A8"/>
    <w:rsid w:val="00CB213C"/>
    <w:rsid w:val="00CB60DF"/>
    <w:rsid w:val="00CE7B2F"/>
    <w:rsid w:val="00D01B9D"/>
    <w:rsid w:val="00D3777A"/>
    <w:rsid w:val="00D724FB"/>
    <w:rsid w:val="00DA4530"/>
    <w:rsid w:val="00DA5976"/>
    <w:rsid w:val="00DB0CA6"/>
    <w:rsid w:val="00DE5DC6"/>
    <w:rsid w:val="00DF7353"/>
    <w:rsid w:val="00E111A7"/>
    <w:rsid w:val="00E36148"/>
    <w:rsid w:val="00E4459C"/>
    <w:rsid w:val="00E910CC"/>
    <w:rsid w:val="00E93B80"/>
    <w:rsid w:val="00ED4441"/>
    <w:rsid w:val="00F10099"/>
    <w:rsid w:val="00F13CC8"/>
    <w:rsid w:val="00F26834"/>
    <w:rsid w:val="00F305D6"/>
    <w:rsid w:val="00F70794"/>
    <w:rsid w:val="00F7225E"/>
    <w:rsid w:val="00F87C7E"/>
    <w:rsid w:val="00FB4D6A"/>
    <w:rsid w:val="00FB5B6A"/>
    <w:rsid w:val="00FC4906"/>
    <w:rsid w:val="00FD34ED"/>
    <w:rsid w:val="00FE3101"/>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qFormat/>
    <w:rsid w:val="00680E48"/>
    <w:pPr>
      <w:keepNext/>
      <w:tabs>
        <w:tab w:val="num" w:pos="0"/>
      </w:tabs>
      <w:outlineLvl w:val="0"/>
    </w:pPr>
    <w:rPr>
      <w:b/>
      <w:bCs/>
      <w:sz w:val="32"/>
    </w:rPr>
  </w:style>
  <w:style w:type="paragraph" w:styleId="Heading2">
    <w:name w:val="heading 2"/>
    <w:basedOn w:val="Normal"/>
    <w:next w:val="Normal"/>
    <w:qFormat/>
    <w:rsid w:val="00680E48"/>
    <w:pPr>
      <w:keepNext/>
      <w:tabs>
        <w:tab w:val="num" w:pos="0"/>
      </w:tabs>
      <w:jc w:val="both"/>
      <w:outlineLvl w:val="1"/>
    </w:pPr>
    <w:rPr>
      <w:b/>
      <w:sz w:val="28"/>
    </w:rPr>
  </w:style>
  <w:style w:type="paragraph" w:styleId="Heading3">
    <w:name w:val="heading 3"/>
    <w:basedOn w:val="Normal"/>
    <w:next w:val="Normal"/>
    <w:qFormat/>
    <w:rsid w:val="00680E48"/>
    <w:pPr>
      <w:keepNext/>
      <w:tabs>
        <w:tab w:val="num" w:pos="0"/>
      </w:tabs>
      <w:spacing w:line="360" w:lineRule="auto"/>
      <w:jc w:val="both"/>
      <w:outlineLvl w:val="2"/>
    </w:pPr>
    <w:rPr>
      <w:b/>
      <w:bCs/>
    </w:rPr>
  </w:style>
  <w:style w:type="paragraph" w:styleId="Heading6">
    <w:name w:val="heading 6"/>
    <w:basedOn w:val="Normal"/>
    <w:next w:val="Normal"/>
    <w:qFormat/>
    <w:rsid w:val="00680E4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81F52"/>
    <w:rPr>
      <w:b/>
      <w:bCs/>
      <w:sz w:val="32"/>
      <w:szCs w:val="24"/>
      <w:lang w:eastAsia="ar-SA"/>
    </w:rPr>
  </w:style>
  <w:style w:type="character" w:customStyle="1" w:styleId="Absatz-Standardschriftart">
    <w:name w:val="Absatz-Standardschriftart"/>
    <w:rsid w:val="00680E48"/>
  </w:style>
  <w:style w:type="character" w:customStyle="1" w:styleId="WW-Absatz-Standardschriftart">
    <w:name w:val="WW-Absatz-Standardschriftart"/>
    <w:rsid w:val="00680E48"/>
  </w:style>
  <w:style w:type="character" w:customStyle="1" w:styleId="WW-Absatz-Standardschriftart1">
    <w:name w:val="WW-Absatz-Standardschriftart1"/>
    <w:rsid w:val="00680E48"/>
  </w:style>
  <w:style w:type="character" w:customStyle="1" w:styleId="WW-Absatz-Standardschriftart11">
    <w:name w:val="WW-Absatz-Standardschriftart11"/>
    <w:rsid w:val="00680E48"/>
  </w:style>
  <w:style w:type="character" w:customStyle="1" w:styleId="WW-Absatz-Standardschriftart111">
    <w:name w:val="WW-Absatz-Standardschriftart111"/>
    <w:rsid w:val="00680E48"/>
  </w:style>
  <w:style w:type="character" w:customStyle="1" w:styleId="WW-Absatz-Standardschriftart1111">
    <w:name w:val="WW-Absatz-Standardschriftart1111"/>
    <w:rsid w:val="00680E48"/>
  </w:style>
  <w:style w:type="character" w:customStyle="1" w:styleId="WW-Absatz-Standardschriftart11111">
    <w:name w:val="WW-Absatz-Standardschriftart11111"/>
    <w:rsid w:val="00680E48"/>
  </w:style>
  <w:style w:type="character" w:customStyle="1" w:styleId="WW-Absatz-Standardschriftart111111">
    <w:name w:val="WW-Absatz-Standardschriftart111111"/>
    <w:rsid w:val="00680E48"/>
  </w:style>
  <w:style w:type="character" w:customStyle="1" w:styleId="WW-Absatz-Standardschriftart1111111">
    <w:name w:val="WW-Absatz-Standardschriftart1111111"/>
    <w:rsid w:val="00680E48"/>
  </w:style>
  <w:style w:type="character" w:customStyle="1" w:styleId="WW-Absatz-Standardschriftart11111111">
    <w:name w:val="WW-Absatz-Standardschriftart11111111"/>
    <w:rsid w:val="00680E48"/>
  </w:style>
  <w:style w:type="character" w:customStyle="1" w:styleId="WW-Absatz-Standardschriftart111111111">
    <w:name w:val="WW-Absatz-Standardschriftart111111111"/>
    <w:rsid w:val="00680E48"/>
  </w:style>
  <w:style w:type="character" w:customStyle="1" w:styleId="WW-Absatz-Standardschriftart1111111111">
    <w:name w:val="WW-Absatz-Standardschriftart1111111111"/>
    <w:rsid w:val="00680E48"/>
  </w:style>
  <w:style w:type="character" w:customStyle="1" w:styleId="WW-Absatz-Standardschriftart11111111111">
    <w:name w:val="WW-Absatz-Standardschriftart11111111111"/>
    <w:rsid w:val="00680E48"/>
  </w:style>
  <w:style w:type="character" w:customStyle="1" w:styleId="WW-Absatz-Standardschriftart111111111111">
    <w:name w:val="WW-Absatz-Standardschriftart111111111111"/>
    <w:rsid w:val="00680E48"/>
  </w:style>
  <w:style w:type="character" w:customStyle="1" w:styleId="WW-Absatz-Standardschriftart1111111111111">
    <w:name w:val="WW-Absatz-Standardschriftart1111111111111"/>
    <w:rsid w:val="00680E48"/>
  </w:style>
  <w:style w:type="character" w:customStyle="1" w:styleId="WW-Absatz-Standardschriftart11111111111111">
    <w:name w:val="WW-Absatz-Standardschriftart11111111111111"/>
    <w:rsid w:val="00680E48"/>
  </w:style>
  <w:style w:type="character" w:customStyle="1" w:styleId="WW-Absatz-Standardschriftart111111111111111">
    <w:name w:val="WW-Absatz-Standardschriftart111111111111111"/>
    <w:rsid w:val="00680E48"/>
  </w:style>
  <w:style w:type="character" w:customStyle="1" w:styleId="WW-Absatz-Standardschriftart1111111111111111">
    <w:name w:val="WW-Absatz-Standardschriftart1111111111111111"/>
    <w:rsid w:val="00680E48"/>
  </w:style>
  <w:style w:type="character" w:customStyle="1" w:styleId="WW8Num1z0">
    <w:name w:val="WW8Num1z0"/>
    <w:rsid w:val="00680E48"/>
    <w:rPr>
      <w:rFonts w:ascii="Symbol" w:eastAsia="Times New Roman" w:hAnsi="Symbol" w:cs="Times New Roman"/>
    </w:rPr>
  </w:style>
  <w:style w:type="character" w:customStyle="1" w:styleId="WW8Num1z1">
    <w:name w:val="WW8Num1z1"/>
    <w:rsid w:val="00680E48"/>
    <w:rPr>
      <w:rFonts w:ascii="Courier New" w:hAnsi="Courier New" w:cs="Courier New"/>
    </w:rPr>
  </w:style>
  <w:style w:type="character" w:customStyle="1" w:styleId="WW8Num1z2">
    <w:name w:val="WW8Num1z2"/>
    <w:rsid w:val="00680E48"/>
    <w:rPr>
      <w:rFonts w:ascii="Wingdings" w:hAnsi="Wingdings"/>
    </w:rPr>
  </w:style>
  <w:style w:type="character" w:customStyle="1" w:styleId="WW8Num1z3">
    <w:name w:val="WW8Num1z3"/>
    <w:rsid w:val="00680E48"/>
    <w:rPr>
      <w:rFonts w:ascii="Symbol" w:hAnsi="Symbol"/>
    </w:rPr>
  </w:style>
  <w:style w:type="character" w:styleId="PageNumber">
    <w:name w:val="page number"/>
    <w:basedOn w:val="DefaultParagraphFont"/>
    <w:rsid w:val="00680E48"/>
  </w:style>
  <w:style w:type="character" w:styleId="Hyperlink">
    <w:name w:val="Hyperlink"/>
    <w:rsid w:val="00680E48"/>
    <w:rPr>
      <w:color w:val="0000FF"/>
      <w:u w:val="single"/>
    </w:rPr>
  </w:style>
  <w:style w:type="character" w:styleId="FollowedHyperlink">
    <w:name w:val="FollowedHyperlink"/>
    <w:rsid w:val="00680E48"/>
    <w:rPr>
      <w:color w:val="800080"/>
      <w:u w:val="single"/>
    </w:rPr>
  </w:style>
  <w:style w:type="character" w:customStyle="1" w:styleId="NumberingSymbols">
    <w:name w:val="Numbering Symbols"/>
    <w:rsid w:val="00680E48"/>
  </w:style>
  <w:style w:type="paragraph" w:customStyle="1" w:styleId="Heading">
    <w:name w:val="Heading"/>
    <w:basedOn w:val="Normal"/>
    <w:next w:val="BodyText"/>
    <w:rsid w:val="00680E48"/>
    <w:pPr>
      <w:keepNext/>
      <w:spacing w:before="240" w:after="120"/>
    </w:pPr>
    <w:rPr>
      <w:rFonts w:ascii="Nimbus Sans L" w:eastAsia="DejaVu Sans" w:hAnsi="Nimbus Sans L" w:cs="DejaVu Sans"/>
      <w:sz w:val="28"/>
      <w:szCs w:val="28"/>
    </w:rPr>
  </w:style>
  <w:style w:type="paragraph" w:styleId="BodyText">
    <w:name w:val="Body Text"/>
    <w:basedOn w:val="Normal"/>
    <w:rsid w:val="00680E48"/>
    <w:pPr>
      <w:spacing w:line="360" w:lineRule="auto"/>
    </w:pPr>
  </w:style>
  <w:style w:type="paragraph" w:styleId="List">
    <w:name w:val="List"/>
    <w:basedOn w:val="BodyText"/>
    <w:rsid w:val="00680E48"/>
  </w:style>
  <w:style w:type="paragraph" w:styleId="Caption">
    <w:name w:val="caption"/>
    <w:basedOn w:val="Normal"/>
    <w:qFormat/>
    <w:rsid w:val="00680E48"/>
    <w:pPr>
      <w:suppressLineNumbers/>
      <w:spacing w:before="120" w:after="120"/>
    </w:pPr>
    <w:rPr>
      <w:i/>
      <w:iCs/>
    </w:rPr>
  </w:style>
  <w:style w:type="paragraph" w:customStyle="1" w:styleId="Index">
    <w:name w:val="Index"/>
    <w:basedOn w:val="Normal"/>
    <w:rsid w:val="00680E48"/>
    <w:pPr>
      <w:suppressLineNumbers/>
    </w:pPr>
  </w:style>
  <w:style w:type="paragraph" w:styleId="Header">
    <w:name w:val="header"/>
    <w:basedOn w:val="Normal"/>
    <w:next w:val="Heading1"/>
    <w:rsid w:val="00680E48"/>
    <w:pPr>
      <w:tabs>
        <w:tab w:val="center" w:pos="4320"/>
        <w:tab w:val="right" w:pos="8640"/>
      </w:tabs>
    </w:pPr>
  </w:style>
  <w:style w:type="paragraph" w:styleId="BodyTextIndent3">
    <w:name w:val="Body Text Indent 3"/>
    <w:basedOn w:val="Normal"/>
    <w:rsid w:val="00680E48"/>
    <w:pPr>
      <w:spacing w:line="360" w:lineRule="auto"/>
      <w:ind w:firstLine="720"/>
      <w:jc w:val="both"/>
    </w:pPr>
    <w:rPr>
      <w:b/>
      <w:bCs/>
    </w:rPr>
  </w:style>
  <w:style w:type="paragraph" w:styleId="BodyTextIndent">
    <w:name w:val="Body Text Indent"/>
    <w:basedOn w:val="Normal"/>
    <w:rsid w:val="00680E48"/>
    <w:pPr>
      <w:ind w:left="540" w:hanging="720"/>
      <w:jc w:val="both"/>
    </w:pPr>
  </w:style>
  <w:style w:type="paragraph" w:styleId="BodyTextIndent2">
    <w:name w:val="Body Text Indent 2"/>
    <w:basedOn w:val="Normal"/>
    <w:rsid w:val="00680E48"/>
    <w:pPr>
      <w:spacing w:line="360" w:lineRule="auto"/>
      <w:ind w:firstLine="720"/>
      <w:jc w:val="both"/>
    </w:pPr>
  </w:style>
  <w:style w:type="paragraph" w:styleId="BodyText2">
    <w:name w:val="Body Text 2"/>
    <w:basedOn w:val="Normal"/>
    <w:rsid w:val="00680E48"/>
    <w:pPr>
      <w:spacing w:line="360" w:lineRule="auto"/>
      <w:jc w:val="both"/>
    </w:pPr>
  </w:style>
  <w:style w:type="paragraph" w:styleId="Footer">
    <w:name w:val="footer"/>
    <w:basedOn w:val="Normal"/>
    <w:rsid w:val="00680E48"/>
    <w:pPr>
      <w:tabs>
        <w:tab w:val="center" w:pos="4320"/>
        <w:tab w:val="right" w:pos="8640"/>
      </w:tabs>
    </w:pPr>
    <w:rPr>
      <w:sz w:val="32"/>
    </w:rPr>
  </w:style>
  <w:style w:type="paragraph" w:customStyle="1" w:styleId="TableContents">
    <w:name w:val="Table Contents"/>
    <w:basedOn w:val="Normal"/>
    <w:rsid w:val="00680E48"/>
    <w:pPr>
      <w:suppressLineNumbers/>
    </w:pPr>
  </w:style>
  <w:style w:type="paragraph" w:customStyle="1" w:styleId="TableHeading">
    <w:name w:val="Table Heading"/>
    <w:basedOn w:val="TableContents"/>
    <w:rsid w:val="00680E48"/>
    <w:pPr>
      <w:jc w:val="center"/>
    </w:pPr>
    <w:rPr>
      <w:b/>
      <w:bCs/>
    </w:rPr>
  </w:style>
  <w:style w:type="paragraph" w:customStyle="1" w:styleId="Framecontents">
    <w:name w:val="Frame contents"/>
    <w:basedOn w:val="BodyText"/>
    <w:rsid w:val="00680E48"/>
  </w:style>
  <w:style w:type="paragraph" w:customStyle="1" w:styleId="Text">
    <w:name w:val="Text"/>
    <w:basedOn w:val="Normal"/>
    <w:rsid w:val="00680E4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014675"/>
  </w:style>
  <w:style w:type="character" w:customStyle="1" w:styleId="hpsatn">
    <w:name w:val="hps atn"/>
    <w:basedOn w:val="DefaultParagraphFont"/>
    <w:rsid w:val="00014675"/>
  </w:style>
  <w:style w:type="character" w:customStyle="1" w:styleId="atn">
    <w:name w:val="atn"/>
    <w:basedOn w:val="DefaultParagraphFont"/>
    <w:rsid w:val="00014675"/>
  </w:style>
  <w:style w:type="character" w:customStyle="1" w:styleId="shorttext">
    <w:name w:val="short_text"/>
    <w:basedOn w:val="DefaultParagraphFont"/>
    <w:rsid w:val="00014675"/>
  </w:style>
  <w:style w:type="table" w:styleId="TableGrid">
    <w:name w:val="Table Grid"/>
    <w:basedOn w:val="TableNormal"/>
    <w:rsid w:val="00014675"/>
    <w:pPr>
      <w:jc w:val="righ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6600EA"/>
    <w:pPr>
      <w:suppressAutoHyphens w:val="0"/>
    </w:pPr>
    <w:rPr>
      <w:rFonts w:ascii="Calibri" w:eastAsia="Calibri" w:hAnsi="Calibri" w:cs="Arial"/>
      <w:sz w:val="20"/>
      <w:szCs w:val="20"/>
      <w:lang w:eastAsia="en-US"/>
    </w:rPr>
  </w:style>
  <w:style w:type="character" w:customStyle="1" w:styleId="FootnoteTextChar">
    <w:name w:val="Footnote Text Char"/>
    <w:link w:val="FootnoteText"/>
    <w:semiHidden/>
    <w:rsid w:val="006600EA"/>
    <w:rPr>
      <w:rFonts w:ascii="Calibri" w:eastAsia="Calibri" w:hAnsi="Calibri" w:cs="Arial"/>
      <w:lang w:val="en-US" w:eastAsia="en-US" w:bidi="ar-SA"/>
    </w:rPr>
  </w:style>
  <w:style w:type="character" w:styleId="FootnoteReference">
    <w:name w:val="footnote reference"/>
    <w:semiHidden/>
    <w:unhideWhenUsed/>
    <w:rsid w:val="006600EA"/>
    <w:rPr>
      <w:vertAlign w:val="superscript"/>
    </w:rPr>
  </w:style>
  <w:style w:type="paragraph" w:styleId="ListParagraph">
    <w:name w:val="List Paragraph"/>
    <w:basedOn w:val="Normal"/>
    <w:qFormat/>
    <w:rsid w:val="006600EA"/>
    <w:pPr>
      <w:suppressAutoHyphens w:val="0"/>
      <w:spacing w:after="200" w:line="276" w:lineRule="auto"/>
      <w:ind w:left="720"/>
      <w:contextualSpacing/>
    </w:pPr>
    <w:rPr>
      <w:rFonts w:ascii="Calibri" w:eastAsia="Calibri" w:hAnsi="Calibri" w:cs="Arial"/>
      <w:sz w:val="22"/>
      <w:szCs w:val="22"/>
      <w:lang w:eastAsia="en-US"/>
    </w:rPr>
  </w:style>
  <w:style w:type="paragraph" w:customStyle="1" w:styleId="Default">
    <w:name w:val="Default"/>
    <w:rsid w:val="0030034F"/>
    <w:pPr>
      <w:autoSpaceDE w:val="0"/>
      <w:autoSpaceDN w:val="0"/>
      <w:adjustRightInd w:val="0"/>
    </w:pPr>
    <w:rPr>
      <w:rFonts w:eastAsia="Times New Roman"/>
      <w:color w:val="000000"/>
      <w:sz w:val="24"/>
      <w:szCs w:val="24"/>
      <w:lang w:eastAsia="en-US" w:bidi="fa-IR"/>
    </w:rPr>
  </w:style>
  <w:style w:type="paragraph" w:styleId="Subtitle">
    <w:name w:val="Subtitle"/>
    <w:basedOn w:val="Normal"/>
    <w:link w:val="SubtitleChar"/>
    <w:qFormat/>
    <w:rsid w:val="00CB213C"/>
    <w:pPr>
      <w:suppressAutoHyphens w:val="0"/>
      <w:bidi/>
      <w:ind w:left="6" w:firstLine="284"/>
      <w:jc w:val="center"/>
    </w:pPr>
    <w:rPr>
      <w:rFonts w:cs="B Zar"/>
      <w:sz w:val="28"/>
      <w:szCs w:val="28"/>
      <w:lang w:eastAsia="en-US"/>
    </w:rPr>
  </w:style>
  <w:style w:type="character" w:customStyle="1" w:styleId="SubtitleChar">
    <w:name w:val="Subtitle Char"/>
    <w:link w:val="Subtitle"/>
    <w:rsid w:val="00CB213C"/>
    <w:rPr>
      <w:rFonts w:cs="B Zar"/>
      <w:sz w:val="28"/>
      <w:szCs w:val="28"/>
      <w:lang w:val="en-US" w:eastAsia="en-US" w:bidi="ar-SA"/>
    </w:rPr>
  </w:style>
  <w:style w:type="character" w:styleId="Strong">
    <w:name w:val="Strong"/>
    <w:qFormat/>
    <w:rsid w:val="00CB213C"/>
    <w:rPr>
      <w:rFonts w:cs="Tahoma"/>
      <w:b/>
      <w:bCs/>
      <w:szCs w:val="24"/>
    </w:rPr>
  </w:style>
</w:styles>
</file>

<file path=word/webSettings.xml><?xml version="1.0" encoding="utf-8"?>
<w:webSettings xmlns:r="http://schemas.openxmlformats.org/officeDocument/2006/relationships" xmlns:w="http://schemas.openxmlformats.org/wordprocessingml/2006/main">
  <w:divs>
    <w:div w:id="216204456">
      <w:bodyDiv w:val="1"/>
      <w:marLeft w:val="0"/>
      <w:marRight w:val="0"/>
      <w:marTop w:val="0"/>
      <w:marBottom w:val="0"/>
      <w:divBdr>
        <w:top w:val="none" w:sz="0" w:space="0" w:color="auto"/>
        <w:left w:val="none" w:sz="0" w:space="0" w:color="auto"/>
        <w:bottom w:val="none" w:sz="0" w:space="0" w:color="auto"/>
        <w:right w:val="none" w:sz="0" w:space="0" w:color="auto"/>
      </w:divBdr>
    </w:div>
    <w:div w:id="657340080">
      <w:bodyDiv w:val="1"/>
      <w:marLeft w:val="0"/>
      <w:marRight w:val="0"/>
      <w:marTop w:val="0"/>
      <w:marBottom w:val="0"/>
      <w:divBdr>
        <w:top w:val="none" w:sz="0" w:space="0" w:color="auto"/>
        <w:left w:val="none" w:sz="0" w:space="0" w:color="auto"/>
        <w:bottom w:val="none" w:sz="0" w:space="0" w:color="auto"/>
        <w:right w:val="none" w:sz="0" w:space="0" w:color="auto"/>
      </w:divBdr>
    </w:div>
    <w:div w:id="881864604">
      <w:bodyDiv w:val="1"/>
      <w:marLeft w:val="0"/>
      <w:marRight w:val="0"/>
      <w:marTop w:val="0"/>
      <w:marBottom w:val="0"/>
      <w:divBdr>
        <w:top w:val="none" w:sz="0" w:space="0" w:color="auto"/>
        <w:left w:val="none" w:sz="0" w:space="0" w:color="auto"/>
        <w:bottom w:val="none" w:sz="0" w:space="0" w:color="auto"/>
        <w:right w:val="none" w:sz="0" w:space="0" w:color="auto"/>
      </w:divBdr>
    </w:div>
    <w:div w:id="926840137">
      <w:bodyDiv w:val="1"/>
      <w:marLeft w:val="0"/>
      <w:marRight w:val="0"/>
      <w:marTop w:val="0"/>
      <w:marBottom w:val="0"/>
      <w:divBdr>
        <w:top w:val="none" w:sz="0" w:space="0" w:color="auto"/>
        <w:left w:val="none" w:sz="0" w:space="0" w:color="auto"/>
        <w:bottom w:val="none" w:sz="0" w:space="0" w:color="auto"/>
        <w:right w:val="none" w:sz="0" w:space="0" w:color="auto"/>
      </w:divBdr>
    </w:div>
    <w:div w:id="1355423899">
      <w:bodyDiv w:val="1"/>
      <w:marLeft w:val="0"/>
      <w:marRight w:val="0"/>
      <w:marTop w:val="0"/>
      <w:marBottom w:val="0"/>
      <w:divBdr>
        <w:top w:val="none" w:sz="0" w:space="0" w:color="auto"/>
        <w:left w:val="none" w:sz="0" w:space="0" w:color="auto"/>
        <w:bottom w:val="none" w:sz="0" w:space="0" w:color="auto"/>
        <w:right w:val="none" w:sz="0" w:space="0" w:color="auto"/>
      </w:divBdr>
    </w:div>
    <w:div w:id="1397390270">
      <w:bodyDiv w:val="1"/>
      <w:marLeft w:val="0"/>
      <w:marRight w:val="0"/>
      <w:marTop w:val="0"/>
      <w:marBottom w:val="0"/>
      <w:divBdr>
        <w:top w:val="none" w:sz="0" w:space="0" w:color="auto"/>
        <w:left w:val="none" w:sz="0" w:space="0" w:color="auto"/>
        <w:bottom w:val="none" w:sz="0" w:space="0" w:color="auto"/>
        <w:right w:val="none" w:sz="0" w:space="0" w:color="auto"/>
      </w:divBdr>
    </w:div>
    <w:div w:id="1490899955">
      <w:bodyDiv w:val="1"/>
      <w:marLeft w:val="0"/>
      <w:marRight w:val="0"/>
      <w:marTop w:val="0"/>
      <w:marBottom w:val="0"/>
      <w:divBdr>
        <w:top w:val="none" w:sz="0" w:space="0" w:color="auto"/>
        <w:left w:val="none" w:sz="0" w:space="0" w:color="auto"/>
        <w:bottom w:val="none" w:sz="0" w:space="0" w:color="auto"/>
        <w:right w:val="none" w:sz="0" w:space="0" w:color="auto"/>
      </w:divBdr>
    </w:div>
    <w:div w:id="1635335413">
      <w:bodyDiv w:val="1"/>
      <w:marLeft w:val="0"/>
      <w:marRight w:val="0"/>
      <w:marTop w:val="0"/>
      <w:marBottom w:val="0"/>
      <w:divBdr>
        <w:top w:val="none" w:sz="0" w:space="0" w:color="auto"/>
        <w:left w:val="none" w:sz="0" w:space="0" w:color="auto"/>
        <w:bottom w:val="none" w:sz="0" w:space="0" w:color="auto"/>
        <w:right w:val="none" w:sz="0" w:space="0" w:color="auto"/>
      </w:divBdr>
    </w:div>
    <w:div w:id="1720472188">
      <w:bodyDiv w:val="1"/>
      <w:marLeft w:val="0"/>
      <w:marRight w:val="0"/>
      <w:marTop w:val="0"/>
      <w:marBottom w:val="0"/>
      <w:divBdr>
        <w:top w:val="none" w:sz="0" w:space="0" w:color="auto"/>
        <w:left w:val="none" w:sz="0" w:space="0" w:color="auto"/>
        <w:bottom w:val="none" w:sz="0" w:space="0" w:color="auto"/>
        <w:right w:val="none" w:sz="0" w:space="0" w:color="auto"/>
      </w:divBdr>
    </w:div>
    <w:div w:id="18102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hyperlink" Target="http://www.irandoc" TargetMode="External"/><Relationship Id="rId2" Type="http://schemas.openxmlformats.org/officeDocument/2006/relationships/styles" Target="styles.xml"/><Relationship Id="rId16" Type="http://schemas.openxmlformats.org/officeDocument/2006/relationships/hyperlink" Target="http://geoheat.oit.edu/bulletin/bull%2018-1/art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23307</CharactersWithSpaces>
  <SharedDoc>false</SharedDoc>
  <HLinks>
    <vt:vector size="36" baseType="variant">
      <vt:variant>
        <vt:i4>2359331</vt:i4>
      </vt:variant>
      <vt:variant>
        <vt:i4>12</vt:i4>
      </vt:variant>
      <vt:variant>
        <vt:i4>0</vt:i4>
      </vt:variant>
      <vt:variant>
        <vt:i4>5</vt:i4>
      </vt:variant>
      <vt:variant>
        <vt:lpwstr>http://www.irandoc/</vt:lpwstr>
      </vt:variant>
      <vt:variant>
        <vt:lpwstr/>
      </vt:variant>
      <vt:variant>
        <vt:i4>8323190</vt:i4>
      </vt:variant>
      <vt:variant>
        <vt:i4>9</vt:i4>
      </vt:variant>
      <vt:variant>
        <vt:i4>0</vt:i4>
      </vt:variant>
      <vt:variant>
        <vt:i4>5</vt:i4>
      </vt:variant>
      <vt:variant>
        <vt:lpwstr>http://geoheat.oit.edu/bulletin/bull 18-1/art3</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10</cp:revision>
  <cp:lastPrinted>2014-02-19T09:22:00Z</cp:lastPrinted>
  <dcterms:created xsi:type="dcterms:W3CDTF">2014-02-19T03:47:00Z</dcterms:created>
  <dcterms:modified xsi:type="dcterms:W3CDTF">2014-02-19T09:23:00Z</dcterms:modified>
</cp:coreProperties>
</file>