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EB" w:rsidRPr="00CD215E" w:rsidRDefault="00DD3FEB" w:rsidP="00CD215E">
      <w:pPr>
        <w:pStyle w:val="NoSpacing"/>
        <w:snapToGrid w:val="0"/>
        <w:jc w:val="center"/>
        <w:rPr>
          <w:rFonts w:ascii="Times New Roman" w:hAnsi="Times New Roman" w:cs="Times New Roman"/>
          <w:b/>
          <w:sz w:val="20"/>
          <w:szCs w:val="20"/>
          <w:lang w:val="en-US"/>
        </w:rPr>
      </w:pPr>
      <w:r w:rsidRPr="00CD215E">
        <w:rPr>
          <w:rFonts w:ascii="Times New Roman" w:hAnsi="Times New Roman" w:cs="Times New Roman"/>
          <w:b/>
          <w:sz w:val="20"/>
          <w:szCs w:val="20"/>
          <w:lang w:val="en-US"/>
        </w:rPr>
        <w:t>Health Care at a Crossroads in Bangladesh</w:t>
      </w:r>
    </w:p>
    <w:p w:rsidR="00BB2F19" w:rsidRPr="00CD215E" w:rsidRDefault="00BB2F19" w:rsidP="00CD215E">
      <w:pPr>
        <w:snapToGrid w:val="0"/>
        <w:jc w:val="center"/>
        <w:rPr>
          <w:sz w:val="20"/>
          <w:szCs w:val="20"/>
          <w:lang w:eastAsia="zh-CN"/>
        </w:rPr>
      </w:pPr>
    </w:p>
    <w:p w:rsidR="00471E57" w:rsidRPr="00CD215E" w:rsidRDefault="00DD3FEB" w:rsidP="00CD215E">
      <w:pPr>
        <w:snapToGrid w:val="0"/>
        <w:jc w:val="center"/>
        <w:rPr>
          <w:sz w:val="20"/>
          <w:szCs w:val="20"/>
        </w:rPr>
      </w:pPr>
      <w:r w:rsidRPr="00CD215E">
        <w:rPr>
          <w:sz w:val="20"/>
          <w:szCs w:val="20"/>
        </w:rPr>
        <w:t xml:space="preserve">Md. </w:t>
      </w:r>
      <w:proofErr w:type="spellStart"/>
      <w:r w:rsidRPr="00CD215E">
        <w:rPr>
          <w:sz w:val="20"/>
          <w:szCs w:val="20"/>
        </w:rPr>
        <w:t>Anwarul</w:t>
      </w:r>
      <w:proofErr w:type="spellEnd"/>
      <w:r w:rsidRPr="00CD215E">
        <w:rPr>
          <w:sz w:val="20"/>
          <w:szCs w:val="20"/>
        </w:rPr>
        <w:t xml:space="preserve"> </w:t>
      </w:r>
      <w:proofErr w:type="spellStart"/>
      <w:r w:rsidRPr="00CD215E">
        <w:rPr>
          <w:sz w:val="20"/>
          <w:szCs w:val="20"/>
        </w:rPr>
        <w:t>Azim</w:t>
      </w:r>
      <w:proofErr w:type="spellEnd"/>
      <w:r w:rsidRPr="00CD215E">
        <w:rPr>
          <w:sz w:val="20"/>
          <w:szCs w:val="20"/>
        </w:rPr>
        <w:t xml:space="preserve"> </w:t>
      </w:r>
      <w:proofErr w:type="spellStart"/>
      <w:r w:rsidRPr="00CD215E">
        <w:rPr>
          <w:sz w:val="20"/>
          <w:szCs w:val="20"/>
        </w:rPr>
        <w:t>Majumder</w:t>
      </w:r>
      <w:proofErr w:type="spellEnd"/>
    </w:p>
    <w:p w:rsidR="00DD3FEB" w:rsidRPr="00CD215E" w:rsidRDefault="00DD3FEB" w:rsidP="00CD215E">
      <w:pPr>
        <w:snapToGrid w:val="0"/>
        <w:jc w:val="center"/>
        <w:rPr>
          <w:sz w:val="20"/>
          <w:szCs w:val="20"/>
        </w:rPr>
      </w:pPr>
    </w:p>
    <w:p w:rsidR="00DD3FEB" w:rsidRPr="00CD215E" w:rsidRDefault="00DD3FEB" w:rsidP="00CD215E">
      <w:pPr>
        <w:snapToGrid w:val="0"/>
        <w:jc w:val="center"/>
        <w:rPr>
          <w:noProof/>
          <w:sz w:val="20"/>
          <w:szCs w:val="20"/>
        </w:rPr>
      </w:pPr>
      <w:r w:rsidRPr="00CD215E">
        <w:rPr>
          <w:noProof/>
          <w:sz w:val="20"/>
          <w:szCs w:val="20"/>
        </w:rPr>
        <w:t>Department of Clinical Sciences, School of Medical Sciences, University of Bradford, Bradford BD7 1DP, UK.</w:t>
      </w:r>
    </w:p>
    <w:p w:rsidR="001817C7" w:rsidRPr="00CD215E" w:rsidRDefault="00DE46FF" w:rsidP="00CD215E">
      <w:pPr>
        <w:snapToGrid w:val="0"/>
        <w:jc w:val="center"/>
        <w:rPr>
          <w:sz w:val="20"/>
          <w:szCs w:val="20"/>
        </w:rPr>
      </w:pPr>
      <w:hyperlink r:id="rId7" w:history="1">
        <w:r w:rsidR="00DD3FEB" w:rsidRPr="00CD215E">
          <w:rPr>
            <w:rStyle w:val="Hyperlink"/>
            <w:noProof/>
            <w:sz w:val="20"/>
            <w:szCs w:val="20"/>
          </w:rPr>
          <w:t>a.a.majumder@bradford.ac.uk</w:t>
        </w:r>
      </w:hyperlink>
    </w:p>
    <w:p w:rsidR="00DD3FEB" w:rsidRPr="00CD215E" w:rsidRDefault="00DD3FEB" w:rsidP="00CD215E">
      <w:pPr>
        <w:snapToGrid w:val="0"/>
        <w:jc w:val="center"/>
        <w:rPr>
          <w:sz w:val="20"/>
          <w:szCs w:val="20"/>
        </w:rPr>
      </w:pPr>
    </w:p>
    <w:p w:rsidR="00DD3FEB" w:rsidRPr="00CD215E" w:rsidRDefault="00471E57" w:rsidP="00CD215E">
      <w:pPr>
        <w:pStyle w:val="NoSpacing"/>
        <w:snapToGrid w:val="0"/>
        <w:jc w:val="both"/>
        <w:rPr>
          <w:rFonts w:ascii="Times New Roman" w:hAnsi="Times New Roman" w:cs="Times New Roman"/>
          <w:sz w:val="20"/>
          <w:szCs w:val="20"/>
        </w:rPr>
      </w:pPr>
      <w:r w:rsidRPr="00CD215E">
        <w:rPr>
          <w:rFonts w:ascii="Times New Roman" w:hAnsi="Times New Roman" w:cs="Times New Roman"/>
          <w:b/>
          <w:sz w:val="20"/>
          <w:szCs w:val="20"/>
        </w:rPr>
        <w:t xml:space="preserve">Abstract: </w:t>
      </w:r>
      <w:r w:rsidR="00DD3FEB" w:rsidRPr="00CD215E">
        <w:rPr>
          <w:rStyle w:val="Strong"/>
          <w:rFonts w:ascii="Times New Roman" w:hAnsi="Times New Roman" w:cs="Times New Roman"/>
          <w:b w:val="0"/>
          <w:sz w:val="20"/>
          <w:szCs w:val="20"/>
        </w:rPr>
        <w:t>Though Bangladesh has made tremendous strides forward</w:t>
      </w:r>
      <w:r w:rsidR="00DD3FEB" w:rsidRPr="00CD215E">
        <w:rPr>
          <w:rStyle w:val="Strong"/>
          <w:rFonts w:ascii="Times New Roman" w:hAnsi="Times New Roman" w:cs="Times New Roman"/>
          <w:sz w:val="20"/>
          <w:szCs w:val="20"/>
        </w:rPr>
        <w:t xml:space="preserve"> </w:t>
      </w:r>
      <w:r w:rsidR="00DD3FEB" w:rsidRPr="00CD215E">
        <w:rPr>
          <w:rFonts w:ascii="Times New Roman" w:hAnsi="Times New Roman" w:cs="Times New Roman"/>
          <w:sz w:val="20"/>
          <w:szCs w:val="20"/>
        </w:rPr>
        <w:t>in health and other socio-economic indicators in the recent past,</w:t>
      </w:r>
      <w:r w:rsidR="00DD3FEB" w:rsidRPr="00CD215E">
        <w:rPr>
          <w:rStyle w:val="Strong"/>
          <w:rFonts w:ascii="Times New Roman" w:hAnsi="Times New Roman" w:cs="Times New Roman"/>
          <w:sz w:val="20"/>
          <w:szCs w:val="20"/>
        </w:rPr>
        <w:t xml:space="preserve"> </w:t>
      </w:r>
      <w:r w:rsidR="00DD3FEB" w:rsidRPr="00CD215E">
        <w:rPr>
          <w:rFonts w:ascii="Times New Roman" w:hAnsi="Times New Roman" w:cs="Times New Roman"/>
          <w:sz w:val="20"/>
          <w:szCs w:val="20"/>
        </w:rPr>
        <w:t>basic needs of health still remain largely unmet and only less than half of the population has access to basic healthcare. The health spending is far below the optimum level which is needed to scale up essential health intervention. Bangladesh is also experiencing a critical and chronic shortage and imbalance of skill mix and deployment of health workforce. The important achievements in health indicators include life expectancy, infant mortality, and vaccinations. However, overall burden of mortality and morbidity in most of the key health indicators is higher compared to other regional countries. Despite remarkable progress, except child mortality, targets are not expected to be met by 2015 if the prevailing trends persist in several areas. Major reforms are needed in health and medical education to ensure quality healthcare for the population of Bangladesh.</w:t>
      </w:r>
      <w:r w:rsidR="00A71D4B">
        <w:rPr>
          <w:rFonts w:ascii="Times New Roman" w:hAnsi="Times New Roman" w:cs="Times New Roman"/>
          <w:sz w:val="20"/>
          <w:szCs w:val="20"/>
        </w:rPr>
        <w:t xml:space="preserve"> </w:t>
      </w:r>
    </w:p>
    <w:p w:rsidR="00DC229F" w:rsidRPr="00CD215E" w:rsidRDefault="00177C9A" w:rsidP="00CD215E">
      <w:pPr>
        <w:snapToGrid w:val="0"/>
        <w:jc w:val="both"/>
        <w:rPr>
          <w:sz w:val="20"/>
          <w:szCs w:val="20"/>
          <w:lang w:eastAsia="zh-CN"/>
        </w:rPr>
      </w:pPr>
      <w:r w:rsidRPr="00CD215E">
        <w:rPr>
          <w:sz w:val="20"/>
          <w:szCs w:val="20"/>
        </w:rPr>
        <w:t>[</w:t>
      </w:r>
      <w:proofErr w:type="spellStart"/>
      <w:r w:rsidR="00DD3FEB" w:rsidRPr="00CD215E">
        <w:rPr>
          <w:sz w:val="20"/>
          <w:szCs w:val="20"/>
        </w:rPr>
        <w:t>Majumder</w:t>
      </w:r>
      <w:proofErr w:type="spellEnd"/>
      <w:r w:rsidR="00DD3FEB" w:rsidRPr="00CD215E">
        <w:rPr>
          <w:sz w:val="20"/>
          <w:szCs w:val="20"/>
        </w:rPr>
        <w:t xml:space="preserve"> MAA</w:t>
      </w:r>
      <w:r w:rsidR="004A6C92" w:rsidRPr="00CD215E">
        <w:rPr>
          <w:sz w:val="20"/>
          <w:szCs w:val="20"/>
        </w:rPr>
        <w:t xml:space="preserve">. </w:t>
      </w:r>
      <w:r w:rsidR="00DD3FEB" w:rsidRPr="00CD215E">
        <w:rPr>
          <w:b/>
          <w:sz w:val="20"/>
          <w:szCs w:val="20"/>
        </w:rPr>
        <w:t>Health Care at a Crossroads in Bangladesh</w:t>
      </w:r>
      <w:r w:rsidR="00DC229F" w:rsidRPr="00CD215E">
        <w:rPr>
          <w:rFonts w:eastAsia="Times New Roman"/>
          <w:b/>
          <w:bCs/>
          <w:sz w:val="20"/>
          <w:szCs w:val="20"/>
          <w:lang w:bidi="fa-IR"/>
        </w:rPr>
        <w:t>.</w:t>
      </w:r>
      <w:r w:rsidR="00DC229F" w:rsidRPr="00CD215E">
        <w:rPr>
          <w:bCs/>
          <w:i/>
          <w:sz w:val="20"/>
          <w:szCs w:val="20"/>
        </w:rPr>
        <w:t xml:space="preserve"> N Y </w:t>
      </w:r>
      <w:proofErr w:type="spellStart"/>
      <w:r w:rsidR="00DC229F" w:rsidRPr="00CD215E">
        <w:rPr>
          <w:bCs/>
          <w:i/>
          <w:sz w:val="20"/>
          <w:szCs w:val="20"/>
        </w:rPr>
        <w:t>Sci</w:t>
      </w:r>
      <w:proofErr w:type="spellEnd"/>
      <w:r w:rsidR="00DC229F" w:rsidRPr="00CD215E">
        <w:rPr>
          <w:bCs/>
          <w:i/>
          <w:sz w:val="20"/>
          <w:szCs w:val="20"/>
        </w:rPr>
        <w:t xml:space="preserve"> J</w:t>
      </w:r>
      <w:r w:rsidR="00DC229F" w:rsidRPr="00CD215E">
        <w:rPr>
          <w:bCs/>
          <w:sz w:val="20"/>
          <w:szCs w:val="20"/>
        </w:rPr>
        <w:t xml:space="preserve"> </w:t>
      </w:r>
      <w:r w:rsidR="00DC229F" w:rsidRPr="00CD215E">
        <w:rPr>
          <w:sz w:val="20"/>
          <w:szCs w:val="20"/>
        </w:rPr>
        <w:t>201</w:t>
      </w:r>
      <w:r w:rsidR="00DC229F" w:rsidRPr="00CD215E">
        <w:rPr>
          <w:rFonts w:hint="eastAsia"/>
          <w:sz w:val="20"/>
          <w:szCs w:val="20"/>
        </w:rPr>
        <w:t>4</w:t>
      </w:r>
      <w:r w:rsidR="00DC229F" w:rsidRPr="00CD215E">
        <w:rPr>
          <w:sz w:val="20"/>
          <w:szCs w:val="20"/>
        </w:rPr>
        <w:t>;</w:t>
      </w:r>
      <w:r w:rsidR="00DC229F" w:rsidRPr="00CD215E">
        <w:rPr>
          <w:rFonts w:hint="eastAsia"/>
          <w:sz w:val="20"/>
          <w:szCs w:val="20"/>
        </w:rPr>
        <w:t>7</w:t>
      </w:r>
      <w:r w:rsidR="00DC229F" w:rsidRPr="00CD215E">
        <w:rPr>
          <w:sz w:val="20"/>
          <w:szCs w:val="20"/>
        </w:rPr>
        <w:t>(</w:t>
      </w:r>
      <w:r w:rsidR="00DC229F" w:rsidRPr="00CD215E">
        <w:rPr>
          <w:rFonts w:hint="eastAsia"/>
          <w:sz w:val="20"/>
          <w:szCs w:val="20"/>
        </w:rPr>
        <w:t>10</w:t>
      </w:r>
      <w:r w:rsidR="00DC229F" w:rsidRPr="00CD215E">
        <w:rPr>
          <w:sz w:val="20"/>
          <w:szCs w:val="20"/>
        </w:rPr>
        <w:t>):</w:t>
      </w:r>
      <w:r w:rsidR="001943D2">
        <w:rPr>
          <w:noProof/>
          <w:color w:val="000000"/>
          <w:sz w:val="20"/>
          <w:szCs w:val="20"/>
        </w:rPr>
        <w:t>63</w:t>
      </w:r>
      <w:r w:rsidR="00DC229F" w:rsidRPr="00CD215E">
        <w:rPr>
          <w:color w:val="000000"/>
          <w:sz w:val="20"/>
          <w:szCs w:val="20"/>
        </w:rPr>
        <w:t>-</w:t>
      </w:r>
      <w:r w:rsidR="001943D2">
        <w:rPr>
          <w:noProof/>
          <w:color w:val="000000"/>
          <w:sz w:val="20"/>
          <w:szCs w:val="20"/>
        </w:rPr>
        <w:t>67</w:t>
      </w:r>
      <w:r w:rsidR="00DC229F" w:rsidRPr="00CD215E">
        <w:rPr>
          <w:sz w:val="20"/>
          <w:szCs w:val="20"/>
        </w:rPr>
        <w:t xml:space="preserve">]. (ISSN: 1554-0200). </w:t>
      </w:r>
      <w:hyperlink r:id="rId8" w:history="1">
        <w:r w:rsidR="00DC229F" w:rsidRPr="00CD215E">
          <w:rPr>
            <w:rStyle w:val="Hyperlink"/>
            <w:sz w:val="20"/>
            <w:szCs w:val="20"/>
          </w:rPr>
          <w:t>http://www.sciencepub.net/newyork</w:t>
        </w:r>
      </w:hyperlink>
      <w:r w:rsidR="00DC229F" w:rsidRPr="00CD215E">
        <w:rPr>
          <w:sz w:val="20"/>
          <w:szCs w:val="20"/>
        </w:rPr>
        <w:t xml:space="preserve">. </w:t>
      </w:r>
      <w:r w:rsidR="00CD215E" w:rsidRPr="00CD215E">
        <w:rPr>
          <w:rFonts w:hint="eastAsia"/>
          <w:sz w:val="20"/>
          <w:szCs w:val="20"/>
          <w:lang w:eastAsia="zh-CN"/>
        </w:rPr>
        <w:t>12</w:t>
      </w:r>
    </w:p>
    <w:p w:rsidR="001817C7" w:rsidRPr="00CD215E" w:rsidRDefault="001817C7" w:rsidP="00CD215E">
      <w:pPr>
        <w:pStyle w:val="NoSpacing"/>
        <w:snapToGrid w:val="0"/>
        <w:jc w:val="both"/>
        <w:rPr>
          <w:rFonts w:ascii="Times New Roman" w:hAnsi="Times New Roman" w:cs="Times New Roman"/>
          <w:sz w:val="20"/>
          <w:szCs w:val="20"/>
        </w:rPr>
      </w:pPr>
    </w:p>
    <w:p w:rsidR="001817C7" w:rsidRPr="00CD215E" w:rsidRDefault="001817C7" w:rsidP="00CD215E">
      <w:pPr>
        <w:snapToGrid w:val="0"/>
        <w:jc w:val="both"/>
        <w:rPr>
          <w:sz w:val="20"/>
          <w:szCs w:val="20"/>
        </w:rPr>
      </w:pPr>
      <w:r w:rsidRPr="00CD215E">
        <w:rPr>
          <w:b/>
          <w:sz w:val="20"/>
          <w:szCs w:val="20"/>
        </w:rPr>
        <w:t xml:space="preserve">Keywords: </w:t>
      </w:r>
      <w:r w:rsidR="00DD3FEB" w:rsidRPr="00CD215E">
        <w:rPr>
          <w:iCs/>
          <w:sz w:val="20"/>
          <w:szCs w:val="20"/>
        </w:rPr>
        <w:t xml:space="preserve">health expenditure, health indicators, health workforce, </w:t>
      </w:r>
      <w:proofErr w:type="spellStart"/>
      <w:r w:rsidR="00DD3FEB" w:rsidRPr="00CD215E">
        <w:rPr>
          <w:iCs/>
          <w:sz w:val="20"/>
          <w:szCs w:val="20"/>
        </w:rPr>
        <w:t>MDGs</w:t>
      </w:r>
      <w:proofErr w:type="spellEnd"/>
      <w:r w:rsidR="00DD3FEB" w:rsidRPr="00CD215E">
        <w:rPr>
          <w:iCs/>
          <w:sz w:val="20"/>
          <w:szCs w:val="20"/>
        </w:rPr>
        <w:t>, Bangladesh</w:t>
      </w:r>
    </w:p>
    <w:p w:rsidR="001817C7" w:rsidRPr="00CD215E" w:rsidRDefault="001817C7" w:rsidP="00CD215E">
      <w:pPr>
        <w:snapToGrid w:val="0"/>
        <w:jc w:val="both"/>
        <w:rPr>
          <w:sz w:val="20"/>
          <w:szCs w:val="20"/>
        </w:rPr>
      </w:pPr>
    </w:p>
    <w:p w:rsidR="002F20CD" w:rsidRPr="00CD215E" w:rsidRDefault="002F20CD" w:rsidP="00CD215E">
      <w:pPr>
        <w:snapToGrid w:val="0"/>
        <w:jc w:val="both"/>
        <w:rPr>
          <w:b/>
          <w:sz w:val="20"/>
          <w:szCs w:val="20"/>
        </w:rPr>
        <w:sectPr w:rsidR="002F20CD" w:rsidRPr="00CD215E" w:rsidSect="001943D2">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63"/>
          <w:cols w:space="720"/>
          <w:docGrid w:linePitch="360"/>
        </w:sectPr>
      </w:pPr>
    </w:p>
    <w:p w:rsidR="00471E57" w:rsidRPr="00CD215E" w:rsidRDefault="00471E57" w:rsidP="00CD215E">
      <w:pPr>
        <w:snapToGrid w:val="0"/>
        <w:jc w:val="both"/>
        <w:rPr>
          <w:b/>
          <w:sz w:val="20"/>
          <w:szCs w:val="20"/>
        </w:rPr>
      </w:pPr>
      <w:r w:rsidRPr="00CD215E">
        <w:rPr>
          <w:b/>
          <w:sz w:val="20"/>
          <w:szCs w:val="20"/>
        </w:rPr>
        <w:lastRenderedPageBreak/>
        <w:t>1. Introduction</w:t>
      </w:r>
    </w:p>
    <w:p w:rsidR="00DD3FEB" w:rsidRPr="00CD215E" w:rsidRDefault="00DD3FEB" w:rsidP="00CD215E">
      <w:pPr>
        <w:snapToGrid w:val="0"/>
        <w:ind w:firstLine="709"/>
        <w:jc w:val="both"/>
        <w:rPr>
          <w:sz w:val="20"/>
          <w:szCs w:val="20"/>
        </w:rPr>
      </w:pPr>
      <w:r w:rsidRPr="00CD215E">
        <w:rPr>
          <w:sz w:val="20"/>
          <w:szCs w:val="20"/>
        </w:rPr>
        <w:t>It’s really refreshing to know that Bangladesh is now considered an emerging ‘tiger of Asia’</w:t>
      </w:r>
      <w:r w:rsidRPr="00CD215E">
        <w:rPr>
          <w:sz w:val="20"/>
          <w:szCs w:val="20"/>
          <w:vertAlign w:val="superscript"/>
        </w:rPr>
        <w:t>1</w:t>
      </w:r>
      <w:r w:rsidRPr="00CD215E">
        <w:rPr>
          <w:sz w:val="20"/>
          <w:szCs w:val="20"/>
        </w:rPr>
        <w:t xml:space="preserve"> even though it was once branded a ‘bottomless basket’. </w:t>
      </w:r>
      <w:r w:rsidRPr="00CD215E">
        <w:rPr>
          <w:rStyle w:val="Strong"/>
          <w:b w:val="0"/>
          <w:sz w:val="20"/>
          <w:szCs w:val="20"/>
        </w:rPr>
        <w:t>Bangladesh has made tremendous strides forward</w:t>
      </w:r>
      <w:r w:rsidRPr="00CD215E">
        <w:rPr>
          <w:rStyle w:val="Strong"/>
          <w:sz w:val="20"/>
          <w:szCs w:val="20"/>
        </w:rPr>
        <w:t xml:space="preserve"> </w:t>
      </w:r>
      <w:r w:rsidRPr="00CD215E">
        <w:rPr>
          <w:sz w:val="20"/>
          <w:szCs w:val="20"/>
        </w:rPr>
        <w:t>in health and other socio-economic indicators in the recent past,</w:t>
      </w:r>
      <w:r w:rsidRPr="00CD215E">
        <w:rPr>
          <w:rStyle w:val="Strong"/>
          <w:sz w:val="20"/>
          <w:szCs w:val="20"/>
        </w:rPr>
        <w:t xml:space="preserve"> </w:t>
      </w:r>
      <w:r w:rsidRPr="00CD215E">
        <w:rPr>
          <w:rStyle w:val="Strong"/>
          <w:b w:val="0"/>
          <w:sz w:val="20"/>
          <w:szCs w:val="20"/>
        </w:rPr>
        <w:t>and the government has announced that it aims to become a middle-income country by 2021. The progress in healthcare is exceptional and exemplary, as clearly portrayed in a series of papers recently published in the</w:t>
      </w:r>
      <w:r w:rsidRPr="00CD215E">
        <w:rPr>
          <w:rStyle w:val="Strong"/>
          <w:b w:val="0"/>
          <w:i/>
          <w:sz w:val="20"/>
          <w:szCs w:val="20"/>
        </w:rPr>
        <w:t xml:space="preserve"> Lancet’</w:t>
      </w:r>
      <w:r w:rsidRPr="00CD215E">
        <w:rPr>
          <w:rStyle w:val="Strong"/>
          <w:b w:val="0"/>
          <w:sz w:val="20"/>
          <w:szCs w:val="20"/>
        </w:rPr>
        <w:t>.</w:t>
      </w:r>
      <w:r w:rsidRPr="00CD215E">
        <w:rPr>
          <w:rStyle w:val="Strong"/>
          <w:b w:val="0"/>
          <w:sz w:val="20"/>
          <w:szCs w:val="20"/>
          <w:vertAlign w:val="superscript"/>
        </w:rPr>
        <w:t>2-7</w:t>
      </w:r>
      <w:r w:rsidRPr="00CD215E">
        <w:rPr>
          <w:rStyle w:val="Strong"/>
          <w:b w:val="0"/>
          <w:sz w:val="20"/>
          <w:szCs w:val="20"/>
        </w:rPr>
        <w:t xml:space="preserve"> I wish to congratulate all the health professionals (governmental and non-governmental), teachers and trainers, donor agencies, policy makers, administrators, stakeholders, and the general public for their contribution to the improvement of the health indicators (including MDG) of the country. Even though</w:t>
      </w:r>
      <w:r w:rsidRPr="00CD215E">
        <w:rPr>
          <w:rStyle w:val="Strong"/>
          <w:sz w:val="20"/>
          <w:szCs w:val="20"/>
        </w:rPr>
        <w:t xml:space="preserve"> </w:t>
      </w:r>
      <w:r w:rsidRPr="00CD215E">
        <w:rPr>
          <w:sz w:val="20"/>
          <w:szCs w:val="20"/>
        </w:rPr>
        <w:t>considerable progress is being made to improve the health of the people of Bangladesh, there remain many areas of concern over development, provision, access and utilization of healthcare delivery. The successes in some areas can be seen as ‘sporadic’ and ‘ad-hoc’ when compared to the achievements of other countries.</w:t>
      </w:r>
      <w:r w:rsidRPr="00CD215E">
        <w:rPr>
          <w:sz w:val="20"/>
          <w:szCs w:val="20"/>
          <w:vertAlign w:val="superscript"/>
        </w:rPr>
        <w:t>8</w:t>
      </w:r>
      <w:r w:rsidRPr="00CD215E">
        <w:rPr>
          <w:sz w:val="20"/>
          <w:szCs w:val="20"/>
        </w:rPr>
        <w:t xml:space="preserve"> For example, how does Bangladesh compare with its neighbors? The holistic and comprehensive picture is not as encouraging (Table 1; the data are from the World Health Statistics 2013</w:t>
      </w:r>
      <w:r w:rsidRPr="00CD215E">
        <w:rPr>
          <w:sz w:val="20"/>
          <w:szCs w:val="20"/>
          <w:vertAlign w:val="superscript"/>
        </w:rPr>
        <w:t>9</w:t>
      </w:r>
      <w:r w:rsidRPr="00CD215E">
        <w:rPr>
          <w:sz w:val="20"/>
          <w:szCs w:val="20"/>
        </w:rPr>
        <w:t xml:space="preserve"> in the table and text unless indicated otherwise) as mentioned in the </w:t>
      </w:r>
      <w:r w:rsidRPr="00CD215E">
        <w:rPr>
          <w:i/>
          <w:sz w:val="20"/>
          <w:szCs w:val="20"/>
        </w:rPr>
        <w:t>Lancet</w:t>
      </w:r>
      <w:r w:rsidRPr="00CD215E">
        <w:rPr>
          <w:sz w:val="20"/>
          <w:szCs w:val="20"/>
        </w:rPr>
        <w:t xml:space="preserve"> publications.</w:t>
      </w:r>
    </w:p>
    <w:p w:rsidR="00471E57" w:rsidRPr="00CD215E" w:rsidRDefault="00471E57" w:rsidP="00CD215E">
      <w:pPr>
        <w:snapToGrid w:val="0"/>
        <w:jc w:val="both"/>
        <w:rPr>
          <w:sz w:val="20"/>
          <w:szCs w:val="20"/>
        </w:rPr>
      </w:pPr>
    </w:p>
    <w:p w:rsidR="003901CD" w:rsidRPr="00CD215E" w:rsidRDefault="00471E57" w:rsidP="00CD215E">
      <w:pPr>
        <w:autoSpaceDE w:val="0"/>
        <w:autoSpaceDN w:val="0"/>
        <w:adjustRightInd w:val="0"/>
        <w:snapToGrid w:val="0"/>
        <w:jc w:val="both"/>
        <w:rPr>
          <w:b/>
          <w:sz w:val="20"/>
          <w:szCs w:val="20"/>
        </w:rPr>
      </w:pPr>
      <w:r w:rsidRPr="00CD215E">
        <w:rPr>
          <w:b/>
          <w:sz w:val="20"/>
          <w:szCs w:val="20"/>
        </w:rPr>
        <w:t xml:space="preserve">2. </w:t>
      </w:r>
      <w:r w:rsidR="003901CD" w:rsidRPr="00CD215E">
        <w:rPr>
          <w:b/>
          <w:sz w:val="20"/>
          <w:szCs w:val="20"/>
        </w:rPr>
        <w:t>Health status in Bangladesh: An overview</w:t>
      </w:r>
    </w:p>
    <w:p w:rsidR="002D5F2A" w:rsidRPr="00CD215E" w:rsidRDefault="003901CD" w:rsidP="00CD215E">
      <w:pPr>
        <w:autoSpaceDE w:val="0"/>
        <w:autoSpaceDN w:val="0"/>
        <w:adjustRightInd w:val="0"/>
        <w:snapToGrid w:val="0"/>
        <w:ind w:firstLine="709"/>
        <w:jc w:val="both"/>
        <w:rPr>
          <w:sz w:val="20"/>
          <w:szCs w:val="20"/>
        </w:rPr>
      </w:pPr>
      <w:r w:rsidRPr="00CD215E">
        <w:rPr>
          <w:sz w:val="20"/>
          <w:szCs w:val="20"/>
        </w:rPr>
        <w:t xml:space="preserve">Bangladesh is home to more than 2% of the world’s population with more than 75% of its 142 million people living in rural areas. The adolescent </w:t>
      </w:r>
      <w:r w:rsidRPr="00CD215E">
        <w:rPr>
          <w:sz w:val="20"/>
          <w:szCs w:val="20"/>
        </w:rPr>
        <w:lastRenderedPageBreak/>
        <w:t xml:space="preserve">fertility rate (MDG 5) is approximately 2.5 times higher than the regional (WHO Southeast Asia*) average and is the highest in the region. Income inequalities rose with the </w:t>
      </w:r>
      <w:proofErr w:type="spellStart"/>
      <w:r w:rsidRPr="00CD215E">
        <w:rPr>
          <w:sz w:val="20"/>
          <w:szCs w:val="20"/>
        </w:rPr>
        <w:t>Gini</w:t>
      </w:r>
      <w:proofErr w:type="spellEnd"/>
      <w:r w:rsidRPr="00CD215E">
        <w:rPr>
          <w:sz w:val="20"/>
          <w:szCs w:val="20"/>
        </w:rPr>
        <w:t xml:space="preserve"> coefficient (0=perfect equality; </w:t>
      </w:r>
      <w:bookmarkStart w:id="0" w:name="_GoBack"/>
      <w:bookmarkEnd w:id="0"/>
      <w:r w:rsidRPr="00CD215E">
        <w:rPr>
          <w:sz w:val="20"/>
          <w:szCs w:val="20"/>
        </w:rPr>
        <w:t>100=perfect inequality) going up to 32.1 in 2010 from 27.6 in 1992.</w:t>
      </w:r>
      <w:r w:rsidRPr="00CD215E">
        <w:rPr>
          <w:sz w:val="20"/>
          <w:szCs w:val="20"/>
          <w:vertAlign w:val="superscript"/>
        </w:rPr>
        <w:t>11</w:t>
      </w:r>
      <w:r w:rsidRPr="00CD215E">
        <w:rPr>
          <w:sz w:val="20"/>
          <w:szCs w:val="20"/>
        </w:rPr>
        <w:t xml:space="preserve"> </w:t>
      </w:r>
    </w:p>
    <w:p w:rsidR="003901CD" w:rsidRPr="00CD215E" w:rsidRDefault="002D5F2A" w:rsidP="00CD215E">
      <w:pPr>
        <w:autoSpaceDE w:val="0"/>
        <w:autoSpaceDN w:val="0"/>
        <w:adjustRightInd w:val="0"/>
        <w:snapToGrid w:val="0"/>
        <w:ind w:firstLine="709"/>
        <w:jc w:val="both"/>
        <w:rPr>
          <w:sz w:val="20"/>
          <w:szCs w:val="20"/>
        </w:rPr>
      </w:pPr>
      <w:r w:rsidRPr="00CD215E">
        <w:rPr>
          <w:sz w:val="20"/>
          <w:szCs w:val="20"/>
        </w:rPr>
        <w:t>In Bangladesh, t</w:t>
      </w:r>
      <w:r w:rsidR="003901CD" w:rsidRPr="00CD215E">
        <w:rPr>
          <w:sz w:val="20"/>
          <w:szCs w:val="20"/>
        </w:rPr>
        <w:t>he basic needs of living, particularly health and education, remain largely unmet and only less than half of the population has access to basic healthcare. The country has some poor health indicators, as well as signs of gender and other inequalities.</w:t>
      </w:r>
      <w:r w:rsidR="003901CD" w:rsidRPr="00CD215E">
        <w:rPr>
          <w:sz w:val="20"/>
          <w:szCs w:val="20"/>
          <w:vertAlign w:val="superscript"/>
        </w:rPr>
        <w:t xml:space="preserve"> </w:t>
      </w:r>
      <w:r w:rsidR="003901CD" w:rsidRPr="00CD215E">
        <w:rPr>
          <w:sz w:val="20"/>
          <w:szCs w:val="20"/>
        </w:rPr>
        <w:t>Bangladesh's Human development Index (HDI) is 0.515, which gives the country a rank of 146 out of 187 countries and places it in the ‘low human development’ category.</w:t>
      </w:r>
      <w:r w:rsidR="003901CD" w:rsidRPr="00CD215E">
        <w:rPr>
          <w:sz w:val="20"/>
          <w:szCs w:val="20"/>
          <w:vertAlign w:val="superscript"/>
        </w:rPr>
        <w:t>12</w:t>
      </w:r>
      <w:r w:rsidR="003901CD" w:rsidRPr="00CD215E">
        <w:rPr>
          <w:sz w:val="20"/>
          <w:szCs w:val="20"/>
        </w:rPr>
        <w:t xml:space="preserve"> The HDI of South Asia as a region increased from 0.356 in 1980 to 0.548 today, placing Bangladesh below even the regional average. The gross national income per capita (PPP int. $) is approximately half of the regional average, and almost half of the population (49.6%) in Bangladesh lives on &lt;$1 (PPP int. $) a day (MDG 1) (regional average 38.4%) – which is more than double the global average of 22.7%.</w:t>
      </w:r>
    </w:p>
    <w:p w:rsidR="00471E57" w:rsidRPr="00CD215E" w:rsidRDefault="00471E57" w:rsidP="00CD215E">
      <w:pPr>
        <w:snapToGrid w:val="0"/>
        <w:jc w:val="both"/>
        <w:rPr>
          <w:sz w:val="20"/>
          <w:szCs w:val="20"/>
        </w:rPr>
      </w:pPr>
    </w:p>
    <w:p w:rsidR="003901CD" w:rsidRPr="00CD215E" w:rsidRDefault="003901CD" w:rsidP="00CD215E">
      <w:pPr>
        <w:autoSpaceDE w:val="0"/>
        <w:autoSpaceDN w:val="0"/>
        <w:adjustRightInd w:val="0"/>
        <w:snapToGrid w:val="0"/>
        <w:jc w:val="both"/>
        <w:rPr>
          <w:b/>
          <w:sz w:val="20"/>
          <w:szCs w:val="20"/>
        </w:rPr>
      </w:pPr>
      <w:r w:rsidRPr="00CD215E">
        <w:rPr>
          <w:b/>
          <w:sz w:val="20"/>
          <w:szCs w:val="20"/>
        </w:rPr>
        <w:t>3. Medical education and research: Needs overhauling?</w:t>
      </w:r>
    </w:p>
    <w:p w:rsidR="00121618" w:rsidRPr="00CD215E" w:rsidRDefault="003901CD" w:rsidP="00A71D4B">
      <w:pPr>
        <w:snapToGrid w:val="0"/>
        <w:jc w:val="both"/>
        <w:rPr>
          <w:bCs/>
          <w:sz w:val="20"/>
          <w:szCs w:val="20"/>
        </w:rPr>
      </w:pPr>
      <w:r w:rsidRPr="00CD215E">
        <w:rPr>
          <w:sz w:val="20"/>
          <w:szCs w:val="20"/>
        </w:rPr>
        <w:t>In recent years, medical education in Bangladesh has undergone a radical reform in a bid to make the curricula relevant to the needs of the country and produce a competency-based health workforce.</w:t>
      </w:r>
      <w:r w:rsidRPr="00CD215E">
        <w:rPr>
          <w:sz w:val="20"/>
          <w:szCs w:val="20"/>
          <w:vertAlign w:val="superscript"/>
        </w:rPr>
        <w:t>13,14</w:t>
      </w:r>
      <w:r w:rsidRPr="00CD215E">
        <w:rPr>
          <w:sz w:val="20"/>
          <w:szCs w:val="20"/>
        </w:rPr>
        <w:t xml:space="preserve"> However, </w:t>
      </w:r>
      <w:r w:rsidRPr="00CD215E">
        <w:rPr>
          <w:bCs/>
          <w:sz w:val="20"/>
          <w:szCs w:val="20"/>
        </w:rPr>
        <w:t>radical changes in many areas are still needed to ensure social accountability of medical education, increase its community orientation and foster inter</w:t>
      </w:r>
      <w:r w:rsidR="00C92ECA" w:rsidRPr="00CD215E">
        <w:rPr>
          <w:bCs/>
          <w:sz w:val="20"/>
          <w:szCs w:val="20"/>
        </w:rPr>
        <w:t>-</w:t>
      </w:r>
      <w:r w:rsidRPr="00CD215E">
        <w:rPr>
          <w:bCs/>
          <w:sz w:val="20"/>
          <w:szCs w:val="20"/>
        </w:rPr>
        <w:t>professional teaching and learning.</w:t>
      </w:r>
      <w:r w:rsidR="00A71D4B">
        <w:rPr>
          <w:bCs/>
          <w:sz w:val="20"/>
          <w:szCs w:val="20"/>
        </w:rPr>
        <w:t xml:space="preserve"> </w:t>
      </w:r>
      <w:r w:rsidRPr="00CD215E">
        <w:rPr>
          <w:bCs/>
          <w:sz w:val="20"/>
          <w:szCs w:val="20"/>
        </w:rPr>
        <w:t xml:space="preserve">Bangladesh needs to overhaul its </w:t>
      </w:r>
      <w:r w:rsidR="00121618" w:rsidRPr="00CD215E">
        <w:rPr>
          <w:bCs/>
          <w:sz w:val="20"/>
          <w:szCs w:val="20"/>
        </w:rPr>
        <w:t xml:space="preserve">medical </w:t>
      </w:r>
      <w:r w:rsidR="00A71D4B" w:rsidRPr="00CD215E">
        <w:rPr>
          <w:bCs/>
          <w:sz w:val="20"/>
          <w:szCs w:val="20"/>
        </w:rPr>
        <w:t xml:space="preserve">education </w:t>
      </w:r>
      <w:r w:rsidR="00A71D4B" w:rsidRPr="00CD215E">
        <w:rPr>
          <w:bCs/>
          <w:sz w:val="20"/>
          <w:szCs w:val="20"/>
        </w:rPr>
        <w:lastRenderedPageBreak/>
        <w:t>to the changing needs of healthcare so it can produce doctors who will be able to fulfill the expectations of society and cope with the exponential growth of knowledge and information technology. B</w:t>
      </w:r>
      <w:r w:rsidR="00A71D4B" w:rsidRPr="00CD215E">
        <w:rPr>
          <w:sz w:val="20"/>
          <w:szCs w:val="20"/>
        </w:rPr>
        <w:t xml:space="preserve">iomedical </w:t>
      </w:r>
      <w:r w:rsidR="00A71D4B" w:rsidRPr="00CD215E">
        <w:rPr>
          <w:sz w:val="20"/>
          <w:szCs w:val="20"/>
        </w:rPr>
        <w:lastRenderedPageBreak/>
        <w:t>and educational research, something which influences the outcome of healthcare, has failed to set priorities and targets of healthcare and educational policies and practices.</w:t>
      </w:r>
      <w:r w:rsidR="00A71D4B" w:rsidRPr="00CD215E">
        <w:rPr>
          <w:sz w:val="20"/>
          <w:szCs w:val="20"/>
          <w:vertAlign w:val="superscript"/>
        </w:rPr>
        <w:t>15-17</w:t>
      </w:r>
      <w:r w:rsidR="00A71D4B" w:rsidRPr="00CD215E">
        <w:rPr>
          <w:sz w:val="20"/>
          <w:szCs w:val="20"/>
        </w:rPr>
        <w:t xml:space="preserve"> </w:t>
      </w:r>
      <w:r w:rsidR="00A71D4B">
        <w:rPr>
          <w:sz w:val="20"/>
          <w:szCs w:val="20"/>
        </w:rPr>
        <w:t xml:space="preserve"> </w:t>
      </w:r>
    </w:p>
    <w:p w:rsidR="00121618" w:rsidRPr="00CD215E" w:rsidRDefault="00121618" w:rsidP="00CD215E">
      <w:pPr>
        <w:pStyle w:val="NoSpacing"/>
        <w:snapToGrid w:val="0"/>
        <w:jc w:val="both"/>
        <w:rPr>
          <w:rFonts w:ascii="Times New Roman" w:hAnsi="Times New Roman" w:cs="Times New Roman"/>
          <w:sz w:val="20"/>
          <w:szCs w:val="20"/>
          <w:vertAlign w:val="superscript"/>
          <w:lang w:val="en-US" w:eastAsia="en-GB"/>
        </w:rPr>
        <w:sectPr w:rsidR="00121618" w:rsidRPr="00CD215E" w:rsidSect="00C00102">
          <w:footnotePr>
            <w:pos w:val="beneathText"/>
          </w:footnotePr>
          <w:type w:val="continuous"/>
          <w:pgSz w:w="12240" w:h="15840" w:code="1"/>
          <w:pgMar w:top="1440" w:right="1440" w:bottom="1440" w:left="1440" w:header="720" w:footer="720" w:gutter="0"/>
          <w:cols w:num="2" w:space="720"/>
          <w:docGrid w:linePitch="360"/>
        </w:sectPr>
      </w:pPr>
    </w:p>
    <w:p w:rsidR="00A71D4B" w:rsidRDefault="00A71D4B" w:rsidP="00CD215E">
      <w:pPr>
        <w:snapToGrid w:val="0"/>
        <w:jc w:val="center"/>
        <w:rPr>
          <w:b/>
          <w:bCs/>
          <w:sz w:val="20"/>
          <w:szCs w:val="20"/>
        </w:rPr>
      </w:pPr>
    </w:p>
    <w:p w:rsidR="00A71D4B" w:rsidRDefault="00A71D4B" w:rsidP="00CD215E">
      <w:pPr>
        <w:snapToGrid w:val="0"/>
        <w:jc w:val="center"/>
        <w:rPr>
          <w:b/>
          <w:bCs/>
          <w:sz w:val="20"/>
          <w:szCs w:val="20"/>
        </w:rPr>
      </w:pPr>
    </w:p>
    <w:p w:rsidR="00121618" w:rsidRPr="00CD215E" w:rsidRDefault="00121618" w:rsidP="00CD215E">
      <w:pPr>
        <w:snapToGrid w:val="0"/>
        <w:jc w:val="center"/>
        <w:rPr>
          <w:sz w:val="20"/>
          <w:szCs w:val="20"/>
          <w:vertAlign w:val="superscript"/>
        </w:rPr>
      </w:pPr>
      <w:r w:rsidRPr="00CD215E">
        <w:rPr>
          <w:b/>
          <w:bCs/>
          <w:sz w:val="20"/>
          <w:szCs w:val="20"/>
        </w:rPr>
        <w:t>Table 1</w:t>
      </w:r>
      <w:r w:rsidRPr="00CD215E">
        <w:rPr>
          <w:sz w:val="20"/>
          <w:szCs w:val="20"/>
        </w:rPr>
        <w:t>: Health and MDG-related indicators of selected WHO Southeast regional countries</w:t>
      </w:r>
      <w:r w:rsidRPr="00CD215E">
        <w:rPr>
          <w:sz w:val="20"/>
          <w:szCs w:val="20"/>
          <w:vertAlign w:val="superscript"/>
        </w:rPr>
        <w:t>9</w:t>
      </w:r>
    </w:p>
    <w:tbl>
      <w:tblPr>
        <w:tblW w:w="9322" w:type="dxa"/>
        <w:tblLayout w:type="fixed"/>
        <w:tblLook w:val="04A0"/>
      </w:tblPr>
      <w:tblGrid>
        <w:gridCol w:w="1384"/>
        <w:gridCol w:w="709"/>
        <w:gridCol w:w="567"/>
        <w:gridCol w:w="567"/>
        <w:gridCol w:w="567"/>
        <w:gridCol w:w="567"/>
        <w:gridCol w:w="567"/>
        <w:gridCol w:w="567"/>
        <w:gridCol w:w="850"/>
        <w:gridCol w:w="426"/>
        <w:gridCol w:w="567"/>
        <w:gridCol w:w="567"/>
        <w:gridCol w:w="567"/>
        <w:gridCol w:w="850"/>
      </w:tblGrid>
      <w:tr w:rsidR="00121618" w:rsidRPr="00CD215E" w:rsidTr="00CD215E">
        <w:trPr>
          <w:cantSplit/>
          <w:trHeight w:val="1408"/>
        </w:trPr>
        <w:tc>
          <w:tcPr>
            <w:tcW w:w="1384" w:type="dxa"/>
            <w:vMerge w:val="restart"/>
            <w:tcBorders>
              <w:top w:val="single" w:sz="4" w:space="0" w:color="auto"/>
              <w:left w:val="single" w:sz="4" w:space="0" w:color="auto"/>
              <w:right w:val="single" w:sz="4" w:space="0" w:color="auto"/>
            </w:tcBorders>
            <w:shd w:val="clear" w:color="B8CCE4" w:fill="FFFFFF"/>
            <w:noWrap/>
            <w:hideMark/>
          </w:tcPr>
          <w:p w:rsidR="00121618" w:rsidRPr="00CD215E" w:rsidRDefault="00121618" w:rsidP="00CD215E">
            <w:pPr>
              <w:snapToGrid w:val="0"/>
              <w:jc w:val="both"/>
              <w:rPr>
                <w:rFonts w:eastAsia="Times New Roman"/>
                <w:sz w:val="20"/>
                <w:szCs w:val="20"/>
              </w:rPr>
            </w:pPr>
          </w:p>
          <w:p w:rsidR="00121618" w:rsidRPr="00CD215E" w:rsidRDefault="00121618" w:rsidP="00CD215E">
            <w:pPr>
              <w:snapToGrid w:val="0"/>
              <w:jc w:val="both"/>
              <w:rPr>
                <w:rFonts w:eastAsia="Times New Roman"/>
                <w:sz w:val="20"/>
                <w:szCs w:val="20"/>
              </w:rPr>
            </w:pPr>
          </w:p>
          <w:p w:rsidR="00121618" w:rsidRPr="00CD215E" w:rsidRDefault="00121618" w:rsidP="00CD215E">
            <w:pPr>
              <w:snapToGrid w:val="0"/>
              <w:jc w:val="both"/>
              <w:rPr>
                <w:rFonts w:eastAsia="Times New Roman"/>
                <w:sz w:val="20"/>
                <w:szCs w:val="20"/>
              </w:rPr>
            </w:pPr>
          </w:p>
          <w:p w:rsidR="00121618" w:rsidRPr="00CD215E" w:rsidRDefault="00121618" w:rsidP="00CD215E">
            <w:pPr>
              <w:snapToGrid w:val="0"/>
              <w:jc w:val="both"/>
              <w:rPr>
                <w:rFonts w:eastAsia="Times New Roman"/>
                <w:sz w:val="20"/>
                <w:szCs w:val="20"/>
              </w:rPr>
            </w:pPr>
          </w:p>
          <w:p w:rsidR="00121618" w:rsidRPr="00CD215E" w:rsidRDefault="00121618" w:rsidP="00CD215E">
            <w:pPr>
              <w:snapToGrid w:val="0"/>
              <w:jc w:val="both"/>
              <w:rPr>
                <w:rFonts w:eastAsia="Times New Roman"/>
                <w:sz w:val="20"/>
                <w:szCs w:val="20"/>
              </w:rPr>
            </w:pPr>
            <w:r w:rsidRPr="00CD215E">
              <w:rPr>
                <w:rFonts w:eastAsia="Times New Roman"/>
                <w:sz w:val="20"/>
                <w:szCs w:val="20"/>
              </w:rPr>
              <w:t>Countries</w:t>
            </w:r>
          </w:p>
        </w:tc>
        <w:tc>
          <w:tcPr>
            <w:tcW w:w="709" w:type="dxa"/>
            <w:vMerge w:val="restart"/>
            <w:tcBorders>
              <w:top w:val="single" w:sz="4" w:space="0" w:color="auto"/>
              <w:left w:val="nil"/>
              <w:right w:val="single" w:sz="4" w:space="0" w:color="auto"/>
            </w:tcBorders>
            <w:shd w:val="clear" w:color="000000" w:fill="FFFFFF"/>
            <w:textDirection w:val="btLr"/>
            <w:hideMark/>
          </w:tcPr>
          <w:p w:rsidR="00121618" w:rsidRPr="00CD215E" w:rsidRDefault="00121618" w:rsidP="00CD215E">
            <w:pPr>
              <w:snapToGrid w:val="0"/>
              <w:ind w:left="113" w:right="113"/>
              <w:rPr>
                <w:rFonts w:eastAsia="Times New Roman"/>
                <w:sz w:val="20"/>
                <w:szCs w:val="20"/>
              </w:rPr>
            </w:pPr>
            <w:r w:rsidRPr="00CD215E">
              <w:rPr>
                <w:rFonts w:eastAsia="Times New Roman"/>
                <w:sz w:val="20"/>
                <w:szCs w:val="20"/>
              </w:rPr>
              <w:t>MDG 1 Population living on &lt;$1 a day (%)</w:t>
            </w:r>
            <w:r w:rsidRPr="00CD215E">
              <w:rPr>
                <w:rFonts w:eastAsia="Times New Roman"/>
                <w:sz w:val="20"/>
                <w:szCs w:val="20"/>
                <w:vertAlign w:val="superscript"/>
              </w:rPr>
              <w:t xml:space="preserve">a </w:t>
            </w:r>
            <w:r w:rsidRPr="00CD215E">
              <w:rPr>
                <w:rFonts w:eastAsia="Times New Roman"/>
                <w:sz w:val="20"/>
                <w:szCs w:val="20"/>
              </w:rPr>
              <w:t>(2005-08)</w:t>
            </w:r>
          </w:p>
          <w:p w:rsidR="00121618" w:rsidRPr="00CD215E" w:rsidRDefault="00121618" w:rsidP="00CD215E">
            <w:pPr>
              <w:snapToGrid w:val="0"/>
              <w:ind w:left="113" w:right="113"/>
              <w:rPr>
                <w:rFonts w:eastAsia="Times New Roman"/>
                <w:sz w:val="20"/>
                <w:szCs w:val="20"/>
              </w:rPr>
            </w:pPr>
          </w:p>
        </w:tc>
        <w:tc>
          <w:tcPr>
            <w:tcW w:w="567" w:type="dxa"/>
            <w:vMerge w:val="restart"/>
            <w:tcBorders>
              <w:top w:val="single" w:sz="4" w:space="0" w:color="auto"/>
              <w:left w:val="nil"/>
              <w:right w:val="single" w:sz="4" w:space="0" w:color="auto"/>
            </w:tcBorders>
            <w:shd w:val="clear" w:color="000000" w:fill="FFFFFF"/>
            <w:textDirection w:val="btLr"/>
            <w:hideMark/>
          </w:tcPr>
          <w:p w:rsidR="00121618" w:rsidRPr="00CD215E" w:rsidRDefault="00121618" w:rsidP="00CD215E">
            <w:pPr>
              <w:snapToGrid w:val="0"/>
              <w:ind w:left="113" w:right="113"/>
              <w:rPr>
                <w:rFonts w:eastAsia="Times New Roman"/>
                <w:sz w:val="20"/>
                <w:szCs w:val="20"/>
              </w:rPr>
            </w:pPr>
            <w:r w:rsidRPr="00CD215E">
              <w:rPr>
                <w:rFonts w:eastAsia="Times New Roman"/>
                <w:sz w:val="20"/>
                <w:szCs w:val="20"/>
              </w:rPr>
              <w:t>Life expectancy at birth (years) (2011)</w:t>
            </w:r>
          </w:p>
        </w:tc>
        <w:tc>
          <w:tcPr>
            <w:tcW w:w="567" w:type="dxa"/>
            <w:vMerge w:val="restart"/>
            <w:tcBorders>
              <w:top w:val="single" w:sz="4" w:space="0" w:color="auto"/>
              <w:left w:val="nil"/>
              <w:right w:val="single" w:sz="4" w:space="0" w:color="auto"/>
            </w:tcBorders>
            <w:shd w:val="clear" w:color="000000" w:fill="FFFFFF"/>
            <w:textDirection w:val="btLr"/>
            <w:hideMark/>
          </w:tcPr>
          <w:p w:rsidR="00121618" w:rsidRPr="00CD215E" w:rsidRDefault="00121618" w:rsidP="00CD215E">
            <w:pPr>
              <w:snapToGrid w:val="0"/>
              <w:ind w:left="113" w:right="113"/>
              <w:rPr>
                <w:rFonts w:eastAsia="Times New Roman"/>
                <w:sz w:val="20"/>
                <w:szCs w:val="20"/>
              </w:rPr>
            </w:pPr>
            <w:r w:rsidRPr="00CD215E">
              <w:rPr>
                <w:rFonts w:eastAsia="Times New Roman"/>
                <w:sz w:val="20"/>
                <w:szCs w:val="20"/>
              </w:rPr>
              <w:t xml:space="preserve">MDG 5 Adolescent fertility </w:t>
            </w:r>
            <w:proofErr w:type="spellStart"/>
            <w:r w:rsidRPr="00CD215E">
              <w:rPr>
                <w:rFonts w:eastAsia="Times New Roman"/>
                <w:sz w:val="20"/>
                <w:szCs w:val="20"/>
              </w:rPr>
              <w:t>rate</w:t>
            </w:r>
            <w:r w:rsidRPr="00CD215E">
              <w:rPr>
                <w:rFonts w:eastAsia="Times New Roman"/>
                <w:sz w:val="20"/>
                <w:szCs w:val="20"/>
                <w:vertAlign w:val="superscript"/>
              </w:rPr>
              <w:t>b</w:t>
            </w:r>
            <w:proofErr w:type="spellEnd"/>
            <w:r w:rsidRPr="00CD215E">
              <w:rPr>
                <w:rFonts w:eastAsia="Times New Roman"/>
                <w:sz w:val="20"/>
                <w:szCs w:val="20"/>
                <w:vertAlign w:val="superscript"/>
              </w:rPr>
              <w:t xml:space="preserve"> </w:t>
            </w:r>
            <w:r w:rsidRPr="00CD215E">
              <w:rPr>
                <w:rFonts w:eastAsia="Times New Roman"/>
                <w:sz w:val="20"/>
                <w:szCs w:val="20"/>
              </w:rPr>
              <w:t>(2005-10)</w:t>
            </w:r>
          </w:p>
        </w:tc>
        <w:tc>
          <w:tcPr>
            <w:tcW w:w="567" w:type="dxa"/>
            <w:vMerge w:val="restart"/>
            <w:tcBorders>
              <w:top w:val="single" w:sz="4" w:space="0" w:color="auto"/>
              <w:left w:val="nil"/>
              <w:right w:val="single" w:sz="4" w:space="0" w:color="auto"/>
            </w:tcBorders>
            <w:shd w:val="clear" w:color="000000" w:fill="FFFFFF"/>
            <w:textDirection w:val="btLr"/>
            <w:hideMark/>
          </w:tcPr>
          <w:p w:rsidR="00121618" w:rsidRPr="00CD215E" w:rsidRDefault="00121618" w:rsidP="00CD215E">
            <w:pPr>
              <w:snapToGrid w:val="0"/>
              <w:ind w:left="113" w:right="113"/>
              <w:rPr>
                <w:rFonts w:eastAsia="Times New Roman"/>
                <w:sz w:val="20"/>
                <w:szCs w:val="20"/>
              </w:rPr>
            </w:pPr>
            <w:r w:rsidRPr="00CD215E">
              <w:rPr>
                <w:rFonts w:eastAsia="Times New Roman"/>
                <w:sz w:val="20"/>
                <w:szCs w:val="20"/>
              </w:rPr>
              <w:t>MDG 4</w:t>
            </w:r>
            <w:r w:rsidR="00A71D4B">
              <w:rPr>
                <w:rFonts w:eastAsia="Times New Roman"/>
                <w:sz w:val="20"/>
                <w:szCs w:val="20"/>
              </w:rPr>
              <w:t xml:space="preserve"> </w:t>
            </w:r>
            <w:r w:rsidRPr="00CD215E">
              <w:rPr>
                <w:rFonts w:eastAsia="Times New Roman"/>
                <w:sz w:val="20"/>
                <w:szCs w:val="20"/>
              </w:rPr>
              <w:t>Infant mortality rate (2011)</w:t>
            </w:r>
          </w:p>
        </w:tc>
        <w:tc>
          <w:tcPr>
            <w:tcW w:w="567" w:type="dxa"/>
            <w:vMerge w:val="restart"/>
            <w:tcBorders>
              <w:top w:val="single" w:sz="4" w:space="0" w:color="auto"/>
              <w:left w:val="nil"/>
              <w:right w:val="single" w:sz="4" w:space="0" w:color="auto"/>
            </w:tcBorders>
            <w:shd w:val="clear" w:color="000000" w:fill="FFFFFF"/>
            <w:textDirection w:val="btLr"/>
            <w:hideMark/>
          </w:tcPr>
          <w:p w:rsidR="00121618" w:rsidRPr="00CD215E" w:rsidRDefault="00121618" w:rsidP="00CD215E">
            <w:pPr>
              <w:snapToGrid w:val="0"/>
              <w:ind w:left="113" w:right="113"/>
              <w:rPr>
                <w:rFonts w:eastAsia="Times New Roman"/>
                <w:sz w:val="20"/>
                <w:szCs w:val="20"/>
              </w:rPr>
            </w:pPr>
            <w:r w:rsidRPr="00CD215E">
              <w:rPr>
                <w:rFonts w:eastAsia="Times New Roman"/>
                <w:sz w:val="20"/>
                <w:szCs w:val="20"/>
              </w:rPr>
              <w:t>MDG 5 Maternal mortality ratio (2010)</w:t>
            </w:r>
          </w:p>
        </w:tc>
        <w:tc>
          <w:tcPr>
            <w:tcW w:w="1134" w:type="dxa"/>
            <w:gridSpan w:val="2"/>
            <w:tcBorders>
              <w:top w:val="single" w:sz="4" w:space="0" w:color="auto"/>
              <w:left w:val="nil"/>
              <w:bottom w:val="single" w:sz="4" w:space="0" w:color="auto"/>
              <w:right w:val="single" w:sz="4" w:space="0" w:color="auto"/>
            </w:tcBorders>
            <w:shd w:val="clear" w:color="000000" w:fill="FFFFFF"/>
            <w:textDirection w:val="btLr"/>
            <w:hideMark/>
          </w:tcPr>
          <w:p w:rsidR="00121618" w:rsidRPr="00CD215E" w:rsidRDefault="00121618" w:rsidP="00CD215E">
            <w:pPr>
              <w:pStyle w:val="NoSpacing"/>
              <w:snapToGrid w:val="0"/>
              <w:rPr>
                <w:rFonts w:ascii="Times New Roman" w:hAnsi="Times New Roman" w:cs="Times New Roman"/>
                <w:sz w:val="20"/>
                <w:szCs w:val="20"/>
                <w:lang w:val="en-US"/>
              </w:rPr>
            </w:pPr>
            <w:r w:rsidRPr="00CD215E">
              <w:rPr>
                <w:rFonts w:ascii="Times New Roman" w:hAnsi="Times New Roman" w:cs="Times New Roman"/>
                <w:sz w:val="20"/>
                <w:szCs w:val="20"/>
                <w:lang w:val="en-US"/>
              </w:rPr>
              <w:t>MDG 5 Antenatal care coverage (%)</w:t>
            </w:r>
          </w:p>
          <w:p w:rsidR="00121618" w:rsidRPr="00CD215E" w:rsidRDefault="00121618" w:rsidP="00CD215E">
            <w:pPr>
              <w:pStyle w:val="NoSpacing"/>
              <w:snapToGrid w:val="0"/>
              <w:rPr>
                <w:rFonts w:ascii="Times New Roman" w:hAnsi="Times New Roman" w:cs="Times New Roman"/>
                <w:sz w:val="20"/>
                <w:szCs w:val="20"/>
                <w:lang w:val="en-US"/>
              </w:rPr>
            </w:pPr>
            <w:r w:rsidRPr="00CD215E">
              <w:rPr>
                <w:rFonts w:ascii="Times New Roman" w:hAnsi="Times New Roman" w:cs="Times New Roman"/>
                <w:sz w:val="20"/>
                <w:szCs w:val="20"/>
                <w:lang w:val="en-US"/>
              </w:rPr>
              <w:t>(2005-2012)</w:t>
            </w:r>
          </w:p>
        </w:tc>
        <w:tc>
          <w:tcPr>
            <w:tcW w:w="850" w:type="dxa"/>
            <w:vMerge w:val="restart"/>
            <w:tcBorders>
              <w:top w:val="single" w:sz="4" w:space="0" w:color="auto"/>
              <w:left w:val="nil"/>
              <w:right w:val="single" w:sz="4" w:space="0" w:color="auto"/>
            </w:tcBorders>
            <w:shd w:val="clear" w:color="000000" w:fill="FFFFFF"/>
            <w:textDirection w:val="btLr"/>
            <w:hideMark/>
          </w:tcPr>
          <w:p w:rsidR="00121618" w:rsidRPr="00CD215E" w:rsidRDefault="00121618" w:rsidP="00CD215E">
            <w:pPr>
              <w:snapToGrid w:val="0"/>
              <w:ind w:left="113" w:right="113"/>
              <w:rPr>
                <w:rFonts w:eastAsia="Times New Roman"/>
                <w:sz w:val="20"/>
                <w:szCs w:val="20"/>
              </w:rPr>
            </w:pPr>
            <w:r w:rsidRPr="00CD215E">
              <w:rPr>
                <w:rFonts w:eastAsia="Times New Roman"/>
                <w:sz w:val="20"/>
                <w:szCs w:val="20"/>
              </w:rPr>
              <w:t xml:space="preserve">MDG 5 Births attended by skilled health personnel (%) </w:t>
            </w:r>
            <w:r w:rsidRPr="00CD215E">
              <w:rPr>
                <w:sz w:val="20"/>
                <w:szCs w:val="20"/>
              </w:rPr>
              <w:t>(2005-2012)</w:t>
            </w:r>
          </w:p>
        </w:tc>
        <w:tc>
          <w:tcPr>
            <w:tcW w:w="426" w:type="dxa"/>
            <w:vMerge w:val="restart"/>
            <w:tcBorders>
              <w:top w:val="single" w:sz="4" w:space="0" w:color="auto"/>
              <w:left w:val="nil"/>
              <w:right w:val="single" w:sz="4" w:space="0" w:color="auto"/>
            </w:tcBorders>
            <w:shd w:val="clear" w:color="000000" w:fill="FFFFFF"/>
            <w:textDirection w:val="btLr"/>
            <w:hideMark/>
          </w:tcPr>
          <w:p w:rsidR="00121618" w:rsidRPr="00CD215E" w:rsidRDefault="00121618" w:rsidP="00CD215E">
            <w:pPr>
              <w:snapToGrid w:val="0"/>
              <w:ind w:left="113" w:right="113"/>
              <w:rPr>
                <w:rFonts w:eastAsia="Times New Roman"/>
                <w:sz w:val="20"/>
                <w:szCs w:val="20"/>
              </w:rPr>
            </w:pPr>
            <w:r w:rsidRPr="00CD215E">
              <w:rPr>
                <w:rFonts w:eastAsia="Times New Roman"/>
                <w:sz w:val="20"/>
                <w:szCs w:val="20"/>
              </w:rPr>
              <w:t xml:space="preserve">MDG 4 </w:t>
            </w:r>
            <w:proofErr w:type="spellStart"/>
            <w:r w:rsidRPr="00CD215E">
              <w:rPr>
                <w:rFonts w:eastAsia="Times New Roman"/>
                <w:sz w:val="20"/>
                <w:szCs w:val="20"/>
              </w:rPr>
              <w:t>Measles</w:t>
            </w:r>
            <w:r w:rsidRPr="00CD215E">
              <w:rPr>
                <w:rFonts w:eastAsia="Times New Roman"/>
                <w:sz w:val="20"/>
                <w:szCs w:val="20"/>
                <w:vertAlign w:val="superscript"/>
              </w:rPr>
              <w:t>c</w:t>
            </w:r>
            <w:proofErr w:type="spellEnd"/>
            <w:r w:rsidRPr="00CD215E">
              <w:rPr>
                <w:rFonts w:eastAsia="Times New Roman"/>
                <w:sz w:val="20"/>
                <w:szCs w:val="20"/>
                <w:vertAlign w:val="superscript"/>
              </w:rPr>
              <w:t xml:space="preserve"> </w:t>
            </w:r>
            <w:r w:rsidRPr="00CD215E">
              <w:rPr>
                <w:rFonts w:eastAsia="Times New Roman"/>
                <w:sz w:val="20"/>
                <w:szCs w:val="20"/>
              </w:rPr>
              <w:t>(2011)</w:t>
            </w:r>
          </w:p>
        </w:tc>
        <w:tc>
          <w:tcPr>
            <w:tcW w:w="567" w:type="dxa"/>
            <w:vMerge w:val="restart"/>
            <w:tcBorders>
              <w:top w:val="single" w:sz="4" w:space="0" w:color="auto"/>
              <w:left w:val="nil"/>
              <w:right w:val="single" w:sz="4" w:space="0" w:color="auto"/>
            </w:tcBorders>
            <w:shd w:val="clear" w:color="000000" w:fill="FFFFFF"/>
            <w:textDirection w:val="btLr"/>
            <w:hideMark/>
          </w:tcPr>
          <w:p w:rsidR="00121618" w:rsidRPr="00CD215E" w:rsidRDefault="00121618" w:rsidP="00CD215E">
            <w:pPr>
              <w:snapToGrid w:val="0"/>
              <w:ind w:left="113" w:right="113"/>
              <w:rPr>
                <w:rFonts w:eastAsia="Times New Roman"/>
                <w:sz w:val="20"/>
                <w:szCs w:val="20"/>
              </w:rPr>
            </w:pPr>
            <w:r w:rsidRPr="00CD215E">
              <w:rPr>
                <w:rFonts w:eastAsia="Times New Roman"/>
                <w:sz w:val="20"/>
                <w:szCs w:val="20"/>
              </w:rPr>
              <w:t xml:space="preserve">Physicians </w:t>
            </w:r>
            <w:proofErr w:type="spellStart"/>
            <w:r w:rsidRPr="00CD215E">
              <w:rPr>
                <w:rFonts w:eastAsia="Times New Roman"/>
                <w:sz w:val="20"/>
                <w:szCs w:val="20"/>
              </w:rPr>
              <w:t>Density</w:t>
            </w:r>
            <w:r w:rsidRPr="00CD215E">
              <w:rPr>
                <w:rFonts w:eastAsia="Times New Roman"/>
                <w:sz w:val="20"/>
                <w:szCs w:val="20"/>
                <w:vertAlign w:val="superscript"/>
              </w:rPr>
              <w:t>d</w:t>
            </w:r>
            <w:proofErr w:type="spellEnd"/>
            <w:r w:rsidRPr="00CD215E">
              <w:rPr>
                <w:rFonts w:eastAsia="Times New Roman"/>
                <w:sz w:val="20"/>
                <w:szCs w:val="20"/>
                <w:vertAlign w:val="superscript"/>
              </w:rPr>
              <w:t xml:space="preserve"> </w:t>
            </w:r>
            <w:r w:rsidRPr="00CD215E">
              <w:rPr>
                <w:rFonts w:eastAsia="Times New Roman"/>
                <w:sz w:val="20"/>
                <w:szCs w:val="20"/>
              </w:rPr>
              <w:t>(2005-12)</w:t>
            </w:r>
          </w:p>
        </w:tc>
        <w:tc>
          <w:tcPr>
            <w:tcW w:w="567" w:type="dxa"/>
            <w:vMerge w:val="restart"/>
            <w:tcBorders>
              <w:top w:val="single" w:sz="4" w:space="0" w:color="auto"/>
              <w:left w:val="nil"/>
              <w:right w:val="single" w:sz="4" w:space="0" w:color="auto"/>
            </w:tcBorders>
            <w:shd w:val="clear" w:color="000000" w:fill="FFFFFF"/>
            <w:textDirection w:val="btLr"/>
            <w:hideMark/>
          </w:tcPr>
          <w:p w:rsidR="00121618" w:rsidRPr="00CD215E" w:rsidRDefault="00121618" w:rsidP="00CD215E">
            <w:pPr>
              <w:snapToGrid w:val="0"/>
              <w:ind w:left="113" w:right="113"/>
              <w:rPr>
                <w:rFonts w:eastAsia="Times New Roman"/>
                <w:sz w:val="20"/>
                <w:szCs w:val="20"/>
              </w:rPr>
            </w:pPr>
            <w:r w:rsidRPr="00CD215E">
              <w:rPr>
                <w:rFonts w:eastAsia="Times New Roman"/>
                <w:sz w:val="20"/>
                <w:szCs w:val="20"/>
              </w:rPr>
              <w:t xml:space="preserve">Nursing and midwifery personnel </w:t>
            </w:r>
            <w:proofErr w:type="spellStart"/>
            <w:r w:rsidRPr="00CD215E">
              <w:rPr>
                <w:rFonts w:eastAsia="Times New Roman"/>
                <w:sz w:val="20"/>
                <w:szCs w:val="20"/>
              </w:rPr>
              <w:t>Density</w:t>
            </w:r>
            <w:r w:rsidRPr="00CD215E">
              <w:rPr>
                <w:rFonts w:eastAsia="Times New Roman"/>
                <w:sz w:val="20"/>
                <w:szCs w:val="20"/>
                <w:vertAlign w:val="superscript"/>
              </w:rPr>
              <w:t>d</w:t>
            </w:r>
            <w:proofErr w:type="spellEnd"/>
            <w:r w:rsidRPr="00CD215E">
              <w:rPr>
                <w:rFonts w:eastAsia="Times New Roman"/>
                <w:sz w:val="20"/>
                <w:szCs w:val="20"/>
                <w:vertAlign w:val="superscript"/>
              </w:rPr>
              <w:t xml:space="preserve"> </w:t>
            </w:r>
            <w:r w:rsidRPr="00CD215E">
              <w:rPr>
                <w:rFonts w:eastAsia="Times New Roman"/>
                <w:sz w:val="20"/>
                <w:szCs w:val="20"/>
              </w:rPr>
              <w:t>2005-12)</w:t>
            </w:r>
          </w:p>
        </w:tc>
        <w:tc>
          <w:tcPr>
            <w:tcW w:w="567" w:type="dxa"/>
            <w:vMerge w:val="restart"/>
            <w:tcBorders>
              <w:top w:val="single" w:sz="4" w:space="0" w:color="auto"/>
              <w:left w:val="nil"/>
              <w:right w:val="single" w:sz="4" w:space="0" w:color="auto"/>
            </w:tcBorders>
            <w:shd w:val="clear" w:color="000000" w:fill="FFFFFF"/>
            <w:textDirection w:val="btLr"/>
            <w:hideMark/>
          </w:tcPr>
          <w:p w:rsidR="00121618" w:rsidRPr="00CD215E" w:rsidRDefault="00121618" w:rsidP="00CD215E">
            <w:pPr>
              <w:snapToGrid w:val="0"/>
              <w:ind w:left="113" w:right="113"/>
              <w:rPr>
                <w:rFonts w:eastAsia="Times New Roman"/>
                <w:sz w:val="20"/>
                <w:szCs w:val="20"/>
              </w:rPr>
            </w:pPr>
            <w:r w:rsidRPr="00CD215E">
              <w:rPr>
                <w:rFonts w:eastAsia="Times New Roman"/>
                <w:sz w:val="20"/>
                <w:szCs w:val="20"/>
              </w:rPr>
              <w:t xml:space="preserve">Hospital </w:t>
            </w:r>
            <w:proofErr w:type="spellStart"/>
            <w:r w:rsidRPr="00CD215E">
              <w:rPr>
                <w:rFonts w:eastAsia="Times New Roman"/>
                <w:sz w:val="20"/>
                <w:szCs w:val="20"/>
              </w:rPr>
              <w:t>beds</w:t>
            </w:r>
            <w:r w:rsidRPr="00CD215E">
              <w:rPr>
                <w:rFonts w:eastAsia="Times New Roman"/>
                <w:sz w:val="20"/>
                <w:szCs w:val="20"/>
                <w:vertAlign w:val="superscript"/>
              </w:rPr>
              <w:t>d</w:t>
            </w:r>
            <w:proofErr w:type="spellEnd"/>
            <w:r w:rsidR="00A71D4B">
              <w:rPr>
                <w:rFonts w:eastAsia="Times New Roman"/>
                <w:sz w:val="20"/>
                <w:szCs w:val="20"/>
                <w:vertAlign w:val="superscript"/>
              </w:rPr>
              <w:t xml:space="preserve"> </w:t>
            </w:r>
            <w:r w:rsidRPr="00CD215E">
              <w:rPr>
                <w:rFonts w:eastAsia="Times New Roman"/>
                <w:sz w:val="20"/>
                <w:szCs w:val="20"/>
              </w:rPr>
              <w:t>(2005–12)</w:t>
            </w:r>
          </w:p>
        </w:tc>
        <w:tc>
          <w:tcPr>
            <w:tcW w:w="850" w:type="dxa"/>
            <w:vMerge w:val="restart"/>
            <w:tcBorders>
              <w:top w:val="single" w:sz="4" w:space="0" w:color="auto"/>
              <w:left w:val="nil"/>
              <w:right w:val="single" w:sz="4" w:space="0" w:color="auto"/>
            </w:tcBorders>
            <w:shd w:val="clear" w:color="000000" w:fill="FFFFFF"/>
            <w:textDirection w:val="btLr"/>
          </w:tcPr>
          <w:p w:rsidR="00121618" w:rsidRPr="00CD215E" w:rsidRDefault="00A71D4B" w:rsidP="00CD215E">
            <w:pPr>
              <w:pStyle w:val="NoSpacing"/>
              <w:snapToGrid w:val="0"/>
              <w:rPr>
                <w:rFonts w:ascii="Times New Roman" w:hAnsi="Times New Roman" w:cs="Times New Roman"/>
                <w:sz w:val="20"/>
                <w:szCs w:val="20"/>
              </w:rPr>
            </w:pPr>
            <w:r>
              <w:rPr>
                <w:rFonts w:ascii="Times New Roman" w:eastAsia="Times New Roman" w:hAnsi="Times New Roman" w:cs="Times New Roman"/>
                <w:sz w:val="20"/>
                <w:szCs w:val="20"/>
                <w:lang w:val="en-US"/>
              </w:rPr>
              <w:t xml:space="preserve"> </w:t>
            </w:r>
            <w:r w:rsidR="00121618" w:rsidRPr="00CD215E">
              <w:rPr>
                <w:rFonts w:ascii="Times New Roman" w:hAnsi="Times New Roman" w:cs="Times New Roman"/>
                <w:sz w:val="20"/>
                <w:szCs w:val="20"/>
              </w:rPr>
              <w:t>Total expenditure on health as % of GDP (2010)</w:t>
            </w:r>
          </w:p>
          <w:p w:rsidR="00121618" w:rsidRPr="00CD215E" w:rsidRDefault="00121618" w:rsidP="00CD215E">
            <w:pPr>
              <w:snapToGrid w:val="0"/>
              <w:ind w:left="113" w:right="113"/>
              <w:rPr>
                <w:rFonts w:eastAsia="Times New Roman"/>
                <w:sz w:val="20"/>
                <w:szCs w:val="20"/>
              </w:rPr>
            </w:pPr>
          </w:p>
        </w:tc>
      </w:tr>
      <w:tr w:rsidR="00121618" w:rsidRPr="00CD215E" w:rsidTr="00CD215E">
        <w:trPr>
          <w:cantSplit/>
          <w:trHeight w:val="1134"/>
        </w:trPr>
        <w:tc>
          <w:tcPr>
            <w:tcW w:w="1384" w:type="dxa"/>
            <w:vMerge/>
            <w:tcBorders>
              <w:left w:val="single" w:sz="4" w:space="0" w:color="auto"/>
              <w:bottom w:val="single" w:sz="4" w:space="0" w:color="auto"/>
              <w:right w:val="single" w:sz="4" w:space="0" w:color="auto"/>
            </w:tcBorders>
            <w:shd w:val="clear" w:color="B8CCE4" w:fill="FFFFFF"/>
            <w:noWrap/>
            <w:hideMark/>
          </w:tcPr>
          <w:p w:rsidR="00121618" w:rsidRPr="00CD215E" w:rsidRDefault="00121618" w:rsidP="00CD215E">
            <w:pPr>
              <w:snapToGrid w:val="0"/>
              <w:jc w:val="both"/>
              <w:rPr>
                <w:rFonts w:eastAsia="Times New Roman"/>
                <w:sz w:val="20"/>
                <w:szCs w:val="20"/>
              </w:rPr>
            </w:pPr>
          </w:p>
        </w:tc>
        <w:tc>
          <w:tcPr>
            <w:tcW w:w="709" w:type="dxa"/>
            <w:vMerge/>
            <w:tcBorders>
              <w:left w:val="nil"/>
              <w:bottom w:val="single" w:sz="4" w:space="0" w:color="auto"/>
              <w:right w:val="single" w:sz="4" w:space="0" w:color="auto"/>
            </w:tcBorders>
            <w:shd w:val="clear" w:color="000000" w:fill="FFFFFF"/>
            <w:hideMark/>
          </w:tcPr>
          <w:p w:rsidR="00121618" w:rsidRPr="00CD215E" w:rsidRDefault="00121618" w:rsidP="00CD215E">
            <w:pPr>
              <w:snapToGrid w:val="0"/>
              <w:jc w:val="both"/>
              <w:rPr>
                <w:rFonts w:eastAsia="Times New Roman"/>
                <w:sz w:val="20"/>
                <w:szCs w:val="20"/>
              </w:rPr>
            </w:pPr>
          </w:p>
        </w:tc>
        <w:tc>
          <w:tcPr>
            <w:tcW w:w="567" w:type="dxa"/>
            <w:vMerge/>
            <w:tcBorders>
              <w:left w:val="nil"/>
              <w:bottom w:val="single" w:sz="4" w:space="0" w:color="auto"/>
              <w:right w:val="single" w:sz="4" w:space="0" w:color="auto"/>
            </w:tcBorders>
            <w:shd w:val="clear" w:color="000000" w:fill="FFFFFF"/>
            <w:hideMark/>
          </w:tcPr>
          <w:p w:rsidR="00121618" w:rsidRPr="00CD215E" w:rsidRDefault="00121618" w:rsidP="00CD215E">
            <w:pPr>
              <w:snapToGrid w:val="0"/>
              <w:jc w:val="both"/>
              <w:rPr>
                <w:rFonts w:eastAsia="Times New Roman"/>
                <w:sz w:val="20"/>
                <w:szCs w:val="20"/>
              </w:rPr>
            </w:pPr>
          </w:p>
        </w:tc>
        <w:tc>
          <w:tcPr>
            <w:tcW w:w="567" w:type="dxa"/>
            <w:vMerge/>
            <w:tcBorders>
              <w:left w:val="nil"/>
              <w:bottom w:val="single" w:sz="4" w:space="0" w:color="auto"/>
              <w:right w:val="single" w:sz="4" w:space="0" w:color="auto"/>
            </w:tcBorders>
            <w:shd w:val="clear" w:color="000000" w:fill="FFFFFF"/>
            <w:hideMark/>
          </w:tcPr>
          <w:p w:rsidR="00121618" w:rsidRPr="00CD215E" w:rsidRDefault="00121618" w:rsidP="00CD215E">
            <w:pPr>
              <w:snapToGrid w:val="0"/>
              <w:jc w:val="both"/>
              <w:rPr>
                <w:rFonts w:eastAsia="Times New Roman"/>
                <w:sz w:val="20"/>
                <w:szCs w:val="20"/>
              </w:rPr>
            </w:pPr>
          </w:p>
        </w:tc>
        <w:tc>
          <w:tcPr>
            <w:tcW w:w="567" w:type="dxa"/>
            <w:vMerge/>
            <w:tcBorders>
              <w:left w:val="nil"/>
              <w:bottom w:val="single" w:sz="4" w:space="0" w:color="auto"/>
              <w:right w:val="single" w:sz="4" w:space="0" w:color="auto"/>
            </w:tcBorders>
            <w:shd w:val="clear" w:color="000000" w:fill="FFFFFF"/>
            <w:hideMark/>
          </w:tcPr>
          <w:p w:rsidR="00121618" w:rsidRPr="00CD215E" w:rsidRDefault="00121618" w:rsidP="00CD215E">
            <w:pPr>
              <w:snapToGrid w:val="0"/>
              <w:jc w:val="both"/>
              <w:rPr>
                <w:rFonts w:eastAsia="Times New Roman"/>
                <w:sz w:val="20"/>
                <w:szCs w:val="20"/>
              </w:rPr>
            </w:pPr>
          </w:p>
        </w:tc>
        <w:tc>
          <w:tcPr>
            <w:tcW w:w="567" w:type="dxa"/>
            <w:vMerge/>
            <w:tcBorders>
              <w:left w:val="nil"/>
              <w:bottom w:val="single" w:sz="4" w:space="0" w:color="auto"/>
              <w:right w:val="single" w:sz="4" w:space="0" w:color="auto"/>
            </w:tcBorders>
            <w:shd w:val="clear" w:color="000000" w:fill="FFFFFF"/>
            <w:hideMark/>
          </w:tcPr>
          <w:p w:rsidR="00121618" w:rsidRPr="00CD215E" w:rsidRDefault="00121618" w:rsidP="00CD215E">
            <w:pPr>
              <w:snapToGrid w:val="0"/>
              <w:jc w:val="both"/>
              <w:rPr>
                <w:rFonts w:eastAsia="Times New Roman"/>
                <w:sz w:val="20"/>
                <w:szCs w:val="20"/>
              </w:rPr>
            </w:pPr>
          </w:p>
        </w:tc>
        <w:tc>
          <w:tcPr>
            <w:tcW w:w="567" w:type="dxa"/>
            <w:tcBorders>
              <w:left w:val="nil"/>
              <w:bottom w:val="single" w:sz="4" w:space="0" w:color="auto"/>
              <w:right w:val="single" w:sz="4" w:space="0" w:color="auto"/>
            </w:tcBorders>
            <w:shd w:val="clear" w:color="000000" w:fill="FFFFFF"/>
            <w:textDirection w:val="btLr"/>
            <w:hideMark/>
          </w:tcPr>
          <w:p w:rsidR="00121618" w:rsidRPr="00CD215E" w:rsidRDefault="00121618" w:rsidP="00CD215E">
            <w:pPr>
              <w:pStyle w:val="NoSpacing"/>
              <w:snapToGrid w:val="0"/>
              <w:ind w:left="113" w:right="113"/>
              <w:rPr>
                <w:rFonts w:ascii="Times New Roman" w:hAnsi="Times New Roman" w:cs="Times New Roman"/>
                <w:sz w:val="20"/>
                <w:szCs w:val="20"/>
                <w:lang w:val="en-US"/>
              </w:rPr>
            </w:pPr>
            <w:r w:rsidRPr="00CD215E">
              <w:rPr>
                <w:rFonts w:ascii="Times New Roman" w:hAnsi="Times New Roman" w:cs="Times New Roman"/>
                <w:sz w:val="20"/>
                <w:szCs w:val="20"/>
                <w:lang w:val="en-US" w:eastAsia="en-GB"/>
              </w:rPr>
              <w:t>At least 1 visit</w:t>
            </w:r>
          </w:p>
        </w:tc>
        <w:tc>
          <w:tcPr>
            <w:tcW w:w="567" w:type="dxa"/>
            <w:tcBorders>
              <w:left w:val="nil"/>
              <w:bottom w:val="single" w:sz="4" w:space="0" w:color="auto"/>
              <w:right w:val="single" w:sz="4" w:space="0" w:color="auto"/>
            </w:tcBorders>
            <w:shd w:val="clear" w:color="000000" w:fill="FFFFFF"/>
            <w:noWrap/>
            <w:textDirection w:val="btLr"/>
            <w:hideMark/>
          </w:tcPr>
          <w:p w:rsidR="00121618" w:rsidRPr="00CD215E" w:rsidRDefault="00121618" w:rsidP="00CD215E">
            <w:pPr>
              <w:pStyle w:val="NoSpacing"/>
              <w:snapToGrid w:val="0"/>
              <w:ind w:left="113" w:right="113"/>
              <w:rPr>
                <w:rFonts w:ascii="Times New Roman" w:hAnsi="Times New Roman" w:cs="Times New Roman"/>
                <w:sz w:val="20"/>
                <w:szCs w:val="20"/>
                <w:lang w:val="en-US"/>
              </w:rPr>
            </w:pPr>
            <w:r w:rsidRPr="00CD215E">
              <w:rPr>
                <w:rFonts w:ascii="Times New Roman" w:hAnsi="Times New Roman" w:cs="Times New Roman"/>
                <w:sz w:val="20"/>
                <w:szCs w:val="20"/>
                <w:lang w:val="en-US" w:eastAsia="en-GB"/>
              </w:rPr>
              <w:t>At least 4 visits</w:t>
            </w:r>
          </w:p>
        </w:tc>
        <w:tc>
          <w:tcPr>
            <w:tcW w:w="850" w:type="dxa"/>
            <w:vMerge/>
            <w:tcBorders>
              <w:left w:val="nil"/>
              <w:bottom w:val="single" w:sz="4" w:space="0" w:color="auto"/>
              <w:right w:val="single" w:sz="4" w:space="0" w:color="auto"/>
            </w:tcBorders>
            <w:shd w:val="clear" w:color="000000" w:fill="FFFFFF"/>
            <w:hideMark/>
          </w:tcPr>
          <w:p w:rsidR="00121618" w:rsidRPr="00CD215E" w:rsidRDefault="00121618" w:rsidP="00CD215E">
            <w:pPr>
              <w:snapToGrid w:val="0"/>
              <w:jc w:val="both"/>
              <w:rPr>
                <w:rFonts w:eastAsia="Times New Roman"/>
                <w:sz w:val="20"/>
                <w:szCs w:val="20"/>
              </w:rPr>
            </w:pPr>
          </w:p>
        </w:tc>
        <w:tc>
          <w:tcPr>
            <w:tcW w:w="426" w:type="dxa"/>
            <w:vMerge/>
            <w:tcBorders>
              <w:left w:val="nil"/>
              <w:bottom w:val="single" w:sz="4" w:space="0" w:color="auto"/>
              <w:right w:val="single" w:sz="4" w:space="0" w:color="auto"/>
            </w:tcBorders>
            <w:shd w:val="clear" w:color="000000" w:fill="FFFFFF"/>
            <w:hideMark/>
          </w:tcPr>
          <w:p w:rsidR="00121618" w:rsidRPr="00CD215E" w:rsidRDefault="00121618" w:rsidP="00CD215E">
            <w:pPr>
              <w:snapToGrid w:val="0"/>
              <w:jc w:val="both"/>
              <w:rPr>
                <w:rFonts w:eastAsia="Times New Roman"/>
                <w:sz w:val="20"/>
                <w:szCs w:val="20"/>
              </w:rPr>
            </w:pPr>
          </w:p>
        </w:tc>
        <w:tc>
          <w:tcPr>
            <w:tcW w:w="567" w:type="dxa"/>
            <w:vMerge/>
            <w:tcBorders>
              <w:left w:val="nil"/>
              <w:bottom w:val="single" w:sz="4" w:space="0" w:color="auto"/>
              <w:right w:val="single" w:sz="4" w:space="0" w:color="auto"/>
            </w:tcBorders>
            <w:shd w:val="clear" w:color="000000" w:fill="FFFFFF"/>
            <w:hideMark/>
          </w:tcPr>
          <w:p w:rsidR="00121618" w:rsidRPr="00CD215E" w:rsidRDefault="00121618" w:rsidP="00CD215E">
            <w:pPr>
              <w:snapToGrid w:val="0"/>
              <w:jc w:val="both"/>
              <w:rPr>
                <w:rFonts w:eastAsia="Times New Roman"/>
                <w:sz w:val="20"/>
                <w:szCs w:val="20"/>
              </w:rPr>
            </w:pPr>
          </w:p>
        </w:tc>
        <w:tc>
          <w:tcPr>
            <w:tcW w:w="567" w:type="dxa"/>
            <w:vMerge/>
            <w:tcBorders>
              <w:left w:val="nil"/>
              <w:bottom w:val="single" w:sz="4" w:space="0" w:color="auto"/>
              <w:right w:val="single" w:sz="4" w:space="0" w:color="auto"/>
            </w:tcBorders>
            <w:shd w:val="clear" w:color="000000" w:fill="FFFFFF"/>
            <w:hideMark/>
          </w:tcPr>
          <w:p w:rsidR="00121618" w:rsidRPr="00CD215E" w:rsidRDefault="00121618" w:rsidP="00CD215E">
            <w:pPr>
              <w:snapToGrid w:val="0"/>
              <w:jc w:val="both"/>
              <w:rPr>
                <w:rFonts w:eastAsia="Times New Roman"/>
                <w:sz w:val="20"/>
                <w:szCs w:val="20"/>
              </w:rPr>
            </w:pPr>
          </w:p>
        </w:tc>
        <w:tc>
          <w:tcPr>
            <w:tcW w:w="567" w:type="dxa"/>
            <w:vMerge/>
            <w:tcBorders>
              <w:left w:val="nil"/>
              <w:bottom w:val="single" w:sz="4" w:space="0" w:color="auto"/>
              <w:right w:val="single" w:sz="4" w:space="0" w:color="auto"/>
            </w:tcBorders>
            <w:shd w:val="clear" w:color="000000" w:fill="FFFFFF"/>
            <w:hideMark/>
          </w:tcPr>
          <w:p w:rsidR="00121618" w:rsidRPr="00CD215E" w:rsidRDefault="00121618" w:rsidP="00CD215E">
            <w:pPr>
              <w:snapToGrid w:val="0"/>
              <w:jc w:val="both"/>
              <w:rPr>
                <w:rFonts w:eastAsia="Times New Roman"/>
                <w:sz w:val="20"/>
                <w:szCs w:val="20"/>
              </w:rPr>
            </w:pPr>
          </w:p>
        </w:tc>
        <w:tc>
          <w:tcPr>
            <w:tcW w:w="850" w:type="dxa"/>
            <w:vMerge/>
            <w:tcBorders>
              <w:left w:val="nil"/>
              <w:bottom w:val="single" w:sz="4" w:space="0" w:color="auto"/>
              <w:right w:val="single" w:sz="4" w:space="0" w:color="auto"/>
            </w:tcBorders>
            <w:shd w:val="clear" w:color="000000" w:fill="FFFFFF"/>
          </w:tcPr>
          <w:p w:rsidR="00121618" w:rsidRPr="00CD215E" w:rsidRDefault="00121618" w:rsidP="00CD215E">
            <w:pPr>
              <w:snapToGrid w:val="0"/>
              <w:jc w:val="both"/>
              <w:rPr>
                <w:rFonts w:eastAsia="Times New Roman"/>
                <w:sz w:val="20"/>
                <w:szCs w:val="20"/>
              </w:rPr>
            </w:pPr>
          </w:p>
        </w:tc>
      </w:tr>
      <w:tr w:rsidR="00121618" w:rsidRPr="00CD215E" w:rsidTr="00CD215E">
        <w:trPr>
          <w:trHeight w:val="302"/>
        </w:trPr>
        <w:tc>
          <w:tcPr>
            <w:tcW w:w="1384" w:type="dxa"/>
            <w:tcBorders>
              <w:top w:val="nil"/>
              <w:left w:val="single" w:sz="4" w:space="0" w:color="auto"/>
              <w:bottom w:val="single" w:sz="4" w:space="0" w:color="auto"/>
              <w:right w:val="single" w:sz="4" w:space="0" w:color="auto"/>
            </w:tcBorders>
            <w:shd w:val="clear" w:color="DBE5F1" w:fill="FFFFFF"/>
            <w:noWrap/>
            <w:vAlign w:val="center"/>
            <w:hideMark/>
          </w:tcPr>
          <w:p w:rsidR="00121618" w:rsidRPr="00CD215E" w:rsidRDefault="00121618" w:rsidP="00CD215E">
            <w:pPr>
              <w:pStyle w:val="NoSpacing"/>
              <w:snapToGrid w:val="0"/>
              <w:jc w:val="both"/>
              <w:rPr>
                <w:rFonts w:ascii="Times New Roman" w:hAnsi="Times New Roman" w:cs="Times New Roman"/>
                <w:sz w:val="20"/>
                <w:szCs w:val="20"/>
                <w:lang w:val="en-US" w:eastAsia="en-GB"/>
              </w:rPr>
            </w:pPr>
            <w:r w:rsidRPr="00CD215E">
              <w:rPr>
                <w:rFonts w:ascii="Times New Roman" w:hAnsi="Times New Roman" w:cs="Times New Roman"/>
                <w:sz w:val="20"/>
                <w:szCs w:val="20"/>
                <w:lang w:val="en-US" w:eastAsia="en-GB"/>
              </w:rPr>
              <w:t xml:space="preserve">Bangladesh </w:t>
            </w:r>
          </w:p>
        </w:tc>
        <w:tc>
          <w:tcPr>
            <w:tcW w:w="709" w:type="dxa"/>
            <w:tcBorders>
              <w:top w:val="nil"/>
              <w:left w:val="nil"/>
              <w:bottom w:val="single" w:sz="4" w:space="0" w:color="auto"/>
              <w:right w:val="single" w:sz="4" w:space="0" w:color="auto"/>
            </w:tcBorders>
            <w:shd w:val="clear" w:color="DBE5F1"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49.6</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70</w:t>
            </w:r>
          </w:p>
        </w:tc>
        <w:tc>
          <w:tcPr>
            <w:tcW w:w="567" w:type="dxa"/>
            <w:tcBorders>
              <w:top w:val="nil"/>
              <w:left w:val="nil"/>
              <w:bottom w:val="single" w:sz="4" w:space="0" w:color="auto"/>
              <w:right w:val="single" w:sz="4" w:space="0" w:color="auto"/>
            </w:tcBorders>
            <w:shd w:val="clear" w:color="DBE5F1" w:fill="FFFFFF"/>
            <w:noWrap/>
            <w:vAlign w:val="center"/>
            <w:hideMark/>
          </w:tcPr>
          <w:p w:rsidR="00121618" w:rsidRPr="00CD215E" w:rsidRDefault="00121618" w:rsidP="00CD215E">
            <w:pPr>
              <w:snapToGrid w:val="0"/>
              <w:jc w:val="center"/>
              <w:rPr>
                <w:rFonts w:eastAsia="Times New Roman"/>
                <w:sz w:val="20"/>
                <w:szCs w:val="20"/>
                <w:vertAlign w:val="superscript"/>
              </w:rPr>
            </w:pPr>
            <w:r w:rsidRPr="00CD215E">
              <w:rPr>
                <w:rFonts w:eastAsia="Times New Roman"/>
                <w:sz w:val="20"/>
                <w:szCs w:val="20"/>
              </w:rPr>
              <w:t>133</w:t>
            </w:r>
            <w:r w:rsidRPr="00CD215E">
              <w:rPr>
                <w:rFonts w:eastAsia="Times New Roman"/>
                <w:sz w:val="20"/>
                <w:szCs w:val="20"/>
                <w:vertAlign w:val="superscript"/>
              </w:rPr>
              <w:t>e</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37</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50</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26</w:t>
            </w:r>
          </w:p>
        </w:tc>
        <w:tc>
          <w:tcPr>
            <w:tcW w:w="850"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31</w:t>
            </w:r>
          </w:p>
        </w:tc>
        <w:tc>
          <w:tcPr>
            <w:tcW w:w="426"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96</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3.6</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2.2</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6</w:t>
            </w:r>
          </w:p>
        </w:tc>
        <w:tc>
          <w:tcPr>
            <w:tcW w:w="850" w:type="dxa"/>
            <w:tcBorders>
              <w:top w:val="nil"/>
              <w:left w:val="nil"/>
              <w:bottom w:val="single" w:sz="4" w:space="0" w:color="auto"/>
              <w:right w:val="single" w:sz="4" w:space="0" w:color="auto"/>
            </w:tcBorders>
            <w:shd w:val="clear" w:color="000000" w:fill="FFFFFF"/>
            <w:vAlign w:val="center"/>
          </w:tcPr>
          <w:p w:rsidR="00121618" w:rsidRPr="00CD215E" w:rsidRDefault="00121618" w:rsidP="00CD215E">
            <w:pPr>
              <w:snapToGrid w:val="0"/>
              <w:jc w:val="center"/>
              <w:rPr>
                <w:rFonts w:eastAsia="Times New Roman"/>
                <w:sz w:val="20"/>
                <w:szCs w:val="20"/>
              </w:rPr>
            </w:pPr>
            <w:r w:rsidRPr="00CD215E">
              <w:rPr>
                <w:rFonts w:eastAsia="Times New Roman"/>
                <w:sz w:val="20"/>
                <w:szCs w:val="20"/>
              </w:rPr>
              <w:t>3.7</w:t>
            </w:r>
          </w:p>
        </w:tc>
      </w:tr>
      <w:tr w:rsidR="00121618" w:rsidRPr="00CD215E" w:rsidTr="00CD215E">
        <w:trPr>
          <w:trHeight w:val="302"/>
        </w:trPr>
        <w:tc>
          <w:tcPr>
            <w:tcW w:w="1384" w:type="dxa"/>
            <w:tcBorders>
              <w:top w:val="nil"/>
              <w:left w:val="single" w:sz="4" w:space="0" w:color="auto"/>
              <w:bottom w:val="single" w:sz="4" w:space="0" w:color="auto"/>
              <w:right w:val="single" w:sz="4" w:space="0" w:color="auto"/>
            </w:tcBorders>
            <w:shd w:val="clear" w:color="B8CCE4" w:fill="FFFFFF"/>
            <w:noWrap/>
            <w:vAlign w:val="center"/>
            <w:hideMark/>
          </w:tcPr>
          <w:p w:rsidR="00121618" w:rsidRPr="00CD215E" w:rsidRDefault="00121618" w:rsidP="00CD215E">
            <w:pPr>
              <w:pStyle w:val="NoSpacing"/>
              <w:snapToGrid w:val="0"/>
              <w:jc w:val="both"/>
              <w:rPr>
                <w:rFonts w:ascii="Times New Roman" w:hAnsi="Times New Roman" w:cs="Times New Roman"/>
                <w:sz w:val="20"/>
                <w:szCs w:val="20"/>
                <w:lang w:val="en-US" w:eastAsia="en-GB"/>
              </w:rPr>
            </w:pPr>
            <w:r w:rsidRPr="00CD215E">
              <w:rPr>
                <w:rFonts w:ascii="Times New Roman" w:hAnsi="Times New Roman" w:cs="Times New Roman"/>
                <w:sz w:val="20"/>
                <w:szCs w:val="20"/>
                <w:lang w:val="en-US" w:eastAsia="en-GB"/>
              </w:rPr>
              <w:t>India</w:t>
            </w:r>
          </w:p>
        </w:tc>
        <w:tc>
          <w:tcPr>
            <w:tcW w:w="709" w:type="dxa"/>
            <w:tcBorders>
              <w:top w:val="nil"/>
              <w:left w:val="nil"/>
              <w:bottom w:val="single" w:sz="4" w:space="0" w:color="auto"/>
              <w:right w:val="single" w:sz="4" w:space="0" w:color="auto"/>
            </w:tcBorders>
            <w:shd w:val="clear" w:color="B8CCE4"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41.6</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65</w:t>
            </w:r>
          </w:p>
        </w:tc>
        <w:tc>
          <w:tcPr>
            <w:tcW w:w="567" w:type="dxa"/>
            <w:tcBorders>
              <w:top w:val="nil"/>
              <w:left w:val="nil"/>
              <w:bottom w:val="single" w:sz="4" w:space="0" w:color="auto"/>
              <w:right w:val="single" w:sz="4" w:space="0" w:color="auto"/>
            </w:tcBorders>
            <w:shd w:val="clear" w:color="B8CCE4"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39</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47</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75</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58</w:t>
            </w:r>
          </w:p>
        </w:tc>
        <w:tc>
          <w:tcPr>
            <w:tcW w:w="426"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74</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6.5</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9</w:t>
            </w:r>
          </w:p>
        </w:tc>
        <w:tc>
          <w:tcPr>
            <w:tcW w:w="850" w:type="dxa"/>
            <w:tcBorders>
              <w:top w:val="nil"/>
              <w:left w:val="nil"/>
              <w:bottom w:val="single" w:sz="4" w:space="0" w:color="auto"/>
              <w:right w:val="single" w:sz="4" w:space="0" w:color="auto"/>
            </w:tcBorders>
            <w:shd w:val="clear" w:color="000000" w:fill="FFFFFF"/>
            <w:vAlign w:val="center"/>
          </w:tcPr>
          <w:p w:rsidR="00121618" w:rsidRPr="00CD215E" w:rsidRDefault="00121618" w:rsidP="00CD215E">
            <w:pPr>
              <w:snapToGrid w:val="0"/>
              <w:jc w:val="center"/>
              <w:rPr>
                <w:rFonts w:eastAsia="Times New Roman"/>
                <w:sz w:val="20"/>
                <w:szCs w:val="20"/>
              </w:rPr>
            </w:pPr>
            <w:r w:rsidRPr="00CD215E">
              <w:rPr>
                <w:rFonts w:eastAsia="Times New Roman"/>
                <w:sz w:val="20"/>
                <w:szCs w:val="20"/>
              </w:rPr>
              <w:t>3.7</w:t>
            </w:r>
          </w:p>
        </w:tc>
      </w:tr>
      <w:tr w:rsidR="00121618" w:rsidRPr="00CD215E" w:rsidTr="00CD215E">
        <w:trPr>
          <w:trHeight w:val="302"/>
        </w:trPr>
        <w:tc>
          <w:tcPr>
            <w:tcW w:w="1384" w:type="dxa"/>
            <w:tcBorders>
              <w:top w:val="nil"/>
              <w:left w:val="single" w:sz="4" w:space="0" w:color="auto"/>
              <w:bottom w:val="single" w:sz="4" w:space="0" w:color="auto"/>
              <w:right w:val="single" w:sz="4" w:space="0" w:color="auto"/>
            </w:tcBorders>
            <w:shd w:val="clear" w:color="000000" w:fill="FFFFFF"/>
            <w:noWrap/>
            <w:vAlign w:val="center"/>
            <w:hideMark/>
          </w:tcPr>
          <w:p w:rsidR="00121618" w:rsidRPr="00CD215E" w:rsidRDefault="00121618" w:rsidP="00CD215E">
            <w:pPr>
              <w:pStyle w:val="NoSpacing"/>
              <w:snapToGrid w:val="0"/>
              <w:jc w:val="both"/>
              <w:rPr>
                <w:rFonts w:ascii="Times New Roman" w:hAnsi="Times New Roman" w:cs="Times New Roman"/>
                <w:sz w:val="20"/>
                <w:szCs w:val="20"/>
                <w:lang w:val="en-US" w:eastAsia="en-GB"/>
              </w:rPr>
            </w:pPr>
            <w:r w:rsidRPr="00CD215E">
              <w:rPr>
                <w:rFonts w:ascii="Times New Roman" w:hAnsi="Times New Roman" w:cs="Times New Roman"/>
                <w:sz w:val="20"/>
                <w:szCs w:val="20"/>
                <w:lang w:val="en-US" w:eastAsia="en-GB"/>
              </w:rPr>
              <w:t>Myanmar</w:t>
            </w:r>
          </w:p>
        </w:tc>
        <w:tc>
          <w:tcPr>
            <w:tcW w:w="709"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65</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vertAlign w:val="superscript"/>
              </w:rPr>
            </w:pPr>
            <w:r w:rsidRPr="00CD215E">
              <w:rPr>
                <w:rFonts w:eastAsia="Times New Roman"/>
                <w:sz w:val="20"/>
                <w:szCs w:val="20"/>
              </w:rPr>
              <w:t>17</w:t>
            </w:r>
            <w:r w:rsidRPr="00CD215E">
              <w:rPr>
                <w:rFonts w:eastAsia="Times New Roman"/>
                <w:sz w:val="20"/>
                <w:szCs w:val="20"/>
                <w:vertAlign w:val="superscript"/>
              </w:rPr>
              <w:t>e</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48</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83</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43</w:t>
            </w:r>
          </w:p>
        </w:tc>
        <w:tc>
          <w:tcPr>
            <w:tcW w:w="850"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71</w:t>
            </w:r>
          </w:p>
        </w:tc>
        <w:tc>
          <w:tcPr>
            <w:tcW w:w="426"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99</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5.0</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8.6</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6</w:t>
            </w:r>
          </w:p>
        </w:tc>
        <w:tc>
          <w:tcPr>
            <w:tcW w:w="850" w:type="dxa"/>
            <w:tcBorders>
              <w:top w:val="nil"/>
              <w:left w:val="nil"/>
              <w:bottom w:val="single" w:sz="4" w:space="0" w:color="auto"/>
              <w:right w:val="single" w:sz="4" w:space="0" w:color="auto"/>
            </w:tcBorders>
            <w:shd w:val="clear" w:color="000000" w:fill="FFFFFF"/>
            <w:vAlign w:val="center"/>
          </w:tcPr>
          <w:p w:rsidR="00121618" w:rsidRPr="00CD215E" w:rsidRDefault="00121618" w:rsidP="00CD215E">
            <w:pPr>
              <w:snapToGrid w:val="0"/>
              <w:jc w:val="center"/>
              <w:rPr>
                <w:rFonts w:eastAsia="Times New Roman"/>
                <w:sz w:val="20"/>
                <w:szCs w:val="20"/>
              </w:rPr>
            </w:pPr>
            <w:r w:rsidRPr="00CD215E">
              <w:rPr>
                <w:rFonts w:eastAsia="Times New Roman"/>
                <w:sz w:val="20"/>
                <w:szCs w:val="20"/>
              </w:rPr>
              <w:t>2.0</w:t>
            </w:r>
          </w:p>
        </w:tc>
      </w:tr>
      <w:tr w:rsidR="00121618" w:rsidRPr="00CD215E" w:rsidTr="00CD215E">
        <w:trPr>
          <w:trHeight w:val="302"/>
        </w:trPr>
        <w:tc>
          <w:tcPr>
            <w:tcW w:w="1384" w:type="dxa"/>
            <w:tcBorders>
              <w:top w:val="nil"/>
              <w:left w:val="single" w:sz="4" w:space="0" w:color="auto"/>
              <w:bottom w:val="single" w:sz="4" w:space="0" w:color="auto"/>
              <w:right w:val="single" w:sz="4" w:space="0" w:color="auto"/>
            </w:tcBorders>
            <w:shd w:val="clear" w:color="B8CCE4" w:fill="FFFFFF"/>
            <w:noWrap/>
            <w:vAlign w:val="center"/>
            <w:hideMark/>
          </w:tcPr>
          <w:p w:rsidR="00121618" w:rsidRPr="00CD215E" w:rsidRDefault="00121618" w:rsidP="00CD215E">
            <w:pPr>
              <w:pStyle w:val="NoSpacing"/>
              <w:snapToGrid w:val="0"/>
              <w:jc w:val="both"/>
              <w:rPr>
                <w:rFonts w:ascii="Times New Roman" w:hAnsi="Times New Roman" w:cs="Times New Roman"/>
                <w:sz w:val="20"/>
                <w:szCs w:val="20"/>
                <w:lang w:val="en-US" w:eastAsia="en-GB"/>
              </w:rPr>
            </w:pPr>
            <w:r w:rsidRPr="00CD215E">
              <w:rPr>
                <w:rFonts w:ascii="Times New Roman" w:hAnsi="Times New Roman" w:cs="Times New Roman"/>
                <w:sz w:val="20"/>
                <w:szCs w:val="20"/>
                <w:lang w:val="en-US" w:eastAsia="en-GB"/>
              </w:rPr>
              <w:t xml:space="preserve">Nepal </w:t>
            </w:r>
          </w:p>
        </w:tc>
        <w:tc>
          <w:tcPr>
            <w:tcW w:w="709" w:type="dxa"/>
            <w:tcBorders>
              <w:top w:val="nil"/>
              <w:left w:val="nil"/>
              <w:bottom w:val="single" w:sz="4" w:space="0" w:color="auto"/>
              <w:right w:val="single" w:sz="4" w:space="0" w:color="auto"/>
            </w:tcBorders>
            <w:shd w:val="clear" w:color="B8CCE4" w:fill="FFFFFF"/>
            <w:noWrap/>
            <w:vAlign w:val="center"/>
            <w:hideMark/>
          </w:tcPr>
          <w:p w:rsidR="00121618" w:rsidRPr="00CD215E" w:rsidRDefault="00121618" w:rsidP="00CD215E">
            <w:pPr>
              <w:snapToGrid w:val="0"/>
              <w:jc w:val="center"/>
              <w:rPr>
                <w:rFonts w:eastAsia="Times New Roman"/>
                <w:sz w:val="20"/>
                <w:szCs w:val="20"/>
                <w:vertAlign w:val="superscript"/>
              </w:rPr>
            </w:pPr>
            <w:r w:rsidRPr="00CD215E">
              <w:rPr>
                <w:rFonts w:eastAsia="Times New Roman"/>
                <w:sz w:val="20"/>
                <w:szCs w:val="20"/>
              </w:rPr>
              <w:t>55.1</w:t>
            </w:r>
            <w:r w:rsidRPr="00CD215E">
              <w:rPr>
                <w:rFonts w:eastAsia="Times New Roman"/>
                <w:sz w:val="20"/>
                <w:szCs w:val="20"/>
                <w:vertAlign w:val="superscript"/>
              </w:rPr>
              <w:t>e</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68</w:t>
            </w:r>
          </w:p>
        </w:tc>
        <w:tc>
          <w:tcPr>
            <w:tcW w:w="567" w:type="dxa"/>
            <w:tcBorders>
              <w:top w:val="nil"/>
              <w:left w:val="nil"/>
              <w:bottom w:val="single" w:sz="4" w:space="0" w:color="auto"/>
              <w:right w:val="single" w:sz="4" w:space="0" w:color="auto"/>
            </w:tcBorders>
            <w:shd w:val="clear" w:color="B8CCE4"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81</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39</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170</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58</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36</w:t>
            </w:r>
          </w:p>
        </w:tc>
        <w:tc>
          <w:tcPr>
            <w:tcW w:w="426"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88</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vertAlign w:val="superscript"/>
              </w:rPr>
            </w:pPr>
            <w:r w:rsidRPr="00CD215E">
              <w:rPr>
                <w:rFonts w:eastAsia="Times New Roman"/>
                <w:sz w:val="20"/>
                <w:szCs w:val="20"/>
              </w:rPr>
              <w:t>2.1</w:t>
            </w:r>
            <w:r w:rsidRPr="00CD215E">
              <w:rPr>
                <w:rFonts w:eastAsia="Times New Roman"/>
                <w:sz w:val="20"/>
                <w:szCs w:val="20"/>
                <w:vertAlign w:val="superscript"/>
              </w:rPr>
              <w:t>e</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4.6</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50</w:t>
            </w:r>
          </w:p>
        </w:tc>
        <w:tc>
          <w:tcPr>
            <w:tcW w:w="850" w:type="dxa"/>
            <w:tcBorders>
              <w:top w:val="nil"/>
              <w:left w:val="nil"/>
              <w:bottom w:val="single" w:sz="4" w:space="0" w:color="auto"/>
              <w:right w:val="single" w:sz="4" w:space="0" w:color="auto"/>
            </w:tcBorders>
            <w:shd w:val="clear" w:color="000000" w:fill="FFFFFF"/>
            <w:vAlign w:val="center"/>
          </w:tcPr>
          <w:p w:rsidR="00121618" w:rsidRPr="00CD215E" w:rsidRDefault="00121618" w:rsidP="00CD215E">
            <w:pPr>
              <w:snapToGrid w:val="0"/>
              <w:jc w:val="center"/>
              <w:rPr>
                <w:rFonts w:eastAsia="Times New Roman"/>
                <w:sz w:val="20"/>
                <w:szCs w:val="20"/>
              </w:rPr>
            </w:pPr>
            <w:r w:rsidRPr="00CD215E">
              <w:rPr>
                <w:rFonts w:eastAsia="Times New Roman"/>
                <w:sz w:val="20"/>
                <w:szCs w:val="20"/>
              </w:rPr>
              <w:t>5.1</w:t>
            </w:r>
          </w:p>
        </w:tc>
      </w:tr>
      <w:tr w:rsidR="00121618" w:rsidRPr="00CD215E" w:rsidTr="00CD215E">
        <w:trPr>
          <w:trHeight w:val="302"/>
        </w:trPr>
        <w:tc>
          <w:tcPr>
            <w:tcW w:w="1384" w:type="dxa"/>
            <w:tcBorders>
              <w:top w:val="nil"/>
              <w:left w:val="single" w:sz="4" w:space="0" w:color="auto"/>
              <w:bottom w:val="single" w:sz="4" w:space="0" w:color="auto"/>
              <w:right w:val="single" w:sz="4" w:space="0" w:color="auto"/>
            </w:tcBorders>
            <w:shd w:val="clear" w:color="DBE5F1" w:fill="FFFFFF"/>
            <w:noWrap/>
            <w:vAlign w:val="center"/>
            <w:hideMark/>
          </w:tcPr>
          <w:p w:rsidR="00121618" w:rsidRPr="00CD215E" w:rsidRDefault="00121618" w:rsidP="00CD215E">
            <w:pPr>
              <w:pStyle w:val="NoSpacing"/>
              <w:snapToGrid w:val="0"/>
              <w:jc w:val="both"/>
              <w:rPr>
                <w:rFonts w:ascii="Times New Roman" w:hAnsi="Times New Roman" w:cs="Times New Roman"/>
                <w:sz w:val="20"/>
                <w:szCs w:val="20"/>
                <w:lang w:val="en-US" w:eastAsia="en-GB"/>
              </w:rPr>
            </w:pPr>
            <w:r w:rsidRPr="00CD215E">
              <w:rPr>
                <w:rFonts w:ascii="Times New Roman" w:hAnsi="Times New Roman" w:cs="Times New Roman"/>
                <w:sz w:val="20"/>
                <w:szCs w:val="20"/>
                <w:lang w:val="en-US" w:eastAsia="en-GB"/>
              </w:rPr>
              <w:t>Sri Lanka</w:t>
            </w:r>
          </w:p>
        </w:tc>
        <w:tc>
          <w:tcPr>
            <w:tcW w:w="709" w:type="dxa"/>
            <w:tcBorders>
              <w:top w:val="nil"/>
              <w:left w:val="nil"/>
              <w:bottom w:val="single" w:sz="4" w:space="0" w:color="auto"/>
              <w:right w:val="single" w:sz="4" w:space="0" w:color="auto"/>
            </w:tcBorders>
            <w:shd w:val="clear" w:color="DBE5F1"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75</w:t>
            </w:r>
          </w:p>
        </w:tc>
        <w:tc>
          <w:tcPr>
            <w:tcW w:w="567" w:type="dxa"/>
            <w:tcBorders>
              <w:top w:val="nil"/>
              <w:left w:val="nil"/>
              <w:bottom w:val="single" w:sz="4" w:space="0" w:color="auto"/>
              <w:right w:val="single" w:sz="4" w:space="0" w:color="auto"/>
            </w:tcBorders>
            <w:shd w:val="clear" w:color="DBE5F1"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24</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35</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99</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93</w:t>
            </w:r>
          </w:p>
        </w:tc>
        <w:tc>
          <w:tcPr>
            <w:tcW w:w="850"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99</w:t>
            </w:r>
          </w:p>
        </w:tc>
        <w:tc>
          <w:tcPr>
            <w:tcW w:w="426"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99</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4.9</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19.3</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rFonts w:eastAsia="Times New Roman"/>
                <w:sz w:val="20"/>
                <w:szCs w:val="20"/>
              </w:rPr>
              <w:t>36</w:t>
            </w:r>
          </w:p>
        </w:tc>
        <w:tc>
          <w:tcPr>
            <w:tcW w:w="850" w:type="dxa"/>
            <w:tcBorders>
              <w:top w:val="nil"/>
              <w:left w:val="nil"/>
              <w:bottom w:val="single" w:sz="4" w:space="0" w:color="auto"/>
              <w:right w:val="single" w:sz="4" w:space="0" w:color="auto"/>
            </w:tcBorders>
            <w:shd w:val="clear" w:color="000000" w:fill="FFFFFF"/>
            <w:vAlign w:val="center"/>
          </w:tcPr>
          <w:p w:rsidR="00121618" w:rsidRPr="00CD215E" w:rsidRDefault="00121618" w:rsidP="00CD215E">
            <w:pPr>
              <w:snapToGrid w:val="0"/>
              <w:jc w:val="center"/>
              <w:rPr>
                <w:rFonts w:eastAsia="Times New Roman"/>
                <w:sz w:val="20"/>
                <w:szCs w:val="20"/>
              </w:rPr>
            </w:pPr>
            <w:r w:rsidRPr="00CD215E">
              <w:rPr>
                <w:rFonts w:eastAsia="Times New Roman"/>
                <w:sz w:val="20"/>
                <w:szCs w:val="20"/>
              </w:rPr>
              <w:t>3.5</w:t>
            </w:r>
          </w:p>
        </w:tc>
      </w:tr>
      <w:tr w:rsidR="00121618" w:rsidRPr="00CD215E" w:rsidTr="00CD215E">
        <w:trPr>
          <w:trHeight w:val="302"/>
        </w:trPr>
        <w:tc>
          <w:tcPr>
            <w:tcW w:w="1384" w:type="dxa"/>
            <w:tcBorders>
              <w:top w:val="nil"/>
              <w:left w:val="single" w:sz="4" w:space="0" w:color="auto"/>
              <w:bottom w:val="single" w:sz="4" w:space="0" w:color="auto"/>
              <w:right w:val="single" w:sz="4" w:space="0" w:color="auto"/>
            </w:tcBorders>
            <w:shd w:val="clear" w:color="DBE5F1" w:fill="FFFFFF"/>
            <w:noWrap/>
            <w:vAlign w:val="center"/>
            <w:hideMark/>
          </w:tcPr>
          <w:p w:rsidR="00121618" w:rsidRPr="00CD215E" w:rsidRDefault="00121618" w:rsidP="00CD215E">
            <w:pPr>
              <w:pStyle w:val="NoSpacing"/>
              <w:snapToGrid w:val="0"/>
              <w:jc w:val="both"/>
              <w:rPr>
                <w:rFonts w:ascii="Times New Roman" w:hAnsi="Times New Roman" w:cs="Times New Roman"/>
                <w:sz w:val="20"/>
                <w:szCs w:val="20"/>
                <w:lang w:val="en-US" w:eastAsia="en-GB"/>
              </w:rPr>
            </w:pPr>
            <w:r w:rsidRPr="00CD215E">
              <w:rPr>
                <w:rFonts w:ascii="Times New Roman" w:hAnsi="Times New Roman" w:cs="Times New Roman"/>
                <w:sz w:val="20"/>
                <w:szCs w:val="20"/>
                <w:lang w:val="en-US" w:eastAsia="en-GB"/>
              </w:rPr>
              <w:t>SEA Region</w:t>
            </w:r>
          </w:p>
        </w:tc>
        <w:tc>
          <w:tcPr>
            <w:tcW w:w="709" w:type="dxa"/>
            <w:tcBorders>
              <w:top w:val="nil"/>
              <w:left w:val="nil"/>
              <w:bottom w:val="single" w:sz="4" w:space="0" w:color="auto"/>
              <w:right w:val="single" w:sz="4" w:space="0" w:color="auto"/>
            </w:tcBorders>
            <w:shd w:val="clear" w:color="DBE5F1" w:fill="FFFFFF"/>
            <w:noWrap/>
            <w:vAlign w:val="center"/>
            <w:hideMark/>
          </w:tcPr>
          <w:p w:rsidR="00121618" w:rsidRPr="00CD215E" w:rsidRDefault="00121618" w:rsidP="00CD215E">
            <w:pPr>
              <w:snapToGrid w:val="0"/>
              <w:jc w:val="center"/>
              <w:rPr>
                <w:rFonts w:eastAsia="Times New Roman"/>
                <w:sz w:val="20"/>
                <w:szCs w:val="20"/>
              </w:rPr>
            </w:pPr>
            <w:r w:rsidRPr="00CD215E">
              <w:rPr>
                <w:sz w:val="20"/>
                <w:szCs w:val="20"/>
              </w:rPr>
              <w:t>38.4</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sz w:val="20"/>
                <w:szCs w:val="20"/>
              </w:rPr>
              <w:t>67</w:t>
            </w:r>
          </w:p>
        </w:tc>
        <w:tc>
          <w:tcPr>
            <w:tcW w:w="567" w:type="dxa"/>
            <w:tcBorders>
              <w:top w:val="nil"/>
              <w:left w:val="nil"/>
              <w:bottom w:val="single" w:sz="4" w:space="0" w:color="auto"/>
              <w:right w:val="single" w:sz="4" w:space="0" w:color="auto"/>
            </w:tcBorders>
            <w:shd w:val="clear" w:color="DBE5F1" w:fill="FFFFFF"/>
            <w:noWrap/>
            <w:vAlign w:val="center"/>
            <w:hideMark/>
          </w:tcPr>
          <w:p w:rsidR="00121618" w:rsidRPr="00CD215E" w:rsidRDefault="00121618" w:rsidP="00CD215E">
            <w:pPr>
              <w:snapToGrid w:val="0"/>
              <w:jc w:val="center"/>
              <w:rPr>
                <w:rFonts w:eastAsia="Times New Roman"/>
                <w:sz w:val="20"/>
                <w:szCs w:val="20"/>
              </w:rPr>
            </w:pPr>
            <w:r w:rsidRPr="00CD215E">
              <w:rPr>
                <w:sz w:val="20"/>
                <w:szCs w:val="20"/>
              </w:rPr>
              <w:t>49</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sz w:val="20"/>
                <w:szCs w:val="20"/>
              </w:rPr>
              <w:t>42</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sz w:val="20"/>
                <w:szCs w:val="20"/>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sz w:val="20"/>
                <w:szCs w:val="20"/>
              </w:rPr>
              <w:t>76</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sz w:val="20"/>
                <w:szCs w:val="20"/>
              </w:rPr>
              <w:t>52</w:t>
            </w:r>
          </w:p>
        </w:tc>
        <w:tc>
          <w:tcPr>
            <w:tcW w:w="850"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sz w:val="20"/>
                <w:szCs w:val="20"/>
              </w:rPr>
              <w:t>59</w:t>
            </w:r>
          </w:p>
        </w:tc>
        <w:tc>
          <w:tcPr>
            <w:tcW w:w="426"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sz w:val="20"/>
                <w:szCs w:val="20"/>
              </w:rPr>
              <w:t>79</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sz w:val="20"/>
                <w:szCs w:val="20"/>
              </w:rPr>
              <w:t>5.5</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sz w:val="20"/>
                <w:szCs w:val="20"/>
              </w:rPr>
              <w:t>9.9</w:t>
            </w:r>
          </w:p>
        </w:tc>
        <w:tc>
          <w:tcPr>
            <w:tcW w:w="567" w:type="dxa"/>
            <w:tcBorders>
              <w:top w:val="nil"/>
              <w:left w:val="nil"/>
              <w:bottom w:val="single" w:sz="4" w:space="0" w:color="auto"/>
              <w:right w:val="single" w:sz="4" w:space="0" w:color="auto"/>
            </w:tcBorders>
            <w:shd w:val="clear" w:color="000000" w:fill="FFFFFF"/>
            <w:noWrap/>
            <w:vAlign w:val="center"/>
            <w:hideMark/>
          </w:tcPr>
          <w:p w:rsidR="00121618" w:rsidRPr="00CD215E" w:rsidRDefault="00121618" w:rsidP="00CD215E">
            <w:pPr>
              <w:snapToGrid w:val="0"/>
              <w:jc w:val="center"/>
              <w:rPr>
                <w:rFonts w:eastAsia="Times New Roman"/>
                <w:sz w:val="20"/>
                <w:szCs w:val="20"/>
              </w:rPr>
            </w:pPr>
            <w:r w:rsidRPr="00CD215E">
              <w:rPr>
                <w:sz w:val="20"/>
                <w:szCs w:val="20"/>
              </w:rPr>
              <w:t>11</w:t>
            </w:r>
          </w:p>
        </w:tc>
        <w:tc>
          <w:tcPr>
            <w:tcW w:w="850" w:type="dxa"/>
            <w:tcBorders>
              <w:top w:val="nil"/>
              <w:left w:val="nil"/>
              <w:bottom w:val="single" w:sz="4" w:space="0" w:color="auto"/>
              <w:right w:val="single" w:sz="4" w:space="0" w:color="auto"/>
            </w:tcBorders>
            <w:shd w:val="clear" w:color="000000" w:fill="FFFFFF"/>
            <w:vAlign w:val="center"/>
          </w:tcPr>
          <w:p w:rsidR="00121618" w:rsidRPr="00CD215E" w:rsidRDefault="00121618" w:rsidP="00CD215E">
            <w:pPr>
              <w:snapToGrid w:val="0"/>
              <w:jc w:val="center"/>
              <w:rPr>
                <w:rFonts w:eastAsia="Times New Roman"/>
                <w:sz w:val="20"/>
                <w:szCs w:val="20"/>
              </w:rPr>
            </w:pPr>
            <w:r w:rsidRPr="00CD215E">
              <w:rPr>
                <w:rFonts w:eastAsia="Times New Roman"/>
                <w:sz w:val="20"/>
                <w:szCs w:val="20"/>
              </w:rPr>
              <w:t>3.6</w:t>
            </w:r>
          </w:p>
        </w:tc>
      </w:tr>
      <w:tr w:rsidR="00121618" w:rsidRPr="00CD215E" w:rsidTr="00CD215E">
        <w:trPr>
          <w:trHeight w:val="302"/>
        </w:trPr>
        <w:tc>
          <w:tcPr>
            <w:tcW w:w="1384" w:type="dxa"/>
            <w:tcBorders>
              <w:top w:val="single" w:sz="4" w:space="0" w:color="auto"/>
              <w:left w:val="single" w:sz="4" w:space="0" w:color="auto"/>
              <w:bottom w:val="single" w:sz="4" w:space="0" w:color="auto"/>
              <w:right w:val="single" w:sz="4" w:space="0" w:color="auto"/>
            </w:tcBorders>
            <w:shd w:val="clear" w:color="DBE5F1" w:fill="FFFFFF"/>
            <w:noWrap/>
          </w:tcPr>
          <w:p w:rsidR="00121618" w:rsidRPr="00CD215E" w:rsidRDefault="00121618" w:rsidP="00CD215E">
            <w:pPr>
              <w:pStyle w:val="NoSpacing"/>
              <w:snapToGrid w:val="0"/>
              <w:rPr>
                <w:rFonts w:ascii="Times New Roman" w:hAnsi="Times New Roman" w:cs="Times New Roman"/>
                <w:sz w:val="20"/>
                <w:szCs w:val="20"/>
                <w:lang w:val="en-US" w:eastAsia="en-GB"/>
              </w:rPr>
            </w:pPr>
            <w:r w:rsidRPr="00CD215E">
              <w:rPr>
                <w:rFonts w:ascii="Times New Roman" w:hAnsi="Times New Roman" w:cs="Times New Roman"/>
                <w:sz w:val="20"/>
                <w:szCs w:val="20"/>
                <w:lang w:val="en-US" w:eastAsia="en-GB"/>
              </w:rPr>
              <w:t>Global</w:t>
            </w:r>
          </w:p>
        </w:tc>
        <w:tc>
          <w:tcPr>
            <w:tcW w:w="709" w:type="dxa"/>
            <w:tcBorders>
              <w:top w:val="single" w:sz="4" w:space="0" w:color="auto"/>
              <w:left w:val="nil"/>
              <w:bottom w:val="single" w:sz="4" w:space="0" w:color="auto"/>
              <w:right w:val="single" w:sz="4" w:space="0" w:color="auto"/>
            </w:tcBorders>
            <w:shd w:val="clear" w:color="DBE5F1" w:fill="FFFFFF"/>
            <w:noWrap/>
            <w:vAlign w:val="center"/>
          </w:tcPr>
          <w:p w:rsidR="00121618" w:rsidRPr="00CD215E" w:rsidRDefault="00121618" w:rsidP="00CD215E">
            <w:pPr>
              <w:snapToGrid w:val="0"/>
              <w:jc w:val="center"/>
              <w:rPr>
                <w:sz w:val="20"/>
                <w:szCs w:val="20"/>
              </w:rPr>
            </w:pPr>
            <w:r w:rsidRPr="00CD215E">
              <w:rPr>
                <w:sz w:val="20"/>
                <w:szCs w:val="20"/>
              </w:rPr>
              <w:t>22.7</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21618" w:rsidRPr="00CD215E" w:rsidRDefault="00121618" w:rsidP="00CD215E">
            <w:pPr>
              <w:snapToGrid w:val="0"/>
              <w:jc w:val="center"/>
              <w:rPr>
                <w:sz w:val="20"/>
                <w:szCs w:val="20"/>
              </w:rPr>
            </w:pPr>
            <w:r w:rsidRPr="00CD215E">
              <w:rPr>
                <w:sz w:val="20"/>
                <w:szCs w:val="20"/>
              </w:rPr>
              <w:t>70</w:t>
            </w:r>
          </w:p>
        </w:tc>
        <w:tc>
          <w:tcPr>
            <w:tcW w:w="567" w:type="dxa"/>
            <w:tcBorders>
              <w:top w:val="single" w:sz="4" w:space="0" w:color="auto"/>
              <w:left w:val="nil"/>
              <w:bottom w:val="single" w:sz="4" w:space="0" w:color="auto"/>
              <w:right w:val="single" w:sz="4" w:space="0" w:color="auto"/>
            </w:tcBorders>
            <w:shd w:val="clear" w:color="DBE5F1" w:fill="FFFFFF"/>
            <w:noWrap/>
            <w:vAlign w:val="center"/>
          </w:tcPr>
          <w:p w:rsidR="00121618" w:rsidRPr="00CD215E" w:rsidRDefault="00121618" w:rsidP="00CD215E">
            <w:pPr>
              <w:snapToGrid w:val="0"/>
              <w:jc w:val="center"/>
              <w:rPr>
                <w:sz w:val="20"/>
                <w:szCs w:val="20"/>
              </w:rPr>
            </w:pPr>
            <w:r w:rsidRPr="00CD215E">
              <w:rPr>
                <w:sz w:val="20"/>
                <w:szCs w:val="20"/>
              </w:rPr>
              <w:t>49</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21618" w:rsidRPr="00CD215E" w:rsidRDefault="00121618" w:rsidP="00CD215E">
            <w:pPr>
              <w:snapToGrid w:val="0"/>
              <w:jc w:val="center"/>
              <w:rPr>
                <w:sz w:val="20"/>
                <w:szCs w:val="20"/>
              </w:rPr>
            </w:pPr>
            <w:r w:rsidRPr="00CD215E">
              <w:rPr>
                <w:sz w:val="20"/>
                <w:szCs w:val="20"/>
              </w:rPr>
              <w:t>37</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21618" w:rsidRPr="00CD215E" w:rsidRDefault="00121618" w:rsidP="00CD215E">
            <w:pPr>
              <w:snapToGrid w:val="0"/>
              <w:jc w:val="center"/>
              <w:rPr>
                <w:sz w:val="20"/>
                <w:szCs w:val="20"/>
              </w:rPr>
            </w:pPr>
            <w:r w:rsidRPr="00CD215E">
              <w:rPr>
                <w:sz w:val="20"/>
                <w:szCs w:val="20"/>
              </w:rPr>
              <w:t>210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21618" w:rsidRPr="00CD215E" w:rsidRDefault="00121618" w:rsidP="00CD215E">
            <w:pPr>
              <w:snapToGrid w:val="0"/>
              <w:jc w:val="center"/>
              <w:rPr>
                <w:sz w:val="20"/>
                <w:szCs w:val="20"/>
              </w:rPr>
            </w:pPr>
            <w:r w:rsidRPr="00CD215E">
              <w:rPr>
                <w:sz w:val="20"/>
                <w:szCs w:val="20"/>
              </w:rPr>
              <w:t>81</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21618" w:rsidRPr="00CD215E" w:rsidRDefault="00121618" w:rsidP="00CD215E">
            <w:pPr>
              <w:snapToGrid w:val="0"/>
              <w:jc w:val="center"/>
              <w:rPr>
                <w:sz w:val="20"/>
                <w:szCs w:val="20"/>
              </w:rPr>
            </w:pPr>
            <w:r w:rsidRPr="00CD215E">
              <w:rPr>
                <w:sz w:val="20"/>
                <w:szCs w:val="20"/>
              </w:rPr>
              <w:t>55</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21618" w:rsidRPr="00CD215E" w:rsidRDefault="00121618" w:rsidP="00CD215E">
            <w:pPr>
              <w:snapToGrid w:val="0"/>
              <w:jc w:val="center"/>
              <w:rPr>
                <w:sz w:val="20"/>
                <w:szCs w:val="20"/>
              </w:rPr>
            </w:pPr>
            <w:r w:rsidRPr="00CD215E">
              <w:rPr>
                <w:sz w:val="20"/>
                <w:szCs w:val="20"/>
              </w:rPr>
              <w:t>70</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121618" w:rsidRPr="00CD215E" w:rsidRDefault="00121618" w:rsidP="00CD215E">
            <w:pPr>
              <w:snapToGrid w:val="0"/>
              <w:jc w:val="center"/>
              <w:rPr>
                <w:sz w:val="20"/>
                <w:szCs w:val="20"/>
              </w:rPr>
            </w:pPr>
            <w:r w:rsidRPr="00CD215E">
              <w:rPr>
                <w:sz w:val="20"/>
                <w:szCs w:val="20"/>
              </w:rPr>
              <w:t>84</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21618" w:rsidRPr="00CD215E" w:rsidRDefault="00121618" w:rsidP="00CD215E">
            <w:pPr>
              <w:snapToGrid w:val="0"/>
              <w:jc w:val="center"/>
              <w:rPr>
                <w:sz w:val="20"/>
                <w:szCs w:val="20"/>
              </w:rPr>
            </w:pPr>
            <w:r w:rsidRPr="00CD215E">
              <w:rPr>
                <w:sz w:val="20"/>
                <w:szCs w:val="20"/>
              </w:rPr>
              <w:t>13.9</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21618" w:rsidRPr="00CD215E" w:rsidRDefault="00121618" w:rsidP="00CD215E">
            <w:pPr>
              <w:snapToGrid w:val="0"/>
              <w:jc w:val="center"/>
              <w:rPr>
                <w:sz w:val="20"/>
                <w:szCs w:val="20"/>
              </w:rPr>
            </w:pPr>
            <w:r w:rsidRPr="00CD215E">
              <w:rPr>
                <w:sz w:val="20"/>
                <w:szCs w:val="20"/>
              </w:rPr>
              <w:t>29.0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21618" w:rsidRPr="00CD215E" w:rsidRDefault="00121618" w:rsidP="00CD215E">
            <w:pPr>
              <w:snapToGrid w:val="0"/>
              <w:jc w:val="center"/>
              <w:rPr>
                <w:sz w:val="20"/>
                <w:szCs w:val="20"/>
              </w:rPr>
            </w:pPr>
            <w:r w:rsidRPr="00CD215E">
              <w:rPr>
                <w:sz w:val="20"/>
                <w:szCs w:val="20"/>
              </w:rPr>
              <w:t>30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1618" w:rsidRPr="00CD215E" w:rsidRDefault="00121618" w:rsidP="00CD215E">
            <w:pPr>
              <w:snapToGrid w:val="0"/>
              <w:jc w:val="center"/>
              <w:rPr>
                <w:sz w:val="20"/>
                <w:szCs w:val="20"/>
              </w:rPr>
            </w:pPr>
            <w:r w:rsidRPr="00CD215E">
              <w:rPr>
                <w:sz w:val="20"/>
                <w:szCs w:val="20"/>
              </w:rPr>
              <w:t>8.2</w:t>
            </w:r>
          </w:p>
        </w:tc>
      </w:tr>
    </w:tbl>
    <w:p w:rsidR="00121618" w:rsidRPr="00CD215E" w:rsidRDefault="00121618" w:rsidP="00CD215E">
      <w:pPr>
        <w:pStyle w:val="NoSpacing"/>
        <w:snapToGrid w:val="0"/>
        <w:jc w:val="both"/>
        <w:rPr>
          <w:rStyle w:val="Strong"/>
          <w:rFonts w:ascii="Times New Roman" w:hAnsi="Times New Roman" w:cs="Times New Roman"/>
          <w:b w:val="0"/>
          <w:bCs w:val="0"/>
          <w:sz w:val="20"/>
          <w:szCs w:val="20"/>
          <w:vertAlign w:val="superscript"/>
          <w:lang w:val="en-US" w:eastAsia="en-GB"/>
        </w:rPr>
      </w:pPr>
      <w:proofErr w:type="spellStart"/>
      <w:r w:rsidRPr="00CD215E">
        <w:rPr>
          <w:rFonts w:ascii="Times New Roman" w:hAnsi="Times New Roman" w:cs="Times New Roman"/>
          <w:sz w:val="20"/>
          <w:szCs w:val="20"/>
          <w:vertAlign w:val="superscript"/>
          <w:lang w:val="en-US" w:eastAsia="en-GB"/>
        </w:rPr>
        <w:t>a</w:t>
      </w:r>
      <w:r w:rsidRPr="00CD215E">
        <w:rPr>
          <w:rFonts w:ascii="Times New Roman" w:hAnsi="Times New Roman" w:cs="Times New Roman"/>
          <w:sz w:val="20"/>
          <w:szCs w:val="20"/>
          <w:lang w:val="en-US" w:eastAsia="en-GB"/>
        </w:rPr>
        <w:t>PPP</w:t>
      </w:r>
      <w:proofErr w:type="spellEnd"/>
      <w:r w:rsidRPr="00CD215E">
        <w:rPr>
          <w:rFonts w:ascii="Times New Roman" w:hAnsi="Times New Roman" w:cs="Times New Roman"/>
          <w:sz w:val="20"/>
          <w:szCs w:val="20"/>
          <w:lang w:val="en-US" w:eastAsia="en-GB"/>
        </w:rPr>
        <w:t xml:space="preserve"> int. $; </w:t>
      </w:r>
      <w:proofErr w:type="spellStart"/>
      <w:r w:rsidRPr="00CD215E">
        <w:rPr>
          <w:rFonts w:ascii="Times New Roman" w:hAnsi="Times New Roman" w:cs="Times New Roman"/>
          <w:sz w:val="20"/>
          <w:szCs w:val="20"/>
          <w:vertAlign w:val="superscript"/>
          <w:lang w:val="en-US" w:eastAsia="en-GB"/>
        </w:rPr>
        <w:t>b</w:t>
      </w:r>
      <w:r w:rsidRPr="00CD215E">
        <w:rPr>
          <w:rFonts w:ascii="Times New Roman" w:hAnsi="Times New Roman" w:cs="Times New Roman"/>
          <w:sz w:val="20"/>
          <w:szCs w:val="20"/>
          <w:lang w:val="en-US" w:eastAsia="en-GB"/>
        </w:rPr>
        <w:t>Per</w:t>
      </w:r>
      <w:proofErr w:type="spellEnd"/>
      <w:r w:rsidRPr="00CD215E">
        <w:rPr>
          <w:rFonts w:ascii="Times New Roman" w:hAnsi="Times New Roman" w:cs="Times New Roman"/>
          <w:sz w:val="20"/>
          <w:szCs w:val="20"/>
          <w:lang w:val="en-US" w:eastAsia="en-GB"/>
        </w:rPr>
        <w:t xml:space="preserve"> 1000 girls aged 15-19 years; </w:t>
      </w:r>
      <w:proofErr w:type="spellStart"/>
      <w:r w:rsidRPr="00CD215E">
        <w:rPr>
          <w:rFonts w:ascii="Times New Roman" w:hAnsi="Times New Roman" w:cs="Times New Roman"/>
          <w:sz w:val="20"/>
          <w:szCs w:val="20"/>
          <w:vertAlign w:val="superscript"/>
          <w:lang w:val="en-US" w:eastAsia="en-GB"/>
        </w:rPr>
        <w:t>c</w:t>
      </w:r>
      <w:r w:rsidRPr="00CD215E">
        <w:rPr>
          <w:rFonts w:ascii="Times New Roman" w:hAnsi="Times New Roman" w:cs="Times New Roman"/>
          <w:sz w:val="20"/>
          <w:szCs w:val="20"/>
          <w:lang w:val="en-US" w:eastAsia="en-GB"/>
        </w:rPr>
        <w:t>Immunization</w:t>
      </w:r>
      <w:proofErr w:type="spellEnd"/>
      <w:r w:rsidRPr="00CD215E">
        <w:rPr>
          <w:rFonts w:ascii="Times New Roman" w:hAnsi="Times New Roman" w:cs="Times New Roman"/>
          <w:sz w:val="20"/>
          <w:szCs w:val="20"/>
          <w:lang w:val="en-US" w:eastAsia="en-GB"/>
        </w:rPr>
        <w:t xml:space="preserve"> coverage among 1-year-olds (%); </w:t>
      </w:r>
      <w:proofErr w:type="spellStart"/>
      <w:r w:rsidRPr="00CD215E">
        <w:rPr>
          <w:rFonts w:ascii="Times New Roman" w:hAnsi="Times New Roman" w:cs="Times New Roman"/>
          <w:sz w:val="20"/>
          <w:szCs w:val="20"/>
          <w:vertAlign w:val="superscript"/>
          <w:lang w:val="en-US" w:eastAsia="en-GB"/>
        </w:rPr>
        <w:t>d</w:t>
      </w:r>
      <w:r w:rsidRPr="00CD215E">
        <w:rPr>
          <w:rFonts w:ascii="Times New Roman" w:hAnsi="Times New Roman" w:cs="Times New Roman"/>
          <w:sz w:val="20"/>
          <w:szCs w:val="20"/>
          <w:lang w:val="en-US" w:eastAsia="en-GB"/>
        </w:rPr>
        <w:t>Per</w:t>
      </w:r>
      <w:proofErr w:type="spellEnd"/>
      <w:r w:rsidRPr="00CD215E">
        <w:rPr>
          <w:rFonts w:ascii="Times New Roman" w:hAnsi="Times New Roman" w:cs="Times New Roman"/>
          <w:sz w:val="20"/>
          <w:szCs w:val="20"/>
          <w:lang w:val="en-US" w:eastAsia="en-GB"/>
        </w:rPr>
        <w:t xml:space="preserve"> 10000 population. </w:t>
      </w:r>
      <w:proofErr w:type="spellStart"/>
      <w:r w:rsidRPr="00CD215E">
        <w:rPr>
          <w:rFonts w:ascii="Times New Roman" w:hAnsi="Times New Roman" w:cs="Times New Roman"/>
          <w:sz w:val="20"/>
          <w:szCs w:val="20"/>
          <w:vertAlign w:val="superscript"/>
          <w:lang w:val="en-US"/>
        </w:rPr>
        <w:t>e</w:t>
      </w:r>
      <w:r w:rsidRPr="00CD215E">
        <w:rPr>
          <w:rFonts w:ascii="Times New Roman" w:hAnsi="Times New Roman" w:cs="Times New Roman"/>
          <w:sz w:val="20"/>
          <w:szCs w:val="20"/>
          <w:lang w:val="en-US"/>
        </w:rPr>
        <w:t>Data</w:t>
      </w:r>
      <w:proofErr w:type="spellEnd"/>
      <w:r w:rsidRPr="00CD215E">
        <w:rPr>
          <w:rFonts w:ascii="Times New Roman" w:hAnsi="Times New Roman" w:cs="Times New Roman"/>
          <w:sz w:val="20"/>
          <w:szCs w:val="20"/>
          <w:lang w:val="en-US"/>
        </w:rPr>
        <w:t xml:space="preserve"> from World Health Statistics 2011</w:t>
      </w:r>
      <w:r w:rsidRPr="00CD215E">
        <w:rPr>
          <w:rFonts w:ascii="Times New Roman" w:hAnsi="Times New Roman" w:cs="Times New Roman"/>
          <w:sz w:val="20"/>
          <w:szCs w:val="20"/>
          <w:vertAlign w:val="superscript"/>
          <w:lang w:val="en-US"/>
        </w:rPr>
        <w:t>10</w:t>
      </w:r>
    </w:p>
    <w:p w:rsidR="00121618" w:rsidRDefault="00121618" w:rsidP="00CD215E">
      <w:pPr>
        <w:pStyle w:val="NoSpacing"/>
        <w:snapToGrid w:val="0"/>
        <w:jc w:val="both"/>
        <w:rPr>
          <w:rFonts w:ascii="Times New Roman" w:hAnsi="Times New Roman" w:cs="Times New Roman"/>
          <w:sz w:val="20"/>
          <w:szCs w:val="20"/>
          <w:vertAlign w:val="superscript"/>
          <w:lang w:val="en-US" w:eastAsia="en-GB"/>
        </w:rPr>
      </w:pPr>
    </w:p>
    <w:p w:rsidR="00A71D4B" w:rsidRPr="00CD215E" w:rsidRDefault="00A71D4B" w:rsidP="00CD215E">
      <w:pPr>
        <w:pStyle w:val="NoSpacing"/>
        <w:snapToGrid w:val="0"/>
        <w:jc w:val="both"/>
        <w:rPr>
          <w:rFonts w:ascii="Times New Roman" w:hAnsi="Times New Roman" w:cs="Times New Roman"/>
          <w:sz w:val="20"/>
          <w:szCs w:val="20"/>
          <w:vertAlign w:val="superscript"/>
          <w:lang w:val="en-US" w:eastAsia="en-GB"/>
        </w:rPr>
      </w:pPr>
    </w:p>
    <w:p w:rsidR="00121618" w:rsidRPr="00CD215E" w:rsidRDefault="00121618" w:rsidP="00CD215E">
      <w:pPr>
        <w:snapToGrid w:val="0"/>
        <w:ind w:firstLine="709"/>
        <w:jc w:val="both"/>
        <w:rPr>
          <w:bCs/>
          <w:sz w:val="20"/>
          <w:szCs w:val="20"/>
        </w:rPr>
        <w:sectPr w:rsidR="00121618" w:rsidRPr="00CD215E" w:rsidSect="00C00102">
          <w:footnotePr>
            <w:pos w:val="beneathText"/>
          </w:footnotePr>
          <w:type w:val="continuous"/>
          <w:pgSz w:w="12240" w:h="15840" w:code="1"/>
          <w:pgMar w:top="1440" w:right="1440" w:bottom="1440" w:left="1440" w:header="720" w:footer="720" w:gutter="0"/>
          <w:cols w:space="720"/>
          <w:docGrid w:linePitch="360"/>
        </w:sectPr>
      </w:pPr>
    </w:p>
    <w:p w:rsidR="003901CD" w:rsidRPr="00CD215E" w:rsidRDefault="003901CD" w:rsidP="00CD215E">
      <w:pPr>
        <w:snapToGrid w:val="0"/>
        <w:ind w:firstLine="709"/>
        <w:jc w:val="both"/>
        <w:rPr>
          <w:sz w:val="20"/>
          <w:szCs w:val="20"/>
        </w:rPr>
      </w:pPr>
      <w:r w:rsidRPr="00CD215E">
        <w:rPr>
          <w:sz w:val="20"/>
          <w:szCs w:val="20"/>
        </w:rPr>
        <w:lastRenderedPageBreak/>
        <w:t>In a recent study,</w:t>
      </w:r>
      <w:r w:rsidRPr="00CD215E">
        <w:rPr>
          <w:sz w:val="20"/>
          <w:szCs w:val="20"/>
          <w:vertAlign w:val="superscript"/>
        </w:rPr>
        <w:t>17</w:t>
      </w:r>
      <w:r w:rsidRPr="00CD215E">
        <w:rPr>
          <w:sz w:val="20"/>
          <w:szCs w:val="20"/>
        </w:rPr>
        <w:t xml:space="preserve"> it was demonstrated that Bangladesh produced only 2% of the total publications generated by SAARC countries over the 25 years between 1985 and 2009. Another study conducted to quantify the volume of health related research over 1990 to 1996 identified that about two-thirds of the research were conducted by an international organization, ICDDRB (International Centre for Diarrheal Disease Research, Bangladesh).</w:t>
      </w:r>
      <w:r w:rsidRPr="00CD215E">
        <w:rPr>
          <w:sz w:val="20"/>
          <w:szCs w:val="20"/>
          <w:vertAlign w:val="superscript"/>
        </w:rPr>
        <w:t xml:space="preserve">18 </w:t>
      </w:r>
      <w:r w:rsidRPr="00CD215E">
        <w:rPr>
          <w:sz w:val="20"/>
          <w:szCs w:val="20"/>
        </w:rPr>
        <w:t>The alarming issue which was highlighted in the study is that average number of research articles published by medical colleges attached to tertiary teaching hospitals was less than one per year.</w:t>
      </w:r>
      <w:r w:rsidRPr="00CD215E">
        <w:rPr>
          <w:sz w:val="20"/>
          <w:szCs w:val="20"/>
          <w:vertAlign w:val="superscript"/>
        </w:rPr>
        <w:t xml:space="preserve">18 </w:t>
      </w:r>
      <w:r w:rsidRPr="00CD215E">
        <w:rPr>
          <w:sz w:val="20"/>
          <w:szCs w:val="20"/>
        </w:rPr>
        <w:t>It is also interesting to note that no one is included in ‘The</w:t>
      </w:r>
      <w:r w:rsidRPr="00CD215E">
        <w:rPr>
          <w:i/>
          <w:sz w:val="20"/>
          <w:szCs w:val="20"/>
        </w:rPr>
        <w:t xml:space="preserve"> Lancet</w:t>
      </w:r>
      <w:r w:rsidRPr="00CD215E">
        <w:rPr>
          <w:sz w:val="20"/>
          <w:szCs w:val="20"/>
        </w:rPr>
        <w:t xml:space="preserve"> Bangladesh Team’</w:t>
      </w:r>
      <w:r w:rsidRPr="00CD215E">
        <w:rPr>
          <w:sz w:val="20"/>
          <w:szCs w:val="20"/>
          <w:vertAlign w:val="superscript"/>
        </w:rPr>
        <w:t>2</w:t>
      </w:r>
      <w:r w:rsidRPr="00CD215E">
        <w:rPr>
          <w:sz w:val="20"/>
          <w:szCs w:val="20"/>
        </w:rPr>
        <w:t xml:space="preserve"> (series of papers published by the </w:t>
      </w:r>
      <w:r w:rsidRPr="00CD215E">
        <w:rPr>
          <w:i/>
          <w:sz w:val="20"/>
          <w:szCs w:val="20"/>
        </w:rPr>
        <w:t>Lancet</w:t>
      </w:r>
      <w:r w:rsidRPr="00CD215E">
        <w:rPr>
          <w:sz w:val="20"/>
          <w:szCs w:val="20"/>
        </w:rPr>
        <w:t xml:space="preserve">) from any of the 54 public and private medical colleges (Source: BMDC website: </w:t>
      </w:r>
      <w:hyperlink r:id="rId12" w:history="1">
        <w:r w:rsidR="006B1843" w:rsidRPr="00CD215E">
          <w:rPr>
            <w:rStyle w:val="Hyperlink"/>
            <w:sz w:val="20"/>
            <w:szCs w:val="20"/>
          </w:rPr>
          <w:t>http://www.bmdc.org.bd/</w:t>
        </w:r>
      </w:hyperlink>
      <w:r w:rsidR="006B1843" w:rsidRPr="00CD215E">
        <w:rPr>
          <w:sz w:val="20"/>
          <w:szCs w:val="20"/>
        </w:rPr>
        <w:t xml:space="preserve">; </w:t>
      </w:r>
      <w:r w:rsidRPr="00CD215E">
        <w:rPr>
          <w:sz w:val="20"/>
          <w:szCs w:val="20"/>
        </w:rPr>
        <w:t xml:space="preserve">accessed </w:t>
      </w:r>
      <w:r w:rsidR="00FF2A3A" w:rsidRPr="00CD215E">
        <w:rPr>
          <w:sz w:val="20"/>
          <w:szCs w:val="20"/>
        </w:rPr>
        <w:t>18</w:t>
      </w:r>
      <w:r w:rsidRPr="00CD215E">
        <w:rPr>
          <w:sz w:val="20"/>
          <w:szCs w:val="20"/>
        </w:rPr>
        <w:t xml:space="preserve"> </w:t>
      </w:r>
      <w:r w:rsidR="00FF2A3A" w:rsidRPr="00CD215E">
        <w:rPr>
          <w:sz w:val="20"/>
          <w:szCs w:val="20"/>
        </w:rPr>
        <w:t>Oct</w:t>
      </w:r>
      <w:r w:rsidRPr="00CD215E">
        <w:rPr>
          <w:sz w:val="20"/>
          <w:szCs w:val="20"/>
        </w:rPr>
        <w:t xml:space="preserve"> 2014).</w:t>
      </w:r>
    </w:p>
    <w:p w:rsidR="00CD215E" w:rsidRDefault="00CD215E" w:rsidP="00CD215E">
      <w:pPr>
        <w:pStyle w:val="NoSpacing"/>
        <w:snapToGrid w:val="0"/>
        <w:jc w:val="both"/>
        <w:rPr>
          <w:rFonts w:ascii="Times New Roman" w:eastAsiaTheme="minorEastAsia" w:hAnsi="Times New Roman" w:cs="Times New Roman"/>
          <w:b/>
          <w:sz w:val="20"/>
          <w:szCs w:val="20"/>
          <w:lang w:eastAsia="zh-CN"/>
        </w:rPr>
      </w:pPr>
    </w:p>
    <w:p w:rsidR="00A71D4B" w:rsidRDefault="00A71D4B" w:rsidP="00CD215E">
      <w:pPr>
        <w:pStyle w:val="NoSpacing"/>
        <w:snapToGrid w:val="0"/>
        <w:jc w:val="both"/>
        <w:rPr>
          <w:rFonts w:ascii="Times New Roman" w:eastAsiaTheme="minorEastAsia" w:hAnsi="Times New Roman" w:cs="Times New Roman"/>
          <w:b/>
          <w:sz w:val="20"/>
          <w:szCs w:val="20"/>
          <w:lang w:eastAsia="zh-CN"/>
        </w:rPr>
      </w:pPr>
    </w:p>
    <w:p w:rsidR="00A71D4B" w:rsidRPr="00CD215E" w:rsidRDefault="00A71D4B" w:rsidP="00CD215E">
      <w:pPr>
        <w:pStyle w:val="NoSpacing"/>
        <w:snapToGrid w:val="0"/>
        <w:jc w:val="both"/>
        <w:rPr>
          <w:rFonts w:ascii="Times New Roman" w:eastAsiaTheme="minorEastAsia" w:hAnsi="Times New Roman" w:cs="Times New Roman"/>
          <w:b/>
          <w:sz w:val="20"/>
          <w:szCs w:val="20"/>
          <w:lang w:eastAsia="zh-CN"/>
        </w:rPr>
      </w:pPr>
    </w:p>
    <w:p w:rsidR="00C92ECA" w:rsidRPr="00CD215E" w:rsidRDefault="002D5F2A" w:rsidP="00CD215E">
      <w:pPr>
        <w:pStyle w:val="NoSpacing"/>
        <w:snapToGrid w:val="0"/>
        <w:jc w:val="both"/>
        <w:rPr>
          <w:rFonts w:ascii="Times New Roman" w:hAnsi="Times New Roman" w:cs="Times New Roman"/>
          <w:b/>
          <w:sz w:val="20"/>
          <w:szCs w:val="20"/>
        </w:rPr>
      </w:pPr>
      <w:r w:rsidRPr="00CD215E">
        <w:rPr>
          <w:rFonts w:ascii="Times New Roman" w:hAnsi="Times New Roman" w:cs="Times New Roman"/>
          <w:b/>
          <w:sz w:val="20"/>
          <w:szCs w:val="20"/>
        </w:rPr>
        <w:lastRenderedPageBreak/>
        <w:t>4</w:t>
      </w:r>
      <w:r w:rsidR="00471E57" w:rsidRPr="00CD215E">
        <w:rPr>
          <w:rFonts w:ascii="Times New Roman" w:hAnsi="Times New Roman" w:cs="Times New Roman"/>
          <w:b/>
          <w:sz w:val="20"/>
          <w:szCs w:val="20"/>
        </w:rPr>
        <w:t xml:space="preserve">. </w:t>
      </w:r>
      <w:r w:rsidR="003901CD" w:rsidRPr="00CD215E">
        <w:rPr>
          <w:rFonts w:ascii="Times New Roman" w:hAnsi="Times New Roman" w:cs="Times New Roman"/>
          <w:b/>
          <w:sz w:val="20"/>
          <w:szCs w:val="20"/>
          <w:lang w:val="en-US"/>
        </w:rPr>
        <w:t>Healthcare spending:</w:t>
      </w:r>
      <w:r w:rsidR="003901CD" w:rsidRPr="00CD215E">
        <w:rPr>
          <w:rFonts w:ascii="Times New Roman" w:hAnsi="Times New Roman" w:cs="Times New Roman"/>
          <w:b/>
          <w:sz w:val="20"/>
          <w:szCs w:val="20"/>
        </w:rPr>
        <w:t xml:space="preserve"> Below the level needed to scale up health interventions!</w:t>
      </w:r>
    </w:p>
    <w:p w:rsidR="00C92ECA" w:rsidRPr="00CD215E" w:rsidRDefault="00467A9D" w:rsidP="00CD215E">
      <w:pPr>
        <w:pStyle w:val="NoSpacing"/>
        <w:snapToGrid w:val="0"/>
        <w:ind w:firstLine="709"/>
        <w:jc w:val="both"/>
        <w:rPr>
          <w:rFonts w:ascii="Times New Roman" w:hAnsi="Times New Roman" w:cs="Times New Roman"/>
          <w:b/>
          <w:sz w:val="20"/>
          <w:szCs w:val="20"/>
        </w:rPr>
      </w:pPr>
      <w:r w:rsidRPr="00CD215E">
        <w:rPr>
          <w:rFonts w:ascii="Times New Roman" w:hAnsi="Times New Roman" w:cs="Times New Roman"/>
          <w:sz w:val="20"/>
          <w:szCs w:val="20"/>
        </w:rPr>
        <w:t xml:space="preserve">The knock on effect of education and research into healthcare is exacerbated by the very low allocation of resources in the health sector. </w:t>
      </w:r>
      <w:r w:rsidRPr="00CD215E">
        <w:rPr>
          <w:rFonts w:ascii="Times New Roman" w:hAnsi="Times New Roman" w:cs="Times New Roman"/>
          <w:bCs/>
          <w:iCs/>
          <w:sz w:val="20"/>
          <w:szCs w:val="20"/>
        </w:rPr>
        <w:t>Bangladesh ranks in the bottom quartile of healthcare spending in the region; the percentage of GDP allocation for health is 3.7%, a</w:t>
      </w:r>
      <w:r w:rsidRPr="00CD215E">
        <w:rPr>
          <w:rFonts w:ascii="Times New Roman" w:hAnsi="Times New Roman" w:cs="Times New Roman"/>
          <w:sz w:val="20"/>
          <w:szCs w:val="20"/>
        </w:rPr>
        <w:t xml:space="preserve"> level far below that needed to scale up essential health intervention. Health spending is below than the low income (5.3%), lower middle income countries’ (4.3%) and global (9.2%) averages. General government expenditure on healthcare as a percentage of total expenditure on healthcare in Bangladesh is 36.5%, which is less than the average of low income countries (38.5%). In terms of per capita expenditure on health (PPP int. $), Bangladesh</w:t>
      </w:r>
      <w:r w:rsidRPr="00CD215E">
        <w:rPr>
          <w:rFonts w:ascii="Times New Roman" w:hAnsi="Times New Roman" w:cs="Times New Roman"/>
          <w:b/>
          <w:bCs/>
          <w:sz w:val="20"/>
          <w:szCs w:val="20"/>
        </w:rPr>
        <w:t xml:space="preserve"> </w:t>
      </w:r>
      <w:r w:rsidRPr="00CD215E">
        <w:rPr>
          <w:rFonts w:ascii="Times New Roman" w:hAnsi="Times New Roman" w:cs="Times New Roman"/>
          <w:sz w:val="20"/>
          <w:szCs w:val="20"/>
        </w:rPr>
        <w:t>also spent an average of $61 in 2010: under half the regional average of $125.</w:t>
      </w:r>
      <w:r w:rsidR="00A71D4B">
        <w:rPr>
          <w:rFonts w:ascii="Times New Roman" w:hAnsi="Times New Roman" w:cs="Times New Roman"/>
          <w:sz w:val="20"/>
          <w:szCs w:val="20"/>
        </w:rPr>
        <w:t xml:space="preserve"> </w:t>
      </w:r>
    </w:p>
    <w:p w:rsidR="00C92ECA" w:rsidRPr="00CD215E" w:rsidRDefault="00467A9D" w:rsidP="00CD215E">
      <w:pPr>
        <w:pStyle w:val="NoSpacing"/>
        <w:snapToGrid w:val="0"/>
        <w:ind w:firstLine="709"/>
        <w:jc w:val="both"/>
        <w:rPr>
          <w:rFonts w:ascii="Times New Roman" w:hAnsi="Times New Roman" w:cs="Times New Roman"/>
          <w:b/>
          <w:sz w:val="20"/>
          <w:szCs w:val="20"/>
        </w:rPr>
      </w:pPr>
      <w:r w:rsidRPr="00CD215E">
        <w:rPr>
          <w:rFonts w:ascii="Times New Roman" w:hAnsi="Times New Roman" w:cs="Times New Roman"/>
          <w:sz w:val="20"/>
          <w:szCs w:val="20"/>
        </w:rPr>
        <w:t xml:space="preserve">Historically, the percent of GDP allocation on healthcare is lower in Bangladesh in comparison to other </w:t>
      </w:r>
      <w:proofErr w:type="spellStart"/>
      <w:r w:rsidR="002D5F2A" w:rsidRPr="00CD215E">
        <w:rPr>
          <w:rFonts w:ascii="Times New Roman" w:hAnsi="Times New Roman" w:cs="Times New Roman"/>
          <w:sz w:val="20"/>
          <w:szCs w:val="20"/>
        </w:rPr>
        <w:t>neighboring</w:t>
      </w:r>
      <w:proofErr w:type="spellEnd"/>
      <w:r w:rsidRPr="00CD215E">
        <w:rPr>
          <w:rFonts w:ascii="Times New Roman" w:hAnsi="Times New Roman" w:cs="Times New Roman"/>
          <w:sz w:val="20"/>
          <w:szCs w:val="20"/>
        </w:rPr>
        <w:t xml:space="preserve"> countries</w:t>
      </w:r>
      <w:r w:rsidRPr="00CD215E">
        <w:rPr>
          <w:rFonts w:ascii="Times New Roman" w:hAnsi="Times New Roman" w:cs="Times New Roman"/>
          <w:sz w:val="20"/>
          <w:szCs w:val="20"/>
          <w:vertAlign w:val="superscript"/>
        </w:rPr>
        <w:t>19</w:t>
      </w:r>
      <w:r w:rsidRPr="00CD215E">
        <w:rPr>
          <w:rFonts w:ascii="Times New Roman" w:hAnsi="Times New Roman" w:cs="Times New Roman"/>
          <w:sz w:val="20"/>
          <w:szCs w:val="20"/>
        </w:rPr>
        <w:t xml:space="preserve"> and, government allocation in total health expenditure in 2010 was less </w:t>
      </w:r>
      <w:r w:rsidRPr="00CD215E">
        <w:rPr>
          <w:rFonts w:ascii="Times New Roman" w:hAnsi="Times New Roman" w:cs="Times New Roman"/>
          <w:sz w:val="20"/>
          <w:szCs w:val="20"/>
        </w:rPr>
        <w:lastRenderedPageBreak/>
        <w:t xml:space="preserve">than one-third of the total expenditure. Between 2000 and 2010, health spending per capita more than doubled in </w:t>
      </w:r>
      <w:r w:rsidRPr="00CD215E">
        <w:rPr>
          <w:rFonts w:ascii="Times New Roman" w:hAnsi="Times New Roman" w:cs="Times New Roman"/>
          <w:bCs/>
          <w:sz w:val="20"/>
          <w:szCs w:val="20"/>
        </w:rPr>
        <w:t>Bangladesh</w:t>
      </w:r>
      <w:r w:rsidRPr="00CD215E">
        <w:rPr>
          <w:rFonts w:ascii="Times New Roman" w:hAnsi="Times New Roman" w:cs="Times New Roman"/>
          <w:sz w:val="20"/>
          <w:szCs w:val="20"/>
        </w:rPr>
        <w:t xml:space="preserve">, which was faster than the regional average. However, it is less than the half of the regional average and </w:t>
      </w:r>
      <w:r w:rsidRPr="00CD215E">
        <w:rPr>
          <w:rFonts w:ascii="Times New Roman" w:hAnsi="Times New Roman" w:cs="Times New Roman"/>
          <w:sz w:val="20"/>
          <w:szCs w:val="20"/>
          <w:lang w:val="en-US"/>
        </w:rPr>
        <w:t>below the average of low income countries.</w:t>
      </w:r>
      <w:r w:rsidR="002D5F2A" w:rsidRPr="00CD215E">
        <w:rPr>
          <w:rFonts w:ascii="Times New Roman" w:hAnsi="Times New Roman" w:cs="Times New Roman"/>
          <w:sz w:val="20"/>
          <w:szCs w:val="20"/>
        </w:rPr>
        <w:t xml:space="preserve"> </w:t>
      </w:r>
      <w:r w:rsidRPr="00CD215E">
        <w:rPr>
          <w:rFonts w:ascii="Times New Roman" w:hAnsi="Times New Roman" w:cs="Times New Roman"/>
          <w:sz w:val="20"/>
          <w:szCs w:val="20"/>
        </w:rPr>
        <w:t xml:space="preserve">The government allocation in health </w:t>
      </w:r>
      <w:r w:rsidRPr="00CD215E">
        <w:rPr>
          <w:rFonts w:ascii="Times New Roman" w:eastAsia="HelveticaNeueLTStd-MdCn" w:hAnsi="Times New Roman" w:cs="Times New Roman"/>
          <w:sz w:val="20"/>
          <w:szCs w:val="20"/>
        </w:rPr>
        <w:t>as percentage of total expenditure on health</w:t>
      </w:r>
      <w:r w:rsidRPr="00CD215E">
        <w:rPr>
          <w:rFonts w:ascii="Times New Roman" w:hAnsi="Times New Roman" w:cs="Times New Roman"/>
          <w:sz w:val="20"/>
          <w:szCs w:val="20"/>
        </w:rPr>
        <w:t xml:space="preserve"> in the region was increased by 8.4% from 2000-2010, whereas it was decreased in Bangladesh by 6.4% in the same period and as a result out of pocket and private expenditure increased unlike regional trends.</w:t>
      </w:r>
      <w:r w:rsidRPr="00CD215E">
        <w:rPr>
          <w:rFonts w:ascii="Times New Roman" w:hAnsi="Times New Roman" w:cs="Times New Roman"/>
          <w:sz w:val="20"/>
          <w:szCs w:val="20"/>
          <w:vertAlign w:val="superscript"/>
        </w:rPr>
        <w:t>8</w:t>
      </w:r>
      <w:r w:rsidRPr="00CD215E">
        <w:rPr>
          <w:rFonts w:ascii="Times New Roman" w:hAnsi="Times New Roman" w:cs="Times New Roman"/>
          <w:sz w:val="20"/>
          <w:szCs w:val="20"/>
        </w:rPr>
        <w:t xml:space="preserve"> </w:t>
      </w:r>
    </w:p>
    <w:p w:rsidR="00467A9D" w:rsidRPr="00CD215E" w:rsidRDefault="00467A9D" w:rsidP="00CD215E">
      <w:pPr>
        <w:autoSpaceDE w:val="0"/>
        <w:autoSpaceDN w:val="0"/>
        <w:adjustRightInd w:val="0"/>
        <w:snapToGrid w:val="0"/>
        <w:ind w:firstLine="709"/>
        <w:jc w:val="both"/>
        <w:rPr>
          <w:b/>
          <w:sz w:val="20"/>
          <w:szCs w:val="20"/>
        </w:rPr>
      </w:pPr>
      <w:r w:rsidRPr="00CD215E">
        <w:rPr>
          <w:sz w:val="20"/>
          <w:szCs w:val="20"/>
        </w:rPr>
        <w:t xml:space="preserve">Resources are </w:t>
      </w:r>
      <w:r w:rsidRPr="00CD215E">
        <w:rPr>
          <w:rFonts w:eastAsia="HelveticaNeueLTStd-Lt"/>
          <w:sz w:val="20"/>
          <w:szCs w:val="20"/>
        </w:rPr>
        <w:t xml:space="preserve">essential to enable government to plan how best to meet the health-related needs of their populations and are indispensable in the prevention, diagnosis or treatment of a disease and in rehabilitation and palliative care. Chronic shortage of healthcare resources in Bangladesh had a number of implications on health systems and services which are discussed in the following sections. </w:t>
      </w:r>
    </w:p>
    <w:p w:rsidR="00467A9D" w:rsidRPr="00CD215E" w:rsidRDefault="00467A9D" w:rsidP="00CD215E">
      <w:pPr>
        <w:snapToGrid w:val="0"/>
        <w:ind w:firstLine="720"/>
        <w:jc w:val="both"/>
        <w:rPr>
          <w:sz w:val="20"/>
          <w:szCs w:val="20"/>
        </w:rPr>
      </w:pPr>
    </w:p>
    <w:p w:rsidR="002D5F2A" w:rsidRPr="00CD215E" w:rsidRDefault="002D5F2A" w:rsidP="00CD215E">
      <w:pPr>
        <w:pStyle w:val="NoSpacing"/>
        <w:snapToGrid w:val="0"/>
        <w:jc w:val="both"/>
        <w:rPr>
          <w:rFonts w:ascii="Times New Roman" w:hAnsi="Times New Roman" w:cs="Times New Roman"/>
          <w:b/>
          <w:sz w:val="20"/>
          <w:szCs w:val="20"/>
        </w:rPr>
      </w:pPr>
      <w:r w:rsidRPr="00CD215E">
        <w:rPr>
          <w:rFonts w:ascii="Times New Roman" w:hAnsi="Times New Roman" w:cs="Times New Roman"/>
          <w:b/>
          <w:sz w:val="20"/>
          <w:szCs w:val="20"/>
        </w:rPr>
        <w:t>5. Health workforce: Critical and chronic shortage and imbalance</w:t>
      </w:r>
    </w:p>
    <w:p w:rsidR="002D5F2A" w:rsidRPr="00CD215E" w:rsidRDefault="002D5F2A" w:rsidP="00CD215E">
      <w:pPr>
        <w:pStyle w:val="NoSpacing"/>
        <w:snapToGrid w:val="0"/>
        <w:ind w:firstLine="709"/>
        <w:jc w:val="both"/>
        <w:rPr>
          <w:rFonts w:ascii="Times New Roman" w:hAnsi="Times New Roman" w:cs="Times New Roman"/>
          <w:sz w:val="20"/>
          <w:szCs w:val="20"/>
          <w:lang w:val="en-US"/>
        </w:rPr>
      </w:pPr>
      <w:r w:rsidRPr="00CD215E">
        <w:rPr>
          <w:rFonts w:ascii="Times New Roman" w:hAnsi="Times New Roman" w:cs="Times New Roman"/>
          <w:sz w:val="20"/>
          <w:szCs w:val="20"/>
        </w:rPr>
        <w:t xml:space="preserve">The number of people in the health workforce is limited and </w:t>
      </w:r>
      <w:r w:rsidRPr="00CD215E">
        <w:rPr>
          <w:rFonts w:ascii="Times New Roman" w:hAnsi="Times New Roman" w:cs="Times New Roman"/>
          <w:sz w:val="20"/>
          <w:szCs w:val="20"/>
          <w:lang w:val="en-US"/>
        </w:rPr>
        <w:t xml:space="preserve">the government healthcare system remains a very minor source of healthcare in rural areas. </w:t>
      </w:r>
      <w:r w:rsidRPr="00CD215E">
        <w:rPr>
          <w:rFonts w:ascii="Times New Roman" w:hAnsi="Times New Roman" w:cs="Times New Roman"/>
          <w:sz w:val="20"/>
          <w:szCs w:val="20"/>
        </w:rPr>
        <w:t>Health professionals are reluctant and less motivated to work in the rural areas and in the field of public health.</w:t>
      </w:r>
      <w:r w:rsidRPr="00CD215E">
        <w:rPr>
          <w:rFonts w:ascii="Times New Roman" w:hAnsi="Times New Roman" w:cs="Times New Roman"/>
          <w:sz w:val="20"/>
          <w:szCs w:val="20"/>
          <w:vertAlign w:val="superscript"/>
        </w:rPr>
        <w:t>20</w:t>
      </w:r>
      <w:r w:rsidRPr="00CD215E">
        <w:rPr>
          <w:rFonts w:ascii="Times New Roman" w:hAnsi="Times New Roman" w:cs="Times New Roman"/>
          <w:sz w:val="20"/>
          <w:szCs w:val="20"/>
        </w:rPr>
        <w:t xml:space="preserve"> According to the WHO, Bangladesh will experience a critical and chronic shortage and imbalance of skill mix and deployment of health workforce.</w:t>
      </w:r>
      <w:r w:rsidRPr="00CD215E">
        <w:rPr>
          <w:rFonts w:ascii="Times New Roman" w:hAnsi="Times New Roman" w:cs="Times New Roman"/>
          <w:sz w:val="20"/>
          <w:szCs w:val="20"/>
          <w:vertAlign w:val="superscript"/>
        </w:rPr>
        <w:t>21</w:t>
      </w:r>
      <w:r w:rsidRPr="00CD215E">
        <w:rPr>
          <w:rFonts w:ascii="Times New Roman" w:hAnsi="Times New Roman" w:cs="Times New Roman"/>
          <w:sz w:val="20"/>
          <w:szCs w:val="20"/>
        </w:rPr>
        <w:t xml:space="preserve"> The nurse-doctor and medical technologist-doctor ratios are also among the poorest in the world. </w:t>
      </w:r>
      <w:r w:rsidRPr="00CD215E">
        <w:rPr>
          <w:rFonts w:ascii="Times New Roman" w:hAnsi="Times New Roman" w:cs="Times New Roman"/>
          <w:sz w:val="20"/>
          <w:szCs w:val="20"/>
          <w:lang w:val="en-US"/>
        </w:rPr>
        <w:t xml:space="preserve">Major reforms are needed in healthcare and medical education to attract and retain health workforce to ensure </w:t>
      </w:r>
      <w:r w:rsidRPr="00CD215E">
        <w:rPr>
          <w:rFonts w:ascii="Times New Roman" w:hAnsi="Times New Roman" w:cs="Times New Roman"/>
          <w:sz w:val="20"/>
          <w:szCs w:val="20"/>
        </w:rPr>
        <w:t xml:space="preserve">equitable and </w:t>
      </w:r>
      <w:r w:rsidRPr="00CD215E">
        <w:rPr>
          <w:rFonts w:ascii="Times New Roman" w:hAnsi="Times New Roman" w:cs="Times New Roman"/>
          <w:sz w:val="20"/>
          <w:szCs w:val="20"/>
          <w:lang w:val="en-US"/>
        </w:rPr>
        <w:t>quality healthcare for the population of Bangladesh.</w:t>
      </w:r>
      <w:r w:rsidR="00A71D4B">
        <w:rPr>
          <w:rFonts w:ascii="Times New Roman" w:hAnsi="Times New Roman" w:cs="Times New Roman"/>
          <w:sz w:val="20"/>
          <w:szCs w:val="20"/>
          <w:lang w:val="en-US"/>
        </w:rPr>
        <w:t xml:space="preserve"> </w:t>
      </w:r>
    </w:p>
    <w:p w:rsidR="002D5F2A" w:rsidRPr="00CD215E" w:rsidRDefault="002D5F2A" w:rsidP="00CD215E">
      <w:pPr>
        <w:autoSpaceDE w:val="0"/>
        <w:autoSpaceDN w:val="0"/>
        <w:adjustRightInd w:val="0"/>
        <w:snapToGrid w:val="0"/>
        <w:ind w:firstLine="709"/>
        <w:jc w:val="both"/>
        <w:rPr>
          <w:rFonts w:eastAsia="Times New Roman"/>
          <w:sz w:val="20"/>
          <w:szCs w:val="20"/>
        </w:rPr>
      </w:pPr>
      <w:r w:rsidRPr="00CD215E">
        <w:rPr>
          <w:sz w:val="20"/>
          <w:szCs w:val="20"/>
        </w:rPr>
        <w:t>On a per capita basis, there are fewer practicing physicians in the Bangladesh – 3.6 per 10,000 popula</w:t>
      </w:r>
      <w:r w:rsidRPr="00CD215E">
        <w:rPr>
          <w:sz w:val="20"/>
          <w:szCs w:val="20"/>
        </w:rPr>
        <w:softHyphen/>
        <w:t xml:space="preserve">tion. The regional average is 5.4 physicians and </w:t>
      </w:r>
      <w:r w:rsidRPr="00CD215E">
        <w:rPr>
          <w:rFonts w:eastAsia="Times New Roman"/>
          <w:sz w:val="20"/>
          <w:szCs w:val="20"/>
        </w:rPr>
        <w:t xml:space="preserve">DPR of Korea </w:t>
      </w:r>
      <w:r w:rsidRPr="00CD215E">
        <w:rPr>
          <w:sz w:val="20"/>
          <w:szCs w:val="20"/>
        </w:rPr>
        <w:t xml:space="preserve">has the highest number with 32.9 physicians. The average number of other categories of health personnel (nurse, dentists, pharmacists etc.) in Bangladesh is lower than the regional average. Bangladesh has the lowest number of nursing and midwifery personnel in the region, 2.7/10,000 population – </w:t>
      </w:r>
      <w:r w:rsidRPr="00CD215E">
        <w:rPr>
          <w:rFonts w:eastAsia="Times New Roman"/>
          <w:sz w:val="20"/>
          <w:szCs w:val="20"/>
        </w:rPr>
        <w:t xml:space="preserve">Myanmar has the highest, 44.5 and the regional average is 9.9. </w:t>
      </w:r>
      <w:r w:rsidRPr="00CD215E">
        <w:rPr>
          <w:sz w:val="20"/>
          <w:szCs w:val="20"/>
        </w:rPr>
        <w:t>Bangladesh has also the lowest number of hospital beds in the region, 6/10,000 population. T</w:t>
      </w:r>
      <w:r w:rsidRPr="00CD215E">
        <w:rPr>
          <w:iCs/>
          <w:sz w:val="20"/>
          <w:szCs w:val="20"/>
        </w:rPr>
        <w:t>he country also has relatively few healthcare personnel and hospital beds; h</w:t>
      </w:r>
      <w:r w:rsidRPr="00CD215E">
        <w:rPr>
          <w:rFonts w:eastAsia="Times New Roman"/>
          <w:iCs/>
          <w:sz w:val="20"/>
          <w:szCs w:val="20"/>
        </w:rPr>
        <w:t xml:space="preserve">ealth inequality is observed in the provision of healthcare delivery which is most prominent in the lower socio-economic groups. </w:t>
      </w:r>
    </w:p>
    <w:p w:rsidR="00CD215E" w:rsidRDefault="00CD215E" w:rsidP="00CD215E">
      <w:pPr>
        <w:autoSpaceDE w:val="0"/>
        <w:autoSpaceDN w:val="0"/>
        <w:adjustRightInd w:val="0"/>
        <w:snapToGrid w:val="0"/>
        <w:jc w:val="both"/>
        <w:rPr>
          <w:b/>
          <w:sz w:val="20"/>
          <w:szCs w:val="20"/>
          <w:lang w:eastAsia="zh-CN"/>
        </w:rPr>
      </w:pPr>
    </w:p>
    <w:p w:rsidR="00A71D4B" w:rsidRDefault="00A71D4B" w:rsidP="00CD215E">
      <w:pPr>
        <w:autoSpaceDE w:val="0"/>
        <w:autoSpaceDN w:val="0"/>
        <w:adjustRightInd w:val="0"/>
        <w:snapToGrid w:val="0"/>
        <w:jc w:val="both"/>
        <w:rPr>
          <w:b/>
          <w:sz w:val="20"/>
          <w:szCs w:val="20"/>
          <w:lang w:eastAsia="zh-CN"/>
        </w:rPr>
      </w:pPr>
    </w:p>
    <w:p w:rsidR="002D5F2A" w:rsidRPr="00CD215E" w:rsidRDefault="002D5F2A" w:rsidP="00CD215E">
      <w:pPr>
        <w:autoSpaceDE w:val="0"/>
        <w:autoSpaceDN w:val="0"/>
        <w:adjustRightInd w:val="0"/>
        <w:snapToGrid w:val="0"/>
        <w:jc w:val="both"/>
        <w:rPr>
          <w:b/>
          <w:sz w:val="20"/>
          <w:szCs w:val="20"/>
        </w:rPr>
      </w:pPr>
      <w:r w:rsidRPr="00CD215E">
        <w:rPr>
          <w:b/>
          <w:sz w:val="20"/>
          <w:szCs w:val="20"/>
        </w:rPr>
        <w:lastRenderedPageBreak/>
        <w:t>6. Achievements in healthcare: Hype or hope?</w:t>
      </w:r>
    </w:p>
    <w:p w:rsidR="002D5F2A" w:rsidRPr="00CD215E" w:rsidRDefault="002D5F2A" w:rsidP="00CD215E">
      <w:pPr>
        <w:autoSpaceDE w:val="0"/>
        <w:autoSpaceDN w:val="0"/>
        <w:adjustRightInd w:val="0"/>
        <w:snapToGrid w:val="0"/>
        <w:ind w:firstLine="709"/>
        <w:jc w:val="both"/>
        <w:rPr>
          <w:sz w:val="20"/>
          <w:szCs w:val="20"/>
        </w:rPr>
      </w:pPr>
      <w:r w:rsidRPr="00CD215E">
        <w:rPr>
          <w:sz w:val="20"/>
          <w:szCs w:val="20"/>
        </w:rPr>
        <w:t xml:space="preserve">The important achievements in health indicators in Bangladesh include life expectancy, infant mortality, </w:t>
      </w:r>
      <w:r w:rsidRPr="00CD215E">
        <w:rPr>
          <w:rFonts w:eastAsia="AGaramondPro-Regular"/>
          <w:iCs/>
          <w:sz w:val="20"/>
          <w:szCs w:val="20"/>
        </w:rPr>
        <w:t xml:space="preserve">vaccination of </w:t>
      </w:r>
      <w:r w:rsidRPr="00CD215E">
        <w:rPr>
          <w:bCs/>
          <w:sz w:val="20"/>
          <w:szCs w:val="20"/>
        </w:rPr>
        <w:t>measles, DTP3 etc.</w:t>
      </w:r>
      <w:r w:rsidRPr="00CD215E">
        <w:rPr>
          <w:bCs/>
          <w:sz w:val="20"/>
          <w:szCs w:val="20"/>
          <w:vertAlign w:val="superscript"/>
        </w:rPr>
        <w:t>8,9</w:t>
      </w:r>
      <w:r w:rsidRPr="00CD215E">
        <w:rPr>
          <w:sz w:val="20"/>
          <w:szCs w:val="20"/>
        </w:rPr>
        <w:t xml:space="preserve"> Bangladesh has enjoyed large gains in life expectancy over the past two decades, linked to improvements in living conditions, public health interventions and progress in medical care. Life expectancy at birth in Bangladesh is 70 years, placing the nation in the first four among the 11 WHO SEARO countries. The infant mortality rate (MGD 4) has fallen significantly over the past few decades. It stood at 38 per 1,000 live births in 2011 though still higher in comparison to other regional countries. </w:t>
      </w:r>
      <w:r w:rsidRPr="00CD215E">
        <w:rPr>
          <w:bCs/>
          <w:sz w:val="20"/>
          <w:szCs w:val="20"/>
        </w:rPr>
        <w:t>The data on vaccination [neonatal tetanus, measles (MDG 3), DTP3, HepB3, Hib3], children receiving Vitamin A supplementation and ORT, and smear-positive tuberculosis treatment-success (MDG 6) are much better than regional and global averages. However, there remain a lot of concerns in relation to some key mortality and morbidity indicators.</w:t>
      </w:r>
      <w:r w:rsidRPr="00CD215E">
        <w:rPr>
          <w:bCs/>
          <w:sz w:val="20"/>
          <w:szCs w:val="20"/>
          <w:vertAlign w:val="superscript"/>
        </w:rPr>
        <w:t>8</w:t>
      </w:r>
      <w:r w:rsidRPr="00CD215E">
        <w:rPr>
          <w:bCs/>
          <w:sz w:val="20"/>
          <w:szCs w:val="20"/>
        </w:rPr>
        <w:t xml:space="preserve"> </w:t>
      </w:r>
    </w:p>
    <w:p w:rsidR="002D5F2A" w:rsidRPr="00CD215E" w:rsidRDefault="002D5F2A" w:rsidP="00CD215E">
      <w:pPr>
        <w:autoSpaceDE w:val="0"/>
        <w:autoSpaceDN w:val="0"/>
        <w:adjustRightInd w:val="0"/>
        <w:snapToGrid w:val="0"/>
        <w:jc w:val="both"/>
        <w:rPr>
          <w:rFonts w:eastAsia="AGaramondPro-Regular"/>
          <w:b/>
          <w:bCs/>
          <w:iCs/>
          <w:sz w:val="20"/>
          <w:szCs w:val="20"/>
        </w:rPr>
      </w:pPr>
    </w:p>
    <w:p w:rsidR="002D5F2A" w:rsidRPr="00CD215E" w:rsidRDefault="002D5F2A" w:rsidP="00CD215E">
      <w:pPr>
        <w:autoSpaceDE w:val="0"/>
        <w:autoSpaceDN w:val="0"/>
        <w:adjustRightInd w:val="0"/>
        <w:snapToGrid w:val="0"/>
        <w:jc w:val="both"/>
        <w:rPr>
          <w:rFonts w:eastAsia="AGaramondPro-Regular"/>
          <w:b/>
          <w:bCs/>
          <w:iCs/>
          <w:sz w:val="20"/>
          <w:szCs w:val="20"/>
        </w:rPr>
      </w:pPr>
      <w:r w:rsidRPr="00CD215E">
        <w:rPr>
          <w:rFonts w:eastAsia="AGaramondPro-Regular"/>
          <w:b/>
          <w:bCs/>
          <w:iCs/>
          <w:sz w:val="20"/>
          <w:szCs w:val="20"/>
        </w:rPr>
        <w:t>7. Healthcare indicators: Real concerns</w:t>
      </w:r>
    </w:p>
    <w:p w:rsidR="00FF2A3A" w:rsidRPr="00CD215E" w:rsidRDefault="002D5F2A" w:rsidP="00CD215E">
      <w:pPr>
        <w:autoSpaceDE w:val="0"/>
        <w:autoSpaceDN w:val="0"/>
        <w:adjustRightInd w:val="0"/>
        <w:snapToGrid w:val="0"/>
        <w:ind w:firstLine="709"/>
        <w:jc w:val="both"/>
        <w:rPr>
          <w:rFonts w:eastAsia="AGaramondPro-Regular"/>
          <w:sz w:val="20"/>
          <w:szCs w:val="20"/>
        </w:rPr>
      </w:pPr>
      <w:r w:rsidRPr="00CD215E">
        <w:rPr>
          <w:rFonts w:eastAsia="AGaramondPro-Regular"/>
          <w:bCs/>
          <w:iCs/>
          <w:sz w:val="20"/>
          <w:szCs w:val="20"/>
        </w:rPr>
        <w:t>The overall burden of mortality and morbidity in most of the health indicators is higher in Bangladesh when compared with regional countries.</w:t>
      </w:r>
      <w:r w:rsidRPr="00CD215E">
        <w:rPr>
          <w:rFonts w:eastAsia="AGaramondPro-Regular"/>
          <w:bCs/>
          <w:iCs/>
          <w:sz w:val="20"/>
          <w:szCs w:val="20"/>
          <w:vertAlign w:val="superscript"/>
        </w:rPr>
        <w:t>8,9</w:t>
      </w:r>
      <w:r w:rsidRPr="00CD215E">
        <w:rPr>
          <w:rFonts w:eastAsia="AGaramondPro-Regular"/>
          <w:bCs/>
          <w:iCs/>
          <w:sz w:val="20"/>
          <w:szCs w:val="20"/>
        </w:rPr>
        <w:t xml:space="preserve"> </w:t>
      </w:r>
      <w:r w:rsidRPr="00CD215E">
        <w:rPr>
          <w:sz w:val="20"/>
          <w:szCs w:val="20"/>
        </w:rPr>
        <w:t>The neonatal mortality rate (26 per 1,000 live births)</w:t>
      </w:r>
      <w:r w:rsidRPr="00CD215E">
        <w:rPr>
          <w:rFonts w:eastAsia="AGaramondPro-Regular"/>
          <w:bCs/>
          <w:iCs/>
          <w:sz w:val="20"/>
          <w:szCs w:val="20"/>
        </w:rPr>
        <w:t xml:space="preserve"> and </w:t>
      </w:r>
      <w:r w:rsidRPr="00CD215E">
        <w:rPr>
          <w:sz w:val="20"/>
          <w:szCs w:val="20"/>
        </w:rPr>
        <w:t>under-five mortality</w:t>
      </w:r>
      <w:r w:rsidRPr="00CD215E">
        <w:rPr>
          <w:rFonts w:eastAsia="AGaramondPro-Regular"/>
          <w:bCs/>
          <w:iCs/>
          <w:sz w:val="20"/>
          <w:szCs w:val="20"/>
        </w:rPr>
        <w:t xml:space="preserve"> </w:t>
      </w:r>
      <w:r w:rsidRPr="00CD215E">
        <w:rPr>
          <w:sz w:val="20"/>
          <w:szCs w:val="20"/>
        </w:rPr>
        <w:t>rate (46 per 1,000 live births)</w:t>
      </w:r>
      <w:r w:rsidRPr="00CD215E">
        <w:rPr>
          <w:rFonts w:eastAsia="AGaramondPro-Regular"/>
          <w:bCs/>
          <w:iCs/>
          <w:sz w:val="20"/>
          <w:szCs w:val="20"/>
        </w:rPr>
        <w:t xml:space="preserve"> </w:t>
      </w:r>
      <w:r w:rsidRPr="00CD215E">
        <w:rPr>
          <w:sz w:val="20"/>
          <w:szCs w:val="20"/>
        </w:rPr>
        <w:t xml:space="preserve">in Bangladesh are in line with regional averages, but higher than some regional countries. </w:t>
      </w:r>
      <w:r w:rsidRPr="00CD215E">
        <w:rPr>
          <w:rFonts w:eastAsia="AGaramondPro-Regular"/>
          <w:bCs/>
          <w:iCs/>
          <w:sz w:val="20"/>
          <w:szCs w:val="20"/>
        </w:rPr>
        <w:t xml:space="preserve">The </w:t>
      </w:r>
      <w:r w:rsidRPr="00CD215E">
        <w:rPr>
          <w:sz w:val="20"/>
          <w:szCs w:val="20"/>
        </w:rPr>
        <w:t xml:space="preserve">difference is more prominent in rural areas, lowest wealth quintile, and lowest educational level of mothers. </w:t>
      </w:r>
      <w:r w:rsidRPr="00CD215E">
        <w:rPr>
          <w:rFonts w:eastAsia="AGaramondPro-Regular"/>
          <w:bCs/>
          <w:iCs/>
          <w:sz w:val="20"/>
          <w:szCs w:val="20"/>
        </w:rPr>
        <w:t xml:space="preserve">The reported cases of selected infectious diseases (e.g. </w:t>
      </w:r>
      <w:r w:rsidRPr="00CD215E">
        <w:rPr>
          <w:rFonts w:eastAsia="AGaramondPro-Regular"/>
          <w:sz w:val="20"/>
          <w:szCs w:val="20"/>
        </w:rPr>
        <w:t>leprosy and tuberculosis</w:t>
      </w:r>
      <w:r w:rsidRPr="00CD215E">
        <w:rPr>
          <w:rFonts w:eastAsia="AGaramondPro-Regular"/>
          <w:bCs/>
          <w:iCs/>
          <w:sz w:val="20"/>
          <w:szCs w:val="20"/>
        </w:rPr>
        <w:t xml:space="preserve">) are lower than the regional averages. </w:t>
      </w:r>
      <w:r w:rsidRPr="00CD215E">
        <w:rPr>
          <w:sz w:val="20"/>
          <w:szCs w:val="20"/>
        </w:rPr>
        <w:t>The maternal mortality ratio (MGD 5) in Bangladesh is 240, which is one of the highest in the region</w:t>
      </w:r>
      <w:r w:rsidRPr="00CD215E">
        <w:rPr>
          <w:rFonts w:eastAsia="AGaramondPro-Regular"/>
          <w:bCs/>
          <w:iCs/>
          <w:sz w:val="20"/>
          <w:szCs w:val="20"/>
        </w:rPr>
        <w:t xml:space="preserve">. </w:t>
      </w:r>
      <w:r w:rsidRPr="00CD215E">
        <w:rPr>
          <w:sz w:val="20"/>
          <w:szCs w:val="20"/>
        </w:rPr>
        <w:t>Despite efforts to expand emergency</w:t>
      </w:r>
      <w:r w:rsidRPr="00CD215E">
        <w:rPr>
          <w:rFonts w:eastAsia="AGaramondPro-Regular"/>
          <w:sz w:val="20"/>
          <w:szCs w:val="20"/>
        </w:rPr>
        <w:t xml:space="preserve"> </w:t>
      </w:r>
      <w:r w:rsidRPr="00CD215E">
        <w:rPr>
          <w:sz w:val="20"/>
          <w:szCs w:val="20"/>
        </w:rPr>
        <w:t>obstetric care</w:t>
      </w:r>
      <w:r w:rsidRPr="00CD215E">
        <w:rPr>
          <w:rFonts w:eastAsia="AGaramondPro-Regular"/>
          <w:sz w:val="20"/>
          <w:szCs w:val="20"/>
        </w:rPr>
        <w:t xml:space="preserve"> by the government and non-governmental organizations, </w:t>
      </w:r>
      <w:r w:rsidRPr="00CD215E">
        <w:rPr>
          <w:sz w:val="20"/>
          <w:szCs w:val="20"/>
        </w:rPr>
        <w:t>hospital deliveries remain at a low level. There are also concerns about the availability and quality of skilled birth attendance.</w:t>
      </w:r>
      <w:r w:rsidRPr="00CD215E">
        <w:rPr>
          <w:sz w:val="20"/>
          <w:szCs w:val="20"/>
          <w:vertAlign w:val="superscript"/>
        </w:rPr>
        <w:t>19</w:t>
      </w:r>
      <w:r w:rsidRPr="00CD215E">
        <w:rPr>
          <w:sz w:val="20"/>
          <w:szCs w:val="20"/>
        </w:rPr>
        <w:t xml:space="preserve"> It is forecasted that achieving the MDG target of 50% skilled delivery attendance by 2015 will be extremely challenging.</w:t>
      </w:r>
      <w:r w:rsidRPr="00CD215E">
        <w:rPr>
          <w:sz w:val="20"/>
          <w:szCs w:val="20"/>
          <w:vertAlign w:val="superscript"/>
        </w:rPr>
        <w:t>19</w:t>
      </w:r>
      <w:r w:rsidRPr="00CD215E">
        <w:rPr>
          <w:rFonts w:eastAsia="AGaramondPro-Regular"/>
          <w:sz w:val="20"/>
          <w:szCs w:val="20"/>
        </w:rPr>
        <w:t xml:space="preserve"> </w:t>
      </w:r>
    </w:p>
    <w:p w:rsidR="002D5F2A" w:rsidRPr="00CD215E" w:rsidRDefault="002D5F2A" w:rsidP="00CD215E">
      <w:pPr>
        <w:autoSpaceDE w:val="0"/>
        <w:autoSpaceDN w:val="0"/>
        <w:adjustRightInd w:val="0"/>
        <w:snapToGrid w:val="0"/>
        <w:ind w:firstLine="709"/>
        <w:jc w:val="both"/>
        <w:rPr>
          <w:sz w:val="20"/>
          <w:szCs w:val="20"/>
          <w:vertAlign w:val="superscript"/>
        </w:rPr>
      </w:pPr>
      <w:r w:rsidRPr="00CD215E">
        <w:rPr>
          <w:rFonts w:eastAsia="AGaramondPro-Regular"/>
          <w:sz w:val="20"/>
          <w:szCs w:val="20"/>
        </w:rPr>
        <w:t xml:space="preserve">The age-standardized mortality rate (per 100,000 population) for communicable and non-communicable diseases is also higher than the regional average. It is also found that age-standardized adult mortality rate (per 100,000 population) for all causes, cancer, cardiovascular diseases and diabetes is also higher than the regional average. </w:t>
      </w:r>
      <w:r w:rsidRPr="00CD215E">
        <w:rPr>
          <w:sz w:val="20"/>
          <w:szCs w:val="20"/>
        </w:rPr>
        <w:t>Like many regional countries, Bangladesh is also experiencing continued economic growth and demographic transition and these lead to increase prevalence of non-communicable diseases (</w:t>
      </w:r>
      <w:proofErr w:type="spellStart"/>
      <w:r w:rsidRPr="00CD215E">
        <w:rPr>
          <w:sz w:val="20"/>
          <w:szCs w:val="20"/>
        </w:rPr>
        <w:t>NCDs</w:t>
      </w:r>
      <w:proofErr w:type="spellEnd"/>
      <w:r w:rsidRPr="00CD215E">
        <w:rPr>
          <w:sz w:val="20"/>
          <w:szCs w:val="20"/>
        </w:rPr>
        <w:t>).</w:t>
      </w:r>
      <w:r w:rsidRPr="00CD215E">
        <w:rPr>
          <w:sz w:val="20"/>
          <w:szCs w:val="20"/>
          <w:vertAlign w:val="superscript"/>
        </w:rPr>
        <w:t>8</w:t>
      </w:r>
      <w:r w:rsidRPr="00CD215E">
        <w:rPr>
          <w:sz w:val="20"/>
          <w:szCs w:val="20"/>
        </w:rPr>
        <w:t xml:space="preserve"> </w:t>
      </w:r>
      <w:r w:rsidRPr="00CD215E">
        <w:rPr>
          <w:bCs/>
          <w:iCs/>
          <w:sz w:val="20"/>
          <w:szCs w:val="20"/>
        </w:rPr>
        <w:t xml:space="preserve">As population aging will increase in the future, </w:t>
      </w:r>
      <w:r w:rsidRPr="00CD215E">
        <w:rPr>
          <w:sz w:val="20"/>
          <w:szCs w:val="20"/>
        </w:rPr>
        <w:t xml:space="preserve">the </w:t>
      </w:r>
      <w:r w:rsidRPr="00CD215E">
        <w:rPr>
          <w:sz w:val="20"/>
          <w:szCs w:val="20"/>
        </w:rPr>
        <w:lastRenderedPageBreak/>
        <w:t xml:space="preserve">health burden from </w:t>
      </w:r>
      <w:proofErr w:type="spellStart"/>
      <w:r w:rsidRPr="00CD215E">
        <w:rPr>
          <w:sz w:val="20"/>
          <w:szCs w:val="20"/>
        </w:rPr>
        <w:t>NCDs</w:t>
      </w:r>
      <w:proofErr w:type="spellEnd"/>
      <w:r w:rsidRPr="00CD215E">
        <w:rPr>
          <w:sz w:val="20"/>
          <w:szCs w:val="20"/>
        </w:rPr>
        <w:t xml:space="preserve"> will rise in parallel with aging.</w:t>
      </w:r>
      <w:r w:rsidRPr="00CD215E">
        <w:rPr>
          <w:sz w:val="20"/>
          <w:szCs w:val="20"/>
          <w:vertAlign w:val="superscript"/>
        </w:rPr>
        <w:t>8</w:t>
      </w:r>
    </w:p>
    <w:p w:rsidR="002D5F2A" w:rsidRPr="00CD215E" w:rsidRDefault="002D5F2A" w:rsidP="00CD215E">
      <w:pPr>
        <w:autoSpaceDE w:val="0"/>
        <w:autoSpaceDN w:val="0"/>
        <w:adjustRightInd w:val="0"/>
        <w:snapToGrid w:val="0"/>
        <w:ind w:firstLine="709"/>
        <w:jc w:val="both"/>
        <w:rPr>
          <w:bCs/>
          <w:sz w:val="20"/>
          <w:szCs w:val="20"/>
          <w:vertAlign w:val="superscript"/>
        </w:rPr>
      </w:pPr>
      <w:r w:rsidRPr="00CD215E">
        <w:rPr>
          <w:rFonts w:eastAsia="AGaramondPro-Regular"/>
          <w:bCs/>
          <w:iCs/>
          <w:sz w:val="20"/>
          <w:szCs w:val="20"/>
        </w:rPr>
        <w:t>In terms of h</w:t>
      </w:r>
      <w:r w:rsidRPr="00CD215E">
        <w:rPr>
          <w:rFonts w:eastAsia="AGaramondPro-Regular"/>
          <w:iCs/>
          <w:sz w:val="20"/>
          <w:szCs w:val="20"/>
        </w:rPr>
        <w:t xml:space="preserve">ealth service coverage, some real concerns were noted in relation to poor antenatal coverage and availability of </w:t>
      </w:r>
      <w:r w:rsidRPr="00CD215E">
        <w:rPr>
          <w:bCs/>
          <w:sz w:val="20"/>
          <w:szCs w:val="20"/>
        </w:rPr>
        <w:t xml:space="preserve">skilled health personnel. Bangladesh has the poorest antenatal care coverage (MGD 5) in the region; 50% had at least one visit and 26% had at least 4 visits: both figures are the lowest in the region. The percentage of births attended by skilled health personnel (MDG 5) (31%) is much lower than the regional (59%) and global (70%) averages. The data on population using improved drinking-water sources (MDG 7), population using improved sanitation ((MDG 7) and infants exclusively breastfed for the first 6 months of life are better or in line with regional or global averages. An increasing number of underweight children (age &lt;5 years; MDG 1) and smoking among male adults are also the key areas of concern. </w:t>
      </w:r>
      <w:r w:rsidRPr="00CD215E">
        <w:rPr>
          <w:sz w:val="20"/>
          <w:szCs w:val="20"/>
        </w:rPr>
        <w:t>The underweight and stunted data is far above the MDG target of reducing it to 33% for underweight.</w:t>
      </w:r>
      <w:r w:rsidRPr="00CD215E">
        <w:rPr>
          <w:sz w:val="20"/>
          <w:szCs w:val="20"/>
          <w:vertAlign w:val="superscript"/>
        </w:rPr>
        <w:t>19</w:t>
      </w:r>
    </w:p>
    <w:p w:rsidR="002D5F2A" w:rsidRPr="00CD215E" w:rsidRDefault="002D5F2A" w:rsidP="00CD215E">
      <w:pPr>
        <w:autoSpaceDE w:val="0"/>
        <w:autoSpaceDN w:val="0"/>
        <w:adjustRightInd w:val="0"/>
        <w:snapToGrid w:val="0"/>
        <w:jc w:val="both"/>
        <w:rPr>
          <w:rFonts w:eastAsia="Times New Roman"/>
          <w:sz w:val="20"/>
          <w:szCs w:val="20"/>
        </w:rPr>
      </w:pPr>
    </w:p>
    <w:p w:rsidR="002D5F2A" w:rsidRPr="00CD215E" w:rsidRDefault="002D5F2A" w:rsidP="00CD215E">
      <w:pPr>
        <w:autoSpaceDE w:val="0"/>
        <w:autoSpaceDN w:val="0"/>
        <w:adjustRightInd w:val="0"/>
        <w:snapToGrid w:val="0"/>
        <w:jc w:val="both"/>
        <w:rPr>
          <w:b/>
          <w:sz w:val="20"/>
          <w:szCs w:val="20"/>
        </w:rPr>
      </w:pPr>
      <w:r w:rsidRPr="00CD215E">
        <w:rPr>
          <w:b/>
          <w:sz w:val="20"/>
          <w:szCs w:val="20"/>
        </w:rPr>
        <w:t>8. Conclusion</w:t>
      </w:r>
    </w:p>
    <w:p w:rsidR="00C92ECA" w:rsidRPr="00CD215E" w:rsidRDefault="002D5F2A" w:rsidP="00CD215E">
      <w:pPr>
        <w:autoSpaceDE w:val="0"/>
        <w:autoSpaceDN w:val="0"/>
        <w:adjustRightInd w:val="0"/>
        <w:snapToGrid w:val="0"/>
        <w:ind w:firstLine="709"/>
        <w:jc w:val="both"/>
        <w:rPr>
          <w:sz w:val="20"/>
          <w:szCs w:val="20"/>
        </w:rPr>
      </w:pPr>
      <w:r w:rsidRPr="00CD215E">
        <w:rPr>
          <w:sz w:val="20"/>
          <w:szCs w:val="20"/>
        </w:rPr>
        <w:t xml:space="preserve">It is clearly evident that Bangladesh has made considerable progress in the improvement of the health of the people; nevertheless, there remain many areas of concern over health development and healthcare provision and financing. The government is committed to attain the health-related </w:t>
      </w:r>
      <w:proofErr w:type="spellStart"/>
      <w:r w:rsidRPr="00CD215E">
        <w:rPr>
          <w:sz w:val="20"/>
          <w:szCs w:val="20"/>
        </w:rPr>
        <w:t>MDGs</w:t>
      </w:r>
      <w:proofErr w:type="spellEnd"/>
      <w:r w:rsidRPr="00CD215E">
        <w:rPr>
          <w:sz w:val="20"/>
          <w:szCs w:val="20"/>
        </w:rPr>
        <w:t xml:space="preserve"> and other associated </w:t>
      </w:r>
      <w:r w:rsidRPr="00CD215E">
        <w:rPr>
          <w:rFonts w:eastAsia="AGaramondPro-Regular"/>
          <w:sz w:val="20"/>
          <w:szCs w:val="20"/>
        </w:rPr>
        <w:t>targets</w:t>
      </w:r>
      <w:r w:rsidRPr="00CD215E">
        <w:rPr>
          <w:sz w:val="20"/>
          <w:szCs w:val="20"/>
        </w:rPr>
        <w:t xml:space="preserve"> which are reflected in national programs.</w:t>
      </w:r>
      <w:r w:rsidRPr="00CD215E">
        <w:rPr>
          <w:sz w:val="20"/>
          <w:szCs w:val="20"/>
          <w:vertAlign w:val="superscript"/>
        </w:rPr>
        <w:t>19</w:t>
      </w:r>
      <w:r w:rsidRPr="00CD215E">
        <w:rPr>
          <w:sz w:val="20"/>
          <w:szCs w:val="20"/>
        </w:rPr>
        <w:t xml:space="preserve"> </w:t>
      </w:r>
      <w:r w:rsidRPr="00CD215E">
        <w:rPr>
          <w:rFonts w:eastAsia="Batang"/>
          <w:sz w:val="20"/>
          <w:szCs w:val="20"/>
        </w:rPr>
        <w:t>Despite remarkable progress,</w:t>
      </w:r>
      <w:r w:rsidRPr="00CD215E">
        <w:rPr>
          <w:sz w:val="20"/>
          <w:szCs w:val="20"/>
        </w:rPr>
        <w:t xml:space="preserve"> except child mortality, t</w:t>
      </w:r>
      <w:r w:rsidRPr="00CD215E">
        <w:rPr>
          <w:rFonts w:eastAsia="Batang"/>
          <w:sz w:val="20"/>
          <w:szCs w:val="20"/>
        </w:rPr>
        <w:t>argets are not expected to be met by 2015 if the prevailing trends persist in several areas</w:t>
      </w:r>
      <w:r w:rsidRPr="00CD215E">
        <w:rPr>
          <w:sz w:val="20"/>
          <w:szCs w:val="20"/>
        </w:rPr>
        <w:t>.</w:t>
      </w:r>
      <w:r w:rsidRPr="00CD215E">
        <w:rPr>
          <w:sz w:val="20"/>
          <w:szCs w:val="20"/>
          <w:vertAlign w:val="superscript"/>
        </w:rPr>
        <w:t xml:space="preserve">19 </w:t>
      </w:r>
      <w:r w:rsidRPr="00CD215E">
        <w:rPr>
          <w:sz w:val="20"/>
          <w:szCs w:val="20"/>
        </w:rPr>
        <w:t xml:space="preserve">To meet the goals and raise standards of health, the government will need to focus much more sharply on the needs of the poor and vulnerable. </w:t>
      </w:r>
    </w:p>
    <w:p w:rsidR="00C92ECA" w:rsidRPr="00CD215E" w:rsidRDefault="002D5F2A" w:rsidP="00CD215E">
      <w:pPr>
        <w:autoSpaceDE w:val="0"/>
        <w:autoSpaceDN w:val="0"/>
        <w:adjustRightInd w:val="0"/>
        <w:snapToGrid w:val="0"/>
        <w:ind w:firstLine="709"/>
        <w:jc w:val="both"/>
        <w:rPr>
          <w:sz w:val="20"/>
          <w:szCs w:val="20"/>
        </w:rPr>
      </w:pPr>
      <w:r w:rsidRPr="00CD215E">
        <w:rPr>
          <w:sz w:val="20"/>
          <w:szCs w:val="20"/>
        </w:rPr>
        <w:t xml:space="preserve">Biomedical research is crucial for Bangladesh, and publications need to produce first-hand evidence that can identify the extent and burden of health-related problems and priority areas, and to formulate a health policy to utilize the scarce resources available in healthcare sector. Medical education, both under- and post-graduate, should be reoriented to pedagogical-based, community-oriented and research-informed in order to produce need-based healthcare professionals. </w:t>
      </w:r>
    </w:p>
    <w:p w:rsidR="002D5F2A" w:rsidRPr="00CD215E" w:rsidRDefault="002D5F2A" w:rsidP="00CD215E">
      <w:pPr>
        <w:autoSpaceDE w:val="0"/>
        <w:autoSpaceDN w:val="0"/>
        <w:adjustRightInd w:val="0"/>
        <w:snapToGrid w:val="0"/>
        <w:ind w:firstLine="709"/>
        <w:jc w:val="both"/>
        <w:rPr>
          <w:sz w:val="20"/>
          <w:szCs w:val="20"/>
        </w:rPr>
      </w:pPr>
      <w:r w:rsidRPr="00CD215E">
        <w:rPr>
          <w:sz w:val="20"/>
          <w:szCs w:val="20"/>
        </w:rPr>
        <w:t xml:space="preserve">Cross-national comparisons are important to highlight the areas where Bangladesh could improve, and set benchmarks for improved performance. Strong initiatives have to be taken to strengthen the human resources for health development, adopt appropriate healthcare financing methods, and formulate a national health policy to address the issues and shortcoming of health development of the population. Moreover, improved data and monitoring tools are crucial for devising appropriate policies and </w:t>
      </w:r>
      <w:r w:rsidRPr="00CD215E">
        <w:rPr>
          <w:sz w:val="20"/>
          <w:szCs w:val="20"/>
        </w:rPr>
        <w:lastRenderedPageBreak/>
        <w:t>interventions needed to achieve the MDG and other health-related targets.</w:t>
      </w:r>
    </w:p>
    <w:p w:rsidR="002D5F2A" w:rsidRPr="00CD215E" w:rsidRDefault="002D5F2A" w:rsidP="00CD215E">
      <w:pPr>
        <w:autoSpaceDE w:val="0"/>
        <w:autoSpaceDN w:val="0"/>
        <w:adjustRightInd w:val="0"/>
        <w:snapToGrid w:val="0"/>
        <w:rPr>
          <w:sz w:val="20"/>
          <w:szCs w:val="20"/>
        </w:rPr>
      </w:pPr>
    </w:p>
    <w:p w:rsidR="002D5F2A" w:rsidRPr="00CD215E" w:rsidRDefault="002D5F2A" w:rsidP="00CD215E">
      <w:pPr>
        <w:autoSpaceDE w:val="0"/>
        <w:autoSpaceDN w:val="0"/>
        <w:adjustRightInd w:val="0"/>
        <w:snapToGrid w:val="0"/>
        <w:jc w:val="both"/>
        <w:rPr>
          <w:sz w:val="20"/>
          <w:szCs w:val="20"/>
        </w:rPr>
      </w:pPr>
      <w:r w:rsidRPr="00CD215E">
        <w:rPr>
          <w:sz w:val="20"/>
          <w:szCs w:val="20"/>
        </w:rPr>
        <w:t>*WHO Southeast Asia region: Bangladesh, Bhutan, Democratic People's Republic of Korea, India, Indonesia, Maldives, Myanmar, Nepal, Sri Lanka, Thailand and Timor-Leste.</w:t>
      </w:r>
    </w:p>
    <w:p w:rsidR="00FF2A3A" w:rsidRPr="00CD215E" w:rsidRDefault="00FF2A3A" w:rsidP="00CD215E">
      <w:pPr>
        <w:snapToGrid w:val="0"/>
        <w:jc w:val="both"/>
        <w:rPr>
          <w:b/>
          <w:sz w:val="20"/>
          <w:szCs w:val="20"/>
        </w:rPr>
      </w:pPr>
    </w:p>
    <w:p w:rsidR="00471E57" w:rsidRPr="00CD215E" w:rsidRDefault="00471E57" w:rsidP="00CD215E">
      <w:pPr>
        <w:snapToGrid w:val="0"/>
        <w:jc w:val="both"/>
        <w:rPr>
          <w:b/>
          <w:sz w:val="20"/>
          <w:szCs w:val="20"/>
        </w:rPr>
      </w:pPr>
      <w:r w:rsidRPr="00CD215E">
        <w:rPr>
          <w:b/>
          <w:sz w:val="20"/>
          <w:szCs w:val="20"/>
        </w:rPr>
        <w:t>Corresponding Author:</w:t>
      </w:r>
    </w:p>
    <w:p w:rsidR="002D5F2A" w:rsidRPr="00CD215E" w:rsidRDefault="002D5F2A" w:rsidP="00CD215E">
      <w:pPr>
        <w:snapToGrid w:val="0"/>
        <w:jc w:val="both"/>
        <w:rPr>
          <w:sz w:val="20"/>
          <w:szCs w:val="20"/>
        </w:rPr>
      </w:pPr>
      <w:r w:rsidRPr="00CD215E">
        <w:rPr>
          <w:sz w:val="20"/>
          <w:szCs w:val="20"/>
        </w:rPr>
        <w:t>Dr.</w:t>
      </w:r>
      <w:r w:rsidR="005E2C0E" w:rsidRPr="00CD215E">
        <w:rPr>
          <w:sz w:val="20"/>
          <w:szCs w:val="20"/>
        </w:rPr>
        <w:t xml:space="preserve"> Md. </w:t>
      </w:r>
      <w:proofErr w:type="spellStart"/>
      <w:r w:rsidR="005E2C0E" w:rsidRPr="00CD215E">
        <w:rPr>
          <w:sz w:val="20"/>
          <w:szCs w:val="20"/>
        </w:rPr>
        <w:t>Anwarul</w:t>
      </w:r>
      <w:proofErr w:type="spellEnd"/>
      <w:r w:rsidR="005E2C0E" w:rsidRPr="00CD215E">
        <w:rPr>
          <w:sz w:val="20"/>
          <w:szCs w:val="20"/>
        </w:rPr>
        <w:t xml:space="preserve"> </w:t>
      </w:r>
      <w:proofErr w:type="spellStart"/>
      <w:r w:rsidR="005E2C0E" w:rsidRPr="00CD215E">
        <w:rPr>
          <w:sz w:val="20"/>
          <w:szCs w:val="20"/>
        </w:rPr>
        <w:t>Azim</w:t>
      </w:r>
      <w:proofErr w:type="spellEnd"/>
      <w:r w:rsidR="005E2C0E" w:rsidRPr="00CD215E">
        <w:rPr>
          <w:sz w:val="20"/>
          <w:szCs w:val="20"/>
        </w:rPr>
        <w:t xml:space="preserve"> </w:t>
      </w:r>
      <w:proofErr w:type="spellStart"/>
      <w:r w:rsidR="005E2C0E" w:rsidRPr="00CD215E">
        <w:rPr>
          <w:sz w:val="20"/>
          <w:szCs w:val="20"/>
        </w:rPr>
        <w:t>Majumder</w:t>
      </w:r>
      <w:proofErr w:type="spellEnd"/>
    </w:p>
    <w:p w:rsidR="002D5F2A" w:rsidRPr="00CD215E" w:rsidRDefault="002D5F2A" w:rsidP="00CD215E">
      <w:pPr>
        <w:snapToGrid w:val="0"/>
        <w:jc w:val="both"/>
        <w:rPr>
          <w:noProof/>
          <w:sz w:val="20"/>
          <w:szCs w:val="20"/>
        </w:rPr>
      </w:pPr>
      <w:r w:rsidRPr="00CD215E">
        <w:rPr>
          <w:noProof/>
          <w:sz w:val="20"/>
          <w:szCs w:val="20"/>
        </w:rPr>
        <w:t>D</w:t>
      </w:r>
      <w:r w:rsidR="005E2C0E" w:rsidRPr="00CD215E">
        <w:rPr>
          <w:noProof/>
          <w:sz w:val="20"/>
          <w:szCs w:val="20"/>
        </w:rPr>
        <w:t>epartment of Clinical Sciences</w:t>
      </w:r>
    </w:p>
    <w:p w:rsidR="002D5F2A" w:rsidRPr="00CD215E" w:rsidRDefault="005E2C0E" w:rsidP="00CD215E">
      <w:pPr>
        <w:snapToGrid w:val="0"/>
        <w:jc w:val="both"/>
        <w:rPr>
          <w:noProof/>
          <w:sz w:val="20"/>
          <w:szCs w:val="20"/>
        </w:rPr>
      </w:pPr>
      <w:r w:rsidRPr="00CD215E">
        <w:rPr>
          <w:noProof/>
          <w:sz w:val="20"/>
          <w:szCs w:val="20"/>
        </w:rPr>
        <w:t>School of Medical Sciences</w:t>
      </w:r>
    </w:p>
    <w:p w:rsidR="002D5F2A" w:rsidRPr="00CD215E" w:rsidRDefault="005E2C0E" w:rsidP="00CD215E">
      <w:pPr>
        <w:snapToGrid w:val="0"/>
        <w:jc w:val="both"/>
        <w:rPr>
          <w:noProof/>
          <w:sz w:val="20"/>
          <w:szCs w:val="20"/>
        </w:rPr>
      </w:pPr>
      <w:r w:rsidRPr="00CD215E">
        <w:rPr>
          <w:noProof/>
          <w:sz w:val="20"/>
          <w:szCs w:val="20"/>
        </w:rPr>
        <w:t>University of Bradford</w:t>
      </w:r>
    </w:p>
    <w:p w:rsidR="002D5F2A" w:rsidRPr="00CD215E" w:rsidRDefault="005E2C0E" w:rsidP="00CD215E">
      <w:pPr>
        <w:snapToGrid w:val="0"/>
        <w:jc w:val="both"/>
        <w:rPr>
          <w:noProof/>
          <w:sz w:val="20"/>
          <w:szCs w:val="20"/>
        </w:rPr>
      </w:pPr>
      <w:r w:rsidRPr="00CD215E">
        <w:rPr>
          <w:noProof/>
          <w:sz w:val="20"/>
          <w:szCs w:val="20"/>
        </w:rPr>
        <w:t>Bradford BD7 1DP</w:t>
      </w:r>
    </w:p>
    <w:p w:rsidR="002D5F2A" w:rsidRPr="00CD215E" w:rsidRDefault="005E2C0E" w:rsidP="00CD215E">
      <w:pPr>
        <w:snapToGrid w:val="0"/>
        <w:jc w:val="both"/>
        <w:rPr>
          <w:noProof/>
          <w:sz w:val="20"/>
          <w:szCs w:val="20"/>
        </w:rPr>
      </w:pPr>
      <w:r w:rsidRPr="00CD215E">
        <w:rPr>
          <w:noProof/>
          <w:sz w:val="20"/>
          <w:szCs w:val="20"/>
        </w:rPr>
        <w:t>UK.</w:t>
      </w:r>
    </w:p>
    <w:p w:rsidR="002D5F2A" w:rsidRPr="00CD215E" w:rsidRDefault="002D5F2A" w:rsidP="00CD215E">
      <w:pPr>
        <w:snapToGrid w:val="0"/>
        <w:jc w:val="both"/>
        <w:rPr>
          <w:sz w:val="20"/>
          <w:szCs w:val="20"/>
        </w:rPr>
      </w:pPr>
      <w:r w:rsidRPr="00CD215E">
        <w:rPr>
          <w:noProof/>
          <w:sz w:val="20"/>
          <w:szCs w:val="20"/>
        </w:rPr>
        <w:t xml:space="preserve">E-mail: </w:t>
      </w:r>
      <w:hyperlink r:id="rId13" w:history="1">
        <w:r w:rsidRPr="00CD215E">
          <w:rPr>
            <w:rStyle w:val="Hyperlink"/>
            <w:noProof/>
            <w:sz w:val="20"/>
            <w:szCs w:val="20"/>
          </w:rPr>
          <w:t>a.a.majumder@bradford.ac.uk</w:t>
        </w:r>
      </w:hyperlink>
    </w:p>
    <w:p w:rsidR="00C92ECA" w:rsidRPr="00CD215E" w:rsidRDefault="00C92ECA" w:rsidP="00CD215E">
      <w:pPr>
        <w:snapToGrid w:val="0"/>
        <w:jc w:val="both"/>
        <w:rPr>
          <w:b/>
          <w:sz w:val="20"/>
          <w:szCs w:val="20"/>
        </w:rPr>
      </w:pPr>
    </w:p>
    <w:p w:rsidR="00B54CDA" w:rsidRPr="00CD215E" w:rsidRDefault="00B54CDA" w:rsidP="00CD215E">
      <w:pPr>
        <w:snapToGrid w:val="0"/>
        <w:jc w:val="both"/>
        <w:rPr>
          <w:b/>
          <w:sz w:val="20"/>
          <w:szCs w:val="20"/>
        </w:rPr>
      </w:pPr>
      <w:r w:rsidRPr="00CD215E">
        <w:rPr>
          <w:b/>
          <w:sz w:val="20"/>
          <w:szCs w:val="20"/>
        </w:rPr>
        <w:t>References</w:t>
      </w:r>
    </w:p>
    <w:p w:rsidR="002D5F2A" w:rsidRPr="00CD215E" w:rsidRDefault="002D5F2A" w:rsidP="00CD215E">
      <w:pPr>
        <w:pStyle w:val="ListParagraph"/>
        <w:numPr>
          <w:ilvl w:val="0"/>
          <w:numId w:val="5"/>
        </w:numPr>
        <w:snapToGrid w:val="0"/>
        <w:spacing w:after="0" w:line="240" w:lineRule="auto"/>
        <w:ind w:left="426" w:hanging="426"/>
        <w:jc w:val="both"/>
        <w:outlineLvl w:val="2"/>
        <w:rPr>
          <w:rFonts w:ascii="Times New Roman" w:hAnsi="Times New Roman"/>
          <w:bCs/>
          <w:sz w:val="20"/>
          <w:szCs w:val="20"/>
          <w:lang w:val="en-US"/>
        </w:rPr>
      </w:pPr>
      <w:r w:rsidRPr="00CD215E">
        <w:rPr>
          <w:rFonts w:ascii="Times New Roman" w:hAnsi="Times New Roman"/>
          <w:bCs/>
          <w:sz w:val="20"/>
          <w:szCs w:val="20"/>
          <w:lang w:val="en-US"/>
        </w:rPr>
        <w:t xml:space="preserve">The Asia Foundation. The Next Asian Tiger? A Conversation with U.S. </w:t>
      </w:r>
      <w:proofErr w:type="spellStart"/>
      <w:r w:rsidRPr="00CD215E">
        <w:rPr>
          <w:rFonts w:ascii="Times New Roman" w:hAnsi="Times New Roman"/>
          <w:bCs/>
          <w:sz w:val="20"/>
          <w:szCs w:val="20"/>
          <w:lang w:val="en-US"/>
        </w:rPr>
        <w:t>Amb</w:t>
      </w:r>
      <w:proofErr w:type="spellEnd"/>
      <w:r w:rsidRPr="00CD215E">
        <w:rPr>
          <w:rFonts w:ascii="Times New Roman" w:hAnsi="Times New Roman"/>
          <w:bCs/>
          <w:sz w:val="20"/>
          <w:szCs w:val="20"/>
          <w:lang w:val="en-US"/>
        </w:rPr>
        <w:t xml:space="preserve">. to Bangladesh Dan </w:t>
      </w:r>
      <w:proofErr w:type="spellStart"/>
      <w:r w:rsidRPr="00CD215E">
        <w:rPr>
          <w:rFonts w:ascii="Times New Roman" w:hAnsi="Times New Roman"/>
          <w:bCs/>
          <w:sz w:val="20"/>
          <w:szCs w:val="20"/>
          <w:lang w:val="en-US"/>
        </w:rPr>
        <w:t>Mozena</w:t>
      </w:r>
      <w:proofErr w:type="spellEnd"/>
      <w:r w:rsidRPr="00CD215E">
        <w:rPr>
          <w:rFonts w:ascii="Times New Roman" w:hAnsi="Times New Roman"/>
          <w:bCs/>
          <w:sz w:val="20"/>
          <w:szCs w:val="20"/>
          <w:lang w:val="en-US"/>
        </w:rPr>
        <w:t>.</w:t>
      </w:r>
      <w:r w:rsidRPr="00CD215E">
        <w:rPr>
          <w:rFonts w:ascii="Times New Roman" w:hAnsi="Times New Roman"/>
          <w:sz w:val="20"/>
          <w:szCs w:val="20"/>
        </w:rPr>
        <w:t xml:space="preserve"> </w:t>
      </w:r>
      <w:hyperlink r:id="rId14" w:history="1">
        <w:r w:rsidRPr="00CD215E">
          <w:rPr>
            <w:rStyle w:val="Hyperlink"/>
            <w:rFonts w:ascii="Times New Roman" w:hAnsi="Times New Roman"/>
            <w:bCs/>
            <w:sz w:val="20"/>
            <w:szCs w:val="20"/>
            <w:lang w:val="en-US"/>
          </w:rPr>
          <w:t>http://asiafoundation.org/in-asia/2013/03/27/the-next-asian-tiger-a-conversation-with-u-s-amb-to-bangladesh-dan-mozena/</w:t>
        </w:r>
      </w:hyperlink>
      <w:r w:rsidRPr="00CD215E">
        <w:rPr>
          <w:rFonts w:ascii="Times New Roman" w:hAnsi="Times New Roman"/>
          <w:bCs/>
          <w:sz w:val="20"/>
          <w:szCs w:val="20"/>
          <w:lang w:val="en-US"/>
        </w:rPr>
        <w:t xml:space="preserve"> (accessed 24 May 2014)</w:t>
      </w:r>
    </w:p>
    <w:p w:rsidR="002D5F2A" w:rsidRPr="00CD215E" w:rsidRDefault="002D5F2A" w:rsidP="00CD215E">
      <w:pPr>
        <w:pStyle w:val="ListParagraph"/>
        <w:numPr>
          <w:ilvl w:val="0"/>
          <w:numId w:val="5"/>
        </w:numPr>
        <w:snapToGrid w:val="0"/>
        <w:spacing w:after="0" w:line="240" w:lineRule="auto"/>
        <w:ind w:left="426" w:hanging="426"/>
        <w:jc w:val="both"/>
        <w:outlineLvl w:val="2"/>
        <w:rPr>
          <w:rFonts w:ascii="Times New Roman" w:hAnsi="Times New Roman"/>
          <w:bCs/>
          <w:sz w:val="20"/>
          <w:szCs w:val="20"/>
          <w:lang w:val="en-US"/>
        </w:rPr>
      </w:pPr>
      <w:proofErr w:type="spellStart"/>
      <w:r w:rsidRPr="00CD215E">
        <w:rPr>
          <w:rFonts w:ascii="Times New Roman" w:hAnsi="Times New Roman"/>
          <w:sz w:val="20"/>
          <w:szCs w:val="20"/>
        </w:rPr>
        <w:t>Chowdhury</w:t>
      </w:r>
      <w:proofErr w:type="spellEnd"/>
      <w:r w:rsidRPr="00CD215E">
        <w:rPr>
          <w:rFonts w:ascii="Times New Roman" w:hAnsi="Times New Roman"/>
          <w:sz w:val="20"/>
          <w:szCs w:val="20"/>
        </w:rPr>
        <w:t xml:space="preserve"> AMR, </w:t>
      </w:r>
      <w:proofErr w:type="spellStart"/>
      <w:r w:rsidRPr="00CD215E">
        <w:rPr>
          <w:rFonts w:ascii="Times New Roman" w:hAnsi="Times New Roman"/>
          <w:sz w:val="20"/>
          <w:szCs w:val="20"/>
        </w:rPr>
        <w:t>Bhuiya</w:t>
      </w:r>
      <w:proofErr w:type="spellEnd"/>
      <w:r w:rsidRPr="00CD215E">
        <w:rPr>
          <w:rFonts w:ascii="Times New Roman" w:hAnsi="Times New Roman"/>
          <w:sz w:val="20"/>
          <w:szCs w:val="20"/>
        </w:rPr>
        <w:t xml:space="preserve"> A, </w:t>
      </w:r>
      <w:proofErr w:type="spellStart"/>
      <w:r w:rsidRPr="00CD215E">
        <w:rPr>
          <w:rFonts w:ascii="Times New Roman" w:hAnsi="Times New Roman"/>
          <w:sz w:val="20"/>
          <w:szCs w:val="20"/>
        </w:rPr>
        <w:t>Chowdhury</w:t>
      </w:r>
      <w:proofErr w:type="spellEnd"/>
      <w:r w:rsidRPr="00CD215E">
        <w:rPr>
          <w:rFonts w:ascii="Times New Roman" w:hAnsi="Times New Roman"/>
          <w:sz w:val="20"/>
          <w:szCs w:val="20"/>
        </w:rPr>
        <w:t xml:space="preserve"> ME, </w:t>
      </w:r>
      <w:proofErr w:type="spellStart"/>
      <w:r w:rsidRPr="00CD215E">
        <w:rPr>
          <w:rFonts w:ascii="Times New Roman" w:hAnsi="Times New Roman"/>
          <w:sz w:val="20"/>
          <w:szCs w:val="20"/>
        </w:rPr>
        <w:t>Rasheed</w:t>
      </w:r>
      <w:proofErr w:type="spellEnd"/>
      <w:r w:rsidRPr="00CD215E">
        <w:rPr>
          <w:rFonts w:ascii="Times New Roman" w:hAnsi="Times New Roman"/>
          <w:sz w:val="20"/>
          <w:szCs w:val="20"/>
        </w:rPr>
        <w:t xml:space="preserve"> S, </w:t>
      </w:r>
      <w:proofErr w:type="spellStart"/>
      <w:r w:rsidRPr="00CD215E">
        <w:rPr>
          <w:rFonts w:ascii="Times New Roman" w:hAnsi="Times New Roman"/>
          <w:sz w:val="20"/>
          <w:szCs w:val="20"/>
        </w:rPr>
        <w:t>Hussain</w:t>
      </w:r>
      <w:proofErr w:type="spellEnd"/>
      <w:r w:rsidRPr="00CD215E">
        <w:rPr>
          <w:rFonts w:ascii="Times New Roman" w:hAnsi="Times New Roman"/>
          <w:sz w:val="20"/>
          <w:szCs w:val="20"/>
        </w:rPr>
        <w:t xml:space="preserve"> Z, Chen LC. The Bangladesh paradox: exceptional health achievement despite economic poverty. </w:t>
      </w:r>
      <w:r w:rsidRPr="00CD215E">
        <w:rPr>
          <w:rFonts w:ascii="Times New Roman" w:hAnsi="Times New Roman"/>
          <w:iCs/>
          <w:sz w:val="20"/>
          <w:szCs w:val="20"/>
        </w:rPr>
        <w:t xml:space="preserve">Lancet </w:t>
      </w:r>
      <w:r w:rsidRPr="00CD215E">
        <w:rPr>
          <w:rFonts w:ascii="Times New Roman" w:hAnsi="Times New Roman"/>
          <w:sz w:val="20"/>
          <w:szCs w:val="20"/>
        </w:rPr>
        <w:t xml:space="preserve">2013; </w:t>
      </w:r>
      <w:r w:rsidR="000760A1" w:rsidRPr="00CD215E">
        <w:rPr>
          <w:rFonts w:ascii="Times New Roman" w:hAnsi="Times New Roman"/>
          <w:bCs/>
          <w:sz w:val="20"/>
          <w:szCs w:val="20"/>
        </w:rPr>
        <w:t>382: 1734-</w:t>
      </w:r>
      <w:r w:rsidRPr="00CD215E">
        <w:rPr>
          <w:rFonts w:ascii="Times New Roman" w:hAnsi="Times New Roman"/>
          <w:bCs/>
          <w:sz w:val="20"/>
          <w:szCs w:val="20"/>
        </w:rPr>
        <w:t>45.</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outlineLvl w:val="2"/>
        <w:rPr>
          <w:rFonts w:ascii="Times New Roman" w:hAnsi="Times New Roman"/>
          <w:sz w:val="20"/>
          <w:szCs w:val="20"/>
        </w:rPr>
      </w:pPr>
      <w:r w:rsidRPr="00CD215E">
        <w:rPr>
          <w:rFonts w:ascii="Times New Roman" w:hAnsi="Times New Roman"/>
          <w:sz w:val="20"/>
          <w:szCs w:val="20"/>
        </w:rPr>
        <w:t xml:space="preserve">Ahmed SM, Evans TG, Standing H, Mahmud S. Harnessing pluralism for better health in Bangladesh. </w:t>
      </w:r>
      <w:r w:rsidRPr="00CD215E">
        <w:rPr>
          <w:rFonts w:ascii="Times New Roman" w:hAnsi="Times New Roman"/>
          <w:iCs/>
          <w:sz w:val="20"/>
          <w:szCs w:val="20"/>
        </w:rPr>
        <w:t xml:space="preserve">Lancet </w:t>
      </w:r>
      <w:r w:rsidRPr="00CD215E">
        <w:rPr>
          <w:rFonts w:ascii="Times New Roman" w:hAnsi="Times New Roman"/>
          <w:sz w:val="20"/>
          <w:szCs w:val="20"/>
        </w:rPr>
        <w:t xml:space="preserve">2013; </w:t>
      </w:r>
      <w:r w:rsidRPr="00CD215E">
        <w:rPr>
          <w:rFonts w:ascii="Times New Roman" w:hAnsi="Times New Roman"/>
          <w:bCs/>
          <w:sz w:val="20"/>
          <w:szCs w:val="20"/>
        </w:rPr>
        <w:t>382: 1746-55.</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outlineLvl w:val="2"/>
        <w:rPr>
          <w:rFonts w:ascii="Times New Roman" w:hAnsi="Times New Roman"/>
          <w:sz w:val="20"/>
          <w:szCs w:val="20"/>
        </w:rPr>
      </w:pPr>
      <w:r w:rsidRPr="00CD215E">
        <w:rPr>
          <w:rFonts w:ascii="Times New Roman" w:hAnsi="Times New Roman"/>
          <w:sz w:val="20"/>
          <w:szCs w:val="20"/>
        </w:rPr>
        <w:t xml:space="preserve">El </w:t>
      </w:r>
      <w:proofErr w:type="spellStart"/>
      <w:r w:rsidRPr="00CD215E">
        <w:rPr>
          <w:rFonts w:ascii="Times New Roman" w:hAnsi="Times New Roman"/>
          <w:sz w:val="20"/>
          <w:szCs w:val="20"/>
        </w:rPr>
        <w:t>Arifeen</w:t>
      </w:r>
      <w:proofErr w:type="spellEnd"/>
      <w:r w:rsidRPr="00CD215E">
        <w:rPr>
          <w:rFonts w:ascii="Times New Roman" w:hAnsi="Times New Roman"/>
          <w:sz w:val="20"/>
          <w:szCs w:val="20"/>
        </w:rPr>
        <w:t xml:space="preserve"> S, </w:t>
      </w:r>
      <w:proofErr w:type="spellStart"/>
      <w:r w:rsidRPr="00CD215E">
        <w:rPr>
          <w:rFonts w:ascii="Times New Roman" w:hAnsi="Times New Roman"/>
          <w:sz w:val="20"/>
          <w:szCs w:val="20"/>
        </w:rPr>
        <w:t>Christou</w:t>
      </w:r>
      <w:proofErr w:type="spellEnd"/>
      <w:r w:rsidRPr="00CD215E">
        <w:rPr>
          <w:rFonts w:ascii="Times New Roman" w:hAnsi="Times New Roman"/>
          <w:sz w:val="20"/>
          <w:szCs w:val="20"/>
        </w:rPr>
        <w:t xml:space="preserve"> A, </w:t>
      </w:r>
      <w:proofErr w:type="spellStart"/>
      <w:r w:rsidRPr="00CD215E">
        <w:rPr>
          <w:rFonts w:ascii="Times New Roman" w:hAnsi="Times New Roman"/>
          <w:sz w:val="20"/>
          <w:szCs w:val="20"/>
        </w:rPr>
        <w:t>Reichenbach</w:t>
      </w:r>
      <w:proofErr w:type="spellEnd"/>
      <w:r w:rsidRPr="00CD215E">
        <w:rPr>
          <w:rFonts w:ascii="Times New Roman" w:hAnsi="Times New Roman"/>
          <w:sz w:val="20"/>
          <w:szCs w:val="20"/>
        </w:rPr>
        <w:t xml:space="preserve"> L, </w:t>
      </w:r>
      <w:proofErr w:type="spellStart"/>
      <w:r w:rsidRPr="00CD215E">
        <w:rPr>
          <w:rFonts w:ascii="Times New Roman" w:hAnsi="Times New Roman"/>
          <w:sz w:val="20"/>
          <w:szCs w:val="20"/>
        </w:rPr>
        <w:t>Osman</w:t>
      </w:r>
      <w:proofErr w:type="spellEnd"/>
      <w:r w:rsidRPr="00CD215E">
        <w:rPr>
          <w:rFonts w:ascii="Times New Roman" w:hAnsi="Times New Roman"/>
          <w:sz w:val="20"/>
          <w:szCs w:val="20"/>
        </w:rPr>
        <w:t xml:space="preserve"> FA, Azad K, Islam KS, Ahmed F, Perry HB, Peters DH. Community-based approaches and partnerships: innovations in health-service delivery in Bangladesh. </w:t>
      </w:r>
      <w:r w:rsidRPr="00CD215E">
        <w:rPr>
          <w:rFonts w:ascii="Times New Roman" w:hAnsi="Times New Roman"/>
          <w:iCs/>
          <w:sz w:val="20"/>
          <w:szCs w:val="20"/>
        </w:rPr>
        <w:t xml:space="preserve">Lancet </w:t>
      </w:r>
      <w:r w:rsidRPr="00CD215E">
        <w:rPr>
          <w:rFonts w:ascii="Times New Roman" w:hAnsi="Times New Roman"/>
          <w:sz w:val="20"/>
          <w:szCs w:val="20"/>
        </w:rPr>
        <w:t xml:space="preserve">2013; </w:t>
      </w:r>
      <w:r w:rsidRPr="00CD215E">
        <w:rPr>
          <w:rFonts w:ascii="Times New Roman" w:hAnsi="Times New Roman"/>
          <w:bCs/>
          <w:sz w:val="20"/>
          <w:szCs w:val="20"/>
        </w:rPr>
        <w:t>382: 2012-26.</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outlineLvl w:val="2"/>
        <w:rPr>
          <w:rFonts w:ascii="Times New Roman" w:hAnsi="Times New Roman"/>
          <w:sz w:val="20"/>
          <w:szCs w:val="20"/>
        </w:rPr>
      </w:pPr>
      <w:r w:rsidRPr="00CD215E">
        <w:rPr>
          <w:rFonts w:ascii="Times New Roman" w:hAnsi="Times New Roman"/>
          <w:sz w:val="20"/>
          <w:szCs w:val="20"/>
        </w:rPr>
        <w:t xml:space="preserve">Adams AM, </w:t>
      </w:r>
      <w:proofErr w:type="spellStart"/>
      <w:r w:rsidRPr="00CD215E">
        <w:rPr>
          <w:rFonts w:ascii="Times New Roman" w:hAnsi="Times New Roman"/>
          <w:sz w:val="20"/>
          <w:szCs w:val="20"/>
        </w:rPr>
        <w:t>Rabbani</w:t>
      </w:r>
      <w:proofErr w:type="spellEnd"/>
      <w:r w:rsidRPr="00CD215E">
        <w:rPr>
          <w:rFonts w:ascii="Times New Roman" w:hAnsi="Times New Roman"/>
          <w:sz w:val="20"/>
          <w:szCs w:val="20"/>
        </w:rPr>
        <w:t xml:space="preserve"> A, Ahmed S, </w:t>
      </w:r>
      <w:proofErr w:type="spellStart"/>
      <w:r w:rsidRPr="00CD215E">
        <w:rPr>
          <w:rFonts w:ascii="Times New Roman" w:hAnsi="Times New Roman"/>
          <w:sz w:val="20"/>
          <w:szCs w:val="20"/>
        </w:rPr>
        <w:t>Mahmood</w:t>
      </w:r>
      <w:proofErr w:type="spellEnd"/>
      <w:r w:rsidRPr="00CD215E">
        <w:rPr>
          <w:rFonts w:ascii="Times New Roman" w:hAnsi="Times New Roman"/>
          <w:sz w:val="20"/>
          <w:szCs w:val="20"/>
        </w:rPr>
        <w:t xml:space="preserve"> SS, Al-</w:t>
      </w:r>
      <w:proofErr w:type="spellStart"/>
      <w:r w:rsidRPr="00CD215E">
        <w:rPr>
          <w:rFonts w:ascii="Times New Roman" w:hAnsi="Times New Roman"/>
          <w:sz w:val="20"/>
          <w:szCs w:val="20"/>
        </w:rPr>
        <w:t>Sabir</w:t>
      </w:r>
      <w:proofErr w:type="spellEnd"/>
      <w:r w:rsidRPr="00CD215E">
        <w:rPr>
          <w:rFonts w:ascii="Times New Roman" w:hAnsi="Times New Roman"/>
          <w:sz w:val="20"/>
          <w:szCs w:val="20"/>
        </w:rPr>
        <w:t xml:space="preserve"> A, Rashid SF, Evans TG. Explaining equity gains in child survival in Bangladesh: scale, speed, and selectivity in health and development. </w:t>
      </w:r>
      <w:r w:rsidRPr="00CD215E">
        <w:rPr>
          <w:rFonts w:ascii="Times New Roman" w:hAnsi="Times New Roman"/>
          <w:iCs/>
          <w:sz w:val="20"/>
          <w:szCs w:val="20"/>
        </w:rPr>
        <w:t xml:space="preserve">Lancet </w:t>
      </w:r>
      <w:r w:rsidRPr="00CD215E">
        <w:rPr>
          <w:rFonts w:ascii="Times New Roman" w:hAnsi="Times New Roman"/>
          <w:sz w:val="20"/>
          <w:szCs w:val="20"/>
        </w:rPr>
        <w:t xml:space="preserve">2013; </w:t>
      </w:r>
      <w:r w:rsidRPr="00CD215E">
        <w:rPr>
          <w:rFonts w:ascii="Times New Roman" w:hAnsi="Times New Roman"/>
          <w:bCs/>
          <w:iCs/>
          <w:sz w:val="20"/>
          <w:szCs w:val="20"/>
        </w:rPr>
        <w:t xml:space="preserve">Lancet </w:t>
      </w:r>
      <w:r w:rsidRPr="00CD215E">
        <w:rPr>
          <w:rFonts w:ascii="Times New Roman" w:hAnsi="Times New Roman"/>
          <w:bCs/>
          <w:sz w:val="20"/>
          <w:szCs w:val="20"/>
        </w:rPr>
        <w:t>2013; 382: 2027-37.</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outlineLvl w:val="2"/>
        <w:rPr>
          <w:rFonts w:ascii="Times New Roman" w:hAnsi="Times New Roman"/>
          <w:sz w:val="20"/>
          <w:szCs w:val="20"/>
        </w:rPr>
      </w:pPr>
      <w:r w:rsidRPr="00CD215E">
        <w:rPr>
          <w:rFonts w:ascii="Times New Roman" w:hAnsi="Times New Roman"/>
          <w:sz w:val="20"/>
          <w:szCs w:val="20"/>
        </w:rPr>
        <w:t xml:space="preserve">Cash RA, </w:t>
      </w:r>
      <w:proofErr w:type="spellStart"/>
      <w:r w:rsidRPr="00CD215E">
        <w:rPr>
          <w:rFonts w:ascii="Times New Roman" w:hAnsi="Times New Roman"/>
          <w:sz w:val="20"/>
          <w:szCs w:val="20"/>
        </w:rPr>
        <w:t>Halder</w:t>
      </w:r>
      <w:proofErr w:type="spellEnd"/>
      <w:r w:rsidRPr="00CD215E">
        <w:rPr>
          <w:rFonts w:ascii="Times New Roman" w:hAnsi="Times New Roman"/>
          <w:sz w:val="20"/>
          <w:szCs w:val="20"/>
        </w:rPr>
        <w:t xml:space="preserve"> SR, Husain M, Islam MS, </w:t>
      </w:r>
      <w:proofErr w:type="spellStart"/>
      <w:r w:rsidRPr="00CD215E">
        <w:rPr>
          <w:rFonts w:ascii="Times New Roman" w:hAnsi="Times New Roman"/>
          <w:sz w:val="20"/>
          <w:szCs w:val="20"/>
        </w:rPr>
        <w:t>Mallick</w:t>
      </w:r>
      <w:proofErr w:type="spellEnd"/>
      <w:r w:rsidRPr="00CD215E">
        <w:rPr>
          <w:rFonts w:ascii="Times New Roman" w:hAnsi="Times New Roman"/>
          <w:sz w:val="20"/>
          <w:szCs w:val="20"/>
        </w:rPr>
        <w:t xml:space="preserve"> FH, May MA, </w:t>
      </w:r>
      <w:proofErr w:type="spellStart"/>
      <w:r w:rsidRPr="00CD215E">
        <w:rPr>
          <w:rFonts w:ascii="Times New Roman" w:hAnsi="Times New Roman"/>
          <w:sz w:val="20"/>
          <w:szCs w:val="20"/>
        </w:rPr>
        <w:t>Rahman</w:t>
      </w:r>
      <w:proofErr w:type="spellEnd"/>
      <w:r w:rsidRPr="00CD215E">
        <w:rPr>
          <w:rFonts w:ascii="Times New Roman" w:hAnsi="Times New Roman"/>
          <w:sz w:val="20"/>
          <w:szCs w:val="20"/>
        </w:rPr>
        <w:t xml:space="preserve"> M, </w:t>
      </w:r>
      <w:proofErr w:type="spellStart"/>
      <w:r w:rsidRPr="00CD215E">
        <w:rPr>
          <w:rFonts w:ascii="Times New Roman" w:hAnsi="Times New Roman"/>
          <w:sz w:val="20"/>
          <w:szCs w:val="20"/>
        </w:rPr>
        <w:t>Rahman</w:t>
      </w:r>
      <w:proofErr w:type="spellEnd"/>
      <w:r w:rsidRPr="00CD215E">
        <w:rPr>
          <w:rFonts w:ascii="Times New Roman" w:hAnsi="Times New Roman"/>
          <w:sz w:val="20"/>
          <w:szCs w:val="20"/>
        </w:rPr>
        <w:t xml:space="preserve"> MA5. Reducing the health effect of natural hazards in Bangladesh. </w:t>
      </w:r>
      <w:r w:rsidRPr="00CD215E">
        <w:rPr>
          <w:rFonts w:ascii="Times New Roman" w:hAnsi="Times New Roman"/>
          <w:iCs/>
          <w:sz w:val="20"/>
          <w:szCs w:val="20"/>
        </w:rPr>
        <w:t xml:space="preserve">Lancet </w:t>
      </w:r>
      <w:r w:rsidRPr="00CD215E">
        <w:rPr>
          <w:rFonts w:ascii="Times New Roman" w:hAnsi="Times New Roman"/>
          <w:sz w:val="20"/>
          <w:szCs w:val="20"/>
        </w:rPr>
        <w:t xml:space="preserve">2013; </w:t>
      </w:r>
      <w:r w:rsidRPr="00CD215E">
        <w:rPr>
          <w:rFonts w:ascii="Times New Roman" w:hAnsi="Times New Roman"/>
          <w:bCs/>
          <w:sz w:val="20"/>
          <w:szCs w:val="20"/>
        </w:rPr>
        <w:t>382: 2094-103.</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outlineLvl w:val="2"/>
        <w:rPr>
          <w:rFonts w:ascii="Times New Roman" w:hAnsi="Times New Roman"/>
          <w:sz w:val="20"/>
          <w:szCs w:val="20"/>
        </w:rPr>
      </w:pPr>
      <w:r w:rsidRPr="00CD215E">
        <w:rPr>
          <w:rFonts w:ascii="Times New Roman" w:hAnsi="Times New Roman"/>
          <w:sz w:val="20"/>
          <w:szCs w:val="20"/>
        </w:rPr>
        <w:t xml:space="preserve">Adams AM, Ahmed T, El </w:t>
      </w:r>
      <w:proofErr w:type="spellStart"/>
      <w:r w:rsidRPr="00CD215E">
        <w:rPr>
          <w:rFonts w:ascii="Times New Roman" w:hAnsi="Times New Roman"/>
          <w:sz w:val="20"/>
          <w:szCs w:val="20"/>
        </w:rPr>
        <w:t>Arifeen</w:t>
      </w:r>
      <w:proofErr w:type="spellEnd"/>
      <w:r w:rsidRPr="00CD215E">
        <w:rPr>
          <w:rFonts w:ascii="Times New Roman" w:hAnsi="Times New Roman"/>
          <w:sz w:val="20"/>
          <w:szCs w:val="20"/>
        </w:rPr>
        <w:t xml:space="preserve"> S, Evans TG, Huda T, </w:t>
      </w:r>
      <w:proofErr w:type="spellStart"/>
      <w:r w:rsidRPr="00CD215E">
        <w:rPr>
          <w:rFonts w:ascii="Times New Roman" w:hAnsi="Times New Roman"/>
          <w:sz w:val="20"/>
          <w:szCs w:val="20"/>
        </w:rPr>
        <w:t>Reichenbach</w:t>
      </w:r>
      <w:proofErr w:type="spellEnd"/>
      <w:r w:rsidRPr="00CD215E">
        <w:rPr>
          <w:rFonts w:ascii="Times New Roman" w:hAnsi="Times New Roman"/>
          <w:sz w:val="20"/>
          <w:szCs w:val="20"/>
        </w:rPr>
        <w:t xml:space="preserve"> L, for </w:t>
      </w:r>
      <w:r w:rsidRPr="00CD215E">
        <w:rPr>
          <w:rFonts w:ascii="Times New Roman" w:hAnsi="Times New Roman"/>
          <w:iCs/>
          <w:sz w:val="20"/>
          <w:szCs w:val="20"/>
        </w:rPr>
        <w:t xml:space="preserve">The Lancet </w:t>
      </w:r>
      <w:r w:rsidRPr="00CD215E">
        <w:rPr>
          <w:rFonts w:ascii="Times New Roman" w:hAnsi="Times New Roman"/>
          <w:sz w:val="20"/>
          <w:szCs w:val="20"/>
        </w:rPr>
        <w:t xml:space="preserve">Bangladesh Team. Innovation for universal health coverage in Bangladesh: a call to action. </w:t>
      </w:r>
      <w:r w:rsidRPr="00CD215E">
        <w:rPr>
          <w:rFonts w:ascii="Times New Roman" w:hAnsi="Times New Roman"/>
          <w:iCs/>
          <w:sz w:val="20"/>
          <w:szCs w:val="20"/>
        </w:rPr>
        <w:t xml:space="preserve">Lancet </w:t>
      </w:r>
      <w:r w:rsidRPr="00CD215E">
        <w:rPr>
          <w:rFonts w:ascii="Times New Roman" w:hAnsi="Times New Roman"/>
          <w:sz w:val="20"/>
          <w:szCs w:val="20"/>
        </w:rPr>
        <w:t xml:space="preserve">2013; </w:t>
      </w:r>
      <w:r w:rsidRPr="00CD215E">
        <w:rPr>
          <w:rFonts w:ascii="Times New Roman" w:hAnsi="Times New Roman"/>
          <w:bCs/>
          <w:sz w:val="20"/>
          <w:szCs w:val="20"/>
        </w:rPr>
        <w:t>382: 2104-11.</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outlineLvl w:val="2"/>
        <w:rPr>
          <w:rFonts w:ascii="Times New Roman" w:hAnsi="Times New Roman"/>
          <w:sz w:val="20"/>
          <w:szCs w:val="20"/>
        </w:rPr>
      </w:pPr>
      <w:proofErr w:type="spellStart"/>
      <w:r w:rsidRPr="00CD215E">
        <w:rPr>
          <w:rFonts w:ascii="Times New Roman" w:hAnsi="Times New Roman"/>
          <w:sz w:val="20"/>
          <w:szCs w:val="20"/>
          <w:lang w:val="en-US"/>
        </w:rPr>
        <w:t>Majumder</w:t>
      </w:r>
      <w:proofErr w:type="spellEnd"/>
      <w:r w:rsidRPr="00CD215E">
        <w:rPr>
          <w:rFonts w:ascii="Times New Roman" w:hAnsi="Times New Roman"/>
          <w:sz w:val="20"/>
          <w:szCs w:val="20"/>
          <w:lang w:val="en-US"/>
        </w:rPr>
        <w:t xml:space="preserve"> MAA. World Health Statistics 2011: How does Bangladesh compare with other </w:t>
      </w:r>
      <w:r w:rsidRPr="00CD215E">
        <w:rPr>
          <w:rFonts w:ascii="Times New Roman" w:hAnsi="Times New Roman"/>
          <w:sz w:val="20"/>
          <w:szCs w:val="20"/>
          <w:lang w:val="en-US"/>
        </w:rPr>
        <w:lastRenderedPageBreak/>
        <w:t xml:space="preserve">South-East Asian countries? South East Asia J Public Health </w:t>
      </w:r>
      <w:r w:rsidRPr="00CD215E">
        <w:rPr>
          <w:rFonts w:ascii="Times New Roman" w:hAnsi="Times New Roman"/>
          <w:iCs/>
          <w:sz w:val="20"/>
          <w:szCs w:val="20"/>
          <w:lang w:val="en-US"/>
        </w:rPr>
        <w:t>2011:1(1):3-8.</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rPr>
          <w:rFonts w:ascii="Times New Roman" w:hAnsi="Times New Roman"/>
          <w:bCs/>
          <w:sz w:val="20"/>
          <w:szCs w:val="20"/>
          <w:lang w:val="en-US"/>
        </w:rPr>
      </w:pPr>
      <w:r w:rsidRPr="00CD215E">
        <w:rPr>
          <w:rFonts w:ascii="Times New Roman" w:hAnsi="Times New Roman"/>
          <w:bCs/>
          <w:sz w:val="20"/>
          <w:szCs w:val="20"/>
          <w:lang w:val="en-US"/>
        </w:rPr>
        <w:t>WHO. World Health Statistics 2013. Geneva: World Health Organization, 2013.</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rPr>
          <w:rFonts w:ascii="Times New Roman" w:hAnsi="Times New Roman"/>
          <w:bCs/>
          <w:sz w:val="20"/>
          <w:szCs w:val="20"/>
          <w:lang w:val="en-US"/>
        </w:rPr>
      </w:pPr>
      <w:r w:rsidRPr="00CD215E">
        <w:rPr>
          <w:rFonts w:ascii="Times New Roman" w:hAnsi="Times New Roman"/>
          <w:bCs/>
          <w:sz w:val="20"/>
          <w:szCs w:val="20"/>
          <w:lang w:val="en-US"/>
        </w:rPr>
        <w:t>WHO. World Health Statistics 2011. Geneva: World Health Organization, 2011.</w:t>
      </w:r>
    </w:p>
    <w:p w:rsidR="002D5F2A" w:rsidRPr="00CD215E" w:rsidRDefault="002D5F2A" w:rsidP="00CD215E">
      <w:pPr>
        <w:pStyle w:val="ListParagraph"/>
        <w:numPr>
          <w:ilvl w:val="0"/>
          <w:numId w:val="5"/>
        </w:numPr>
        <w:snapToGrid w:val="0"/>
        <w:spacing w:after="0" w:line="240" w:lineRule="auto"/>
        <w:ind w:left="426" w:hanging="426"/>
        <w:jc w:val="both"/>
        <w:outlineLvl w:val="2"/>
        <w:rPr>
          <w:rFonts w:ascii="Times New Roman" w:hAnsi="Times New Roman"/>
          <w:bCs/>
          <w:sz w:val="20"/>
          <w:szCs w:val="20"/>
          <w:lang w:val="en-US"/>
        </w:rPr>
      </w:pPr>
      <w:r w:rsidRPr="00CD215E">
        <w:rPr>
          <w:rFonts w:ascii="Times New Roman" w:eastAsia="AGaramondPro-Regular" w:hAnsi="Times New Roman"/>
          <w:sz w:val="20"/>
          <w:szCs w:val="20"/>
          <w:lang w:val="en-US"/>
        </w:rPr>
        <w:t xml:space="preserve">World Bank. </w:t>
      </w:r>
      <w:r w:rsidRPr="00CD215E">
        <w:rPr>
          <w:rFonts w:ascii="Times New Roman" w:hAnsi="Times New Roman"/>
          <w:sz w:val="20"/>
          <w:szCs w:val="20"/>
          <w:lang w:val="en-US"/>
        </w:rPr>
        <w:t>GINI index</w:t>
      </w:r>
      <w:r w:rsidRPr="00CD215E">
        <w:rPr>
          <w:rFonts w:ascii="Times New Roman" w:eastAsia="AGaramondPro-Regular" w:hAnsi="Times New Roman"/>
          <w:sz w:val="20"/>
          <w:szCs w:val="20"/>
          <w:lang w:val="en-US"/>
        </w:rPr>
        <w:t xml:space="preserve">. </w:t>
      </w:r>
      <w:hyperlink r:id="rId15" w:history="1">
        <w:r w:rsidRPr="00CD215E">
          <w:rPr>
            <w:rStyle w:val="Hyperlink"/>
            <w:rFonts w:ascii="Times New Roman" w:eastAsia="AGaramondPro-Regular" w:hAnsi="Times New Roman"/>
            <w:sz w:val="20"/>
            <w:szCs w:val="20"/>
            <w:lang w:val="en-US"/>
          </w:rPr>
          <w:t>http://data.worldbank.org/indicator/SI.POV.GINI</w:t>
        </w:r>
      </w:hyperlink>
      <w:r w:rsidRPr="00CD215E">
        <w:rPr>
          <w:rFonts w:ascii="Times New Roman" w:eastAsia="AGaramondPro-Regular" w:hAnsi="Times New Roman"/>
          <w:sz w:val="20"/>
          <w:szCs w:val="20"/>
          <w:lang w:val="en-US"/>
        </w:rPr>
        <w:t xml:space="preserve"> </w:t>
      </w:r>
      <w:r w:rsidRPr="00CD215E">
        <w:rPr>
          <w:rFonts w:ascii="Times New Roman" w:hAnsi="Times New Roman"/>
          <w:bCs/>
          <w:sz w:val="20"/>
          <w:szCs w:val="20"/>
          <w:lang w:val="en-US"/>
        </w:rPr>
        <w:t>(accessed 24 May 2014)</w:t>
      </w:r>
      <w:r w:rsidR="00A71D4B">
        <w:rPr>
          <w:rFonts w:ascii="Times New Roman" w:hAnsi="Times New Roman"/>
          <w:bCs/>
          <w:sz w:val="20"/>
          <w:szCs w:val="20"/>
          <w:lang w:val="en-US"/>
        </w:rPr>
        <w:t>.</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outlineLvl w:val="2"/>
        <w:rPr>
          <w:rFonts w:ascii="Times New Roman" w:hAnsi="Times New Roman"/>
          <w:sz w:val="20"/>
          <w:szCs w:val="20"/>
        </w:rPr>
      </w:pPr>
      <w:r w:rsidRPr="00CD215E">
        <w:rPr>
          <w:rFonts w:ascii="Times New Roman" w:hAnsi="Times New Roman"/>
          <w:sz w:val="20"/>
          <w:szCs w:val="20"/>
          <w:lang w:val="en-US"/>
        </w:rPr>
        <w:t xml:space="preserve">United Nations Development </w:t>
      </w:r>
      <w:proofErr w:type="spellStart"/>
      <w:r w:rsidRPr="00CD215E">
        <w:rPr>
          <w:rFonts w:ascii="Times New Roman" w:hAnsi="Times New Roman"/>
          <w:sz w:val="20"/>
          <w:szCs w:val="20"/>
          <w:lang w:val="en-US"/>
        </w:rPr>
        <w:t>Programme</w:t>
      </w:r>
      <w:proofErr w:type="spellEnd"/>
      <w:r w:rsidRPr="00CD215E">
        <w:rPr>
          <w:rFonts w:ascii="Times New Roman" w:hAnsi="Times New Roman"/>
          <w:sz w:val="20"/>
          <w:szCs w:val="20"/>
          <w:lang w:val="en-US"/>
        </w:rPr>
        <w:t>. Human Development Report 2013. New York: UNDP, 2013.</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rPr>
          <w:rFonts w:ascii="Times New Roman" w:hAnsi="Times New Roman"/>
          <w:color w:val="000000"/>
          <w:sz w:val="20"/>
          <w:szCs w:val="20"/>
        </w:rPr>
      </w:pPr>
      <w:proofErr w:type="spellStart"/>
      <w:r w:rsidRPr="00CD215E">
        <w:rPr>
          <w:rFonts w:ascii="Times New Roman" w:hAnsi="Times New Roman"/>
          <w:sz w:val="20"/>
          <w:szCs w:val="20"/>
        </w:rPr>
        <w:t>Majumder</w:t>
      </w:r>
      <w:proofErr w:type="spellEnd"/>
      <w:r w:rsidRPr="00CD215E">
        <w:rPr>
          <w:rFonts w:ascii="Times New Roman" w:hAnsi="Times New Roman"/>
          <w:sz w:val="20"/>
          <w:szCs w:val="20"/>
        </w:rPr>
        <w:t xml:space="preserve"> MAA. A review of undergraduate medical curriculum. Bangladesh Med J</w:t>
      </w:r>
      <w:r w:rsidR="000760A1" w:rsidRPr="00CD215E">
        <w:rPr>
          <w:rFonts w:ascii="Times New Roman" w:hAnsi="Times New Roman"/>
          <w:sz w:val="20"/>
          <w:szCs w:val="20"/>
        </w:rPr>
        <w:t xml:space="preserve"> 2002;34:47-</w:t>
      </w:r>
      <w:r w:rsidRPr="00CD215E">
        <w:rPr>
          <w:rFonts w:ascii="Times New Roman" w:hAnsi="Times New Roman"/>
          <w:sz w:val="20"/>
          <w:szCs w:val="20"/>
        </w:rPr>
        <w:t>50.</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rPr>
          <w:rFonts w:ascii="Times New Roman" w:hAnsi="Times New Roman"/>
          <w:color w:val="000000"/>
          <w:sz w:val="20"/>
          <w:szCs w:val="20"/>
        </w:rPr>
      </w:pPr>
      <w:proofErr w:type="spellStart"/>
      <w:r w:rsidRPr="00CD215E">
        <w:rPr>
          <w:rFonts w:ascii="Times New Roman" w:hAnsi="Times New Roman"/>
          <w:sz w:val="20"/>
          <w:szCs w:val="20"/>
        </w:rPr>
        <w:t>Majumder</w:t>
      </w:r>
      <w:proofErr w:type="spellEnd"/>
      <w:r w:rsidRPr="00CD215E">
        <w:rPr>
          <w:rFonts w:ascii="Times New Roman" w:hAnsi="Times New Roman"/>
          <w:sz w:val="20"/>
          <w:szCs w:val="20"/>
        </w:rPr>
        <w:t xml:space="preserve"> MAA. Medical Education in Bangladesh: Does it Need Overhauling? Stethoscope, Health &amp; Medical Journal. </w:t>
      </w:r>
      <w:r w:rsidRPr="00CD215E">
        <w:rPr>
          <w:rFonts w:ascii="Times New Roman" w:hAnsi="Times New Roman"/>
          <w:bCs/>
          <w:sz w:val="20"/>
          <w:szCs w:val="20"/>
        </w:rPr>
        <w:t>The Independent</w:t>
      </w:r>
      <w:r w:rsidRPr="00CD215E">
        <w:rPr>
          <w:rFonts w:ascii="Times New Roman" w:hAnsi="Times New Roman"/>
          <w:sz w:val="20"/>
          <w:szCs w:val="20"/>
        </w:rPr>
        <w:t>, 23 Nov 2009; page 18-19.</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rPr>
          <w:rFonts w:ascii="Times New Roman" w:hAnsi="Times New Roman"/>
          <w:color w:val="000000"/>
          <w:sz w:val="20"/>
          <w:szCs w:val="20"/>
        </w:rPr>
      </w:pPr>
      <w:proofErr w:type="spellStart"/>
      <w:r w:rsidRPr="00CD215E">
        <w:rPr>
          <w:rFonts w:ascii="Times New Roman" w:hAnsi="Times New Roman"/>
          <w:color w:val="000000"/>
          <w:sz w:val="20"/>
          <w:szCs w:val="20"/>
        </w:rPr>
        <w:t>Majumder</w:t>
      </w:r>
      <w:proofErr w:type="spellEnd"/>
      <w:r w:rsidRPr="00CD215E">
        <w:rPr>
          <w:rFonts w:ascii="Times New Roman" w:hAnsi="Times New Roman"/>
          <w:color w:val="000000"/>
          <w:sz w:val="20"/>
          <w:szCs w:val="20"/>
        </w:rPr>
        <w:t xml:space="preserve"> MAA. Issues and priorities of medical education research in Asia. </w:t>
      </w:r>
      <w:r w:rsidRPr="00CD215E">
        <w:rPr>
          <w:rFonts w:ascii="Times New Roman" w:hAnsi="Times New Roman"/>
          <w:iCs/>
          <w:color w:val="000000"/>
          <w:sz w:val="20"/>
          <w:szCs w:val="20"/>
        </w:rPr>
        <w:t xml:space="preserve">Ann </w:t>
      </w:r>
      <w:proofErr w:type="spellStart"/>
      <w:r w:rsidRPr="00CD215E">
        <w:rPr>
          <w:rFonts w:ascii="Times New Roman" w:hAnsi="Times New Roman"/>
          <w:iCs/>
          <w:color w:val="000000"/>
          <w:sz w:val="20"/>
          <w:szCs w:val="20"/>
        </w:rPr>
        <w:t>Acad</w:t>
      </w:r>
      <w:proofErr w:type="spellEnd"/>
      <w:r w:rsidRPr="00CD215E">
        <w:rPr>
          <w:rFonts w:ascii="Times New Roman" w:hAnsi="Times New Roman"/>
          <w:iCs/>
          <w:color w:val="000000"/>
          <w:sz w:val="20"/>
          <w:szCs w:val="20"/>
        </w:rPr>
        <w:t xml:space="preserve"> Med Singapore</w:t>
      </w:r>
      <w:r w:rsidRPr="00CD215E">
        <w:rPr>
          <w:rFonts w:ascii="Times New Roman" w:hAnsi="Times New Roman"/>
          <w:color w:val="000000"/>
          <w:sz w:val="20"/>
          <w:szCs w:val="20"/>
        </w:rPr>
        <w:t xml:space="preserve">. 2004;33:257-63. </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rPr>
          <w:rFonts w:ascii="Times New Roman" w:hAnsi="Times New Roman"/>
          <w:color w:val="000000"/>
          <w:sz w:val="20"/>
          <w:szCs w:val="20"/>
        </w:rPr>
      </w:pPr>
      <w:proofErr w:type="spellStart"/>
      <w:r w:rsidRPr="00CD215E">
        <w:rPr>
          <w:rFonts w:ascii="Times New Roman" w:hAnsi="Times New Roman"/>
          <w:color w:val="000000"/>
          <w:sz w:val="20"/>
          <w:szCs w:val="20"/>
        </w:rPr>
        <w:t>Majumder</w:t>
      </w:r>
      <w:proofErr w:type="spellEnd"/>
      <w:r w:rsidRPr="00CD215E">
        <w:rPr>
          <w:rFonts w:ascii="Times New Roman" w:hAnsi="Times New Roman"/>
          <w:color w:val="000000"/>
          <w:sz w:val="20"/>
          <w:szCs w:val="20"/>
        </w:rPr>
        <w:t xml:space="preserve"> MAA, </w:t>
      </w:r>
      <w:proofErr w:type="spellStart"/>
      <w:r w:rsidRPr="00CD215E">
        <w:rPr>
          <w:rFonts w:ascii="Times New Roman" w:hAnsi="Times New Roman"/>
          <w:color w:val="000000"/>
          <w:sz w:val="20"/>
          <w:szCs w:val="20"/>
        </w:rPr>
        <w:t>Rahman</w:t>
      </w:r>
      <w:proofErr w:type="spellEnd"/>
      <w:r w:rsidRPr="00CD215E">
        <w:rPr>
          <w:rFonts w:ascii="Times New Roman" w:hAnsi="Times New Roman"/>
          <w:color w:val="000000"/>
          <w:sz w:val="20"/>
          <w:szCs w:val="20"/>
        </w:rPr>
        <w:t xml:space="preserve"> S, </w:t>
      </w:r>
      <w:proofErr w:type="spellStart"/>
      <w:r w:rsidRPr="00CD215E">
        <w:rPr>
          <w:rFonts w:ascii="Times New Roman" w:hAnsi="Times New Roman"/>
          <w:color w:val="000000"/>
          <w:sz w:val="20"/>
          <w:szCs w:val="20"/>
        </w:rPr>
        <w:t>Shaban</w:t>
      </w:r>
      <w:proofErr w:type="spellEnd"/>
      <w:r w:rsidRPr="00CD215E">
        <w:rPr>
          <w:rFonts w:ascii="Times New Roman" w:hAnsi="Times New Roman"/>
          <w:color w:val="000000"/>
          <w:sz w:val="20"/>
          <w:szCs w:val="20"/>
        </w:rPr>
        <w:t xml:space="preserve"> SF, N </w:t>
      </w:r>
      <w:proofErr w:type="spellStart"/>
      <w:r w:rsidRPr="00CD215E">
        <w:rPr>
          <w:rFonts w:ascii="Times New Roman" w:hAnsi="Times New Roman"/>
          <w:color w:val="000000"/>
          <w:sz w:val="20"/>
          <w:szCs w:val="20"/>
        </w:rPr>
        <w:t>Rahman</w:t>
      </w:r>
      <w:proofErr w:type="spellEnd"/>
      <w:r w:rsidRPr="00CD215E">
        <w:rPr>
          <w:rFonts w:ascii="Times New Roman" w:hAnsi="Times New Roman"/>
          <w:color w:val="000000"/>
          <w:sz w:val="20"/>
          <w:szCs w:val="20"/>
        </w:rPr>
        <w:t xml:space="preserve">, Islam Z. A </w:t>
      </w:r>
      <w:proofErr w:type="spellStart"/>
      <w:r w:rsidRPr="00CD215E">
        <w:rPr>
          <w:rFonts w:ascii="Times New Roman" w:hAnsi="Times New Roman"/>
          <w:color w:val="000000"/>
          <w:sz w:val="20"/>
          <w:szCs w:val="20"/>
        </w:rPr>
        <w:t>PubMed</w:t>
      </w:r>
      <w:proofErr w:type="spellEnd"/>
      <w:r w:rsidRPr="00CD215E">
        <w:rPr>
          <w:rFonts w:ascii="Times New Roman" w:hAnsi="Times New Roman"/>
          <w:color w:val="000000"/>
          <w:sz w:val="20"/>
          <w:szCs w:val="20"/>
        </w:rPr>
        <w:t xml:space="preserve">-based quantitative analysis of biomedical publications in the </w:t>
      </w:r>
      <w:r w:rsidRPr="00CD215E">
        <w:rPr>
          <w:rFonts w:ascii="Times New Roman" w:hAnsi="Times New Roman"/>
          <w:color w:val="000000"/>
          <w:sz w:val="20"/>
          <w:szCs w:val="20"/>
        </w:rPr>
        <w:lastRenderedPageBreak/>
        <w:t>SAARC countries: 1985-2009</w:t>
      </w:r>
      <w:r w:rsidRPr="00CD215E">
        <w:rPr>
          <w:rFonts w:ascii="Times New Roman" w:hAnsi="Times New Roman"/>
          <w:b/>
          <w:bCs/>
          <w:color w:val="000000"/>
          <w:sz w:val="20"/>
          <w:szCs w:val="20"/>
        </w:rPr>
        <w:t xml:space="preserve">. </w:t>
      </w:r>
      <w:r w:rsidRPr="00CD215E">
        <w:rPr>
          <w:rFonts w:ascii="Times New Roman" w:hAnsi="Times New Roman"/>
          <w:iCs/>
          <w:color w:val="000000"/>
          <w:sz w:val="20"/>
          <w:szCs w:val="20"/>
        </w:rPr>
        <w:t xml:space="preserve">J </w:t>
      </w:r>
      <w:proofErr w:type="spellStart"/>
      <w:r w:rsidRPr="00CD215E">
        <w:rPr>
          <w:rFonts w:ascii="Times New Roman" w:hAnsi="Times New Roman"/>
          <w:iCs/>
          <w:color w:val="000000"/>
          <w:sz w:val="20"/>
          <w:szCs w:val="20"/>
        </w:rPr>
        <w:t>Coll</w:t>
      </w:r>
      <w:proofErr w:type="spellEnd"/>
      <w:r w:rsidRPr="00CD215E">
        <w:rPr>
          <w:rFonts w:ascii="Times New Roman" w:hAnsi="Times New Roman"/>
          <w:iCs/>
          <w:color w:val="000000"/>
          <w:sz w:val="20"/>
          <w:szCs w:val="20"/>
        </w:rPr>
        <w:t xml:space="preserve"> Physicians </w:t>
      </w:r>
      <w:proofErr w:type="spellStart"/>
      <w:r w:rsidRPr="00CD215E">
        <w:rPr>
          <w:rFonts w:ascii="Times New Roman" w:hAnsi="Times New Roman"/>
          <w:iCs/>
          <w:color w:val="000000"/>
          <w:sz w:val="20"/>
          <w:szCs w:val="20"/>
        </w:rPr>
        <w:t>Surg</w:t>
      </w:r>
      <w:proofErr w:type="spellEnd"/>
      <w:r w:rsidRPr="00CD215E">
        <w:rPr>
          <w:rFonts w:ascii="Times New Roman" w:hAnsi="Times New Roman"/>
          <w:iCs/>
          <w:color w:val="000000"/>
          <w:sz w:val="20"/>
          <w:szCs w:val="20"/>
        </w:rPr>
        <w:t xml:space="preserve"> </w:t>
      </w:r>
      <w:r w:rsidRPr="00CD215E">
        <w:rPr>
          <w:rFonts w:ascii="Times New Roman" w:hAnsi="Times New Roman"/>
          <w:color w:val="000000"/>
          <w:sz w:val="20"/>
          <w:szCs w:val="20"/>
        </w:rPr>
        <w:t xml:space="preserve">Pak 2012;22:1-7. </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rPr>
          <w:rFonts w:ascii="Times New Roman" w:hAnsi="Times New Roman"/>
          <w:color w:val="000000"/>
          <w:sz w:val="20"/>
          <w:szCs w:val="20"/>
        </w:rPr>
      </w:pPr>
      <w:proofErr w:type="spellStart"/>
      <w:r w:rsidRPr="00CD215E">
        <w:rPr>
          <w:rFonts w:ascii="Times New Roman" w:hAnsi="Times New Roman"/>
          <w:sz w:val="20"/>
          <w:szCs w:val="20"/>
        </w:rPr>
        <w:t>Majumder</w:t>
      </w:r>
      <w:proofErr w:type="spellEnd"/>
      <w:r w:rsidRPr="00CD215E">
        <w:rPr>
          <w:rFonts w:ascii="Times New Roman" w:hAnsi="Times New Roman"/>
          <w:sz w:val="20"/>
          <w:szCs w:val="20"/>
        </w:rPr>
        <w:t xml:space="preserve"> MAA, </w:t>
      </w:r>
      <w:proofErr w:type="spellStart"/>
      <w:r w:rsidRPr="00CD215E">
        <w:rPr>
          <w:rFonts w:ascii="Times New Roman" w:hAnsi="Times New Roman"/>
          <w:sz w:val="20"/>
          <w:szCs w:val="20"/>
        </w:rPr>
        <w:t>Rahman</w:t>
      </w:r>
      <w:proofErr w:type="spellEnd"/>
      <w:r w:rsidRPr="00CD215E">
        <w:rPr>
          <w:rFonts w:ascii="Times New Roman" w:hAnsi="Times New Roman"/>
          <w:sz w:val="20"/>
          <w:szCs w:val="20"/>
        </w:rPr>
        <w:t xml:space="preserve"> S, </w:t>
      </w:r>
      <w:proofErr w:type="spellStart"/>
      <w:r w:rsidRPr="00CD215E">
        <w:rPr>
          <w:rFonts w:ascii="Times New Roman" w:hAnsi="Times New Roman"/>
          <w:sz w:val="20"/>
          <w:szCs w:val="20"/>
        </w:rPr>
        <w:t>Shaban</w:t>
      </w:r>
      <w:proofErr w:type="spellEnd"/>
      <w:r w:rsidRPr="00CD215E">
        <w:rPr>
          <w:rFonts w:ascii="Times New Roman" w:hAnsi="Times New Roman"/>
          <w:sz w:val="20"/>
          <w:szCs w:val="20"/>
        </w:rPr>
        <w:t xml:space="preserve"> SF, Ahmed M. Biomedical research productivity in Bangladesh (1996-2010): A comparison with low-income economy. </w:t>
      </w:r>
      <w:r w:rsidRPr="00CD215E">
        <w:rPr>
          <w:rFonts w:ascii="Times New Roman" w:hAnsi="Times New Roman"/>
          <w:sz w:val="20"/>
          <w:szCs w:val="20"/>
          <w:lang w:val="en-US"/>
        </w:rPr>
        <w:t xml:space="preserve">South East Asia J Public Health </w:t>
      </w:r>
      <w:r w:rsidR="000760A1" w:rsidRPr="00CD215E">
        <w:rPr>
          <w:rFonts w:ascii="Times New Roman" w:hAnsi="Times New Roman"/>
          <w:color w:val="000000"/>
          <w:sz w:val="20"/>
          <w:szCs w:val="20"/>
        </w:rPr>
        <w:t>2012;2(1):70-</w:t>
      </w:r>
      <w:r w:rsidRPr="00CD215E">
        <w:rPr>
          <w:rFonts w:ascii="Times New Roman" w:hAnsi="Times New Roman"/>
          <w:color w:val="000000"/>
          <w:sz w:val="20"/>
          <w:szCs w:val="20"/>
        </w:rPr>
        <w:t>2.</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rPr>
          <w:rFonts w:ascii="Times New Roman" w:hAnsi="Times New Roman"/>
          <w:color w:val="000000"/>
          <w:sz w:val="20"/>
          <w:szCs w:val="20"/>
        </w:rPr>
      </w:pPr>
      <w:proofErr w:type="spellStart"/>
      <w:r w:rsidRPr="00CD215E">
        <w:rPr>
          <w:rFonts w:ascii="Times New Roman" w:hAnsi="Times New Roman"/>
          <w:sz w:val="20"/>
          <w:szCs w:val="20"/>
        </w:rPr>
        <w:t>Rahman</w:t>
      </w:r>
      <w:proofErr w:type="spellEnd"/>
      <w:r w:rsidRPr="00CD215E">
        <w:rPr>
          <w:rFonts w:ascii="Times New Roman" w:hAnsi="Times New Roman"/>
          <w:sz w:val="20"/>
          <w:szCs w:val="20"/>
        </w:rPr>
        <w:t xml:space="preserve"> M, </w:t>
      </w:r>
      <w:proofErr w:type="spellStart"/>
      <w:r w:rsidRPr="00CD215E">
        <w:rPr>
          <w:rFonts w:ascii="Times New Roman" w:hAnsi="Times New Roman"/>
          <w:sz w:val="20"/>
          <w:szCs w:val="20"/>
        </w:rPr>
        <w:t>Laz</w:t>
      </w:r>
      <w:proofErr w:type="spellEnd"/>
      <w:r w:rsidRPr="00CD215E">
        <w:rPr>
          <w:rFonts w:ascii="Times New Roman" w:hAnsi="Times New Roman"/>
          <w:sz w:val="20"/>
          <w:szCs w:val="20"/>
        </w:rPr>
        <w:t xml:space="preserve"> TH, Fukui T. Health related research in Bangladesh: MEDLINE based analysis. </w:t>
      </w:r>
      <w:r w:rsidRPr="00CD215E">
        <w:rPr>
          <w:rFonts w:ascii="Times New Roman" w:hAnsi="Times New Roman"/>
          <w:iCs/>
          <w:sz w:val="20"/>
          <w:szCs w:val="20"/>
        </w:rPr>
        <w:t xml:space="preserve">J </w:t>
      </w:r>
      <w:proofErr w:type="spellStart"/>
      <w:r w:rsidRPr="00CD215E">
        <w:rPr>
          <w:rFonts w:ascii="Times New Roman" w:hAnsi="Times New Roman"/>
          <w:iCs/>
          <w:sz w:val="20"/>
          <w:szCs w:val="20"/>
        </w:rPr>
        <w:t>Epidemiol</w:t>
      </w:r>
      <w:proofErr w:type="spellEnd"/>
      <w:r w:rsidRPr="00CD215E">
        <w:rPr>
          <w:rFonts w:ascii="Times New Roman" w:hAnsi="Times New Roman"/>
          <w:iCs/>
          <w:sz w:val="20"/>
          <w:szCs w:val="20"/>
        </w:rPr>
        <w:t xml:space="preserve"> </w:t>
      </w:r>
      <w:r w:rsidRPr="00CD215E">
        <w:rPr>
          <w:rFonts w:ascii="Times New Roman" w:hAnsi="Times New Roman"/>
          <w:sz w:val="20"/>
          <w:szCs w:val="20"/>
        </w:rPr>
        <w:t xml:space="preserve">1999; </w:t>
      </w:r>
      <w:r w:rsidRPr="00CD215E">
        <w:rPr>
          <w:rFonts w:ascii="Times New Roman" w:hAnsi="Times New Roman"/>
          <w:b/>
          <w:bCs/>
          <w:sz w:val="20"/>
          <w:szCs w:val="20"/>
        </w:rPr>
        <w:t>9</w:t>
      </w:r>
      <w:r w:rsidRPr="00CD215E">
        <w:rPr>
          <w:rFonts w:ascii="Times New Roman" w:hAnsi="Times New Roman"/>
          <w:sz w:val="20"/>
          <w:szCs w:val="20"/>
        </w:rPr>
        <w:t>:235-9.</w:t>
      </w:r>
    </w:p>
    <w:p w:rsidR="002D5F2A" w:rsidRPr="00CD215E" w:rsidRDefault="002D5F2A" w:rsidP="00CD215E">
      <w:pPr>
        <w:pStyle w:val="ListParagraph"/>
        <w:numPr>
          <w:ilvl w:val="0"/>
          <w:numId w:val="5"/>
        </w:numPr>
        <w:autoSpaceDE w:val="0"/>
        <w:autoSpaceDN w:val="0"/>
        <w:adjustRightInd w:val="0"/>
        <w:snapToGrid w:val="0"/>
        <w:spacing w:after="0" w:line="240" w:lineRule="auto"/>
        <w:ind w:left="426" w:hanging="426"/>
        <w:jc w:val="both"/>
        <w:rPr>
          <w:rFonts w:ascii="Times New Roman" w:hAnsi="Times New Roman"/>
          <w:color w:val="000000"/>
          <w:sz w:val="20"/>
          <w:szCs w:val="20"/>
        </w:rPr>
      </w:pPr>
      <w:r w:rsidRPr="00CD215E">
        <w:rPr>
          <w:rFonts w:ascii="Times New Roman" w:hAnsi="Times New Roman"/>
          <w:color w:val="1F1A17"/>
          <w:sz w:val="20"/>
          <w:szCs w:val="20"/>
        </w:rPr>
        <w:t>Planning Commission, Government of the People's public of Bangladesh. The Millennium Development Goals. Bangladesh Progress Report 2009. Dhaka: General Economics Division, 2009.</w:t>
      </w:r>
    </w:p>
    <w:p w:rsidR="002D5F2A" w:rsidRPr="00CD215E" w:rsidRDefault="002D5F2A" w:rsidP="00CD215E">
      <w:pPr>
        <w:pStyle w:val="Default"/>
        <w:numPr>
          <w:ilvl w:val="0"/>
          <w:numId w:val="5"/>
        </w:numPr>
        <w:snapToGrid w:val="0"/>
        <w:ind w:left="426" w:hanging="426"/>
        <w:jc w:val="both"/>
        <w:rPr>
          <w:rFonts w:ascii="Times New Roman" w:eastAsia="AGaramondPro-Regular" w:hAnsi="Times New Roman" w:cs="Times New Roman"/>
          <w:color w:val="auto"/>
          <w:sz w:val="20"/>
          <w:szCs w:val="20"/>
        </w:rPr>
      </w:pPr>
      <w:r w:rsidRPr="00CD215E">
        <w:rPr>
          <w:rFonts w:ascii="Times New Roman" w:hAnsi="Times New Roman" w:cs="Times New Roman"/>
          <w:sz w:val="20"/>
          <w:szCs w:val="20"/>
          <w:lang w:val="en-US"/>
        </w:rPr>
        <w:t xml:space="preserve">Ahmed SMM, </w:t>
      </w:r>
      <w:proofErr w:type="spellStart"/>
      <w:r w:rsidRPr="00CD215E">
        <w:rPr>
          <w:rFonts w:ascii="Times New Roman" w:hAnsi="Times New Roman" w:cs="Times New Roman"/>
          <w:sz w:val="20"/>
          <w:szCs w:val="20"/>
          <w:lang w:val="en-US"/>
        </w:rPr>
        <w:t>Majumdar</w:t>
      </w:r>
      <w:proofErr w:type="spellEnd"/>
      <w:r w:rsidRPr="00CD215E">
        <w:rPr>
          <w:rFonts w:ascii="Times New Roman" w:hAnsi="Times New Roman" w:cs="Times New Roman"/>
          <w:sz w:val="20"/>
          <w:szCs w:val="20"/>
          <w:lang w:val="en-US"/>
        </w:rPr>
        <w:t xml:space="preserve"> MAA, </w:t>
      </w:r>
      <w:proofErr w:type="spellStart"/>
      <w:r w:rsidRPr="00CD215E">
        <w:rPr>
          <w:rFonts w:ascii="Times New Roman" w:hAnsi="Times New Roman" w:cs="Times New Roman"/>
          <w:sz w:val="20"/>
          <w:szCs w:val="20"/>
          <w:lang w:val="en-US"/>
        </w:rPr>
        <w:t>Karim</w:t>
      </w:r>
      <w:proofErr w:type="spellEnd"/>
      <w:r w:rsidRPr="00CD215E">
        <w:rPr>
          <w:rFonts w:ascii="Times New Roman" w:hAnsi="Times New Roman" w:cs="Times New Roman"/>
          <w:sz w:val="20"/>
          <w:szCs w:val="20"/>
          <w:lang w:val="en-US"/>
        </w:rPr>
        <w:t xml:space="preserve"> R, </w:t>
      </w:r>
      <w:proofErr w:type="spellStart"/>
      <w:r w:rsidRPr="00CD215E">
        <w:rPr>
          <w:rFonts w:ascii="Times New Roman" w:hAnsi="Times New Roman" w:cs="Times New Roman"/>
          <w:sz w:val="20"/>
          <w:szCs w:val="20"/>
          <w:lang w:val="en-US"/>
        </w:rPr>
        <w:t>Rahman</w:t>
      </w:r>
      <w:proofErr w:type="spellEnd"/>
      <w:r w:rsidRPr="00CD215E">
        <w:rPr>
          <w:rFonts w:ascii="Times New Roman" w:hAnsi="Times New Roman" w:cs="Times New Roman"/>
          <w:sz w:val="20"/>
          <w:szCs w:val="20"/>
          <w:lang w:val="en-US"/>
        </w:rPr>
        <w:t xml:space="preserve"> S, </w:t>
      </w:r>
      <w:proofErr w:type="spellStart"/>
      <w:r w:rsidRPr="00CD215E">
        <w:rPr>
          <w:rFonts w:ascii="Times New Roman" w:hAnsi="Times New Roman" w:cs="Times New Roman"/>
          <w:sz w:val="20"/>
          <w:szCs w:val="20"/>
          <w:lang w:val="en-US"/>
        </w:rPr>
        <w:t>Rahman</w:t>
      </w:r>
      <w:proofErr w:type="spellEnd"/>
      <w:r w:rsidRPr="00CD215E">
        <w:rPr>
          <w:rFonts w:ascii="Times New Roman" w:hAnsi="Times New Roman" w:cs="Times New Roman"/>
          <w:sz w:val="20"/>
          <w:szCs w:val="20"/>
          <w:lang w:val="en-US"/>
        </w:rPr>
        <w:t xml:space="preserve"> N. Career choices in preventive and social medicine and other non-clinical </w:t>
      </w:r>
      <w:proofErr w:type="spellStart"/>
      <w:r w:rsidRPr="00CD215E">
        <w:rPr>
          <w:rFonts w:ascii="Times New Roman" w:hAnsi="Times New Roman" w:cs="Times New Roman"/>
          <w:sz w:val="20"/>
          <w:szCs w:val="20"/>
          <w:lang w:val="en-US"/>
        </w:rPr>
        <w:t>specialities</w:t>
      </w:r>
      <w:proofErr w:type="spellEnd"/>
      <w:r w:rsidRPr="00CD215E">
        <w:rPr>
          <w:rFonts w:ascii="Times New Roman" w:hAnsi="Times New Roman" w:cs="Times New Roman"/>
          <w:sz w:val="20"/>
          <w:szCs w:val="20"/>
          <w:lang w:val="en-US"/>
        </w:rPr>
        <w:t xml:space="preserve"> among medical </w:t>
      </w:r>
      <w:r w:rsidRPr="00CD215E">
        <w:rPr>
          <w:rFonts w:ascii="Times New Roman" w:hAnsi="Times New Roman" w:cs="Times New Roman"/>
          <w:color w:val="auto"/>
          <w:sz w:val="20"/>
          <w:szCs w:val="20"/>
          <w:lang w:val="en-US"/>
        </w:rPr>
        <w:t xml:space="preserve">students: Bangladesh perspective. </w:t>
      </w:r>
      <w:r w:rsidRPr="00CD215E">
        <w:rPr>
          <w:rFonts w:ascii="Times New Roman" w:hAnsi="Times New Roman" w:cs="Times New Roman"/>
          <w:sz w:val="20"/>
          <w:szCs w:val="20"/>
          <w:lang w:val="en-US"/>
        </w:rPr>
        <w:t>South East Asia J Public Health</w:t>
      </w:r>
      <w:r w:rsidRPr="00CD215E">
        <w:rPr>
          <w:rFonts w:ascii="Times New Roman" w:hAnsi="Times New Roman" w:cs="Times New Roman"/>
          <w:color w:val="auto"/>
          <w:sz w:val="20"/>
          <w:szCs w:val="20"/>
          <w:lang w:val="en-US"/>
        </w:rPr>
        <w:t xml:space="preserve"> 2011;1</w:t>
      </w:r>
      <w:r w:rsidR="000760A1" w:rsidRPr="00CD215E">
        <w:rPr>
          <w:rFonts w:ascii="Times New Roman" w:hAnsi="Times New Roman" w:cs="Times New Roman"/>
          <w:color w:val="auto"/>
          <w:sz w:val="20"/>
          <w:szCs w:val="20"/>
          <w:lang w:val="en-US"/>
        </w:rPr>
        <w:t>:65-</w:t>
      </w:r>
      <w:r w:rsidRPr="00CD215E">
        <w:rPr>
          <w:rFonts w:ascii="Times New Roman" w:hAnsi="Times New Roman" w:cs="Times New Roman"/>
          <w:color w:val="auto"/>
          <w:sz w:val="20"/>
          <w:szCs w:val="20"/>
          <w:lang w:val="en-US"/>
        </w:rPr>
        <w:t>7.</w:t>
      </w:r>
    </w:p>
    <w:p w:rsidR="002D5F2A" w:rsidRPr="00CD215E" w:rsidRDefault="002D5F2A" w:rsidP="00CD215E">
      <w:pPr>
        <w:pStyle w:val="Default"/>
        <w:numPr>
          <w:ilvl w:val="0"/>
          <w:numId w:val="5"/>
        </w:numPr>
        <w:snapToGrid w:val="0"/>
        <w:ind w:left="426" w:hanging="426"/>
        <w:jc w:val="both"/>
        <w:rPr>
          <w:rFonts w:ascii="Times New Roman" w:eastAsia="AGaramondPro-Regular" w:hAnsi="Times New Roman" w:cs="Times New Roman"/>
          <w:color w:val="auto"/>
          <w:sz w:val="20"/>
          <w:szCs w:val="20"/>
        </w:rPr>
      </w:pPr>
      <w:r w:rsidRPr="00CD215E">
        <w:rPr>
          <w:rFonts w:ascii="Times New Roman" w:hAnsi="Times New Roman" w:cs="Times New Roman"/>
          <w:sz w:val="20"/>
          <w:szCs w:val="20"/>
        </w:rPr>
        <w:t xml:space="preserve">Centre for Policy Dialogue. </w:t>
      </w:r>
      <w:r w:rsidRPr="00CD215E">
        <w:rPr>
          <w:rFonts w:ascii="Times New Roman" w:hAnsi="Times New Roman" w:cs="Times New Roman"/>
          <w:bCs/>
          <w:sz w:val="20"/>
          <w:szCs w:val="20"/>
        </w:rPr>
        <w:t>Containing Population Pressure for Accelerating</w:t>
      </w:r>
      <w:r w:rsidRPr="00CD215E">
        <w:rPr>
          <w:rFonts w:ascii="Times New Roman" w:eastAsia="AGaramondPro-Regular" w:hAnsi="Times New Roman" w:cs="Times New Roman"/>
          <w:color w:val="auto"/>
          <w:sz w:val="20"/>
          <w:szCs w:val="20"/>
        </w:rPr>
        <w:t xml:space="preserve"> </w:t>
      </w:r>
      <w:r w:rsidRPr="00CD215E">
        <w:rPr>
          <w:rFonts w:ascii="Times New Roman" w:hAnsi="Times New Roman" w:cs="Times New Roman"/>
          <w:bCs/>
          <w:sz w:val="20"/>
          <w:szCs w:val="20"/>
        </w:rPr>
        <w:t>Poverty Reduction in Bangladesh.</w:t>
      </w:r>
      <w:r w:rsidRPr="00CD215E">
        <w:rPr>
          <w:rFonts w:ascii="Times New Roman" w:eastAsia="AGaramondPro-Regular" w:hAnsi="Times New Roman" w:cs="Times New Roman"/>
          <w:color w:val="auto"/>
          <w:sz w:val="20"/>
          <w:szCs w:val="20"/>
        </w:rPr>
        <w:t xml:space="preserve"> </w:t>
      </w:r>
      <w:r w:rsidRPr="00CD215E">
        <w:rPr>
          <w:rFonts w:ascii="Times New Roman" w:hAnsi="Times New Roman" w:cs="Times New Roman"/>
          <w:iCs/>
          <w:sz w:val="20"/>
          <w:szCs w:val="20"/>
        </w:rPr>
        <w:t>CPD-UNFPA Paper Series 25. Dhaka: CPD, 2003.</w:t>
      </w:r>
    </w:p>
    <w:p w:rsidR="002F20CD" w:rsidRPr="00CD215E" w:rsidRDefault="002F20CD" w:rsidP="00CD215E">
      <w:pPr>
        <w:snapToGrid w:val="0"/>
        <w:jc w:val="both"/>
        <w:rPr>
          <w:sz w:val="20"/>
          <w:szCs w:val="20"/>
        </w:rPr>
        <w:sectPr w:rsidR="002F20CD" w:rsidRPr="00CD215E" w:rsidSect="00C00102">
          <w:footnotePr>
            <w:pos w:val="beneathText"/>
          </w:footnotePr>
          <w:type w:val="continuous"/>
          <w:pgSz w:w="12240" w:h="15840" w:code="1"/>
          <w:pgMar w:top="1440" w:right="1440" w:bottom="1440" w:left="1440" w:header="720" w:footer="720" w:gutter="0"/>
          <w:cols w:num="2" w:space="720"/>
          <w:docGrid w:linePitch="360"/>
        </w:sectPr>
      </w:pPr>
    </w:p>
    <w:p w:rsidR="004D0467" w:rsidRPr="00CD215E" w:rsidRDefault="004D0467" w:rsidP="00CD215E">
      <w:pPr>
        <w:snapToGrid w:val="0"/>
        <w:jc w:val="both"/>
        <w:rPr>
          <w:sz w:val="20"/>
          <w:szCs w:val="20"/>
        </w:rPr>
      </w:pPr>
    </w:p>
    <w:p w:rsidR="00340515" w:rsidRPr="00CD215E" w:rsidRDefault="00340515" w:rsidP="00CD215E">
      <w:pPr>
        <w:snapToGrid w:val="0"/>
        <w:jc w:val="both"/>
        <w:rPr>
          <w:sz w:val="20"/>
          <w:szCs w:val="20"/>
          <w:lang w:eastAsia="zh-CN"/>
        </w:rPr>
      </w:pPr>
    </w:p>
    <w:p w:rsidR="00DC229F" w:rsidRPr="00CD215E" w:rsidRDefault="00DC229F" w:rsidP="00CD215E">
      <w:pPr>
        <w:snapToGrid w:val="0"/>
        <w:jc w:val="both"/>
        <w:rPr>
          <w:sz w:val="20"/>
          <w:szCs w:val="20"/>
        </w:rPr>
      </w:pPr>
    </w:p>
    <w:p w:rsidR="003C4738" w:rsidRPr="00CD215E" w:rsidRDefault="00DC229F" w:rsidP="00CD215E">
      <w:pPr>
        <w:snapToGrid w:val="0"/>
        <w:jc w:val="both"/>
        <w:rPr>
          <w:sz w:val="20"/>
          <w:szCs w:val="20"/>
        </w:rPr>
      </w:pPr>
      <w:r w:rsidRPr="00CD215E">
        <w:rPr>
          <w:sz w:val="20"/>
          <w:szCs w:val="20"/>
        </w:rPr>
        <w:t>10/1</w:t>
      </w:r>
      <w:r w:rsidR="00CD215E">
        <w:rPr>
          <w:rFonts w:hint="eastAsia"/>
          <w:sz w:val="20"/>
          <w:szCs w:val="20"/>
          <w:lang w:eastAsia="zh-CN"/>
        </w:rPr>
        <w:t>8</w:t>
      </w:r>
      <w:r w:rsidRPr="00CD215E">
        <w:rPr>
          <w:sz w:val="20"/>
          <w:szCs w:val="20"/>
        </w:rPr>
        <w:t>/2014</w:t>
      </w:r>
    </w:p>
    <w:sectPr w:rsidR="003C4738" w:rsidRPr="00CD215E" w:rsidSect="00C0010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69A" w:rsidRDefault="0028569A">
      <w:r>
        <w:separator/>
      </w:r>
    </w:p>
  </w:endnote>
  <w:endnote w:type="continuationSeparator" w:id="0">
    <w:p w:rsidR="0028569A" w:rsidRDefault="00285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NeueLTStd-MdCn">
    <w:altName w:val="MS Gothic"/>
    <w:panose1 w:val="00000000000000000000"/>
    <w:charset w:val="80"/>
    <w:family w:val="swiss"/>
    <w:notTrueType/>
    <w:pitch w:val="default"/>
    <w:sig w:usb0="00000001" w:usb1="08070000" w:usb2="00000010" w:usb3="00000000" w:csb0="00020000" w:csb1="00000000"/>
  </w:font>
  <w:font w:name="HelveticaNeueLTStd-Lt">
    <w:altName w:val="MS Gothic"/>
    <w:panose1 w:val="00000000000000000000"/>
    <w:charset w:val="80"/>
    <w:family w:val="swiss"/>
    <w:notTrueType/>
    <w:pitch w:val="default"/>
    <w:sig w:usb0="00000001" w:usb1="08070000" w:usb2="00000010" w:usb3="00000000" w:csb0="00020000"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E46FF"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C229F" w:rsidRDefault="00DE46FF" w:rsidP="00DC229F">
    <w:pPr>
      <w:jc w:val="center"/>
      <w:rPr>
        <w:sz w:val="20"/>
      </w:rPr>
    </w:pPr>
    <w:r w:rsidRPr="00DC229F">
      <w:rPr>
        <w:sz w:val="20"/>
      </w:rPr>
      <w:fldChar w:fldCharType="begin"/>
    </w:r>
    <w:r w:rsidR="00DC229F" w:rsidRPr="00DC229F">
      <w:rPr>
        <w:sz w:val="20"/>
      </w:rPr>
      <w:instrText xml:space="preserve"> page </w:instrText>
    </w:r>
    <w:r w:rsidRPr="00DC229F">
      <w:rPr>
        <w:sz w:val="20"/>
      </w:rPr>
      <w:fldChar w:fldCharType="separate"/>
    </w:r>
    <w:r w:rsidR="00A71D4B">
      <w:rPr>
        <w:noProof/>
        <w:sz w:val="20"/>
      </w:rPr>
      <w:t>67</w:t>
    </w:r>
    <w:r w:rsidRPr="00DC229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69A" w:rsidRDefault="0028569A">
      <w:r>
        <w:separator/>
      </w:r>
    </w:p>
  </w:footnote>
  <w:footnote w:type="continuationSeparator" w:id="0">
    <w:p w:rsidR="0028569A" w:rsidRDefault="00285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9F" w:rsidRPr="00DC229F" w:rsidRDefault="00DC229F" w:rsidP="00DC229F">
    <w:pPr>
      <w:pBdr>
        <w:bottom w:val="thinThickMediumGap" w:sz="12" w:space="1" w:color="auto"/>
      </w:pBdr>
      <w:tabs>
        <w:tab w:val="left" w:pos="851"/>
        <w:tab w:val="right" w:pos="8364"/>
      </w:tabs>
      <w:adjustRightInd w:val="0"/>
      <w:snapToGrid w:val="0"/>
      <w:jc w:val="both"/>
      <w:rPr>
        <w:iCs/>
        <w:sz w:val="20"/>
        <w:szCs w:val="20"/>
      </w:rPr>
    </w:pPr>
    <w:r w:rsidRPr="00DC229F">
      <w:rPr>
        <w:rFonts w:hint="eastAsia"/>
        <w:sz w:val="20"/>
        <w:szCs w:val="20"/>
      </w:rPr>
      <w:tab/>
    </w:r>
    <w:r w:rsidRPr="00DC229F">
      <w:rPr>
        <w:sz w:val="20"/>
        <w:szCs w:val="20"/>
      </w:rPr>
      <w:t>New York Science Journal 201</w:t>
    </w:r>
    <w:r w:rsidRPr="00DC229F">
      <w:rPr>
        <w:rFonts w:hint="eastAsia"/>
        <w:sz w:val="20"/>
        <w:szCs w:val="20"/>
      </w:rPr>
      <w:t>4</w:t>
    </w:r>
    <w:r w:rsidRPr="00DC229F">
      <w:rPr>
        <w:sz w:val="20"/>
        <w:szCs w:val="20"/>
      </w:rPr>
      <w:t>;</w:t>
    </w:r>
    <w:r w:rsidRPr="00DC229F">
      <w:rPr>
        <w:rFonts w:hint="eastAsia"/>
        <w:sz w:val="20"/>
        <w:szCs w:val="20"/>
      </w:rPr>
      <w:t>7</w:t>
    </w:r>
    <w:r w:rsidRPr="00DC229F">
      <w:rPr>
        <w:sz w:val="20"/>
        <w:szCs w:val="20"/>
      </w:rPr>
      <w:t>(</w:t>
    </w:r>
    <w:r w:rsidRPr="00DC229F">
      <w:rPr>
        <w:rFonts w:hint="eastAsia"/>
        <w:sz w:val="20"/>
        <w:szCs w:val="20"/>
      </w:rPr>
      <w:t>10</w:t>
    </w:r>
    <w:r w:rsidRPr="00DC229F">
      <w:rPr>
        <w:sz w:val="20"/>
        <w:szCs w:val="20"/>
      </w:rPr>
      <w:t>)</w:t>
    </w:r>
    <w:r w:rsidRPr="00DC229F">
      <w:rPr>
        <w:iCs/>
        <w:sz w:val="20"/>
        <w:szCs w:val="20"/>
      </w:rPr>
      <w:t xml:space="preserve">     </w:t>
    </w:r>
    <w:r w:rsidRPr="00DC229F">
      <w:rPr>
        <w:rFonts w:hint="eastAsia"/>
        <w:iCs/>
        <w:sz w:val="20"/>
        <w:szCs w:val="20"/>
      </w:rPr>
      <w:tab/>
    </w:r>
    <w:r w:rsidRPr="00DC229F">
      <w:rPr>
        <w:iCs/>
        <w:sz w:val="20"/>
        <w:szCs w:val="20"/>
      </w:rPr>
      <w:t xml:space="preserve"> </w:t>
    </w:r>
    <w:r w:rsidRPr="00DC229F">
      <w:rPr>
        <w:rFonts w:hint="eastAsia"/>
        <w:iCs/>
        <w:sz w:val="20"/>
        <w:szCs w:val="20"/>
      </w:rPr>
      <w:t xml:space="preserve"> </w:t>
    </w:r>
    <w:r w:rsidRPr="00DC229F">
      <w:rPr>
        <w:iCs/>
        <w:sz w:val="20"/>
        <w:szCs w:val="20"/>
      </w:rPr>
      <w:t xml:space="preserve">   </w:t>
    </w:r>
    <w:hyperlink r:id="rId1" w:history="1">
      <w:r w:rsidRPr="00DC229F">
        <w:rPr>
          <w:rStyle w:val="Hyperlink"/>
          <w:sz w:val="20"/>
          <w:szCs w:val="20"/>
        </w:rPr>
        <w:t>http://www.sciencepub.net/newyork</w:t>
      </w:r>
    </w:hyperlink>
  </w:p>
  <w:p w:rsidR="00DC229F" w:rsidRPr="00DC229F" w:rsidRDefault="00DC229F" w:rsidP="00DC229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41840C4"/>
    <w:multiLevelType w:val="hybridMultilevel"/>
    <w:tmpl w:val="4A76F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760A1"/>
    <w:rsid w:val="00080CE9"/>
    <w:rsid w:val="00090A06"/>
    <w:rsid w:val="000978CC"/>
    <w:rsid w:val="000C533D"/>
    <w:rsid w:val="001144BB"/>
    <w:rsid w:val="00121618"/>
    <w:rsid w:val="001311B2"/>
    <w:rsid w:val="00177C9A"/>
    <w:rsid w:val="001811AA"/>
    <w:rsid w:val="001817C7"/>
    <w:rsid w:val="001943D2"/>
    <w:rsid w:val="001B41B8"/>
    <w:rsid w:val="001B5FB7"/>
    <w:rsid w:val="00281669"/>
    <w:rsid w:val="0028569A"/>
    <w:rsid w:val="002D5F2A"/>
    <w:rsid w:val="002F20CD"/>
    <w:rsid w:val="00322FAB"/>
    <w:rsid w:val="00340515"/>
    <w:rsid w:val="00345581"/>
    <w:rsid w:val="00370978"/>
    <w:rsid w:val="00381BC2"/>
    <w:rsid w:val="00381DD8"/>
    <w:rsid w:val="003834F3"/>
    <w:rsid w:val="003901CD"/>
    <w:rsid w:val="003C4738"/>
    <w:rsid w:val="00441468"/>
    <w:rsid w:val="00456753"/>
    <w:rsid w:val="00464A43"/>
    <w:rsid w:val="00467A9D"/>
    <w:rsid w:val="00471E57"/>
    <w:rsid w:val="0049143E"/>
    <w:rsid w:val="004A6C92"/>
    <w:rsid w:val="004B1C16"/>
    <w:rsid w:val="004D0467"/>
    <w:rsid w:val="00507331"/>
    <w:rsid w:val="00593132"/>
    <w:rsid w:val="005B0230"/>
    <w:rsid w:val="005E2C0E"/>
    <w:rsid w:val="005F5E04"/>
    <w:rsid w:val="00606CD7"/>
    <w:rsid w:val="00630DD3"/>
    <w:rsid w:val="0065209A"/>
    <w:rsid w:val="006B1843"/>
    <w:rsid w:val="006D5C2E"/>
    <w:rsid w:val="006E5F03"/>
    <w:rsid w:val="006E6ACB"/>
    <w:rsid w:val="006F1706"/>
    <w:rsid w:val="00753663"/>
    <w:rsid w:val="00757302"/>
    <w:rsid w:val="007726DB"/>
    <w:rsid w:val="00780998"/>
    <w:rsid w:val="007A5CDF"/>
    <w:rsid w:val="007D746F"/>
    <w:rsid w:val="00814FA7"/>
    <w:rsid w:val="008A20AC"/>
    <w:rsid w:val="008B6E2D"/>
    <w:rsid w:val="008C37DB"/>
    <w:rsid w:val="008F0C29"/>
    <w:rsid w:val="009058F9"/>
    <w:rsid w:val="0091208A"/>
    <w:rsid w:val="00914558"/>
    <w:rsid w:val="009459B3"/>
    <w:rsid w:val="00952EB8"/>
    <w:rsid w:val="009655C9"/>
    <w:rsid w:val="00A03677"/>
    <w:rsid w:val="00A3476D"/>
    <w:rsid w:val="00A4578E"/>
    <w:rsid w:val="00A50376"/>
    <w:rsid w:val="00A70491"/>
    <w:rsid w:val="00A71D4B"/>
    <w:rsid w:val="00B1419E"/>
    <w:rsid w:val="00B3167C"/>
    <w:rsid w:val="00B4448D"/>
    <w:rsid w:val="00B54CDA"/>
    <w:rsid w:val="00B60E8D"/>
    <w:rsid w:val="00B95E31"/>
    <w:rsid w:val="00BB2F19"/>
    <w:rsid w:val="00BD2A8D"/>
    <w:rsid w:val="00BF6579"/>
    <w:rsid w:val="00BF79C7"/>
    <w:rsid w:val="00C00102"/>
    <w:rsid w:val="00C25821"/>
    <w:rsid w:val="00C307A8"/>
    <w:rsid w:val="00C92ECA"/>
    <w:rsid w:val="00CA2EB6"/>
    <w:rsid w:val="00CB60DF"/>
    <w:rsid w:val="00CD215E"/>
    <w:rsid w:val="00CE7B2F"/>
    <w:rsid w:val="00D20430"/>
    <w:rsid w:val="00D3777A"/>
    <w:rsid w:val="00D724FB"/>
    <w:rsid w:val="00DA4530"/>
    <w:rsid w:val="00DA5976"/>
    <w:rsid w:val="00DC229F"/>
    <w:rsid w:val="00DD3FEB"/>
    <w:rsid w:val="00DE46FF"/>
    <w:rsid w:val="00DF7353"/>
    <w:rsid w:val="00E10B49"/>
    <w:rsid w:val="00E4459C"/>
    <w:rsid w:val="00E910CC"/>
    <w:rsid w:val="00ED4441"/>
    <w:rsid w:val="00ED59FE"/>
    <w:rsid w:val="00F10099"/>
    <w:rsid w:val="00F13CC8"/>
    <w:rsid w:val="00F26834"/>
    <w:rsid w:val="00F607F2"/>
    <w:rsid w:val="00F87C7E"/>
    <w:rsid w:val="00FB4D6A"/>
    <w:rsid w:val="00FB5B6A"/>
    <w:rsid w:val="00FC4906"/>
    <w:rsid w:val="00FE6DFB"/>
    <w:rsid w:val="00FF2A3A"/>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10B49"/>
    <w:pPr>
      <w:keepNext/>
      <w:tabs>
        <w:tab w:val="num" w:pos="0"/>
      </w:tabs>
      <w:outlineLvl w:val="0"/>
    </w:pPr>
    <w:rPr>
      <w:b/>
      <w:bCs/>
      <w:sz w:val="32"/>
    </w:rPr>
  </w:style>
  <w:style w:type="paragraph" w:styleId="Heading2">
    <w:name w:val="heading 2"/>
    <w:basedOn w:val="Normal"/>
    <w:next w:val="Normal"/>
    <w:qFormat/>
    <w:rsid w:val="00E10B49"/>
    <w:pPr>
      <w:keepNext/>
      <w:tabs>
        <w:tab w:val="num" w:pos="0"/>
      </w:tabs>
      <w:jc w:val="both"/>
      <w:outlineLvl w:val="1"/>
    </w:pPr>
    <w:rPr>
      <w:b/>
      <w:sz w:val="28"/>
    </w:rPr>
  </w:style>
  <w:style w:type="paragraph" w:styleId="Heading3">
    <w:name w:val="heading 3"/>
    <w:basedOn w:val="Normal"/>
    <w:next w:val="Normal"/>
    <w:qFormat/>
    <w:rsid w:val="00E10B49"/>
    <w:pPr>
      <w:keepNext/>
      <w:tabs>
        <w:tab w:val="num" w:pos="0"/>
      </w:tabs>
      <w:spacing w:line="360" w:lineRule="auto"/>
      <w:jc w:val="both"/>
      <w:outlineLvl w:val="2"/>
    </w:pPr>
    <w:rPr>
      <w:b/>
      <w:bCs/>
    </w:rPr>
  </w:style>
  <w:style w:type="paragraph" w:styleId="Heading6">
    <w:name w:val="heading 6"/>
    <w:basedOn w:val="Normal"/>
    <w:next w:val="Normal"/>
    <w:qFormat/>
    <w:rsid w:val="00E10B4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10B49"/>
  </w:style>
  <w:style w:type="character" w:customStyle="1" w:styleId="WW-Absatz-Standardschriftart">
    <w:name w:val="WW-Absatz-Standardschriftart"/>
    <w:rsid w:val="00E10B49"/>
  </w:style>
  <w:style w:type="character" w:customStyle="1" w:styleId="WW-Absatz-Standardschriftart1">
    <w:name w:val="WW-Absatz-Standardschriftart1"/>
    <w:rsid w:val="00E10B49"/>
  </w:style>
  <w:style w:type="character" w:customStyle="1" w:styleId="WW-Absatz-Standardschriftart11">
    <w:name w:val="WW-Absatz-Standardschriftart11"/>
    <w:rsid w:val="00E10B49"/>
  </w:style>
  <w:style w:type="character" w:customStyle="1" w:styleId="WW-Absatz-Standardschriftart111">
    <w:name w:val="WW-Absatz-Standardschriftart111"/>
    <w:rsid w:val="00E10B49"/>
  </w:style>
  <w:style w:type="character" w:customStyle="1" w:styleId="WW-Absatz-Standardschriftart1111">
    <w:name w:val="WW-Absatz-Standardschriftart1111"/>
    <w:rsid w:val="00E10B49"/>
  </w:style>
  <w:style w:type="character" w:customStyle="1" w:styleId="WW-Absatz-Standardschriftart11111">
    <w:name w:val="WW-Absatz-Standardschriftart11111"/>
    <w:rsid w:val="00E10B49"/>
  </w:style>
  <w:style w:type="character" w:customStyle="1" w:styleId="WW-Absatz-Standardschriftart111111">
    <w:name w:val="WW-Absatz-Standardschriftart111111"/>
    <w:rsid w:val="00E10B49"/>
  </w:style>
  <w:style w:type="character" w:customStyle="1" w:styleId="WW-Absatz-Standardschriftart1111111">
    <w:name w:val="WW-Absatz-Standardschriftart1111111"/>
    <w:rsid w:val="00E10B49"/>
  </w:style>
  <w:style w:type="character" w:customStyle="1" w:styleId="WW-Absatz-Standardschriftart11111111">
    <w:name w:val="WW-Absatz-Standardschriftart11111111"/>
    <w:rsid w:val="00E10B49"/>
  </w:style>
  <w:style w:type="character" w:customStyle="1" w:styleId="WW-Absatz-Standardschriftart111111111">
    <w:name w:val="WW-Absatz-Standardschriftart111111111"/>
    <w:rsid w:val="00E10B49"/>
  </w:style>
  <w:style w:type="character" w:customStyle="1" w:styleId="WW-Absatz-Standardschriftart1111111111">
    <w:name w:val="WW-Absatz-Standardschriftart1111111111"/>
    <w:rsid w:val="00E10B49"/>
  </w:style>
  <w:style w:type="character" w:customStyle="1" w:styleId="WW-Absatz-Standardschriftart11111111111">
    <w:name w:val="WW-Absatz-Standardschriftart11111111111"/>
    <w:rsid w:val="00E10B49"/>
  </w:style>
  <w:style w:type="character" w:customStyle="1" w:styleId="WW-Absatz-Standardschriftart111111111111">
    <w:name w:val="WW-Absatz-Standardschriftart111111111111"/>
    <w:rsid w:val="00E10B49"/>
  </w:style>
  <w:style w:type="character" w:customStyle="1" w:styleId="WW-Absatz-Standardschriftart1111111111111">
    <w:name w:val="WW-Absatz-Standardschriftart1111111111111"/>
    <w:rsid w:val="00E10B49"/>
  </w:style>
  <w:style w:type="character" w:customStyle="1" w:styleId="WW-Absatz-Standardschriftart11111111111111">
    <w:name w:val="WW-Absatz-Standardschriftart11111111111111"/>
    <w:rsid w:val="00E10B49"/>
  </w:style>
  <w:style w:type="character" w:customStyle="1" w:styleId="WW-Absatz-Standardschriftart111111111111111">
    <w:name w:val="WW-Absatz-Standardschriftart111111111111111"/>
    <w:rsid w:val="00E10B49"/>
  </w:style>
  <w:style w:type="character" w:customStyle="1" w:styleId="WW-Absatz-Standardschriftart1111111111111111">
    <w:name w:val="WW-Absatz-Standardschriftart1111111111111111"/>
    <w:rsid w:val="00E10B49"/>
  </w:style>
  <w:style w:type="character" w:customStyle="1" w:styleId="WW8Num1z0">
    <w:name w:val="WW8Num1z0"/>
    <w:rsid w:val="00E10B49"/>
    <w:rPr>
      <w:rFonts w:ascii="Symbol" w:eastAsia="Times New Roman" w:hAnsi="Symbol" w:cs="Times New Roman"/>
    </w:rPr>
  </w:style>
  <w:style w:type="character" w:customStyle="1" w:styleId="WW8Num1z1">
    <w:name w:val="WW8Num1z1"/>
    <w:rsid w:val="00E10B49"/>
    <w:rPr>
      <w:rFonts w:ascii="Courier New" w:hAnsi="Courier New" w:cs="Courier New"/>
    </w:rPr>
  </w:style>
  <w:style w:type="character" w:customStyle="1" w:styleId="WW8Num1z2">
    <w:name w:val="WW8Num1z2"/>
    <w:rsid w:val="00E10B49"/>
    <w:rPr>
      <w:rFonts w:ascii="Wingdings" w:hAnsi="Wingdings"/>
    </w:rPr>
  </w:style>
  <w:style w:type="character" w:customStyle="1" w:styleId="WW8Num1z3">
    <w:name w:val="WW8Num1z3"/>
    <w:rsid w:val="00E10B49"/>
    <w:rPr>
      <w:rFonts w:ascii="Symbol" w:hAnsi="Symbol"/>
    </w:rPr>
  </w:style>
  <w:style w:type="character" w:styleId="PageNumber">
    <w:name w:val="page number"/>
    <w:basedOn w:val="DefaultParagraphFont"/>
    <w:rsid w:val="00E10B49"/>
  </w:style>
  <w:style w:type="character" w:styleId="Hyperlink">
    <w:name w:val="Hyperlink"/>
    <w:basedOn w:val="DefaultParagraphFont"/>
    <w:uiPriority w:val="99"/>
    <w:rsid w:val="00E10B49"/>
    <w:rPr>
      <w:color w:val="0000FF"/>
      <w:u w:val="single"/>
    </w:rPr>
  </w:style>
  <w:style w:type="character" w:styleId="FollowedHyperlink">
    <w:name w:val="FollowedHyperlink"/>
    <w:basedOn w:val="DefaultParagraphFont"/>
    <w:rsid w:val="00E10B49"/>
    <w:rPr>
      <w:color w:val="800080"/>
      <w:u w:val="single"/>
    </w:rPr>
  </w:style>
  <w:style w:type="character" w:customStyle="1" w:styleId="NumberingSymbols">
    <w:name w:val="Numbering Symbols"/>
    <w:rsid w:val="00E10B49"/>
  </w:style>
  <w:style w:type="paragraph" w:customStyle="1" w:styleId="Heading">
    <w:name w:val="Heading"/>
    <w:basedOn w:val="Normal"/>
    <w:next w:val="BodyText"/>
    <w:rsid w:val="00E10B49"/>
    <w:pPr>
      <w:keepNext/>
      <w:spacing w:before="240" w:after="120"/>
    </w:pPr>
    <w:rPr>
      <w:rFonts w:ascii="Nimbus Sans L" w:eastAsia="DejaVu Sans" w:hAnsi="Nimbus Sans L" w:cs="DejaVu Sans"/>
      <w:sz w:val="28"/>
      <w:szCs w:val="28"/>
    </w:rPr>
  </w:style>
  <w:style w:type="paragraph" w:styleId="BodyText">
    <w:name w:val="Body Text"/>
    <w:basedOn w:val="Normal"/>
    <w:rsid w:val="00E10B49"/>
    <w:pPr>
      <w:spacing w:line="360" w:lineRule="auto"/>
    </w:pPr>
  </w:style>
  <w:style w:type="paragraph" w:styleId="List">
    <w:name w:val="List"/>
    <w:basedOn w:val="BodyText"/>
    <w:rsid w:val="00E10B49"/>
  </w:style>
  <w:style w:type="paragraph" w:styleId="Caption">
    <w:name w:val="caption"/>
    <w:basedOn w:val="Normal"/>
    <w:qFormat/>
    <w:rsid w:val="00E10B49"/>
    <w:pPr>
      <w:suppressLineNumbers/>
      <w:spacing w:before="120" w:after="120"/>
    </w:pPr>
    <w:rPr>
      <w:i/>
      <w:iCs/>
    </w:rPr>
  </w:style>
  <w:style w:type="paragraph" w:customStyle="1" w:styleId="Index">
    <w:name w:val="Index"/>
    <w:basedOn w:val="Normal"/>
    <w:rsid w:val="00E10B49"/>
    <w:pPr>
      <w:suppressLineNumbers/>
    </w:pPr>
  </w:style>
  <w:style w:type="paragraph" w:styleId="Header">
    <w:name w:val="header"/>
    <w:basedOn w:val="Normal"/>
    <w:next w:val="Heading1"/>
    <w:rsid w:val="00E10B49"/>
    <w:pPr>
      <w:tabs>
        <w:tab w:val="center" w:pos="4320"/>
        <w:tab w:val="right" w:pos="8640"/>
      </w:tabs>
    </w:pPr>
  </w:style>
  <w:style w:type="paragraph" w:styleId="BodyTextIndent3">
    <w:name w:val="Body Text Indent 3"/>
    <w:basedOn w:val="Normal"/>
    <w:rsid w:val="00E10B49"/>
    <w:pPr>
      <w:spacing w:line="360" w:lineRule="auto"/>
      <w:ind w:firstLine="720"/>
      <w:jc w:val="both"/>
    </w:pPr>
    <w:rPr>
      <w:b/>
      <w:bCs/>
    </w:rPr>
  </w:style>
  <w:style w:type="paragraph" w:styleId="BodyTextIndent">
    <w:name w:val="Body Text Indent"/>
    <w:basedOn w:val="Normal"/>
    <w:rsid w:val="00E10B49"/>
    <w:pPr>
      <w:ind w:left="540" w:hanging="720"/>
      <w:jc w:val="both"/>
    </w:pPr>
  </w:style>
  <w:style w:type="paragraph" w:styleId="BodyTextIndent2">
    <w:name w:val="Body Text Indent 2"/>
    <w:basedOn w:val="Normal"/>
    <w:rsid w:val="00E10B49"/>
    <w:pPr>
      <w:spacing w:line="360" w:lineRule="auto"/>
      <w:ind w:firstLine="720"/>
      <w:jc w:val="both"/>
    </w:pPr>
  </w:style>
  <w:style w:type="paragraph" w:styleId="BodyText2">
    <w:name w:val="Body Text 2"/>
    <w:basedOn w:val="Normal"/>
    <w:rsid w:val="00E10B49"/>
    <w:pPr>
      <w:spacing w:line="360" w:lineRule="auto"/>
      <w:jc w:val="both"/>
    </w:pPr>
  </w:style>
  <w:style w:type="paragraph" w:styleId="Footer">
    <w:name w:val="footer"/>
    <w:basedOn w:val="Normal"/>
    <w:rsid w:val="00E10B49"/>
    <w:pPr>
      <w:tabs>
        <w:tab w:val="center" w:pos="4320"/>
        <w:tab w:val="right" w:pos="8640"/>
      </w:tabs>
    </w:pPr>
    <w:rPr>
      <w:sz w:val="32"/>
    </w:rPr>
  </w:style>
  <w:style w:type="paragraph" w:customStyle="1" w:styleId="TableContents">
    <w:name w:val="Table Contents"/>
    <w:basedOn w:val="Normal"/>
    <w:rsid w:val="00E10B49"/>
    <w:pPr>
      <w:suppressLineNumbers/>
    </w:pPr>
  </w:style>
  <w:style w:type="paragraph" w:customStyle="1" w:styleId="TableHeading">
    <w:name w:val="Table Heading"/>
    <w:basedOn w:val="TableContents"/>
    <w:rsid w:val="00E10B49"/>
    <w:pPr>
      <w:jc w:val="center"/>
    </w:pPr>
    <w:rPr>
      <w:b/>
      <w:bCs/>
    </w:rPr>
  </w:style>
  <w:style w:type="paragraph" w:customStyle="1" w:styleId="Framecontents">
    <w:name w:val="Frame contents"/>
    <w:basedOn w:val="BodyText"/>
    <w:rsid w:val="00E10B49"/>
  </w:style>
  <w:style w:type="paragraph" w:customStyle="1" w:styleId="Text">
    <w:name w:val="Text"/>
    <w:basedOn w:val="Normal"/>
    <w:rsid w:val="00E10B49"/>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NoSpacing">
    <w:name w:val="No Spacing"/>
    <w:uiPriority w:val="1"/>
    <w:qFormat/>
    <w:rsid w:val="00DD3FEB"/>
    <w:rPr>
      <w:rFonts w:ascii="Calibri" w:eastAsia="Calibri" w:hAnsi="Calibri" w:cs="Arial"/>
      <w:sz w:val="22"/>
      <w:szCs w:val="22"/>
      <w:lang w:val="en-GB" w:eastAsia="en-US"/>
    </w:rPr>
  </w:style>
  <w:style w:type="character" w:styleId="Strong">
    <w:name w:val="Strong"/>
    <w:basedOn w:val="DefaultParagraphFont"/>
    <w:uiPriority w:val="22"/>
    <w:qFormat/>
    <w:rsid w:val="00DD3FEB"/>
    <w:rPr>
      <w:b/>
      <w:bCs/>
    </w:rPr>
  </w:style>
  <w:style w:type="paragraph" w:styleId="ListParagraph">
    <w:name w:val="List Paragraph"/>
    <w:basedOn w:val="Normal"/>
    <w:uiPriority w:val="34"/>
    <w:qFormat/>
    <w:rsid w:val="002D5F2A"/>
    <w:pPr>
      <w:suppressAutoHyphens w:val="0"/>
      <w:spacing w:after="200" w:line="276" w:lineRule="auto"/>
      <w:ind w:left="720"/>
      <w:contextualSpacing/>
    </w:pPr>
    <w:rPr>
      <w:rFonts w:ascii="Calibri" w:eastAsia="Times New Roman" w:hAnsi="Calibri"/>
      <w:sz w:val="22"/>
      <w:szCs w:val="22"/>
      <w:lang w:val="en-GB" w:eastAsia="en-GB"/>
    </w:rPr>
  </w:style>
  <w:style w:type="paragraph" w:customStyle="1" w:styleId="Default">
    <w:name w:val="Default"/>
    <w:rsid w:val="002D5F2A"/>
    <w:pPr>
      <w:autoSpaceDE w:val="0"/>
      <w:autoSpaceDN w:val="0"/>
      <w:adjustRightInd w:val="0"/>
    </w:pPr>
    <w:rPr>
      <w:rFonts w:ascii="ITC Franklin Gothic Std Med" w:eastAsia="Calibri" w:hAnsi="ITC Franklin Gothic Std Med" w:cs="ITC Franklin Gothic Std Med"/>
      <w:color w:val="000000"/>
      <w:sz w:val="24"/>
      <w:szCs w:val="24"/>
      <w:lang w:val="en-GB" w:eastAsia="en-US"/>
    </w:rPr>
  </w:style>
  <w:style w:type="paragraph" w:styleId="BalloonText">
    <w:name w:val="Balloon Text"/>
    <w:basedOn w:val="Normal"/>
    <w:link w:val="BalloonTextChar"/>
    <w:uiPriority w:val="99"/>
    <w:semiHidden/>
    <w:unhideWhenUsed/>
    <w:rsid w:val="001311B2"/>
    <w:rPr>
      <w:rFonts w:ascii="Tahoma" w:hAnsi="Tahoma" w:cs="Tahoma"/>
      <w:sz w:val="16"/>
      <w:szCs w:val="16"/>
    </w:rPr>
  </w:style>
  <w:style w:type="character" w:customStyle="1" w:styleId="BalloonTextChar">
    <w:name w:val="Balloon Text Char"/>
    <w:basedOn w:val="DefaultParagraphFont"/>
    <w:link w:val="BalloonText"/>
    <w:uiPriority w:val="99"/>
    <w:semiHidden/>
    <w:rsid w:val="001311B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a.a.majumder@bradford.ac.uk" TargetMode="External"/><Relationship Id="rId3" Type="http://schemas.openxmlformats.org/officeDocument/2006/relationships/settings" Target="settings.xml"/><Relationship Id="rId7" Type="http://schemas.openxmlformats.org/officeDocument/2006/relationships/hyperlink" Target="mailto:a.a.majumder@bradford.ac.uk" TargetMode="External"/><Relationship Id="rId12" Type="http://schemas.openxmlformats.org/officeDocument/2006/relationships/hyperlink" Target="http://www.bmdc.org.b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ata.worldbank.org/indicator/SI.POV.GINI"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asiafoundation.org/in-asia/2013/03/27/the-next-asian-tiger-a-conversation-with-u-s-amb-to-bangladesh-dan-mozen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3021</Words>
  <Characters>17221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20202</CharactersWithSpaces>
  <SharedDoc>false</SharedDoc>
  <HLinks>
    <vt:vector size="54" baseType="variant">
      <vt:variant>
        <vt:i4>2687095</vt:i4>
      </vt:variant>
      <vt:variant>
        <vt:i4>15</vt:i4>
      </vt:variant>
      <vt:variant>
        <vt:i4>0</vt:i4>
      </vt:variant>
      <vt:variant>
        <vt:i4>5</vt:i4>
      </vt:variant>
      <vt:variant>
        <vt:lpwstr>http://data.worldbank.org/indicator/SI.POV.GINI</vt:lpwstr>
      </vt:variant>
      <vt:variant>
        <vt:lpwstr/>
      </vt:variant>
      <vt:variant>
        <vt:i4>3539067</vt:i4>
      </vt:variant>
      <vt:variant>
        <vt:i4>12</vt:i4>
      </vt:variant>
      <vt:variant>
        <vt:i4>0</vt:i4>
      </vt:variant>
      <vt:variant>
        <vt:i4>5</vt:i4>
      </vt:variant>
      <vt:variant>
        <vt:lpwstr>http://asiafoundation.org/in-asia/2013/03/27/the-next-asian-tiger-a-conversation-with-u-s-amb-to-bangladesh-dan-mozena/</vt:lpwstr>
      </vt:variant>
      <vt:variant>
        <vt:lpwstr/>
      </vt:variant>
      <vt:variant>
        <vt:i4>1310823</vt:i4>
      </vt:variant>
      <vt:variant>
        <vt:i4>9</vt:i4>
      </vt:variant>
      <vt:variant>
        <vt:i4>0</vt:i4>
      </vt:variant>
      <vt:variant>
        <vt:i4>5</vt:i4>
      </vt:variant>
      <vt:variant>
        <vt:lpwstr>mailto:a.a.majumder@bradford.ac.uk</vt:lpwstr>
      </vt:variant>
      <vt:variant>
        <vt:lpwstr/>
      </vt:variant>
      <vt:variant>
        <vt:i4>3866676</vt:i4>
      </vt:variant>
      <vt:variant>
        <vt:i4>6</vt:i4>
      </vt:variant>
      <vt:variant>
        <vt:i4>0</vt:i4>
      </vt:variant>
      <vt:variant>
        <vt:i4>5</vt:i4>
      </vt:variant>
      <vt:variant>
        <vt:lpwstr>http://www.bmdc.org.bd/</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1310823</vt:i4>
      </vt:variant>
      <vt:variant>
        <vt:i4>0</vt:i4>
      </vt:variant>
      <vt:variant>
        <vt:i4>0</vt:i4>
      </vt:variant>
      <vt:variant>
        <vt:i4>5</vt:i4>
      </vt:variant>
      <vt:variant>
        <vt:lpwstr>mailto:a.a.majumder@bradford.ac.uk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2014-10-19T21:17:00Z</cp:lastPrinted>
  <dcterms:created xsi:type="dcterms:W3CDTF">2014-10-19T14:23:00Z</dcterms:created>
  <dcterms:modified xsi:type="dcterms:W3CDTF">2014-10-19T21:41:00Z</dcterms:modified>
</cp:coreProperties>
</file>