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C1" w:rsidRPr="0057363D" w:rsidRDefault="00DB6DC1" w:rsidP="0057363D">
      <w:pPr>
        <w:autoSpaceDE w:val="0"/>
        <w:autoSpaceDN w:val="0"/>
        <w:adjustRightInd w:val="0"/>
        <w:snapToGrid w:val="0"/>
        <w:jc w:val="center"/>
        <w:rPr>
          <w:b/>
          <w:bCs/>
          <w:sz w:val="20"/>
          <w:szCs w:val="20"/>
        </w:rPr>
      </w:pPr>
      <w:proofErr w:type="spellStart"/>
      <w:r w:rsidRPr="0057363D">
        <w:rPr>
          <w:b/>
          <w:bCs/>
          <w:i/>
          <w:sz w:val="20"/>
          <w:szCs w:val="20"/>
        </w:rPr>
        <w:t>T</w:t>
      </w:r>
      <w:r w:rsidRPr="0057363D">
        <w:rPr>
          <w:b/>
          <w:bCs/>
          <w:i/>
          <w:iCs/>
          <w:sz w:val="20"/>
          <w:szCs w:val="20"/>
        </w:rPr>
        <w:t>reculia</w:t>
      </w:r>
      <w:proofErr w:type="spellEnd"/>
      <w:r w:rsidRPr="0057363D">
        <w:rPr>
          <w:b/>
          <w:bCs/>
          <w:i/>
          <w:iCs/>
          <w:sz w:val="20"/>
          <w:szCs w:val="20"/>
        </w:rPr>
        <w:t xml:space="preserve"> </w:t>
      </w:r>
      <w:proofErr w:type="spellStart"/>
      <w:r w:rsidRPr="0057363D">
        <w:rPr>
          <w:b/>
          <w:bCs/>
          <w:i/>
          <w:iCs/>
          <w:sz w:val="20"/>
          <w:szCs w:val="20"/>
        </w:rPr>
        <w:t>africana</w:t>
      </w:r>
      <w:proofErr w:type="spellEnd"/>
      <w:r w:rsidRPr="0057363D">
        <w:rPr>
          <w:b/>
          <w:bCs/>
          <w:sz w:val="20"/>
          <w:szCs w:val="20"/>
        </w:rPr>
        <w:t xml:space="preserve"> seed oil-compounded</w:t>
      </w:r>
      <w:r w:rsidR="005657CA" w:rsidRPr="0057363D">
        <w:rPr>
          <w:b/>
          <w:bCs/>
          <w:sz w:val="20"/>
          <w:szCs w:val="20"/>
        </w:rPr>
        <w:t xml:space="preserve"> feed</w:t>
      </w:r>
      <w:r w:rsidRPr="0057363D">
        <w:rPr>
          <w:b/>
          <w:bCs/>
          <w:sz w:val="20"/>
          <w:szCs w:val="20"/>
        </w:rPr>
        <w:t xml:space="preserve"> in male rats: </w:t>
      </w:r>
      <w:proofErr w:type="spellStart"/>
      <w:r w:rsidRPr="0057363D">
        <w:rPr>
          <w:b/>
          <w:bCs/>
          <w:sz w:val="20"/>
          <w:szCs w:val="20"/>
        </w:rPr>
        <w:t>nutritonal</w:t>
      </w:r>
      <w:proofErr w:type="spellEnd"/>
      <w:r w:rsidRPr="0057363D">
        <w:rPr>
          <w:b/>
          <w:bCs/>
          <w:sz w:val="20"/>
          <w:szCs w:val="20"/>
        </w:rPr>
        <w:t xml:space="preserve"> and toxicological evaluation.</w:t>
      </w:r>
    </w:p>
    <w:p w:rsidR="00DB6DC1" w:rsidRPr="0057363D" w:rsidRDefault="00DB6DC1" w:rsidP="0057363D">
      <w:pPr>
        <w:adjustRightInd w:val="0"/>
        <w:snapToGrid w:val="0"/>
        <w:jc w:val="center"/>
        <w:rPr>
          <w:sz w:val="20"/>
          <w:szCs w:val="20"/>
          <w:lang w:eastAsia="zh-CN"/>
        </w:rPr>
      </w:pPr>
    </w:p>
    <w:p w:rsidR="00DB6DC1" w:rsidRPr="0057363D" w:rsidRDefault="00DB6DC1" w:rsidP="0057363D">
      <w:pPr>
        <w:autoSpaceDE w:val="0"/>
        <w:autoSpaceDN w:val="0"/>
        <w:adjustRightInd w:val="0"/>
        <w:snapToGrid w:val="0"/>
        <w:jc w:val="center"/>
        <w:rPr>
          <w:sz w:val="20"/>
          <w:szCs w:val="20"/>
          <w:vertAlign w:val="superscript"/>
        </w:rPr>
      </w:pPr>
      <w:r w:rsidRPr="0057363D">
        <w:rPr>
          <w:sz w:val="20"/>
          <w:szCs w:val="20"/>
        </w:rPr>
        <w:t xml:space="preserve">Sarah </w:t>
      </w:r>
      <w:proofErr w:type="spellStart"/>
      <w:r w:rsidRPr="0057363D">
        <w:rPr>
          <w:sz w:val="20"/>
          <w:szCs w:val="20"/>
        </w:rPr>
        <w:t>Onyenibe</w:t>
      </w:r>
      <w:proofErr w:type="spellEnd"/>
      <w:r w:rsidRPr="0057363D">
        <w:rPr>
          <w:sz w:val="20"/>
          <w:szCs w:val="20"/>
        </w:rPr>
        <w:t xml:space="preserve"> </w:t>
      </w:r>
      <w:proofErr w:type="spellStart"/>
      <w:r w:rsidRPr="0057363D">
        <w:rPr>
          <w:sz w:val="20"/>
          <w:szCs w:val="20"/>
        </w:rPr>
        <w:t>Nwozo</w:t>
      </w:r>
      <w:proofErr w:type="spellEnd"/>
      <w:r w:rsidRPr="0057363D">
        <w:rPr>
          <w:sz w:val="20"/>
          <w:szCs w:val="20"/>
        </w:rPr>
        <w:t xml:space="preserve"> </w:t>
      </w:r>
      <w:r w:rsidRPr="0057363D">
        <w:rPr>
          <w:sz w:val="20"/>
          <w:szCs w:val="20"/>
          <w:vertAlign w:val="superscript"/>
        </w:rPr>
        <w:t>1*</w:t>
      </w:r>
      <w:r w:rsidRPr="0057363D">
        <w:rPr>
          <w:sz w:val="20"/>
          <w:szCs w:val="20"/>
        </w:rPr>
        <w:t xml:space="preserve">, </w:t>
      </w:r>
      <w:proofErr w:type="spellStart"/>
      <w:r w:rsidRPr="0057363D">
        <w:rPr>
          <w:sz w:val="20"/>
          <w:szCs w:val="20"/>
        </w:rPr>
        <w:t>Oluwafemi</w:t>
      </w:r>
      <w:proofErr w:type="spellEnd"/>
      <w:r w:rsidRPr="0057363D">
        <w:rPr>
          <w:sz w:val="20"/>
          <w:szCs w:val="20"/>
        </w:rPr>
        <w:t xml:space="preserve"> James Talabi</w:t>
      </w:r>
      <w:r w:rsidRPr="0057363D">
        <w:rPr>
          <w:sz w:val="20"/>
          <w:szCs w:val="20"/>
          <w:vertAlign w:val="superscript"/>
        </w:rPr>
        <w:t>1</w:t>
      </w:r>
      <w:r w:rsidRPr="0057363D">
        <w:rPr>
          <w:sz w:val="20"/>
          <w:szCs w:val="20"/>
        </w:rPr>
        <w:t>, Babatunji Emmanuel Oyinloye</w:t>
      </w:r>
      <w:r w:rsidRPr="0057363D">
        <w:rPr>
          <w:sz w:val="20"/>
          <w:szCs w:val="20"/>
          <w:vertAlign w:val="superscript"/>
        </w:rPr>
        <w:t>2</w:t>
      </w:r>
    </w:p>
    <w:p w:rsidR="00DB6DC1" w:rsidRPr="0057363D" w:rsidRDefault="00DB6DC1" w:rsidP="0057363D">
      <w:pPr>
        <w:adjustRightInd w:val="0"/>
        <w:snapToGrid w:val="0"/>
        <w:jc w:val="center"/>
        <w:rPr>
          <w:sz w:val="20"/>
          <w:szCs w:val="20"/>
        </w:rPr>
      </w:pPr>
    </w:p>
    <w:p w:rsidR="00DB6DC1" w:rsidRPr="0057363D" w:rsidRDefault="00DB6DC1" w:rsidP="0057363D">
      <w:pPr>
        <w:adjustRightInd w:val="0"/>
        <w:snapToGrid w:val="0"/>
        <w:jc w:val="center"/>
        <w:rPr>
          <w:color w:val="000000"/>
          <w:sz w:val="20"/>
          <w:szCs w:val="20"/>
        </w:rPr>
      </w:pPr>
      <w:r w:rsidRPr="0057363D">
        <w:rPr>
          <w:color w:val="000000"/>
          <w:sz w:val="20"/>
          <w:szCs w:val="20"/>
          <w:vertAlign w:val="superscript"/>
        </w:rPr>
        <w:t xml:space="preserve">1 </w:t>
      </w:r>
      <w:r w:rsidRPr="0057363D">
        <w:rPr>
          <w:color w:val="000000"/>
          <w:sz w:val="20"/>
          <w:szCs w:val="20"/>
        </w:rPr>
        <w:t xml:space="preserve">Nutritional and Industrial Research Laboratories, Department of Biochemistry, Faculty of Basic Medical Sciences, College of Medicine, University of Ibadan, Ibadan 200002, Nigeria; </w:t>
      </w:r>
      <w:r w:rsidRPr="0057363D">
        <w:rPr>
          <w:color w:val="000000"/>
          <w:sz w:val="20"/>
          <w:szCs w:val="20"/>
          <w:vertAlign w:val="superscript"/>
        </w:rPr>
        <w:t xml:space="preserve">2 </w:t>
      </w:r>
      <w:r w:rsidRPr="0057363D">
        <w:rPr>
          <w:color w:val="000000"/>
          <w:sz w:val="20"/>
          <w:szCs w:val="20"/>
        </w:rPr>
        <w:t xml:space="preserve">Department of Biochemistry, College of Sciences, Afe Babalola University, </w:t>
      </w:r>
      <w:r w:rsidRPr="0057363D">
        <w:rPr>
          <w:iCs/>
          <w:color w:val="000000"/>
          <w:sz w:val="20"/>
          <w:szCs w:val="20"/>
        </w:rPr>
        <w:t xml:space="preserve">PMB 5454, Ado-Ekiti 360001, Nigeria </w:t>
      </w:r>
      <w:r w:rsidRPr="0057363D">
        <w:rPr>
          <w:color w:val="000000"/>
          <w:sz w:val="20"/>
          <w:szCs w:val="20"/>
        </w:rPr>
        <w:t>Ado Ekiti, Nigeria.</w:t>
      </w:r>
    </w:p>
    <w:p w:rsidR="00DB6DC1" w:rsidRPr="0057363D" w:rsidRDefault="00DB6DC1" w:rsidP="0057363D">
      <w:pPr>
        <w:adjustRightInd w:val="0"/>
        <w:snapToGrid w:val="0"/>
        <w:jc w:val="center"/>
        <w:rPr>
          <w:sz w:val="20"/>
          <w:szCs w:val="20"/>
        </w:rPr>
      </w:pPr>
      <w:r w:rsidRPr="0057363D">
        <w:rPr>
          <w:color w:val="000000"/>
          <w:sz w:val="20"/>
          <w:szCs w:val="20"/>
        </w:rPr>
        <w:t xml:space="preserve">Email: </w:t>
      </w:r>
      <w:hyperlink r:id="rId7" w:history="1">
        <w:r w:rsidRPr="0057363D">
          <w:rPr>
            <w:rStyle w:val="Hyperlink"/>
            <w:color w:val="000000"/>
            <w:sz w:val="20"/>
            <w:szCs w:val="20"/>
          </w:rPr>
          <w:t>sonwozo@yahoo.com</w:t>
        </w:r>
      </w:hyperlink>
      <w:r w:rsidRPr="0057363D">
        <w:rPr>
          <w:color w:val="000000"/>
          <w:sz w:val="20"/>
          <w:szCs w:val="20"/>
        </w:rPr>
        <w:t xml:space="preserve">; </w:t>
      </w:r>
      <w:hyperlink r:id="rId8" w:history="1">
        <w:r w:rsidRPr="0057363D">
          <w:rPr>
            <w:rStyle w:val="Hyperlink"/>
            <w:color w:val="000000"/>
            <w:sz w:val="20"/>
            <w:szCs w:val="20"/>
          </w:rPr>
          <w:t>onyenibe.nwozo@mail.ui.edu.ng</w:t>
        </w:r>
      </w:hyperlink>
    </w:p>
    <w:p w:rsidR="00727FA9" w:rsidRPr="0057363D" w:rsidRDefault="00727FA9" w:rsidP="0057363D">
      <w:pPr>
        <w:adjustRightInd w:val="0"/>
        <w:snapToGrid w:val="0"/>
        <w:jc w:val="center"/>
        <w:rPr>
          <w:sz w:val="20"/>
          <w:szCs w:val="20"/>
        </w:rPr>
      </w:pPr>
    </w:p>
    <w:p w:rsidR="00DB6DC1" w:rsidRPr="0057363D" w:rsidRDefault="00DB6DC1" w:rsidP="0057363D">
      <w:pPr>
        <w:pStyle w:val="NoSpacing"/>
        <w:adjustRightInd w:val="0"/>
        <w:snapToGrid w:val="0"/>
        <w:jc w:val="both"/>
        <w:rPr>
          <w:color w:val="FF0000"/>
          <w:sz w:val="20"/>
          <w:szCs w:val="20"/>
        </w:rPr>
      </w:pPr>
      <w:r w:rsidRPr="0057363D">
        <w:rPr>
          <w:b/>
          <w:sz w:val="20"/>
          <w:szCs w:val="20"/>
        </w:rPr>
        <w:t xml:space="preserve">Abstract: </w:t>
      </w:r>
      <w:proofErr w:type="spellStart"/>
      <w:r w:rsidRPr="0057363D">
        <w:rPr>
          <w:rFonts w:ascii="Times New Roman" w:hAnsi="Times New Roman"/>
          <w:i/>
          <w:iCs/>
          <w:sz w:val="20"/>
          <w:szCs w:val="20"/>
        </w:rPr>
        <w:t>Treculia</w:t>
      </w:r>
      <w:proofErr w:type="spellEnd"/>
      <w:r w:rsidRPr="0057363D">
        <w:rPr>
          <w:rFonts w:ascii="Times New Roman" w:hAnsi="Times New Roman"/>
          <w:sz w:val="20"/>
          <w:szCs w:val="20"/>
        </w:rPr>
        <w:t xml:space="preserve"> </w:t>
      </w:r>
      <w:proofErr w:type="spellStart"/>
      <w:r w:rsidRPr="0057363D">
        <w:rPr>
          <w:rFonts w:ascii="Times New Roman" w:hAnsi="Times New Roman"/>
          <w:i/>
          <w:iCs/>
          <w:sz w:val="20"/>
          <w:szCs w:val="20"/>
        </w:rPr>
        <w:t>africana</w:t>
      </w:r>
      <w:proofErr w:type="spellEnd"/>
      <w:r w:rsidRPr="0057363D">
        <w:rPr>
          <w:rFonts w:ascii="Times New Roman" w:hAnsi="Times New Roman"/>
          <w:sz w:val="20"/>
          <w:szCs w:val="20"/>
        </w:rPr>
        <w:t xml:space="preserve"> seed oil was evaluated for physicochemical properties. </w:t>
      </w:r>
      <w:proofErr w:type="spellStart"/>
      <w:r w:rsidRPr="0057363D">
        <w:rPr>
          <w:rFonts w:ascii="Times New Roman" w:hAnsi="Times New Roman"/>
          <w:sz w:val="20"/>
          <w:szCs w:val="20"/>
        </w:rPr>
        <w:t>Saponification</w:t>
      </w:r>
      <w:proofErr w:type="spellEnd"/>
      <w:r w:rsidRPr="0057363D">
        <w:rPr>
          <w:rFonts w:ascii="Times New Roman" w:hAnsi="Times New Roman"/>
          <w:sz w:val="20"/>
          <w:szCs w:val="20"/>
        </w:rPr>
        <w:t xml:space="preserve">, iodine, peroxide and acid values </w:t>
      </w:r>
      <w:r w:rsidR="000B00AE" w:rsidRPr="0057363D">
        <w:rPr>
          <w:rFonts w:ascii="Times New Roman" w:hAnsi="Times New Roman"/>
          <w:sz w:val="20"/>
          <w:szCs w:val="20"/>
        </w:rPr>
        <w:t xml:space="preserve">obtained </w:t>
      </w:r>
      <w:r w:rsidRPr="0057363D">
        <w:rPr>
          <w:rFonts w:ascii="Times New Roman" w:hAnsi="Times New Roman"/>
          <w:sz w:val="20"/>
          <w:szCs w:val="20"/>
        </w:rPr>
        <w:t>were (212.9±4.50 mgKOH/100g; 27.5±2.32 mgI</w:t>
      </w:r>
      <w:r w:rsidRPr="0057363D">
        <w:rPr>
          <w:rFonts w:ascii="Times New Roman" w:hAnsi="Times New Roman"/>
          <w:sz w:val="20"/>
          <w:szCs w:val="20"/>
          <w:vertAlign w:val="subscript"/>
        </w:rPr>
        <w:t>2</w:t>
      </w:r>
      <w:r w:rsidRPr="0057363D">
        <w:rPr>
          <w:rFonts w:ascii="Times New Roman" w:hAnsi="Times New Roman"/>
          <w:sz w:val="20"/>
          <w:szCs w:val="20"/>
        </w:rPr>
        <w:t xml:space="preserve">/100g; 1.75±0.07 </w:t>
      </w:r>
      <w:proofErr w:type="spellStart"/>
      <w:r w:rsidRPr="0057363D">
        <w:rPr>
          <w:rFonts w:ascii="Times New Roman" w:hAnsi="Times New Roman"/>
          <w:sz w:val="20"/>
          <w:szCs w:val="20"/>
        </w:rPr>
        <w:t>mEq</w:t>
      </w:r>
      <w:proofErr w:type="spellEnd"/>
      <w:r w:rsidRPr="0057363D">
        <w:rPr>
          <w:rFonts w:ascii="Times New Roman" w:hAnsi="Times New Roman"/>
          <w:sz w:val="20"/>
          <w:szCs w:val="20"/>
        </w:rPr>
        <w:t xml:space="preserve">/kg oil and 8.41±1.25 mgKOH/100g) respectively. Varying percentages (3, 5 and 10) of seed oil-based feed was formulated and the effect on male rats fed for eight weeks was investigated. Effect of seed oil feed on growth, on brain and liver tissue antioxidant status, lipid </w:t>
      </w:r>
      <w:proofErr w:type="spellStart"/>
      <w:r w:rsidRPr="0057363D">
        <w:rPr>
          <w:rFonts w:ascii="Times New Roman" w:hAnsi="Times New Roman"/>
          <w:sz w:val="20"/>
          <w:szCs w:val="20"/>
        </w:rPr>
        <w:t>peroxidation</w:t>
      </w:r>
      <w:proofErr w:type="spellEnd"/>
      <w:r w:rsidRPr="0057363D">
        <w:rPr>
          <w:rFonts w:ascii="Times New Roman" w:hAnsi="Times New Roman"/>
          <w:sz w:val="20"/>
          <w:szCs w:val="20"/>
        </w:rPr>
        <w:t xml:space="preserve">, </w:t>
      </w:r>
      <w:proofErr w:type="spellStart"/>
      <w:r w:rsidRPr="0057363D">
        <w:rPr>
          <w:rFonts w:ascii="Times New Roman" w:hAnsi="Times New Roman"/>
          <w:sz w:val="20"/>
          <w:szCs w:val="20"/>
        </w:rPr>
        <w:t>artherogenic</w:t>
      </w:r>
      <w:proofErr w:type="spellEnd"/>
      <w:r w:rsidRPr="0057363D">
        <w:rPr>
          <w:rFonts w:ascii="Times New Roman" w:hAnsi="Times New Roman"/>
          <w:sz w:val="20"/>
          <w:szCs w:val="20"/>
        </w:rPr>
        <w:t xml:space="preserve"> index and markers of tissue toxicity and tissue histological changes were examined.</w:t>
      </w:r>
      <w:r w:rsidR="0057363D" w:rsidRPr="0057363D">
        <w:rPr>
          <w:rFonts w:ascii="Times New Roman" w:hAnsi="Times New Roman"/>
          <w:sz w:val="20"/>
          <w:szCs w:val="20"/>
        </w:rPr>
        <w:t xml:space="preserve"> </w:t>
      </w:r>
      <w:r w:rsidRPr="0057363D">
        <w:rPr>
          <w:rFonts w:ascii="Times New Roman" w:hAnsi="Times New Roman"/>
          <w:sz w:val="20"/>
          <w:szCs w:val="20"/>
        </w:rPr>
        <w:t xml:space="preserve">For body weight, test animals fed with </w:t>
      </w:r>
      <w:proofErr w:type="spellStart"/>
      <w:r w:rsidRPr="0057363D">
        <w:rPr>
          <w:rFonts w:ascii="Times New Roman" w:hAnsi="Times New Roman"/>
          <w:sz w:val="20"/>
          <w:szCs w:val="20"/>
        </w:rPr>
        <w:t>with</w:t>
      </w:r>
      <w:proofErr w:type="spellEnd"/>
      <w:r w:rsidRPr="0057363D">
        <w:rPr>
          <w:rFonts w:ascii="Times New Roman" w:hAnsi="Times New Roman"/>
          <w:sz w:val="20"/>
          <w:szCs w:val="20"/>
        </w:rPr>
        <w:t xml:space="preserve"> 10</w:t>
      </w:r>
      <w:r w:rsidR="000B00AE" w:rsidRPr="0057363D">
        <w:rPr>
          <w:rFonts w:ascii="Times New Roman" w:hAnsi="Times New Roman"/>
          <w:sz w:val="20"/>
          <w:szCs w:val="20"/>
        </w:rPr>
        <w:t> </w:t>
      </w:r>
      <w:r w:rsidRPr="0057363D">
        <w:rPr>
          <w:rFonts w:ascii="Times New Roman" w:hAnsi="Times New Roman"/>
          <w:sz w:val="20"/>
          <w:szCs w:val="20"/>
        </w:rPr>
        <w:t>% TA had the least percentage increase of 32</w:t>
      </w:r>
      <w:r w:rsidR="000B00AE" w:rsidRPr="0057363D">
        <w:rPr>
          <w:rFonts w:ascii="Times New Roman" w:hAnsi="Times New Roman"/>
          <w:sz w:val="20"/>
          <w:szCs w:val="20"/>
        </w:rPr>
        <w:t> </w:t>
      </w:r>
      <w:r w:rsidRPr="0057363D">
        <w:rPr>
          <w:rFonts w:ascii="Times New Roman" w:hAnsi="Times New Roman"/>
          <w:sz w:val="20"/>
          <w:szCs w:val="20"/>
        </w:rPr>
        <w:t xml:space="preserve">%. </w:t>
      </w:r>
      <w:proofErr w:type="spellStart"/>
      <w:r w:rsidRPr="0057363D">
        <w:rPr>
          <w:rFonts w:ascii="Times New Roman" w:hAnsi="Times New Roman"/>
          <w:i/>
          <w:sz w:val="20"/>
          <w:szCs w:val="20"/>
        </w:rPr>
        <w:t>Treculia</w:t>
      </w:r>
      <w:proofErr w:type="spellEnd"/>
      <w:r w:rsidRPr="0057363D">
        <w:rPr>
          <w:rFonts w:ascii="Times New Roman" w:hAnsi="Times New Roman"/>
          <w:i/>
          <w:sz w:val="20"/>
          <w:szCs w:val="20"/>
        </w:rPr>
        <w:t xml:space="preserve"> </w:t>
      </w:r>
      <w:proofErr w:type="spellStart"/>
      <w:r w:rsidRPr="0057363D">
        <w:rPr>
          <w:rFonts w:ascii="Times New Roman" w:hAnsi="Times New Roman"/>
          <w:i/>
          <w:sz w:val="20"/>
          <w:szCs w:val="20"/>
        </w:rPr>
        <w:t>africana</w:t>
      </w:r>
      <w:proofErr w:type="spellEnd"/>
      <w:r w:rsidRPr="0057363D">
        <w:rPr>
          <w:rFonts w:ascii="Times New Roman" w:hAnsi="Times New Roman"/>
          <w:i/>
          <w:sz w:val="20"/>
          <w:szCs w:val="20"/>
        </w:rPr>
        <w:t xml:space="preserve"> </w:t>
      </w:r>
      <w:r w:rsidRPr="0057363D">
        <w:rPr>
          <w:rFonts w:ascii="Times New Roman" w:hAnsi="Times New Roman"/>
          <w:sz w:val="20"/>
          <w:szCs w:val="20"/>
        </w:rPr>
        <w:t xml:space="preserve">seed oil-based diet decreased serum </w:t>
      </w:r>
      <w:proofErr w:type="spellStart"/>
      <w:r w:rsidRPr="0057363D">
        <w:rPr>
          <w:rFonts w:ascii="Times New Roman" w:hAnsi="Times New Roman"/>
          <w:sz w:val="20"/>
          <w:szCs w:val="20"/>
        </w:rPr>
        <w:t>aspartate</w:t>
      </w:r>
      <w:proofErr w:type="spellEnd"/>
      <w:r w:rsidRPr="0057363D">
        <w:rPr>
          <w:rFonts w:ascii="Times New Roman" w:hAnsi="Times New Roman"/>
          <w:sz w:val="20"/>
          <w:szCs w:val="20"/>
        </w:rPr>
        <w:t xml:space="preserve"> </w:t>
      </w:r>
      <w:proofErr w:type="spellStart"/>
      <w:r w:rsidRPr="0057363D">
        <w:rPr>
          <w:rFonts w:ascii="Times New Roman" w:hAnsi="Times New Roman"/>
          <w:sz w:val="20"/>
          <w:szCs w:val="20"/>
        </w:rPr>
        <w:t>aminotransferase</w:t>
      </w:r>
      <w:proofErr w:type="spellEnd"/>
      <w:r w:rsidRPr="0057363D">
        <w:rPr>
          <w:rFonts w:ascii="Times New Roman" w:hAnsi="Times New Roman"/>
          <w:sz w:val="20"/>
          <w:szCs w:val="20"/>
        </w:rPr>
        <w:t xml:space="preserve"> (AST) and </w:t>
      </w:r>
      <w:proofErr w:type="spellStart"/>
      <w:r w:rsidRPr="0057363D">
        <w:rPr>
          <w:rFonts w:ascii="Times New Roman" w:hAnsi="Times New Roman"/>
          <w:sz w:val="20"/>
          <w:szCs w:val="20"/>
        </w:rPr>
        <w:t>alanine</w:t>
      </w:r>
      <w:proofErr w:type="spellEnd"/>
      <w:r w:rsidRPr="0057363D">
        <w:rPr>
          <w:rFonts w:ascii="Times New Roman" w:hAnsi="Times New Roman"/>
          <w:sz w:val="20"/>
          <w:szCs w:val="20"/>
        </w:rPr>
        <w:t xml:space="preserve"> </w:t>
      </w:r>
      <w:proofErr w:type="spellStart"/>
      <w:r w:rsidRPr="0057363D">
        <w:rPr>
          <w:rFonts w:ascii="Times New Roman" w:hAnsi="Times New Roman"/>
          <w:sz w:val="20"/>
          <w:szCs w:val="20"/>
        </w:rPr>
        <w:t>aminotransferase</w:t>
      </w:r>
      <w:proofErr w:type="spellEnd"/>
      <w:r w:rsidRPr="0057363D">
        <w:rPr>
          <w:rFonts w:ascii="Times New Roman" w:hAnsi="Times New Roman"/>
          <w:sz w:val="20"/>
          <w:szCs w:val="20"/>
        </w:rPr>
        <w:t xml:space="preserve"> (ALT) activities compared to control but increased serum triglyceride, total cholesterol, low density and high density lipoprotein cholesterol but decreased the </w:t>
      </w:r>
      <w:proofErr w:type="spellStart"/>
      <w:r w:rsidRPr="0057363D">
        <w:rPr>
          <w:rFonts w:ascii="Times New Roman" w:hAnsi="Times New Roman"/>
          <w:sz w:val="20"/>
          <w:szCs w:val="20"/>
        </w:rPr>
        <w:t>artherogenic</w:t>
      </w:r>
      <w:proofErr w:type="spellEnd"/>
      <w:r w:rsidRPr="0057363D">
        <w:rPr>
          <w:rFonts w:ascii="Times New Roman" w:hAnsi="Times New Roman"/>
          <w:sz w:val="20"/>
          <w:szCs w:val="20"/>
        </w:rPr>
        <w:t xml:space="preserve"> </w:t>
      </w:r>
      <w:r w:rsidR="000B00AE" w:rsidRPr="0057363D">
        <w:rPr>
          <w:rFonts w:ascii="Times New Roman" w:hAnsi="Times New Roman"/>
          <w:sz w:val="20"/>
          <w:szCs w:val="20"/>
        </w:rPr>
        <w:t xml:space="preserve">index significantly compared to </w:t>
      </w:r>
      <w:r w:rsidRPr="0057363D">
        <w:rPr>
          <w:rFonts w:ascii="Times New Roman" w:hAnsi="Times New Roman"/>
          <w:sz w:val="20"/>
          <w:szCs w:val="20"/>
        </w:rPr>
        <w:t xml:space="preserve">control. The MDA was not statistical significant (p&lt;0.05) in the groups fed with TA compared with control and activities of superoxide dismutase (SOD) in TA and VO were comparable. </w:t>
      </w:r>
    </w:p>
    <w:p w:rsidR="00DB6DC1" w:rsidRPr="0057363D" w:rsidRDefault="00DB6DC1" w:rsidP="0057363D">
      <w:pPr>
        <w:autoSpaceDE w:val="0"/>
        <w:autoSpaceDN w:val="0"/>
        <w:adjustRightInd w:val="0"/>
        <w:snapToGrid w:val="0"/>
        <w:rPr>
          <w:sz w:val="20"/>
          <w:szCs w:val="20"/>
          <w:lang w:eastAsia="zh-CN"/>
        </w:rPr>
      </w:pPr>
      <w:r w:rsidRPr="0057363D">
        <w:rPr>
          <w:sz w:val="20"/>
          <w:szCs w:val="20"/>
        </w:rPr>
        <w:t>[</w:t>
      </w:r>
      <w:proofErr w:type="spellStart"/>
      <w:r w:rsidRPr="0057363D">
        <w:rPr>
          <w:sz w:val="20"/>
          <w:szCs w:val="20"/>
        </w:rPr>
        <w:t>Nwozo</w:t>
      </w:r>
      <w:proofErr w:type="spellEnd"/>
      <w:r w:rsidRPr="0057363D">
        <w:rPr>
          <w:sz w:val="20"/>
          <w:szCs w:val="20"/>
        </w:rPr>
        <w:t xml:space="preserve"> SO, </w:t>
      </w:r>
      <w:proofErr w:type="spellStart"/>
      <w:r w:rsidRPr="0057363D">
        <w:rPr>
          <w:sz w:val="20"/>
          <w:szCs w:val="20"/>
        </w:rPr>
        <w:t>Talabi</w:t>
      </w:r>
      <w:proofErr w:type="spellEnd"/>
      <w:r w:rsidRPr="0057363D">
        <w:rPr>
          <w:sz w:val="20"/>
          <w:szCs w:val="20"/>
        </w:rPr>
        <w:t xml:space="preserve"> JO, Oyinloye BE. </w:t>
      </w:r>
      <w:proofErr w:type="spellStart"/>
      <w:r w:rsidRPr="0057363D">
        <w:rPr>
          <w:b/>
          <w:bCs/>
          <w:i/>
          <w:sz w:val="20"/>
          <w:szCs w:val="20"/>
        </w:rPr>
        <w:t>T</w:t>
      </w:r>
      <w:r w:rsidRPr="0057363D">
        <w:rPr>
          <w:b/>
          <w:bCs/>
          <w:i/>
          <w:iCs/>
          <w:sz w:val="20"/>
          <w:szCs w:val="20"/>
        </w:rPr>
        <w:t>reculia</w:t>
      </w:r>
      <w:proofErr w:type="spellEnd"/>
      <w:r w:rsidRPr="0057363D">
        <w:rPr>
          <w:b/>
          <w:bCs/>
          <w:i/>
          <w:iCs/>
          <w:sz w:val="20"/>
          <w:szCs w:val="20"/>
        </w:rPr>
        <w:t xml:space="preserve"> </w:t>
      </w:r>
      <w:proofErr w:type="spellStart"/>
      <w:r w:rsidRPr="0057363D">
        <w:rPr>
          <w:b/>
          <w:bCs/>
          <w:i/>
          <w:iCs/>
          <w:sz w:val="20"/>
          <w:szCs w:val="20"/>
        </w:rPr>
        <w:t>africana</w:t>
      </w:r>
      <w:proofErr w:type="spellEnd"/>
      <w:r w:rsidRPr="0057363D">
        <w:rPr>
          <w:b/>
          <w:bCs/>
          <w:sz w:val="20"/>
          <w:szCs w:val="20"/>
        </w:rPr>
        <w:t xml:space="preserve"> seed oil </w:t>
      </w:r>
      <w:proofErr w:type="spellStart"/>
      <w:r w:rsidRPr="0057363D">
        <w:rPr>
          <w:b/>
          <w:bCs/>
          <w:sz w:val="20"/>
          <w:szCs w:val="20"/>
        </w:rPr>
        <w:t>nutritonal</w:t>
      </w:r>
      <w:proofErr w:type="spellEnd"/>
      <w:r w:rsidRPr="0057363D">
        <w:rPr>
          <w:b/>
          <w:bCs/>
          <w:sz w:val="20"/>
          <w:szCs w:val="20"/>
        </w:rPr>
        <w:t xml:space="preserve"> and toxicological evaluation of oil-compounded in male rats.</w:t>
      </w:r>
      <w:r w:rsidRPr="0057363D">
        <w:rPr>
          <w:sz w:val="20"/>
          <w:szCs w:val="20"/>
        </w:rPr>
        <w:t xml:space="preserve"> </w:t>
      </w:r>
      <w:r w:rsidRPr="0057363D">
        <w:rPr>
          <w:rFonts w:eastAsia="Times New Roman"/>
          <w:bCs/>
          <w:i/>
          <w:sz w:val="20"/>
          <w:szCs w:val="20"/>
        </w:rPr>
        <w:t xml:space="preserve">N Y </w:t>
      </w:r>
      <w:proofErr w:type="spellStart"/>
      <w:r w:rsidRPr="0057363D">
        <w:rPr>
          <w:rFonts w:eastAsia="Times New Roman"/>
          <w:bCs/>
          <w:i/>
          <w:sz w:val="20"/>
          <w:szCs w:val="20"/>
        </w:rPr>
        <w:t>Sci</w:t>
      </w:r>
      <w:proofErr w:type="spellEnd"/>
      <w:r w:rsidRPr="0057363D">
        <w:rPr>
          <w:rFonts w:eastAsia="Times New Roman"/>
          <w:bCs/>
          <w:i/>
          <w:sz w:val="20"/>
          <w:szCs w:val="20"/>
        </w:rPr>
        <w:t xml:space="preserve"> J</w:t>
      </w:r>
      <w:r w:rsidRPr="0057363D">
        <w:rPr>
          <w:rFonts w:eastAsia="Times New Roman"/>
          <w:bCs/>
          <w:sz w:val="20"/>
          <w:szCs w:val="20"/>
        </w:rPr>
        <w:t xml:space="preserve"> </w:t>
      </w:r>
      <w:r w:rsidRPr="0057363D">
        <w:rPr>
          <w:sz w:val="20"/>
          <w:szCs w:val="20"/>
        </w:rPr>
        <w:t>2014;</w:t>
      </w:r>
      <w:r w:rsidR="00727FA9" w:rsidRPr="0057363D">
        <w:rPr>
          <w:sz w:val="20"/>
          <w:szCs w:val="20"/>
        </w:rPr>
        <w:t>7</w:t>
      </w:r>
      <w:r w:rsidRPr="0057363D">
        <w:rPr>
          <w:sz w:val="20"/>
          <w:szCs w:val="20"/>
        </w:rPr>
        <w:t>(</w:t>
      </w:r>
      <w:r w:rsidR="00727FA9" w:rsidRPr="0057363D">
        <w:rPr>
          <w:sz w:val="20"/>
          <w:szCs w:val="20"/>
        </w:rPr>
        <w:t>11</w:t>
      </w:r>
      <w:r w:rsidRPr="0057363D">
        <w:rPr>
          <w:sz w:val="20"/>
          <w:szCs w:val="20"/>
        </w:rPr>
        <w:t>):</w:t>
      </w:r>
      <w:r w:rsidR="00727FA9" w:rsidRPr="0057363D">
        <w:rPr>
          <w:sz w:val="20"/>
          <w:szCs w:val="20"/>
        </w:rPr>
        <w:t>115</w:t>
      </w:r>
      <w:r w:rsidRPr="0057363D">
        <w:rPr>
          <w:sz w:val="20"/>
          <w:szCs w:val="20"/>
          <w:lang w:eastAsia="zh-CN"/>
        </w:rPr>
        <w:t>-</w:t>
      </w:r>
      <w:r w:rsidR="0057363D" w:rsidRPr="0057363D">
        <w:rPr>
          <w:sz w:val="20"/>
          <w:szCs w:val="20"/>
          <w:lang w:eastAsia="zh-CN"/>
        </w:rPr>
        <w:t>121</w:t>
      </w:r>
      <w:r w:rsidRPr="0057363D">
        <w:rPr>
          <w:sz w:val="20"/>
          <w:szCs w:val="20"/>
        </w:rPr>
        <w:t>]. (ISSN: 1554-0200).</w:t>
      </w:r>
      <w:r w:rsidR="007A3C61">
        <w:rPr>
          <w:sz w:val="20"/>
          <w:szCs w:val="20"/>
        </w:rPr>
        <w:t xml:space="preserve"> </w:t>
      </w:r>
      <w:r w:rsidRPr="0057363D">
        <w:rPr>
          <w:sz w:val="20"/>
          <w:szCs w:val="20"/>
        </w:rPr>
        <w:t xml:space="preserve"> </w:t>
      </w:r>
      <w:hyperlink r:id="rId9" w:history="1">
        <w:r w:rsidR="0057363D" w:rsidRPr="0057363D">
          <w:rPr>
            <w:rStyle w:val="Hyperlink"/>
            <w:sz w:val="20"/>
            <w:szCs w:val="20"/>
          </w:rPr>
          <w:t>http://www.sciencepub.net/newyork</w:t>
        </w:r>
        <w:r w:rsidR="0057363D" w:rsidRPr="0057363D">
          <w:rPr>
            <w:rStyle w:val="Hyperlink"/>
            <w:sz w:val="20"/>
            <w:szCs w:val="20"/>
            <w:lang w:eastAsia="zh-CN"/>
          </w:rPr>
          <w:t>. 16</w:t>
        </w:r>
      </w:hyperlink>
    </w:p>
    <w:p w:rsidR="0057363D" w:rsidRPr="0057363D" w:rsidRDefault="0057363D" w:rsidP="0057363D">
      <w:pPr>
        <w:autoSpaceDE w:val="0"/>
        <w:autoSpaceDN w:val="0"/>
        <w:adjustRightInd w:val="0"/>
        <w:snapToGrid w:val="0"/>
        <w:rPr>
          <w:sz w:val="20"/>
          <w:szCs w:val="20"/>
        </w:rPr>
      </w:pPr>
    </w:p>
    <w:p w:rsidR="00DB6DC1" w:rsidRPr="0057363D" w:rsidRDefault="00DB6DC1" w:rsidP="0057363D">
      <w:pPr>
        <w:adjustRightInd w:val="0"/>
        <w:snapToGrid w:val="0"/>
        <w:rPr>
          <w:sz w:val="20"/>
          <w:szCs w:val="20"/>
        </w:rPr>
      </w:pPr>
      <w:r w:rsidRPr="0057363D">
        <w:rPr>
          <w:b/>
          <w:sz w:val="20"/>
          <w:szCs w:val="20"/>
        </w:rPr>
        <w:t xml:space="preserve">Keywords: </w:t>
      </w:r>
      <w:r w:rsidRPr="0057363D">
        <w:rPr>
          <w:sz w:val="20"/>
          <w:szCs w:val="20"/>
        </w:rPr>
        <w:t xml:space="preserve">albino rats; antioxidants; lipid profile; </w:t>
      </w:r>
      <w:proofErr w:type="spellStart"/>
      <w:r w:rsidRPr="0057363D">
        <w:rPr>
          <w:i/>
          <w:sz w:val="20"/>
          <w:szCs w:val="20"/>
        </w:rPr>
        <w:t>Treculia</w:t>
      </w:r>
      <w:proofErr w:type="spellEnd"/>
      <w:r w:rsidRPr="0057363D">
        <w:rPr>
          <w:i/>
          <w:sz w:val="20"/>
          <w:szCs w:val="20"/>
        </w:rPr>
        <w:t xml:space="preserve"> Africana;</w:t>
      </w:r>
      <w:r w:rsidRPr="0057363D">
        <w:rPr>
          <w:sz w:val="20"/>
          <w:szCs w:val="20"/>
        </w:rPr>
        <w:t xml:space="preserve"> toxicity</w:t>
      </w:r>
    </w:p>
    <w:p w:rsidR="00DB6DC1" w:rsidRPr="0057363D" w:rsidRDefault="00DB6DC1" w:rsidP="0057363D">
      <w:pPr>
        <w:adjustRightInd w:val="0"/>
        <w:snapToGrid w:val="0"/>
        <w:jc w:val="both"/>
        <w:rPr>
          <w:sz w:val="20"/>
          <w:szCs w:val="20"/>
        </w:rPr>
      </w:pPr>
    </w:p>
    <w:p w:rsidR="00DB6DC1" w:rsidRPr="0057363D" w:rsidRDefault="00DB6DC1" w:rsidP="0057363D">
      <w:pPr>
        <w:adjustRightInd w:val="0"/>
        <w:snapToGrid w:val="0"/>
        <w:jc w:val="both"/>
        <w:rPr>
          <w:b/>
          <w:sz w:val="20"/>
          <w:szCs w:val="20"/>
        </w:rPr>
        <w:sectPr w:rsidR="00DB6DC1" w:rsidRPr="0057363D" w:rsidSect="0057363D">
          <w:headerReference w:type="default" r:id="rId10"/>
          <w:footerReference w:type="even" r:id="rId11"/>
          <w:footerReference w:type="default" r:id="rId12"/>
          <w:footnotePr>
            <w:pos w:val="beneathText"/>
          </w:footnotePr>
          <w:pgSz w:w="12240" w:h="15840" w:code="1"/>
          <w:pgMar w:top="1440" w:right="1440" w:bottom="1440" w:left="1440" w:header="720" w:footer="720" w:gutter="0"/>
          <w:pgNumType w:start="115"/>
          <w:cols w:space="720"/>
          <w:docGrid w:linePitch="360"/>
        </w:sectPr>
      </w:pPr>
    </w:p>
    <w:p w:rsidR="00DB6DC1" w:rsidRPr="0057363D" w:rsidRDefault="00DB6DC1" w:rsidP="0057363D">
      <w:pPr>
        <w:adjustRightInd w:val="0"/>
        <w:snapToGrid w:val="0"/>
        <w:jc w:val="both"/>
        <w:rPr>
          <w:b/>
          <w:sz w:val="20"/>
          <w:szCs w:val="20"/>
        </w:rPr>
      </w:pPr>
      <w:r w:rsidRPr="0057363D">
        <w:rPr>
          <w:b/>
          <w:sz w:val="20"/>
          <w:szCs w:val="20"/>
        </w:rPr>
        <w:lastRenderedPageBreak/>
        <w:t>1. Introduction</w:t>
      </w:r>
    </w:p>
    <w:p w:rsidR="00901267" w:rsidRPr="0057363D" w:rsidRDefault="00901267" w:rsidP="0057363D">
      <w:pPr>
        <w:pStyle w:val="NormalWeb"/>
        <w:adjustRightInd w:val="0"/>
        <w:snapToGrid w:val="0"/>
        <w:spacing w:before="0" w:beforeAutospacing="0" w:after="0" w:afterAutospacing="0"/>
        <w:jc w:val="both"/>
        <w:rPr>
          <w:sz w:val="20"/>
          <w:szCs w:val="20"/>
        </w:rPr>
      </w:pPr>
      <w:r w:rsidRPr="0057363D">
        <w:rPr>
          <w:sz w:val="20"/>
          <w:szCs w:val="20"/>
        </w:rPr>
        <w:t xml:space="preserve">            The common sources of edible oils are becoming scarce and there is therefore the need for alternatives and the vast species of trees in both the humid and semi-arid tropics are good sources of oils and fats for consumption (</w:t>
      </w:r>
      <w:proofErr w:type="spellStart"/>
      <w:r w:rsidRPr="0057363D">
        <w:rPr>
          <w:sz w:val="20"/>
          <w:szCs w:val="20"/>
        </w:rPr>
        <w:t>Odoemelam</w:t>
      </w:r>
      <w:proofErr w:type="spellEnd"/>
      <w:r w:rsidRPr="0057363D">
        <w:rPr>
          <w:sz w:val="20"/>
          <w:szCs w:val="20"/>
        </w:rPr>
        <w:t xml:space="preserve"> 2005). The major sources of edible oils world-wide are sunflower, olive, walnut, corn while native to Nigeria are oil palm (</w:t>
      </w:r>
      <w:proofErr w:type="spellStart"/>
      <w:r w:rsidRPr="0057363D">
        <w:rPr>
          <w:i/>
          <w:sz w:val="20"/>
          <w:szCs w:val="20"/>
        </w:rPr>
        <w:t>Eleasis</w:t>
      </w:r>
      <w:proofErr w:type="spellEnd"/>
      <w:r w:rsidRPr="0057363D">
        <w:rPr>
          <w:i/>
          <w:sz w:val="20"/>
          <w:szCs w:val="20"/>
        </w:rPr>
        <w:t xml:space="preserve"> </w:t>
      </w:r>
      <w:proofErr w:type="spellStart"/>
      <w:r w:rsidRPr="0057363D">
        <w:rPr>
          <w:i/>
          <w:sz w:val="20"/>
          <w:szCs w:val="20"/>
        </w:rPr>
        <w:t>guineensis</w:t>
      </w:r>
      <w:proofErr w:type="spellEnd"/>
      <w:r w:rsidRPr="0057363D">
        <w:rPr>
          <w:sz w:val="20"/>
          <w:szCs w:val="20"/>
        </w:rPr>
        <w:t>) and ground nut (</w:t>
      </w:r>
      <w:proofErr w:type="spellStart"/>
      <w:r w:rsidRPr="0057363D">
        <w:rPr>
          <w:i/>
          <w:sz w:val="20"/>
          <w:szCs w:val="20"/>
        </w:rPr>
        <w:t>Archis</w:t>
      </w:r>
      <w:proofErr w:type="spellEnd"/>
      <w:r w:rsidRPr="0057363D">
        <w:rPr>
          <w:i/>
          <w:sz w:val="20"/>
          <w:szCs w:val="20"/>
        </w:rPr>
        <w:t xml:space="preserve"> </w:t>
      </w:r>
      <w:proofErr w:type="spellStart"/>
      <w:r w:rsidRPr="0057363D">
        <w:rPr>
          <w:i/>
          <w:sz w:val="20"/>
          <w:szCs w:val="20"/>
        </w:rPr>
        <w:t>hypogoea</w:t>
      </w:r>
      <w:proofErr w:type="spellEnd"/>
      <w:r w:rsidRPr="0057363D">
        <w:rPr>
          <w:sz w:val="20"/>
          <w:szCs w:val="20"/>
        </w:rPr>
        <w:t>) and the oils which are more expensive are believed to be healthier and most often contain unsaturated fatty acids. Polyunsaturated fatty acids in the diet are regarded as healthy lipids and are nutritionally essential as they lower plasma cholesterol level by redistribution between plasma and tissue (</w:t>
      </w:r>
      <w:proofErr w:type="spellStart"/>
      <w:r w:rsidRPr="0057363D">
        <w:rPr>
          <w:sz w:val="20"/>
          <w:szCs w:val="20"/>
        </w:rPr>
        <w:t>Hu</w:t>
      </w:r>
      <w:proofErr w:type="spellEnd"/>
      <w:r w:rsidRPr="0057363D">
        <w:rPr>
          <w:sz w:val="20"/>
          <w:szCs w:val="20"/>
        </w:rPr>
        <w:t xml:space="preserve"> </w:t>
      </w:r>
      <w:r w:rsidRPr="0057363D">
        <w:rPr>
          <w:i/>
          <w:sz w:val="20"/>
          <w:szCs w:val="20"/>
        </w:rPr>
        <w:t>et al.,</w:t>
      </w:r>
      <w:r w:rsidRPr="0057363D">
        <w:rPr>
          <w:sz w:val="20"/>
          <w:szCs w:val="20"/>
        </w:rPr>
        <w:t xml:space="preserve"> 2001). Atherosclerosis is the root cause behind coronary artery disease, cerebral vascular disease and peripheral vascular disease (</w:t>
      </w:r>
      <w:proofErr w:type="spellStart"/>
      <w:r w:rsidRPr="0057363D">
        <w:rPr>
          <w:sz w:val="20"/>
          <w:szCs w:val="20"/>
        </w:rPr>
        <w:t>Malika</w:t>
      </w:r>
      <w:proofErr w:type="spellEnd"/>
      <w:r w:rsidRPr="0057363D">
        <w:rPr>
          <w:sz w:val="20"/>
          <w:szCs w:val="20"/>
        </w:rPr>
        <w:t xml:space="preserve"> </w:t>
      </w:r>
      <w:r w:rsidRPr="0057363D">
        <w:rPr>
          <w:i/>
          <w:sz w:val="20"/>
          <w:szCs w:val="20"/>
        </w:rPr>
        <w:t>et al</w:t>
      </w:r>
      <w:r w:rsidRPr="0057363D">
        <w:rPr>
          <w:sz w:val="20"/>
          <w:szCs w:val="20"/>
        </w:rPr>
        <w:t>., 2007) and increase in blood cholesterol levels increases the risk of coronary heart disease (CHD) and atherosclerosis (</w:t>
      </w:r>
      <w:proofErr w:type="spellStart"/>
      <w:r w:rsidRPr="0057363D">
        <w:rPr>
          <w:sz w:val="20"/>
          <w:szCs w:val="20"/>
        </w:rPr>
        <w:t>Malika</w:t>
      </w:r>
      <w:proofErr w:type="spellEnd"/>
      <w:r w:rsidRPr="0057363D">
        <w:rPr>
          <w:sz w:val="20"/>
          <w:szCs w:val="20"/>
        </w:rPr>
        <w:t xml:space="preserve"> </w:t>
      </w:r>
      <w:r w:rsidRPr="0057363D">
        <w:rPr>
          <w:i/>
          <w:sz w:val="20"/>
          <w:szCs w:val="20"/>
        </w:rPr>
        <w:t>et al</w:t>
      </w:r>
      <w:r w:rsidRPr="0057363D">
        <w:rPr>
          <w:sz w:val="20"/>
          <w:szCs w:val="20"/>
        </w:rPr>
        <w:t xml:space="preserve">., 2007). Abnormal deposition of cholesterol in the tissues is associated with several conditions including arthrosclerosis, hypertension and diabetes mellitus (Ross, 1993). Serum cholesterol level is strongly governed by dietary intakes, especially of saturated fats (Romero-Coral </w:t>
      </w:r>
      <w:r w:rsidRPr="0057363D">
        <w:rPr>
          <w:i/>
          <w:sz w:val="20"/>
          <w:szCs w:val="20"/>
        </w:rPr>
        <w:t>et al</w:t>
      </w:r>
      <w:r w:rsidRPr="0057363D">
        <w:rPr>
          <w:sz w:val="20"/>
          <w:szCs w:val="20"/>
        </w:rPr>
        <w:t xml:space="preserve">., 2006). Also, genetic factors are involved in the regulation of triglyceride and cholesterol levels in the plasma. Elevated serum cholesterol may induce fatty liver hepatic </w:t>
      </w:r>
      <w:proofErr w:type="spellStart"/>
      <w:r w:rsidRPr="0057363D">
        <w:rPr>
          <w:sz w:val="20"/>
          <w:szCs w:val="20"/>
        </w:rPr>
        <w:t>steatosis</w:t>
      </w:r>
      <w:proofErr w:type="spellEnd"/>
      <w:r w:rsidRPr="0057363D">
        <w:rPr>
          <w:sz w:val="20"/>
          <w:szCs w:val="20"/>
        </w:rPr>
        <w:t xml:space="preserve"> or </w:t>
      </w:r>
      <w:r w:rsidRPr="0057363D">
        <w:rPr>
          <w:sz w:val="20"/>
          <w:szCs w:val="20"/>
        </w:rPr>
        <w:lastRenderedPageBreak/>
        <w:t>hypertrophy of the liver, altered lipid profile, atherosclerosis and ischemic heart disease.</w:t>
      </w:r>
    </w:p>
    <w:p w:rsidR="00DB6DC1" w:rsidRPr="0057363D" w:rsidRDefault="00DB6DC1" w:rsidP="0057363D">
      <w:pPr>
        <w:adjustRightInd w:val="0"/>
        <w:snapToGrid w:val="0"/>
        <w:ind w:firstLine="720"/>
        <w:jc w:val="both"/>
        <w:rPr>
          <w:sz w:val="20"/>
          <w:szCs w:val="20"/>
        </w:rPr>
      </w:pPr>
      <w:proofErr w:type="spellStart"/>
      <w:r w:rsidRPr="0057363D">
        <w:rPr>
          <w:rFonts w:eastAsia="Times New Roman"/>
          <w:i/>
          <w:sz w:val="20"/>
          <w:szCs w:val="20"/>
        </w:rPr>
        <w:t>Treculia</w:t>
      </w:r>
      <w:proofErr w:type="spellEnd"/>
      <w:r w:rsidRPr="0057363D">
        <w:rPr>
          <w:rFonts w:eastAsia="Times New Roman"/>
          <w:i/>
          <w:sz w:val="20"/>
          <w:szCs w:val="20"/>
        </w:rPr>
        <w:t xml:space="preserve"> </w:t>
      </w:r>
      <w:proofErr w:type="spellStart"/>
      <w:r w:rsidRPr="0057363D">
        <w:rPr>
          <w:rFonts w:eastAsia="Times New Roman"/>
          <w:i/>
          <w:sz w:val="20"/>
          <w:szCs w:val="20"/>
        </w:rPr>
        <w:t>africana</w:t>
      </w:r>
      <w:proofErr w:type="spellEnd"/>
      <w:r w:rsidRPr="0057363D">
        <w:rPr>
          <w:rFonts w:eastAsia="Times New Roman"/>
          <w:sz w:val="20"/>
          <w:szCs w:val="20"/>
        </w:rPr>
        <w:t xml:space="preserve"> </w:t>
      </w:r>
      <w:proofErr w:type="spellStart"/>
      <w:r w:rsidRPr="0057363D">
        <w:rPr>
          <w:rFonts w:eastAsia="Times New Roman"/>
          <w:sz w:val="20"/>
          <w:szCs w:val="20"/>
        </w:rPr>
        <w:t>Decne</w:t>
      </w:r>
      <w:proofErr w:type="spellEnd"/>
      <w:r w:rsidRPr="0057363D">
        <w:rPr>
          <w:rFonts w:eastAsia="Times New Roman"/>
          <w:sz w:val="20"/>
          <w:szCs w:val="20"/>
        </w:rPr>
        <w:t xml:space="preserve"> is known commonly as African bread fruit. It is eaten traditionally either roasted as snack with coconut and palm kernel seed or eaten as porridge with a long cooking time. Previously this delicacy was not so expensive but increased awareness of its nutritional potentials has increased the economic value tremendously in Eastern Nigeria. Although this fruit grows throughout the Tropics, it is relatively unknown in South West Nigeria. </w:t>
      </w:r>
      <w:proofErr w:type="spellStart"/>
      <w:r w:rsidRPr="0057363D">
        <w:rPr>
          <w:rFonts w:eastAsia="Times New Roman"/>
          <w:bCs/>
          <w:i/>
          <w:sz w:val="20"/>
          <w:szCs w:val="20"/>
        </w:rPr>
        <w:t>Treculia</w:t>
      </w:r>
      <w:proofErr w:type="spellEnd"/>
      <w:r w:rsidRPr="0057363D">
        <w:rPr>
          <w:rFonts w:eastAsia="Times New Roman"/>
          <w:bCs/>
          <w:i/>
          <w:sz w:val="20"/>
          <w:szCs w:val="20"/>
        </w:rPr>
        <w:t xml:space="preserve"> </w:t>
      </w:r>
      <w:proofErr w:type="spellStart"/>
      <w:r w:rsidRPr="0057363D">
        <w:rPr>
          <w:rFonts w:eastAsia="Times New Roman"/>
          <w:bCs/>
          <w:i/>
          <w:sz w:val="20"/>
          <w:szCs w:val="20"/>
        </w:rPr>
        <w:t>africana</w:t>
      </w:r>
      <w:proofErr w:type="spellEnd"/>
      <w:r w:rsidRPr="0057363D">
        <w:rPr>
          <w:rFonts w:eastAsia="Times New Roman"/>
          <w:bCs/>
          <w:sz w:val="20"/>
          <w:szCs w:val="20"/>
        </w:rPr>
        <w:t xml:space="preserve"> leaves, twigs and stem bark have been used for dental disorders (</w:t>
      </w:r>
      <w:proofErr w:type="spellStart"/>
      <w:r w:rsidRPr="0057363D">
        <w:rPr>
          <w:rFonts w:eastAsia="Times New Roman"/>
          <w:bCs/>
          <w:sz w:val="20"/>
          <w:szCs w:val="20"/>
        </w:rPr>
        <w:t>Metuno</w:t>
      </w:r>
      <w:proofErr w:type="spellEnd"/>
      <w:r w:rsidRPr="0057363D">
        <w:rPr>
          <w:rFonts w:eastAsia="Times New Roman"/>
          <w:bCs/>
          <w:sz w:val="20"/>
          <w:szCs w:val="20"/>
        </w:rPr>
        <w:t xml:space="preserve"> </w:t>
      </w:r>
      <w:r w:rsidRPr="0057363D">
        <w:rPr>
          <w:rFonts w:eastAsia="Times New Roman"/>
          <w:bCs/>
          <w:i/>
          <w:sz w:val="20"/>
          <w:szCs w:val="20"/>
        </w:rPr>
        <w:t>et al</w:t>
      </w:r>
      <w:r w:rsidRPr="0057363D">
        <w:rPr>
          <w:rFonts w:eastAsia="Times New Roman"/>
          <w:bCs/>
          <w:sz w:val="20"/>
          <w:szCs w:val="20"/>
        </w:rPr>
        <w:t xml:space="preserve">., 2008) while the root bark has shown </w:t>
      </w:r>
      <w:proofErr w:type="spellStart"/>
      <w:r w:rsidRPr="0057363D">
        <w:rPr>
          <w:rFonts w:eastAsia="Times New Roman"/>
          <w:bCs/>
          <w:sz w:val="20"/>
          <w:szCs w:val="20"/>
        </w:rPr>
        <w:t>antidiabetic</w:t>
      </w:r>
      <w:proofErr w:type="spellEnd"/>
      <w:r w:rsidRPr="0057363D">
        <w:rPr>
          <w:rFonts w:eastAsia="Times New Roman"/>
          <w:bCs/>
          <w:sz w:val="20"/>
          <w:szCs w:val="20"/>
        </w:rPr>
        <w:t xml:space="preserve"> </w:t>
      </w:r>
      <w:r w:rsidR="000B00AE" w:rsidRPr="0057363D">
        <w:rPr>
          <w:rFonts w:eastAsia="Times New Roman"/>
          <w:bCs/>
          <w:sz w:val="20"/>
          <w:szCs w:val="20"/>
        </w:rPr>
        <w:t xml:space="preserve">activity in </w:t>
      </w:r>
      <w:proofErr w:type="spellStart"/>
      <w:r w:rsidR="000B00AE" w:rsidRPr="0057363D">
        <w:rPr>
          <w:rFonts w:eastAsia="Times New Roman"/>
          <w:bCs/>
          <w:sz w:val="20"/>
          <w:szCs w:val="20"/>
        </w:rPr>
        <w:t>alloxan</w:t>
      </w:r>
      <w:proofErr w:type="spellEnd"/>
      <w:r w:rsidR="000B00AE" w:rsidRPr="0057363D">
        <w:rPr>
          <w:rFonts w:eastAsia="Times New Roman"/>
          <w:bCs/>
          <w:sz w:val="20"/>
          <w:szCs w:val="20"/>
        </w:rPr>
        <w:t>-</w:t>
      </w:r>
      <w:r w:rsidRPr="0057363D">
        <w:rPr>
          <w:rFonts w:eastAsia="Times New Roman"/>
          <w:bCs/>
          <w:sz w:val="20"/>
          <w:szCs w:val="20"/>
        </w:rPr>
        <w:t>induced rats (</w:t>
      </w:r>
      <w:proofErr w:type="spellStart"/>
      <w:r w:rsidRPr="0057363D">
        <w:rPr>
          <w:rFonts w:eastAsia="Times New Roman"/>
          <w:bCs/>
          <w:sz w:val="20"/>
          <w:szCs w:val="20"/>
        </w:rPr>
        <w:t>Oyelola</w:t>
      </w:r>
      <w:proofErr w:type="spellEnd"/>
      <w:r w:rsidRPr="0057363D">
        <w:rPr>
          <w:rFonts w:eastAsia="Times New Roman"/>
          <w:bCs/>
          <w:sz w:val="20"/>
          <w:szCs w:val="20"/>
        </w:rPr>
        <w:t xml:space="preserve"> </w:t>
      </w:r>
      <w:r w:rsidRPr="0057363D">
        <w:rPr>
          <w:rFonts w:eastAsia="Times New Roman"/>
          <w:bCs/>
          <w:i/>
          <w:sz w:val="20"/>
          <w:szCs w:val="20"/>
        </w:rPr>
        <w:t>et al</w:t>
      </w:r>
      <w:r w:rsidRPr="0057363D">
        <w:rPr>
          <w:rFonts w:eastAsia="Times New Roman"/>
          <w:bCs/>
          <w:sz w:val="20"/>
          <w:szCs w:val="20"/>
        </w:rPr>
        <w:t xml:space="preserve">., 2007). </w:t>
      </w:r>
      <w:proofErr w:type="spellStart"/>
      <w:r w:rsidRPr="0057363D">
        <w:rPr>
          <w:rFonts w:eastAsia="Times New Roman"/>
          <w:i/>
          <w:sz w:val="20"/>
          <w:szCs w:val="20"/>
        </w:rPr>
        <w:t>Treculia</w:t>
      </w:r>
      <w:proofErr w:type="spellEnd"/>
      <w:r w:rsidRPr="0057363D">
        <w:rPr>
          <w:rFonts w:eastAsia="Times New Roman"/>
          <w:i/>
          <w:sz w:val="20"/>
          <w:szCs w:val="20"/>
        </w:rPr>
        <w:t xml:space="preserve"> </w:t>
      </w:r>
      <w:proofErr w:type="spellStart"/>
      <w:r w:rsidRPr="0057363D">
        <w:rPr>
          <w:rFonts w:eastAsia="Times New Roman"/>
          <w:i/>
          <w:sz w:val="20"/>
          <w:szCs w:val="20"/>
        </w:rPr>
        <w:t>africana</w:t>
      </w:r>
      <w:proofErr w:type="spellEnd"/>
      <w:r w:rsidRPr="0057363D">
        <w:rPr>
          <w:rFonts w:eastAsia="Times New Roman"/>
          <w:sz w:val="20"/>
          <w:szCs w:val="20"/>
        </w:rPr>
        <w:t xml:space="preserve"> has been shown to be a rich source of plant protein higher than those from animal and marine fishes could provide energy and seed oil content 18.54</w:t>
      </w:r>
      <w:r w:rsidR="000B00AE" w:rsidRPr="0057363D">
        <w:rPr>
          <w:rFonts w:eastAsia="Times New Roman"/>
          <w:sz w:val="20"/>
          <w:szCs w:val="20"/>
        </w:rPr>
        <w:t> </w:t>
      </w:r>
      <w:r w:rsidRPr="0057363D">
        <w:rPr>
          <w:rFonts w:eastAsia="Times New Roman"/>
          <w:sz w:val="20"/>
          <w:szCs w:val="20"/>
        </w:rPr>
        <w:t>% (</w:t>
      </w:r>
      <w:proofErr w:type="spellStart"/>
      <w:r w:rsidRPr="0057363D">
        <w:rPr>
          <w:rFonts w:eastAsia="Times New Roman"/>
          <w:sz w:val="20"/>
          <w:szCs w:val="20"/>
        </w:rPr>
        <w:t>Ajayi</w:t>
      </w:r>
      <w:proofErr w:type="spellEnd"/>
      <w:r w:rsidRPr="0057363D">
        <w:rPr>
          <w:rFonts w:eastAsia="Times New Roman"/>
          <w:sz w:val="20"/>
          <w:szCs w:val="20"/>
        </w:rPr>
        <w:t>, 2008). Various studies have been done on either reducing the cooking time, improving the protein digestibility and alternate methods of preparation of the seed flower (</w:t>
      </w:r>
      <w:proofErr w:type="spellStart"/>
      <w:r w:rsidRPr="0057363D">
        <w:rPr>
          <w:rFonts w:eastAsia="Times New Roman"/>
          <w:sz w:val="20"/>
          <w:szCs w:val="20"/>
        </w:rPr>
        <w:t>Giami</w:t>
      </w:r>
      <w:proofErr w:type="spellEnd"/>
      <w:r w:rsidRPr="0057363D">
        <w:rPr>
          <w:rFonts w:eastAsia="Times New Roman"/>
          <w:sz w:val="20"/>
          <w:szCs w:val="20"/>
        </w:rPr>
        <w:t xml:space="preserve"> </w:t>
      </w:r>
      <w:r w:rsidRPr="0057363D">
        <w:rPr>
          <w:rFonts w:eastAsia="Times New Roman"/>
          <w:i/>
          <w:sz w:val="20"/>
          <w:szCs w:val="20"/>
        </w:rPr>
        <w:t>et al</w:t>
      </w:r>
      <w:r w:rsidRPr="0057363D">
        <w:rPr>
          <w:rFonts w:eastAsia="Times New Roman"/>
          <w:sz w:val="20"/>
          <w:szCs w:val="20"/>
        </w:rPr>
        <w:t xml:space="preserve">., 2001; </w:t>
      </w:r>
      <w:proofErr w:type="spellStart"/>
      <w:r w:rsidRPr="0057363D">
        <w:rPr>
          <w:rFonts w:eastAsia="Times New Roman"/>
          <w:sz w:val="20"/>
          <w:szCs w:val="20"/>
        </w:rPr>
        <w:t>Badifu</w:t>
      </w:r>
      <w:proofErr w:type="spellEnd"/>
      <w:r w:rsidRPr="0057363D">
        <w:rPr>
          <w:rFonts w:eastAsia="Times New Roman"/>
          <w:sz w:val="20"/>
          <w:szCs w:val="20"/>
        </w:rPr>
        <w:t xml:space="preserve"> </w:t>
      </w:r>
      <w:r w:rsidRPr="0057363D">
        <w:rPr>
          <w:rFonts w:eastAsia="Times New Roman"/>
          <w:i/>
          <w:sz w:val="20"/>
          <w:szCs w:val="20"/>
        </w:rPr>
        <w:t>et al</w:t>
      </w:r>
      <w:r w:rsidRPr="0057363D">
        <w:rPr>
          <w:rFonts w:eastAsia="Times New Roman"/>
          <w:sz w:val="20"/>
          <w:szCs w:val="20"/>
        </w:rPr>
        <w:t xml:space="preserve">., 2001; </w:t>
      </w:r>
      <w:proofErr w:type="spellStart"/>
      <w:r w:rsidRPr="0057363D">
        <w:rPr>
          <w:rFonts w:eastAsia="Times New Roman"/>
          <w:sz w:val="20"/>
          <w:szCs w:val="20"/>
        </w:rPr>
        <w:t>Giami</w:t>
      </w:r>
      <w:proofErr w:type="spellEnd"/>
      <w:r w:rsidRPr="0057363D">
        <w:rPr>
          <w:rFonts w:eastAsia="Times New Roman"/>
          <w:sz w:val="20"/>
          <w:szCs w:val="20"/>
        </w:rPr>
        <w:t xml:space="preserve"> </w:t>
      </w:r>
      <w:r w:rsidRPr="0057363D">
        <w:rPr>
          <w:rFonts w:eastAsia="Times New Roman"/>
          <w:i/>
          <w:sz w:val="20"/>
          <w:szCs w:val="20"/>
        </w:rPr>
        <w:t>et al</w:t>
      </w:r>
      <w:r w:rsidRPr="0057363D">
        <w:rPr>
          <w:rFonts w:eastAsia="Times New Roman"/>
          <w:sz w:val="20"/>
          <w:szCs w:val="20"/>
        </w:rPr>
        <w:t>., 2000).</w:t>
      </w:r>
    </w:p>
    <w:p w:rsidR="00DB6DC1" w:rsidRPr="0057363D" w:rsidRDefault="00DB6DC1" w:rsidP="0057363D">
      <w:pPr>
        <w:autoSpaceDE w:val="0"/>
        <w:autoSpaceDN w:val="0"/>
        <w:adjustRightInd w:val="0"/>
        <w:snapToGrid w:val="0"/>
        <w:ind w:firstLine="720"/>
        <w:jc w:val="both"/>
        <w:rPr>
          <w:sz w:val="20"/>
          <w:szCs w:val="20"/>
        </w:rPr>
      </w:pPr>
      <w:r w:rsidRPr="0057363D">
        <w:rPr>
          <w:sz w:val="20"/>
          <w:szCs w:val="20"/>
        </w:rPr>
        <w:t>As part of the search for alternate source of edible oil and possible oil which could modulate serum lipid levels, we evaluated the impact of varying percentages of</w:t>
      </w:r>
      <w:r w:rsidRPr="0057363D">
        <w:rPr>
          <w:rFonts w:eastAsia="Times New Roman"/>
          <w:i/>
          <w:sz w:val="20"/>
          <w:szCs w:val="20"/>
        </w:rPr>
        <w:t xml:space="preserve"> </w:t>
      </w:r>
      <w:proofErr w:type="spellStart"/>
      <w:r w:rsidRPr="0057363D">
        <w:rPr>
          <w:rFonts w:eastAsia="Times New Roman"/>
          <w:i/>
          <w:sz w:val="20"/>
          <w:szCs w:val="20"/>
        </w:rPr>
        <w:t>Treculia</w:t>
      </w:r>
      <w:proofErr w:type="spellEnd"/>
      <w:r w:rsidRPr="0057363D">
        <w:rPr>
          <w:rFonts w:eastAsia="Times New Roman"/>
          <w:i/>
          <w:sz w:val="20"/>
          <w:szCs w:val="20"/>
        </w:rPr>
        <w:t xml:space="preserve"> </w:t>
      </w:r>
      <w:proofErr w:type="spellStart"/>
      <w:r w:rsidRPr="0057363D">
        <w:rPr>
          <w:rFonts w:eastAsia="Times New Roman"/>
          <w:i/>
          <w:sz w:val="20"/>
          <w:szCs w:val="20"/>
        </w:rPr>
        <w:t>africana</w:t>
      </w:r>
      <w:proofErr w:type="spellEnd"/>
      <w:r w:rsidRPr="0057363D">
        <w:rPr>
          <w:rFonts w:eastAsia="Times New Roman"/>
          <w:sz w:val="20"/>
          <w:szCs w:val="20"/>
        </w:rPr>
        <w:t xml:space="preserve"> seed oil </w:t>
      </w:r>
      <w:r w:rsidRPr="0057363D">
        <w:rPr>
          <w:sz w:val="20"/>
          <w:szCs w:val="20"/>
        </w:rPr>
        <w:t xml:space="preserve">compounded feed with commercially available Grand vegetable oil in male rats and evaluated the effect on brain and liver </w:t>
      </w:r>
      <w:r w:rsidRPr="0057363D">
        <w:rPr>
          <w:sz w:val="20"/>
          <w:szCs w:val="20"/>
        </w:rPr>
        <w:lastRenderedPageBreak/>
        <w:t xml:space="preserve">tissue antioxidant status, lipid </w:t>
      </w:r>
      <w:proofErr w:type="spellStart"/>
      <w:r w:rsidRPr="0057363D">
        <w:rPr>
          <w:sz w:val="20"/>
          <w:szCs w:val="20"/>
        </w:rPr>
        <w:t>peroxidation</w:t>
      </w:r>
      <w:proofErr w:type="spellEnd"/>
      <w:r w:rsidRPr="0057363D">
        <w:rPr>
          <w:sz w:val="20"/>
          <w:szCs w:val="20"/>
        </w:rPr>
        <w:t xml:space="preserve">, </w:t>
      </w:r>
      <w:proofErr w:type="spellStart"/>
      <w:r w:rsidRPr="0057363D">
        <w:rPr>
          <w:sz w:val="20"/>
          <w:szCs w:val="20"/>
        </w:rPr>
        <w:t>artherogenic</w:t>
      </w:r>
      <w:proofErr w:type="spellEnd"/>
      <w:r w:rsidRPr="0057363D">
        <w:rPr>
          <w:sz w:val="20"/>
          <w:szCs w:val="20"/>
        </w:rPr>
        <w:t xml:space="preserve"> index and markers of tissue toxicity.</w:t>
      </w:r>
    </w:p>
    <w:p w:rsidR="00DB6DC1" w:rsidRPr="0057363D" w:rsidRDefault="00DB6DC1" w:rsidP="0057363D">
      <w:pPr>
        <w:adjustRightInd w:val="0"/>
        <w:snapToGrid w:val="0"/>
        <w:jc w:val="both"/>
        <w:rPr>
          <w:b/>
          <w:sz w:val="20"/>
          <w:szCs w:val="20"/>
        </w:rPr>
      </w:pPr>
      <w:r w:rsidRPr="0057363D">
        <w:rPr>
          <w:b/>
          <w:sz w:val="20"/>
          <w:szCs w:val="20"/>
        </w:rPr>
        <w:t>2. Materials and Methods</w:t>
      </w:r>
    </w:p>
    <w:p w:rsidR="00DB6DC1" w:rsidRPr="0057363D" w:rsidRDefault="00DB6DC1" w:rsidP="0057363D">
      <w:pPr>
        <w:adjustRightInd w:val="0"/>
        <w:snapToGrid w:val="0"/>
        <w:jc w:val="both"/>
        <w:rPr>
          <w:sz w:val="20"/>
          <w:szCs w:val="20"/>
        </w:rPr>
      </w:pPr>
      <w:r w:rsidRPr="0057363D">
        <w:rPr>
          <w:i/>
          <w:iCs/>
          <w:sz w:val="20"/>
          <w:szCs w:val="20"/>
        </w:rPr>
        <w:t>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i/>
          <w:iCs/>
          <w:sz w:val="20"/>
          <w:szCs w:val="20"/>
        </w:rPr>
        <w:t xml:space="preserve"> </w:t>
      </w:r>
      <w:r w:rsidRPr="0057363D">
        <w:rPr>
          <w:sz w:val="20"/>
          <w:szCs w:val="20"/>
        </w:rPr>
        <w:t xml:space="preserve">was harvested from Botanical Garden in University of Ibadan, Ibadan, identified by </w:t>
      </w:r>
      <w:proofErr w:type="spellStart"/>
      <w:r w:rsidRPr="0057363D">
        <w:rPr>
          <w:sz w:val="20"/>
          <w:szCs w:val="20"/>
        </w:rPr>
        <w:t>Mr</w:t>
      </w:r>
      <w:proofErr w:type="spellEnd"/>
      <w:r w:rsidRPr="0057363D">
        <w:rPr>
          <w:sz w:val="20"/>
          <w:szCs w:val="20"/>
        </w:rPr>
        <w:t xml:space="preserve"> D </w:t>
      </w:r>
      <w:proofErr w:type="spellStart"/>
      <w:r w:rsidRPr="0057363D">
        <w:rPr>
          <w:sz w:val="20"/>
          <w:szCs w:val="20"/>
        </w:rPr>
        <w:t>Esimekhuai</w:t>
      </w:r>
      <w:proofErr w:type="spellEnd"/>
      <w:r w:rsidRPr="0057363D">
        <w:rPr>
          <w:sz w:val="20"/>
          <w:szCs w:val="20"/>
        </w:rPr>
        <w:t xml:space="preserve"> at the Herbarium of the Department of Botany, University of Ibadan, Ibadan Nigeria and voucher specimens were deposited at the Departmental Herbarium. The fresh fruits were room dried in Nutritional Biochemistry Laboratory. Dried seeds</w:t>
      </w:r>
      <w:r w:rsidR="0057363D" w:rsidRPr="0057363D">
        <w:rPr>
          <w:sz w:val="20"/>
          <w:szCs w:val="20"/>
        </w:rPr>
        <w:t xml:space="preserve"> </w:t>
      </w:r>
      <w:r w:rsidRPr="0057363D">
        <w:rPr>
          <w:sz w:val="20"/>
          <w:szCs w:val="20"/>
        </w:rPr>
        <w:t xml:space="preserve">were ground to coarse texture using the dry cup of domestic Kenwood blender and subjected to </w:t>
      </w:r>
      <w:proofErr w:type="spellStart"/>
      <w:r w:rsidRPr="0057363D">
        <w:rPr>
          <w:sz w:val="20"/>
          <w:szCs w:val="20"/>
        </w:rPr>
        <w:t>Soxhlet</w:t>
      </w:r>
      <w:proofErr w:type="spellEnd"/>
      <w:r w:rsidRPr="0057363D">
        <w:rPr>
          <w:sz w:val="20"/>
          <w:szCs w:val="20"/>
        </w:rPr>
        <w:t xml:space="preserve"> extraction using </w:t>
      </w:r>
      <w:proofErr w:type="spellStart"/>
      <w:r w:rsidRPr="0057363D">
        <w:rPr>
          <w:i/>
          <w:sz w:val="20"/>
          <w:szCs w:val="20"/>
        </w:rPr>
        <w:t>n</w:t>
      </w:r>
      <w:r w:rsidRPr="0057363D">
        <w:rPr>
          <w:sz w:val="20"/>
          <w:szCs w:val="20"/>
        </w:rPr>
        <w:t>Hexane</w:t>
      </w:r>
      <w:proofErr w:type="spellEnd"/>
      <w:r w:rsidRPr="0057363D">
        <w:rPr>
          <w:sz w:val="20"/>
          <w:szCs w:val="20"/>
        </w:rPr>
        <w:t xml:space="preserve"> for 6 hours to obtain the seed oil. The impure oil was purified by adding 0.73</w:t>
      </w:r>
      <w:r w:rsidR="000B00AE" w:rsidRPr="0057363D">
        <w:rPr>
          <w:sz w:val="20"/>
          <w:szCs w:val="20"/>
        </w:rPr>
        <w:t> </w:t>
      </w:r>
      <w:r w:rsidRPr="0057363D">
        <w:rPr>
          <w:sz w:val="20"/>
          <w:szCs w:val="20"/>
        </w:rPr>
        <w:t xml:space="preserve">% </w:t>
      </w:r>
      <w:proofErr w:type="spellStart"/>
      <w:r w:rsidRPr="0057363D">
        <w:rPr>
          <w:sz w:val="20"/>
          <w:szCs w:val="20"/>
        </w:rPr>
        <w:t>NaCl</w:t>
      </w:r>
      <w:proofErr w:type="spellEnd"/>
      <w:r w:rsidRPr="0057363D">
        <w:rPr>
          <w:sz w:val="20"/>
          <w:szCs w:val="20"/>
        </w:rPr>
        <w:t xml:space="preserve"> solution to the oil in a separating funnel, the lower aqueous layer was removed and the organic phase was further purified thrice using chloroform, methanol, 0.58</w:t>
      </w:r>
      <w:r w:rsidR="000B00AE" w:rsidRPr="0057363D">
        <w:rPr>
          <w:sz w:val="20"/>
          <w:szCs w:val="20"/>
        </w:rPr>
        <w:t> </w:t>
      </w:r>
      <w:r w:rsidRPr="0057363D">
        <w:rPr>
          <w:sz w:val="20"/>
          <w:szCs w:val="20"/>
        </w:rPr>
        <w:t>% sodium chloride solution (5:48:47 v/v)</w:t>
      </w:r>
      <w:r w:rsidR="0057363D" w:rsidRPr="0057363D">
        <w:rPr>
          <w:sz w:val="20"/>
          <w:szCs w:val="20"/>
        </w:rPr>
        <w:t xml:space="preserve"> </w:t>
      </w:r>
      <w:r w:rsidRPr="0057363D">
        <w:rPr>
          <w:sz w:val="20"/>
          <w:szCs w:val="20"/>
        </w:rPr>
        <w:t>to obtain the pure oil</w:t>
      </w:r>
      <w:r w:rsidR="00901267">
        <w:rPr>
          <w:sz w:val="20"/>
          <w:szCs w:val="20"/>
        </w:rPr>
        <w:t xml:space="preserve">. </w:t>
      </w:r>
      <w:proofErr w:type="spellStart"/>
      <w:r w:rsidR="00C521C5" w:rsidRPr="0057363D">
        <w:rPr>
          <w:i/>
          <w:iCs/>
          <w:sz w:val="20"/>
          <w:szCs w:val="20"/>
        </w:rPr>
        <w:t>T</w:t>
      </w:r>
      <w:r w:rsidRPr="0057363D">
        <w:rPr>
          <w:i/>
          <w:iCs/>
          <w:sz w:val="20"/>
          <w:szCs w:val="20"/>
        </w:rPr>
        <w:t>r</w:t>
      </w:r>
      <w:r w:rsidR="00C521C5" w:rsidRPr="0057363D">
        <w:rPr>
          <w:i/>
          <w:iCs/>
          <w:sz w:val="20"/>
          <w:szCs w:val="20"/>
        </w:rPr>
        <w:t>e</w:t>
      </w:r>
      <w:r w:rsidRPr="0057363D">
        <w:rPr>
          <w:i/>
          <w:iCs/>
          <w:sz w:val="20"/>
          <w:szCs w:val="20"/>
        </w:rPr>
        <w:t>culia</w:t>
      </w:r>
      <w:proofErr w:type="spellEnd"/>
      <w:r w:rsidRPr="0057363D">
        <w:rPr>
          <w:i/>
          <w:iCs/>
          <w:sz w:val="20"/>
          <w:szCs w:val="20"/>
        </w:rPr>
        <w:t xml:space="preserve"> </w:t>
      </w:r>
      <w:proofErr w:type="spellStart"/>
      <w:r w:rsidRPr="0057363D">
        <w:rPr>
          <w:i/>
          <w:iCs/>
          <w:sz w:val="20"/>
          <w:szCs w:val="20"/>
        </w:rPr>
        <w:t>africana</w:t>
      </w:r>
      <w:proofErr w:type="spellEnd"/>
      <w:r w:rsidRPr="0057363D">
        <w:rPr>
          <w:i/>
          <w:iCs/>
          <w:sz w:val="20"/>
          <w:szCs w:val="20"/>
        </w:rPr>
        <w:t xml:space="preserve"> </w:t>
      </w:r>
      <w:r w:rsidRPr="0057363D">
        <w:rPr>
          <w:iCs/>
          <w:sz w:val="20"/>
          <w:szCs w:val="20"/>
        </w:rPr>
        <w:t>seed oil was evaluated for both physical characteristics and physicochemical parameters to determine its quality with those of conventional edible oils. P</w:t>
      </w:r>
      <w:r w:rsidRPr="0057363D">
        <w:rPr>
          <w:sz w:val="20"/>
          <w:szCs w:val="20"/>
        </w:rPr>
        <w:t>hysical examination included</w:t>
      </w:r>
      <w:r w:rsidR="0057363D" w:rsidRPr="0057363D">
        <w:rPr>
          <w:sz w:val="20"/>
          <w:szCs w:val="20"/>
        </w:rPr>
        <w:t xml:space="preserve"> </w:t>
      </w:r>
      <w:proofErr w:type="spellStart"/>
      <w:r w:rsidRPr="0057363D">
        <w:rPr>
          <w:sz w:val="20"/>
          <w:szCs w:val="20"/>
        </w:rPr>
        <w:t>colour</w:t>
      </w:r>
      <w:proofErr w:type="spellEnd"/>
      <w:r w:rsidRPr="0057363D">
        <w:rPr>
          <w:sz w:val="20"/>
          <w:szCs w:val="20"/>
        </w:rPr>
        <w:t xml:space="preserve">, state of the oil at room temperature, smell, density, smoke point as well as flash point, while the physicochemical properties such as acid, peroxide, </w:t>
      </w:r>
      <w:proofErr w:type="spellStart"/>
      <w:r w:rsidRPr="0057363D">
        <w:rPr>
          <w:sz w:val="20"/>
          <w:szCs w:val="20"/>
        </w:rPr>
        <w:t>saponification</w:t>
      </w:r>
      <w:proofErr w:type="spellEnd"/>
      <w:r w:rsidRPr="0057363D">
        <w:rPr>
          <w:sz w:val="20"/>
          <w:szCs w:val="20"/>
        </w:rPr>
        <w:t xml:space="preserve"> and iodine values were determined as described by AOAC 1990 and results obtained are shown on Table 1.</w:t>
      </w:r>
    </w:p>
    <w:p w:rsidR="00DB6DC1" w:rsidRPr="0057363D" w:rsidRDefault="00DB6DC1" w:rsidP="0057363D">
      <w:pPr>
        <w:adjustRightInd w:val="0"/>
        <w:snapToGrid w:val="0"/>
        <w:jc w:val="both"/>
        <w:rPr>
          <w:sz w:val="20"/>
          <w:szCs w:val="20"/>
        </w:rPr>
      </w:pPr>
      <w:r w:rsidRPr="0057363D">
        <w:rPr>
          <w:sz w:val="20"/>
          <w:szCs w:val="20"/>
        </w:rPr>
        <w:t xml:space="preserve">          Soybean oil marked as Grand vegetable oil, a product of Grand Cereals and Oil mills Limited, </w:t>
      </w:r>
      <w:proofErr w:type="spellStart"/>
      <w:r w:rsidRPr="0057363D">
        <w:rPr>
          <w:sz w:val="20"/>
          <w:szCs w:val="20"/>
        </w:rPr>
        <w:t>Bukuru</w:t>
      </w:r>
      <w:proofErr w:type="spellEnd"/>
      <w:r w:rsidRPr="0057363D">
        <w:rPr>
          <w:sz w:val="20"/>
          <w:szCs w:val="20"/>
        </w:rPr>
        <w:t xml:space="preserve">, </w:t>
      </w:r>
      <w:proofErr w:type="spellStart"/>
      <w:r w:rsidRPr="0057363D">
        <w:rPr>
          <w:sz w:val="20"/>
          <w:szCs w:val="20"/>
        </w:rPr>
        <w:t>Jos</w:t>
      </w:r>
      <w:proofErr w:type="spellEnd"/>
      <w:r w:rsidRPr="0057363D">
        <w:rPr>
          <w:sz w:val="20"/>
          <w:szCs w:val="20"/>
        </w:rPr>
        <w:t>, Nigeria. Yellow maize (</w:t>
      </w:r>
      <w:proofErr w:type="spellStart"/>
      <w:r w:rsidRPr="0057363D">
        <w:rPr>
          <w:i/>
          <w:sz w:val="20"/>
          <w:szCs w:val="20"/>
        </w:rPr>
        <w:t>Zea</w:t>
      </w:r>
      <w:proofErr w:type="spellEnd"/>
      <w:r w:rsidRPr="0057363D">
        <w:rPr>
          <w:i/>
          <w:sz w:val="20"/>
          <w:szCs w:val="20"/>
        </w:rPr>
        <w:t xml:space="preserve"> </w:t>
      </w:r>
      <w:proofErr w:type="spellStart"/>
      <w:r w:rsidRPr="0057363D">
        <w:rPr>
          <w:i/>
          <w:sz w:val="20"/>
          <w:szCs w:val="20"/>
        </w:rPr>
        <w:t>mays</w:t>
      </w:r>
      <w:proofErr w:type="spellEnd"/>
      <w:r w:rsidRPr="0057363D">
        <w:rPr>
          <w:sz w:val="20"/>
          <w:szCs w:val="20"/>
        </w:rPr>
        <w:t xml:space="preserve">) grains and soy beans used in feed formulation were purchased from Bodija Market, Ibadan, Nigeria. Vitamin mix used in feed formulation was from BASF </w:t>
      </w:r>
      <w:proofErr w:type="spellStart"/>
      <w:r w:rsidRPr="0057363D">
        <w:rPr>
          <w:sz w:val="20"/>
          <w:szCs w:val="20"/>
        </w:rPr>
        <w:t>Aktiengesellschaft</w:t>
      </w:r>
      <w:proofErr w:type="spellEnd"/>
      <w:r w:rsidRPr="0057363D">
        <w:rPr>
          <w:sz w:val="20"/>
          <w:szCs w:val="20"/>
        </w:rPr>
        <w:t xml:space="preserve">, Ludwigshafen, Germany. The composition of test feed per kg diet is as shown on Table 2. Briefly, Corn starch was carbohydrate source, it was cleaned, sundried and milled. Soybean was first </w:t>
      </w:r>
      <w:proofErr w:type="spellStart"/>
      <w:r w:rsidRPr="0057363D">
        <w:rPr>
          <w:sz w:val="20"/>
          <w:szCs w:val="20"/>
        </w:rPr>
        <w:t>dehusked</w:t>
      </w:r>
      <w:proofErr w:type="spellEnd"/>
      <w:r w:rsidRPr="0057363D">
        <w:rPr>
          <w:sz w:val="20"/>
          <w:szCs w:val="20"/>
        </w:rPr>
        <w:t xml:space="preserve"> before milling and it was used as protein source. Components of the mineral mix was from Sigma-Aldrich Co. Ltd., Poole Dorset, UK The different components of the diet were thoroughly mixed, made into pellets for easy handling by animals and was thoroughly oven dried to prevent mould growth was stored in air tight bags at 4</w:t>
      </w:r>
      <w:r w:rsidR="000B00AE" w:rsidRPr="0057363D">
        <w:rPr>
          <w:sz w:val="20"/>
          <w:szCs w:val="20"/>
        </w:rPr>
        <w:t> </w:t>
      </w:r>
      <w:r w:rsidRPr="0057363D">
        <w:rPr>
          <w:sz w:val="20"/>
          <w:szCs w:val="20"/>
        </w:rPr>
        <w:t>ᴼC to prevent microbial</w:t>
      </w:r>
      <w:r w:rsidR="0057363D" w:rsidRPr="0057363D">
        <w:rPr>
          <w:sz w:val="20"/>
          <w:szCs w:val="20"/>
        </w:rPr>
        <w:t xml:space="preserve"> </w:t>
      </w:r>
      <w:r w:rsidRPr="0057363D">
        <w:rPr>
          <w:sz w:val="20"/>
          <w:szCs w:val="20"/>
        </w:rPr>
        <w:t>contamination and auto-oxidation of the oil (</w:t>
      </w:r>
      <w:proofErr w:type="spellStart"/>
      <w:r w:rsidRPr="0057363D">
        <w:rPr>
          <w:sz w:val="20"/>
          <w:szCs w:val="20"/>
        </w:rPr>
        <w:t>Oladiji</w:t>
      </w:r>
      <w:proofErr w:type="spellEnd"/>
      <w:r w:rsidRPr="0057363D">
        <w:rPr>
          <w:sz w:val="20"/>
          <w:szCs w:val="20"/>
        </w:rPr>
        <w:t xml:space="preserve"> </w:t>
      </w:r>
      <w:r w:rsidRPr="0057363D">
        <w:rPr>
          <w:i/>
          <w:sz w:val="20"/>
          <w:szCs w:val="20"/>
        </w:rPr>
        <w:t>et al</w:t>
      </w:r>
      <w:r w:rsidRPr="0057363D">
        <w:rPr>
          <w:sz w:val="20"/>
          <w:szCs w:val="20"/>
        </w:rPr>
        <w:t xml:space="preserve">., 2010). </w:t>
      </w: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autoSpaceDE w:val="0"/>
        <w:autoSpaceDN w:val="0"/>
        <w:adjustRightInd w:val="0"/>
        <w:snapToGrid w:val="0"/>
        <w:jc w:val="both"/>
        <w:rPr>
          <w:iCs/>
          <w:sz w:val="20"/>
          <w:szCs w:val="20"/>
        </w:rPr>
      </w:pPr>
      <w:r w:rsidRPr="0057363D">
        <w:rPr>
          <w:sz w:val="20"/>
          <w:szCs w:val="20"/>
        </w:rPr>
        <w:t>Feed composition using commercial vegetable oil</w:t>
      </w:r>
      <w:r w:rsidRPr="0057363D">
        <w:rPr>
          <w:i/>
          <w:iCs/>
          <w:sz w:val="20"/>
          <w:szCs w:val="20"/>
        </w:rPr>
        <w:t xml:space="preserve"> </w:t>
      </w:r>
      <w:r w:rsidRPr="0057363D">
        <w:rPr>
          <w:iCs/>
          <w:sz w:val="20"/>
          <w:szCs w:val="20"/>
        </w:rPr>
        <w:t>and</w:t>
      </w:r>
      <w:r w:rsidRPr="0057363D">
        <w:rPr>
          <w:i/>
          <w:iCs/>
          <w:sz w:val="20"/>
          <w:szCs w:val="20"/>
        </w:rPr>
        <w:t xml:space="preserve"> </w:t>
      </w:r>
      <w:proofErr w:type="spellStart"/>
      <w:r w:rsidRPr="0057363D">
        <w:rPr>
          <w:i/>
          <w:iCs/>
          <w:sz w:val="20"/>
          <w:szCs w:val="20"/>
        </w:rPr>
        <w:t>Tr</w:t>
      </w:r>
      <w:r w:rsidR="00C521C5" w:rsidRPr="0057363D">
        <w:rPr>
          <w:i/>
          <w:iCs/>
          <w:sz w:val="20"/>
          <w:szCs w:val="20"/>
        </w:rPr>
        <w:t>e</w:t>
      </w:r>
      <w:r w:rsidRPr="0057363D">
        <w:rPr>
          <w:i/>
          <w:iCs/>
          <w:sz w:val="20"/>
          <w:szCs w:val="20"/>
        </w:rPr>
        <w:t>culia</w:t>
      </w:r>
      <w:proofErr w:type="spellEnd"/>
      <w:r w:rsidRPr="0057363D">
        <w:rPr>
          <w:i/>
          <w:iCs/>
          <w:sz w:val="20"/>
          <w:szCs w:val="20"/>
        </w:rPr>
        <w:t xml:space="preserve"> </w:t>
      </w:r>
      <w:proofErr w:type="spellStart"/>
      <w:r w:rsidRPr="0057363D">
        <w:rPr>
          <w:i/>
          <w:iCs/>
          <w:sz w:val="20"/>
          <w:szCs w:val="20"/>
        </w:rPr>
        <w:t>africana</w:t>
      </w:r>
      <w:proofErr w:type="spellEnd"/>
      <w:r w:rsidRPr="0057363D">
        <w:rPr>
          <w:i/>
          <w:iCs/>
          <w:sz w:val="20"/>
          <w:szCs w:val="20"/>
        </w:rPr>
        <w:t xml:space="preserve"> </w:t>
      </w:r>
      <w:r w:rsidRPr="0057363D">
        <w:rPr>
          <w:iCs/>
          <w:sz w:val="20"/>
          <w:szCs w:val="20"/>
        </w:rPr>
        <w:t>seed oil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2"/>
        <w:gridCol w:w="981"/>
        <w:gridCol w:w="751"/>
        <w:gridCol w:w="751"/>
        <w:gridCol w:w="851"/>
      </w:tblGrid>
      <w:tr w:rsidR="00DB6DC1" w:rsidRPr="00901267" w:rsidTr="00901267">
        <w:tc>
          <w:tcPr>
            <w:tcW w:w="1373"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composition</w:t>
            </w:r>
          </w:p>
        </w:tc>
        <w:tc>
          <w:tcPr>
            <w:tcW w:w="106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Test feed %</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3</w:t>
            </w:r>
            <w:r w:rsidR="000B00AE" w:rsidRPr="00901267">
              <w:rPr>
                <w:rFonts w:eastAsia="Calibri"/>
                <w:iCs/>
                <w:sz w:val="16"/>
                <w:szCs w:val="16"/>
              </w:rPr>
              <w:t> </w:t>
            </w:r>
            <w:r w:rsidRPr="00901267">
              <w:rPr>
                <w:rFonts w:eastAsia="Calibri"/>
                <w:iCs/>
                <w:sz w:val="16"/>
                <w:szCs w:val="16"/>
              </w:rPr>
              <w:t>% TA</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5</w:t>
            </w:r>
            <w:r w:rsidR="000B00AE" w:rsidRPr="00901267">
              <w:rPr>
                <w:rFonts w:eastAsia="Calibri"/>
                <w:iCs/>
                <w:sz w:val="16"/>
                <w:szCs w:val="16"/>
              </w:rPr>
              <w:t> </w:t>
            </w:r>
            <w:r w:rsidRPr="00901267">
              <w:rPr>
                <w:rFonts w:eastAsia="Calibri"/>
                <w:iCs/>
                <w:sz w:val="16"/>
                <w:szCs w:val="16"/>
              </w:rPr>
              <w:t>% TA</w:t>
            </w:r>
          </w:p>
        </w:tc>
        <w:tc>
          <w:tcPr>
            <w:tcW w:w="926"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10</w:t>
            </w:r>
            <w:r w:rsidR="000B00AE" w:rsidRPr="00901267">
              <w:rPr>
                <w:rFonts w:eastAsia="Calibri"/>
                <w:iCs/>
                <w:sz w:val="16"/>
                <w:szCs w:val="16"/>
              </w:rPr>
              <w:t> </w:t>
            </w:r>
            <w:r w:rsidRPr="00901267">
              <w:rPr>
                <w:rFonts w:eastAsia="Calibri"/>
                <w:iCs/>
                <w:sz w:val="16"/>
                <w:szCs w:val="16"/>
              </w:rPr>
              <w:t>% TA</w:t>
            </w:r>
          </w:p>
        </w:tc>
      </w:tr>
      <w:tr w:rsidR="00DB6DC1" w:rsidRPr="00901267" w:rsidTr="00901267">
        <w:tc>
          <w:tcPr>
            <w:tcW w:w="1373"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Soybean</w:t>
            </w:r>
          </w:p>
        </w:tc>
        <w:tc>
          <w:tcPr>
            <w:tcW w:w="106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27</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27</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27</w:t>
            </w:r>
          </w:p>
        </w:tc>
        <w:tc>
          <w:tcPr>
            <w:tcW w:w="926"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27</w:t>
            </w:r>
          </w:p>
        </w:tc>
      </w:tr>
      <w:tr w:rsidR="00DB6DC1" w:rsidRPr="00901267" w:rsidTr="00901267">
        <w:tc>
          <w:tcPr>
            <w:tcW w:w="1373"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Corn starch</w:t>
            </w:r>
          </w:p>
        </w:tc>
        <w:tc>
          <w:tcPr>
            <w:tcW w:w="106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59</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59</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59</w:t>
            </w:r>
          </w:p>
        </w:tc>
        <w:tc>
          <w:tcPr>
            <w:tcW w:w="926"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59</w:t>
            </w:r>
          </w:p>
        </w:tc>
      </w:tr>
      <w:tr w:rsidR="00DB6DC1" w:rsidRPr="00901267" w:rsidTr="00901267">
        <w:tc>
          <w:tcPr>
            <w:tcW w:w="1373"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Vitamin mix</w:t>
            </w:r>
          </w:p>
        </w:tc>
        <w:tc>
          <w:tcPr>
            <w:tcW w:w="106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4</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4</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4</w:t>
            </w:r>
          </w:p>
        </w:tc>
        <w:tc>
          <w:tcPr>
            <w:tcW w:w="926"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4</w:t>
            </w:r>
          </w:p>
        </w:tc>
      </w:tr>
      <w:tr w:rsidR="00DB6DC1" w:rsidRPr="00901267" w:rsidTr="00901267">
        <w:tc>
          <w:tcPr>
            <w:tcW w:w="1373"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Seed oil</w:t>
            </w:r>
          </w:p>
        </w:tc>
        <w:tc>
          <w:tcPr>
            <w:tcW w:w="106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nil</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3</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5</w:t>
            </w:r>
          </w:p>
        </w:tc>
        <w:tc>
          <w:tcPr>
            <w:tcW w:w="926"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1</w:t>
            </w:r>
          </w:p>
        </w:tc>
      </w:tr>
      <w:tr w:rsidR="00DB6DC1" w:rsidRPr="00901267" w:rsidTr="00901267">
        <w:tc>
          <w:tcPr>
            <w:tcW w:w="1373"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Vegetable oil</w:t>
            </w:r>
          </w:p>
        </w:tc>
        <w:tc>
          <w:tcPr>
            <w:tcW w:w="106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10</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7</w:t>
            </w:r>
          </w:p>
        </w:tc>
        <w:tc>
          <w:tcPr>
            <w:tcW w:w="817" w:type="pct"/>
            <w:shd w:val="clear" w:color="auto" w:fill="auto"/>
          </w:tcPr>
          <w:p w:rsidR="00DB6DC1" w:rsidRPr="00901267" w:rsidRDefault="00DB6DC1" w:rsidP="0057363D">
            <w:pPr>
              <w:autoSpaceDE w:val="0"/>
              <w:autoSpaceDN w:val="0"/>
              <w:adjustRightInd w:val="0"/>
              <w:snapToGrid w:val="0"/>
              <w:jc w:val="both"/>
              <w:rPr>
                <w:rFonts w:eastAsia="Calibri"/>
                <w:iCs/>
                <w:sz w:val="16"/>
                <w:szCs w:val="16"/>
              </w:rPr>
            </w:pPr>
            <w:r w:rsidRPr="00901267">
              <w:rPr>
                <w:rFonts w:eastAsia="Calibri"/>
                <w:iCs/>
                <w:sz w:val="16"/>
                <w:szCs w:val="16"/>
              </w:rPr>
              <w:t>5</w:t>
            </w:r>
          </w:p>
        </w:tc>
        <w:tc>
          <w:tcPr>
            <w:tcW w:w="926" w:type="pct"/>
            <w:shd w:val="clear" w:color="auto" w:fill="auto"/>
          </w:tcPr>
          <w:p w:rsidR="00DB6DC1" w:rsidRPr="00901267" w:rsidRDefault="000B00AE" w:rsidP="0057363D">
            <w:pPr>
              <w:autoSpaceDE w:val="0"/>
              <w:autoSpaceDN w:val="0"/>
              <w:adjustRightInd w:val="0"/>
              <w:snapToGrid w:val="0"/>
              <w:jc w:val="both"/>
              <w:rPr>
                <w:rFonts w:eastAsia="Calibri"/>
                <w:iCs/>
                <w:sz w:val="16"/>
                <w:szCs w:val="16"/>
              </w:rPr>
            </w:pPr>
            <w:r w:rsidRPr="00901267">
              <w:rPr>
                <w:rFonts w:eastAsia="Calibri"/>
                <w:iCs/>
                <w:sz w:val="16"/>
                <w:szCs w:val="16"/>
              </w:rPr>
              <w:t>N</w:t>
            </w:r>
            <w:r w:rsidR="00DB6DC1" w:rsidRPr="00901267">
              <w:rPr>
                <w:rFonts w:eastAsia="Calibri"/>
                <w:iCs/>
                <w:sz w:val="16"/>
                <w:szCs w:val="16"/>
              </w:rPr>
              <w:t>il</w:t>
            </w:r>
          </w:p>
        </w:tc>
      </w:tr>
    </w:tbl>
    <w:p w:rsidR="00DB6DC1" w:rsidRPr="0057363D" w:rsidRDefault="00DB6DC1" w:rsidP="0057363D">
      <w:pPr>
        <w:autoSpaceDE w:val="0"/>
        <w:autoSpaceDN w:val="0"/>
        <w:adjustRightInd w:val="0"/>
        <w:snapToGrid w:val="0"/>
        <w:jc w:val="both"/>
        <w:rPr>
          <w:iCs/>
          <w:sz w:val="20"/>
          <w:szCs w:val="20"/>
        </w:rPr>
      </w:pPr>
    </w:p>
    <w:p w:rsidR="00DB6DC1" w:rsidRPr="0057363D" w:rsidRDefault="0057363D" w:rsidP="0057363D">
      <w:pPr>
        <w:adjustRightInd w:val="0"/>
        <w:snapToGrid w:val="0"/>
        <w:jc w:val="both"/>
        <w:rPr>
          <w:b/>
          <w:sz w:val="20"/>
          <w:szCs w:val="20"/>
        </w:rPr>
      </w:pPr>
      <w:r w:rsidRPr="0057363D">
        <w:rPr>
          <w:sz w:val="20"/>
          <w:szCs w:val="20"/>
        </w:rPr>
        <w:lastRenderedPageBreak/>
        <w:t xml:space="preserve"> </w:t>
      </w:r>
      <w:r w:rsidR="00DB6DC1" w:rsidRPr="0057363D">
        <w:rPr>
          <w:sz w:val="20"/>
          <w:szCs w:val="20"/>
        </w:rPr>
        <w:t>     Twenty eight male albino rats (Wistar strain) weighing between 100 g and 120 g were obtained from the animal house in the Department of Physiology University of Ibadan. The rats were transferred and allowed to acclimatized for two weeks, been maintained on the standard rat chow (</w:t>
      </w:r>
      <w:proofErr w:type="spellStart"/>
      <w:r w:rsidR="00DB6DC1" w:rsidRPr="0057363D">
        <w:rPr>
          <w:sz w:val="20"/>
          <w:szCs w:val="20"/>
        </w:rPr>
        <w:t>Ladokun</w:t>
      </w:r>
      <w:proofErr w:type="spellEnd"/>
      <w:r w:rsidR="00DB6DC1" w:rsidRPr="0057363D">
        <w:rPr>
          <w:sz w:val="20"/>
          <w:szCs w:val="20"/>
        </w:rPr>
        <w:t xml:space="preserve"> Feed, Ibadan) with water </w:t>
      </w:r>
      <w:r w:rsidR="00DB6DC1" w:rsidRPr="0057363D">
        <w:rPr>
          <w:i/>
          <w:sz w:val="20"/>
          <w:szCs w:val="20"/>
        </w:rPr>
        <w:t xml:space="preserve">ad </w:t>
      </w:r>
      <w:proofErr w:type="spellStart"/>
      <w:r w:rsidR="00DB6DC1" w:rsidRPr="0057363D">
        <w:rPr>
          <w:i/>
          <w:sz w:val="20"/>
          <w:szCs w:val="20"/>
        </w:rPr>
        <w:t>libitum</w:t>
      </w:r>
      <w:proofErr w:type="spellEnd"/>
      <w:r w:rsidR="00DB6DC1" w:rsidRPr="0057363D">
        <w:rPr>
          <w:sz w:val="20"/>
          <w:szCs w:val="20"/>
        </w:rPr>
        <w:t xml:space="preserve"> in the Biochemistry Department Animal house under normal room temperature before the commencement of the experiment.</w:t>
      </w:r>
    </w:p>
    <w:p w:rsidR="00DB6DC1" w:rsidRPr="0057363D" w:rsidRDefault="00DB6DC1" w:rsidP="0057363D">
      <w:pPr>
        <w:autoSpaceDE w:val="0"/>
        <w:autoSpaceDN w:val="0"/>
        <w:adjustRightInd w:val="0"/>
        <w:snapToGrid w:val="0"/>
        <w:jc w:val="both"/>
        <w:rPr>
          <w:sz w:val="20"/>
          <w:szCs w:val="20"/>
        </w:rPr>
      </w:pPr>
      <w:r w:rsidRPr="0057363D">
        <w:rPr>
          <w:sz w:val="20"/>
          <w:szCs w:val="20"/>
        </w:rPr>
        <w:t>       Twenty eight rats weighing between 110 -125</w:t>
      </w:r>
      <w:r w:rsidR="000B00AE" w:rsidRPr="0057363D">
        <w:rPr>
          <w:sz w:val="20"/>
          <w:szCs w:val="20"/>
        </w:rPr>
        <w:t> </w:t>
      </w:r>
      <w:r w:rsidRPr="0057363D">
        <w:rPr>
          <w:sz w:val="20"/>
          <w:szCs w:val="20"/>
        </w:rPr>
        <w:t>g were distributed randomly into four different groups of seven animals each. The control group received compounded diet prepared with commercially available Grand soybean oil purchased from Bodija market, Ibadan. All animals had 10</w:t>
      </w:r>
      <w:r w:rsidR="000B00AE" w:rsidRPr="0057363D">
        <w:rPr>
          <w:sz w:val="20"/>
          <w:szCs w:val="20"/>
        </w:rPr>
        <w:t> </w:t>
      </w:r>
      <w:r w:rsidRPr="0057363D">
        <w:rPr>
          <w:sz w:val="20"/>
          <w:szCs w:val="20"/>
        </w:rPr>
        <w:t>% oil in their different formulated feeds except that the proportion of the seed oils and Grand vegetable oil varied as shown on Table 2 and animals were distributed into groups 1-4. Group1: A compounded diet with vegetable oil (10</w:t>
      </w:r>
      <w:r w:rsidR="000B00AE" w:rsidRPr="0057363D">
        <w:rPr>
          <w:sz w:val="20"/>
          <w:szCs w:val="20"/>
        </w:rPr>
        <w:t> </w:t>
      </w:r>
      <w:r w:rsidRPr="0057363D">
        <w:rPr>
          <w:sz w:val="20"/>
          <w:szCs w:val="20"/>
        </w:rPr>
        <w:t>% VO); Group2: A compounded diet with 10</w:t>
      </w:r>
      <w:r w:rsidR="000B00AE" w:rsidRPr="0057363D">
        <w:rPr>
          <w:sz w:val="20"/>
          <w:szCs w:val="20"/>
        </w:rPr>
        <w:t> </w:t>
      </w:r>
      <w:r w:rsidRPr="0057363D">
        <w:rPr>
          <w:sz w:val="20"/>
          <w:szCs w:val="20"/>
        </w:rPr>
        <w:t xml:space="preserve">% of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seed oil (10</w:t>
      </w:r>
      <w:r w:rsidR="000B00AE" w:rsidRPr="0057363D">
        <w:rPr>
          <w:sz w:val="20"/>
          <w:szCs w:val="20"/>
        </w:rPr>
        <w:t> </w:t>
      </w:r>
      <w:r w:rsidRPr="0057363D">
        <w:rPr>
          <w:sz w:val="20"/>
          <w:szCs w:val="20"/>
        </w:rPr>
        <w:t>% TA); Group 3: A compounded diet with 5</w:t>
      </w:r>
      <w:r w:rsidR="000B00AE" w:rsidRPr="0057363D">
        <w:rPr>
          <w:sz w:val="20"/>
          <w:szCs w:val="20"/>
        </w:rPr>
        <w:t> </w:t>
      </w:r>
      <w:r w:rsidRPr="0057363D">
        <w:rPr>
          <w:sz w:val="20"/>
          <w:szCs w:val="20"/>
        </w:rPr>
        <w:t xml:space="preserve">% of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seed oil (5</w:t>
      </w:r>
      <w:r w:rsidR="000B00AE" w:rsidRPr="0057363D">
        <w:rPr>
          <w:sz w:val="20"/>
          <w:szCs w:val="20"/>
        </w:rPr>
        <w:t> </w:t>
      </w:r>
      <w:r w:rsidRPr="0057363D">
        <w:rPr>
          <w:sz w:val="20"/>
          <w:szCs w:val="20"/>
        </w:rPr>
        <w:t>% TA) and Group 4: A compounded diet with 3</w:t>
      </w:r>
      <w:r w:rsidR="000B00AE" w:rsidRPr="0057363D">
        <w:rPr>
          <w:sz w:val="20"/>
          <w:szCs w:val="20"/>
        </w:rPr>
        <w:t> </w:t>
      </w:r>
      <w:r w:rsidRPr="0057363D">
        <w:rPr>
          <w:sz w:val="20"/>
          <w:szCs w:val="20"/>
        </w:rPr>
        <w:t xml:space="preserve">% of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seed oil (3</w:t>
      </w:r>
      <w:r w:rsidR="000B00AE" w:rsidRPr="0057363D">
        <w:rPr>
          <w:sz w:val="20"/>
          <w:szCs w:val="20"/>
        </w:rPr>
        <w:t> </w:t>
      </w:r>
      <w:r w:rsidRPr="0057363D">
        <w:rPr>
          <w:sz w:val="20"/>
          <w:szCs w:val="20"/>
        </w:rPr>
        <w:t>% TA). Animals were fed seed oil compounded feed for eight weeks.</w:t>
      </w:r>
      <w:r w:rsidR="0057363D" w:rsidRPr="0057363D">
        <w:rPr>
          <w:sz w:val="20"/>
          <w:szCs w:val="20"/>
        </w:rPr>
        <w:t xml:space="preserve"> </w:t>
      </w:r>
    </w:p>
    <w:p w:rsidR="00DB6DC1" w:rsidRPr="0057363D" w:rsidRDefault="00DB6DC1" w:rsidP="0057363D">
      <w:pPr>
        <w:adjustRightInd w:val="0"/>
        <w:snapToGrid w:val="0"/>
        <w:jc w:val="both"/>
        <w:rPr>
          <w:sz w:val="20"/>
          <w:szCs w:val="20"/>
        </w:rPr>
      </w:pPr>
      <w:r w:rsidRPr="0057363D">
        <w:rPr>
          <w:sz w:val="20"/>
          <w:szCs w:val="20"/>
        </w:rPr>
        <w:t xml:space="preserve">        The animals were fasted for 24 h after the last compounded meal and were sacrificed by cervical dislocation. Blood was obtained using 2 ml syringe by cardiac puncture into clean bottles without anticoagulant and were left to stand for 1 h for complete coagulation. The clotted samples were spun at 3000 rpm for 10 minutes, the supernatant serum was removed and it was stored at 4</w:t>
      </w:r>
      <w:r w:rsidR="000B00AE" w:rsidRPr="0057363D">
        <w:rPr>
          <w:sz w:val="20"/>
          <w:szCs w:val="20"/>
        </w:rPr>
        <w:t> </w:t>
      </w:r>
      <w:r w:rsidRPr="0057363D">
        <w:rPr>
          <w:sz w:val="20"/>
          <w:szCs w:val="20"/>
          <w:vertAlign w:val="superscript"/>
        </w:rPr>
        <w:t>0</w:t>
      </w:r>
      <w:r w:rsidRPr="0057363D">
        <w:rPr>
          <w:sz w:val="20"/>
          <w:szCs w:val="20"/>
        </w:rPr>
        <w:t>C. The visceral organs (liver and brain) were quickly removed, washed with 1.15</w:t>
      </w:r>
      <w:r w:rsidR="000B00AE" w:rsidRPr="0057363D">
        <w:rPr>
          <w:sz w:val="20"/>
          <w:szCs w:val="20"/>
        </w:rPr>
        <w:t> </w:t>
      </w:r>
      <w:r w:rsidRPr="0057363D">
        <w:rPr>
          <w:sz w:val="20"/>
          <w:szCs w:val="20"/>
        </w:rPr>
        <w:t xml:space="preserve">% </w:t>
      </w:r>
      <w:proofErr w:type="spellStart"/>
      <w:r w:rsidRPr="0057363D">
        <w:rPr>
          <w:sz w:val="20"/>
          <w:szCs w:val="20"/>
        </w:rPr>
        <w:t>KCl</w:t>
      </w:r>
      <w:proofErr w:type="spellEnd"/>
      <w:r w:rsidRPr="0057363D">
        <w:rPr>
          <w:sz w:val="20"/>
          <w:szCs w:val="20"/>
        </w:rPr>
        <w:t xml:space="preserve">, homogenized in 56 </w:t>
      </w:r>
      <w:proofErr w:type="spellStart"/>
      <w:r w:rsidRPr="0057363D">
        <w:rPr>
          <w:sz w:val="20"/>
          <w:szCs w:val="20"/>
        </w:rPr>
        <w:t>mM</w:t>
      </w:r>
      <w:proofErr w:type="spellEnd"/>
      <w:r w:rsidRPr="0057363D">
        <w:rPr>
          <w:sz w:val="20"/>
          <w:szCs w:val="20"/>
        </w:rPr>
        <w:t xml:space="preserve"> </w:t>
      </w:r>
      <w:proofErr w:type="spellStart"/>
      <w:r w:rsidRPr="0057363D">
        <w:rPr>
          <w:sz w:val="20"/>
          <w:szCs w:val="20"/>
        </w:rPr>
        <w:t>Tris-HCl</w:t>
      </w:r>
      <w:proofErr w:type="spellEnd"/>
      <w:r w:rsidRPr="0057363D">
        <w:rPr>
          <w:sz w:val="20"/>
          <w:szCs w:val="20"/>
        </w:rPr>
        <w:t xml:space="preserve"> buffer (pH 7.4) containing 1.15</w:t>
      </w:r>
      <w:r w:rsidR="000B00AE" w:rsidRPr="0057363D">
        <w:rPr>
          <w:sz w:val="20"/>
          <w:szCs w:val="20"/>
        </w:rPr>
        <w:t> </w:t>
      </w:r>
      <w:r w:rsidRPr="0057363D">
        <w:rPr>
          <w:sz w:val="20"/>
          <w:szCs w:val="20"/>
        </w:rPr>
        <w:t>% potassium chloride and the homogenate was centrifuged at 10,000 rpm for 15 minutes at 4</w:t>
      </w:r>
      <w:r w:rsidR="000B00AE" w:rsidRPr="0057363D">
        <w:rPr>
          <w:sz w:val="20"/>
          <w:szCs w:val="20"/>
        </w:rPr>
        <w:t> </w:t>
      </w:r>
      <w:r w:rsidRPr="0057363D">
        <w:rPr>
          <w:sz w:val="20"/>
          <w:szCs w:val="20"/>
          <w:vertAlign w:val="superscript"/>
        </w:rPr>
        <w:t>0</w:t>
      </w:r>
      <w:r w:rsidRPr="0057363D">
        <w:rPr>
          <w:sz w:val="20"/>
          <w:szCs w:val="20"/>
        </w:rPr>
        <w:t>C. Supernatant was stored until needed. Small pieces of liver and brain sections were fixed in 10</w:t>
      </w:r>
      <w:r w:rsidR="000B00AE" w:rsidRPr="0057363D">
        <w:rPr>
          <w:sz w:val="20"/>
          <w:szCs w:val="20"/>
        </w:rPr>
        <w:t> </w:t>
      </w:r>
      <w:r w:rsidRPr="0057363D">
        <w:rPr>
          <w:sz w:val="20"/>
          <w:szCs w:val="20"/>
        </w:rPr>
        <w:t xml:space="preserve">% formal saline and sent to Veterinary Anatomy Department, University of Ibadan, Ibadan for </w:t>
      </w:r>
      <w:proofErr w:type="spellStart"/>
      <w:r w:rsidRPr="0057363D">
        <w:rPr>
          <w:sz w:val="20"/>
          <w:szCs w:val="20"/>
        </w:rPr>
        <w:t>histopathological</w:t>
      </w:r>
      <w:proofErr w:type="spellEnd"/>
      <w:r w:rsidRPr="0057363D">
        <w:rPr>
          <w:sz w:val="20"/>
          <w:szCs w:val="20"/>
        </w:rPr>
        <w:t xml:space="preserve"> examination.</w:t>
      </w:r>
    </w:p>
    <w:p w:rsidR="00DB6DC1" w:rsidRPr="0057363D" w:rsidRDefault="00DB6DC1" w:rsidP="0057363D">
      <w:pPr>
        <w:adjustRightInd w:val="0"/>
        <w:snapToGrid w:val="0"/>
        <w:jc w:val="both"/>
        <w:rPr>
          <w:sz w:val="20"/>
          <w:szCs w:val="20"/>
        </w:rPr>
      </w:pPr>
      <w:r w:rsidRPr="0057363D">
        <w:rPr>
          <w:sz w:val="20"/>
          <w:szCs w:val="20"/>
        </w:rPr>
        <w:t xml:space="preserve">         Organ protein concentration was done using the </w:t>
      </w:r>
      <w:proofErr w:type="spellStart"/>
      <w:r w:rsidRPr="0057363D">
        <w:rPr>
          <w:sz w:val="20"/>
          <w:szCs w:val="20"/>
        </w:rPr>
        <w:t>Biuret</w:t>
      </w:r>
      <w:proofErr w:type="spellEnd"/>
      <w:r w:rsidRPr="0057363D">
        <w:rPr>
          <w:sz w:val="20"/>
          <w:szCs w:val="20"/>
        </w:rPr>
        <w:t xml:space="preserve"> method (</w:t>
      </w:r>
      <w:proofErr w:type="spellStart"/>
      <w:r w:rsidRPr="0057363D">
        <w:rPr>
          <w:sz w:val="20"/>
          <w:szCs w:val="20"/>
        </w:rPr>
        <w:t>Gornal</w:t>
      </w:r>
      <w:proofErr w:type="spellEnd"/>
      <w:r w:rsidRPr="0057363D">
        <w:rPr>
          <w:sz w:val="20"/>
          <w:szCs w:val="20"/>
        </w:rPr>
        <w:t xml:space="preserve"> </w:t>
      </w:r>
      <w:r w:rsidRPr="0057363D">
        <w:rPr>
          <w:i/>
          <w:sz w:val="20"/>
          <w:szCs w:val="20"/>
        </w:rPr>
        <w:t>et al</w:t>
      </w:r>
      <w:r w:rsidRPr="0057363D">
        <w:rPr>
          <w:sz w:val="20"/>
          <w:szCs w:val="20"/>
        </w:rPr>
        <w:t>.</w:t>
      </w:r>
      <w:r w:rsidRPr="0057363D">
        <w:rPr>
          <w:i/>
          <w:sz w:val="20"/>
          <w:szCs w:val="20"/>
        </w:rPr>
        <w:t>,</w:t>
      </w:r>
      <w:r w:rsidRPr="0057363D">
        <w:rPr>
          <w:sz w:val="20"/>
          <w:szCs w:val="20"/>
        </w:rPr>
        <w:t xml:space="preserve"> 1949) with bovine serum albumin (BSA) as standard. Lipid peroxidation was assayed by measuring </w:t>
      </w:r>
      <w:proofErr w:type="spellStart"/>
      <w:r w:rsidRPr="0057363D">
        <w:rPr>
          <w:sz w:val="20"/>
          <w:szCs w:val="20"/>
        </w:rPr>
        <w:t>thiobarbituric</w:t>
      </w:r>
      <w:proofErr w:type="spellEnd"/>
      <w:r w:rsidRPr="0057363D">
        <w:rPr>
          <w:sz w:val="20"/>
          <w:szCs w:val="20"/>
        </w:rPr>
        <w:t xml:space="preserve"> acid reactive substances (TBARS), by colorimetric reaction of the lipid </w:t>
      </w:r>
      <w:proofErr w:type="spellStart"/>
      <w:r w:rsidRPr="0057363D">
        <w:rPr>
          <w:sz w:val="20"/>
          <w:szCs w:val="20"/>
        </w:rPr>
        <w:t>peroxidation</w:t>
      </w:r>
      <w:proofErr w:type="spellEnd"/>
      <w:r w:rsidRPr="0057363D">
        <w:rPr>
          <w:sz w:val="20"/>
          <w:szCs w:val="20"/>
        </w:rPr>
        <w:t xml:space="preserve"> product </w:t>
      </w:r>
      <w:proofErr w:type="spellStart"/>
      <w:r w:rsidRPr="0057363D">
        <w:rPr>
          <w:sz w:val="20"/>
          <w:szCs w:val="20"/>
        </w:rPr>
        <w:t>malondialdehyde</w:t>
      </w:r>
      <w:proofErr w:type="spellEnd"/>
      <w:r w:rsidRPr="0057363D">
        <w:rPr>
          <w:sz w:val="20"/>
          <w:szCs w:val="20"/>
        </w:rPr>
        <w:t xml:space="preserve"> (MDA) with </w:t>
      </w:r>
      <w:proofErr w:type="spellStart"/>
      <w:r w:rsidRPr="0057363D">
        <w:rPr>
          <w:sz w:val="20"/>
          <w:szCs w:val="20"/>
        </w:rPr>
        <w:t>thiobarbituric</w:t>
      </w:r>
      <w:proofErr w:type="spellEnd"/>
      <w:r w:rsidRPr="0057363D">
        <w:rPr>
          <w:sz w:val="20"/>
          <w:szCs w:val="20"/>
        </w:rPr>
        <w:t xml:space="preserve"> acid (TBA) to form a pink precipitate, which was read at 532 nm by </w:t>
      </w:r>
      <w:proofErr w:type="spellStart"/>
      <w:r w:rsidRPr="0057363D">
        <w:rPr>
          <w:sz w:val="20"/>
          <w:szCs w:val="20"/>
        </w:rPr>
        <w:t>spectrophotometry</w:t>
      </w:r>
      <w:proofErr w:type="spellEnd"/>
      <w:r w:rsidRPr="0057363D">
        <w:rPr>
          <w:sz w:val="20"/>
          <w:szCs w:val="20"/>
        </w:rPr>
        <w:t xml:space="preserve">. </w:t>
      </w:r>
      <w:proofErr w:type="spellStart"/>
      <w:r w:rsidRPr="0057363D">
        <w:rPr>
          <w:sz w:val="20"/>
          <w:szCs w:val="20"/>
        </w:rPr>
        <w:t>Catalase</w:t>
      </w:r>
      <w:proofErr w:type="spellEnd"/>
      <w:r w:rsidRPr="0057363D">
        <w:rPr>
          <w:sz w:val="20"/>
          <w:szCs w:val="20"/>
        </w:rPr>
        <w:t xml:space="preserve"> (CAT) activity was done by measuring the rate of decomposition of hydrogen peroxide at 570 nm as described by </w:t>
      </w:r>
      <w:proofErr w:type="spellStart"/>
      <w:r w:rsidRPr="0057363D">
        <w:rPr>
          <w:sz w:val="20"/>
          <w:szCs w:val="20"/>
        </w:rPr>
        <w:t>Sinha</w:t>
      </w:r>
      <w:proofErr w:type="spellEnd"/>
      <w:r w:rsidRPr="0057363D">
        <w:rPr>
          <w:sz w:val="20"/>
          <w:szCs w:val="20"/>
        </w:rPr>
        <w:t xml:space="preserve">, (1971). Reduced glutathione (GSH) level was determined by </w:t>
      </w:r>
      <w:r w:rsidRPr="0057363D">
        <w:rPr>
          <w:sz w:val="20"/>
          <w:szCs w:val="20"/>
        </w:rPr>
        <w:lastRenderedPageBreak/>
        <w:t xml:space="preserve">measuring the rate of formation of </w:t>
      </w:r>
      <w:proofErr w:type="spellStart"/>
      <w:r w:rsidRPr="0057363D">
        <w:rPr>
          <w:sz w:val="20"/>
          <w:szCs w:val="20"/>
        </w:rPr>
        <w:t>chromphoric</w:t>
      </w:r>
      <w:proofErr w:type="spellEnd"/>
      <w:r w:rsidRPr="0057363D">
        <w:rPr>
          <w:sz w:val="20"/>
          <w:szCs w:val="20"/>
        </w:rPr>
        <w:t xml:space="preserve"> product in a reaction between DTNB (5,5´-dithiobis- (2-nitrbenzoic acid) and free </w:t>
      </w:r>
      <w:proofErr w:type="spellStart"/>
      <w:r w:rsidRPr="0057363D">
        <w:rPr>
          <w:sz w:val="20"/>
          <w:szCs w:val="20"/>
        </w:rPr>
        <w:t>sulphydryl</w:t>
      </w:r>
      <w:proofErr w:type="spellEnd"/>
      <w:r w:rsidRPr="0057363D">
        <w:rPr>
          <w:sz w:val="20"/>
          <w:szCs w:val="20"/>
        </w:rPr>
        <w:t xml:space="preserve"> groups at 412 nm (</w:t>
      </w:r>
      <w:proofErr w:type="spellStart"/>
      <w:r w:rsidRPr="0057363D">
        <w:rPr>
          <w:sz w:val="20"/>
          <w:szCs w:val="20"/>
        </w:rPr>
        <w:t>Beutler</w:t>
      </w:r>
      <w:proofErr w:type="spellEnd"/>
      <w:r w:rsidRPr="0057363D">
        <w:rPr>
          <w:sz w:val="20"/>
          <w:szCs w:val="20"/>
        </w:rPr>
        <w:t xml:space="preserve"> et al., 1963). Superoxide dismutase (SOD) activity was assayed using the method of </w:t>
      </w:r>
      <w:proofErr w:type="spellStart"/>
      <w:r w:rsidRPr="0057363D">
        <w:rPr>
          <w:sz w:val="20"/>
          <w:szCs w:val="20"/>
        </w:rPr>
        <w:t>Misra</w:t>
      </w:r>
      <w:proofErr w:type="spellEnd"/>
      <w:r w:rsidRPr="0057363D">
        <w:rPr>
          <w:sz w:val="20"/>
          <w:szCs w:val="20"/>
        </w:rPr>
        <w:t xml:space="preserve"> and </w:t>
      </w:r>
      <w:proofErr w:type="spellStart"/>
      <w:r w:rsidRPr="0057363D">
        <w:rPr>
          <w:sz w:val="20"/>
          <w:szCs w:val="20"/>
        </w:rPr>
        <w:t>Fridovich</w:t>
      </w:r>
      <w:proofErr w:type="spellEnd"/>
      <w:r w:rsidRPr="0057363D">
        <w:rPr>
          <w:sz w:val="20"/>
          <w:szCs w:val="20"/>
        </w:rPr>
        <w:t xml:space="preserve"> 1972, Cholesterol was determined using </w:t>
      </w:r>
      <w:proofErr w:type="spellStart"/>
      <w:r w:rsidRPr="0057363D">
        <w:rPr>
          <w:sz w:val="20"/>
          <w:szCs w:val="20"/>
        </w:rPr>
        <w:t>Randox</w:t>
      </w:r>
      <w:proofErr w:type="spellEnd"/>
      <w:r w:rsidRPr="0057363D">
        <w:rPr>
          <w:sz w:val="20"/>
          <w:szCs w:val="20"/>
        </w:rPr>
        <w:t xml:space="preserve"> kit. The lipoproteins were assayed using enzymatic colorimetric method for very low density lipoprotein (VLDL) and low density lipoprotein (LDL) by precipitation using </w:t>
      </w:r>
      <w:proofErr w:type="spellStart"/>
      <w:r w:rsidRPr="0057363D">
        <w:rPr>
          <w:sz w:val="20"/>
          <w:szCs w:val="20"/>
        </w:rPr>
        <w:t>phosphotungistic</w:t>
      </w:r>
      <w:proofErr w:type="spellEnd"/>
      <w:r w:rsidRPr="0057363D">
        <w:rPr>
          <w:sz w:val="20"/>
          <w:szCs w:val="20"/>
        </w:rPr>
        <w:t xml:space="preserve"> acid and magnesium chloride. After centrifugation at 3000 g for 10 min at 25</w:t>
      </w:r>
      <w:r w:rsidR="000B00AE" w:rsidRPr="0057363D">
        <w:rPr>
          <w:sz w:val="20"/>
          <w:szCs w:val="20"/>
        </w:rPr>
        <w:t> </w:t>
      </w:r>
      <w:r w:rsidRPr="0057363D">
        <w:rPr>
          <w:sz w:val="20"/>
          <w:szCs w:val="20"/>
          <w:vertAlign w:val="superscript"/>
        </w:rPr>
        <w:t>0</w:t>
      </w:r>
      <w:r w:rsidRPr="0057363D">
        <w:rPr>
          <w:sz w:val="20"/>
          <w:szCs w:val="20"/>
        </w:rPr>
        <w:t xml:space="preserve">C, the clear supernatant contained high density lipoprotein (HDL) fraction using HDL-cholesterol precipitant kit. The LDL-cholesterol (LDL-c) was calculated using the formulae of </w:t>
      </w:r>
      <w:proofErr w:type="spellStart"/>
      <w:r w:rsidRPr="0057363D">
        <w:rPr>
          <w:sz w:val="20"/>
          <w:szCs w:val="20"/>
        </w:rPr>
        <w:t>Friedwald</w:t>
      </w:r>
      <w:proofErr w:type="spellEnd"/>
      <w:r w:rsidRPr="0057363D">
        <w:rPr>
          <w:sz w:val="20"/>
          <w:szCs w:val="20"/>
        </w:rPr>
        <w:t xml:space="preserve"> </w:t>
      </w:r>
      <w:r w:rsidRPr="0057363D">
        <w:rPr>
          <w:i/>
          <w:sz w:val="20"/>
          <w:szCs w:val="20"/>
        </w:rPr>
        <w:t>et al</w:t>
      </w:r>
      <w:r w:rsidRPr="0057363D">
        <w:rPr>
          <w:sz w:val="20"/>
          <w:szCs w:val="20"/>
        </w:rPr>
        <w:t xml:space="preserve">., (1972). Serum </w:t>
      </w:r>
      <w:proofErr w:type="spellStart"/>
      <w:r w:rsidRPr="0057363D">
        <w:rPr>
          <w:sz w:val="20"/>
          <w:szCs w:val="20"/>
        </w:rPr>
        <w:t>alanine</w:t>
      </w:r>
      <w:proofErr w:type="spellEnd"/>
      <w:r w:rsidRPr="0057363D">
        <w:rPr>
          <w:sz w:val="20"/>
          <w:szCs w:val="20"/>
        </w:rPr>
        <w:t xml:space="preserve"> </w:t>
      </w:r>
      <w:proofErr w:type="spellStart"/>
      <w:r w:rsidRPr="0057363D">
        <w:rPr>
          <w:sz w:val="20"/>
          <w:szCs w:val="20"/>
        </w:rPr>
        <w:t>aminotransferase</w:t>
      </w:r>
      <w:proofErr w:type="spellEnd"/>
      <w:r w:rsidRPr="0057363D">
        <w:rPr>
          <w:sz w:val="20"/>
          <w:szCs w:val="20"/>
        </w:rPr>
        <w:t xml:space="preserve"> (ALT) and </w:t>
      </w:r>
      <w:proofErr w:type="spellStart"/>
      <w:r w:rsidRPr="0057363D">
        <w:rPr>
          <w:sz w:val="20"/>
          <w:szCs w:val="20"/>
        </w:rPr>
        <w:t>aspartate</w:t>
      </w:r>
      <w:proofErr w:type="spellEnd"/>
      <w:r w:rsidRPr="0057363D">
        <w:rPr>
          <w:sz w:val="20"/>
          <w:szCs w:val="20"/>
        </w:rPr>
        <w:t xml:space="preserve"> </w:t>
      </w:r>
      <w:proofErr w:type="spellStart"/>
      <w:r w:rsidRPr="0057363D">
        <w:rPr>
          <w:sz w:val="20"/>
          <w:szCs w:val="20"/>
        </w:rPr>
        <w:t>aminotransferase</w:t>
      </w:r>
      <w:proofErr w:type="spellEnd"/>
      <w:r w:rsidRPr="0057363D">
        <w:rPr>
          <w:sz w:val="20"/>
          <w:szCs w:val="20"/>
        </w:rPr>
        <w:t xml:space="preserve"> (AST) were assayed using </w:t>
      </w:r>
      <w:proofErr w:type="spellStart"/>
      <w:r w:rsidRPr="0057363D">
        <w:rPr>
          <w:sz w:val="20"/>
          <w:szCs w:val="20"/>
        </w:rPr>
        <w:t>Randox</w:t>
      </w:r>
      <w:proofErr w:type="spellEnd"/>
      <w:r w:rsidRPr="0057363D">
        <w:rPr>
          <w:sz w:val="20"/>
          <w:szCs w:val="20"/>
        </w:rPr>
        <w:t xml:space="preserve"> kits.</w:t>
      </w:r>
    </w:p>
    <w:p w:rsidR="00DB6DC1" w:rsidRPr="0057363D" w:rsidRDefault="00DB6DC1" w:rsidP="0057363D">
      <w:pPr>
        <w:adjustRightInd w:val="0"/>
        <w:snapToGrid w:val="0"/>
        <w:jc w:val="both"/>
        <w:rPr>
          <w:sz w:val="20"/>
          <w:szCs w:val="20"/>
          <w:lang w:eastAsia="fr-FR"/>
        </w:rPr>
      </w:pPr>
      <w:r w:rsidRPr="0057363D">
        <w:rPr>
          <w:sz w:val="20"/>
          <w:szCs w:val="20"/>
          <w:lang w:eastAsia="fr-FR"/>
        </w:rPr>
        <w:t xml:space="preserve">         At the time of sacrifice, the liver tissues were removed and fixed in 10</w:t>
      </w:r>
      <w:r w:rsidR="000B00AE" w:rsidRPr="0057363D">
        <w:rPr>
          <w:sz w:val="20"/>
          <w:szCs w:val="20"/>
          <w:lang w:eastAsia="fr-FR"/>
        </w:rPr>
        <w:t> </w:t>
      </w:r>
      <w:r w:rsidRPr="0057363D">
        <w:rPr>
          <w:sz w:val="20"/>
          <w:szCs w:val="20"/>
          <w:lang w:eastAsia="fr-FR"/>
        </w:rPr>
        <w:t xml:space="preserve">% formaldehyde solution and sent to Veterinary Anatomy Department, University of Ibadan, for histopathology examinations. Briefly, the tissues were washed by dehydration in increasing gradient of ethanol and finally cleared in toluene. The tissues were then embedded in molten paraffin wax. Sections were cut at 5 µm thickness and stained with </w:t>
      </w:r>
      <w:proofErr w:type="spellStart"/>
      <w:r w:rsidRPr="0057363D">
        <w:rPr>
          <w:sz w:val="20"/>
          <w:szCs w:val="20"/>
          <w:lang w:eastAsia="fr-FR"/>
        </w:rPr>
        <w:t>hematoxylin</w:t>
      </w:r>
      <w:proofErr w:type="spellEnd"/>
      <w:r w:rsidRPr="0057363D">
        <w:rPr>
          <w:sz w:val="20"/>
          <w:szCs w:val="20"/>
          <w:lang w:eastAsia="fr-FR"/>
        </w:rPr>
        <w:t xml:space="preserve"> and eosin. The slides were photographed with an Olympus UTU1X-2 camera connected to an Olympus CX41 microscope (Tokyo, Japan).</w:t>
      </w:r>
    </w:p>
    <w:p w:rsidR="00DB6DC1" w:rsidRPr="0057363D" w:rsidRDefault="00DB6DC1" w:rsidP="0057363D">
      <w:pPr>
        <w:adjustRightInd w:val="0"/>
        <w:snapToGrid w:val="0"/>
        <w:jc w:val="both"/>
        <w:rPr>
          <w:sz w:val="20"/>
          <w:szCs w:val="20"/>
        </w:rPr>
      </w:pPr>
      <w:r w:rsidRPr="0057363D">
        <w:rPr>
          <w:sz w:val="20"/>
          <w:szCs w:val="20"/>
        </w:rPr>
        <w:t xml:space="preserve">         Data was expressed as mean ± S.D of seven determinations, except for the proximate analysis which was done in triplicate. All data was analyzed using one way analysis of variance (ANOVA) and complimented with student t-test. Values for p &lt; 0.05 were considered to be statistically significant.</w:t>
      </w:r>
    </w:p>
    <w:p w:rsidR="00DB6DC1" w:rsidRPr="0057363D" w:rsidRDefault="00DB6DC1" w:rsidP="0057363D">
      <w:pPr>
        <w:autoSpaceDE w:val="0"/>
        <w:autoSpaceDN w:val="0"/>
        <w:adjustRightInd w:val="0"/>
        <w:snapToGrid w:val="0"/>
        <w:jc w:val="both"/>
        <w:rPr>
          <w:b/>
          <w:sz w:val="20"/>
          <w:szCs w:val="20"/>
        </w:rPr>
      </w:pPr>
      <w:r w:rsidRPr="0057363D">
        <w:rPr>
          <w:b/>
          <w:sz w:val="20"/>
          <w:szCs w:val="20"/>
        </w:rPr>
        <w:t xml:space="preserve">3. Results </w:t>
      </w:r>
    </w:p>
    <w:p w:rsidR="00DB6DC1" w:rsidRPr="0057363D" w:rsidRDefault="00DB6DC1" w:rsidP="0057363D">
      <w:pPr>
        <w:autoSpaceDE w:val="0"/>
        <w:autoSpaceDN w:val="0"/>
        <w:adjustRightInd w:val="0"/>
        <w:snapToGrid w:val="0"/>
        <w:jc w:val="both"/>
        <w:rPr>
          <w:b/>
          <w:sz w:val="20"/>
          <w:szCs w:val="20"/>
        </w:rPr>
      </w:pP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Table 1: Physiochemical properties of </w:t>
      </w:r>
      <w:proofErr w:type="spellStart"/>
      <w:r w:rsidRPr="0057363D">
        <w:rPr>
          <w:i/>
          <w:sz w:val="20"/>
          <w:szCs w:val="20"/>
        </w:rPr>
        <w:t>Treculia</w:t>
      </w:r>
      <w:proofErr w:type="spellEnd"/>
      <w:r w:rsidR="0057363D" w:rsidRPr="0057363D">
        <w:rPr>
          <w:i/>
          <w:sz w:val="20"/>
          <w:szCs w:val="20"/>
        </w:rPr>
        <w:t xml:space="preserve"> </w:t>
      </w:r>
      <w:proofErr w:type="spellStart"/>
      <w:r w:rsidRPr="0057363D">
        <w:rPr>
          <w:i/>
          <w:sz w:val="20"/>
          <w:szCs w:val="20"/>
        </w:rPr>
        <w:t>africana</w:t>
      </w:r>
      <w:proofErr w:type="spellEnd"/>
      <w:r w:rsidRPr="0057363D">
        <w:rPr>
          <w:sz w:val="20"/>
          <w:szCs w:val="20"/>
        </w:rPr>
        <w:t xml:space="preserve"> oil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tblGrid>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Parameter</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TA oil</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proofErr w:type="spellStart"/>
            <w:r w:rsidRPr="0057363D">
              <w:rPr>
                <w:rFonts w:eastAsia="Calibri"/>
                <w:sz w:val="20"/>
                <w:szCs w:val="20"/>
              </w:rPr>
              <w:t>Saponification</w:t>
            </w:r>
            <w:proofErr w:type="spellEnd"/>
            <w:r w:rsidRPr="0057363D">
              <w:rPr>
                <w:rFonts w:eastAsia="Calibri"/>
                <w:sz w:val="20"/>
                <w:szCs w:val="20"/>
              </w:rPr>
              <w:t xml:space="preserve"> value (mg KOH/100g)</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212.90±4.40</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Iodine value (mg I</w:t>
            </w:r>
            <w:r w:rsidRPr="0057363D">
              <w:rPr>
                <w:rFonts w:eastAsia="Calibri"/>
                <w:sz w:val="20"/>
                <w:szCs w:val="20"/>
                <w:vertAlign w:val="subscript"/>
              </w:rPr>
              <w:t>2</w:t>
            </w:r>
            <w:r w:rsidRPr="0057363D">
              <w:rPr>
                <w:rFonts w:eastAsia="Calibri"/>
                <w:sz w:val="20"/>
                <w:szCs w:val="20"/>
              </w:rPr>
              <w:t>/100g)</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27.50±2.32</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 xml:space="preserve">Peroxide value (m </w:t>
            </w:r>
            <w:proofErr w:type="spellStart"/>
            <w:r w:rsidRPr="0057363D">
              <w:rPr>
                <w:rFonts w:eastAsia="Calibri"/>
                <w:sz w:val="20"/>
                <w:szCs w:val="20"/>
              </w:rPr>
              <w:t>Eq</w:t>
            </w:r>
            <w:proofErr w:type="spellEnd"/>
            <w:r w:rsidRPr="0057363D">
              <w:rPr>
                <w:rFonts w:eastAsia="Calibri"/>
                <w:sz w:val="20"/>
                <w:szCs w:val="20"/>
              </w:rPr>
              <w:t>/kg oil)</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1.75±0.07</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Acid value (mg KOH/g oil</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8.41±1.25</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Specific gravity (g/ml)</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0.89±0.03</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Solidification point (</w:t>
            </w:r>
            <w:r w:rsidRPr="0057363D">
              <w:rPr>
                <w:rFonts w:ascii="Cambria Math" w:eastAsia="Calibri" w:hAnsi="Cambria Math" w:cs="Cambria Math"/>
                <w:sz w:val="20"/>
                <w:szCs w:val="20"/>
              </w:rPr>
              <w:t>⁰</w:t>
            </w:r>
            <w:r w:rsidRPr="0057363D">
              <w:rPr>
                <w:rFonts w:eastAsia="Calibri"/>
                <w:sz w:val="20"/>
                <w:szCs w:val="20"/>
              </w:rPr>
              <w:t>C)</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20-24</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Smoke point (</w:t>
            </w:r>
            <w:r w:rsidRPr="0057363D">
              <w:rPr>
                <w:rFonts w:ascii="Cambria Math" w:eastAsia="Calibri" w:hAnsi="Cambria Math" w:cs="Cambria Math"/>
                <w:sz w:val="20"/>
                <w:szCs w:val="20"/>
              </w:rPr>
              <w:t>⁰</w:t>
            </w:r>
            <w:r w:rsidRPr="0057363D">
              <w:rPr>
                <w:rFonts w:eastAsia="Calibri"/>
                <w:sz w:val="20"/>
                <w:szCs w:val="20"/>
              </w:rPr>
              <w:t>C)</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201</w:t>
            </w:r>
          </w:p>
        </w:tc>
      </w:tr>
      <w:tr w:rsidR="00DB6DC1" w:rsidRPr="0057363D" w:rsidTr="002513CD">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Flash point (</w:t>
            </w:r>
            <w:r w:rsidRPr="0057363D">
              <w:rPr>
                <w:rFonts w:ascii="Cambria Math" w:eastAsia="Calibri" w:hAnsi="Cambria Math" w:cs="Cambria Math"/>
                <w:sz w:val="20"/>
                <w:szCs w:val="20"/>
              </w:rPr>
              <w:t>⁰</w:t>
            </w:r>
            <w:r w:rsidRPr="0057363D">
              <w:rPr>
                <w:rFonts w:eastAsia="Calibri"/>
                <w:sz w:val="20"/>
                <w:szCs w:val="20"/>
              </w:rPr>
              <w:t>C)</w:t>
            </w:r>
          </w:p>
        </w:tc>
        <w:tc>
          <w:tcPr>
            <w:tcW w:w="2268" w:type="dxa"/>
            <w:shd w:val="clear" w:color="auto" w:fill="auto"/>
          </w:tcPr>
          <w:p w:rsidR="00DB6DC1" w:rsidRPr="0057363D" w:rsidRDefault="00DB6DC1" w:rsidP="0057363D">
            <w:pPr>
              <w:autoSpaceDE w:val="0"/>
              <w:autoSpaceDN w:val="0"/>
              <w:adjustRightInd w:val="0"/>
              <w:snapToGrid w:val="0"/>
              <w:jc w:val="both"/>
              <w:rPr>
                <w:rFonts w:eastAsia="Calibri"/>
                <w:sz w:val="20"/>
                <w:szCs w:val="20"/>
              </w:rPr>
            </w:pPr>
            <w:r w:rsidRPr="0057363D">
              <w:rPr>
                <w:rFonts w:eastAsia="Calibri"/>
                <w:sz w:val="20"/>
                <w:szCs w:val="20"/>
              </w:rPr>
              <w:t>232</w:t>
            </w:r>
          </w:p>
        </w:tc>
      </w:tr>
    </w:tbl>
    <w:p w:rsidR="00DB6DC1" w:rsidRPr="0057363D" w:rsidRDefault="00DB6DC1" w:rsidP="0057363D">
      <w:pPr>
        <w:autoSpaceDE w:val="0"/>
        <w:autoSpaceDN w:val="0"/>
        <w:adjustRightInd w:val="0"/>
        <w:snapToGrid w:val="0"/>
        <w:jc w:val="both"/>
        <w:rPr>
          <w:b/>
          <w:sz w:val="20"/>
          <w:szCs w:val="20"/>
        </w:rPr>
      </w:pPr>
    </w:p>
    <w:p w:rsidR="00DB6DC1" w:rsidRPr="0057363D" w:rsidRDefault="00DB6DC1" w:rsidP="0057363D">
      <w:pPr>
        <w:autoSpaceDE w:val="0"/>
        <w:autoSpaceDN w:val="0"/>
        <w:adjustRightInd w:val="0"/>
        <w:snapToGrid w:val="0"/>
        <w:jc w:val="both"/>
        <w:rPr>
          <w:b/>
          <w:sz w:val="20"/>
          <w:szCs w:val="20"/>
        </w:rPr>
      </w:pPr>
    </w:p>
    <w:p w:rsidR="00DB6DC1" w:rsidRPr="0057363D" w:rsidRDefault="00DB6DC1" w:rsidP="0057363D">
      <w:pPr>
        <w:adjustRightInd w:val="0"/>
        <w:snapToGrid w:val="0"/>
        <w:rPr>
          <w:sz w:val="20"/>
          <w:szCs w:val="20"/>
        </w:rPr>
      </w:pPr>
      <w:r w:rsidRPr="0057363D">
        <w:rPr>
          <w:sz w:val="20"/>
          <w:szCs w:val="20"/>
        </w:rPr>
        <w:lastRenderedPageBreak/>
        <w:t xml:space="preserve">Table 2: Effect of </w:t>
      </w:r>
      <w:proofErr w:type="spellStart"/>
      <w:r w:rsidRPr="0057363D">
        <w:rPr>
          <w:i/>
          <w:sz w:val="20"/>
          <w:szCs w:val="20"/>
        </w:rPr>
        <w:t>Treculia</w:t>
      </w:r>
      <w:proofErr w:type="spellEnd"/>
      <w:r w:rsidRPr="0057363D">
        <w:rPr>
          <w:i/>
          <w:sz w:val="20"/>
          <w:szCs w:val="20"/>
        </w:rPr>
        <w:t xml:space="preserve"> </w:t>
      </w:r>
      <w:proofErr w:type="spellStart"/>
      <w:r w:rsidRPr="0057363D">
        <w:rPr>
          <w:i/>
          <w:sz w:val="20"/>
          <w:szCs w:val="20"/>
        </w:rPr>
        <w:t>africana</w:t>
      </w:r>
      <w:proofErr w:type="spellEnd"/>
      <w:r w:rsidRPr="0057363D">
        <w:rPr>
          <w:sz w:val="20"/>
          <w:szCs w:val="20"/>
        </w:rPr>
        <w:t xml:space="preserve"> seed oil based formulated feed on body weight and organ weight of rats for eight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814"/>
        <w:gridCol w:w="848"/>
        <w:gridCol w:w="565"/>
        <w:gridCol w:w="814"/>
        <w:gridCol w:w="852"/>
      </w:tblGrid>
      <w:tr w:rsidR="00DB6DC1" w:rsidRPr="00901267" w:rsidTr="00901267">
        <w:trPr>
          <w:trHeight w:val="144"/>
        </w:trPr>
        <w:tc>
          <w:tcPr>
            <w:tcW w:w="76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Treatment Group</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Initial weight(g)</w:t>
            </w:r>
          </w:p>
        </w:tc>
        <w:tc>
          <w:tcPr>
            <w:tcW w:w="923"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Final weight (g)</w:t>
            </w:r>
          </w:p>
        </w:tc>
        <w:tc>
          <w:tcPr>
            <w:tcW w:w="61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 Weight gain</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Liver (g)</w:t>
            </w:r>
          </w:p>
        </w:tc>
        <w:tc>
          <w:tcPr>
            <w:tcW w:w="927"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Brain (g)</w:t>
            </w:r>
          </w:p>
        </w:tc>
      </w:tr>
      <w:tr w:rsidR="00DB6DC1" w:rsidRPr="00901267" w:rsidTr="00901267">
        <w:trPr>
          <w:trHeight w:val="144"/>
        </w:trPr>
        <w:tc>
          <w:tcPr>
            <w:tcW w:w="76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Group 1 (10% VO)</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123.33±1.66</w:t>
            </w:r>
          </w:p>
        </w:tc>
        <w:tc>
          <w:tcPr>
            <w:tcW w:w="923"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193.33±6.66</w:t>
            </w:r>
          </w:p>
        </w:tc>
        <w:tc>
          <w:tcPr>
            <w:tcW w:w="61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36.20</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5.693±0.046</w:t>
            </w:r>
          </w:p>
        </w:tc>
        <w:tc>
          <w:tcPr>
            <w:tcW w:w="927"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2.15±0.712</w:t>
            </w:r>
          </w:p>
        </w:tc>
      </w:tr>
      <w:tr w:rsidR="00DB6DC1" w:rsidRPr="00901267" w:rsidTr="00901267">
        <w:trPr>
          <w:trHeight w:val="149"/>
        </w:trPr>
        <w:tc>
          <w:tcPr>
            <w:tcW w:w="76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Group 2 (10% TA)</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123.33±1.66</w:t>
            </w:r>
          </w:p>
        </w:tc>
        <w:tc>
          <w:tcPr>
            <w:tcW w:w="923"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181.66±1.66</w:t>
            </w:r>
            <w:r w:rsidRPr="00901267">
              <w:rPr>
                <w:rFonts w:eastAsia="Calibri"/>
                <w:sz w:val="14"/>
                <w:szCs w:val="14"/>
                <w:vertAlign w:val="superscript"/>
              </w:rPr>
              <w:t>a</w:t>
            </w:r>
          </w:p>
        </w:tc>
        <w:tc>
          <w:tcPr>
            <w:tcW w:w="61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32.1</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5.72±0.070</w:t>
            </w:r>
            <w:r w:rsidRPr="00901267">
              <w:rPr>
                <w:rFonts w:eastAsia="Calibri"/>
                <w:sz w:val="14"/>
                <w:szCs w:val="14"/>
                <w:vertAlign w:val="superscript"/>
              </w:rPr>
              <w:t>a</w:t>
            </w:r>
          </w:p>
        </w:tc>
        <w:tc>
          <w:tcPr>
            <w:tcW w:w="927"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1.98±0.556</w:t>
            </w:r>
            <w:r w:rsidRPr="00901267">
              <w:rPr>
                <w:rFonts w:eastAsia="Calibri"/>
                <w:sz w:val="14"/>
                <w:szCs w:val="14"/>
                <w:vertAlign w:val="superscript"/>
              </w:rPr>
              <w:t>a</w:t>
            </w:r>
          </w:p>
        </w:tc>
      </w:tr>
      <w:tr w:rsidR="00DB6DC1" w:rsidRPr="00901267" w:rsidTr="00901267">
        <w:trPr>
          <w:trHeight w:val="144"/>
        </w:trPr>
        <w:tc>
          <w:tcPr>
            <w:tcW w:w="76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Group 3 (5% TA)</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125.0±0.00</w:t>
            </w:r>
          </w:p>
        </w:tc>
        <w:tc>
          <w:tcPr>
            <w:tcW w:w="923"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200.0±5.77</w:t>
            </w:r>
            <w:r w:rsidRPr="00901267">
              <w:rPr>
                <w:rFonts w:eastAsia="Calibri"/>
                <w:sz w:val="14"/>
                <w:szCs w:val="14"/>
                <w:vertAlign w:val="superscript"/>
              </w:rPr>
              <w:t>b</w:t>
            </w:r>
          </w:p>
        </w:tc>
        <w:tc>
          <w:tcPr>
            <w:tcW w:w="61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37.5</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6.75±0.093</w:t>
            </w:r>
            <w:r w:rsidRPr="00901267">
              <w:rPr>
                <w:rFonts w:eastAsia="Calibri"/>
                <w:sz w:val="14"/>
                <w:szCs w:val="14"/>
                <w:vertAlign w:val="superscript"/>
              </w:rPr>
              <w:t>b</w:t>
            </w:r>
          </w:p>
        </w:tc>
        <w:tc>
          <w:tcPr>
            <w:tcW w:w="927"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2.116±0.338</w:t>
            </w:r>
            <w:r w:rsidRPr="00901267">
              <w:rPr>
                <w:rFonts w:eastAsia="Calibri"/>
                <w:sz w:val="14"/>
                <w:szCs w:val="14"/>
                <w:vertAlign w:val="superscript"/>
              </w:rPr>
              <w:t>b</w:t>
            </w:r>
          </w:p>
        </w:tc>
      </w:tr>
      <w:tr w:rsidR="00DB6DC1" w:rsidRPr="00901267" w:rsidTr="00901267">
        <w:trPr>
          <w:trHeight w:val="149"/>
        </w:trPr>
        <w:tc>
          <w:tcPr>
            <w:tcW w:w="76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Group 4 (3% TA)</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119.0±2.08</w:t>
            </w:r>
          </w:p>
        </w:tc>
        <w:tc>
          <w:tcPr>
            <w:tcW w:w="923"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190.0±10.00</w:t>
            </w:r>
          </w:p>
        </w:tc>
        <w:tc>
          <w:tcPr>
            <w:tcW w:w="615"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38.9</w:t>
            </w:r>
          </w:p>
        </w:tc>
        <w:tc>
          <w:tcPr>
            <w:tcW w:w="886"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5.53±0.208</w:t>
            </w:r>
            <w:r w:rsidRPr="00901267">
              <w:rPr>
                <w:rFonts w:eastAsia="Calibri"/>
                <w:sz w:val="14"/>
                <w:szCs w:val="14"/>
                <w:vertAlign w:val="superscript"/>
              </w:rPr>
              <w:t>b</w:t>
            </w:r>
          </w:p>
        </w:tc>
        <w:tc>
          <w:tcPr>
            <w:tcW w:w="927" w:type="pct"/>
            <w:shd w:val="clear" w:color="auto" w:fill="auto"/>
          </w:tcPr>
          <w:p w:rsidR="00DB6DC1" w:rsidRPr="00901267" w:rsidRDefault="00DB6DC1" w:rsidP="0057363D">
            <w:pPr>
              <w:adjustRightInd w:val="0"/>
              <w:snapToGrid w:val="0"/>
              <w:rPr>
                <w:rFonts w:eastAsia="Calibri"/>
                <w:sz w:val="14"/>
                <w:szCs w:val="14"/>
              </w:rPr>
            </w:pPr>
            <w:r w:rsidRPr="00901267">
              <w:rPr>
                <w:rFonts w:eastAsia="Calibri"/>
                <w:sz w:val="14"/>
                <w:szCs w:val="14"/>
              </w:rPr>
              <w:t>2.05±0.305</w:t>
            </w:r>
            <w:r w:rsidRPr="00901267">
              <w:rPr>
                <w:rFonts w:eastAsia="Calibri"/>
                <w:sz w:val="14"/>
                <w:szCs w:val="14"/>
                <w:vertAlign w:val="superscript"/>
              </w:rPr>
              <w:t>b</w:t>
            </w:r>
          </w:p>
        </w:tc>
      </w:tr>
    </w:tbl>
    <w:p w:rsidR="00DB6DC1" w:rsidRPr="0057363D" w:rsidRDefault="00DB6DC1" w:rsidP="0057363D">
      <w:pPr>
        <w:autoSpaceDE w:val="0"/>
        <w:autoSpaceDN w:val="0"/>
        <w:adjustRightInd w:val="0"/>
        <w:snapToGrid w:val="0"/>
        <w:jc w:val="both"/>
        <w:rPr>
          <w:sz w:val="20"/>
          <w:szCs w:val="20"/>
        </w:rPr>
      </w:pPr>
      <w:r w:rsidRPr="0057363D">
        <w:rPr>
          <w:sz w:val="20"/>
          <w:szCs w:val="20"/>
        </w:rPr>
        <w:t>The results are shown as means ± SE for each group of seven rats per group.</w:t>
      </w:r>
    </w:p>
    <w:p w:rsidR="00DB6DC1" w:rsidRPr="0057363D" w:rsidRDefault="0057363D" w:rsidP="0057363D">
      <w:pPr>
        <w:autoSpaceDE w:val="0"/>
        <w:autoSpaceDN w:val="0"/>
        <w:adjustRightInd w:val="0"/>
        <w:snapToGrid w:val="0"/>
        <w:jc w:val="both"/>
        <w:rPr>
          <w:i/>
          <w:iCs/>
          <w:sz w:val="20"/>
          <w:szCs w:val="20"/>
        </w:rPr>
      </w:pPr>
      <w:r w:rsidRPr="0057363D">
        <w:rPr>
          <w:sz w:val="20"/>
          <w:szCs w:val="20"/>
        </w:rPr>
        <w:t xml:space="preserve"> </w:t>
      </w:r>
      <w:r w:rsidR="00DB6DC1" w:rsidRPr="0057363D">
        <w:rPr>
          <w:sz w:val="20"/>
          <w:szCs w:val="20"/>
        </w:rPr>
        <w:t>a= p &lt; 0.05 when compared with the control</w:t>
      </w:r>
      <w:r w:rsidRPr="0057363D">
        <w:rPr>
          <w:sz w:val="20"/>
          <w:szCs w:val="20"/>
        </w:rPr>
        <w:t xml:space="preserve">; </w:t>
      </w:r>
      <w:r w:rsidR="00DB6DC1" w:rsidRPr="0057363D">
        <w:rPr>
          <w:sz w:val="20"/>
          <w:szCs w:val="20"/>
        </w:rPr>
        <w:t>V.O= Vegetable oil</w:t>
      </w:r>
      <w:r w:rsidRPr="0057363D">
        <w:rPr>
          <w:sz w:val="20"/>
          <w:szCs w:val="20"/>
        </w:rPr>
        <w:t xml:space="preserve"> </w:t>
      </w:r>
    </w:p>
    <w:p w:rsidR="00DB6DC1" w:rsidRPr="0057363D" w:rsidRDefault="0057363D" w:rsidP="0057363D">
      <w:pPr>
        <w:autoSpaceDE w:val="0"/>
        <w:autoSpaceDN w:val="0"/>
        <w:adjustRightInd w:val="0"/>
        <w:snapToGrid w:val="0"/>
        <w:jc w:val="both"/>
        <w:rPr>
          <w:sz w:val="20"/>
          <w:szCs w:val="20"/>
        </w:rPr>
      </w:pPr>
      <w:r w:rsidRPr="0057363D">
        <w:rPr>
          <w:i/>
          <w:iCs/>
          <w:sz w:val="20"/>
          <w:szCs w:val="20"/>
        </w:rPr>
        <w:t xml:space="preserve"> </w:t>
      </w:r>
      <w:r w:rsidR="00DB6DC1" w:rsidRPr="0057363D">
        <w:rPr>
          <w:sz w:val="20"/>
          <w:szCs w:val="20"/>
        </w:rPr>
        <w:t>b= p &lt; 0.05 when compared with 10% TA</w:t>
      </w:r>
      <w:r w:rsidRPr="0057363D">
        <w:rPr>
          <w:sz w:val="20"/>
          <w:szCs w:val="20"/>
        </w:rPr>
        <w:t xml:space="preserve">;  </w:t>
      </w:r>
      <w:r w:rsidR="00DB6DC1" w:rsidRPr="0057363D">
        <w:rPr>
          <w:sz w:val="20"/>
          <w:szCs w:val="20"/>
        </w:rPr>
        <w:t xml:space="preserve">T.A= </w:t>
      </w:r>
      <w:proofErr w:type="spellStart"/>
      <w:r w:rsidR="00DB6DC1" w:rsidRPr="0057363D">
        <w:rPr>
          <w:i/>
          <w:iCs/>
          <w:sz w:val="20"/>
          <w:szCs w:val="20"/>
        </w:rPr>
        <w:t>Treculia</w:t>
      </w:r>
      <w:proofErr w:type="spellEnd"/>
      <w:r w:rsidR="00DB6DC1" w:rsidRPr="0057363D">
        <w:rPr>
          <w:i/>
          <w:iCs/>
          <w:sz w:val="20"/>
          <w:szCs w:val="20"/>
        </w:rPr>
        <w:t xml:space="preserve"> </w:t>
      </w:r>
      <w:proofErr w:type="spellStart"/>
      <w:r w:rsidR="00DB6DC1" w:rsidRPr="0057363D">
        <w:rPr>
          <w:i/>
          <w:iCs/>
          <w:sz w:val="20"/>
          <w:szCs w:val="20"/>
        </w:rPr>
        <w:t>africana</w:t>
      </w:r>
      <w:proofErr w:type="spellEnd"/>
      <w:r w:rsidR="00DB6DC1" w:rsidRPr="0057363D">
        <w:rPr>
          <w:sz w:val="20"/>
          <w:szCs w:val="20"/>
        </w:rPr>
        <w:t xml:space="preserve"> </w:t>
      </w:r>
    </w:p>
    <w:p w:rsidR="00DB6DC1" w:rsidRPr="0057363D" w:rsidRDefault="00DB6DC1" w:rsidP="0057363D">
      <w:pPr>
        <w:autoSpaceDE w:val="0"/>
        <w:autoSpaceDN w:val="0"/>
        <w:adjustRightInd w:val="0"/>
        <w:snapToGrid w:val="0"/>
        <w:jc w:val="both"/>
        <w:rPr>
          <w:b/>
          <w:sz w:val="20"/>
          <w:szCs w:val="20"/>
        </w:rPr>
      </w:pPr>
    </w:p>
    <w:p w:rsidR="00DB6DC1" w:rsidRPr="0057363D" w:rsidRDefault="00DB6DC1" w:rsidP="0057363D">
      <w:pPr>
        <w:autoSpaceDE w:val="0"/>
        <w:autoSpaceDN w:val="0"/>
        <w:adjustRightInd w:val="0"/>
        <w:snapToGrid w:val="0"/>
        <w:jc w:val="both"/>
        <w:rPr>
          <w:iCs/>
          <w:sz w:val="20"/>
          <w:szCs w:val="20"/>
        </w:rPr>
      </w:pPr>
      <w:r w:rsidRPr="0057363D">
        <w:rPr>
          <w:iCs/>
          <w:sz w:val="20"/>
          <w:szCs w:val="20"/>
        </w:rPr>
        <w:t xml:space="preserve">          On Tables 1 are data obtained for the physiochemical properties of TA seed oil. P</w:t>
      </w:r>
      <w:r w:rsidRPr="0057363D">
        <w:rPr>
          <w:sz w:val="20"/>
          <w:szCs w:val="20"/>
        </w:rPr>
        <w:t xml:space="preserve">hysicochemical properties examined were </w:t>
      </w:r>
      <w:proofErr w:type="spellStart"/>
      <w:r w:rsidRPr="0057363D">
        <w:rPr>
          <w:sz w:val="20"/>
          <w:szCs w:val="20"/>
        </w:rPr>
        <w:t>saponification</w:t>
      </w:r>
      <w:proofErr w:type="spellEnd"/>
      <w:r w:rsidRPr="0057363D">
        <w:rPr>
          <w:sz w:val="20"/>
          <w:szCs w:val="20"/>
        </w:rPr>
        <w:t>, iodine, peroxide and acid values and (212.9±4.50 mgKOH/100g; 27.5±2.32 mgI</w:t>
      </w:r>
      <w:r w:rsidRPr="0057363D">
        <w:rPr>
          <w:sz w:val="20"/>
          <w:szCs w:val="20"/>
          <w:vertAlign w:val="subscript"/>
        </w:rPr>
        <w:t>2</w:t>
      </w:r>
      <w:r w:rsidRPr="0057363D">
        <w:rPr>
          <w:sz w:val="20"/>
          <w:szCs w:val="20"/>
        </w:rPr>
        <w:t xml:space="preserve">/100g; 1.75±0.07 </w:t>
      </w:r>
      <w:proofErr w:type="spellStart"/>
      <w:r w:rsidRPr="0057363D">
        <w:rPr>
          <w:sz w:val="20"/>
          <w:szCs w:val="20"/>
        </w:rPr>
        <w:t>mEq</w:t>
      </w:r>
      <w:proofErr w:type="spellEnd"/>
      <w:r w:rsidRPr="0057363D">
        <w:rPr>
          <w:sz w:val="20"/>
          <w:szCs w:val="20"/>
        </w:rPr>
        <w:t>/kg oil and 8.41±1.25 mgKOH/100g) were obtained for each of the parameters. In all treatment groups, for the control rats on 10</w:t>
      </w:r>
      <w:r w:rsidR="000B00AE" w:rsidRPr="0057363D">
        <w:rPr>
          <w:sz w:val="20"/>
          <w:szCs w:val="20"/>
        </w:rPr>
        <w:t> </w:t>
      </w:r>
      <w:r w:rsidRPr="0057363D">
        <w:rPr>
          <w:sz w:val="20"/>
          <w:szCs w:val="20"/>
        </w:rPr>
        <w:t>% VO and those on varying proportions of TA oils, we observed increase in body weight of rats.</w:t>
      </w:r>
      <w:r w:rsidR="0057363D" w:rsidRPr="0057363D">
        <w:rPr>
          <w:sz w:val="20"/>
          <w:szCs w:val="20"/>
        </w:rPr>
        <w:t xml:space="preserve"> </w:t>
      </w:r>
      <w:r w:rsidRPr="0057363D">
        <w:rPr>
          <w:iCs/>
          <w:sz w:val="20"/>
          <w:szCs w:val="20"/>
        </w:rPr>
        <w:t>Changes in body weight and visceral organs of rats on VO and TA diets are shown on Table 2.</w:t>
      </w:r>
      <w:r w:rsidR="0057363D" w:rsidRPr="0057363D">
        <w:rPr>
          <w:iCs/>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seed oil compounded feed (10</w:t>
      </w:r>
      <w:r w:rsidR="000B00AE" w:rsidRPr="0057363D">
        <w:rPr>
          <w:sz w:val="20"/>
          <w:szCs w:val="20"/>
        </w:rPr>
        <w:t> </w:t>
      </w:r>
      <w:r w:rsidRPr="0057363D">
        <w:rPr>
          <w:sz w:val="20"/>
          <w:szCs w:val="20"/>
        </w:rPr>
        <w:t>% TA oil) elicited the least increment in percentage body weight increase of 32</w:t>
      </w:r>
      <w:r w:rsidR="000B00AE" w:rsidRPr="0057363D">
        <w:rPr>
          <w:sz w:val="20"/>
          <w:szCs w:val="20"/>
        </w:rPr>
        <w:t> </w:t>
      </w:r>
      <w:r w:rsidRPr="0057363D">
        <w:rPr>
          <w:sz w:val="20"/>
          <w:szCs w:val="20"/>
        </w:rPr>
        <w:t>%, compared to both control (10</w:t>
      </w:r>
      <w:r w:rsidR="000B00AE" w:rsidRPr="0057363D">
        <w:rPr>
          <w:sz w:val="20"/>
          <w:szCs w:val="20"/>
        </w:rPr>
        <w:t> </w:t>
      </w:r>
      <w:r w:rsidRPr="0057363D">
        <w:rPr>
          <w:sz w:val="20"/>
          <w:szCs w:val="20"/>
        </w:rPr>
        <w:t>% VO) and other test groups. Similar trend was seen in brain tissue while the liver was slightly enlarged. Liver tissue in group 3 rats was significantly increased compared to control and only in group 4 animals was there a slight decrease. There was significant (p&lt;0.05) increase in the body weight of animals fed with 3</w:t>
      </w:r>
      <w:r w:rsidR="000B00AE" w:rsidRPr="0057363D">
        <w:rPr>
          <w:sz w:val="20"/>
          <w:szCs w:val="20"/>
        </w:rPr>
        <w:t> </w:t>
      </w:r>
      <w:r w:rsidRPr="0057363D">
        <w:rPr>
          <w:sz w:val="20"/>
          <w:szCs w:val="20"/>
        </w:rPr>
        <w:t>% and 5</w:t>
      </w:r>
      <w:r w:rsidR="000B00AE" w:rsidRPr="0057363D">
        <w:rPr>
          <w:sz w:val="20"/>
          <w:szCs w:val="20"/>
        </w:rPr>
        <w:t> </w:t>
      </w:r>
      <w:r w:rsidRPr="0057363D">
        <w:rPr>
          <w:sz w:val="20"/>
          <w:szCs w:val="20"/>
        </w:rPr>
        <w:t>%</w:t>
      </w:r>
      <w:r w:rsidR="0057363D" w:rsidRPr="0057363D">
        <w:rPr>
          <w:sz w:val="20"/>
          <w:szCs w:val="20"/>
        </w:rPr>
        <w:t xml:space="preserve"> </w:t>
      </w:r>
      <w:r w:rsidRPr="0057363D">
        <w:rPr>
          <w:sz w:val="20"/>
          <w:szCs w:val="20"/>
        </w:rPr>
        <w:t xml:space="preserve">of or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oil compared to 10</w:t>
      </w:r>
      <w:r w:rsidR="000B00AE" w:rsidRPr="0057363D">
        <w:rPr>
          <w:sz w:val="20"/>
          <w:szCs w:val="20"/>
        </w:rPr>
        <w:t> </w:t>
      </w:r>
      <w:r w:rsidRPr="0057363D">
        <w:rPr>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10</w:t>
      </w:r>
      <w:r w:rsidR="000B00AE" w:rsidRPr="0057363D">
        <w:rPr>
          <w:sz w:val="20"/>
          <w:szCs w:val="20"/>
        </w:rPr>
        <w:t> </w:t>
      </w:r>
      <w:r w:rsidRPr="0057363D">
        <w:rPr>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had the least increase in body weight and</w:t>
      </w:r>
      <w:r w:rsidR="000B00AE" w:rsidRPr="0057363D">
        <w:rPr>
          <w:sz w:val="20"/>
          <w:szCs w:val="20"/>
        </w:rPr>
        <w:t xml:space="preserve"> </w:t>
      </w:r>
      <w:r w:rsidRPr="0057363D">
        <w:rPr>
          <w:sz w:val="20"/>
          <w:szCs w:val="20"/>
        </w:rPr>
        <w:t>was significant compared to 10</w:t>
      </w:r>
      <w:r w:rsidR="000B00AE" w:rsidRPr="0057363D">
        <w:rPr>
          <w:sz w:val="20"/>
          <w:szCs w:val="20"/>
        </w:rPr>
        <w:t> </w:t>
      </w:r>
      <w:r w:rsidRPr="0057363D">
        <w:rPr>
          <w:sz w:val="20"/>
          <w:szCs w:val="20"/>
        </w:rPr>
        <w:t xml:space="preserve">% VO. There was no significant (P&lt;0.05) difference in the weight of liver of rats fed on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i/>
          <w:iCs/>
          <w:sz w:val="20"/>
          <w:szCs w:val="20"/>
        </w:rPr>
        <w:t xml:space="preserve"> </w:t>
      </w:r>
      <w:r w:rsidRPr="0057363D">
        <w:rPr>
          <w:iCs/>
          <w:sz w:val="20"/>
          <w:szCs w:val="20"/>
        </w:rPr>
        <w:t>when</w:t>
      </w:r>
      <w:r w:rsidRPr="0057363D">
        <w:rPr>
          <w:sz w:val="20"/>
          <w:szCs w:val="20"/>
        </w:rPr>
        <w:t xml:space="preserve"> compared with the control. However, in the brain, there was significant (P&lt;0.05) decrease in the brain weight of the animals fed with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i/>
          <w:iCs/>
          <w:sz w:val="20"/>
          <w:szCs w:val="20"/>
        </w:rPr>
        <w:t xml:space="preserve"> </w:t>
      </w:r>
      <w:r w:rsidRPr="0057363D">
        <w:rPr>
          <w:iCs/>
          <w:sz w:val="20"/>
          <w:szCs w:val="20"/>
        </w:rPr>
        <w:t>seed oil compared to control.</w:t>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Figure 1 has data for results obtained for serum lipids in animals fed varying percentages of </w:t>
      </w:r>
      <w:proofErr w:type="spellStart"/>
      <w:r w:rsidRPr="0057363D">
        <w:rPr>
          <w:i/>
          <w:iCs/>
          <w:sz w:val="20"/>
          <w:szCs w:val="20"/>
        </w:rPr>
        <w:t>Treculia</w:t>
      </w:r>
      <w:proofErr w:type="spellEnd"/>
      <w:r w:rsidRPr="0057363D">
        <w:rPr>
          <w:sz w:val="20"/>
          <w:szCs w:val="20"/>
        </w:rPr>
        <w:t xml:space="preserve"> </w:t>
      </w:r>
      <w:proofErr w:type="spellStart"/>
      <w:r w:rsidRPr="0057363D">
        <w:rPr>
          <w:i/>
          <w:iCs/>
          <w:sz w:val="20"/>
          <w:szCs w:val="20"/>
        </w:rPr>
        <w:t>africana</w:t>
      </w:r>
      <w:proofErr w:type="spellEnd"/>
      <w:r w:rsidRPr="0057363D">
        <w:rPr>
          <w:sz w:val="20"/>
          <w:szCs w:val="20"/>
        </w:rPr>
        <w:t xml:space="preserve"> seed oil based diet for eight weeks. The result showed that rats fed with seed oil based </w:t>
      </w:r>
      <w:r w:rsidRPr="0057363D">
        <w:rPr>
          <w:sz w:val="20"/>
          <w:szCs w:val="20"/>
        </w:rPr>
        <w:lastRenderedPageBreak/>
        <w:t>formulated feed had their total cholesterol and triglyceride increased significantly (p&lt;0.05) when compared with the control and animals fed with 3</w:t>
      </w:r>
      <w:r w:rsidR="000B00AE" w:rsidRPr="0057363D">
        <w:rPr>
          <w:sz w:val="20"/>
          <w:szCs w:val="20"/>
        </w:rPr>
        <w:t xml:space="preserve"> </w:t>
      </w:r>
      <w:r w:rsidRPr="0057363D">
        <w:rPr>
          <w:sz w:val="20"/>
          <w:szCs w:val="20"/>
        </w:rPr>
        <w:t>%</w:t>
      </w:r>
      <w:r w:rsidR="000B00AE" w:rsidRPr="0057363D">
        <w:rPr>
          <w:sz w:val="20"/>
          <w:szCs w:val="20"/>
        </w:rPr>
        <w:t xml:space="preserve"> </w:t>
      </w:r>
      <w:proofErr w:type="spellStart"/>
      <w:r w:rsidRPr="0057363D">
        <w:rPr>
          <w:i/>
          <w:iCs/>
          <w:sz w:val="20"/>
          <w:szCs w:val="20"/>
        </w:rPr>
        <w:t>Treculia</w:t>
      </w:r>
      <w:proofErr w:type="spellEnd"/>
      <w:r w:rsidRPr="0057363D">
        <w:rPr>
          <w:sz w:val="20"/>
          <w:szCs w:val="20"/>
        </w:rPr>
        <w:t xml:space="preserve"> </w:t>
      </w:r>
      <w:proofErr w:type="spellStart"/>
      <w:r w:rsidRPr="0057363D">
        <w:rPr>
          <w:i/>
          <w:iCs/>
          <w:sz w:val="20"/>
          <w:szCs w:val="20"/>
        </w:rPr>
        <w:t>africana</w:t>
      </w:r>
      <w:proofErr w:type="spellEnd"/>
      <w:r w:rsidRPr="0057363D">
        <w:rPr>
          <w:sz w:val="20"/>
          <w:szCs w:val="20"/>
        </w:rPr>
        <w:t xml:space="preserve"> were significantly (p&lt;0.05) increased when compared with those fed with 10</w:t>
      </w:r>
      <w:r w:rsidR="000B00AE" w:rsidRPr="0057363D">
        <w:rPr>
          <w:sz w:val="20"/>
          <w:szCs w:val="20"/>
        </w:rPr>
        <w:t> </w:t>
      </w:r>
      <w:r w:rsidRPr="0057363D">
        <w:rPr>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respectively. Serum HDL-c level was higher in animals fed with seed oil diet compared to 10</w:t>
      </w:r>
      <w:r w:rsidR="000B00AE" w:rsidRPr="0057363D">
        <w:rPr>
          <w:sz w:val="20"/>
          <w:szCs w:val="20"/>
        </w:rPr>
        <w:t> </w:t>
      </w:r>
      <w:r w:rsidRPr="0057363D">
        <w:rPr>
          <w:sz w:val="20"/>
          <w:szCs w:val="20"/>
        </w:rPr>
        <w:t>% vegetable oil. The level of LDL-c in the rats fed with control diet (10</w:t>
      </w:r>
      <w:r w:rsidR="000B00AE" w:rsidRPr="0057363D">
        <w:rPr>
          <w:sz w:val="20"/>
          <w:szCs w:val="20"/>
        </w:rPr>
        <w:t> </w:t>
      </w:r>
      <w:r w:rsidRPr="0057363D">
        <w:rPr>
          <w:sz w:val="20"/>
          <w:szCs w:val="20"/>
        </w:rPr>
        <w:t>% vegetable oil) and 10</w:t>
      </w:r>
      <w:r w:rsidR="000B00AE" w:rsidRPr="0057363D">
        <w:rPr>
          <w:sz w:val="20"/>
          <w:szCs w:val="20"/>
        </w:rPr>
        <w:t> </w:t>
      </w:r>
      <w:r w:rsidRPr="0057363D">
        <w:rPr>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group were similar. Moreover, when compared with 10</w:t>
      </w:r>
      <w:r w:rsidR="000B00AE" w:rsidRPr="0057363D">
        <w:rPr>
          <w:sz w:val="20"/>
          <w:szCs w:val="20"/>
        </w:rPr>
        <w:t> </w:t>
      </w:r>
      <w:r w:rsidRPr="0057363D">
        <w:rPr>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0057363D" w:rsidRPr="0057363D">
        <w:rPr>
          <w:sz w:val="20"/>
          <w:szCs w:val="20"/>
        </w:rPr>
        <w:t xml:space="preserve"> </w:t>
      </w:r>
      <w:r w:rsidRPr="0057363D">
        <w:rPr>
          <w:sz w:val="20"/>
          <w:szCs w:val="20"/>
        </w:rPr>
        <w:t xml:space="preserve">based formulated diet, the groups of animals fed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0057363D" w:rsidRPr="0057363D">
        <w:rPr>
          <w:sz w:val="20"/>
          <w:szCs w:val="20"/>
        </w:rPr>
        <w:t xml:space="preserve"> </w:t>
      </w:r>
      <w:r w:rsidRPr="0057363D">
        <w:rPr>
          <w:sz w:val="20"/>
          <w:szCs w:val="20"/>
        </w:rPr>
        <w:t xml:space="preserve">with varying composition of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their LDL levels increased significantly (p&lt;0.05). </w:t>
      </w:r>
    </w:p>
    <w:p w:rsidR="00DB6DC1" w:rsidRPr="0057363D" w:rsidRDefault="00EC34CA" w:rsidP="00901267">
      <w:pPr>
        <w:autoSpaceDE w:val="0"/>
        <w:autoSpaceDN w:val="0"/>
        <w:adjustRightInd w:val="0"/>
        <w:snapToGrid w:val="0"/>
        <w:jc w:val="center"/>
        <w:rPr>
          <w:noProof/>
          <w:sz w:val="20"/>
          <w:szCs w:val="20"/>
          <w:lang w:eastAsia="en-US"/>
        </w:rPr>
      </w:pPr>
      <w:r>
        <w:rPr>
          <w:noProof/>
          <w:sz w:val="20"/>
          <w:szCs w:val="20"/>
          <w:lang w:eastAsia="zh-CN"/>
        </w:rPr>
        <w:drawing>
          <wp:inline distT="0" distB="0" distL="0" distR="0">
            <wp:extent cx="2322039" cy="2163046"/>
            <wp:effectExtent l="12202" t="6114" r="5099"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Fig 1: Serum lipid levels of rats on </w:t>
      </w:r>
      <w:proofErr w:type="spellStart"/>
      <w:r w:rsidRPr="0057363D">
        <w:rPr>
          <w:i/>
          <w:sz w:val="20"/>
          <w:szCs w:val="20"/>
        </w:rPr>
        <w:t>Treculia</w:t>
      </w:r>
      <w:proofErr w:type="spellEnd"/>
      <w:r w:rsidRPr="0057363D">
        <w:rPr>
          <w:i/>
          <w:sz w:val="20"/>
          <w:szCs w:val="20"/>
        </w:rPr>
        <w:t xml:space="preserve"> </w:t>
      </w:r>
      <w:proofErr w:type="spellStart"/>
      <w:r w:rsidRPr="0057363D">
        <w:rPr>
          <w:i/>
          <w:sz w:val="20"/>
          <w:szCs w:val="20"/>
        </w:rPr>
        <w:t>africana</w:t>
      </w:r>
      <w:proofErr w:type="spellEnd"/>
      <w:r w:rsidRPr="0057363D">
        <w:rPr>
          <w:sz w:val="20"/>
          <w:szCs w:val="20"/>
        </w:rPr>
        <w:t xml:space="preserve"> seed </w:t>
      </w:r>
      <w:r w:rsidRPr="0057363D">
        <w:rPr>
          <w:noProof/>
          <w:sz w:val="20"/>
          <w:szCs w:val="20"/>
          <w:lang w:eastAsia="en-US"/>
        </w:rPr>
        <w:t>oil diet for eight weeks</w:t>
      </w: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autoSpaceDE w:val="0"/>
        <w:autoSpaceDN w:val="0"/>
        <w:adjustRightInd w:val="0"/>
        <w:snapToGrid w:val="0"/>
        <w:ind w:right="-15"/>
        <w:jc w:val="both"/>
        <w:rPr>
          <w:sz w:val="20"/>
          <w:szCs w:val="20"/>
        </w:rPr>
      </w:pPr>
      <w:r w:rsidRPr="0057363D">
        <w:rPr>
          <w:sz w:val="20"/>
          <w:szCs w:val="20"/>
        </w:rPr>
        <w:t xml:space="preserve">         Data obtained for antioxidants levels in rats fed </w:t>
      </w:r>
      <w:r w:rsidRPr="0057363D">
        <w:rPr>
          <w:i/>
          <w:sz w:val="20"/>
          <w:szCs w:val="20"/>
        </w:rPr>
        <w:t xml:space="preserve">T. </w:t>
      </w:r>
      <w:proofErr w:type="spellStart"/>
      <w:r w:rsidRPr="0057363D">
        <w:rPr>
          <w:i/>
          <w:sz w:val="20"/>
          <w:szCs w:val="20"/>
        </w:rPr>
        <w:t>africana</w:t>
      </w:r>
      <w:proofErr w:type="spellEnd"/>
      <w:r w:rsidRPr="0057363D">
        <w:rPr>
          <w:i/>
          <w:sz w:val="20"/>
          <w:szCs w:val="20"/>
        </w:rPr>
        <w:t xml:space="preserve"> </w:t>
      </w:r>
      <w:r w:rsidRPr="0057363D">
        <w:rPr>
          <w:sz w:val="20"/>
          <w:szCs w:val="20"/>
        </w:rPr>
        <w:t xml:space="preserve">seed oil formulated diet for eight weeks are shown on Figs 2a and 2b respectively for liver and brain tissues respectively. </w:t>
      </w:r>
      <w:r w:rsidRPr="0057363D">
        <w:rPr>
          <w:i/>
          <w:sz w:val="20"/>
          <w:szCs w:val="20"/>
        </w:rPr>
        <w:t xml:space="preserve">T. </w:t>
      </w:r>
      <w:proofErr w:type="spellStart"/>
      <w:r w:rsidRPr="0057363D">
        <w:rPr>
          <w:i/>
          <w:sz w:val="20"/>
          <w:szCs w:val="20"/>
        </w:rPr>
        <w:t>africana</w:t>
      </w:r>
      <w:proofErr w:type="spellEnd"/>
      <w:r w:rsidRPr="0057363D">
        <w:rPr>
          <w:sz w:val="20"/>
          <w:szCs w:val="20"/>
        </w:rPr>
        <w:t xml:space="preserve"> seed oil feed</w:t>
      </w:r>
      <w:r w:rsidR="0057363D" w:rsidRPr="0057363D">
        <w:rPr>
          <w:sz w:val="20"/>
          <w:szCs w:val="20"/>
        </w:rPr>
        <w:t xml:space="preserve"> </w:t>
      </w:r>
      <w:r w:rsidRPr="0057363D">
        <w:rPr>
          <w:sz w:val="20"/>
          <w:szCs w:val="20"/>
        </w:rPr>
        <w:t>caused a significant increase in the activity of SOD in the brain of rats on 10</w:t>
      </w:r>
      <w:r w:rsidR="000B00AE" w:rsidRPr="0057363D">
        <w:rPr>
          <w:sz w:val="20"/>
          <w:szCs w:val="20"/>
        </w:rPr>
        <w:t> </w:t>
      </w:r>
      <w:r w:rsidRPr="0057363D">
        <w:rPr>
          <w:sz w:val="20"/>
          <w:szCs w:val="20"/>
        </w:rPr>
        <w:t>%</w:t>
      </w:r>
      <w:r w:rsidR="0057363D" w:rsidRPr="0057363D">
        <w:rPr>
          <w:sz w:val="20"/>
          <w:szCs w:val="20"/>
        </w:rPr>
        <w:t xml:space="preserve"> </w:t>
      </w:r>
      <w:r w:rsidRPr="0057363D">
        <w:rPr>
          <w:sz w:val="20"/>
          <w:szCs w:val="20"/>
        </w:rPr>
        <w:t>TA</w:t>
      </w:r>
      <w:r w:rsidR="0057363D" w:rsidRPr="0057363D">
        <w:rPr>
          <w:sz w:val="20"/>
          <w:szCs w:val="20"/>
        </w:rPr>
        <w:t xml:space="preserve"> </w:t>
      </w:r>
      <w:r w:rsidRPr="0057363D">
        <w:rPr>
          <w:sz w:val="20"/>
          <w:szCs w:val="20"/>
        </w:rPr>
        <w:t xml:space="preserve"> fed group compared to control, 3 and 5</w:t>
      </w:r>
      <w:r w:rsidR="005E1D7B" w:rsidRPr="0057363D">
        <w:rPr>
          <w:sz w:val="20"/>
          <w:szCs w:val="20"/>
        </w:rPr>
        <w:t xml:space="preserve"> </w:t>
      </w:r>
      <w:r w:rsidRPr="0057363D">
        <w:rPr>
          <w:sz w:val="20"/>
          <w:szCs w:val="20"/>
        </w:rPr>
        <w:t>% TA oil supplemented groups significantly lowered SOD activity compared to control. GSH did not increase significantly in the test groups (2,</w:t>
      </w:r>
      <w:r w:rsidR="005E1D7B" w:rsidRPr="0057363D">
        <w:rPr>
          <w:sz w:val="20"/>
          <w:szCs w:val="20"/>
        </w:rPr>
        <w:t xml:space="preserve"> </w:t>
      </w:r>
      <w:r w:rsidRPr="0057363D">
        <w:rPr>
          <w:sz w:val="20"/>
          <w:szCs w:val="20"/>
        </w:rPr>
        <w:t>3 and 4) compared to control in both liver and brain tissue homogenate. CAT in both liver and brain in rats fed 5</w:t>
      </w:r>
      <w:r w:rsidR="000B00AE" w:rsidRPr="0057363D">
        <w:rPr>
          <w:sz w:val="20"/>
          <w:szCs w:val="20"/>
        </w:rPr>
        <w:t> </w:t>
      </w:r>
      <w:r w:rsidRPr="0057363D">
        <w:rPr>
          <w:sz w:val="20"/>
          <w:szCs w:val="20"/>
        </w:rPr>
        <w:t>% and 3</w:t>
      </w:r>
      <w:r w:rsidR="000B00AE" w:rsidRPr="0057363D">
        <w:rPr>
          <w:sz w:val="20"/>
          <w:szCs w:val="20"/>
        </w:rPr>
        <w:t> </w:t>
      </w:r>
      <w:r w:rsidRPr="0057363D">
        <w:rPr>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were incidentally significantly (p&lt;0.05) reduced when compared to 10</w:t>
      </w:r>
      <w:r w:rsidR="000B00AE" w:rsidRPr="0057363D">
        <w:rPr>
          <w:sz w:val="20"/>
          <w:szCs w:val="20"/>
        </w:rPr>
        <w:t> </w:t>
      </w:r>
      <w:r w:rsidRPr="0057363D">
        <w:rPr>
          <w:sz w:val="20"/>
          <w:szCs w:val="20"/>
        </w:rPr>
        <w:t xml:space="preserve">% </w:t>
      </w:r>
      <w:r w:rsidRPr="0057363D">
        <w:rPr>
          <w:iCs/>
          <w:sz w:val="20"/>
          <w:szCs w:val="20"/>
        </w:rPr>
        <w:t>TA treated rats in group 2</w:t>
      </w:r>
      <w:r w:rsidRPr="0057363D">
        <w:rPr>
          <w:sz w:val="20"/>
          <w:szCs w:val="20"/>
        </w:rPr>
        <w:t>. MDA was significantly increased in the groups fed with seed oil diet compared to control, 5</w:t>
      </w:r>
      <w:r w:rsidR="000B00AE" w:rsidRPr="0057363D">
        <w:rPr>
          <w:sz w:val="20"/>
          <w:szCs w:val="20"/>
        </w:rPr>
        <w:t> </w:t>
      </w:r>
      <w:r w:rsidRPr="0057363D">
        <w:rPr>
          <w:sz w:val="20"/>
          <w:szCs w:val="20"/>
        </w:rPr>
        <w:t xml:space="preserve">% </w:t>
      </w:r>
      <w:proofErr w:type="spellStart"/>
      <w:r w:rsidRPr="0057363D">
        <w:rPr>
          <w:i/>
          <w:sz w:val="20"/>
          <w:szCs w:val="20"/>
        </w:rPr>
        <w:t>Treculia</w:t>
      </w:r>
      <w:proofErr w:type="spellEnd"/>
      <w:r w:rsidRPr="0057363D">
        <w:rPr>
          <w:i/>
          <w:sz w:val="20"/>
          <w:szCs w:val="20"/>
        </w:rPr>
        <w:t xml:space="preserve"> </w:t>
      </w:r>
      <w:proofErr w:type="spellStart"/>
      <w:r w:rsidRPr="0057363D">
        <w:rPr>
          <w:i/>
          <w:sz w:val="20"/>
          <w:szCs w:val="20"/>
        </w:rPr>
        <w:t>africana</w:t>
      </w:r>
      <w:proofErr w:type="spellEnd"/>
      <w:r w:rsidRPr="0057363D">
        <w:rPr>
          <w:sz w:val="20"/>
          <w:szCs w:val="20"/>
        </w:rPr>
        <w:t xml:space="preserve"> elicited greater increase in MDA levels.</w:t>
      </w:r>
    </w:p>
    <w:p w:rsidR="00DB6DC1" w:rsidRPr="0057363D" w:rsidRDefault="00DB6DC1" w:rsidP="0057363D">
      <w:pPr>
        <w:autoSpaceDE w:val="0"/>
        <w:autoSpaceDN w:val="0"/>
        <w:adjustRightInd w:val="0"/>
        <w:snapToGrid w:val="0"/>
        <w:jc w:val="both"/>
        <w:rPr>
          <w:sz w:val="20"/>
          <w:szCs w:val="20"/>
        </w:rPr>
      </w:pPr>
    </w:p>
    <w:p w:rsidR="00DB6DC1" w:rsidRPr="0057363D" w:rsidRDefault="00EC34CA" w:rsidP="00901267">
      <w:pPr>
        <w:autoSpaceDE w:val="0"/>
        <w:autoSpaceDN w:val="0"/>
        <w:adjustRightInd w:val="0"/>
        <w:snapToGrid w:val="0"/>
        <w:jc w:val="center"/>
        <w:rPr>
          <w:noProof/>
          <w:sz w:val="20"/>
          <w:szCs w:val="20"/>
          <w:lang w:eastAsia="en-US"/>
        </w:rPr>
      </w:pPr>
      <w:r>
        <w:rPr>
          <w:noProof/>
          <w:sz w:val="20"/>
          <w:szCs w:val="20"/>
          <w:lang w:eastAsia="zh-CN"/>
        </w:rPr>
        <w:lastRenderedPageBreak/>
        <w:drawing>
          <wp:inline distT="0" distB="0" distL="0" distR="0">
            <wp:extent cx="2532902" cy="2341486"/>
            <wp:effectExtent l="12192" t="6106" r="6971" b="1908"/>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6DC1" w:rsidRPr="0057363D" w:rsidRDefault="00DB6DC1" w:rsidP="0057363D">
      <w:pPr>
        <w:autoSpaceDE w:val="0"/>
        <w:autoSpaceDN w:val="0"/>
        <w:adjustRightInd w:val="0"/>
        <w:snapToGrid w:val="0"/>
        <w:jc w:val="both"/>
        <w:rPr>
          <w:sz w:val="20"/>
          <w:szCs w:val="20"/>
        </w:rPr>
      </w:pPr>
      <w:r w:rsidRPr="0057363D">
        <w:rPr>
          <w:noProof/>
          <w:sz w:val="20"/>
          <w:szCs w:val="20"/>
          <w:lang w:eastAsia="en-US"/>
        </w:rPr>
        <w:t>Fig 2a: Liver antioxidants</w:t>
      </w:r>
      <w:r w:rsidR="0057363D" w:rsidRPr="0057363D">
        <w:rPr>
          <w:noProof/>
          <w:sz w:val="20"/>
          <w:szCs w:val="20"/>
          <w:lang w:eastAsia="en-US"/>
        </w:rPr>
        <w:t xml:space="preserve"> </w:t>
      </w:r>
      <w:r w:rsidRPr="0057363D">
        <w:rPr>
          <w:noProof/>
          <w:sz w:val="20"/>
          <w:szCs w:val="20"/>
          <w:lang w:eastAsia="en-US"/>
        </w:rPr>
        <w:t xml:space="preserve">and lipid peroxidation levels of rats on </w:t>
      </w:r>
      <w:r w:rsidRPr="0057363D">
        <w:rPr>
          <w:i/>
          <w:noProof/>
          <w:sz w:val="20"/>
          <w:szCs w:val="20"/>
          <w:lang w:eastAsia="en-US"/>
        </w:rPr>
        <w:t>Treculia africana</w:t>
      </w:r>
      <w:r w:rsidRPr="0057363D">
        <w:rPr>
          <w:noProof/>
          <w:sz w:val="20"/>
          <w:szCs w:val="20"/>
          <w:lang w:eastAsia="en-US"/>
        </w:rPr>
        <w:t xml:space="preserve"> seed oil diet for eight weeks</w:t>
      </w:r>
    </w:p>
    <w:p w:rsidR="00DB6DC1" w:rsidRPr="0057363D" w:rsidRDefault="00EC34CA" w:rsidP="00901267">
      <w:pPr>
        <w:autoSpaceDE w:val="0"/>
        <w:autoSpaceDN w:val="0"/>
        <w:adjustRightInd w:val="0"/>
        <w:snapToGrid w:val="0"/>
        <w:jc w:val="center"/>
        <w:rPr>
          <w:sz w:val="20"/>
          <w:szCs w:val="20"/>
        </w:rPr>
      </w:pPr>
      <w:r>
        <w:rPr>
          <w:noProof/>
          <w:sz w:val="20"/>
          <w:szCs w:val="20"/>
          <w:lang w:eastAsia="zh-CN"/>
        </w:rPr>
        <w:drawing>
          <wp:inline distT="0" distB="0" distL="0" distR="0">
            <wp:extent cx="2629412" cy="2639178"/>
            <wp:effectExtent l="12189" t="6095" r="5714" b="2042"/>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6DC1" w:rsidRPr="0057363D" w:rsidRDefault="00DB6DC1" w:rsidP="0057363D">
      <w:pPr>
        <w:autoSpaceDE w:val="0"/>
        <w:autoSpaceDN w:val="0"/>
        <w:adjustRightInd w:val="0"/>
        <w:snapToGrid w:val="0"/>
        <w:jc w:val="both"/>
        <w:rPr>
          <w:sz w:val="20"/>
          <w:szCs w:val="20"/>
        </w:rPr>
      </w:pPr>
      <w:r w:rsidRPr="0057363D">
        <w:rPr>
          <w:noProof/>
          <w:sz w:val="20"/>
          <w:szCs w:val="20"/>
          <w:lang w:eastAsia="en-US"/>
        </w:rPr>
        <w:t>Fig 2b: Brain antioxidants</w:t>
      </w:r>
      <w:r w:rsidR="0057363D" w:rsidRPr="0057363D">
        <w:rPr>
          <w:noProof/>
          <w:sz w:val="20"/>
          <w:szCs w:val="20"/>
          <w:lang w:eastAsia="en-US"/>
        </w:rPr>
        <w:t xml:space="preserve"> </w:t>
      </w:r>
      <w:r w:rsidRPr="0057363D">
        <w:rPr>
          <w:noProof/>
          <w:sz w:val="20"/>
          <w:szCs w:val="20"/>
          <w:lang w:eastAsia="en-US"/>
        </w:rPr>
        <w:t xml:space="preserve">and lipid peroxidation levels of rats on </w:t>
      </w:r>
      <w:r w:rsidRPr="0057363D">
        <w:rPr>
          <w:i/>
          <w:noProof/>
          <w:sz w:val="20"/>
          <w:szCs w:val="20"/>
          <w:lang w:eastAsia="en-US"/>
        </w:rPr>
        <w:t>Treculia africana</w:t>
      </w:r>
      <w:r w:rsidRPr="0057363D">
        <w:rPr>
          <w:noProof/>
          <w:sz w:val="20"/>
          <w:szCs w:val="20"/>
          <w:lang w:eastAsia="en-US"/>
        </w:rPr>
        <w:t xml:space="preserve"> seed oil diet for eight weeks</w:t>
      </w: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Activities of </w:t>
      </w:r>
      <w:proofErr w:type="spellStart"/>
      <w:r w:rsidRPr="0057363D">
        <w:rPr>
          <w:sz w:val="20"/>
          <w:szCs w:val="20"/>
        </w:rPr>
        <w:t>aspartate</w:t>
      </w:r>
      <w:proofErr w:type="spellEnd"/>
      <w:r w:rsidRPr="0057363D">
        <w:rPr>
          <w:sz w:val="20"/>
          <w:szCs w:val="20"/>
        </w:rPr>
        <w:t xml:space="preserve"> amino-</w:t>
      </w:r>
      <w:proofErr w:type="spellStart"/>
      <w:r w:rsidRPr="0057363D">
        <w:rPr>
          <w:sz w:val="20"/>
          <w:szCs w:val="20"/>
        </w:rPr>
        <w:t>transferase</w:t>
      </w:r>
      <w:proofErr w:type="spellEnd"/>
      <w:r w:rsidRPr="0057363D">
        <w:rPr>
          <w:sz w:val="20"/>
          <w:szCs w:val="20"/>
        </w:rPr>
        <w:t xml:space="preserve"> (AST), alkaline </w:t>
      </w:r>
      <w:proofErr w:type="spellStart"/>
      <w:r w:rsidRPr="0057363D">
        <w:rPr>
          <w:sz w:val="20"/>
          <w:szCs w:val="20"/>
        </w:rPr>
        <w:t>aminotransferase</w:t>
      </w:r>
      <w:proofErr w:type="spellEnd"/>
      <w:r w:rsidRPr="0057363D">
        <w:rPr>
          <w:sz w:val="20"/>
          <w:szCs w:val="20"/>
        </w:rPr>
        <w:t xml:space="preserve"> (ALT) and variations in the brain and liver protein concentrations in this study are shown on Table 4. The data obtained for both parameters (AST and ALT) were significantly (p&lt;0.05) reduced in TA when compared with control. There was no significant (p&lt;0.05) difference when compared within groups for AST and there was significant (p&lt;0.05) reduction when 5</w:t>
      </w:r>
      <w:r w:rsidR="005E1D7B" w:rsidRPr="0057363D">
        <w:rPr>
          <w:sz w:val="20"/>
          <w:szCs w:val="20"/>
        </w:rPr>
        <w:t> </w:t>
      </w:r>
      <w:r w:rsidRPr="0057363D">
        <w:rPr>
          <w:sz w:val="20"/>
          <w:szCs w:val="20"/>
        </w:rPr>
        <w:t>% and 3</w:t>
      </w:r>
      <w:r w:rsidR="005E1D7B" w:rsidRPr="0057363D">
        <w:rPr>
          <w:sz w:val="20"/>
          <w:szCs w:val="20"/>
        </w:rPr>
        <w:t> </w:t>
      </w:r>
      <w:r w:rsidRPr="0057363D">
        <w:rPr>
          <w:sz w:val="20"/>
          <w:szCs w:val="20"/>
        </w:rPr>
        <w:t>% TA (groups 3 and 4) was compared with 10</w:t>
      </w:r>
      <w:r w:rsidR="005E1D7B" w:rsidRPr="0057363D">
        <w:rPr>
          <w:sz w:val="20"/>
          <w:szCs w:val="20"/>
        </w:rPr>
        <w:t> </w:t>
      </w:r>
      <w:r w:rsidRPr="0057363D">
        <w:rPr>
          <w:sz w:val="20"/>
          <w:szCs w:val="20"/>
        </w:rPr>
        <w:t>% TA (group 2) in activities of ALT. There were no significant differences in protein concentrations in liver and brain of rats in test groups compared to control group.</w:t>
      </w:r>
    </w:p>
    <w:p w:rsidR="00DB6DC1" w:rsidRPr="0057363D" w:rsidRDefault="00DB6DC1" w:rsidP="0057363D">
      <w:pPr>
        <w:autoSpaceDE w:val="0"/>
        <w:autoSpaceDN w:val="0"/>
        <w:adjustRightInd w:val="0"/>
        <w:snapToGrid w:val="0"/>
        <w:jc w:val="both"/>
        <w:rPr>
          <w:sz w:val="20"/>
          <w:szCs w:val="20"/>
        </w:rPr>
      </w:pPr>
    </w:p>
    <w:p w:rsidR="00DB6DC1" w:rsidRPr="0057363D" w:rsidRDefault="00EC34CA" w:rsidP="00901267">
      <w:pPr>
        <w:autoSpaceDE w:val="0"/>
        <w:autoSpaceDN w:val="0"/>
        <w:adjustRightInd w:val="0"/>
        <w:snapToGrid w:val="0"/>
        <w:jc w:val="center"/>
        <w:rPr>
          <w:noProof/>
          <w:sz w:val="20"/>
          <w:szCs w:val="20"/>
          <w:lang w:eastAsia="en-US"/>
        </w:rPr>
      </w:pPr>
      <w:r>
        <w:rPr>
          <w:noProof/>
          <w:sz w:val="20"/>
          <w:szCs w:val="20"/>
          <w:lang w:eastAsia="zh-CN"/>
        </w:rPr>
        <w:lastRenderedPageBreak/>
        <w:drawing>
          <wp:inline distT="0" distB="0" distL="0" distR="0">
            <wp:extent cx="2429374" cy="2375799"/>
            <wp:effectExtent l="12214" t="6086" r="3797"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B6DC1" w:rsidRPr="0057363D" w:rsidRDefault="00DB6DC1" w:rsidP="0057363D">
      <w:pPr>
        <w:autoSpaceDE w:val="0"/>
        <w:autoSpaceDN w:val="0"/>
        <w:adjustRightInd w:val="0"/>
        <w:snapToGrid w:val="0"/>
        <w:jc w:val="both"/>
        <w:rPr>
          <w:sz w:val="20"/>
          <w:szCs w:val="20"/>
        </w:rPr>
      </w:pPr>
      <w:r w:rsidRPr="0057363D">
        <w:rPr>
          <w:noProof/>
          <w:sz w:val="20"/>
          <w:szCs w:val="20"/>
          <w:lang w:eastAsia="en-US"/>
        </w:rPr>
        <w:t xml:space="preserve">Fig 3: Liver ALT, AST, Protein and brain protein concentration levels of rats on </w:t>
      </w:r>
      <w:r w:rsidRPr="0057363D">
        <w:rPr>
          <w:i/>
          <w:noProof/>
          <w:sz w:val="20"/>
          <w:szCs w:val="20"/>
          <w:lang w:eastAsia="en-US"/>
        </w:rPr>
        <w:t>Treculia africana</w:t>
      </w:r>
      <w:r w:rsidRPr="0057363D">
        <w:rPr>
          <w:noProof/>
          <w:sz w:val="20"/>
          <w:szCs w:val="20"/>
          <w:lang w:eastAsia="en-US"/>
        </w:rPr>
        <w:t xml:space="preserve"> seed oil diet for eight weeks</w:t>
      </w: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Photomicrographs of liver tissue in the study are shown on Fig 3. In control rats, as well as animals in groups 3 and 4, all had normal liver tissue histology with no visible lesions, however test animals on10 % TA which had mild vascular degeneration.</w:t>
      </w:r>
      <w:r w:rsidR="0057363D" w:rsidRPr="0057363D">
        <w:rPr>
          <w:sz w:val="20"/>
          <w:szCs w:val="20"/>
        </w:rPr>
        <w:t xml:space="preserve"> </w:t>
      </w:r>
    </w:p>
    <w:p w:rsidR="00DB6DC1" w:rsidRPr="0057363D" w:rsidRDefault="00EC34CA" w:rsidP="0057363D">
      <w:pPr>
        <w:autoSpaceDE w:val="0"/>
        <w:autoSpaceDN w:val="0"/>
        <w:adjustRightInd w:val="0"/>
        <w:snapToGrid w:val="0"/>
        <w:jc w:val="center"/>
        <w:rPr>
          <w:rFonts w:cs="Calibri"/>
          <w:noProof/>
          <w:sz w:val="20"/>
          <w:szCs w:val="20"/>
          <w:lang w:eastAsia="en-US"/>
        </w:rPr>
      </w:pPr>
      <w:r>
        <w:rPr>
          <w:rFonts w:cs="Calibri"/>
          <w:noProof/>
          <w:sz w:val="20"/>
          <w:szCs w:val="20"/>
          <w:lang w:eastAsia="zh-CN"/>
        </w:rPr>
        <w:drawing>
          <wp:inline distT="0" distB="0" distL="0" distR="0">
            <wp:extent cx="935355" cy="107378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935355" cy="1073785"/>
                    </a:xfrm>
                    <a:prstGeom prst="rect">
                      <a:avLst/>
                    </a:prstGeom>
                    <a:noFill/>
                    <a:ln w="9525">
                      <a:noFill/>
                      <a:miter lim="800000"/>
                      <a:headEnd/>
                      <a:tailEnd/>
                    </a:ln>
                  </pic:spPr>
                </pic:pic>
              </a:graphicData>
            </a:graphic>
          </wp:inline>
        </w:drawing>
      </w:r>
      <w:r w:rsidR="0057363D" w:rsidRPr="0057363D">
        <w:rPr>
          <w:rFonts w:cs="Calibri"/>
          <w:noProof/>
          <w:sz w:val="20"/>
          <w:szCs w:val="20"/>
          <w:lang w:eastAsia="en-US"/>
        </w:rPr>
        <w:t xml:space="preserve">  </w:t>
      </w:r>
      <w:r w:rsidR="00DB6DC1" w:rsidRPr="0057363D">
        <w:rPr>
          <w:rFonts w:cs="Calibri"/>
          <w:noProof/>
          <w:sz w:val="20"/>
          <w:szCs w:val="20"/>
          <w:lang w:eastAsia="en-US"/>
        </w:rPr>
        <w:t xml:space="preserve">          </w:t>
      </w:r>
      <w:r>
        <w:rPr>
          <w:rFonts w:cs="Calibri"/>
          <w:noProof/>
          <w:sz w:val="20"/>
          <w:szCs w:val="20"/>
          <w:lang w:eastAsia="zh-CN"/>
        </w:rPr>
        <w:drawing>
          <wp:inline distT="0" distB="0" distL="0" distR="0">
            <wp:extent cx="946150" cy="106299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946150" cy="1062990"/>
                    </a:xfrm>
                    <a:prstGeom prst="rect">
                      <a:avLst/>
                    </a:prstGeom>
                    <a:noFill/>
                    <a:ln w="9525">
                      <a:noFill/>
                      <a:miter lim="800000"/>
                      <a:headEnd/>
                      <a:tailEnd/>
                    </a:ln>
                  </pic:spPr>
                </pic:pic>
              </a:graphicData>
            </a:graphic>
          </wp:inline>
        </w:drawing>
      </w: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autoSpaceDE w:val="0"/>
        <w:autoSpaceDN w:val="0"/>
        <w:adjustRightInd w:val="0"/>
        <w:snapToGrid w:val="0"/>
        <w:jc w:val="both"/>
        <w:rPr>
          <w:sz w:val="20"/>
          <w:szCs w:val="20"/>
        </w:rPr>
      </w:pPr>
      <w:r w:rsidRPr="0057363D">
        <w:rPr>
          <w:sz w:val="20"/>
          <w:szCs w:val="20"/>
        </w:rPr>
        <w:t>(A) Control rats on 10% VO: No visible lesion</w:t>
      </w:r>
      <w:r w:rsidR="00901267">
        <w:rPr>
          <w:sz w:val="20"/>
          <w:szCs w:val="20"/>
        </w:rPr>
        <w:t>.</w:t>
      </w:r>
      <w:r w:rsidRPr="0057363D">
        <w:rPr>
          <w:sz w:val="20"/>
          <w:szCs w:val="20"/>
        </w:rPr>
        <w:t xml:space="preserve"> (B) Rats on 10% TA: Mild diffuse vascular degeneration</w:t>
      </w:r>
    </w:p>
    <w:p w:rsidR="00DB6DC1" w:rsidRPr="0057363D" w:rsidRDefault="00DB6DC1" w:rsidP="0057363D">
      <w:pPr>
        <w:autoSpaceDE w:val="0"/>
        <w:autoSpaceDN w:val="0"/>
        <w:adjustRightInd w:val="0"/>
        <w:snapToGrid w:val="0"/>
        <w:jc w:val="both"/>
        <w:rPr>
          <w:sz w:val="20"/>
          <w:szCs w:val="20"/>
        </w:rPr>
      </w:pPr>
    </w:p>
    <w:p w:rsidR="00DB6DC1" w:rsidRPr="0057363D" w:rsidRDefault="00EC34CA" w:rsidP="0057363D">
      <w:pPr>
        <w:autoSpaceDE w:val="0"/>
        <w:autoSpaceDN w:val="0"/>
        <w:adjustRightInd w:val="0"/>
        <w:snapToGrid w:val="0"/>
        <w:jc w:val="center"/>
        <w:rPr>
          <w:sz w:val="20"/>
          <w:szCs w:val="20"/>
        </w:rPr>
      </w:pPr>
      <w:r>
        <w:rPr>
          <w:rFonts w:cs="Calibri"/>
          <w:noProof/>
          <w:sz w:val="20"/>
          <w:szCs w:val="20"/>
          <w:lang w:eastAsia="zh-CN"/>
        </w:rPr>
        <w:drawing>
          <wp:inline distT="0" distB="0" distL="0" distR="0">
            <wp:extent cx="956945" cy="1105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956945" cy="1105535"/>
                    </a:xfrm>
                    <a:prstGeom prst="rect">
                      <a:avLst/>
                    </a:prstGeom>
                    <a:noFill/>
                    <a:ln w="9525">
                      <a:noFill/>
                      <a:miter lim="800000"/>
                      <a:headEnd/>
                      <a:tailEnd/>
                    </a:ln>
                  </pic:spPr>
                </pic:pic>
              </a:graphicData>
            </a:graphic>
          </wp:inline>
        </w:drawing>
      </w:r>
      <w:r w:rsidR="00DB6DC1" w:rsidRPr="0057363D">
        <w:rPr>
          <w:rFonts w:cs="Calibri"/>
          <w:noProof/>
          <w:sz w:val="20"/>
          <w:szCs w:val="20"/>
          <w:lang w:eastAsia="en-US"/>
        </w:rPr>
        <w:t xml:space="preserve">          </w:t>
      </w:r>
      <w:r w:rsidR="0057363D" w:rsidRPr="0057363D">
        <w:rPr>
          <w:rFonts w:cs="Calibri"/>
          <w:noProof/>
          <w:sz w:val="20"/>
          <w:szCs w:val="20"/>
          <w:lang w:eastAsia="en-US"/>
        </w:rPr>
        <w:t xml:space="preserve">   </w:t>
      </w:r>
      <w:r>
        <w:rPr>
          <w:rFonts w:cs="Calibri"/>
          <w:noProof/>
          <w:sz w:val="20"/>
          <w:szCs w:val="20"/>
          <w:lang w:eastAsia="zh-CN"/>
        </w:rPr>
        <w:drawing>
          <wp:inline distT="0" distB="0" distL="0" distR="0">
            <wp:extent cx="956945" cy="111633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956945" cy="1116330"/>
                    </a:xfrm>
                    <a:prstGeom prst="rect">
                      <a:avLst/>
                    </a:prstGeom>
                    <a:noFill/>
                    <a:ln w="9525">
                      <a:noFill/>
                      <a:miter lim="800000"/>
                      <a:headEnd/>
                      <a:tailEnd/>
                    </a:ln>
                  </pic:spPr>
                </pic:pic>
              </a:graphicData>
            </a:graphic>
          </wp:inline>
        </w:drawing>
      </w: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suppressAutoHyphens w:val="0"/>
        <w:autoSpaceDE w:val="0"/>
        <w:autoSpaceDN w:val="0"/>
        <w:adjustRightInd w:val="0"/>
        <w:snapToGrid w:val="0"/>
        <w:jc w:val="both"/>
        <w:rPr>
          <w:rFonts w:eastAsia="Calibri"/>
          <w:sz w:val="20"/>
          <w:szCs w:val="20"/>
          <w:lang w:val="en-GB" w:eastAsia="en-US"/>
        </w:rPr>
      </w:pPr>
      <w:r w:rsidRPr="0057363D">
        <w:rPr>
          <w:rFonts w:eastAsia="Calibri"/>
          <w:sz w:val="20"/>
          <w:szCs w:val="20"/>
          <w:lang w:val="en-GB" w:eastAsia="en-US"/>
        </w:rPr>
        <w:t>(C) Rats on 5% TA: No visible lesion</w:t>
      </w:r>
      <w:r w:rsidR="00901267">
        <w:rPr>
          <w:rFonts w:eastAsia="Calibri"/>
          <w:sz w:val="20"/>
          <w:szCs w:val="20"/>
          <w:lang w:val="en-GB" w:eastAsia="en-US"/>
        </w:rPr>
        <w:t>.</w:t>
      </w:r>
      <w:r w:rsidR="0057363D" w:rsidRPr="0057363D">
        <w:rPr>
          <w:rFonts w:eastAsia="Calibri"/>
          <w:sz w:val="20"/>
          <w:szCs w:val="20"/>
          <w:lang w:val="en-GB" w:eastAsia="en-US"/>
        </w:rPr>
        <w:t xml:space="preserve"> </w:t>
      </w:r>
      <w:r w:rsidRPr="0057363D">
        <w:rPr>
          <w:rFonts w:eastAsia="Calibri"/>
          <w:sz w:val="20"/>
          <w:szCs w:val="20"/>
          <w:lang w:val="en-GB" w:eastAsia="en-US"/>
        </w:rPr>
        <w:t>(D) Rats on 3% TA: No visible lesions</w:t>
      </w:r>
    </w:p>
    <w:p w:rsidR="00DB6DC1" w:rsidRPr="0057363D" w:rsidRDefault="00DB6DC1" w:rsidP="0057363D">
      <w:pPr>
        <w:autoSpaceDE w:val="0"/>
        <w:autoSpaceDN w:val="0"/>
        <w:adjustRightInd w:val="0"/>
        <w:snapToGrid w:val="0"/>
        <w:jc w:val="both"/>
        <w:rPr>
          <w:sz w:val="20"/>
          <w:szCs w:val="20"/>
        </w:rPr>
      </w:pPr>
    </w:p>
    <w:p w:rsidR="00DB6DC1" w:rsidRPr="0057363D" w:rsidRDefault="00DB6DC1" w:rsidP="0057363D">
      <w:pPr>
        <w:adjustRightInd w:val="0"/>
        <w:snapToGrid w:val="0"/>
        <w:jc w:val="both"/>
        <w:rPr>
          <w:b/>
          <w:sz w:val="20"/>
          <w:szCs w:val="20"/>
        </w:rPr>
      </w:pPr>
      <w:r w:rsidRPr="0057363D">
        <w:rPr>
          <w:b/>
          <w:sz w:val="20"/>
          <w:szCs w:val="20"/>
        </w:rPr>
        <w:t xml:space="preserve">4. Discussions </w:t>
      </w:r>
    </w:p>
    <w:p w:rsidR="00DB6DC1" w:rsidRPr="0057363D" w:rsidRDefault="00DB6DC1" w:rsidP="0057363D">
      <w:pPr>
        <w:autoSpaceDE w:val="0"/>
        <w:autoSpaceDN w:val="0"/>
        <w:adjustRightInd w:val="0"/>
        <w:snapToGrid w:val="0"/>
        <w:ind w:firstLine="720"/>
        <w:jc w:val="both"/>
        <w:rPr>
          <w:sz w:val="20"/>
          <w:szCs w:val="20"/>
        </w:rPr>
      </w:pPr>
      <w:r w:rsidRPr="0057363D">
        <w:rPr>
          <w:sz w:val="20"/>
          <w:szCs w:val="20"/>
        </w:rPr>
        <w:t xml:space="preserve">Fats and oils are essential nutrients in both human and animal diets because they are a concentrated source of calorie and essential fatty acids which are precursors of important hormones and prostaglandins. They are stores of fat soluble vitamins; they serve to make foods more palatable and </w:t>
      </w:r>
      <w:r w:rsidRPr="0057363D">
        <w:rPr>
          <w:sz w:val="20"/>
          <w:szCs w:val="20"/>
        </w:rPr>
        <w:lastRenderedPageBreak/>
        <w:t>are important in membrane fluidity and function. The knowledge of the chemical composition of fats and oils, their purification and chemical modification of oils and fats is essential for health benefits (</w:t>
      </w:r>
      <w:proofErr w:type="spellStart"/>
      <w:r w:rsidRPr="0057363D">
        <w:rPr>
          <w:sz w:val="20"/>
          <w:szCs w:val="20"/>
        </w:rPr>
        <w:t>Asif</w:t>
      </w:r>
      <w:proofErr w:type="spellEnd"/>
      <w:r w:rsidRPr="0057363D">
        <w:rPr>
          <w:sz w:val="20"/>
          <w:szCs w:val="20"/>
        </w:rPr>
        <w:t xml:space="preserve"> </w:t>
      </w:r>
      <w:r w:rsidRPr="0057363D">
        <w:rPr>
          <w:i/>
          <w:sz w:val="20"/>
          <w:szCs w:val="20"/>
        </w:rPr>
        <w:t>et al</w:t>
      </w:r>
      <w:r w:rsidRPr="0057363D">
        <w:rPr>
          <w:sz w:val="20"/>
          <w:szCs w:val="20"/>
        </w:rPr>
        <w:t xml:space="preserve">., 2010). Some seed oil contain toxic </w:t>
      </w:r>
      <w:proofErr w:type="spellStart"/>
      <w:r w:rsidRPr="0057363D">
        <w:rPr>
          <w:sz w:val="20"/>
          <w:szCs w:val="20"/>
        </w:rPr>
        <w:t>antinutritional</w:t>
      </w:r>
      <w:proofErr w:type="spellEnd"/>
      <w:r w:rsidRPr="0057363D">
        <w:rPr>
          <w:sz w:val="20"/>
          <w:szCs w:val="20"/>
        </w:rPr>
        <w:t xml:space="preserve"> factors thus the need for safety evaluations, purification, and assessment on their effect on both growth and development.</w:t>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Physicochemical analysis of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seed oil (Table 1), parameters of thermal stability (smoke and flash points) indicate that both oils may be used at relatively very high temperatures such as in deep frying. Acid value is a measure of the age, quality and suitability for consumption and stability (</w:t>
      </w:r>
      <w:proofErr w:type="spellStart"/>
      <w:r w:rsidRPr="0057363D">
        <w:rPr>
          <w:sz w:val="20"/>
          <w:szCs w:val="20"/>
        </w:rPr>
        <w:t>Kardash</w:t>
      </w:r>
      <w:proofErr w:type="spellEnd"/>
      <w:r w:rsidRPr="0057363D">
        <w:rPr>
          <w:sz w:val="20"/>
          <w:szCs w:val="20"/>
        </w:rPr>
        <w:t xml:space="preserve"> and </w:t>
      </w:r>
      <w:proofErr w:type="spellStart"/>
      <w:r w:rsidRPr="0057363D">
        <w:rPr>
          <w:sz w:val="20"/>
          <w:szCs w:val="20"/>
        </w:rPr>
        <w:t>Tur’yan</w:t>
      </w:r>
      <w:proofErr w:type="spellEnd"/>
      <w:r w:rsidRPr="0057363D">
        <w:rPr>
          <w:sz w:val="20"/>
          <w:szCs w:val="20"/>
        </w:rPr>
        <w:t xml:space="preserve">, 2005, </w:t>
      </w:r>
      <w:proofErr w:type="spellStart"/>
      <w:r w:rsidRPr="0057363D">
        <w:rPr>
          <w:sz w:val="20"/>
          <w:szCs w:val="20"/>
        </w:rPr>
        <w:t>Akubugwo</w:t>
      </w:r>
      <w:proofErr w:type="spellEnd"/>
      <w:r w:rsidRPr="0057363D">
        <w:rPr>
          <w:sz w:val="20"/>
          <w:szCs w:val="20"/>
        </w:rPr>
        <w:t xml:space="preserve">, 2008). Low acid value of the seed oils indicates reduced susceptibility to </w:t>
      </w:r>
      <w:proofErr w:type="spellStart"/>
      <w:r w:rsidRPr="0057363D">
        <w:rPr>
          <w:sz w:val="20"/>
          <w:szCs w:val="20"/>
        </w:rPr>
        <w:t>lipolytic</w:t>
      </w:r>
      <w:proofErr w:type="spellEnd"/>
      <w:r w:rsidRPr="0057363D">
        <w:rPr>
          <w:sz w:val="20"/>
          <w:szCs w:val="20"/>
        </w:rPr>
        <w:t xml:space="preserve"> hydrolysis and the acid value (8.4 mg KOH/g oil) compares </w:t>
      </w:r>
      <w:proofErr w:type="spellStart"/>
      <w:r w:rsidRPr="0057363D">
        <w:rPr>
          <w:sz w:val="20"/>
          <w:szCs w:val="20"/>
        </w:rPr>
        <w:t>favourably</w:t>
      </w:r>
      <w:proofErr w:type="spellEnd"/>
      <w:r w:rsidRPr="0057363D">
        <w:rPr>
          <w:sz w:val="20"/>
          <w:szCs w:val="20"/>
        </w:rPr>
        <w:t xml:space="preserve"> with edible oils such as sesame, soybean, sunflower and rape seed and the value is within the allowable limits for edible oils (Eckey,1954). The low iodine values of the oil (27.20 mg I</w:t>
      </w:r>
      <w:r w:rsidRPr="0057363D">
        <w:rPr>
          <w:sz w:val="20"/>
          <w:szCs w:val="20"/>
          <w:vertAlign w:val="subscript"/>
        </w:rPr>
        <w:t>2</w:t>
      </w:r>
      <w:r w:rsidRPr="0057363D">
        <w:rPr>
          <w:sz w:val="20"/>
          <w:szCs w:val="20"/>
        </w:rPr>
        <w:t>/100</w:t>
      </w:r>
      <w:r w:rsidR="005E1D7B" w:rsidRPr="0057363D">
        <w:rPr>
          <w:sz w:val="20"/>
          <w:szCs w:val="20"/>
        </w:rPr>
        <w:t xml:space="preserve"> </w:t>
      </w:r>
      <w:r w:rsidRPr="0057363D">
        <w:rPr>
          <w:sz w:val="20"/>
          <w:szCs w:val="20"/>
        </w:rPr>
        <w:t xml:space="preserve">g oil), a measure of </w:t>
      </w:r>
      <w:proofErr w:type="spellStart"/>
      <w:r w:rsidRPr="0057363D">
        <w:rPr>
          <w:sz w:val="20"/>
          <w:szCs w:val="20"/>
        </w:rPr>
        <w:t>unsaturation</w:t>
      </w:r>
      <w:proofErr w:type="spellEnd"/>
      <w:r w:rsidRPr="0057363D">
        <w:rPr>
          <w:sz w:val="20"/>
          <w:szCs w:val="20"/>
        </w:rPr>
        <w:t xml:space="preserve"> indicates reduced susceptibility to hydrolysis and oxidative spoilage on storage (</w:t>
      </w:r>
      <w:proofErr w:type="spellStart"/>
      <w:r w:rsidRPr="0057363D">
        <w:rPr>
          <w:sz w:val="20"/>
          <w:szCs w:val="20"/>
        </w:rPr>
        <w:t>Popoola</w:t>
      </w:r>
      <w:proofErr w:type="spellEnd"/>
      <w:r w:rsidRPr="0057363D">
        <w:rPr>
          <w:sz w:val="20"/>
          <w:szCs w:val="20"/>
        </w:rPr>
        <w:t xml:space="preserve"> and </w:t>
      </w:r>
      <w:proofErr w:type="spellStart"/>
      <w:r w:rsidRPr="0057363D">
        <w:rPr>
          <w:sz w:val="20"/>
          <w:szCs w:val="20"/>
        </w:rPr>
        <w:t>Yangomodou</w:t>
      </w:r>
      <w:proofErr w:type="spellEnd"/>
      <w:r w:rsidRPr="0057363D">
        <w:rPr>
          <w:sz w:val="20"/>
          <w:szCs w:val="20"/>
        </w:rPr>
        <w:t xml:space="preserve">, 2006). The iodine value of the seed oil places it as non- drying and the peroxide value of (1.75 </w:t>
      </w:r>
      <w:proofErr w:type="spellStart"/>
      <w:r w:rsidRPr="0057363D">
        <w:rPr>
          <w:sz w:val="20"/>
          <w:szCs w:val="20"/>
        </w:rPr>
        <w:t>mEq</w:t>
      </w:r>
      <w:proofErr w:type="spellEnd"/>
      <w:r w:rsidRPr="0057363D">
        <w:rPr>
          <w:sz w:val="20"/>
          <w:szCs w:val="20"/>
        </w:rPr>
        <w:t>/kg oil) further supports the lowered tendency to go rancid and the value is lower than those of commonly consumed oils such as palm, coconut, groundnut and even soybean oils (</w:t>
      </w:r>
      <w:proofErr w:type="spellStart"/>
      <w:r w:rsidRPr="0057363D">
        <w:rPr>
          <w:sz w:val="20"/>
          <w:szCs w:val="20"/>
        </w:rPr>
        <w:t>Oladiji</w:t>
      </w:r>
      <w:proofErr w:type="spellEnd"/>
      <w:r w:rsidRPr="0057363D">
        <w:rPr>
          <w:sz w:val="20"/>
          <w:szCs w:val="20"/>
        </w:rPr>
        <w:t xml:space="preserve"> </w:t>
      </w:r>
      <w:r w:rsidRPr="0057363D">
        <w:rPr>
          <w:i/>
          <w:sz w:val="20"/>
          <w:szCs w:val="20"/>
        </w:rPr>
        <w:t>et al</w:t>
      </w:r>
      <w:r w:rsidRPr="0057363D">
        <w:rPr>
          <w:sz w:val="20"/>
          <w:szCs w:val="20"/>
        </w:rPr>
        <w:t xml:space="preserve">., 2009). The </w:t>
      </w:r>
      <w:proofErr w:type="spellStart"/>
      <w:r w:rsidRPr="0057363D">
        <w:rPr>
          <w:sz w:val="20"/>
          <w:szCs w:val="20"/>
        </w:rPr>
        <w:t>saponification</w:t>
      </w:r>
      <w:proofErr w:type="spellEnd"/>
      <w:r w:rsidRPr="0057363D">
        <w:rPr>
          <w:sz w:val="20"/>
          <w:szCs w:val="20"/>
        </w:rPr>
        <w:t xml:space="preserve"> numbers of the seed oil is low (212.70mgKOH/ 100g oil): it is not likely to be suitable for soap making.</w:t>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There was increase in body weight in all tested animals on TA seed oil based feed compared to control on vegetable oil, while only in 5%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fed rats was there a significant increase in body weight. The decrease in weight in 3% and 10% maybe due decreased fed intake or reduction in drinking water utilized, caused by either the reduced palatability of</w:t>
      </w:r>
      <w:r w:rsidRPr="0057363D">
        <w:rPr>
          <w:i/>
          <w:iCs/>
          <w:sz w:val="20"/>
          <w:szCs w:val="20"/>
        </w:rPr>
        <w:t xml:space="preserve">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compounded feed, diet-induced anorexia, or systemic toxicity (</w:t>
      </w:r>
      <w:proofErr w:type="spellStart"/>
      <w:r w:rsidRPr="0057363D">
        <w:rPr>
          <w:sz w:val="20"/>
          <w:szCs w:val="20"/>
        </w:rPr>
        <w:t>Abdulazeez</w:t>
      </w:r>
      <w:proofErr w:type="spellEnd"/>
      <w:r w:rsidRPr="0057363D">
        <w:rPr>
          <w:sz w:val="20"/>
          <w:szCs w:val="20"/>
        </w:rPr>
        <w:t xml:space="preserve">, </w:t>
      </w:r>
      <w:r w:rsidRPr="0057363D">
        <w:rPr>
          <w:i/>
          <w:sz w:val="20"/>
          <w:szCs w:val="20"/>
        </w:rPr>
        <w:t>et al</w:t>
      </w:r>
      <w:r w:rsidRPr="0057363D">
        <w:rPr>
          <w:i/>
          <w:iCs/>
          <w:sz w:val="20"/>
          <w:szCs w:val="20"/>
        </w:rPr>
        <w:t xml:space="preserve">., </w:t>
      </w:r>
      <w:r w:rsidRPr="0057363D">
        <w:rPr>
          <w:sz w:val="20"/>
          <w:szCs w:val="20"/>
        </w:rPr>
        <w:t xml:space="preserve">2008).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feed rats had reduced brain weight which corresponded with the body weight but the livers were bigger except for the 3% TA group 4 rats.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seed oil based diet, especially in group 2 caused decrease in both the body weight and visceral organs may probably be less palatable and acceptable to the rats unlike the vegetable oil in control group. </w:t>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Serum lipid profiles data are essential biomarkers for assessing health risk in obesity, diabetes and coronary heart diseases (CHD) (Cain, 2007). Diet induced alterations in serum lipids of animals could provide useful information on the effect of the diet on lipid metabolism as well as predisposition of the heart </w:t>
      </w:r>
      <w:r w:rsidRPr="0057363D">
        <w:rPr>
          <w:sz w:val="20"/>
          <w:szCs w:val="20"/>
        </w:rPr>
        <w:lastRenderedPageBreak/>
        <w:t>to atherosclerosis and other CHD (</w:t>
      </w:r>
      <w:proofErr w:type="spellStart"/>
      <w:r w:rsidRPr="0057363D">
        <w:rPr>
          <w:sz w:val="20"/>
          <w:szCs w:val="20"/>
        </w:rPr>
        <w:t>Visavadiya</w:t>
      </w:r>
      <w:proofErr w:type="spellEnd"/>
      <w:r w:rsidRPr="0057363D">
        <w:rPr>
          <w:sz w:val="20"/>
          <w:szCs w:val="20"/>
        </w:rPr>
        <w:t xml:space="preserve"> and </w:t>
      </w:r>
      <w:proofErr w:type="spellStart"/>
      <w:r w:rsidRPr="0057363D">
        <w:rPr>
          <w:sz w:val="20"/>
          <w:szCs w:val="20"/>
        </w:rPr>
        <w:t>Narasimacharya</w:t>
      </w:r>
      <w:proofErr w:type="spellEnd"/>
      <w:r w:rsidRPr="0057363D">
        <w:rPr>
          <w:sz w:val="20"/>
          <w:szCs w:val="20"/>
        </w:rPr>
        <w:t xml:space="preserve">, 2005; </w:t>
      </w:r>
      <w:proofErr w:type="spellStart"/>
      <w:r w:rsidRPr="0057363D">
        <w:rPr>
          <w:sz w:val="20"/>
          <w:szCs w:val="20"/>
        </w:rPr>
        <w:t>Abolaji</w:t>
      </w:r>
      <w:proofErr w:type="spellEnd"/>
      <w:r w:rsidRPr="0057363D">
        <w:rPr>
          <w:sz w:val="20"/>
          <w:szCs w:val="20"/>
        </w:rPr>
        <w:t xml:space="preserve"> </w:t>
      </w:r>
      <w:r w:rsidRPr="0057363D">
        <w:rPr>
          <w:i/>
          <w:sz w:val="20"/>
          <w:szCs w:val="20"/>
        </w:rPr>
        <w:t>et al</w:t>
      </w:r>
      <w:r w:rsidRPr="0057363D">
        <w:rPr>
          <w:sz w:val="20"/>
          <w:szCs w:val="20"/>
        </w:rPr>
        <w:t xml:space="preserve">., 2007). Saturated and unsaturated fatty acids in the diet have been reported to have an influence on both serum lipid levels and </w:t>
      </w:r>
      <w:proofErr w:type="spellStart"/>
      <w:r w:rsidRPr="0057363D">
        <w:rPr>
          <w:sz w:val="20"/>
          <w:szCs w:val="20"/>
        </w:rPr>
        <w:t>lipidperoxidation</w:t>
      </w:r>
      <w:proofErr w:type="spellEnd"/>
      <w:r w:rsidRPr="0057363D">
        <w:rPr>
          <w:sz w:val="20"/>
          <w:szCs w:val="20"/>
        </w:rPr>
        <w:t xml:space="preserve"> (</w:t>
      </w:r>
      <w:proofErr w:type="spellStart"/>
      <w:r w:rsidRPr="0057363D">
        <w:rPr>
          <w:sz w:val="20"/>
          <w:szCs w:val="20"/>
        </w:rPr>
        <w:t>Gilani</w:t>
      </w:r>
      <w:proofErr w:type="spellEnd"/>
      <w:r w:rsidRPr="0057363D">
        <w:rPr>
          <w:sz w:val="20"/>
          <w:szCs w:val="20"/>
        </w:rPr>
        <w:t xml:space="preserve"> </w:t>
      </w:r>
      <w:r w:rsidRPr="0057363D">
        <w:rPr>
          <w:i/>
          <w:sz w:val="20"/>
          <w:szCs w:val="20"/>
        </w:rPr>
        <w:t>et al</w:t>
      </w:r>
      <w:r w:rsidRPr="0057363D">
        <w:rPr>
          <w:sz w:val="20"/>
          <w:szCs w:val="20"/>
        </w:rPr>
        <w:t>., 2002). The tested oil (</w:t>
      </w:r>
      <w:proofErr w:type="spellStart"/>
      <w:r w:rsidRPr="0057363D">
        <w:rPr>
          <w:i/>
          <w:iCs/>
          <w:sz w:val="20"/>
          <w:szCs w:val="20"/>
        </w:rPr>
        <w:t>Treculia</w:t>
      </w:r>
      <w:proofErr w:type="spellEnd"/>
      <w:r w:rsidRPr="0057363D">
        <w:rPr>
          <w:i/>
          <w:iCs/>
          <w:sz w:val="20"/>
          <w:szCs w:val="20"/>
        </w:rPr>
        <w:t xml:space="preserve"> Africana </w:t>
      </w:r>
      <w:r w:rsidRPr="0057363D">
        <w:rPr>
          <w:iCs/>
          <w:sz w:val="20"/>
          <w:szCs w:val="20"/>
        </w:rPr>
        <w:t>seed oil</w:t>
      </w:r>
      <w:r w:rsidRPr="0057363D">
        <w:rPr>
          <w:sz w:val="20"/>
          <w:szCs w:val="20"/>
        </w:rPr>
        <w:t xml:space="preserve">) in rats had higher total cholesterol and triglyceride values, the rats all had higher HDL-c and subsequently lower </w:t>
      </w:r>
      <w:proofErr w:type="spellStart"/>
      <w:r w:rsidRPr="0057363D">
        <w:rPr>
          <w:sz w:val="20"/>
          <w:szCs w:val="20"/>
        </w:rPr>
        <w:t>artherogenic</w:t>
      </w:r>
      <w:proofErr w:type="spellEnd"/>
      <w:r w:rsidRPr="0057363D">
        <w:rPr>
          <w:sz w:val="20"/>
          <w:szCs w:val="20"/>
        </w:rPr>
        <w:t xml:space="preserve"> index (Fig.1). Increase in the serum HDL-c of rats maintained on 10% T.A shows that the oil might be good for consumption. HDL-c (good cholesterol) is an essential transporter of cholesterol from cells and arteries to the liver for catabolism (</w:t>
      </w:r>
      <w:proofErr w:type="spellStart"/>
      <w:r w:rsidRPr="0057363D">
        <w:rPr>
          <w:sz w:val="20"/>
          <w:szCs w:val="20"/>
        </w:rPr>
        <w:t>Lacko</w:t>
      </w:r>
      <w:proofErr w:type="spellEnd"/>
      <w:r w:rsidRPr="0057363D">
        <w:rPr>
          <w:sz w:val="20"/>
          <w:szCs w:val="20"/>
        </w:rPr>
        <w:t xml:space="preserve"> </w:t>
      </w:r>
      <w:r w:rsidRPr="0057363D">
        <w:rPr>
          <w:i/>
          <w:sz w:val="20"/>
          <w:szCs w:val="20"/>
        </w:rPr>
        <w:t>et al</w:t>
      </w:r>
      <w:r w:rsidRPr="0057363D">
        <w:rPr>
          <w:sz w:val="20"/>
          <w:szCs w:val="20"/>
        </w:rPr>
        <w:t>., 2000). Cardiovascular disease (CVD) patients have markedly elevated levels of triglycerides and reduced HDL-c levels (</w:t>
      </w:r>
      <w:proofErr w:type="spellStart"/>
      <w:r w:rsidRPr="0057363D">
        <w:rPr>
          <w:sz w:val="20"/>
          <w:szCs w:val="20"/>
        </w:rPr>
        <w:t>Patsch</w:t>
      </w:r>
      <w:proofErr w:type="spellEnd"/>
      <w:r w:rsidRPr="0057363D">
        <w:rPr>
          <w:sz w:val="20"/>
          <w:szCs w:val="20"/>
        </w:rPr>
        <w:t xml:space="preserve">, 1993). Furthermore, the equivalence in triglyceride and low density lipoprotein cholesterol levels in the same group of rats when compared with the control further suggested that the oil </w:t>
      </w:r>
      <w:proofErr w:type="spellStart"/>
      <w:r w:rsidRPr="0057363D">
        <w:rPr>
          <w:i/>
          <w:sz w:val="20"/>
          <w:szCs w:val="20"/>
        </w:rPr>
        <w:t>Treculia</w:t>
      </w:r>
      <w:proofErr w:type="spellEnd"/>
      <w:r w:rsidRPr="0057363D">
        <w:rPr>
          <w:i/>
          <w:sz w:val="20"/>
          <w:szCs w:val="20"/>
        </w:rPr>
        <w:t xml:space="preserve"> </w:t>
      </w:r>
      <w:proofErr w:type="spellStart"/>
      <w:r w:rsidRPr="0057363D">
        <w:rPr>
          <w:i/>
          <w:sz w:val="20"/>
          <w:szCs w:val="20"/>
        </w:rPr>
        <w:t>africana</w:t>
      </w:r>
      <w:proofErr w:type="spellEnd"/>
      <w:r w:rsidRPr="0057363D">
        <w:rPr>
          <w:sz w:val="20"/>
          <w:szCs w:val="20"/>
        </w:rPr>
        <w:t xml:space="preserve"> could offer protection against cardiovascular diseases.</w:t>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The peroxide value of the oil (Table 1), showed that the oils might be susceptible to oxidative damage and might have fewer unsaturated bonds, hence we evaluated the radical generation, radical scavenging and probable radical induced damaged potential that may be attributed to </w:t>
      </w:r>
      <w:proofErr w:type="spellStart"/>
      <w:r w:rsidRPr="0057363D">
        <w:rPr>
          <w:i/>
          <w:sz w:val="20"/>
          <w:szCs w:val="20"/>
        </w:rPr>
        <w:t>Treculia</w:t>
      </w:r>
      <w:proofErr w:type="spellEnd"/>
      <w:r w:rsidRPr="0057363D">
        <w:rPr>
          <w:i/>
          <w:sz w:val="20"/>
          <w:szCs w:val="20"/>
        </w:rPr>
        <w:t xml:space="preserve"> </w:t>
      </w:r>
      <w:proofErr w:type="spellStart"/>
      <w:r w:rsidRPr="0057363D">
        <w:rPr>
          <w:i/>
          <w:sz w:val="20"/>
          <w:szCs w:val="20"/>
        </w:rPr>
        <w:t>africana</w:t>
      </w:r>
      <w:proofErr w:type="spellEnd"/>
      <w:r w:rsidRPr="0057363D">
        <w:rPr>
          <w:sz w:val="20"/>
          <w:szCs w:val="20"/>
        </w:rPr>
        <w:t xml:space="preserve"> seeds oil in both the brain and liver. The antioxidant system plays an effective role in protecting the various biological tissues below a critical threshold of reactive oxygen species (ROS), thus preventing organ dysfunction (</w:t>
      </w:r>
      <w:proofErr w:type="spellStart"/>
      <w:r w:rsidRPr="0057363D">
        <w:rPr>
          <w:sz w:val="20"/>
          <w:szCs w:val="20"/>
        </w:rPr>
        <w:t>Oschsendorf</w:t>
      </w:r>
      <w:proofErr w:type="spellEnd"/>
      <w:r w:rsidRPr="0057363D">
        <w:rPr>
          <w:sz w:val="20"/>
          <w:szCs w:val="20"/>
        </w:rPr>
        <w:t xml:space="preserve">, 1999). The result of this study shows that </w:t>
      </w:r>
      <w:proofErr w:type="spellStart"/>
      <w:r w:rsidRPr="0057363D">
        <w:rPr>
          <w:i/>
          <w:sz w:val="20"/>
          <w:szCs w:val="20"/>
        </w:rPr>
        <w:t>Treculia</w:t>
      </w:r>
      <w:proofErr w:type="spellEnd"/>
      <w:r w:rsidRPr="0057363D">
        <w:rPr>
          <w:i/>
          <w:sz w:val="20"/>
          <w:szCs w:val="20"/>
        </w:rPr>
        <w:t xml:space="preserve"> </w:t>
      </w:r>
      <w:proofErr w:type="spellStart"/>
      <w:r w:rsidRPr="0057363D">
        <w:rPr>
          <w:i/>
          <w:sz w:val="20"/>
          <w:szCs w:val="20"/>
        </w:rPr>
        <w:t>africana</w:t>
      </w:r>
      <w:proofErr w:type="spellEnd"/>
      <w:r w:rsidRPr="0057363D">
        <w:rPr>
          <w:sz w:val="20"/>
          <w:szCs w:val="20"/>
        </w:rPr>
        <w:t xml:space="preserve"> seed oil based formulated feeds showed slight increase in the liver and brain compared with control (Group 1).  Similarly CAT and SOD levels increased in TA treated animals compared to control, the increase was highest in 10% TA rats compared to groups 3 and 4 rats which had significantly decreased values especially in the brain. However, activities of superoxide dismutase (SOD), an enzyme that generate H</w:t>
      </w:r>
      <w:r w:rsidRPr="0057363D">
        <w:rPr>
          <w:sz w:val="20"/>
          <w:szCs w:val="20"/>
          <w:vertAlign w:val="subscript"/>
        </w:rPr>
        <w:t>2</w:t>
      </w:r>
      <w:r w:rsidRPr="0057363D">
        <w:rPr>
          <w:sz w:val="20"/>
          <w:szCs w:val="20"/>
        </w:rPr>
        <w:t>O</w:t>
      </w:r>
      <w:r w:rsidRPr="0057363D">
        <w:rPr>
          <w:sz w:val="20"/>
          <w:szCs w:val="20"/>
          <w:vertAlign w:val="subscript"/>
        </w:rPr>
        <w:t xml:space="preserve">2, </w:t>
      </w:r>
      <w:r w:rsidRPr="0057363D">
        <w:rPr>
          <w:sz w:val="20"/>
          <w:szCs w:val="20"/>
        </w:rPr>
        <w:t>in</w:t>
      </w:r>
      <w:r w:rsidRPr="0057363D">
        <w:rPr>
          <w:sz w:val="20"/>
          <w:szCs w:val="20"/>
          <w:vertAlign w:val="subscript"/>
        </w:rPr>
        <w:t xml:space="preserve"> </w:t>
      </w:r>
      <w:r w:rsidRPr="0057363D">
        <w:rPr>
          <w:sz w:val="20"/>
          <w:szCs w:val="20"/>
        </w:rPr>
        <w:t xml:space="preserve">the brain of animals with reduced GSH were comparable with those maintained on vegetable only. 10%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iCs/>
          <w:sz w:val="20"/>
          <w:szCs w:val="20"/>
        </w:rPr>
        <w:t xml:space="preserve"> seed oil-</w:t>
      </w:r>
      <w:r w:rsidRPr="0057363D">
        <w:rPr>
          <w:sz w:val="20"/>
          <w:szCs w:val="20"/>
        </w:rPr>
        <w:t xml:space="preserve">based fed groups had increased SOD activities in the liver. This reflects that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is not toxic to liver and brain and generation of H</w:t>
      </w:r>
      <w:r w:rsidRPr="0057363D">
        <w:rPr>
          <w:sz w:val="20"/>
          <w:szCs w:val="20"/>
          <w:vertAlign w:val="subscript"/>
        </w:rPr>
        <w:t>2</w:t>
      </w:r>
      <w:r w:rsidRPr="0057363D">
        <w:rPr>
          <w:sz w:val="20"/>
          <w:szCs w:val="20"/>
        </w:rPr>
        <w:t>0</w:t>
      </w:r>
      <w:r w:rsidRPr="0057363D">
        <w:rPr>
          <w:sz w:val="20"/>
          <w:szCs w:val="20"/>
          <w:vertAlign w:val="subscript"/>
        </w:rPr>
        <w:t>2</w:t>
      </w:r>
      <w:r w:rsidRPr="0057363D">
        <w:rPr>
          <w:sz w:val="20"/>
          <w:szCs w:val="20"/>
        </w:rPr>
        <w:t xml:space="preserve">, in the brains through other mechanisms apart from SOD (that is, they are pro-oxidant) since </w:t>
      </w:r>
      <w:proofErr w:type="spellStart"/>
      <w:r w:rsidRPr="0057363D">
        <w:rPr>
          <w:sz w:val="20"/>
          <w:szCs w:val="20"/>
        </w:rPr>
        <w:t>catalase</w:t>
      </w:r>
      <w:proofErr w:type="spellEnd"/>
      <w:r w:rsidRPr="0057363D">
        <w:rPr>
          <w:sz w:val="20"/>
          <w:szCs w:val="20"/>
        </w:rPr>
        <w:t xml:space="preserve"> activities are significantly pronounced in both liver and brain of the same set of animals when compared with the control while the activities in both organs of the animals maintained on VO and </w:t>
      </w:r>
      <w:proofErr w:type="spellStart"/>
      <w:r w:rsidRPr="0057363D">
        <w:rPr>
          <w:i/>
          <w:iCs/>
          <w:sz w:val="20"/>
          <w:szCs w:val="20"/>
        </w:rPr>
        <w:t>Treculia</w:t>
      </w:r>
      <w:proofErr w:type="spellEnd"/>
      <w:r w:rsidRPr="0057363D">
        <w:rPr>
          <w:i/>
          <w:iCs/>
          <w:sz w:val="20"/>
          <w:szCs w:val="20"/>
        </w:rPr>
        <w:t xml:space="preserve"> </w:t>
      </w:r>
      <w:proofErr w:type="spellStart"/>
      <w:r w:rsidRPr="0057363D">
        <w:rPr>
          <w:i/>
          <w:iCs/>
          <w:sz w:val="20"/>
          <w:szCs w:val="20"/>
        </w:rPr>
        <w:t>africana</w:t>
      </w:r>
      <w:proofErr w:type="spellEnd"/>
      <w:r w:rsidRPr="0057363D">
        <w:rPr>
          <w:sz w:val="20"/>
          <w:szCs w:val="20"/>
        </w:rPr>
        <w:t xml:space="preserve"> are comparable with control. </w:t>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w:t>
      </w:r>
      <w:proofErr w:type="spellStart"/>
      <w:r w:rsidRPr="0057363D">
        <w:rPr>
          <w:sz w:val="20"/>
          <w:szCs w:val="20"/>
        </w:rPr>
        <w:t>Aminotransferases</w:t>
      </w:r>
      <w:proofErr w:type="spellEnd"/>
      <w:r w:rsidRPr="0057363D">
        <w:rPr>
          <w:sz w:val="20"/>
          <w:szCs w:val="20"/>
        </w:rPr>
        <w:t xml:space="preserve"> (ALT and AST) occupy a central position in the metabolism of amino acids as they help in retaining amino groups (to form new </w:t>
      </w:r>
      <w:r w:rsidRPr="0057363D">
        <w:rPr>
          <w:sz w:val="20"/>
          <w:szCs w:val="20"/>
        </w:rPr>
        <w:lastRenderedPageBreak/>
        <w:t>ones) during degradation of amino acids. They are also involved in the biochemical regulation of amino acid pool and in providing necessary intermediate to predict possible toxicity in some organs such as liver cytolysis and the heart of animals (</w:t>
      </w:r>
      <w:proofErr w:type="spellStart"/>
      <w:r w:rsidRPr="0057363D">
        <w:rPr>
          <w:sz w:val="20"/>
          <w:szCs w:val="20"/>
        </w:rPr>
        <w:t>Rahman</w:t>
      </w:r>
      <w:proofErr w:type="spellEnd"/>
      <w:r w:rsidRPr="0057363D">
        <w:rPr>
          <w:sz w:val="20"/>
          <w:szCs w:val="20"/>
        </w:rPr>
        <w:t xml:space="preserve"> </w:t>
      </w:r>
      <w:r w:rsidRPr="0057363D">
        <w:rPr>
          <w:i/>
          <w:sz w:val="20"/>
          <w:szCs w:val="20"/>
        </w:rPr>
        <w:t>et al</w:t>
      </w:r>
      <w:r w:rsidRPr="0057363D">
        <w:rPr>
          <w:sz w:val="20"/>
          <w:szCs w:val="20"/>
        </w:rPr>
        <w:t xml:space="preserve">., 2001; </w:t>
      </w:r>
      <w:proofErr w:type="spellStart"/>
      <w:r w:rsidRPr="0057363D">
        <w:rPr>
          <w:sz w:val="20"/>
          <w:szCs w:val="20"/>
        </w:rPr>
        <w:t>Shahjahan</w:t>
      </w:r>
      <w:proofErr w:type="spellEnd"/>
      <w:r w:rsidRPr="0057363D">
        <w:rPr>
          <w:sz w:val="20"/>
          <w:szCs w:val="20"/>
        </w:rPr>
        <w:t xml:space="preserve"> </w:t>
      </w:r>
      <w:r w:rsidRPr="0057363D">
        <w:rPr>
          <w:i/>
          <w:sz w:val="20"/>
          <w:szCs w:val="20"/>
        </w:rPr>
        <w:t>et al</w:t>
      </w:r>
      <w:r w:rsidRPr="0057363D">
        <w:rPr>
          <w:sz w:val="20"/>
          <w:szCs w:val="20"/>
        </w:rPr>
        <w:t xml:space="preserve">., 2004). The measurement of the activities of these enzymes is of clinical and toxicological significance. Since the enzymes will only be released into cellular flow when liver is damaged, the reduction in the levels of these enzymes in the serum of the animals maintained on formulated diets (Fig 3). Thus, the effect of the compounded feeds is insignificantly toxicologically on the liver. </w:t>
      </w:r>
    </w:p>
    <w:p w:rsidR="00DB6DC1" w:rsidRPr="0057363D" w:rsidRDefault="00DB6DC1" w:rsidP="0057363D">
      <w:pPr>
        <w:autoSpaceDE w:val="0"/>
        <w:autoSpaceDN w:val="0"/>
        <w:adjustRightInd w:val="0"/>
        <w:snapToGrid w:val="0"/>
        <w:jc w:val="both"/>
        <w:rPr>
          <w:sz w:val="20"/>
          <w:szCs w:val="20"/>
        </w:rPr>
      </w:pPr>
      <w:r w:rsidRPr="0057363D">
        <w:rPr>
          <w:sz w:val="20"/>
          <w:szCs w:val="20"/>
        </w:rPr>
        <w:t xml:space="preserve">        Histological, the results of this study showed no lesions in both the brain and liver of all the experimental animals but one with mild vascular lesion. However, result from the brain in the T.A (10%) has mild diffuse vascular degeneration. The seed oil when fed to rats was found not to be toxic to the liver and the brain of the rats and none of the rats died throughout the period of experiment. The mild lesion might be</w:t>
      </w:r>
      <w:r w:rsidR="0057363D" w:rsidRPr="0057363D">
        <w:rPr>
          <w:sz w:val="20"/>
          <w:szCs w:val="20"/>
        </w:rPr>
        <w:t xml:space="preserve"> </w:t>
      </w:r>
      <w:r w:rsidRPr="0057363D">
        <w:rPr>
          <w:sz w:val="20"/>
          <w:szCs w:val="20"/>
        </w:rPr>
        <w:t xml:space="preserve">due to other confounding factors. It could be concluded that the oil </w:t>
      </w:r>
      <w:proofErr w:type="spellStart"/>
      <w:r w:rsidRPr="0057363D">
        <w:rPr>
          <w:i/>
          <w:sz w:val="20"/>
          <w:szCs w:val="20"/>
        </w:rPr>
        <w:t>Treculia</w:t>
      </w:r>
      <w:proofErr w:type="spellEnd"/>
      <w:r w:rsidRPr="0057363D">
        <w:rPr>
          <w:i/>
          <w:sz w:val="20"/>
          <w:szCs w:val="20"/>
        </w:rPr>
        <w:t xml:space="preserve"> </w:t>
      </w:r>
      <w:proofErr w:type="spellStart"/>
      <w:r w:rsidRPr="0057363D">
        <w:rPr>
          <w:i/>
          <w:sz w:val="20"/>
          <w:szCs w:val="20"/>
        </w:rPr>
        <w:t>africana</w:t>
      </w:r>
      <w:proofErr w:type="spellEnd"/>
      <w:r w:rsidRPr="0057363D">
        <w:rPr>
          <w:sz w:val="20"/>
          <w:szCs w:val="20"/>
        </w:rPr>
        <w:t xml:space="preserve"> has no deleterious effects on rats but could be administered at 5% inclusion level in order to avoid possible oxidative damage to liver and brain damage.</w:t>
      </w:r>
    </w:p>
    <w:p w:rsidR="00DB6DC1" w:rsidRPr="0057363D" w:rsidRDefault="0057363D" w:rsidP="0057363D">
      <w:pPr>
        <w:autoSpaceDE w:val="0"/>
        <w:autoSpaceDN w:val="0"/>
        <w:adjustRightInd w:val="0"/>
        <w:snapToGrid w:val="0"/>
        <w:jc w:val="both"/>
        <w:rPr>
          <w:sz w:val="20"/>
          <w:szCs w:val="20"/>
        </w:rPr>
      </w:pPr>
      <w:r w:rsidRPr="0057363D">
        <w:rPr>
          <w:sz w:val="20"/>
          <w:szCs w:val="20"/>
        </w:rPr>
        <w:t xml:space="preserve">     </w:t>
      </w:r>
    </w:p>
    <w:p w:rsidR="00DB6DC1" w:rsidRPr="0057363D" w:rsidRDefault="00DB6DC1" w:rsidP="0057363D">
      <w:pPr>
        <w:adjustRightInd w:val="0"/>
        <w:snapToGrid w:val="0"/>
        <w:jc w:val="both"/>
        <w:rPr>
          <w:b/>
          <w:sz w:val="20"/>
          <w:szCs w:val="20"/>
        </w:rPr>
      </w:pPr>
      <w:r w:rsidRPr="0057363D">
        <w:rPr>
          <w:b/>
          <w:sz w:val="20"/>
          <w:szCs w:val="20"/>
        </w:rPr>
        <w:t>Corresponding Author:</w:t>
      </w:r>
    </w:p>
    <w:p w:rsidR="00DB6DC1" w:rsidRPr="0057363D" w:rsidRDefault="00DB6DC1" w:rsidP="0057363D">
      <w:pPr>
        <w:adjustRightInd w:val="0"/>
        <w:snapToGrid w:val="0"/>
        <w:rPr>
          <w:sz w:val="20"/>
          <w:szCs w:val="20"/>
        </w:rPr>
      </w:pPr>
      <w:r w:rsidRPr="0057363D">
        <w:rPr>
          <w:sz w:val="20"/>
          <w:szCs w:val="20"/>
        </w:rPr>
        <w:t xml:space="preserve">Dr. Sarah </w:t>
      </w:r>
      <w:proofErr w:type="spellStart"/>
      <w:r w:rsidRPr="0057363D">
        <w:rPr>
          <w:sz w:val="20"/>
          <w:szCs w:val="20"/>
        </w:rPr>
        <w:t>Onyenibe</w:t>
      </w:r>
      <w:proofErr w:type="spellEnd"/>
      <w:r w:rsidRPr="0057363D">
        <w:rPr>
          <w:sz w:val="20"/>
          <w:szCs w:val="20"/>
        </w:rPr>
        <w:t xml:space="preserve"> </w:t>
      </w:r>
      <w:proofErr w:type="spellStart"/>
      <w:r w:rsidRPr="0057363D">
        <w:rPr>
          <w:sz w:val="20"/>
          <w:szCs w:val="20"/>
        </w:rPr>
        <w:t>Nwozo</w:t>
      </w:r>
      <w:proofErr w:type="spellEnd"/>
    </w:p>
    <w:p w:rsidR="00DB6DC1" w:rsidRPr="0057363D" w:rsidRDefault="00DB6DC1" w:rsidP="0057363D">
      <w:pPr>
        <w:adjustRightInd w:val="0"/>
        <w:snapToGrid w:val="0"/>
        <w:rPr>
          <w:sz w:val="20"/>
          <w:szCs w:val="20"/>
        </w:rPr>
      </w:pPr>
      <w:r w:rsidRPr="0057363D">
        <w:rPr>
          <w:sz w:val="20"/>
          <w:szCs w:val="20"/>
        </w:rPr>
        <w:t xml:space="preserve">Department of Biochemistry, </w:t>
      </w:r>
    </w:p>
    <w:p w:rsidR="00DB6DC1" w:rsidRPr="0057363D" w:rsidRDefault="00DB6DC1" w:rsidP="0057363D">
      <w:pPr>
        <w:adjustRightInd w:val="0"/>
        <w:snapToGrid w:val="0"/>
        <w:rPr>
          <w:sz w:val="20"/>
          <w:szCs w:val="20"/>
        </w:rPr>
      </w:pPr>
      <w:r w:rsidRPr="0057363D">
        <w:rPr>
          <w:sz w:val="20"/>
          <w:szCs w:val="20"/>
        </w:rPr>
        <w:t>FBMS, College of Medicine,</w:t>
      </w:r>
    </w:p>
    <w:p w:rsidR="00DB6DC1" w:rsidRPr="0057363D" w:rsidRDefault="00DB6DC1" w:rsidP="0057363D">
      <w:pPr>
        <w:adjustRightInd w:val="0"/>
        <w:snapToGrid w:val="0"/>
        <w:rPr>
          <w:sz w:val="20"/>
          <w:szCs w:val="20"/>
        </w:rPr>
      </w:pPr>
      <w:r w:rsidRPr="0057363D">
        <w:rPr>
          <w:sz w:val="20"/>
          <w:szCs w:val="20"/>
        </w:rPr>
        <w:t>University of Ibadan, Ibadan, Nigeria</w:t>
      </w:r>
    </w:p>
    <w:p w:rsidR="000C1B83" w:rsidRPr="0057363D" w:rsidRDefault="00DB6DC1" w:rsidP="0057363D">
      <w:pPr>
        <w:adjustRightInd w:val="0"/>
        <w:snapToGrid w:val="0"/>
        <w:rPr>
          <w:color w:val="4F81BD"/>
          <w:sz w:val="20"/>
          <w:szCs w:val="20"/>
        </w:rPr>
      </w:pPr>
      <w:r w:rsidRPr="0057363D">
        <w:rPr>
          <w:sz w:val="20"/>
          <w:szCs w:val="20"/>
        </w:rPr>
        <w:t>Email:</w:t>
      </w:r>
      <w:hyperlink r:id="rId21" w:history="1">
        <w:r w:rsidRPr="0057363D">
          <w:rPr>
            <w:rStyle w:val="Hyperlink"/>
            <w:sz w:val="20"/>
            <w:szCs w:val="20"/>
          </w:rPr>
          <w:t>sonwozo@yahoo.com</w:t>
        </w:r>
      </w:hyperlink>
      <w:r w:rsidRPr="0057363D">
        <w:rPr>
          <w:sz w:val="20"/>
          <w:szCs w:val="20"/>
        </w:rPr>
        <w:t xml:space="preserve">; </w:t>
      </w:r>
      <w:hyperlink r:id="rId22" w:history="1">
        <w:r w:rsidR="000C1B83" w:rsidRPr="0057363D">
          <w:rPr>
            <w:rStyle w:val="Hyperlink"/>
            <w:sz w:val="20"/>
            <w:szCs w:val="20"/>
          </w:rPr>
          <w:t>onyenibe.nwozo@mail.ui.edu.ng</w:t>
        </w:r>
      </w:hyperlink>
    </w:p>
    <w:p w:rsidR="000C1B83" w:rsidRPr="0057363D" w:rsidRDefault="000C1B83" w:rsidP="0057363D">
      <w:pPr>
        <w:autoSpaceDE w:val="0"/>
        <w:autoSpaceDN w:val="0"/>
        <w:adjustRightInd w:val="0"/>
        <w:snapToGrid w:val="0"/>
        <w:jc w:val="both"/>
        <w:rPr>
          <w:color w:val="4F81BD"/>
          <w:sz w:val="20"/>
          <w:szCs w:val="20"/>
        </w:rPr>
      </w:pPr>
    </w:p>
    <w:p w:rsidR="00DB6DC1" w:rsidRPr="0057363D" w:rsidRDefault="00DB6DC1" w:rsidP="0057363D">
      <w:pPr>
        <w:autoSpaceDE w:val="0"/>
        <w:autoSpaceDN w:val="0"/>
        <w:adjustRightInd w:val="0"/>
        <w:snapToGrid w:val="0"/>
        <w:jc w:val="both"/>
        <w:rPr>
          <w:sz w:val="20"/>
          <w:szCs w:val="20"/>
        </w:rPr>
      </w:pPr>
      <w:r w:rsidRPr="0057363D">
        <w:rPr>
          <w:b/>
          <w:sz w:val="20"/>
          <w:szCs w:val="20"/>
        </w:rPr>
        <w:t>References</w:t>
      </w:r>
    </w:p>
    <w:p w:rsidR="00DB6DC1" w:rsidRPr="00901267" w:rsidRDefault="00DB6DC1" w:rsidP="0057363D">
      <w:pPr>
        <w:numPr>
          <w:ilvl w:val="0"/>
          <w:numId w:val="1"/>
        </w:numPr>
        <w:autoSpaceDE w:val="0"/>
        <w:autoSpaceDN w:val="0"/>
        <w:adjustRightInd w:val="0"/>
        <w:snapToGrid w:val="0"/>
        <w:ind w:left="450" w:hanging="450"/>
        <w:jc w:val="both"/>
        <w:rPr>
          <w:sz w:val="18"/>
          <w:szCs w:val="18"/>
        </w:rPr>
      </w:pPr>
      <w:proofErr w:type="spellStart"/>
      <w:r w:rsidRPr="00901267">
        <w:rPr>
          <w:sz w:val="18"/>
          <w:szCs w:val="18"/>
        </w:rPr>
        <w:t>Odeomelam</w:t>
      </w:r>
      <w:proofErr w:type="spellEnd"/>
      <w:r w:rsidRPr="00901267">
        <w:rPr>
          <w:sz w:val="18"/>
          <w:szCs w:val="18"/>
        </w:rPr>
        <w:t>, S.A, (2005). Proximate composition and selected physicochemical properties of seeds of African Oil Beans (</w:t>
      </w:r>
      <w:proofErr w:type="spellStart"/>
      <w:r w:rsidRPr="00901267">
        <w:rPr>
          <w:sz w:val="18"/>
          <w:szCs w:val="18"/>
        </w:rPr>
        <w:t>Pentaclethra</w:t>
      </w:r>
      <w:proofErr w:type="spellEnd"/>
      <w:r w:rsidRPr="00901267">
        <w:rPr>
          <w:sz w:val="18"/>
          <w:szCs w:val="18"/>
        </w:rPr>
        <w:t xml:space="preserve"> </w:t>
      </w:r>
      <w:proofErr w:type="spellStart"/>
      <w:r w:rsidRPr="00901267">
        <w:rPr>
          <w:sz w:val="18"/>
          <w:szCs w:val="18"/>
        </w:rPr>
        <w:t>macrophylla</w:t>
      </w:r>
      <w:proofErr w:type="spellEnd"/>
      <w:r w:rsidRPr="00901267">
        <w:rPr>
          <w:sz w:val="18"/>
          <w:szCs w:val="18"/>
        </w:rPr>
        <w:t xml:space="preserve">) </w:t>
      </w:r>
      <w:proofErr w:type="spellStart"/>
      <w:r w:rsidRPr="00901267">
        <w:rPr>
          <w:sz w:val="18"/>
          <w:szCs w:val="18"/>
        </w:rPr>
        <w:t>Pak.J.Nutr</w:t>
      </w:r>
      <w:proofErr w:type="spellEnd"/>
      <w:r w:rsidRPr="00901267">
        <w:rPr>
          <w:sz w:val="18"/>
          <w:szCs w:val="18"/>
        </w:rPr>
        <w:t>. 4:382-383.</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Hu</w:t>
      </w:r>
      <w:proofErr w:type="spellEnd"/>
      <w:r w:rsidRPr="00901267">
        <w:rPr>
          <w:rFonts w:ascii="Times New Roman" w:hAnsi="Times New Roman"/>
          <w:sz w:val="18"/>
          <w:szCs w:val="18"/>
        </w:rPr>
        <w:t xml:space="preserve">, F.B., Manson, J.E., and Willet, W.C. (2001) Types of dietary fat and the risk of coronary heart disease: A critical review. JAM Coll. </w:t>
      </w:r>
      <w:proofErr w:type="spellStart"/>
      <w:r w:rsidRPr="00901267">
        <w:rPr>
          <w:rFonts w:ascii="Times New Roman" w:hAnsi="Times New Roman"/>
          <w:sz w:val="18"/>
          <w:szCs w:val="18"/>
        </w:rPr>
        <w:t>Nutr</w:t>
      </w:r>
      <w:proofErr w:type="spellEnd"/>
      <w:r w:rsidRPr="00901267">
        <w:rPr>
          <w:rFonts w:ascii="Times New Roman" w:hAnsi="Times New Roman"/>
          <w:sz w:val="18"/>
          <w:szCs w:val="18"/>
        </w:rPr>
        <w:t>., 20: 5-19.</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Mallika</w:t>
      </w:r>
      <w:proofErr w:type="spellEnd"/>
      <w:r w:rsidRPr="00901267">
        <w:rPr>
          <w:rFonts w:ascii="Times New Roman" w:hAnsi="Times New Roman"/>
          <w:sz w:val="18"/>
          <w:szCs w:val="18"/>
        </w:rPr>
        <w:t xml:space="preserve">, V., </w:t>
      </w:r>
      <w:proofErr w:type="spellStart"/>
      <w:r w:rsidRPr="00901267">
        <w:rPr>
          <w:rFonts w:ascii="Times New Roman" w:hAnsi="Times New Roman"/>
          <w:sz w:val="18"/>
          <w:szCs w:val="18"/>
        </w:rPr>
        <w:t>Goswami</w:t>
      </w:r>
      <w:proofErr w:type="spellEnd"/>
      <w:r w:rsidRPr="00901267">
        <w:rPr>
          <w:rFonts w:ascii="Times New Roman" w:hAnsi="Times New Roman"/>
          <w:sz w:val="18"/>
          <w:szCs w:val="18"/>
        </w:rPr>
        <w:t xml:space="preserve">, B. and </w:t>
      </w:r>
      <w:proofErr w:type="spellStart"/>
      <w:r w:rsidRPr="00901267">
        <w:rPr>
          <w:rFonts w:ascii="Times New Roman" w:hAnsi="Times New Roman"/>
          <w:sz w:val="18"/>
          <w:szCs w:val="18"/>
        </w:rPr>
        <w:t>Rajappa</w:t>
      </w:r>
      <w:proofErr w:type="spellEnd"/>
      <w:r w:rsidRPr="00901267">
        <w:rPr>
          <w:rFonts w:ascii="Times New Roman" w:hAnsi="Times New Roman"/>
          <w:sz w:val="18"/>
          <w:szCs w:val="18"/>
        </w:rPr>
        <w:t xml:space="preserve">, M. (2007) Atherosclerosis </w:t>
      </w:r>
      <w:proofErr w:type="spellStart"/>
      <w:r w:rsidRPr="00901267">
        <w:rPr>
          <w:rFonts w:ascii="Times New Roman" w:hAnsi="Times New Roman"/>
          <w:sz w:val="18"/>
          <w:szCs w:val="18"/>
        </w:rPr>
        <w:t>pathophysiology</w:t>
      </w:r>
      <w:proofErr w:type="spellEnd"/>
      <w:r w:rsidRPr="00901267">
        <w:rPr>
          <w:rFonts w:ascii="Times New Roman" w:hAnsi="Times New Roman"/>
          <w:sz w:val="18"/>
          <w:szCs w:val="18"/>
        </w:rPr>
        <w:t xml:space="preserve"> and the</w:t>
      </w:r>
      <w:r w:rsidR="0057363D" w:rsidRPr="00901267">
        <w:rPr>
          <w:rFonts w:ascii="Times New Roman" w:hAnsi="Times New Roman"/>
          <w:sz w:val="18"/>
          <w:szCs w:val="18"/>
        </w:rPr>
        <w:t xml:space="preserve"> </w:t>
      </w:r>
      <w:r w:rsidRPr="00901267">
        <w:rPr>
          <w:rFonts w:ascii="Times New Roman" w:hAnsi="Times New Roman"/>
          <w:sz w:val="18"/>
          <w:szCs w:val="18"/>
        </w:rPr>
        <w:t xml:space="preserve">role of novel risk factors, a clinical biochemistry perspective. </w:t>
      </w:r>
      <w:proofErr w:type="spellStart"/>
      <w:r w:rsidRPr="00901267">
        <w:rPr>
          <w:rFonts w:ascii="Times New Roman" w:hAnsi="Times New Roman"/>
          <w:sz w:val="18"/>
          <w:szCs w:val="18"/>
        </w:rPr>
        <w:t>Angiology</w:t>
      </w:r>
      <w:proofErr w:type="spellEnd"/>
      <w:r w:rsidRPr="00901267">
        <w:rPr>
          <w:rFonts w:ascii="Times New Roman" w:hAnsi="Times New Roman"/>
          <w:sz w:val="18"/>
          <w:szCs w:val="18"/>
        </w:rPr>
        <w:t>, 58(8): 513-</w:t>
      </w:r>
      <w:r w:rsidR="0057363D" w:rsidRPr="00901267">
        <w:rPr>
          <w:rFonts w:ascii="Times New Roman" w:hAnsi="Times New Roman"/>
          <w:sz w:val="18"/>
          <w:szCs w:val="18"/>
        </w:rPr>
        <w:t xml:space="preserve"> </w:t>
      </w:r>
      <w:r w:rsidRPr="00901267">
        <w:rPr>
          <w:rFonts w:ascii="Times New Roman" w:hAnsi="Times New Roman"/>
          <w:sz w:val="18"/>
          <w:szCs w:val="18"/>
        </w:rPr>
        <w:t>522.</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r w:rsidRPr="00901267">
        <w:rPr>
          <w:rFonts w:ascii="Times New Roman" w:hAnsi="Times New Roman"/>
          <w:sz w:val="18"/>
          <w:szCs w:val="18"/>
        </w:rPr>
        <w:t>Ross, R., (1993) The pathogenesis of atherosclerosis: Perspective for the1990. Nature, 362: 801-809</w:t>
      </w:r>
      <w:r w:rsidR="0057363D" w:rsidRPr="00901267">
        <w:rPr>
          <w:rFonts w:ascii="Times New Roman" w:hAnsi="Times New Roman"/>
          <w:sz w:val="18"/>
          <w:szCs w:val="18"/>
        </w:rPr>
        <w:t>.</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r w:rsidRPr="00901267">
        <w:rPr>
          <w:rFonts w:ascii="Times New Roman" w:hAnsi="Times New Roman"/>
          <w:sz w:val="18"/>
          <w:szCs w:val="18"/>
        </w:rPr>
        <w:t xml:space="preserve">Romero-Corral, A., </w:t>
      </w:r>
      <w:proofErr w:type="spellStart"/>
      <w:r w:rsidRPr="00901267">
        <w:rPr>
          <w:rFonts w:ascii="Times New Roman" w:hAnsi="Times New Roman"/>
          <w:sz w:val="18"/>
          <w:szCs w:val="18"/>
        </w:rPr>
        <w:t>Montori</w:t>
      </w:r>
      <w:proofErr w:type="spellEnd"/>
      <w:r w:rsidRPr="00901267">
        <w:rPr>
          <w:rFonts w:ascii="Times New Roman" w:hAnsi="Times New Roman"/>
          <w:sz w:val="18"/>
          <w:szCs w:val="18"/>
        </w:rPr>
        <w:t xml:space="preserve">, V.M., Somers, V.K, </w:t>
      </w:r>
      <w:proofErr w:type="spellStart"/>
      <w:r w:rsidRPr="00901267">
        <w:rPr>
          <w:rFonts w:ascii="Times New Roman" w:hAnsi="Times New Roman"/>
          <w:sz w:val="18"/>
          <w:szCs w:val="18"/>
        </w:rPr>
        <w:t>Korinek</w:t>
      </w:r>
      <w:proofErr w:type="spellEnd"/>
      <w:r w:rsidRPr="00901267">
        <w:rPr>
          <w:rFonts w:ascii="Times New Roman" w:hAnsi="Times New Roman"/>
          <w:sz w:val="18"/>
          <w:szCs w:val="18"/>
        </w:rPr>
        <w:t>, J., Thomas, R.J., Allison, T.G.,</w:t>
      </w:r>
      <w:r w:rsidR="0057363D" w:rsidRPr="00901267">
        <w:rPr>
          <w:rFonts w:ascii="Times New Roman" w:hAnsi="Times New Roman"/>
          <w:sz w:val="18"/>
          <w:szCs w:val="18"/>
        </w:rPr>
        <w:t xml:space="preserve"> </w:t>
      </w:r>
      <w:proofErr w:type="spellStart"/>
      <w:r w:rsidRPr="00901267">
        <w:rPr>
          <w:rFonts w:ascii="Times New Roman" w:hAnsi="Times New Roman"/>
          <w:sz w:val="18"/>
          <w:szCs w:val="18"/>
        </w:rPr>
        <w:t>Mookadam</w:t>
      </w:r>
      <w:proofErr w:type="spellEnd"/>
      <w:r w:rsidRPr="00901267">
        <w:rPr>
          <w:rFonts w:ascii="Times New Roman" w:hAnsi="Times New Roman"/>
          <w:sz w:val="18"/>
          <w:szCs w:val="18"/>
        </w:rPr>
        <w:t>, F. and Lopez-Jimenez, F. (2006) Association of bodyweight with total</w:t>
      </w:r>
      <w:r w:rsidR="0057363D" w:rsidRPr="00901267">
        <w:rPr>
          <w:rFonts w:ascii="Times New Roman" w:hAnsi="Times New Roman"/>
          <w:sz w:val="18"/>
          <w:szCs w:val="18"/>
        </w:rPr>
        <w:t xml:space="preserve"> </w:t>
      </w:r>
      <w:r w:rsidRPr="00901267">
        <w:rPr>
          <w:rFonts w:ascii="Times New Roman" w:hAnsi="Times New Roman"/>
          <w:sz w:val="18"/>
          <w:szCs w:val="18"/>
        </w:rPr>
        <w:t>mortality and with cardiovascular events in coronary artery disease: a systematic review</w:t>
      </w:r>
      <w:r w:rsidR="0057363D" w:rsidRPr="00901267">
        <w:rPr>
          <w:rFonts w:ascii="Times New Roman" w:hAnsi="Times New Roman"/>
          <w:sz w:val="18"/>
          <w:szCs w:val="18"/>
        </w:rPr>
        <w:t xml:space="preserve"> </w:t>
      </w:r>
      <w:r w:rsidRPr="00901267">
        <w:rPr>
          <w:rFonts w:ascii="Times New Roman" w:hAnsi="Times New Roman"/>
          <w:sz w:val="18"/>
          <w:szCs w:val="18"/>
        </w:rPr>
        <w:t>of cohort studies. Lancet 368(9536): 666-678.</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proofErr w:type="spellStart"/>
      <w:r w:rsidRPr="00901267">
        <w:rPr>
          <w:rFonts w:ascii="Times New Roman" w:eastAsia="Times New Roman" w:hAnsi="Times New Roman"/>
          <w:sz w:val="18"/>
          <w:szCs w:val="18"/>
        </w:rPr>
        <w:t>Metuno</w:t>
      </w:r>
      <w:proofErr w:type="spellEnd"/>
      <w:r w:rsidRPr="00901267">
        <w:rPr>
          <w:rFonts w:ascii="Times New Roman" w:eastAsia="Times New Roman" w:hAnsi="Times New Roman"/>
          <w:sz w:val="18"/>
          <w:szCs w:val="18"/>
        </w:rPr>
        <w:t xml:space="preserve">, R., </w:t>
      </w:r>
      <w:proofErr w:type="spellStart"/>
      <w:r w:rsidRPr="00901267">
        <w:rPr>
          <w:rFonts w:ascii="Times New Roman" w:eastAsia="Times New Roman" w:hAnsi="Times New Roman"/>
          <w:sz w:val="18"/>
          <w:szCs w:val="18"/>
        </w:rPr>
        <w:t>Ngandeu</w:t>
      </w:r>
      <w:proofErr w:type="spellEnd"/>
      <w:r w:rsidRPr="00901267">
        <w:rPr>
          <w:rFonts w:ascii="Times New Roman" w:eastAsia="Times New Roman" w:hAnsi="Times New Roman"/>
          <w:sz w:val="18"/>
          <w:szCs w:val="18"/>
        </w:rPr>
        <w:t xml:space="preserve">, F., </w:t>
      </w:r>
      <w:proofErr w:type="spellStart"/>
      <w:r w:rsidRPr="00901267">
        <w:rPr>
          <w:rFonts w:ascii="Times New Roman" w:eastAsia="Times New Roman" w:hAnsi="Times New Roman"/>
          <w:sz w:val="18"/>
          <w:szCs w:val="18"/>
        </w:rPr>
        <w:t>Tchinda</w:t>
      </w:r>
      <w:proofErr w:type="spellEnd"/>
      <w:r w:rsidRPr="00901267">
        <w:rPr>
          <w:rFonts w:ascii="Times New Roman" w:eastAsia="Times New Roman" w:hAnsi="Times New Roman"/>
          <w:sz w:val="18"/>
          <w:szCs w:val="18"/>
        </w:rPr>
        <w:t>, A.T.,</w:t>
      </w:r>
      <w:r w:rsidR="0057363D" w:rsidRPr="00901267">
        <w:rPr>
          <w:rFonts w:ascii="Times New Roman" w:eastAsia="Times New Roman" w:hAnsi="Times New Roman"/>
          <w:sz w:val="18"/>
          <w:szCs w:val="18"/>
        </w:rPr>
        <w:t xml:space="preserve"> </w:t>
      </w:r>
      <w:proofErr w:type="spellStart"/>
      <w:r w:rsidRPr="00901267">
        <w:rPr>
          <w:rFonts w:ascii="Times New Roman" w:eastAsia="Times New Roman" w:hAnsi="Times New Roman"/>
          <w:sz w:val="18"/>
          <w:szCs w:val="18"/>
        </w:rPr>
        <w:t>Ngameni</w:t>
      </w:r>
      <w:proofErr w:type="spellEnd"/>
      <w:r w:rsidRPr="00901267">
        <w:rPr>
          <w:rFonts w:ascii="Times New Roman" w:eastAsia="Times New Roman" w:hAnsi="Times New Roman"/>
          <w:sz w:val="18"/>
          <w:szCs w:val="18"/>
        </w:rPr>
        <w:t xml:space="preserve">, B., </w:t>
      </w:r>
      <w:proofErr w:type="spellStart"/>
      <w:r w:rsidRPr="00901267">
        <w:rPr>
          <w:rFonts w:ascii="Times New Roman" w:eastAsia="Times New Roman" w:hAnsi="Times New Roman"/>
          <w:sz w:val="18"/>
          <w:szCs w:val="18"/>
        </w:rPr>
        <w:t>Kapche</w:t>
      </w:r>
      <w:proofErr w:type="spellEnd"/>
      <w:r w:rsidRPr="00901267">
        <w:rPr>
          <w:rFonts w:ascii="Times New Roman" w:eastAsia="Times New Roman" w:hAnsi="Times New Roman"/>
          <w:sz w:val="18"/>
          <w:szCs w:val="18"/>
        </w:rPr>
        <w:t xml:space="preserve">, G.D.W.F., </w:t>
      </w:r>
      <w:proofErr w:type="spellStart"/>
      <w:r w:rsidRPr="00901267">
        <w:rPr>
          <w:rFonts w:ascii="Times New Roman" w:eastAsia="Times New Roman" w:hAnsi="Times New Roman"/>
          <w:sz w:val="18"/>
          <w:szCs w:val="18"/>
        </w:rPr>
        <w:t>Djemgou</w:t>
      </w:r>
      <w:proofErr w:type="spellEnd"/>
      <w:r w:rsidRPr="00901267">
        <w:rPr>
          <w:rFonts w:ascii="Times New Roman" w:eastAsia="Times New Roman" w:hAnsi="Times New Roman"/>
          <w:sz w:val="18"/>
          <w:szCs w:val="18"/>
        </w:rPr>
        <w:t xml:space="preserve">, P.C., </w:t>
      </w:r>
      <w:proofErr w:type="spellStart"/>
      <w:r w:rsidRPr="00901267">
        <w:rPr>
          <w:rFonts w:ascii="Times New Roman" w:eastAsia="Times New Roman" w:hAnsi="Times New Roman"/>
          <w:sz w:val="18"/>
          <w:szCs w:val="18"/>
        </w:rPr>
        <w:t>Ngadjui</w:t>
      </w:r>
      <w:proofErr w:type="spellEnd"/>
      <w:r w:rsidRPr="00901267">
        <w:rPr>
          <w:rFonts w:ascii="Times New Roman" w:eastAsia="Times New Roman" w:hAnsi="Times New Roman"/>
          <w:sz w:val="18"/>
          <w:szCs w:val="18"/>
        </w:rPr>
        <w:t xml:space="preserve">, B.T., </w:t>
      </w:r>
      <w:proofErr w:type="spellStart"/>
      <w:r w:rsidRPr="00901267">
        <w:rPr>
          <w:rFonts w:ascii="Times New Roman" w:eastAsia="Times New Roman" w:hAnsi="Times New Roman"/>
          <w:sz w:val="18"/>
          <w:szCs w:val="18"/>
        </w:rPr>
        <w:lastRenderedPageBreak/>
        <w:t>Bezabih</w:t>
      </w:r>
      <w:proofErr w:type="spellEnd"/>
      <w:r w:rsidRPr="00901267">
        <w:rPr>
          <w:rFonts w:ascii="Times New Roman" w:eastAsia="Times New Roman" w:hAnsi="Times New Roman"/>
          <w:sz w:val="18"/>
          <w:szCs w:val="18"/>
        </w:rPr>
        <w:t xml:space="preserve">, M. and </w:t>
      </w:r>
      <w:proofErr w:type="spellStart"/>
      <w:r w:rsidRPr="00901267">
        <w:rPr>
          <w:rFonts w:ascii="Times New Roman" w:eastAsia="Times New Roman" w:hAnsi="Times New Roman"/>
          <w:sz w:val="18"/>
          <w:szCs w:val="18"/>
        </w:rPr>
        <w:t>Abegaz</w:t>
      </w:r>
      <w:proofErr w:type="spellEnd"/>
      <w:r w:rsidRPr="00901267">
        <w:rPr>
          <w:rFonts w:ascii="Times New Roman" w:eastAsia="Times New Roman" w:hAnsi="Times New Roman"/>
          <w:sz w:val="18"/>
          <w:szCs w:val="18"/>
        </w:rPr>
        <w:t xml:space="preserve">, B.M. (2008) Chemical constituents of </w:t>
      </w:r>
      <w:proofErr w:type="spellStart"/>
      <w:r w:rsidRPr="00901267">
        <w:rPr>
          <w:rFonts w:ascii="Times New Roman" w:eastAsia="Times New Roman" w:hAnsi="Times New Roman"/>
          <w:i/>
          <w:sz w:val="18"/>
          <w:szCs w:val="18"/>
        </w:rPr>
        <w:t>Treculia</w:t>
      </w:r>
      <w:proofErr w:type="spellEnd"/>
      <w:r w:rsidR="0057363D" w:rsidRPr="00901267">
        <w:rPr>
          <w:rFonts w:ascii="Times New Roman" w:eastAsia="Times New Roman" w:hAnsi="Times New Roman"/>
          <w:i/>
          <w:sz w:val="18"/>
          <w:szCs w:val="18"/>
        </w:rPr>
        <w:t xml:space="preserve"> </w:t>
      </w:r>
      <w:r w:rsidRPr="00901267">
        <w:rPr>
          <w:rFonts w:ascii="Times New Roman" w:eastAsia="Times New Roman" w:hAnsi="Times New Roman"/>
          <w:i/>
          <w:sz w:val="18"/>
          <w:szCs w:val="18"/>
        </w:rPr>
        <w:t>acuminate</w:t>
      </w:r>
      <w:r w:rsidRPr="00901267">
        <w:rPr>
          <w:rFonts w:ascii="Times New Roman" w:eastAsia="Times New Roman" w:hAnsi="Times New Roman"/>
          <w:sz w:val="18"/>
          <w:szCs w:val="18"/>
        </w:rPr>
        <w:t xml:space="preserve"> and </w:t>
      </w:r>
      <w:proofErr w:type="spellStart"/>
      <w:r w:rsidRPr="00901267">
        <w:rPr>
          <w:rFonts w:ascii="Times New Roman" w:eastAsia="Times New Roman" w:hAnsi="Times New Roman"/>
          <w:i/>
          <w:sz w:val="18"/>
          <w:szCs w:val="18"/>
        </w:rPr>
        <w:t>Treculia</w:t>
      </w:r>
      <w:proofErr w:type="spellEnd"/>
      <w:r w:rsidR="0057363D" w:rsidRPr="00901267">
        <w:rPr>
          <w:rFonts w:ascii="Times New Roman" w:eastAsia="Times New Roman" w:hAnsi="Times New Roman"/>
          <w:i/>
          <w:sz w:val="18"/>
          <w:szCs w:val="18"/>
        </w:rPr>
        <w:t xml:space="preserve"> </w:t>
      </w:r>
      <w:proofErr w:type="spellStart"/>
      <w:r w:rsidRPr="00901267">
        <w:rPr>
          <w:rFonts w:ascii="Times New Roman" w:eastAsia="Times New Roman" w:hAnsi="Times New Roman"/>
          <w:i/>
          <w:sz w:val="18"/>
          <w:szCs w:val="18"/>
        </w:rPr>
        <w:t>africana</w:t>
      </w:r>
      <w:proofErr w:type="spellEnd"/>
      <w:r w:rsidRPr="00901267">
        <w:rPr>
          <w:rFonts w:ascii="Times New Roman" w:eastAsia="Times New Roman" w:hAnsi="Times New Roman"/>
          <w:i/>
          <w:sz w:val="18"/>
          <w:szCs w:val="18"/>
        </w:rPr>
        <w:t>.</w:t>
      </w:r>
      <w:r w:rsidRPr="00901267">
        <w:rPr>
          <w:rFonts w:ascii="Times New Roman" w:eastAsia="Times New Roman" w:hAnsi="Times New Roman"/>
          <w:sz w:val="18"/>
          <w:szCs w:val="18"/>
        </w:rPr>
        <w:t xml:space="preserve"> </w:t>
      </w:r>
      <w:proofErr w:type="spellStart"/>
      <w:r w:rsidRPr="00901267">
        <w:rPr>
          <w:rFonts w:ascii="Times New Roman" w:eastAsia="Times New Roman" w:hAnsi="Times New Roman"/>
          <w:sz w:val="18"/>
          <w:szCs w:val="18"/>
        </w:rPr>
        <w:t>Biochem</w:t>
      </w:r>
      <w:proofErr w:type="spellEnd"/>
      <w:r w:rsidRPr="00901267">
        <w:rPr>
          <w:rFonts w:ascii="Times New Roman" w:eastAsia="Times New Roman" w:hAnsi="Times New Roman"/>
          <w:sz w:val="18"/>
          <w:szCs w:val="18"/>
        </w:rPr>
        <w:t xml:space="preserve"> </w:t>
      </w:r>
      <w:proofErr w:type="spellStart"/>
      <w:r w:rsidRPr="00901267">
        <w:rPr>
          <w:rFonts w:ascii="Times New Roman" w:eastAsia="Times New Roman" w:hAnsi="Times New Roman"/>
          <w:sz w:val="18"/>
          <w:szCs w:val="18"/>
        </w:rPr>
        <w:t>Syst</w:t>
      </w:r>
      <w:proofErr w:type="spellEnd"/>
      <w:r w:rsidRPr="00901267">
        <w:rPr>
          <w:rFonts w:ascii="Times New Roman" w:eastAsia="Times New Roman" w:hAnsi="Times New Roman"/>
          <w:sz w:val="18"/>
          <w:szCs w:val="18"/>
        </w:rPr>
        <w:t xml:space="preserve"> Ecol., 36: 148-152.</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Oyelola</w:t>
      </w:r>
      <w:proofErr w:type="spellEnd"/>
      <w:r w:rsidRPr="00901267">
        <w:rPr>
          <w:rFonts w:ascii="Times New Roman" w:hAnsi="Times New Roman"/>
          <w:sz w:val="18"/>
          <w:szCs w:val="18"/>
        </w:rPr>
        <w:t xml:space="preserve">, O.O., Moody, J.O., </w:t>
      </w:r>
      <w:proofErr w:type="spellStart"/>
      <w:r w:rsidRPr="00901267">
        <w:rPr>
          <w:rFonts w:ascii="Times New Roman" w:hAnsi="Times New Roman"/>
          <w:sz w:val="18"/>
          <w:szCs w:val="18"/>
        </w:rPr>
        <w:t>Odeniyi</w:t>
      </w:r>
      <w:proofErr w:type="spellEnd"/>
      <w:r w:rsidRPr="00901267">
        <w:rPr>
          <w:rFonts w:ascii="Times New Roman" w:hAnsi="Times New Roman"/>
          <w:sz w:val="18"/>
          <w:szCs w:val="18"/>
        </w:rPr>
        <w:t xml:space="preserve">, M.A. and </w:t>
      </w:r>
      <w:proofErr w:type="spellStart"/>
      <w:r w:rsidRPr="00901267">
        <w:rPr>
          <w:rFonts w:ascii="Times New Roman" w:hAnsi="Times New Roman"/>
          <w:sz w:val="18"/>
          <w:szCs w:val="18"/>
        </w:rPr>
        <w:t>Fakeye</w:t>
      </w:r>
      <w:proofErr w:type="spellEnd"/>
      <w:r w:rsidRPr="00901267">
        <w:rPr>
          <w:rFonts w:ascii="Times New Roman" w:hAnsi="Times New Roman"/>
          <w:sz w:val="18"/>
          <w:szCs w:val="18"/>
        </w:rPr>
        <w:t xml:space="preserve">, T.O. (2007). </w:t>
      </w:r>
      <w:proofErr w:type="spellStart"/>
      <w:r w:rsidRPr="00901267">
        <w:rPr>
          <w:rFonts w:ascii="Times New Roman" w:hAnsi="Times New Roman"/>
          <w:sz w:val="18"/>
          <w:szCs w:val="18"/>
        </w:rPr>
        <w:t>Hypoglyceamic</w:t>
      </w:r>
      <w:proofErr w:type="spellEnd"/>
      <w:r w:rsidRPr="00901267">
        <w:rPr>
          <w:rFonts w:ascii="Times New Roman" w:hAnsi="Times New Roman"/>
          <w:sz w:val="18"/>
          <w:szCs w:val="18"/>
        </w:rPr>
        <w:t xml:space="preserve"> effect of </w:t>
      </w:r>
      <w:proofErr w:type="spellStart"/>
      <w:r w:rsidRPr="00901267">
        <w:rPr>
          <w:rFonts w:ascii="Times New Roman" w:hAnsi="Times New Roman"/>
          <w:i/>
          <w:sz w:val="18"/>
          <w:szCs w:val="18"/>
        </w:rPr>
        <w:t>Treculia</w:t>
      </w:r>
      <w:proofErr w:type="spellEnd"/>
      <w:r w:rsidRPr="00901267">
        <w:rPr>
          <w:rFonts w:ascii="Times New Roman" w:hAnsi="Times New Roman"/>
          <w:i/>
          <w:sz w:val="18"/>
          <w:szCs w:val="18"/>
        </w:rPr>
        <w:t xml:space="preserve"> </w:t>
      </w:r>
      <w:proofErr w:type="spellStart"/>
      <w:r w:rsidRPr="00901267">
        <w:rPr>
          <w:rFonts w:ascii="Times New Roman" w:hAnsi="Times New Roman"/>
          <w:i/>
          <w:sz w:val="18"/>
          <w:szCs w:val="18"/>
        </w:rPr>
        <w:t>africana</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Decne</w:t>
      </w:r>
      <w:proofErr w:type="spellEnd"/>
      <w:r w:rsidRPr="00901267">
        <w:rPr>
          <w:rFonts w:ascii="Times New Roman" w:hAnsi="Times New Roman"/>
          <w:sz w:val="18"/>
          <w:szCs w:val="18"/>
        </w:rPr>
        <w:t xml:space="preserve"> root bark</w:t>
      </w:r>
      <w:r w:rsidR="0057363D" w:rsidRPr="00901267">
        <w:rPr>
          <w:rFonts w:ascii="Times New Roman" w:hAnsi="Times New Roman"/>
          <w:sz w:val="18"/>
          <w:szCs w:val="18"/>
        </w:rPr>
        <w:t xml:space="preserve"> </w:t>
      </w:r>
      <w:r w:rsidRPr="00901267">
        <w:rPr>
          <w:rFonts w:ascii="Times New Roman" w:hAnsi="Times New Roman"/>
          <w:sz w:val="18"/>
          <w:szCs w:val="18"/>
        </w:rPr>
        <w:t xml:space="preserve">in normal and </w:t>
      </w:r>
      <w:proofErr w:type="spellStart"/>
      <w:r w:rsidRPr="00901267">
        <w:rPr>
          <w:rFonts w:ascii="Times New Roman" w:hAnsi="Times New Roman"/>
          <w:sz w:val="18"/>
          <w:szCs w:val="18"/>
        </w:rPr>
        <w:t>alloxan</w:t>
      </w:r>
      <w:proofErr w:type="spellEnd"/>
      <w:r w:rsidRPr="00901267">
        <w:rPr>
          <w:rFonts w:ascii="Times New Roman" w:hAnsi="Times New Roman"/>
          <w:sz w:val="18"/>
          <w:szCs w:val="18"/>
        </w:rPr>
        <w:t xml:space="preserve">-induced diabetic Rats. </w:t>
      </w:r>
      <w:proofErr w:type="spellStart"/>
      <w:r w:rsidRPr="00901267">
        <w:rPr>
          <w:rFonts w:ascii="Times New Roman" w:hAnsi="Times New Roman"/>
          <w:sz w:val="18"/>
          <w:szCs w:val="18"/>
        </w:rPr>
        <w:t>Afr</w:t>
      </w:r>
      <w:proofErr w:type="spellEnd"/>
      <w:r w:rsidRPr="00901267">
        <w:rPr>
          <w:rFonts w:ascii="Times New Roman" w:hAnsi="Times New Roman"/>
          <w:sz w:val="18"/>
          <w:szCs w:val="18"/>
        </w:rPr>
        <w:t xml:space="preserve"> J </w:t>
      </w:r>
      <w:proofErr w:type="spellStart"/>
      <w:r w:rsidRPr="00901267">
        <w:rPr>
          <w:rFonts w:ascii="Times New Roman" w:hAnsi="Times New Roman"/>
          <w:sz w:val="18"/>
          <w:szCs w:val="18"/>
        </w:rPr>
        <w:t>Tradit</w:t>
      </w:r>
      <w:proofErr w:type="spellEnd"/>
      <w:r w:rsidRPr="00901267">
        <w:rPr>
          <w:rFonts w:ascii="Times New Roman" w:hAnsi="Times New Roman"/>
          <w:sz w:val="18"/>
          <w:szCs w:val="18"/>
        </w:rPr>
        <w:t xml:space="preserve"> Complement </w:t>
      </w:r>
      <w:proofErr w:type="spellStart"/>
      <w:r w:rsidRPr="00901267">
        <w:rPr>
          <w:rFonts w:ascii="Times New Roman" w:hAnsi="Times New Roman"/>
          <w:sz w:val="18"/>
          <w:szCs w:val="18"/>
        </w:rPr>
        <w:t>Altern</w:t>
      </w:r>
      <w:proofErr w:type="spellEnd"/>
      <w:r w:rsidRPr="00901267">
        <w:rPr>
          <w:rFonts w:ascii="Times New Roman" w:hAnsi="Times New Roman"/>
          <w:sz w:val="18"/>
          <w:szCs w:val="18"/>
        </w:rPr>
        <w:t xml:space="preserve"> Med. 4(4): 387-391.</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proofErr w:type="spellStart"/>
      <w:r w:rsidRPr="00901267">
        <w:rPr>
          <w:rFonts w:ascii="Times New Roman" w:eastAsia="Times New Roman" w:hAnsi="Times New Roman"/>
          <w:sz w:val="18"/>
          <w:szCs w:val="18"/>
        </w:rPr>
        <w:t>Ajayi</w:t>
      </w:r>
      <w:proofErr w:type="spellEnd"/>
      <w:r w:rsidRPr="00901267">
        <w:rPr>
          <w:rFonts w:ascii="Times New Roman" w:eastAsia="Times New Roman" w:hAnsi="Times New Roman"/>
          <w:sz w:val="18"/>
          <w:szCs w:val="18"/>
        </w:rPr>
        <w:t xml:space="preserve"> I.A. (2008). Comparative study of chemical composition and mineral element content of </w:t>
      </w:r>
      <w:proofErr w:type="spellStart"/>
      <w:r w:rsidRPr="00901267">
        <w:rPr>
          <w:rFonts w:ascii="Times New Roman" w:eastAsia="Times New Roman" w:hAnsi="Times New Roman"/>
          <w:sz w:val="18"/>
          <w:szCs w:val="18"/>
        </w:rPr>
        <w:t>Artocarpus</w:t>
      </w:r>
      <w:proofErr w:type="spellEnd"/>
      <w:r w:rsidRPr="00901267">
        <w:rPr>
          <w:rFonts w:ascii="Times New Roman" w:eastAsia="Times New Roman" w:hAnsi="Times New Roman"/>
          <w:sz w:val="18"/>
          <w:szCs w:val="18"/>
        </w:rPr>
        <w:t xml:space="preserve"> </w:t>
      </w:r>
      <w:proofErr w:type="spellStart"/>
      <w:r w:rsidRPr="00901267">
        <w:rPr>
          <w:rFonts w:ascii="Times New Roman" w:eastAsia="Times New Roman" w:hAnsi="Times New Roman"/>
          <w:sz w:val="18"/>
          <w:szCs w:val="18"/>
        </w:rPr>
        <w:t>heterphyllus</w:t>
      </w:r>
      <w:proofErr w:type="spellEnd"/>
      <w:r w:rsidRPr="00901267">
        <w:rPr>
          <w:rFonts w:ascii="Times New Roman" w:eastAsia="Times New Roman" w:hAnsi="Times New Roman"/>
          <w:sz w:val="18"/>
          <w:szCs w:val="18"/>
        </w:rPr>
        <w:t xml:space="preserve"> and </w:t>
      </w:r>
      <w:proofErr w:type="spellStart"/>
      <w:r w:rsidRPr="00901267">
        <w:rPr>
          <w:rFonts w:ascii="Times New Roman" w:eastAsia="Times New Roman" w:hAnsi="Times New Roman"/>
          <w:sz w:val="18"/>
          <w:szCs w:val="18"/>
        </w:rPr>
        <w:t>Treculia</w:t>
      </w:r>
      <w:proofErr w:type="spellEnd"/>
      <w:r w:rsidRPr="00901267">
        <w:rPr>
          <w:rFonts w:ascii="Times New Roman" w:eastAsia="Times New Roman" w:hAnsi="Times New Roman"/>
          <w:sz w:val="18"/>
          <w:szCs w:val="18"/>
        </w:rPr>
        <w:t xml:space="preserve"> African seeds and seed oil. </w:t>
      </w:r>
      <w:proofErr w:type="spellStart"/>
      <w:r w:rsidRPr="00901267">
        <w:rPr>
          <w:rFonts w:ascii="Times New Roman" w:eastAsia="Times New Roman" w:hAnsi="Times New Roman"/>
          <w:sz w:val="18"/>
          <w:szCs w:val="18"/>
        </w:rPr>
        <w:t>Bioresour</w:t>
      </w:r>
      <w:proofErr w:type="spellEnd"/>
      <w:r w:rsidRPr="00901267">
        <w:rPr>
          <w:rFonts w:ascii="Times New Roman" w:eastAsia="Times New Roman" w:hAnsi="Times New Roman"/>
          <w:sz w:val="18"/>
          <w:szCs w:val="18"/>
        </w:rPr>
        <w:t xml:space="preserve"> Technol. 99(11): 5125-5129.</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proofErr w:type="spellStart"/>
      <w:r w:rsidRPr="00901267">
        <w:rPr>
          <w:rFonts w:ascii="Times New Roman" w:eastAsia="Times New Roman" w:hAnsi="Times New Roman"/>
          <w:sz w:val="18"/>
          <w:szCs w:val="18"/>
        </w:rPr>
        <w:t>Giami</w:t>
      </w:r>
      <w:proofErr w:type="spellEnd"/>
      <w:r w:rsidRPr="00901267">
        <w:rPr>
          <w:rFonts w:ascii="Times New Roman" w:eastAsia="Times New Roman" w:hAnsi="Times New Roman"/>
          <w:sz w:val="18"/>
          <w:szCs w:val="18"/>
        </w:rPr>
        <w:t xml:space="preserve">, S.Y., </w:t>
      </w:r>
      <w:proofErr w:type="spellStart"/>
      <w:r w:rsidRPr="00901267">
        <w:rPr>
          <w:rFonts w:ascii="Times New Roman" w:eastAsia="Times New Roman" w:hAnsi="Times New Roman"/>
          <w:sz w:val="18"/>
          <w:szCs w:val="18"/>
        </w:rPr>
        <w:t>Adindu</w:t>
      </w:r>
      <w:proofErr w:type="spellEnd"/>
      <w:r w:rsidRPr="00901267">
        <w:rPr>
          <w:rFonts w:ascii="Times New Roman" w:eastAsia="Times New Roman" w:hAnsi="Times New Roman"/>
          <w:sz w:val="18"/>
          <w:szCs w:val="18"/>
        </w:rPr>
        <w:t xml:space="preserve">, M.N., Hart, A.D. and </w:t>
      </w:r>
      <w:proofErr w:type="spellStart"/>
      <w:r w:rsidRPr="00901267">
        <w:rPr>
          <w:rFonts w:ascii="Times New Roman" w:eastAsia="Times New Roman" w:hAnsi="Times New Roman"/>
          <w:sz w:val="18"/>
          <w:szCs w:val="18"/>
        </w:rPr>
        <w:t>Denenu</w:t>
      </w:r>
      <w:proofErr w:type="spellEnd"/>
      <w:r w:rsidRPr="00901267">
        <w:rPr>
          <w:rFonts w:ascii="Times New Roman" w:eastAsia="Times New Roman" w:hAnsi="Times New Roman"/>
          <w:sz w:val="18"/>
          <w:szCs w:val="18"/>
        </w:rPr>
        <w:t xml:space="preserve"> E.O (2001) Effect of heat processing on In-vitro protein digestibility and some chemical </w:t>
      </w:r>
      <w:proofErr w:type="spellStart"/>
      <w:r w:rsidRPr="00901267">
        <w:rPr>
          <w:rFonts w:ascii="Times New Roman" w:eastAsia="Times New Roman" w:hAnsi="Times New Roman"/>
          <w:sz w:val="18"/>
          <w:szCs w:val="18"/>
        </w:rPr>
        <w:t>propertiesof</w:t>
      </w:r>
      <w:proofErr w:type="spellEnd"/>
      <w:r w:rsidRPr="00901267">
        <w:rPr>
          <w:rFonts w:ascii="Times New Roman" w:eastAsia="Times New Roman" w:hAnsi="Times New Roman"/>
          <w:sz w:val="18"/>
          <w:szCs w:val="18"/>
        </w:rPr>
        <w:t xml:space="preserve"> African breadfruit </w:t>
      </w:r>
      <w:proofErr w:type="spellStart"/>
      <w:r w:rsidRPr="00901267">
        <w:rPr>
          <w:rFonts w:ascii="Times New Roman" w:eastAsia="Times New Roman" w:hAnsi="Times New Roman"/>
          <w:i/>
          <w:sz w:val="18"/>
          <w:szCs w:val="18"/>
        </w:rPr>
        <w:t>reculia</w:t>
      </w:r>
      <w:proofErr w:type="spellEnd"/>
      <w:r w:rsidRPr="00901267">
        <w:rPr>
          <w:rFonts w:ascii="Times New Roman" w:eastAsia="Times New Roman" w:hAnsi="Times New Roman"/>
          <w:i/>
          <w:sz w:val="18"/>
          <w:szCs w:val="18"/>
        </w:rPr>
        <w:t xml:space="preserve"> </w:t>
      </w:r>
      <w:proofErr w:type="spellStart"/>
      <w:r w:rsidRPr="00901267">
        <w:rPr>
          <w:rFonts w:ascii="Times New Roman" w:eastAsia="Times New Roman" w:hAnsi="Times New Roman"/>
          <w:i/>
          <w:sz w:val="18"/>
          <w:szCs w:val="18"/>
        </w:rPr>
        <w:t>africana</w:t>
      </w:r>
      <w:proofErr w:type="spellEnd"/>
      <w:r w:rsidRPr="00901267">
        <w:rPr>
          <w:rFonts w:ascii="Times New Roman" w:eastAsia="Times New Roman" w:hAnsi="Times New Roman"/>
          <w:sz w:val="18"/>
          <w:szCs w:val="18"/>
        </w:rPr>
        <w:t xml:space="preserve"> </w:t>
      </w:r>
      <w:proofErr w:type="spellStart"/>
      <w:r w:rsidRPr="00901267">
        <w:rPr>
          <w:rFonts w:ascii="Times New Roman" w:eastAsia="Times New Roman" w:hAnsi="Times New Roman"/>
          <w:sz w:val="18"/>
          <w:szCs w:val="18"/>
        </w:rPr>
        <w:t>Decne</w:t>
      </w:r>
      <w:proofErr w:type="spellEnd"/>
      <w:r w:rsidRPr="00901267">
        <w:rPr>
          <w:rFonts w:ascii="Times New Roman" w:eastAsia="Times New Roman" w:hAnsi="Times New Roman"/>
          <w:sz w:val="18"/>
          <w:szCs w:val="18"/>
        </w:rPr>
        <w:t xml:space="preserve">) seeds. Plant Foods Hum </w:t>
      </w:r>
      <w:proofErr w:type="spellStart"/>
      <w:r w:rsidRPr="00901267">
        <w:rPr>
          <w:rFonts w:ascii="Times New Roman" w:eastAsia="Times New Roman" w:hAnsi="Times New Roman"/>
          <w:sz w:val="18"/>
          <w:szCs w:val="18"/>
        </w:rPr>
        <w:t>Nutr</w:t>
      </w:r>
      <w:proofErr w:type="spellEnd"/>
      <w:r w:rsidRPr="00901267">
        <w:rPr>
          <w:rFonts w:ascii="Times New Roman" w:eastAsia="Times New Roman" w:hAnsi="Times New Roman"/>
          <w:sz w:val="18"/>
          <w:szCs w:val="18"/>
        </w:rPr>
        <w:t>. 56(2): 117-126</w:t>
      </w:r>
      <w:r w:rsidR="0057363D" w:rsidRPr="00901267">
        <w:rPr>
          <w:rFonts w:ascii="Times New Roman" w:eastAsia="Times New Roman" w:hAnsi="Times New Roman"/>
          <w:sz w:val="18"/>
          <w:szCs w:val="18"/>
        </w:rPr>
        <w:t>.</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proofErr w:type="spellStart"/>
      <w:r w:rsidRPr="00901267">
        <w:rPr>
          <w:rFonts w:ascii="Times New Roman" w:eastAsia="Times New Roman" w:hAnsi="Times New Roman"/>
          <w:sz w:val="18"/>
          <w:szCs w:val="18"/>
        </w:rPr>
        <w:t>Badifu</w:t>
      </w:r>
      <w:proofErr w:type="spellEnd"/>
      <w:r w:rsidRPr="00901267">
        <w:rPr>
          <w:rFonts w:ascii="Times New Roman" w:eastAsia="Times New Roman" w:hAnsi="Times New Roman"/>
          <w:sz w:val="18"/>
          <w:szCs w:val="18"/>
        </w:rPr>
        <w:t xml:space="preserve">, G.I. and </w:t>
      </w:r>
      <w:proofErr w:type="spellStart"/>
      <w:r w:rsidRPr="00901267">
        <w:rPr>
          <w:rFonts w:ascii="Times New Roman" w:eastAsia="Times New Roman" w:hAnsi="Times New Roman"/>
          <w:sz w:val="18"/>
          <w:szCs w:val="18"/>
        </w:rPr>
        <w:t>Akubor</w:t>
      </w:r>
      <w:proofErr w:type="spellEnd"/>
      <w:r w:rsidRPr="00901267">
        <w:rPr>
          <w:rFonts w:ascii="Times New Roman" w:eastAsia="Times New Roman" w:hAnsi="Times New Roman"/>
          <w:sz w:val="18"/>
          <w:szCs w:val="18"/>
        </w:rPr>
        <w:t>, P.I. (2001). Influence of pH and sodium chloride on selected Functional and physical properties African breadfruit (</w:t>
      </w:r>
      <w:proofErr w:type="spellStart"/>
      <w:r w:rsidRPr="00901267">
        <w:rPr>
          <w:rFonts w:ascii="Times New Roman" w:eastAsia="Times New Roman" w:hAnsi="Times New Roman"/>
          <w:i/>
          <w:sz w:val="18"/>
          <w:szCs w:val="18"/>
        </w:rPr>
        <w:t>Treculia</w:t>
      </w:r>
      <w:proofErr w:type="spellEnd"/>
      <w:r w:rsidRPr="00901267">
        <w:rPr>
          <w:rFonts w:ascii="Times New Roman" w:eastAsia="Times New Roman" w:hAnsi="Times New Roman"/>
          <w:i/>
          <w:sz w:val="18"/>
          <w:szCs w:val="18"/>
        </w:rPr>
        <w:t xml:space="preserve"> </w:t>
      </w:r>
      <w:proofErr w:type="spellStart"/>
      <w:r w:rsidRPr="00901267">
        <w:rPr>
          <w:rFonts w:ascii="Times New Roman" w:eastAsia="Times New Roman" w:hAnsi="Times New Roman"/>
          <w:i/>
          <w:sz w:val="18"/>
          <w:szCs w:val="18"/>
        </w:rPr>
        <w:t>africana</w:t>
      </w:r>
      <w:proofErr w:type="spellEnd"/>
      <w:r w:rsidRPr="00901267">
        <w:rPr>
          <w:rFonts w:ascii="Times New Roman" w:eastAsia="Times New Roman" w:hAnsi="Times New Roman"/>
          <w:sz w:val="18"/>
          <w:szCs w:val="18"/>
        </w:rPr>
        <w:t xml:space="preserve"> </w:t>
      </w:r>
      <w:proofErr w:type="spellStart"/>
      <w:r w:rsidRPr="00901267">
        <w:rPr>
          <w:rFonts w:ascii="Times New Roman" w:eastAsia="Times New Roman" w:hAnsi="Times New Roman"/>
          <w:sz w:val="18"/>
          <w:szCs w:val="18"/>
        </w:rPr>
        <w:t>Decne</w:t>
      </w:r>
      <w:proofErr w:type="spellEnd"/>
      <w:r w:rsidRPr="00901267">
        <w:rPr>
          <w:rFonts w:ascii="Times New Roman" w:eastAsia="Times New Roman" w:hAnsi="Times New Roman"/>
          <w:sz w:val="18"/>
          <w:szCs w:val="18"/>
        </w:rPr>
        <w:t xml:space="preserve">) Kernel flour. Plant Foods Hum </w:t>
      </w:r>
      <w:proofErr w:type="spellStart"/>
      <w:r w:rsidRPr="00901267">
        <w:rPr>
          <w:rFonts w:ascii="Times New Roman" w:eastAsia="Times New Roman" w:hAnsi="Times New Roman"/>
          <w:sz w:val="18"/>
          <w:szCs w:val="18"/>
        </w:rPr>
        <w:t>Nutr</w:t>
      </w:r>
      <w:proofErr w:type="spellEnd"/>
      <w:r w:rsidRPr="00901267">
        <w:rPr>
          <w:rFonts w:ascii="Times New Roman" w:eastAsia="Times New Roman" w:hAnsi="Times New Roman"/>
          <w:sz w:val="18"/>
          <w:szCs w:val="18"/>
        </w:rPr>
        <w:t>. 56(2): 105-115.</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outlineLvl w:val="0"/>
        <w:rPr>
          <w:rFonts w:ascii="Times New Roman" w:eastAsia="Times New Roman" w:hAnsi="Times New Roman"/>
          <w:bCs/>
          <w:kern w:val="36"/>
          <w:sz w:val="18"/>
          <w:szCs w:val="18"/>
        </w:rPr>
      </w:pPr>
      <w:proofErr w:type="spellStart"/>
      <w:r w:rsidRPr="00901267">
        <w:rPr>
          <w:rFonts w:ascii="Times New Roman" w:eastAsia="Times New Roman" w:hAnsi="Times New Roman"/>
          <w:bCs/>
          <w:kern w:val="36"/>
          <w:sz w:val="18"/>
          <w:szCs w:val="18"/>
        </w:rPr>
        <w:t>Giami</w:t>
      </w:r>
      <w:proofErr w:type="spellEnd"/>
      <w:r w:rsidRPr="00901267">
        <w:rPr>
          <w:rFonts w:ascii="Times New Roman" w:eastAsia="Times New Roman" w:hAnsi="Times New Roman"/>
          <w:bCs/>
          <w:kern w:val="36"/>
          <w:sz w:val="18"/>
          <w:szCs w:val="18"/>
        </w:rPr>
        <w:t xml:space="preserve">, S.Y., </w:t>
      </w:r>
      <w:proofErr w:type="spellStart"/>
      <w:r w:rsidRPr="00901267">
        <w:rPr>
          <w:rFonts w:ascii="Times New Roman" w:eastAsia="Times New Roman" w:hAnsi="Times New Roman"/>
          <w:bCs/>
          <w:kern w:val="36"/>
          <w:sz w:val="18"/>
          <w:szCs w:val="18"/>
        </w:rPr>
        <w:t>Adindu</w:t>
      </w:r>
      <w:proofErr w:type="spellEnd"/>
      <w:r w:rsidRPr="00901267">
        <w:rPr>
          <w:rFonts w:ascii="Times New Roman" w:eastAsia="Times New Roman" w:hAnsi="Times New Roman"/>
          <w:bCs/>
          <w:kern w:val="36"/>
          <w:sz w:val="18"/>
          <w:szCs w:val="18"/>
        </w:rPr>
        <w:t xml:space="preserve">, M.N., </w:t>
      </w:r>
      <w:proofErr w:type="spellStart"/>
      <w:r w:rsidRPr="00901267">
        <w:rPr>
          <w:rFonts w:ascii="Times New Roman" w:eastAsia="Times New Roman" w:hAnsi="Times New Roman"/>
          <w:bCs/>
          <w:kern w:val="36"/>
          <w:sz w:val="18"/>
          <w:szCs w:val="18"/>
        </w:rPr>
        <w:t>Akusu</w:t>
      </w:r>
      <w:proofErr w:type="spellEnd"/>
      <w:r w:rsidRPr="00901267">
        <w:rPr>
          <w:rFonts w:ascii="Times New Roman" w:eastAsia="Times New Roman" w:hAnsi="Times New Roman"/>
          <w:bCs/>
          <w:kern w:val="36"/>
          <w:sz w:val="18"/>
          <w:szCs w:val="18"/>
        </w:rPr>
        <w:t xml:space="preserve">, M.O. and </w:t>
      </w:r>
      <w:proofErr w:type="spellStart"/>
      <w:r w:rsidRPr="00901267">
        <w:rPr>
          <w:rFonts w:ascii="Times New Roman" w:eastAsia="Times New Roman" w:hAnsi="Times New Roman"/>
          <w:bCs/>
          <w:kern w:val="36"/>
          <w:sz w:val="18"/>
          <w:szCs w:val="18"/>
        </w:rPr>
        <w:t>Emelike</w:t>
      </w:r>
      <w:proofErr w:type="spellEnd"/>
      <w:r w:rsidRPr="00901267">
        <w:rPr>
          <w:rFonts w:ascii="Times New Roman" w:eastAsia="Times New Roman" w:hAnsi="Times New Roman"/>
          <w:bCs/>
          <w:kern w:val="36"/>
          <w:sz w:val="18"/>
          <w:szCs w:val="18"/>
        </w:rPr>
        <w:t xml:space="preserve"> J.N. (2000). Compositional, Functional and storage properties of flours from raw and heat processed </w:t>
      </w:r>
      <w:r w:rsidRPr="00901267">
        <w:rPr>
          <w:rFonts w:ascii="Times New Roman" w:eastAsia="Times New Roman" w:hAnsi="Times New Roman"/>
          <w:sz w:val="18"/>
          <w:szCs w:val="18"/>
        </w:rPr>
        <w:t>African Breadfruit (</w:t>
      </w:r>
      <w:proofErr w:type="spellStart"/>
      <w:r w:rsidRPr="00901267">
        <w:rPr>
          <w:rFonts w:ascii="Times New Roman" w:eastAsia="Times New Roman" w:hAnsi="Times New Roman"/>
          <w:i/>
          <w:sz w:val="18"/>
          <w:szCs w:val="18"/>
        </w:rPr>
        <w:t>Treculia</w:t>
      </w:r>
      <w:proofErr w:type="spellEnd"/>
      <w:r w:rsidRPr="00901267">
        <w:rPr>
          <w:rFonts w:ascii="Times New Roman" w:eastAsia="Times New Roman" w:hAnsi="Times New Roman"/>
          <w:i/>
          <w:sz w:val="18"/>
          <w:szCs w:val="18"/>
        </w:rPr>
        <w:t xml:space="preserve"> </w:t>
      </w:r>
      <w:proofErr w:type="spellStart"/>
      <w:r w:rsidRPr="00901267">
        <w:rPr>
          <w:rFonts w:ascii="Times New Roman" w:eastAsia="Times New Roman" w:hAnsi="Times New Roman"/>
          <w:i/>
          <w:sz w:val="18"/>
          <w:szCs w:val="18"/>
        </w:rPr>
        <w:t>africana</w:t>
      </w:r>
      <w:proofErr w:type="spellEnd"/>
      <w:r w:rsidRPr="00901267">
        <w:rPr>
          <w:rFonts w:ascii="Times New Roman" w:eastAsia="Times New Roman" w:hAnsi="Times New Roman"/>
          <w:sz w:val="18"/>
          <w:szCs w:val="18"/>
        </w:rPr>
        <w:t xml:space="preserve"> </w:t>
      </w:r>
      <w:proofErr w:type="spellStart"/>
      <w:r w:rsidRPr="00901267">
        <w:rPr>
          <w:rFonts w:ascii="Times New Roman" w:eastAsia="Times New Roman" w:hAnsi="Times New Roman"/>
          <w:sz w:val="18"/>
          <w:szCs w:val="18"/>
        </w:rPr>
        <w:t>Decne</w:t>
      </w:r>
      <w:proofErr w:type="spellEnd"/>
      <w:r w:rsidRPr="00901267">
        <w:rPr>
          <w:rFonts w:ascii="Times New Roman" w:eastAsia="Times New Roman" w:hAnsi="Times New Roman"/>
          <w:sz w:val="18"/>
          <w:szCs w:val="18"/>
        </w:rPr>
        <w:t xml:space="preserve">) seeds. Plant Foods Hum </w:t>
      </w:r>
      <w:proofErr w:type="spellStart"/>
      <w:r w:rsidRPr="00901267">
        <w:rPr>
          <w:rFonts w:ascii="Times New Roman" w:eastAsia="Times New Roman" w:hAnsi="Times New Roman"/>
          <w:sz w:val="18"/>
          <w:szCs w:val="18"/>
        </w:rPr>
        <w:t>Nutr</w:t>
      </w:r>
      <w:proofErr w:type="spellEnd"/>
      <w:r w:rsidRPr="00901267">
        <w:rPr>
          <w:rFonts w:ascii="Times New Roman" w:eastAsia="Times New Roman" w:hAnsi="Times New Roman"/>
          <w:sz w:val="18"/>
          <w:szCs w:val="18"/>
        </w:rPr>
        <w:t>.</w:t>
      </w:r>
      <w:r w:rsidRPr="00901267">
        <w:rPr>
          <w:rFonts w:ascii="Times New Roman" w:eastAsia="Times New Roman" w:hAnsi="Times New Roman"/>
          <w:bCs/>
          <w:kern w:val="36"/>
          <w:sz w:val="18"/>
          <w:szCs w:val="18"/>
        </w:rPr>
        <w:t xml:space="preserve"> 55(4): 357-368.</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r w:rsidRPr="00901267">
        <w:rPr>
          <w:rFonts w:ascii="Times New Roman" w:hAnsi="Times New Roman"/>
          <w:sz w:val="18"/>
          <w:szCs w:val="18"/>
        </w:rPr>
        <w:t>A.O.A.C. (1990) A.O.A.C., Official methods of analysis (15</w:t>
      </w:r>
      <w:r w:rsidRPr="00901267">
        <w:rPr>
          <w:rFonts w:ascii="Times New Roman" w:hAnsi="Times New Roman"/>
          <w:sz w:val="18"/>
          <w:szCs w:val="18"/>
          <w:vertAlign w:val="superscript"/>
        </w:rPr>
        <w:t>th</w:t>
      </w:r>
      <w:r w:rsidRPr="00901267">
        <w:rPr>
          <w:rFonts w:ascii="Times New Roman" w:hAnsi="Times New Roman"/>
          <w:sz w:val="18"/>
          <w:szCs w:val="18"/>
        </w:rPr>
        <w:t xml:space="preserve"> </w:t>
      </w:r>
      <w:proofErr w:type="spellStart"/>
      <w:r w:rsidRPr="00901267">
        <w:rPr>
          <w:rFonts w:ascii="Times New Roman" w:hAnsi="Times New Roman"/>
          <w:sz w:val="18"/>
          <w:szCs w:val="18"/>
        </w:rPr>
        <w:t>ed</w:t>
      </w:r>
      <w:proofErr w:type="spellEnd"/>
      <w:r w:rsidRPr="00901267">
        <w:rPr>
          <w:rFonts w:ascii="Times New Roman" w:hAnsi="Times New Roman"/>
          <w:sz w:val="18"/>
          <w:szCs w:val="18"/>
        </w:rPr>
        <w:t>,) Association of Official analytical chemists. Washington D.C U.S.A</w:t>
      </w:r>
      <w:r w:rsidR="0057363D" w:rsidRPr="00901267">
        <w:rPr>
          <w:rFonts w:ascii="Times New Roman" w:hAnsi="Times New Roman"/>
          <w:sz w:val="18"/>
          <w:szCs w:val="18"/>
        </w:rPr>
        <w:t>.</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Gornall</w:t>
      </w:r>
      <w:proofErr w:type="spellEnd"/>
      <w:r w:rsidRPr="00901267">
        <w:rPr>
          <w:rFonts w:ascii="Times New Roman" w:hAnsi="Times New Roman"/>
          <w:sz w:val="18"/>
          <w:szCs w:val="18"/>
        </w:rPr>
        <w:t xml:space="preserve">, A.C., </w:t>
      </w:r>
      <w:proofErr w:type="spellStart"/>
      <w:r w:rsidRPr="00901267">
        <w:rPr>
          <w:rFonts w:ascii="Times New Roman" w:hAnsi="Times New Roman"/>
          <w:sz w:val="18"/>
          <w:szCs w:val="18"/>
        </w:rPr>
        <w:t>Bardawill</w:t>
      </w:r>
      <w:proofErr w:type="spellEnd"/>
      <w:r w:rsidRPr="00901267">
        <w:rPr>
          <w:rFonts w:ascii="Times New Roman" w:hAnsi="Times New Roman"/>
          <w:sz w:val="18"/>
          <w:szCs w:val="18"/>
        </w:rPr>
        <w:t xml:space="preserve"> E.J. and David M.M. (1949). Determination of serum proteins by means of </w:t>
      </w:r>
      <w:proofErr w:type="spellStart"/>
      <w:r w:rsidRPr="00901267">
        <w:rPr>
          <w:rFonts w:ascii="Times New Roman" w:hAnsi="Times New Roman"/>
          <w:sz w:val="18"/>
          <w:szCs w:val="18"/>
        </w:rPr>
        <w:t>Biuret</w:t>
      </w:r>
      <w:proofErr w:type="spellEnd"/>
      <w:r w:rsidRPr="00901267">
        <w:rPr>
          <w:rFonts w:ascii="Times New Roman" w:hAnsi="Times New Roman"/>
          <w:sz w:val="18"/>
          <w:szCs w:val="18"/>
        </w:rPr>
        <w:t xml:space="preserve"> reaction. </w:t>
      </w:r>
      <w:r w:rsidRPr="00901267">
        <w:rPr>
          <w:rFonts w:ascii="Times New Roman" w:hAnsi="Times New Roman"/>
          <w:iCs/>
          <w:sz w:val="18"/>
          <w:szCs w:val="18"/>
        </w:rPr>
        <w:t>J. Biol. Chem</w:t>
      </w:r>
      <w:r w:rsidRPr="00901267">
        <w:rPr>
          <w:rFonts w:ascii="Times New Roman" w:hAnsi="Times New Roman"/>
          <w:sz w:val="18"/>
          <w:szCs w:val="18"/>
        </w:rPr>
        <w:t xml:space="preserve">. </w:t>
      </w:r>
      <w:r w:rsidRPr="00901267">
        <w:rPr>
          <w:rFonts w:ascii="Times New Roman" w:hAnsi="Times New Roman"/>
          <w:bCs/>
          <w:sz w:val="18"/>
          <w:szCs w:val="18"/>
        </w:rPr>
        <w:t>177</w:t>
      </w:r>
      <w:r w:rsidRPr="00901267">
        <w:rPr>
          <w:rFonts w:ascii="Times New Roman" w:hAnsi="Times New Roman"/>
          <w:sz w:val="18"/>
          <w:szCs w:val="18"/>
        </w:rPr>
        <w:t>: 364-365.</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Sinha</w:t>
      </w:r>
      <w:proofErr w:type="spellEnd"/>
      <w:r w:rsidRPr="00901267">
        <w:rPr>
          <w:rFonts w:ascii="Times New Roman" w:hAnsi="Times New Roman"/>
          <w:sz w:val="18"/>
          <w:szCs w:val="18"/>
        </w:rPr>
        <w:t xml:space="preserve">, K.A. (1971). Colorimetric Assay of </w:t>
      </w:r>
      <w:proofErr w:type="spellStart"/>
      <w:r w:rsidRPr="00901267">
        <w:rPr>
          <w:rFonts w:ascii="Times New Roman" w:hAnsi="Times New Roman"/>
          <w:sz w:val="18"/>
          <w:szCs w:val="18"/>
        </w:rPr>
        <w:t>Catalase</w:t>
      </w:r>
      <w:proofErr w:type="spellEnd"/>
      <w:r w:rsidRPr="00901267">
        <w:rPr>
          <w:rFonts w:ascii="Times New Roman" w:hAnsi="Times New Roman"/>
          <w:sz w:val="18"/>
          <w:szCs w:val="18"/>
        </w:rPr>
        <w:t xml:space="preserve"> Anal </w:t>
      </w:r>
      <w:proofErr w:type="spellStart"/>
      <w:r w:rsidRPr="00901267">
        <w:rPr>
          <w:rFonts w:ascii="Times New Roman" w:hAnsi="Times New Roman"/>
          <w:sz w:val="18"/>
          <w:szCs w:val="18"/>
        </w:rPr>
        <w:t>Biochem</w:t>
      </w:r>
      <w:proofErr w:type="spellEnd"/>
      <w:r w:rsidRPr="00901267">
        <w:rPr>
          <w:rFonts w:ascii="Times New Roman" w:hAnsi="Times New Roman"/>
          <w:sz w:val="18"/>
          <w:szCs w:val="18"/>
        </w:rPr>
        <w:t xml:space="preserve"> 47: 389 – 394</w:t>
      </w:r>
      <w:r w:rsidR="0057363D" w:rsidRPr="00901267">
        <w:rPr>
          <w:rFonts w:ascii="Times New Roman" w:hAnsi="Times New Roman"/>
          <w:sz w:val="18"/>
          <w:szCs w:val="18"/>
        </w:rPr>
        <w:t>.</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eastAsia="TimesTen-Roman" w:hAnsi="Times New Roman"/>
          <w:sz w:val="18"/>
          <w:szCs w:val="18"/>
        </w:rPr>
      </w:pPr>
      <w:proofErr w:type="spellStart"/>
      <w:r w:rsidRPr="00901267">
        <w:rPr>
          <w:rFonts w:ascii="Times New Roman" w:eastAsia="TimesTen-Roman" w:hAnsi="Times New Roman"/>
          <w:sz w:val="18"/>
          <w:szCs w:val="18"/>
        </w:rPr>
        <w:t>Beutler</w:t>
      </w:r>
      <w:proofErr w:type="spellEnd"/>
      <w:r w:rsidRPr="00901267">
        <w:rPr>
          <w:rFonts w:ascii="Times New Roman" w:eastAsia="TimesTen-Roman" w:hAnsi="Times New Roman"/>
          <w:sz w:val="18"/>
          <w:szCs w:val="18"/>
        </w:rPr>
        <w:t xml:space="preserve"> E., </w:t>
      </w:r>
      <w:proofErr w:type="spellStart"/>
      <w:r w:rsidRPr="00901267">
        <w:rPr>
          <w:rFonts w:ascii="Times New Roman" w:eastAsia="TimesTen-Roman" w:hAnsi="Times New Roman"/>
          <w:sz w:val="18"/>
          <w:szCs w:val="18"/>
        </w:rPr>
        <w:t>Duron</w:t>
      </w:r>
      <w:proofErr w:type="spellEnd"/>
      <w:r w:rsidRPr="00901267">
        <w:rPr>
          <w:rFonts w:ascii="Times New Roman" w:eastAsia="TimesTen-Roman" w:hAnsi="Times New Roman"/>
          <w:sz w:val="18"/>
          <w:szCs w:val="18"/>
        </w:rPr>
        <w:t xml:space="preserve"> O. and Kelly B.M. (1963). Improved method for the determination of blood glutathione. Lab. </w:t>
      </w:r>
      <w:proofErr w:type="spellStart"/>
      <w:r w:rsidRPr="00901267">
        <w:rPr>
          <w:rFonts w:ascii="Times New Roman" w:eastAsia="TimesTen-Roman" w:hAnsi="Times New Roman"/>
          <w:sz w:val="18"/>
          <w:szCs w:val="18"/>
        </w:rPr>
        <w:t>Clin</w:t>
      </w:r>
      <w:proofErr w:type="spellEnd"/>
      <w:r w:rsidRPr="00901267">
        <w:rPr>
          <w:rFonts w:ascii="Times New Roman" w:eastAsia="TimesTen-Roman" w:hAnsi="Times New Roman"/>
          <w:sz w:val="18"/>
          <w:szCs w:val="18"/>
        </w:rPr>
        <w:t xml:space="preserve">. Med. </w:t>
      </w:r>
      <w:r w:rsidRPr="00901267">
        <w:rPr>
          <w:rFonts w:ascii="Times New Roman" w:eastAsia="TimesTen-Roman" w:hAnsi="Times New Roman"/>
          <w:bCs/>
          <w:sz w:val="18"/>
          <w:szCs w:val="18"/>
        </w:rPr>
        <w:t>61:</w:t>
      </w:r>
      <w:r w:rsidRPr="00901267">
        <w:rPr>
          <w:rFonts w:ascii="Times New Roman" w:eastAsia="TimesTen-Roman" w:hAnsi="Times New Roman"/>
          <w:sz w:val="18"/>
          <w:szCs w:val="18"/>
        </w:rPr>
        <w:t xml:space="preserve"> 882</w:t>
      </w:r>
      <w:r w:rsidRPr="00901267">
        <w:rPr>
          <w:rFonts w:ascii="Times New Roman" w:eastAsia="SymbolAZV1" w:hAnsi="Times New Roman"/>
          <w:sz w:val="18"/>
          <w:szCs w:val="18"/>
        </w:rPr>
        <w:t>-</w:t>
      </w:r>
      <w:r w:rsidRPr="00901267">
        <w:rPr>
          <w:rFonts w:ascii="Times New Roman" w:eastAsia="TimesTen-Roman" w:hAnsi="Times New Roman"/>
          <w:sz w:val="18"/>
          <w:szCs w:val="18"/>
        </w:rPr>
        <w:t>888.</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Misra</w:t>
      </w:r>
      <w:proofErr w:type="spellEnd"/>
      <w:r w:rsidRPr="00901267">
        <w:rPr>
          <w:rFonts w:ascii="Times New Roman" w:hAnsi="Times New Roman"/>
          <w:sz w:val="18"/>
          <w:szCs w:val="18"/>
        </w:rPr>
        <w:t xml:space="preserve">, H.P. and </w:t>
      </w:r>
      <w:proofErr w:type="spellStart"/>
      <w:r w:rsidRPr="00901267">
        <w:rPr>
          <w:rFonts w:ascii="Times New Roman" w:hAnsi="Times New Roman"/>
          <w:sz w:val="18"/>
          <w:szCs w:val="18"/>
        </w:rPr>
        <w:t>Fridovich</w:t>
      </w:r>
      <w:proofErr w:type="spellEnd"/>
      <w:r w:rsidRPr="00901267">
        <w:rPr>
          <w:rFonts w:ascii="Times New Roman" w:hAnsi="Times New Roman"/>
          <w:sz w:val="18"/>
          <w:szCs w:val="18"/>
        </w:rPr>
        <w:t xml:space="preserve">, I. (1972) The role of superoxide anion in the </w:t>
      </w:r>
      <w:proofErr w:type="spellStart"/>
      <w:r w:rsidRPr="00901267">
        <w:rPr>
          <w:rFonts w:ascii="Times New Roman" w:hAnsi="Times New Roman"/>
          <w:sz w:val="18"/>
          <w:szCs w:val="18"/>
        </w:rPr>
        <w:t>autoxidation</w:t>
      </w:r>
      <w:proofErr w:type="spellEnd"/>
      <w:r w:rsidRPr="00901267">
        <w:rPr>
          <w:rFonts w:ascii="Times New Roman" w:hAnsi="Times New Roman"/>
          <w:sz w:val="18"/>
          <w:szCs w:val="18"/>
        </w:rPr>
        <w:t xml:space="preserve"> of epinephrine and a simple assay for superoxide dismutase. J. </w:t>
      </w:r>
      <w:proofErr w:type="spellStart"/>
      <w:r w:rsidRPr="00901267">
        <w:rPr>
          <w:rFonts w:ascii="Times New Roman" w:hAnsi="Times New Roman"/>
          <w:sz w:val="18"/>
          <w:szCs w:val="18"/>
        </w:rPr>
        <w:t>Biol</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Chem</w:t>
      </w:r>
      <w:proofErr w:type="spellEnd"/>
      <w:r w:rsidRPr="00901267">
        <w:rPr>
          <w:rFonts w:ascii="Times New Roman" w:hAnsi="Times New Roman"/>
          <w:sz w:val="18"/>
          <w:szCs w:val="18"/>
        </w:rPr>
        <w:t xml:space="preserve"> 24: 3170-3175</w:t>
      </w:r>
      <w:r w:rsidR="0057363D" w:rsidRPr="00901267">
        <w:rPr>
          <w:rFonts w:ascii="Times New Roman" w:hAnsi="Times New Roman"/>
          <w:sz w:val="18"/>
          <w:szCs w:val="18"/>
        </w:rPr>
        <w:t>.</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Friedewald</w:t>
      </w:r>
      <w:proofErr w:type="spellEnd"/>
      <w:r w:rsidRPr="00901267">
        <w:rPr>
          <w:rFonts w:ascii="Times New Roman" w:hAnsi="Times New Roman"/>
          <w:sz w:val="18"/>
          <w:szCs w:val="18"/>
        </w:rPr>
        <w:t>, W.T., Levy, R.I. and Fredrickson, D.S. (1972) Estimation of the concentration of Low- density lipoprotein cholesterol in plasma without use of the preparative ultra-</w:t>
      </w:r>
      <w:r w:rsidR="0057363D" w:rsidRPr="00901267">
        <w:rPr>
          <w:rFonts w:ascii="Times New Roman" w:hAnsi="Times New Roman"/>
          <w:sz w:val="18"/>
          <w:szCs w:val="18"/>
        </w:rPr>
        <w:t xml:space="preserve"> </w:t>
      </w:r>
      <w:r w:rsidRPr="00901267">
        <w:rPr>
          <w:rFonts w:ascii="Times New Roman" w:hAnsi="Times New Roman"/>
          <w:sz w:val="18"/>
          <w:szCs w:val="18"/>
        </w:rPr>
        <w:t xml:space="preserve">centrifuge. </w:t>
      </w:r>
      <w:proofErr w:type="spellStart"/>
      <w:r w:rsidRPr="00901267">
        <w:rPr>
          <w:rFonts w:ascii="Times New Roman" w:hAnsi="Times New Roman"/>
          <w:sz w:val="18"/>
          <w:szCs w:val="18"/>
        </w:rPr>
        <w:t>Clin</w:t>
      </w:r>
      <w:proofErr w:type="spellEnd"/>
      <w:r w:rsidRPr="00901267">
        <w:rPr>
          <w:rFonts w:ascii="Times New Roman" w:hAnsi="Times New Roman"/>
          <w:sz w:val="18"/>
          <w:szCs w:val="18"/>
        </w:rPr>
        <w:t>. Chem.</w:t>
      </w:r>
      <w:r w:rsidRPr="00901267">
        <w:rPr>
          <w:rFonts w:ascii="Times New Roman" w:hAnsi="Times New Roman"/>
          <w:b/>
          <w:sz w:val="18"/>
          <w:szCs w:val="18"/>
        </w:rPr>
        <w:t xml:space="preserve"> </w:t>
      </w:r>
      <w:r w:rsidRPr="00901267">
        <w:rPr>
          <w:rFonts w:ascii="Times New Roman" w:hAnsi="Times New Roman"/>
          <w:sz w:val="18"/>
          <w:szCs w:val="18"/>
        </w:rPr>
        <w:t>18: 499– 502.</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proofErr w:type="spellStart"/>
      <w:r w:rsidRPr="00901267">
        <w:rPr>
          <w:rFonts w:ascii="Times New Roman" w:eastAsia="Times New Roman" w:hAnsi="Times New Roman"/>
          <w:sz w:val="18"/>
          <w:szCs w:val="18"/>
        </w:rPr>
        <w:t>Asif</w:t>
      </w:r>
      <w:proofErr w:type="spellEnd"/>
      <w:r w:rsidRPr="00901267">
        <w:rPr>
          <w:rFonts w:ascii="Times New Roman" w:eastAsia="Times New Roman" w:hAnsi="Times New Roman"/>
          <w:sz w:val="18"/>
          <w:szCs w:val="18"/>
        </w:rPr>
        <w:t xml:space="preserve"> M (2010) A review on purification and chemical modification of oils and fats T. Ph. Res 4:16-27</w:t>
      </w:r>
      <w:r w:rsidR="0057363D" w:rsidRPr="00901267">
        <w:rPr>
          <w:rFonts w:ascii="Times New Roman" w:eastAsia="Times New Roman" w:hAnsi="Times New Roman"/>
          <w:sz w:val="18"/>
          <w:szCs w:val="18"/>
        </w:rPr>
        <w:t>.</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proofErr w:type="spellStart"/>
      <w:r w:rsidRPr="00901267">
        <w:rPr>
          <w:rFonts w:ascii="Times New Roman" w:hAnsi="Times New Roman"/>
          <w:sz w:val="18"/>
          <w:szCs w:val="18"/>
        </w:rPr>
        <w:t>Kardash</w:t>
      </w:r>
      <w:proofErr w:type="spellEnd"/>
      <w:r w:rsidRPr="00901267">
        <w:rPr>
          <w:rFonts w:ascii="Times New Roman" w:hAnsi="Times New Roman"/>
          <w:sz w:val="18"/>
          <w:szCs w:val="18"/>
        </w:rPr>
        <w:t xml:space="preserve">, E. and </w:t>
      </w:r>
      <w:proofErr w:type="spellStart"/>
      <w:r w:rsidRPr="00901267">
        <w:rPr>
          <w:rFonts w:ascii="Times New Roman" w:hAnsi="Times New Roman"/>
          <w:sz w:val="18"/>
          <w:szCs w:val="18"/>
        </w:rPr>
        <w:t>Tur’yan</w:t>
      </w:r>
      <w:proofErr w:type="spellEnd"/>
      <w:r w:rsidRPr="00901267">
        <w:rPr>
          <w:rFonts w:ascii="Times New Roman" w:hAnsi="Times New Roman"/>
          <w:sz w:val="18"/>
          <w:szCs w:val="18"/>
        </w:rPr>
        <w:t>, Y.I. (2005) Acid value determination in vegetable oils by indirect</w:t>
      </w:r>
      <w:r w:rsidR="0057363D" w:rsidRPr="00901267">
        <w:rPr>
          <w:rFonts w:ascii="Times New Roman" w:hAnsi="Times New Roman"/>
          <w:sz w:val="18"/>
          <w:szCs w:val="18"/>
        </w:rPr>
        <w:t xml:space="preserve"> </w:t>
      </w:r>
      <w:r w:rsidRPr="00901267">
        <w:rPr>
          <w:rFonts w:ascii="Times New Roman" w:hAnsi="Times New Roman"/>
          <w:sz w:val="18"/>
          <w:szCs w:val="18"/>
        </w:rPr>
        <w:t xml:space="preserve">titration in aqueous alcohol media. Croatia </w:t>
      </w:r>
      <w:proofErr w:type="spellStart"/>
      <w:r w:rsidRPr="00901267">
        <w:rPr>
          <w:rFonts w:ascii="Times New Roman" w:hAnsi="Times New Roman"/>
          <w:sz w:val="18"/>
          <w:szCs w:val="18"/>
        </w:rPr>
        <w:t>Chem</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Acta</w:t>
      </w:r>
      <w:proofErr w:type="spellEnd"/>
      <w:r w:rsidRPr="00901267">
        <w:rPr>
          <w:rFonts w:ascii="Times New Roman" w:hAnsi="Times New Roman"/>
          <w:sz w:val="18"/>
          <w:szCs w:val="18"/>
        </w:rPr>
        <w:t xml:space="preserve"> 2005;78:99-103.</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eastAsia="Times New Roman" w:hAnsi="Times New Roman"/>
          <w:sz w:val="18"/>
          <w:szCs w:val="18"/>
        </w:rPr>
        <w:t>Eckey</w:t>
      </w:r>
      <w:proofErr w:type="spellEnd"/>
      <w:r w:rsidRPr="00901267">
        <w:rPr>
          <w:rFonts w:ascii="Times New Roman" w:eastAsia="Times New Roman" w:hAnsi="Times New Roman"/>
          <w:sz w:val="18"/>
          <w:szCs w:val="18"/>
        </w:rPr>
        <w:t>, E.W. (1954) Vegetable fats and oils. American Chemical Society Monograph Series</w:t>
      </w:r>
      <w:r w:rsidR="0057363D" w:rsidRPr="00901267">
        <w:rPr>
          <w:rFonts w:ascii="Times New Roman" w:eastAsia="Times New Roman" w:hAnsi="Times New Roman"/>
          <w:sz w:val="18"/>
          <w:szCs w:val="18"/>
        </w:rPr>
        <w:t xml:space="preserve"> </w:t>
      </w:r>
      <w:r w:rsidRPr="00901267">
        <w:rPr>
          <w:rFonts w:ascii="Times New Roman" w:eastAsia="Times New Roman" w:hAnsi="Times New Roman"/>
          <w:sz w:val="18"/>
          <w:szCs w:val="18"/>
        </w:rPr>
        <w:t>No 123. Reinhold Publishing Corporation, New York</w:t>
      </w:r>
      <w:r w:rsidR="0057363D" w:rsidRPr="00901267">
        <w:rPr>
          <w:rFonts w:ascii="Times New Roman" w:eastAsia="Times New Roman" w:hAnsi="Times New Roman"/>
          <w:sz w:val="18"/>
          <w:szCs w:val="18"/>
        </w:rPr>
        <w:t>.</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lastRenderedPageBreak/>
        <w:t>Popoola</w:t>
      </w:r>
      <w:proofErr w:type="spellEnd"/>
      <w:r w:rsidRPr="00901267">
        <w:rPr>
          <w:rFonts w:ascii="Times New Roman" w:hAnsi="Times New Roman"/>
          <w:sz w:val="18"/>
          <w:szCs w:val="18"/>
        </w:rPr>
        <w:t xml:space="preserve">, T.O.S, and </w:t>
      </w:r>
      <w:proofErr w:type="spellStart"/>
      <w:r w:rsidRPr="00901267">
        <w:rPr>
          <w:rFonts w:ascii="Times New Roman" w:hAnsi="Times New Roman"/>
          <w:sz w:val="18"/>
          <w:szCs w:val="18"/>
        </w:rPr>
        <w:t>Yangomodou</w:t>
      </w:r>
      <w:proofErr w:type="spellEnd"/>
      <w:r w:rsidRPr="00901267">
        <w:rPr>
          <w:rFonts w:ascii="Times New Roman" w:hAnsi="Times New Roman"/>
          <w:sz w:val="18"/>
          <w:szCs w:val="18"/>
        </w:rPr>
        <w:t>, O.D. Extraction, properties and utilization potentials of cassava seed oil. Biotechnology2006; 5:38-41.</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Oladiji</w:t>
      </w:r>
      <w:proofErr w:type="spellEnd"/>
      <w:r w:rsidRPr="00901267">
        <w:rPr>
          <w:rFonts w:ascii="Times New Roman" w:hAnsi="Times New Roman"/>
          <w:sz w:val="18"/>
          <w:szCs w:val="18"/>
        </w:rPr>
        <w:t xml:space="preserve">, A.T., </w:t>
      </w:r>
      <w:proofErr w:type="spellStart"/>
      <w:r w:rsidRPr="00901267">
        <w:rPr>
          <w:rFonts w:ascii="Times New Roman" w:hAnsi="Times New Roman"/>
          <w:sz w:val="18"/>
          <w:szCs w:val="18"/>
        </w:rPr>
        <w:t>Shoremekun</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K.l</w:t>
      </w:r>
      <w:proofErr w:type="spellEnd"/>
      <w:r w:rsidRPr="00901267">
        <w:rPr>
          <w:rFonts w:ascii="Times New Roman" w:hAnsi="Times New Roman"/>
          <w:sz w:val="18"/>
          <w:szCs w:val="18"/>
        </w:rPr>
        <w:t xml:space="preserve">. and </w:t>
      </w:r>
      <w:proofErr w:type="spellStart"/>
      <w:r w:rsidRPr="00901267">
        <w:rPr>
          <w:rFonts w:ascii="Times New Roman" w:hAnsi="Times New Roman"/>
          <w:sz w:val="18"/>
          <w:szCs w:val="18"/>
        </w:rPr>
        <w:t>Yakubu</w:t>
      </w:r>
      <w:proofErr w:type="spellEnd"/>
      <w:r w:rsidRPr="00901267">
        <w:rPr>
          <w:rFonts w:ascii="Times New Roman" w:hAnsi="Times New Roman"/>
          <w:sz w:val="18"/>
          <w:szCs w:val="18"/>
        </w:rPr>
        <w:t xml:space="preserve">, M.T. (2009). Physicochemical properties of the oil from </w:t>
      </w:r>
      <w:proofErr w:type="spellStart"/>
      <w:r w:rsidRPr="00901267">
        <w:rPr>
          <w:rFonts w:ascii="Times New Roman" w:hAnsi="Times New Roman"/>
          <w:sz w:val="18"/>
          <w:szCs w:val="18"/>
        </w:rPr>
        <w:t>Blighia</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sapida</w:t>
      </w:r>
      <w:proofErr w:type="spellEnd"/>
      <w:r w:rsidRPr="00901267">
        <w:rPr>
          <w:rFonts w:ascii="Times New Roman" w:hAnsi="Times New Roman"/>
          <w:sz w:val="18"/>
          <w:szCs w:val="18"/>
        </w:rPr>
        <w:t xml:space="preserve"> and toxicological evaluation of the oil-based diet in rat </w:t>
      </w:r>
      <w:proofErr w:type="spellStart"/>
      <w:r w:rsidRPr="00901267">
        <w:rPr>
          <w:rFonts w:ascii="Times New Roman" w:hAnsi="Times New Roman"/>
          <w:sz w:val="18"/>
          <w:szCs w:val="18"/>
        </w:rPr>
        <w:t>J.Med</w:t>
      </w:r>
      <w:proofErr w:type="spellEnd"/>
      <w:r w:rsidRPr="00901267">
        <w:rPr>
          <w:rFonts w:ascii="Times New Roman" w:hAnsi="Times New Roman"/>
          <w:sz w:val="18"/>
          <w:szCs w:val="18"/>
        </w:rPr>
        <w:t xml:space="preserve"> Food 12(5): 1-9</w:t>
      </w:r>
      <w:r w:rsidR="0057363D" w:rsidRPr="00901267">
        <w:rPr>
          <w:rFonts w:ascii="Times New Roman" w:hAnsi="Times New Roman"/>
          <w:sz w:val="18"/>
          <w:szCs w:val="18"/>
        </w:rPr>
        <w:t>.</w:t>
      </w:r>
    </w:p>
    <w:p w:rsidR="00DB6DC1" w:rsidRPr="00901267" w:rsidRDefault="00DB6DC1" w:rsidP="0057363D">
      <w:pPr>
        <w:autoSpaceDE w:val="0"/>
        <w:autoSpaceDN w:val="0"/>
        <w:adjustRightInd w:val="0"/>
        <w:snapToGrid w:val="0"/>
        <w:ind w:left="450" w:hanging="450"/>
        <w:jc w:val="both"/>
        <w:rPr>
          <w:sz w:val="18"/>
          <w:szCs w:val="18"/>
        </w:rPr>
      </w:pPr>
      <w:r w:rsidRPr="00901267">
        <w:rPr>
          <w:sz w:val="18"/>
          <w:szCs w:val="18"/>
        </w:rPr>
        <w:t>23.</w:t>
      </w:r>
      <w:r w:rsidR="0057363D" w:rsidRPr="00901267">
        <w:rPr>
          <w:sz w:val="18"/>
          <w:szCs w:val="18"/>
        </w:rPr>
        <w:t xml:space="preserve"> </w:t>
      </w:r>
      <w:proofErr w:type="spellStart"/>
      <w:r w:rsidRPr="00901267">
        <w:rPr>
          <w:sz w:val="18"/>
          <w:szCs w:val="18"/>
        </w:rPr>
        <w:t>Abdulazeez</w:t>
      </w:r>
      <w:proofErr w:type="spellEnd"/>
      <w:r w:rsidRPr="00901267">
        <w:rPr>
          <w:sz w:val="18"/>
          <w:szCs w:val="18"/>
        </w:rPr>
        <w:t xml:space="preserve">, M., </w:t>
      </w:r>
      <w:proofErr w:type="spellStart"/>
      <w:r w:rsidRPr="00901267">
        <w:rPr>
          <w:sz w:val="18"/>
          <w:szCs w:val="18"/>
        </w:rPr>
        <w:t>Ameh</w:t>
      </w:r>
      <w:proofErr w:type="spellEnd"/>
      <w:r w:rsidRPr="00901267">
        <w:rPr>
          <w:sz w:val="18"/>
          <w:szCs w:val="18"/>
        </w:rPr>
        <w:t xml:space="preserve">, A., Ibrahim, D., Ayo, S., Joseph, O. and </w:t>
      </w:r>
      <w:proofErr w:type="spellStart"/>
      <w:r w:rsidRPr="00901267">
        <w:rPr>
          <w:sz w:val="18"/>
          <w:szCs w:val="18"/>
        </w:rPr>
        <w:t>Ambali</w:t>
      </w:r>
      <w:proofErr w:type="spellEnd"/>
      <w:r w:rsidRPr="00901267">
        <w:rPr>
          <w:sz w:val="18"/>
          <w:szCs w:val="18"/>
        </w:rPr>
        <w:t xml:space="preserve">, S.F. (2009) Effect of fermented seed extract of </w:t>
      </w:r>
      <w:proofErr w:type="spellStart"/>
      <w:r w:rsidRPr="00901267">
        <w:rPr>
          <w:i/>
          <w:iCs/>
          <w:sz w:val="18"/>
          <w:szCs w:val="18"/>
        </w:rPr>
        <w:t>Carica</w:t>
      </w:r>
      <w:proofErr w:type="spellEnd"/>
      <w:r w:rsidRPr="00901267">
        <w:rPr>
          <w:i/>
          <w:iCs/>
          <w:sz w:val="18"/>
          <w:szCs w:val="18"/>
        </w:rPr>
        <w:t xml:space="preserve"> papaya </w:t>
      </w:r>
      <w:r w:rsidRPr="00901267">
        <w:rPr>
          <w:sz w:val="18"/>
          <w:szCs w:val="18"/>
        </w:rPr>
        <w:t xml:space="preserve">on litters of female </w:t>
      </w:r>
      <w:proofErr w:type="spellStart"/>
      <w:r w:rsidRPr="00901267">
        <w:rPr>
          <w:sz w:val="18"/>
          <w:szCs w:val="18"/>
        </w:rPr>
        <w:t>wistar</w:t>
      </w:r>
      <w:proofErr w:type="spellEnd"/>
      <w:r w:rsidRPr="00901267">
        <w:rPr>
          <w:sz w:val="18"/>
          <w:szCs w:val="18"/>
        </w:rPr>
        <w:t xml:space="preserve"> rat (</w:t>
      </w:r>
      <w:proofErr w:type="spellStart"/>
      <w:r w:rsidRPr="00901267">
        <w:rPr>
          <w:i/>
          <w:iCs/>
          <w:sz w:val="18"/>
          <w:szCs w:val="18"/>
        </w:rPr>
        <w:t>Rattus</w:t>
      </w:r>
      <w:proofErr w:type="spellEnd"/>
      <w:r w:rsidRPr="00901267">
        <w:rPr>
          <w:i/>
          <w:iCs/>
          <w:sz w:val="18"/>
          <w:szCs w:val="18"/>
        </w:rPr>
        <w:t xml:space="preserve"> </w:t>
      </w:r>
      <w:proofErr w:type="spellStart"/>
      <w:r w:rsidRPr="00901267">
        <w:rPr>
          <w:i/>
          <w:iCs/>
          <w:sz w:val="18"/>
          <w:szCs w:val="18"/>
        </w:rPr>
        <w:t>norvegicus</w:t>
      </w:r>
      <w:proofErr w:type="spellEnd"/>
      <w:r w:rsidRPr="00901267">
        <w:rPr>
          <w:i/>
          <w:iCs/>
          <w:sz w:val="18"/>
          <w:szCs w:val="18"/>
        </w:rPr>
        <w:t xml:space="preserve">). </w:t>
      </w:r>
      <w:r w:rsidRPr="00901267">
        <w:rPr>
          <w:iCs/>
          <w:sz w:val="18"/>
          <w:szCs w:val="18"/>
        </w:rPr>
        <w:t>African J. Biotech</w:t>
      </w:r>
      <w:r w:rsidRPr="00901267">
        <w:rPr>
          <w:i/>
          <w:iCs/>
          <w:sz w:val="18"/>
          <w:szCs w:val="18"/>
        </w:rPr>
        <w:t xml:space="preserve">., </w:t>
      </w:r>
      <w:r w:rsidRPr="00901267">
        <w:rPr>
          <w:sz w:val="18"/>
          <w:szCs w:val="18"/>
        </w:rPr>
        <w:t>8 (5): 854-857.</w:t>
      </w:r>
    </w:p>
    <w:p w:rsidR="00DB6DC1" w:rsidRPr="007D5400"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7D5400">
        <w:rPr>
          <w:rFonts w:ascii="Times New Roman" w:hAnsi="Times New Roman"/>
          <w:sz w:val="18"/>
          <w:szCs w:val="18"/>
        </w:rPr>
        <w:t>Visavadiya</w:t>
      </w:r>
      <w:proofErr w:type="spellEnd"/>
      <w:r w:rsidRPr="007D5400">
        <w:rPr>
          <w:rFonts w:ascii="Times New Roman" w:hAnsi="Times New Roman"/>
          <w:sz w:val="18"/>
          <w:szCs w:val="18"/>
        </w:rPr>
        <w:t>, N</w:t>
      </w:r>
      <w:r w:rsidR="0057363D" w:rsidRPr="007D5400">
        <w:rPr>
          <w:rFonts w:ascii="Times New Roman" w:hAnsi="Times New Roman"/>
          <w:sz w:val="18"/>
          <w:szCs w:val="18"/>
        </w:rPr>
        <w:t xml:space="preserve">.P. and </w:t>
      </w:r>
      <w:proofErr w:type="spellStart"/>
      <w:r w:rsidR="0057363D" w:rsidRPr="007D5400">
        <w:rPr>
          <w:rFonts w:ascii="Times New Roman" w:hAnsi="Times New Roman"/>
          <w:sz w:val="18"/>
          <w:szCs w:val="18"/>
        </w:rPr>
        <w:t>Narasimacharya</w:t>
      </w:r>
      <w:proofErr w:type="spellEnd"/>
      <w:r w:rsidR="0057363D" w:rsidRPr="007D5400">
        <w:rPr>
          <w:rFonts w:ascii="Times New Roman" w:hAnsi="Times New Roman"/>
          <w:sz w:val="18"/>
          <w:szCs w:val="18"/>
        </w:rPr>
        <w:t>, A.V. (</w:t>
      </w:r>
      <w:r w:rsidRPr="007D5400">
        <w:rPr>
          <w:rFonts w:ascii="Times New Roman" w:hAnsi="Times New Roman"/>
          <w:sz w:val="18"/>
          <w:szCs w:val="18"/>
        </w:rPr>
        <w:t xml:space="preserve">2005). </w:t>
      </w:r>
      <w:proofErr w:type="spellStart"/>
      <w:r w:rsidRPr="007D5400">
        <w:rPr>
          <w:rFonts w:ascii="Times New Roman" w:hAnsi="Times New Roman"/>
          <w:sz w:val="18"/>
          <w:szCs w:val="18"/>
        </w:rPr>
        <w:t>Hypolipidemic</w:t>
      </w:r>
      <w:proofErr w:type="spellEnd"/>
      <w:r w:rsidRPr="007D5400">
        <w:rPr>
          <w:rFonts w:ascii="Times New Roman" w:hAnsi="Times New Roman"/>
          <w:sz w:val="18"/>
          <w:szCs w:val="18"/>
        </w:rPr>
        <w:t xml:space="preserve"> and antioxidant activities of </w:t>
      </w:r>
      <w:r w:rsidRPr="007D5400">
        <w:rPr>
          <w:rFonts w:ascii="Times New Roman" w:hAnsi="Times New Roman"/>
          <w:i/>
          <w:sz w:val="18"/>
          <w:szCs w:val="18"/>
        </w:rPr>
        <w:t xml:space="preserve">Asparagus </w:t>
      </w:r>
      <w:proofErr w:type="spellStart"/>
      <w:r w:rsidRPr="007D5400">
        <w:rPr>
          <w:rFonts w:ascii="Times New Roman" w:hAnsi="Times New Roman"/>
          <w:i/>
          <w:sz w:val="18"/>
          <w:szCs w:val="18"/>
        </w:rPr>
        <w:t>racemosus</w:t>
      </w:r>
      <w:proofErr w:type="spellEnd"/>
      <w:r w:rsidRPr="007D5400">
        <w:rPr>
          <w:rFonts w:ascii="Times New Roman" w:hAnsi="Times New Roman"/>
          <w:sz w:val="18"/>
          <w:szCs w:val="18"/>
        </w:rPr>
        <w:t xml:space="preserve"> in </w:t>
      </w:r>
      <w:proofErr w:type="spellStart"/>
      <w:r w:rsidRPr="007D5400">
        <w:rPr>
          <w:rFonts w:ascii="Times New Roman" w:hAnsi="Times New Roman"/>
          <w:sz w:val="18"/>
          <w:szCs w:val="18"/>
        </w:rPr>
        <w:t>hypercholesterolamic</w:t>
      </w:r>
      <w:proofErr w:type="spellEnd"/>
      <w:r w:rsidRPr="007D5400">
        <w:rPr>
          <w:rFonts w:ascii="Times New Roman" w:hAnsi="Times New Roman"/>
          <w:sz w:val="18"/>
          <w:szCs w:val="18"/>
        </w:rPr>
        <w:t xml:space="preserve"> rats. Indian J. </w:t>
      </w:r>
      <w:proofErr w:type="spellStart"/>
      <w:r w:rsidRPr="007D5400">
        <w:rPr>
          <w:rFonts w:ascii="Times New Roman" w:hAnsi="Times New Roman"/>
          <w:sz w:val="18"/>
          <w:szCs w:val="18"/>
        </w:rPr>
        <w:t>Pharmacol</w:t>
      </w:r>
      <w:proofErr w:type="spellEnd"/>
      <w:r w:rsidRPr="007D5400">
        <w:rPr>
          <w:rFonts w:ascii="Times New Roman" w:hAnsi="Times New Roman"/>
          <w:sz w:val="18"/>
          <w:szCs w:val="18"/>
        </w:rPr>
        <w:t>.</w:t>
      </w:r>
      <w:r w:rsidR="007D5400" w:rsidRPr="007D5400">
        <w:rPr>
          <w:rFonts w:ascii="Times New Roman" w:hAnsi="Times New Roman"/>
          <w:sz w:val="18"/>
          <w:szCs w:val="18"/>
        </w:rPr>
        <w:t xml:space="preserve"> </w:t>
      </w:r>
      <w:r w:rsidRPr="007D5400">
        <w:rPr>
          <w:rFonts w:ascii="Times New Roman" w:hAnsi="Times New Roman"/>
          <w:sz w:val="18"/>
          <w:szCs w:val="18"/>
        </w:rPr>
        <w:t>37 (6): 376–380.</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r w:rsidRPr="00901267">
        <w:rPr>
          <w:rFonts w:ascii="Times New Roman" w:eastAsia="Times New Roman" w:hAnsi="Times New Roman"/>
          <w:sz w:val="18"/>
          <w:szCs w:val="18"/>
        </w:rPr>
        <w:t>Cain, H.C. (2007) Drug-induced Pulmonary Disease: Non-chemotherapeutic agents.</w:t>
      </w:r>
      <w:r w:rsidR="0057363D" w:rsidRPr="00901267">
        <w:rPr>
          <w:rFonts w:ascii="Times New Roman" w:eastAsia="Times New Roman" w:hAnsi="Times New Roman"/>
          <w:sz w:val="18"/>
          <w:szCs w:val="18"/>
        </w:rPr>
        <w:t xml:space="preserve"> </w:t>
      </w:r>
      <w:r w:rsidRPr="00901267">
        <w:rPr>
          <w:rFonts w:ascii="Times New Roman" w:eastAsia="Times New Roman" w:hAnsi="Times New Roman"/>
          <w:sz w:val="18"/>
          <w:szCs w:val="18"/>
        </w:rPr>
        <w:t>Fishman's Pulmonary Diseases and Disorders. Chapter 59. Ed. Fishman A, et. 2007.</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Abolaji</w:t>
      </w:r>
      <w:proofErr w:type="spellEnd"/>
      <w:r w:rsidRPr="00901267">
        <w:rPr>
          <w:rFonts w:ascii="Times New Roman" w:hAnsi="Times New Roman"/>
          <w:sz w:val="18"/>
          <w:szCs w:val="18"/>
        </w:rPr>
        <w:t xml:space="preserve">, A .O. Adebayo, A. H, and </w:t>
      </w:r>
      <w:proofErr w:type="spellStart"/>
      <w:r w:rsidRPr="00901267">
        <w:rPr>
          <w:rFonts w:ascii="Times New Roman" w:hAnsi="Times New Roman"/>
          <w:sz w:val="18"/>
          <w:szCs w:val="18"/>
        </w:rPr>
        <w:t>Odesanmi</w:t>
      </w:r>
      <w:proofErr w:type="spellEnd"/>
      <w:r w:rsidRPr="00901267">
        <w:rPr>
          <w:rFonts w:ascii="Times New Roman" w:hAnsi="Times New Roman"/>
          <w:sz w:val="18"/>
          <w:szCs w:val="18"/>
        </w:rPr>
        <w:t xml:space="preserve">, O.S 2007.Effect of </w:t>
      </w:r>
      <w:proofErr w:type="spellStart"/>
      <w:r w:rsidRPr="00901267">
        <w:rPr>
          <w:rFonts w:ascii="Times New Roman" w:hAnsi="Times New Roman"/>
          <w:sz w:val="18"/>
          <w:szCs w:val="18"/>
        </w:rPr>
        <w:t>ethanolic</w:t>
      </w:r>
      <w:proofErr w:type="spellEnd"/>
      <w:r w:rsidRPr="00901267">
        <w:rPr>
          <w:rFonts w:ascii="Times New Roman" w:hAnsi="Times New Roman"/>
          <w:sz w:val="18"/>
          <w:szCs w:val="18"/>
        </w:rPr>
        <w:t xml:space="preserve"> extract of </w:t>
      </w:r>
      <w:proofErr w:type="spellStart"/>
      <w:r w:rsidRPr="00901267">
        <w:rPr>
          <w:rFonts w:ascii="Times New Roman" w:hAnsi="Times New Roman"/>
          <w:i/>
          <w:sz w:val="18"/>
          <w:szCs w:val="18"/>
        </w:rPr>
        <w:t>Parinari</w:t>
      </w:r>
      <w:proofErr w:type="spellEnd"/>
      <w:r w:rsidRPr="00901267">
        <w:rPr>
          <w:rFonts w:ascii="Times New Roman" w:hAnsi="Times New Roman"/>
          <w:i/>
          <w:sz w:val="18"/>
          <w:szCs w:val="18"/>
        </w:rPr>
        <w:t xml:space="preserve"> </w:t>
      </w:r>
      <w:proofErr w:type="spellStart"/>
      <w:r w:rsidRPr="00901267">
        <w:rPr>
          <w:rFonts w:ascii="Times New Roman" w:hAnsi="Times New Roman"/>
          <w:i/>
          <w:sz w:val="18"/>
          <w:szCs w:val="18"/>
        </w:rPr>
        <w:t>polyandra</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Rosaceae</w:t>
      </w:r>
      <w:proofErr w:type="spellEnd"/>
      <w:r w:rsidRPr="00901267">
        <w:rPr>
          <w:rFonts w:ascii="Times New Roman" w:hAnsi="Times New Roman"/>
          <w:sz w:val="18"/>
          <w:szCs w:val="18"/>
        </w:rPr>
        <w:t xml:space="preserve">) on serum lipid profile and some electrolytes in pregnant rabbits. Res. J. Med. Plants 1 (4): 121-127. </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Akubugwo</w:t>
      </w:r>
      <w:proofErr w:type="spellEnd"/>
      <w:r w:rsidRPr="00901267">
        <w:rPr>
          <w:rFonts w:ascii="Times New Roman" w:hAnsi="Times New Roman"/>
          <w:sz w:val="18"/>
          <w:szCs w:val="18"/>
        </w:rPr>
        <w:t xml:space="preserve">, I.E, </w:t>
      </w:r>
      <w:proofErr w:type="spellStart"/>
      <w:r w:rsidRPr="00901267">
        <w:rPr>
          <w:rFonts w:ascii="Times New Roman" w:hAnsi="Times New Roman"/>
          <w:sz w:val="18"/>
          <w:szCs w:val="18"/>
        </w:rPr>
        <w:t>Chinyere</w:t>
      </w:r>
      <w:proofErr w:type="spellEnd"/>
      <w:r w:rsidRPr="00901267">
        <w:rPr>
          <w:rFonts w:ascii="Times New Roman" w:hAnsi="Times New Roman"/>
          <w:sz w:val="18"/>
          <w:szCs w:val="18"/>
        </w:rPr>
        <w:t xml:space="preserve">, G.C, and </w:t>
      </w:r>
      <w:proofErr w:type="spellStart"/>
      <w:r w:rsidRPr="00901267">
        <w:rPr>
          <w:rFonts w:ascii="Times New Roman" w:hAnsi="Times New Roman"/>
          <w:sz w:val="18"/>
          <w:szCs w:val="18"/>
        </w:rPr>
        <w:t>Ugbogu</w:t>
      </w:r>
      <w:proofErr w:type="spellEnd"/>
      <w:r w:rsidRPr="00901267">
        <w:rPr>
          <w:rFonts w:ascii="Times New Roman" w:hAnsi="Times New Roman"/>
          <w:sz w:val="18"/>
          <w:szCs w:val="18"/>
        </w:rPr>
        <w:t xml:space="preserve">, A.E. (2008) </w:t>
      </w:r>
      <w:proofErr w:type="spellStart"/>
      <w:r w:rsidRPr="00901267">
        <w:rPr>
          <w:rFonts w:ascii="Times New Roman" w:hAnsi="Times New Roman"/>
          <w:sz w:val="18"/>
          <w:szCs w:val="18"/>
        </w:rPr>
        <w:t>Comprative</w:t>
      </w:r>
      <w:proofErr w:type="spellEnd"/>
      <w:r w:rsidRPr="00901267">
        <w:rPr>
          <w:rFonts w:ascii="Times New Roman" w:hAnsi="Times New Roman"/>
          <w:sz w:val="18"/>
          <w:szCs w:val="18"/>
        </w:rPr>
        <w:t xml:space="preserve"> studies on oils from some common plant seeds in Nigeria. Pak J </w:t>
      </w:r>
      <w:proofErr w:type="spellStart"/>
      <w:r w:rsidRPr="00901267">
        <w:rPr>
          <w:rFonts w:ascii="Times New Roman" w:hAnsi="Times New Roman"/>
          <w:sz w:val="18"/>
          <w:szCs w:val="18"/>
        </w:rPr>
        <w:t>Nutr</w:t>
      </w:r>
      <w:proofErr w:type="spellEnd"/>
      <w:r w:rsidRPr="00901267">
        <w:rPr>
          <w:rFonts w:ascii="Times New Roman" w:hAnsi="Times New Roman"/>
          <w:sz w:val="18"/>
          <w:szCs w:val="18"/>
        </w:rPr>
        <w:t xml:space="preserve"> 7: 570-573.</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Gilani</w:t>
      </w:r>
      <w:proofErr w:type="spellEnd"/>
      <w:r w:rsidRPr="00901267">
        <w:rPr>
          <w:rFonts w:ascii="Times New Roman" w:hAnsi="Times New Roman"/>
          <w:sz w:val="18"/>
          <w:szCs w:val="18"/>
        </w:rPr>
        <w:t xml:space="preserve">, G.S., </w:t>
      </w:r>
      <w:proofErr w:type="spellStart"/>
      <w:r w:rsidRPr="00901267">
        <w:rPr>
          <w:rFonts w:ascii="Times New Roman" w:hAnsi="Times New Roman"/>
          <w:sz w:val="18"/>
          <w:szCs w:val="18"/>
        </w:rPr>
        <w:t>Ratnayaka</w:t>
      </w:r>
      <w:proofErr w:type="spellEnd"/>
      <w:r w:rsidRPr="00901267">
        <w:rPr>
          <w:rFonts w:ascii="Times New Roman" w:hAnsi="Times New Roman"/>
          <w:sz w:val="18"/>
          <w:szCs w:val="18"/>
        </w:rPr>
        <w:t xml:space="preserve">, W.M.N., Brooks, S.P.J., </w:t>
      </w:r>
      <w:proofErr w:type="spellStart"/>
      <w:r w:rsidRPr="00901267">
        <w:rPr>
          <w:rFonts w:ascii="Times New Roman" w:hAnsi="Times New Roman"/>
          <w:sz w:val="18"/>
          <w:szCs w:val="18"/>
        </w:rPr>
        <w:t>Botting</w:t>
      </w:r>
      <w:proofErr w:type="spellEnd"/>
      <w:r w:rsidRPr="00901267">
        <w:rPr>
          <w:rFonts w:ascii="Times New Roman" w:hAnsi="Times New Roman"/>
          <w:sz w:val="18"/>
          <w:szCs w:val="18"/>
        </w:rPr>
        <w:t xml:space="preserve">, H.G., </w:t>
      </w:r>
      <w:proofErr w:type="spellStart"/>
      <w:r w:rsidRPr="00901267">
        <w:rPr>
          <w:rFonts w:ascii="Times New Roman" w:hAnsi="Times New Roman"/>
          <w:sz w:val="18"/>
          <w:szCs w:val="18"/>
        </w:rPr>
        <w:t>Plouffe</w:t>
      </w:r>
      <w:proofErr w:type="spellEnd"/>
      <w:r w:rsidRPr="00901267">
        <w:rPr>
          <w:rFonts w:ascii="Times New Roman" w:hAnsi="Times New Roman"/>
          <w:sz w:val="18"/>
          <w:szCs w:val="18"/>
        </w:rPr>
        <w:t xml:space="preserve">, L.J., </w:t>
      </w:r>
      <w:proofErr w:type="spellStart"/>
      <w:r w:rsidRPr="00901267">
        <w:rPr>
          <w:rFonts w:ascii="Times New Roman" w:hAnsi="Times New Roman"/>
          <w:sz w:val="18"/>
          <w:szCs w:val="18"/>
        </w:rPr>
        <w:t>Lampi</w:t>
      </w:r>
      <w:proofErr w:type="spellEnd"/>
      <w:r w:rsidRPr="00901267">
        <w:rPr>
          <w:rFonts w:ascii="Times New Roman" w:hAnsi="Times New Roman"/>
          <w:sz w:val="18"/>
          <w:szCs w:val="18"/>
        </w:rPr>
        <w:t xml:space="preserve">, B.J. 2002. Effects of dietary protein and fat on cholesterol and fat metabolism in rats. </w:t>
      </w:r>
      <w:proofErr w:type="spellStart"/>
      <w:r w:rsidRPr="00901267">
        <w:rPr>
          <w:rFonts w:ascii="Times New Roman" w:hAnsi="Times New Roman"/>
          <w:sz w:val="18"/>
          <w:szCs w:val="18"/>
        </w:rPr>
        <w:t>Nutr</w:t>
      </w:r>
      <w:proofErr w:type="spellEnd"/>
      <w:r w:rsidRPr="00901267">
        <w:rPr>
          <w:rFonts w:ascii="Times New Roman" w:hAnsi="Times New Roman"/>
          <w:sz w:val="18"/>
          <w:szCs w:val="18"/>
        </w:rPr>
        <w:t>. Res. 22: 297–311.</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Lacko</w:t>
      </w:r>
      <w:proofErr w:type="spellEnd"/>
      <w:r w:rsidRPr="00901267">
        <w:rPr>
          <w:rFonts w:ascii="Times New Roman" w:hAnsi="Times New Roman"/>
          <w:sz w:val="18"/>
          <w:szCs w:val="18"/>
        </w:rPr>
        <w:t xml:space="preserve">, A.G., Barter, P., </w:t>
      </w:r>
      <w:proofErr w:type="spellStart"/>
      <w:r w:rsidRPr="00901267">
        <w:rPr>
          <w:rFonts w:ascii="Times New Roman" w:hAnsi="Times New Roman"/>
          <w:sz w:val="18"/>
          <w:szCs w:val="18"/>
        </w:rPr>
        <w:t>Ehnholm</w:t>
      </w:r>
      <w:proofErr w:type="spellEnd"/>
      <w:r w:rsidRPr="00901267">
        <w:rPr>
          <w:rFonts w:ascii="Times New Roman" w:hAnsi="Times New Roman"/>
          <w:sz w:val="18"/>
          <w:szCs w:val="18"/>
        </w:rPr>
        <w:t xml:space="preserve">, C. and Van </w:t>
      </w:r>
      <w:proofErr w:type="spellStart"/>
      <w:r w:rsidRPr="00901267">
        <w:rPr>
          <w:rFonts w:ascii="Times New Roman" w:hAnsi="Times New Roman"/>
          <w:sz w:val="18"/>
          <w:szCs w:val="18"/>
        </w:rPr>
        <w:t>Tol</w:t>
      </w:r>
      <w:proofErr w:type="spellEnd"/>
      <w:r w:rsidRPr="00901267">
        <w:rPr>
          <w:rFonts w:ascii="Times New Roman" w:hAnsi="Times New Roman"/>
          <w:sz w:val="18"/>
          <w:szCs w:val="18"/>
        </w:rPr>
        <w:t>, A. (2000). An international symposium on basic aspects of HDL metabolism and disease prevention. J. Lipid Res. 41, 1695-1699.</w:t>
      </w:r>
    </w:p>
    <w:p w:rsidR="00DB6DC1" w:rsidRPr="00901267" w:rsidRDefault="00DB6DC1" w:rsidP="0057363D">
      <w:pPr>
        <w:pStyle w:val="ListParagraph"/>
        <w:numPr>
          <w:ilvl w:val="0"/>
          <w:numId w:val="1"/>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Patsch</w:t>
      </w:r>
      <w:proofErr w:type="spellEnd"/>
      <w:r w:rsidRPr="00901267">
        <w:rPr>
          <w:rFonts w:ascii="Times New Roman" w:hAnsi="Times New Roman"/>
          <w:sz w:val="18"/>
          <w:szCs w:val="18"/>
        </w:rPr>
        <w:t xml:space="preserve">, J.R. (1993). Plasma triglycerides and high-density lipoprotein. In: </w:t>
      </w:r>
      <w:proofErr w:type="spellStart"/>
      <w:r w:rsidRPr="00901267">
        <w:rPr>
          <w:rFonts w:ascii="Times New Roman" w:hAnsi="Times New Roman"/>
          <w:sz w:val="18"/>
          <w:szCs w:val="18"/>
        </w:rPr>
        <w:t>Catapano</w:t>
      </w:r>
      <w:proofErr w:type="spellEnd"/>
      <w:r w:rsidRPr="00901267">
        <w:rPr>
          <w:rFonts w:ascii="Times New Roman" w:hAnsi="Times New Roman"/>
          <w:sz w:val="18"/>
          <w:szCs w:val="18"/>
        </w:rPr>
        <w:t xml:space="preserve">, A.I., Bernini, F., </w:t>
      </w:r>
      <w:proofErr w:type="spellStart"/>
      <w:r w:rsidRPr="00901267">
        <w:rPr>
          <w:rFonts w:ascii="Times New Roman" w:hAnsi="Times New Roman"/>
          <w:sz w:val="18"/>
          <w:szCs w:val="18"/>
        </w:rPr>
        <w:t>Corsini</w:t>
      </w:r>
      <w:proofErr w:type="spellEnd"/>
      <w:r w:rsidRPr="00901267">
        <w:rPr>
          <w:rFonts w:ascii="Times New Roman" w:hAnsi="Times New Roman"/>
          <w:sz w:val="18"/>
          <w:szCs w:val="18"/>
        </w:rPr>
        <w:t>, A. (Eds.), High-density Lipoprotein: Physiopathology and Clinical Relevance. Raven Press Ltd., New York, p. 139</w:t>
      </w:r>
      <w:r w:rsidR="0057363D" w:rsidRPr="00901267">
        <w:rPr>
          <w:rFonts w:ascii="Times New Roman" w:hAnsi="Times New Roman"/>
          <w:sz w:val="18"/>
          <w:szCs w:val="18"/>
        </w:rPr>
        <w:t>.</w:t>
      </w:r>
    </w:p>
    <w:p w:rsidR="00DB6DC1" w:rsidRPr="00901267" w:rsidRDefault="00DB6DC1" w:rsidP="0057363D">
      <w:pPr>
        <w:pStyle w:val="ListParagraph"/>
        <w:numPr>
          <w:ilvl w:val="0"/>
          <w:numId w:val="1"/>
        </w:numPr>
        <w:adjustRightInd w:val="0"/>
        <w:snapToGrid w:val="0"/>
        <w:spacing w:after="0" w:line="240" w:lineRule="auto"/>
        <w:ind w:left="450" w:hanging="450"/>
        <w:contextualSpacing w:val="0"/>
        <w:jc w:val="both"/>
        <w:rPr>
          <w:rFonts w:ascii="Times New Roman" w:eastAsia="Times New Roman" w:hAnsi="Times New Roman"/>
          <w:sz w:val="18"/>
          <w:szCs w:val="18"/>
        </w:rPr>
      </w:pPr>
      <w:proofErr w:type="spellStart"/>
      <w:r w:rsidRPr="00901267">
        <w:rPr>
          <w:rFonts w:ascii="Times New Roman" w:eastAsia="Times New Roman" w:hAnsi="Times New Roman"/>
          <w:sz w:val="18"/>
          <w:szCs w:val="18"/>
        </w:rPr>
        <w:t>Ochsendorf</w:t>
      </w:r>
      <w:proofErr w:type="spellEnd"/>
      <w:r w:rsidRPr="00901267">
        <w:rPr>
          <w:rFonts w:ascii="Times New Roman" w:eastAsia="Times New Roman" w:hAnsi="Times New Roman"/>
          <w:sz w:val="18"/>
          <w:szCs w:val="18"/>
        </w:rPr>
        <w:t>,</w:t>
      </w:r>
      <w:r w:rsidR="0057363D" w:rsidRPr="00901267">
        <w:rPr>
          <w:rFonts w:ascii="Times New Roman" w:eastAsia="Times New Roman" w:hAnsi="Times New Roman"/>
          <w:sz w:val="18"/>
          <w:szCs w:val="18"/>
        </w:rPr>
        <w:t xml:space="preserve"> </w:t>
      </w:r>
      <w:r w:rsidRPr="00901267">
        <w:rPr>
          <w:rFonts w:ascii="Times New Roman" w:eastAsia="Times New Roman" w:hAnsi="Times New Roman"/>
          <w:sz w:val="18"/>
          <w:szCs w:val="18"/>
        </w:rPr>
        <w:t xml:space="preserve">F.R. (1999). Infections in the male genital tract and reactive oxygen species. Human </w:t>
      </w:r>
      <w:proofErr w:type="spellStart"/>
      <w:r w:rsidRPr="00901267">
        <w:rPr>
          <w:rFonts w:ascii="Times New Roman" w:eastAsia="Times New Roman" w:hAnsi="Times New Roman"/>
          <w:sz w:val="18"/>
          <w:szCs w:val="18"/>
        </w:rPr>
        <w:t>Reprod</w:t>
      </w:r>
      <w:proofErr w:type="spellEnd"/>
      <w:r w:rsidR="0057363D" w:rsidRPr="00901267">
        <w:rPr>
          <w:rFonts w:ascii="Times New Roman" w:eastAsia="Times New Roman" w:hAnsi="Times New Roman"/>
          <w:sz w:val="18"/>
          <w:szCs w:val="18"/>
        </w:rPr>
        <w:t xml:space="preserve"> </w:t>
      </w:r>
      <w:r w:rsidRPr="00901267">
        <w:rPr>
          <w:rFonts w:ascii="Times New Roman" w:eastAsia="Times New Roman" w:hAnsi="Times New Roman"/>
          <w:sz w:val="18"/>
          <w:szCs w:val="18"/>
        </w:rPr>
        <w:t>Update 5: 399-420.</w:t>
      </w:r>
    </w:p>
    <w:p w:rsidR="0057363D" w:rsidRPr="00901267" w:rsidRDefault="00DB6DC1" w:rsidP="0057363D">
      <w:pPr>
        <w:pStyle w:val="ListParagraph"/>
        <w:numPr>
          <w:ilvl w:val="0"/>
          <w:numId w:val="2"/>
        </w:numPr>
        <w:autoSpaceDE w:val="0"/>
        <w:autoSpaceDN w:val="0"/>
        <w:adjustRightInd w:val="0"/>
        <w:snapToGrid w:val="0"/>
        <w:spacing w:after="0" w:line="240" w:lineRule="auto"/>
        <w:ind w:left="450" w:hanging="450"/>
        <w:contextualSpacing w:val="0"/>
        <w:jc w:val="both"/>
        <w:rPr>
          <w:rFonts w:ascii="Times New Roman" w:hAnsi="Times New Roman"/>
          <w:i/>
          <w:sz w:val="18"/>
          <w:szCs w:val="18"/>
        </w:rPr>
      </w:pPr>
      <w:proofErr w:type="spellStart"/>
      <w:r w:rsidRPr="00901267">
        <w:rPr>
          <w:rFonts w:ascii="Times New Roman" w:hAnsi="Times New Roman"/>
          <w:sz w:val="18"/>
          <w:szCs w:val="18"/>
        </w:rPr>
        <w:t>Rahman</w:t>
      </w:r>
      <w:proofErr w:type="spellEnd"/>
      <w:r w:rsidRPr="00901267">
        <w:rPr>
          <w:rFonts w:ascii="Times New Roman" w:hAnsi="Times New Roman"/>
          <w:sz w:val="18"/>
          <w:szCs w:val="18"/>
        </w:rPr>
        <w:t xml:space="preserve">, M.F., </w:t>
      </w:r>
      <w:proofErr w:type="spellStart"/>
      <w:r w:rsidRPr="00901267">
        <w:rPr>
          <w:rFonts w:ascii="Times New Roman" w:hAnsi="Times New Roman"/>
          <w:sz w:val="18"/>
          <w:szCs w:val="18"/>
        </w:rPr>
        <w:t>Siddiqui</w:t>
      </w:r>
      <w:proofErr w:type="spellEnd"/>
      <w:r w:rsidRPr="00901267">
        <w:rPr>
          <w:rFonts w:ascii="Times New Roman" w:hAnsi="Times New Roman"/>
          <w:sz w:val="18"/>
          <w:szCs w:val="18"/>
        </w:rPr>
        <w:t xml:space="preserve">, M.K., </w:t>
      </w:r>
      <w:proofErr w:type="spellStart"/>
      <w:r w:rsidRPr="00901267">
        <w:rPr>
          <w:rFonts w:ascii="Times New Roman" w:hAnsi="Times New Roman"/>
          <w:sz w:val="18"/>
          <w:szCs w:val="18"/>
        </w:rPr>
        <w:t>Jamil</w:t>
      </w:r>
      <w:proofErr w:type="spellEnd"/>
      <w:r w:rsidRPr="00901267">
        <w:rPr>
          <w:rFonts w:ascii="Times New Roman" w:hAnsi="Times New Roman"/>
          <w:sz w:val="18"/>
          <w:szCs w:val="18"/>
        </w:rPr>
        <w:t xml:space="preserve">, K. (2001). Effects of </w:t>
      </w:r>
      <w:proofErr w:type="spellStart"/>
      <w:r w:rsidRPr="00901267">
        <w:rPr>
          <w:rFonts w:ascii="Times New Roman" w:hAnsi="Times New Roman"/>
          <w:sz w:val="18"/>
          <w:szCs w:val="18"/>
        </w:rPr>
        <w:t>vepacide</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Azadirachta</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indica</w:t>
      </w:r>
      <w:proofErr w:type="spellEnd"/>
      <w:r w:rsidRPr="00901267">
        <w:rPr>
          <w:rFonts w:ascii="Times New Roman" w:hAnsi="Times New Roman"/>
          <w:sz w:val="18"/>
          <w:szCs w:val="18"/>
        </w:rPr>
        <w:t xml:space="preserve">) on </w:t>
      </w:r>
      <w:proofErr w:type="spellStart"/>
      <w:r w:rsidRPr="00901267">
        <w:rPr>
          <w:rFonts w:ascii="Times New Roman" w:hAnsi="Times New Roman"/>
          <w:sz w:val="18"/>
          <w:szCs w:val="18"/>
        </w:rPr>
        <w:t>aspartate</w:t>
      </w:r>
      <w:proofErr w:type="spellEnd"/>
      <w:r w:rsidRPr="00901267">
        <w:rPr>
          <w:rFonts w:ascii="Times New Roman" w:hAnsi="Times New Roman"/>
          <w:sz w:val="18"/>
          <w:szCs w:val="18"/>
        </w:rPr>
        <w:t xml:space="preserve"> and </w:t>
      </w:r>
      <w:proofErr w:type="spellStart"/>
      <w:r w:rsidRPr="00901267">
        <w:rPr>
          <w:rFonts w:ascii="Times New Roman" w:hAnsi="Times New Roman"/>
          <w:sz w:val="18"/>
          <w:szCs w:val="18"/>
        </w:rPr>
        <w:t>alanine</w:t>
      </w:r>
      <w:proofErr w:type="spellEnd"/>
      <w:r w:rsidRPr="00901267">
        <w:rPr>
          <w:rFonts w:ascii="Times New Roman" w:hAnsi="Times New Roman"/>
          <w:sz w:val="18"/>
          <w:szCs w:val="18"/>
        </w:rPr>
        <w:t xml:space="preserve"> </w:t>
      </w:r>
      <w:proofErr w:type="spellStart"/>
      <w:r w:rsidRPr="00901267">
        <w:rPr>
          <w:rFonts w:ascii="Times New Roman" w:hAnsi="Times New Roman"/>
          <w:sz w:val="18"/>
          <w:szCs w:val="18"/>
        </w:rPr>
        <w:t>aminotransferase</w:t>
      </w:r>
      <w:proofErr w:type="spellEnd"/>
      <w:r w:rsidRPr="00901267">
        <w:rPr>
          <w:rFonts w:ascii="Times New Roman" w:hAnsi="Times New Roman"/>
          <w:sz w:val="18"/>
          <w:szCs w:val="18"/>
        </w:rPr>
        <w:t xml:space="preserve"> profiles in sub-chronic study with rats. Hum. Exp. </w:t>
      </w:r>
      <w:proofErr w:type="spellStart"/>
      <w:r w:rsidRPr="00901267">
        <w:rPr>
          <w:rFonts w:ascii="Times New Roman" w:hAnsi="Times New Roman"/>
          <w:sz w:val="18"/>
          <w:szCs w:val="18"/>
        </w:rPr>
        <w:t>Toxicol</w:t>
      </w:r>
      <w:proofErr w:type="spellEnd"/>
      <w:r w:rsidRPr="00901267">
        <w:rPr>
          <w:rFonts w:ascii="Times New Roman" w:hAnsi="Times New Roman"/>
          <w:sz w:val="18"/>
          <w:szCs w:val="18"/>
        </w:rPr>
        <w:t>. 20: 243–249.</w:t>
      </w:r>
    </w:p>
    <w:p w:rsidR="00DB6DC1" w:rsidRPr="00901267" w:rsidRDefault="00DB6DC1" w:rsidP="0057363D">
      <w:pPr>
        <w:pStyle w:val="ListParagraph"/>
        <w:numPr>
          <w:ilvl w:val="0"/>
          <w:numId w:val="2"/>
        </w:numPr>
        <w:autoSpaceDE w:val="0"/>
        <w:autoSpaceDN w:val="0"/>
        <w:adjustRightInd w:val="0"/>
        <w:snapToGrid w:val="0"/>
        <w:spacing w:after="0" w:line="240" w:lineRule="auto"/>
        <w:ind w:left="450" w:hanging="450"/>
        <w:contextualSpacing w:val="0"/>
        <w:jc w:val="both"/>
        <w:rPr>
          <w:rFonts w:ascii="Times New Roman" w:hAnsi="Times New Roman"/>
          <w:sz w:val="18"/>
          <w:szCs w:val="18"/>
        </w:rPr>
      </w:pPr>
      <w:proofErr w:type="spellStart"/>
      <w:r w:rsidRPr="00901267">
        <w:rPr>
          <w:rFonts w:ascii="Times New Roman" w:hAnsi="Times New Roman"/>
          <w:sz w:val="18"/>
          <w:szCs w:val="18"/>
        </w:rPr>
        <w:t>Shahjahan</w:t>
      </w:r>
      <w:proofErr w:type="spellEnd"/>
      <w:r w:rsidRPr="00901267">
        <w:rPr>
          <w:rFonts w:ascii="Times New Roman" w:hAnsi="Times New Roman"/>
          <w:sz w:val="18"/>
          <w:szCs w:val="18"/>
        </w:rPr>
        <w:t xml:space="preserve">, M., </w:t>
      </w:r>
      <w:proofErr w:type="spellStart"/>
      <w:r w:rsidRPr="00901267">
        <w:rPr>
          <w:rFonts w:ascii="Times New Roman" w:hAnsi="Times New Roman"/>
          <w:sz w:val="18"/>
          <w:szCs w:val="18"/>
        </w:rPr>
        <w:t>Sabitha</w:t>
      </w:r>
      <w:proofErr w:type="spellEnd"/>
      <w:r w:rsidRPr="00901267">
        <w:rPr>
          <w:rFonts w:ascii="Times New Roman" w:hAnsi="Times New Roman"/>
          <w:sz w:val="18"/>
          <w:szCs w:val="18"/>
        </w:rPr>
        <w:t xml:space="preserve">, K.E., </w:t>
      </w:r>
      <w:proofErr w:type="spellStart"/>
      <w:r w:rsidRPr="00901267">
        <w:rPr>
          <w:rFonts w:ascii="Times New Roman" w:hAnsi="Times New Roman"/>
          <w:sz w:val="18"/>
          <w:szCs w:val="18"/>
        </w:rPr>
        <w:t>Jamu</w:t>
      </w:r>
      <w:proofErr w:type="spellEnd"/>
      <w:r w:rsidRPr="00901267">
        <w:rPr>
          <w:rFonts w:ascii="Times New Roman" w:hAnsi="Times New Roman"/>
          <w:sz w:val="18"/>
          <w:szCs w:val="18"/>
        </w:rPr>
        <w:t xml:space="preserve">, M., </w:t>
      </w:r>
      <w:proofErr w:type="spellStart"/>
      <w:r w:rsidRPr="00901267">
        <w:rPr>
          <w:rFonts w:ascii="Times New Roman" w:hAnsi="Times New Roman"/>
          <w:sz w:val="18"/>
          <w:szCs w:val="18"/>
        </w:rPr>
        <w:t>Shyamala</w:t>
      </w:r>
      <w:proofErr w:type="spellEnd"/>
      <w:r w:rsidRPr="00901267">
        <w:rPr>
          <w:rFonts w:ascii="Times New Roman" w:hAnsi="Times New Roman"/>
          <w:sz w:val="18"/>
          <w:szCs w:val="18"/>
        </w:rPr>
        <w:t xml:space="preserve">-Devi, C.S. (2004). Effect of </w:t>
      </w:r>
      <w:proofErr w:type="spellStart"/>
      <w:r w:rsidRPr="00901267">
        <w:rPr>
          <w:rFonts w:ascii="Times New Roman" w:hAnsi="Times New Roman"/>
          <w:i/>
          <w:sz w:val="18"/>
          <w:szCs w:val="18"/>
        </w:rPr>
        <w:t>Solanum</w:t>
      </w:r>
      <w:proofErr w:type="spellEnd"/>
      <w:r w:rsidRPr="00901267">
        <w:rPr>
          <w:rFonts w:ascii="Times New Roman" w:hAnsi="Times New Roman"/>
          <w:i/>
          <w:sz w:val="18"/>
          <w:szCs w:val="18"/>
        </w:rPr>
        <w:t xml:space="preserve"> </w:t>
      </w:r>
      <w:proofErr w:type="spellStart"/>
      <w:r w:rsidRPr="00901267">
        <w:rPr>
          <w:rFonts w:ascii="Times New Roman" w:hAnsi="Times New Roman"/>
          <w:i/>
          <w:sz w:val="18"/>
          <w:szCs w:val="18"/>
        </w:rPr>
        <w:t>trilobatum</w:t>
      </w:r>
      <w:proofErr w:type="spellEnd"/>
      <w:r w:rsidRPr="00901267">
        <w:rPr>
          <w:rFonts w:ascii="Times New Roman" w:hAnsi="Times New Roman"/>
          <w:sz w:val="18"/>
          <w:szCs w:val="18"/>
        </w:rPr>
        <w:t xml:space="preserve"> against carbon tetrachloride induced hepatic damage in albino rats. Indian J.</w:t>
      </w:r>
      <w:r w:rsidR="0057363D" w:rsidRPr="00901267">
        <w:rPr>
          <w:rFonts w:ascii="Times New Roman" w:hAnsi="Times New Roman"/>
          <w:i/>
          <w:sz w:val="18"/>
          <w:szCs w:val="18"/>
        </w:rPr>
        <w:t xml:space="preserve"> </w:t>
      </w:r>
      <w:r w:rsidRPr="00901267">
        <w:rPr>
          <w:rFonts w:ascii="Times New Roman" w:hAnsi="Times New Roman"/>
          <w:sz w:val="18"/>
          <w:szCs w:val="18"/>
        </w:rPr>
        <w:t>Med. Res. 120: 194–198</w:t>
      </w:r>
      <w:r w:rsidR="0057363D" w:rsidRPr="00901267">
        <w:rPr>
          <w:rFonts w:ascii="Times New Roman" w:hAnsi="Times New Roman"/>
          <w:sz w:val="18"/>
          <w:szCs w:val="18"/>
        </w:rPr>
        <w:t xml:space="preserve">. </w:t>
      </w:r>
    </w:p>
    <w:p w:rsidR="00DB6DC1" w:rsidRPr="0057363D" w:rsidRDefault="00DB6DC1" w:rsidP="0057363D">
      <w:pPr>
        <w:adjustRightInd w:val="0"/>
        <w:snapToGrid w:val="0"/>
        <w:jc w:val="both"/>
        <w:rPr>
          <w:sz w:val="20"/>
          <w:szCs w:val="20"/>
        </w:rPr>
        <w:sectPr w:rsidR="00DB6DC1" w:rsidRPr="0057363D" w:rsidSect="00901267">
          <w:footnotePr>
            <w:pos w:val="beneathText"/>
          </w:footnotePr>
          <w:type w:val="continuous"/>
          <w:pgSz w:w="12240" w:h="15840" w:code="1"/>
          <w:pgMar w:top="1440" w:right="1440" w:bottom="1440" w:left="1440" w:header="720" w:footer="720" w:gutter="0"/>
          <w:cols w:num="2" w:space="600"/>
          <w:docGrid w:linePitch="360"/>
        </w:sectPr>
      </w:pPr>
    </w:p>
    <w:p w:rsidR="00DB6DC1" w:rsidRPr="0057363D" w:rsidRDefault="00DB6DC1" w:rsidP="0057363D">
      <w:pPr>
        <w:adjustRightInd w:val="0"/>
        <w:snapToGrid w:val="0"/>
        <w:jc w:val="both"/>
        <w:rPr>
          <w:sz w:val="20"/>
          <w:szCs w:val="20"/>
        </w:rPr>
      </w:pPr>
    </w:p>
    <w:p w:rsidR="00DB6DC1" w:rsidRPr="0057363D" w:rsidRDefault="00DB6DC1" w:rsidP="0057363D">
      <w:pPr>
        <w:adjustRightInd w:val="0"/>
        <w:snapToGrid w:val="0"/>
        <w:jc w:val="both"/>
        <w:rPr>
          <w:sz w:val="20"/>
          <w:szCs w:val="20"/>
        </w:rPr>
      </w:pPr>
      <w:r w:rsidRPr="0057363D">
        <w:rPr>
          <w:rFonts w:hint="eastAsia"/>
          <w:sz w:val="20"/>
          <w:szCs w:val="20"/>
          <w:lang w:eastAsia="zh-CN"/>
        </w:rPr>
        <w:t>9</w:t>
      </w:r>
      <w:r w:rsidRPr="0057363D">
        <w:rPr>
          <w:sz w:val="20"/>
          <w:szCs w:val="20"/>
        </w:rPr>
        <w:t>/</w:t>
      </w:r>
      <w:r w:rsidRPr="0057363D">
        <w:rPr>
          <w:rFonts w:hint="eastAsia"/>
          <w:sz w:val="20"/>
          <w:szCs w:val="20"/>
          <w:lang w:eastAsia="zh-CN"/>
        </w:rPr>
        <w:t>6</w:t>
      </w:r>
      <w:r w:rsidRPr="0057363D">
        <w:rPr>
          <w:sz w:val="20"/>
          <w:szCs w:val="20"/>
        </w:rPr>
        <w:t>/201</w:t>
      </w:r>
      <w:r w:rsidR="00901267">
        <w:rPr>
          <w:sz w:val="20"/>
          <w:szCs w:val="20"/>
        </w:rPr>
        <w:t>3</w:t>
      </w:r>
    </w:p>
    <w:sectPr w:rsidR="00DB6DC1" w:rsidRPr="0057363D" w:rsidSect="0057363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01" w:rsidRDefault="008A1001" w:rsidP="00DB6DC1">
      <w:r>
        <w:separator/>
      </w:r>
    </w:p>
  </w:endnote>
  <w:endnote w:type="continuationSeparator" w:id="0">
    <w:p w:rsidR="008A1001" w:rsidRDefault="008A1001" w:rsidP="00DB6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Ten-Roman">
    <w:altName w:val="Arial Unicode MS"/>
    <w:panose1 w:val="00000000000000000000"/>
    <w:charset w:val="81"/>
    <w:family w:val="auto"/>
    <w:notTrueType/>
    <w:pitch w:val="default"/>
    <w:sig w:usb0="00000003" w:usb1="09060000" w:usb2="00000010" w:usb3="00000000" w:csb0="00080001" w:csb1="00000000"/>
  </w:font>
  <w:font w:name="SymbolAZV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CD" w:rsidRDefault="00510175" w:rsidP="002513CD">
    <w:pPr>
      <w:pStyle w:val="Footer"/>
      <w:framePr w:wrap="around" w:vAnchor="text" w:hAnchor="margin" w:xAlign="center" w:y="1"/>
      <w:rPr>
        <w:rStyle w:val="PageNumber"/>
      </w:rPr>
    </w:pPr>
    <w:r>
      <w:rPr>
        <w:rStyle w:val="PageNumber"/>
      </w:rPr>
      <w:fldChar w:fldCharType="begin"/>
    </w:r>
    <w:r w:rsidR="002513CD">
      <w:rPr>
        <w:rStyle w:val="PageNumber"/>
      </w:rPr>
      <w:instrText xml:space="preserve">PAGE  </w:instrText>
    </w:r>
    <w:r>
      <w:rPr>
        <w:rStyle w:val="PageNumber"/>
      </w:rPr>
      <w:fldChar w:fldCharType="end"/>
    </w:r>
  </w:p>
  <w:p w:rsidR="002513CD" w:rsidRDefault="002513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CD" w:rsidRPr="00B3167C" w:rsidRDefault="00510175" w:rsidP="002513CD">
    <w:pPr>
      <w:pStyle w:val="Footer"/>
      <w:framePr w:wrap="around" w:vAnchor="text" w:hAnchor="margin" w:xAlign="center" w:y="1"/>
      <w:rPr>
        <w:rStyle w:val="PageNumber"/>
        <w:sz w:val="20"/>
        <w:szCs w:val="20"/>
      </w:rPr>
    </w:pPr>
    <w:r w:rsidRPr="00B3167C">
      <w:rPr>
        <w:rStyle w:val="PageNumber"/>
        <w:sz w:val="20"/>
        <w:szCs w:val="20"/>
      </w:rPr>
      <w:fldChar w:fldCharType="begin"/>
    </w:r>
    <w:r w:rsidR="002513CD" w:rsidRPr="00B3167C">
      <w:rPr>
        <w:rStyle w:val="PageNumber"/>
        <w:sz w:val="20"/>
        <w:szCs w:val="20"/>
      </w:rPr>
      <w:instrText xml:space="preserve">PAGE  </w:instrText>
    </w:r>
    <w:r w:rsidRPr="00B3167C">
      <w:rPr>
        <w:rStyle w:val="PageNumber"/>
        <w:sz w:val="20"/>
        <w:szCs w:val="20"/>
      </w:rPr>
      <w:fldChar w:fldCharType="separate"/>
    </w:r>
    <w:r w:rsidR="007A3C61">
      <w:rPr>
        <w:rStyle w:val="PageNumber"/>
        <w:noProof/>
        <w:sz w:val="20"/>
        <w:szCs w:val="20"/>
      </w:rPr>
      <w:t>115</w:t>
    </w:r>
    <w:r w:rsidRPr="00B3167C">
      <w:rPr>
        <w:rStyle w:val="PageNumber"/>
        <w:sz w:val="20"/>
        <w:szCs w:val="20"/>
      </w:rPr>
      <w:fldChar w:fldCharType="end"/>
    </w:r>
  </w:p>
  <w:p w:rsidR="002513CD" w:rsidRDefault="00510175" w:rsidP="002513CD">
    <w:pPr>
      <w:jc w:val="center"/>
    </w:pPr>
    <w:hyperlink r:id="rId1" w:history="1">
      <w:r w:rsidR="002513CD" w:rsidRPr="0093330D">
        <w:rPr>
          <w:rStyle w:val="Hyperlink"/>
          <w:rFonts w:cs="Calibri"/>
          <w:sz w:val="20"/>
          <w:szCs w:val="20"/>
        </w:rPr>
        <w:t>http://www.sciencepub.net</w:t>
      </w:r>
      <w:r w:rsidR="002513CD" w:rsidRPr="0093330D">
        <w:rPr>
          <w:rStyle w:val="Hyperlink"/>
          <w:sz w:val="20"/>
          <w:szCs w:val="20"/>
        </w:rPr>
        <w:t>/newyork</w:t>
      </w:r>
    </w:hyperlink>
    <w:r w:rsidR="002513CD">
      <w:rPr>
        <w:bCs/>
        <w:sz w:val="20"/>
      </w:rPr>
      <w:t xml:space="preserve"> </w:t>
    </w:r>
    <w:r w:rsidR="002513CD">
      <w:rPr>
        <w:rFonts w:hint="eastAsia"/>
        <w:bCs/>
        <w:sz w:val="20"/>
      </w:rPr>
      <w:t xml:space="preserve">  </w:t>
    </w:r>
    <w:r w:rsidR="002513CD">
      <w:rPr>
        <w:bCs/>
        <w:sz w:val="20"/>
      </w:rPr>
      <w:t xml:space="preserve">  </w:t>
    </w:r>
    <w:r w:rsidR="002513CD">
      <w:rPr>
        <w:rFonts w:hint="eastAsia"/>
        <w:bCs/>
        <w:sz w:val="20"/>
      </w:rPr>
      <w:t xml:space="preserve">                   </w:t>
    </w:r>
    <w:r w:rsidR="002513CD">
      <w:rPr>
        <w:bCs/>
        <w:sz w:val="20"/>
      </w:rPr>
      <w:tab/>
    </w:r>
    <w:r w:rsidR="002513CD">
      <w:rPr>
        <w:bCs/>
        <w:sz w:val="20"/>
      </w:rPr>
      <w:tab/>
    </w:r>
    <w:r w:rsidR="002513CD">
      <w:rPr>
        <w:bCs/>
        <w:sz w:val="20"/>
      </w:rPr>
      <w:tab/>
    </w:r>
    <w:r w:rsidR="002513CD">
      <w:rPr>
        <w:rFonts w:hint="eastAsia"/>
        <w:bCs/>
        <w:sz w:val="20"/>
      </w:rPr>
      <w:t xml:space="preserve">                   </w:t>
    </w:r>
    <w:bookmarkStart w:id="15" w:name="OLE_LINK12"/>
    <w:bookmarkStart w:id="16" w:name="OLE_LINK13"/>
    <w:r>
      <w:rPr>
        <w:bCs/>
        <w:sz w:val="20"/>
      </w:rPr>
      <w:fldChar w:fldCharType="begin"/>
    </w:r>
    <w:r w:rsidR="002513CD">
      <w:rPr>
        <w:bCs/>
        <w:sz w:val="20"/>
      </w:rPr>
      <w:instrText xml:space="preserve"> HYPERLINK "mailto:</w:instrText>
    </w:r>
    <w:r w:rsidR="002513CD" w:rsidRPr="00E84DAB">
      <w:rPr>
        <w:bCs/>
        <w:sz w:val="20"/>
      </w:rPr>
      <w:instrText>newyorksci@gmail.com</w:instrText>
    </w:r>
    <w:r w:rsidR="002513CD">
      <w:rPr>
        <w:bCs/>
        <w:sz w:val="20"/>
      </w:rPr>
      <w:instrText xml:space="preserve">" </w:instrText>
    </w:r>
    <w:r>
      <w:rPr>
        <w:bCs/>
        <w:sz w:val="20"/>
      </w:rPr>
      <w:fldChar w:fldCharType="separate"/>
    </w:r>
    <w:r w:rsidR="002513CD" w:rsidRPr="00261027">
      <w:rPr>
        <w:rStyle w:val="Hyperlink"/>
        <w:bCs/>
        <w:sz w:val="20"/>
      </w:rPr>
      <w:t>newyorksci@gmail.com</w:t>
    </w:r>
    <w:r>
      <w:rPr>
        <w:bCs/>
        <w:sz w:val="20"/>
      </w:rPr>
      <w:fldChar w:fldCharType="end"/>
    </w:r>
    <w:bookmarkEnd w:id="15"/>
    <w:bookmarkEnd w:id="1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01" w:rsidRDefault="008A1001" w:rsidP="00DB6DC1">
      <w:r>
        <w:separator/>
      </w:r>
    </w:p>
  </w:footnote>
  <w:footnote w:type="continuationSeparator" w:id="0">
    <w:p w:rsidR="008A1001" w:rsidRDefault="008A1001" w:rsidP="00DB6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CD" w:rsidRPr="004101AC" w:rsidRDefault="002513CD" w:rsidP="002513CD">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sidR="00DB6DC1">
      <w:rPr>
        <w:sz w:val="20"/>
      </w:rPr>
      <w:t>4</w:t>
    </w:r>
    <w:r w:rsidRPr="004101AC">
      <w:rPr>
        <w:sz w:val="20"/>
      </w:rPr>
      <w:t>;</w:t>
    </w:r>
    <w:r w:rsidR="00CA1668">
      <w:rPr>
        <w:sz w:val="20"/>
      </w:rPr>
      <w:t>7</w:t>
    </w:r>
    <w:r w:rsidRPr="004101AC">
      <w:rPr>
        <w:sz w:val="20"/>
      </w:rPr>
      <w:t>(</w:t>
    </w:r>
    <w:r w:rsidR="00CA1668">
      <w:rPr>
        <w:sz w:val="20"/>
      </w:rPr>
      <w:t>11</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2513CD" w:rsidRPr="00606CD7" w:rsidRDefault="002513CD" w:rsidP="002513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467CD"/>
    <w:multiLevelType w:val="hybridMultilevel"/>
    <w:tmpl w:val="C372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D1EF0"/>
    <w:multiLevelType w:val="hybridMultilevel"/>
    <w:tmpl w:val="0D3C1DD8"/>
    <w:lvl w:ilvl="0" w:tplc="0809000F">
      <w:start w:val="1"/>
      <w:numFmt w:val="decimal"/>
      <w:lvlText w:val="%1."/>
      <w:lvlJc w:val="left"/>
      <w:pPr>
        <w:ind w:left="1208" w:hanging="360"/>
      </w:pPr>
    </w:lvl>
    <w:lvl w:ilvl="1" w:tplc="08090019" w:tentative="1">
      <w:start w:val="1"/>
      <w:numFmt w:val="lowerLetter"/>
      <w:lvlText w:val="%2."/>
      <w:lvlJc w:val="left"/>
      <w:pPr>
        <w:ind w:left="1928" w:hanging="360"/>
      </w:pPr>
    </w:lvl>
    <w:lvl w:ilvl="2" w:tplc="0809001B" w:tentative="1">
      <w:start w:val="1"/>
      <w:numFmt w:val="lowerRoman"/>
      <w:lvlText w:val="%3."/>
      <w:lvlJc w:val="right"/>
      <w:pPr>
        <w:ind w:left="2648" w:hanging="180"/>
      </w:pPr>
    </w:lvl>
    <w:lvl w:ilvl="3" w:tplc="0809000F" w:tentative="1">
      <w:start w:val="1"/>
      <w:numFmt w:val="decimal"/>
      <w:lvlText w:val="%4."/>
      <w:lvlJc w:val="left"/>
      <w:pPr>
        <w:ind w:left="3368" w:hanging="360"/>
      </w:pPr>
    </w:lvl>
    <w:lvl w:ilvl="4" w:tplc="08090019" w:tentative="1">
      <w:start w:val="1"/>
      <w:numFmt w:val="lowerLetter"/>
      <w:lvlText w:val="%5."/>
      <w:lvlJc w:val="left"/>
      <w:pPr>
        <w:ind w:left="4088" w:hanging="360"/>
      </w:pPr>
    </w:lvl>
    <w:lvl w:ilvl="5" w:tplc="0809001B" w:tentative="1">
      <w:start w:val="1"/>
      <w:numFmt w:val="lowerRoman"/>
      <w:lvlText w:val="%6."/>
      <w:lvlJc w:val="right"/>
      <w:pPr>
        <w:ind w:left="4808" w:hanging="180"/>
      </w:pPr>
    </w:lvl>
    <w:lvl w:ilvl="6" w:tplc="0809000F" w:tentative="1">
      <w:start w:val="1"/>
      <w:numFmt w:val="decimal"/>
      <w:lvlText w:val="%7."/>
      <w:lvlJc w:val="left"/>
      <w:pPr>
        <w:ind w:left="5528" w:hanging="360"/>
      </w:pPr>
    </w:lvl>
    <w:lvl w:ilvl="7" w:tplc="08090019" w:tentative="1">
      <w:start w:val="1"/>
      <w:numFmt w:val="lowerLetter"/>
      <w:lvlText w:val="%8."/>
      <w:lvlJc w:val="left"/>
      <w:pPr>
        <w:ind w:left="6248" w:hanging="360"/>
      </w:pPr>
    </w:lvl>
    <w:lvl w:ilvl="8" w:tplc="0809001B" w:tentative="1">
      <w:start w:val="1"/>
      <w:numFmt w:val="lowerRoman"/>
      <w:lvlText w:val="%9."/>
      <w:lvlJc w:val="right"/>
      <w:pPr>
        <w:ind w:left="6968" w:hanging="180"/>
      </w:pPr>
    </w:lvl>
  </w:abstractNum>
  <w:abstractNum w:abstractNumId="2">
    <w:nsid w:val="6F376A82"/>
    <w:multiLevelType w:val="hybridMultilevel"/>
    <w:tmpl w:val="4D9CC030"/>
    <w:lvl w:ilvl="0" w:tplc="B32E608C">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pos w:val="beneathText"/>
    <w:footnote w:id="-1"/>
    <w:footnote w:id="0"/>
  </w:footnotePr>
  <w:endnotePr>
    <w:endnote w:id="-1"/>
    <w:endnote w:id="0"/>
  </w:endnotePr>
  <w:compat>
    <w:useFELayout/>
  </w:compat>
  <w:rsids>
    <w:rsidRoot w:val="00DB6DC1"/>
    <w:rsid w:val="000B00AE"/>
    <w:rsid w:val="000C1B83"/>
    <w:rsid w:val="0013126E"/>
    <w:rsid w:val="002513CD"/>
    <w:rsid w:val="00321FAA"/>
    <w:rsid w:val="00434C14"/>
    <w:rsid w:val="004F7663"/>
    <w:rsid w:val="00510175"/>
    <w:rsid w:val="005657CA"/>
    <w:rsid w:val="0056712B"/>
    <w:rsid w:val="0057363D"/>
    <w:rsid w:val="005E1D7B"/>
    <w:rsid w:val="00727FA9"/>
    <w:rsid w:val="007A3C61"/>
    <w:rsid w:val="007D5400"/>
    <w:rsid w:val="008A1001"/>
    <w:rsid w:val="00901267"/>
    <w:rsid w:val="00C521C5"/>
    <w:rsid w:val="00CA1668"/>
    <w:rsid w:val="00CE3ABE"/>
    <w:rsid w:val="00DB6DC1"/>
    <w:rsid w:val="00EC3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C1"/>
    <w:pPr>
      <w:suppressAutoHyphens/>
    </w:pPr>
    <w:rPr>
      <w:rFonts w:ascii="Times New Roman" w:eastAsia="宋体" w:hAnsi="Times New Roman"/>
      <w:sz w:val="24"/>
      <w:szCs w:val="24"/>
      <w:lang w:eastAsia="ar-SA"/>
    </w:rPr>
  </w:style>
  <w:style w:type="paragraph" w:styleId="Heading1">
    <w:name w:val="heading 1"/>
    <w:basedOn w:val="Normal"/>
    <w:next w:val="Normal"/>
    <w:link w:val="Heading1Char"/>
    <w:uiPriority w:val="9"/>
    <w:qFormat/>
    <w:rsid w:val="00DB6DC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B6DC1"/>
  </w:style>
  <w:style w:type="character" w:styleId="Hyperlink">
    <w:name w:val="Hyperlink"/>
    <w:uiPriority w:val="99"/>
    <w:rsid w:val="00DB6DC1"/>
    <w:rPr>
      <w:color w:val="0000FF"/>
      <w:u w:val="single"/>
    </w:rPr>
  </w:style>
  <w:style w:type="paragraph" w:styleId="Header">
    <w:name w:val="header"/>
    <w:basedOn w:val="Normal"/>
    <w:next w:val="Heading1"/>
    <w:link w:val="HeaderChar"/>
    <w:uiPriority w:val="99"/>
    <w:rsid w:val="00DB6DC1"/>
    <w:pPr>
      <w:tabs>
        <w:tab w:val="center" w:pos="4320"/>
        <w:tab w:val="right" w:pos="8640"/>
      </w:tabs>
    </w:pPr>
  </w:style>
  <w:style w:type="character" w:customStyle="1" w:styleId="HeaderChar">
    <w:name w:val="Header Char"/>
    <w:basedOn w:val="DefaultParagraphFont"/>
    <w:link w:val="Header"/>
    <w:uiPriority w:val="99"/>
    <w:rsid w:val="00DB6DC1"/>
    <w:rPr>
      <w:rFonts w:ascii="Times New Roman" w:eastAsia="宋体" w:hAnsi="Times New Roman" w:cs="Times New Roman"/>
      <w:sz w:val="24"/>
      <w:szCs w:val="24"/>
      <w:lang w:val="en-US" w:eastAsia="ar-SA"/>
    </w:rPr>
  </w:style>
  <w:style w:type="paragraph" w:styleId="Footer">
    <w:name w:val="footer"/>
    <w:basedOn w:val="Normal"/>
    <w:link w:val="FooterChar"/>
    <w:rsid w:val="00DB6DC1"/>
    <w:pPr>
      <w:tabs>
        <w:tab w:val="center" w:pos="4320"/>
        <w:tab w:val="right" w:pos="8640"/>
      </w:tabs>
    </w:pPr>
    <w:rPr>
      <w:sz w:val="32"/>
    </w:rPr>
  </w:style>
  <w:style w:type="character" w:customStyle="1" w:styleId="FooterChar">
    <w:name w:val="Footer Char"/>
    <w:basedOn w:val="DefaultParagraphFont"/>
    <w:link w:val="Footer"/>
    <w:rsid w:val="00DB6DC1"/>
    <w:rPr>
      <w:rFonts w:ascii="Times New Roman" w:eastAsia="宋体" w:hAnsi="Times New Roman" w:cs="Times New Roman"/>
      <w:sz w:val="32"/>
      <w:szCs w:val="24"/>
      <w:lang w:val="en-US" w:eastAsia="ar-SA"/>
    </w:rPr>
  </w:style>
  <w:style w:type="paragraph" w:styleId="NormalWeb">
    <w:name w:val="Normal (Web)"/>
    <w:basedOn w:val="Normal"/>
    <w:uiPriority w:val="99"/>
    <w:unhideWhenUsed/>
    <w:rsid w:val="00DB6DC1"/>
    <w:pPr>
      <w:suppressAutoHyphens w:val="0"/>
      <w:spacing w:before="100" w:beforeAutospacing="1" w:after="100" w:afterAutospacing="1"/>
    </w:pPr>
    <w:rPr>
      <w:rFonts w:eastAsia="Times New Roman"/>
      <w:lang w:eastAsia="en-US"/>
    </w:rPr>
  </w:style>
  <w:style w:type="paragraph" w:styleId="ListParagraph">
    <w:name w:val="List Paragraph"/>
    <w:basedOn w:val="Normal"/>
    <w:uiPriority w:val="34"/>
    <w:qFormat/>
    <w:rsid w:val="00DB6DC1"/>
    <w:pPr>
      <w:suppressAutoHyphens w:val="0"/>
      <w:spacing w:after="200" w:line="276" w:lineRule="auto"/>
      <w:ind w:left="720"/>
      <w:contextualSpacing/>
    </w:pPr>
    <w:rPr>
      <w:rFonts w:ascii="Calibri" w:eastAsia="Calibri" w:hAnsi="Calibri"/>
      <w:sz w:val="22"/>
      <w:szCs w:val="22"/>
      <w:lang w:val="en-GB" w:eastAsia="en-US"/>
    </w:rPr>
  </w:style>
  <w:style w:type="character" w:styleId="CommentReference">
    <w:name w:val="annotation reference"/>
    <w:basedOn w:val="DefaultParagraphFont"/>
    <w:uiPriority w:val="99"/>
    <w:semiHidden/>
    <w:unhideWhenUsed/>
    <w:rsid w:val="00DB6DC1"/>
    <w:rPr>
      <w:sz w:val="16"/>
      <w:szCs w:val="16"/>
    </w:rPr>
  </w:style>
  <w:style w:type="paragraph" w:styleId="CommentText">
    <w:name w:val="annotation text"/>
    <w:basedOn w:val="Normal"/>
    <w:link w:val="CommentTextChar"/>
    <w:uiPriority w:val="99"/>
    <w:semiHidden/>
    <w:unhideWhenUsed/>
    <w:rsid w:val="00DB6DC1"/>
    <w:rPr>
      <w:sz w:val="20"/>
      <w:szCs w:val="20"/>
    </w:rPr>
  </w:style>
  <w:style w:type="character" w:customStyle="1" w:styleId="CommentTextChar">
    <w:name w:val="Comment Text Char"/>
    <w:basedOn w:val="DefaultParagraphFont"/>
    <w:link w:val="CommentText"/>
    <w:uiPriority w:val="99"/>
    <w:semiHidden/>
    <w:rsid w:val="00DB6DC1"/>
    <w:rPr>
      <w:rFonts w:ascii="Times New Roman" w:eastAsia="宋体" w:hAnsi="Times New Roman" w:cs="Times New Roman"/>
      <w:sz w:val="20"/>
      <w:szCs w:val="20"/>
      <w:lang w:val="en-US" w:eastAsia="ar-SA"/>
    </w:rPr>
  </w:style>
  <w:style w:type="paragraph" w:styleId="NoSpacing">
    <w:name w:val="No Spacing"/>
    <w:uiPriority w:val="1"/>
    <w:qFormat/>
    <w:rsid w:val="00DB6DC1"/>
    <w:rPr>
      <w:sz w:val="22"/>
      <w:szCs w:val="22"/>
      <w:lang w:val="en-GB" w:eastAsia="en-US"/>
    </w:rPr>
  </w:style>
  <w:style w:type="character" w:customStyle="1" w:styleId="Heading1Char">
    <w:name w:val="Heading 1 Char"/>
    <w:basedOn w:val="DefaultParagraphFont"/>
    <w:link w:val="Heading1"/>
    <w:uiPriority w:val="9"/>
    <w:rsid w:val="00DB6DC1"/>
    <w:rPr>
      <w:rFonts w:ascii="Cambria" w:eastAsia="Times New Roman" w:hAnsi="Cambria" w:cs="Times New Roman"/>
      <w:b/>
      <w:bCs/>
      <w:color w:val="365F91"/>
      <w:sz w:val="28"/>
      <w:szCs w:val="28"/>
      <w:lang w:val="en-US" w:eastAsia="ar-SA"/>
    </w:rPr>
  </w:style>
  <w:style w:type="paragraph" w:styleId="BalloonText">
    <w:name w:val="Balloon Text"/>
    <w:basedOn w:val="Normal"/>
    <w:link w:val="BalloonTextChar"/>
    <w:uiPriority w:val="99"/>
    <w:semiHidden/>
    <w:unhideWhenUsed/>
    <w:rsid w:val="00DB6DC1"/>
    <w:rPr>
      <w:rFonts w:ascii="Tahoma" w:hAnsi="Tahoma" w:cs="Tahoma"/>
      <w:sz w:val="16"/>
      <w:szCs w:val="16"/>
    </w:rPr>
  </w:style>
  <w:style w:type="character" w:customStyle="1" w:styleId="BalloonTextChar">
    <w:name w:val="Balloon Text Char"/>
    <w:basedOn w:val="DefaultParagraphFont"/>
    <w:link w:val="BalloonText"/>
    <w:uiPriority w:val="99"/>
    <w:semiHidden/>
    <w:rsid w:val="00DB6DC1"/>
    <w:rPr>
      <w:rFonts w:ascii="Tahoma" w:eastAsia="宋体"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yenibe.nwozo@mail.ui.edu.ng" TargetMode="External"/><Relationship Id="rId13" Type="http://schemas.openxmlformats.org/officeDocument/2006/relationships/chart" Target="charts/chart1.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sonwozo@yahoo.com" TargetMode="External"/><Relationship Id="rId7" Type="http://schemas.openxmlformats.org/officeDocument/2006/relationships/hyperlink" Target="mailto:sonwozo@yahoo.com" TargetMode="Externa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ciencepub.net/newyork.%2016" TargetMode="External"/><Relationship Id="rId14" Type="http://schemas.openxmlformats.org/officeDocument/2006/relationships/chart" Target="charts/chart2.xml"/><Relationship Id="rId22" Type="http://schemas.openxmlformats.org/officeDocument/2006/relationships/hyperlink" Target="mailto:onyenibe.nwozo@mail.ui.edu.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arah%20Nwozo\Desktop\Book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rah%20Nwozo\Desktop\Book1.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arah%20Nwozo\Desktop\Book1.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arah%20Nwozo\Desktop\Book1.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8813212001618521"/>
          <c:y val="0.10783966818962444"/>
          <c:w val="0.36691781187955691"/>
          <c:h val="0.55259907326399083"/>
        </c:manualLayout>
      </c:layout>
      <c:barChart>
        <c:barDir val="col"/>
        <c:grouping val="clustered"/>
        <c:ser>
          <c:idx val="0"/>
          <c:order val="0"/>
          <c:tx>
            <c:strRef>
              <c:f>Sheet1!$J$3</c:f>
              <c:strCache>
                <c:ptCount val="1"/>
                <c:pt idx="0">
                  <c:v>T.CHOL</c:v>
                </c:pt>
              </c:strCache>
            </c:strRef>
          </c:tx>
          <c:dLbls>
            <c:dLbl>
              <c:idx val="0"/>
              <c:delete val="1"/>
            </c:dLbl>
            <c:dLbl>
              <c:idx val="1"/>
              <c:tx>
                <c:rich>
                  <a:bodyPr/>
                  <a:lstStyle/>
                  <a:p>
                    <a:r>
                      <a:rPr lang="en-US"/>
                      <a:t>a</a:t>
                    </a:r>
                  </a:p>
                </c:rich>
              </c:tx>
            </c:dLbl>
            <c:dLbl>
              <c:idx val="2"/>
              <c:delete val="1"/>
            </c:dLbl>
            <c:dLbl>
              <c:idx val="3"/>
              <c:delete val="1"/>
            </c:dLbl>
            <c:txPr>
              <a:bodyPr/>
              <a:lstStyle/>
              <a:p>
                <a:pPr>
                  <a:defRPr lang="en-US"/>
                </a:pPr>
                <a:endParaRPr lang="en-US"/>
              </a:p>
            </c:txPr>
            <c:showVal val="1"/>
          </c:dLbls>
          <c:errBars>
            <c:errBarType val="plus"/>
            <c:errValType val="cust"/>
            <c:plus>
              <c:numLit>
                <c:formatCode>General</c:formatCode>
                <c:ptCount val="4"/>
                <c:pt idx="0">
                  <c:v>1.6600000000000001</c:v>
                </c:pt>
                <c:pt idx="1">
                  <c:v>0.9400000000000005</c:v>
                </c:pt>
                <c:pt idx="2">
                  <c:v>0.94620000000000004</c:v>
                </c:pt>
                <c:pt idx="3">
                  <c:v>0.70000000000000051</c:v>
                </c:pt>
              </c:numLit>
            </c:plus>
          </c:errBars>
          <c:cat>
            <c:strRef>
              <c:f>Sheet1!$I$4:$I$7</c:f>
              <c:strCache>
                <c:ptCount val="4"/>
                <c:pt idx="0">
                  <c:v>Grp 1</c:v>
                </c:pt>
                <c:pt idx="1">
                  <c:v>Grp 2</c:v>
                </c:pt>
                <c:pt idx="2">
                  <c:v>Grp 3</c:v>
                </c:pt>
                <c:pt idx="3">
                  <c:v>Grp 4</c:v>
                </c:pt>
              </c:strCache>
            </c:strRef>
          </c:cat>
          <c:val>
            <c:numRef>
              <c:f>Sheet1!$J$4:$J$7</c:f>
              <c:numCache>
                <c:formatCode>General</c:formatCode>
                <c:ptCount val="4"/>
                <c:pt idx="0">
                  <c:v>84.126899999999978</c:v>
                </c:pt>
                <c:pt idx="1">
                  <c:v>87.3</c:v>
                </c:pt>
                <c:pt idx="2">
                  <c:v>94.940000000000026</c:v>
                </c:pt>
                <c:pt idx="3">
                  <c:v>86.53</c:v>
                </c:pt>
              </c:numCache>
            </c:numRef>
          </c:val>
        </c:ser>
        <c:ser>
          <c:idx val="1"/>
          <c:order val="1"/>
          <c:tx>
            <c:strRef>
              <c:f>Sheet1!$K$3</c:f>
              <c:strCache>
                <c:ptCount val="1"/>
                <c:pt idx="0">
                  <c:v>TRIGS</c:v>
                </c:pt>
              </c:strCache>
            </c:strRef>
          </c:tx>
          <c:dLbls>
            <c:dLbl>
              <c:idx val="0"/>
              <c:delete val="1"/>
            </c:dLbl>
            <c:dLbl>
              <c:idx val="1"/>
              <c:tx>
                <c:rich>
                  <a:bodyPr/>
                  <a:lstStyle/>
                  <a:p>
                    <a:r>
                      <a:rPr lang="en-US"/>
                      <a:t>a</a:t>
                    </a:r>
                  </a:p>
                </c:rich>
              </c:tx>
            </c:dLbl>
            <c:dLbl>
              <c:idx val="2"/>
              <c:delete val="1"/>
            </c:dLbl>
            <c:dLbl>
              <c:idx val="3"/>
              <c:tx>
                <c:rich>
                  <a:bodyPr/>
                  <a:lstStyle/>
                  <a:p>
                    <a:r>
                      <a:rPr lang="en-US"/>
                      <a:t>b</a:t>
                    </a:r>
                  </a:p>
                </c:rich>
              </c:tx>
            </c:dLbl>
            <c:txPr>
              <a:bodyPr/>
              <a:lstStyle/>
              <a:p>
                <a:pPr>
                  <a:defRPr lang="en-US"/>
                </a:pPr>
                <a:endParaRPr lang="en-US"/>
              </a:p>
            </c:txPr>
            <c:showVal val="1"/>
          </c:dLbls>
          <c:errBars>
            <c:errBarType val="plus"/>
            <c:errValType val="cust"/>
            <c:plus>
              <c:numLit>
                <c:formatCode>General</c:formatCode>
                <c:ptCount val="4"/>
                <c:pt idx="0">
                  <c:v>1.53</c:v>
                </c:pt>
                <c:pt idx="1">
                  <c:v>1.0900000000000001</c:v>
                </c:pt>
                <c:pt idx="2">
                  <c:v>1.48</c:v>
                </c:pt>
                <c:pt idx="3">
                  <c:v>0.97000000000000053</c:v>
                </c:pt>
              </c:numLit>
            </c:plus>
          </c:errBars>
          <c:cat>
            <c:strRef>
              <c:f>Sheet1!$I$4:$I$7</c:f>
              <c:strCache>
                <c:ptCount val="4"/>
                <c:pt idx="0">
                  <c:v>Grp 1</c:v>
                </c:pt>
                <c:pt idx="1">
                  <c:v>Grp 2</c:v>
                </c:pt>
                <c:pt idx="2">
                  <c:v>Grp 3</c:v>
                </c:pt>
                <c:pt idx="3">
                  <c:v>Grp 4</c:v>
                </c:pt>
              </c:strCache>
            </c:strRef>
          </c:cat>
          <c:val>
            <c:numRef>
              <c:f>Sheet1!$K$4:$K$7</c:f>
              <c:numCache>
                <c:formatCode>General</c:formatCode>
                <c:ptCount val="4"/>
                <c:pt idx="0">
                  <c:v>67.77</c:v>
                </c:pt>
                <c:pt idx="1">
                  <c:v>75.38</c:v>
                </c:pt>
                <c:pt idx="2">
                  <c:v>76.239999999999995</c:v>
                </c:pt>
                <c:pt idx="3">
                  <c:v>67.77</c:v>
                </c:pt>
              </c:numCache>
            </c:numRef>
          </c:val>
        </c:ser>
        <c:ser>
          <c:idx val="2"/>
          <c:order val="2"/>
          <c:tx>
            <c:strRef>
              <c:f>Sheet1!$L$3</c:f>
              <c:strCache>
                <c:ptCount val="1"/>
                <c:pt idx="0">
                  <c:v>HDL-CHOL</c:v>
                </c:pt>
              </c:strCache>
            </c:strRef>
          </c:tx>
          <c:dLbls>
            <c:dLbl>
              <c:idx val="0"/>
              <c:delete val="1"/>
            </c:dLbl>
            <c:dLbl>
              <c:idx val="1"/>
              <c:tx>
                <c:rich>
                  <a:bodyPr/>
                  <a:lstStyle/>
                  <a:p>
                    <a:r>
                      <a:rPr lang="en-US"/>
                      <a:t>a</a:t>
                    </a:r>
                  </a:p>
                </c:rich>
              </c:tx>
            </c:dLbl>
            <c:dLbl>
              <c:idx val="2"/>
              <c:delete val="1"/>
            </c:dLbl>
            <c:dLbl>
              <c:idx val="3"/>
              <c:delete val="1"/>
            </c:dLbl>
            <c:txPr>
              <a:bodyPr/>
              <a:lstStyle/>
              <a:p>
                <a:pPr>
                  <a:defRPr lang="en-US"/>
                </a:pPr>
                <a:endParaRPr lang="en-US"/>
              </a:p>
            </c:txPr>
            <c:showVal val="1"/>
          </c:dLbls>
          <c:errBars>
            <c:errBarType val="plus"/>
            <c:errValType val="cust"/>
            <c:plus>
              <c:numLit>
                <c:formatCode>General</c:formatCode>
                <c:ptCount val="4"/>
                <c:pt idx="0">
                  <c:v>1.57</c:v>
                </c:pt>
                <c:pt idx="1">
                  <c:v>0</c:v>
                </c:pt>
                <c:pt idx="2">
                  <c:v>0.26</c:v>
                </c:pt>
                <c:pt idx="3">
                  <c:v>0.26</c:v>
                </c:pt>
              </c:numLit>
            </c:plus>
          </c:errBars>
          <c:cat>
            <c:strRef>
              <c:f>Sheet1!$I$4:$I$7</c:f>
              <c:strCache>
                <c:ptCount val="4"/>
                <c:pt idx="0">
                  <c:v>Grp 1</c:v>
                </c:pt>
                <c:pt idx="1">
                  <c:v>Grp 2</c:v>
                </c:pt>
                <c:pt idx="2">
                  <c:v>Grp 3</c:v>
                </c:pt>
                <c:pt idx="3">
                  <c:v>Grp 4</c:v>
                </c:pt>
              </c:strCache>
            </c:strRef>
          </c:cat>
          <c:val>
            <c:numRef>
              <c:f>Sheet1!$L$4:$L$7</c:f>
              <c:numCache>
                <c:formatCode>General</c:formatCode>
                <c:ptCount val="4"/>
                <c:pt idx="0">
                  <c:v>5.51</c:v>
                </c:pt>
                <c:pt idx="1">
                  <c:v>7.87</c:v>
                </c:pt>
                <c:pt idx="2">
                  <c:v>7.6099999999999985</c:v>
                </c:pt>
                <c:pt idx="3">
                  <c:v>9.7100000000000009</c:v>
                </c:pt>
              </c:numCache>
            </c:numRef>
          </c:val>
        </c:ser>
        <c:ser>
          <c:idx val="3"/>
          <c:order val="3"/>
          <c:tx>
            <c:strRef>
              <c:f>Sheet1!$M$3</c:f>
              <c:strCache>
                <c:ptCount val="1"/>
                <c:pt idx="0">
                  <c:v>LDL-CHOL</c:v>
                </c:pt>
              </c:strCache>
            </c:strRef>
          </c:tx>
          <c:dLbls>
            <c:dLbl>
              <c:idx val="0"/>
              <c:delete val="1"/>
            </c:dLbl>
            <c:dLbl>
              <c:idx val="1"/>
              <c:tx>
                <c:rich>
                  <a:bodyPr/>
                  <a:lstStyle/>
                  <a:p>
                    <a:r>
                      <a:rPr lang="en-US"/>
                      <a:t>a</a:t>
                    </a:r>
                  </a:p>
                </c:rich>
              </c:tx>
            </c:dLbl>
            <c:dLbl>
              <c:idx val="2"/>
              <c:delete val="1"/>
            </c:dLbl>
            <c:dLbl>
              <c:idx val="3"/>
              <c:delete val="1"/>
            </c:dLbl>
            <c:txPr>
              <a:bodyPr/>
              <a:lstStyle/>
              <a:p>
                <a:pPr>
                  <a:defRPr lang="en-US"/>
                </a:pPr>
                <a:endParaRPr lang="en-US"/>
              </a:p>
            </c:txPr>
            <c:showVal val="1"/>
          </c:dLbls>
          <c:errBars>
            <c:errBarType val="plus"/>
            <c:errValType val="cust"/>
            <c:plus>
              <c:numLit>
                <c:formatCode>General</c:formatCode>
                <c:ptCount val="4"/>
                <c:pt idx="0">
                  <c:v>6.0000000000000032E-2</c:v>
                </c:pt>
                <c:pt idx="1">
                  <c:v>2.0000000000000011E-2</c:v>
                </c:pt>
                <c:pt idx="2">
                  <c:v>1.0000000000000005E-2</c:v>
                </c:pt>
                <c:pt idx="3">
                  <c:v>1.0000000000000005E-2</c:v>
                </c:pt>
              </c:numLit>
            </c:plus>
          </c:errBars>
          <c:cat>
            <c:strRef>
              <c:f>Sheet1!$I$4:$I$7</c:f>
              <c:strCache>
                <c:ptCount val="4"/>
                <c:pt idx="0">
                  <c:v>Grp 1</c:v>
                </c:pt>
                <c:pt idx="1">
                  <c:v>Grp 2</c:v>
                </c:pt>
                <c:pt idx="2">
                  <c:v>Grp 3</c:v>
                </c:pt>
                <c:pt idx="3">
                  <c:v>Grp 4</c:v>
                </c:pt>
              </c:strCache>
            </c:strRef>
          </c:cat>
          <c:val>
            <c:numRef>
              <c:f>Sheet1!$M$4:$M$7</c:f>
              <c:numCache>
                <c:formatCode>General</c:formatCode>
                <c:ptCount val="4"/>
                <c:pt idx="0">
                  <c:v>1.23</c:v>
                </c:pt>
                <c:pt idx="1">
                  <c:v>1.42</c:v>
                </c:pt>
                <c:pt idx="2">
                  <c:v>1.43</c:v>
                </c:pt>
                <c:pt idx="3">
                  <c:v>2.15</c:v>
                </c:pt>
              </c:numCache>
            </c:numRef>
          </c:val>
        </c:ser>
        <c:ser>
          <c:idx val="4"/>
          <c:order val="4"/>
          <c:tx>
            <c:strRef>
              <c:f>Sheet1!$N$3</c:f>
              <c:strCache>
                <c:ptCount val="1"/>
                <c:pt idx="0">
                  <c:v>Artheroge Index</c:v>
                </c:pt>
              </c:strCache>
            </c:strRef>
          </c:tx>
          <c:cat>
            <c:strRef>
              <c:f>Sheet1!$I$4:$I$7</c:f>
              <c:strCache>
                <c:ptCount val="4"/>
                <c:pt idx="0">
                  <c:v>Grp 1</c:v>
                </c:pt>
                <c:pt idx="1">
                  <c:v>Grp 2</c:v>
                </c:pt>
                <c:pt idx="2">
                  <c:v>Grp 3</c:v>
                </c:pt>
                <c:pt idx="3">
                  <c:v>Grp 4</c:v>
                </c:pt>
              </c:strCache>
            </c:strRef>
          </c:cat>
          <c:val>
            <c:numRef>
              <c:f>Sheet1!$N$4:$N$7</c:f>
              <c:numCache>
                <c:formatCode>General</c:formatCode>
                <c:ptCount val="4"/>
                <c:pt idx="0">
                  <c:v>0.22439999999999999</c:v>
                </c:pt>
                <c:pt idx="1">
                  <c:v>0.18056000000000014</c:v>
                </c:pt>
                <c:pt idx="2">
                  <c:v>0.18820000000000017</c:v>
                </c:pt>
                <c:pt idx="3">
                  <c:v>0.22234999999999999</c:v>
                </c:pt>
              </c:numCache>
            </c:numRef>
          </c:val>
        </c:ser>
        <c:axId val="66886272"/>
        <c:axId val="66924928"/>
      </c:barChart>
      <c:catAx>
        <c:axId val="66886272"/>
        <c:scaling>
          <c:orientation val="minMax"/>
        </c:scaling>
        <c:axPos val="b"/>
        <c:numFmt formatCode="General" sourceLinked="1"/>
        <c:tickLblPos val="nextTo"/>
        <c:txPr>
          <a:bodyPr/>
          <a:lstStyle/>
          <a:p>
            <a:pPr>
              <a:defRPr lang="en-US"/>
            </a:pPr>
            <a:endParaRPr lang="en-US"/>
          </a:p>
        </c:txPr>
        <c:crossAx val="66924928"/>
        <c:crosses val="autoZero"/>
        <c:auto val="1"/>
        <c:lblAlgn val="ctr"/>
        <c:lblOffset val="100"/>
      </c:catAx>
      <c:valAx>
        <c:axId val="66924928"/>
        <c:scaling>
          <c:orientation val="minMax"/>
        </c:scaling>
        <c:axPos val="l"/>
        <c:numFmt formatCode="General" sourceLinked="1"/>
        <c:tickLblPos val="nextTo"/>
        <c:txPr>
          <a:bodyPr/>
          <a:lstStyle/>
          <a:p>
            <a:pPr>
              <a:defRPr lang="en-US"/>
            </a:pPr>
            <a:endParaRPr lang="en-US"/>
          </a:p>
        </c:txPr>
        <c:crossAx val="66886272"/>
        <c:crosses val="autoZero"/>
        <c:crossBetween val="between"/>
      </c:valAx>
    </c:plotArea>
    <c:legend>
      <c:legendPos val="r"/>
      <c:layout>
        <c:manualLayout>
          <c:xMode val="edge"/>
          <c:yMode val="edge"/>
          <c:x val="0.67707487316479587"/>
          <c:y val="5.0502547475683189E-2"/>
          <c:w val="0.32292512683520608"/>
          <c:h val="0.88723019916627999"/>
        </c:manualLayout>
      </c:layout>
      <c:txPr>
        <a:bodyPr/>
        <a:lstStyle/>
        <a:p>
          <a:pPr>
            <a:defRPr lang="en-US"/>
          </a:pPr>
          <a:endParaRPr lang="en-US"/>
        </a:p>
      </c:txPr>
    </c:legend>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Sheet1!$J$21</c:f>
              <c:strCache>
                <c:ptCount val="1"/>
                <c:pt idx="0">
                  <c:v>Liver SOD</c:v>
                </c:pt>
              </c:strCache>
            </c:strRef>
          </c:tx>
          <c:dLbls>
            <c:dLbl>
              <c:idx val="0"/>
              <c:delete val="1"/>
            </c:dLbl>
            <c:dLbl>
              <c:idx val="1"/>
              <c:tx>
                <c:rich>
                  <a:bodyPr/>
                  <a:lstStyle/>
                  <a:p>
                    <a:r>
                      <a:rPr lang="en-US"/>
                      <a:t>a</a:t>
                    </a:r>
                  </a:p>
                </c:rich>
              </c:tx>
              <c:dLblPos val="outEnd"/>
            </c:dLbl>
            <c:dLbl>
              <c:idx val="2"/>
              <c:tx>
                <c:rich>
                  <a:bodyPr/>
                  <a:lstStyle/>
                  <a:p>
                    <a:r>
                      <a:rPr lang="en-US"/>
                      <a:t>b</a:t>
                    </a:r>
                  </a:p>
                </c:rich>
              </c:tx>
              <c:dLblPos val="outEnd"/>
            </c:dLbl>
            <c:dLbl>
              <c:idx val="3"/>
              <c:tx>
                <c:rich>
                  <a:bodyPr/>
                  <a:lstStyle/>
                  <a:p>
                    <a:r>
                      <a:rPr lang="en-US"/>
                      <a:t>b</a:t>
                    </a:r>
                  </a:p>
                </c:rich>
              </c:tx>
              <c:dLblPos val="outEnd"/>
            </c:dLbl>
            <c:txPr>
              <a:bodyPr/>
              <a:lstStyle/>
              <a:p>
                <a:pPr>
                  <a:defRPr lang="en-US"/>
                </a:pPr>
                <a:endParaRPr lang="en-US"/>
              </a:p>
            </c:txPr>
            <c:dLblPos val="outEnd"/>
            <c:showVal val="1"/>
          </c:dLbls>
          <c:errBars>
            <c:errBarType val="plus"/>
            <c:errValType val="cust"/>
            <c:plus>
              <c:numLit>
                <c:formatCode>General</c:formatCode>
                <c:ptCount val="4"/>
                <c:pt idx="0">
                  <c:v>2.3E-2</c:v>
                </c:pt>
                <c:pt idx="1">
                  <c:v>4.1000000000000002E-2</c:v>
                </c:pt>
                <c:pt idx="2">
                  <c:v>3.5999999999999997E-2</c:v>
                </c:pt>
                <c:pt idx="3">
                  <c:v>1.2E-2</c:v>
                </c:pt>
              </c:numLit>
            </c:plus>
          </c:errBars>
          <c:cat>
            <c:strRef>
              <c:f>Sheet1!$I$22:$I$25</c:f>
              <c:strCache>
                <c:ptCount val="4"/>
                <c:pt idx="0">
                  <c:v>Control 1</c:v>
                </c:pt>
                <c:pt idx="1">
                  <c:v>Group 2</c:v>
                </c:pt>
                <c:pt idx="2">
                  <c:v>Group 3</c:v>
                </c:pt>
                <c:pt idx="3">
                  <c:v>Group 4</c:v>
                </c:pt>
              </c:strCache>
            </c:strRef>
          </c:cat>
          <c:val>
            <c:numRef>
              <c:f>Sheet1!$J$22:$J$25</c:f>
              <c:numCache>
                <c:formatCode>General</c:formatCode>
                <c:ptCount val="4"/>
                <c:pt idx="0">
                  <c:v>0.46</c:v>
                </c:pt>
                <c:pt idx="1">
                  <c:v>0.54</c:v>
                </c:pt>
                <c:pt idx="2">
                  <c:v>0.71000000000000052</c:v>
                </c:pt>
                <c:pt idx="3">
                  <c:v>0.56000000000000005</c:v>
                </c:pt>
              </c:numCache>
            </c:numRef>
          </c:val>
        </c:ser>
        <c:ser>
          <c:idx val="1"/>
          <c:order val="1"/>
          <c:tx>
            <c:strRef>
              <c:f>Sheet1!$K$21</c:f>
              <c:strCache>
                <c:ptCount val="1"/>
                <c:pt idx="0">
                  <c:v>Liver Catalase</c:v>
                </c:pt>
              </c:strCache>
            </c:strRef>
          </c:tx>
          <c:dLbls>
            <c:dLbl>
              <c:idx val="0"/>
              <c:delete val="1"/>
            </c:dLbl>
            <c:dLbl>
              <c:idx val="1"/>
              <c:tx>
                <c:rich>
                  <a:bodyPr/>
                  <a:lstStyle/>
                  <a:p>
                    <a:r>
                      <a:rPr lang="en-US"/>
                      <a:t>a</a:t>
                    </a:r>
                  </a:p>
                </c:rich>
              </c:tx>
              <c:dLblPos val="outEnd"/>
            </c:dLbl>
            <c:dLbl>
              <c:idx val="2"/>
              <c:tx>
                <c:rich>
                  <a:bodyPr/>
                  <a:lstStyle/>
                  <a:p>
                    <a:r>
                      <a:rPr lang="en-US"/>
                      <a:t>b</a:t>
                    </a:r>
                  </a:p>
                </c:rich>
              </c:tx>
              <c:dLblPos val="outEnd"/>
            </c:dLbl>
            <c:dLbl>
              <c:idx val="3"/>
              <c:tx>
                <c:rich>
                  <a:bodyPr/>
                  <a:lstStyle/>
                  <a:p>
                    <a:r>
                      <a:rPr lang="en-US"/>
                      <a:t>b</a:t>
                    </a:r>
                  </a:p>
                </c:rich>
              </c:tx>
              <c:dLblPos val="outEnd"/>
            </c:dLbl>
            <c:txPr>
              <a:bodyPr/>
              <a:lstStyle/>
              <a:p>
                <a:pPr>
                  <a:defRPr lang="en-US"/>
                </a:pPr>
                <a:endParaRPr lang="en-US"/>
              </a:p>
            </c:txPr>
            <c:dLblPos val="outEnd"/>
            <c:showVal val="1"/>
          </c:dLbls>
          <c:errBars>
            <c:errBarType val="plus"/>
            <c:errValType val="cust"/>
            <c:plus>
              <c:numLit>
                <c:formatCode>General</c:formatCode>
                <c:ptCount val="4"/>
                <c:pt idx="0">
                  <c:v>4.04</c:v>
                </c:pt>
                <c:pt idx="1">
                  <c:v>9.19</c:v>
                </c:pt>
                <c:pt idx="2">
                  <c:v>6.38</c:v>
                </c:pt>
                <c:pt idx="3">
                  <c:v>1.85</c:v>
                </c:pt>
              </c:numLit>
            </c:plus>
          </c:errBars>
          <c:cat>
            <c:strRef>
              <c:f>Sheet1!$I$22:$I$25</c:f>
              <c:strCache>
                <c:ptCount val="4"/>
                <c:pt idx="0">
                  <c:v>Control 1</c:v>
                </c:pt>
                <c:pt idx="1">
                  <c:v>Group 2</c:v>
                </c:pt>
                <c:pt idx="2">
                  <c:v>Group 3</c:v>
                </c:pt>
                <c:pt idx="3">
                  <c:v>Group 4</c:v>
                </c:pt>
              </c:strCache>
            </c:strRef>
          </c:cat>
          <c:val>
            <c:numRef>
              <c:f>Sheet1!$K$22:$K$25</c:f>
              <c:numCache>
                <c:formatCode>General</c:formatCode>
                <c:ptCount val="4"/>
                <c:pt idx="0">
                  <c:v>279.31</c:v>
                </c:pt>
                <c:pt idx="1">
                  <c:v>309.68</c:v>
                </c:pt>
                <c:pt idx="2">
                  <c:v>211.33</c:v>
                </c:pt>
                <c:pt idx="3">
                  <c:v>217.66</c:v>
                </c:pt>
              </c:numCache>
            </c:numRef>
          </c:val>
        </c:ser>
        <c:ser>
          <c:idx val="2"/>
          <c:order val="2"/>
          <c:tx>
            <c:strRef>
              <c:f>Sheet1!$L$21</c:f>
              <c:strCache>
                <c:ptCount val="1"/>
                <c:pt idx="0">
                  <c:v>Liver GSH</c:v>
                </c:pt>
              </c:strCache>
            </c:strRef>
          </c:tx>
          <c:errBars>
            <c:errBarType val="plus"/>
            <c:errValType val="cust"/>
            <c:plus>
              <c:numLit>
                <c:formatCode>General</c:formatCode>
                <c:ptCount val="4"/>
                <c:pt idx="0">
                  <c:v>0.60000000000000053</c:v>
                </c:pt>
                <c:pt idx="1">
                  <c:v>0.5</c:v>
                </c:pt>
                <c:pt idx="2">
                  <c:v>0.3300000000000004</c:v>
                </c:pt>
                <c:pt idx="3">
                  <c:v>0.44</c:v>
                </c:pt>
              </c:numLit>
            </c:plus>
          </c:errBars>
          <c:cat>
            <c:strRef>
              <c:f>Sheet1!$I$22:$I$25</c:f>
              <c:strCache>
                <c:ptCount val="4"/>
                <c:pt idx="0">
                  <c:v>Control 1</c:v>
                </c:pt>
                <c:pt idx="1">
                  <c:v>Group 2</c:v>
                </c:pt>
                <c:pt idx="2">
                  <c:v>Group 3</c:v>
                </c:pt>
                <c:pt idx="3">
                  <c:v>Group 4</c:v>
                </c:pt>
              </c:strCache>
            </c:strRef>
          </c:cat>
          <c:val>
            <c:numRef>
              <c:f>Sheet1!$L$22:$L$25</c:f>
              <c:numCache>
                <c:formatCode>General</c:formatCode>
                <c:ptCount val="4"/>
                <c:pt idx="0">
                  <c:v>118.33</c:v>
                </c:pt>
                <c:pt idx="1">
                  <c:v>122</c:v>
                </c:pt>
                <c:pt idx="2">
                  <c:v>119.16</c:v>
                </c:pt>
                <c:pt idx="3">
                  <c:v>122.16</c:v>
                </c:pt>
              </c:numCache>
            </c:numRef>
          </c:val>
        </c:ser>
        <c:ser>
          <c:idx val="3"/>
          <c:order val="3"/>
          <c:tx>
            <c:strRef>
              <c:f>Sheet1!$M$21</c:f>
              <c:strCache>
                <c:ptCount val="1"/>
                <c:pt idx="0">
                  <c:v>Liver MDA</c:v>
                </c:pt>
              </c:strCache>
            </c:strRef>
          </c:tx>
          <c:dLbls>
            <c:dLbl>
              <c:idx val="0"/>
              <c:delete val="1"/>
            </c:dLbl>
            <c:dLbl>
              <c:idx val="1"/>
              <c:tx>
                <c:rich>
                  <a:bodyPr/>
                  <a:lstStyle/>
                  <a:p>
                    <a:r>
                      <a:rPr lang="en-US"/>
                      <a:t>a</a:t>
                    </a:r>
                  </a:p>
                </c:rich>
              </c:tx>
              <c:dLblPos val="outEnd"/>
            </c:dLbl>
            <c:dLbl>
              <c:idx val="2"/>
              <c:tx>
                <c:rich>
                  <a:bodyPr/>
                  <a:lstStyle/>
                  <a:p>
                    <a:r>
                      <a:rPr lang="en-US"/>
                      <a:t>b</a:t>
                    </a:r>
                  </a:p>
                </c:rich>
              </c:tx>
              <c:dLblPos val="outEnd"/>
            </c:dLbl>
            <c:dLbl>
              <c:idx val="3"/>
              <c:tx>
                <c:rich>
                  <a:bodyPr/>
                  <a:lstStyle/>
                  <a:p>
                    <a:r>
                      <a:rPr lang="en-US"/>
                      <a:t>b</a:t>
                    </a:r>
                  </a:p>
                </c:rich>
              </c:tx>
              <c:dLblPos val="outEnd"/>
            </c:dLbl>
            <c:txPr>
              <a:bodyPr/>
              <a:lstStyle/>
              <a:p>
                <a:pPr>
                  <a:defRPr lang="en-US"/>
                </a:pPr>
                <a:endParaRPr lang="en-US"/>
              </a:p>
            </c:txPr>
            <c:dLblPos val="outEnd"/>
            <c:showVal val="1"/>
          </c:dLbls>
          <c:errBars>
            <c:errBarType val="plus"/>
            <c:errValType val="cust"/>
            <c:plus>
              <c:numLit>
                <c:formatCode>General</c:formatCode>
                <c:ptCount val="4"/>
                <c:pt idx="0">
                  <c:v>0.14000000000000001</c:v>
                </c:pt>
                <c:pt idx="1">
                  <c:v>8.5000000000000006E-2</c:v>
                </c:pt>
                <c:pt idx="2">
                  <c:v>2.1999999999999999E-2</c:v>
                </c:pt>
                <c:pt idx="3">
                  <c:v>0.11</c:v>
                </c:pt>
              </c:numLit>
            </c:plus>
          </c:errBars>
          <c:cat>
            <c:strRef>
              <c:f>Sheet1!$I$22:$I$25</c:f>
              <c:strCache>
                <c:ptCount val="4"/>
                <c:pt idx="0">
                  <c:v>Control 1</c:v>
                </c:pt>
                <c:pt idx="1">
                  <c:v>Group 2</c:v>
                </c:pt>
                <c:pt idx="2">
                  <c:v>Group 3</c:v>
                </c:pt>
                <c:pt idx="3">
                  <c:v>Group 4</c:v>
                </c:pt>
              </c:strCache>
            </c:strRef>
          </c:cat>
          <c:val>
            <c:numRef>
              <c:f>Sheet1!$M$22:$M$25</c:f>
              <c:numCache>
                <c:formatCode>General</c:formatCode>
                <c:ptCount val="4"/>
                <c:pt idx="0">
                  <c:v>2.2000000000000002</c:v>
                </c:pt>
                <c:pt idx="1">
                  <c:v>0.48000000000000026</c:v>
                </c:pt>
                <c:pt idx="2">
                  <c:v>0.72000000000000053</c:v>
                </c:pt>
                <c:pt idx="3">
                  <c:v>0.42000000000000026</c:v>
                </c:pt>
              </c:numCache>
            </c:numRef>
          </c:val>
        </c:ser>
        <c:axId val="66967040"/>
        <c:axId val="66968576"/>
      </c:barChart>
      <c:catAx>
        <c:axId val="66967040"/>
        <c:scaling>
          <c:orientation val="minMax"/>
        </c:scaling>
        <c:axPos val="b"/>
        <c:numFmt formatCode="General" sourceLinked="1"/>
        <c:tickLblPos val="nextTo"/>
        <c:txPr>
          <a:bodyPr/>
          <a:lstStyle/>
          <a:p>
            <a:pPr>
              <a:defRPr lang="en-US"/>
            </a:pPr>
            <a:endParaRPr lang="en-US"/>
          </a:p>
        </c:txPr>
        <c:crossAx val="66968576"/>
        <c:crosses val="autoZero"/>
        <c:auto val="1"/>
        <c:lblAlgn val="ctr"/>
        <c:lblOffset val="100"/>
      </c:catAx>
      <c:valAx>
        <c:axId val="66968576"/>
        <c:scaling>
          <c:orientation val="minMax"/>
        </c:scaling>
        <c:axPos val="l"/>
        <c:numFmt formatCode="General" sourceLinked="1"/>
        <c:tickLblPos val="nextTo"/>
        <c:txPr>
          <a:bodyPr/>
          <a:lstStyle/>
          <a:p>
            <a:pPr>
              <a:defRPr lang="en-US"/>
            </a:pPr>
            <a:endParaRPr lang="en-US"/>
          </a:p>
        </c:txPr>
        <c:crossAx val="66967040"/>
        <c:crosses val="autoZero"/>
        <c:crossBetween val="between"/>
      </c:valAx>
    </c:plotArea>
    <c:legend>
      <c:legendPos val="r"/>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7788765415766344"/>
          <c:y val="6.273710251295686E-2"/>
          <c:w val="0.6420257860387184"/>
          <c:h val="0.85913955601586234"/>
        </c:manualLayout>
      </c:layout>
      <c:barChart>
        <c:barDir val="col"/>
        <c:grouping val="clustered"/>
        <c:ser>
          <c:idx val="0"/>
          <c:order val="0"/>
          <c:tx>
            <c:strRef>
              <c:f>Sheet1!$J$42</c:f>
              <c:strCache>
                <c:ptCount val="1"/>
                <c:pt idx="0">
                  <c:v>Brain SOD</c:v>
                </c:pt>
              </c:strCache>
            </c:strRef>
          </c:tx>
          <c:dLbls>
            <c:dLbl>
              <c:idx val="0"/>
              <c:delete val="1"/>
            </c:dLbl>
            <c:dLbl>
              <c:idx val="1"/>
              <c:tx>
                <c:rich>
                  <a:bodyPr/>
                  <a:lstStyle/>
                  <a:p>
                    <a:r>
                      <a:rPr lang="en-US"/>
                      <a:t>a</a:t>
                    </a:r>
                  </a:p>
                </c:rich>
              </c:tx>
              <c:dLblPos val="outEnd"/>
            </c:dLbl>
            <c:dLbl>
              <c:idx val="2"/>
              <c:delete val="1"/>
            </c:dLbl>
            <c:dLbl>
              <c:idx val="3"/>
              <c:delete val="1"/>
            </c:dLbl>
            <c:txPr>
              <a:bodyPr/>
              <a:lstStyle/>
              <a:p>
                <a:pPr>
                  <a:defRPr lang="en-US"/>
                </a:pPr>
                <a:endParaRPr lang="en-US"/>
              </a:p>
            </c:txPr>
            <c:dLblPos val="outEnd"/>
            <c:showVal val="1"/>
          </c:dLbls>
          <c:errBars>
            <c:errBarType val="plus"/>
            <c:errValType val="cust"/>
            <c:plus>
              <c:numLit>
                <c:formatCode>General</c:formatCode>
                <c:ptCount val="4"/>
                <c:pt idx="0">
                  <c:v>0.44</c:v>
                </c:pt>
                <c:pt idx="1">
                  <c:v>0.22</c:v>
                </c:pt>
                <c:pt idx="2">
                  <c:v>0.31000000000000028</c:v>
                </c:pt>
                <c:pt idx="3">
                  <c:v>9.0000000000000024E-2</c:v>
                </c:pt>
              </c:numLit>
            </c:plus>
          </c:errBars>
          <c:cat>
            <c:strRef>
              <c:f>Sheet1!$I$43:$I$46</c:f>
              <c:strCache>
                <c:ptCount val="4"/>
                <c:pt idx="0">
                  <c:v>Control 1</c:v>
                </c:pt>
                <c:pt idx="1">
                  <c:v>Group 2</c:v>
                </c:pt>
                <c:pt idx="2">
                  <c:v>Group 3</c:v>
                </c:pt>
                <c:pt idx="3">
                  <c:v>Group 4</c:v>
                </c:pt>
              </c:strCache>
            </c:strRef>
          </c:cat>
          <c:val>
            <c:numRef>
              <c:f>Sheet1!$J$43:$J$46</c:f>
              <c:numCache>
                <c:formatCode>General</c:formatCode>
                <c:ptCount val="4"/>
                <c:pt idx="0">
                  <c:v>1.1399999999999988</c:v>
                </c:pt>
                <c:pt idx="1">
                  <c:v>1.58</c:v>
                </c:pt>
                <c:pt idx="2">
                  <c:v>0.74000000000000055</c:v>
                </c:pt>
                <c:pt idx="3">
                  <c:v>0.56000000000000005</c:v>
                </c:pt>
              </c:numCache>
            </c:numRef>
          </c:val>
        </c:ser>
        <c:ser>
          <c:idx val="1"/>
          <c:order val="1"/>
          <c:tx>
            <c:strRef>
              <c:f>Sheet1!$K$42</c:f>
              <c:strCache>
                <c:ptCount val="1"/>
                <c:pt idx="0">
                  <c:v>Brain Catalase</c:v>
                </c:pt>
              </c:strCache>
            </c:strRef>
          </c:tx>
          <c:dLbls>
            <c:dLbl>
              <c:idx val="0"/>
              <c:delete val="1"/>
            </c:dLbl>
            <c:dLbl>
              <c:idx val="1"/>
              <c:tx>
                <c:rich>
                  <a:bodyPr/>
                  <a:lstStyle/>
                  <a:p>
                    <a:r>
                      <a:rPr lang="en-US"/>
                      <a:t>a</a:t>
                    </a:r>
                  </a:p>
                </c:rich>
              </c:tx>
              <c:dLblPos val="outEnd"/>
            </c:dLbl>
            <c:dLbl>
              <c:idx val="2"/>
              <c:tx>
                <c:rich>
                  <a:bodyPr/>
                  <a:lstStyle/>
                  <a:p>
                    <a:r>
                      <a:rPr lang="en-US"/>
                      <a:t>c</a:t>
                    </a:r>
                  </a:p>
                </c:rich>
              </c:tx>
              <c:dLblPos val="outEnd"/>
            </c:dLbl>
            <c:dLbl>
              <c:idx val="3"/>
              <c:tx>
                <c:rich>
                  <a:bodyPr/>
                  <a:lstStyle/>
                  <a:p>
                    <a:r>
                      <a:rPr lang="en-US"/>
                      <a:t>c</a:t>
                    </a:r>
                  </a:p>
                </c:rich>
              </c:tx>
              <c:dLblPos val="outEnd"/>
            </c:dLbl>
            <c:txPr>
              <a:bodyPr/>
              <a:lstStyle/>
              <a:p>
                <a:pPr>
                  <a:defRPr lang="en-US"/>
                </a:pPr>
                <a:endParaRPr lang="en-US"/>
              </a:p>
            </c:txPr>
            <c:dLblPos val="outEnd"/>
            <c:showVal val="1"/>
          </c:dLbls>
          <c:errBars>
            <c:errBarType val="plus"/>
            <c:errValType val="cust"/>
            <c:plus>
              <c:numLit>
                <c:formatCode>General</c:formatCode>
                <c:ptCount val="4"/>
                <c:pt idx="0">
                  <c:v>25.56</c:v>
                </c:pt>
                <c:pt idx="1">
                  <c:v>10.629999999999999</c:v>
                </c:pt>
                <c:pt idx="2">
                  <c:v>8.9600000000000026</c:v>
                </c:pt>
                <c:pt idx="3">
                  <c:v>8.83</c:v>
                </c:pt>
              </c:numLit>
            </c:plus>
          </c:errBars>
          <c:cat>
            <c:strRef>
              <c:f>Sheet1!$I$43:$I$46</c:f>
              <c:strCache>
                <c:ptCount val="4"/>
                <c:pt idx="0">
                  <c:v>Control 1</c:v>
                </c:pt>
                <c:pt idx="1">
                  <c:v>Group 2</c:v>
                </c:pt>
                <c:pt idx="2">
                  <c:v>Group 3</c:v>
                </c:pt>
                <c:pt idx="3">
                  <c:v>Group 4</c:v>
                </c:pt>
              </c:strCache>
            </c:strRef>
          </c:cat>
          <c:val>
            <c:numRef>
              <c:f>Sheet1!$K$43:$K$46</c:f>
              <c:numCache>
                <c:formatCode>General</c:formatCode>
                <c:ptCount val="4"/>
                <c:pt idx="0">
                  <c:v>189.26999999999998</c:v>
                </c:pt>
                <c:pt idx="1">
                  <c:v>309.62</c:v>
                </c:pt>
                <c:pt idx="2">
                  <c:v>284.33</c:v>
                </c:pt>
                <c:pt idx="3">
                  <c:v>238.33</c:v>
                </c:pt>
              </c:numCache>
            </c:numRef>
          </c:val>
        </c:ser>
        <c:ser>
          <c:idx val="2"/>
          <c:order val="2"/>
          <c:tx>
            <c:strRef>
              <c:f>Sheet1!$L$42</c:f>
              <c:strCache>
                <c:ptCount val="1"/>
                <c:pt idx="0">
                  <c:v>Brain GSH</c:v>
                </c:pt>
              </c:strCache>
            </c:strRef>
          </c:tx>
          <c:errBars>
            <c:errBarType val="plus"/>
            <c:errValType val="cust"/>
            <c:plus>
              <c:numLit>
                <c:formatCode>General</c:formatCode>
                <c:ptCount val="4"/>
                <c:pt idx="0">
                  <c:v>0.83300000000000052</c:v>
                </c:pt>
                <c:pt idx="1">
                  <c:v>0.72000000000000053</c:v>
                </c:pt>
                <c:pt idx="2">
                  <c:v>0.76000000000000056</c:v>
                </c:pt>
                <c:pt idx="3">
                  <c:v>1.52</c:v>
                </c:pt>
              </c:numLit>
            </c:plus>
          </c:errBars>
          <c:cat>
            <c:strRef>
              <c:f>Sheet1!$I$43:$I$46</c:f>
              <c:strCache>
                <c:ptCount val="4"/>
                <c:pt idx="0">
                  <c:v>Control 1</c:v>
                </c:pt>
                <c:pt idx="1">
                  <c:v>Group 2</c:v>
                </c:pt>
                <c:pt idx="2">
                  <c:v>Group 3</c:v>
                </c:pt>
                <c:pt idx="3">
                  <c:v>Group 4</c:v>
                </c:pt>
              </c:strCache>
            </c:strRef>
          </c:cat>
          <c:val>
            <c:numRef>
              <c:f>Sheet1!$L$43:$L$46</c:f>
              <c:numCache>
                <c:formatCode>General</c:formatCode>
                <c:ptCount val="4"/>
                <c:pt idx="0">
                  <c:v>119.83</c:v>
                </c:pt>
                <c:pt idx="1">
                  <c:v>119.66</c:v>
                </c:pt>
                <c:pt idx="2">
                  <c:v>125.5</c:v>
                </c:pt>
                <c:pt idx="3">
                  <c:v>122.5</c:v>
                </c:pt>
              </c:numCache>
            </c:numRef>
          </c:val>
        </c:ser>
        <c:ser>
          <c:idx val="3"/>
          <c:order val="3"/>
          <c:tx>
            <c:strRef>
              <c:f>Sheet1!$M$42</c:f>
              <c:strCache>
                <c:ptCount val="1"/>
                <c:pt idx="0">
                  <c:v>Brain MDA</c:v>
                </c:pt>
              </c:strCache>
            </c:strRef>
          </c:tx>
          <c:dLbls>
            <c:dLbl>
              <c:idx val="0"/>
              <c:delete val="1"/>
            </c:dLbl>
            <c:dLbl>
              <c:idx val="1"/>
              <c:tx>
                <c:rich>
                  <a:bodyPr/>
                  <a:lstStyle/>
                  <a:p>
                    <a:r>
                      <a:rPr lang="en-US"/>
                      <a:t>a</a:t>
                    </a:r>
                  </a:p>
                </c:rich>
              </c:tx>
              <c:dLblPos val="outEnd"/>
            </c:dLbl>
            <c:dLbl>
              <c:idx val="2"/>
              <c:tx>
                <c:rich>
                  <a:bodyPr/>
                  <a:lstStyle/>
                  <a:p>
                    <a:r>
                      <a:rPr lang="en-US"/>
                      <a:t>b</a:t>
                    </a:r>
                  </a:p>
                </c:rich>
              </c:tx>
              <c:dLblPos val="outEnd"/>
            </c:dLbl>
            <c:dLbl>
              <c:idx val="3"/>
              <c:tx>
                <c:rich>
                  <a:bodyPr/>
                  <a:lstStyle/>
                  <a:p>
                    <a:r>
                      <a:rPr lang="en-US"/>
                      <a:t>b</a:t>
                    </a:r>
                  </a:p>
                </c:rich>
              </c:tx>
              <c:dLblPos val="outEnd"/>
            </c:dLbl>
            <c:txPr>
              <a:bodyPr/>
              <a:lstStyle/>
              <a:p>
                <a:pPr>
                  <a:defRPr lang="en-US"/>
                </a:pPr>
                <a:endParaRPr lang="en-US"/>
              </a:p>
            </c:txPr>
            <c:dLblPos val="outEnd"/>
            <c:showVal val="1"/>
          </c:dLbls>
          <c:errBars>
            <c:errBarType val="plus"/>
            <c:errValType val="cust"/>
            <c:plus>
              <c:numLit>
                <c:formatCode>General</c:formatCode>
                <c:ptCount val="4"/>
                <c:pt idx="0">
                  <c:v>1.4E-2</c:v>
                </c:pt>
                <c:pt idx="1">
                  <c:v>4.5999999999999999E-2</c:v>
                </c:pt>
                <c:pt idx="2">
                  <c:v>3.500000000000001E-2</c:v>
                </c:pt>
                <c:pt idx="3">
                  <c:v>7.1999999999999995E-2</c:v>
                </c:pt>
              </c:numLit>
            </c:plus>
          </c:errBars>
          <c:cat>
            <c:strRef>
              <c:f>Sheet1!$I$43:$I$46</c:f>
              <c:strCache>
                <c:ptCount val="4"/>
                <c:pt idx="0">
                  <c:v>Control 1</c:v>
                </c:pt>
                <c:pt idx="1">
                  <c:v>Group 2</c:v>
                </c:pt>
                <c:pt idx="2">
                  <c:v>Group 3</c:v>
                </c:pt>
                <c:pt idx="3">
                  <c:v>Group 4</c:v>
                </c:pt>
              </c:strCache>
            </c:strRef>
          </c:cat>
          <c:val>
            <c:numRef>
              <c:f>Sheet1!$M$43:$M$46</c:f>
              <c:numCache>
                <c:formatCode>General</c:formatCode>
                <c:ptCount val="4"/>
                <c:pt idx="0">
                  <c:v>0.56000000000000005</c:v>
                </c:pt>
                <c:pt idx="1">
                  <c:v>0.78</c:v>
                </c:pt>
                <c:pt idx="2">
                  <c:v>0.72000000000000053</c:v>
                </c:pt>
                <c:pt idx="3">
                  <c:v>0.71000000000000052</c:v>
                </c:pt>
              </c:numCache>
            </c:numRef>
          </c:val>
        </c:ser>
        <c:axId val="68410752"/>
        <c:axId val="70050944"/>
      </c:barChart>
      <c:catAx>
        <c:axId val="68410752"/>
        <c:scaling>
          <c:orientation val="minMax"/>
        </c:scaling>
        <c:axPos val="b"/>
        <c:numFmt formatCode="General" sourceLinked="1"/>
        <c:tickLblPos val="nextTo"/>
        <c:spPr>
          <a:ln w="12700"/>
        </c:spPr>
        <c:txPr>
          <a:bodyPr/>
          <a:lstStyle/>
          <a:p>
            <a:pPr>
              <a:defRPr lang="en-US"/>
            </a:pPr>
            <a:endParaRPr lang="en-US"/>
          </a:p>
        </c:txPr>
        <c:crossAx val="70050944"/>
        <c:crosses val="autoZero"/>
        <c:auto val="1"/>
        <c:lblAlgn val="ctr"/>
        <c:lblOffset val="100"/>
      </c:catAx>
      <c:valAx>
        <c:axId val="70050944"/>
        <c:scaling>
          <c:orientation val="minMax"/>
        </c:scaling>
        <c:axPos val="l"/>
        <c:numFmt formatCode="General" sourceLinked="1"/>
        <c:tickLblPos val="nextTo"/>
        <c:txPr>
          <a:bodyPr/>
          <a:lstStyle/>
          <a:p>
            <a:pPr>
              <a:defRPr lang="en-US"/>
            </a:pPr>
            <a:endParaRPr lang="en-US"/>
          </a:p>
        </c:txPr>
        <c:crossAx val="68410752"/>
        <c:crosses val="autoZero"/>
        <c:crossBetween val="between"/>
      </c:valAx>
    </c:plotArea>
    <c:legend>
      <c:legendPos val="r"/>
      <c:layout>
        <c:manualLayout>
          <c:xMode val="edge"/>
          <c:yMode val="edge"/>
          <c:x val="0.77324353970983861"/>
          <c:y val="0.33182141974055079"/>
          <c:w val="0.21800585394893504"/>
          <c:h val="0.6681785548763457"/>
        </c:manualLayout>
      </c:layout>
      <c:txPr>
        <a:bodyPr/>
        <a:lstStyle/>
        <a:p>
          <a:pPr>
            <a:defRPr lang="en-US"/>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6.8955627011802023E-2"/>
          <c:y val="0.11927428911502523"/>
          <c:w val="0.69873440316575264"/>
          <c:h val="0.79310701891938762"/>
        </c:manualLayout>
      </c:layout>
      <c:barChart>
        <c:barDir val="col"/>
        <c:grouping val="clustered"/>
        <c:ser>
          <c:idx val="0"/>
          <c:order val="0"/>
          <c:tx>
            <c:strRef>
              <c:f>Sheet1!$J$59</c:f>
              <c:strCache>
                <c:ptCount val="1"/>
                <c:pt idx="0">
                  <c:v>ALT</c:v>
                </c:pt>
              </c:strCache>
            </c:strRef>
          </c:tx>
          <c:dLbls>
            <c:dLbl>
              <c:idx val="0"/>
              <c:delete val="1"/>
            </c:dLbl>
            <c:dLbl>
              <c:idx val="1"/>
              <c:tx>
                <c:rich>
                  <a:bodyPr/>
                  <a:lstStyle/>
                  <a:p>
                    <a:r>
                      <a:rPr lang="en-US"/>
                      <a:t>a</a:t>
                    </a:r>
                  </a:p>
                </c:rich>
              </c:tx>
              <c:dLblPos val="outEnd"/>
            </c:dLbl>
            <c:dLbl>
              <c:idx val="2"/>
              <c:tx>
                <c:rich>
                  <a:bodyPr/>
                  <a:lstStyle/>
                  <a:p>
                    <a:r>
                      <a:rPr lang="en-US"/>
                      <a:t>b</a:t>
                    </a:r>
                  </a:p>
                </c:rich>
              </c:tx>
              <c:dLblPos val="outEnd"/>
            </c:dLbl>
            <c:dLbl>
              <c:idx val="3"/>
              <c:tx>
                <c:rich>
                  <a:bodyPr/>
                  <a:lstStyle/>
                  <a:p>
                    <a:r>
                      <a:rPr lang="en-US"/>
                      <a:t>b</a:t>
                    </a:r>
                  </a:p>
                </c:rich>
              </c:tx>
              <c:dLblPos val="outEnd"/>
            </c:dLbl>
            <c:txPr>
              <a:bodyPr/>
              <a:lstStyle/>
              <a:p>
                <a:pPr>
                  <a:defRPr lang="en-US"/>
                </a:pPr>
                <a:endParaRPr lang="en-US"/>
              </a:p>
            </c:txPr>
            <c:dLblPos val="outEnd"/>
            <c:showVal val="1"/>
          </c:dLbls>
          <c:errBars>
            <c:errBarType val="plus"/>
            <c:errValType val="cust"/>
            <c:plus>
              <c:numLit>
                <c:formatCode>General</c:formatCode>
                <c:ptCount val="4"/>
                <c:pt idx="0">
                  <c:v>2.165</c:v>
                </c:pt>
                <c:pt idx="1">
                  <c:v>0.46</c:v>
                </c:pt>
                <c:pt idx="2">
                  <c:v>0.10500000000000002</c:v>
                </c:pt>
                <c:pt idx="3">
                  <c:v>0.21000000000000013</c:v>
                </c:pt>
              </c:numLit>
            </c:plus>
          </c:errBars>
          <c:cat>
            <c:strRef>
              <c:f>Sheet1!$I$60:$I$63</c:f>
              <c:strCache>
                <c:ptCount val="4"/>
                <c:pt idx="0">
                  <c:v>Control 1</c:v>
                </c:pt>
                <c:pt idx="1">
                  <c:v>Group 2</c:v>
                </c:pt>
                <c:pt idx="2">
                  <c:v>Group 3</c:v>
                </c:pt>
                <c:pt idx="3">
                  <c:v>Group 4</c:v>
                </c:pt>
              </c:strCache>
            </c:strRef>
          </c:cat>
          <c:val>
            <c:numRef>
              <c:f>Sheet1!$J$60:$J$63</c:f>
              <c:numCache>
                <c:formatCode>General</c:formatCode>
                <c:ptCount val="4"/>
                <c:pt idx="0">
                  <c:v>13.39</c:v>
                </c:pt>
                <c:pt idx="1">
                  <c:v>7.08</c:v>
                </c:pt>
                <c:pt idx="2">
                  <c:v>3.8</c:v>
                </c:pt>
                <c:pt idx="3">
                  <c:v>2.5499999999999998</c:v>
                </c:pt>
              </c:numCache>
            </c:numRef>
          </c:val>
        </c:ser>
        <c:ser>
          <c:idx val="1"/>
          <c:order val="1"/>
          <c:tx>
            <c:strRef>
              <c:f>Sheet1!$K$59</c:f>
              <c:strCache>
                <c:ptCount val="1"/>
                <c:pt idx="0">
                  <c:v>AST</c:v>
                </c:pt>
              </c:strCache>
            </c:strRef>
          </c:tx>
          <c:dLbls>
            <c:dLbl>
              <c:idx val="0"/>
              <c:delete val="1"/>
            </c:dLbl>
            <c:dLbl>
              <c:idx val="1"/>
              <c:layout>
                <c:manualLayout>
                  <c:x val="0"/>
                  <c:y val="-2.098512782338785E-2"/>
                </c:manualLayout>
              </c:layout>
              <c:tx>
                <c:rich>
                  <a:bodyPr/>
                  <a:lstStyle/>
                  <a:p>
                    <a:r>
                      <a:rPr lang="en-US"/>
                      <a:t>a</a:t>
                    </a:r>
                  </a:p>
                </c:rich>
              </c:tx>
              <c:dLblPos val="outEnd"/>
            </c:dLbl>
            <c:dLbl>
              <c:idx val="2"/>
              <c:layout>
                <c:manualLayout>
                  <c:x val="0"/>
                  <c:y val="-2.7980170431183816E-2"/>
                </c:manualLayout>
              </c:layout>
              <c:tx>
                <c:rich>
                  <a:bodyPr/>
                  <a:lstStyle/>
                  <a:p>
                    <a:r>
                      <a:rPr lang="en-US"/>
                      <a:t>b</a:t>
                    </a:r>
                  </a:p>
                </c:rich>
              </c:tx>
              <c:dLblPos val="outEnd"/>
            </c:dLbl>
            <c:dLbl>
              <c:idx val="3"/>
              <c:layout>
                <c:manualLayout>
                  <c:x val="0"/>
                  <c:y val="-4.1970255646775666E-2"/>
                </c:manualLayout>
              </c:layout>
              <c:tx>
                <c:rich>
                  <a:bodyPr/>
                  <a:lstStyle/>
                  <a:p>
                    <a:r>
                      <a:rPr lang="en-US"/>
                      <a:t>b</a:t>
                    </a:r>
                  </a:p>
                </c:rich>
              </c:tx>
              <c:dLblPos val="outEnd"/>
            </c:dLbl>
            <c:txPr>
              <a:bodyPr/>
              <a:lstStyle/>
              <a:p>
                <a:pPr>
                  <a:defRPr lang="en-US"/>
                </a:pPr>
                <a:endParaRPr lang="en-US"/>
              </a:p>
            </c:txPr>
            <c:dLblPos val="outEnd"/>
            <c:showVal val="1"/>
          </c:dLbls>
          <c:errBars>
            <c:errBarType val="plus"/>
            <c:errValType val="cust"/>
            <c:plus>
              <c:numLit>
                <c:formatCode>General</c:formatCode>
                <c:ptCount val="4"/>
                <c:pt idx="0">
                  <c:v>1.04</c:v>
                </c:pt>
                <c:pt idx="1">
                  <c:v>3.2800000000000002</c:v>
                </c:pt>
                <c:pt idx="2">
                  <c:v>2.38</c:v>
                </c:pt>
                <c:pt idx="3">
                  <c:v>4.0199999999999996</c:v>
                </c:pt>
              </c:numLit>
            </c:plus>
          </c:errBars>
          <c:cat>
            <c:strRef>
              <c:f>Sheet1!$I$60:$I$63</c:f>
              <c:strCache>
                <c:ptCount val="4"/>
                <c:pt idx="0">
                  <c:v>Control 1</c:v>
                </c:pt>
                <c:pt idx="1">
                  <c:v>Group 2</c:v>
                </c:pt>
                <c:pt idx="2">
                  <c:v>Group 3</c:v>
                </c:pt>
                <c:pt idx="3">
                  <c:v>Group 4</c:v>
                </c:pt>
              </c:strCache>
            </c:strRef>
          </c:cat>
          <c:val>
            <c:numRef>
              <c:f>Sheet1!$K$60:$K$63</c:f>
              <c:numCache>
                <c:formatCode>General</c:formatCode>
                <c:ptCount val="4"/>
                <c:pt idx="0">
                  <c:v>84.05</c:v>
                </c:pt>
                <c:pt idx="1">
                  <c:v>68.05</c:v>
                </c:pt>
                <c:pt idx="2">
                  <c:v>59.230000000000011</c:v>
                </c:pt>
                <c:pt idx="3">
                  <c:v>66.06</c:v>
                </c:pt>
              </c:numCache>
            </c:numRef>
          </c:val>
        </c:ser>
        <c:ser>
          <c:idx val="2"/>
          <c:order val="2"/>
          <c:tx>
            <c:strRef>
              <c:f>Sheet1!$L$59</c:f>
              <c:strCache>
                <c:ptCount val="1"/>
                <c:pt idx="0">
                  <c:v>Liver Protein</c:v>
                </c:pt>
              </c:strCache>
            </c:strRef>
          </c:tx>
          <c:errBars>
            <c:errBarType val="plus"/>
            <c:errValType val="cust"/>
            <c:plus>
              <c:numLit>
                <c:formatCode>General</c:formatCode>
                <c:ptCount val="4"/>
                <c:pt idx="0">
                  <c:v>5.0000000000000044E-3</c:v>
                </c:pt>
                <c:pt idx="1">
                  <c:v>0.27</c:v>
                </c:pt>
                <c:pt idx="2">
                  <c:v>9.4000000000000028E-2</c:v>
                </c:pt>
                <c:pt idx="3">
                  <c:v>1.2999999999999998E-2</c:v>
                </c:pt>
              </c:numLit>
            </c:plus>
          </c:errBars>
          <c:cat>
            <c:strRef>
              <c:f>Sheet1!$I$60:$I$63</c:f>
              <c:strCache>
                <c:ptCount val="4"/>
                <c:pt idx="0">
                  <c:v>Control 1</c:v>
                </c:pt>
                <c:pt idx="1">
                  <c:v>Group 2</c:v>
                </c:pt>
                <c:pt idx="2">
                  <c:v>Group 3</c:v>
                </c:pt>
                <c:pt idx="3">
                  <c:v>Group 4</c:v>
                </c:pt>
              </c:strCache>
            </c:strRef>
          </c:cat>
          <c:val>
            <c:numRef>
              <c:f>Sheet1!$L$60:$L$63</c:f>
              <c:numCache>
                <c:formatCode>General</c:formatCode>
                <c:ptCount val="4"/>
                <c:pt idx="0">
                  <c:v>2.12</c:v>
                </c:pt>
                <c:pt idx="1">
                  <c:v>2.0299999999999998</c:v>
                </c:pt>
                <c:pt idx="2">
                  <c:v>1.1499999999999988</c:v>
                </c:pt>
                <c:pt idx="3">
                  <c:v>1.9800000000000009</c:v>
                </c:pt>
              </c:numCache>
            </c:numRef>
          </c:val>
        </c:ser>
        <c:ser>
          <c:idx val="3"/>
          <c:order val="3"/>
          <c:tx>
            <c:strRef>
              <c:f>Sheet1!$M$59</c:f>
              <c:strCache>
                <c:ptCount val="1"/>
                <c:pt idx="0">
                  <c:v>Brain Protein</c:v>
                </c:pt>
              </c:strCache>
            </c:strRef>
          </c:tx>
          <c:errBars>
            <c:errBarType val="plus"/>
            <c:errValType val="cust"/>
            <c:plus>
              <c:numLit>
                <c:formatCode>General</c:formatCode>
                <c:ptCount val="4"/>
                <c:pt idx="0">
                  <c:v>5.0000000000000044E-3</c:v>
                </c:pt>
                <c:pt idx="1">
                  <c:v>5.0000000000000044E-3</c:v>
                </c:pt>
                <c:pt idx="2">
                  <c:v>2.0000000000000022E-3</c:v>
                </c:pt>
                <c:pt idx="3">
                  <c:v>3.0000000000000027E-3</c:v>
                </c:pt>
              </c:numLit>
            </c:plus>
          </c:errBars>
          <c:cat>
            <c:strRef>
              <c:f>Sheet1!$I$60:$I$63</c:f>
              <c:strCache>
                <c:ptCount val="4"/>
                <c:pt idx="0">
                  <c:v>Control 1</c:v>
                </c:pt>
                <c:pt idx="1">
                  <c:v>Group 2</c:v>
                </c:pt>
                <c:pt idx="2">
                  <c:v>Group 3</c:v>
                </c:pt>
                <c:pt idx="3">
                  <c:v>Group 4</c:v>
                </c:pt>
              </c:strCache>
            </c:strRef>
          </c:cat>
          <c:val>
            <c:numRef>
              <c:f>Sheet1!$M$60:$M$63</c:f>
              <c:numCache>
                <c:formatCode>General</c:formatCode>
                <c:ptCount val="4"/>
                <c:pt idx="0">
                  <c:v>0.10500000000000002</c:v>
                </c:pt>
                <c:pt idx="1">
                  <c:v>0.11100000000000002</c:v>
                </c:pt>
                <c:pt idx="2">
                  <c:v>0.11000000000000001</c:v>
                </c:pt>
                <c:pt idx="3">
                  <c:v>0.13900000000000001</c:v>
                </c:pt>
              </c:numCache>
            </c:numRef>
          </c:val>
        </c:ser>
        <c:axId val="70342528"/>
        <c:axId val="70344064"/>
      </c:barChart>
      <c:catAx>
        <c:axId val="70342528"/>
        <c:scaling>
          <c:orientation val="minMax"/>
        </c:scaling>
        <c:axPos val="b"/>
        <c:numFmt formatCode="General" sourceLinked="1"/>
        <c:tickLblPos val="nextTo"/>
        <c:txPr>
          <a:bodyPr/>
          <a:lstStyle/>
          <a:p>
            <a:pPr>
              <a:defRPr lang="en-US"/>
            </a:pPr>
            <a:endParaRPr lang="en-US"/>
          </a:p>
        </c:txPr>
        <c:crossAx val="70344064"/>
        <c:crosses val="autoZero"/>
        <c:auto val="1"/>
        <c:lblAlgn val="ctr"/>
        <c:lblOffset val="100"/>
      </c:catAx>
      <c:valAx>
        <c:axId val="70344064"/>
        <c:scaling>
          <c:orientation val="minMax"/>
        </c:scaling>
        <c:axPos val="l"/>
        <c:numFmt formatCode="General" sourceLinked="1"/>
        <c:tickLblPos val="nextTo"/>
        <c:txPr>
          <a:bodyPr/>
          <a:lstStyle/>
          <a:p>
            <a:pPr>
              <a:defRPr lang="en-US"/>
            </a:pPr>
            <a:endParaRPr lang="en-US"/>
          </a:p>
        </c:txPr>
        <c:crossAx val="70342528"/>
        <c:crosses val="autoZero"/>
        <c:crossBetween val="between"/>
      </c:valAx>
      <c:spPr>
        <a:scene3d>
          <a:camera prst="orthographicFront"/>
          <a:lightRig rig="threePt" dir="t"/>
        </a:scene3d>
        <a:sp3d>
          <a:bevelT w="0"/>
          <a:bevelB w="0"/>
        </a:sp3d>
      </c:spPr>
    </c:plotArea>
    <c:legend>
      <c:legendPos val="r"/>
      <c:txPr>
        <a:bodyPr/>
        <a:lstStyle/>
        <a:p>
          <a:pPr>
            <a:defRPr lang="en-US"/>
          </a:pPr>
          <a:endParaRPr lang="en-US"/>
        </a:p>
      </c:txPr>
    </c:legend>
    <c:plotVisOnly val="1"/>
    <c:dispBlanksAs val="gap"/>
  </c:chart>
  <c:externalData r:id="rId2"/>
</c:chartSpace>
</file>

<file path=word/drawings/drawing1.xml><?xml version="1.0" encoding="utf-8"?>
<c:userShapes xmlns:c="http://schemas.openxmlformats.org/drawingml/2006/chart">
  <cdr:relSizeAnchor xmlns:cdr="http://schemas.openxmlformats.org/drawingml/2006/chartDrawing">
    <cdr:from>
      <cdr:x>0.17943</cdr:x>
      <cdr:y>0.21947</cdr:y>
    </cdr:from>
    <cdr:to>
      <cdr:x>0.3973</cdr:x>
      <cdr:y>0.54312</cdr:y>
    </cdr:to>
    <cdr:sp macro="" textlink="">
      <cdr:nvSpPr>
        <cdr:cNvPr id="2" name="TextBox 1"/>
        <cdr:cNvSpPr txBox="1"/>
      </cdr:nvSpPr>
      <cdr:spPr>
        <a:xfrm xmlns:a="http://schemas.openxmlformats.org/drawingml/2006/main">
          <a:off x="754593" y="62124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0.17943</cdr:x>
      <cdr:y>0.21947</cdr:y>
    </cdr:from>
    <cdr:to>
      <cdr:x>0.3973</cdr:x>
      <cdr:y>0.54312</cdr:y>
    </cdr:to>
    <cdr:sp macro="" textlink="">
      <cdr:nvSpPr>
        <cdr:cNvPr id="3" name="TextBox 1"/>
        <cdr:cNvSpPr txBox="1"/>
      </cdr:nvSpPr>
      <cdr:spPr>
        <a:xfrm xmlns:a="http://schemas.openxmlformats.org/drawingml/2006/main">
          <a:off x="754593" y="62124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7</Pages>
  <Words>4747</Words>
  <Characters>27058</Characters>
  <Application>Microsoft Office Word</Application>
  <DocSecurity>0</DocSecurity>
  <Lines>225</Lines>
  <Paragraphs>63</Paragraphs>
  <ScaleCrop>false</ScaleCrop>
  <Company/>
  <LinksUpToDate>false</LinksUpToDate>
  <CharactersWithSpaces>31742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Adesanmi</dc:creator>
  <cp:lastModifiedBy>Administrator</cp:lastModifiedBy>
  <cp:revision>4</cp:revision>
  <cp:lastPrinted>2015-01-03T00:46:00Z</cp:lastPrinted>
  <dcterms:created xsi:type="dcterms:W3CDTF">2015-01-03T00:46:00Z</dcterms:created>
  <dcterms:modified xsi:type="dcterms:W3CDTF">2015-01-03T00:57:00Z</dcterms:modified>
</cp:coreProperties>
</file>