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48" w:rsidRPr="00011DB0" w:rsidRDefault="00531B48" w:rsidP="00011DB0">
      <w:pPr>
        <w:suppressAutoHyphens w:val="0"/>
        <w:snapToGrid w:val="0"/>
        <w:jc w:val="center"/>
        <w:rPr>
          <w:rFonts w:eastAsia="Times New Roman"/>
          <w:b/>
          <w:bCs/>
          <w:sz w:val="20"/>
          <w:szCs w:val="20"/>
          <w:lang w:eastAsia="en-US" w:bidi="fa-IR"/>
        </w:rPr>
      </w:pPr>
      <w:r w:rsidRPr="00011DB0">
        <w:rPr>
          <w:rFonts w:eastAsia="Times New Roman"/>
          <w:b/>
          <w:bCs/>
          <w:sz w:val="20"/>
          <w:szCs w:val="20"/>
          <w:lang w:eastAsia="en-US" w:bidi="fa-IR"/>
        </w:rPr>
        <w:t xml:space="preserve">Effects of </w:t>
      </w:r>
      <w:proofErr w:type="spellStart"/>
      <w:r w:rsidRPr="00011DB0">
        <w:rPr>
          <w:rFonts w:eastAsia="Times New Roman"/>
          <w:b/>
          <w:bCs/>
          <w:sz w:val="20"/>
          <w:szCs w:val="20"/>
          <w:lang w:eastAsia="en-US" w:bidi="fa-IR"/>
        </w:rPr>
        <w:t>Metacognitive</w:t>
      </w:r>
      <w:proofErr w:type="spellEnd"/>
      <w:r w:rsidRPr="00011DB0">
        <w:rPr>
          <w:rFonts w:eastAsia="Times New Roman"/>
          <w:b/>
          <w:bCs/>
          <w:sz w:val="20"/>
          <w:szCs w:val="20"/>
          <w:lang w:eastAsia="en-US" w:bidi="fa-IR"/>
        </w:rPr>
        <w:t xml:space="preserve"> Therapy Instructions on the Depressed Patients' Irrational Thinking</w:t>
      </w:r>
    </w:p>
    <w:p w:rsidR="00531B48" w:rsidRPr="00011DB0" w:rsidRDefault="00531B48" w:rsidP="00011DB0">
      <w:pPr>
        <w:suppressAutoHyphens w:val="0"/>
        <w:snapToGrid w:val="0"/>
        <w:jc w:val="center"/>
        <w:rPr>
          <w:rFonts w:eastAsia="Times New Roman"/>
          <w:b/>
          <w:bCs/>
          <w:sz w:val="20"/>
          <w:szCs w:val="20"/>
          <w:lang w:eastAsia="en-US" w:bidi="fa-IR"/>
        </w:rPr>
      </w:pPr>
    </w:p>
    <w:p w:rsidR="00531B48" w:rsidRPr="00011DB0" w:rsidRDefault="00531B48" w:rsidP="00011DB0">
      <w:pPr>
        <w:suppressAutoHyphens w:val="0"/>
        <w:snapToGrid w:val="0"/>
        <w:jc w:val="center"/>
        <w:rPr>
          <w:rFonts w:eastAsia="Times New Roman"/>
          <w:sz w:val="20"/>
          <w:szCs w:val="20"/>
          <w:vertAlign w:val="superscript"/>
          <w:lang w:eastAsia="en-US" w:bidi="fa-IR"/>
        </w:rPr>
      </w:pPr>
      <w:proofErr w:type="spellStart"/>
      <w:r w:rsidRPr="00011DB0">
        <w:rPr>
          <w:rFonts w:eastAsia="Times New Roman"/>
          <w:sz w:val="20"/>
          <w:szCs w:val="20"/>
          <w:lang w:eastAsia="en-US" w:bidi="fa-IR"/>
        </w:rPr>
        <w:t>Mohammadreza</w:t>
      </w:r>
      <w:proofErr w:type="spellEnd"/>
      <w:r w:rsidRPr="00011DB0">
        <w:rPr>
          <w:rFonts w:eastAsia="Times New Roman"/>
          <w:sz w:val="20"/>
          <w:szCs w:val="20"/>
          <w:lang w:eastAsia="en-US" w:bidi="fa-IR"/>
        </w:rPr>
        <w:t xml:space="preserve"> Zarbakhsh</w:t>
      </w:r>
      <w:r w:rsidRPr="00011DB0">
        <w:rPr>
          <w:rFonts w:eastAsia="Times New Roman"/>
          <w:sz w:val="20"/>
          <w:szCs w:val="20"/>
          <w:vertAlign w:val="superscript"/>
          <w:lang w:eastAsia="en-US" w:bidi="fa-IR"/>
        </w:rPr>
        <w:t>1</w:t>
      </w:r>
      <w:r w:rsidRPr="00011DB0">
        <w:rPr>
          <w:rFonts w:eastAsia="Times New Roman"/>
          <w:sz w:val="20"/>
          <w:szCs w:val="20"/>
          <w:lang w:eastAsia="en-US" w:bidi="fa-IR"/>
        </w:rPr>
        <w:t xml:space="preserve">, </w:t>
      </w:r>
      <w:proofErr w:type="spellStart"/>
      <w:r w:rsidRPr="00011DB0">
        <w:rPr>
          <w:rFonts w:eastAsia="Times New Roman"/>
          <w:sz w:val="20"/>
          <w:szCs w:val="20"/>
          <w:lang w:eastAsia="en-US" w:bidi="fa-IR"/>
        </w:rPr>
        <w:t>Shabnam</w:t>
      </w:r>
      <w:proofErr w:type="spellEnd"/>
      <w:r w:rsidRPr="00011DB0">
        <w:rPr>
          <w:rFonts w:eastAsia="Times New Roman"/>
          <w:sz w:val="20"/>
          <w:szCs w:val="20"/>
          <w:lang w:eastAsia="en-US" w:bidi="fa-IR"/>
        </w:rPr>
        <w:t xml:space="preserve"> Birjandi</w:t>
      </w:r>
      <w:r w:rsidRPr="00011DB0">
        <w:rPr>
          <w:rFonts w:eastAsia="Times New Roman"/>
          <w:sz w:val="20"/>
          <w:szCs w:val="20"/>
          <w:vertAlign w:val="superscript"/>
          <w:lang w:eastAsia="en-US" w:bidi="fa-IR"/>
        </w:rPr>
        <w:t>2</w:t>
      </w:r>
      <w:r w:rsidRPr="00011DB0">
        <w:rPr>
          <w:rFonts w:eastAsia="Times New Roman"/>
          <w:sz w:val="20"/>
          <w:szCs w:val="20"/>
          <w:lang w:eastAsia="en-US" w:bidi="fa-IR"/>
        </w:rPr>
        <w:t xml:space="preserve">, </w:t>
      </w:r>
      <w:proofErr w:type="spellStart"/>
      <w:r w:rsidRPr="00011DB0">
        <w:rPr>
          <w:rFonts w:eastAsia="Times New Roman"/>
          <w:sz w:val="20"/>
          <w:szCs w:val="20"/>
          <w:lang w:eastAsia="en-US" w:bidi="fa-IR"/>
        </w:rPr>
        <w:t>Parastou</w:t>
      </w:r>
      <w:proofErr w:type="spellEnd"/>
      <w:r w:rsidRPr="00011DB0">
        <w:rPr>
          <w:rFonts w:eastAsia="Times New Roman"/>
          <w:sz w:val="20"/>
          <w:szCs w:val="20"/>
          <w:lang w:eastAsia="en-US" w:bidi="fa-IR"/>
        </w:rPr>
        <w:t xml:space="preserve"> </w:t>
      </w:r>
      <w:proofErr w:type="spellStart"/>
      <w:r w:rsidRPr="00011DB0">
        <w:rPr>
          <w:rFonts w:eastAsia="Times New Roman"/>
          <w:sz w:val="20"/>
          <w:szCs w:val="20"/>
          <w:lang w:eastAsia="en-US" w:bidi="fa-IR"/>
        </w:rPr>
        <w:t>Taghavi</w:t>
      </w:r>
      <w:proofErr w:type="spellEnd"/>
      <w:r w:rsidRPr="00011DB0">
        <w:rPr>
          <w:rFonts w:eastAsia="Times New Roman"/>
          <w:sz w:val="20"/>
          <w:szCs w:val="20"/>
          <w:lang w:eastAsia="en-US" w:bidi="fa-IR"/>
        </w:rPr>
        <w:t xml:space="preserve"> Dinani</w:t>
      </w:r>
      <w:r w:rsidRPr="00011DB0">
        <w:rPr>
          <w:rFonts w:eastAsia="Times New Roman"/>
          <w:sz w:val="20"/>
          <w:szCs w:val="20"/>
          <w:vertAlign w:val="superscript"/>
          <w:lang w:eastAsia="en-US" w:bidi="fa-IR"/>
        </w:rPr>
        <w:t>2</w:t>
      </w:r>
    </w:p>
    <w:p w:rsidR="00531B48" w:rsidRPr="00011DB0" w:rsidRDefault="00531B48" w:rsidP="00011DB0">
      <w:pPr>
        <w:suppressAutoHyphens w:val="0"/>
        <w:snapToGrid w:val="0"/>
        <w:jc w:val="center"/>
        <w:rPr>
          <w:rFonts w:eastAsia="Times New Roman"/>
          <w:sz w:val="20"/>
          <w:szCs w:val="20"/>
          <w:vertAlign w:val="superscript"/>
          <w:lang w:eastAsia="en-US" w:bidi="fa-IR"/>
        </w:rPr>
      </w:pPr>
    </w:p>
    <w:p w:rsidR="00531B48" w:rsidRPr="00011DB0" w:rsidRDefault="00531B48" w:rsidP="00011DB0">
      <w:pPr>
        <w:suppressAutoHyphens w:val="0"/>
        <w:snapToGrid w:val="0"/>
        <w:jc w:val="center"/>
        <w:rPr>
          <w:rFonts w:eastAsia="Times New Roman"/>
          <w:b/>
          <w:bCs/>
          <w:sz w:val="20"/>
          <w:szCs w:val="20"/>
          <w:lang w:eastAsia="en-US" w:bidi="fa-IR"/>
        </w:rPr>
      </w:pPr>
      <w:r w:rsidRPr="00011DB0">
        <w:rPr>
          <w:rFonts w:eastAsia="Times New Roman"/>
          <w:sz w:val="20"/>
          <w:szCs w:val="20"/>
          <w:vertAlign w:val="superscript"/>
          <w:lang w:eastAsia="en-US" w:bidi="fa-IR"/>
        </w:rPr>
        <w:t xml:space="preserve">1. </w:t>
      </w:r>
      <w:r w:rsidRPr="00011DB0">
        <w:rPr>
          <w:rFonts w:eastAsia="Times New Roman"/>
          <w:sz w:val="20"/>
          <w:szCs w:val="20"/>
          <w:lang w:eastAsia="en-US" w:bidi="fa-IR"/>
        </w:rPr>
        <w:t xml:space="preserve">PhD., Department of Psychology, Islamic Azad University, </w:t>
      </w:r>
      <w:proofErr w:type="spellStart"/>
      <w:r w:rsidRPr="00011DB0">
        <w:rPr>
          <w:rFonts w:eastAsia="Times New Roman"/>
          <w:sz w:val="20"/>
          <w:szCs w:val="20"/>
          <w:lang w:eastAsia="en-US" w:bidi="fa-IR"/>
        </w:rPr>
        <w:t>Tonekabon</w:t>
      </w:r>
      <w:proofErr w:type="spellEnd"/>
      <w:r w:rsidRPr="00011DB0">
        <w:rPr>
          <w:rFonts w:eastAsia="Times New Roman"/>
          <w:sz w:val="20"/>
          <w:szCs w:val="20"/>
          <w:lang w:eastAsia="en-US" w:bidi="fa-IR"/>
        </w:rPr>
        <w:t xml:space="preserve"> Branch, Iran</w:t>
      </w:r>
    </w:p>
    <w:p w:rsidR="00531B48" w:rsidRPr="00011DB0" w:rsidRDefault="00531B48" w:rsidP="00011DB0">
      <w:pPr>
        <w:suppressAutoHyphens w:val="0"/>
        <w:snapToGrid w:val="0"/>
        <w:jc w:val="center"/>
        <w:rPr>
          <w:rFonts w:eastAsia="Times New Roman"/>
          <w:b/>
          <w:bCs/>
          <w:sz w:val="20"/>
          <w:szCs w:val="20"/>
          <w:lang w:eastAsia="en-US" w:bidi="fa-IR"/>
        </w:rPr>
      </w:pPr>
      <w:r w:rsidRPr="00011DB0">
        <w:rPr>
          <w:rFonts w:eastAsia="Times New Roman"/>
          <w:sz w:val="20"/>
          <w:szCs w:val="20"/>
          <w:vertAlign w:val="superscript"/>
          <w:lang w:eastAsia="en-US" w:bidi="fa-IR"/>
        </w:rPr>
        <w:t xml:space="preserve">2. </w:t>
      </w:r>
      <w:r w:rsidRPr="00011DB0">
        <w:rPr>
          <w:rFonts w:eastAsia="Times New Roman"/>
          <w:sz w:val="20"/>
          <w:szCs w:val="20"/>
          <w:lang w:eastAsia="en-US" w:bidi="fa-IR"/>
        </w:rPr>
        <w:t>M.</w:t>
      </w:r>
      <w:r w:rsidR="00E11EC1">
        <w:rPr>
          <w:rFonts w:eastAsiaTheme="minorEastAsia" w:hint="eastAsia"/>
          <w:sz w:val="20"/>
          <w:szCs w:val="20"/>
          <w:lang w:eastAsia="zh-CN" w:bidi="fa-IR"/>
        </w:rPr>
        <w:t xml:space="preserve"> </w:t>
      </w:r>
      <w:r w:rsidRPr="00011DB0">
        <w:rPr>
          <w:rFonts w:eastAsia="Times New Roman"/>
          <w:sz w:val="20"/>
          <w:szCs w:val="20"/>
          <w:lang w:eastAsia="en-US" w:bidi="fa-IR"/>
        </w:rPr>
        <w:t>A. in Clinical Psychology</w:t>
      </w:r>
    </w:p>
    <w:p w:rsidR="00531B48" w:rsidRPr="00011DB0" w:rsidRDefault="001E0698" w:rsidP="00011DB0">
      <w:pPr>
        <w:suppressAutoHyphens w:val="0"/>
        <w:snapToGrid w:val="0"/>
        <w:jc w:val="center"/>
        <w:rPr>
          <w:rFonts w:eastAsia="Times New Roman"/>
          <w:sz w:val="20"/>
          <w:szCs w:val="20"/>
          <w:lang w:eastAsia="en-US" w:bidi="fa-IR"/>
        </w:rPr>
      </w:pPr>
      <w:hyperlink r:id="rId8" w:history="1">
        <w:r w:rsidR="00531B48" w:rsidRPr="00011DB0">
          <w:rPr>
            <w:rFonts w:eastAsia="Times New Roman"/>
            <w:color w:val="0000FF"/>
            <w:sz w:val="20"/>
            <w:szCs w:val="20"/>
            <w:u w:val="single"/>
            <w:lang w:eastAsia="en-US" w:bidi="fa-IR"/>
          </w:rPr>
          <w:t>shbpersian_psy@yahoo.com</w:t>
        </w:r>
      </w:hyperlink>
    </w:p>
    <w:p w:rsidR="001817C7" w:rsidRPr="00011DB0" w:rsidRDefault="001817C7" w:rsidP="00011DB0">
      <w:pPr>
        <w:snapToGrid w:val="0"/>
        <w:jc w:val="center"/>
        <w:rPr>
          <w:sz w:val="20"/>
          <w:szCs w:val="20"/>
        </w:rPr>
      </w:pPr>
    </w:p>
    <w:p w:rsidR="00F02F8B" w:rsidRPr="00011DB0" w:rsidRDefault="00471E57" w:rsidP="00011DB0">
      <w:pPr>
        <w:snapToGrid w:val="0"/>
        <w:jc w:val="both"/>
        <w:rPr>
          <w:sz w:val="20"/>
          <w:szCs w:val="20"/>
        </w:rPr>
      </w:pPr>
      <w:r w:rsidRPr="00011DB0">
        <w:rPr>
          <w:b/>
          <w:sz w:val="20"/>
          <w:szCs w:val="20"/>
        </w:rPr>
        <w:t xml:space="preserve">Abstract: </w:t>
      </w:r>
      <w:r w:rsidR="00F02F8B" w:rsidRPr="00011DB0">
        <w:rPr>
          <w:sz w:val="20"/>
          <w:szCs w:val="20"/>
        </w:rPr>
        <w:t>Introduction:</w:t>
      </w:r>
      <w:r w:rsidR="00F02F8B" w:rsidRPr="00011DB0">
        <w:rPr>
          <w:b/>
          <w:bCs/>
          <w:sz w:val="20"/>
          <w:szCs w:val="20"/>
        </w:rPr>
        <w:t xml:space="preserve"> </w:t>
      </w:r>
      <w:r w:rsidR="00F02F8B" w:rsidRPr="00011DB0">
        <w:rPr>
          <w:sz w:val="20"/>
          <w:szCs w:val="20"/>
        </w:rPr>
        <w:t>The present research has aimed at exploring the effectiveness of meta-cognitive therapy instructions on the depressed patients' irrational thinking.</w:t>
      </w:r>
      <w:r w:rsidR="00F02F8B" w:rsidRPr="00011DB0">
        <w:rPr>
          <w:b/>
          <w:bCs/>
          <w:sz w:val="20"/>
          <w:szCs w:val="20"/>
        </w:rPr>
        <w:t xml:space="preserve"> </w:t>
      </w:r>
      <w:r w:rsidR="00F02F8B" w:rsidRPr="00011DB0">
        <w:rPr>
          <w:sz w:val="20"/>
          <w:szCs w:val="20"/>
        </w:rPr>
        <w:t xml:space="preserve">Method: The statistical population of the research consisted of 120 depressed patients who had been introduced to </w:t>
      </w:r>
      <w:proofErr w:type="spellStart"/>
      <w:r w:rsidR="00F02F8B" w:rsidRPr="00011DB0">
        <w:rPr>
          <w:sz w:val="20"/>
          <w:szCs w:val="20"/>
        </w:rPr>
        <w:t>Boroujerd</w:t>
      </w:r>
      <w:proofErr w:type="spellEnd"/>
      <w:r w:rsidR="00F02F8B" w:rsidRPr="00011DB0">
        <w:rPr>
          <w:sz w:val="20"/>
          <w:szCs w:val="20"/>
        </w:rPr>
        <w:t xml:space="preserve"> </w:t>
      </w:r>
      <w:proofErr w:type="spellStart"/>
      <w:r w:rsidR="00F02F8B" w:rsidRPr="00011DB0">
        <w:rPr>
          <w:sz w:val="20"/>
          <w:szCs w:val="20"/>
        </w:rPr>
        <w:t>Farhangian</w:t>
      </w:r>
      <w:proofErr w:type="spellEnd"/>
      <w:r w:rsidR="00F02F8B" w:rsidRPr="00011DB0">
        <w:rPr>
          <w:b/>
          <w:bCs/>
          <w:sz w:val="20"/>
          <w:szCs w:val="20"/>
        </w:rPr>
        <w:t xml:space="preserve"> </w:t>
      </w:r>
      <w:r w:rsidR="00F02F8B" w:rsidRPr="00011DB0">
        <w:rPr>
          <w:sz w:val="20"/>
          <w:szCs w:val="20"/>
        </w:rPr>
        <w:t xml:space="preserve">Clinic by psychiatrists. 70 patients were randomly selected among them in order to reply to an Irrational Thinking Questionnaire, whereby 45 members gained scores above </w:t>
      </w:r>
      <w:smartTag w:uri="urn:schemas-microsoft-com:office:smarttags" w:element="metricconverter">
        <w:smartTagPr>
          <w:attr w:name="ProductID" w:val="5 in"/>
        </w:smartTagPr>
        <w:r w:rsidR="00F02F8B" w:rsidRPr="00011DB0">
          <w:rPr>
            <w:sz w:val="20"/>
            <w:szCs w:val="20"/>
          </w:rPr>
          <w:t>5 in</w:t>
        </w:r>
      </w:smartTag>
      <w:r w:rsidR="00F02F8B" w:rsidRPr="00011DB0">
        <w:rPr>
          <w:sz w:val="20"/>
          <w:szCs w:val="20"/>
        </w:rPr>
        <w:t xml:space="preserve">, at least, and 6 beliefs. Then, in a totally random manner, 30 subjects were taken as members of the research sample divided into an experiment group and a control group each one consisting of 15 patients. The experiment group members received </w:t>
      </w:r>
      <w:proofErr w:type="spellStart"/>
      <w:r w:rsidR="00F02F8B" w:rsidRPr="00011DB0">
        <w:rPr>
          <w:sz w:val="20"/>
          <w:szCs w:val="20"/>
        </w:rPr>
        <w:t>metacognitive</w:t>
      </w:r>
      <w:proofErr w:type="spellEnd"/>
      <w:r w:rsidR="00F02F8B" w:rsidRPr="00011DB0">
        <w:rPr>
          <w:sz w:val="20"/>
          <w:szCs w:val="20"/>
        </w:rPr>
        <w:t xml:space="preserve"> therapy instructions for 8 sessions of 90 minutes. The data gathered were analyzed against a multivariable covariance test through the SPSS software. Findings: The irrational beliefs of the experiment group subjects who had received </w:t>
      </w:r>
      <w:proofErr w:type="spellStart"/>
      <w:r w:rsidR="00F02F8B" w:rsidRPr="00011DB0">
        <w:rPr>
          <w:sz w:val="20"/>
          <w:szCs w:val="20"/>
        </w:rPr>
        <w:t>metacognitive</w:t>
      </w:r>
      <w:proofErr w:type="spellEnd"/>
      <w:r w:rsidR="00F02F8B" w:rsidRPr="00011DB0">
        <w:rPr>
          <w:sz w:val="20"/>
          <w:szCs w:val="20"/>
        </w:rPr>
        <w:t xml:space="preserve"> therapy instructions were significantly decreased in comparison with those of the control group members (P = 0.0001). Conclusion: Teaching </w:t>
      </w:r>
      <w:proofErr w:type="spellStart"/>
      <w:r w:rsidR="00F02F8B" w:rsidRPr="00011DB0">
        <w:rPr>
          <w:sz w:val="20"/>
          <w:szCs w:val="20"/>
        </w:rPr>
        <w:t>metacognitive</w:t>
      </w:r>
      <w:proofErr w:type="spellEnd"/>
      <w:r w:rsidR="00F02F8B" w:rsidRPr="00011DB0">
        <w:rPr>
          <w:sz w:val="20"/>
          <w:szCs w:val="20"/>
        </w:rPr>
        <w:t xml:space="preserve"> therapy techniques can be used as an effective method of decreasing irrational beliefs in depressed patients.</w:t>
      </w:r>
    </w:p>
    <w:p w:rsidR="00011DB0" w:rsidRPr="00011DB0" w:rsidRDefault="00177C9A" w:rsidP="00011DB0">
      <w:pPr>
        <w:snapToGrid w:val="0"/>
        <w:jc w:val="both"/>
        <w:rPr>
          <w:sz w:val="20"/>
          <w:szCs w:val="20"/>
          <w:lang w:eastAsia="zh-CN"/>
        </w:rPr>
      </w:pPr>
      <w:r w:rsidRPr="00011DB0">
        <w:rPr>
          <w:sz w:val="20"/>
          <w:szCs w:val="20"/>
        </w:rPr>
        <w:t>[</w:t>
      </w:r>
      <w:proofErr w:type="spellStart"/>
      <w:r w:rsidR="00531B48" w:rsidRPr="00011DB0">
        <w:rPr>
          <w:rFonts w:eastAsia="Times New Roman"/>
          <w:sz w:val="20"/>
          <w:szCs w:val="20"/>
          <w:lang w:eastAsia="en-US" w:bidi="fa-IR"/>
        </w:rPr>
        <w:t>Mohammadreza</w:t>
      </w:r>
      <w:proofErr w:type="spellEnd"/>
      <w:r w:rsidR="00531B48" w:rsidRPr="00011DB0">
        <w:rPr>
          <w:rFonts w:eastAsia="Times New Roman"/>
          <w:sz w:val="20"/>
          <w:szCs w:val="20"/>
          <w:lang w:eastAsia="en-US" w:bidi="fa-IR"/>
        </w:rPr>
        <w:t xml:space="preserve"> </w:t>
      </w:r>
      <w:proofErr w:type="spellStart"/>
      <w:r w:rsidR="00531B48" w:rsidRPr="00011DB0">
        <w:rPr>
          <w:rFonts w:eastAsia="Times New Roman"/>
          <w:sz w:val="20"/>
          <w:szCs w:val="20"/>
          <w:lang w:eastAsia="en-US" w:bidi="fa-IR"/>
        </w:rPr>
        <w:t>Zarbakhsh</w:t>
      </w:r>
      <w:proofErr w:type="spellEnd"/>
      <w:r w:rsidR="00531B48" w:rsidRPr="00011DB0">
        <w:rPr>
          <w:rFonts w:eastAsia="Times New Roman"/>
          <w:sz w:val="20"/>
          <w:szCs w:val="20"/>
          <w:lang w:eastAsia="en-US" w:bidi="fa-IR"/>
        </w:rPr>
        <w:t xml:space="preserve">, </w:t>
      </w:r>
      <w:proofErr w:type="spellStart"/>
      <w:r w:rsidR="00531B48" w:rsidRPr="00011DB0">
        <w:rPr>
          <w:rFonts w:eastAsia="Times New Roman"/>
          <w:sz w:val="20"/>
          <w:szCs w:val="20"/>
          <w:lang w:eastAsia="en-US" w:bidi="fa-IR"/>
        </w:rPr>
        <w:t>Shabnam</w:t>
      </w:r>
      <w:proofErr w:type="spellEnd"/>
      <w:r w:rsidR="00531B48" w:rsidRPr="00011DB0">
        <w:rPr>
          <w:rFonts w:eastAsia="Times New Roman"/>
          <w:sz w:val="20"/>
          <w:szCs w:val="20"/>
          <w:lang w:eastAsia="en-US" w:bidi="fa-IR"/>
        </w:rPr>
        <w:t xml:space="preserve"> </w:t>
      </w:r>
      <w:proofErr w:type="spellStart"/>
      <w:r w:rsidR="00531B48" w:rsidRPr="00011DB0">
        <w:rPr>
          <w:rFonts w:eastAsia="Times New Roman"/>
          <w:sz w:val="20"/>
          <w:szCs w:val="20"/>
          <w:lang w:eastAsia="en-US" w:bidi="fa-IR"/>
        </w:rPr>
        <w:t>Birjandi</w:t>
      </w:r>
      <w:proofErr w:type="spellEnd"/>
      <w:r w:rsidR="00531B48" w:rsidRPr="00011DB0">
        <w:rPr>
          <w:rFonts w:eastAsia="Times New Roman"/>
          <w:sz w:val="20"/>
          <w:szCs w:val="20"/>
          <w:lang w:eastAsia="en-US" w:bidi="fa-IR"/>
        </w:rPr>
        <w:t xml:space="preserve">, </w:t>
      </w:r>
      <w:proofErr w:type="spellStart"/>
      <w:r w:rsidR="00531B48" w:rsidRPr="00011DB0">
        <w:rPr>
          <w:rFonts w:eastAsia="Times New Roman"/>
          <w:sz w:val="20"/>
          <w:szCs w:val="20"/>
          <w:lang w:eastAsia="en-US" w:bidi="fa-IR"/>
        </w:rPr>
        <w:t>Parastou</w:t>
      </w:r>
      <w:proofErr w:type="spellEnd"/>
      <w:r w:rsidR="00531B48" w:rsidRPr="00011DB0">
        <w:rPr>
          <w:rFonts w:eastAsia="Times New Roman"/>
          <w:sz w:val="20"/>
          <w:szCs w:val="20"/>
          <w:lang w:eastAsia="en-US" w:bidi="fa-IR"/>
        </w:rPr>
        <w:t xml:space="preserve"> </w:t>
      </w:r>
      <w:proofErr w:type="spellStart"/>
      <w:r w:rsidR="00531B48" w:rsidRPr="00011DB0">
        <w:rPr>
          <w:rFonts w:eastAsia="Times New Roman"/>
          <w:sz w:val="20"/>
          <w:szCs w:val="20"/>
          <w:lang w:eastAsia="en-US" w:bidi="fa-IR"/>
        </w:rPr>
        <w:t>Taghavi</w:t>
      </w:r>
      <w:proofErr w:type="spellEnd"/>
      <w:r w:rsidR="00531B48" w:rsidRPr="00011DB0">
        <w:rPr>
          <w:rFonts w:eastAsia="Times New Roman"/>
          <w:sz w:val="20"/>
          <w:szCs w:val="20"/>
          <w:lang w:eastAsia="en-US" w:bidi="fa-IR"/>
        </w:rPr>
        <w:t xml:space="preserve"> </w:t>
      </w:r>
      <w:proofErr w:type="spellStart"/>
      <w:r w:rsidR="00531B48" w:rsidRPr="00011DB0">
        <w:rPr>
          <w:rFonts w:eastAsia="Times New Roman"/>
          <w:sz w:val="20"/>
          <w:szCs w:val="20"/>
          <w:lang w:eastAsia="en-US" w:bidi="fa-IR"/>
        </w:rPr>
        <w:t>Dinani</w:t>
      </w:r>
      <w:proofErr w:type="spellEnd"/>
      <w:r w:rsidR="004A6C92" w:rsidRPr="00011DB0">
        <w:rPr>
          <w:sz w:val="20"/>
          <w:szCs w:val="20"/>
        </w:rPr>
        <w:t xml:space="preserve">. </w:t>
      </w:r>
      <w:proofErr w:type="gramStart"/>
      <w:r w:rsidR="00531B48" w:rsidRPr="00011DB0">
        <w:rPr>
          <w:rFonts w:eastAsia="Times New Roman"/>
          <w:b/>
          <w:bCs/>
          <w:sz w:val="20"/>
          <w:szCs w:val="20"/>
          <w:lang w:eastAsia="en-US" w:bidi="fa-IR"/>
        </w:rPr>
        <w:t xml:space="preserve">Effects of </w:t>
      </w:r>
      <w:proofErr w:type="spellStart"/>
      <w:r w:rsidR="00531B48" w:rsidRPr="00011DB0">
        <w:rPr>
          <w:rFonts w:eastAsia="Times New Roman"/>
          <w:b/>
          <w:bCs/>
          <w:sz w:val="20"/>
          <w:szCs w:val="20"/>
          <w:lang w:eastAsia="en-US" w:bidi="fa-IR"/>
        </w:rPr>
        <w:t>Metacognitive</w:t>
      </w:r>
      <w:proofErr w:type="spellEnd"/>
      <w:r w:rsidR="00531B48" w:rsidRPr="00011DB0">
        <w:rPr>
          <w:rFonts w:eastAsia="Times New Roman"/>
          <w:b/>
          <w:bCs/>
          <w:sz w:val="20"/>
          <w:szCs w:val="20"/>
          <w:lang w:eastAsia="en-US" w:bidi="fa-IR"/>
        </w:rPr>
        <w:t xml:space="preserve"> Therapy Instructions on the Depressed Patients' Irrational Thinking</w:t>
      </w:r>
      <w:r w:rsidR="00011DB0" w:rsidRPr="00011DB0">
        <w:rPr>
          <w:rFonts w:eastAsia="Times New Roman"/>
          <w:b/>
          <w:bCs/>
          <w:sz w:val="20"/>
          <w:szCs w:val="20"/>
          <w:lang w:bidi="fa-IR"/>
        </w:rPr>
        <w:t>.</w:t>
      </w:r>
      <w:proofErr w:type="gramEnd"/>
      <w:r w:rsidR="00011DB0" w:rsidRPr="00011DB0">
        <w:rPr>
          <w:bCs/>
          <w:i/>
          <w:sz w:val="20"/>
          <w:szCs w:val="20"/>
        </w:rPr>
        <w:t xml:space="preserve"> N Y </w:t>
      </w:r>
      <w:proofErr w:type="spellStart"/>
      <w:r w:rsidR="00011DB0" w:rsidRPr="00011DB0">
        <w:rPr>
          <w:bCs/>
          <w:i/>
          <w:sz w:val="20"/>
          <w:szCs w:val="20"/>
        </w:rPr>
        <w:t>Sci</w:t>
      </w:r>
      <w:proofErr w:type="spellEnd"/>
      <w:r w:rsidR="00011DB0" w:rsidRPr="00011DB0">
        <w:rPr>
          <w:bCs/>
          <w:i/>
          <w:sz w:val="20"/>
          <w:szCs w:val="20"/>
        </w:rPr>
        <w:t xml:space="preserve"> J</w:t>
      </w:r>
      <w:r w:rsidR="00011DB0" w:rsidRPr="00011DB0">
        <w:rPr>
          <w:bCs/>
          <w:sz w:val="20"/>
          <w:szCs w:val="20"/>
        </w:rPr>
        <w:t xml:space="preserve"> </w:t>
      </w:r>
      <w:r w:rsidR="00011DB0" w:rsidRPr="00011DB0">
        <w:rPr>
          <w:sz w:val="20"/>
          <w:szCs w:val="20"/>
        </w:rPr>
        <w:t>201</w:t>
      </w:r>
      <w:r w:rsidR="00011DB0" w:rsidRPr="00011DB0">
        <w:rPr>
          <w:rFonts w:hint="eastAsia"/>
          <w:sz w:val="20"/>
          <w:szCs w:val="20"/>
        </w:rPr>
        <w:t>5</w:t>
      </w:r>
      <w:r w:rsidR="00011DB0" w:rsidRPr="00011DB0">
        <w:rPr>
          <w:sz w:val="20"/>
          <w:szCs w:val="20"/>
        </w:rPr>
        <w:t>;</w:t>
      </w:r>
      <w:r w:rsidR="00011DB0" w:rsidRPr="00011DB0">
        <w:rPr>
          <w:rFonts w:hint="eastAsia"/>
          <w:sz w:val="20"/>
          <w:szCs w:val="20"/>
        </w:rPr>
        <w:t>8</w:t>
      </w:r>
      <w:r w:rsidR="00011DB0" w:rsidRPr="00011DB0">
        <w:rPr>
          <w:sz w:val="20"/>
          <w:szCs w:val="20"/>
        </w:rPr>
        <w:t>(</w:t>
      </w:r>
      <w:r w:rsidR="00011DB0" w:rsidRPr="00011DB0">
        <w:rPr>
          <w:rFonts w:hint="eastAsia"/>
          <w:sz w:val="20"/>
          <w:szCs w:val="20"/>
        </w:rPr>
        <w:t>2</w:t>
      </w:r>
      <w:r w:rsidR="00011DB0" w:rsidRPr="00011DB0">
        <w:rPr>
          <w:sz w:val="20"/>
          <w:szCs w:val="20"/>
        </w:rPr>
        <w:t>):</w:t>
      </w:r>
      <w:r w:rsidR="00D253C8">
        <w:rPr>
          <w:noProof/>
          <w:color w:val="000000"/>
          <w:sz w:val="20"/>
          <w:szCs w:val="20"/>
        </w:rPr>
        <w:t>1</w:t>
      </w:r>
      <w:r w:rsidR="00011DB0" w:rsidRPr="00011DB0">
        <w:rPr>
          <w:color w:val="000000"/>
          <w:sz w:val="20"/>
          <w:szCs w:val="20"/>
        </w:rPr>
        <w:t>-</w:t>
      </w:r>
      <w:r w:rsidR="00D253C8">
        <w:rPr>
          <w:noProof/>
          <w:color w:val="000000"/>
          <w:sz w:val="20"/>
          <w:szCs w:val="20"/>
        </w:rPr>
        <w:t>6</w:t>
      </w:r>
      <w:r w:rsidR="00011DB0" w:rsidRPr="00011DB0">
        <w:rPr>
          <w:sz w:val="20"/>
          <w:szCs w:val="20"/>
        </w:rPr>
        <w:t xml:space="preserve">]. (ISSN: 1554-0200). </w:t>
      </w:r>
      <w:hyperlink r:id="rId9" w:history="1">
        <w:r w:rsidR="00011DB0" w:rsidRPr="00011DB0">
          <w:rPr>
            <w:rStyle w:val="Hyperlink"/>
            <w:sz w:val="20"/>
            <w:szCs w:val="20"/>
          </w:rPr>
          <w:t>http://www.sciencepub.net/newyork</w:t>
        </w:r>
      </w:hyperlink>
      <w:r w:rsidR="00011DB0" w:rsidRPr="00011DB0">
        <w:rPr>
          <w:sz w:val="20"/>
          <w:szCs w:val="20"/>
        </w:rPr>
        <w:t xml:space="preserve">. </w:t>
      </w:r>
      <w:r w:rsidR="00011DB0" w:rsidRPr="00011DB0">
        <w:rPr>
          <w:rFonts w:hint="eastAsia"/>
          <w:sz w:val="20"/>
          <w:szCs w:val="20"/>
          <w:lang w:eastAsia="zh-CN"/>
        </w:rPr>
        <w:t>1</w:t>
      </w:r>
    </w:p>
    <w:p w:rsidR="001817C7" w:rsidRPr="00011DB0" w:rsidRDefault="001817C7" w:rsidP="00011DB0">
      <w:pPr>
        <w:snapToGrid w:val="0"/>
        <w:jc w:val="both"/>
        <w:rPr>
          <w:sz w:val="20"/>
          <w:szCs w:val="20"/>
        </w:rPr>
      </w:pPr>
    </w:p>
    <w:p w:rsidR="001817C7" w:rsidRPr="00011DB0" w:rsidRDefault="001817C7" w:rsidP="00011DB0">
      <w:pPr>
        <w:snapToGrid w:val="0"/>
        <w:jc w:val="both"/>
        <w:rPr>
          <w:sz w:val="20"/>
          <w:szCs w:val="20"/>
        </w:rPr>
      </w:pPr>
      <w:r w:rsidRPr="00011DB0">
        <w:rPr>
          <w:b/>
          <w:sz w:val="20"/>
          <w:szCs w:val="20"/>
        </w:rPr>
        <w:t xml:space="preserve">Keywords: </w:t>
      </w:r>
      <w:proofErr w:type="spellStart"/>
      <w:r w:rsidR="00F02F8B" w:rsidRPr="00011DB0">
        <w:rPr>
          <w:sz w:val="20"/>
          <w:szCs w:val="20"/>
        </w:rPr>
        <w:t>Metacognition</w:t>
      </w:r>
      <w:proofErr w:type="spellEnd"/>
      <w:r w:rsidR="00F02F8B" w:rsidRPr="00011DB0">
        <w:rPr>
          <w:sz w:val="20"/>
          <w:szCs w:val="20"/>
        </w:rPr>
        <w:t>, irrational belief, depression</w:t>
      </w:r>
    </w:p>
    <w:p w:rsidR="00011DB0" w:rsidRDefault="00011DB0" w:rsidP="00011DB0">
      <w:pPr>
        <w:snapToGrid w:val="0"/>
        <w:jc w:val="both"/>
        <w:rPr>
          <w:sz w:val="20"/>
          <w:szCs w:val="20"/>
          <w:lang w:eastAsia="zh-CN"/>
        </w:rPr>
      </w:pPr>
    </w:p>
    <w:p w:rsidR="00011DB0" w:rsidRPr="00011DB0" w:rsidRDefault="00011DB0" w:rsidP="00011DB0">
      <w:pPr>
        <w:snapToGrid w:val="0"/>
        <w:jc w:val="both"/>
        <w:rPr>
          <w:sz w:val="20"/>
          <w:szCs w:val="20"/>
          <w:lang w:eastAsia="zh-CN"/>
        </w:rPr>
        <w:sectPr w:rsidR="00011DB0" w:rsidRPr="00011DB0" w:rsidSect="0064417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71E57" w:rsidRPr="00011DB0" w:rsidRDefault="003F5B84" w:rsidP="00011DB0">
      <w:pPr>
        <w:snapToGrid w:val="0"/>
        <w:jc w:val="both"/>
        <w:rPr>
          <w:b/>
          <w:sz w:val="20"/>
          <w:szCs w:val="20"/>
        </w:rPr>
      </w:pPr>
      <w:r w:rsidRPr="00011DB0">
        <w:rPr>
          <w:b/>
          <w:sz w:val="20"/>
          <w:szCs w:val="20"/>
        </w:rPr>
        <w:lastRenderedPageBreak/>
        <w:t>1. Introduction</w:t>
      </w:r>
    </w:p>
    <w:p w:rsidR="005A09E0" w:rsidRPr="00011DB0" w:rsidRDefault="005A09E0" w:rsidP="00011DB0">
      <w:pPr>
        <w:snapToGrid w:val="0"/>
        <w:ind w:firstLine="425"/>
        <w:jc w:val="both"/>
        <w:rPr>
          <w:sz w:val="20"/>
          <w:szCs w:val="20"/>
        </w:rPr>
      </w:pPr>
      <w:r w:rsidRPr="00011DB0">
        <w:rPr>
          <w:sz w:val="20"/>
          <w:szCs w:val="20"/>
        </w:rPr>
        <w:t>Depression is so widespread that it has already been labeled as the common cold of the field psychology (</w:t>
      </w:r>
      <w:proofErr w:type="spellStart"/>
      <w:r w:rsidRPr="00011DB0">
        <w:rPr>
          <w:sz w:val="20"/>
          <w:szCs w:val="20"/>
        </w:rPr>
        <w:t>Silgman</w:t>
      </w:r>
      <w:proofErr w:type="spellEnd"/>
      <w:r w:rsidRPr="00011DB0">
        <w:rPr>
          <w:sz w:val="20"/>
          <w:szCs w:val="20"/>
        </w:rPr>
        <w:t>, 1975). Throughout any specific point of time, some 15-20% of the adult do considerably suffer from depression symptoms and it is estimated that about 75% of the patients admitted to psychiatric hospitals are taken as depressed cases. An individual's system of beliefs has an essential role in the way he/she feels and behaves. Depression is assumed to be rooted in the individuals' irrational belief system (Back, 1976).</w:t>
      </w:r>
    </w:p>
    <w:p w:rsidR="005A09E0" w:rsidRPr="00011DB0" w:rsidRDefault="005A09E0" w:rsidP="00011DB0">
      <w:pPr>
        <w:snapToGrid w:val="0"/>
        <w:ind w:firstLine="425"/>
        <w:jc w:val="both"/>
        <w:rPr>
          <w:sz w:val="20"/>
          <w:szCs w:val="20"/>
        </w:rPr>
      </w:pPr>
      <w:r w:rsidRPr="00011DB0">
        <w:rPr>
          <w:sz w:val="20"/>
          <w:szCs w:val="20"/>
        </w:rPr>
        <w:t>Elis (2001) believes that anxiety and emotional disorders are the result of irrational and unreasonable ways of thinking, and do not consider one's thoughts and emotions as being separate from each other. Thus, s/he maintains that as long as the irrational thinking exists, emotional disorders will consistently remain (</w:t>
      </w:r>
      <w:r w:rsidRPr="00011DB0">
        <w:rPr>
          <w:i/>
          <w:iCs/>
          <w:sz w:val="20"/>
          <w:szCs w:val="20"/>
        </w:rPr>
        <w:t>ibid.</w:t>
      </w:r>
      <w:r w:rsidRPr="00011DB0">
        <w:rPr>
          <w:sz w:val="20"/>
          <w:szCs w:val="20"/>
        </w:rPr>
        <w:t>).</w:t>
      </w:r>
    </w:p>
    <w:p w:rsidR="005A09E0" w:rsidRPr="00011DB0" w:rsidRDefault="005A09E0" w:rsidP="00011DB0">
      <w:pPr>
        <w:snapToGrid w:val="0"/>
        <w:ind w:firstLine="425"/>
        <w:jc w:val="both"/>
        <w:rPr>
          <w:sz w:val="20"/>
          <w:szCs w:val="20"/>
        </w:rPr>
      </w:pPr>
      <w:r w:rsidRPr="00011DB0">
        <w:rPr>
          <w:sz w:val="20"/>
          <w:szCs w:val="20"/>
        </w:rPr>
        <w:t>Irrational thinking styles are specifically transferred from parents, instructors and society members to the individuals and to get rid of such a disorder requires being aware of one's thinking characteristics or his/her irrational beliefs (</w:t>
      </w:r>
      <w:proofErr w:type="spellStart"/>
      <w:r w:rsidRPr="00011DB0">
        <w:rPr>
          <w:sz w:val="20"/>
          <w:szCs w:val="20"/>
        </w:rPr>
        <w:t>Shafi'abadi</w:t>
      </w:r>
      <w:proofErr w:type="spellEnd"/>
      <w:r w:rsidRPr="00011DB0">
        <w:rPr>
          <w:sz w:val="20"/>
          <w:szCs w:val="20"/>
        </w:rPr>
        <w:t>, 2001).</w:t>
      </w:r>
    </w:p>
    <w:p w:rsidR="005A09E0" w:rsidRPr="00011DB0" w:rsidRDefault="005A09E0" w:rsidP="00011DB0">
      <w:pPr>
        <w:snapToGrid w:val="0"/>
        <w:ind w:firstLine="425"/>
        <w:jc w:val="both"/>
        <w:rPr>
          <w:sz w:val="20"/>
          <w:szCs w:val="20"/>
        </w:rPr>
      </w:pPr>
      <w:r w:rsidRPr="00011DB0">
        <w:rPr>
          <w:sz w:val="20"/>
          <w:szCs w:val="20"/>
        </w:rPr>
        <w:t xml:space="preserve">Human beings do maintain their irrational belief disorders and behavior through retelling them to themselves. In his/her opinion, individuals who take themselves as captured by their irrational beliefs may locate themselves in the states of anger, resistance, </w:t>
      </w:r>
      <w:r w:rsidRPr="00011DB0">
        <w:rPr>
          <w:sz w:val="20"/>
          <w:szCs w:val="20"/>
        </w:rPr>
        <w:lastRenderedPageBreak/>
        <w:t>animosity, defense, sinfulness, anxiety, excessive feebleness and lethargy, lack of control and helplessness. Human being’s depression and anxiety is not due to external objects but is a result of his conception of and his attitude towards objects. Irrational points of view have negative impacts on the individual’s behavior and make it difficult for him to cope with his problems (Benson and Stewart, 1987). Benson and Stewart do believe that human beings should question their absolute “musts”. They believe also that human beings usually desire to enjoy from their loneliness, their social relationships, theirs sexual relations with others, and their work or entertainments but their defective beliefs do not allow them to achieve such aims. False beliefs lead to false attitudes and behavior (KORRIL AND VINOKOR, 2002).</w:t>
      </w:r>
    </w:p>
    <w:p w:rsidR="005A09E0" w:rsidRPr="00011DB0" w:rsidRDefault="005A09E0" w:rsidP="00011DB0">
      <w:pPr>
        <w:snapToGrid w:val="0"/>
        <w:ind w:firstLine="425"/>
        <w:jc w:val="both"/>
        <w:rPr>
          <w:sz w:val="20"/>
          <w:szCs w:val="20"/>
        </w:rPr>
      </w:pPr>
      <w:r w:rsidRPr="00011DB0">
        <w:rPr>
          <w:sz w:val="20"/>
          <w:szCs w:val="20"/>
        </w:rPr>
        <w:t>When human beings expect that whatever they prefer must happen</w:t>
      </w:r>
      <w:proofErr w:type="gramStart"/>
      <w:r w:rsidRPr="00011DB0">
        <w:rPr>
          <w:sz w:val="20"/>
          <w:szCs w:val="20"/>
        </w:rPr>
        <w:t>,</w:t>
      </w:r>
      <w:proofErr w:type="gramEnd"/>
      <w:r w:rsidRPr="00011DB0">
        <w:rPr>
          <w:sz w:val="20"/>
          <w:szCs w:val="20"/>
        </w:rPr>
        <w:t xml:space="preserve"> they may encounter an emotional disorder. This disorder may specifically occur when the individual’s frustration tolerance is low. For Elis, irrational beliefs are categorized into three groups: self-expectations, expectations from others, and expectations from the world or the life. They refer to any statements including a “must” component as “thinking of musts” (Elis, 2001).</w:t>
      </w:r>
    </w:p>
    <w:p w:rsidR="005A09E0" w:rsidRPr="00011DB0" w:rsidRDefault="005A09E0" w:rsidP="00011DB0">
      <w:pPr>
        <w:snapToGrid w:val="0"/>
        <w:ind w:firstLine="425"/>
        <w:jc w:val="both"/>
        <w:rPr>
          <w:sz w:val="20"/>
          <w:szCs w:val="20"/>
        </w:rPr>
      </w:pPr>
      <w:r w:rsidRPr="00011DB0">
        <w:rPr>
          <w:sz w:val="20"/>
          <w:szCs w:val="20"/>
        </w:rPr>
        <w:t xml:space="preserve">The processing of the current stimulating events through absolute beliefs will necessarily lead to undesirable or inappropriate consequences typically leading to anxiety and depression. These undesirable consequences, in their own rights, may direct the </w:t>
      </w:r>
      <w:r w:rsidRPr="00011DB0">
        <w:rPr>
          <w:sz w:val="20"/>
          <w:szCs w:val="20"/>
        </w:rPr>
        <w:lastRenderedPageBreak/>
        <w:t>individual towards a terrible assessment of his irrational beliefs and opinions, and end up in more annoying emotional consequences such as the belief that there is a solution for each and any problem and you should get upset, if you could not find that particular solution. To believe in perfectionism is, in essence, contrary to the reality since we live in a world full of chances and there is no absolute truth (HERINGEN, 2002). Individuals who have irrational beliefs, due to their negative attitude towards life, are susceptible of depression. It is necessary to pay attention to irrational beliefs so that the individuals can be aware of such beliefs and the way they may change under different situations. Through making use of different treatment strategies, we may help individuals afflicted with irrational ways of thinking in changing their unreasonable beliefs (RUSH, 2001).</w:t>
      </w:r>
    </w:p>
    <w:p w:rsidR="005A09E0" w:rsidRPr="00011DB0" w:rsidRDefault="005A09E0" w:rsidP="00011DB0">
      <w:pPr>
        <w:snapToGrid w:val="0"/>
        <w:ind w:firstLine="425"/>
        <w:jc w:val="both"/>
        <w:rPr>
          <w:sz w:val="20"/>
          <w:szCs w:val="20"/>
        </w:rPr>
      </w:pPr>
      <w:r w:rsidRPr="00011DB0">
        <w:rPr>
          <w:sz w:val="20"/>
          <w:szCs w:val="20"/>
        </w:rPr>
        <w:t xml:space="preserve">Back </w:t>
      </w:r>
      <w:r w:rsidRPr="00011DB0">
        <w:rPr>
          <w:i/>
          <w:iCs/>
          <w:sz w:val="20"/>
          <w:szCs w:val="20"/>
        </w:rPr>
        <w:t>et al</w:t>
      </w:r>
      <w:r w:rsidRPr="00011DB0">
        <w:rPr>
          <w:sz w:val="20"/>
          <w:szCs w:val="20"/>
        </w:rPr>
        <w:t xml:space="preserve"> do recommend that customary treatments such as hospitalizing and pharmaceutical treatment are merely appropriate in bipolar cases or in very acute cases of depression where there is a high risk of suicide. RUSH and SCHAW (1983) maintain that the chance of success of cognitive therapy behavior in endogenous cases of depression is very low (quoted in </w:t>
      </w:r>
      <w:proofErr w:type="spellStart"/>
      <w:r w:rsidRPr="00011DB0">
        <w:rPr>
          <w:sz w:val="20"/>
          <w:szCs w:val="20"/>
        </w:rPr>
        <w:t>Ghasemzadeh</w:t>
      </w:r>
      <w:proofErr w:type="spellEnd"/>
      <w:r w:rsidRPr="00011DB0">
        <w:rPr>
          <w:sz w:val="20"/>
          <w:szCs w:val="20"/>
        </w:rPr>
        <w:t>, 2010).</w:t>
      </w:r>
    </w:p>
    <w:p w:rsidR="005A09E0" w:rsidRPr="00011DB0" w:rsidRDefault="005A09E0" w:rsidP="00011DB0">
      <w:pPr>
        <w:snapToGrid w:val="0"/>
        <w:ind w:firstLine="425"/>
        <w:jc w:val="both"/>
        <w:rPr>
          <w:sz w:val="20"/>
          <w:szCs w:val="20"/>
        </w:rPr>
      </w:pPr>
      <w:r w:rsidRPr="00011DB0">
        <w:rPr>
          <w:sz w:val="20"/>
          <w:szCs w:val="20"/>
        </w:rPr>
        <w:t xml:space="preserve">So far, there have been several traditional methods applied to decrease the levels of depression while modern treatment procedures are currently under examination. The </w:t>
      </w:r>
      <w:proofErr w:type="spellStart"/>
      <w:r w:rsidRPr="00011DB0">
        <w:rPr>
          <w:sz w:val="20"/>
          <w:szCs w:val="20"/>
        </w:rPr>
        <w:t>metacognitive</w:t>
      </w:r>
      <w:proofErr w:type="spellEnd"/>
      <w:r w:rsidRPr="00011DB0">
        <w:rPr>
          <w:sz w:val="20"/>
          <w:szCs w:val="20"/>
        </w:rPr>
        <w:t xml:space="preserve"> methodology was first introduced by John </w:t>
      </w:r>
      <w:proofErr w:type="spellStart"/>
      <w:r w:rsidRPr="00011DB0">
        <w:rPr>
          <w:sz w:val="20"/>
          <w:szCs w:val="20"/>
        </w:rPr>
        <w:t>Flowel</w:t>
      </w:r>
      <w:proofErr w:type="spellEnd"/>
      <w:r w:rsidRPr="00011DB0">
        <w:rPr>
          <w:sz w:val="20"/>
          <w:szCs w:val="20"/>
        </w:rPr>
        <w:t xml:space="preserve"> (1976). </w:t>
      </w:r>
      <w:proofErr w:type="spellStart"/>
      <w:r w:rsidRPr="00011DB0">
        <w:rPr>
          <w:sz w:val="20"/>
          <w:szCs w:val="20"/>
        </w:rPr>
        <w:t>Metacognition</w:t>
      </w:r>
      <w:proofErr w:type="spellEnd"/>
      <w:r w:rsidRPr="00011DB0">
        <w:rPr>
          <w:sz w:val="20"/>
          <w:szCs w:val="20"/>
        </w:rPr>
        <w:t xml:space="preserve"> refers to personal knowledge of the individual's cognitive flows. In </w:t>
      </w:r>
      <w:proofErr w:type="spellStart"/>
      <w:r w:rsidRPr="00011DB0">
        <w:rPr>
          <w:sz w:val="20"/>
          <w:szCs w:val="20"/>
        </w:rPr>
        <w:t>metacognitive</w:t>
      </w:r>
      <w:proofErr w:type="spellEnd"/>
      <w:r w:rsidRPr="00011DB0">
        <w:rPr>
          <w:sz w:val="20"/>
          <w:szCs w:val="20"/>
        </w:rPr>
        <w:t xml:space="preserve"> therapy (MCT), irrational thinking styles are related to the dominance of verbal, conceptual activities, which the individual is engaged in analyzing and ruminating them and are, therefore, difficult to control (Clark, 1989).</w:t>
      </w:r>
    </w:p>
    <w:p w:rsidR="005A09E0" w:rsidRPr="00011DB0" w:rsidRDefault="005A09E0" w:rsidP="00011DB0">
      <w:pPr>
        <w:snapToGrid w:val="0"/>
        <w:ind w:firstLine="425"/>
        <w:jc w:val="both"/>
        <w:rPr>
          <w:sz w:val="20"/>
          <w:szCs w:val="20"/>
        </w:rPr>
      </w:pPr>
      <w:r w:rsidRPr="00011DB0">
        <w:rPr>
          <w:sz w:val="20"/>
          <w:szCs w:val="20"/>
        </w:rPr>
        <w:t xml:space="preserve">In MCT, it is assumed that psychological disorders result from biased thinking. The way we think about an event or the way we think about a set of conversations, ourselves and the world surrounding us are deeply influential. As a matter of fact, the way we respond to our thoughts and to all actions we frequently do leads to our emotional suffering. </w:t>
      </w:r>
      <w:proofErr w:type="spellStart"/>
      <w:r w:rsidRPr="00011DB0">
        <w:rPr>
          <w:sz w:val="20"/>
          <w:szCs w:val="20"/>
        </w:rPr>
        <w:t>Metacognitive</w:t>
      </w:r>
      <w:proofErr w:type="spellEnd"/>
      <w:r w:rsidRPr="00011DB0">
        <w:rPr>
          <w:sz w:val="20"/>
          <w:szCs w:val="20"/>
        </w:rPr>
        <w:t xml:space="preserve"> therapy relates the problematic internal states to the maladapted processes of anxiety, </w:t>
      </w:r>
      <w:proofErr w:type="spellStart"/>
      <w:r w:rsidRPr="00011DB0">
        <w:rPr>
          <w:sz w:val="20"/>
          <w:szCs w:val="20"/>
        </w:rPr>
        <w:t>thninking</w:t>
      </w:r>
      <w:proofErr w:type="spellEnd"/>
      <w:r w:rsidRPr="00011DB0">
        <w:rPr>
          <w:sz w:val="20"/>
          <w:szCs w:val="20"/>
        </w:rPr>
        <w:t xml:space="preserve"> rumination and mental uncontrollability (</w:t>
      </w:r>
      <w:proofErr w:type="spellStart"/>
      <w:r w:rsidRPr="00011DB0">
        <w:rPr>
          <w:sz w:val="20"/>
          <w:szCs w:val="20"/>
        </w:rPr>
        <w:t>Mohammadkhani</w:t>
      </w:r>
      <w:proofErr w:type="spellEnd"/>
      <w:r w:rsidRPr="00011DB0">
        <w:rPr>
          <w:sz w:val="20"/>
          <w:szCs w:val="20"/>
        </w:rPr>
        <w:t>, 2011).</w:t>
      </w:r>
    </w:p>
    <w:p w:rsidR="005A09E0" w:rsidRPr="00011DB0" w:rsidRDefault="005A09E0" w:rsidP="00011DB0">
      <w:pPr>
        <w:snapToGrid w:val="0"/>
        <w:ind w:firstLine="425"/>
        <w:jc w:val="both"/>
        <w:rPr>
          <w:sz w:val="20"/>
          <w:szCs w:val="20"/>
        </w:rPr>
      </w:pPr>
      <w:r w:rsidRPr="00011DB0">
        <w:rPr>
          <w:sz w:val="20"/>
          <w:szCs w:val="20"/>
        </w:rPr>
        <w:t xml:space="preserve">In the </w:t>
      </w:r>
      <w:proofErr w:type="spellStart"/>
      <w:r w:rsidRPr="00011DB0">
        <w:rPr>
          <w:sz w:val="20"/>
          <w:szCs w:val="20"/>
        </w:rPr>
        <w:t>metacognitive</w:t>
      </w:r>
      <w:proofErr w:type="spellEnd"/>
      <w:r w:rsidRPr="00011DB0">
        <w:rPr>
          <w:sz w:val="20"/>
          <w:szCs w:val="20"/>
        </w:rPr>
        <w:t xml:space="preserve"> model of depression (Wells, 2009), the depressed person responds to his sad, negative thoughts and feelings through activating positive </w:t>
      </w:r>
      <w:proofErr w:type="spellStart"/>
      <w:r w:rsidRPr="00011DB0">
        <w:rPr>
          <w:sz w:val="20"/>
          <w:szCs w:val="20"/>
        </w:rPr>
        <w:t>metacognitive</w:t>
      </w:r>
      <w:proofErr w:type="spellEnd"/>
      <w:r w:rsidRPr="00011DB0">
        <w:rPr>
          <w:sz w:val="20"/>
          <w:szCs w:val="20"/>
        </w:rPr>
        <w:t xml:space="preserve"> beliefs about the need for ruminating as a means of dealing with sadness and negative beliefs or thoughts (</w:t>
      </w:r>
      <w:proofErr w:type="spellStart"/>
      <w:r w:rsidRPr="00011DB0">
        <w:rPr>
          <w:sz w:val="20"/>
          <w:szCs w:val="20"/>
        </w:rPr>
        <w:t>Beirami</w:t>
      </w:r>
      <w:proofErr w:type="spellEnd"/>
      <w:r w:rsidRPr="00011DB0">
        <w:rPr>
          <w:sz w:val="20"/>
          <w:szCs w:val="20"/>
        </w:rPr>
        <w:t>, 2010).</w:t>
      </w:r>
    </w:p>
    <w:p w:rsidR="005A09E0" w:rsidRPr="00011DB0" w:rsidRDefault="005A09E0" w:rsidP="00011DB0">
      <w:pPr>
        <w:snapToGrid w:val="0"/>
        <w:ind w:firstLine="425"/>
        <w:jc w:val="both"/>
        <w:rPr>
          <w:sz w:val="20"/>
          <w:szCs w:val="20"/>
        </w:rPr>
      </w:pPr>
      <w:r w:rsidRPr="00011DB0">
        <w:rPr>
          <w:sz w:val="20"/>
          <w:szCs w:val="20"/>
        </w:rPr>
        <w:t xml:space="preserve">Wells believes that depression is a result of an activated rumination and a maladapted acceptance in </w:t>
      </w:r>
      <w:r w:rsidRPr="00011DB0">
        <w:rPr>
          <w:sz w:val="20"/>
          <w:szCs w:val="20"/>
        </w:rPr>
        <w:lastRenderedPageBreak/>
        <w:t>response to sadness or negative thoughts. Mental rumination consists of insisting on negative thoughts about the reasons and meanings of sadness or depression (</w:t>
      </w:r>
      <w:proofErr w:type="spellStart"/>
      <w:r w:rsidRPr="00011DB0">
        <w:rPr>
          <w:sz w:val="20"/>
          <w:szCs w:val="20"/>
        </w:rPr>
        <w:t>Toolen-Hoksma</w:t>
      </w:r>
      <w:proofErr w:type="spellEnd"/>
      <w:r w:rsidRPr="00011DB0">
        <w:rPr>
          <w:sz w:val="20"/>
          <w:szCs w:val="20"/>
        </w:rPr>
        <w:t>, 1993).</w:t>
      </w:r>
    </w:p>
    <w:p w:rsidR="005A09E0" w:rsidRPr="00011DB0" w:rsidRDefault="005A09E0" w:rsidP="00011DB0">
      <w:pPr>
        <w:snapToGrid w:val="0"/>
        <w:ind w:firstLine="425"/>
        <w:jc w:val="both"/>
        <w:rPr>
          <w:sz w:val="20"/>
          <w:szCs w:val="20"/>
        </w:rPr>
      </w:pPr>
      <w:r w:rsidRPr="00011DB0">
        <w:rPr>
          <w:sz w:val="20"/>
          <w:szCs w:val="20"/>
        </w:rPr>
        <w:t xml:space="preserve">As for the roles played by </w:t>
      </w:r>
      <w:proofErr w:type="spellStart"/>
      <w:r w:rsidRPr="00011DB0">
        <w:rPr>
          <w:sz w:val="20"/>
          <w:szCs w:val="20"/>
        </w:rPr>
        <w:t>metacognition</w:t>
      </w:r>
      <w:proofErr w:type="spellEnd"/>
      <w:r w:rsidRPr="00011DB0">
        <w:rPr>
          <w:sz w:val="20"/>
          <w:szCs w:val="20"/>
        </w:rPr>
        <w:t xml:space="preserve"> on general health, findings of research works done by Bradford (2008), Philips (2006), </w:t>
      </w:r>
      <w:proofErr w:type="spellStart"/>
      <w:r w:rsidRPr="00011DB0">
        <w:rPr>
          <w:sz w:val="20"/>
          <w:szCs w:val="20"/>
        </w:rPr>
        <w:t>Ashoori</w:t>
      </w:r>
      <w:proofErr w:type="spellEnd"/>
      <w:r w:rsidRPr="00011DB0">
        <w:rPr>
          <w:sz w:val="20"/>
          <w:szCs w:val="20"/>
        </w:rPr>
        <w:t xml:space="preserve"> (2009) and </w:t>
      </w:r>
      <w:proofErr w:type="spellStart"/>
      <w:r w:rsidRPr="00011DB0">
        <w:rPr>
          <w:sz w:val="20"/>
          <w:szCs w:val="20"/>
        </w:rPr>
        <w:t>Salarifar</w:t>
      </w:r>
      <w:proofErr w:type="spellEnd"/>
      <w:r w:rsidRPr="00011DB0">
        <w:rPr>
          <w:sz w:val="20"/>
          <w:szCs w:val="20"/>
        </w:rPr>
        <w:t xml:space="preserve"> (2009) have already indicated that </w:t>
      </w:r>
      <w:proofErr w:type="spellStart"/>
      <w:r w:rsidRPr="00011DB0">
        <w:rPr>
          <w:sz w:val="20"/>
          <w:szCs w:val="20"/>
        </w:rPr>
        <w:t>metacognitive</w:t>
      </w:r>
      <w:proofErr w:type="spellEnd"/>
      <w:r w:rsidRPr="00011DB0">
        <w:rPr>
          <w:sz w:val="20"/>
          <w:szCs w:val="20"/>
        </w:rPr>
        <w:t xml:space="preserve"> strategies have a considerable impact on the individual's general health status. Adrian Wells, too, has emphasized on the role of </w:t>
      </w:r>
      <w:proofErr w:type="spellStart"/>
      <w:r w:rsidRPr="00011DB0">
        <w:rPr>
          <w:sz w:val="20"/>
          <w:szCs w:val="20"/>
        </w:rPr>
        <w:t>metacognitive</w:t>
      </w:r>
      <w:proofErr w:type="spellEnd"/>
      <w:r w:rsidRPr="00011DB0">
        <w:rPr>
          <w:sz w:val="20"/>
          <w:szCs w:val="20"/>
        </w:rPr>
        <w:t xml:space="preserve"> therapy on the patients' depression.</w:t>
      </w:r>
    </w:p>
    <w:p w:rsidR="005A09E0" w:rsidRPr="00011DB0" w:rsidRDefault="005A09E0" w:rsidP="00011DB0">
      <w:pPr>
        <w:snapToGrid w:val="0"/>
        <w:ind w:firstLine="425"/>
        <w:jc w:val="both"/>
        <w:rPr>
          <w:sz w:val="20"/>
          <w:szCs w:val="20"/>
        </w:rPr>
      </w:pPr>
      <w:proofErr w:type="spellStart"/>
      <w:r w:rsidRPr="00011DB0">
        <w:rPr>
          <w:sz w:val="20"/>
          <w:szCs w:val="20"/>
        </w:rPr>
        <w:t>Metacognition</w:t>
      </w:r>
      <w:proofErr w:type="spellEnd"/>
      <w:r w:rsidRPr="00011DB0">
        <w:rPr>
          <w:sz w:val="20"/>
          <w:szCs w:val="20"/>
        </w:rPr>
        <w:t xml:space="preserve"> means the individual's knowledge or awareness of his cognitive system and his knowledge of the way he learns and thinks. An interpretation which is very close to </w:t>
      </w:r>
      <w:proofErr w:type="spellStart"/>
      <w:r w:rsidRPr="00011DB0">
        <w:rPr>
          <w:sz w:val="20"/>
          <w:szCs w:val="20"/>
        </w:rPr>
        <w:t>metacognition</w:t>
      </w:r>
      <w:proofErr w:type="spellEnd"/>
      <w:r w:rsidRPr="00011DB0">
        <w:rPr>
          <w:sz w:val="20"/>
          <w:szCs w:val="20"/>
        </w:rPr>
        <w:t xml:space="preserve"> is the concept of acquiring the ability of learning. </w:t>
      </w:r>
      <w:proofErr w:type="spellStart"/>
      <w:r w:rsidRPr="00011DB0">
        <w:rPr>
          <w:sz w:val="20"/>
          <w:szCs w:val="20"/>
        </w:rPr>
        <w:t>Metacognition</w:t>
      </w:r>
      <w:proofErr w:type="spellEnd"/>
      <w:r w:rsidRPr="00011DB0">
        <w:rPr>
          <w:sz w:val="20"/>
          <w:szCs w:val="20"/>
        </w:rPr>
        <w:t xml:space="preserve"> is the individual's ability of thinking about his mental processes, paying prompt attention to them, and more specifically, making efforts to achieve higher cognitive abilities (</w:t>
      </w:r>
      <w:proofErr w:type="spellStart"/>
      <w:r w:rsidRPr="00011DB0">
        <w:rPr>
          <w:sz w:val="20"/>
          <w:szCs w:val="20"/>
        </w:rPr>
        <w:t>Strenburg</w:t>
      </w:r>
      <w:proofErr w:type="spellEnd"/>
      <w:r w:rsidRPr="00011DB0">
        <w:rPr>
          <w:sz w:val="20"/>
          <w:szCs w:val="20"/>
        </w:rPr>
        <w:t>, 1996).</w:t>
      </w:r>
    </w:p>
    <w:p w:rsidR="005A09E0" w:rsidRPr="00011DB0" w:rsidRDefault="005A09E0" w:rsidP="00DC2DE3">
      <w:pPr>
        <w:snapToGrid w:val="0"/>
        <w:ind w:firstLine="425"/>
        <w:jc w:val="both"/>
        <w:rPr>
          <w:sz w:val="20"/>
          <w:szCs w:val="20"/>
        </w:rPr>
      </w:pPr>
      <w:r w:rsidRPr="00011DB0">
        <w:rPr>
          <w:sz w:val="20"/>
          <w:szCs w:val="20"/>
        </w:rPr>
        <w:t xml:space="preserve">Having in mind the importance of </w:t>
      </w:r>
      <w:proofErr w:type="spellStart"/>
      <w:r w:rsidRPr="00011DB0">
        <w:rPr>
          <w:sz w:val="20"/>
          <w:szCs w:val="20"/>
        </w:rPr>
        <w:t>metacognition</w:t>
      </w:r>
      <w:proofErr w:type="spellEnd"/>
      <w:r w:rsidRPr="00011DB0">
        <w:rPr>
          <w:sz w:val="20"/>
          <w:szCs w:val="20"/>
        </w:rPr>
        <w:t xml:space="preserve"> in changing irrational beliefs, the present research aims at exploring the effectiveness degrees of </w:t>
      </w:r>
      <w:proofErr w:type="spellStart"/>
      <w:r w:rsidRPr="00011DB0">
        <w:rPr>
          <w:sz w:val="20"/>
          <w:szCs w:val="20"/>
        </w:rPr>
        <w:t>metacognitive</w:t>
      </w:r>
      <w:proofErr w:type="spellEnd"/>
      <w:r w:rsidRPr="00011DB0">
        <w:rPr>
          <w:sz w:val="20"/>
          <w:szCs w:val="20"/>
        </w:rPr>
        <w:t xml:space="preserve"> therapy instructions on the depressed patients' irrational beliefs.</w:t>
      </w:r>
    </w:p>
    <w:p w:rsidR="005A09E0" w:rsidRPr="00011DB0" w:rsidRDefault="005A09E0" w:rsidP="00011DB0">
      <w:pPr>
        <w:snapToGrid w:val="0"/>
        <w:jc w:val="both"/>
        <w:rPr>
          <w:b/>
          <w:bCs/>
          <w:sz w:val="20"/>
          <w:szCs w:val="20"/>
        </w:rPr>
      </w:pPr>
      <w:r w:rsidRPr="00011DB0">
        <w:rPr>
          <w:b/>
          <w:bCs/>
          <w:sz w:val="20"/>
          <w:szCs w:val="20"/>
        </w:rPr>
        <w:t>2. Method</w:t>
      </w:r>
    </w:p>
    <w:p w:rsidR="005A09E0" w:rsidRPr="00011DB0" w:rsidRDefault="005A09E0" w:rsidP="00011DB0">
      <w:pPr>
        <w:snapToGrid w:val="0"/>
        <w:ind w:firstLine="425"/>
        <w:jc w:val="both"/>
        <w:rPr>
          <w:sz w:val="20"/>
          <w:szCs w:val="20"/>
        </w:rPr>
      </w:pPr>
      <w:r w:rsidRPr="00011DB0">
        <w:rPr>
          <w:sz w:val="20"/>
          <w:szCs w:val="20"/>
        </w:rPr>
        <w:t xml:space="preserve">The present study is an experimental research with a pre-test/post-test plan including a control group. In the first stage of the study, among 120 depressed patients introduced by psychiatrists to the Measurement Centre of </w:t>
      </w:r>
      <w:proofErr w:type="spellStart"/>
      <w:r w:rsidRPr="00011DB0">
        <w:rPr>
          <w:sz w:val="20"/>
          <w:szCs w:val="20"/>
        </w:rPr>
        <w:t>Boroujerd</w:t>
      </w:r>
      <w:proofErr w:type="spellEnd"/>
      <w:r w:rsidRPr="00011DB0">
        <w:rPr>
          <w:sz w:val="20"/>
          <w:szCs w:val="20"/>
        </w:rPr>
        <w:t xml:space="preserve"> </w:t>
      </w:r>
      <w:proofErr w:type="spellStart"/>
      <w:r w:rsidRPr="00011DB0">
        <w:rPr>
          <w:sz w:val="20"/>
          <w:szCs w:val="20"/>
        </w:rPr>
        <w:t>Farhangian</w:t>
      </w:r>
      <w:proofErr w:type="spellEnd"/>
      <w:r w:rsidRPr="00011DB0">
        <w:rPr>
          <w:sz w:val="20"/>
          <w:szCs w:val="20"/>
        </w:rPr>
        <w:t xml:space="preserve"> Clinic, 70 patients were selected to take part in the Jones' Irrational Belief Test. 45 participants gained scores above </w:t>
      </w:r>
      <w:smartTag w:uri="urn:schemas-microsoft-com:office:smarttags" w:element="metricconverter">
        <w:smartTagPr>
          <w:attr w:name="ProductID" w:val="5 in"/>
        </w:smartTagPr>
        <w:r w:rsidRPr="00011DB0">
          <w:rPr>
            <w:sz w:val="20"/>
            <w:szCs w:val="20"/>
          </w:rPr>
          <w:t>5 in</w:t>
        </w:r>
      </w:smartTag>
      <w:r w:rsidRPr="00011DB0">
        <w:rPr>
          <w:sz w:val="20"/>
          <w:szCs w:val="20"/>
        </w:rPr>
        <w:t xml:space="preserve"> at least five irrational belief classes intended in the test. Among this group, 30 persons were quite randomly selected as the research sample subjects and were divided into two different groups, a "control group" and an "experiment group", each consisting of 15 members. In the next step, members of the experiment group received preliminary treatment instructions for three months in 8 sessions of 90 minutes. In the last stage, both groups were post-tested through the same Jones' Irrational Belief Test. The above-mentioned test was developed by Jones </w:t>
      </w:r>
      <w:r w:rsidRPr="00011DB0">
        <w:rPr>
          <w:i/>
          <w:iCs/>
          <w:sz w:val="20"/>
          <w:szCs w:val="20"/>
        </w:rPr>
        <w:t>et al</w:t>
      </w:r>
      <w:r w:rsidRPr="00011DB0">
        <w:rPr>
          <w:sz w:val="20"/>
          <w:szCs w:val="20"/>
        </w:rPr>
        <w:t xml:space="preserve"> in 1968. It firstly included 140 questions but later on, the questions were decreased down to 120 items and, at the same time, the number of belief classes was decreased from 12 to 10. The reliability of this test for Iran was first gained by </w:t>
      </w:r>
      <w:proofErr w:type="spellStart"/>
      <w:r w:rsidRPr="00011DB0">
        <w:rPr>
          <w:sz w:val="20"/>
          <w:szCs w:val="20"/>
        </w:rPr>
        <w:t>Taghipour</w:t>
      </w:r>
      <w:proofErr w:type="spellEnd"/>
      <w:r w:rsidRPr="00011DB0">
        <w:rPr>
          <w:sz w:val="20"/>
          <w:szCs w:val="20"/>
        </w:rPr>
        <w:t xml:space="preserve"> (1996) at </w:t>
      </w:r>
      <w:proofErr w:type="spellStart"/>
      <w:r w:rsidRPr="00011DB0">
        <w:rPr>
          <w:sz w:val="20"/>
          <w:szCs w:val="20"/>
        </w:rPr>
        <w:t>Allameh</w:t>
      </w:r>
      <w:proofErr w:type="spellEnd"/>
      <w:r w:rsidRPr="00011DB0">
        <w:rPr>
          <w:sz w:val="20"/>
          <w:szCs w:val="20"/>
        </w:rPr>
        <w:t xml:space="preserve"> </w:t>
      </w:r>
      <w:proofErr w:type="spellStart"/>
      <w:r w:rsidRPr="00011DB0">
        <w:rPr>
          <w:sz w:val="20"/>
          <w:szCs w:val="20"/>
        </w:rPr>
        <w:t>Tabatabai</w:t>
      </w:r>
      <w:proofErr w:type="spellEnd"/>
      <w:r w:rsidRPr="00011DB0">
        <w:rPr>
          <w:sz w:val="20"/>
          <w:szCs w:val="20"/>
        </w:rPr>
        <w:t xml:space="preserve"> University. In the same year, the questionnaire was administered by </w:t>
      </w:r>
      <w:proofErr w:type="spellStart"/>
      <w:r w:rsidRPr="00011DB0">
        <w:rPr>
          <w:sz w:val="20"/>
          <w:szCs w:val="20"/>
        </w:rPr>
        <w:t>Soudani</w:t>
      </w:r>
      <w:proofErr w:type="spellEnd"/>
      <w:r w:rsidRPr="00011DB0">
        <w:rPr>
          <w:sz w:val="20"/>
          <w:szCs w:val="20"/>
        </w:rPr>
        <w:t xml:space="preserve"> on a group of 150 single male university students of an average age of 21, who were engaged at the Faculty of Science of </w:t>
      </w:r>
      <w:proofErr w:type="spellStart"/>
      <w:r w:rsidRPr="00011DB0">
        <w:rPr>
          <w:sz w:val="20"/>
          <w:szCs w:val="20"/>
        </w:rPr>
        <w:t>Shahid</w:t>
      </w:r>
      <w:proofErr w:type="spellEnd"/>
      <w:r w:rsidRPr="00011DB0">
        <w:rPr>
          <w:sz w:val="20"/>
          <w:szCs w:val="20"/>
        </w:rPr>
        <w:t xml:space="preserve"> </w:t>
      </w:r>
      <w:proofErr w:type="spellStart"/>
      <w:r w:rsidRPr="00011DB0">
        <w:rPr>
          <w:sz w:val="20"/>
          <w:szCs w:val="20"/>
        </w:rPr>
        <w:t>Chamran</w:t>
      </w:r>
      <w:proofErr w:type="spellEnd"/>
      <w:r w:rsidRPr="00011DB0">
        <w:rPr>
          <w:sz w:val="20"/>
          <w:szCs w:val="20"/>
        </w:rPr>
        <w:t xml:space="preserve"> University of Ahvaz whereby, </w:t>
      </w:r>
      <w:r w:rsidRPr="00011DB0">
        <w:rPr>
          <w:sz w:val="20"/>
          <w:szCs w:val="20"/>
        </w:rPr>
        <w:lastRenderedPageBreak/>
        <w:t xml:space="preserve">through calculation of </w:t>
      </w:r>
      <w:proofErr w:type="spellStart"/>
      <w:r w:rsidRPr="00011DB0">
        <w:rPr>
          <w:sz w:val="20"/>
          <w:szCs w:val="20"/>
        </w:rPr>
        <w:t>Chronbach's</w:t>
      </w:r>
      <w:proofErr w:type="spellEnd"/>
      <w:r w:rsidRPr="00011DB0">
        <w:rPr>
          <w:sz w:val="20"/>
          <w:szCs w:val="20"/>
        </w:rPr>
        <w:t xml:space="preserve"> Alpha Coefficient, a reliability coefficient of 0.79 was gained.</w:t>
      </w:r>
    </w:p>
    <w:p w:rsidR="005A09E0" w:rsidRPr="00011DB0" w:rsidRDefault="005A09E0" w:rsidP="00011DB0">
      <w:pPr>
        <w:snapToGrid w:val="0"/>
        <w:ind w:firstLine="425"/>
        <w:jc w:val="both"/>
        <w:rPr>
          <w:sz w:val="20"/>
          <w:szCs w:val="20"/>
        </w:rPr>
      </w:pPr>
      <w:r w:rsidRPr="00011DB0">
        <w:rPr>
          <w:sz w:val="20"/>
          <w:szCs w:val="20"/>
        </w:rPr>
        <w:t xml:space="preserve">The reliability of this test has derived from three different methods: 1) its correlation with other tests developed for the measurement of emotional confusion; 2) its correlation with other tests which are relevant to the measurement of irrational beliefs such as the "Thought Test" (TT) or rational behavior tests; 3) its sensitivity to changes made in the beliefs of individuals subjected to rational, emotional or behavioral treatment methodologies. Smith and </w:t>
      </w:r>
      <w:proofErr w:type="spellStart"/>
      <w:r w:rsidRPr="00011DB0">
        <w:rPr>
          <w:sz w:val="20"/>
          <w:szCs w:val="20"/>
        </w:rPr>
        <w:t>Zoraski</w:t>
      </w:r>
      <w:proofErr w:type="spellEnd"/>
      <w:r w:rsidRPr="00011DB0">
        <w:rPr>
          <w:sz w:val="20"/>
          <w:szCs w:val="20"/>
        </w:rPr>
        <w:t xml:space="preserve"> (1984) observed in their several research works that there was a high correlation between Irrational Belief Test and tests of emotional confusion.</w:t>
      </w:r>
    </w:p>
    <w:p w:rsidR="005A09E0" w:rsidRPr="00011DB0" w:rsidRDefault="005A09E0" w:rsidP="00DC2DE3">
      <w:pPr>
        <w:snapToGrid w:val="0"/>
        <w:ind w:firstLine="425"/>
        <w:jc w:val="both"/>
        <w:rPr>
          <w:sz w:val="20"/>
          <w:szCs w:val="20"/>
        </w:rPr>
      </w:pPr>
      <w:r w:rsidRPr="00011DB0">
        <w:rPr>
          <w:sz w:val="20"/>
          <w:szCs w:val="20"/>
        </w:rPr>
        <w:t xml:space="preserve">10 micro-scale irrational beliefs covered in the present research include: high self-expectation, one self’s high blaming proneness, dependency, perfectionism, </w:t>
      </w:r>
      <w:r w:rsidR="002E538A" w:rsidRPr="00011DB0">
        <w:rPr>
          <w:sz w:val="20"/>
          <w:szCs w:val="20"/>
        </w:rPr>
        <w:t>and future</w:t>
      </w:r>
      <w:r w:rsidRPr="00011DB0">
        <w:rPr>
          <w:sz w:val="20"/>
          <w:szCs w:val="20"/>
        </w:rPr>
        <w:t xml:space="preserve"> problem, helplessness for change, problem avoidance, emotional irresponsibility, frustration reaction, and demand for others' approval.</w:t>
      </w:r>
    </w:p>
    <w:p w:rsidR="005A09E0" w:rsidRPr="00011DB0" w:rsidRDefault="005A09E0" w:rsidP="00011DB0">
      <w:pPr>
        <w:snapToGrid w:val="0"/>
        <w:jc w:val="both"/>
        <w:rPr>
          <w:b/>
          <w:bCs/>
          <w:sz w:val="20"/>
          <w:szCs w:val="20"/>
        </w:rPr>
      </w:pPr>
      <w:r w:rsidRPr="00011DB0">
        <w:rPr>
          <w:b/>
          <w:bCs/>
          <w:sz w:val="20"/>
          <w:szCs w:val="20"/>
        </w:rPr>
        <w:t xml:space="preserve">3. </w:t>
      </w:r>
      <w:proofErr w:type="spellStart"/>
      <w:r w:rsidRPr="00011DB0">
        <w:rPr>
          <w:b/>
          <w:bCs/>
          <w:sz w:val="20"/>
          <w:szCs w:val="20"/>
        </w:rPr>
        <w:t>Metacognitive</w:t>
      </w:r>
      <w:proofErr w:type="spellEnd"/>
      <w:r w:rsidRPr="00011DB0">
        <w:rPr>
          <w:b/>
          <w:bCs/>
          <w:sz w:val="20"/>
          <w:szCs w:val="20"/>
        </w:rPr>
        <w:t xml:space="preserve"> Therapy Interference</w:t>
      </w:r>
    </w:p>
    <w:p w:rsidR="005A09E0" w:rsidRPr="00011DB0" w:rsidRDefault="005A09E0" w:rsidP="00011DB0">
      <w:pPr>
        <w:snapToGrid w:val="0"/>
        <w:ind w:firstLine="425"/>
        <w:jc w:val="both"/>
        <w:rPr>
          <w:sz w:val="20"/>
          <w:szCs w:val="20"/>
        </w:rPr>
      </w:pPr>
      <w:r w:rsidRPr="00011DB0">
        <w:rPr>
          <w:sz w:val="20"/>
          <w:szCs w:val="20"/>
        </w:rPr>
        <w:t xml:space="preserve">This treatment procedure has been developed by Wells and King. In this research, </w:t>
      </w:r>
      <w:proofErr w:type="spellStart"/>
      <w:r w:rsidRPr="00011DB0">
        <w:rPr>
          <w:sz w:val="20"/>
          <w:szCs w:val="20"/>
        </w:rPr>
        <w:t>metacognitive</w:t>
      </w:r>
      <w:proofErr w:type="spellEnd"/>
      <w:r w:rsidRPr="00011DB0">
        <w:rPr>
          <w:sz w:val="20"/>
          <w:szCs w:val="20"/>
        </w:rPr>
        <w:t xml:space="preserve"> therapy included having 8 treatment sessions of 1.5 hours (group sessions) with the participation of the patients for a period of 3 months. In the first session, a treatment relationship was established, necessary and sufficient information about the problem in question, its causes and its consequences were given to the patients, and the rationale behind the treatment with sharing the patient in the conceptualization of the problem was stated. Then, at the very end of that </w:t>
      </w:r>
      <w:r w:rsidRPr="00011DB0">
        <w:rPr>
          <w:sz w:val="20"/>
          <w:szCs w:val="20"/>
        </w:rPr>
        <w:lastRenderedPageBreak/>
        <w:t>session, the patients were asked to complete the Jones’ Irrational Belief Questionnaire (pre-test).</w:t>
      </w:r>
    </w:p>
    <w:p w:rsidR="005A09E0" w:rsidRPr="00011DB0" w:rsidRDefault="005A09E0" w:rsidP="00011DB0">
      <w:pPr>
        <w:snapToGrid w:val="0"/>
        <w:ind w:firstLine="425"/>
        <w:jc w:val="both"/>
        <w:rPr>
          <w:sz w:val="20"/>
          <w:szCs w:val="20"/>
        </w:rPr>
      </w:pPr>
      <w:r w:rsidRPr="00011DB0">
        <w:rPr>
          <w:sz w:val="20"/>
          <w:szCs w:val="20"/>
        </w:rPr>
        <w:t xml:space="preserve">In the second and third sessions, some conventions for extracting the information needed about the nature and content of depression symptoms were introduced and the confused </w:t>
      </w:r>
      <w:proofErr w:type="spellStart"/>
      <w:r w:rsidRPr="00011DB0">
        <w:rPr>
          <w:sz w:val="20"/>
          <w:szCs w:val="20"/>
        </w:rPr>
        <w:t>metacognition</w:t>
      </w:r>
      <w:proofErr w:type="spellEnd"/>
      <w:r w:rsidRPr="00011DB0">
        <w:rPr>
          <w:sz w:val="20"/>
          <w:szCs w:val="20"/>
        </w:rPr>
        <w:t xml:space="preserve"> in question were addressed.</w:t>
      </w:r>
    </w:p>
    <w:p w:rsidR="005A09E0" w:rsidRPr="00011DB0" w:rsidRDefault="005A09E0" w:rsidP="00011DB0">
      <w:pPr>
        <w:snapToGrid w:val="0"/>
        <w:ind w:firstLine="425"/>
        <w:jc w:val="both"/>
        <w:rPr>
          <w:sz w:val="20"/>
          <w:szCs w:val="20"/>
        </w:rPr>
      </w:pPr>
      <w:r w:rsidRPr="00011DB0">
        <w:rPr>
          <w:sz w:val="20"/>
          <w:szCs w:val="20"/>
        </w:rPr>
        <w:t>In the fourth session, negative and positive beliefs about depression were identified and recent experiences were reviewed.</w:t>
      </w:r>
    </w:p>
    <w:p w:rsidR="005A09E0" w:rsidRPr="00011DB0" w:rsidRDefault="005A09E0" w:rsidP="00011DB0">
      <w:pPr>
        <w:snapToGrid w:val="0"/>
        <w:ind w:firstLine="425"/>
        <w:jc w:val="both"/>
        <w:rPr>
          <w:sz w:val="20"/>
          <w:szCs w:val="20"/>
        </w:rPr>
      </w:pPr>
      <w:r w:rsidRPr="00011DB0">
        <w:rPr>
          <w:sz w:val="20"/>
          <w:szCs w:val="20"/>
        </w:rPr>
        <w:t>In the fifth session, ineffective beliefs and assessments about depression were extracted.</w:t>
      </w:r>
    </w:p>
    <w:p w:rsidR="005A09E0" w:rsidRPr="00011DB0" w:rsidRDefault="005A09E0" w:rsidP="00011DB0">
      <w:pPr>
        <w:snapToGrid w:val="0"/>
        <w:ind w:firstLine="425"/>
        <w:jc w:val="both"/>
        <w:rPr>
          <w:sz w:val="20"/>
          <w:szCs w:val="20"/>
        </w:rPr>
      </w:pPr>
      <w:r w:rsidRPr="00011DB0">
        <w:rPr>
          <w:sz w:val="20"/>
          <w:szCs w:val="20"/>
        </w:rPr>
        <w:t xml:space="preserve">In the sixth session, the </w:t>
      </w:r>
      <w:proofErr w:type="spellStart"/>
      <w:r w:rsidRPr="00011DB0">
        <w:rPr>
          <w:sz w:val="20"/>
          <w:szCs w:val="20"/>
        </w:rPr>
        <w:t>metacognitive</w:t>
      </w:r>
      <w:proofErr w:type="spellEnd"/>
      <w:r w:rsidRPr="00011DB0">
        <w:rPr>
          <w:sz w:val="20"/>
          <w:szCs w:val="20"/>
        </w:rPr>
        <w:t xml:space="preserve"> beliefs related to depression were challenged and the defense mechanisms, individuals’ personality characteristics and his assessment about his beliefs were put under discussion and behavioral experiences were reviewed.</w:t>
      </w:r>
    </w:p>
    <w:p w:rsidR="005A09E0" w:rsidRPr="00011DB0" w:rsidRDefault="005A09E0" w:rsidP="00DC2DE3">
      <w:pPr>
        <w:snapToGrid w:val="0"/>
        <w:ind w:firstLine="425"/>
        <w:jc w:val="both"/>
        <w:rPr>
          <w:sz w:val="20"/>
          <w:szCs w:val="20"/>
        </w:rPr>
      </w:pPr>
      <w:r w:rsidRPr="00011DB0">
        <w:rPr>
          <w:sz w:val="20"/>
          <w:szCs w:val="20"/>
        </w:rPr>
        <w:t xml:space="preserve">In the seventh session, the correction of </w:t>
      </w:r>
      <w:proofErr w:type="spellStart"/>
      <w:r w:rsidRPr="00011DB0">
        <w:rPr>
          <w:sz w:val="20"/>
          <w:szCs w:val="20"/>
        </w:rPr>
        <w:t>metacognitive</w:t>
      </w:r>
      <w:proofErr w:type="spellEnd"/>
      <w:r w:rsidRPr="00011DB0">
        <w:rPr>
          <w:sz w:val="20"/>
          <w:szCs w:val="20"/>
        </w:rPr>
        <w:t xml:space="preserve"> beliefs was prevented and in the 8</w:t>
      </w:r>
      <w:r w:rsidRPr="00011DB0">
        <w:rPr>
          <w:sz w:val="20"/>
          <w:szCs w:val="20"/>
          <w:vertAlign w:val="superscript"/>
        </w:rPr>
        <w:t>th</w:t>
      </w:r>
      <w:r w:rsidRPr="00011DB0">
        <w:rPr>
          <w:sz w:val="20"/>
          <w:szCs w:val="20"/>
        </w:rPr>
        <w:t xml:space="preserve"> session, an alternative plan for creating exhilarating activities was introduced to the patients. All through these sessions, attention teaching techniques (ATT) and the DM technique were instructed and after two weeks, the patients were once again asked to complete the Jones’ Irrational Belief Questionnaire (post-test).</w:t>
      </w:r>
    </w:p>
    <w:p w:rsidR="005A09E0" w:rsidRPr="00011DB0" w:rsidRDefault="005A09E0" w:rsidP="00011DB0">
      <w:pPr>
        <w:snapToGrid w:val="0"/>
        <w:jc w:val="both"/>
        <w:rPr>
          <w:sz w:val="20"/>
          <w:szCs w:val="20"/>
        </w:rPr>
      </w:pPr>
      <w:r w:rsidRPr="00011DB0">
        <w:rPr>
          <w:b/>
          <w:bCs/>
          <w:sz w:val="20"/>
          <w:szCs w:val="20"/>
        </w:rPr>
        <w:t>Results</w:t>
      </w:r>
    </w:p>
    <w:p w:rsidR="00011DB0" w:rsidRDefault="005A09E0" w:rsidP="00011DB0">
      <w:pPr>
        <w:snapToGrid w:val="0"/>
        <w:ind w:firstLine="425"/>
        <w:jc w:val="both"/>
        <w:rPr>
          <w:sz w:val="20"/>
          <w:szCs w:val="20"/>
        </w:rPr>
      </w:pPr>
      <w:r w:rsidRPr="00011DB0">
        <w:rPr>
          <w:sz w:val="20"/>
          <w:szCs w:val="20"/>
        </w:rPr>
        <w:t xml:space="preserve">Having in mind the research aim, i.e. exploring the effects of </w:t>
      </w:r>
      <w:proofErr w:type="spellStart"/>
      <w:r w:rsidRPr="00011DB0">
        <w:rPr>
          <w:sz w:val="20"/>
          <w:szCs w:val="20"/>
        </w:rPr>
        <w:t>metacognitive</w:t>
      </w:r>
      <w:proofErr w:type="spellEnd"/>
      <w:r w:rsidRPr="00011DB0">
        <w:rPr>
          <w:sz w:val="20"/>
          <w:szCs w:val="20"/>
        </w:rPr>
        <w:t xml:space="preserve"> therapy teachings on the depressed irrational beliefs, a MANCOVA test has been used. The descriptive data of the irrational beliefs of the two groups under investigation has been demonstrated in Table (1):</w:t>
      </w:r>
    </w:p>
    <w:p w:rsidR="00011DB0" w:rsidRPr="00011DB0" w:rsidRDefault="00011DB0" w:rsidP="00011DB0">
      <w:pPr>
        <w:snapToGrid w:val="0"/>
        <w:ind w:firstLine="425"/>
        <w:jc w:val="both"/>
        <w:rPr>
          <w:sz w:val="20"/>
          <w:szCs w:val="20"/>
        </w:rPr>
        <w:sectPr w:rsidR="00011DB0" w:rsidRPr="00011DB0" w:rsidSect="00DC2DE3">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5A09E0" w:rsidRPr="00011DB0" w:rsidRDefault="005A09E0" w:rsidP="00011DB0">
      <w:pPr>
        <w:snapToGrid w:val="0"/>
        <w:ind w:firstLine="425"/>
        <w:jc w:val="both"/>
        <w:rPr>
          <w:sz w:val="20"/>
          <w:szCs w:val="20"/>
        </w:rPr>
      </w:pPr>
    </w:p>
    <w:p w:rsidR="005A09E0" w:rsidRPr="00011DB0" w:rsidRDefault="005A09E0" w:rsidP="00011DB0">
      <w:pPr>
        <w:snapToGrid w:val="0"/>
        <w:jc w:val="center"/>
        <w:rPr>
          <w:sz w:val="20"/>
          <w:szCs w:val="20"/>
        </w:rPr>
      </w:pPr>
      <w:r w:rsidRPr="00011DB0">
        <w:rPr>
          <w:sz w:val="20"/>
          <w:szCs w:val="20"/>
        </w:rPr>
        <w:t>Table (1): average and standard deviation of irrational thoughts in the instruction group and the control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6"/>
        <w:gridCol w:w="994"/>
        <w:gridCol w:w="1963"/>
        <w:gridCol w:w="994"/>
        <w:gridCol w:w="1959"/>
      </w:tblGrid>
      <w:tr w:rsidR="005A09E0" w:rsidRPr="00DC2DE3" w:rsidTr="00DC2DE3">
        <w:trPr>
          <w:cantSplit/>
          <w:jc w:val="center"/>
        </w:trPr>
        <w:tc>
          <w:tcPr>
            <w:tcW w:w="1914" w:type="pct"/>
          </w:tcPr>
          <w:p w:rsidR="005A09E0" w:rsidRPr="00DC2DE3" w:rsidRDefault="005A09E0" w:rsidP="00011DB0">
            <w:pPr>
              <w:snapToGrid w:val="0"/>
              <w:jc w:val="both"/>
              <w:rPr>
                <w:b/>
                <w:color w:val="000000"/>
                <w:sz w:val="18"/>
                <w:szCs w:val="18"/>
              </w:rPr>
            </w:pPr>
            <w:r w:rsidRPr="00DC2DE3">
              <w:rPr>
                <w:b/>
                <w:i/>
                <w:iCs/>
                <w:color w:val="000000"/>
                <w:sz w:val="18"/>
                <w:szCs w:val="18"/>
              </w:rPr>
              <w:t>variables</w:t>
            </w:r>
          </w:p>
        </w:tc>
        <w:tc>
          <w:tcPr>
            <w:tcW w:w="1543" w:type="pct"/>
            <w:gridSpan w:val="2"/>
          </w:tcPr>
          <w:p w:rsidR="005A09E0" w:rsidRPr="00DC2DE3" w:rsidRDefault="005A09E0" w:rsidP="00011DB0">
            <w:pPr>
              <w:snapToGrid w:val="0"/>
              <w:jc w:val="both"/>
              <w:rPr>
                <w:b/>
                <w:color w:val="000000"/>
                <w:sz w:val="18"/>
                <w:szCs w:val="18"/>
              </w:rPr>
            </w:pPr>
            <w:r w:rsidRPr="00DC2DE3">
              <w:rPr>
                <w:b/>
                <w:i/>
                <w:iCs/>
                <w:color w:val="000000"/>
                <w:sz w:val="18"/>
                <w:szCs w:val="18"/>
              </w:rPr>
              <w:t>instruction group</w:t>
            </w:r>
          </w:p>
        </w:tc>
        <w:tc>
          <w:tcPr>
            <w:tcW w:w="1543" w:type="pct"/>
            <w:gridSpan w:val="2"/>
          </w:tcPr>
          <w:p w:rsidR="005A09E0" w:rsidRPr="00DC2DE3" w:rsidRDefault="005A09E0" w:rsidP="00011DB0">
            <w:pPr>
              <w:snapToGrid w:val="0"/>
              <w:jc w:val="both"/>
              <w:rPr>
                <w:b/>
                <w:color w:val="000000"/>
                <w:sz w:val="18"/>
                <w:szCs w:val="18"/>
              </w:rPr>
            </w:pPr>
            <w:r w:rsidRPr="00DC2DE3">
              <w:rPr>
                <w:b/>
                <w:i/>
                <w:iCs/>
                <w:color w:val="000000"/>
                <w:sz w:val="18"/>
                <w:szCs w:val="18"/>
              </w:rPr>
              <w:t>control group</w:t>
            </w:r>
          </w:p>
        </w:tc>
      </w:tr>
      <w:tr w:rsidR="005A09E0" w:rsidRPr="00DC2DE3" w:rsidTr="00DC2DE3">
        <w:trPr>
          <w:cantSplit/>
          <w:trHeight w:val="70"/>
          <w:jc w:val="center"/>
        </w:trPr>
        <w:tc>
          <w:tcPr>
            <w:tcW w:w="1914" w:type="pct"/>
          </w:tcPr>
          <w:p w:rsidR="005A09E0" w:rsidRPr="00DC2DE3" w:rsidRDefault="005A09E0" w:rsidP="00011DB0">
            <w:pPr>
              <w:snapToGrid w:val="0"/>
              <w:jc w:val="both"/>
              <w:rPr>
                <w:i/>
                <w:iCs/>
                <w:color w:val="000000"/>
                <w:sz w:val="18"/>
                <w:szCs w:val="18"/>
              </w:rPr>
            </w:pPr>
          </w:p>
        </w:tc>
        <w:tc>
          <w:tcPr>
            <w:tcW w:w="519" w:type="pct"/>
          </w:tcPr>
          <w:p w:rsidR="005A09E0" w:rsidRPr="00DC2DE3" w:rsidRDefault="005A09E0" w:rsidP="00DC2DE3">
            <w:pPr>
              <w:snapToGrid w:val="0"/>
              <w:jc w:val="both"/>
              <w:rPr>
                <w:color w:val="000000"/>
                <w:sz w:val="18"/>
                <w:szCs w:val="18"/>
              </w:rPr>
            </w:pPr>
            <w:r w:rsidRPr="00DC2DE3">
              <w:rPr>
                <w:i/>
                <w:iCs/>
                <w:color w:val="000000"/>
                <w:sz w:val="18"/>
                <w:szCs w:val="18"/>
              </w:rPr>
              <w:t>Mean</w:t>
            </w:r>
            <w:r w:rsidR="00DC2DE3" w:rsidRPr="00DC2DE3">
              <w:rPr>
                <w:rFonts w:hint="eastAsia"/>
                <w:i/>
                <w:iCs/>
                <w:color w:val="000000"/>
                <w:sz w:val="18"/>
                <w:szCs w:val="18"/>
                <w:lang w:eastAsia="zh-CN"/>
              </w:rPr>
              <w:t xml:space="preserve"> </w:t>
            </w:r>
            <w:r w:rsidRPr="00DC2DE3">
              <w:rPr>
                <w:i/>
                <w:iCs/>
                <w:color w:val="000000"/>
                <w:sz w:val="18"/>
                <w:szCs w:val="18"/>
              </w:rPr>
              <w:t>(X)</w:t>
            </w:r>
          </w:p>
        </w:tc>
        <w:tc>
          <w:tcPr>
            <w:tcW w:w="1025" w:type="pct"/>
          </w:tcPr>
          <w:p w:rsidR="005A09E0" w:rsidRPr="00DC2DE3" w:rsidRDefault="005A09E0" w:rsidP="00011DB0">
            <w:pPr>
              <w:snapToGrid w:val="0"/>
              <w:jc w:val="both"/>
              <w:rPr>
                <w:color w:val="000000"/>
                <w:sz w:val="18"/>
                <w:szCs w:val="18"/>
              </w:rPr>
            </w:pPr>
            <w:r w:rsidRPr="00DC2DE3">
              <w:rPr>
                <w:i/>
                <w:iCs/>
                <w:color w:val="000000"/>
                <w:sz w:val="18"/>
                <w:szCs w:val="18"/>
              </w:rPr>
              <w:t>standard deviation (s)</w:t>
            </w:r>
          </w:p>
        </w:tc>
        <w:tc>
          <w:tcPr>
            <w:tcW w:w="519" w:type="pct"/>
          </w:tcPr>
          <w:p w:rsidR="005A09E0" w:rsidRPr="00DC2DE3" w:rsidRDefault="005A09E0" w:rsidP="00DC2DE3">
            <w:pPr>
              <w:snapToGrid w:val="0"/>
              <w:jc w:val="both"/>
              <w:rPr>
                <w:color w:val="000000"/>
                <w:sz w:val="18"/>
                <w:szCs w:val="18"/>
              </w:rPr>
            </w:pPr>
            <w:r w:rsidRPr="00DC2DE3">
              <w:rPr>
                <w:i/>
                <w:iCs/>
                <w:color w:val="000000"/>
                <w:sz w:val="18"/>
                <w:szCs w:val="18"/>
              </w:rPr>
              <w:t>Mean</w:t>
            </w:r>
            <w:r w:rsidR="00DC2DE3" w:rsidRPr="00DC2DE3">
              <w:rPr>
                <w:rFonts w:hint="eastAsia"/>
                <w:i/>
                <w:iCs/>
                <w:color w:val="000000"/>
                <w:sz w:val="18"/>
                <w:szCs w:val="18"/>
                <w:lang w:eastAsia="zh-CN"/>
              </w:rPr>
              <w:t xml:space="preserve"> </w:t>
            </w:r>
            <w:r w:rsidRPr="00DC2DE3">
              <w:rPr>
                <w:i/>
                <w:iCs/>
                <w:color w:val="000000"/>
                <w:sz w:val="18"/>
                <w:szCs w:val="18"/>
              </w:rPr>
              <w:t>(X)</w:t>
            </w:r>
          </w:p>
        </w:tc>
        <w:tc>
          <w:tcPr>
            <w:tcW w:w="1025" w:type="pct"/>
          </w:tcPr>
          <w:p w:rsidR="005A09E0" w:rsidRPr="00DC2DE3" w:rsidRDefault="005A09E0" w:rsidP="00011DB0">
            <w:pPr>
              <w:snapToGrid w:val="0"/>
              <w:jc w:val="both"/>
              <w:rPr>
                <w:color w:val="000000"/>
                <w:sz w:val="18"/>
                <w:szCs w:val="18"/>
              </w:rPr>
            </w:pPr>
            <w:r w:rsidRPr="00DC2DE3">
              <w:rPr>
                <w:i/>
                <w:iCs/>
                <w:color w:val="000000"/>
                <w:sz w:val="18"/>
                <w:szCs w:val="18"/>
              </w:rPr>
              <w:t>standard deviation (s)</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perfectionism</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7.13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1.506</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7.53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1.407</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 xml:space="preserve">perfectionism </w:t>
            </w:r>
            <w:r w:rsidRPr="00DC2DE3">
              <w:rPr>
                <w:color w:val="000000"/>
                <w:sz w:val="18"/>
                <w:szCs w:val="18"/>
              </w:rPr>
              <w:t>(post-test)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4.53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1.060</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7.20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1.474</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helplessness for change</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7.40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1.242</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8</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1.254</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helplessness for change</w:t>
            </w:r>
            <w:r w:rsidRPr="00DC2DE3">
              <w:rPr>
                <w:color w:val="000000"/>
                <w:sz w:val="18"/>
                <w:szCs w:val="18"/>
              </w:rPr>
              <w:t xml:space="preserve"> (post-test)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5.47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1.187</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7.07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1.280</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dependency</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7.73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1.033</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8.53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1.187</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 xml:space="preserve">dependency </w:t>
            </w:r>
            <w:r w:rsidRPr="00DC2DE3">
              <w:rPr>
                <w:color w:val="000000"/>
                <w:sz w:val="18"/>
                <w:szCs w:val="18"/>
              </w:rPr>
              <w:t>(post-test)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5.13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0.915</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7.47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1.125</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problem avoidance</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7.53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1.187</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8.33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0.724</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problem avoidance</w:t>
            </w:r>
            <w:r w:rsidRPr="00DC2DE3">
              <w:rPr>
                <w:color w:val="000000"/>
                <w:sz w:val="18"/>
                <w:szCs w:val="18"/>
              </w:rPr>
              <w:t xml:space="preserve"> (post-test)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5.60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1.298</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7.40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0.737</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future problem</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7.60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0.986</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6.93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1.280</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future problem</w:t>
            </w:r>
            <w:r w:rsidRPr="00DC2DE3">
              <w:rPr>
                <w:color w:val="000000"/>
                <w:sz w:val="18"/>
                <w:szCs w:val="18"/>
              </w:rPr>
              <w:t xml:space="preserve"> (post-test)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5.07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1.033</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6.07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1.438</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emotional irresponsibility</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7.07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1.387</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7.53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1.187</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emotional irresponsibility</w:t>
            </w:r>
            <w:r w:rsidRPr="00DC2DE3">
              <w:rPr>
                <w:color w:val="000000"/>
                <w:sz w:val="18"/>
                <w:szCs w:val="18"/>
              </w:rPr>
              <w:t xml:space="preserve"> (post-test)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5</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1.069</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6.53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1.187</w:t>
            </w:r>
          </w:p>
        </w:tc>
      </w:tr>
      <w:tr w:rsidR="005A09E0" w:rsidRPr="00DC2DE3" w:rsidTr="00DC2DE3">
        <w:trPr>
          <w:cantSplit/>
          <w:jc w:val="center"/>
        </w:trPr>
        <w:tc>
          <w:tcPr>
            <w:tcW w:w="1914" w:type="pct"/>
            <w:tcBorders>
              <w:bottom w:val="single" w:sz="4" w:space="0" w:color="auto"/>
            </w:tcBorders>
          </w:tcPr>
          <w:p w:rsidR="005A09E0" w:rsidRPr="00DC2DE3" w:rsidRDefault="005A09E0" w:rsidP="00011DB0">
            <w:pPr>
              <w:snapToGrid w:val="0"/>
              <w:jc w:val="both"/>
              <w:rPr>
                <w:color w:val="000000"/>
                <w:sz w:val="18"/>
                <w:szCs w:val="18"/>
              </w:rPr>
            </w:pPr>
            <w:r w:rsidRPr="00DC2DE3">
              <w:rPr>
                <w:i/>
                <w:iCs/>
                <w:color w:val="000000"/>
                <w:sz w:val="18"/>
                <w:szCs w:val="18"/>
              </w:rPr>
              <w:t>frustration reaction</w:t>
            </w:r>
            <w:r w:rsidRPr="00DC2DE3">
              <w:rPr>
                <w:color w:val="000000"/>
                <w:sz w:val="18"/>
                <w:szCs w:val="18"/>
              </w:rPr>
              <w:t xml:space="preserve"> (pre-test)</w:t>
            </w:r>
          </w:p>
        </w:tc>
        <w:tc>
          <w:tcPr>
            <w:tcW w:w="519" w:type="pct"/>
            <w:tcBorders>
              <w:bottom w:val="single" w:sz="4" w:space="0" w:color="auto"/>
            </w:tcBorders>
          </w:tcPr>
          <w:p w:rsidR="005A09E0" w:rsidRPr="00DC2DE3" w:rsidRDefault="005A09E0" w:rsidP="00011DB0">
            <w:pPr>
              <w:snapToGrid w:val="0"/>
              <w:jc w:val="both"/>
              <w:rPr>
                <w:color w:val="000000"/>
                <w:sz w:val="18"/>
                <w:szCs w:val="18"/>
              </w:rPr>
            </w:pPr>
            <w:r w:rsidRPr="00DC2DE3">
              <w:rPr>
                <w:color w:val="000000"/>
                <w:sz w:val="18"/>
                <w:szCs w:val="18"/>
              </w:rPr>
              <w:t>7.33</w:t>
            </w:r>
          </w:p>
        </w:tc>
        <w:tc>
          <w:tcPr>
            <w:tcW w:w="1025" w:type="pct"/>
            <w:tcBorders>
              <w:bottom w:val="single" w:sz="4" w:space="0" w:color="auto"/>
            </w:tcBorders>
          </w:tcPr>
          <w:p w:rsidR="005A09E0" w:rsidRPr="00DC2DE3" w:rsidRDefault="005A09E0" w:rsidP="00011DB0">
            <w:pPr>
              <w:snapToGrid w:val="0"/>
              <w:jc w:val="both"/>
              <w:rPr>
                <w:color w:val="000000"/>
                <w:sz w:val="18"/>
                <w:szCs w:val="18"/>
              </w:rPr>
            </w:pPr>
            <w:r w:rsidRPr="00DC2DE3">
              <w:rPr>
                <w:color w:val="000000"/>
                <w:sz w:val="18"/>
                <w:szCs w:val="18"/>
              </w:rPr>
              <w:t>1.543</w:t>
            </w:r>
          </w:p>
        </w:tc>
        <w:tc>
          <w:tcPr>
            <w:tcW w:w="519" w:type="pct"/>
            <w:tcBorders>
              <w:bottom w:val="single" w:sz="4" w:space="0" w:color="auto"/>
            </w:tcBorders>
          </w:tcPr>
          <w:p w:rsidR="005A09E0" w:rsidRPr="00DC2DE3" w:rsidRDefault="005A09E0" w:rsidP="00011DB0">
            <w:pPr>
              <w:snapToGrid w:val="0"/>
              <w:jc w:val="both"/>
              <w:rPr>
                <w:color w:val="000000"/>
                <w:sz w:val="18"/>
                <w:szCs w:val="18"/>
              </w:rPr>
            </w:pPr>
            <w:r w:rsidRPr="00DC2DE3">
              <w:rPr>
                <w:color w:val="000000"/>
                <w:sz w:val="18"/>
                <w:szCs w:val="18"/>
              </w:rPr>
              <w:t>7.87</w:t>
            </w:r>
          </w:p>
        </w:tc>
        <w:tc>
          <w:tcPr>
            <w:tcW w:w="1025" w:type="pct"/>
            <w:tcBorders>
              <w:bottom w:val="single" w:sz="4" w:space="0" w:color="auto"/>
            </w:tcBorders>
          </w:tcPr>
          <w:p w:rsidR="005A09E0" w:rsidRPr="00DC2DE3" w:rsidRDefault="005A09E0" w:rsidP="00011DB0">
            <w:pPr>
              <w:snapToGrid w:val="0"/>
              <w:jc w:val="both"/>
              <w:rPr>
                <w:color w:val="000000"/>
                <w:sz w:val="18"/>
                <w:szCs w:val="18"/>
              </w:rPr>
            </w:pPr>
            <w:r w:rsidRPr="00DC2DE3">
              <w:rPr>
                <w:color w:val="000000"/>
                <w:sz w:val="18"/>
                <w:szCs w:val="18"/>
              </w:rPr>
              <w:t>0.834</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blaming proneness</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7.73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0.884</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7.40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0.910</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blaming proneness</w:t>
            </w:r>
            <w:r w:rsidRPr="00DC2DE3">
              <w:rPr>
                <w:color w:val="000000"/>
                <w:sz w:val="18"/>
                <w:szCs w:val="18"/>
              </w:rPr>
              <w:t xml:space="preserve"> (Post-test)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5.47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0.834</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6.47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0.915</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high self-expectation</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7.27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1.223</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7.73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1.223</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high self-expectation</w:t>
            </w:r>
            <w:r w:rsidRPr="00DC2DE3">
              <w:rPr>
                <w:color w:val="000000"/>
                <w:sz w:val="18"/>
                <w:szCs w:val="18"/>
              </w:rPr>
              <w:t xml:space="preserve"> (post-test)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4.67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0.976</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6.80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1.146</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demand for others' approval</w:t>
            </w:r>
            <w:r w:rsidRPr="00DC2DE3">
              <w:rPr>
                <w:color w:val="000000"/>
                <w:sz w:val="18"/>
                <w:szCs w:val="18"/>
              </w:rPr>
              <w:t xml:space="preserve"> (pre-test)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8.20</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1.146</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8.33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0.976</w:t>
            </w:r>
          </w:p>
        </w:tc>
      </w:tr>
      <w:tr w:rsidR="005A09E0" w:rsidRPr="00DC2DE3" w:rsidTr="00DC2DE3">
        <w:trPr>
          <w:cantSplit/>
          <w:jc w:val="center"/>
        </w:trPr>
        <w:tc>
          <w:tcPr>
            <w:tcW w:w="1914" w:type="pct"/>
          </w:tcPr>
          <w:p w:rsidR="005A09E0" w:rsidRPr="00DC2DE3" w:rsidRDefault="005A09E0" w:rsidP="00011DB0">
            <w:pPr>
              <w:snapToGrid w:val="0"/>
              <w:jc w:val="both"/>
              <w:rPr>
                <w:color w:val="000000"/>
                <w:sz w:val="18"/>
                <w:szCs w:val="18"/>
              </w:rPr>
            </w:pPr>
            <w:r w:rsidRPr="00DC2DE3">
              <w:rPr>
                <w:i/>
                <w:iCs/>
                <w:color w:val="000000"/>
                <w:sz w:val="18"/>
                <w:szCs w:val="18"/>
              </w:rPr>
              <w:t>demand for others' approval</w:t>
            </w:r>
            <w:r w:rsidRPr="00DC2DE3">
              <w:rPr>
                <w:color w:val="000000"/>
                <w:sz w:val="18"/>
                <w:szCs w:val="18"/>
              </w:rPr>
              <w:t xml:space="preserve"> (post-test)</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5.47</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1.187</w:t>
            </w:r>
          </w:p>
        </w:tc>
        <w:tc>
          <w:tcPr>
            <w:tcW w:w="519" w:type="pct"/>
          </w:tcPr>
          <w:p w:rsidR="005A09E0" w:rsidRPr="00DC2DE3" w:rsidRDefault="005A09E0" w:rsidP="00011DB0">
            <w:pPr>
              <w:snapToGrid w:val="0"/>
              <w:jc w:val="both"/>
              <w:rPr>
                <w:color w:val="000000"/>
                <w:sz w:val="18"/>
                <w:szCs w:val="18"/>
              </w:rPr>
            </w:pPr>
            <w:r w:rsidRPr="00DC2DE3">
              <w:rPr>
                <w:color w:val="000000"/>
                <w:sz w:val="18"/>
                <w:szCs w:val="18"/>
              </w:rPr>
              <w:t>7.53</w:t>
            </w:r>
          </w:p>
        </w:tc>
        <w:tc>
          <w:tcPr>
            <w:tcW w:w="1025" w:type="pct"/>
          </w:tcPr>
          <w:p w:rsidR="005A09E0" w:rsidRPr="00DC2DE3" w:rsidRDefault="005A09E0" w:rsidP="00011DB0">
            <w:pPr>
              <w:snapToGrid w:val="0"/>
              <w:jc w:val="both"/>
              <w:rPr>
                <w:color w:val="000000"/>
                <w:sz w:val="18"/>
                <w:szCs w:val="18"/>
              </w:rPr>
            </w:pPr>
            <w:r w:rsidRPr="00DC2DE3">
              <w:rPr>
                <w:color w:val="000000"/>
                <w:sz w:val="18"/>
                <w:szCs w:val="18"/>
              </w:rPr>
              <w:t>1.06</w:t>
            </w:r>
          </w:p>
        </w:tc>
      </w:tr>
      <w:tr w:rsidR="008941E5" w:rsidRPr="00DC2DE3" w:rsidTr="00DC2DE3">
        <w:trPr>
          <w:cantSplit/>
          <w:jc w:val="center"/>
        </w:trPr>
        <w:tc>
          <w:tcPr>
            <w:tcW w:w="1914" w:type="pct"/>
          </w:tcPr>
          <w:p w:rsidR="008941E5" w:rsidRPr="00DC2DE3" w:rsidRDefault="008941E5" w:rsidP="005465AE">
            <w:pPr>
              <w:snapToGrid w:val="0"/>
              <w:jc w:val="both"/>
              <w:rPr>
                <w:b/>
                <w:color w:val="000000"/>
                <w:sz w:val="18"/>
                <w:szCs w:val="18"/>
              </w:rPr>
            </w:pPr>
            <w:r w:rsidRPr="00DC2DE3">
              <w:rPr>
                <w:b/>
                <w:i/>
                <w:iCs/>
                <w:color w:val="000000"/>
                <w:sz w:val="18"/>
                <w:szCs w:val="18"/>
              </w:rPr>
              <w:t>variables</w:t>
            </w:r>
          </w:p>
        </w:tc>
        <w:tc>
          <w:tcPr>
            <w:tcW w:w="1543" w:type="pct"/>
            <w:gridSpan w:val="2"/>
          </w:tcPr>
          <w:p w:rsidR="008941E5" w:rsidRPr="00DC2DE3" w:rsidRDefault="008941E5" w:rsidP="005465AE">
            <w:pPr>
              <w:snapToGrid w:val="0"/>
              <w:jc w:val="both"/>
              <w:rPr>
                <w:b/>
                <w:color w:val="000000"/>
                <w:sz w:val="18"/>
                <w:szCs w:val="18"/>
              </w:rPr>
            </w:pPr>
            <w:r w:rsidRPr="00DC2DE3">
              <w:rPr>
                <w:b/>
                <w:i/>
                <w:iCs/>
                <w:color w:val="000000"/>
                <w:sz w:val="18"/>
                <w:szCs w:val="18"/>
              </w:rPr>
              <w:t>instruction group</w:t>
            </w:r>
          </w:p>
        </w:tc>
        <w:tc>
          <w:tcPr>
            <w:tcW w:w="1543" w:type="pct"/>
            <w:gridSpan w:val="2"/>
          </w:tcPr>
          <w:p w:rsidR="008941E5" w:rsidRPr="00DC2DE3" w:rsidRDefault="008941E5" w:rsidP="005465AE">
            <w:pPr>
              <w:snapToGrid w:val="0"/>
              <w:jc w:val="both"/>
              <w:rPr>
                <w:b/>
                <w:color w:val="000000"/>
                <w:sz w:val="18"/>
                <w:szCs w:val="18"/>
              </w:rPr>
            </w:pPr>
            <w:r w:rsidRPr="00DC2DE3">
              <w:rPr>
                <w:b/>
                <w:i/>
                <w:iCs/>
                <w:color w:val="000000"/>
                <w:sz w:val="18"/>
                <w:szCs w:val="18"/>
              </w:rPr>
              <w:t>control group</w:t>
            </w:r>
          </w:p>
        </w:tc>
      </w:tr>
    </w:tbl>
    <w:p w:rsidR="008941E5" w:rsidRDefault="008941E5" w:rsidP="00011DB0">
      <w:pPr>
        <w:snapToGrid w:val="0"/>
        <w:ind w:firstLine="425"/>
        <w:jc w:val="both"/>
        <w:rPr>
          <w:sz w:val="20"/>
          <w:szCs w:val="20"/>
          <w:lang w:eastAsia="zh-CN"/>
        </w:rPr>
      </w:pPr>
    </w:p>
    <w:p w:rsidR="00011DB0" w:rsidRPr="00011DB0" w:rsidRDefault="00011DB0" w:rsidP="00011DB0">
      <w:pPr>
        <w:snapToGrid w:val="0"/>
        <w:ind w:firstLine="425"/>
        <w:jc w:val="both"/>
        <w:rPr>
          <w:sz w:val="20"/>
          <w:szCs w:val="20"/>
        </w:rPr>
        <w:sectPr w:rsidR="00011DB0" w:rsidRPr="00011DB0" w:rsidSect="0064417E">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5A09E0" w:rsidRPr="00011DB0" w:rsidRDefault="005A09E0" w:rsidP="00011DB0">
      <w:pPr>
        <w:snapToGrid w:val="0"/>
        <w:ind w:firstLine="425"/>
        <w:jc w:val="both"/>
        <w:rPr>
          <w:sz w:val="20"/>
          <w:szCs w:val="20"/>
        </w:rPr>
      </w:pPr>
      <w:r w:rsidRPr="00011DB0">
        <w:rPr>
          <w:sz w:val="20"/>
          <w:szCs w:val="20"/>
        </w:rPr>
        <w:lastRenderedPageBreak/>
        <w:t>As you see, in all ten belief classes, the mean scores obtained by members of experiment (instruction) group are lower than those of members of the control group.</w:t>
      </w:r>
    </w:p>
    <w:p w:rsidR="005A09E0" w:rsidRPr="00011DB0" w:rsidRDefault="005A09E0" w:rsidP="00011DB0">
      <w:pPr>
        <w:snapToGrid w:val="0"/>
        <w:ind w:firstLine="425"/>
        <w:jc w:val="both"/>
        <w:rPr>
          <w:sz w:val="20"/>
          <w:szCs w:val="20"/>
        </w:rPr>
      </w:pPr>
      <w:r w:rsidRPr="00011DB0">
        <w:rPr>
          <w:sz w:val="20"/>
          <w:szCs w:val="20"/>
        </w:rPr>
        <w:lastRenderedPageBreak/>
        <w:t>The results of the analysis of effectiveness of the combined variable “irrational beliefs” are summarized in Table (2):</w:t>
      </w:r>
    </w:p>
    <w:p w:rsidR="00011DB0" w:rsidRPr="00011DB0" w:rsidRDefault="00011DB0" w:rsidP="00011DB0">
      <w:pPr>
        <w:snapToGrid w:val="0"/>
        <w:ind w:firstLine="425"/>
        <w:jc w:val="both"/>
        <w:rPr>
          <w:sz w:val="20"/>
          <w:szCs w:val="20"/>
        </w:rPr>
        <w:sectPr w:rsidR="00011DB0" w:rsidRPr="00011DB0" w:rsidSect="0064417E">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5A09E0" w:rsidRPr="00011DB0" w:rsidRDefault="005A09E0" w:rsidP="00011DB0">
      <w:pPr>
        <w:snapToGrid w:val="0"/>
        <w:jc w:val="center"/>
        <w:rPr>
          <w:sz w:val="20"/>
          <w:szCs w:val="20"/>
        </w:rPr>
      </w:pPr>
    </w:p>
    <w:p w:rsidR="00DC2DE3" w:rsidRDefault="00DC2DE3" w:rsidP="00011DB0">
      <w:pPr>
        <w:snapToGrid w:val="0"/>
        <w:jc w:val="center"/>
        <w:rPr>
          <w:sz w:val="20"/>
          <w:szCs w:val="20"/>
          <w:lang w:eastAsia="zh-CN"/>
        </w:rPr>
      </w:pPr>
    </w:p>
    <w:p w:rsidR="005A09E0" w:rsidRPr="00011DB0" w:rsidRDefault="005A09E0" w:rsidP="00011DB0">
      <w:pPr>
        <w:snapToGrid w:val="0"/>
        <w:jc w:val="center"/>
        <w:rPr>
          <w:sz w:val="20"/>
          <w:szCs w:val="20"/>
        </w:rPr>
      </w:pPr>
      <w:r w:rsidRPr="00011DB0">
        <w:rPr>
          <w:sz w:val="20"/>
          <w:szCs w:val="20"/>
        </w:rPr>
        <w:t xml:space="preserve">Table (2): </w:t>
      </w:r>
      <w:proofErr w:type="spellStart"/>
      <w:r w:rsidRPr="00011DB0">
        <w:rPr>
          <w:sz w:val="20"/>
          <w:szCs w:val="20"/>
        </w:rPr>
        <w:t>Wilks</w:t>
      </w:r>
      <w:proofErr w:type="spellEnd"/>
      <w:r w:rsidRPr="00011DB0">
        <w:rPr>
          <w:sz w:val="20"/>
          <w:szCs w:val="20"/>
        </w:rPr>
        <w:t xml:space="preserve"> Lambda 4 test for the combined variable in question</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924"/>
        <w:gridCol w:w="1060"/>
        <w:gridCol w:w="605"/>
        <w:gridCol w:w="605"/>
        <w:gridCol w:w="2443"/>
        <w:gridCol w:w="2248"/>
      </w:tblGrid>
      <w:tr w:rsidR="005A09E0" w:rsidRPr="00011DB0" w:rsidTr="00DC2DE3">
        <w:trPr>
          <w:jc w:val="center"/>
        </w:trPr>
        <w:tc>
          <w:tcPr>
            <w:tcW w:w="672" w:type="pct"/>
            <w:vAlign w:val="center"/>
          </w:tcPr>
          <w:p w:rsidR="005A09E0" w:rsidRPr="00011DB0" w:rsidRDefault="005A09E0" w:rsidP="00011DB0">
            <w:pPr>
              <w:snapToGrid w:val="0"/>
              <w:jc w:val="both"/>
              <w:rPr>
                <w:i/>
                <w:iCs/>
                <w:color w:val="000000"/>
                <w:sz w:val="20"/>
                <w:szCs w:val="20"/>
              </w:rPr>
            </w:pPr>
            <w:r w:rsidRPr="00011DB0">
              <w:rPr>
                <w:i/>
                <w:iCs/>
                <w:color w:val="000000"/>
                <w:sz w:val="20"/>
                <w:szCs w:val="20"/>
              </w:rPr>
              <w:t>variable</w:t>
            </w:r>
          </w:p>
        </w:tc>
        <w:tc>
          <w:tcPr>
            <w:tcW w:w="507" w:type="pct"/>
            <w:vAlign w:val="center"/>
          </w:tcPr>
          <w:p w:rsidR="005A09E0" w:rsidRPr="00011DB0" w:rsidRDefault="005A09E0" w:rsidP="00011DB0">
            <w:pPr>
              <w:snapToGrid w:val="0"/>
              <w:jc w:val="both"/>
              <w:rPr>
                <w:i/>
                <w:iCs/>
                <w:color w:val="000000"/>
                <w:sz w:val="20"/>
                <w:szCs w:val="20"/>
              </w:rPr>
            </w:pPr>
            <w:r w:rsidRPr="00011DB0">
              <w:rPr>
                <w:i/>
                <w:iCs/>
                <w:color w:val="000000"/>
                <w:sz w:val="20"/>
                <w:szCs w:val="20"/>
              </w:rPr>
              <w:t>value</w:t>
            </w:r>
          </w:p>
        </w:tc>
        <w:tc>
          <w:tcPr>
            <w:tcW w:w="582" w:type="pct"/>
            <w:vAlign w:val="center"/>
          </w:tcPr>
          <w:p w:rsidR="005A09E0" w:rsidRPr="00011DB0" w:rsidRDefault="005A09E0" w:rsidP="00011DB0">
            <w:pPr>
              <w:snapToGrid w:val="0"/>
              <w:jc w:val="both"/>
              <w:rPr>
                <w:i/>
                <w:iCs/>
                <w:color w:val="000000"/>
                <w:sz w:val="20"/>
                <w:szCs w:val="20"/>
              </w:rPr>
            </w:pPr>
            <w:r w:rsidRPr="00011DB0">
              <w:rPr>
                <w:i/>
                <w:iCs/>
                <w:color w:val="000000"/>
                <w:sz w:val="20"/>
                <w:szCs w:val="20"/>
              </w:rPr>
              <w:t>f</w:t>
            </w:r>
          </w:p>
        </w:tc>
        <w:tc>
          <w:tcPr>
            <w:tcW w:w="332" w:type="pct"/>
            <w:vAlign w:val="center"/>
          </w:tcPr>
          <w:p w:rsidR="005A09E0" w:rsidRPr="00011DB0" w:rsidRDefault="005A09E0" w:rsidP="00011DB0">
            <w:pPr>
              <w:snapToGrid w:val="0"/>
              <w:jc w:val="both"/>
              <w:rPr>
                <w:i/>
                <w:iCs/>
                <w:color w:val="000000"/>
                <w:sz w:val="20"/>
                <w:szCs w:val="20"/>
              </w:rPr>
            </w:pPr>
            <w:r w:rsidRPr="00011DB0">
              <w:rPr>
                <w:i/>
                <w:iCs/>
                <w:color w:val="000000"/>
                <w:sz w:val="20"/>
                <w:szCs w:val="20"/>
              </w:rPr>
              <w:t>df</w:t>
            </w:r>
            <w:r w:rsidRPr="00011DB0">
              <w:rPr>
                <w:i/>
                <w:iCs/>
                <w:color w:val="000000"/>
                <w:sz w:val="20"/>
                <w:szCs w:val="20"/>
                <w:vertAlign w:val="subscript"/>
              </w:rPr>
              <w:t>1</w:t>
            </w:r>
          </w:p>
        </w:tc>
        <w:tc>
          <w:tcPr>
            <w:tcW w:w="332" w:type="pct"/>
            <w:vAlign w:val="center"/>
          </w:tcPr>
          <w:p w:rsidR="005A09E0" w:rsidRPr="00011DB0" w:rsidRDefault="005A09E0" w:rsidP="00011DB0">
            <w:pPr>
              <w:snapToGrid w:val="0"/>
              <w:jc w:val="both"/>
              <w:rPr>
                <w:i/>
                <w:iCs/>
                <w:color w:val="000000"/>
                <w:sz w:val="20"/>
                <w:szCs w:val="20"/>
              </w:rPr>
            </w:pPr>
            <w:r w:rsidRPr="00011DB0">
              <w:rPr>
                <w:i/>
                <w:iCs/>
                <w:color w:val="000000"/>
                <w:sz w:val="20"/>
                <w:szCs w:val="20"/>
              </w:rPr>
              <w:t>df</w:t>
            </w:r>
            <w:r w:rsidRPr="00011DB0">
              <w:rPr>
                <w:i/>
                <w:iCs/>
                <w:color w:val="000000"/>
                <w:sz w:val="20"/>
                <w:szCs w:val="20"/>
                <w:vertAlign w:val="subscript"/>
              </w:rPr>
              <w:t>2</w:t>
            </w:r>
          </w:p>
        </w:tc>
        <w:tc>
          <w:tcPr>
            <w:tcW w:w="1341" w:type="pct"/>
            <w:vAlign w:val="center"/>
          </w:tcPr>
          <w:p w:rsidR="005A09E0" w:rsidRPr="00011DB0" w:rsidRDefault="005A09E0" w:rsidP="00011DB0">
            <w:pPr>
              <w:snapToGrid w:val="0"/>
              <w:jc w:val="both"/>
              <w:rPr>
                <w:i/>
                <w:iCs/>
                <w:color w:val="000000"/>
                <w:sz w:val="20"/>
                <w:szCs w:val="20"/>
              </w:rPr>
            </w:pPr>
            <w:r w:rsidRPr="00011DB0">
              <w:rPr>
                <w:i/>
                <w:iCs/>
                <w:color w:val="000000"/>
                <w:sz w:val="20"/>
                <w:szCs w:val="20"/>
              </w:rPr>
              <w:t>significance</w:t>
            </w:r>
            <w:r w:rsidR="00DC2DE3">
              <w:rPr>
                <w:i/>
                <w:iCs/>
                <w:color w:val="000000"/>
                <w:sz w:val="20"/>
                <w:szCs w:val="20"/>
              </w:rPr>
              <w:t xml:space="preserve"> </w:t>
            </w:r>
            <w:r w:rsidRPr="00011DB0">
              <w:rPr>
                <w:i/>
                <w:iCs/>
                <w:color w:val="000000"/>
                <w:sz w:val="20"/>
                <w:szCs w:val="20"/>
              </w:rPr>
              <w:t>levels (p)</w:t>
            </w:r>
          </w:p>
        </w:tc>
        <w:tc>
          <w:tcPr>
            <w:tcW w:w="1234" w:type="pct"/>
            <w:vAlign w:val="center"/>
          </w:tcPr>
          <w:p w:rsidR="005A09E0" w:rsidRPr="00011DB0" w:rsidRDefault="005A09E0" w:rsidP="00011DB0">
            <w:pPr>
              <w:snapToGrid w:val="0"/>
              <w:jc w:val="both"/>
              <w:rPr>
                <w:i/>
                <w:iCs/>
                <w:color w:val="000000"/>
                <w:sz w:val="20"/>
                <w:szCs w:val="20"/>
              </w:rPr>
            </w:pPr>
            <w:r w:rsidRPr="00011DB0">
              <w:rPr>
                <w:i/>
                <w:iCs/>
                <w:color w:val="000000"/>
                <w:sz w:val="20"/>
                <w:szCs w:val="20"/>
              </w:rPr>
              <w:t>effect degree (Eta)</w:t>
            </w:r>
          </w:p>
        </w:tc>
      </w:tr>
      <w:tr w:rsidR="005A09E0" w:rsidRPr="00011DB0" w:rsidTr="00DC2DE3">
        <w:trPr>
          <w:jc w:val="center"/>
        </w:trPr>
        <w:tc>
          <w:tcPr>
            <w:tcW w:w="672" w:type="pct"/>
            <w:vAlign w:val="center"/>
          </w:tcPr>
          <w:p w:rsidR="005A09E0" w:rsidRPr="00011DB0" w:rsidRDefault="005A09E0" w:rsidP="00011DB0">
            <w:pPr>
              <w:snapToGrid w:val="0"/>
              <w:jc w:val="both"/>
              <w:rPr>
                <w:color w:val="000000"/>
                <w:sz w:val="20"/>
                <w:szCs w:val="20"/>
              </w:rPr>
            </w:pPr>
            <w:r w:rsidRPr="00011DB0">
              <w:rPr>
                <w:color w:val="000000"/>
                <w:sz w:val="20"/>
                <w:szCs w:val="20"/>
              </w:rPr>
              <w:t>Group</w:t>
            </w:r>
          </w:p>
        </w:tc>
        <w:tc>
          <w:tcPr>
            <w:tcW w:w="507" w:type="pct"/>
            <w:vAlign w:val="center"/>
          </w:tcPr>
          <w:p w:rsidR="005A09E0" w:rsidRPr="00011DB0" w:rsidRDefault="005A09E0" w:rsidP="00011DB0">
            <w:pPr>
              <w:snapToGrid w:val="0"/>
              <w:jc w:val="both"/>
              <w:rPr>
                <w:color w:val="000000"/>
                <w:sz w:val="20"/>
                <w:szCs w:val="20"/>
              </w:rPr>
            </w:pPr>
            <w:r w:rsidRPr="00011DB0">
              <w:rPr>
                <w:color w:val="000000"/>
                <w:sz w:val="20"/>
                <w:szCs w:val="20"/>
              </w:rPr>
              <w:t>0.013</w:t>
            </w:r>
          </w:p>
        </w:tc>
        <w:tc>
          <w:tcPr>
            <w:tcW w:w="582" w:type="pct"/>
            <w:vAlign w:val="center"/>
          </w:tcPr>
          <w:p w:rsidR="005A09E0" w:rsidRPr="00011DB0" w:rsidRDefault="005A09E0" w:rsidP="00011DB0">
            <w:pPr>
              <w:snapToGrid w:val="0"/>
              <w:jc w:val="both"/>
              <w:rPr>
                <w:color w:val="000000"/>
                <w:sz w:val="20"/>
                <w:szCs w:val="20"/>
              </w:rPr>
            </w:pPr>
            <w:r w:rsidRPr="00011DB0">
              <w:rPr>
                <w:color w:val="000000"/>
                <w:sz w:val="20"/>
                <w:szCs w:val="20"/>
              </w:rPr>
              <w:t>70.579</w:t>
            </w:r>
          </w:p>
        </w:tc>
        <w:tc>
          <w:tcPr>
            <w:tcW w:w="332" w:type="pct"/>
            <w:vAlign w:val="center"/>
          </w:tcPr>
          <w:p w:rsidR="005A09E0" w:rsidRPr="00011DB0" w:rsidRDefault="005A09E0" w:rsidP="00011DB0">
            <w:pPr>
              <w:snapToGrid w:val="0"/>
              <w:jc w:val="both"/>
              <w:rPr>
                <w:color w:val="000000"/>
                <w:sz w:val="20"/>
                <w:szCs w:val="20"/>
              </w:rPr>
            </w:pPr>
            <w:r w:rsidRPr="00011DB0">
              <w:rPr>
                <w:color w:val="000000"/>
                <w:sz w:val="20"/>
                <w:szCs w:val="20"/>
              </w:rPr>
              <w:t>10</w:t>
            </w:r>
          </w:p>
        </w:tc>
        <w:tc>
          <w:tcPr>
            <w:tcW w:w="332" w:type="pct"/>
            <w:vAlign w:val="center"/>
          </w:tcPr>
          <w:p w:rsidR="005A09E0" w:rsidRPr="00011DB0" w:rsidRDefault="005A09E0" w:rsidP="00011DB0">
            <w:pPr>
              <w:snapToGrid w:val="0"/>
              <w:jc w:val="both"/>
              <w:rPr>
                <w:color w:val="000000"/>
                <w:sz w:val="20"/>
                <w:szCs w:val="20"/>
              </w:rPr>
            </w:pPr>
            <w:r w:rsidRPr="00011DB0">
              <w:rPr>
                <w:color w:val="000000"/>
                <w:sz w:val="20"/>
                <w:szCs w:val="20"/>
              </w:rPr>
              <w:t>9</w:t>
            </w:r>
          </w:p>
        </w:tc>
        <w:tc>
          <w:tcPr>
            <w:tcW w:w="1341" w:type="pct"/>
            <w:vAlign w:val="center"/>
          </w:tcPr>
          <w:p w:rsidR="005A09E0" w:rsidRPr="00011DB0" w:rsidRDefault="005A09E0" w:rsidP="00011DB0">
            <w:pPr>
              <w:snapToGrid w:val="0"/>
              <w:jc w:val="both"/>
              <w:rPr>
                <w:color w:val="000000"/>
                <w:sz w:val="20"/>
                <w:szCs w:val="20"/>
              </w:rPr>
            </w:pPr>
            <w:r w:rsidRPr="00011DB0">
              <w:rPr>
                <w:color w:val="000000"/>
                <w:sz w:val="20"/>
                <w:szCs w:val="20"/>
              </w:rPr>
              <w:t>0.001</w:t>
            </w:r>
          </w:p>
        </w:tc>
        <w:tc>
          <w:tcPr>
            <w:tcW w:w="1234" w:type="pct"/>
            <w:vAlign w:val="center"/>
          </w:tcPr>
          <w:p w:rsidR="005A09E0" w:rsidRPr="00011DB0" w:rsidRDefault="005A09E0" w:rsidP="00011DB0">
            <w:pPr>
              <w:snapToGrid w:val="0"/>
              <w:jc w:val="both"/>
              <w:rPr>
                <w:color w:val="000000"/>
                <w:sz w:val="20"/>
                <w:szCs w:val="20"/>
              </w:rPr>
            </w:pPr>
            <w:r w:rsidRPr="00011DB0">
              <w:rPr>
                <w:color w:val="000000"/>
                <w:sz w:val="20"/>
                <w:szCs w:val="20"/>
              </w:rPr>
              <w:t>0.987</w:t>
            </w:r>
          </w:p>
        </w:tc>
      </w:tr>
    </w:tbl>
    <w:p w:rsidR="00011DB0" w:rsidRDefault="00011DB0" w:rsidP="00011DB0">
      <w:pPr>
        <w:snapToGrid w:val="0"/>
        <w:ind w:firstLine="425"/>
        <w:jc w:val="both"/>
        <w:rPr>
          <w:sz w:val="20"/>
          <w:szCs w:val="20"/>
          <w:lang w:eastAsia="zh-CN"/>
        </w:rPr>
      </w:pPr>
    </w:p>
    <w:p w:rsidR="00DC2DE3" w:rsidRDefault="00DC2DE3" w:rsidP="00011DB0">
      <w:pPr>
        <w:snapToGrid w:val="0"/>
        <w:ind w:firstLine="425"/>
        <w:jc w:val="both"/>
        <w:rPr>
          <w:sz w:val="20"/>
          <w:szCs w:val="20"/>
          <w:lang w:eastAsia="zh-CN"/>
        </w:rPr>
      </w:pPr>
    </w:p>
    <w:p w:rsidR="00011DB0" w:rsidRPr="00011DB0" w:rsidRDefault="00011DB0" w:rsidP="00011DB0">
      <w:pPr>
        <w:snapToGrid w:val="0"/>
        <w:ind w:firstLine="425"/>
        <w:jc w:val="both"/>
        <w:rPr>
          <w:sz w:val="20"/>
          <w:szCs w:val="20"/>
        </w:rPr>
        <w:sectPr w:rsidR="00011DB0" w:rsidRPr="00011DB0" w:rsidSect="0064417E">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5A09E0" w:rsidRPr="00011DB0" w:rsidRDefault="005A09E0" w:rsidP="00011DB0">
      <w:pPr>
        <w:snapToGrid w:val="0"/>
        <w:ind w:firstLine="425"/>
        <w:jc w:val="both"/>
        <w:rPr>
          <w:sz w:val="20"/>
          <w:szCs w:val="20"/>
        </w:rPr>
      </w:pPr>
      <w:r w:rsidRPr="00011DB0">
        <w:rPr>
          <w:sz w:val="20"/>
          <w:szCs w:val="20"/>
        </w:rPr>
        <w:lastRenderedPageBreak/>
        <w:t xml:space="preserve">As you see, the above results (p = 0.001 and f = 70.579) show that the instruction of </w:t>
      </w:r>
      <w:proofErr w:type="spellStart"/>
      <w:r w:rsidRPr="00011DB0">
        <w:rPr>
          <w:sz w:val="20"/>
          <w:szCs w:val="20"/>
        </w:rPr>
        <w:t>metacognitive</w:t>
      </w:r>
      <w:proofErr w:type="spellEnd"/>
      <w:r w:rsidRPr="00011DB0">
        <w:rPr>
          <w:sz w:val="20"/>
          <w:szCs w:val="20"/>
        </w:rPr>
        <w:t xml:space="preserve"> therapy techniques is effective on the combined variable “irrational beliefs” and results in a decrease </w:t>
      </w:r>
      <w:r w:rsidRPr="00011DB0">
        <w:rPr>
          <w:sz w:val="20"/>
          <w:szCs w:val="20"/>
        </w:rPr>
        <w:lastRenderedPageBreak/>
        <w:t xml:space="preserve">of such beliefs in the depressed patients. The results of a co-variance analysis of </w:t>
      </w:r>
      <w:proofErr w:type="spellStart"/>
      <w:r w:rsidRPr="00011DB0">
        <w:rPr>
          <w:sz w:val="20"/>
          <w:szCs w:val="20"/>
        </w:rPr>
        <w:t>metacognitive</w:t>
      </w:r>
      <w:proofErr w:type="spellEnd"/>
      <w:r w:rsidRPr="00011DB0">
        <w:rPr>
          <w:sz w:val="20"/>
          <w:szCs w:val="20"/>
        </w:rPr>
        <w:t xml:space="preserve"> therapy instruction on the ten irrational classes are demonstrated in Table (3):</w:t>
      </w:r>
    </w:p>
    <w:p w:rsidR="00011DB0" w:rsidRPr="00011DB0" w:rsidRDefault="00011DB0" w:rsidP="00011DB0">
      <w:pPr>
        <w:snapToGrid w:val="0"/>
        <w:ind w:firstLine="425"/>
        <w:jc w:val="both"/>
        <w:rPr>
          <w:sz w:val="20"/>
          <w:szCs w:val="20"/>
        </w:rPr>
        <w:sectPr w:rsidR="00011DB0" w:rsidRPr="00011DB0" w:rsidSect="0064417E">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docGrid w:linePitch="360"/>
        </w:sectPr>
      </w:pPr>
    </w:p>
    <w:p w:rsidR="005A09E0" w:rsidRPr="00011DB0" w:rsidRDefault="005A09E0" w:rsidP="00011DB0">
      <w:pPr>
        <w:snapToGrid w:val="0"/>
        <w:jc w:val="center"/>
        <w:rPr>
          <w:sz w:val="20"/>
          <w:szCs w:val="20"/>
        </w:rPr>
      </w:pPr>
    </w:p>
    <w:p w:rsidR="00DC2DE3" w:rsidRDefault="00DC2DE3" w:rsidP="00011DB0">
      <w:pPr>
        <w:snapToGrid w:val="0"/>
        <w:jc w:val="center"/>
        <w:rPr>
          <w:sz w:val="20"/>
          <w:szCs w:val="20"/>
          <w:lang w:eastAsia="zh-CN"/>
        </w:rPr>
      </w:pPr>
    </w:p>
    <w:p w:rsidR="005A09E0" w:rsidRPr="00011DB0" w:rsidRDefault="005A09E0" w:rsidP="00011DB0">
      <w:pPr>
        <w:snapToGrid w:val="0"/>
        <w:jc w:val="center"/>
        <w:rPr>
          <w:sz w:val="20"/>
          <w:szCs w:val="20"/>
        </w:rPr>
      </w:pPr>
      <w:r w:rsidRPr="00011DB0">
        <w:rPr>
          <w:sz w:val="20"/>
          <w:szCs w:val="20"/>
        </w:rPr>
        <w:t>Table (3): Results of the co-variance analysis of the ten irrational belief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1157"/>
        <w:gridCol w:w="1267"/>
        <w:gridCol w:w="1218"/>
        <w:gridCol w:w="766"/>
        <w:gridCol w:w="1456"/>
        <w:gridCol w:w="1076"/>
        <w:gridCol w:w="830"/>
      </w:tblGrid>
      <w:tr w:rsidR="005A09E0" w:rsidRPr="00DC2DE3" w:rsidTr="00011DB0">
        <w:trPr>
          <w:jc w:val="center"/>
        </w:trPr>
        <w:tc>
          <w:tcPr>
            <w:tcW w:w="0" w:type="auto"/>
            <w:vAlign w:val="center"/>
          </w:tcPr>
          <w:p w:rsidR="005A09E0" w:rsidRPr="00DC2DE3" w:rsidRDefault="005A09E0" w:rsidP="00DC2DE3">
            <w:pPr>
              <w:snapToGrid w:val="0"/>
              <w:jc w:val="center"/>
              <w:rPr>
                <w:i/>
                <w:iCs/>
                <w:color w:val="000000"/>
                <w:sz w:val="20"/>
                <w:szCs w:val="20"/>
              </w:rPr>
            </w:pPr>
          </w:p>
        </w:tc>
        <w:tc>
          <w:tcPr>
            <w:tcW w:w="0" w:type="auto"/>
            <w:vAlign w:val="center"/>
          </w:tcPr>
          <w:p w:rsidR="005A09E0" w:rsidRPr="00DC2DE3" w:rsidRDefault="005A09E0" w:rsidP="00DC2DE3">
            <w:pPr>
              <w:snapToGrid w:val="0"/>
              <w:jc w:val="center"/>
              <w:rPr>
                <w:i/>
                <w:iCs/>
                <w:color w:val="000000"/>
                <w:sz w:val="20"/>
                <w:szCs w:val="20"/>
              </w:rPr>
            </w:pPr>
            <w:r w:rsidRPr="00DC2DE3">
              <w:rPr>
                <w:i/>
                <w:iCs/>
                <w:color w:val="000000"/>
                <w:sz w:val="20"/>
                <w:szCs w:val="20"/>
              </w:rPr>
              <w:t>sum of squares (</w:t>
            </w:r>
            <w:proofErr w:type="spellStart"/>
            <w:r w:rsidRPr="00DC2DE3">
              <w:rPr>
                <w:i/>
                <w:iCs/>
                <w:color w:val="000000"/>
                <w:sz w:val="20"/>
                <w:szCs w:val="20"/>
              </w:rPr>
              <w:t>ss</w:t>
            </w:r>
            <w:proofErr w:type="spellEnd"/>
            <w:r w:rsidRPr="00DC2DE3">
              <w:rPr>
                <w:i/>
                <w:iCs/>
                <w:color w:val="000000"/>
                <w:sz w:val="20"/>
                <w:szCs w:val="20"/>
              </w:rPr>
              <w:t>)</w:t>
            </w:r>
          </w:p>
        </w:tc>
        <w:tc>
          <w:tcPr>
            <w:tcW w:w="0" w:type="auto"/>
            <w:vAlign w:val="center"/>
          </w:tcPr>
          <w:p w:rsidR="005A09E0" w:rsidRPr="00DC2DE3" w:rsidRDefault="005A09E0" w:rsidP="00DC2DE3">
            <w:pPr>
              <w:snapToGrid w:val="0"/>
              <w:jc w:val="center"/>
              <w:rPr>
                <w:i/>
                <w:iCs/>
                <w:color w:val="000000"/>
                <w:sz w:val="20"/>
                <w:szCs w:val="20"/>
              </w:rPr>
            </w:pPr>
            <w:r w:rsidRPr="00DC2DE3">
              <w:rPr>
                <w:i/>
                <w:iCs/>
                <w:color w:val="000000"/>
                <w:sz w:val="20"/>
                <w:szCs w:val="20"/>
              </w:rPr>
              <w:t>degree of freedom (</w:t>
            </w:r>
            <w:proofErr w:type="spellStart"/>
            <w:r w:rsidRPr="00DC2DE3">
              <w:rPr>
                <w:i/>
                <w:iCs/>
                <w:color w:val="000000"/>
                <w:sz w:val="20"/>
                <w:szCs w:val="20"/>
              </w:rPr>
              <w:t>df</w:t>
            </w:r>
            <w:proofErr w:type="spellEnd"/>
            <w:r w:rsidRPr="00DC2DE3">
              <w:rPr>
                <w:i/>
                <w:iCs/>
                <w:color w:val="000000"/>
                <w:sz w:val="20"/>
                <w:szCs w:val="20"/>
              </w:rPr>
              <w:t>)</w:t>
            </w:r>
          </w:p>
        </w:tc>
        <w:tc>
          <w:tcPr>
            <w:tcW w:w="0" w:type="auto"/>
            <w:vAlign w:val="center"/>
          </w:tcPr>
          <w:p w:rsidR="005A09E0" w:rsidRPr="00DC2DE3" w:rsidRDefault="005A09E0" w:rsidP="00DC2DE3">
            <w:pPr>
              <w:snapToGrid w:val="0"/>
              <w:jc w:val="center"/>
              <w:rPr>
                <w:i/>
                <w:iCs/>
                <w:color w:val="000000"/>
                <w:sz w:val="20"/>
                <w:szCs w:val="20"/>
              </w:rPr>
            </w:pPr>
            <w:r w:rsidRPr="00DC2DE3">
              <w:rPr>
                <w:i/>
                <w:iCs/>
                <w:color w:val="000000"/>
                <w:sz w:val="20"/>
                <w:szCs w:val="20"/>
              </w:rPr>
              <w:t>mean of squares (ms)</w:t>
            </w:r>
          </w:p>
        </w:tc>
        <w:tc>
          <w:tcPr>
            <w:tcW w:w="0" w:type="auto"/>
            <w:vAlign w:val="center"/>
          </w:tcPr>
          <w:p w:rsidR="005A09E0" w:rsidRPr="00DC2DE3" w:rsidRDefault="005A09E0" w:rsidP="00DC2DE3">
            <w:pPr>
              <w:snapToGrid w:val="0"/>
              <w:jc w:val="center"/>
              <w:rPr>
                <w:i/>
                <w:iCs/>
                <w:color w:val="000000"/>
                <w:sz w:val="20"/>
                <w:szCs w:val="20"/>
              </w:rPr>
            </w:pPr>
            <w:r w:rsidRPr="00DC2DE3">
              <w:rPr>
                <w:i/>
                <w:iCs/>
                <w:color w:val="000000"/>
                <w:sz w:val="20"/>
                <w:szCs w:val="20"/>
              </w:rPr>
              <w:t>f</w:t>
            </w:r>
          </w:p>
        </w:tc>
        <w:tc>
          <w:tcPr>
            <w:tcW w:w="0" w:type="auto"/>
            <w:vAlign w:val="center"/>
          </w:tcPr>
          <w:p w:rsidR="005A09E0" w:rsidRPr="00DC2DE3" w:rsidRDefault="005A09E0" w:rsidP="00DC2DE3">
            <w:pPr>
              <w:snapToGrid w:val="0"/>
              <w:jc w:val="center"/>
              <w:rPr>
                <w:i/>
                <w:iCs/>
                <w:color w:val="000000"/>
                <w:sz w:val="20"/>
                <w:szCs w:val="20"/>
              </w:rPr>
            </w:pPr>
            <w:r w:rsidRPr="00DC2DE3">
              <w:rPr>
                <w:i/>
                <w:iCs/>
                <w:color w:val="000000"/>
                <w:sz w:val="20"/>
                <w:szCs w:val="20"/>
              </w:rPr>
              <w:t>significance</w:t>
            </w:r>
            <w:r w:rsidR="00DC2DE3" w:rsidRPr="00DC2DE3">
              <w:rPr>
                <w:i/>
                <w:iCs/>
                <w:color w:val="000000"/>
                <w:sz w:val="20"/>
                <w:szCs w:val="20"/>
              </w:rPr>
              <w:t xml:space="preserve"> </w:t>
            </w:r>
            <w:r w:rsidRPr="00DC2DE3">
              <w:rPr>
                <w:i/>
                <w:iCs/>
                <w:color w:val="000000"/>
                <w:sz w:val="20"/>
                <w:szCs w:val="20"/>
              </w:rPr>
              <w:t>levels (p)</w:t>
            </w:r>
          </w:p>
        </w:tc>
        <w:tc>
          <w:tcPr>
            <w:tcW w:w="0" w:type="auto"/>
            <w:vAlign w:val="center"/>
          </w:tcPr>
          <w:p w:rsidR="005A09E0" w:rsidRPr="00DC2DE3" w:rsidRDefault="005A09E0" w:rsidP="00DC2DE3">
            <w:pPr>
              <w:snapToGrid w:val="0"/>
              <w:jc w:val="center"/>
              <w:rPr>
                <w:i/>
                <w:iCs/>
                <w:color w:val="000000"/>
                <w:sz w:val="20"/>
                <w:szCs w:val="20"/>
              </w:rPr>
            </w:pPr>
            <w:r w:rsidRPr="00DC2DE3">
              <w:rPr>
                <w:i/>
                <w:iCs/>
                <w:color w:val="000000"/>
                <w:sz w:val="20"/>
                <w:szCs w:val="20"/>
              </w:rPr>
              <w:t>effect degree (eta)</w:t>
            </w:r>
          </w:p>
        </w:tc>
        <w:tc>
          <w:tcPr>
            <w:tcW w:w="0" w:type="auto"/>
            <w:vAlign w:val="center"/>
          </w:tcPr>
          <w:p w:rsidR="005A09E0" w:rsidRPr="00DC2DE3" w:rsidRDefault="005A09E0" w:rsidP="00DC2DE3">
            <w:pPr>
              <w:snapToGrid w:val="0"/>
              <w:jc w:val="center"/>
              <w:rPr>
                <w:i/>
                <w:iCs/>
                <w:color w:val="000000"/>
                <w:sz w:val="20"/>
                <w:szCs w:val="20"/>
              </w:rPr>
            </w:pPr>
            <w:r w:rsidRPr="00DC2DE3">
              <w:rPr>
                <w:i/>
                <w:iCs/>
                <w:color w:val="000000"/>
                <w:sz w:val="20"/>
                <w:szCs w:val="20"/>
              </w:rPr>
              <w:t>test power</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perfectionism</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20.615</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20.615</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41.366</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0.697</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helplessness for change</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5.102</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5.102</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16.558</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0.479</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dependency</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10.697</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10.697</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20.918</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0.913</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problem avoidance</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11.795</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11.795</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24.418</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0.612</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future problem</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8.793</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8.793</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71.845</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0.800</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emotional irresponsibility</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5.361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5.361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45.352</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0.716</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frustration reaction</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5.290</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5.390</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23.193</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0.563</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blaming proneness</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7.229</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7.229</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56.540</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0.759</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high self-expectation</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10.587</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10.587</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50.338</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0.737</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r w:rsidR="005A09E0" w:rsidRPr="00DC2DE3" w:rsidTr="00011DB0">
        <w:trPr>
          <w:jc w:val="center"/>
        </w:trPr>
        <w:tc>
          <w:tcPr>
            <w:tcW w:w="0" w:type="auto"/>
            <w:vAlign w:val="center"/>
          </w:tcPr>
          <w:p w:rsidR="005A09E0" w:rsidRPr="00DC2DE3" w:rsidRDefault="005A09E0" w:rsidP="00DC2DE3">
            <w:pPr>
              <w:snapToGrid w:val="0"/>
              <w:jc w:val="center"/>
              <w:rPr>
                <w:color w:val="000000"/>
                <w:sz w:val="20"/>
                <w:szCs w:val="20"/>
              </w:rPr>
            </w:pPr>
            <w:r w:rsidRPr="00DC2DE3">
              <w:rPr>
                <w:i/>
                <w:iCs/>
                <w:color w:val="000000"/>
                <w:sz w:val="20"/>
                <w:szCs w:val="20"/>
              </w:rPr>
              <w:t>demand for others' approval</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12.203</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12.203</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37.235</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0.0001</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0.674</w:t>
            </w:r>
          </w:p>
        </w:tc>
        <w:tc>
          <w:tcPr>
            <w:tcW w:w="0" w:type="auto"/>
            <w:vAlign w:val="center"/>
          </w:tcPr>
          <w:p w:rsidR="005A09E0" w:rsidRPr="00DC2DE3" w:rsidRDefault="005A09E0" w:rsidP="00DC2DE3">
            <w:pPr>
              <w:snapToGrid w:val="0"/>
              <w:jc w:val="center"/>
              <w:rPr>
                <w:color w:val="000000"/>
                <w:sz w:val="20"/>
                <w:szCs w:val="20"/>
              </w:rPr>
            </w:pPr>
            <w:r w:rsidRPr="00DC2DE3">
              <w:rPr>
                <w:color w:val="000000"/>
                <w:sz w:val="20"/>
                <w:szCs w:val="20"/>
              </w:rPr>
              <w:t>1.000</w:t>
            </w:r>
          </w:p>
        </w:tc>
      </w:tr>
    </w:tbl>
    <w:p w:rsidR="00011DB0" w:rsidRDefault="00011DB0" w:rsidP="00011DB0">
      <w:pPr>
        <w:snapToGrid w:val="0"/>
        <w:ind w:firstLine="425"/>
        <w:jc w:val="both"/>
        <w:rPr>
          <w:sz w:val="20"/>
          <w:szCs w:val="20"/>
          <w:lang w:eastAsia="zh-CN"/>
        </w:rPr>
      </w:pPr>
    </w:p>
    <w:p w:rsidR="00DC2DE3" w:rsidRDefault="00DC2DE3" w:rsidP="00011DB0">
      <w:pPr>
        <w:snapToGrid w:val="0"/>
        <w:ind w:firstLine="425"/>
        <w:jc w:val="both"/>
        <w:rPr>
          <w:sz w:val="20"/>
          <w:szCs w:val="20"/>
          <w:lang w:eastAsia="zh-CN"/>
        </w:rPr>
      </w:pPr>
    </w:p>
    <w:p w:rsidR="00011DB0" w:rsidRPr="00011DB0" w:rsidRDefault="00011DB0" w:rsidP="00011DB0">
      <w:pPr>
        <w:snapToGrid w:val="0"/>
        <w:ind w:firstLine="425"/>
        <w:jc w:val="both"/>
        <w:rPr>
          <w:sz w:val="20"/>
          <w:szCs w:val="20"/>
        </w:rPr>
        <w:sectPr w:rsidR="00011DB0" w:rsidRPr="00011DB0" w:rsidSect="0064417E">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pPr>
    </w:p>
    <w:p w:rsidR="005A09E0" w:rsidRPr="00011DB0" w:rsidRDefault="005A09E0" w:rsidP="00011DB0">
      <w:pPr>
        <w:snapToGrid w:val="0"/>
        <w:ind w:firstLine="425"/>
        <w:jc w:val="both"/>
        <w:rPr>
          <w:sz w:val="20"/>
          <w:szCs w:val="20"/>
        </w:rPr>
      </w:pPr>
      <w:r w:rsidRPr="00011DB0">
        <w:rPr>
          <w:sz w:val="20"/>
          <w:szCs w:val="20"/>
        </w:rPr>
        <w:lastRenderedPageBreak/>
        <w:t xml:space="preserve">The results of Table (3) for the two groups under investigation, i.e. the </w:t>
      </w:r>
      <w:proofErr w:type="spellStart"/>
      <w:r w:rsidRPr="00011DB0">
        <w:rPr>
          <w:sz w:val="20"/>
          <w:szCs w:val="20"/>
        </w:rPr>
        <w:t>metacognitive</w:t>
      </w:r>
      <w:proofErr w:type="spellEnd"/>
      <w:r w:rsidRPr="00011DB0">
        <w:rPr>
          <w:sz w:val="20"/>
          <w:szCs w:val="20"/>
        </w:rPr>
        <w:t xml:space="preserve"> therapy instruction group and the control group, through BEN FRONI MIZAN SHODE Alpha (0.001) indicate that </w:t>
      </w:r>
      <w:proofErr w:type="spellStart"/>
      <w:r w:rsidRPr="00011DB0">
        <w:rPr>
          <w:sz w:val="20"/>
          <w:szCs w:val="20"/>
        </w:rPr>
        <w:t>metacognitive</w:t>
      </w:r>
      <w:proofErr w:type="spellEnd"/>
      <w:r w:rsidRPr="00011DB0">
        <w:rPr>
          <w:sz w:val="20"/>
          <w:szCs w:val="20"/>
        </w:rPr>
        <w:t xml:space="preserve"> therapy instruction has resulted in a significant decrease of all ten classes of irrational belief; there has been a significant difference between post-test scores obtained by members of the </w:t>
      </w:r>
      <w:proofErr w:type="spellStart"/>
      <w:r w:rsidRPr="00011DB0">
        <w:rPr>
          <w:sz w:val="20"/>
          <w:szCs w:val="20"/>
        </w:rPr>
        <w:t>metacognitive</w:t>
      </w:r>
      <w:proofErr w:type="spellEnd"/>
      <w:r w:rsidRPr="00011DB0">
        <w:rPr>
          <w:sz w:val="20"/>
          <w:szCs w:val="20"/>
        </w:rPr>
        <w:t xml:space="preserve"> therapy instruction group, on one hand, and those of the control group, on the other. Since the difference between the means is significant at a 99% level of certainty, it can be concluded that the research hypothesis has been verified: </w:t>
      </w:r>
      <w:proofErr w:type="spellStart"/>
      <w:r w:rsidRPr="00011DB0">
        <w:rPr>
          <w:sz w:val="20"/>
          <w:szCs w:val="20"/>
        </w:rPr>
        <w:t>metacognitive</w:t>
      </w:r>
      <w:proofErr w:type="spellEnd"/>
      <w:r w:rsidRPr="00011DB0">
        <w:rPr>
          <w:sz w:val="20"/>
          <w:szCs w:val="20"/>
        </w:rPr>
        <w:t xml:space="preserve"> therapy instruction is effective on the degrees of irrational beliefs in the depressed patients.</w:t>
      </w:r>
    </w:p>
    <w:p w:rsidR="005A09E0" w:rsidRDefault="005A09E0" w:rsidP="00011DB0">
      <w:pPr>
        <w:snapToGrid w:val="0"/>
        <w:jc w:val="both"/>
        <w:rPr>
          <w:sz w:val="20"/>
          <w:szCs w:val="20"/>
          <w:lang w:eastAsia="zh-CN"/>
        </w:rPr>
      </w:pPr>
    </w:p>
    <w:p w:rsidR="00DC2DE3" w:rsidRPr="00011DB0" w:rsidRDefault="00DC2DE3" w:rsidP="00011DB0">
      <w:pPr>
        <w:snapToGrid w:val="0"/>
        <w:jc w:val="both"/>
        <w:rPr>
          <w:sz w:val="20"/>
          <w:szCs w:val="20"/>
          <w:lang w:eastAsia="zh-CN"/>
        </w:rPr>
      </w:pPr>
    </w:p>
    <w:p w:rsidR="005A09E0" w:rsidRPr="00011DB0" w:rsidRDefault="005A09E0" w:rsidP="00011DB0">
      <w:pPr>
        <w:snapToGrid w:val="0"/>
        <w:jc w:val="both"/>
        <w:rPr>
          <w:b/>
          <w:bCs/>
          <w:sz w:val="20"/>
          <w:szCs w:val="20"/>
        </w:rPr>
      </w:pPr>
      <w:r w:rsidRPr="00011DB0">
        <w:rPr>
          <w:b/>
          <w:bCs/>
          <w:sz w:val="20"/>
          <w:szCs w:val="20"/>
        </w:rPr>
        <w:lastRenderedPageBreak/>
        <w:t>4. Discussion</w:t>
      </w:r>
    </w:p>
    <w:p w:rsidR="005A09E0" w:rsidRPr="00011DB0" w:rsidRDefault="005A09E0" w:rsidP="00011DB0">
      <w:pPr>
        <w:snapToGrid w:val="0"/>
        <w:ind w:firstLine="425"/>
        <w:jc w:val="both"/>
        <w:rPr>
          <w:sz w:val="20"/>
          <w:szCs w:val="20"/>
        </w:rPr>
      </w:pPr>
      <w:r w:rsidRPr="00011DB0">
        <w:rPr>
          <w:sz w:val="20"/>
          <w:szCs w:val="20"/>
        </w:rPr>
        <w:t xml:space="preserve">According to the research results, </w:t>
      </w:r>
      <w:proofErr w:type="spellStart"/>
      <w:r w:rsidRPr="00011DB0">
        <w:rPr>
          <w:sz w:val="20"/>
          <w:szCs w:val="20"/>
        </w:rPr>
        <w:t>metacognitive</w:t>
      </w:r>
      <w:proofErr w:type="spellEnd"/>
      <w:r w:rsidRPr="00011DB0">
        <w:rPr>
          <w:sz w:val="20"/>
          <w:szCs w:val="20"/>
        </w:rPr>
        <w:t xml:space="preserve"> therapy instruction in the "experiment group" has had a significant effect on the decrease of irrational beliefs, as opposed to irrational beliefs in the "control group". In the present study, the variables "future problem", "blaming proneness", "high self-expectation", and "emotional irresponsibility" have been reported to be more effective on the change of irrational beliefs.</w:t>
      </w:r>
    </w:p>
    <w:p w:rsidR="005A09E0" w:rsidRPr="00011DB0" w:rsidRDefault="005A09E0" w:rsidP="00011DB0">
      <w:pPr>
        <w:snapToGrid w:val="0"/>
        <w:ind w:firstLine="425"/>
        <w:jc w:val="both"/>
        <w:rPr>
          <w:sz w:val="20"/>
          <w:szCs w:val="20"/>
        </w:rPr>
      </w:pPr>
      <w:r w:rsidRPr="00011DB0">
        <w:rPr>
          <w:sz w:val="20"/>
          <w:szCs w:val="20"/>
        </w:rPr>
        <w:t xml:space="preserve">The above result is in line with the finding reported by Fischer and Wales (2005) with regard to the effect of </w:t>
      </w:r>
      <w:proofErr w:type="spellStart"/>
      <w:r w:rsidRPr="00011DB0">
        <w:rPr>
          <w:sz w:val="20"/>
          <w:szCs w:val="20"/>
        </w:rPr>
        <w:t>metacognition</w:t>
      </w:r>
      <w:proofErr w:type="spellEnd"/>
      <w:r w:rsidRPr="00011DB0">
        <w:rPr>
          <w:sz w:val="20"/>
          <w:szCs w:val="20"/>
        </w:rPr>
        <w:t xml:space="preserve"> on the individual's beliefs. It is also consistent with the results reported by Reis and </w:t>
      </w:r>
      <w:proofErr w:type="spellStart"/>
      <w:r w:rsidRPr="00011DB0">
        <w:rPr>
          <w:sz w:val="20"/>
          <w:szCs w:val="20"/>
        </w:rPr>
        <w:t>Kowas</w:t>
      </w:r>
      <w:proofErr w:type="spellEnd"/>
      <w:r w:rsidRPr="00011DB0">
        <w:rPr>
          <w:sz w:val="20"/>
          <w:szCs w:val="20"/>
        </w:rPr>
        <w:t xml:space="preserve"> World (2008) in regards with the efficiency of </w:t>
      </w:r>
      <w:proofErr w:type="spellStart"/>
      <w:r w:rsidRPr="00011DB0">
        <w:rPr>
          <w:sz w:val="20"/>
          <w:szCs w:val="20"/>
        </w:rPr>
        <w:t>metacognitive</w:t>
      </w:r>
      <w:proofErr w:type="spellEnd"/>
      <w:r w:rsidRPr="00011DB0">
        <w:rPr>
          <w:sz w:val="20"/>
          <w:szCs w:val="20"/>
        </w:rPr>
        <w:t xml:space="preserve"> therapy in the change of symptoms of obsession.</w:t>
      </w:r>
    </w:p>
    <w:p w:rsidR="005A09E0" w:rsidRPr="00011DB0" w:rsidRDefault="005A09E0" w:rsidP="00011DB0">
      <w:pPr>
        <w:snapToGrid w:val="0"/>
        <w:ind w:firstLine="425"/>
        <w:jc w:val="both"/>
        <w:rPr>
          <w:sz w:val="20"/>
          <w:szCs w:val="20"/>
        </w:rPr>
      </w:pPr>
      <w:r w:rsidRPr="00011DB0">
        <w:rPr>
          <w:sz w:val="20"/>
          <w:szCs w:val="20"/>
        </w:rPr>
        <w:lastRenderedPageBreak/>
        <w:t xml:space="preserve">In the </w:t>
      </w:r>
      <w:proofErr w:type="spellStart"/>
      <w:r w:rsidRPr="00011DB0">
        <w:rPr>
          <w:sz w:val="20"/>
          <w:szCs w:val="20"/>
        </w:rPr>
        <w:t>metacognitive</w:t>
      </w:r>
      <w:proofErr w:type="spellEnd"/>
      <w:r w:rsidRPr="00011DB0">
        <w:rPr>
          <w:sz w:val="20"/>
          <w:szCs w:val="20"/>
        </w:rPr>
        <w:t xml:space="preserve"> approach, on the basis of Wales' theory of "KARKERDE EJRAEEYE KHOD NAZM BAKHSH", the individual's vulnerability to emotional disorders is mainly attributed to a certain pattern of self-extreme attention, activation of irrational beliefs as well as certain reflective processes. This model will be activated, when an individual feels that there is a lack of harmony between his internal goals and the external conditions surrounding him.</w:t>
      </w:r>
    </w:p>
    <w:p w:rsidR="005A09E0" w:rsidRPr="00011DB0" w:rsidRDefault="005A09E0" w:rsidP="00011DB0">
      <w:pPr>
        <w:snapToGrid w:val="0"/>
        <w:ind w:firstLine="425"/>
        <w:jc w:val="both"/>
        <w:rPr>
          <w:sz w:val="20"/>
          <w:szCs w:val="20"/>
        </w:rPr>
      </w:pPr>
      <w:r w:rsidRPr="00011DB0">
        <w:rPr>
          <w:sz w:val="20"/>
          <w:szCs w:val="20"/>
        </w:rPr>
        <w:t>In his "Cognitive Attention Syndrome' (CAS), Wales (2005) states that a characteristic of depression disorder is that the individual's thinking becomes biased and is difficult to control and this, in its own right, leads to the gravity and continuity of the emotional disorder.</w:t>
      </w:r>
    </w:p>
    <w:p w:rsidR="005A09E0" w:rsidRPr="00011DB0" w:rsidRDefault="005A09E0" w:rsidP="00011DB0">
      <w:pPr>
        <w:snapToGrid w:val="0"/>
        <w:ind w:firstLine="425"/>
        <w:jc w:val="both"/>
        <w:rPr>
          <w:sz w:val="20"/>
          <w:szCs w:val="20"/>
        </w:rPr>
      </w:pPr>
      <w:r w:rsidRPr="00011DB0">
        <w:rPr>
          <w:sz w:val="20"/>
          <w:szCs w:val="20"/>
        </w:rPr>
        <w:t xml:space="preserve">In the thinking rumination, the individual's thinking pattern gets a repetitive, cyclic, and ruminative nature which is hard to control. The depressed individual responds to his sad negative thoughts and feelings through activating positive </w:t>
      </w:r>
      <w:proofErr w:type="spellStart"/>
      <w:r w:rsidRPr="00011DB0">
        <w:rPr>
          <w:sz w:val="20"/>
          <w:szCs w:val="20"/>
        </w:rPr>
        <w:t>metacognitive</w:t>
      </w:r>
      <w:proofErr w:type="spellEnd"/>
      <w:r w:rsidRPr="00011DB0">
        <w:rPr>
          <w:sz w:val="20"/>
          <w:szCs w:val="20"/>
        </w:rPr>
        <w:t xml:space="preserve"> attitudes towards the need for ruminating which are used as a means of dealing with sadness and negative beliefs or thoughts. It is assumed that the rumination leads to sad feelings or to personal impressions of failure or deficiency.</w:t>
      </w:r>
    </w:p>
    <w:p w:rsidR="005A09E0" w:rsidRPr="00011DB0" w:rsidRDefault="005A09E0" w:rsidP="00011DB0">
      <w:pPr>
        <w:snapToGrid w:val="0"/>
        <w:ind w:firstLine="425"/>
        <w:jc w:val="both"/>
        <w:rPr>
          <w:sz w:val="20"/>
          <w:szCs w:val="20"/>
        </w:rPr>
      </w:pPr>
      <w:r w:rsidRPr="00011DB0">
        <w:rPr>
          <w:sz w:val="20"/>
          <w:szCs w:val="20"/>
        </w:rPr>
        <w:t xml:space="preserve">The nature of such disorders which are emphasized by </w:t>
      </w:r>
      <w:proofErr w:type="spellStart"/>
      <w:r w:rsidRPr="00011DB0">
        <w:rPr>
          <w:sz w:val="20"/>
          <w:szCs w:val="20"/>
        </w:rPr>
        <w:t>metacognitive</w:t>
      </w:r>
      <w:proofErr w:type="spellEnd"/>
      <w:r w:rsidRPr="00011DB0">
        <w:rPr>
          <w:sz w:val="20"/>
          <w:szCs w:val="20"/>
        </w:rPr>
        <w:t xml:space="preserve"> approach is the same as the nature of irrational beliefs leading to the depression. In the irrational belief of "blaming proneness" where the individual deserves oneself of being blamed and punished in return for his faults, thinking rumination of blaming or "KARKERDE EJRAEEYE KHOD NAZM BAKHSH" receives emphasis. In the irrational belief related to "frustration reaction" which leads to the individual's confusion and unhappiness in case of unsuccessful experiences, the "KARKERDE EJRAEEYE KHOD NAZM BAKHSH" and CAS will result in an intensification of disappointment and depression. In the irrational belief related to emotional control, the individual has no controls over his unhappiness and excitements since they are caused by others; as a result, the emphasis on the CAS reinforces the respective irrational belief and leads to the gravity of the individual's depression.</w:t>
      </w:r>
    </w:p>
    <w:p w:rsidR="005A09E0" w:rsidRPr="00011DB0" w:rsidRDefault="005A09E0" w:rsidP="00011DB0">
      <w:pPr>
        <w:snapToGrid w:val="0"/>
        <w:ind w:firstLine="425"/>
        <w:jc w:val="both"/>
        <w:rPr>
          <w:sz w:val="20"/>
          <w:szCs w:val="20"/>
        </w:rPr>
      </w:pPr>
      <w:proofErr w:type="spellStart"/>
      <w:r w:rsidRPr="00011DB0">
        <w:rPr>
          <w:sz w:val="20"/>
          <w:szCs w:val="20"/>
        </w:rPr>
        <w:t>Metacognitive</w:t>
      </w:r>
      <w:proofErr w:type="spellEnd"/>
      <w:r w:rsidRPr="00011DB0">
        <w:rPr>
          <w:sz w:val="20"/>
          <w:szCs w:val="20"/>
        </w:rPr>
        <w:t xml:space="preserve"> therapy techniques can therefore be used in order to decrease the degrees of irrational beliefs. In the "attention teaching technique", the focus of control directly changes. It is believed that the patients afflicted with psychological disorders are subject to maladapted thinking patterns such as self-centered attention, anxiety, and permanent attention which are all difficult to control. It is assumed that redirecting the individual's attention to subjects other than those mentioned above can be a way to stop the </w:t>
      </w:r>
      <w:r w:rsidRPr="00011DB0">
        <w:rPr>
          <w:sz w:val="20"/>
          <w:szCs w:val="20"/>
        </w:rPr>
        <w:lastRenderedPageBreak/>
        <w:t>CAS and to reinforce the individual's cognitive control. This technique can well be used for decreasing the irrational beliefs related to "future problem", "blaming proneness", "high self-expectation" and "the demand for others' approval".</w:t>
      </w:r>
    </w:p>
    <w:p w:rsidR="005A09E0" w:rsidRPr="00011DB0" w:rsidRDefault="005A09E0" w:rsidP="00011DB0">
      <w:pPr>
        <w:snapToGrid w:val="0"/>
        <w:ind w:firstLine="425"/>
        <w:jc w:val="both"/>
        <w:rPr>
          <w:sz w:val="20"/>
          <w:szCs w:val="20"/>
        </w:rPr>
      </w:pPr>
      <w:r w:rsidRPr="00011DB0">
        <w:rPr>
          <w:sz w:val="20"/>
          <w:szCs w:val="20"/>
        </w:rPr>
        <w:t xml:space="preserve">Moreover, the DM technique is a technique through which the individuals make a relationship with their cognitive abilities and acquire a flexible control over their styles of attention and thinking. This technique is mostly focused on creating meta-awareness and separating oneself from cognitive events, the latter being a method for communicating with one's cognitive abilities. According to the research findings, this </w:t>
      </w:r>
      <w:proofErr w:type="spellStart"/>
      <w:r w:rsidRPr="00011DB0">
        <w:rPr>
          <w:sz w:val="20"/>
          <w:szCs w:val="20"/>
        </w:rPr>
        <w:t>metacognitive</w:t>
      </w:r>
      <w:proofErr w:type="spellEnd"/>
      <w:r w:rsidRPr="00011DB0">
        <w:rPr>
          <w:sz w:val="20"/>
          <w:szCs w:val="20"/>
        </w:rPr>
        <w:t xml:space="preserve"> technique has considerably been effective on the decrease of irrational beliefs related to "perfectionism", "dependency", "emotional irresponsibility", and "problem avoidance". Thus, the results of the present research indicate that </w:t>
      </w:r>
      <w:proofErr w:type="spellStart"/>
      <w:r w:rsidRPr="00011DB0">
        <w:rPr>
          <w:sz w:val="20"/>
          <w:szCs w:val="20"/>
        </w:rPr>
        <w:t>metacognitive</w:t>
      </w:r>
      <w:proofErr w:type="spellEnd"/>
      <w:r w:rsidRPr="00011DB0">
        <w:rPr>
          <w:sz w:val="20"/>
          <w:szCs w:val="20"/>
        </w:rPr>
        <w:t xml:space="preserve"> therapy is effective on the correction of one's ways of thinking.</w:t>
      </w:r>
    </w:p>
    <w:p w:rsidR="005A09E0" w:rsidRPr="00011DB0" w:rsidRDefault="005A09E0" w:rsidP="00011DB0">
      <w:pPr>
        <w:snapToGrid w:val="0"/>
        <w:ind w:firstLine="425"/>
        <w:jc w:val="both"/>
        <w:rPr>
          <w:sz w:val="20"/>
          <w:szCs w:val="20"/>
        </w:rPr>
      </w:pPr>
      <w:r w:rsidRPr="00011DB0">
        <w:rPr>
          <w:sz w:val="20"/>
          <w:szCs w:val="20"/>
        </w:rPr>
        <w:t xml:space="preserve">Furthermore, the findings obtained indicate that there is a significant difference between the effectiveness of </w:t>
      </w:r>
      <w:proofErr w:type="spellStart"/>
      <w:r w:rsidRPr="00011DB0">
        <w:rPr>
          <w:sz w:val="20"/>
          <w:szCs w:val="20"/>
        </w:rPr>
        <w:t>metacognitive</w:t>
      </w:r>
      <w:proofErr w:type="spellEnd"/>
      <w:r w:rsidRPr="00011DB0">
        <w:rPr>
          <w:sz w:val="20"/>
          <w:szCs w:val="20"/>
        </w:rPr>
        <w:t xml:space="preserve"> therapy instruction on the degrees of the depressed patients' irrational beliefs in members of the two groups in question.</w:t>
      </w:r>
    </w:p>
    <w:p w:rsidR="005A09E0" w:rsidRPr="00011DB0" w:rsidRDefault="005A09E0" w:rsidP="00011DB0">
      <w:pPr>
        <w:snapToGrid w:val="0"/>
        <w:ind w:firstLine="425"/>
        <w:jc w:val="both"/>
        <w:rPr>
          <w:sz w:val="20"/>
          <w:szCs w:val="20"/>
        </w:rPr>
      </w:pPr>
      <w:r w:rsidRPr="00011DB0">
        <w:rPr>
          <w:sz w:val="20"/>
          <w:szCs w:val="20"/>
        </w:rPr>
        <w:t xml:space="preserve">This research has important implications for researchers as an inspiration for the application of modern treatment methods in dealing with chronic degasses. Such findings, however, should be interpreted with a view to the research restrictions and strengths. Since the research subjects have been selected among patients who have been introduced to the Measurement Center of </w:t>
      </w:r>
      <w:proofErr w:type="spellStart"/>
      <w:r w:rsidRPr="00011DB0">
        <w:rPr>
          <w:sz w:val="20"/>
          <w:szCs w:val="20"/>
        </w:rPr>
        <w:t>Boroujerd</w:t>
      </w:r>
      <w:proofErr w:type="spellEnd"/>
      <w:r w:rsidRPr="00011DB0">
        <w:rPr>
          <w:sz w:val="20"/>
          <w:szCs w:val="20"/>
        </w:rPr>
        <w:t xml:space="preserve"> </w:t>
      </w:r>
      <w:proofErr w:type="spellStart"/>
      <w:r w:rsidRPr="00011DB0">
        <w:rPr>
          <w:sz w:val="20"/>
          <w:szCs w:val="20"/>
        </w:rPr>
        <w:t>Farhangian</w:t>
      </w:r>
      <w:proofErr w:type="spellEnd"/>
      <w:r w:rsidRPr="00011DB0">
        <w:rPr>
          <w:sz w:val="20"/>
          <w:szCs w:val="20"/>
        </w:rPr>
        <w:t xml:space="preserve"> Clinic through a sampling procedure, the obtained results may not be capable of being generalized to all depressed patients who refer to clinics or medical centers.</w:t>
      </w:r>
      <w:r w:rsidR="00DC2DE3">
        <w:rPr>
          <w:sz w:val="20"/>
          <w:szCs w:val="20"/>
        </w:rPr>
        <w:t xml:space="preserve"> </w:t>
      </w:r>
      <w:r w:rsidRPr="00011DB0">
        <w:rPr>
          <w:sz w:val="20"/>
          <w:szCs w:val="20"/>
        </w:rPr>
        <w:t>Limited number of the sessions of instruction and the heterogeneity of the subjects in regards with their levels of education was among other restrictions of the research which make us be careful in generalizing the findings.</w:t>
      </w:r>
    </w:p>
    <w:p w:rsidR="005A09E0" w:rsidRPr="00011DB0" w:rsidRDefault="005A09E0" w:rsidP="00011DB0">
      <w:pPr>
        <w:snapToGrid w:val="0"/>
        <w:ind w:firstLine="425"/>
        <w:jc w:val="both"/>
        <w:rPr>
          <w:sz w:val="20"/>
          <w:szCs w:val="20"/>
        </w:rPr>
      </w:pPr>
      <w:r w:rsidRPr="00011DB0">
        <w:rPr>
          <w:sz w:val="20"/>
          <w:szCs w:val="20"/>
        </w:rPr>
        <w:t>As a final point, other researchers are recommended to do a similar study on a wider statistical population. It is also recommended to follow up the patients to study the consistency of the treatment results in future. Moreover, we suggest doing a similar research on individuals afflicted with obsession.</w:t>
      </w:r>
    </w:p>
    <w:p w:rsidR="005A09E0" w:rsidRPr="00011DB0" w:rsidRDefault="005A09E0" w:rsidP="00011DB0">
      <w:pPr>
        <w:snapToGrid w:val="0"/>
        <w:ind w:firstLine="425"/>
        <w:jc w:val="both"/>
        <w:rPr>
          <w:sz w:val="20"/>
          <w:szCs w:val="20"/>
        </w:rPr>
      </w:pPr>
      <w:r w:rsidRPr="00011DB0">
        <w:rPr>
          <w:sz w:val="20"/>
          <w:szCs w:val="20"/>
        </w:rPr>
        <w:t xml:space="preserve">All in all, the present study aimed at highlighting the importance of modern treatment methodologies including the instruction of </w:t>
      </w:r>
      <w:proofErr w:type="spellStart"/>
      <w:r w:rsidRPr="00011DB0">
        <w:rPr>
          <w:sz w:val="20"/>
          <w:szCs w:val="20"/>
        </w:rPr>
        <w:t>metacognitive</w:t>
      </w:r>
      <w:proofErr w:type="spellEnd"/>
      <w:r w:rsidRPr="00011DB0">
        <w:rPr>
          <w:sz w:val="20"/>
          <w:szCs w:val="20"/>
        </w:rPr>
        <w:t xml:space="preserve"> therapy methods on the degrees of depressed patients’ irrational beliefs and the final findings showed the effectiveness of such techniques.</w:t>
      </w:r>
    </w:p>
    <w:p w:rsidR="005A09E0" w:rsidRDefault="005A09E0" w:rsidP="00011DB0">
      <w:pPr>
        <w:snapToGrid w:val="0"/>
        <w:jc w:val="both"/>
        <w:rPr>
          <w:sz w:val="20"/>
          <w:szCs w:val="20"/>
          <w:lang w:eastAsia="zh-CN"/>
        </w:rPr>
      </w:pPr>
    </w:p>
    <w:p w:rsidR="00DC2DE3" w:rsidRPr="00011DB0" w:rsidRDefault="00DC2DE3" w:rsidP="00011DB0">
      <w:pPr>
        <w:snapToGrid w:val="0"/>
        <w:jc w:val="both"/>
        <w:rPr>
          <w:sz w:val="20"/>
          <w:szCs w:val="20"/>
          <w:lang w:eastAsia="zh-CN"/>
        </w:rPr>
      </w:pPr>
    </w:p>
    <w:p w:rsidR="005A09E0" w:rsidRPr="00011DB0" w:rsidRDefault="005A09E0" w:rsidP="00011DB0">
      <w:pPr>
        <w:snapToGrid w:val="0"/>
        <w:jc w:val="both"/>
        <w:rPr>
          <w:sz w:val="20"/>
          <w:szCs w:val="20"/>
        </w:rPr>
      </w:pPr>
      <w:r w:rsidRPr="00011DB0">
        <w:rPr>
          <w:b/>
          <w:bCs/>
          <w:sz w:val="20"/>
          <w:szCs w:val="20"/>
        </w:rPr>
        <w:lastRenderedPageBreak/>
        <w:t>Conclusion</w:t>
      </w:r>
    </w:p>
    <w:p w:rsidR="005A09E0" w:rsidRPr="00011DB0" w:rsidRDefault="005A09E0" w:rsidP="00011DB0">
      <w:pPr>
        <w:snapToGrid w:val="0"/>
        <w:ind w:firstLine="425"/>
        <w:jc w:val="both"/>
        <w:rPr>
          <w:sz w:val="20"/>
          <w:szCs w:val="20"/>
        </w:rPr>
      </w:pPr>
      <w:r w:rsidRPr="00011DB0">
        <w:rPr>
          <w:sz w:val="20"/>
          <w:szCs w:val="20"/>
        </w:rPr>
        <w:t xml:space="preserve">The research findings indicate that the instruction of </w:t>
      </w:r>
      <w:proofErr w:type="spellStart"/>
      <w:r w:rsidRPr="00011DB0">
        <w:rPr>
          <w:sz w:val="20"/>
          <w:szCs w:val="20"/>
        </w:rPr>
        <w:t>metacognitive</w:t>
      </w:r>
      <w:proofErr w:type="spellEnd"/>
      <w:r w:rsidRPr="00011DB0">
        <w:rPr>
          <w:sz w:val="20"/>
          <w:szCs w:val="20"/>
        </w:rPr>
        <w:t xml:space="preserve"> therapy strategies is effective on the degrees of depressed patients' irrational thinking and leads to a decrease in their scores of irrational beliefs. The results show that as for irrational beliefs “future problem”, “blaming proneness”, "high self-expectation" and "the demand for others' approval", following being instructed, the patients were considerably able to control their irrational beliefs while in cases of “helplessness for change” and dependency”, the effects were not that much considerable.</w:t>
      </w:r>
    </w:p>
    <w:p w:rsidR="005A09E0" w:rsidRPr="00011DB0" w:rsidRDefault="005A09E0" w:rsidP="00011DB0">
      <w:pPr>
        <w:snapToGrid w:val="0"/>
        <w:jc w:val="both"/>
        <w:rPr>
          <w:sz w:val="20"/>
          <w:szCs w:val="20"/>
        </w:rPr>
      </w:pPr>
    </w:p>
    <w:p w:rsidR="005A09E0" w:rsidRPr="00011DB0" w:rsidRDefault="005A09E0" w:rsidP="00011DB0">
      <w:pPr>
        <w:snapToGrid w:val="0"/>
        <w:jc w:val="both"/>
        <w:rPr>
          <w:sz w:val="20"/>
          <w:szCs w:val="20"/>
        </w:rPr>
      </w:pPr>
      <w:r w:rsidRPr="00011DB0">
        <w:rPr>
          <w:b/>
          <w:bCs/>
          <w:sz w:val="20"/>
          <w:szCs w:val="20"/>
        </w:rPr>
        <w:t>Acknowledgement</w:t>
      </w:r>
    </w:p>
    <w:p w:rsidR="005A09E0" w:rsidRPr="00011DB0" w:rsidRDefault="005A09E0" w:rsidP="00011DB0">
      <w:pPr>
        <w:snapToGrid w:val="0"/>
        <w:ind w:firstLine="425"/>
        <w:jc w:val="both"/>
        <w:rPr>
          <w:sz w:val="20"/>
          <w:szCs w:val="20"/>
        </w:rPr>
      </w:pPr>
      <w:r w:rsidRPr="00011DB0">
        <w:rPr>
          <w:sz w:val="20"/>
          <w:szCs w:val="20"/>
        </w:rPr>
        <w:t xml:space="preserve">We would like to thank the head and the authorities of </w:t>
      </w:r>
      <w:proofErr w:type="spellStart"/>
      <w:r w:rsidRPr="00011DB0">
        <w:rPr>
          <w:sz w:val="20"/>
          <w:szCs w:val="20"/>
        </w:rPr>
        <w:t>Boroujerd</w:t>
      </w:r>
      <w:proofErr w:type="spellEnd"/>
      <w:r w:rsidRPr="00011DB0">
        <w:rPr>
          <w:sz w:val="20"/>
          <w:szCs w:val="20"/>
        </w:rPr>
        <w:t xml:space="preserve"> </w:t>
      </w:r>
      <w:proofErr w:type="spellStart"/>
      <w:r w:rsidRPr="00011DB0">
        <w:rPr>
          <w:sz w:val="20"/>
          <w:szCs w:val="20"/>
        </w:rPr>
        <w:t>Farhangian</w:t>
      </w:r>
      <w:proofErr w:type="spellEnd"/>
      <w:r w:rsidRPr="00011DB0">
        <w:rPr>
          <w:sz w:val="20"/>
          <w:szCs w:val="20"/>
        </w:rPr>
        <w:t xml:space="preserve"> Clinic for their sincere help. We also would like to appreciate Professor </w:t>
      </w:r>
      <w:proofErr w:type="spellStart"/>
      <w:r w:rsidRPr="00011DB0">
        <w:rPr>
          <w:sz w:val="20"/>
          <w:szCs w:val="20"/>
        </w:rPr>
        <w:t>Piraiaee</w:t>
      </w:r>
      <w:proofErr w:type="spellEnd"/>
      <w:r w:rsidRPr="00011DB0">
        <w:rPr>
          <w:sz w:val="20"/>
          <w:szCs w:val="20"/>
        </w:rPr>
        <w:t xml:space="preserve"> for his exact comments. And finally, we take the opportunity to thank all colleagues who cooperated in the research as well as all the participants.</w:t>
      </w:r>
    </w:p>
    <w:p w:rsidR="005A09E0" w:rsidRPr="00011DB0" w:rsidRDefault="005A09E0" w:rsidP="00011DB0">
      <w:pPr>
        <w:snapToGrid w:val="0"/>
        <w:jc w:val="both"/>
        <w:rPr>
          <w:sz w:val="20"/>
          <w:szCs w:val="20"/>
        </w:rPr>
      </w:pPr>
    </w:p>
    <w:p w:rsidR="00011DB0" w:rsidRPr="00011DB0" w:rsidRDefault="005A09E0" w:rsidP="00011DB0">
      <w:pPr>
        <w:snapToGrid w:val="0"/>
        <w:jc w:val="both"/>
        <w:rPr>
          <w:b/>
          <w:bCs/>
          <w:sz w:val="20"/>
          <w:szCs w:val="20"/>
        </w:rPr>
      </w:pPr>
      <w:r w:rsidRPr="00011DB0">
        <w:rPr>
          <w:b/>
          <w:bCs/>
          <w:sz w:val="20"/>
          <w:szCs w:val="20"/>
        </w:rPr>
        <w:t>References:</w:t>
      </w:r>
    </w:p>
    <w:p w:rsidR="00011DB0" w:rsidRPr="00011DB0" w:rsidRDefault="00011DB0" w:rsidP="00011DB0">
      <w:pPr>
        <w:numPr>
          <w:ilvl w:val="0"/>
          <w:numId w:val="6"/>
        </w:numPr>
        <w:snapToGrid w:val="0"/>
        <w:ind w:left="425" w:hanging="425"/>
        <w:jc w:val="both"/>
        <w:rPr>
          <w:sz w:val="20"/>
          <w:szCs w:val="20"/>
        </w:rPr>
      </w:pPr>
      <w:r w:rsidRPr="00011DB0">
        <w:rPr>
          <w:sz w:val="20"/>
          <w:szCs w:val="20"/>
        </w:rPr>
        <w:t>C</w:t>
      </w:r>
      <w:r w:rsidR="005A09E0" w:rsidRPr="00011DB0">
        <w:rPr>
          <w:sz w:val="20"/>
          <w:szCs w:val="20"/>
        </w:rPr>
        <w:t>lark DA &amp; Purdon CL</w:t>
      </w:r>
      <w:proofErr w:type="gramStart"/>
      <w:r w:rsidR="005A09E0" w:rsidRPr="00011DB0">
        <w:rPr>
          <w:sz w:val="20"/>
          <w:szCs w:val="20"/>
        </w:rPr>
        <w:t>.(</w:t>
      </w:r>
      <w:proofErr w:type="gramEnd"/>
      <w:r w:rsidR="005A09E0" w:rsidRPr="00011DB0">
        <w:rPr>
          <w:sz w:val="20"/>
          <w:szCs w:val="20"/>
        </w:rPr>
        <w:t>1999) Meta-Cognition Clinical Psychology and</w:t>
      </w:r>
      <w:r w:rsidR="00DC2DE3">
        <w:rPr>
          <w:sz w:val="20"/>
          <w:szCs w:val="20"/>
        </w:rPr>
        <w:t xml:space="preserve"> </w:t>
      </w:r>
      <w:proofErr w:type="spellStart"/>
      <w:r w:rsidR="005A09E0" w:rsidRPr="00011DB0">
        <w:rPr>
          <w:sz w:val="20"/>
          <w:szCs w:val="20"/>
        </w:rPr>
        <w:t>Spychotherapy</w:t>
      </w:r>
      <w:proofErr w:type="spellEnd"/>
      <w:r w:rsidR="005A09E0" w:rsidRPr="00011DB0">
        <w:rPr>
          <w:sz w:val="20"/>
          <w:szCs w:val="20"/>
        </w:rPr>
        <w:t>. 102-110.</w:t>
      </w:r>
    </w:p>
    <w:p w:rsidR="00011DB0" w:rsidRPr="00011DB0" w:rsidRDefault="00011DB0" w:rsidP="00011DB0">
      <w:pPr>
        <w:numPr>
          <w:ilvl w:val="0"/>
          <w:numId w:val="6"/>
        </w:numPr>
        <w:snapToGrid w:val="0"/>
        <w:ind w:left="425" w:hanging="425"/>
        <w:jc w:val="both"/>
        <w:rPr>
          <w:sz w:val="20"/>
          <w:szCs w:val="20"/>
        </w:rPr>
      </w:pPr>
      <w:r w:rsidRPr="00011DB0">
        <w:rPr>
          <w:sz w:val="20"/>
          <w:szCs w:val="20"/>
        </w:rPr>
        <w:t>C</w:t>
      </w:r>
      <w:r w:rsidR="005A09E0" w:rsidRPr="00011DB0">
        <w:rPr>
          <w:sz w:val="20"/>
          <w:szCs w:val="20"/>
        </w:rPr>
        <w:t>artwright-</w:t>
      </w:r>
      <w:proofErr w:type="spellStart"/>
      <w:r w:rsidR="005A09E0" w:rsidRPr="00011DB0">
        <w:rPr>
          <w:sz w:val="20"/>
          <w:szCs w:val="20"/>
        </w:rPr>
        <w:t>Hattons</w:t>
      </w:r>
      <w:proofErr w:type="spellEnd"/>
      <w:r w:rsidR="005A09E0" w:rsidRPr="00011DB0">
        <w:rPr>
          <w:sz w:val="20"/>
          <w:szCs w:val="20"/>
        </w:rPr>
        <w:t>, Wells A</w:t>
      </w:r>
      <w:r w:rsidR="00DC2DE3">
        <w:rPr>
          <w:rFonts w:hint="eastAsia"/>
          <w:sz w:val="20"/>
          <w:szCs w:val="20"/>
          <w:lang w:eastAsia="zh-CN"/>
        </w:rPr>
        <w:t xml:space="preserve"> </w:t>
      </w:r>
      <w:r w:rsidR="005A09E0" w:rsidRPr="00011DB0">
        <w:rPr>
          <w:sz w:val="20"/>
          <w:szCs w:val="20"/>
        </w:rPr>
        <w:t xml:space="preserve">(1997). </w:t>
      </w:r>
      <w:proofErr w:type="spellStart"/>
      <w:r w:rsidR="005A09E0" w:rsidRPr="00011DB0">
        <w:rPr>
          <w:sz w:val="20"/>
          <w:szCs w:val="20"/>
        </w:rPr>
        <w:t>Belifs</w:t>
      </w:r>
      <w:proofErr w:type="spellEnd"/>
      <w:r w:rsidR="005A09E0" w:rsidRPr="00011DB0">
        <w:rPr>
          <w:sz w:val="20"/>
          <w:szCs w:val="20"/>
        </w:rPr>
        <w:t xml:space="preserve"> about worry: the meta-cognitions questionnaire. Journal of Anxiety disorder. 11: 279-296.</w:t>
      </w:r>
    </w:p>
    <w:p w:rsidR="00011DB0" w:rsidRPr="00011DB0" w:rsidRDefault="00011DB0" w:rsidP="00011DB0">
      <w:pPr>
        <w:numPr>
          <w:ilvl w:val="0"/>
          <w:numId w:val="6"/>
        </w:numPr>
        <w:snapToGrid w:val="0"/>
        <w:ind w:left="425" w:hanging="425"/>
        <w:jc w:val="both"/>
        <w:rPr>
          <w:sz w:val="20"/>
          <w:szCs w:val="20"/>
        </w:rPr>
      </w:pPr>
      <w:proofErr w:type="spellStart"/>
      <w:r w:rsidRPr="00011DB0">
        <w:rPr>
          <w:sz w:val="20"/>
          <w:szCs w:val="20"/>
        </w:rPr>
        <w:lastRenderedPageBreak/>
        <w:t>F</w:t>
      </w:r>
      <w:r w:rsidR="005A09E0" w:rsidRPr="00011DB0">
        <w:rPr>
          <w:sz w:val="20"/>
          <w:szCs w:val="20"/>
        </w:rPr>
        <w:t>lavell</w:t>
      </w:r>
      <w:proofErr w:type="spellEnd"/>
      <w:r w:rsidR="005A09E0" w:rsidRPr="00011DB0">
        <w:rPr>
          <w:sz w:val="20"/>
          <w:szCs w:val="20"/>
        </w:rPr>
        <w:t xml:space="preserve">, J. H. (1979). </w:t>
      </w:r>
      <w:proofErr w:type="spellStart"/>
      <w:r w:rsidR="005A09E0" w:rsidRPr="00011DB0">
        <w:rPr>
          <w:sz w:val="20"/>
          <w:szCs w:val="20"/>
        </w:rPr>
        <w:t>Metacognitive</w:t>
      </w:r>
      <w:proofErr w:type="spellEnd"/>
      <w:r w:rsidR="005A09E0" w:rsidRPr="00011DB0">
        <w:rPr>
          <w:sz w:val="20"/>
          <w:szCs w:val="20"/>
        </w:rPr>
        <w:t xml:space="preserve"> and </w:t>
      </w:r>
      <w:proofErr w:type="spellStart"/>
      <w:r w:rsidR="005A09E0" w:rsidRPr="00011DB0">
        <w:rPr>
          <w:sz w:val="20"/>
          <w:szCs w:val="20"/>
        </w:rPr>
        <w:t>Metacognitive</w:t>
      </w:r>
      <w:proofErr w:type="spellEnd"/>
      <w:r w:rsidR="005A09E0" w:rsidRPr="00011DB0">
        <w:rPr>
          <w:sz w:val="20"/>
          <w:szCs w:val="20"/>
        </w:rPr>
        <w:t xml:space="preserve"> monitoring: A New of cognitive. American psychologist, 4.</w:t>
      </w:r>
    </w:p>
    <w:p w:rsidR="00011DB0" w:rsidRPr="00011DB0" w:rsidRDefault="00011DB0" w:rsidP="00011DB0">
      <w:pPr>
        <w:numPr>
          <w:ilvl w:val="0"/>
          <w:numId w:val="6"/>
        </w:numPr>
        <w:snapToGrid w:val="0"/>
        <w:ind w:left="425" w:hanging="425"/>
        <w:jc w:val="both"/>
        <w:rPr>
          <w:sz w:val="20"/>
          <w:szCs w:val="20"/>
        </w:rPr>
      </w:pPr>
      <w:r w:rsidRPr="00011DB0">
        <w:rPr>
          <w:sz w:val="20"/>
          <w:szCs w:val="20"/>
        </w:rPr>
        <w:t>F</w:t>
      </w:r>
      <w:r w:rsidR="005A09E0" w:rsidRPr="00011DB0">
        <w:rPr>
          <w:sz w:val="20"/>
          <w:szCs w:val="20"/>
        </w:rPr>
        <w:t>isher PL, Wells A</w:t>
      </w:r>
      <w:proofErr w:type="gramStart"/>
      <w:r w:rsidR="005A09E0" w:rsidRPr="00011DB0">
        <w:rPr>
          <w:sz w:val="20"/>
          <w:szCs w:val="20"/>
        </w:rPr>
        <w:t>.(</w:t>
      </w:r>
      <w:proofErr w:type="gramEnd"/>
      <w:r w:rsidR="005A09E0" w:rsidRPr="00011DB0">
        <w:rPr>
          <w:sz w:val="20"/>
          <w:szCs w:val="20"/>
        </w:rPr>
        <w:t>2008) Meta-cognitive therapy a case series. Journal of Behavior therapy.117-132.</w:t>
      </w:r>
    </w:p>
    <w:p w:rsidR="00011DB0" w:rsidRPr="00011DB0" w:rsidRDefault="00011DB0" w:rsidP="00011DB0">
      <w:pPr>
        <w:numPr>
          <w:ilvl w:val="0"/>
          <w:numId w:val="6"/>
        </w:numPr>
        <w:snapToGrid w:val="0"/>
        <w:ind w:left="425" w:hanging="425"/>
        <w:jc w:val="both"/>
        <w:rPr>
          <w:sz w:val="20"/>
          <w:szCs w:val="20"/>
        </w:rPr>
      </w:pPr>
      <w:proofErr w:type="spellStart"/>
      <w:r w:rsidRPr="00011DB0">
        <w:rPr>
          <w:sz w:val="20"/>
          <w:szCs w:val="20"/>
        </w:rPr>
        <w:t>P</w:t>
      </w:r>
      <w:r w:rsidR="005A09E0" w:rsidRPr="00011DB0">
        <w:rPr>
          <w:sz w:val="20"/>
          <w:szCs w:val="20"/>
        </w:rPr>
        <w:t>apageorgiou</w:t>
      </w:r>
      <w:proofErr w:type="spellEnd"/>
      <w:r w:rsidR="005A09E0" w:rsidRPr="00011DB0">
        <w:rPr>
          <w:sz w:val="20"/>
          <w:szCs w:val="20"/>
        </w:rPr>
        <w:t xml:space="preserve">, C. &amp; Wells, A. (2001a). </w:t>
      </w:r>
      <w:proofErr w:type="spellStart"/>
      <w:r w:rsidR="005A09E0" w:rsidRPr="00011DB0">
        <w:rPr>
          <w:sz w:val="20"/>
          <w:szCs w:val="20"/>
        </w:rPr>
        <w:t>Metacognitive</w:t>
      </w:r>
      <w:proofErr w:type="spellEnd"/>
      <w:r w:rsidR="005A09E0" w:rsidRPr="00011DB0">
        <w:rPr>
          <w:sz w:val="20"/>
          <w:szCs w:val="20"/>
        </w:rPr>
        <w:t xml:space="preserve"> beliefs about rumination in recurrent major depression. 8, 160-164.</w:t>
      </w:r>
    </w:p>
    <w:p w:rsidR="00011DB0" w:rsidRPr="00011DB0" w:rsidRDefault="00011DB0" w:rsidP="00011DB0">
      <w:pPr>
        <w:numPr>
          <w:ilvl w:val="0"/>
          <w:numId w:val="6"/>
        </w:numPr>
        <w:snapToGrid w:val="0"/>
        <w:ind w:left="425" w:hanging="425"/>
        <w:jc w:val="both"/>
        <w:rPr>
          <w:sz w:val="20"/>
          <w:szCs w:val="20"/>
        </w:rPr>
      </w:pPr>
      <w:proofErr w:type="spellStart"/>
      <w:r w:rsidRPr="00011DB0">
        <w:rPr>
          <w:sz w:val="20"/>
          <w:szCs w:val="20"/>
        </w:rPr>
        <w:t>S</w:t>
      </w:r>
      <w:r w:rsidR="005A09E0" w:rsidRPr="00011DB0">
        <w:rPr>
          <w:sz w:val="20"/>
          <w:szCs w:val="20"/>
        </w:rPr>
        <w:t>pada</w:t>
      </w:r>
      <w:proofErr w:type="spellEnd"/>
      <w:r w:rsidR="005A09E0" w:rsidRPr="00011DB0">
        <w:rPr>
          <w:sz w:val="20"/>
          <w:szCs w:val="20"/>
        </w:rPr>
        <w:t>, M. M, &amp; Wells,</w:t>
      </w:r>
      <w:r w:rsidR="00DC2DE3">
        <w:rPr>
          <w:sz w:val="20"/>
          <w:szCs w:val="20"/>
        </w:rPr>
        <w:t xml:space="preserve"> </w:t>
      </w:r>
      <w:r w:rsidR="005A09E0" w:rsidRPr="00011DB0">
        <w:rPr>
          <w:sz w:val="20"/>
          <w:szCs w:val="20"/>
        </w:rPr>
        <w:t>A.</w:t>
      </w:r>
      <w:r w:rsidR="00DC2DE3">
        <w:rPr>
          <w:rFonts w:hint="eastAsia"/>
          <w:sz w:val="20"/>
          <w:szCs w:val="20"/>
          <w:lang w:eastAsia="zh-CN"/>
        </w:rPr>
        <w:t xml:space="preserve"> </w:t>
      </w:r>
      <w:r w:rsidR="005A09E0" w:rsidRPr="00011DB0">
        <w:rPr>
          <w:sz w:val="20"/>
          <w:szCs w:val="20"/>
        </w:rPr>
        <w:t xml:space="preserve">(2005). </w:t>
      </w:r>
      <w:proofErr w:type="spellStart"/>
      <w:r w:rsidR="005A09E0" w:rsidRPr="00011DB0">
        <w:rPr>
          <w:sz w:val="20"/>
          <w:szCs w:val="20"/>
        </w:rPr>
        <w:t>Metacognitions</w:t>
      </w:r>
      <w:proofErr w:type="spellEnd"/>
      <w:r w:rsidR="005A09E0" w:rsidRPr="00011DB0">
        <w:rPr>
          <w:sz w:val="20"/>
          <w:szCs w:val="20"/>
        </w:rPr>
        <w:t>, emotion and alcohol use. Clinical psychology, 12, 150-155.</w:t>
      </w:r>
    </w:p>
    <w:p w:rsidR="00011DB0" w:rsidRPr="00011DB0" w:rsidRDefault="00011DB0" w:rsidP="00011DB0">
      <w:pPr>
        <w:numPr>
          <w:ilvl w:val="0"/>
          <w:numId w:val="6"/>
        </w:numPr>
        <w:snapToGrid w:val="0"/>
        <w:ind w:left="425" w:hanging="425"/>
        <w:jc w:val="both"/>
        <w:rPr>
          <w:sz w:val="20"/>
          <w:szCs w:val="20"/>
        </w:rPr>
      </w:pPr>
      <w:proofErr w:type="spellStart"/>
      <w:r w:rsidRPr="00011DB0">
        <w:rPr>
          <w:sz w:val="20"/>
          <w:szCs w:val="20"/>
        </w:rPr>
        <w:t>S</w:t>
      </w:r>
      <w:r w:rsidR="005A09E0" w:rsidRPr="00011DB0">
        <w:rPr>
          <w:sz w:val="20"/>
          <w:szCs w:val="20"/>
        </w:rPr>
        <w:t>padaa</w:t>
      </w:r>
      <w:proofErr w:type="spellEnd"/>
      <w:r w:rsidR="005A09E0" w:rsidRPr="00011DB0">
        <w:rPr>
          <w:sz w:val="20"/>
          <w:szCs w:val="20"/>
        </w:rPr>
        <w:t xml:space="preserve"> MM, </w:t>
      </w:r>
      <w:proofErr w:type="spellStart"/>
      <w:r w:rsidR="005A09E0" w:rsidRPr="00011DB0">
        <w:rPr>
          <w:sz w:val="20"/>
          <w:szCs w:val="20"/>
        </w:rPr>
        <w:t>Mohiyeddinia</w:t>
      </w:r>
      <w:proofErr w:type="spellEnd"/>
      <w:r w:rsidR="005A09E0" w:rsidRPr="00011DB0">
        <w:rPr>
          <w:sz w:val="20"/>
          <w:szCs w:val="20"/>
        </w:rPr>
        <w:t xml:space="preserve"> C, Wells A</w:t>
      </w:r>
      <w:proofErr w:type="gramStart"/>
      <w:r w:rsidR="005A09E0" w:rsidRPr="00011DB0">
        <w:rPr>
          <w:sz w:val="20"/>
          <w:szCs w:val="20"/>
        </w:rPr>
        <w:t>.(</w:t>
      </w:r>
      <w:proofErr w:type="gramEnd"/>
      <w:r w:rsidR="005A09E0" w:rsidRPr="00011DB0">
        <w:rPr>
          <w:sz w:val="20"/>
          <w:szCs w:val="20"/>
        </w:rPr>
        <w:t xml:space="preserve">2008). Measuring </w:t>
      </w:r>
      <w:proofErr w:type="spellStart"/>
      <w:r w:rsidR="005A09E0" w:rsidRPr="00011DB0">
        <w:rPr>
          <w:sz w:val="20"/>
          <w:szCs w:val="20"/>
        </w:rPr>
        <w:t>etacognitions</w:t>
      </w:r>
      <w:proofErr w:type="spellEnd"/>
      <w:r w:rsidR="005A09E0" w:rsidRPr="00011DB0">
        <w:rPr>
          <w:sz w:val="20"/>
          <w:szCs w:val="20"/>
        </w:rPr>
        <w:t xml:space="preserve"> associated with emotional distress: Factor structure and predictive validity of the</w:t>
      </w:r>
      <w:r w:rsidR="00DC2DE3">
        <w:rPr>
          <w:sz w:val="20"/>
          <w:szCs w:val="20"/>
        </w:rPr>
        <w:t xml:space="preserve"> </w:t>
      </w:r>
      <w:proofErr w:type="spellStart"/>
      <w:r w:rsidR="005A09E0" w:rsidRPr="00011DB0">
        <w:rPr>
          <w:sz w:val="20"/>
          <w:szCs w:val="20"/>
        </w:rPr>
        <w:t>metacognitions</w:t>
      </w:r>
      <w:proofErr w:type="spellEnd"/>
      <w:r w:rsidR="005A09E0" w:rsidRPr="00011DB0">
        <w:rPr>
          <w:sz w:val="20"/>
          <w:szCs w:val="20"/>
        </w:rPr>
        <w:t xml:space="preserve"> questionnaire 30. </w:t>
      </w:r>
      <w:proofErr w:type="spellStart"/>
      <w:r w:rsidR="005A09E0" w:rsidRPr="00011DB0">
        <w:rPr>
          <w:sz w:val="20"/>
          <w:szCs w:val="20"/>
        </w:rPr>
        <w:t>Pers</w:t>
      </w:r>
      <w:proofErr w:type="spellEnd"/>
      <w:r w:rsidR="005A09E0" w:rsidRPr="00011DB0">
        <w:rPr>
          <w:sz w:val="20"/>
          <w:szCs w:val="20"/>
        </w:rPr>
        <w:t xml:space="preserve"> </w:t>
      </w:r>
      <w:proofErr w:type="spellStart"/>
      <w:r w:rsidR="005A09E0" w:rsidRPr="00011DB0">
        <w:rPr>
          <w:sz w:val="20"/>
          <w:szCs w:val="20"/>
        </w:rPr>
        <w:t>Indivd</w:t>
      </w:r>
      <w:proofErr w:type="spellEnd"/>
      <w:r w:rsidR="005A09E0" w:rsidRPr="00011DB0">
        <w:rPr>
          <w:sz w:val="20"/>
          <w:szCs w:val="20"/>
        </w:rPr>
        <w:t xml:space="preserve"> Dif. 45(3):238-</w:t>
      </w:r>
    </w:p>
    <w:p w:rsidR="00011DB0" w:rsidRPr="00011DB0" w:rsidRDefault="00011DB0" w:rsidP="00011DB0">
      <w:pPr>
        <w:numPr>
          <w:ilvl w:val="0"/>
          <w:numId w:val="6"/>
        </w:numPr>
        <w:snapToGrid w:val="0"/>
        <w:ind w:left="425" w:hanging="425"/>
        <w:jc w:val="both"/>
        <w:rPr>
          <w:sz w:val="20"/>
          <w:szCs w:val="20"/>
        </w:rPr>
      </w:pPr>
      <w:proofErr w:type="spellStart"/>
      <w:r w:rsidRPr="00011DB0">
        <w:rPr>
          <w:sz w:val="20"/>
          <w:szCs w:val="20"/>
        </w:rPr>
        <w:t>T</w:t>
      </w:r>
      <w:r w:rsidR="005A09E0" w:rsidRPr="00011DB0">
        <w:rPr>
          <w:sz w:val="20"/>
          <w:szCs w:val="20"/>
        </w:rPr>
        <w:t>oneatto</w:t>
      </w:r>
      <w:proofErr w:type="spellEnd"/>
      <w:r w:rsidR="005A09E0" w:rsidRPr="00011DB0">
        <w:rPr>
          <w:sz w:val="20"/>
          <w:szCs w:val="20"/>
        </w:rPr>
        <w:t xml:space="preserve"> A</w:t>
      </w:r>
      <w:proofErr w:type="gramStart"/>
      <w:r w:rsidR="005A09E0" w:rsidRPr="00011DB0">
        <w:rPr>
          <w:sz w:val="20"/>
          <w:szCs w:val="20"/>
        </w:rPr>
        <w:t>.(</w:t>
      </w:r>
      <w:proofErr w:type="gramEnd"/>
      <w:r w:rsidR="005A09E0" w:rsidRPr="00011DB0">
        <w:rPr>
          <w:sz w:val="20"/>
          <w:szCs w:val="20"/>
        </w:rPr>
        <w:t>2002) Meta-cognitive therapy for Anxiety disorder. Cognitive and Behavioral practice.</w:t>
      </w:r>
      <w:r w:rsidR="00DC2DE3">
        <w:rPr>
          <w:rFonts w:hint="eastAsia"/>
          <w:sz w:val="20"/>
          <w:szCs w:val="20"/>
          <w:lang w:eastAsia="zh-CN"/>
        </w:rPr>
        <w:t xml:space="preserve"> </w:t>
      </w:r>
      <w:r w:rsidR="005A09E0" w:rsidRPr="00011DB0">
        <w:rPr>
          <w:sz w:val="20"/>
          <w:szCs w:val="20"/>
        </w:rPr>
        <w:t>72-78.</w:t>
      </w:r>
    </w:p>
    <w:p w:rsidR="00011DB0" w:rsidRPr="00011DB0" w:rsidRDefault="00011DB0" w:rsidP="00011DB0">
      <w:pPr>
        <w:numPr>
          <w:ilvl w:val="0"/>
          <w:numId w:val="6"/>
        </w:numPr>
        <w:snapToGrid w:val="0"/>
        <w:ind w:left="425" w:hanging="425"/>
        <w:jc w:val="both"/>
        <w:rPr>
          <w:sz w:val="20"/>
          <w:szCs w:val="20"/>
        </w:rPr>
      </w:pPr>
      <w:r w:rsidRPr="00011DB0">
        <w:rPr>
          <w:sz w:val="20"/>
          <w:szCs w:val="20"/>
        </w:rPr>
        <w:t>W</w:t>
      </w:r>
      <w:r w:rsidR="005A09E0" w:rsidRPr="00011DB0">
        <w:rPr>
          <w:sz w:val="20"/>
          <w:szCs w:val="20"/>
        </w:rPr>
        <w:t>ells A</w:t>
      </w:r>
      <w:proofErr w:type="gramStart"/>
      <w:r w:rsidR="005A09E0" w:rsidRPr="00011DB0">
        <w:rPr>
          <w:sz w:val="20"/>
          <w:szCs w:val="20"/>
        </w:rPr>
        <w:t>.(</w:t>
      </w:r>
      <w:proofErr w:type="gramEnd"/>
      <w:r w:rsidR="005A09E0" w:rsidRPr="00011DB0">
        <w:rPr>
          <w:sz w:val="20"/>
          <w:szCs w:val="20"/>
        </w:rPr>
        <w:t xml:space="preserve">2005) Emotional disorders and Meta-cognition: Innovative cognitive therapy. England: Wiley, </w:t>
      </w:r>
      <w:proofErr w:type="spellStart"/>
      <w:r w:rsidR="005A09E0" w:rsidRPr="00011DB0">
        <w:rPr>
          <w:sz w:val="20"/>
          <w:szCs w:val="20"/>
        </w:rPr>
        <w:t>Chichester</w:t>
      </w:r>
      <w:proofErr w:type="spellEnd"/>
      <w:r w:rsidR="005A09E0" w:rsidRPr="00011DB0">
        <w:rPr>
          <w:sz w:val="20"/>
          <w:szCs w:val="20"/>
        </w:rPr>
        <w:t xml:space="preserve">, Wells, A. (2005a). The </w:t>
      </w:r>
      <w:proofErr w:type="spellStart"/>
      <w:r w:rsidR="005A09E0" w:rsidRPr="00011DB0">
        <w:rPr>
          <w:sz w:val="20"/>
          <w:szCs w:val="20"/>
        </w:rPr>
        <w:t>Metacognitive</w:t>
      </w:r>
      <w:proofErr w:type="spellEnd"/>
      <w:r w:rsidR="005A09E0" w:rsidRPr="00011DB0">
        <w:rPr>
          <w:sz w:val="20"/>
          <w:szCs w:val="20"/>
        </w:rPr>
        <w:t xml:space="preserve"> model of GAD: Assessment of Meta-worry and relationship with DSM-IV.</w:t>
      </w:r>
    </w:p>
    <w:p w:rsidR="00011DB0" w:rsidRPr="00DC2DE3" w:rsidRDefault="00011DB0" w:rsidP="00011DB0">
      <w:pPr>
        <w:numPr>
          <w:ilvl w:val="0"/>
          <w:numId w:val="6"/>
        </w:numPr>
        <w:snapToGrid w:val="0"/>
        <w:ind w:left="425" w:hanging="425"/>
        <w:jc w:val="both"/>
        <w:rPr>
          <w:sz w:val="20"/>
          <w:szCs w:val="20"/>
          <w:lang w:eastAsia="zh-CN"/>
        </w:rPr>
      </w:pPr>
      <w:r w:rsidRPr="00DC2DE3">
        <w:rPr>
          <w:sz w:val="20"/>
          <w:szCs w:val="20"/>
        </w:rPr>
        <w:t>W</w:t>
      </w:r>
      <w:r w:rsidR="005A09E0" w:rsidRPr="00DC2DE3">
        <w:rPr>
          <w:sz w:val="20"/>
          <w:szCs w:val="20"/>
        </w:rPr>
        <w:t xml:space="preserve">ells, A. Fisher, P. L, Myers, S. Wheatley, J. (2008). An open trial of </w:t>
      </w:r>
      <w:proofErr w:type="spellStart"/>
      <w:r w:rsidR="005A09E0" w:rsidRPr="00DC2DE3">
        <w:rPr>
          <w:sz w:val="20"/>
          <w:szCs w:val="20"/>
        </w:rPr>
        <w:t>Metacognitive</w:t>
      </w:r>
      <w:proofErr w:type="spellEnd"/>
      <w:r w:rsidR="005A09E0" w:rsidRPr="00DC2DE3">
        <w:rPr>
          <w:sz w:val="20"/>
          <w:szCs w:val="20"/>
        </w:rPr>
        <w:t xml:space="preserve"> therapy in the treatment of major depressive disorder.</w:t>
      </w:r>
      <w:r w:rsidR="00DC2DE3" w:rsidRPr="00DC2DE3">
        <w:rPr>
          <w:rFonts w:hint="eastAsia"/>
          <w:sz w:val="20"/>
          <w:szCs w:val="20"/>
          <w:lang w:eastAsia="zh-CN"/>
        </w:rPr>
        <w:t xml:space="preserve"> </w:t>
      </w:r>
    </w:p>
    <w:p w:rsidR="00011DB0" w:rsidRPr="00011DB0" w:rsidRDefault="00011DB0" w:rsidP="00011DB0">
      <w:pPr>
        <w:snapToGrid w:val="0"/>
        <w:ind w:left="425" w:hanging="425"/>
        <w:jc w:val="both"/>
        <w:rPr>
          <w:sz w:val="20"/>
          <w:szCs w:val="20"/>
          <w:lang w:eastAsia="zh-CN"/>
        </w:rPr>
        <w:sectPr w:rsidR="00011DB0" w:rsidRPr="00011DB0" w:rsidSect="00DC2DE3">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576"/>
          <w:docGrid w:linePitch="360"/>
        </w:sectPr>
      </w:pPr>
    </w:p>
    <w:p w:rsidR="005A09E0" w:rsidRPr="00011DB0" w:rsidRDefault="005A09E0" w:rsidP="00011DB0">
      <w:pPr>
        <w:snapToGrid w:val="0"/>
        <w:ind w:left="425" w:hanging="425"/>
        <w:jc w:val="both"/>
        <w:rPr>
          <w:sz w:val="20"/>
          <w:szCs w:val="20"/>
        </w:rPr>
      </w:pPr>
    </w:p>
    <w:p w:rsidR="00011DB0" w:rsidRPr="00011DB0" w:rsidRDefault="00011DB0" w:rsidP="00011DB0">
      <w:pPr>
        <w:snapToGrid w:val="0"/>
        <w:ind w:left="425" w:hanging="425"/>
        <w:jc w:val="both"/>
        <w:rPr>
          <w:b/>
          <w:sz w:val="20"/>
          <w:szCs w:val="20"/>
          <w:lang w:eastAsia="zh-CN"/>
        </w:rPr>
      </w:pPr>
    </w:p>
    <w:p w:rsidR="00011DB0" w:rsidRPr="00011DB0" w:rsidRDefault="00011DB0" w:rsidP="00011DB0">
      <w:pPr>
        <w:snapToGrid w:val="0"/>
        <w:ind w:left="425" w:hanging="425"/>
        <w:jc w:val="both"/>
        <w:rPr>
          <w:b/>
          <w:sz w:val="20"/>
          <w:szCs w:val="20"/>
          <w:lang w:eastAsia="zh-CN"/>
        </w:rPr>
      </w:pPr>
    </w:p>
    <w:p w:rsidR="00F02F8B" w:rsidRPr="00011DB0" w:rsidRDefault="00011DB0" w:rsidP="00011DB0">
      <w:pPr>
        <w:snapToGrid w:val="0"/>
        <w:ind w:left="425" w:hanging="425"/>
        <w:jc w:val="both"/>
        <w:rPr>
          <w:sz w:val="20"/>
          <w:szCs w:val="20"/>
        </w:rPr>
      </w:pPr>
      <w:r w:rsidRPr="00011DB0">
        <w:rPr>
          <w:sz w:val="20"/>
          <w:szCs w:val="20"/>
        </w:rPr>
        <w:t>1/28/2015</w:t>
      </w:r>
    </w:p>
    <w:sectPr w:rsidR="00F02F8B" w:rsidRPr="00011DB0" w:rsidSect="0064417E">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956" w:rsidRDefault="00144956">
      <w:r>
        <w:separator/>
      </w:r>
    </w:p>
  </w:endnote>
  <w:endnote w:type="continuationSeparator" w:id="0">
    <w:p w:rsidR="00144956" w:rsidRDefault="00144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011DB0">
      <w:rPr>
        <w:noProof/>
        <w:sz w:val="20"/>
      </w:rPr>
      <w:t>1</w:t>
    </w:r>
    <w:r w:rsidRPr="00011DB0">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011DB0">
      <w:rPr>
        <w:noProof/>
        <w:sz w:val="20"/>
      </w:rPr>
      <w:t>1</w:t>
    </w:r>
    <w:r w:rsidRPr="00011DB0">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011DB0">
      <w:rPr>
        <w:noProof/>
        <w:sz w:val="20"/>
      </w:rPr>
      <w:t>5</w:t>
    </w:r>
    <w:r w:rsidRPr="00011DB0">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E11EC1">
      <w:rPr>
        <w:noProof/>
        <w:sz w:val="20"/>
      </w:rPr>
      <w:t>6</w:t>
    </w:r>
    <w:r w:rsidRPr="00011DB0">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E069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011DB0">
      <w:rPr>
        <w:noProof/>
        <w:sz w:val="20"/>
      </w:rPr>
      <w:t>1</w:t>
    </w:r>
    <w:r w:rsidRPr="00011DB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E11EC1">
      <w:rPr>
        <w:noProof/>
        <w:sz w:val="20"/>
      </w:rPr>
      <w:t>1</w:t>
    </w:r>
    <w:r w:rsidRPr="00011DB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E11EC1">
      <w:rPr>
        <w:noProof/>
        <w:sz w:val="20"/>
      </w:rPr>
      <w:t>3</w:t>
    </w:r>
    <w:r w:rsidRPr="00011DB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E11EC1">
      <w:rPr>
        <w:noProof/>
        <w:sz w:val="20"/>
      </w:rPr>
      <w:t>4</w:t>
    </w:r>
    <w:r w:rsidRPr="00011DB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1E0698" w:rsidP="00011DB0">
    <w:pPr>
      <w:jc w:val="center"/>
      <w:rPr>
        <w:sz w:val="20"/>
      </w:rPr>
    </w:pPr>
    <w:r w:rsidRPr="00011DB0">
      <w:rPr>
        <w:sz w:val="20"/>
      </w:rPr>
      <w:fldChar w:fldCharType="begin"/>
    </w:r>
    <w:r w:rsidR="00011DB0" w:rsidRPr="00011DB0">
      <w:rPr>
        <w:sz w:val="20"/>
      </w:rPr>
      <w:instrText xml:space="preserve"> page </w:instrText>
    </w:r>
    <w:r w:rsidRPr="00011DB0">
      <w:rPr>
        <w:sz w:val="20"/>
      </w:rPr>
      <w:fldChar w:fldCharType="separate"/>
    </w:r>
    <w:r w:rsidR="00DC2DE3">
      <w:rPr>
        <w:noProof/>
        <w:sz w:val="20"/>
      </w:rPr>
      <w:t>4</w:t>
    </w:r>
    <w:r w:rsidRPr="00011DB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Default="001E0698" w:rsidP="00B3167C">
    <w:pPr>
      <w:pStyle w:val="Footer"/>
      <w:framePr w:wrap="around" w:vAnchor="text" w:hAnchor="margin" w:xAlign="center" w:y="1"/>
      <w:rPr>
        <w:rStyle w:val="PageNumber"/>
      </w:rPr>
    </w:pPr>
    <w:r>
      <w:rPr>
        <w:rStyle w:val="PageNumber"/>
      </w:rPr>
      <w:fldChar w:fldCharType="begin"/>
    </w:r>
    <w:r w:rsidR="00011DB0">
      <w:rPr>
        <w:rStyle w:val="PageNumber"/>
      </w:rPr>
      <w:instrText xml:space="preserve">PAGE  </w:instrText>
    </w:r>
    <w:r>
      <w:rPr>
        <w:rStyle w:val="PageNumber"/>
      </w:rPr>
      <w:fldChar w:fldCharType="end"/>
    </w:r>
  </w:p>
  <w:p w:rsidR="00011DB0" w:rsidRDefault="00011D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956" w:rsidRDefault="00144956">
      <w:r>
        <w:separator/>
      </w:r>
    </w:p>
  </w:footnote>
  <w:footnote w:type="continuationSeparator" w:id="0">
    <w:p w:rsidR="00144956" w:rsidRDefault="00144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B0" w:rsidRPr="00011DB0" w:rsidRDefault="00011DB0" w:rsidP="00011DB0">
    <w:pPr>
      <w:pBdr>
        <w:bottom w:val="thinThickMediumGap" w:sz="12" w:space="1" w:color="auto"/>
      </w:pBdr>
      <w:tabs>
        <w:tab w:val="left" w:pos="851"/>
        <w:tab w:val="right" w:pos="8364"/>
      </w:tabs>
      <w:adjustRightInd w:val="0"/>
      <w:snapToGrid w:val="0"/>
      <w:jc w:val="both"/>
      <w:rPr>
        <w:iCs/>
        <w:sz w:val="20"/>
        <w:szCs w:val="20"/>
      </w:rPr>
    </w:pPr>
    <w:r w:rsidRPr="00011DB0">
      <w:rPr>
        <w:rFonts w:hint="eastAsia"/>
        <w:sz w:val="20"/>
        <w:szCs w:val="20"/>
      </w:rPr>
      <w:tab/>
    </w:r>
    <w:r w:rsidRPr="00011DB0">
      <w:rPr>
        <w:sz w:val="20"/>
        <w:szCs w:val="20"/>
      </w:rPr>
      <w:t>New York Science Journal 201</w:t>
    </w:r>
    <w:r w:rsidRPr="00011DB0">
      <w:rPr>
        <w:rFonts w:hint="eastAsia"/>
        <w:sz w:val="20"/>
        <w:szCs w:val="20"/>
      </w:rPr>
      <w:t>5</w:t>
    </w:r>
    <w:proofErr w:type="gramStart"/>
    <w:r w:rsidRPr="00011DB0">
      <w:rPr>
        <w:sz w:val="20"/>
        <w:szCs w:val="20"/>
      </w:rPr>
      <w:t>;</w:t>
    </w:r>
    <w:r w:rsidRPr="00011DB0">
      <w:rPr>
        <w:rFonts w:hint="eastAsia"/>
        <w:sz w:val="20"/>
        <w:szCs w:val="20"/>
      </w:rPr>
      <w:t>8</w:t>
    </w:r>
    <w:proofErr w:type="gramEnd"/>
    <w:r w:rsidRPr="00011DB0">
      <w:rPr>
        <w:sz w:val="20"/>
        <w:szCs w:val="20"/>
      </w:rPr>
      <w:t>(</w:t>
    </w:r>
    <w:r w:rsidRPr="00011DB0">
      <w:rPr>
        <w:rFonts w:hint="eastAsia"/>
        <w:sz w:val="20"/>
        <w:szCs w:val="20"/>
      </w:rPr>
      <w:t>2</w:t>
    </w:r>
    <w:r w:rsidRPr="00011DB0">
      <w:rPr>
        <w:sz w:val="20"/>
        <w:szCs w:val="20"/>
      </w:rPr>
      <w:t>)</w:t>
    </w:r>
    <w:r w:rsidRPr="00011DB0">
      <w:rPr>
        <w:iCs/>
        <w:sz w:val="20"/>
        <w:szCs w:val="20"/>
      </w:rPr>
      <w:t xml:space="preserve">     </w:t>
    </w:r>
    <w:r w:rsidRPr="00011DB0">
      <w:rPr>
        <w:rFonts w:hint="eastAsia"/>
        <w:iCs/>
        <w:sz w:val="20"/>
        <w:szCs w:val="20"/>
      </w:rPr>
      <w:tab/>
    </w:r>
    <w:r w:rsidRPr="00011DB0">
      <w:rPr>
        <w:iCs/>
        <w:sz w:val="20"/>
        <w:szCs w:val="20"/>
      </w:rPr>
      <w:t xml:space="preserve"> </w:t>
    </w:r>
    <w:r w:rsidRPr="00011DB0">
      <w:rPr>
        <w:rFonts w:hint="eastAsia"/>
        <w:iCs/>
        <w:sz w:val="20"/>
        <w:szCs w:val="20"/>
      </w:rPr>
      <w:t xml:space="preserve"> </w:t>
    </w:r>
    <w:r w:rsidRPr="00011DB0">
      <w:rPr>
        <w:iCs/>
        <w:sz w:val="20"/>
        <w:szCs w:val="20"/>
      </w:rPr>
      <w:t xml:space="preserve">   </w:t>
    </w:r>
    <w:hyperlink r:id="rId1" w:history="1">
      <w:r w:rsidRPr="00011DB0">
        <w:rPr>
          <w:rStyle w:val="Hyperlink"/>
          <w:sz w:val="20"/>
          <w:szCs w:val="20"/>
        </w:rPr>
        <w:t>http://www.sciencepub.net/newyork</w:t>
      </w:r>
    </w:hyperlink>
  </w:p>
  <w:p w:rsidR="00011DB0" w:rsidRPr="00011DB0" w:rsidRDefault="00011DB0" w:rsidP="00011DB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8A4CBA"/>
    <w:multiLevelType w:val="hybridMultilevel"/>
    <w:tmpl w:val="87C03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7C5063"/>
    <w:multiLevelType w:val="hybridMultilevel"/>
    <w:tmpl w:val="462420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1DB0"/>
    <w:rsid w:val="00064419"/>
    <w:rsid w:val="00080CE9"/>
    <w:rsid w:val="00090A06"/>
    <w:rsid w:val="000978CC"/>
    <w:rsid w:val="000C533D"/>
    <w:rsid w:val="001144BB"/>
    <w:rsid w:val="00144956"/>
    <w:rsid w:val="00177C9A"/>
    <w:rsid w:val="001811AA"/>
    <w:rsid w:val="001817C7"/>
    <w:rsid w:val="001B41B8"/>
    <w:rsid w:val="001B5FB7"/>
    <w:rsid w:val="001E0698"/>
    <w:rsid w:val="00251E2D"/>
    <w:rsid w:val="00281669"/>
    <w:rsid w:val="002E089D"/>
    <w:rsid w:val="002E538A"/>
    <w:rsid w:val="002F20CD"/>
    <w:rsid w:val="00322FAB"/>
    <w:rsid w:val="00340515"/>
    <w:rsid w:val="00345581"/>
    <w:rsid w:val="00370978"/>
    <w:rsid w:val="00381BC2"/>
    <w:rsid w:val="00381DD8"/>
    <w:rsid w:val="003834F3"/>
    <w:rsid w:val="003C4738"/>
    <w:rsid w:val="003D4926"/>
    <w:rsid w:val="003F5B84"/>
    <w:rsid w:val="00441468"/>
    <w:rsid w:val="004430E7"/>
    <w:rsid w:val="00456753"/>
    <w:rsid w:val="00464A43"/>
    <w:rsid w:val="00471E57"/>
    <w:rsid w:val="0049143E"/>
    <w:rsid w:val="004A6C92"/>
    <w:rsid w:val="004D0467"/>
    <w:rsid w:val="00507331"/>
    <w:rsid w:val="00531B48"/>
    <w:rsid w:val="00593132"/>
    <w:rsid w:val="005A09E0"/>
    <w:rsid w:val="005B0230"/>
    <w:rsid w:val="005F5E04"/>
    <w:rsid w:val="00606CD7"/>
    <w:rsid w:val="00630DD3"/>
    <w:rsid w:val="00643038"/>
    <w:rsid w:val="0064417E"/>
    <w:rsid w:val="0065209A"/>
    <w:rsid w:val="0066533B"/>
    <w:rsid w:val="006D5C2E"/>
    <w:rsid w:val="006E5F03"/>
    <w:rsid w:val="006E6ACB"/>
    <w:rsid w:val="006F1706"/>
    <w:rsid w:val="00757302"/>
    <w:rsid w:val="007726DB"/>
    <w:rsid w:val="00780998"/>
    <w:rsid w:val="007A5CDF"/>
    <w:rsid w:val="007D746F"/>
    <w:rsid w:val="007F581A"/>
    <w:rsid w:val="00814FA7"/>
    <w:rsid w:val="008941E5"/>
    <w:rsid w:val="008A20AC"/>
    <w:rsid w:val="008B6E2D"/>
    <w:rsid w:val="008F0C29"/>
    <w:rsid w:val="009058F9"/>
    <w:rsid w:val="0091208A"/>
    <w:rsid w:val="00914558"/>
    <w:rsid w:val="00943C84"/>
    <w:rsid w:val="009459B3"/>
    <w:rsid w:val="00952EB8"/>
    <w:rsid w:val="009655C9"/>
    <w:rsid w:val="009A0409"/>
    <w:rsid w:val="00A03677"/>
    <w:rsid w:val="00A3476D"/>
    <w:rsid w:val="00A4578E"/>
    <w:rsid w:val="00A50376"/>
    <w:rsid w:val="00A57EDE"/>
    <w:rsid w:val="00A70491"/>
    <w:rsid w:val="00AD62A3"/>
    <w:rsid w:val="00B1419E"/>
    <w:rsid w:val="00B3167C"/>
    <w:rsid w:val="00B32105"/>
    <w:rsid w:val="00B4448D"/>
    <w:rsid w:val="00B54CDA"/>
    <w:rsid w:val="00B60E8D"/>
    <w:rsid w:val="00BB2F19"/>
    <w:rsid w:val="00BD2A8D"/>
    <w:rsid w:val="00BF6579"/>
    <w:rsid w:val="00C25821"/>
    <w:rsid w:val="00C307A8"/>
    <w:rsid w:val="00CB60DF"/>
    <w:rsid w:val="00CE7B2F"/>
    <w:rsid w:val="00D253C8"/>
    <w:rsid w:val="00D3777A"/>
    <w:rsid w:val="00D6290D"/>
    <w:rsid w:val="00D724FB"/>
    <w:rsid w:val="00D82896"/>
    <w:rsid w:val="00DA4530"/>
    <w:rsid w:val="00DA5976"/>
    <w:rsid w:val="00DC2DE3"/>
    <w:rsid w:val="00DF7353"/>
    <w:rsid w:val="00E11EC1"/>
    <w:rsid w:val="00E4459C"/>
    <w:rsid w:val="00E910CC"/>
    <w:rsid w:val="00ED4441"/>
    <w:rsid w:val="00F02F8B"/>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32105"/>
    <w:pPr>
      <w:keepNext/>
      <w:tabs>
        <w:tab w:val="num" w:pos="0"/>
      </w:tabs>
      <w:outlineLvl w:val="0"/>
    </w:pPr>
    <w:rPr>
      <w:b/>
      <w:bCs/>
      <w:sz w:val="32"/>
    </w:rPr>
  </w:style>
  <w:style w:type="paragraph" w:styleId="Heading2">
    <w:name w:val="heading 2"/>
    <w:basedOn w:val="Normal"/>
    <w:next w:val="Normal"/>
    <w:qFormat/>
    <w:rsid w:val="00B32105"/>
    <w:pPr>
      <w:keepNext/>
      <w:tabs>
        <w:tab w:val="num" w:pos="0"/>
      </w:tabs>
      <w:jc w:val="both"/>
      <w:outlineLvl w:val="1"/>
    </w:pPr>
    <w:rPr>
      <w:b/>
      <w:sz w:val="28"/>
    </w:rPr>
  </w:style>
  <w:style w:type="paragraph" w:styleId="Heading3">
    <w:name w:val="heading 3"/>
    <w:basedOn w:val="Normal"/>
    <w:next w:val="Normal"/>
    <w:qFormat/>
    <w:rsid w:val="00B32105"/>
    <w:pPr>
      <w:keepNext/>
      <w:tabs>
        <w:tab w:val="num" w:pos="0"/>
      </w:tabs>
      <w:spacing w:line="360" w:lineRule="auto"/>
      <w:jc w:val="both"/>
      <w:outlineLvl w:val="2"/>
    </w:pPr>
    <w:rPr>
      <w:b/>
      <w:bCs/>
    </w:rPr>
  </w:style>
  <w:style w:type="paragraph" w:styleId="Heading6">
    <w:name w:val="heading 6"/>
    <w:basedOn w:val="Normal"/>
    <w:next w:val="Normal"/>
    <w:qFormat/>
    <w:rsid w:val="00B3210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32105"/>
  </w:style>
  <w:style w:type="character" w:customStyle="1" w:styleId="WW-Absatz-Standardschriftart">
    <w:name w:val="WW-Absatz-Standardschriftart"/>
    <w:rsid w:val="00B32105"/>
  </w:style>
  <w:style w:type="character" w:customStyle="1" w:styleId="WW-Absatz-Standardschriftart1">
    <w:name w:val="WW-Absatz-Standardschriftart1"/>
    <w:rsid w:val="00B32105"/>
  </w:style>
  <w:style w:type="character" w:customStyle="1" w:styleId="WW-Absatz-Standardschriftart11">
    <w:name w:val="WW-Absatz-Standardschriftart11"/>
    <w:rsid w:val="00B32105"/>
  </w:style>
  <w:style w:type="character" w:customStyle="1" w:styleId="WW-Absatz-Standardschriftart111">
    <w:name w:val="WW-Absatz-Standardschriftart111"/>
    <w:rsid w:val="00B32105"/>
  </w:style>
  <w:style w:type="character" w:customStyle="1" w:styleId="WW-Absatz-Standardschriftart1111">
    <w:name w:val="WW-Absatz-Standardschriftart1111"/>
    <w:rsid w:val="00B32105"/>
  </w:style>
  <w:style w:type="character" w:customStyle="1" w:styleId="WW-Absatz-Standardschriftart11111">
    <w:name w:val="WW-Absatz-Standardschriftart11111"/>
    <w:rsid w:val="00B32105"/>
  </w:style>
  <w:style w:type="character" w:customStyle="1" w:styleId="WW-Absatz-Standardschriftart111111">
    <w:name w:val="WW-Absatz-Standardschriftart111111"/>
    <w:rsid w:val="00B32105"/>
  </w:style>
  <w:style w:type="character" w:customStyle="1" w:styleId="WW-Absatz-Standardschriftart1111111">
    <w:name w:val="WW-Absatz-Standardschriftart1111111"/>
    <w:rsid w:val="00B32105"/>
  </w:style>
  <w:style w:type="character" w:customStyle="1" w:styleId="WW-Absatz-Standardschriftart11111111">
    <w:name w:val="WW-Absatz-Standardschriftart11111111"/>
    <w:rsid w:val="00B32105"/>
  </w:style>
  <w:style w:type="character" w:customStyle="1" w:styleId="WW-Absatz-Standardschriftart111111111">
    <w:name w:val="WW-Absatz-Standardschriftart111111111"/>
    <w:rsid w:val="00B32105"/>
  </w:style>
  <w:style w:type="character" w:customStyle="1" w:styleId="WW-Absatz-Standardschriftart1111111111">
    <w:name w:val="WW-Absatz-Standardschriftart1111111111"/>
    <w:rsid w:val="00B32105"/>
  </w:style>
  <w:style w:type="character" w:customStyle="1" w:styleId="WW-Absatz-Standardschriftart11111111111">
    <w:name w:val="WW-Absatz-Standardschriftart11111111111"/>
    <w:rsid w:val="00B32105"/>
  </w:style>
  <w:style w:type="character" w:customStyle="1" w:styleId="WW-Absatz-Standardschriftart111111111111">
    <w:name w:val="WW-Absatz-Standardschriftart111111111111"/>
    <w:rsid w:val="00B32105"/>
  </w:style>
  <w:style w:type="character" w:customStyle="1" w:styleId="WW-Absatz-Standardschriftart1111111111111">
    <w:name w:val="WW-Absatz-Standardschriftart1111111111111"/>
    <w:rsid w:val="00B32105"/>
  </w:style>
  <w:style w:type="character" w:customStyle="1" w:styleId="WW-Absatz-Standardschriftart11111111111111">
    <w:name w:val="WW-Absatz-Standardschriftart11111111111111"/>
    <w:rsid w:val="00B32105"/>
  </w:style>
  <w:style w:type="character" w:customStyle="1" w:styleId="WW-Absatz-Standardschriftart111111111111111">
    <w:name w:val="WW-Absatz-Standardschriftart111111111111111"/>
    <w:rsid w:val="00B32105"/>
  </w:style>
  <w:style w:type="character" w:customStyle="1" w:styleId="WW-Absatz-Standardschriftart1111111111111111">
    <w:name w:val="WW-Absatz-Standardschriftart1111111111111111"/>
    <w:rsid w:val="00B32105"/>
  </w:style>
  <w:style w:type="character" w:customStyle="1" w:styleId="WW8Num1z0">
    <w:name w:val="WW8Num1z0"/>
    <w:rsid w:val="00B32105"/>
    <w:rPr>
      <w:rFonts w:ascii="Symbol" w:eastAsia="Times New Roman" w:hAnsi="Symbol" w:cs="Times New Roman"/>
    </w:rPr>
  </w:style>
  <w:style w:type="character" w:customStyle="1" w:styleId="WW8Num1z1">
    <w:name w:val="WW8Num1z1"/>
    <w:rsid w:val="00B32105"/>
    <w:rPr>
      <w:rFonts w:ascii="Courier New" w:hAnsi="Courier New" w:cs="Courier New"/>
    </w:rPr>
  </w:style>
  <w:style w:type="character" w:customStyle="1" w:styleId="WW8Num1z2">
    <w:name w:val="WW8Num1z2"/>
    <w:rsid w:val="00B32105"/>
    <w:rPr>
      <w:rFonts w:ascii="Wingdings" w:hAnsi="Wingdings"/>
    </w:rPr>
  </w:style>
  <w:style w:type="character" w:customStyle="1" w:styleId="WW8Num1z3">
    <w:name w:val="WW8Num1z3"/>
    <w:rsid w:val="00B32105"/>
    <w:rPr>
      <w:rFonts w:ascii="Symbol" w:hAnsi="Symbol"/>
    </w:rPr>
  </w:style>
  <w:style w:type="character" w:styleId="PageNumber">
    <w:name w:val="page number"/>
    <w:basedOn w:val="DefaultParagraphFont"/>
    <w:rsid w:val="00B32105"/>
  </w:style>
  <w:style w:type="character" w:styleId="Hyperlink">
    <w:name w:val="Hyperlink"/>
    <w:rsid w:val="00B32105"/>
    <w:rPr>
      <w:color w:val="0000FF"/>
      <w:u w:val="single"/>
    </w:rPr>
  </w:style>
  <w:style w:type="character" w:styleId="FollowedHyperlink">
    <w:name w:val="FollowedHyperlink"/>
    <w:rsid w:val="00B32105"/>
    <w:rPr>
      <w:color w:val="800080"/>
      <w:u w:val="single"/>
    </w:rPr>
  </w:style>
  <w:style w:type="character" w:customStyle="1" w:styleId="NumberingSymbols">
    <w:name w:val="Numbering Symbols"/>
    <w:rsid w:val="00B32105"/>
  </w:style>
  <w:style w:type="paragraph" w:customStyle="1" w:styleId="Heading">
    <w:name w:val="Heading"/>
    <w:basedOn w:val="Normal"/>
    <w:next w:val="BodyText"/>
    <w:rsid w:val="00B32105"/>
    <w:pPr>
      <w:keepNext/>
      <w:spacing w:before="240" w:after="120"/>
    </w:pPr>
    <w:rPr>
      <w:rFonts w:ascii="Nimbus Sans L" w:eastAsia="DejaVu Sans" w:hAnsi="Nimbus Sans L" w:cs="DejaVu Sans"/>
      <w:sz w:val="28"/>
      <w:szCs w:val="28"/>
    </w:rPr>
  </w:style>
  <w:style w:type="paragraph" w:styleId="BodyText">
    <w:name w:val="Body Text"/>
    <w:basedOn w:val="Normal"/>
    <w:rsid w:val="00B32105"/>
    <w:pPr>
      <w:spacing w:line="360" w:lineRule="auto"/>
    </w:pPr>
  </w:style>
  <w:style w:type="paragraph" w:styleId="List">
    <w:name w:val="List"/>
    <w:basedOn w:val="BodyText"/>
    <w:rsid w:val="00B32105"/>
  </w:style>
  <w:style w:type="paragraph" w:styleId="Caption">
    <w:name w:val="caption"/>
    <w:basedOn w:val="Normal"/>
    <w:qFormat/>
    <w:rsid w:val="00B32105"/>
    <w:pPr>
      <w:suppressLineNumbers/>
      <w:spacing w:before="120" w:after="120"/>
    </w:pPr>
    <w:rPr>
      <w:i/>
      <w:iCs/>
    </w:rPr>
  </w:style>
  <w:style w:type="paragraph" w:customStyle="1" w:styleId="Index">
    <w:name w:val="Index"/>
    <w:basedOn w:val="Normal"/>
    <w:rsid w:val="00B32105"/>
    <w:pPr>
      <w:suppressLineNumbers/>
    </w:pPr>
  </w:style>
  <w:style w:type="paragraph" w:styleId="Header">
    <w:name w:val="header"/>
    <w:basedOn w:val="Normal"/>
    <w:next w:val="Heading1"/>
    <w:rsid w:val="00B32105"/>
    <w:pPr>
      <w:tabs>
        <w:tab w:val="center" w:pos="4320"/>
        <w:tab w:val="right" w:pos="8640"/>
      </w:tabs>
    </w:pPr>
  </w:style>
  <w:style w:type="paragraph" w:styleId="BodyTextIndent3">
    <w:name w:val="Body Text Indent 3"/>
    <w:basedOn w:val="Normal"/>
    <w:rsid w:val="00B32105"/>
    <w:pPr>
      <w:spacing w:line="360" w:lineRule="auto"/>
      <w:ind w:firstLine="720"/>
      <w:jc w:val="both"/>
    </w:pPr>
    <w:rPr>
      <w:b/>
      <w:bCs/>
    </w:rPr>
  </w:style>
  <w:style w:type="paragraph" w:styleId="BodyTextIndent">
    <w:name w:val="Body Text Indent"/>
    <w:basedOn w:val="Normal"/>
    <w:rsid w:val="00B32105"/>
    <w:pPr>
      <w:ind w:left="540" w:hanging="720"/>
      <w:jc w:val="both"/>
    </w:pPr>
  </w:style>
  <w:style w:type="paragraph" w:styleId="BodyTextIndent2">
    <w:name w:val="Body Text Indent 2"/>
    <w:basedOn w:val="Normal"/>
    <w:rsid w:val="00B32105"/>
    <w:pPr>
      <w:spacing w:line="360" w:lineRule="auto"/>
      <w:ind w:firstLine="720"/>
      <w:jc w:val="both"/>
    </w:pPr>
  </w:style>
  <w:style w:type="paragraph" w:styleId="BodyText2">
    <w:name w:val="Body Text 2"/>
    <w:basedOn w:val="Normal"/>
    <w:rsid w:val="00B32105"/>
    <w:pPr>
      <w:spacing w:line="360" w:lineRule="auto"/>
      <w:jc w:val="both"/>
    </w:pPr>
  </w:style>
  <w:style w:type="paragraph" w:styleId="Footer">
    <w:name w:val="footer"/>
    <w:basedOn w:val="Normal"/>
    <w:rsid w:val="00B32105"/>
    <w:pPr>
      <w:tabs>
        <w:tab w:val="center" w:pos="4320"/>
        <w:tab w:val="right" w:pos="8640"/>
      </w:tabs>
    </w:pPr>
    <w:rPr>
      <w:sz w:val="32"/>
    </w:rPr>
  </w:style>
  <w:style w:type="paragraph" w:customStyle="1" w:styleId="TableContents">
    <w:name w:val="Table Contents"/>
    <w:basedOn w:val="Normal"/>
    <w:rsid w:val="00B32105"/>
    <w:pPr>
      <w:suppressLineNumbers/>
    </w:pPr>
  </w:style>
  <w:style w:type="paragraph" w:customStyle="1" w:styleId="TableHeading">
    <w:name w:val="Table Heading"/>
    <w:basedOn w:val="TableContents"/>
    <w:rsid w:val="00B32105"/>
    <w:pPr>
      <w:jc w:val="center"/>
    </w:pPr>
    <w:rPr>
      <w:b/>
      <w:bCs/>
    </w:rPr>
  </w:style>
  <w:style w:type="paragraph" w:customStyle="1" w:styleId="Framecontents">
    <w:name w:val="Frame contents"/>
    <w:basedOn w:val="BodyText"/>
    <w:rsid w:val="00B32105"/>
  </w:style>
  <w:style w:type="paragraph" w:customStyle="1" w:styleId="Text">
    <w:name w:val="Text"/>
    <w:basedOn w:val="Normal"/>
    <w:rsid w:val="00B32105"/>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3F5B8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5B84"/>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581A"/>
    <w:rPr>
      <w:rFonts w:ascii="Tahoma" w:hAnsi="Tahoma" w:cs="Tahoma"/>
      <w:sz w:val="16"/>
      <w:szCs w:val="16"/>
    </w:rPr>
  </w:style>
  <w:style w:type="character" w:customStyle="1" w:styleId="BalloonTextChar">
    <w:name w:val="Balloon Text Char"/>
    <w:basedOn w:val="DefaultParagraphFont"/>
    <w:link w:val="BalloonText"/>
    <w:uiPriority w:val="99"/>
    <w:semiHidden/>
    <w:rsid w:val="007F581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bpersian_psy@yahoo.com"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789240-4F6D-403A-A391-E7E6B62A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25545</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2555955</vt:i4>
      </vt:variant>
      <vt:variant>
        <vt:i4>0</vt:i4>
      </vt:variant>
      <vt:variant>
        <vt:i4>0</vt:i4>
      </vt:variant>
      <vt:variant>
        <vt:i4>5</vt:i4>
      </vt:variant>
      <vt:variant>
        <vt:lpwstr>mailto:shbpersian_psy@yahoo.com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2015-01-30T02:53:00Z</cp:lastPrinted>
  <dcterms:created xsi:type="dcterms:W3CDTF">2015-01-30T10:29:00Z</dcterms:created>
  <dcterms:modified xsi:type="dcterms:W3CDTF">2015-01-30T06:00:00Z</dcterms:modified>
</cp:coreProperties>
</file>