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DE697E" w:rsidRDefault="004D5AF6" w:rsidP="00DE697E">
      <w:pPr>
        <w:snapToGrid w:val="0"/>
        <w:jc w:val="center"/>
        <w:rPr>
          <w:b/>
          <w:sz w:val="20"/>
          <w:szCs w:val="22"/>
          <w:lang w:eastAsia="zh-CN"/>
        </w:rPr>
      </w:pPr>
      <w:r w:rsidRPr="00DE697E">
        <w:rPr>
          <w:b/>
          <w:sz w:val="20"/>
          <w:szCs w:val="22"/>
        </w:rPr>
        <w:t xml:space="preserve">Evaluation </w:t>
      </w:r>
      <w:r w:rsidR="00047256" w:rsidRPr="00DE697E">
        <w:rPr>
          <w:b/>
          <w:sz w:val="20"/>
          <w:szCs w:val="22"/>
        </w:rPr>
        <w:t xml:space="preserve">of oxidative stress </w:t>
      </w:r>
      <w:r w:rsidR="006C2EDB" w:rsidRPr="00DE697E">
        <w:rPr>
          <w:b/>
          <w:sz w:val="20"/>
          <w:szCs w:val="22"/>
        </w:rPr>
        <w:t xml:space="preserve">association with </w:t>
      </w:r>
      <w:r w:rsidR="00047256" w:rsidRPr="00DE697E">
        <w:rPr>
          <w:b/>
          <w:sz w:val="20"/>
          <w:szCs w:val="22"/>
        </w:rPr>
        <w:t>chr</w:t>
      </w:r>
      <w:r w:rsidR="00C35357" w:rsidRPr="00DE697E">
        <w:rPr>
          <w:b/>
          <w:sz w:val="20"/>
          <w:szCs w:val="22"/>
        </w:rPr>
        <w:t>onic kidney disease</w:t>
      </w:r>
    </w:p>
    <w:p w:rsidR="00DE697E" w:rsidRPr="00DE697E" w:rsidRDefault="00DE697E" w:rsidP="00DE697E">
      <w:pPr>
        <w:snapToGrid w:val="0"/>
        <w:jc w:val="center"/>
        <w:rPr>
          <w:b/>
          <w:sz w:val="20"/>
          <w:szCs w:val="22"/>
          <w:lang w:eastAsia="zh-CN"/>
        </w:rPr>
      </w:pPr>
    </w:p>
    <w:p w:rsidR="00047256" w:rsidRPr="00DE697E" w:rsidRDefault="00047256" w:rsidP="00DE697E">
      <w:pPr>
        <w:snapToGrid w:val="0"/>
        <w:jc w:val="center"/>
        <w:rPr>
          <w:bCs/>
          <w:sz w:val="20"/>
          <w:szCs w:val="20"/>
          <w:lang w:eastAsia="zh-CN"/>
        </w:rPr>
      </w:pPr>
      <w:proofErr w:type="spellStart"/>
      <w:r w:rsidRPr="00DE697E">
        <w:rPr>
          <w:sz w:val="20"/>
          <w:szCs w:val="20"/>
        </w:rPr>
        <w:t>Kalsoom</w:t>
      </w:r>
      <w:proofErr w:type="spellEnd"/>
      <w:r w:rsidRPr="00DE697E">
        <w:rPr>
          <w:sz w:val="20"/>
          <w:szCs w:val="20"/>
        </w:rPr>
        <w:t xml:space="preserve"> Zaigham</w:t>
      </w:r>
      <w:r w:rsidR="00057F37" w:rsidRPr="00DE697E">
        <w:rPr>
          <w:sz w:val="20"/>
          <w:szCs w:val="20"/>
          <w:vertAlign w:val="superscript"/>
        </w:rPr>
        <w:t>1</w:t>
      </w:r>
      <w:r w:rsidR="003064A9" w:rsidRPr="00DE697E">
        <w:rPr>
          <w:sz w:val="20"/>
          <w:szCs w:val="20"/>
          <w:vertAlign w:val="superscript"/>
        </w:rPr>
        <w:t>*</w:t>
      </w:r>
      <w:r w:rsidRPr="00DE697E">
        <w:rPr>
          <w:sz w:val="20"/>
          <w:szCs w:val="20"/>
        </w:rPr>
        <w:t xml:space="preserve">, Muhammad </w:t>
      </w:r>
      <w:proofErr w:type="spellStart"/>
      <w:r w:rsidRPr="00DE697E">
        <w:rPr>
          <w:sz w:val="20"/>
          <w:szCs w:val="20"/>
        </w:rPr>
        <w:t>Tanveer</w:t>
      </w:r>
      <w:proofErr w:type="spellEnd"/>
      <w:r w:rsidRPr="00DE697E">
        <w:rPr>
          <w:sz w:val="20"/>
          <w:szCs w:val="20"/>
        </w:rPr>
        <w:t xml:space="preserve"> Muneer</w:t>
      </w:r>
      <w:r w:rsidR="00057F37" w:rsidRPr="00DE697E">
        <w:rPr>
          <w:sz w:val="20"/>
          <w:szCs w:val="20"/>
          <w:vertAlign w:val="superscript"/>
        </w:rPr>
        <w:t>1</w:t>
      </w:r>
      <w:r w:rsidRPr="00DE697E">
        <w:rPr>
          <w:sz w:val="20"/>
          <w:szCs w:val="20"/>
        </w:rPr>
        <w:t xml:space="preserve">, </w:t>
      </w:r>
      <w:r w:rsidR="001A758D" w:rsidRPr="00DE697E">
        <w:rPr>
          <w:sz w:val="20"/>
          <w:szCs w:val="20"/>
        </w:rPr>
        <w:t xml:space="preserve">Muhammad </w:t>
      </w:r>
      <w:proofErr w:type="spellStart"/>
      <w:r w:rsidR="001A758D" w:rsidRPr="00DE697E">
        <w:rPr>
          <w:sz w:val="20"/>
          <w:szCs w:val="20"/>
        </w:rPr>
        <w:t>Shahzad</w:t>
      </w:r>
      <w:proofErr w:type="spellEnd"/>
      <w:r w:rsidR="001A758D" w:rsidRPr="00DE697E">
        <w:rPr>
          <w:sz w:val="20"/>
          <w:szCs w:val="20"/>
        </w:rPr>
        <w:t xml:space="preserve"> Iqbal</w:t>
      </w:r>
      <w:r w:rsidR="001A758D" w:rsidRPr="00DE697E">
        <w:rPr>
          <w:sz w:val="20"/>
          <w:szCs w:val="20"/>
          <w:vertAlign w:val="superscript"/>
        </w:rPr>
        <w:t>2</w:t>
      </w:r>
      <w:r w:rsidR="00222EAC" w:rsidRPr="00DE697E">
        <w:rPr>
          <w:sz w:val="20"/>
        </w:rPr>
        <w:t>,</w:t>
      </w:r>
      <w:r w:rsidR="00CE429C" w:rsidRPr="00DE697E">
        <w:rPr>
          <w:sz w:val="20"/>
        </w:rPr>
        <w:t xml:space="preserve"> </w:t>
      </w:r>
      <w:r w:rsidRPr="00DE697E">
        <w:rPr>
          <w:sz w:val="20"/>
          <w:szCs w:val="20"/>
        </w:rPr>
        <w:t xml:space="preserve">Muhammad </w:t>
      </w:r>
      <w:proofErr w:type="spellStart"/>
      <w:r w:rsidRPr="00DE697E">
        <w:rPr>
          <w:sz w:val="20"/>
          <w:szCs w:val="20"/>
        </w:rPr>
        <w:t>Nadeem</w:t>
      </w:r>
      <w:proofErr w:type="spellEnd"/>
      <w:r w:rsidRPr="00DE697E">
        <w:rPr>
          <w:sz w:val="20"/>
          <w:szCs w:val="20"/>
        </w:rPr>
        <w:t xml:space="preserve"> Hafeez</w:t>
      </w:r>
      <w:r w:rsidR="00057F37" w:rsidRPr="00DE697E">
        <w:rPr>
          <w:sz w:val="20"/>
          <w:szCs w:val="20"/>
          <w:vertAlign w:val="superscript"/>
        </w:rPr>
        <w:t>2</w:t>
      </w:r>
      <w:r w:rsidR="00222EAC" w:rsidRPr="00DE697E">
        <w:rPr>
          <w:sz w:val="20"/>
        </w:rPr>
        <w:t xml:space="preserve"> </w:t>
      </w:r>
      <w:r w:rsidR="00222EAC" w:rsidRPr="00DE697E">
        <w:rPr>
          <w:bCs/>
          <w:sz w:val="20"/>
        </w:rPr>
        <w:t xml:space="preserve">and </w:t>
      </w:r>
      <w:proofErr w:type="spellStart"/>
      <w:r w:rsidR="00222EAC" w:rsidRPr="00DE697E">
        <w:rPr>
          <w:bCs/>
          <w:sz w:val="20"/>
          <w:szCs w:val="20"/>
        </w:rPr>
        <w:t>Qurban</w:t>
      </w:r>
      <w:proofErr w:type="spellEnd"/>
      <w:r w:rsidR="00222EAC" w:rsidRPr="00DE697E">
        <w:rPr>
          <w:bCs/>
          <w:sz w:val="20"/>
          <w:szCs w:val="20"/>
        </w:rPr>
        <w:t xml:space="preserve"> Ali</w:t>
      </w:r>
    </w:p>
    <w:p w:rsidR="00DE697E" w:rsidRPr="00DE697E" w:rsidRDefault="00DE697E" w:rsidP="00DE697E">
      <w:pPr>
        <w:snapToGrid w:val="0"/>
        <w:jc w:val="center"/>
        <w:rPr>
          <w:sz w:val="20"/>
          <w:lang w:eastAsia="zh-CN"/>
        </w:rPr>
      </w:pPr>
    </w:p>
    <w:p w:rsidR="00160832" w:rsidRPr="00DE697E" w:rsidRDefault="00160832" w:rsidP="00DE697E">
      <w:pPr>
        <w:autoSpaceDE w:val="0"/>
        <w:autoSpaceDN w:val="0"/>
        <w:adjustRightInd w:val="0"/>
        <w:snapToGrid w:val="0"/>
        <w:jc w:val="center"/>
        <w:rPr>
          <w:sz w:val="20"/>
          <w:szCs w:val="20"/>
        </w:rPr>
      </w:pPr>
      <w:r w:rsidRPr="00DE697E">
        <w:rPr>
          <w:sz w:val="20"/>
          <w:szCs w:val="20"/>
          <w:vertAlign w:val="superscript"/>
        </w:rPr>
        <w:t>1.</w:t>
      </w:r>
      <w:r w:rsidRPr="00DE697E">
        <w:rPr>
          <w:sz w:val="20"/>
          <w:szCs w:val="20"/>
        </w:rPr>
        <w:t xml:space="preserve"> Institute of Molecular Biology and Biotechnology, </w:t>
      </w:r>
      <w:proofErr w:type="gramStart"/>
      <w:r w:rsidRPr="00DE697E">
        <w:rPr>
          <w:sz w:val="20"/>
          <w:szCs w:val="20"/>
        </w:rPr>
        <w:t>The</w:t>
      </w:r>
      <w:proofErr w:type="gramEnd"/>
      <w:r w:rsidRPr="00DE697E">
        <w:rPr>
          <w:sz w:val="20"/>
          <w:szCs w:val="20"/>
        </w:rPr>
        <w:t xml:space="preserve"> University of Lahore, Lahore 54000, Pakistan</w:t>
      </w:r>
    </w:p>
    <w:p w:rsidR="00160832" w:rsidRPr="00DE697E" w:rsidRDefault="00160832" w:rsidP="00DE697E">
      <w:pPr>
        <w:snapToGrid w:val="0"/>
        <w:jc w:val="center"/>
        <w:rPr>
          <w:bCs/>
          <w:sz w:val="20"/>
          <w:szCs w:val="20"/>
        </w:rPr>
      </w:pPr>
      <w:r w:rsidRPr="00DE697E">
        <w:rPr>
          <w:bCs/>
          <w:sz w:val="20"/>
          <w:szCs w:val="20"/>
          <w:vertAlign w:val="superscript"/>
        </w:rPr>
        <w:t>2.</w:t>
      </w:r>
      <w:r w:rsidRPr="00DE697E">
        <w:rPr>
          <w:bCs/>
          <w:sz w:val="20"/>
          <w:szCs w:val="20"/>
        </w:rPr>
        <w:t xml:space="preserve"> </w:t>
      </w:r>
      <w:r w:rsidR="003C0C5D" w:rsidRPr="00DE697E">
        <w:rPr>
          <w:bCs/>
          <w:sz w:val="20"/>
          <w:szCs w:val="20"/>
        </w:rPr>
        <w:t>Centre of Excellence in Molecular Biology, University of the Punjab Lahore, Pakistan</w:t>
      </w:r>
    </w:p>
    <w:p w:rsidR="00307469" w:rsidRPr="00DE697E" w:rsidRDefault="00D41B40" w:rsidP="00DE697E">
      <w:pPr>
        <w:snapToGrid w:val="0"/>
        <w:jc w:val="center"/>
        <w:rPr>
          <w:sz w:val="20"/>
          <w:lang w:eastAsia="zh-CN"/>
        </w:rPr>
      </w:pPr>
      <w:r w:rsidRPr="00DE697E">
        <w:rPr>
          <w:sz w:val="20"/>
          <w:szCs w:val="20"/>
        </w:rPr>
        <w:t>Corresponding E</w:t>
      </w:r>
      <w:r w:rsidR="003064A9" w:rsidRPr="00DE697E">
        <w:rPr>
          <w:sz w:val="20"/>
          <w:szCs w:val="20"/>
        </w:rPr>
        <w:t xml:space="preserve">mail: </w:t>
      </w:r>
      <w:hyperlink r:id="rId7" w:history="1">
        <w:r w:rsidR="003064A9" w:rsidRPr="00DE697E">
          <w:rPr>
            <w:rStyle w:val="Hyperlink"/>
            <w:sz w:val="20"/>
            <w:szCs w:val="20"/>
          </w:rPr>
          <w:t>kalsimbb@yahoo.com</w:t>
        </w:r>
      </w:hyperlink>
    </w:p>
    <w:p w:rsidR="00DE697E" w:rsidRPr="00DE697E" w:rsidRDefault="00DE697E" w:rsidP="00DE697E">
      <w:pPr>
        <w:snapToGrid w:val="0"/>
        <w:jc w:val="center"/>
        <w:rPr>
          <w:bCs/>
          <w:sz w:val="20"/>
          <w:szCs w:val="20"/>
          <w:lang w:eastAsia="zh-CN"/>
        </w:rPr>
      </w:pPr>
    </w:p>
    <w:p w:rsidR="00047256" w:rsidRPr="00DE697E" w:rsidRDefault="00057F37" w:rsidP="00DE697E">
      <w:pPr>
        <w:snapToGrid w:val="0"/>
        <w:jc w:val="both"/>
        <w:rPr>
          <w:b/>
          <w:sz w:val="20"/>
          <w:szCs w:val="20"/>
        </w:rPr>
      </w:pPr>
      <w:r w:rsidRPr="00DE697E">
        <w:rPr>
          <w:b/>
          <w:sz w:val="20"/>
          <w:szCs w:val="20"/>
        </w:rPr>
        <w:t>Abstract</w:t>
      </w:r>
      <w:r w:rsidR="00AD46BF" w:rsidRPr="00DE697E">
        <w:rPr>
          <w:b/>
          <w:sz w:val="20"/>
          <w:szCs w:val="20"/>
        </w:rPr>
        <w:t xml:space="preserve">: </w:t>
      </w:r>
      <w:r w:rsidR="00047256" w:rsidRPr="00DE697E">
        <w:rPr>
          <w:color w:val="000000"/>
          <w:sz w:val="20"/>
          <w:szCs w:val="20"/>
        </w:rPr>
        <w:t xml:space="preserve">The present study was aimed to investigate the correlation of oxidative stress with renal failure in </w:t>
      </w:r>
      <w:r w:rsidR="009157DD" w:rsidRPr="00DE697E">
        <w:rPr>
          <w:sz w:val="20"/>
          <w:szCs w:val="20"/>
        </w:rPr>
        <w:t xml:space="preserve">Chronic Kidney Disease (CDK) </w:t>
      </w:r>
      <w:r w:rsidR="00047256" w:rsidRPr="00DE697E">
        <w:rPr>
          <w:color w:val="000000"/>
          <w:sz w:val="20"/>
          <w:szCs w:val="20"/>
        </w:rPr>
        <w:t>patients.</w:t>
      </w:r>
      <w:r w:rsidR="00047256" w:rsidRPr="00DE697E">
        <w:rPr>
          <w:b/>
          <w:color w:val="000000"/>
          <w:sz w:val="20"/>
          <w:szCs w:val="20"/>
        </w:rPr>
        <w:t xml:space="preserve"> </w:t>
      </w:r>
      <w:r w:rsidR="00047256" w:rsidRPr="00DE697E">
        <w:rPr>
          <w:color w:val="000000"/>
          <w:sz w:val="20"/>
          <w:szCs w:val="20"/>
        </w:rPr>
        <w:t xml:space="preserve">Oxidative stress was measured via </w:t>
      </w:r>
      <w:r w:rsidR="0010218E" w:rsidRPr="00DE697E">
        <w:rPr>
          <w:sz w:val="20"/>
          <w:szCs w:val="20"/>
        </w:rPr>
        <w:t>superoxide dismutase (SOD)</w:t>
      </w:r>
      <w:r w:rsidR="00047256" w:rsidRPr="00DE697E">
        <w:rPr>
          <w:color w:val="000000"/>
          <w:sz w:val="20"/>
          <w:szCs w:val="20"/>
        </w:rPr>
        <w:t xml:space="preserve">, </w:t>
      </w:r>
      <w:r w:rsidR="0010218E" w:rsidRPr="00DE697E">
        <w:rPr>
          <w:sz w:val="20"/>
          <w:szCs w:val="20"/>
        </w:rPr>
        <w:t>Glutathione</w:t>
      </w:r>
      <w:r w:rsidR="0010218E" w:rsidRPr="00DE697E">
        <w:rPr>
          <w:color w:val="000000"/>
          <w:sz w:val="20"/>
          <w:szCs w:val="20"/>
        </w:rPr>
        <w:t xml:space="preserve"> (</w:t>
      </w:r>
      <w:r w:rsidR="00047256" w:rsidRPr="00DE697E">
        <w:rPr>
          <w:color w:val="000000"/>
          <w:sz w:val="20"/>
          <w:szCs w:val="20"/>
        </w:rPr>
        <w:t>GSH</w:t>
      </w:r>
      <w:r w:rsidR="0010218E" w:rsidRPr="00DE697E">
        <w:rPr>
          <w:color w:val="000000"/>
          <w:sz w:val="20"/>
          <w:szCs w:val="20"/>
        </w:rPr>
        <w:t>)</w:t>
      </w:r>
      <w:r w:rsidR="00047256" w:rsidRPr="00DE697E">
        <w:rPr>
          <w:color w:val="000000"/>
          <w:sz w:val="20"/>
          <w:szCs w:val="20"/>
        </w:rPr>
        <w:t xml:space="preserve">, </w:t>
      </w:r>
      <w:proofErr w:type="spellStart"/>
      <w:r w:rsidR="0010218E" w:rsidRPr="00DE697E">
        <w:rPr>
          <w:sz w:val="20"/>
          <w:szCs w:val="20"/>
        </w:rPr>
        <w:t>Malondialdehyde</w:t>
      </w:r>
      <w:proofErr w:type="spellEnd"/>
      <w:r w:rsidR="0010218E" w:rsidRPr="00DE697E">
        <w:rPr>
          <w:sz w:val="20"/>
          <w:szCs w:val="20"/>
        </w:rPr>
        <w:t xml:space="preserve"> (</w:t>
      </w:r>
      <w:r w:rsidR="00047256" w:rsidRPr="00DE697E">
        <w:rPr>
          <w:color w:val="000000"/>
          <w:sz w:val="20"/>
          <w:szCs w:val="20"/>
        </w:rPr>
        <w:t>MDA</w:t>
      </w:r>
      <w:r w:rsidR="0010218E" w:rsidRPr="00DE697E">
        <w:rPr>
          <w:color w:val="000000"/>
          <w:sz w:val="20"/>
          <w:szCs w:val="20"/>
        </w:rPr>
        <w:t>)</w:t>
      </w:r>
      <w:r w:rsidR="00047256" w:rsidRPr="00DE697E">
        <w:rPr>
          <w:color w:val="000000"/>
          <w:sz w:val="20"/>
          <w:szCs w:val="20"/>
        </w:rPr>
        <w:t xml:space="preserve"> and </w:t>
      </w:r>
      <w:proofErr w:type="spellStart"/>
      <w:r w:rsidR="00047256" w:rsidRPr="00DE697E">
        <w:rPr>
          <w:color w:val="000000"/>
          <w:sz w:val="20"/>
          <w:szCs w:val="20"/>
        </w:rPr>
        <w:t>catalase</w:t>
      </w:r>
      <w:proofErr w:type="spellEnd"/>
      <w:r w:rsidR="00047256" w:rsidRPr="00DE697E">
        <w:rPr>
          <w:color w:val="000000"/>
          <w:sz w:val="20"/>
          <w:szCs w:val="20"/>
        </w:rPr>
        <w:t xml:space="preserve"> assessment. For renal dysfunction, basic renal parameters, urea, </w:t>
      </w:r>
      <w:proofErr w:type="spellStart"/>
      <w:r w:rsidR="00047256" w:rsidRPr="00DE697E">
        <w:rPr>
          <w:color w:val="000000"/>
          <w:sz w:val="20"/>
          <w:szCs w:val="20"/>
        </w:rPr>
        <w:t>creatinine</w:t>
      </w:r>
      <w:proofErr w:type="spellEnd"/>
      <w:r w:rsidR="00047256" w:rsidRPr="00DE697E">
        <w:rPr>
          <w:color w:val="000000"/>
          <w:sz w:val="20"/>
          <w:szCs w:val="20"/>
        </w:rPr>
        <w:t xml:space="preserve"> and uric acid were determined. 25 patients of moderate CKD and 25 patients of severe CKD were selected for the present study as case group along with 25 normal individuals as control group. Oxidative stress parameters (SOD, GSH, MDA and </w:t>
      </w:r>
      <w:proofErr w:type="spellStart"/>
      <w:r w:rsidR="00047256" w:rsidRPr="00DE697E">
        <w:rPr>
          <w:color w:val="000000"/>
          <w:sz w:val="20"/>
          <w:szCs w:val="20"/>
        </w:rPr>
        <w:t>catalase</w:t>
      </w:r>
      <w:proofErr w:type="spellEnd"/>
      <w:r w:rsidR="00047256" w:rsidRPr="00DE697E">
        <w:rPr>
          <w:color w:val="000000"/>
          <w:sz w:val="20"/>
          <w:szCs w:val="20"/>
        </w:rPr>
        <w:t xml:space="preserve">) were assessed by </w:t>
      </w:r>
      <w:proofErr w:type="spellStart"/>
      <w:r w:rsidR="00047256" w:rsidRPr="00DE697E">
        <w:rPr>
          <w:color w:val="000000"/>
          <w:sz w:val="20"/>
          <w:szCs w:val="20"/>
        </w:rPr>
        <w:t>spectrophotometric</w:t>
      </w:r>
      <w:proofErr w:type="spellEnd"/>
      <w:r w:rsidR="00047256" w:rsidRPr="00DE697E">
        <w:rPr>
          <w:color w:val="000000"/>
          <w:sz w:val="20"/>
          <w:szCs w:val="20"/>
        </w:rPr>
        <w:t xml:space="preserve"> assay while renal parameters (urea, </w:t>
      </w:r>
      <w:proofErr w:type="spellStart"/>
      <w:r w:rsidR="00047256" w:rsidRPr="00DE697E">
        <w:rPr>
          <w:color w:val="000000"/>
          <w:sz w:val="20"/>
          <w:szCs w:val="20"/>
        </w:rPr>
        <w:t>creatinine</w:t>
      </w:r>
      <w:proofErr w:type="spellEnd"/>
      <w:r w:rsidR="00047256" w:rsidRPr="00DE697E">
        <w:rPr>
          <w:color w:val="000000"/>
          <w:sz w:val="20"/>
          <w:szCs w:val="20"/>
        </w:rPr>
        <w:t xml:space="preserve"> and uric acid) were estimated by enzymatic kit method. </w:t>
      </w:r>
      <w:r w:rsidR="00047256" w:rsidRPr="00DE697E">
        <w:rPr>
          <w:sz w:val="20"/>
          <w:szCs w:val="20"/>
        </w:rPr>
        <w:t xml:space="preserve">We concluded that the decrease in renal GSH in chronic kidney disease could be explained by its consumption in scavenging free radicals and maintaining the </w:t>
      </w:r>
      <w:proofErr w:type="spellStart"/>
      <w:r w:rsidR="00047256" w:rsidRPr="00DE697E">
        <w:rPr>
          <w:sz w:val="20"/>
          <w:szCs w:val="20"/>
        </w:rPr>
        <w:t>redox</w:t>
      </w:r>
      <w:proofErr w:type="spellEnd"/>
      <w:r w:rsidR="00047256" w:rsidRPr="00DE697E">
        <w:rPr>
          <w:sz w:val="20"/>
          <w:szCs w:val="20"/>
        </w:rPr>
        <w:t xml:space="preserve"> state of the cell during CKD. Significant increase in both </w:t>
      </w:r>
      <w:r w:rsidR="00A26AF2" w:rsidRPr="00DE697E">
        <w:rPr>
          <w:sz w:val="20"/>
          <w:szCs w:val="20"/>
        </w:rPr>
        <w:t>blood urea nitrogen (</w:t>
      </w:r>
      <w:r w:rsidR="00047256" w:rsidRPr="00DE697E">
        <w:rPr>
          <w:sz w:val="20"/>
          <w:szCs w:val="20"/>
        </w:rPr>
        <w:t>BUN</w:t>
      </w:r>
      <w:r w:rsidR="00A26AF2" w:rsidRPr="00DE697E">
        <w:rPr>
          <w:sz w:val="20"/>
          <w:szCs w:val="20"/>
        </w:rPr>
        <w:t>)</w:t>
      </w:r>
      <w:r w:rsidR="00047256" w:rsidRPr="00DE697E">
        <w:rPr>
          <w:sz w:val="20"/>
          <w:szCs w:val="20"/>
        </w:rPr>
        <w:t xml:space="preserve"> and </w:t>
      </w:r>
      <w:proofErr w:type="spellStart"/>
      <w:r w:rsidR="00047256" w:rsidRPr="00DE697E">
        <w:rPr>
          <w:sz w:val="20"/>
          <w:szCs w:val="20"/>
        </w:rPr>
        <w:t>creatinine</w:t>
      </w:r>
      <w:proofErr w:type="spellEnd"/>
      <w:r w:rsidR="00047256" w:rsidRPr="00DE697E">
        <w:rPr>
          <w:sz w:val="20"/>
          <w:szCs w:val="20"/>
        </w:rPr>
        <w:t xml:space="preserve"> showed that CKD resulted in serious renal injury.</w:t>
      </w:r>
    </w:p>
    <w:p w:rsidR="00DE697E" w:rsidRPr="00DE697E" w:rsidRDefault="00772DB1" w:rsidP="00DE697E">
      <w:pPr>
        <w:snapToGrid w:val="0"/>
        <w:jc w:val="both"/>
        <w:rPr>
          <w:sz w:val="20"/>
          <w:szCs w:val="20"/>
          <w:lang w:eastAsia="zh-CN"/>
        </w:rPr>
      </w:pPr>
      <w:proofErr w:type="gramStart"/>
      <w:r w:rsidRPr="00DE697E">
        <w:rPr>
          <w:sz w:val="20"/>
          <w:szCs w:val="20"/>
          <w:shd w:val="clear" w:color="auto" w:fill="FFFFFF"/>
        </w:rPr>
        <w:t>[</w:t>
      </w:r>
      <w:proofErr w:type="spellStart"/>
      <w:r w:rsidRPr="00DE697E">
        <w:rPr>
          <w:bCs/>
          <w:sz w:val="20"/>
          <w:szCs w:val="20"/>
          <w:shd w:val="clear" w:color="auto" w:fill="FFFFFF"/>
        </w:rPr>
        <w:t>Zaigham</w:t>
      </w:r>
      <w:proofErr w:type="spellEnd"/>
      <w:r w:rsidRPr="00DE697E">
        <w:rPr>
          <w:bCs/>
          <w:sz w:val="20"/>
          <w:szCs w:val="20"/>
          <w:shd w:val="clear" w:color="auto" w:fill="FFFFFF"/>
        </w:rPr>
        <w:t xml:space="preserve"> K, MT </w:t>
      </w:r>
      <w:proofErr w:type="spellStart"/>
      <w:r w:rsidRPr="00DE697E">
        <w:rPr>
          <w:bCs/>
          <w:sz w:val="20"/>
          <w:szCs w:val="20"/>
          <w:shd w:val="clear" w:color="auto" w:fill="FFFFFF"/>
        </w:rPr>
        <w:t>Muneer</w:t>
      </w:r>
      <w:proofErr w:type="spellEnd"/>
      <w:r w:rsidR="000E3266" w:rsidRPr="00DE697E">
        <w:rPr>
          <w:bCs/>
          <w:sz w:val="20"/>
          <w:szCs w:val="20"/>
          <w:shd w:val="clear" w:color="auto" w:fill="FFFFFF"/>
        </w:rPr>
        <w:t xml:space="preserve">, MS </w:t>
      </w:r>
      <w:proofErr w:type="spellStart"/>
      <w:r w:rsidR="000E3266" w:rsidRPr="00DE697E">
        <w:rPr>
          <w:bCs/>
          <w:sz w:val="20"/>
          <w:szCs w:val="20"/>
          <w:shd w:val="clear" w:color="auto" w:fill="FFFFFF"/>
        </w:rPr>
        <w:t>Iqbal</w:t>
      </w:r>
      <w:proofErr w:type="spellEnd"/>
      <w:r w:rsidR="000E3266" w:rsidRPr="00DE697E">
        <w:rPr>
          <w:bCs/>
          <w:sz w:val="20"/>
          <w:szCs w:val="20"/>
          <w:shd w:val="clear" w:color="auto" w:fill="FFFFFF"/>
        </w:rPr>
        <w:t xml:space="preserve">, MN </w:t>
      </w:r>
      <w:proofErr w:type="spellStart"/>
      <w:r w:rsidR="000E3266" w:rsidRPr="00DE697E">
        <w:rPr>
          <w:bCs/>
          <w:sz w:val="20"/>
          <w:szCs w:val="20"/>
          <w:shd w:val="clear" w:color="auto" w:fill="FFFFFF"/>
        </w:rPr>
        <w:t>Hafeez</w:t>
      </w:r>
      <w:proofErr w:type="spellEnd"/>
      <w:r w:rsidRPr="00DE697E">
        <w:rPr>
          <w:bCs/>
          <w:sz w:val="20"/>
          <w:szCs w:val="20"/>
          <w:shd w:val="clear" w:color="auto" w:fill="FFFFFF"/>
        </w:rPr>
        <w:t xml:space="preserve"> </w:t>
      </w:r>
      <w:r w:rsidR="000E3266" w:rsidRPr="00DE697E">
        <w:rPr>
          <w:bCs/>
          <w:sz w:val="20"/>
          <w:szCs w:val="20"/>
          <w:shd w:val="clear" w:color="auto" w:fill="FFFFFF"/>
        </w:rPr>
        <w:t>and Q Ali</w:t>
      </w:r>
      <w:r w:rsidRPr="00DE697E">
        <w:rPr>
          <w:sz w:val="20"/>
          <w:szCs w:val="20"/>
          <w:shd w:val="clear" w:color="auto" w:fill="FFFFFF"/>
        </w:rPr>
        <w:t>.</w:t>
      </w:r>
      <w:proofErr w:type="gramEnd"/>
      <w:r w:rsidRPr="00DE697E">
        <w:rPr>
          <w:sz w:val="20"/>
          <w:szCs w:val="20"/>
          <w:shd w:val="clear" w:color="auto" w:fill="FFFFFF"/>
        </w:rPr>
        <w:t xml:space="preserve"> </w:t>
      </w:r>
      <w:proofErr w:type="gramStart"/>
      <w:r w:rsidR="004D5AF6" w:rsidRPr="00DE697E">
        <w:rPr>
          <w:b/>
          <w:bCs/>
          <w:sz w:val="20"/>
          <w:szCs w:val="20"/>
        </w:rPr>
        <w:t xml:space="preserve">Evaluation </w:t>
      </w:r>
      <w:r w:rsidRPr="00DE697E">
        <w:rPr>
          <w:b/>
          <w:bCs/>
          <w:sz w:val="20"/>
          <w:szCs w:val="20"/>
        </w:rPr>
        <w:t>of oxidative stress with chronic kidney disease.</w:t>
      </w:r>
      <w:proofErr w:type="gramEnd"/>
      <w:r w:rsidR="00DE697E" w:rsidRPr="00DE697E">
        <w:rPr>
          <w:bCs/>
          <w:i/>
          <w:sz w:val="20"/>
          <w:szCs w:val="20"/>
        </w:rPr>
        <w:t xml:space="preserve"> N Y </w:t>
      </w:r>
      <w:proofErr w:type="spellStart"/>
      <w:r w:rsidR="00DE697E" w:rsidRPr="00DE697E">
        <w:rPr>
          <w:bCs/>
          <w:i/>
          <w:sz w:val="20"/>
          <w:szCs w:val="20"/>
        </w:rPr>
        <w:t>Sci</w:t>
      </w:r>
      <w:proofErr w:type="spellEnd"/>
      <w:r w:rsidR="00DE697E" w:rsidRPr="00DE697E">
        <w:rPr>
          <w:bCs/>
          <w:i/>
          <w:sz w:val="20"/>
          <w:szCs w:val="20"/>
        </w:rPr>
        <w:t xml:space="preserve"> J</w:t>
      </w:r>
      <w:r w:rsidR="00DE697E" w:rsidRPr="00DE697E">
        <w:rPr>
          <w:bCs/>
          <w:sz w:val="20"/>
          <w:szCs w:val="20"/>
        </w:rPr>
        <w:t xml:space="preserve"> </w:t>
      </w:r>
      <w:r w:rsidR="00DE697E" w:rsidRPr="00DE697E">
        <w:rPr>
          <w:sz w:val="20"/>
          <w:szCs w:val="20"/>
        </w:rPr>
        <w:t>201</w:t>
      </w:r>
      <w:r w:rsidR="00DE697E" w:rsidRPr="00DE697E">
        <w:rPr>
          <w:rFonts w:hint="eastAsia"/>
          <w:sz w:val="20"/>
          <w:szCs w:val="20"/>
        </w:rPr>
        <w:t>5</w:t>
      </w:r>
      <w:r w:rsidR="00DE697E" w:rsidRPr="00DE697E">
        <w:rPr>
          <w:sz w:val="20"/>
          <w:szCs w:val="20"/>
        </w:rPr>
        <w:t>;</w:t>
      </w:r>
      <w:r w:rsidR="00DE697E" w:rsidRPr="00DE697E">
        <w:rPr>
          <w:rFonts w:hint="eastAsia"/>
          <w:sz w:val="20"/>
          <w:szCs w:val="20"/>
        </w:rPr>
        <w:t>8</w:t>
      </w:r>
      <w:r w:rsidR="00DE697E" w:rsidRPr="00DE697E">
        <w:rPr>
          <w:sz w:val="20"/>
          <w:szCs w:val="20"/>
        </w:rPr>
        <w:t>(</w:t>
      </w:r>
      <w:r w:rsidR="00DE697E" w:rsidRPr="00DE697E">
        <w:rPr>
          <w:rFonts w:hint="eastAsia"/>
          <w:sz w:val="20"/>
          <w:szCs w:val="20"/>
        </w:rPr>
        <w:t>3</w:t>
      </w:r>
      <w:r w:rsidR="00DE697E" w:rsidRPr="00DE697E">
        <w:rPr>
          <w:sz w:val="20"/>
          <w:szCs w:val="20"/>
        </w:rPr>
        <w:t>):</w:t>
      </w:r>
      <w:r w:rsidR="0004227A">
        <w:rPr>
          <w:noProof/>
          <w:color w:val="000000"/>
          <w:sz w:val="20"/>
          <w:szCs w:val="20"/>
        </w:rPr>
        <w:t>88</w:t>
      </w:r>
      <w:r w:rsidR="00DE697E" w:rsidRPr="00DE697E">
        <w:rPr>
          <w:color w:val="000000"/>
          <w:sz w:val="20"/>
          <w:szCs w:val="20"/>
        </w:rPr>
        <w:t>-</w:t>
      </w:r>
      <w:r w:rsidR="0004227A">
        <w:rPr>
          <w:noProof/>
          <w:color w:val="000000"/>
          <w:sz w:val="20"/>
          <w:szCs w:val="20"/>
        </w:rPr>
        <w:t>92</w:t>
      </w:r>
      <w:r w:rsidR="00DE697E" w:rsidRPr="00DE697E">
        <w:rPr>
          <w:sz w:val="20"/>
          <w:szCs w:val="20"/>
        </w:rPr>
        <w:t xml:space="preserve">]. (ISSN: 1554-0200). </w:t>
      </w:r>
      <w:hyperlink r:id="rId8" w:history="1">
        <w:r w:rsidR="00DE697E" w:rsidRPr="00DE697E">
          <w:rPr>
            <w:rStyle w:val="Hyperlink"/>
            <w:sz w:val="20"/>
            <w:szCs w:val="20"/>
          </w:rPr>
          <w:t>http://www.sciencepub.net/newyork</w:t>
        </w:r>
      </w:hyperlink>
      <w:r w:rsidR="00DE697E" w:rsidRPr="00DE697E">
        <w:rPr>
          <w:sz w:val="20"/>
          <w:szCs w:val="20"/>
        </w:rPr>
        <w:t xml:space="preserve">. </w:t>
      </w:r>
      <w:r w:rsidR="00DE697E">
        <w:rPr>
          <w:rFonts w:hint="eastAsia"/>
          <w:sz w:val="20"/>
          <w:szCs w:val="20"/>
          <w:lang w:eastAsia="zh-CN"/>
        </w:rPr>
        <w:t>15</w:t>
      </w:r>
    </w:p>
    <w:p w:rsidR="00DE697E" w:rsidRPr="00DE697E" w:rsidRDefault="00DE697E" w:rsidP="00DE697E">
      <w:pPr>
        <w:snapToGrid w:val="0"/>
        <w:jc w:val="both"/>
        <w:rPr>
          <w:b/>
          <w:bCs/>
          <w:sz w:val="20"/>
          <w:szCs w:val="20"/>
          <w:lang w:eastAsia="zh-CN"/>
        </w:rPr>
      </w:pPr>
    </w:p>
    <w:p w:rsidR="00047256" w:rsidRPr="00DE697E" w:rsidRDefault="00047256" w:rsidP="00DE697E">
      <w:pPr>
        <w:snapToGrid w:val="0"/>
        <w:jc w:val="both"/>
        <w:rPr>
          <w:color w:val="000000"/>
          <w:sz w:val="20"/>
          <w:szCs w:val="20"/>
        </w:rPr>
      </w:pPr>
      <w:r w:rsidRPr="00DE697E">
        <w:rPr>
          <w:b/>
          <w:bCs/>
          <w:sz w:val="20"/>
          <w:szCs w:val="20"/>
        </w:rPr>
        <w:t>Keywords</w:t>
      </w:r>
      <w:r w:rsidRPr="00DE697E">
        <w:rPr>
          <w:sz w:val="20"/>
          <w:szCs w:val="20"/>
        </w:rPr>
        <w:t xml:space="preserve">: </w:t>
      </w:r>
      <w:r w:rsidR="007362C4" w:rsidRPr="00DE697E">
        <w:rPr>
          <w:sz w:val="20"/>
          <w:szCs w:val="20"/>
        </w:rPr>
        <w:t xml:space="preserve">Chronic Kidney Disease </w:t>
      </w:r>
      <w:r w:rsidRPr="00DE697E">
        <w:rPr>
          <w:sz w:val="20"/>
          <w:szCs w:val="20"/>
        </w:rPr>
        <w:t>(CDK)</w:t>
      </w:r>
      <w:r w:rsidR="007362C4" w:rsidRPr="00DE697E">
        <w:rPr>
          <w:sz w:val="20"/>
          <w:szCs w:val="20"/>
        </w:rPr>
        <w:t xml:space="preserve">, </w:t>
      </w:r>
      <w:r w:rsidR="007362C4" w:rsidRPr="00DE697E">
        <w:rPr>
          <w:color w:val="000000"/>
          <w:sz w:val="20"/>
          <w:szCs w:val="20"/>
        </w:rPr>
        <w:t xml:space="preserve">Oxidative stress, </w:t>
      </w:r>
      <w:proofErr w:type="spellStart"/>
      <w:r w:rsidR="007362C4" w:rsidRPr="00DE697E">
        <w:rPr>
          <w:color w:val="000000"/>
          <w:sz w:val="20"/>
          <w:szCs w:val="20"/>
        </w:rPr>
        <w:t>catalase</w:t>
      </w:r>
      <w:proofErr w:type="spellEnd"/>
      <w:r w:rsidR="007362C4" w:rsidRPr="00DE697E">
        <w:rPr>
          <w:color w:val="000000"/>
          <w:sz w:val="20"/>
          <w:szCs w:val="20"/>
        </w:rPr>
        <w:t xml:space="preserve">, </w:t>
      </w:r>
      <w:proofErr w:type="spellStart"/>
      <w:r w:rsidR="007362C4" w:rsidRPr="00DE697E">
        <w:rPr>
          <w:color w:val="000000"/>
          <w:sz w:val="20"/>
          <w:szCs w:val="20"/>
        </w:rPr>
        <w:t>redox</w:t>
      </w:r>
      <w:proofErr w:type="spellEnd"/>
      <w:r w:rsidR="007362C4" w:rsidRPr="00DE697E">
        <w:rPr>
          <w:color w:val="000000"/>
          <w:sz w:val="20"/>
          <w:szCs w:val="20"/>
        </w:rPr>
        <w:t xml:space="preserve">, </w:t>
      </w:r>
      <w:proofErr w:type="spellStart"/>
      <w:r w:rsidR="007362C4" w:rsidRPr="00DE697E">
        <w:rPr>
          <w:color w:val="000000"/>
          <w:sz w:val="20"/>
          <w:szCs w:val="20"/>
        </w:rPr>
        <w:t>creatinine</w:t>
      </w:r>
      <w:proofErr w:type="spellEnd"/>
    </w:p>
    <w:p w:rsidR="00DE697E" w:rsidRDefault="00DE697E" w:rsidP="00DE697E">
      <w:pPr>
        <w:autoSpaceDE w:val="0"/>
        <w:autoSpaceDN w:val="0"/>
        <w:adjustRightInd w:val="0"/>
        <w:snapToGrid w:val="0"/>
        <w:jc w:val="both"/>
        <w:rPr>
          <w:b/>
          <w:bCs/>
          <w:sz w:val="20"/>
          <w:szCs w:val="20"/>
        </w:rPr>
      </w:pPr>
    </w:p>
    <w:p w:rsidR="00DE697E" w:rsidRPr="00DE697E" w:rsidRDefault="00DE697E" w:rsidP="00DE697E">
      <w:pPr>
        <w:autoSpaceDE w:val="0"/>
        <w:autoSpaceDN w:val="0"/>
        <w:adjustRightInd w:val="0"/>
        <w:snapToGrid w:val="0"/>
        <w:jc w:val="both"/>
        <w:rPr>
          <w:b/>
          <w:bCs/>
          <w:sz w:val="20"/>
          <w:szCs w:val="20"/>
        </w:rPr>
        <w:sectPr w:rsidR="00DE697E" w:rsidRPr="00DE697E" w:rsidSect="0004227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8"/>
          <w:cols w:space="720"/>
          <w:docGrid w:linePitch="360"/>
        </w:sectPr>
      </w:pPr>
    </w:p>
    <w:p w:rsidR="00047256" w:rsidRPr="00DE697E" w:rsidRDefault="00057F37" w:rsidP="00DE697E">
      <w:pPr>
        <w:autoSpaceDE w:val="0"/>
        <w:autoSpaceDN w:val="0"/>
        <w:adjustRightInd w:val="0"/>
        <w:snapToGrid w:val="0"/>
        <w:jc w:val="both"/>
        <w:rPr>
          <w:bCs/>
          <w:sz w:val="20"/>
          <w:szCs w:val="20"/>
        </w:rPr>
      </w:pPr>
      <w:r w:rsidRPr="00DE697E">
        <w:rPr>
          <w:b/>
          <w:bCs/>
          <w:sz w:val="20"/>
          <w:szCs w:val="20"/>
        </w:rPr>
        <w:lastRenderedPageBreak/>
        <w:t>Introduction</w:t>
      </w:r>
    </w:p>
    <w:p w:rsidR="00047256" w:rsidRPr="00DE697E" w:rsidRDefault="00047256" w:rsidP="00DE697E">
      <w:pPr>
        <w:snapToGrid w:val="0"/>
        <w:ind w:firstLine="425"/>
        <w:jc w:val="both"/>
        <w:rPr>
          <w:sz w:val="20"/>
          <w:szCs w:val="20"/>
        </w:rPr>
      </w:pPr>
      <w:r w:rsidRPr="00DE697E">
        <w:rPr>
          <w:sz w:val="20"/>
          <w:szCs w:val="20"/>
        </w:rPr>
        <w:t xml:space="preserve">Renal failure or kidney failure formerly called renal insufficiency which describes a medical condition in which kidney fails to adequately filter toxin and waste product from the blood [1]. Chronic renal failure (CRF) </w:t>
      </w:r>
      <w:proofErr w:type="gramStart"/>
      <w:r w:rsidRPr="00DE697E">
        <w:rPr>
          <w:sz w:val="20"/>
          <w:szCs w:val="20"/>
        </w:rPr>
        <w:t>effects</w:t>
      </w:r>
      <w:proofErr w:type="gramEnd"/>
      <w:r w:rsidRPr="00DE697E">
        <w:rPr>
          <w:sz w:val="20"/>
          <w:szCs w:val="20"/>
        </w:rPr>
        <w:t xml:space="preserve"> the kidney more slowly. CRF may be due to primary kidney diseases such as </w:t>
      </w:r>
      <w:proofErr w:type="spellStart"/>
      <w:r w:rsidRPr="00DE697E">
        <w:rPr>
          <w:sz w:val="20"/>
          <w:szCs w:val="20"/>
        </w:rPr>
        <w:t>glomerular</w:t>
      </w:r>
      <w:proofErr w:type="spellEnd"/>
      <w:r w:rsidRPr="00DE697E">
        <w:rPr>
          <w:sz w:val="20"/>
          <w:szCs w:val="20"/>
        </w:rPr>
        <w:t xml:space="preserve"> nephritis and renal artery </w:t>
      </w:r>
      <w:proofErr w:type="spellStart"/>
      <w:r w:rsidRPr="00DE697E">
        <w:rPr>
          <w:sz w:val="20"/>
          <w:szCs w:val="20"/>
        </w:rPr>
        <w:t>stenosis</w:t>
      </w:r>
      <w:proofErr w:type="spellEnd"/>
      <w:r w:rsidRPr="00DE697E">
        <w:rPr>
          <w:sz w:val="20"/>
          <w:szCs w:val="20"/>
        </w:rPr>
        <w:t xml:space="preserve">, diabetes or hypertension. If left untreated, kidney function will further deteriorates as indicated by a fall in </w:t>
      </w:r>
      <w:proofErr w:type="spellStart"/>
      <w:r w:rsidRPr="00DE697E">
        <w:rPr>
          <w:sz w:val="20"/>
          <w:szCs w:val="20"/>
        </w:rPr>
        <w:t>glomerular</w:t>
      </w:r>
      <w:proofErr w:type="spellEnd"/>
      <w:r w:rsidRPr="00DE697E">
        <w:rPr>
          <w:sz w:val="20"/>
          <w:szCs w:val="20"/>
        </w:rPr>
        <w:t xml:space="preserve"> filtration rate and finally End Stage Renal Failure ESRF [2].</w:t>
      </w:r>
    </w:p>
    <w:p w:rsidR="00047256" w:rsidRPr="00DE697E" w:rsidRDefault="00047256" w:rsidP="00DE697E">
      <w:pPr>
        <w:snapToGrid w:val="0"/>
        <w:ind w:firstLine="425"/>
        <w:jc w:val="both"/>
        <w:rPr>
          <w:sz w:val="20"/>
          <w:szCs w:val="20"/>
        </w:rPr>
      </w:pPr>
      <w:r w:rsidRPr="00DE697E">
        <w:rPr>
          <w:sz w:val="20"/>
          <w:szCs w:val="20"/>
        </w:rPr>
        <w:t>Chronic renal failure (CRF) has numerous causes; the most common is diabetes mellitus. The second most common is long-standing, uncontrolled hypertension or high blood pressure. Polycystic kidney disease is another well-known cause of CRF. The majority of people afflicted with polycystic kidney disease have a family history of the disease. Other genetic illnesses affect kidney function as well. Over use of common drugs such as aspirin, Ibuprofen and acetaminophen (</w:t>
      </w:r>
      <w:proofErr w:type="spellStart"/>
      <w:r w:rsidRPr="00DE697E">
        <w:rPr>
          <w:sz w:val="20"/>
          <w:szCs w:val="20"/>
        </w:rPr>
        <w:t>paracetamol</w:t>
      </w:r>
      <w:proofErr w:type="spellEnd"/>
      <w:r w:rsidRPr="00DE697E">
        <w:rPr>
          <w:sz w:val="20"/>
          <w:szCs w:val="20"/>
        </w:rPr>
        <w:t>) can also cause chronic kidney damage [</w:t>
      </w:r>
      <w:r w:rsidRPr="00DE697E">
        <w:rPr>
          <w:rStyle w:val="citationjournal"/>
          <w:sz w:val="20"/>
          <w:szCs w:val="20"/>
        </w:rPr>
        <w:t xml:space="preserve">3]. </w:t>
      </w:r>
      <w:r w:rsidRPr="00DE697E">
        <w:rPr>
          <w:sz w:val="20"/>
          <w:szCs w:val="20"/>
        </w:rPr>
        <w:t xml:space="preserve">A progressive renal failure gives rise to steady increase in parathyroid hormone. After year of a chronic renal failure secondary hyperparathyroidism would increase in bone turn over leading to elevated serum alkaline </w:t>
      </w:r>
      <w:proofErr w:type="spellStart"/>
      <w:r w:rsidRPr="00DE697E">
        <w:rPr>
          <w:sz w:val="20"/>
          <w:szCs w:val="20"/>
        </w:rPr>
        <w:t>phosphatase</w:t>
      </w:r>
      <w:proofErr w:type="spellEnd"/>
      <w:r w:rsidRPr="00DE697E">
        <w:rPr>
          <w:sz w:val="20"/>
          <w:szCs w:val="20"/>
        </w:rPr>
        <w:t xml:space="preserve"> [4].</w:t>
      </w:r>
      <w:r w:rsidR="00057F37" w:rsidRPr="00DE697E">
        <w:rPr>
          <w:sz w:val="20"/>
          <w:szCs w:val="20"/>
        </w:rPr>
        <w:t xml:space="preserve"> </w:t>
      </w:r>
      <w:r w:rsidRPr="00DE697E">
        <w:rPr>
          <w:sz w:val="20"/>
          <w:szCs w:val="20"/>
        </w:rPr>
        <w:t xml:space="preserve">There is considerable disequilibrium between oxidants and anti-oxidants in patients with chronic renal insufficiency (CRI). Evidence suggests that ROS are not merely the consequence of treatment or progress of the disease but one of the </w:t>
      </w:r>
      <w:r w:rsidRPr="00DE697E">
        <w:rPr>
          <w:sz w:val="20"/>
          <w:szCs w:val="20"/>
        </w:rPr>
        <w:lastRenderedPageBreak/>
        <w:t xml:space="preserve">causal agents of CRI, and that oxidative stress (OS) can take place even in the absence of </w:t>
      </w:r>
      <w:proofErr w:type="spellStart"/>
      <w:r w:rsidRPr="00DE697E">
        <w:rPr>
          <w:sz w:val="20"/>
          <w:szCs w:val="20"/>
        </w:rPr>
        <w:t>hemodialysis</w:t>
      </w:r>
      <w:proofErr w:type="spellEnd"/>
      <w:r w:rsidRPr="00DE697E">
        <w:rPr>
          <w:sz w:val="20"/>
          <w:szCs w:val="20"/>
        </w:rPr>
        <w:t>. Patients with uremia have diminished response to OS due, probably, to a decrease in the antioxidant capacity; the mechanisms underlying this decrease, however, are not well established [5].</w:t>
      </w:r>
    </w:p>
    <w:p w:rsidR="00047256" w:rsidRDefault="00047256" w:rsidP="00DE697E">
      <w:pPr>
        <w:snapToGrid w:val="0"/>
        <w:ind w:firstLine="425"/>
        <w:jc w:val="both"/>
        <w:rPr>
          <w:sz w:val="20"/>
          <w:szCs w:val="20"/>
          <w:lang w:eastAsia="zh-CN"/>
        </w:rPr>
      </w:pPr>
      <w:r w:rsidRPr="00DE697E">
        <w:rPr>
          <w:color w:val="000000"/>
          <w:sz w:val="20"/>
          <w:szCs w:val="20"/>
        </w:rPr>
        <w:t>Recently, it was suggested that patients with CKD are exposed to other nontraditional uremia-related risk factors, such as anemia, altered calcium-phosphorus metabolism, inflammation, malnutrition, and oxidative stress [</w:t>
      </w:r>
      <w:r w:rsidRPr="00DE697E">
        <w:rPr>
          <w:sz w:val="20"/>
          <w:szCs w:val="20"/>
        </w:rPr>
        <w:t>6</w:t>
      </w:r>
      <w:r w:rsidRPr="00DE697E">
        <w:rPr>
          <w:color w:val="000000"/>
          <w:sz w:val="20"/>
          <w:szCs w:val="20"/>
        </w:rPr>
        <w:t>].</w:t>
      </w:r>
      <w:r w:rsidRPr="00DE697E">
        <w:rPr>
          <w:color w:val="000064"/>
          <w:sz w:val="20"/>
          <w:szCs w:val="20"/>
        </w:rPr>
        <w:t xml:space="preserve"> </w:t>
      </w:r>
      <w:r w:rsidR="00057F37" w:rsidRPr="00DE697E">
        <w:rPr>
          <w:sz w:val="20"/>
          <w:szCs w:val="20"/>
        </w:rPr>
        <w:t xml:space="preserve"> </w:t>
      </w:r>
      <w:r w:rsidRPr="00DE697E">
        <w:rPr>
          <w:sz w:val="20"/>
          <w:szCs w:val="20"/>
        </w:rPr>
        <w:t xml:space="preserve">Oxidative stress takes place when oxidant production exceeds local antioxidant capacity, resulting in increased oxidation of important macromolecules, including proteins, lipids, carbohydrates, and damage of DNA structure. Oxidative stress was proposed to have a pivotal role in the </w:t>
      </w:r>
      <w:proofErr w:type="spellStart"/>
      <w:r w:rsidRPr="00DE697E">
        <w:rPr>
          <w:sz w:val="20"/>
          <w:szCs w:val="20"/>
        </w:rPr>
        <w:t>pathophysiological</w:t>
      </w:r>
      <w:proofErr w:type="spellEnd"/>
      <w:r w:rsidRPr="00DE697E">
        <w:rPr>
          <w:color w:val="000000"/>
          <w:sz w:val="20"/>
          <w:szCs w:val="20"/>
        </w:rPr>
        <w:t xml:space="preserve"> process of uremia and its complications, including </w:t>
      </w:r>
      <w:r w:rsidR="00610353" w:rsidRPr="00DE697E">
        <w:rPr>
          <w:color w:val="000000"/>
          <w:sz w:val="20"/>
          <w:szCs w:val="20"/>
        </w:rPr>
        <w:t>cardiovascular disease (</w:t>
      </w:r>
      <w:r w:rsidRPr="00DE697E">
        <w:rPr>
          <w:color w:val="000000"/>
          <w:sz w:val="20"/>
          <w:szCs w:val="20"/>
        </w:rPr>
        <w:t>CVD</w:t>
      </w:r>
      <w:r w:rsidR="00610353" w:rsidRPr="00DE697E">
        <w:rPr>
          <w:color w:val="000000"/>
          <w:sz w:val="20"/>
          <w:szCs w:val="20"/>
        </w:rPr>
        <w:t>)</w:t>
      </w:r>
      <w:r w:rsidRPr="00DE697E">
        <w:rPr>
          <w:color w:val="000000"/>
          <w:sz w:val="20"/>
          <w:szCs w:val="20"/>
        </w:rPr>
        <w:t xml:space="preserve"> [</w:t>
      </w:r>
      <w:r w:rsidRPr="00DE697E">
        <w:rPr>
          <w:sz w:val="20"/>
          <w:szCs w:val="20"/>
        </w:rPr>
        <w:t>7].</w:t>
      </w:r>
      <w:r w:rsidRPr="00DE697E">
        <w:rPr>
          <w:color w:val="000064"/>
          <w:sz w:val="20"/>
          <w:szCs w:val="20"/>
        </w:rPr>
        <w:t xml:space="preserve"> </w:t>
      </w:r>
      <w:r w:rsidRPr="00DE697E">
        <w:rPr>
          <w:sz w:val="20"/>
          <w:szCs w:val="20"/>
        </w:rPr>
        <w:t xml:space="preserve">Superoxide dismutase (SOD) and </w:t>
      </w:r>
      <w:proofErr w:type="spellStart"/>
      <w:r w:rsidRPr="00DE697E">
        <w:rPr>
          <w:sz w:val="20"/>
          <w:szCs w:val="20"/>
        </w:rPr>
        <w:t>catalase</w:t>
      </w:r>
      <w:proofErr w:type="spellEnd"/>
      <w:r w:rsidRPr="00DE697E">
        <w:rPr>
          <w:sz w:val="20"/>
          <w:szCs w:val="20"/>
        </w:rPr>
        <w:t xml:space="preserve"> are the most important enzymatic antioxidant systems in the body. SOD, as the first and most important line of defense against reactive oxygen metabolites (ROM), transforms superoxide ion to H</w:t>
      </w:r>
      <w:r w:rsidRPr="00DE697E">
        <w:rPr>
          <w:sz w:val="20"/>
          <w:szCs w:val="20"/>
          <w:vertAlign w:val="subscript"/>
        </w:rPr>
        <w:t>2</w:t>
      </w:r>
      <w:r w:rsidRPr="00DE697E">
        <w:rPr>
          <w:sz w:val="20"/>
          <w:szCs w:val="20"/>
        </w:rPr>
        <w:t>O</w:t>
      </w:r>
      <w:r w:rsidRPr="00DE697E">
        <w:rPr>
          <w:sz w:val="20"/>
          <w:szCs w:val="20"/>
          <w:vertAlign w:val="subscript"/>
        </w:rPr>
        <w:t>2</w:t>
      </w:r>
      <w:r w:rsidRPr="00DE697E">
        <w:rPr>
          <w:sz w:val="20"/>
          <w:szCs w:val="20"/>
        </w:rPr>
        <w:t xml:space="preserve"> that is a less reactive molecule [8].</w:t>
      </w:r>
    </w:p>
    <w:p w:rsidR="00DE697E" w:rsidRPr="00DE697E" w:rsidRDefault="00DE697E" w:rsidP="00DE697E">
      <w:pPr>
        <w:snapToGrid w:val="0"/>
        <w:ind w:firstLine="425"/>
        <w:jc w:val="both"/>
        <w:rPr>
          <w:sz w:val="20"/>
          <w:szCs w:val="20"/>
          <w:lang w:eastAsia="zh-CN"/>
        </w:rPr>
      </w:pPr>
    </w:p>
    <w:p w:rsidR="00047256" w:rsidRPr="00DE697E" w:rsidRDefault="00057F37" w:rsidP="00DE697E">
      <w:pPr>
        <w:autoSpaceDE w:val="0"/>
        <w:autoSpaceDN w:val="0"/>
        <w:adjustRightInd w:val="0"/>
        <w:snapToGrid w:val="0"/>
        <w:jc w:val="both"/>
        <w:rPr>
          <w:b/>
          <w:sz w:val="20"/>
          <w:szCs w:val="20"/>
        </w:rPr>
      </w:pPr>
      <w:r w:rsidRPr="00DE697E">
        <w:rPr>
          <w:b/>
          <w:sz w:val="20"/>
          <w:szCs w:val="20"/>
        </w:rPr>
        <w:t>Material and methods</w:t>
      </w:r>
    </w:p>
    <w:p w:rsidR="00047256" w:rsidRDefault="00047256" w:rsidP="00DE697E">
      <w:pPr>
        <w:snapToGrid w:val="0"/>
        <w:ind w:firstLine="425"/>
        <w:jc w:val="both"/>
        <w:rPr>
          <w:sz w:val="20"/>
          <w:szCs w:val="20"/>
          <w:lang w:eastAsia="zh-CN"/>
        </w:rPr>
      </w:pPr>
      <w:r w:rsidRPr="00DE697E">
        <w:rPr>
          <w:sz w:val="20"/>
          <w:szCs w:val="20"/>
        </w:rPr>
        <w:t xml:space="preserve">In this study, 25 patients with moderate chronic kidney disease and 25 with severe chronic kidney disease patients along with 25 control subjects were taken. Patients with chronic kidney disease (CKD) were chosen from the outpatient clinic of kidney in Mayo Hospital. Blood taken was subjected to </w:t>
      </w:r>
      <w:r w:rsidRPr="00DE697E">
        <w:rPr>
          <w:sz w:val="20"/>
          <w:szCs w:val="20"/>
        </w:rPr>
        <w:lastRenderedPageBreak/>
        <w:t xml:space="preserve">centrifugation in order to separate serum within one hour after collection of blood. The sample was processed and analyzed for the estimation of renal parameters (urea, </w:t>
      </w:r>
      <w:proofErr w:type="spellStart"/>
      <w:r w:rsidRPr="00DE697E">
        <w:rPr>
          <w:sz w:val="20"/>
          <w:szCs w:val="20"/>
        </w:rPr>
        <w:t>creatinine</w:t>
      </w:r>
      <w:proofErr w:type="spellEnd"/>
      <w:r w:rsidRPr="00DE697E">
        <w:rPr>
          <w:sz w:val="20"/>
          <w:szCs w:val="20"/>
        </w:rPr>
        <w:t xml:space="preserve"> and uric acid), lipid </w:t>
      </w:r>
      <w:proofErr w:type="spellStart"/>
      <w:r w:rsidRPr="00DE697E">
        <w:rPr>
          <w:sz w:val="20"/>
          <w:szCs w:val="20"/>
        </w:rPr>
        <w:t>peroxidation</w:t>
      </w:r>
      <w:proofErr w:type="spellEnd"/>
      <w:r w:rsidRPr="00DE697E">
        <w:rPr>
          <w:sz w:val="20"/>
          <w:szCs w:val="20"/>
        </w:rPr>
        <w:t xml:space="preserve"> (LPO), </w:t>
      </w:r>
      <w:proofErr w:type="gramStart"/>
      <w:r w:rsidRPr="00DE697E">
        <w:rPr>
          <w:sz w:val="20"/>
          <w:szCs w:val="20"/>
        </w:rPr>
        <w:t>antioxidant</w:t>
      </w:r>
      <w:proofErr w:type="gramEnd"/>
      <w:r w:rsidRPr="00DE697E">
        <w:rPr>
          <w:sz w:val="20"/>
          <w:szCs w:val="20"/>
        </w:rPr>
        <w:t xml:space="preserve"> enzymes activity (SOD, </w:t>
      </w:r>
      <w:proofErr w:type="spellStart"/>
      <w:r w:rsidRPr="00DE697E">
        <w:rPr>
          <w:sz w:val="20"/>
          <w:szCs w:val="20"/>
        </w:rPr>
        <w:t>Catalase</w:t>
      </w:r>
      <w:proofErr w:type="spellEnd"/>
      <w:r w:rsidRPr="00DE697E">
        <w:rPr>
          <w:sz w:val="20"/>
          <w:szCs w:val="20"/>
        </w:rPr>
        <w:t xml:space="preserve"> and Glutathione). Renal </w:t>
      </w:r>
      <w:proofErr w:type="gramStart"/>
      <w:r w:rsidRPr="00DE697E">
        <w:rPr>
          <w:sz w:val="20"/>
          <w:szCs w:val="20"/>
        </w:rPr>
        <w:t xml:space="preserve">parameters (urea, </w:t>
      </w:r>
      <w:proofErr w:type="spellStart"/>
      <w:r w:rsidRPr="00DE697E">
        <w:rPr>
          <w:sz w:val="20"/>
          <w:szCs w:val="20"/>
        </w:rPr>
        <w:t>creatinine</w:t>
      </w:r>
      <w:proofErr w:type="spellEnd"/>
      <w:r w:rsidRPr="00DE697E">
        <w:rPr>
          <w:sz w:val="20"/>
          <w:szCs w:val="20"/>
        </w:rPr>
        <w:t xml:space="preserve"> and uric acid) was</w:t>
      </w:r>
      <w:proofErr w:type="gramEnd"/>
      <w:r w:rsidRPr="00DE697E">
        <w:rPr>
          <w:sz w:val="20"/>
          <w:szCs w:val="20"/>
        </w:rPr>
        <w:t xml:space="preserve"> measured by the enzymatic kit method. GSH count was assessed by the method of </w:t>
      </w:r>
      <w:proofErr w:type="spellStart"/>
      <w:r w:rsidRPr="00DE697E">
        <w:rPr>
          <w:color w:val="000000"/>
          <w:sz w:val="20"/>
          <w:szCs w:val="20"/>
        </w:rPr>
        <w:t>Tietze</w:t>
      </w:r>
      <w:proofErr w:type="spellEnd"/>
      <w:r w:rsidRPr="00DE697E">
        <w:rPr>
          <w:color w:val="000000"/>
          <w:sz w:val="20"/>
          <w:szCs w:val="20"/>
        </w:rPr>
        <w:t xml:space="preserve"> [9]. </w:t>
      </w:r>
      <w:proofErr w:type="spellStart"/>
      <w:r w:rsidRPr="00DE697E">
        <w:rPr>
          <w:color w:val="000000"/>
          <w:sz w:val="20"/>
          <w:szCs w:val="20"/>
        </w:rPr>
        <w:t>Catalase</w:t>
      </w:r>
      <w:proofErr w:type="spellEnd"/>
      <w:r w:rsidRPr="00DE697E">
        <w:rPr>
          <w:color w:val="000000"/>
          <w:sz w:val="20"/>
          <w:szCs w:val="20"/>
        </w:rPr>
        <w:t xml:space="preserve"> activity was measured by </w:t>
      </w:r>
      <w:r w:rsidRPr="00DE697E">
        <w:rPr>
          <w:sz w:val="20"/>
          <w:szCs w:val="20"/>
        </w:rPr>
        <w:t xml:space="preserve">the method of </w:t>
      </w:r>
      <w:proofErr w:type="spellStart"/>
      <w:r w:rsidRPr="00DE697E">
        <w:rPr>
          <w:sz w:val="20"/>
          <w:szCs w:val="20"/>
        </w:rPr>
        <w:t>Aebi</w:t>
      </w:r>
      <w:proofErr w:type="spellEnd"/>
      <w:r w:rsidRPr="00DE697E">
        <w:rPr>
          <w:sz w:val="20"/>
          <w:szCs w:val="20"/>
        </w:rPr>
        <w:t xml:space="preserve"> </w:t>
      </w:r>
      <w:r w:rsidR="00B24421" w:rsidRPr="00DE697E">
        <w:rPr>
          <w:i/>
          <w:iCs/>
          <w:sz w:val="20"/>
          <w:szCs w:val="20"/>
        </w:rPr>
        <w:t>et al</w:t>
      </w:r>
      <w:r w:rsidRPr="00DE697E">
        <w:rPr>
          <w:sz w:val="20"/>
          <w:szCs w:val="20"/>
        </w:rPr>
        <w:t xml:space="preserve">. [10]. </w:t>
      </w:r>
      <w:r w:rsidRPr="00DE697E">
        <w:rPr>
          <w:sz w:val="20"/>
          <w:szCs w:val="20"/>
        </w:rPr>
        <w:lastRenderedPageBreak/>
        <w:t xml:space="preserve">Superoxide dismutase (SOD) activity was determined by the method of </w:t>
      </w:r>
      <w:proofErr w:type="spellStart"/>
      <w:r w:rsidRPr="00DE697E">
        <w:rPr>
          <w:sz w:val="20"/>
          <w:szCs w:val="20"/>
        </w:rPr>
        <w:t>Kakkar</w:t>
      </w:r>
      <w:proofErr w:type="spellEnd"/>
      <w:r w:rsidRPr="00DE697E">
        <w:rPr>
          <w:sz w:val="20"/>
          <w:szCs w:val="20"/>
        </w:rPr>
        <w:t xml:space="preserve"> [11]. </w:t>
      </w:r>
      <w:proofErr w:type="spellStart"/>
      <w:r w:rsidRPr="00DE697E">
        <w:rPr>
          <w:sz w:val="20"/>
          <w:szCs w:val="20"/>
        </w:rPr>
        <w:t>Malondialdehyde</w:t>
      </w:r>
      <w:proofErr w:type="spellEnd"/>
      <w:r w:rsidRPr="00DE697E">
        <w:rPr>
          <w:sz w:val="20"/>
          <w:szCs w:val="20"/>
        </w:rPr>
        <w:t xml:space="preserve"> (MDA) in tissue was estimated by the method of </w:t>
      </w:r>
      <w:proofErr w:type="spellStart"/>
      <w:r w:rsidR="009157DD" w:rsidRPr="00DE697E">
        <w:rPr>
          <w:sz w:val="20"/>
          <w:szCs w:val="20"/>
        </w:rPr>
        <w:t>Ohkawa</w:t>
      </w:r>
      <w:proofErr w:type="spellEnd"/>
      <w:r w:rsidR="009157DD" w:rsidRPr="00DE697E">
        <w:rPr>
          <w:sz w:val="20"/>
          <w:szCs w:val="20"/>
        </w:rPr>
        <w:t xml:space="preserve"> </w:t>
      </w:r>
      <w:r w:rsidRPr="00DE697E">
        <w:rPr>
          <w:sz w:val="20"/>
          <w:szCs w:val="20"/>
        </w:rPr>
        <w:t xml:space="preserve">[12]. Measurements were made </w:t>
      </w:r>
      <w:proofErr w:type="spellStart"/>
      <w:r w:rsidRPr="00DE697E">
        <w:rPr>
          <w:sz w:val="20"/>
          <w:szCs w:val="20"/>
        </w:rPr>
        <w:t>spectrophotometrically</w:t>
      </w:r>
      <w:proofErr w:type="spellEnd"/>
      <w:r w:rsidRPr="00DE697E">
        <w:rPr>
          <w:sz w:val="20"/>
          <w:szCs w:val="20"/>
        </w:rPr>
        <w:t>. Oxidative stress parameters (</w:t>
      </w:r>
      <w:proofErr w:type="spellStart"/>
      <w:r w:rsidRPr="00DE697E">
        <w:rPr>
          <w:sz w:val="20"/>
          <w:szCs w:val="20"/>
        </w:rPr>
        <w:t>catalase</w:t>
      </w:r>
      <w:proofErr w:type="spellEnd"/>
      <w:r w:rsidRPr="00DE697E">
        <w:rPr>
          <w:sz w:val="20"/>
          <w:szCs w:val="20"/>
        </w:rPr>
        <w:t xml:space="preserve">, SOD, GSH and MDA) and renal parameters (urea, </w:t>
      </w:r>
      <w:proofErr w:type="spellStart"/>
      <w:r w:rsidRPr="00DE697E">
        <w:rPr>
          <w:sz w:val="20"/>
          <w:szCs w:val="20"/>
        </w:rPr>
        <w:t>creatinine</w:t>
      </w:r>
      <w:proofErr w:type="spellEnd"/>
      <w:r w:rsidRPr="00DE697E">
        <w:rPr>
          <w:sz w:val="20"/>
          <w:szCs w:val="20"/>
        </w:rPr>
        <w:t xml:space="preserve"> and uric acid) in the control group were compared with the same parameters of blood samples of moderate and severe CKD. In statistical analysis, SPSS </w:t>
      </w:r>
      <w:r w:rsidR="00B24421" w:rsidRPr="00DE697E">
        <w:rPr>
          <w:sz w:val="20"/>
          <w:szCs w:val="20"/>
        </w:rPr>
        <w:t>software was used</w:t>
      </w:r>
      <w:r w:rsidRPr="00DE697E">
        <w:rPr>
          <w:sz w:val="20"/>
          <w:szCs w:val="20"/>
        </w:rPr>
        <w:t>.</w:t>
      </w:r>
    </w:p>
    <w:p w:rsidR="00DE697E" w:rsidRPr="00DE697E" w:rsidRDefault="00DE697E" w:rsidP="00DE697E">
      <w:pPr>
        <w:snapToGrid w:val="0"/>
        <w:jc w:val="both"/>
        <w:rPr>
          <w:b/>
          <w:sz w:val="20"/>
          <w:szCs w:val="20"/>
        </w:rPr>
        <w:sectPr w:rsidR="00DE697E" w:rsidRPr="00DE697E" w:rsidSect="00782626">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DE697E" w:rsidRPr="00DE697E" w:rsidRDefault="00DE697E" w:rsidP="00DE697E">
      <w:pPr>
        <w:snapToGrid w:val="0"/>
        <w:jc w:val="center"/>
        <w:rPr>
          <w:b/>
          <w:sz w:val="20"/>
          <w:szCs w:val="20"/>
          <w:lang w:eastAsia="zh-CN"/>
        </w:rPr>
      </w:pPr>
    </w:p>
    <w:p w:rsidR="00047256" w:rsidRPr="00DE697E" w:rsidRDefault="00160832" w:rsidP="00DE697E">
      <w:pPr>
        <w:snapToGrid w:val="0"/>
        <w:jc w:val="center"/>
        <w:rPr>
          <w:b/>
          <w:sz w:val="19"/>
          <w:szCs w:val="19"/>
        </w:rPr>
      </w:pPr>
      <w:r w:rsidRPr="00DE697E">
        <w:rPr>
          <w:b/>
          <w:sz w:val="19"/>
          <w:szCs w:val="19"/>
        </w:rPr>
        <w:t xml:space="preserve">Table </w:t>
      </w:r>
      <w:r w:rsidR="00047256" w:rsidRPr="00DE697E">
        <w:rPr>
          <w:b/>
          <w:sz w:val="19"/>
          <w:szCs w:val="19"/>
        </w:rPr>
        <w:t xml:space="preserve">I: </w:t>
      </w:r>
      <w:r w:rsidRPr="00DE697E">
        <w:rPr>
          <w:b/>
          <w:sz w:val="19"/>
          <w:szCs w:val="19"/>
        </w:rPr>
        <w:t xml:space="preserve">Descriptive Statistics (Mean </w:t>
      </w:r>
      <w:r w:rsidR="00047256" w:rsidRPr="00DE697E">
        <w:rPr>
          <w:b/>
          <w:sz w:val="19"/>
          <w:szCs w:val="19"/>
        </w:rPr>
        <w:t>± SD)</w:t>
      </w:r>
    </w:p>
    <w:p w:rsidR="00047256" w:rsidRPr="00DE697E" w:rsidRDefault="00160832" w:rsidP="00DE697E">
      <w:pPr>
        <w:snapToGrid w:val="0"/>
        <w:jc w:val="both"/>
        <w:rPr>
          <w:b/>
          <w:sz w:val="19"/>
          <w:szCs w:val="19"/>
        </w:rPr>
      </w:pPr>
      <w:r w:rsidRPr="00DE697E">
        <w:rPr>
          <w:b/>
          <w:sz w:val="19"/>
          <w:szCs w:val="19"/>
        </w:rPr>
        <w:t>Oxidative Stress Parameters</w:t>
      </w:r>
    </w:p>
    <w:tbl>
      <w:tblPr>
        <w:tblW w:w="5000" w:type="pct"/>
        <w:jc w:val="center"/>
        <w:tblCellMar>
          <w:left w:w="10" w:type="dxa"/>
          <w:right w:w="10" w:type="dxa"/>
        </w:tblCellMar>
        <w:tblLook w:val="00A0"/>
      </w:tblPr>
      <w:tblGrid>
        <w:gridCol w:w="1642"/>
        <w:gridCol w:w="1668"/>
        <w:gridCol w:w="2068"/>
        <w:gridCol w:w="2013"/>
        <w:gridCol w:w="2185"/>
      </w:tblGrid>
      <w:tr w:rsidR="00047256" w:rsidRPr="00DE697E" w:rsidTr="00DE697E">
        <w:trPr>
          <w:trHeight w:val="1"/>
          <w:jc w:val="center"/>
        </w:trPr>
        <w:tc>
          <w:tcPr>
            <w:tcW w:w="85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rFonts w:hint="eastAsia"/>
                <w:b/>
                <w:color w:val="000000"/>
                <w:sz w:val="19"/>
                <w:szCs w:val="19"/>
                <w:lang w:eastAsia="zh-CN"/>
              </w:rPr>
            </w:pPr>
            <w:r w:rsidRPr="00DE697E">
              <w:rPr>
                <w:b/>
                <w:color w:val="000000"/>
                <w:sz w:val="19"/>
                <w:szCs w:val="19"/>
              </w:rPr>
              <w:t>Groups</w:t>
            </w:r>
          </w:p>
        </w:tc>
        <w:tc>
          <w:tcPr>
            <w:tcW w:w="4143" w:type="pct"/>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b/>
                <w:color w:val="000000"/>
                <w:sz w:val="19"/>
                <w:szCs w:val="19"/>
              </w:rPr>
              <w:t xml:space="preserve">Parameters </w:t>
            </w:r>
            <w:r w:rsidR="001B32B2" w:rsidRPr="00DE697E">
              <w:rPr>
                <w:b/>
                <w:color w:val="000000"/>
                <w:sz w:val="19"/>
                <w:szCs w:val="19"/>
              </w:rPr>
              <w:t>analyzed</w:t>
            </w:r>
          </w:p>
        </w:tc>
      </w:tr>
      <w:tr w:rsidR="00047256" w:rsidRPr="00DE697E" w:rsidTr="00DE697E">
        <w:trPr>
          <w:trHeight w:val="197"/>
          <w:jc w:val="center"/>
        </w:trPr>
        <w:tc>
          <w:tcPr>
            <w:tcW w:w="857" w:type="pct"/>
            <w:vMerge/>
            <w:tcBorders>
              <w:top w:val="single" w:sz="4" w:space="0" w:color="000000"/>
              <w:left w:val="single" w:sz="4" w:space="0" w:color="000000"/>
              <w:bottom w:val="single" w:sz="4" w:space="0" w:color="000000"/>
              <w:right w:val="single" w:sz="4" w:space="0" w:color="000000"/>
            </w:tcBorders>
            <w:vAlign w:val="center"/>
          </w:tcPr>
          <w:p w:rsidR="00047256" w:rsidRPr="00DE697E" w:rsidRDefault="00047256" w:rsidP="00DE697E">
            <w:pPr>
              <w:snapToGrid w:val="0"/>
              <w:jc w:val="both"/>
              <w:rPr>
                <w:b/>
                <w:color w:val="000000"/>
                <w:sz w:val="19"/>
                <w:szCs w:val="19"/>
              </w:rPr>
            </w:pPr>
          </w:p>
        </w:tc>
        <w:tc>
          <w:tcPr>
            <w:tcW w:w="8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4672DD" w:rsidP="00DE697E">
            <w:pPr>
              <w:snapToGrid w:val="0"/>
              <w:jc w:val="both"/>
              <w:rPr>
                <w:color w:val="000000"/>
                <w:sz w:val="19"/>
                <w:szCs w:val="19"/>
              </w:rPr>
            </w:pPr>
            <w:proofErr w:type="spellStart"/>
            <w:r w:rsidRPr="00DE697E">
              <w:rPr>
                <w:b/>
                <w:color w:val="000000"/>
                <w:sz w:val="19"/>
                <w:szCs w:val="19"/>
              </w:rPr>
              <w:t>Catalase</w:t>
            </w:r>
            <w:proofErr w:type="spellEnd"/>
          </w:p>
        </w:tc>
        <w:tc>
          <w:tcPr>
            <w:tcW w:w="10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b/>
                <w:color w:val="000000"/>
                <w:sz w:val="19"/>
                <w:szCs w:val="19"/>
              </w:rPr>
              <w:t>SOD</w:t>
            </w:r>
          </w:p>
        </w:tc>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b/>
                <w:color w:val="000000"/>
                <w:sz w:val="19"/>
                <w:szCs w:val="19"/>
              </w:rPr>
              <w:t>MDA</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b/>
                <w:color w:val="000000"/>
                <w:sz w:val="19"/>
                <w:szCs w:val="19"/>
              </w:rPr>
              <w:t>GSH</w:t>
            </w:r>
          </w:p>
        </w:tc>
      </w:tr>
      <w:tr w:rsidR="00047256" w:rsidRPr="00DE697E" w:rsidTr="00DE697E">
        <w:trPr>
          <w:trHeight w:val="143"/>
          <w:jc w:val="center"/>
        </w:trPr>
        <w:tc>
          <w:tcPr>
            <w:tcW w:w="8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Control</w:t>
            </w:r>
          </w:p>
        </w:tc>
        <w:tc>
          <w:tcPr>
            <w:tcW w:w="8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163.64±11.56</w:t>
            </w:r>
          </w:p>
        </w:tc>
        <w:tc>
          <w:tcPr>
            <w:tcW w:w="10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9.55±2.21</w:t>
            </w:r>
          </w:p>
        </w:tc>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3.76±1.25</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9.96±2.47</w:t>
            </w:r>
          </w:p>
        </w:tc>
      </w:tr>
      <w:tr w:rsidR="00047256" w:rsidRPr="00DE697E" w:rsidTr="00DE697E">
        <w:trPr>
          <w:trHeight w:val="1"/>
          <w:jc w:val="center"/>
        </w:trPr>
        <w:tc>
          <w:tcPr>
            <w:tcW w:w="8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Moderate CKD</w:t>
            </w:r>
          </w:p>
        </w:tc>
        <w:tc>
          <w:tcPr>
            <w:tcW w:w="8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154.13±1.43</w:t>
            </w:r>
          </w:p>
        </w:tc>
        <w:tc>
          <w:tcPr>
            <w:tcW w:w="10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5.73±1.64</w:t>
            </w:r>
          </w:p>
        </w:tc>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2.33±0.82</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4.32±1.74</w:t>
            </w:r>
          </w:p>
        </w:tc>
      </w:tr>
      <w:tr w:rsidR="00047256" w:rsidRPr="00DE697E" w:rsidTr="00DE697E">
        <w:trPr>
          <w:trHeight w:val="1"/>
          <w:jc w:val="center"/>
        </w:trPr>
        <w:tc>
          <w:tcPr>
            <w:tcW w:w="8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Severe CKD</w:t>
            </w:r>
          </w:p>
        </w:tc>
        <w:tc>
          <w:tcPr>
            <w:tcW w:w="87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154.63±0.81</w:t>
            </w:r>
          </w:p>
        </w:tc>
        <w:tc>
          <w:tcPr>
            <w:tcW w:w="108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3.64±1.39</w:t>
            </w:r>
          </w:p>
        </w:tc>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1.30±0.84</w:t>
            </w:r>
          </w:p>
        </w:tc>
        <w:tc>
          <w:tcPr>
            <w:tcW w:w="11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2.71±1.17</w:t>
            </w:r>
          </w:p>
        </w:tc>
      </w:tr>
    </w:tbl>
    <w:p w:rsidR="00DE697E" w:rsidRPr="00DE697E" w:rsidRDefault="00DE697E" w:rsidP="00DE697E">
      <w:pPr>
        <w:snapToGrid w:val="0"/>
        <w:jc w:val="center"/>
        <w:rPr>
          <w:b/>
          <w:sz w:val="19"/>
          <w:szCs w:val="19"/>
          <w:lang w:eastAsia="zh-CN"/>
        </w:rPr>
      </w:pPr>
    </w:p>
    <w:p w:rsidR="00047256" w:rsidRPr="00DE697E" w:rsidRDefault="00B85B57" w:rsidP="00DE697E">
      <w:pPr>
        <w:snapToGrid w:val="0"/>
        <w:jc w:val="center"/>
        <w:rPr>
          <w:b/>
          <w:sz w:val="19"/>
          <w:szCs w:val="19"/>
        </w:rPr>
      </w:pPr>
      <w:r w:rsidRPr="00DE697E">
        <w:rPr>
          <w:b/>
          <w:sz w:val="19"/>
          <w:szCs w:val="19"/>
        </w:rPr>
        <w:t xml:space="preserve">Table </w:t>
      </w:r>
      <w:r w:rsidR="00047256" w:rsidRPr="00DE697E">
        <w:rPr>
          <w:b/>
          <w:sz w:val="19"/>
          <w:szCs w:val="19"/>
        </w:rPr>
        <w:t xml:space="preserve">II: </w:t>
      </w:r>
      <w:r w:rsidRPr="00DE697E">
        <w:rPr>
          <w:b/>
          <w:sz w:val="19"/>
          <w:szCs w:val="19"/>
        </w:rPr>
        <w:t xml:space="preserve">Descriptive Statistics </w:t>
      </w:r>
      <w:r w:rsidR="00047256" w:rsidRPr="00DE697E">
        <w:rPr>
          <w:b/>
          <w:sz w:val="19"/>
          <w:szCs w:val="19"/>
        </w:rPr>
        <w:t>(MEAN ± SD)</w:t>
      </w:r>
    </w:p>
    <w:p w:rsidR="00047256" w:rsidRPr="00DE697E" w:rsidRDefault="00047256" w:rsidP="00DE697E">
      <w:pPr>
        <w:snapToGrid w:val="0"/>
        <w:jc w:val="both"/>
        <w:rPr>
          <w:b/>
          <w:sz w:val="19"/>
          <w:szCs w:val="19"/>
        </w:rPr>
      </w:pPr>
      <w:r w:rsidRPr="00DE697E">
        <w:rPr>
          <w:b/>
          <w:sz w:val="19"/>
          <w:szCs w:val="19"/>
        </w:rPr>
        <w:t>Renal Parameters</w:t>
      </w:r>
    </w:p>
    <w:tbl>
      <w:tblPr>
        <w:tblW w:w="5000" w:type="pct"/>
        <w:jc w:val="center"/>
        <w:tblCellMar>
          <w:left w:w="10" w:type="dxa"/>
          <w:right w:w="10" w:type="dxa"/>
        </w:tblCellMar>
        <w:tblLook w:val="00A0"/>
      </w:tblPr>
      <w:tblGrid>
        <w:gridCol w:w="2700"/>
        <w:gridCol w:w="2423"/>
        <w:gridCol w:w="2540"/>
        <w:gridCol w:w="1913"/>
      </w:tblGrid>
      <w:tr w:rsidR="00047256" w:rsidRPr="00DE697E" w:rsidTr="00DE697E">
        <w:trPr>
          <w:trHeight w:val="1"/>
          <w:jc w:val="center"/>
        </w:trPr>
        <w:tc>
          <w:tcPr>
            <w:tcW w:w="1410"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rFonts w:hint="eastAsia"/>
                <w:b/>
                <w:color w:val="000000"/>
                <w:sz w:val="19"/>
                <w:szCs w:val="19"/>
                <w:lang w:eastAsia="zh-CN"/>
              </w:rPr>
            </w:pPr>
            <w:r w:rsidRPr="00DE697E">
              <w:rPr>
                <w:b/>
                <w:color w:val="000000"/>
                <w:sz w:val="19"/>
                <w:szCs w:val="19"/>
              </w:rPr>
              <w:t>Groups</w:t>
            </w:r>
          </w:p>
        </w:tc>
        <w:tc>
          <w:tcPr>
            <w:tcW w:w="3590"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b/>
                <w:color w:val="000000"/>
                <w:sz w:val="19"/>
                <w:szCs w:val="19"/>
              </w:rPr>
              <w:t xml:space="preserve">Parameters </w:t>
            </w:r>
            <w:r w:rsidR="001B32B2" w:rsidRPr="00DE697E">
              <w:rPr>
                <w:b/>
                <w:color w:val="000000"/>
                <w:sz w:val="19"/>
                <w:szCs w:val="19"/>
              </w:rPr>
              <w:t>analyzed</w:t>
            </w:r>
          </w:p>
        </w:tc>
      </w:tr>
      <w:tr w:rsidR="00047256" w:rsidRPr="00DE697E" w:rsidTr="00DE697E">
        <w:trPr>
          <w:trHeight w:val="70"/>
          <w:jc w:val="center"/>
        </w:trPr>
        <w:tc>
          <w:tcPr>
            <w:tcW w:w="1410" w:type="pct"/>
            <w:vMerge/>
            <w:tcBorders>
              <w:top w:val="single" w:sz="4" w:space="0" w:color="000000"/>
              <w:left w:val="single" w:sz="4" w:space="0" w:color="000000"/>
              <w:bottom w:val="single" w:sz="4" w:space="0" w:color="000000"/>
              <w:right w:val="single" w:sz="4" w:space="0" w:color="000000"/>
            </w:tcBorders>
            <w:vAlign w:val="center"/>
          </w:tcPr>
          <w:p w:rsidR="00047256" w:rsidRPr="00DE697E" w:rsidRDefault="00047256" w:rsidP="00DE697E">
            <w:pPr>
              <w:snapToGrid w:val="0"/>
              <w:jc w:val="both"/>
              <w:rPr>
                <w:b/>
                <w:color w:val="000000"/>
                <w:sz w:val="19"/>
                <w:szCs w:val="19"/>
              </w:rPr>
            </w:pPr>
          </w:p>
        </w:tc>
        <w:tc>
          <w:tcPr>
            <w:tcW w:w="12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E35B63" w:rsidP="00DE697E">
            <w:pPr>
              <w:snapToGrid w:val="0"/>
              <w:jc w:val="both"/>
              <w:rPr>
                <w:color w:val="000000"/>
                <w:sz w:val="19"/>
                <w:szCs w:val="19"/>
              </w:rPr>
            </w:pPr>
            <w:r w:rsidRPr="00DE697E">
              <w:rPr>
                <w:b/>
                <w:color w:val="000000"/>
                <w:sz w:val="19"/>
                <w:szCs w:val="19"/>
              </w:rPr>
              <w:t>Urea</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E35B63" w:rsidP="00DE697E">
            <w:pPr>
              <w:snapToGrid w:val="0"/>
              <w:jc w:val="both"/>
              <w:rPr>
                <w:color w:val="000000"/>
                <w:sz w:val="19"/>
                <w:szCs w:val="19"/>
              </w:rPr>
            </w:pPr>
            <w:proofErr w:type="spellStart"/>
            <w:r w:rsidRPr="00DE697E">
              <w:rPr>
                <w:b/>
                <w:color w:val="000000"/>
                <w:sz w:val="19"/>
                <w:szCs w:val="19"/>
              </w:rPr>
              <w:t>Creatinine</w:t>
            </w:r>
            <w:proofErr w:type="spellEnd"/>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E35B63" w:rsidP="00DE697E">
            <w:pPr>
              <w:snapToGrid w:val="0"/>
              <w:jc w:val="both"/>
              <w:rPr>
                <w:color w:val="000000"/>
                <w:sz w:val="19"/>
                <w:szCs w:val="19"/>
              </w:rPr>
            </w:pPr>
            <w:r w:rsidRPr="00DE697E">
              <w:rPr>
                <w:b/>
                <w:color w:val="000000"/>
                <w:sz w:val="19"/>
                <w:szCs w:val="19"/>
              </w:rPr>
              <w:t>Uric acid</w:t>
            </w:r>
          </w:p>
        </w:tc>
      </w:tr>
      <w:tr w:rsidR="00047256" w:rsidRPr="00DE697E" w:rsidTr="00DE697E">
        <w:trPr>
          <w:trHeight w:val="278"/>
          <w:jc w:val="center"/>
        </w:trPr>
        <w:tc>
          <w:tcPr>
            <w:tcW w:w="14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Control</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32.75±4.84</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0.91±0.18</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5.03±0.74</w:t>
            </w:r>
          </w:p>
        </w:tc>
      </w:tr>
      <w:tr w:rsidR="00047256" w:rsidRPr="00DE697E" w:rsidTr="00DE697E">
        <w:trPr>
          <w:trHeight w:val="242"/>
          <w:jc w:val="center"/>
        </w:trPr>
        <w:tc>
          <w:tcPr>
            <w:tcW w:w="14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Moderate CKD</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88.39±32.77</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2.72±1.34</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7.27±2.60</w:t>
            </w:r>
          </w:p>
        </w:tc>
      </w:tr>
      <w:tr w:rsidR="00047256" w:rsidRPr="00DE697E" w:rsidTr="00DE697E">
        <w:trPr>
          <w:trHeight w:val="70"/>
          <w:jc w:val="center"/>
        </w:trPr>
        <w:tc>
          <w:tcPr>
            <w:tcW w:w="14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b/>
                <w:color w:val="000000"/>
                <w:sz w:val="19"/>
                <w:szCs w:val="19"/>
              </w:rPr>
            </w:pPr>
            <w:r w:rsidRPr="00DE697E">
              <w:rPr>
                <w:b/>
                <w:color w:val="000000"/>
                <w:sz w:val="19"/>
                <w:szCs w:val="19"/>
              </w:rPr>
              <w:t>Severe</w:t>
            </w:r>
            <w:r w:rsidR="00160832" w:rsidRPr="00DE697E">
              <w:rPr>
                <w:b/>
                <w:color w:val="000000"/>
                <w:sz w:val="19"/>
                <w:szCs w:val="19"/>
              </w:rPr>
              <w:t xml:space="preserve"> </w:t>
            </w:r>
            <w:r w:rsidRPr="00DE697E">
              <w:rPr>
                <w:b/>
                <w:color w:val="000000"/>
                <w:sz w:val="19"/>
                <w:szCs w:val="19"/>
              </w:rPr>
              <w:t>CKD</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281.88±102.23</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5.67±1.79</w:t>
            </w:r>
          </w:p>
        </w:tc>
        <w:tc>
          <w:tcPr>
            <w:tcW w:w="99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256" w:rsidRPr="00DE697E" w:rsidRDefault="00047256" w:rsidP="00DE697E">
            <w:pPr>
              <w:snapToGrid w:val="0"/>
              <w:jc w:val="both"/>
              <w:rPr>
                <w:color w:val="000000"/>
                <w:sz w:val="19"/>
                <w:szCs w:val="19"/>
              </w:rPr>
            </w:pPr>
            <w:r w:rsidRPr="00DE697E">
              <w:rPr>
                <w:color w:val="000000"/>
                <w:sz w:val="19"/>
                <w:szCs w:val="19"/>
              </w:rPr>
              <w:t>19.38±7.29</w:t>
            </w:r>
          </w:p>
        </w:tc>
      </w:tr>
    </w:tbl>
    <w:p w:rsidR="00DE697E" w:rsidRPr="00DE697E" w:rsidRDefault="00DE697E" w:rsidP="00DE697E">
      <w:pPr>
        <w:snapToGrid w:val="0"/>
        <w:jc w:val="center"/>
        <w:rPr>
          <w:b/>
          <w:color w:val="000000"/>
          <w:sz w:val="19"/>
          <w:szCs w:val="19"/>
          <w:lang w:eastAsia="zh-CN"/>
        </w:rPr>
      </w:pPr>
    </w:p>
    <w:p w:rsidR="00047256" w:rsidRPr="00DE697E" w:rsidRDefault="00160832" w:rsidP="00DE697E">
      <w:pPr>
        <w:snapToGrid w:val="0"/>
        <w:jc w:val="center"/>
        <w:rPr>
          <w:b/>
          <w:color w:val="000000"/>
          <w:sz w:val="19"/>
          <w:szCs w:val="19"/>
        </w:rPr>
      </w:pPr>
      <w:r w:rsidRPr="00DE697E">
        <w:rPr>
          <w:b/>
          <w:color w:val="000000"/>
          <w:sz w:val="19"/>
          <w:szCs w:val="19"/>
        </w:rPr>
        <w:t xml:space="preserve">Table </w:t>
      </w:r>
      <w:r w:rsidR="00047256" w:rsidRPr="00DE697E">
        <w:rPr>
          <w:b/>
          <w:color w:val="000000"/>
          <w:sz w:val="19"/>
          <w:szCs w:val="19"/>
        </w:rPr>
        <w:t xml:space="preserve">III: </w:t>
      </w:r>
      <w:r w:rsidRPr="00DE697E">
        <w:rPr>
          <w:b/>
          <w:color w:val="000000"/>
          <w:sz w:val="19"/>
          <w:szCs w:val="19"/>
        </w:rPr>
        <w:t xml:space="preserve">Multiple </w:t>
      </w:r>
      <w:proofErr w:type="gramStart"/>
      <w:r w:rsidRPr="00DE697E">
        <w:rPr>
          <w:b/>
          <w:color w:val="000000"/>
          <w:sz w:val="19"/>
          <w:szCs w:val="19"/>
        </w:rPr>
        <w:t>Comparison</w:t>
      </w:r>
      <w:proofErr w:type="gramEnd"/>
    </w:p>
    <w:p w:rsidR="00047256" w:rsidRPr="00DE697E" w:rsidRDefault="00047256" w:rsidP="00DE697E">
      <w:pPr>
        <w:snapToGrid w:val="0"/>
        <w:jc w:val="both"/>
        <w:rPr>
          <w:b/>
          <w:sz w:val="19"/>
          <w:szCs w:val="19"/>
        </w:rPr>
      </w:pPr>
      <w:r w:rsidRPr="00DE697E">
        <w:rPr>
          <w:b/>
          <w:sz w:val="19"/>
          <w:szCs w:val="19"/>
        </w:rPr>
        <w:t>Oxidative Stress Parameters</w:t>
      </w:r>
    </w:p>
    <w:tbl>
      <w:tblPr>
        <w:tblW w:w="5000" w:type="pct"/>
        <w:jc w:val="center"/>
        <w:tblCellMar>
          <w:left w:w="10" w:type="dxa"/>
          <w:right w:w="10" w:type="dxa"/>
        </w:tblCellMar>
        <w:tblLook w:val="00A0"/>
      </w:tblPr>
      <w:tblGrid>
        <w:gridCol w:w="2311"/>
        <w:gridCol w:w="1147"/>
        <w:gridCol w:w="1044"/>
        <w:gridCol w:w="2293"/>
        <w:gridCol w:w="1370"/>
        <w:gridCol w:w="1255"/>
      </w:tblGrid>
      <w:tr w:rsidR="009A5976" w:rsidRPr="00DE697E" w:rsidTr="00DE697E">
        <w:trPr>
          <w:trHeight w:val="70"/>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Dependent Variable</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(I) group</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(J) group</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Mean Difference (I-J)</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Std. Error</w:t>
            </w:r>
          </w:p>
        </w:tc>
        <w:tc>
          <w:tcPr>
            <w:tcW w:w="666" w:type="pct"/>
            <w:tcBorders>
              <w:top w:val="single" w:sz="4" w:space="0" w:color="000000"/>
              <w:left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color w:val="000000"/>
                <w:sz w:val="19"/>
                <w:szCs w:val="19"/>
              </w:rPr>
            </w:pPr>
            <w:r w:rsidRPr="00DE697E">
              <w:rPr>
                <w:b/>
                <w:color w:val="000000"/>
                <w:sz w:val="19"/>
                <w:szCs w:val="19"/>
              </w:rPr>
              <w:t>Sig.</w:t>
            </w:r>
          </w:p>
        </w:tc>
      </w:tr>
      <w:tr w:rsidR="009A5976" w:rsidRPr="00DE697E" w:rsidTr="00DE697E">
        <w:trPr>
          <w:trHeight w:val="107"/>
          <w:jc w:val="center"/>
        </w:trPr>
        <w:tc>
          <w:tcPr>
            <w:tcW w:w="122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F3671" w:rsidP="00DE697E">
            <w:pPr>
              <w:snapToGrid w:val="0"/>
              <w:jc w:val="both"/>
              <w:rPr>
                <w:color w:val="000000"/>
                <w:sz w:val="19"/>
                <w:szCs w:val="19"/>
              </w:rPr>
            </w:pPr>
            <w:proofErr w:type="spellStart"/>
            <w:r w:rsidRPr="00DE697E">
              <w:rPr>
                <w:b/>
                <w:color w:val="000000"/>
                <w:sz w:val="19"/>
                <w:szCs w:val="19"/>
              </w:rPr>
              <w:t>Catalase</w:t>
            </w:r>
            <w:proofErr w:type="spellEnd"/>
            <w:r w:rsidR="00D77058" w:rsidRPr="00DE697E">
              <w:rPr>
                <w:b/>
                <w:color w:val="000000"/>
                <w:sz w:val="19"/>
                <w:szCs w:val="19"/>
              </w:rPr>
              <w:t xml:space="preserve"> (CAT)</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9.50688*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1.98773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9.01225*</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2.10456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-9.50688*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1.98773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w:t>
            </w:r>
            <w:r w:rsidR="0063771C" w:rsidRPr="00DE697E">
              <w:rPr>
                <w:color w:val="000000"/>
                <w:sz w:val="19"/>
                <w:szCs w:val="19"/>
              </w:rPr>
              <w:t>0</w:t>
            </w:r>
            <w:r w:rsidRPr="00DE697E">
              <w:rPr>
                <w:color w:val="000000"/>
                <w:sz w:val="19"/>
                <w:szCs w:val="19"/>
              </w:rPr>
              <w:t>.49463</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1.78534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0.783</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-9.01225*</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2.10456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63771C" w:rsidP="00DE697E">
            <w:pPr>
              <w:snapToGrid w:val="0"/>
              <w:jc w:val="both"/>
              <w:rPr>
                <w:color w:val="000000"/>
                <w:sz w:val="19"/>
                <w:szCs w:val="19"/>
              </w:rPr>
            </w:pPr>
            <w:r w:rsidRPr="00DE697E">
              <w:rPr>
                <w:color w:val="000000"/>
                <w:sz w:val="19"/>
                <w:szCs w:val="19"/>
              </w:rPr>
              <w:t>0</w:t>
            </w:r>
            <w:r w:rsidR="009A5976" w:rsidRPr="00DE697E">
              <w:rPr>
                <w:color w:val="000000"/>
                <w:sz w:val="19"/>
                <w:szCs w:val="19"/>
              </w:rPr>
              <w:t>.49463</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1.78534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0.783</w:t>
            </w:r>
          </w:p>
        </w:tc>
      </w:tr>
      <w:tr w:rsidR="009A5976" w:rsidRPr="00DE697E" w:rsidTr="00DE697E">
        <w:trPr>
          <w:trHeight w:val="98"/>
          <w:jc w:val="center"/>
        </w:trPr>
        <w:tc>
          <w:tcPr>
            <w:tcW w:w="122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651F9" w:rsidP="00DE697E">
            <w:pPr>
              <w:snapToGrid w:val="0"/>
              <w:jc w:val="both"/>
              <w:rPr>
                <w:color w:val="000000"/>
                <w:sz w:val="19"/>
                <w:szCs w:val="19"/>
              </w:rPr>
            </w:pPr>
            <w:r w:rsidRPr="00DE697E">
              <w:rPr>
                <w:b/>
                <w:color w:val="000000"/>
                <w:sz w:val="19"/>
                <w:szCs w:val="19"/>
              </w:rPr>
              <w:t>Superoxide dismutase (SOD)</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3.81522*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.61124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5.90882*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.64716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-3.81522*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.61124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2.09361*</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.54900</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-5.90882*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.64716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-2.09361*</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.54900</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88"/>
          <w:jc w:val="center"/>
        </w:trPr>
        <w:tc>
          <w:tcPr>
            <w:tcW w:w="122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157DD" w:rsidP="00DE697E">
            <w:pPr>
              <w:snapToGrid w:val="0"/>
              <w:jc w:val="both"/>
              <w:rPr>
                <w:color w:val="000000"/>
                <w:sz w:val="19"/>
                <w:szCs w:val="19"/>
              </w:rPr>
            </w:pPr>
            <w:proofErr w:type="spellStart"/>
            <w:r w:rsidRPr="00DE697E">
              <w:rPr>
                <w:b/>
                <w:color w:val="000000"/>
                <w:sz w:val="19"/>
                <w:szCs w:val="19"/>
              </w:rPr>
              <w:t>Malondialdehyde</w:t>
            </w:r>
            <w:proofErr w:type="spellEnd"/>
            <w:r w:rsidRPr="00DE697E">
              <w:rPr>
                <w:b/>
                <w:color w:val="000000"/>
                <w:sz w:val="19"/>
                <w:szCs w:val="19"/>
              </w:rPr>
              <w:t xml:space="preserve"> (</w:t>
            </w:r>
            <w:r w:rsidR="009A5976" w:rsidRPr="00DE697E">
              <w:rPr>
                <w:b/>
                <w:color w:val="000000"/>
                <w:sz w:val="19"/>
                <w:szCs w:val="19"/>
              </w:rPr>
              <w:t>MDA</w:t>
            </w:r>
            <w:r w:rsidRPr="00DE697E">
              <w:rPr>
                <w:b/>
                <w:color w:val="000000"/>
                <w:sz w:val="19"/>
                <w:szCs w:val="19"/>
              </w:rPr>
              <w:t>)</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1.43188*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.33664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2.46078*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.35642</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-1.43188*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.33664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1.02890*</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.30236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0.001</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-2.46078*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.35642</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-1.02890*</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.30236</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0.001</w:t>
            </w:r>
          </w:p>
        </w:tc>
      </w:tr>
      <w:tr w:rsidR="009A5976" w:rsidRPr="00DE697E" w:rsidTr="00DE697E">
        <w:trPr>
          <w:trHeight w:val="233"/>
          <w:jc w:val="center"/>
        </w:trPr>
        <w:tc>
          <w:tcPr>
            <w:tcW w:w="122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8C524E" w:rsidP="00DE697E">
            <w:pPr>
              <w:snapToGrid w:val="0"/>
              <w:jc w:val="both"/>
              <w:rPr>
                <w:color w:val="000000"/>
                <w:sz w:val="19"/>
                <w:szCs w:val="19"/>
              </w:rPr>
            </w:pPr>
            <w:r w:rsidRPr="00DE697E">
              <w:rPr>
                <w:b/>
                <w:color w:val="000000"/>
                <w:sz w:val="19"/>
                <w:szCs w:val="19"/>
              </w:rPr>
              <w:t>Glutathione (</w:t>
            </w:r>
            <w:r w:rsidR="009A5976" w:rsidRPr="00DE697E">
              <w:rPr>
                <w:b/>
                <w:color w:val="000000"/>
                <w:sz w:val="19"/>
                <w:szCs w:val="19"/>
              </w:rPr>
              <w:t>GSH</w:t>
            </w:r>
            <w:r w:rsidRPr="00DE697E">
              <w:rPr>
                <w:b/>
                <w:color w:val="000000"/>
                <w:sz w:val="19"/>
                <w:szCs w:val="19"/>
              </w:rPr>
              <w:t>)</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5.64058*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.63643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7.25490*</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.67384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-5.64058*</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.63643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1.61432*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.57163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0.007</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-7.25490*</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.67384</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146"/>
          <w:jc w:val="center"/>
        </w:trPr>
        <w:tc>
          <w:tcPr>
            <w:tcW w:w="1227"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0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55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1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-1.61432*</w:t>
            </w:r>
          </w:p>
        </w:tc>
        <w:tc>
          <w:tcPr>
            <w:tcW w:w="727"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3571E"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.57163</w:t>
            </w: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0.007</w:t>
            </w:r>
          </w:p>
        </w:tc>
      </w:tr>
    </w:tbl>
    <w:p w:rsidR="00897A4E" w:rsidRDefault="00897A4E" w:rsidP="00DE697E">
      <w:pPr>
        <w:snapToGrid w:val="0"/>
        <w:jc w:val="center"/>
        <w:rPr>
          <w:rFonts w:hint="eastAsia"/>
          <w:b/>
          <w:color w:val="000000"/>
          <w:sz w:val="19"/>
          <w:szCs w:val="19"/>
          <w:lang w:eastAsia="zh-CN"/>
        </w:rPr>
      </w:pPr>
    </w:p>
    <w:p w:rsidR="00897A4E" w:rsidRDefault="00897A4E" w:rsidP="00DE697E">
      <w:pPr>
        <w:snapToGrid w:val="0"/>
        <w:jc w:val="center"/>
        <w:rPr>
          <w:rFonts w:hint="eastAsia"/>
          <w:b/>
          <w:color w:val="000000"/>
          <w:sz w:val="19"/>
          <w:szCs w:val="19"/>
          <w:lang w:eastAsia="zh-CN"/>
        </w:rPr>
      </w:pPr>
    </w:p>
    <w:p w:rsidR="00897A4E" w:rsidRDefault="00897A4E" w:rsidP="00DE697E">
      <w:pPr>
        <w:snapToGrid w:val="0"/>
        <w:jc w:val="center"/>
        <w:rPr>
          <w:rFonts w:hint="eastAsia"/>
          <w:b/>
          <w:color w:val="000000"/>
          <w:sz w:val="19"/>
          <w:szCs w:val="19"/>
          <w:lang w:eastAsia="zh-CN"/>
        </w:rPr>
      </w:pPr>
    </w:p>
    <w:p w:rsidR="00047256" w:rsidRPr="00DE697E" w:rsidRDefault="00047256" w:rsidP="00DE697E">
      <w:pPr>
        <w:snapToGrid w:val="0"/>
        <w:jc w:val="center"/>
        <w:rPr>
          <w:b/>
          <w:color w:val="000000"/>
          <w:sz w:val="19"/>
          <w:szCs w:val="19"/>
        </w:rPr>
      </w:pPr>
      <w:r w:rsidRPr="00DE697E">
        <w:rPr>
          <w:b/>
          <w:color w:val="000000"/>
          <w:sz w:val="19"/>
          <w:szCs w:val="19"/>
        </w:rPr>
        <w:t xml:space="preserve">TABLE IV: </w:t>
      </w:r>
      <w:r w:rsidR="00EC56A2" w:rsidRPr="00DE697E">
        <w:rPr>
          <w:b/>
          <w:color w:val="000000"/>
          <w:sz w:val="19"/>
          <w:szCs w:val="19"/>
        </w:rPr>
        <w:t xml:space="preserve">Multiple </w:t>
      </w:r>
      <w:proofErr w:type="gramStart"/>
      <w:r w:rsidR="00EC56A2" w:rsidRPr="00DE697E">
        <w:rPr>
          <w:b/>
          <w:color w:val="000000"/>
          <w:sz w:val="19"/>
          <w:szCs w:val="19"/>
        </w:rPr>
        <w:t>Comparison</w:t>
      </w:r>
      <w:proofErr w:type="gramEnd"/>
    </w:p>
    <w:p w:rsidR="00047256" w:rsidRPr="00DE697E" w:rsidRDefault="00047256" w:rsidP="00DE697E">
      <w:pPr>
        <w:snapToGrid w:val="0"/>
        <w:jc w:val="both"/>
        <w:rPr>
          <w:b/>
          <w:sz w:val="19"/>
          <w:szCs w:val="19"/>
        </w:rPr>
      </w:pPr>
      <w:r w:rsidRPr="00DE697E">
        <w:rPr>
          <w:b/>
          <w:sz w:val="19"/>
          <w:szCs w:val="19"/>
        </w:rPr>
        <w:t>Renal Parameters</w:t>
      </w:r>
    </w:p>
    <w:tbl>
      <w:tblPr>
        <w:tblW w:w="5000" w:type="pct"/>
        <w:jc w:val="center"/>
        <w:tblCellMar>
          <w:left w:w="10" w:type="dxa"/>
          <w:right w:w="10" w:type="dxa"/>
        </w:tblCellMar>
        <w:tblLook w:val="00A0"/>
      </w:tblPr>
      <w:tblGrid>
        <w:gridCol w:w="2128"/>
        <w:gridCol w:w="1307"/>
        <w:gridCol w:w="1307"/>
        <w:gridCol w:w="2415"/>
        <w:gridCol w:w="1234"/>
        <w:gridCol w:w="1029"/>
      </w:tblGrid>
      <w:tr w:rsidR="009A5976" w:rsidRPr="00DE697E" w:rsidTr="00DE697E">
        <w:trPr>
          <w:cantSplit/>
          <w:trHeight w:val="215"/>
          <w:jc w:val="center"/>
        </w:trPr>
        <w:tc>
          <w:tcPr>
            <w:tcW w:w="1129"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Dependent Variable</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(I) group</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(J) group</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Mean Difference (I-J)</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Std. Error</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b/>
                <w:bCs/>
                <w:color w:val="000000"/>
                <w:sz w:val="19"/>
                <w:szCs w:val="19"/>
              </w:rPr>
            </w:pPr>
            <w:r w:rsidRPr="00DE697E">
              <w:rPr>
                <w:b/>
                <w:bCs/>
                <w:color w:val="000000"/>
                <w:sz w:val="19"/>
                <w:szCs w:val="19"/>
              </w:rPr>
              <w:t>Sig.</w:t>
            </w:r>
          </w:p>
        </w:tc>
      </w:tr>
      <w:tr w:rsidR="009A5976" w:rsidRPr="00DE697E" w:rsidTr="00DE697E">
        <w:trPr>
          <w:trHeight w:val="2"/>
          <w:jc w:val="center"/>
        </w:trPr>
        <w:tc>
          <w:tcPr>
            <w:tcW w:w="112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F3671" w:rsidP="00DE697E">
            <w:pPr>
              <w:snapToGrid w:val="0"/>
              <w:jc w:val="both"/>
              <w:rPr>
                <w:color w:val="000000"/>
                <w:sz w:val="19"/>
                <w:szCs w:val="19"/>
              </w:rPr>
            </w:pPr>
            <w:r w:rsidRPr="00DE697E">
              <w:rPr>
                <w:b/>
                <w:color w:val="000000"/>
                <w:sz w:val="19"/>
                <w:szCs w:val="19"/>
              </w:rPr>
              <w:t>Urea</w:t>
            </w: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-55.64130*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22.24042</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0.016</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-249.13235*</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23.54764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55.64130*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22.24042</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0.016</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-193.49105*</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19.97584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98"/>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249.13235*</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23.54764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193.49105*</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19.97584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F3671" w:rsidP="00DE697E">
            <w:pPr>
              <w:snapToGrid w:val="0"/>
              <w:jc w:val="both"/>
              <w:rPr>
                <w:color w:val="000000"/>
                <w:sz w:val="19"/>
                <w:szCs w:val="19"/>
              </w:rPr>
            </w:pPr>
            <w:proofErr w:type="spellStart"/>
            <w:r w:rsidRPr="00DE697E">
              <w:rPr>
                <w:b/>
                <w:color w:val="000000"/>
                <w:sz w:val="19"/>
                <w:szCs w:val="19"/>
              </w:rPr>
              <w:t>Creatinine</w:t>
            </w:r>
            <w:proofErr w:type="spellEnd"/>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-1.80942*</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.48724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0.001</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-4.75980*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.51588</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1.80942*</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.48724</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0.001</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-2.95038*</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.43763</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4.75980*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.51588</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2.95038*</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473100" w:rsidP="00DE697E">
            <w:pPr>
              <w:snapToGrid w:val="0"/>
              <w:jc w:val="both"/>
              <w:rPr>
                <w:color w:val="000000"/>
                <w:sz w:val="19"/>
                <w:szCs w:val="19"/>
              </w:rPr>
            </w:pPr>
            <w:r w:rsidRPr="00DE697E">
              <w:rPr>
                <w:color w:val="000000"/>
                <w:sz w:val="19"/>
                <w:szCs w:val="19"/>
              </w:rPr>
              <w:t>0</w:t>
            </w:r>
            <w:r w:rsidR="009A5976" w:rsidRPr="00DE697E">
              <w:rPr>
                <w:color w:val="000000"/>
                <w:sz w:val="19"/>
                <w:szCs w:val="19"/>
              </w:rPr>
              <w:t>.43763</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F3671" w:rsidP="00DE697E">
            <w:pPr>
              <w:snapToGrid w:val="0"/>
              <w:jc w:val="both"/>
              <w:rPr>
                <w:color w:val="000000"/>
                <w:sz w:val="19"/>
                <w:szCs w:val="19"/>
              </w:rPr>
            </w:pPr>
            <w:r w:rsidRPr="00DE697E">
              <w:rPr>
                <w:b/>
                <w:color w:val="000000"/>
                <w:sz w:val="19"/>
                <w:szCs w:val="19"/>
              </w:rPr>
              <w:t>Uric acid</w:t>
            </w: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-2.18797</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1.61500</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0.182</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-14.29667*</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1.70993</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2.18797</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1.61500</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0.182</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-12.10870*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1.45056</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Severe</w:t>
            </w:r>
          </w:p>
          <w:p w:rsidR="009A5976" w:rsidRPr="00DE697E" w:rsidRDefault="009A5976" w:rsidP="00DE697E">
            <w:pPr>
              <w:snapToGrid w:val="0"/>
              <w:jc w:val="both"/>
              <w:rPr>
                <w:color w:val="000000"/>
                <w:sz w:val="19"/>
                <w:szCs w:val="19"/>
              </w:rPr>
            </w:pPr>
            <w:r w:rsidRPr="00DE697E">
              <w:rPr>
                <w:color w:val="000000"/>
                <w:sz w:val="19"/>
                <w:szCs w:val="19"/>
              </w:rPr>
              <w:t>CKD</w:t>
            </w: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Control</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14.29667*</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1.70993</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r w:rsidR="009A5976" w:rsidRPr="00DE697E" w:rsidTr="00DE697E">
        <w:trPr>
          <w:trHeight w:val="2"/>
          <w:jc w:val="center"/>
        </w:trPr>
        <w:tc>
          <w:tcPr>
            <w:tcW w:w="1129"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vMerge/>
            <w:tcBorders>
              <w:top w:val="single" w:sz="4" w:space="0" w:color="000000"/>
              <w:left w:val="single" w:sz="4" w:space="0" w:color="000000"/>
              <w:bottom w:val="single" w:sz="4" w:space="0" w:color="000000"/>
              <w:right w:val="single" w:sz="4" w:space="0" w:color="000000"/>
            </w:tcBorders>
          </w:tcPr>
          <w:p w:rsidR="009A5976" w:rsidRPr="00DE697E" w:rsidRDefault="009A5976" w:rsidP="00DE697E">
            <w:pPr>
              <w:snapToGrid w:val="0"/>
              <w:jc w:val="both"/>
              <w:rPr>
                <w:color w:val="000000"/>
                <w:sz w:val="19"/>
                <w:szCs w:val="19"/>
              </w:rPr>
            </w:pPr>
          </w:p>
        </w:tc>
        <w:tc>
          <w:tcPr>
            <w:tcW w:w="69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Moderate</w:t>
            </w:r>
          </w:p>
        </w:tc>
        <w:tc>
          <w:tcPr>
            <w:tcW w:w="1282"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12.10870*</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1.45056</w:t>
            </w:r>
          </w:p>
        </w:tc>
        <w:tc>
          <w:tcPr>
            <w:tcW w:w="546"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rsidR="009A5976" w:rsidRPr="00DE697E" w:rsidRDefault="009A5976" w:rsidP="00DE697E">
            <w:pPr>
              <w:snapToGrid w:val="0"/>
              <w:jc w:val="both"/>
              <w:rPr>
                <w:color w:val="000000"/>
                <w:sz w:val="19"/>
                <w:szCs w:val="19"/>
              </w:rPr>
            </w:pPr>
            <w:r w:rsidRPr="00DE697E">
              <w:rPr>
                <w:color w:val="000000"/>
                <w:sz w:val="19"/>
                <w:szCs w:val="19"/>
              </w:rPr>
              <w:t>0.000</w:t>
            </w:r>
          </w:p>
        </w:tc>
      </w:tr>
    </w:tbl>
    <w:p w:rsidR="00DE697E" w:rsidRDefault="00DE697E" w:rsidP="00DE697E">
      <w:pPr>
        <w:snapToGrid w:val="0"/>
        <w:ind w:firstLine="425"/>
        <w:jc w:val="both"/>
        <w:rPr>
          <w:rFonts w:hint="eastAsia"/>
          <w:color w:val="000000"/>
          <w:sz w:val="19"/>
          <w:szCs w:val="19"/>
          <w:lang w:eastAsia="zh-CN"/>
        </w:rPr>
      </w:pPr>
    </w:p>
    <w:p w:rsidR="00897A4E" w:rsidRPr="00DE697E" w:rsidRDefault="00897A4E" w:rsidP="00DE697E">
      <w:pPr>
        <w:snapToGrid w:val="0"/>
        <w:ind w:firstLine="425"/>
        <w:jc w:val="both"/>
        <w:rPr>
          <w:rFonts w:hint="eastAsia"/>
          <w:color w:val="000000"/>
          <w:sz w:val="19"/>
          <w:szCs w:val="19"/>
          <w:lang w:eastAsia="zh-CN"/>
        </w:rPr>
      </w:pPr>
    </w:p>
    <w:p w:rsidR="00DE697E" w:rsidRPr="00DE697E" w:rsidRDefault="00DE697E" w:rsidP="00DE697E">
      <w:pPr>
        <w:snapToGrid w:val="0"/>
        <w:ind w:firstLine="425"/>
        <w:jc w:val="both"/>
        <w:rPr>
          <w:color w:val="000000"/>
          <w:sz w:val="20"/>
          <w:szCs w:val="20"/>
        </w:rPr>
        <w:sectPr w:rsidR="00DE697E" w:rsidRPr="00DE697E" w:rsidSect="00782626">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pPr>
    </w:p>
    <w:p w:rsidR="00DE697E" w:rsidRPr="00DE697E" w:rsidRDefault="00DE697E" w:rsidP="00DE697E">
      <w:pPr>
        <w:snapToGrid w:val="0"/>
        <w:jc w:val="both"/>
        <w:rPr>
          <w:b/>
          <w:sz w:val="20"/>
          <w:szCs w:val="20"/>
        </w:rPr>
      </w:pPr>
      <w:r w:rsidRPr="00DE697E">
        <w:rPr>
          <w:b/>
          <w:sz w:val="20"/>
          <w:szCs w:val="20"/>
        </w:rPr>
        <w:lastRenderedPageBreak/>
        <w:t>Results and discussion</w:t>
      </w:r>
    </w:p>
    <w:p w:rsidR="00DE697E" w:rsidRDefault="00DE697E" w:rsidP="00DE697E">
      <w:pPr>
        <w:snapToGrid w:val="0"/>
        <w:ind w:firstLine="425"/>
        <w:jc w:val="both"/>
        <w:rPr>
          <w:color w:val="000000"/>
          <w:sz w:val="20"/>
          <w:szCs w:val="20"/>
          <w:lang w:eastAsia="zh-CN"/>
        </w:rPr>
      </w:pPr>
      <w:r w:rsidRPr="00DE697E">
        <w:rPr>
          <w:sz w:val="20"/>
          <w:szCs w:val="20"/>
        </w:rPr>
        <w:t>The mean values of oxidative stress parameters (</w:t>
      </w:r>
      <w:proofErr w:type="spellStart"/>
      <w:r w:rsidRPr="00DE697E">
        <w:rPr>
          <w:sz w:val="20"/>
          <w:szCs w:val="20"/>
        </w:rPr>
        <w:t>catalase</w:t>
      </w:r>
      <w:proofErr w:type="spellEnd"/>
      <w:r w:rsidRPr="00DE697E">
        <w:rPr>
          <w:sz w:val="20"/>
          <w:szCs w:val="20"/>
        </w:rPr>
        <w:t xml:space="preserve">, SOD, MDA and GSH) in moderate CKD, severe CKD and control group are presented in Table I and the mean values of renal parameters (urea, </w:t>
      </w:r>
      <w:proofErr w:type="spellStart"/>
      <w:r w:rsidRPr="00DE697E">
        <w:rPr>
          <w:sz w:val="20"/>
          <w:szCs w:val="20"/>
        </w:rPr>
        <w:t>creatinine</w:t>
      </w:r>
      <w:proofErr w:type="spellEnd"/>
      <w:r w:rsidRPr="00DE697E">
        <w:rPr>
          <w:sz w:val="20"/>
          <w:szCs w:val="20"/>
        </w:rPr>
        <w:t xml:space="preserve"> and uric acid) in moderate CKD, severe CKD and control group are presented in Table II. Table III shows the comparison among the stress parameters and Table IV shows the comparison among the renal parameters.</w:t>
      </w:r>
    </w:p>
    <w:p w:rsidR="00047256" w:rsidRPr="00DE697E" w:rsidRDefault="00047256" w:rsidP="00DE697E">
      <w:pPr>
        <w:snapToGrid w:val="0"/>
        <w:ind w:firstLine="425"/>
        <w:jc w:val="both"/>
        <w:rPr>
          <w:sz w:val="20"/>
          <w:szCs w:val="20"/>
        </w:rPr>
      </w:pPr>
      <w:r w:rsidRPr="00DE697E">
        <w:rPr>
          <w:color w:val="000000"/>
          <w:sz w:val="20"/>
          <w:szCs w:val="20"/>
        </w:rPr>
        <w:t xml:space="preserve">In the present study the effects of chronic kidney disease (CKD) on renal </w:t>
      </w:r>
      <w:proofErr w:type="spellStart"/>
      <w:r w:rsidRPr="00DE697E">
        <w:rPr>
          <w:color w:val="000000"/>
          <w:sz w:val="20"/>
          <w:szCs w:val="20"/>
        </w:rPr>
        <w:t>catalase</w:t>
      </w:r>
      <w:proofErr w:type="spellEnd"/>
      <w:r w:rsidRPr="00DE697E">
        <w:rPr>
          <w:color w:val="000000"/>
          <w:sz w:val="20"/>
          <w:szCs w:val="20"/>
        </w:rPr>
        <w:t xml:space="preserve"> and SOD activities as well as renal GSH and MDA levels were evaluated. Data showed that in spite of a decrease in renal GSH, SOD and </w:t>
      </w:r>
      <w:proofErr w:type="spellStart"/>
      <w:r w:rsidRPr="00DE697E">
        <w:rPr>
          <w:color w:val="000000"/>
          <w:sz w:val="20"/>
          <w:szCs w:val="20"/>
        </w:rPr>
        <w:t>catalase</w:t>
      </w:r>
      <w:proofErr w:type="spellEnd"/>
      <w:r w:rsidRPr="00DE697E">
        <w:rPr>
          <w:color w:val="000000"/>
          <w:sz w:val="20"/>
          <w:szCs w:val="20"/>
        </w:rPr>
        <w:t xml:space="preserve"> activity in CKD condition, MDA activity was also decreased.</w:t>
      </w:r>
      <w:r w:rsidRPr="00DE697E">
        <w:rPr>
          <w:sz w:val="20"/>
          <w:szCs w:val="20"/>
        </w:rPr>
        <w:t xml:space="preserve"> According to descriptive statistics, the mean value of </w:t>
      </w:r>
      <w:proofErr w:type="spellStart"/>
      <w:r w:rsidRPr="00DE697E">
        <w:rPr>
          <w:sz w:val="20"/>
          <w:szCs w:val="20"/>
        </w:rPr>
        <w:t>catalase</w:t>
      </w:r>
      <w:proofErr w:type="spellEnd"/>
      <w:r w:rsidRPr="00DE697E">
        <w:rPr>
          <w:sz w:val="20"/>
          <w:szCs w:val="20"/>
        </w:rPr>
        <w:t xml:space="preserve"> in control, moderate and severe were 163.64±11.56, 154.13±1.43 and 154.63±0.81 respectively. The observed mean value of SOD in control was 9.55±2.21, in moderate it was 5.73±1.64 while in severe it was 3.64±1.39. The mean </w:t>
      </w:r>
      <w:proofErr w:type="gramStart"/>
      <w:r w:rsidRPr="00DE697E">
        <w:rPr>
          <w:sz w:val="20"/>
          <w:szCs w:val="20"/>
        </w:rPr>
        <w:t>value of MDA in control, moderate and severe group were</w:t>
      </w:r>
      <w:proofErr w:type="gramEnd"/>
      <w:r w:rsidRPr="00DE697E">
        <w:rPr>
          <w:sz w:val="20"/>
          <w:szCs w:val="20"/>
        </w:rPr>
        <w:t xml:space="preserve"> 3.76±1.25, 2.33±0.82 and 1.30±0.84 respectively. GSH in control was observed as 9.96±2.47, in moderate CKD it was 4.32±1.74 while in severe CKD the observed mean value of GSH was 2.71±1.17 (Table I). </w:t>
      </w:r>
      <w:r w:rsidRPr="00DE697E">
        <w:rPr>
          <w:color w:val="000000"/>
          <w:sz w:val="20"/>
          <w:szCs w:val="20"/>
        </w:rPr>
        <w:t xml:space="preserve">Significant increase in both BUN and </w:t>
      </w:r>
      <w:proofErr w:type="spellStart"/>
      <w:r w:rsidRPr="00DE697E">
        <w:rPr>
          <w:color w:val="000000"/>
          <w:sz w:val="20"/>
          <w:szCs w:val="20"/>
        </w:rPr>
        <w:t>creatinine</w:t>
      </w:r>
      <w:proofErr w:type="spellEnd"/>
      <w:r w:rsidRPr="00DE697E">
        <w:rPr>
          <w:color w:val="000000"/>
          <w:sz w:val="20"/>
          <w:szCs w:val="20"/>
        </w:rPr>
        <w:t xml:space="preserve"> showed that CKD resulted in serious renal injury. </w:t>
      </w:r>
      <w:r w:rsidRPr="00DE697E">
        <w:rPr>
          <w:sz w:val="20"/>
          <w:szCs w:val="20"/>
        </w:rPr>
        <w:t xml:space="preserve">According to descriptive statistics, the mean value of urea in control, moderate and severe group were 32.75±4.84, 88.39±32.77 and </w:t>
      </w:r>
      <w:r w:rsidRPr="00DE697E">
        <w:rPr>
          <w:sz w:val="20"/>
          <w:szCs w:val="20"/>
        </w:rPr>
        <w:lastRenderedPageBreak/>
        <w:t xml:space="preserve">281.88±102.23 respectively. The observed mean value of </w:t>
      </w:r>
      <w:proofErr w:type="spellStart"/>
      <w:r w:rsidRPr="00DE697E">
        <w:rPr>
          <w:sz w:val="20"/>
          <w:szCs w:val="20"/>
        </w:rPr>
        <w:t>creatinine</w:t>
      </w:r>
      <w:proofErr w:type="spellEnd"/>
      <w:r w:rsidRPr="00DE697E">
        <w:rPr>
          <w:sz w:val="20"/>
          <w:szCs w:val="20"/>
        </w:rPr>
        <w:t xml:space="preserve"> in control was 0.91±0.18, in moderate CKD it was 2.72±1.34 while in severe CKD it was 5.67±1.79. The mean value of </w:t>
      </w:r>
      <w:r w:rsidR="00B054E2" w:rsidRPr="00DE697E">
        <w:rPr>
          <w:sz w:val="20"/>
          <w:szCs w:val="20"/>
        </w:rPr>
        <w:t xml:space="preserve">uric acid in control, moderate </w:t>
      </w:r>
      <w:r w:rsidRPr="00DE697E">
        <w:rPr>
          <w:sz w:val="20"/>
          <w:szCs w:val="20"/>
        </w:rPr>
        <w:t>CKD and severe CKD group was 5.03±0.74, 7.27±2.60 and 19.38±7.29 respectively (Table II). Multiple comparison showed significant difference (p&lt;0.05) in all the parameters (</w:t>
      </w:r>
      <w:proofErr w:type="spellStart"/>
      <w:r w:rsidRPr="00DE697E">
        <w:rPr>
          <w:sz w:val="20"/>
          <w:szCs w:val="20"/>
        </w:rPr>
        <w:t>catalase</w:t>
      </w:r>
      <w:proofErr w:type="spellEnd"/>
      <w:r w:rsidRPr="00DE697E">
        <w:rPr>
          <w:sz w:val="20"/>
          <w:szCs w:val="20"/>
        </w:rPr>
        <w:t xml:space="preserve">, SOD, MDA and GSH) of oxidative stress assessment as compare to control group and as compare to each other except for </w:t>
      </w:r>
      <w:proofErr w:type="spellStart"/>
      <w:r w:rsidRPr="00DE697E">
        <w:rPr>
          <w:sz w:val="20"/>
          <w:szCs w:val="20"/>
        </w:rPr>
        <w:t>catalase</w:t>
      </w:r>
      <w:proofErr w:type="spellEnd"/>
      <w:r w:rsidRPr="00DE697E">
        <w:rPr>
          <w:sz w:val="20"/>
          <w:szCs w:val="20"/>
        </w:rPr>
        <w:t xml:space="preserve"> levels where insignificant difference (p&gt;0.05) was observed among moderate and severe CKD (Table III). Multiple comparison showed significant (p&lt;0.05) difference in serum </w:t>
      </w:r>
      <w:proofErr w:type="spellStart"/>
      <w:r w:rsidRPr="00DE697E">
        <w:rPr>
          <w:sz w:val="20"/>
          <w:szCs w:val="20"/>
        </w:rPr>
        <w:t>creatinine</w:t>
      </w:r>
      <w:proofErr w:type="spellEnd"/>
      <w:r w:rsidRPr="00DE697E">
        <w:rPr>
          <w:sz w:val="20"/>
          <w:szCs w:val="20"/>
        </w:rPr>
        <w:t xml:space="preserve"> and urea levels in severe CKD and moderate CKD patients as compare to control group. For moderate group insignificant difference in serum uric acid level (p&gt;0.05) was observed as compare to control group while serum uric acid level of severe group showed significant alteration as compare to control group. </w:t>
      </w:r>
      <w:proofErr w:type="gramStart"/>
      <w:r w:rsidRPr="00DE697E">
        <w:rPr>
          <w:sz w:val="20"/>
          <w:szCs w:val="20"/>
        </w:rPr>
        <w:t>However significant difference in all the parameters was observed among both the case groups (severe CKD and moderate CKD) (Table IV).</w:t>
      </w:r>
      <w:proofErr w:type="gramEnd"/>
    </w:p>
    <w:p w:rsidR="00047256" w:rsidRPr="00DE697E" w:rsidRDefault="00047256" w:rsidP="00DE697E">
      <w:pPr>
        <w:snapToGrid w:val="0"/>
        <w:ind w:firstLine="425"/>
        <w:jc w:val="both"/>
        <w:rPr>
          <w:sz w:val="20"/>
          <w:szCs w:val="20"/>
        </w:rPr>
      </w:pPr>
      <w:r w:rsidRPr="00DE697E">
        <w:rPr>
          <w:sz w:val="20"/>
          <w:szCs w:val="20"/>
        </w:rPr>
        <w:t>In present study, there was a decrease in renal GSH in chronic kidney disease, as had bee</w:t>
      </w:r>
      <w:r w:rsidR="00B24421" w:rsidRPr="00DE697E">
        <w:rPr>
          <w:sz w:val="20"/>
          <w:szCs w:val="20"/>
        </w:rPr>
        <w:t>n shown in other studies [13-</w:t>
      </w:r>
      <w:r w:rsidRPr="00DE697E">
        <w:rPr>
          <w:sz w:val="20"/>
          <w:szCs w:val="20"/>
        </w:rPr>
        <w:t xml:space="preserve">15]. This decrease in GSH level could be explained by its consumption in scavenging free radicals and maintaining the </w:t>
      </w:r>
      <w:proofErr w:type="spellStart"/>
      <w:r w:rsidRPr="00DE697E">
        <w:rPr>
          <w:sz w:val="20"/>
          <w:szCs w:val="20"/>
        </w:rPr>
        <w:t>redox</w:t>
      </w:r>
      <w:proofErr w:type="spellEnd"/>
      <w:r w:rsidRPr="00DE697E">
        <w:rPr>
          <w:sz w:val="20"/>
          <w:szCs w:val="20"/>
        </w:rPr>
        <w:t xml:space="preserve"> s</w:t>
      </w:r>
      <w:r w:rsidR="00B24421" w:rsidRPr="00DE697E">
        <w:rPr>
          <w:sz w:val="20"/>
          <w:szCs w:val="20"/>
        </w:rPr>
        <w:t>tate of the cell during CKD [14-</w:t>
      </w:r>
      <w:r w:rsidRPr="00DE697E">
        <w:rPr>
          <w:sz w:val="20"/>
          <w:szCs w:val="20"/>
        </w:rPr>
        <w:t xml:space="preserve">16]. Decrease in renal </w:t>
      </w:r>
      <w:proofErr w:type="spellStart"/>
      <w:r w:rsidRPr="00DE697E">
        <w:rPr>
          <w:sz w:val="20"/>
          <w:szCs w:val="20"/>
        </w:rPr>
        <w:t>catalase</w:t>
      </w:r>
      <w:proofErr w:type="spellEnd"/>
      <w:r w:rsidRPr="00DE697E">
        <w:rPr>
          <w:sz w:val="20"/>
          <w:szCs w:val="20"/>
        </w:rPr>
        <w:t xml:space="preserve"> activity in CKD in present study is similar to other published data, which remarked decrease in </w:t>
      </w:r>
      <w:proofErr w:type="spellStart"/>
      <w:r w:rsidRPr="00DE697E">
        <w:rPr>
          <w:sz w:val="20"/>
          <w:szCs w:val="20"/>
        </w:rPr>
        <w:t>catalase</w:t>
      </w:r>
      <w:proofErr w:type="spellEnd"/>
      <w:r w:rsidRPr="00DE697E">
        <w:rPr>
          <w:sz w:val="20"/>
          <w:szCs w:val="20"/>
        </w:rPr>
        <w:t xml:space="preserve"> </w:t>
      </w:r>
      <w:r w:rsidRPr="00DE697E">
        <w:rPr>
          <w:sz w:val="20"/>
          <w:szCs w:val="20"/>
        </w:rPr>
        <w:lastRenderedPageBreak/>
        <w:t>activity as well as a reduction of its gene expression after renal failure [13].</w:t>
      </w:r>
      <w:r w:rsidRPr="00DE697E">
        <w:rPr>
          <w:color w:val="000000"/>
          <w:sz w:val="20"/>
          <w:szCs w:val="20"/>
        </w:rPr>
        <w:t xml:space="preserve"> </w:t>
      </w:r>
      <w:r w:rsidRPr="00DE697E">
        <w:rPr>
          <w:sz w:val="20"/>
          <w:szCs w:val="20"/>
        </w:rPr>
        <w:t xml:space="preserve">Significant increase in both BUN and </w:t>
      </w:r>
      <w:proofErr w:type="spellStart"/>
      <w:r w:rsidRPr="00DE697E">
        <w:rPr>
          <w:sz w:val="20"/>
          <w:szCs w:val="20"/>
        </w:rPr>
        <w:t>creatinine</w:t>
      </w:r>
      <w:proofErr w:type="spellEnd"/>
      <w:r w:rsidRPr="00DE697E">
        <w:rPr>
          <w:sz w:val="20"/>
          <w:szCs w:val="20"/>
        </w:rPr>
        <w:t xml:space="preserve"> showed that CKD resulted in serious renal injury. Similar results were o</w:t>
      </w:r>
      <w:r w:rsidR="00B24421" w:rsidRPr="00DE697E">
        <w:rPr>
          <w:sz w:val="20"/>
          <w:szCs w:val="20"/>
        </w:rPr>
        <w:t>btained in previous studies [17-</w:t>
      </w:r>
      <w:r w:rsidRPr="00DE697E">
        <w:rPr>
          <w:sz w:val="20"/>
          <w:szCs w:val="20"/>
        </w:rPr>
        <w:t>18]. Decreased effectiveness of the intracellular and plasma enzymatic and non</w:t>
      </w:r>
      <w:r w:rsidR="00B054E2" w:rsidRPr="00DE697E">
        <w:rPr>
          <w:sz w:val="20"/>
          <w:szCs w:val="20"/>
        </w:rPr>
        <w:t>-</w:t>
      </w:r>
      <w:r w:rsidRPr="00DE697E">
        <w:rPr>
          <w:sz w:val="20"/>
          <w:szCs w:val="20"/>
        </w:rPr>
        <w:t>enzymatic antioxidant protection systems contribute to</w:t>
      </w:r>
      <w:r w:rsidR="009C7DF1" w:rsidRPr="00DE697E">
        <w:rPr>
          <w:sz w:val="20"/>
          <w:szCs w:val="20"/>
        </w:rPr>
        <w:t xml:space="preserve"> increased oxidative stress [19-</w:t>
      </w:r>
      <w:r w:rsidRPr="00DE697E">
        <w:rPr>
          <w:sz w:val="20"/>
          <w:szCs w:val="20"/>
        </w:rPr>
        <w:t>20]. Superoxide dismutase is the first line of the intracellular antioxidant system [21]. The most active antioxidant of non</w:t>
      </w:r>
      <w:r w:rsidR="00B054E2" w:rsidRPr="00DE697E">
        <w:rPr>
          <w:sz w:val="20"/>
          <w:szCs w:val="20"/>
        </w:rPr>
        <w:t>-</w:t>
      </w:r>
      <w:r w:rsidRPr="00DE697E">
        <w:rPr>
          <w:sz w:val="20"/>
          <w:szCs w:val="20"/>
        </w:rPr>
        <w:t>enzymatic origin is GSH, which is the scavenger for H</w:t>
      </w:r>
      <w:r w:rsidRPr="00DE697E">
        <w:rPr>
          <w:sz w:val="20"/>
          <w:szCs w:val="20"/>
          <w:vertAlign w:val="subscript"/>
        </w:rPr>
        <w:t>2</w:t>
      </w:r>
      <w:r w:rsidRPr="00DE697E">
        <w:rPr>
          <w:sz w:val="20"/>
          <w:szCs w:val="20"/>
        </w:rPr>
        <w:t>O</w:t>
      </w:r>
      <w:r w:rsidRPr="00DE697E">
        <w:rPr>
          <w:sz w:val="20"/>
          <w:szCs w:val="20"/>
          <w:vertAlign w:val="subscript"/>
        </w:rPr>
        <w:t>2</w:t>
      </w:r>
      <w:r w:rsidRPr="00DE697E">
        <w:rPr>
          <w:sz w:val="20"/>
          <w:szCs w:val="20"/>
        </w:rPr>
        <w:t>, OH</w:t>
      </w:r>
      <w:r w:rsidRPr="00DE697E">
        <w:rPr>
          <w:sz w:val="20"/>
          <w:szCs w:val="20"/>
          <w:vertAlign w:val="superscript"/>
        </w:rPr>
        <w:t>–</w:t>
      </w:r>
      <w:r w:rsidRPr="00DE697E">
        <w:rPr>
          <w:sz w:val="20"/>
          <w:szCs w:val="20"/>
        </w:rPr>
        <w:t xml:space="preserve"> ions, and chlorinated oxidants [22]. Reduced glutathione is a low molecular </w:t>
      </w:r>
      <w:proofErr w:type="spellStart"/>
      <w:r w:rsidRPr="00DE697E">
        <w:rPr>
          <w:sz w:val="20"/>
          <w:szCs w:val="20"/>
        </w:rPr>
        <w:t>thiol</w:t>
      </w:r>
      <w:proofErr w:type="spellEnd"/>
      <w:r w:rsidRPr="00DE697E">
        <w:rPr>
          <w:sz w:val="20"/>
          <w:szCs w:val="20"/>
        </w:rPr>
        <w:t xml:space="preserve"> (SH) involved as substrate for GSH-</w:t>
      </w:r>
      <w:proofErr w:type="spellStart"/>
      <w:r w:rsidRPr="00DE697E">
        <w:rPr>
          <w:sz w:val="20"/>
          <w:szCs w:val="20"/>
        </w:rPr>
        <w:t>Px</w:t>
      </w:r>
      <w:proofErr w:type="spellEnd"/>
      <w:r w:rsidRPr="00DE697E">
        <w:rPr>
          <w:sz w:val="20"/>
          <w:szCs w:val="20"/>
        </w:rPr>
        <w:t>, which generally prevents protein SH groups from oxidation and cross-linkage [23].</w:t>
      </w:r>
    </w:p>
    <w:p w:rsidR="00047256" w:rsidRDefault="00047256" w:rsidP="00DE697E">
      <w:pPr>
        <w:snapToGrid w:val="0"/>
        <w:ind w:firstLine="425"/>
        <w:jc w:val="both"/>
        <w:rPr>
          <w:sz w:val="20"/>
          <w:szCs w:val="20"/>
          <w:lang w:eastAsia="zh-CN"/>
        </w:rPr>
      </w:pPr>
      <w:r w:rsidRPr="00DE697E">
        <w:rPr>
          <w:sz w:val="20"/>
          <w:szCs w:val="20"/>
        </w:rPr>
        <w:t xml:space="preserve">Various authors have found high MDA levels in CKD patients on HD [24]. </w:t>
      </w:r>
      <w:proofErr w:type="gramStart"/>
      <w:r w:rsidRPr="00DE697E">
        <w:rPr>
          <w:sz w:val="20"/>
          <w:szCs w:val="20"/>
        </w:rPr>
        <w:t xml:space="preserve">The end-products of protein and carbohydrate oxidation, </w:t>
      </w:r>
      <w:proofErr w:type="spellStart"/>
      <w:r w:rsidRPr="00DE697E">
        <w:rPr>
          <w:sz w:val="20"/>
          <w:szCs w:val="20"/>
        </w:rPr>
        <w:t>malonhyaldeyde</w:t>
      </w:r>
      <w:proofErr w:type="spellEnd"/>
      <w:r w:rsidRPr="00DE697E">
        <w:rPr>
          <w:sz w:val="20"/>
          <w:szCs w:val="20"/>
        </w:rPr>
        <w:t xml:space="preserve"> and glutathione </w:t>
      </w:r>
      <w:proofErr w:type="spellStart"/>
      <w:r w:rsidRPr="00DE697E">
        <w:rPr>
          <w:sz w:val="20"/>
          <w:szCs w:val="20"/>
        </w:rPr>
        <w:t>hyperoxidase</w:t>
      </w:r>
      <w:proofErr w:type="spellEnd"/>
      <w:r w:rsidRPr="00DE697E">
        <w:rPr>
          <w:sz w:val="20"/>
          <w:szCs w:val="20"/>
        </w:rPr>
        <w:t xml:space="preserve">, in 162 patients with GFRs ranging from 80 to 20 </w:t>
      </w:r>
      <w:proofErr w:type="spellStart"/>
      <w:r w:rsidRPr="00DE697E">
        <w:rPr>
          <w:sz w:val="20"/>
          <w:szCs w:val="20"/>
        </w:rPr>
        <w:t>mL</w:t>
      </w:r>
      <w:proofErr w:type="spellEnd"/>
      <w:r w:rsidRPr="00DE697E">
        <w:rPr>
          <w:sz w:val="20"/>
          <w:szCs w:val="20"/>
        </w:rPr>
        <w:t xml:space="preserve">/min (1.33 to 0.33 </w:t>
      </w:r>
      <w:proofErr w:type="spellStart"/>
      <w:r w:rsidRPr="00DE697E">
        <w:rPr>
          <w:sz w:val="20"/>
          <w:szCs w:val="20"/>
        </w:rPr>
        <w:t>mL</w:t>
      </w:r>
      <w:proofErr w:type="spellEnd"/>
      <w:r w:rsidRPr="00DE697E">
        <w:rPr>
          <w:sz w:val="20"/>
          <w:szCs w:val="20"/>
        </w:rPr>
        <w:t>/s).</w:t>
      </w:r>
      <w:proofErr w:type="gramEnd"/>
      <w:r w:rsidRPr="00DE697E">
        <w:rPr>
          <w:sz w:val="20"/>
          <w:szCs w:val="20"/>
        </w:rPr>
        <w:t xml:space="preserve"> They found that levels of end products of protein oxidation were higher compared with controls and correlated inversely with </w:t>
      </w:r>
      <w:proofErr w:type="spellStart"/>
      <w:r w:rsidR="00013B6D" w:rsidRPr="00DE697E">
        <w:rPr>
          <w:sz w:val="20"/>
          <w:szCs w:val="20"/>
        </w:rPr>
        <w:t>glomerular</w:t>
      </w:r>
      <w:proofErr w:type="spellEnd"/>
      <w:r w:rsidR="00013B6D" w:rsidRPr="00DE697E">
        <w:rPr>
          <w:sz w:val="20"/>
          <w:szCs w:val="20"/>
        </w:rPr>
        <w:t xml:space="preserve"> filtration rate (</w:t>
      </w:r>
      <w:r w:rsidRPr="00DE697E">
        <w:rPr>
          <w:sz w:val="20"/>
          <w:szCs w:val="20"/>
        </w:rPr>
        <w:t>GFR</w:t>
      </w:r>
      <w:r w:rsidR="00013B6D" w:rsidRPr="00DE697E">
        <w:rPr>
          <w:sz w:val="20"/>
          <w:szCs w:val="20"/>
        </w:rPr>
        <w:t>)</w:t>
      </w:r>
      <w:r w:rsidRPr="00DE697E">
        <w:rPr>
          <w:sz w:val="20"/>
          <w:szCs w:val="20"/>
        </w:rPr>
        <w:t xml:space="preserve"> [25]. Moreover, CAT and SOD activities were increased, as well as the GSH levels, to compensate for the oxidative stress </w:t>
      </w:r>
      <w:proofErr w:type="gramStart"/>
      <w:r w:rsidRPr="00DE697E">
        <w:rPr>
          <w:sz w:val="20"/>
          <w:szCs w:val="20"/>
        </w:rPr>
        <w:t>that results</w:t>
      </w:r>
      <w:proofErr w:type="gramEnd"/>
      <w:r w:rsidRPr="00DE697E">
        <w:rPr>
          <w:sz w:val="20"/>
          <w:szCs w:val="20"/>
        </w:rPr>
        <w:t xml:space="preserve"> fr</w:t>
      </w:r>
      <w:r w:rsidR="006A18FF" w:rsidRPr="00DE697E">
        <w:rPr>
          <w:sz w:val="20"/>
          <w:szCs w:val="20"/>
        </w:rPr>
        <w:t xml:space="preserve">om the </w:t>
      </w:r>
      <w:proofErr w:type="spellStart"/>
      <w:r w:rsidR="006A18FF" w:rsidRPr="00DE697E">
        <w:rPr>
          <w:sz w:val="20"/>
          <w:szCs w:val="20"/>
        </w:rPr>
        <w:t>hemo</w:t>
      </w:r>
      <w:proofErr w:type="spellEnd"/>
      <w:r w:rsidR="00B054E2" w:rsidRPr="00DE697E">
        <w:rPr>
          <w:sz w:val="20"/>
          <w:szCs w:val="20"/>
        </w:rPr>
        <w:t>-</w:t>
      </w:r>
      <w:r w:rsidR="006A18FF" w:rsidRPr="00DE697E">
        <w:rPr>
          <w:sz w:val="20"/>
          <w:szCs w:val="20"/>
        </w:rPr>
        <w:t>dialysis process [26-</w:t>
      </w:r>
      <w:r w:rsidRPr="00DE697E">
        <w:rPr>
          <w:sz w:val="20"/>
          <w:szCs w:val="20"/>
        </w:rPr>
        <w:t>27].</w:t>
      </w:r>
    </w:p>
    <w:p w:rsidR="00DE697E" w:rsidRPr="00DE697E" w:rsidRDefault="00DE697E" w:rsidP="00DE697E">
      <w:pPr>
        <w:snapToGrid w:val="0"/>
        <w:ind w:firstLine="425"/>
        <w:jc w:val="both"/>
        <w:rPr>
          <w:sz w:val="20"/>
          <w:szCs w:val="20"/>
          <w:lang w:eastAsia="zh-CN"/>
        </w:rPr>
      </w:pPr>
    </w:p>
    <w:p w:rsidR="00047256" w:rsidRPr="00DE697E" w:rsidRDefault="00047256" w:rsidP="00DE697E">
      <w:pPr>
        <w:autoSpaceDE w:val="0"/>
        <w:autoSpaceDN w:val="0"/>
        <w:adjustRightInd w:val="0"/>
        <w:snapToGrid w:val="0"/>
        <w:jc w:val="both"/>
        <w:rPr>
          <w:b/>
          <w:sz w:val="20"/>
          <w:szCs w:val="20"/>
        </w:rPr>
      </w:pPr>
      <w:r w:rsidRPr="00DE697E">
        <w:rPr>
          <w:b/>
          <w:sz w:val="20"/>
          <w:szCs w:val="20"/>
        </w:rPr>
        <w:t>Acknowledgements:</w:t>
      </w:r>
    </w:p>
    <w:p w:rsidR="00047256" w:rsidRDefault="00047256" w:rsidP="00DE697E">
      <w:pPr>
        <w:autoSpaceDE w:val="0"/>
        <w:autoSpaceDN w:val="0"/>
        <w:adjustRightInd w:val="0"/>
        <w:snapToGrid w:val="0"/>
        <w:ind w:firstLine="425"/>
        <w:jc w:val="both"/>
        <w:rPr>
          <w:sz w:val="20"/>
          <w:szCs w:val="20"/>
          <w:lang w:eastAsia="zh-CN"/>
        </w:rPr>
      </w:pPr>
      <w:r w:rsidRPr="00DE697E">
        <w:rPr>
          <w:sz w:val="20"/>
          <w:szCs w:val="20"/>
        </w:rPr>
        <w:t xml:space="preserve">The authors are thankful to Ms. </w:t>
      </w:r>
      <w:proofErr w:type="spellStart"/>
      <w:r w:rsidRPr="00DE697E">
        <w:rPr>
          <w:sz w:val="20"/>
          <w:szCs w:val="20"/>
        </w:rPr>
        <w:t>Rabail</w:t>
      </w:r>
      <w:proofErr w:type="spellEnd"/>
      <w:r w:rsidRPr="00DE697E">
        <w:rPr>
          <w:sz w:val="20"/>
          <w:szCs w:val="20"/>
        </w:rPr>
        <w:t xml:space="preserve"> </w:t>
      </w:r>
      <w:proofErr w:type="spellStart"/>
      <w:r w:rsidRPr="00DE697E">
        <w:rPr>
          <w:sz w:val="20"/>
          <w:szCs w:val="20"/>
        </w:rPr>
        <w:t>Alam</w:t>
      </w:r>
      <w:proofErr w:type="spellEnd"/>
      <w:r w:rsidRPr="00DE697E">
        <w:rPr>
          <w:sz w:val="20"/>
          <w:szCs w:val="20"/>
        </w:rPr>
        <w:t>, Lecturer, Institute of Molecular Biology and Biotechnology, The University of Lahore Pakistan for her help in statistical analysis of the data</w:t>
      </w:r>
      <w:r w:rsidR="00564994" w:rsidRPr="00DE697E">
        <w:rPr>
          <w:sz w:val="20"/>
          <w:szCs w:val="20"/>
        </w:rPr>
        <w:t xml:space="preserve"> and Dr</w:t>
      </w:r>
      <w:r w:rsidRPr="00DE697E">
        <w:rPr>
          <w:sz w:val="20"/>
          <w:szCs w:val="20"/>
        </w:rPr>
        <w:t>.</w:t>
      </w:r>
      <w:r w:rsidR="00564994" w:rsidRPr="00DE697E">
        <w:rPr>
          <w:sz w:val="20"/>
          <w:szCs w:val="20"/>
        </w:rPr>
        <w:t xml:space="preserve"> </w:t>
      </w:r>
      <w:proofErr w:type="spellStart"/>
      <w:r w:rsidR="00564994" w:rsidRPr="00DE697E">
        <w:rPr>
          <w:sz w:val="20"/>
          <w:szCs w:val="20"/>
        </w:rPr>
        <w:t>Qurban</w:t>
      </w:r>
      <w:proofErr w:type="spellEnd"/>
      <w:r w:rsidR="00564994" w:rsidRPr="00DE697E">
        <w:rPr>
          <w:sz w:val="20"/>
          <w:szCs w:val="20"/>
        </w:rPr>
        <w:t xml:space="preserve"> Ali Assistant Professor, </w:t>
      </w:r>
      <w:r w:rsidR="00564994" w:rsidRPr="00DE697E">
        <w:rPr>
          <w:bCs/>
          <w:sz w:val="20"/>
          <w:szCs w:val="20"/>
        </w:rPr>
        <w:t>Centre of Excellence in Molecular Biology, University of the Punjab Lahore, Pakistan</w:t>
      </w:r>
      <w:r w:rsidR="00564994" w:rsidRPr="00DE697E">
        <w:rPr>
          <w:sz w:val="20"/>
          <w:szCs w:val="20"/>
        </w:rPr>
        <w:t xml:space="preserve"> for proof reading of manuscript.</w:t>
      </w:r>
    </w:p>
    <w:p w:rsidR="00DE697E" w:rsidRPr="00DE697E" w:rsidRDefault="00DE697E" w:rsidP="00DE697E">
      <w:pPr>
        <w:autoSpaceDE w:val="0"/>
        <w:autoSpaceDN w:val="0"/>
        <w:adjustRightInd w:val="0"/>
        <w:snapToGrid w:val="0"/>
        <w:ind w:firstLine="425"/>
        <w:jc w:val="both"/>
        <w:rPr>
          <w:sz w:val="20"/>
          <w:szCs w:val="20"/>
          <w:lang w:eastAsia="zh-CN"/>
        </w:rPr>
      </w:pPr>
    </w:p>
    <w:p w:rsidR="00047256" w:rsidRPr="00DE697E" w:rsidRDefault="00047256" w:rsidP="00DE697E">
      <w:pPr>
        <w:autoSpaceDE w:val="0"/>
        <w:autoSpaceDN w:val="0"/>
        <w:adjustRightInd w:val="0"/>
        <w:snapToGrid w:val="0"/>
        <w:jc w:val="both"/>
        <w:rPr>
          <w:b/>
          <w:bCs/>
          <w:sz w:val="20"/>
          <w:szCs w:val="20"/>
        </w:rPr>
      </w:pPr>
      <w:r w:rsidRPr="00DE697E">
        <w:rPr>
          <w:b/>
          <w:bCs/>
          <w:sz w:val="20"/>
          <w:szCs w:val="20"/>
        </w:rPr>
        <w:t>Corresponding author:</w:t>
      </w:r>
    </w:p>
    <w:p w:rsidR="00047256" w:rsidRPr="00DE697E" w:rsidRDefault="00047256" w:rsidP="00DE697E">
      <w:pPr>
        <w:autoSpaceDE w:val="0"/>
        <w:autoSpaceDN w:val="0"/>
        <w:adjustRightInd w:val="0"/>
        <w:snapToGrid w:val="0"/>
        <w:jc w:val="both"/>
        <w:rPr>
          <w:b/>
          <w:sz w:val="20"/>
          <w:szCs w:val="20"/>
        </w:rPr>
      </w:pPr>
      <w:proofErr w:type="spellStart"/>
      <w:r w:rsidRPr="00DE697E">
        <w:rPr>
          <w:b/>
          <w:sz w:val="20"/>
          <w:szCs w:val="20"/>
        </w:rPr>
        <w:t>Kalsoom</w:t>
      </w:r>
      <w:proofErr w:type="spellEnd"/>
      <w:r w:rsidRPr="00DE697E">
        <w:rPr>
          <w:b/>
          <w:sz w:val="20"/>
          <w:szCs w:val="20"/>
        </w:rPr>
        <w:t xml:space="preserve"> </w:t>
      </w:r>
      <w:proofErr w:type="spellStart"/>
      <w:r w:rsidRPr="00DE697E">
        <w:rPr>
          <w:b/>
          <w:sz w:val="20"/>
          <w:szCs w:val="20"/>
        </w:rPr>
        <w:t>Zaigham</w:t>
      </w:r>
      <w:proofErr w:type="spellEnd"/>
    </w:p>
    <w:p w:rsidR="00047256" w:rsidRPr="00DE697E" w:rsidRDefault="00047256" w:rsidP="00DE697E">
      <w:pPr>
        <w:autoSpaceDE w:val="0"/>
        <w:autoSpaceDN w:val="0"/>
        <w:adjustRightInd w:val="0"/>
        <w:snapToGrid w:val="0"/>
        <w:jc w:val="both"/>
        <w:rPr>
          <w:sz w:val="20"/>
          <w:szCs w:val="20"/>
        </w:rPr>
      </w:pPr>
      <w:r w:rsidRPr="00DE697E">
        <w:rPr>
          <w:sz w:val="20"/>
          <w:szCs w:val="20"/>
        </w:rPr>
        <w:t>Assistant</w:t>
      </w:r>
      <w:r w:rsidR="00DE697E">
        <w:rPr>
          <w:sz w:val="20"/>
          <w:szCs w:val="20"/>
        </w:rPr>
        <w:t xml:space="preserve"> </w:t>
      </w:r>
      <w:r w:rsidRPr="00DE697E">
        <w:rPr>
          <w:sz w:val="20"/>
          <w:szCs w:val="20"/>
        </w:rPr>
        <w:t>Professor,</w:t>
      </w:r>
    </w:p>
    <w:p w:rsidR="00DE697E" w:rsidRDefault="00047256" w:rsidP="00DE697E">
      <w:pPr>
        <w:autoSpaceDE w:val="0"/>
        <w:autoSpaceDN w:val="0"/>
        <w:adjustRightInd w:val="0"/>
        <w:snapToGrid w:val="0"/>
        <w:jc w:val="both"/>
        <w:rPr>
          <w:b/>
          <w:bCs/>
          <w:sz w:val="20"/>
          <w:szCs w:val="20"/>
        </w:rPr>
      </w:pPr>
      <w:r w:rsidRPr="00DE697E">
        <w:rPr>
          <w:sz w:val="20"/>
          <w:szCs w:val="20"/>
        </w:rPr>
        <w:t>Institute</w:t>
      </w:r>
      <w:r w:rsidR="00DE697E">
        <w:rPr>
          <w:sz w:val="20"/>
          <w:szCs w:val="20"/>
        </w:rPr>
        <w:t xml:space="preserve"> </w:t>
      </w:r>
      <w:r w:rsidRPr="00DE697E">
        <w:rPr>
          <w:sz w:val="20"/>
          <w:szCs w:val="20"/>
        </w:rPr>
        <w:t>of</w:t>
      </w:r>
      <w:r w:rsidR="00DE697E">
        <w:rPr>
          <w:sz w:val="20"/>
          <w:szCs w:val="20"/>
        </w:rPr>
        <w:t xml:space="preserve"> </w:t>
      </w:r>
      <w:r w:rsidRPr="00DE697E">
        <w:rPr>
          <w:sz w:val="20"/>
          <w:szCs w:val="20"/>
        </w:rPr>
        <w:t>Molecular</w:t>
      </w:r>
      <w:r w:rsidR="00DE697E">
        <w:rPr>
          <w:sz w:val="20"/>
          <w:szCs w:val="20"/>
        </w:rPr>
        <w:t xml:space="preserve"> </w:t>
      </w:r>
      <w:r w:rsidRPr="00DE697E">
        <w:rPr>
          <w:sz w:val="20"/>
          <w:szCs w:val="20"/>
        </w:rPr>
        <w:t>Biology</w:t>
      </w:r>
      <w:r w:rsidR="00DE697E">
        <w:rPr>
          <w:sz w:val="20"/>
          <w:szCs w:val="20"/>
        </w:rPr>
        <w:t xml:space="preserve"> </w:t>
      </w:r>
      <w:r w:rsidRPr="00DE697E">
        <w:rPr>
          <w:sz w:val="20"/>
          <w:szCs w:val="20"/>
        </w:rPr>
        <w:t>and</w:t>
      </w:r>
      <w:r w:rsidR="00DE697E">
        <w:rPr>
          <w:sz w:val="20"/>
          <w:szCs w:val="20"/>
        </w:rPr>
        <w:t xml:space="preserve"> </w:t>
      </w:r>
      <w:r w:rsidRPr="00DE697E">
        <w:rPr>
          <w:sz w:val="20"/>
          <w:szCs w:val="20"/>
        </w:rPr>
        <w:t>Biotechnology</w:t>
      </w:r>
      <w:r w:rsidR="00DE697E">
        <w:rPr>
          <w:sz w:val="20"/>
          <w:szCs w:val="20"/>
        </w:rPr>
        <w:t xml:space="preserve"> </w:t>
      </w:r>
    </w:p>
    <w:p w:rsidR="00047256" w:rsidRPr="00DE697E" w:rsidRDefault="00047256" w:rsidP="00DE697E">
      <w:pPr>
        <w:autoSpaceDE w:val="0"/>
        <w:autoSpaceDN w:val="0"/>
        <w:adjustRightInd w:val="0"/>
        <w:snapToGrid w:val="0"/>
        <w:jc w:val="both"/>
        <w:rPr>
          <w:sz w:val="20"/>
          <w:szCs w:val="20"/>
        </w:rPr>
      </w:pPr>
      <w:r w:rsidRPr="00DE697E">
        <w:rPr>
          <w:sz w:val="20"/>
          <w:szCs w:val="20"/>
        </w:rPr>
        <w:t>The</w:t>
      </w:r>
      <w:r w:rsidR="00DE697E">
        <w:rPr>
          <w:sz w:val="20"/>
          <w:szCs w:val="20"/>
        </w:rPr>
        <w:t xml:space="preserve"> </w:t>
      </w:r>
      <w:r w:rsidRPr="00DE697E">
        <w:rPr>
          <w:sz w:val="20"/>
          <w:szCs w:val="20"/>
        </w:rPr>
        <w:t>University</w:t>
      </w:r>
      <w:r w:rsidR="00DE697E">
        <w:rPr>
          <w:sz w:val="20"/>
          <w:szCs w:val="20"/>
        </w:rPr>
        <w:t xml:space="preserve"> </w:t>
      </w:r>
      <w:r w:rsidRPr="00DE697E">
        <w:rPr>
          <w:sz w:val="20"/>
          <w:szCs w:val="20"/>
        </w:rPr>
        <w:t>of</w:t>
      </w:r>
      <w:r w:rsidR="00DE697E">
        <w:rPr>
          <w:sz w:val="20"/>
          <w:szCs w:val="20"/>
        </w:rPr>
        <w:t xml:space="preserve"> </w:t>
      </w:r>
      <w:r w:rsidRPr="00DE697E">
        <w:rPr>
          <w:sz w:val="20"/>
          <w:szCs w:val="20"/>
        </w:rPr>
        <w:t>Lahore,</w:t>
      </w:r>
      <w:r w:rsidR="00DE697E">
        <w:rPr>
          <w:sz w:val="20"/>
          <w:szCs w:val="20"/>
        </w:rPr>
        <w:t xml:space="preserve"> </w:t>
      </w:r>
      <w:r w:rsidRPr="00DE697E">
        <w:rPr>
          <w:sz w:val="20"/>
          <w:szCs w:val="20"/>
        </w:rPr>
        <w:t>Lahore</w:t>
      </w:r>
      <w:r w:rsidR="00DE697E">
        <w:rPr>
          <w:sz w:val="20"/>
          <w:szCs w:val="20"/>
        </w:rPr>
        <w:t xml:space="preserve"> </w:t>
      </w:r>
      <w:r w:rsidRPr="00DE697E">
        <w:rPr>
          <w:sz w:val="20"/>
          <w:szCs w:val="20"/>
        </w:rPr>
        <w:t>54000,</w:t>
      </w:r>
      <w:r w:rsidR="00DE697E">
        <w:rPr>
          <w:sz w:val="20"/>
          <w:szCs w:val="20"/>
        </w:rPr>
        <w:t xml:space="preserve"> </w:t>
      </w:r>
      <w:r w:rsidRPr="00DE697E">
        <w:rPr>
          <w:sz w:val="20"/>
          <w:szCs w:val="20"/>
        </w:rPr>
        <w:t>Pakistan</w:t>
      </w:r>
    </w:p>
    <w:p w:rsidR="00047256" w:rsidRPr="00DE697E" w:rsidRDefault="00047256" w:rsidP="00DE697E">
      <w:pPr>
        <w:autoSpaceDE w:val="0"/>
        <w:autoSpaceDN w:val="0"/>
        <w:adjustRightInd w:val="0"/>
        <w:snapToGrid w:val="0"/>
        <w:jc w:val="both"/>
        <w:rPr>
          <w:sz w:val="20"/>
          <w:szCs w:val="20"/>
          <w:lang w:eastAsia="zh-CN"/>
        </w:rPr>
      </w:pPr>
      <w:r w:rsidRPr="00DE697E">
        <w:rPr>
          <w:sz w:val="20"/>
          <w:szCs w:val="20"/>
        </w:rPr>
        <w:t xml:space="preserve">Email: </w:t>
      </w:r>
      <w:hyperlink r:id="rId18" w:history="1">
        <w:r w:rsidR="00410F8C" w:rsidRPr="00DE697E">
          <w:rPr>
            <w:rStyle w:val="Hyperlink"/>
            <w:sz w:val="20"/>
            <w:szCs w:val="20"/>
          </w:rPr>
          <w:t>kalsimbb@yahoo.com</w:t>
        </w:r>
      </w:hyperlink>
    </w:p>
    <w:p w:rsidR="00DE697E" w:rsidRPr="00DE697E" w:rsidRDefault="00DE697E" w:rsidP="00DE697E">
      <w:pPr>
        <w:autoSpaceDE w:val="0"/>
        <w:autoSpaceDN w:val="0"/>
        <w:adjustRightInd w:val="0"/>
        <w:snapToGrid w:val="0"/>
        <w:jc w:val="both"/>
        <w:rPr>
          <w:sz w:val="20"/>
          <w:szCs w:val="20"/>
          <w:lang w:eastAsia="zh-CN"/>
        </w:rPr>
      </w:pPr>
    </w:p>
    <w:p w:rsidR="00047256" w:rsidRPr="00DE697E" w:rsidRDefault="00DE697E" w:rsidP="00DE697E">
      <w:pPr>
        <w:snapToGrid w:val="0"/>
        <w:jc w:val="both"/>
        <w:rPr>
          <w:b/>
          <w:sz w:val="20"/>
          <w:szCs w:val="20"/>
        </w:rPr>
      </w:pPr>
      <w:r w:rsidRPr="00DE697E">
        <w:rPr>
          <w:b/>
          <w:sz w:val="20"/>
          <w:szCs w:val="20"/>
        </w:rPr>
        <w:t>References</w:t>
      </w:r>
    </w:p>
    <w:p w:rsidR="00047256" w:rsidRPr="00DE697E" w:rsidRDefault="00D8616E" w:rsidP="00DE697E">
      <w:pPr>
        <w:numPr>
          <w:ilvl w:val="0"/>
          <w:numId w:val="7"/>
        </w:numPr>
        <w:suppressAutoHyphens w:val="0"/>
        <w:snapToGrid w:val="0"/>
        <w:ind w:left="425" w:hanging="425"/>
        <w:jc w:val="both"/>
        <w:rPr>
          <w:sz w:val="20"/>
          <w:szCs w:val="20"/>
        </w:rPr>
      </w:pPr>
      <w:r w:rsidRPr="00DE697E">
        <w:rPr>
          <w:sz w:val="20"/>
          <w:szCs w:val="20"/>
        </w:rPr>
        <w:t>Webb S</w:t>
      </w:r>
      <w:r w:rsidR="00047256" w:rsidRPr="00DE697E">
        <w:rPr>
          <w:sz w:val="20"/>
          <w:szCs w:val="20"/>
        </w:rPr>
        <w:t xml:space="preserve"> and Dobb G. Acute kidney injury. </w:t>
      </w:r>
      <w:proofErr w:type="spellStart"/>
      <w:r w:rsidR="00047256" w:rsidRPr="00DE697E">
        <w:rPr>
          <w:sz w:val="20"/>
          <w:szCs w:val="20"/>
        </w:rPr>
        <w:t>Anesth</w:t>
      </w:r>
      <w:proofErr w:type="spellEnd"/>
      <w:r w:rsidR="00047256" w:rsidRPr="00DE697E">
        <w:rPr>
          <w:sz w:val="20"/>
          <w:szCs w:val="20"/>
        </w:rPr>
        <w:t xml:space="preserve">. </w:t>
      </w:r>
      <w:proofErr w:type="spellStart"/>
      <w:r w:rsidR="00047256" w:rsidRPr="00DE697E">
        <w:rPr>
          <w:sz w:val="20"/>
          <w:szCs w:val="20"/>
        </w:rPr>
        <w:t>Intens</w:t>
      </w:r>
      <w:proofErr w:type="spellEnd"/>
      <w:r w:rsidR="00047256" w:rsidRPr="00DE697E">
        <w:rPr>
          <w:sz w:val="20"/>
          <w:szCs w:val="20"/>
        </w:rPr>
        <w:t>. Care.</w:t>
      </w:r>
      <w:r w:rsidR="00897A4E">
        <w:rPr>
          <w:rFonts w:hint="eastAsia"/>
          <w:sz w:val="20"/>
          <w:szCs w:val="20"/>
          <w:lang w:eastAsia="zh-CN"/>
        </w:rPr>
        <w:t xml:space="preserve"> </w:t>
      </w:r>
      <w:r w:rsidR="00047256" w:rsidRPr="00DE697E">
        <w:rPr>
          <w:sz w:val="20"/>
          <w:szCs w:val="20"/>
        </w:rPr>
        <w:t>2007</w:t>
      </w:r>
      <w:proofErr w:type="gramStart"/>
      <w:r w:rsidR="00047256" w:rsidRPr="00DE697E">
        <w:rPr>
          <w:sz w:val="20"/>
          <w:szCs w:val="20"/>
        </w:rPr>
        <w:t>;35</w:t>
      </w:r>
      <w:proofErr w:type="gramEnd"/>
      <w:r w:rsidR="00047256" w:rsidRPr="00DE697E">
        <w:rPr>
          <w:sz w:val="20"/>
          <w:szCs w:val="20"/>
        </w:rPr>
        <w:t>(6): 843-844.</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Slatopolsky</w:t>
      </w:r>
      <w:proofErr w:type="spellEnd"/>
      <w:r w:rsidRPr="00DE697E">
        <w:rPr>
          <w:sz w:val="20"/>
          <w:szCs w:val="20"/>
        </w:rPr>
        <w:t xml:space="preserve"> E, Brown A, and </w:t>
      </w:r>
      <w:proofErr w:type="spellStart"/>
      <w:r w:rsidRPr="00DE697E">
        <w:rPr>
          <w:sz w:val="20"/>
          <w:szCs w:val="20"/>
        </w:rPr>
        <w:t>Dusso</w:t>
      </w:r>
      <w:proofErr w:type="spellEnd"/>
      <w:r w:rsidRPr="00DE697E">
        <w:rPr>
          <w:sz w:val="20"/>
          <w:szCs w:val="20"/>
        </w:rPr>
        <w:t xml:space="preserve"> A. Role of phosphorous in the pathogenesis of secondary hyperparathyroidism. Am. J. Kidney. Dis.</w:t>
      </w:r>
      <w:r w:rsidR="00897A4E">
        <w:rPr>
          <w:rFonts w:hint="eastAsia"/>
          <w:sz w:val="20"/>
          <w:szCs w:val="20"/>
          <w:lang w:eastAsia="zh-CN"/>
        </w:rPr>
        <w:t xml:space="preserve"> </w:t>
      </w:r>
      <w:r w:rsidRPr="00DE697E">
        <w:rPr>
          <w:sz w:val="20"/>
          <w:szCs w:val="20"/>
        </w:rPr>
        <w:t>2001</w:t>
      </w:r>
      <w:proofErr w:type="gramStart"/>
      <w:r w:rsidRPr="00DE697E">
        <w:rPr>
          <w:sz w:val="20"/>
          <w:szCs w:val="20"/>
        </w:rPr>
        <w:t>;37:54</w:t>
      </w:r>
      <w:proofErr w:type="gramEnd"/>
      <w:r w:rsidRPr="00DE697E">
        <w:rPr>
          <w:sz w:val="20"/>
          <w:szCs w:val="20"/>
        </w:rPr>
        <w:t>-57.</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Perneger</w:t>
      </w:r>
      <w:proofErr w:type="spellEnd"/>
      <w:r w:rsidRPr="00DE697E">
        <w:rPr>
          <w:sz w:val="20"/>
          <w:szCs w:val="20"/>
        </w:rPr>
        <w:t xml:space="preserve"> TV, </w:t>
      </w:r>
      <w:proofErr w:type="spellStart"/>
      <w:r w:rsidRPr="00DE697E">
        <w:rPr>
          <w:sz w:val="20"/>
          <w:szCs w:val="20"/>
        </w:rPr>
        <w:t>Whelton</w:t>
      </w:r>
      <w:proofErr w:type="spellEnd"/>
      <w:r w:rsidRPr="00DE697E">
        <w:rPr>
          <w:sz w:val="20"/>
          <w:szCs w:val="20"/>
        </w:rPr>
        <w:t xml:space="preserve"> PK, </w:t>
      </w:r>
      <w:proofErr w:type="spellStart"/>
      <w:proofErr w:type="gramStart"/>
      <w:r w:rsidRPr="00DE697E">
        <w:rPr>
          <w:sz w:val="20"/>
          <w:szCs w:val="20"/>
        </w:rPr>
        <w:t>Klag</w:t>
      </w:r>
      <w:proofErr w:type="spellEnd"/>
      <w:r w:rsidRPr="00DE697E">
        <w:rPr>
          <w:sz w:val="20"/>
          <w:szCs w:val="20"/>
        </w:rPr>
        <w:t xml:space="preserve">  MJ</w:t>
      </w:r>
      <w:proofErr w:type="gramEnd"/>
      <w:r w:rsidRPr="00DE697E">
        <w:rPr>
          <w:sz w:val="20"/>
          <w:szCs w:val="20"/>
        </w:rPr>
        <w:t xml:space="preserve">. Risk of kidney failure associated with the use of acetaminophen, aspirin and non steroidal anti </w:t>
      </w:r>
      <w:r w:rsidRPr="00DE697E">
        <w:rPr>
          <w:sz w:val="20"/>
          <w:szCs w:val="20"/>
        </w:rPr>
        <w:lastRenderedPageBreak/>
        <w:t>inflammatory drugs. N. Engl. J. Med.</w:t>
      </w:r>
      <w:r w:rsidR="00897A4E">
        <w:rPr>
          <w:rFonts w:hint="eastAsia"/>
          <w:sz w:val="20"/>
          <w:szCs w:val="20"/>
          <w:lang w:eastAsia="zh-CN"/>
        </w:rPr>
        <w:t xml:space="preserve"> </w:t>
      </w:r>
      <w:r w:rsidRPr="00DE697E">
        <w:rPr>
          <w:sz w:val="20"/>
          <w:szCs w:val="20"/>
        </w:rPr>
        <w:t>1994</w:t>
      </w:r>
      <w:proofErr w:type="gramStart"/>
      <w:r w:rsidRPr="00DE697E">
        <w:rPr>
          <w:sz w:val="20"/>
          <w:szCs w:val="20"/>
        </w:rPr>
        <w:t>;331</w:t>
      </w:r>
      <w:proofErr w:type="gramEnd"/>
      <w:r w:rsidRPr="00DE697E">
        <w:rPr>
          <w:sz w:val="20"/>
          <w:szCs w:val="20"/>
        </w:rPr>
        <w:t>(25):1675-1679.</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Goodman WG. Medical management of secondary hyperparathyroidism in chronic renal failure. </w:t>
      </w:r>
      <w:proofErr w:type="spellStart"/>
      <w:r w:rsidRPr="00DE697E">
        <w:rPr>
          <w:sz w:val="20"/>
          <w:szCs w:val="20"/>
        </w:rPr>
        <w:t>Nephrol</w:t>
      </w:r>
      <w:proofErr w:type="spellEnd"/>
      <w:r w:rsidRPr="00DE697E">
        <w:rPr>
          <w:sz w:val="20"/>
          <w:szCs w:val="20"/>
        </w:rPr>
        <w:t>. Dial. Transplant.</w:t>
      </w:r>
      <w:r w:rsidR="00897A4E">
        <w:rPr>
          <w:rFonts w:hint="eastAsia"/>
          <w:sz w:val="20"/>
          <w:szCs w:val="20"/>
          <w:lang w:eastAsia="zh-CN"/>
        </w:rPr>
        <w:t xml:space="preserve"> </w:t>
      </w:r>
      <w:r w:rsidRPr="00DE697E">
        <w:rPr>
          <w:sz w:val="20"/>
          <w:szCs w:val="20"/>
        </w:rPr>
        <w:t>2003</w:t>
      </w:r>
      <w:proofErr w:type="gramStart"/>
      <w:r w:rsidRPr="00DE697E">
        <w:rPr>
          <w:sz w:val="20"/>
          <w:szCs w:val="20"/>
        </w:rPr>
        <w:t>;18</w:t>
      </w:r>
      <w:proofErr w:type="gramEnd"/>
      <w:r w:rsidRPr="00DE697E">
        <w:rPr>
          <w:sz w:val="20"/>
          <w:szCs w:val="20"/>
        </w:rPr>
        <w:t>(3):2-8.</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Dursun</w:t>
      </w:r>
      <w:proofErr w:type="spellEnd"/>
      <w:r w:rsidRPr="00DE697E">
        <w:rPr>
          <w:sz w:val="20"/>
          <w:szCs w:val="20"/>
        </w:rPr>
        <w:t xml:space="preserve">  E, </w:t>
      </w:r>
      <w:proofErr w:type="spellStart"/>
      <w:r w:rsidRPr="00DE697E">
        <w:rPr>
          <w:sz w:val="20"/>
          <w:szCs w:val="20"/>
        </w:rPr>
        <w:t>Ozben</w:t>
      </w:r>
      <w:proofErr w:type="spellEnd"/>
      <w:r w:rsidRPr="00DE697E">
        <w:rPr>
          <w:sz w:val="20"/>
          <w:szCs w:val="20"/>
        </w:rPr>
        <w:t xml:space="preserve"> T, </w:t>
      </w:r>
      <w:proofErr w:type="spellStart"/>
      <w:r w:rsidRPr="00DE697E">
        <w:rPr>
          <w:sz w:val="20"/>
          <w:szCs w:val="20"/>
        </w:rPr>
        <w:t>Süleymanlar</w:t>
      </w:r>
      <w:proofErr w:type="spellEnd"/>
      <w:r w:rsidRPr="00DE697E">
        <w:rPr>
          <w:sz w:val="20"/>
          <w:szCs w:val="20"/>
        </w:rPr>
        <w:t xml:space="preserve"> G, </w:t>
      </w:r>
      <w:proofErr w:type="spellStart"/>
      <w:r w:rsidRPr="00DE697E">
        <w:rPr>
          <w:sz w:val="20"/>
          <w:szCs w:val="20"/>
        </w:rPr>
        <w:t>Dursun</w:t>
      </w:r>
      <w:proofErr w:type="spellEnd"/>
      <w:r w:rsidRPr="00DE697E">
        <w:rPr>
          <w:sz w:val="20"/>
          <w:szCs w:val="20"/>
        </w:rPr>
        <w:t xml:space="preserve"> B, </w:t>
      </w:r>
      <w:proofErr w:type="spellStart"/>
      <w:r w:rsidRPr="00DE697E">
        <w:rPr>
          <w:sz w:val="20"/>
          <w:szCs w:val="20"/>
        </w:rPr>
        <w:t>Yakupoglu</w:t>
      </w:r>
      <w:proofErr w:type="spellEnd"/>
      <w:r w:rsidRPr="00DE697E">
        <w:rPr>
          <w:sz w:val="20"/>
          <w:szCs w:val="20"/>
        </w:rPr>
        <w:t xml:space="preserve">  G. Effect of </w:t>
      </w:r>
      <w:proofErr w:type="spellStart"/>
      <w:r w:rsidRPr="00DE697E">
        <w:rPr>
          <w:sz w:val="20"/>
          <w:szCs w:val="20"/>
        </w:rPr>
        <w:t>hemodialysis</w:t>
      </w:r>
      <w:proofErr w:type="spellEnd"/>
      <w:r w:rsidRPr="00DE697E">
        <w:rPr>
          <w:sz w:val="20"/>
          <w:szCs w:val="20"/>
        </w:rPr>
        <w:t xml:space="preserve"> on the oxidative stress and antioxidants. </w:t>
      </w:r>
      <w:proofErr w:type="spellStart"/>
      <w:r w:rsidRPr="00DE697E">
        <w:rPr>
          <w:sz w:val="20"/>
          <w:szCs w:val="20"/>
        </w:rPr>
        <w:t>Clin</w:t>
      </w:r>
      <w:proofErr w:type="spellEnd"/>
      <w:r w:rsidRPr="00DE697E">
        <w:rPr>
          <w:sz w:val="20"/>
          <w:szCs w:val="20"/>
        </w:rPr>
        <w:t>. Chem. Lab. Med.200</w:t>
      </w:r>
      <w:proofErr w:type="gramStart"/>
      <w:r w:rsidRPr="00DE697E">
        <w:rPr>
          <w:sz w:val="20"/>
          <w:szCs w:val="20"/>
        </w:rPr>
        <w:t>;40:1009</w:t>
      </w:r>
      <w:proofErr w:type="gramEnd"/>
      <w:r w:rsidRPr="00DE697E">
        <w:rPr>
          <w:sz w:val="20"/>
          <w:szCs w:val="20"/>
        </w:rPr>
        <w:t>-1013.</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Baigent</w:t>
      </w:r>
      <w:proofErr w:type="spellEnd"/>
      <w:r w:rsidRPr="00DE697E">
        <w:rPr>
          <w:sz w:val="20"/>
          <w:szCs w:val="20"/>
        </w:rPr>
        <w:t xml:space="preserve"> C, </w:t>
      </w:r>
      <w:proofErr w:type="spellStart"/>
      <w:r w:rsidRPr="00DE697E">
        <w:rPr>
          <w:sz w:val="20"/>
          <w:szCs w:val="20"/>
        </w:rPr>
        <w:t>Burbury</w:t>
      </w:r>
      <w:proofErr w:type="spellEnd"/>
      <w:r w:rsidRPr="00DE697E">
        <w:rPr>
          <w:sz w:val="20"/>
          <w:szCs w:val="20"/>
        </w:rPr>
        <w:t xml:space="preserve"> K, Wheeler D. Premature cardiovascular disease in chronic renal failure. Lancet.</w:t>
      </w:r>
      <w:r w:rsidR="00897A4E">
        <w:rPr>
          <w:rFonts w:hint="eastAsia"/>
          <w:sz w:val="20"/>
          <w:szCs w:val="20"/>
          <w:lang w:eastAsia="zh-CN"/>
        </w:rPr>
        <w:t xml:space="preserve"> </w:t>
      </w:r>
      <w:r w:rsidRPr="00DE697E">
        <w:rPr>
          <w:sz w:val="20"/>
          <w:szCs w:val="20"/>
        </w:rPr>
        <w:t>2000</w:t>
      </w:r>
      <w:proofErr w:type="gramStart"/>
      <w:r w:rsidRPr="00DE697E">
        <w:rPr>
          <w:sz w:val="20"/>
          <w:szCs w:val="20"/>
        </w:rPr>
        <w:t>;356:147</w:t>
      </w:r>
      <w:proofErr w:type="gramEnd"/>
      <w:r w:rsidRPr="00DE697E">
        <w:rPr>
          <w:sz w:val="20"/>
          <w:szCs w:val="20"/>
        </w:rPr>
        <w:t>-152.</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Himmelfarb</w:t>
      </w:r>
      <w:proofErr w:type="spellEnd"/>
      <w:r w:rsidRPr="00DE697E">
        <w:rPr>
          <w:sz w:val="20"/>
          <w:szCs w:val="20"/>
        </w:rPr>
        <w:t xml:space="preserve"> J, </w:t>
      </w:r>
      <w:proofErr w:type="spellStart"/>
      <w:r w:rsidRPr="00DE697E">
        <w:rPr>
          <w:sz w:val="20"/>
          <w:szCs w:val="20"/>
        </w:rPr>
        <w:t>Stenvinkel</w:t>
      </w:r>
      <w:proofErr w:type="spellEnd"/>
      <w:r w:rsidRPr="00DE697E">
        <w:rPr>
          <w:sz w:val="20"/>
          <w:szCs w:val="20"/>
        </w:rPr>
        <w:t xml:space="preserve"> P, </w:t>
      </w:r>
      <w:proofErr w:type="spellStart"/>
      <w:r w:rsidRPr="00DE697E">
        <w:rPr>
          <w:sz w:val="20"/>
          <w:szCs w:val="20"/>
        </w:rPr>
        <w:t>Ikizler</w:t>
      </w:r>
      <w:proofErr w:type="spellEnd"/>
      <w:r w:rsidRPr="00DE697E">
        <w:rPr>
          <w:sz w:val="20"/>
          <w:szCs w:val="20"/>
        </w:rPr>
        <w:t xml:space="preserve"> TA. Hakim RM. The elephant in uremia: Oxidative stress as a unifying concept of cardiovascular disease in uremia. Kidney. Int.</w:t>
      </w:r>
      <w:r w:rsidR="00897A4E">
        <w:rPr>
          <w:rFonts w:hint="eastAsia"/>
          <w:sz w:val="20"/>
          <w:szCs w:val="20"/>
          <w:lang w:eastAsia="zh-CN"/>
        </w:rPr>
        <w:t xml:space="preserve"> </w:t>
      </w:r>
      <w:r w:rsidRPr="00DE697E">
        <w:rPr>
          <w:sz w:val="20"/>
          <w:szCs w:val="20"/>
        </w:rPr>
        <w:t>2002</w:t>
      </w:r>
      <w:proofErr w:type="gramStart"/>
      <w:r w:rsidRPr="00DE697E">
        <w:rPr>
          <w:sz w:val="20"/>
          <w:szCs w:val="20"/>
        </w:rPr>
        <w:t>;62:1524</w:t>
      </w:r>
      <w:proofErr w:type="gramEnd"/>
      <w:r w:rsidRPr="00DE697E">
        <w:rPr>
          <w:sz w:val="20"/>
          <w:szCs w:val="20"/>
        </w:rPr>
        <w:t>-1538.</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Kadkhodaee</w:t>
      </w:r>
      <w:proofErr w:type="spellEnd"/>
      <w:r w:rsidRPr="00DE697E">
        <w:rPr>
          <w:sz w:val="20"/>
          <w:szCs w:val="20"/>
        </w:rPr>
        <w:t xml:space="preserve"> M, </w:t>
      </w:r>
      <w:proofErr w:type="spellStart"/>
      <w:r w:rsidRPr="00DE697E">
        <w:rPr>
          <w:sz w:val="20"/>
          <w:szCs w:val="20"/>
        </w:rPr>
        <w:t>Khastar</w:t>
      </w:r>
      <w:proofErr w:type="spellEnd"/>
      <w:r w:rsidRPr="00DE697E">
        <w:rPr>
          <w:sz w:val="20"/>
          <w:szCs w:val="20"/>
        </w:rPr>
        <w:t xml:space="preserve"> H, Arab H, </w:t>
      </w:r>
      <w:proofErr w:type="spellStart"/>
      <w:r w:rsidRPr="00DE697E">
        <w:rPr>
          <w:sz w:val="20"/>
          <w:szCs w:val="20"/>
        </w:rPr>
        <w:t>Ghaznavi</w:t>
      </w:r>
      <w:proofErr w:type="spellEnd"/>
      <w:r w:rsidRPr="00DE697E">
        <w:rPr>
          <w:sz w:val="20"/>
          <w:szCs w:val="20"/>
        </w:rPr>
        <w:t xml:space="preserve"> R, </w:t>
      </w:r>
      <w:proofErr w:type="spellStart"/>
      <w:r w:rsidRPr="00DE697E">
        <w:rPr>
          <w:sz w:val="20"/>
          <w:szCs w:val="20"/>
        </w:rPr>
        <w:t>Zahmatkesh</w:t>
      </w:r>
      <w:proofErr w:type="spellEnd"/>
      <w:r w:rsidRPr="00DE697E">
        <w:rPr>
          <w:sz w:val="20"/>
          <w:szCs w:val="20"/>
        </w:rPr>
        <w:t xml:space="preserve"> M, </w:t>
      </w:r>
      <w:proofErr w:type="spellStart"/>
      <w:r w:rsidRPr="00DE697E">
        <w:rPr>
          <w:sz w:val="20"/>
          <w:szCs w:val="20"/>
        </w:rPr>
        <w:t>Mahdavi</w:t>
      </w:r>
      <w:proofErr w:type="spellEnd"/>
      <w:r w:rsidRPr="00DE697E">
        <w:rPr>
          <w:sz w:val="20"/>
          <w:szCs w:val="20"/>
        </w:rPr>
        <w:t xml:space="preserve"> M. Antioxidant vitamins preserve superoxide dismutase activities in </w:t>
      </w:r>
      <w:proofErr w:type="spellStart"/>
      <w:r w:rsidRPr="00DE697E">
        <w:rPr>
          <w:sz w:val="20"/>
          <w:szCs w:val="20"/>
        </w:rPr>
        <w:t>gentamicin</w:t>
      </w:r>
      <w:proofErr w:type="spellEnd"/>
      <w:r w:rsidRPr="00DE697E">
        <w:rPr>
          <w:sz w:val="20"/>
          <w:szCs w:val="20"/>
        </w:rPr>
        <w:t xml:space="preserve">-induced </w:t>
      </w:r>
      <w:proofErr w:type="spellStart"/>
      <w:r w:rsidRPr="00DE697E">
        <w:rPr>
          <w:sz w:val="20"/>
          <w:szCs w:val="20"/>
        </w:rPr>
        <w:t>nephrotoxicity</w:t>
      </w:r>
      <w:proofErr w:type="spellEnd"/>
      <w:r w:rsidRPr="00DE697E">
        <w:rPr>
          <w:sz w:val="20"/>
          <w:szCs w:val="20"/>
        </w:rPr>
        <w:t>. Transplant. Proc.2007</w:t>
      </w:r>
      <w:proofErr w:type="gramStart"/>
      <w:r w:rsidRPr="00DE697E">
        <w:rPr>
          <w:sz w:val="20"/>
          <w:szCs w:val="20"/>
        </w:rPr>
        <w:t>;39:864</w:t>
      </w:r>
      <w:proofErr w:type="gramEnd"/>
      <w:r w:rsidRPr="00DE697E">
        <w:rPr>
          <w:sz w:val="20"/>
          <w:szCs w:val="20"/>
        </w:rPr>
        <w:t>-865.</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Tietze</w:t>
      </w:r>
      <w:proofErr w:type="spellEnd"/>
      <w:r w:rsidRPr="00DE697E">
        <w:rPr>
          <w:sz w:val="20"/>
          <w:szCs w:val="20"/>
        </w:rPr>
        <w:t xml:space="preserve"> F. GSH assay. Anal. Chem.1969; 27:502-520.</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Aebi</w:t>
      </w:r>
      <w:proofErr w:type="spellEnd"/>
      <w:r w:rsidRPr="00DE697E">
        <w:rPr>
          <w:sz w:val="20"/>
          <w:szCs w:val="20"/>
        </w:rPr>
        <w:t xml:space="preserve"> H. </w:t>
      </w:r>
      <w:proofErr w:type="spellStart"/>
      <w:r w:rsidRPr="00DE697E">
        <w:rPr>
          <w:sz w:val="20"/>
          <w:szCs w:val="20"/>
        </w:rPr>
        <w:t>Catalase</w:t>
      </w:r>
      <w:proofErr w:type="spellEnd"/>
      <w:r w:rsidRPr="00DE697E">
        <w:rPr>
          <w:sz w:val="20"/>
          <w:szCs w:val="20"/>
        </w:rPr>
        <w:t xml:space="preserve">. In: </w:t>
      </w:r>
      <w:proofErr w:type="spellStart"/>
      <w:r w:rsidRPr="00DE697E">
        <w:rPr>
          <w:sz w:val="20"/>
          <w:szCs w:val="20"/>
        </w:rPr>
        <w:t>Bergmayer</w:t>
      </w:r>
      <w:proofErr w:type="spellEnd"/>
      <w:r w:rsidRPr="00DE697E">
        <w:rPr>
          <w:sz w:val="20"/>
          <w:szCs w:val="20"/>
        </w:rPr>
        <w:t xml:space="preserve">. H.D. (Ed.). Meth </w:t>
      </w:r>
      <w:proofErr w:type="spellStart"/>
      <w:r w:rsidRPr="00DE697E">
        <w:rPr>
          <w:sz w:val="20"/>
          <w:szCs w:val="20"/>
        </w:rPr>
        <w:t>Enzym</w:t>
      </w:r>
      <w:proofErr w:type="spellEnd"/>
      <w:r w:rsidRPr="00DE697E">
        <w:rPr>
          <w:sz w:val="20"/>
          <w:szCs w:val="20"/>
        </w:rPr>
        <w:t xml:space="preserve"> Anal </w:t>
      </w:r>
      <w:proofErr w:type="spellStart"/>
      <w:r w:rsidRPr="00DE697E">
        <w:rPr>
          <w:sz w:val="20"/>
          <w:szCs w:val="20"/>
        </w:rPr>
        <w:t>Acad</w:t>
      </w:r>
      <w:proofErr w:type="spellEnd"/>
      <w:r w:rsidRPr="00DE697E">
        <w:rPr>
          <w:sz w:val="20"/>
          <w:szCs w:val="20"/>
        </w:rPr>
        <w:t xml:space="preserve"> Press Lon 1974; 6: 671-684.</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Kakkar</w:t>
      </w:r>
      <w:proofErr w:type="spellEnd"/>
      <w:r w:rsidRPr="00DE697E">
        <w:rPr>
          <w:sz w:val="20"/>
          <w:szCs w:val="20"/>
        </w:rPr>
        <w:t xml:space="preserve"> P, Dos B, </w:t>
      </w:r>
      <w:proofErr w:type="spellStart"/>
      <w:r w:rsidRPr="00DE697E">
        <w:rPr>
          <w:sz w:val="20"/>
          <w:szCs w:val="20"/>
        </w:rPr>
        <w:t>Viswnathan</w:t>
      </w:r>
      <w:proofErr w:type="spellEnd"/>
      <w:r w:rsidRPr="00DE697E">
        <w:rPr>
          <w:sz w:val="20"/>
          <w:szCs w:val="20"/>
        </w:rPr>
        <w:t xml:space="preserve"> PN. A modified </w:t>
      </w:r>
      <w:proofErr w:type="spellStart"/>
      <w:r w:rsidRPr="00DE697E">
        <w:rPr>
          <w:sz w:val="20"/>
          <w:szCs w:val="20"/>
        </w:rPr>
        <w:t>spectrophotometric</w:t>
      </w:r>
      <w:proofErr w:type="spellEnd"/>
      <w:r w:rsidRPr="00DE697E">
        <w:rPr>
          <w:sz w:val="20"/>
          <w:szCs w:val="20"/>
        </w:rPr>
        <w:t xml:space="preserve"> assay of superoxide dismutase. </w:t>
      </w:r>
      <w:r w:rsidRPr="00DE697E">
        <w:rPr>
          <w:iCs/>
          <w:sz w:val="20"/>
          <w:szCs w:val="20"/>
        </w:rPr>
        <w:t xml:space="preserve">Indian J </w:t>
      </w:r>
      <w:proofErr w:type="spellStart"/>
      <w:r w:rsidRPr="00DE697E">
        <w:rPr>
          <w:iCs/>
          <w:sz w:val="20"/>
          <w:szCs w:val="20"/>
        </w:rPr>
        <w:t>Biochem</w:t>
      </w:r>
      <w:proofErr w:type="spellEnd"/>
      <w:r w:rsidRPr="00DE697E">
        <w:rPr>
          <w:sz w:val="20"/>
          <w:szCs w:val="20"/>
        </w:rPr>
        <w:t xml:space="preserve"> 1984; </w:t>
      </w:r>
      <w:r w:rsidRPr="00DE697E">
        <w:rPr>
          <w:bCs/>
          <w:sz w:val="20"/>
          <w:szCs w:val="20"/>
        </w:rPr>
        <w:t>21</w:t>
      </w:r>
      <w:r w:rsidRPr="00DE697E">
        <w:rPr>
          <w:sz w:val="20"/>
          <w:szCs w:val="20"/>
        </w:rPr>
        <w:t>: 130-132.</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Ohkawa</w:t>
      </w:r>
      <w:proofErr w:type="spellEnd"/>
      <w:r w:rsidRPr="00DE697E">
        <w:rPr>
          <w:sz w:val="20"/>
          <w:szCs w:val="20"/>
        </w:rPr>
        <w:t xml:space="preserve"> H, </w:t>
      </w:r>
      <w:proofErr w:type="spellStart"/>
      <w:r w:rsidRPr="00DE697E">
        <w:rPr>
          <w:sz w:val="20"/>
          <w:szCs w:val="20"/>
        </w:rPr>
        <w:t>Ohishi</w:t>
      </w:r>
      <w:proofErr w:type="spellEnd"/>
      <w:r w:rsidRPr="00DE697E">
        <w:rPr>
          <w:sz w:val="20"/>
          <w:szCs w:val="20"/>
        </w:rPr>
        <w:t xml:space="preserve"> N, </w:t>
      </w:r>
      <w:proofErr w:type="spellStart"/>
      <w:r w:rsidRPr="00DE697E">
        <w:rPr>
          <w:sz w:val="20"/>
          <w:szCs w:val="20"/>
        </w:rPr>
        <w:t>Yagi</w:t>
      </w:r>
      <w:proofErr w:type="spellEnd"/>
      <w:r w:rsidRPr="00DE697E">
        <w:rPr>
          <w:sz w:val="20"/>
          <w:szCs w:val="20"/>
        </w:rPr>
        <w:t xml:space="preserve"> K. Assay for </w:t>
      </w:r>
      <w:proofErr w:type="spellStart"/>
      <w:r w:rsidRPr="00DE697E">
        <w:rPr>
          <w:sz w:val="20"/>
          <w:szCs w:val="20"/>
        </w:rPr>
        <w:t>lipidperoxidation</w:t>
      </w:r>
      <w:proofErr w:type="spellEnd"/>
      <w:r w:rsidRPr="00DE697E">
        <w:rPr>
          <w:sz w:val="20"/>
          <w:szCs w:val="20"/>
        </w:rPr>
        <w:t xml:space="preserve"> in animal tissues by </w:t>
      </w:r>
      <w:proofErr w:type="spellStart"/>
      <w:r w:rsidRPr="00DE697E">
        <w:rPr>
          <w:sz w:val="20"/>
          <w:szCs w:val="20"/>
        </w:rPr>
        <w:t>Thio-Barbituric</w:t>
      </w:r>
      <w:proofErr w:type="spellEnd"/>
      <w:r w:rsidRPr="00DE697E">
        <w:rPr>
          <w:sz w:val="20"/>
          <w:szCs w:val="20"/>
        </w:rPr>
        <w:t xml:space="preserve"> Acid Reaction. Anal </w:t>
      </w:r>
      <w:proofErr w:type="spellStart"/>
      <w:r w:rsidRPr="00DE697E">
        <w:rPr>
          <w:sz w:val="20"/>
          <w:szCs w:val="20"/>
        </w:rPr>
        <w:t>Biochem</w:t>
      </w:r>
      <w:proofErr w:type="spellEnd"/>
      <w:r w:rsidRPr="00DE697E">
        <w:rPr>
          <w:sz w:val="20"/>
          <w:szCs w:val="20"/>
        </w:rPr>
        <w:t>.</w:t>
      </w:r>
      <w:r w:rsidR="00897A4E">
        <w:rPr>
          <w:rFonts w:hint="eastAsia"/>
          <w:sz w:val="20"/>
          <w:szCs w:val="20"/>
          <w:lang w:eastAsia="zh-CN"/>
        </w:rPr>
        <w:t xml:space="preserve"> </w:t>
      </w:r>
      <w:r w:rsidRPr="00DE697E">
        <w:rPr>
          <w:sz w:val="20"/>
          <w:szCs w:val="20"/>
        </w:rPr>
        <w:t>1979; 95: 357-358.</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Chander</w:t>
      </w:r>
      <w:proofErr w:type="spellEnd"/>
      <w:r w:rsidRPr="00DE697E">
        <w:rPr>
          <w:sz w:val="20"/>
          <w:szCs w:val="20"/>
        </w:rPr>
        <w:t xml:space="preserve">, V. and Chopra, K. Protective effect of nitric oxide pathway in </w:t>
      </w:r>
      <w:proofErr w:type="spellStart"/>
      <w:r w:rsidRPr="00DE697E">
        <w:rPr>
          <w:sz w:val="20"/>
          <w:szCs w:val="20"/>
        </w:rPr>
        <w:t>resveratrol</w:t>
      </w:r>
      <w:proofErr w:type="spellEnd"/>
      <w:r w:rsidRPr="00DE697E">
        <w:rPr>
          <w:sz w:val="20"/>
          <w:szCs w:val="20"/>
        </w:rPr>
        <w:t xml:space="preserve"> renal ischemia- reperfusion injury in rats. Arch. Med. Res.</w:t>
      </w:r>
      <w:r w:rsidR="00897A4E">
        <w:rPr>
          <w:rFonts w:hint="eastAsia"/>
          <w:sz w:val="20"/>
          <w:szCs w:val="20"/>
          <w:lang w:eastAsia="zh-CN"/>
        </w:rPr>
        <w:t xml:space="preserve"> </w:t>
      </w:r>
      <w:r w:rsidRPr="00DE697E">
        <w:rPr>
          <w:sz w:val="20"/>
          <w:szCs w:val="20"/>
        </w:rPr>
        <w:t>2006</w:t>
      </w:r>
      <w:proofErr w:type="gramStart"/>
      <w:r w:rsidRPr="00DE697E">
        <w:rPr>
          <w:sz w:val="20"/>
          <w:szCs w:val="20"/>
        </w:rPr>
        <w:t>;37</w:t>
      </w:r>
      <w:proofErr w:type="gramEnd"/>
      <w:r w:rsidRPr="00DE697E">
        <w:rPr>
          <w:sz w:val="20"/>
          <w:szCs w:val="20"/>
        </w:rPr>
        <w:t>(1):19-26.</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Pincemail</w:t>
      </w:r>
      <w:proofErr w:type="spellEnd"/>
      <w:r w:rsidRPr="00DE697E">
        <w:rPr>
          <w:sz w:val="20"/>
          <w:szCs w:val="20"/>
        </w:rPr>
        <w:t xml:space="preserve"> J, </w:t>
      </w:r>
      <w:proofErr w:type="spellStart"/>
      <w:r w:rsidRPr="00DE697E">
        <w:rPr>
          <w:sz w:val="20"/>
          <w:szCs w:val="20"/>
        </w:rPr>
        <w:t>Defraigne</w:t>
      </w:r>
      <w:proofErr w:type="spellEnd"/>
      <w:r w:rsidRPr="00DE697E">
        <w:rPr>
          <w:sz w:val="20"/>
          <w:szCs w:val="20"/>
        </w:rPr>
        <w:t xml:space="preserve"> JO, </w:t>
      </w:r>
      <w:proofErr w:type="spellStart"/>
      <w:r w:rsidRPr="00DE697E">
        <w:rPr>
          <w:sz w:val="20"/>
          <w:szCs w:val="20"/>
        </w:rPr>
        <w:t>Detry</w:t>
      </w:r>
      <w:proofErr w:type="spellEnd"/>
      <w:r w:rsidRPr="00DE697E">
        <w:rPr>
          <w:sz w:val="20"/>
          <w:szCs w:val="20"/>
        </w:rPr>
        <w:t xml:space="preserve"> O, </w:t>
      </w:r>
      <w:proofErr w:type="spellStart"/>
      <w:r w:rsidRPr="00DE697E">
        <w:rPr>
          <w:sz w:val="20"/>
          <w:szCs w:val="20"/>
        </w:rPr>
        <w:t>Franssen</w:t>
      </w:r>
      <w:proofErr w:type="spellEnd"/>
      <w:r w:rsidRPr="00DE697E">
        <w:rPr>
          <w:sz w:val="20"/>
          <w:szCs w:val="20"/>
        </w:rPr>
        <w:t xml:space="preserve"> C, </w:t>
      </w:r>
      <w:proofErr w:type="spellStart"/>
      <w:r w:rsidRPr="00DE697E">
        <w:rPr>
          <w:sz w:val="20"/>
          <w:szCs w:val="20"/>
        </w:rPr>
        <w:t>Meurisse</w:t>
      </w:r>
      <w:proofErr w:type="spellEnd"/>
      <w:r w:rsidRPr="00DE697E">
        <w:rPr>
          <w:sz w:val="20"/>
          <w:szCs w:val="20"/>
        </w:rPr>
        <w:t xml:space="preserve"> M, </w:t>
      </w:r>
      <w:proofErr w:type="spellStart"/>
      <w:r w:rsidRPr="00DE697E">
        <w:rPr>
          <w:sz w:val="20"/>
          <w:szCs w:val="20"/>
        </w:rPr>
        <w:t>Limet</w:t>
      </w:r>
      <w:proofErr w:type="spellEnd"/>
      <w:r w:rsidRPr="00DE697E">
        <w:rPr>
          <w:sz w:val="20"/>
          <w:szCs w:val="20"/>
        </w:rPr>
        <w:t xml:space="preserve"> R. Ischemia-reperfusion injury of rabbit kidney: comparative effects of </w:t>
      </w:r>
      <w:proofErr w:type="spellStart"/>
      <w:r w:rsidRPr="00DE697E">
        <w:rPr>
          <w:sz w:val="20"/>
          <w:szCs w:val="20"/>
        </w:rPr>
        <w:t>desferrioxamine</w:t>
      </w:r>
      <w:proofErr w:type="spellEnd"/>
      <w:r w:rsidRPr="00DE697E">
        <w:rPr>
          <w:sz w:val="20"/>
          <w:szCs w:val="20"/>
        </w:rPr>
        <w:t xml:space="preserve"> and N-</w:t>
      </w:r>
      <w:proofErr w:type="spellStart"/>
      <w:r w:rsidRPr="00DE697E">
        <w:rPr>
          <w:sz w:val="20"/>
          <w:szCs w:val="20"/>
        </w:rPr>
        <w:t>acetylcysteine</w:t>
      </w:r>
      <w:proofErr w:type="spellEnd"/>
      <w:r w:rsidRPr="00DE697E">
        <w:rPr>
          <w:sz w:val="20"/>
          <w:szCs w:val="20"/>
        </w:rPr>
        <w:t xml:space="preserve"> as antioxidants. Transplant. Proc.</w:t>
      </w:r>
      <w:r w:rsidR="00897A4E">
        <w:rPr>
          <w:rFonts w:hint="eastAsia"/>
          <w:sz w:val="20"/>
          <w:szCs w:val="20"/>
          <w:lang w:eastAsia="zh-CN"/>
        </w:rPr>
        <w:t xml:space="preserve"> </w:t>
      </w:r>
      <w:r w:rsidRPr="00DE697E">
        <w:rPr>
          <w:sz w:val="20"/>
          <w:szCs w:val="20"/>
        </w:rPr>
        <w:t>2000</w:t>
      </w:r>
      <w:proofErr w:type="gramStart"/>
      <w:r w:rsidRPr="00DE697E">
        <w:rPr>
          <w:sz w:val="20"/>
          <w:szCs w:val="20"/>
        </w:rPr>
        <w:t>;32</w:t>
      </w:r>
      <w:proofErr w:type="gramEnd"/>
      <w:r w:rsidRPr="00DE697E">
        <w:rPr>
          <w:sz w:val="20"/>
          <w:szCs w:val="20"/>
        </w:rPr>
        <w:t>(2):475-476.</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Singh D, </w:t>
      </w:r>
      <w:proofErr w:type="spellStart"/>
      <w:r w:rsidRPr="00DE697E">
        <w:rPr>
          <w:sz w:val="20"/>
          <w:szCs w:val="20"/>
        </w:rPr>
        <w:t>Chander</w:t>
      </w:r>
      <w:proofErr w:type="spellEnd"/>
      <w:r w:rsidRPr="00DE697E">
        <w:rPr>
          <w:sz w:val="20"/>
          <w:szCs w:val="20"/>
        </w:rPr>
        <w:t xml:space="preserve"> V, Chopra K. Protective effect of </w:t>
      </w:r>
      <w:proofErr w:type="spellStart"/>
      <w:r w:rsidRPr="00DE697E">
        <w:rPr>
          <w:sz w:val="20"/>
          <w:szCs w:val="20"/>
        </w:rPr>
        <w:t>catechin</w:t>
      </w:r>
      <w:proofErr w:type="spellEnd"/>
      <w:r w:rsidRPr="00DE697E">
        <w:rPr>
          <w:sz w:val="20"/>
          <w:szCs w:val="20"/>
        </w:rPr>
        <w:t xml:space="preserve"> on ischemia-reperfusion-induced renal injury in rats. </w:t>
      </w:r>
      <w:proofErr w:type="spellStart"/>
      <w:r w:rsidRPr="00DE697E">
        <w:rPr>
          <w:sz w:val="20"/>
          <w:szCs w:val="20"/>
        </w:rPr>
        <w:t>Pharmacol</w:t>
      </w:r>
      <w:proofErr w:type="spellEnd"/>
      <w:r w:rsidRPr="00DE697E">
        <w:rPr>
          <w:sz w:val="20"/>
          <w:szCs w:val="20"/>
        </w:rPr>
        <w:t>. Rep.</w:t>
      </w:r>
      <w:r w:rsidR="00897A4E">
        <w:rPr>
          <w:rFonts w:hint="eastAsia"/>
          <w:sz w:val="20"/>
          <w:szCs w:val="20"/>
          <w:lang w:eastAsia="zh-CN"/>
        </w:rPr>
        <w:t xml:space="preserve"> </w:t>
      </w:r>
      <w:r w:rsidRPr="00DE697E">
        <w:rPr>
          <w:sz w:val="20"/>
          <w:szCs w:val="20"/>
        </w:rPr>
        <w:t>2005</w:t>
      </w:r>
      <w:proofErr w:type="gramStart"/>
      <w:r w:rsidRPr="00DE697E">
        <w:rPr>
          <w:sz w:val="20"/>
          <w:szCs w:val="20"/>
        </w:rPr>
        <w:t>;57</w:t>
      </w:r>
      <w:proofErr w:type="gramEnd"/>
      <w:r w:rsidRPr="00DE697E">
        <w:rPr>
          <w:sz w:val="20"/>
          <w:szCs w:val="20"/>
        </w:rPr>
        <w:t>(1):70-76.</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Schafer FQ, </w:t>
      </w:r>
      <w:proofErr w:type="spellStart"/>
      <w:r w:rsidRPr="00DE697E">
        <w:rPr>
          <w:sz w:val="20"/>
          <w:szCs w:val="20"/>
        </w:rPr>
        <w:t>Buettner</w:t>
      </w:r>
      <w:proofErr w:type="spellEnd"/>
      <w:r w:rsidRPr="00DE697E">
        <w:rPr>
          <w:sz w:val="20"/>
          <w:szCs w:val="20"/>
        </w:rPr>
        <w:t xml:space="preserve"> GR. </w:t>
      </w:r>
      <w:proofErr w:type="spellStart"/>
      <w:r w:rsidRPr="00DE697E">
        <w:rPr>
          <w:sz w:val="20"/>
          <w:szCs w:val="20"/>
        </w:rPr>
        <w:t>Redox</w:t>
      </w:r>
      <w:proofErr w:type="spellEnd"/>
      <w:r w:rsidRPr="00DE697E">
        <w:rPr>
          <w:sz w:val="20"/>
          <w:szCs w:val="20"/>
        </w:rPr>
        <w:t xml:space="preserve"> environment of the cell as viewed through the </w:t>
      </w:r>
      <w:proofErr w:type="spellStart"/>
      <w:r w:rsidRPr="00DE697E">
        <w:rPr>
          <w:sz w:val="20"/>
          <w:szCs w:val="20"/>
        </w:rPr>
        <w:t>redox</w:t>
      </w:r>
      <w:proofErr w:type="spellEnd"/>
      <w:r w:rsidRPr="00DE697E">
        <w:rPr>
          <w:sz w:val="20"/>
          <w:szCs w:val="20"/>
        </w:rPr>
        <w:t xml:space="preserve"> state of the glutathione disulfide/glutathione couple. Free. </w:t>
      </w:r>
      <w:proofErr w:type="spellStart"/>
      <w:r w:rsidRPr="00DE697E">
        <w:rPr>
          <w:sz w:val="20"/>
          <w:szCs w:val="20"/>
        </w:rPr>
        <w:t>Radic</w:t>
      </w:r>
      <w:proofErr w:type="spellEnd"/>
      <w:r w:rsidRPr="00DE697E">
        <w:rPr>
          <w:sz w:val="20"/>
          <w:szCs w:val="20"/>
        </w:rPr>
        <w:t>. Biol. Med.</w:t>
      </w:r>
      <w:r w:rsidR="00897A4E">
        <w:rPr>
          <w:rFonts w:hint="eastAsia"/>
          <w:sz w:val="20"/>
          <w:szCs w:val="20"/>
          <w:lang w:eastAsia="zh-CN"/>
        </w:rPr>
        <w:t xml:space="preserve"> </w:t>
      </w:r>
      <w:r w:rsidRPr="00DE697E">
        <w:rPr>
          <w:sz w:val="20"/>
          <w:szCs w:val="20"/>
        </w:rPr>
        <w:t>2001</w:t>
      </w:r>
      <w:proofErr w:type="gramStart"/>
      <w:r w:rsidRPr="00DE697E">
        <w:rPr>
          <w:sz w:val="20"/>
          <w:szCs w:val="20"/>
        </w:rPr>
        <w:t>;30</w:t>
      </w:r>
      <w:proofErr w:type="gramEnd"/>
      <w:r w:rsidRPr="00DE697E">
        <w:rPr>
          <w:sz w:val="20"/>
          <w:szCs w:val="20"/>
        </w:rPr>
        <w:t>(11):1191-1212.</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Mohammadhosseni</w:t>
      </w:r>
      <w:proofErr w:type="spellEnd"/>
      <w:r w:rsidRPr="00DE697E">
        <w:rPr>
          <w:sz w:val="20"/>
          <w:szCs w:val="20"/>
        </w:rPr>
        <w:t xml:space="preserve"> H, </w:t>
      </w:r>
      <w:proofErr w:type="spellStart"/>
      <w:r w:rsidRPr="00DE697E">
        <w:rPr>
          <w:sz w:val="20"/>
          <w:szCs w:val="20"/>
        </w:rPr>
        <w:t>Rasoulian</w:t>
      </w:r>
      <w:proofErr w:type="spellEnd"/>
      <w:r w:rsidRPr="00DE697E">
        <w:rPr>
          <w:sz w:val="20"/>
          <w:szCs w:val="20"/>
        </w:rPr>
        <w:t xml:space="preserve"> B, </w:t>
      </w:r>
      <w:proofErr w:type="spellStart"/>
      <w:r w:rsidRPr="00DE697E">
        <w:rPr>
          <w:sz w:val="20"/>
          <w:szCs w:val="20"/>
        </w:rPr>
        <w:t>Mofid</w:t>
      </w:r>
      <w:proofErr w:type="spellEnd"/>
      <w:r w:rsidRPr="00DE697E">
        <w:rPr>
          <w:sz w:val="20"/>
          <w:szCs w:val="20"/>
        </w:rPr>
        <w:t xml:space="preserve"> M, </w:t>
      </w:r>
      <w:proofErr w:type="spellStart"/>
      <w:r w:rsidRPr="00DE697E">
        <w:rPr>
          <w:sz w:val="20"/>
          <w:szCs w:val="20"/>
        </w:rPr>
        <w:t>Noroozzadeh</w:t>
      </w:r>
      <w:proofErr w:type="spellEnd"/>
      <w:r w:rsidRPr="00DE697E">
        <w:rPr>
          <w:sz w:val="20"/>
          <w:szCs w:val="20"/>
        </w:rPr>
        <w:t xml:space="preserve"> A, </w:t>
      </w:r>
      <w:proofErr w:type="spellStart"/>
      <w:r w:rsidRPr="00DE697E">
        <w:rPr>
          <w:sz w:val="20"/>
          <w:szCs w:val="20"/>
        </w:rPr>
        <w:t>Noroozi</w:t>
      </w:r>
      <w:proofErr w:type="spellEnd"/>
      <w:r w:rsidRPr="00DE697E">
        <w:rPr>
          <w:sz w:val="20"/>
          <w:szCs w:val="20"/>
        </w:rPr>
        <w:t xml:space="preserve"> M, </w:t>
      </w:r>
      <w:proofErr w:type="spellStart"/>
      <w:r w:rsidRPr="00DE697E">
        <w:rPr>
          <w:sz w:val="20"/>
          <w:szCs w:val="20"/>
        </w:rPr>
        <w:t>Behrahi</w:t>
      </w:r>
      <w:proofErr w:type="spellEnd"/>
      <w:r w:rsidRPr="00DE697E">
        <w:rPr>
          <w:sz w:val="20"/>
          <w:szCs w:val="20"/>
        </w:rPr>
        <w:t xml:space="preserve"> F, </w:t>
      </w:r>
      <w:proofErr w:type="spellStart"/>
      <w:r w:rsidRPr="00DE697E">
        <w:rPr>
          <w:sz w:val="20"/>
          <w:szCs w:val="20"/>
        </w:rPr>
        <w:t>Jabari</w:t>
      </w:r>
      <w:proofErr w:type="spellEnd"/>
      <w:r w:rsidRPr="00DE697E">
        <w:rPr>
          <w:sz w:val="20"/>
          <w:szCs w:val="20"/>
        </w:rPr>
        <w:t xml:space="preserve"> M, </w:t>
      </w:r>
      <w:proofErr w:type="spellStart"/>
      <w:r w:rsidRPr="00DE697E">
        <w:rPr>
          <w:sz w:val="20"/>
          <w:szCs w:val="20"/>
        </w:rPr>
        <w:t>Moradi</w:t>
      </w:r>
      <w:proofErr w:type="spellEnd"/>
      <w:r w:rsidRPr="00DE697E">
        <w:rPr>
          <w:sz w:val="20"/>
          <w:szCs w:val="20"/>
        </w:rPr>
        <w:t xml:space="preserve"> N, </w:t>
      </w:r>
      <w:proofErr w:type="spellStart"/>
      <w:r w:rsidRPr="00DE697E">
        <w:rPr>
          <w:sz w:val="20"/>
          <w:szCs w:val="20"/>
        </w:rPr>
        <w:t>Jafari</w:t>
      </w:r>
      <w:proofErr w:type="spellEnd"/>
      <w:r w:rsidRPr="00DE697E">
        <w:rPr>
          <w:sz w:val="20"/>
          <w:szCs w:val="20"/>
        </w:rPr>
        <w:t xml:space="preserve"> M, </w:t>
      </w:r>
      <w:proofErr w:type="spellStart"/>
      <w:r w:rsidRPr="00DE697E">
        <w:rPr>
          <w:sz w:val="20"/>
          <w:szCs w:val="20"/>
        </w:rPr>
        <w:t>Shirkhani</w:t>
      </w:r>
      <w:proofErr w:type="spellEnd"/>
      <w:r w:rsidRPr="00DE697E">
        <w:rPr>
          <w:sz w:val="20"/>
          <w:szCs w:val="20"/>
        </w:rPr>
        <w:t xml:space="preserve"> Y, </w:t>
      </w:r>
      <w:proofErr w:type="spellStart"/>
      <w:r w:rsidRPr="00DE697E">
        <w:rPr>
          <w:sz w:val="20"/>
          <w:szCs w:val="20"/>
        </w:rPr>
        <w:t>Khoshbaten</w:t>
      </w:r>
      <w:proofErr w:type="spellEnd"/>
      <w:r w:rsidRPr="00DE697E">
        <w:rPr>
          <w:sz w:val="20"/>
          <w:szCs w:val="20"/>
        </w:rPr>
        <w:t xml:space="preserve"> A. The effect of short ischemic </w:t>
      </w:r>
      <w:r w:rsidRPr="00DE697E">
        <w:rPr>
          <w:sz w:val="20"/>
          <w:szCs w:val="20"/>
        </w:rPr>
        <w:lastRenderedPageBreak/>
        <w:t xml:space="preserve">periods in reducing subsequent rat renal ischemic injury. Physiol. </w:t>
      </w:r>
      <w:proofErr w:type="spellStart"/>
      <w:r w:rsidRPr="00DE697E">
        <w:rPr>
          <w:sz w:val="20"/>
          <w:szCs w:val="20"/>
        </w:rPr>
        <w:t>Pharmacol</w:t>
      </w:r>
      <w:proofErr w:type="spellEnd"/>
      <w:r w:rsidRPr="00DE697E">
        <w:rPr>
          <w:sz w:val="20"/>
          <w:szCs w:val="20"/>
        </w:rPr>
        <w:t>.</w:t>
      </w:r>
      <w:r w:rsidR="00897A4E">
        <w:rPr>
          <w:rFonts w:hint="eastAsia"/>
          <w:sz w:val="20"/>
          <w:szCs w:val="20"/>
          <w:lang w:eastAsia="zh-CN"/>
        </w:rPr>
        <w:t xml:space="preserve"> </w:t>
      </w:r>
      <w:r w:rsidRPr="00DE697E">
        <w:rPr>
          <w:sz w:val="20"/>
          <w:szCs w:val="20"/>
        </w:rPr>
        <w:t>2008</w:t>
      </w:r>
      <w:proofErr w:type="gramStart"/>
      <w:r w:rsidRPr="00DE697E">
        <w:rPr>
          <w:sz w:val="20"/>
          <w:szCs w:val="20"/>
        </w:rPr>
        <w:t>;12</w:t>
      </w:r>
      <w:proofErr w:type="gramEnd"/>
      <w:r w:rsidRPr="00DE697E">
        <w:rPr>
          <w:sz w:val="20"/>
          <w:szCs w:val="20"/>
        </w:rPr>
        <w:t>(2):149-157.</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Rasoulian</w:t>
      </w:r>
      <w:proofErr w:type="spellEnd"/>
      <w:r w:rsidRPr="00DE697E">
        <w:rPr>
          <w:sz w:val="20"/>
          <w:szCs w:val="20"/>
        </w:rPr>
        <w:t xml:space="preserve"> B, </w:t>
      </w:r>
      <w:proofErr w:type="spellStart"/>
      <w:r w:rsidRPr="00DE697E">
        <w:rPr>
          <w:sz w:val="20"/>
          <w:szCs w:val="20"/>
        </w:rPr>
        <w:t>Mohammadhosseni</w:t>
      </w:r>
      <w:proofErr w:type="spellEnd"/>
      <w:r w:rsidRPr="00DE697E">
        <w:rPr>
          <w:sz w:val="20"/>
          <w:szCs w:val="20"/>
        </w:rPr>
        <w:t xml:space="preserve"> H, </w:t>
      </w:r>
      <w:proofErr w:type="spellStart"/>
      <w:r w:rsidRPr="00DE697E">
        <w:rPr>
          <w:sz w:val="20"/>
          <w:szCs w:val="20"/>
        </w:rPr>
        <w:t>Kadkhodaee</w:t>
      </w:r>
      <w:proofErr w:type="spellEnd"/>
      <w:r w:rsidRPr="00DE697E">
        <w:rPr>
          <w:sz w:val="20"/>
          <w:szCs w:val="20"/>
        </w:rPr>
        <w:t xml:space="preserve"> M, </w:t>
      </w:r>
      <w:proofErr w:type="spellStart"/>
      <w:r w:rsidRPr="00DE697E">
        <w:rPr>
          <w:sz w:val="20"/>
          <w:szCs w:val="20"/>
        </w:rPr>
        <w:t>Mofid</w:t>
      </w:r>
      <w:proofErr w:type="spellEnd"/>
      <w:r w:rsidRPr="00DE697E">
        <w:rPr>
          <w:sz w:val="20"/>
          <w:szCs w:val="20"/>
        </w:rPr>
        <w:t xml:space="preserve"> M, </w:t>
      </w:r>
      <w:proofErr w:type="spellStart"/>
      <w:r w:rsidRPr="00DE697E">
        <w:rPr>
          <w:sz w:val="20"/>
          <w:szCs w:val="20"/>
        </w:rPr>
        <w:t>Baqeri</w:t>
      </w:r>
      <w:proofErr w:type="spellEnd"/>
      <w:r w:rsidRPr="00DE697E">
        <w:rPr>
          <w:sz w:val="20"/>
          <w:szCs w:val="20"/>
        </w:rPr>
        <w:t xml:space="preserve"> G, </w:t>
      </w:r>
      <w:proofErr w:type="spellStart"/>
      <w:r w:rsidRPr="00DE697E">
        <w:rPr>
          <w:sz w:val="20"/>
          <w:szCs w:val="20"/>
        </w:rPr>
        <w:t>Bigdeli</w:t>
      </w:r>
      <w:proofErr w:type="spellEnd"/>
      <w:r w:rsidRPr="00DE697E">
        <w:rPr>
          <w:sz w:val="20"/>
          <w:szCs w:val="20"/>
        </w:rPr>
        <w:t xml:space="preserve"> MR, </w:t>
      </w:r>
      <w:proofErr w:type="spellStart"/>
      <w:r w:rsidRPr="00DE697E">
        <w:rPr>
          <w:sz w:val="20"/>
          <w:szCs w:val="20"/>
        </w:rPr>
        <w:t>Ghasemi</w:t>
      </w:r>
      <w:proofErr w:type="spellEnd"/>
      <w:r w:rsidRPr="00DE697E">
        <w:rPr>
          <w:sz w:val="20"/>
          <w:szCs w:val="20"/>
        </w:rPr>
        <w:t xml:space="preserve"> A, </w:t>
      </w:r>
      <w:proofErr w:type="spellStart"/>
      <w:r w:rsidRPr="00DE697E">
        <w:rPr>
          <w:sz w:val="20"/>
          <w:szCs w:val="20"/>
        </w:rPr>
        <w:t>Mohebbi</w:t>
      </w:r>
      <w:proofErr w:type="spellEnd"/>
      <w:r w:rsidRPr="00DE697E">
        <w:rPr>
          <w:sz w:val="20"/>
          <w:szCs w:val="20"/>
        </w:rPr>
        <w:t xml:space="preserve"> HA, </w:t>
      </w:r>
      <w:proofErr w:type="spellStart"/>
      <w:r w:rsidRPr="00DE697E">
        <w:rPr>
          <w:sz w:val="20"/>
          <w:szCs w:val="20"/>
        </w:rPr>
        <w:t>Asgari</w:t>
      </w:r>
      <w:proofErr w:type="spellEnd"/>
      <w:r w:rsidRPr="00DE697E">
        <w:rPr>
          <w:sz w:val="20"/>
          <w:szCs w:val="20"/>
        </w:rPr>
        <w:t xml:space="preserve"> A, </w:t>
      </w:r>
      <w:proofErr w:type="spellStart"/>
      <w:r w:rsidRPr="00DE697E">
        <w:rPr>
          <w:sz w:val="20"/>
          <w:szCs w:val="20"/>
        </w:rPr>
        <w:t>Khoshbaten</w:t>
      </w:r>
      <w:proofErr w:type="spellEnd"/>
      <w:r w:rsidRPr="00DE697E">
        <w:rPr>
          <w:sz w:val="20"/>
          <w:szCs w:val="20"/>
        </w:rPr>
        <w:t xml:space="preserve"> </w:t>
      </w:r>
      <w:proofErr w:type="spellStart"/>
      <w:r w:rsidRPr="00DE697E">
        <w:rPr>
          <w:sz w:val="20"/>
          <w:szCs w:val="20"/>
        </w:rPr>
        <w:t>A.Preconditioning</w:t>
      </w:r>
      <w:proofErr w:type="spellEnd"/>
      <w:r w:rsidRPr="00DE697E">
        <w:rPr>
          <w:sz w:val="20"/>
          <w:szCs w:val="20"/>
        </w:rPr>
        <w:t xml:space="preserve"> with oxygen attenuates rat renal ischemia-reperfusion injury. J. Surg. Res.</w:t>
      </w:r>
      <w:r w:rsidR="00897A4E">
        <w:rPr>
          <w:rFonts w:hint="eastAsia"/>
          <w:sz w:val="20"/>
          <w:szCs w:val="20"/>
          <w:lang w:eastAsia="zh-CN"/>
        </w:rPr>
        <w:t xml:space="preserve"> </w:t>
      </w:r>
      <w:r w:rsidRPr="00DE697E">
        <w:rPr>
          <w:sz w:val="20"/>
          <w:szCs w:val="20"/>
        </w:rPr>
        <w:t>2008</w:t>
      </w:r>
      <w:proofErr w:type="gramStart"/>
      <w:r w:rsidRPr="00DE697E">
        <w:rPr>
          <w:sz w:val="20"/>
          <w:szCs w:val="20"/>
        </w:rPr>
        <w:t>;146</w:t>
      </w:r>
      <w:proofErr w:type="gramEnd"/>
      <w:r w:rsidRPr="00DE697E">
        <w:rPr>
          <w:sz w:val="20"/>
          <w:szCs w:val="20"/>
        </w:rPr>
        <w:t>(2): 282-288.</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Zachara</w:t>
      </w:r>
      <w:proofErr w:type="spellEnd"/>
      <w:r w:rsidRPr="00DE697E">
        <w:rPr>
          <w:sz w:val="20"/>
          <w:szCs w:val="20"/>
        </w:rPr>
        <w:t xml:space="preserve"> BA, </w:t>
      </w:r>
      <w:proofErr w:type="spellStart"/>
      <w:r w:rsidRPr="00DE697E">
        <w:rPr>
          <w:sz w:val="20"/>
          <w:szCs w:val="20"/>
        </w:rPr>
        <w:t>Adamowicz</w:t>
      </w:r>
      <w:proofErr w:type="spellEnd"/>
      <w:r w:rsidRPr="00DE697E">
        <w:rPr>
          <w:sz w:val="20"/>
          <w:szCs w:val="20"/>
        </w:rPr>
        <w:t xml:space="preserve"> A, </w:t>
      </w:r>
      <w:proofErr w:type="spellStart"/>
      <w:r w:rsidRPr="00DE697E">
        <w:rPr>
          <w:sz w:val="20"/>
          <w:szCs w:val="20"/>
        </w:rPr>
        <w:t>Trafikowska</w:t>
      </w:r>
      <w:proofErr w:type="spellEnd"/>
      <w:r w:rsidRPr="00DE697E">
        <w:rPr>
          <w:sz w:val="20"/>
          <w:szCs w:val="20"/>
        </w:rPr>
        <w:t xml:space="preserve"> U, </w:t>
      </w:r>
      <w:proofErr w:type="spellStart"/>
      <w:r w:rsidRPr="00DE697E">
        <w:rPr>
          <w:sz w:val="20"/>
          <w:szCs w:val="20"/>
        </w:rPr>
        <w:t>Trafikowska</w:t>
      </w:r>
      <w:proofErr w:type="spellEnd"/>
      <w:r w:rsidRPr="00DE697E">
        <w:rPr>
          <w:sz w:val="20"/>
          <w:szCs w:val="20"/>
        </w:rPr>
        <w:t xml:space="preserve"> A, </w:t>
      </w:r>
      <w:proofErr w:type="spellStart"/>
      <w:r w:rsidRPr="00DE697E">
        <w:rPr>
          <w:sz w:val="20"/>
          <w:szCs w:val="20"/>
        </w:rPr>
        <w:t>Manitius</w:t>
      </w:r>
      <w:proofErr w:type="spellEnd"/>
      <w:r w:rsidRPr="00DE697E">
        <w:rPr>
          <w:sz w:val="20"/>
          <w:szCs w:val="20"/>
        </w:rPr>
        <w:t xml:space="preserve"> J. </w:t>
      </w:r>
      <w:proofErr w:type="spellStart"/>
      <w:r w:rsidRPr="00DE697E">
        <w:rPr>
          <w:sz w:val="20"/>
          <w:szCs w:val="20"/>
        </w:rPr>
        <w:t>Nartowicz</w:t>
      </w:r>
      <w:proofErr w:type="spellEnd"/>
      <w:r w:rsidRPr="00DE697E">
        <w:rPr>
          <w:sz w:val="20"/>
          <w:szCs w:val="20"/>
        </w:rPr>
        <w:t xml:space="preserve"> E. Selenium and glutathione levels and glutathione </w:t>
      </w:r>
      <w:proofErr w:type="spellStart"/>
      <w:r w:rsidRPr="00DE697E">
        <w:rPr>
          <w:sz w:val="20"/>
          <w:szCs w:val="20"/>
        </w:rPr>
        <w:t>peroxidases</w:t>
      </w:r>
      <w:proofErr w:type="spellEnd"/>
      <w:r w:rsidRPr="00DE697E">
        <w:rPr>
          <w:sz w:val="20"/>
          <w:szCs w:val="20"/>
        </w:rPr>
        <w:t xml:space="preserve"> and some other antioxidant parameters in blood of patients with chronic renal failure. J. Trace. Elem. Med. Biol.</w:t>
      </w:r>
      <w:r w:rsidR="00897A4E">
        <w:rPr>
          <w:rFonts w:hint="eastAsia"/>
          <w:sz w:val="20"/>
          <w:szCs w:val="20"/>
          <w:lang w:eastAsia="zh-CN"/>
        </w:rPr>
        <w:t xml:space="preserve"> </w:t>
      </w:r>
      <w:r w:rsidRPr="00DE697E">
        <w:rPr>
          <w:sz w:val="20"/>
          <w:szCs w:val="20"/>
        </w:rPr>
        <w:t>2001</w:t>
      </w:r>
      <w:proofErr w:type="gramStart"/>
      <w:r w:rsidRPr="00DE697E">
        <w:rPr>
          <w:sz w:val="20"/>
          <w:szCs w:val="20"/>
        </w:rPr>
        <w:t>;15:161</w:t>
      </w:r>
      <w:proofErr w:type="gramEnd"/>
      <w:r w:rsidRPr="00DE697E">
        <w:rPr>
          <w:sz w:val="20"/>
          <w:szCs w:val="20"/>
        </w:rPr>
        <w:t>-6.</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Annuk</w:t>
      </w:r>
      <w:proofErr w:type="spellEnd"/>
      <w:r w:rsidRPr="00DE697E">
        <w:rPr>
          <w:sz w:val="20"/>
          <w:szCs w:val="20"/>
        </w:rPr>
        <w:t xml:space="preserve"> M, </w:t>
      </w:r>
      <w:proofErr w:type="spellStart"/>
      <w:r w:rsidRPr="00DE697E">
        <w:rPr>
          <w:sz w:val="20"/>
          <w:szCs w:val="20"/>
        </w:rPr>
        <w:t>Fellstrom</w:t>
      </w:r>
      <w:proofErr w:type="spellEnd"/>
      <w:r w:rsidRPr="00DE697E">
        <w:rPr>
          <w:sz w:val="20"/>
          <w:szCs w:val="20"/>
        </w:rPr>
        <w:t xml:space="preserve">  B, </w:t>
      </w:r>
      <w:proofErr w:type="spellStart"/>
      <w:r w:rsidRPr="00DE697E">
        <w:rPr>
          <w:sz w:val="20"/>
          <w:szCs w:val="20"/>
        </w:rPr>
        <w:t>Akerblom</w:t>
      </w:r>
      <w:proofErr w:type="spellEnd"/>
      <w:r w:rsidRPr="00DE697E">
        <w:rPr>
          <w:sz w:val="20"/>
          <w:szCs w:val="20"/>
        </w:rPr>
        <w:t xml:space="preserve"> O, </w:t>
      </w:r>
      <w:proofErr w:type="spellStart"/>
      <w:r w:rsidRPr="00DE697E">
        <w:rPr>
          <w:sz w:val="20"/>
          <w:szCs w:val="20"/>
        </w:rPr>
        <w:t>Zilmer</w:t>
      </w:r>
      <w:proofErr w:type="spellEnd"/>
      <w:r w:rsidRPr="00DE697E">
        <w:rPr>
          <w:sz w:val="20"/>
          <w:szCs w:val="20"/>
        </w:rPr>
        <w:t xml:space="preserve"> K, </w:t>
      </w:r>
      <w:proofErr w:type="spellStart"/>
      <w:r w:rsidRPr="00DE697E">
        <w:rPr>
          <w:sz w:val="20"/>
          <w:szCs w:val="20"/>
        </w:rPr>
        <w:t>Vihalemm</w:t>
      </w:r>
      <w:proofErr w:type="spellEnd"/>
      <w:r w:rsidRPr="00DE697E">
        <w:rPr>
          <w:sz w:val="20"/>
          <w:szCs w:val="20"/>
        </w:rPr>
        <w:t xml:space="preserve"> T, </w:t>
      </w:r>
      <w:proofErr w:type="spellStart"/>
      <w:r w:rsidRPr="00DE697E">
        <w:rPr>
          <w:sz w:val="20"/>
          <w:szCs w:val="20"/>
        </w:rPr>
        <w:t>Zilmer</w:t>
      </w:r>
      <w:proofErr w:type="spellEnd"/>
      <w:r w:rsidRPr="00DE697E">
        <w:rPr>
          <w:sz w:val="20"/>
          <w:szCs w:val="20"/>
        </w:rPr>
        <w:t xml:space="preserve"> M. Oxidative stress markers in pre-uremic patients. </w:t>
      </w:r>
      <w:proofErr w:type="spellStart"/>
      <w:r w:rsidRPr="00DE697E">
        <w:rPr>
          <w:sz w:val="20"/>
          <w:szCs w:val="20"/>
        </w:rPr>
        <w:t>Clin</w:t>
      </w:r>
      <w:proofErr w:type="spellEnd"/>
      <w:r w:rsidRPr="00DE697E">
        <w:rPr>
          <w:sz w:val="20"/>
          <w:szCs w:val="20"/>
        </w:rPr>
        <w:t xml:space="preserve">. </w:t>
      </w:r>
      <w:proofErr w:type="spellStart"/>
      <w:r w:rsidRPr="00DE697E">
        <w:rPr>
          <w:sz w:val="20"/>
          <w:szCs w:val="20"/>
        </w:rPr>
        <w:t>Nephrol</w:t>
      </w:r>
      <w:proofErr w:type="spellEnd"/>
      <w:r w:rsidRPr="00DE697E">
        <w:rPr>
          <w:sz w:val="20"/>
          <w:szCs w:val="20"/>
        </w:rPr>
        <w:t>.</w:t>
      </w:r>
      <w:r w:rsidR="00897A4E">
        <w:rPr>
          <w:rFonts w:hint="eastAsia"/>
          <w:sz w:val="20"/>
          <w:szCs w:val="20"/>
          <w:lang w:eastAsia="zh-CN"/>
        </w:rPr>
        <w:t xml:space="preserve"> </w:t>
      </w:r>
      <w:r w:rsidRPr="00DE697E">
        <w:rPr>
          <w:sz w:val="20"/>
          <w:szCs w:val="20"/>
        </w:rPr>
        <w:t>2001</w:t>
      </w:r>
      <w:proofErr w:type="gramStart"/>
      <w:r w:rsidRPr="00DE697E">
        <w:rPr>
          <w:sz w:val="20"/>
          <w:szCs w:val="20"/>
        </w:rPr>
        <w:t>;56:308</w:t>
      </w:r>
      <w:proofErr w:type="gramEnd"/>
      <w:r w:rsidRPr="00DE697E">
        <w:rPr>
          <w:sz w:val="20"/>
          <w:szCs w:val="20"/>
        </w:rPr>
        <w:t>-314.</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Nakamura M, Ando Y, </w:t>
      </w:r>
      <w:proofErr w:type="spellStart"/>
      <w:r w:rsidRPr="00DE697E">
        <w:rPr>
          <w:sz w:val="20"/>
          <w:szCs w:val="20"/>
        </w:rPr>
        <w:t>Sasada</w:t>
      </w:r>
      <w:proofErr w:type="spellEnd"/>
      <w:r w:rsidRPr="00DE697E">
        <w:rPr>
          <w:sz w:val="20"/>
          <w:szCs w:val="20"/>
        </w:rPr>
        <w:t xml:space="preserve"> K, </w:t>
      </w:r>
      <w:proofErr w:type="spellStart"/>
      <w:r w:rsidRPr="00DE697E">
        <w:rPr>
          <w:sz w:val="20"/>
          <w:szCs w:val="20"/>
        </w:rPr>
        <w:t>Haraoka</w:t>
      </w:r>
      <w:proofErr w:type="spellEnd"/>
      <w:r w:rsidRPr="00DE697E">
        <w:rPr>
          <w:sz w:val="20"/>
          <w:szCs w:val="20"/>
        </w:rPr>
        <w:t xml:space="preserve"> M, Ueda H, Okabe Y. Role of extracellular superoxide dismutase in patients under maintenance </w:t>
      </w:r>
      <w:proofErr w:type="spellStart"/>
      <w:r w:rsidRPr="00DE697E">
        <w:rPr>
          <w:sz w:val="20"/>
          <w:szCs w:val="20"/>
        </w:rPr>
        <w:t>hemodialysis</w:t>
      </w:r>
      <w:proofErr w:type="spellEnd"/>
      <w:r w:rsidRPr="00DE697E">
        <w:rPr>
          <w:sz w:val="20"/>
          <w:szCs w:val="20"/>
        </w:rPr>
        <w:t xml:space="preserve">. </w:t>
      </w:r>
      <w:proofErr w:type="spellStart"/>
      <w:r w:rsidRPr="00DE697E">
        <w:rPr>
          <w:sz w:val="20"/>
          <w:szCs w:val="20"/>
        </w:rPr>
        <w:t>Nephron</w:t>
      </w:r>
      <w:proofErr w:type="spellEnd"/>
      <w:r w:rsidRPr="00DE697E">
        <w:rPr>
          <w:sz w:val="20"/>
          <w:szCs w:val="20"/>
        </w:rPr>
        <w:t xml:space="preserve">. </w:t>
      </w:r>
      <w:proofErr w:type="spellStart"/>
      <w:r w:rsidRPr="00DE697E">
        <w:rPr>
          <w:sz w:val="20"/>
          <w:szCs w:val="20"/>
        </w:rPr>
        <w:t>Clin</w:t>
      </w:r>
      <w:proofErr w:type="spellEnd"/>
      <w:r w:rsidRPr="00DE697E">
        <w:rPr>
          <w:sz w:val="20"/>
          <w:szCs w:val="20"/>
        </w:rPr>
        <w:t xml:space="preserve">. </w:t>
      </w:r>
      <w:proofErr w:type="spellStart"/>
      <w:r w:rsidRPr="00DE697E">
        <w:rPr>
          <w:sz w:val="20"/>
          <w:szCs w:val="20"/>
        </w:rPr>
        <w:t>Pract</w:t>
      </w:r>
      <w:proofErr w:type="spellEnd"/>
      <w:r w:rsidRPr="00DE697E">
        <w:rPr>
          <w:sz w:val="20"/>
          <w:szCs w:val="20"/>
        </w:rPr>
        <w:t>.</w:t>
      </w:r>
      <w:r w:rsidR="00897A4E">
        <w:rPr>
          <w:rFonts w:hint="eastAsia"/>
          <w:sz w:val="20"/>
          <w:szCs w:val="20"/>
          <w:lang w:eastAsia="zh-CN"/>
        </w:rPr>
        <w:t xml:space="preserve"> </w:t>
      </w:r>
      <w:r w:rsidRPr="00DE697E">
        <w:rPr>
          <w:sz w:val="20"/>
          <w:szCs w:val="20"/>
        </w:rPr>
        <w:t>2005</w:t>
      </w:r>
      <w:proofErr w:type="gramStart"/>
      <w:r w:rsidRPr="00DE697E">
        <w:rPr>
          <w:sz w:val="20"/>
          <w:szCs w:val="20"/>
        </w:rPr>
        <w:t>;101:109</w:t>
      </w:r>
      <w:proofErr w:type="gramEnd"/>
      <w:r w:rsidRPr="00DE697E">
        <w:rPr>
          <w:sz w:val="20"/>
          <w:szCs w:val="20"/>
        </w:rPr>
        <w:t>-150.</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Locatelli</w:t>
      </w:r>
      <w:proofErr w:type="spellEnd"/>
      <w:r w:rsidRPr="00DE697E">
        <w:rPr>
          <w:sz w:val="20"/>
          <w:szCs w:val="20"/>
        </w:rPr>
        <w:t xml:space="preserve"> F, </w:t>
      </w:r>
      <w:proofErr w:type="spellStart"/>
      <w:r w:rsidRPr="00DE697E">
        <w:rPr>
          <w:sz w:val="20"/>
          <w:szCs w:val="20"/>
        </w:rPr>
        <w:t>Carnaud</w:t>
      </w:r>
      <w:proofErr w:type="spellEnd"/>
      <w:r w:rsidRPr="00DE697E">
        <w:rPr>
          <w:sz w:val="20"/>
          <w:szCs w:val="20"/>
        </w:rPr>
        <w:t xml:space="preserve"> B, </w:t>
      </w:r>
      <w:proofErr w:type="spellStart"/>
      <w:r w:rsidRPr="00DE697E">
        <w:rPr>
          <w:sz w:val="20"/>
          <w:szCs w:val="20"/>
        </w:rPr>
        <w:t>Eckardt</w:t>
      </w:r>
      <w:proofErr w:type="spellEnd"/>
      <w:r w:rsidRPr="00DE697E">
        <w:rPr>
          <w:sz w:val="20"/>
          <w:szCs w:val="20"/>
        </w:rPr>
        <w:t xml:space="preserve"> KU, </w:t>
      </w:r>
      <w:proofErr w:type="spellStart"/>
      <w:r w:rsidRPr="00DE697E">
        <w:rPr>
          <w:sz w:val="20"/>
          <w:szCs w:val="20"/>
        </w:rPr>
        <w:t>Stenvinke</w:t>
      </w:r>
      <w:proofErr w:type="spellEnd"/>
      <w:r w:rsidRPr="00DE697E">
        <w:rPr>
          <w:sz w:val="20"/>
          <w:szCs w:val="20"/>
        </w:rPr>
        <w:t xml:space="preserve"> Pl, </w:t>
      </w:r>
      <w:proofErr w:type="spellStart"/>
      <w:r w:rsidRPr="00DE697E">
        <w:rPr>
          <w:sz w:val="20"/>
          <w:szCs w:val="20"/>
        </w:rPr>
        <w:t>Wanner</w:t>
      </w:r>
      <w:proofErr w:type="spellEnd"/>
      <w:r w:rsidRPr="00DE697E">
        <w:rPr>
          <w:sz w:val="20"/>
          <w:szCs w:val="20"/>
        </w:rPr>
        <w:t xml:space="preserve"> C. </w:t>
      </w:r>
      <w:proofErr w:type="spellStart"/>
      <w:r w:rsidRPr="00DE697E">
        <w:rPr>
          <w:sz w:val="20"/>
          <w:szCs w:val="20"/>
        </w:rPr>
        <w:t>Zoccali</w:t>
      </w:r>
      <w:proofErr w:type="spellEnd"/>
      <w:r w:rsidRPr="00DE697E">
        <w:rPr>
          <w:sz w:val="20"/>
          <w:szCs w:val="20"/>
        </w:rPr>
        <w:t xml:space="preserve"> C. Oxidative stress in </w:t>
      </w:r>
      <w:r w:rsidRPr="00DE697E">
        <w:rPr>
          <w:sz w:val="20"/>
          <w:szCs w:val="20"/>
        </w:rPr>
        <w:lastRenderedPageBreak/>
        <w:t xml:space="preserve">end-stage renal disease an emerging threat to patient outcome.  </w:t>
      </w:r>
      <w:proofErr w:type="spellStart"/>
      <w:r w:rsidRPr="00DE697E">
        <w:rPr>
          <w:sz w:val="20"/>
          <w:szCs w:val="20"/>
        </w:rPr>
        <w:t>Nephrol</w:t>
      </w:r>
      <w:proofErr w:type="spellEnd"/>
      <w:r w:rsidRPr="00DE697E">
        <w:rPr>
          <w:sz w:val="20"/>
          <w:szCs w:val="20"/>
        </w:rPr>
        <w:t>. Dial. Transplant.</w:t>
      </w:r>
      <w:r w:rsidR="00897A4E">
        <w:rPr>
          <w:rFonts w:hint="eastAsia"/>
          <w:sz w:val="20"/>
          <w:szCs w:val="20"/>
          <w:lang w:eastAsia="zh-CN"/>
        </w:rPr>
        <w:t xml:space="preserve"> </w:t>
      </w:r>
      <w:r w:rsidRPr="00DE697E">
        <w:rPr>
          <w:sz w:val="20"/>
          <w:szCs w:val="20"/>
        </w:rPr>
        <w:t>2003</w:t>
      </w:r>
      <w:proofErr w:type="gramStart"/>
      <w:r w:rsidRPr="00DE697E">
        <w:rPr>
          <w:sz w:val="20"/>
          <w:szCs w:val="20"/>
        </w:rPr>
        <w:t>;18:1272</w:t>
      </w:r>
      <w:proofErr w:type="gramEnd"/>
      <w:r w:rsidRPr="00DE697E">
        <w:rPr>
          <w:sz w:val="20"/>
          <w:szCs w:val="20"/>
        </w:rPr>
        <w:t>-1280.</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Stocker R, </w:t>
      </w:r>
      <w:proofErr w:type="spellStart"/>
      <w:r w:rsidRPr="00DE697E">
        <w:rPr>
          <w:sz w:val="20"/>
          <w:szCs w:val="20"/>
        </w:rPr>
        <w:t>Keaney</w:t>
      </w:r>
      <w:proofErr w:type="spellEnd"/>
      <w:r w:rsidRPr="00DE697E">
        <w:rPr>
          <w:sz w:val="20"/>
          <w:szCs w:val="20"/>
        </w:rPr>
        <w:t xml:space="preserve"> JF. Role of oxidative modifications in atherosclerosis. Physiol. Rev.</w:t>
      </w:r>
      <w:r w:rsidR="00897A4E">
        <w:rPr>
          <w:rFonts w:hint="eastAsia"/>
          <w:sz w:val="20"/>
          <w:szCs w:val="20"/>
          <w:lang w:eastAsia="zh-CN"/>
        </w:rPr>
        <w:t xml:space="preserve"> </w:t>
      </w:r>
      <w:r w:rsidRPr="00DE697E">
        <w:rPr>
          <w:sz w:val="20"/>
          <w:szCs w:val="20"/>
        </w:rPr>
        <w:t>2004</w:t>
      </w:r>
      <w:proofErr w:type="gramStart"/>
      <w:r w:rsidRPr="00DE697E">
        <w:rPr>
          <w:sz w:val="20"/>
          <w:szCs w:val="20"/>
        </w:rPr>
        <w:t>;84:1381</w:t>
      </w:r>
      <w:proofErr w:type="gramEnd"/>
      <w:r w:rsidRPr="00DE697E">
        <w:rPr>
          <w:sz w:val="20"/>
          <w:szCs w:val="20"/>
        </w:rPr>
        <w:t>-1478.</w:t>
      </w:r>
    </w:p>
    <w:p w:rsidR="00047256" w:rsidRPr="00DE697E" w:rsidRDefault="00047256" w:rsidP="00DE697E">
      <w:pPr>
        <w:numPr>
          <w:ilvl w:val="0"/>
          <w:numId w:val="7"/>
        </w:numPr>
        <w:suppressAutoHyphens w:val="0"/>
        <w:snapToGrid w:val="0"/>
        <w:ind w:left="425" w:hanging="425"/>
        <w:jc w:val="both"/>
        <w:rPr>
          <w:sz w:val="20"/>
          <w:szCs w:val="20"/>
        </w:rPr>
      </w:pPr>
      <w:r w:rsidRPr="00DE697E">
        <w:rPr>
          <w:sz w:val="20"/>
          <w:szCs w:val="20"/>
        </w:rPr>
        <w:t xml:space="preserve">Boaz M, </w:t>
      </w:r>
      <w:proofErr w:type="spellStart"/>
      <w:r w:rsidRPr="00DE697E">
        <w:rPr>
          <w:sz w:val="20"/>
          <w:szCs w:val="20"/>
        </w:rPr>
        <w:t>Matas</w:t>
      </w:r>
      <w:proofErr w:type="spellEnd"/>
      <w:r w:rsidRPr="00DE697E">
        <w:rPr>
          <w:sz w:val="20"/>
          <w:szCs w:val="20"/>
        </w:rPr>
        <w:t xml:space="preserve"> Z, Biro A. Comparison of </w:t>
      </w:r>
      <w:proofErr w:type="spellStart"/>
      <w:r w:rsidRPr="00DE697E">
        <w:rPr>
          <w:sz w:val="20"/>
          <w:szCs w:val="20"/>
        </w:rPr>
        <w:t>hemostatic</w:t>
      </w:r>
      <w:proofErr w:type="spellEnd"/>
      <w:r w:rsidRPr="00DE697E">
        <w:rPr>
          <w:sz w:val="20"/>
          <w:szCs w:val="20"/>
        </w:rPr>
        <w:t xml:space="preserve"> factors and serum </w:t>
      </w:r>
      <w:proofErr w:type="spellStart"/>
      <w:r w:rsidRPr="00DE697E">
        <w:rPr>
          <w:sz w:val="20"/>
          <w:szCs w:val="20"/>
        </w:rPr>
        <w:t>malondialdehyde</w:t>
      </w:r>
      <w:proofErr w:type="spellEnd"/>
      <w:r w:rsidRPr="00DE697E">
        <w:rPr>
          <w:sz w:val="20"/>
          <w:szCs w:val="20"/>
        </w:rPr>
        <w:t xml:space="preserve"> as predictive factors for cardiovascular disease in </w:t>
      </w:r>
      <w:proofErr w:type="spellStart"/>
      <w:r w:rsidRPr="00DE697E">
        <w:rPr>
          <w:sz w:val="20"/>
          <w:szCs w:val="20"/>
        </w:rPr>
        <w:t>hemodialysis</w:t>
      </w:r>
      <w:proofErr w:type="spellEnd"/>
      <w:r w:rsidRPr="00DE697E">
        <w:rPr>
          <w:sz w:val="20"/>
          <w:szCs w:val="20"/>
        </w:rPr>
        <w:t xml:space="preserve"> patients. Am. J. Kidney. Dis.</w:t>
      </w:r>
      <w:r w:rsidR="00897A4E">
        <w:rPr>
          <w:rFonts w:hint="eastAsia"/>
          <w:sz w:val="20"/>
          <w:szCs w:val="20"/>
          <w:lang w:eastAsia="zh-CN"/>
        </w:rPr>
        <w:t xml:space="preserve"> </w:t>
      </w:r>
      <w:r w:rsidRPr="00DE697E">
        <w:rPr>
          <w:sz w:val="20"/>
          <w:szCs w:val="20"/>
        </w:rPr>
        <w:t>1999</w:t>
      </w:r>
      <w:proofErr w:type="gramStart"/>
      <w:r w:rsidRPr="00DE697E">
        <w:rPr>
          <w:sz w:val="20"/>
          <w:szCs w:val="20"/>
        </w:rPr>
        <w:t>;34:438</w:t>
      </w:r>
      <w:proofErr w:type="gramEnd"/>
      <w:r w:rsidRPr="00DE697E">
        <w:rPr>
          <w:sz w:val="20"/>
          <w:szCs w:val="20"/>
        </w:rPr>
        <w:t>-444.</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Witko-Sarsat</w:t>
      </w:r>
      <w:proofErr w:type="spellEnd"/>
      <w:r w:rsidRPr="00DE697E">
        <w:rPr>
          <w:sz w:val="20"/>
          <w:szCs w:val="20"/>
        </w:rPr>
        <w:t xml:space="preserve"> V, Friedlander M, Nguyen KT. Advanced products as novel mediators of inflammation and </w:t>
      </w:r>
      <w:proofErr w:type="spellStart"/>
      <w:r w:rsidRPr="00DE697E">
        <w:rPr>
          <w:sz w:val="20"/>
          <w:szCs w:val="20"/>
        </w:rPr>
        <w:t>monocyte</w:t>
      </w:r>
      <w:proofErr w:type="spellEnd"/>
      <w:r w:rsidRPr="00DE697E">
        <w:rPr>
          <w:sz w:val="20"/>
          <w:szCs w:val="20"/>
        </w:rPr>
        <w:t xml:space="preserve"> activation in chronic renal failure. J. </w:t>
      </w:r>
      <w:proofErr w:type="spellStart"/>
      <w:r w:rsidRPr="00DE697E">
        <w:rPr>
          <w:sz w:val="20"/>
          <w:szCs w:val="20"/>
        </w:rPr>
        <w:t>Immunol</w:t>
      </w:r>
      <w:proofErr w:type="spellEnd"/>
      <w:r w:rsidRPr="00DE697E">
        <w:rPr>
          <w:sz w:val="20"/>
          <w:szCs w:val="20"/>
        </w:rPr>
        <w:t>.</w:t>
      </w:r>
      <w:r w:rsidR="00897A4E">
        <w:rPr>
          <w:rFonts w:hint="eastAsia"/>
          <w:sz w:val="20"/>
          <w:szCs w:val="20"/>
          <w:lang w:eastAsia="zh-CN"/>
        </w:rPr>
        <w:t xml:space="preserve"> </w:t>
      </w:r>
      <w:r w:rsidRPr="00DE697E">
        <w:rPr>
          <w:sz w:val="20"/>
          <w:szCs w:val="20"/>
        </w:rPr>
        <w:t>1998;</w:t>
      </w:r>
      <w:r w:rsidR="00897A4E">
        <w:rPr>
          <w:rFonts w:hint="eastAsia"/>
          <w:sz w:val="20"/>
          <w:szCs w:val="20"/>
          <w:lang w:eastAsia="zh-CN"/>
        </w:rPr>
        <w:t xml:space="preserve"> </w:t>
      </w:r>
      <w:r w:rsidRPr="00DE697E">
        <w:rPr>
          <w:sz w:val="20"/>
          <w:szCs w:val="20"/>
        </w:rPr>
        <w:t>161:2524-2532.</w:t>
      </w:r>
    </w:p>
    <w:p w:rsidR="00047256" w:rsidRPr="00DE697E" w:rsidRDefault="00047256" w:rsidP="00DE697E">
      <w:pPr>
        <w:numPr>
          <w:ilvl w:val="0"/>
          <w:numId w:val="7"/>
        </w:numPr>
        <w:suppressAutoHyphens w:val="0"/>
        <w:snapToGrid w:val="0"/>
        <w:ind w:left="425" w:hanging="425"/>
        <w:jc w:val="both"/>
        <w:rPr>
          <w:sz w:val="20"/>
          <w:szCs w:val="20"/>
        </w:rPr>
      </w:pPr>
      <w:proofErr w:type="spellStart"/>
      <w:r w:rsidRPr="00DE697E">
        <w:rPr>
          <w:sz w:val="20"/>
          <w:szCs w:val="20"/>
        </w:rPr>
        <w:t>Schiavon</w:t>
      </w:r>
      <w:proofErr w:type="spellEnd"/>
      <w:r w:rsidRPr="00DE697E">
        <w:rPr>
          <w:sz w:val="20"/>
          <w:szCs w:val="20"/>
        </w:rPr>
        <w:t xml:space="preserve"> R, </w:t>
      </w:r>
      <w:proofErr w:type="spellStart"/>
      <w:r w:rsidRPr="00DE697E">
        <w:rPr>
          <w:sz w:val="20"/>
          <w:szCs w:val="20"/>
        </w:rPr>
        <w:t>Biasioli</w:t>
      </w:r>
      <w:proofErr w:type="spellEnd"/>
      <w:r w:rsidRPr="00DE697E">
        <w:rPr>
          <w:sz w:val="20"/>
          <w:szCs w:val="20"/>
        </w:rPr>
        <w:t xml:space="preserve"> S, De-</w:t>
      </w:r>
      <w:proofErr w:type="spellStart"/>
      <w:r w:rsidRPr="00DE697E">
        <w:rPr>
          <w:sz w:val="20"/>
          <w:szCs w:val="20"/>
        </w:rPr>
        <w:t>Fanti</w:t>
      </w:r>
      <w:proofErr w:type="spellEnd"/>
      <w:r w:rsidRPr="00DE697E">
        <w:rPr>
          <w:sz w:val="20"/>
          <w:szCs w:val="20"/>
        </w:rPr>
        <w:t xml:space="preserve"> E, </w:t>
      </w:r>
      <w:proofErr w:type="spellStart"/>
      <w:r w:rsidRPr="00DE697E">
        <w:rPr>
          <w:sz w:val="20"/>
          <w:szCs w:val="20"/>
        </w:rPr>
        <w:t>Petrosino</w:t>
      </w:r>
      <w:proofErr w:type="spellEnd"/>
      <w:r w:rsidRPr="00DE697E">
        <w:rPr>
          <w:sz w:val="20"/>
          <w:szCs w:val="20"/>
        </w:rPr>
        <w:t xml:space="preserve"> L, </w:t>
      </w:r>
      <w:proofErr w:type="spellStart"/>
      <w:r w:rsidRPr="00DE697E">
        <w:rPr>
          <w:sz w:val="20"/>
          <w:szCs w:val="20"/>
        </w:rPr>
        <w:t>Cavallini</w:t>
      </w:r>
      <w:proofErr w:type="spellEnd"/>
      <w:r w:rsidRPr="00DE697E">
        <w:rPr>
          <w:sz w:val="20"/>
          <w:szCs w:val="20"/>
        </w:rPr>
        <w:t xml:space="preserve"> L, </w:t>
      </w:r>
      <w:proofErr w:type="spellStart"/>
      <w:r w:rsidRPr="00DE697E">
        <w:rPr>
          <w:sz w:val="20"/>
          <w:szCs w:val="20"/>
        </w:rPr>
        <w:t>Cavalcanti</w:t>
      </w:r>
      <w:proofErr w:type="spellEnd"/>
      <w:r w:rsidRPr="00DE697E">
        <w:rPr>
          <w:sz w:val="20"/>
          <w:szCs w:val="20"/>
        </w:rPr>
        <w:t xml:space="preserve"> G, </w:t>
      </w:r>
      <w:proofErr w:type="spellStart"/>
      <w:r w:rsidRPr="00DE697E">
        <w:rPr>
          <w:sz w:val="20"/>
          <w:szCs w:val="20"/>
        </w:rPr>
        <w:t>Zambello</w:t>
      </w:r>
      <w:proofErr w:type="spellEnd"/>
      <w:r w:rsidRPr="00DE697E">
        <w:rPr>
          <w:sz w:val="20"/>
          <w:szCs w:val="20"/>
        </w:rPr>
        <w:t xml:space="preserve"> A, </w:t>
      </w:r>
      <w:proofErr w:type="spellStart"/>
      <w:r w:rsidRPr="00DE697E">
        <w:rPr>
          <w:sz w:val="20"/>
          <w:szCs w:val="20"/>
        </w:rPr>
        <w:t>Guidi</w:t>
      </w:r>
      <w:proofErr w:type="spellEnd"/>
      <w:r w:rsidRPr="00DE697E">
        <w:rPr>
          <w:sz w:val="20"/>
          <w:szCs w:val="20"/>
        </w:rPr>
        <w:t xml:space="preserve"> G. The plasma glutathione </w:t>
      </w:r>
      <w:proofErr w:type="spellStart"/>
      <w:r w:rsidRPr="00DE697E">
        <w:rPr>
          <w:sz w:val="20"/>
          <w:szCs w:val="20"/>
        </w:rPr>
        <w:t>peroxidase</w:t>
      </w:r>
      <w:proofErr w:type="spellEnd"/>
      <w:r w:rsidRPr="00DE697E">
        <w:rPr>
          <w:sz w:val="20"/>
          <w:szCs w:val="20"/>
        </w:rPr>
        <w:t xml:space="preserve"> enzyme in </w:t>
      </w:r>
      <w:proofErr w:type="spellStart"/>
      <w:r w:rsidRPr="00DE697E">
        <w:rPr>
          <w:sz w:val="20"/>
          <w:szCs w:val="20"/>
        </w:rPr>
        <w:t>hemodialyzed</w:t>
      </w:r>
      <w:proofErr w:type="spellEnd"/>
      <w:r w:rsidRPr="00DE697E">
        <w:rPr>
          <w:sz w:val="20"/>
          <w:szCs w:val="20"/>
        </w:rPr>
        <w:t xml:space="preserve"> subjects. A.S.A.I.O. J.</w:t>
      </w:r>
      <w:r w:rsidR="00897A4E">
        <w:rPr>
          <w:rFonts w:hint="eastAsia"/>
          <w:sz w:val="20"/>
          <w:szCs w:val="20"/>
          <w:lang w:eastAsia="zh-CN"/>
        </w:rPr>
        <w:t xml:space="preserve"> </w:t>
      </w:r>
      <w:r w:rsidRPr="00DE697E">
        <w:rPr>
          <w:sz w:val="20"/>
          <w:szCs w:val="20"/>
        </w:rPr>
        <w:t>1994</w:t>
      </w:r>
      <w:proofErr w:type="gramStart"/>
      <w:r w:rsidRPr="00DE697E">
        <w:rPr>
          <w:sz w:val="20"/>
          <w:szCs w:val="20"/>
        </w:rPr>
        <w:t>;40:968</w:t>
      </w:r>
      <w:proofErr w:type="gramEnd"/>
      <w:r w:rsidRPr="00DE697E">
        <w:rPr>
          <w:sz w:val="20"/>
          <w:szCs w:val="20"/>
        </w:rPr>
        <w:t>-971.</w:t>
      </w:r>
    </w:p>
    <w:p w:rsidR="00DE697E" w:rsidRPr="00897A4E" w:rsidRDefault="00047256" w:rsidP="00DE697E">
      <w:pPr>
        <w:numPr>
          <w:ilvl w:val="0"/>
          <w:numId w:val="7"/>
        </w:numPr>
        <w:suppressAutoHyphens w:val="0"/>
        <w:snapToGrid w:val="0"/>
        <w:ind w:left="425" w:hanging="425"/>
        <w:jc w:val="both"/>
        <w:rPr>
          <w:sz w:val="20"/>
          <w:szCs w:val="20"/>
        </w:rPr>
      </w:pPr>
      <w:proofErr w:type="spellStart"/>
      <w:r w:rsidRPr="00897A4E">
        <w:rPr>
          <w:sz w:val="20"/>
          <w:szCs w:val="20"/>
        </w:rPr>
        <w:t>Fiorillo</w:t>
      </w:r>
      <w:proofErr w:type="spellEnd"/>
      <w:r w:rsidRPr="00897A4E">
        <w:rPr>
          <w:sz w:val="20"/>
          <w:szCs w:val="20"/>
        </w:rPr>
        <w:t xml:space="preserve"> C, Olivier C, </w:t>
      </w:r>
      <w:proofErr w:type="spellStart"/>
      <w:r w:rsidRPr="00897A4E">
        <w:rPr>
          <w:sz w:val="20"/>
          <w:szCs w:val="20"/>
        </w:rPr>
        <w:t>Rizzuti</w:t>
      </w:r>
      <w:proofErr w:type="spellEnd"/>
      <w:r w:rsidRPr="00897A4E">
        <w:rPr>
          <w:sz w:val="20"/>
          <w:szCs w:val="20"/>
        </w:rPr>
        <w:t xml:space="preserve"> G, </w:t>
      </w:r>
      <w:proofErr w:type="spellStart"/>
      <w:r w:rsidRPr="00897A4E">
        <w:rPr>
          <w:sz w:val="20"/>
          <w:szCs w:val="20"/>
        </w:rPr>
        <w:t>Nediani</w:t>
      </w:r>
      <w:proofErr w:type="spellEnd"/>
      <w:r w:rsidRPr="00897A4E">
        <w:rPr>
          <w:sz w:val="20"/>
          <w:szCs w:val="20"/>
        </w:rPr>
        <w:t xml:space="preserve"> C, </w:t>
      </w:r>
      <w:proofErr w:type="spellStart"/>
      <w:r w:rsidRPr="00897A4E">
        <w:rPr>
          <w:sz w:val="20"/>
          <w:szCs w:val="20"/>
        </w:rPr>
        <w:t>Pacini</w:t>
      </w:r>
      <w:proofErr w:type="spellEnd"/>
      <w:r w:rsidRPr="00897A4E">
        <w:rPr>
          <w:sz w:val="20"/>
          <w:szCs w:val="20"/>
        </w:rPr>
        <w:t xml:space="preserve"> A, </w:t>
      </w:r>
      <w:proofErr w:type="spellStart"/>
      <w:r w:rsidRPr="00897A4E">
        <w:rPr>
          <w:sz w:val="20"/>
          <w:szCs w:val="20"/>
        </w:rPr>
        <w:t>Nassi</w:t>
      </w:r>
      <w:proofErr w:type="spellEnd"/>
      <w:r w:rsidRPr="00897A4E">
        <w:rPr>
          <w:sz w:val="20"/>
          <w:szCs w:val="20"/>
        </w:rPr>
        <w:t xml:space="preserve"> P. Oxidative stress and antioxidants defenses in renal patients receiving regular </w:t>
      </w:r>
      <w:proofErr w:type="spellStart"/>
      <w:r w:rsidRPr="00897A4E">
        <w:rPr>
          <w:sz w:val="20"/>
          <w:szCs w:val="20"/>
        </w:rPr>
        <w:t>haemodialysis</w:t>
      </w:r>
      <w:proofErr w:type="spellEnd"/>
      <w:r w:rsidRPr="00897A4E">
        <w:rPr>
          <w:sz w:val="20"/>
          <w:szCs w:val="20"/>
        </w:rPr>
        <w:t xml:space="preserve">. </w:t>
      </w:r>
      <w:proofErr w:type="spellStart"/>
      <w:r w:rsidRPr="00897A4E">
        <w:rPr>
          <w:sz w:val="20"/>
          <w:szCs w:val="20"/>
        </w:rPr>
        <w:t>Clin</w:t>
      </w:r>
      <w:proofErr w:type="spellEnd"/>
      <w:r w:rsidRPr="00897A4E">
        <w:rPr>
          <w:sz w:val="20"/>
          <w:szCs w:val="20"/>
        </w:rPr>
        <w:t>. Chem. Lab. Med.</w:t>
      </w:r>
      <w:r w:rsidR="00897A4E">
        <w:rPr>
          <w:rFonts w:hint="eastAsia"/>
          <w:sz w:val="20"/>
          <w:szCs w:val="20"/>
          <w:lang w:eastAsia="zh-CN"/>
        </w:rPr>
        <w:t xml:space="preserve"> </w:t>
      </w:r>
      <w:r w:rsidRPr="00897A4E">
        <w:rPr>
          <w:sz w:val="20"/>
          <w:szCs w:val="20"/>
        </w:rPr>
        <w:t>1998</w:t>
      </w:r>
      <w:proofErr w:type="gramStart"/>
      <w:r w:rsidRPr="00897A4E">
        <w:rPr>
          <w:sz w:val="20"/>
          <w:szCs w:val="20"/>
        </w:rPr>
        <w:t>;6</w:t>
      </w:r>
      <w:proofErr w:type="gramEnd"/>
      <w:r w:rsidRPr="00897A4E">
        <w:rPr>
          <w:sz w:val="20"/>
          <w:szCs w:val="20"/>
        </w:rPr>
        <w:t>(33):149-153.</w:t>
      </w:r>
      <w:r w:rsidR="00897A4E" w:rsidRPr="00897A4E">
        <w:rPr>
          <w:rFonts w:hint="eastAsia"/>
          <w:sz w:val="20"/>
          <w:szCs w:val="20"/>
          <w:lang w:eastAsia="zh-CN"/>
        </w:rPr>
        <w:t xml:space="preserve"> </w:t>
      </w:r>
    </w:p>
    <w:p w:rsidR="00DE697E" w:rsidRPr="00DE697E" w:rsidRDefault="00DE697E" w:rsidP="00DE697E">
      <w:pPr>
        <w:snapToGrid w:val="0"/>
        <w:ind w:left="425" w:hanging="425"/>
        <w:jc w:val="both"/>
        <w:rPr>
          <w:sz w:val="20"/>
          <w:szCs w:val="20"/>
        </w:rPr>
        <w:sectPr w:rsidR="00DE697E" w:rsidRPr="00DE697E" w:rsidSect="00782626">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047256" w:rsidRPr="00DE697E" w:rsidRDefault="00047256" w:rsidP="00DE697E">
      <w:pPr>
        <w:snapToGrid w:val="0"/>
        <w:ind w:left="425" w:hanging="425"/>
        <w:jc w:val="both"/>
        <w:rPr>
          <w:sz w:val="20"/>
          <w:szCs w:val="20"/>
        </w:rPr>
      </w:pPr>
    </w:p>
    <w:p w:rsidR="00047256" w:rsidRPr="00DE697E" w:rsidRDefault="00047256" w:rsidP="00DE697E">
      <w:pPr>
        <w:snapToGrid w:val="0"/>
        <w:ind w:left="425" w:hanging="425"/>
        <w:jc w:val="both"/>
        <w:rPr>
          <w:sz w:val="20"/>
          <w:szCs w:val="20"/>
        </w:rPr>
      </w:pPr>
    </w:p>
    <w:p w:rsidR="00DE697E" w:rsidRPr="00DE697E" w:rsidRDefault="00DE697E" w:rsidP="00DE697E">
      <w:pPr>
        <w:snapToGrid w:val="0"/>
        <w:ind w:left="425" w:hanging="425"/>
        <w:jc w:val="both"/>
        <w:rPr>
          <w:sz w:val="20"/>
          <w:szCs w:val="20"/>
        </w:rPr>
      </w:pPr>
    </w:p>
    <w:p w:rsidR="00EB51F4" w:rsidRPr="00DE697E" w:rsidRDefault="00DE697E" w:rsidP="00DE697E">
      <w:pPr>
        <w:snapToGrid w:val="0"/>
        <w:ind w:left="425" w:hanging="425"/>
        <w:jc w:val="both"/>
        <w:rPr>
          <w:sz w:val="20"/>
          <w:szCs w:val="20"/>
        </w:rPr>
      </w:pPr>
      <w:r w:rsidRPr="00DE697E">
        <w:rPr>
          <w:sz w:val="20"/>
          <w:szCs w:val="20"/>
        </w:rPr>
        <w:t>3/16/2015</w:t>
      </w:r>
    </w:p>
    <w:sectPr w:rsidR="00EB51F4" w:rsidRPr="00DE697E" w:rsidSect="00782626">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DD" w:rsidRDefault="00722FDD">
      <w:r>
        <w:separator/>
      </w:r>
    </w:p>
  </w:endnote>
  <w:endnote w:type="continuationSeparator" w:id="0">
    <w:p w:rsidR="00722FDD" w:rsidRDefault="00722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Default="0032729C" w:rsidP="00B3167C">
    <w:pPr>
      <w:pStyle w:val="Footer"/>
      <w:framePr w:wrap="around" w:vAnchor="text" w:hAnchor="margin" w:xAlign="center" w:y="1"/>
      <w:rPr>
        <w:rStyle w:val="PageNumber"/>
      </w:rPr>
    </w:pPr>
    <w:r>
      <w:rPr>
        <w:rStyle w:val="PageNumber"/>
      </w:rPr>
      <w:fldChar w:fldCharType="begin"/>
    </w:r>
    <w:r w:rsidR="00DE697E">
      <w:rPr>
        <w:rStyle w:val="PageNumber"/>
      </w:rPr>
      <w:instrText xml:space="preserve">PAGE  </w:instrText>
    </w:r>
    <w:r>
      <w:rPr>
        <w:rStyle w:val="PageNumber"/>
      </w:rPr>
      <w:fldChar w:fldCharType="end"/>
    </w:r>
  </w:p>
  <w:p w:rsidR="00DE697E" w:rsidRDefault="00DE697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0D" w:rsidRPr="00DE697E" w:rsidRDefault="0032729C" w:rsidP="00DE697E">
    <w:pPr>
      <w:jc w:val="center"/>
      <w:rPr>
        <w:sz w:val="20"/>
      </w:rPr>
    </w:pPr>
    <w:r w:rsidRPr="00DE697E">
      <w:rPr>
        <w:sz w:val="20"/>
      </w:rPr>
      <w:fldChar w:fldCharType="begin"/>
    </w:r>
    <w:r w:rsidR="00DE697E" w:rsidRPr="00DE697E">
      <w:rPr>
        <w:sz w:val="20"/>
      </w:rPr>
      <w:instrText xml:space="preserve"> page </w:instrText>
    </w:r>
    <w:r w:rsidRPr="00DE697E">
      <w:rPr>
        <w:sz w:val="20"/>
      </w:rPr>
      <w:fldChar w:fldCharType="separate"/>
    </w:r>
    <w:r w:rsidR="00DE697E">
      <w:rPr>
        <w:noProof/>
        <w:sz w:val="20"/>
      </w:rPr>
      <w:t>1</w:t>
    </w:r>
    <w:r w:rsidRPr="00DE697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32729C" w:rsidP="00DE697E">
    <w:pPr>
      <w:jc w:val="center"/>
      <w:rPr>
        <w:sz w:val="20"/>
      </w:rPr>
    </w:pPr>
    <w:r w:rsidRPr="00DE697E">
      <w:rPr>
        <w:sz w:val="20"/>
      </w:rPr>
      <w:fldChar w:fldCharType="begin"/>
    </w:r>
    <w:r w:rsidR="00DE697E" w:rsidRPr="00DE697E">
      <w:rPr>
        <w:sz w:val="20"/>
      </w:rPr>
      <w:instrText xml:space="preserve"> page </w:instrText>
    </w:r>
    <w:r w:rsidRPr="00DE697E">
      <w:rPr>
        <w:sz w:val="20"/>
      </w:rPr>
      <w:fldChar w:fldCharType="separate"/>
    </w:r>
    <w:r w:rsidR="00897A4E">
      <w:rPr>
        <w:noProof/>
        <w:sz w:val="20"/>
      </w:rPr>
      <w:t>88</w:t>
    </w:r>
    <w:r w:rsidRPr="00DE697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Default="0032729C" w:rsidP="00B3167C">
    <w:pPr>
      <w:pStyle w:val="Footer"/>
      <w:framePr w:wrap="around" w:vAnchor="text" w:hAnchor="margin" w:xAlign="center" w:y="1"/>
      <w:rPr>
        <w:rStyle w:val="PageNumber"/>
      </w:rPr>
    </w:pPr>
    <w:r>
      <w:rPr>
        <w:rStyle w:val="PageNumber"/>
      </w:rPr>
      <w:fldChar w:fldCharType="begin"/>
    </w:r>
    <w:r w:rsidR="00DE697E">
      <w:rPr>
        <w:rStyle w:val="PageNumber"/>
      </w:rPr>
      <w:instrText xml:space="preserve">PAGE  </w:instrText>
    </w:r>
    <w:r>
      <w:rPr>
        <w:rStyle w:val="PageNumber"/>
      </w:rPr>
      <w:fldChar w:fldCharType="end"/>
    </w:r>
  </w:p>
  <w:p w:rsidR="00DE697E" w:rsidRDefault="00DE697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32729C" w:rsidP="00DE697E">
    <w:pPr>
      <w:jc w:val="center"/>
      <w:rPr>
        <w:sz w:val="20"/>
      </w:rPr>
    </w:pPr>
    <w:r w:rsidRPr="00DE697E">
      <w:rPr>
        <w:sz w:val="20"/>
      </w:rPr>
      <w:fldChar w:fldCharType="begin"/>
    </w:r>
    <w:r w:rsidR="00DE697E" w:rsidRPr="00DE697E">
      <w:rPr>
        <w:sz w:val="20"/>
      </w:rPr>
      <w:instrText xml:space="preserve"> page </w:instrText>
    </w:r>
    <w:r w:rsidRPr="00DE697E">
      <w:rPr>
        <w:sz w:val="20"/>
      </w:rPr>
      <w:fldChar w:fldCharType="separate"/>
    </w:r>
    <w:r w:rsidR="00897A4E">
      <w:rPr>
        <w:noProof/>
        <w:sz w:val="20"/>
      </w:rPr>
      <w:t>89</w:t>
    </w:r>
    <w:r w:rsidRPr="00DE697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Default="0032729C" w:rsidP="00B3167C">
    <w:pPr>
      <w:pStyle w:val="Footer"/>
      <w:framePr w:wrap="around" w:vAnchor="text" w:hAnchor="margin" w:xAlign="center" w:y="1"/>
      <w:rPr>
        <w:rStyle w:val="PageNumber"/>
      </w:rPr>
    </w:pPr>
    <w:r>
      <w:rPr>
        <w:rStyle w:val="PageNumber"/>
      </w:rPr>
      <w:fldChar w:fldCharType="begin"/>
    </w:r>
    <w:r w:rsidR="00DE697E">
      <w:rPr>
        <w:rStyle w:val="PageNumber"/>
      </w:rPr>
      <w:instrText xml:space="preserve">PAGE  </w:instrText>
    </w:r>
    <w:r>
      <w:rPr>
        <w:rStyle w:val="PageNumber"/>
      </w:rPr>
      <w:fldChar w:fldCharType="end"/>
    </w:r>
  </w:p>
  <w:p w:rsidR="00DE697E" w:rsidRDefault="00DE697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32729C" w:rsidP="00DE697E">
    <w:pPr>
      <w:jc w:val="center"/>
      <w:rPr>
        <w:sz w:val="20"/>
      </w:rPr>
    </w:pPr>
    <w:r w:rsidRPr="00DE697E">
      <w:rPr>
        <w:sz w:val="20"/>
      </w:rPr>
      <w:fldChar w:fldCharType="begin"/>
    </w:r>
    <w:r w:rsidR="00DE697E" w:rsidRPr="00DE697E">
      <w:rPr>
        <w:sz w:val="20"/>
      </w:rPr>
      <w:instrText xml:space="preserve"> page </w:instrText>
    </w:r>
    <w:r w:rsidRPr="00DE697E">
      <w:rPr>
        <w:sz w:val="20"/>
      </w:rPr>
      <w:fldChar w:fldCharType="separate"/>
    </w:r>
    <w:r w:rsidR="00897A4E">
      <w:rPr>
        <w:noProof/>
        <w:sz w:val="20"/>
      </w:rPr>
      <w:t>90</w:t>
    </w:r>
    <w:r w:rsidRPr="00DE697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Default="0032729C" w:rsidP="00B3167C">
    <w:pPr>
      <w:pStyle w:val="Footer"/>
      <w:framePr w:wrap="around" w:vAnchor="text" w:hAnchor="margin" w:xAlign="center" w:y="1"/>
      <w:rPr>
        <w:rStyle w:val="PageNumber"/>
      </w:rPr>
    </w:pPr>
    <w:r>
      <w:rPr>
        <w:rStyle w:val="PageNumber"/>
      </w:rPr>
      <w:fldChar w:fldCharType="begin"/>
    </w:r>
    <w:r w:rsidR="00DE697E">
      <w:rPr>
        <w:rStyle w:val="PageNumber"/>
      </w:rPr>
      <w:instrText xml:space="preserve">PAGE  </w:instrText>
    </w:r>
    <w:r>
      <w:rPr>
        <w:rStyle w:val="PageNumber"/>
      </w:rPr>
      <w:fldChar w:fldCharType="end"/>
    </w:r>
  </w:p>
  <w:p w:rsidR="00DE697E" w:rsidRDefault="00DE697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32729C" w:rsidP="00DE697E">
    <w:pPr>
      <w:jc w:val="center"/>
      <w:rPr>
        <w:sz w:val="20"/>
      </w:rPr>
    </w:pPr>
    <w:r w:rsidRPr="00DE697E">
      <w:rPr>
        <w:sz w:val="20"/>
      </w:rPr>
      <w:fldChar w:fldCharType="begin"/>
    </w:r>
    <w:r w:rsidR="00DE697E" w:rsidRPr="00DE697E">
      <w:rPr>
        <w:sz w:val="20"/>
      </w:rPr>
      <w:instrText xml:space="preserve"> page </w:instrText>
    </w:r>
    <w:r w:rsidRPr="00DE697E">
      <w:rPr>
        <w:sz w:val="20"/>
      </w:rPr>
      <w:fldChar w:fldCharType="separate"/>
    </w:r>
    <w:r w:rsidR="00897A4E">
      <w:rPr>
        <w:noProof/>
        <w:sz w:val="20"/>
      </w:rPr>
      <w:t>92</w:t>
    </w:r>
    <w:r w:rsidRPr="00DE697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0D" w:rsidRDefault="0032729C" w:rsidP="00B3167C">
    <w:pPr>
      <w:pStyle w:val="Footer"/>
      <w:framePr w:wrap="around" w:vAnchor="text" w:hAnchor="margin" w:xAlign="center" w:y="1"/>
      <w:rPr>
        <w:rStyle w:val="PageNumber"/>
      </w:rPr>
    </w:pPr>
    <w:r>
      <w:rPr>
        <w:rStyle w:val="PageNumber"/>
      </w:rPr>
      <w:fldChar w:fldCharType="begin"/>
    </w:r>
    <w:r w:rsidR="00C5200D">
      <w:rPr>
        <w:rStyle w:val="PageNumber"/>
      </w:rPr>
      <w:instrText xml:space="preserve">PAGE  </w:instrText>
    </w:r>
    <w:r>
      <w:rPr>
        <w:rStyle w:val="PageNumber"/>
      </w:rPr>
      <w:fldChar w:fldCharType="end"/>
    </w:r>
  </w:p>
  <w:p w:rsidR="00C5200D" w:rsidRDefault="00C520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DD" w:rsidRDefault="00722FDD">
      <w:r>
        <w:separator/>
      </w:r>
    </w:p>
  </w:footnote>
  <w:footnote w:type="continuationSeparator" w:id="0">
    <w:p w:rsidR="00722FDD" w:rsidRDefault="0072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DE697E" w:rsidP="00DE697E">
    <w:pPr>
      <w:pBdr>
        <w:bottom w:val="thinThickMediumGap" w:sz="12" w:space="1" w:color="auto"/>
      </w:pBdr>
      <w:tabs>
        <w:tab w:val="left" w:pos="851"/>
        <w:tab w:val="right" w:pos="8364"/>
      </w:tabs>
      <w:adjustRightInd w:val="0"/>
      <w:snapToGrid w:val="0"/>
      <w:jc w:val="both"/>
      <w:rPr>
        <w:iCs/>
        <w:sz w:val="20"/>
        <w:szCs w:val="20"/>
      </w:rPr>
    </w:pPr>
    <w:r w:rsidRPr="00DE697E">
      <w:rPr>
        <w:rFonts w:hint="eastAsia"/>
        <w:sz w:val="20"/>
        <w:szCs w:val="20"/>
      </w:rPr>
      <w:tab/>
    </w:r>
    <w:r w:rsidRPr="00DE697E">
      <w:rPr>
        <w:sz w:val="20"/>
        <w:szCs w:val="20"/>
      </w:rPr>
      <w:t>New York Science Journal 201</w:t>
    </w:r>
    <w:r w:rsidRPr="00DE697E">
      <w:rPr>
        <w:rFonts w:hint="eastAsia"/>
        <w:sz w:val="20"/>
        <w:szCs w:val="20"/>
      </w:rPr>
      <w:t>5</w:t>
    </w:r>
    <w:proofErr w:type="gramStart"/>
    <w:r w:rsidRPr="00DE697E">
      <w:rPr>
        <w:sz w:val="20"/>
        <w:szCs w:val="20"/>
      </w:rPr>
      <w:t>;</w:t>
    </w:r>
    <w:r w:rsidRPr="00DE697E">
      <w:rPr>
        <w:rFonts w:hint="eastAsia"/>
        <w:sz w:val="20"/>
        <w:szCs w:val="20"/>
      </w:rPr>
      <w:t>8</w:t>
    </w:r>
    <w:proofErr w:type="gramEnd"/>
    <w:r w:rsidRPr="00DE697E">
      <w:rPr>
        <w:sz w:val="20"/>
        <w:szCs w:val="20"/>
      </w:rPr>
      <w:t>(</w:t>
    </w:r>
    <w:r w:rsidRPr="00DE697E">
      <w:rPr>
        <w:rFonts w:hint="eastAsia"/>
        <w:sz w:val="20"/>
        <w:szCs w:val="20"/>
      </w:rPr>
      <w:t>3</w:t>
    </w:r>
    <w:r w:rsidRPr="00DE697E">
      <w:rPr>
        <w:sz w:val="20"/>
        <w:szCs w:val="20"/>
      </w:rPr>
      <w:t>)</w:t>
    </w:r>
    <w:r w:rsidRPr="00DE697E">
      <w:rPr>
        <w:iCs/>
        <w:sz w:val="20"/>
        <w:szCs w:val="20"/>
      </w:rPr>
      <w:t xml:space="preserve">     </w:t>
    </w:r>
    <w:r w:rsidRPr="00DE697E">
      <w:rPr>
        <w:rFonts w:hint="eastAsia"/>
        <w:iCs/>
        <w:sz w:val="20"/>
        <w:szCs w:val="20"/>
      </w:rPr>
      <w:tab/>
    </w:r>
    <w:r w:rsidRPr="00DE697E">
      <w:rPr>
        <w:iCs/>
        <w:sz w:val="20"/>
        <w:szCs w:val="20"/>
      </w:rPr>
      <w:t xml:space="preserve"> </w:t>
    </w:r>
    <w:r w:rsidRPr="00DE697E">
      <w:rPr>
        <w:rFonts w:hint="eastAsia"/>
        <w:iCs/>
        <w:sz w:val="20"/>
        <w:szCs w:val="20"/>
      </w:rPr>
      <w:t xml:space="preserve"> </w:t>
    </w:r>
    <w:r w:rsidRPr="00DE697E">
      <w:rPr>
        <w:iCs/>
        <w:sz w:val="20"/>
        <w:szCs w:val="20"/>
      </w:rPr>
      <w:t xml:space="preserve">   </w:t>
    </w:r>
    <w:hyperlink r:id="rId1" w:history="1">
      <w:r w:rsidRPr="00DE697E">
        <w:rPr>
          <w:rStyle w:val="Hyperlink"/>
          <w:sz w:val="20"/>
          <w:szCs w:val="20"/>
        </w:rPr>
        <w:t>http://www.sciencepub.net/newyork</w:t>
      </w:r>
    </w:hyperlink>
  </w:p>
  <w:p w:rsidR="00DE697E" w:rsidRPr="00DE697E" w:rsidRDefault="00DE697E" w:rsidP="00DE697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DE697E" w:rsidP="00DE697E">
    <w:pPr>
      <w:pBdr>
        <w:bottom w:val="thinThickMediumGap" w:sz="12" w:space="1" w:color="auto"/>
      </w:pBdr>
      <w:tabs>
        <w:tab w:val="left" w:pos="851"/>
        <w:tab w:val="right" w:pos="8364"/>
      </w:tabs>
      <w:adjustRightInd w:val="0"/>
      <w:snapToGrid w:val="0"/>
      <w:jc w:val="both"/>
      <w:rPr>
        <w:iCs/>
        <w:sz w:val="20"/>
        <w:szCs w:val="20"/>
      </w:rPr>
    </w:pPr>
    <w:r w:rsidRPr="00DE697E">
      <w:rPr>
        <w:rFonts w:hint="eastAsia"/>
        <w:sz w:val="20"/>
        <w:szCs w:val="20"/>
      </w:rPr>
      <w:tab/>
    </w:r>
    <w:r w:rsidRPr="00DE697E">
      <w:rPr>
        <w:sz w:val="20"/>
        <w:szCs w:val="20"/>
      </w:rPr>
      <w:t>New York Science Journal 201</w:t>
    </w:r>
    <w:r w:rsidRPr="00DE697E">
      <w:rPr>
        <w:rFonts w:hint="eastAsia"/>
        <w:sz w:val="20"/>
        <w:szCs w:val="20"/>
      </w:rPr>
      <w:t>5</w:t>
    </w:r>
    <w:proofErr w:type="gramStart"/>
    <w:r w:rsidRPr="00DE697E">
      <w:rPr>
        <w:sz w:val="20"/>
        <w:szCs w:val="20"/>
      </w:rPr>
      <w:t>;</w:t>
    </w:r>
    <w:r w:rsidRPr="00DE697E">
      <w:rPr>
        <w:rFonts w:hint="eastAsia"/>
        <w:sz w:val="20"/>
        <w:szCs w:val="20"/>
      </w:rPr>
      <w:t>8</w:t>
    </w:r>
    <w:proofErr w:type="gramEnd"/>
    <w:r w:rsidRPr="00DE697E">
      <w:rPr>
        <w:sz w:val="20"/>
        <w:szCs w:val="20"/>
      </w:rPr>
      <w:t>(</w:t>
    </w:r>
    <w:r w:rsidRPr="00DE697E">
      <w:rPr>
        <w:rFonts w:hint="eastAsia"/>
        <w:sz w:val="20"/>
        <w:szCs w:val="20"/>
      </w:rPr>
      <w:t>3</w:t>
    </w:r>
    <w:r w:rsidRPr="00DE697E">
      <w:rPr>
        <w:sz w:val="20"/>
        <w:szCs w:val="20"/>
      </w:rPr>
      <w:t>)</w:t>
    </w:r>
    <w:r w:rsidRPr="00DE697E">
      <w:rPr>
        <w:iCs/>
        <w:sz w:val="20"/>
        <w:szCs w:val="20"/>
      </w:rPr>
      <w:t xml:space="preserve">     </w:t>
    </w:r>
    <w:r w:rsidRPr="00DE697E">
      <w:rPr>
        <w:rFonts w:hint="eastAsia"/>
        <w:iCs/>
        <w:sz w:val="20"/>
        <w:szCs w:val="20"/>
      </w:rPr>
      <w:tab/>
    </w:r>
    <w:r w:rsidRPr="00DE697E">
      <w:rPr>
        <w:iCs/>
        <w:sz w:val="20"/>
        <w:szCs w:val="20"/>
      </w:rPr>
      <w:t xml:space="preserve"> </w:t>
    </w:r>
    <w:r w:rsidRPr="00DE697E">
      <w:rPr>
        <w:rFonts w:hint="eastAsia"/>
        <w:iCs/>
        <w:sz w:val="20"/>
        <w:szCs w:val="20"/>
      </w:rPr>
      <w:t xml:space="preserve"> </w:t>
    </w:r>
    <w:r w:rsidRPr="00DE697E">
      <w:rPr>
        <w:iCs/>
        <w:sz w:val="20"/>
        <w:szCs w:val="20"/>
      </w:rPr>
      <w:t xml:space="preserve">   </w:t>
    </w:r>
    <w:hyperlink r:id="rId1" w:history="1">
      <w:r w:rsidRPr="00DE697E">
        <w:rPr>
          <w:rStyle w:val="Hyperlink"/>
          <w:sz w:val="20"/>
          <w:szCs w:val="20"/>
        </w:rPr>
        <w:t>http://www.sciencepub.net/newyork</w:t>
      </w:r>
    </w:hyperlink>
  </w:p>
  <w:p w:rsidR="00DE697E" w:rsidRPr="00DE697E" w:rsidRDefault="00DE697E" w:rsidP="00DE697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DE697E" w:rsidP="00DE697E">
    <w:pPr>
      <w:pBdr>
        <w:bottom w:val="thinThickMediumGap" w:sz="12" w:space="1" w:color="auto"/>
      </w:pBdr>
      <w:tabs>
        <w:tab w:val="left" w:pos="851"/>
        <w:tab w:val="right" w:pos="8364"/>
      </w:tabs>
      <w:adjustRightInd w:val="0"/>
      <w:snapToGrid w:val="0"/>
      <w:jc w:val="both"/>
      <w:rPr>
        <w:iCs/>
        <w:sz w:val="20"/>
        <w:szCs w:val="20"/>
      </w:rPr>
    </w:pPr>
    <w:r w:rsidRPr="00DE697E">
      <w:rPr>
        <w:rFonts w:hint="eastAsia"/>
        <w:sz w:val="20"/>
        <w:szCs w:val="20"/>
      </w:rPr>
      <w:tab/>
    </w:r>
    <w:r w:rsidRPr="00DE697E">
      <w:rPr>
        <w:sz w:val="20"/>
        <w:szCs w:val="20"/>
      </w:rPr>
      <w:t>New York Science Journal 201</w:t>
    </w:r>
    <w:r w:rsidRPr="00DE697E">
      <w:rPr>
        <w:rFonts w:hint="eastAsia"/>
        <w:sz w:val="20"/>
        <w:szCs w:val="20"/>
      </w:rPr>
      <w:t>5</w:t>
    </w:r>
    <w:proofErr w:type="gramStart"/>
    <w:r w:rsidRPr="00DE697E">
      <w:rPr>
        <w:sz w:val="20"/>
        <w:szCs w:val="20"/>
      </w:rPr>
      <w:t>;</w:t>
    </w:r>
    <w:r w:rsidRPr="00DE697E">
      <w:rPr>
        <w:rFonts w:hint="eastAsia"/>
        <w:sz w:val="20"/>
        <w:szCs w:val="20"/>
      </w:rPr>
      <w:t>8</w:t>
    </w:r>
    <w:proofErr w:type="gramEnd"/>
    <w:r w:rsidRPr="00DE697E">
      <w:rPr>
        <w:sz w:val="20"/>
        <w:szCs w:val="20"/>
      </w:rPr>
      <w:t>(</w:t>
    </w:r>
    <w:r w:rsidRPr="00DE697E">
      <w:rPr>
        <w:rFonts w:hint="eastAsia"/>
        <w:sz w:val="20"/>
        <w:szCs w:val="20"/>
      </w:rPr>
      <w:t>3</w:t>
    </w:r>
    <w:r w:rsidRPr="00DE697E">
      <w:rPr>
        <w:sz w:val="20"/>
        <w:szCs w:val="20"/>
      </w:rPr>
      <w:t>)</w:t>
    </w:r>
    <w:r w:rsidRPr="00DE697E">
      <w:rPr>
        <w:iCs/>
        <w:sz w:val="20"/>
        <w:szCs w:val="20"/>
      </w:rPr>
      <w:t xml:space="preserve">     </w:t>
    </w:r>
    <w:r w:rsidRPr="00DE697E">
      <w:rPr>
        <w:rFonts w:hint="eastAsia"/>
        <w:iCs/>
        <w:sz w:val="20"/>
        <w:szCs w:val="20"/>
      </w:rPr>
      <w:tab/>
    </w:r>
    <w:r w:rsidRPr="00DE697E">
      <w:rPr>
        <w:iCs/>
        <w:sz w:val="20"/>
        <w:szCs w:val="20"/>
      </w:rPr>
      <w:t xml:space="preserve"> </w:t>
    </w:r>
    <w:r w:rsidRPr="00DE697E">
      <w:rPr>
        <w:rFonts w:hint="eastAsia"/>
        <w:iCs/>
        <w:sz w:val="20"/>
        <w:szCs w:val="20"/>
      </w:rPr>
      <w:t xml:space="preserve"> </w:t>
    </w:r>
    <w:r w:rsidRPr="00DE697E">
      <w:rPr>
        <w:iCs/>
        <w:sz w:val="20"/>
        <w:szCs w:val="20"/>
      </w:rPr>
      <w:t xml:space="preserve">   </w:t>
    </w:r>
    <w:hyperlink r:id="rId1" w:history="1">
      <w:r w:rsidRPr="00DE697E">
        <w:rPr>
          <w:rStyle w:val="Hyperlink"/>
          <w:sz w:val="20"/>
          <w:szCs w:val="20"/>
        </w:rPr>
        <w:t>http://www.sciencepub.net/newyork</w:t>
      </w:r>
    </w:hyperlink>
  </w:p>
  <w:p w:rsidR="00DE697E" w:rsidRPr="00DE697E" w:rsidRDefault="00DE697E" w:rsidP="00DE697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DE697E" w:rsidP="00DE697E">
    <w:pPr>
      <w:pBdr>
        <w:bottom w:val="thinThickMediumGap" w:sz="12" w:space="1" w:color="auto"/>
      </w:pBdr>
      <w:tabs>
        <w:tab w:val="left" w:pos="851"/>
        <w:tab w:val="right" w:pos="8364"/>
      </w:tabs>
      <w:adjustRightInd w:val="0"/>
      <w:snapToGrid w:val="0"/>
      <w:jc w:val="both"/>
      <w:rPr>
        <w:iCs/>
        <w:sz w:val="20"/>
        <w:szCs w:val="20"/>
      </w:rPr>
    </w:pPr>
    <w:r w:rsidRPr="00DE697E">
      <w:rPr>
        <w:rFonts w:hint="eastAsia"/>
        <w:sz w:val="20"/>
        <w:szCs w:val="20"/>
      </w:rPr>
      <w:tab/>
    </w:r>
    <w:r w:rsidRPr="00DE697E">
      <w:rPr>
        <w:sz w:val="20"/>
        <w:szCs w:val="20"/>
      </w:rPr>
      <w:t>New York Science Journal 201</w:t>
    </w:r>
    <w:r w:rsidRPr="00DE697E">
      <w:rPr>
        <w:rFonts w:hint="eastAsia"/>
        <w:sz w:val="20"/>
        <w:szCs w:val="20"/>
      </w:rPr>
      <w:t>5</w:t>
    </w:r>
    <w:proofErr w:type="gramStart"/>
    <w:r w:rsidRPr="00DE697E">
      <w:rPr>
        <w:sz w:val="20"/>
        <w:szCs w:val="20"/>
      </w:rPr>
      <w:t>;</w:t>
    </w:r>
    <w:r w:rsidRPr="00DE697E">
      <w:rPr>
        <w:rFonts w:hint="eastAsia"/>
        <w:sz w:val="20"/>
        <w:szCs w:val="20"/>
      </w:rPr>
      <w:t>8</w:t>
    </w:r>
    <w:proofErr w:type="gramEnd"/>
    <w:r w:rsidRPr="00DE697E">
      <w:rPr>
        <w:sz w:val="20"/>
        <w:szCs w:val="20"/>
      </w:rPr>
      <w:t>(</w:t>
    </w:r>
    <w:r w:rsidRPr="00DE697E">
      <w:rPr>
        <w:rFonts w:hint="eastAsia"/>
        <w:sz w:val="20"/>
        <w:szCs w:val="20"/>
      </w:rPr>
      <w:t>3</w:t>
    </w:r>
    <w:r w:rsidRPr="00DE697E">
      <w:rPr>
        <w:sz w:val="20"/>
        <w:szCs w:val="20"/>
      </w:rPr>
      <w:t>)</w:t>
    </w:r>
    <w:r w:rsidRPr="00DE697E">
      <w:rPr>
        <w:iCs/>
        <w:sz w:val="20"/>
        <w:szCs w:val="20"/>
      </w:rPr>
      <w:t xml:space="preserve">     </w:t>
    </w:r>
    <w:r w:rsidRPr="00DE697E">
      <w:rPr>
        <w:rFonts w:hint="eastAsia"/>
        <w:iCs/>
        <w:sz w:val="20"/>
        <w:szCs w:val="20"/>
      </w:rPr>
      <w:tab/>
    </w:r>
    <w:r w:rsidRPr="00DE697E">
      <w:rPr>
        <w:iCs/>
        <w:sz w:val="20"/>
        <w:szCs w:val="20"/>
      </w:rPr>
      <w:t xml:space="preserve"> </w:t>
    </w:r>
    <w:r w:rsidRPr="00DE697E">
      <w:rPr>
        <w:rFonts w:hint="eastAsia"/>
        <w:iCs/>
        <w:sz w:val="20"/>
        <w:szCs w:val="20"/>
      </w:rPr>
      <w:t xml:space="preserve"> </w:t>
    </w:r>
    <w:r w:rsidRPr="00DE697E">
      <w:rPr>
        <w:iCs/>
        <w:sz w:val="20"/>
        <w:szCs w:val="20"/>
      </w:rPr>
      <w:t xml:space="preserve">   </w:t>
    </w:r>
    <w:hyperlink r:id="rId1" w:history="1">
      <w:r w:rsidRPr="00DE697E">
        <w:rPr>
          <w:rStyle w:val="Hyperlink"/>
          <w:sz w:val="20"/>
          <w:szCs w:val="20"/>
        </w:rPr>
        <w:t>http://www.sciencepub.net/newyork</w:t>
      </w:r>
    </w:hyperlink>
  </w:p>
  <w:p w:rsidR="00DE697E" w:rsidRPr="00DE697E" w:rsidRDefault="00DE697E" w:rsidP="00DE697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97E" w:rsidRPr="00DE697E" w:rsidRDefault="00DE697E" w:rsidP="00DE697E">
    <w:pPr>
      <w:pBdr>
        <w:bottom w:val="thinThickMediumGap" w:sz="12" w:space="1" w:color="auto"/>
      </w:pBdr>
      <w:tabs>
        <w:tab w:val="left" w:pos="851"/>
        <w:tab w:val="right" w:pos="8364"/>
      </w:tabs>
      <w:adjustRightInd w:val="0"/>
      <w:snapToGrid w:val="0"/>
      <w:jc w:val="both"/>
      <w:rPr>
        <w:iCs/>
        <w:sz w:val="20"/>
        <w:szCs w:val="20"/>
      </w:rPr>
    </w:pPr>
    <w:r w:rsidRPr="00DE697E">
      <w:rPr>
        <w:rFonts w:hint="eastAsia"/>
        <w:sz w:val="20"/>
        <w:szCs w:val="20"/>
      </w:rPr>
      <w:tab/>
    </w:r>
    <w:r w:rsidRPr="00DE697E">
      <w:rPr>
        <w:sz w:val="20"/>
        <w:szCs w:val="20"/>
      </w:rPr>
      <w:t>New York Science Journal 201</w:t>
    </w:r>
    <w:r w:rsidRPr="00DE697E">
      <w:rPr>
        <w:rFonts w:hint="eastAsia"/>
        <w:sz w:val="20"/>
        <w:szCs w:val="20"/>
      </w:rPr>
      <w:t>5</w:t>
    </w:r>
    <w:proofErr w:type="gramStart"/>
    <w:r w:rsidRPr="00DE697E">
      <w:rPr>
        <w:sz w:val="20"/>
        <w:szCs w:val="20"/>
      </w:rPr>
      <w:t>;</w:t>
    </w:r>
    <w:r w:rsidRPr="00DE697E">
      <w:rPr>
        <w:rFonts w:hint="eastAsia"/>
        <w:sz w:val="20"/>
        <w:szCs w:val="20"/>
      </w:rPr>
      <w:t>8</w:t>
    </w:r>
    <w:proofErr w:type="gramEnd"/>
    <w:r w:rsidRPr="00DE697E">
      <w:rPr>
        <w:sz w:val="20"/>
        <w:szCs w:val="20"/>
      </w:rPr>
      <w:t>(</w:t>
    </w:r>
    <w:r w:rsidRPr="00DE697E">
      <w:rPr>
        <w:rFonts w:hint="eastAsia"/>
        <w:sz w:val="20"/>
        <w:szCs w:val="20"/>
      </w:rPr>
      <w:t>3</w:t>
    </w:r>
    <w:r w:rsidRPr="00DE697E">
      <w:rPr>
        <w:sz w:val="20"/>
        <w:szCs w:val="20"/>
      </w:rPr>
      <w:t>)</w:t>
    </w:r>
    <w:r w:rsidRPr="00DE697E">
      <w:rPr>
        <w:iCs/>
        <w:sz w:val="20"/>
        <w:szCs w:val="20"/>
      </w:rPr>
      <w:t xml:space="preserve">     </w:t>
    </w:r>
    <w:r w:rsidRPr="00DE697E">
      <w:rPr>
        <w:rFonts w:hint="eastAsia"/>
        <w:iCs/>
        <w:sz w:val="20"/>
        <w:szCs w:val="20"/>
      </w:rPr>
      <w:tab/>
    </w:r>
    <w:r w:rsidRPr="00DE697E">
      <w:rPr>
        <w:iCs/>
        <w:sz w:val="20"/>
        <w:szCs w:val="20"/>
      </w:rPr>
      <w:t xml:space="preserve"> </w:t>
    </w:r>
    <w:r w:rsidRPr="00DE697E">
      <w:rPr>
        <w:rFonts w:hint="eastAsia"/>
        <w:iCs/>
        <w:sz w:val="20"/>
        <w:szCs w:val="20"/>
      </w:rPr>
      <w:t xml:space="preserve"> </w:t>
    </w:r>
    <w:r w:rsidRPr="00DE697E">
      <w:rPr>
        <w:iCs/>
        <w:sz w:val="20"/>
        <w:szCs w:val="20"/>
      </w:rPr>
      <w:t xml:space="preserve">   </w:t>
    </w:r>
    <w:hyperlink r:id="rId1" w:history="1">
      <w:r w:rsidRPr="00DE697E">
        <w:rPr>
          <w:rStyle w:val="Hyperlink"/>
          <w:sz w:val="20"/>
          <w:szCs w:val="20"/>
        </w:rPr>
        <w:t>http://www.sciencepub.net/newyork</w:t>
      </w:r>
    </w:hyperlink>
  </w:p>
  <w:p w:rsidR="00DE697E" w:rsidRPr="00DE697E" w:rsidRDefault="00DE697E" w:rsidP="00DE697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11801"/>
    <w:multiLevelType w:val="hybridMultilevel"/>
    <w:tmpl w:val="44DAB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34D4BB7"/>
    <w:multiLevelType w:val="hybridMultilevel"/>
    <w:tmpl w:val="23168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466FB2"/>
    <w:multiLevelType w:val="hybridMultilevel"/>
    <w:tmpl w:val="80A22574"/>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3B6D"/>
    <w:rsid w:val="00025E4A"/>
    <w:rsid w:val="0004227A"/>
    <w:rsid w:val="000443B4"/>
    <w:rsid w:val="00047256"/>
    <w:rsid w:val="00057F37"/>
    <w:rsid w:val="0006091F"/>
    <w:rsid w:val="00061C0C"/>
    <w:rsid w:val="00080CE9"/>
    <w:rsid w:val="000827B7"/>
    <w:rsid w:val="00086790"/>
    <w:rsid w:val="00090A06"/>
    <w:rsid w:val="000A0250"/>
    <w:rsid w:val="000E3266"/>
    <w:rsid w:val="0010218E"/>
    <w:rsid w:val="00160832"/>
    <w:rsid w:val="001817C7"/>
    <w:rsid w:val="00183764"/>
    <w:rsid w:val="001964D0"/>
    <w:rsid w:val="001A758D"/>
    <w:rsid w:val="001B2E44"/>
    <w:rsid w:val="001B32B2"/>
    <w:rsid w:val="001B41B8"/>
    <w:rsid w:val="001D72F0"/>
    <w:rsid w:val="00222EAC"/>
    <w:rsid w:val="002660EE"/>
    <w:rsid w:val="002721F1"/>
    <w:rsid w:val="002D34B8"/>
    <w:rsid w:val="002F20CD"/>
    <w:rsid w:val="002F49EF"/>
    <w:rsid w:val="003064A9"/>
    <w:rsid w:val="00307469"/>
    <w:rsid w:val="00314F95"/>
    <w:rsid w:val="00322FAB"/>
    <w:rsid w:val="0032729C"/>
    <w:rsid w:val="00345581"/>
    <w:rsid w:val="0034702D"/>
    <w:rsid w:val="0039099D"/>
    <w:rsid w:val="00392E31"/>
    <w:rsid w:val="00394B65"/>
    <w:rsid w:val="003A785E"/>
    <w:rsid w:val="003C0116"/>
    <w:rsid w:val="003C0C5D"/>
    <w:rsid w:val="003C4C28"/>
    <w:rsid w:val="00410F8C"/>
    <w:rsid w:val="00434B0B"/>
    <w:rsid w:val="0043571E"/>
    <w:rsid w:val="0043645D"/>
    <w:rsid w:val="004455FA"/>
    <w:rsid w:val="00454A59"/>
    <w:rsid w:val="00456753"/>
    <w:rsid w:val="004672DD"/>
    <w:rsid w:val="00471E57"/>
    <w:rsid w:val="00473100"/>
    <w:rsid w:val="00480715"/>
    <w:rsid w:val="0049143E"/>
    <w:rsid w:val="004C7E2A"/>
    <w:rsid w:val="004D0467"/>
    <w:rsid w:val="004D5AF6"/>
    <w:rsid w:val="004E5E22"/>
    <w:rsid w:val="00520D1A"/>
    <w:rsid w:val="0052512B"/>
    <w:rsid w:val="00527841"/>
    <w:rsid w:val="00550B4F"/>
    <w:rsid w:val="00553F9B"/>
    <w:rsid w:val="00564994"/>
    <w:rsid w:val="00585604"/>
    <w:rsid w:val="00593132"/>
    <w:rsid w:val="005A21B0"/>
    <w:rsid w:val="005A5E42"/>
    <w:rsid w:val="005C2F35"/>
    <w:rsid w:val="005D1DA6"/>
    <w:rsid w:val="005F5E04"/>
    <w:rsid w:val="00600E45"/>
    <w:rsid w:val="00610353"/>
    <w:rsid w:val="006122D7"/>
    <w:rsid w:val="0062529F"/>
    <w:rsid w:val="0062724B"/>
    <w:rsid w:val="0063771C"/>
    <w:rsid w:val="0064642B"/>
    <w:rsid w:val="0065209A"/>
    <w:rsid w:val="006560B4"/>
    <w:rsid w:val="00657995"/>
    <w:rsid w:val="006A18FF"/>
    <w:rsid w:val="006A5A92"/>
    <w:rsid w:val="006A7FF0"/>
    <w:rsid w:val="006B5399"/>
    <w:rsid w:val="006C2EDB"/>
    <w:rsid w:val="006D5C2E"/>
    <w:rsid w:val="006E6ACB"/>
    <w:rsid w:val="006F1706"/>
    <w:rsid w:val="00704A7B"/>
    <w:rsid w:val="0071464D"/>
    <w:rsid w:val="00722FDD"/>
    <w:rsid w:val="007362C4"/>
    <w:rsid w:val="00744442"/>
    <w:rsid w:val="00761652"/>
    <w:rsid w:val="007666DB"/>
    <w:rsid w:val="007725E7"/>
    <w:rsid w:val="00772DB1"/>
    <w:rsid w:val="00782626"/>
    <w:rsid w:val="0078507E"/>
    <w:rsid w:val="0078777D"/>
    <w:rsid w:val="007D746F"/>
    <w:rsid w:val="007F763B"/>
    <w:rsid w:val="00806244"/>
    <w:rsid w:val="008104AA"/>
    <w:rsid w:val="00814FA7"/>
    <w:rsid w:val="00820700"/>
    <w:rsid w:val="0085007D"/>
    <w:rsid w:val="0087648C"/>
    <w:rsid w:val="008857B9"/>
    <w:rsid w:val="00897A4E"/>
    <w:rsid w:val="008A20AC"/>
    <w:rsid w:val="008C524E"/>
    <w:rsid w:val="008E3190"/>
    <w:rsid w:val="00907C7D"/>
    <w:rsid w:val="0091208A"/>
    <w:rsid w:val="00914558"/>
    <w:rsid w:val="009157DD"/>
    <w:rsid w:val="0094140D"/>
    <w:rsid w:val="009459B3"/>
    <w:rsid w:val="00952EB8"/>
    <w:rsid w:val="009651F9"/>
    <w:rsid w:val="00965C83"/>
    <w:rsid w:val="009A3681"/>
    <w:rsid w:val="009A5976"/>
    <w:rsid w:val="009C7DF1"/>
    <w:rsid w:val="009F3671"/>
    <w:rsid w:val="00A103BC"/>
    <w:rsid w:val="00A1557F"/>
    <w:rsid w:val="00A26AF2"/>
    <w:rsid w:val="00A34493"/>
    <w:rsid w:val="00A3476D"/>
    <w:rsid w:val="00A7702C"/>
    <w:rsid w:val="00AD46BF"/>
    <w:rsid w:val="00AE1628"/>
    <w:rsid w:val="00B054E2"/>
    <w:rsid w:val="00B24421"/>
    <w:rsid w:val="00B3167C"/>
    <w:rsid w:val="00B36B45"/>
    <w:rsid w:val="00B376D0"/>
    <w:rsid w:val="00B41E2A"/>
    <w:rsid w:val="00B51DEF"/>
    <w:rsid w:val="00B60E8D"/>
    <w:rsid w:val="00B80C0E"/>
    <w:rsid w:val="00B816F6"/>
    <w:rsid w:val="00B85B57"/>
    <w:rsid w:val="00B918AE"/>
    <w:rsid w:val="00B94C79"/>
    <w:rsid w:val="00BD2A8D"/>
    <w:rsid w:val="00BF6579"/>
    <w:rsid w:val="00C0761F"/>
    <w:rsid w:val="00C35357"/>
    <w:rsid w:val="00C44596"/>
    <w:rsid w:val="00C5200D"/>
    <w:rsid w:val="00CC4387"/>
    <w:rsid w:val="00CD7714"/>
    <w:rsid w:val="00CE1510"/>
    <w:rsid w:val="00CE429C"/>
    <w:rsid w:val="00CE7B2F"/>
    <w:rsid w:val="00CF6616"/>
    <w:rsid w:val="00D04C27"/>
    <w:rsid w:val="00D26F2E"/>
    <w:rsid w:val="00D3777A"/>
    <w:rsid w:val="00D41B40"/>
    <w:rsid w:val="00D56002"/>
    <w:rsid w:val="00D6416A"/>
    <w:rsid w:val="00D74D3F"/>
    <w:rsid w:val="00D77058"/>
    <w:rsid w:val="00D8616E"/>
    <w:rsid w:val="00DD3195"/>
    <w:rsid w:val="00DE697E"/>
    <w:rsid w:val="00DF7353"/>
    <w:rsid w:val="00E015B9"/>
    <w:rsid w:val="00E34DBD"/>
    <w:rsid w:val="00E35B63"/>
    <w:rsid w:val="00E54914"/>
    <w:rsid w:val="00E57761"/>
    <w:rsid w:val="00E92494"/>
    <w:rsid w:val="00EB51F4"/>
    <w:rsid w:val="00EC46CF"/>
    <w:rsid w:val="00EC565A"/>
    <w:rsid w:val="00EC56A2"/>
    <w:rsid w:val="00EC5C53"/>
    <w:rsid w:val="00EC743B"/>
    <w:rsid w:val="00ED4441"/>
    <w:rsid w:val="00EE1CEE"/>
    <w:rsid w:val="00EE1F4B"/>
    <w:rsid w:val="00EE2C48"/>
    <w:rsid w:val="00EF4234"/>
    <w:rsid w:val="00EF742D"/>
    <w:rsid w:val="00F03305"/>
    <w:rsid w:val="00F2228B"/>
    <w:rsid w:val="00F54ECA"/>
    <w:rsid w:val="00F62573"/>
    <w:rsid w:val="00FA6D77"/>
    <w:rsid w:val="00FB27D1"/>
    <w:rsid w:val="00FB5B6A"/>
    <w:rsid w:val="00FC4906"/>
    <w:rsid w:val="00FD1AA2"/>
    <w:rsid w:val="00FE04B7"/>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D1AA2"/>
    <w:pPr>
      <w:keepNext/>
      <w:tabs>
        <w:tab w:val="num" w:pos="0"/>
      </w:tabs>
      <w:outlineLvl w:val="0"/>
    </w:pPr>
    <w:rPr>
      <w:b/>
      <w:bCs/>
      <w:sz w:val="32"/>
    </w:rPr>
  </w:style>
  <w:style w:type="paragraph" w:styleId="Heading2">
    <w:name w:val="heading 2"/>
    <w:basedOn w:val="Normal"/>
    <w:next w:val="Normal"/>
    <w:qFormat/>
    <w:rsid w:val="00FD1AA2"/>
    <w:pPr>
      <w:keepNext/>
      <w:tabs>
        <w:tab w:val="num" w:pos="0"/>
      </w:tabs>
      <w:jc w:val="both"/>
      <w:outlineLvl w:val="1"/>
    </w:pPr>
    <w:rPr>
      <w:b/>
      <w:sz w:val="28"/>
    </w:rPr>
  </w:style>
  <w:style w:type="paragraph" w:styleId="Heading3">
    <w:name w:val="heading 3"/>
    <w:basedOn w:val="Normal"/>
    <w:next w:val="Normal"/>
    <w:qFormat/>
    <w:rsid w:val="00FD1AA2"/>
    <w:pPr>
      <w:keepNext/>
      <w:tabs>
        <w:tab w:val="num" w:pos="0"/>
      </w:tabs>
      <w:spacing w:line="360" w:lineRule="auto"/>
      <w:jc w:val="both"/>
      <w:outlineLvl w:val="2"/>
    </w:pPr>
    <w:rPr>
      <w:b/>
      <w:bCs/>
    </w:rPr>
  </w:style>
  <w:style w:type="paragraph" w:styleId="Heading6">
    <w:name w:val="heading 6"/>
    <w:basedOn w:val="Normal"/>
    <w:next w:val="Normal"/>
    <w:qFormat/>
    <w:rsid w:val="00FD1AA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D1AA2"/>
  </w:style>
  <w:style w:type="character" w:customStyle="1" w:styleId="WW-Absatz-Standardschriftart">
    <w:name w:val="WW-Absatz-Standardschriftart"/>
    <w:rsid w:val="00FD1AA2"/>
  </w:style>
  <w:style w:type="character" w:customStyle="1" w:styleId="WW-Absatz-Standardschriftart1">
    <w:name w:val="WW-Absatz-Standardschriftart1"/>
    <w:rsid w:val="00FD1AA2"/>
  </w:style>
  <w:style w:type="character" w:customStyle="1" w:styleId="WW-Absatz-Standardschriftart11">
    <w:name w:val="WW-Absatz-Standardschriftart11"/>
    <w:rsid w:val="00FD1AA2"/>
  </w:style>
  <w:style w:type="character" w:customStyle="1" w:styleId="WW-Absatz-Standardschriftart111">
    <w:name w:val="WW-Absatz-Standardschriftart111"/>
    <w:rsid w:val="00FD1AA2"/>
  </w:style>
  <w:style w:type="character" w:customStyle="1" w:styleId="WW-Absatz-Standardschriftart1111">
    <w:name w:val="WW-Absatz-Standardschriftart1111"/>
    <w:rsid w:val="00FD1AA2"/>
  </w:style>
  <w:style w:type="character" w:customStyle="1" w:styleId="WW-Absatz-Standardschriftart11111">
    <w:name w:val="WW-Absatz-Standardschriftart11111"/>
    <w:rsid w:val="00FD1AA2"/>
  </w:style>
  <w:style w:type="character" w:customStyle="1" w:styleId="WW-Absatz-Standardschriftart111111">
    <w:name w:val="WW-Absatz-Standardschriftart111111"/>
    <w:rsid w:val="00FD1AA2"/>
  </w:style>
  <w:style w:type="character" w:customStyle="1" w:styleId="WW-Absatz-Standardschriftart1111111">
    <w:name w:val="WW-Absatz-Standardschriftart1111111"/>
    <w:rsid w:val="00FD1AA2"/>
  </w:style>
  <w:style w:type="character" w:customStyle="1" w:styleId="WW-Absatz-Standardschriftart11111111">
    <w:name w:val="WW-Absatz-Standardschriftart11111111"/>
    <w:rsid w:val="00FD1AA2"/>
  </w:style>
  <w:style w:type="character" w:customStyle="1" w:styleId="WW-Absatz-Standardschriftart111111111">
    <w:name w:val="WW-Absatz-Standardschriftart111111111"/>
    <w:rsid w:val="00FD1AA2"/>
  </w:style>
  <w:style w:type="character" w:customStyle="1" w:styleId="WW-Absatz-Standardschriftart1111111111">
    <w:name w:val="WW-Absatz-Standardschriftart1111111111"/>
    <w:rsid w:val="00FD1AA2"/>
  </w:style>
  <w:style w:type="character" w:customStyle="1" w:styleId="WW-Absatz-Standardschriftart11111111111">
    <w:name w:val="WW-Absatz-Standardschriftart11111111111"/>
    <w:rsid w:val="00FD1AA2"/>
  </w:style>
  <w:style w:type="character" w:customStyle="1" w:styleId="WW-Absatz-Standardschriftart111111111111">
    <w:name w:val="WW-Absatz-Standardschriftart111111111111"/>
    <w:rsid w:val="00FD1AA2"/>
  </w:style>
  <w:style w:type="character" w:customStyle="1" w:styleId="WW-Absatz-Standardschriftart1111111111111">
    <w:name w:val="WW-Absatz-Standardschriftart1111111111111"/>
    <w:rsid w:val="00FD1AA2"/>
  </w:style>
  <w:style w:type="character" w:customStyle="1" w:styleId="WW-Absatz-Standardschriftart11111111111111">
    <w:name w:val="WW-Absatz-Standardschriftart11111111111111"/>
    <w:rsid w:val="00FD1AA2"/>
  </w:style>
  <w:style w:type="character" w:customStyle="1" w:styleId="WW-Absatz-Standardschriftart111111111111111">
    <w:name w:val="WW-Absatz-Standardschriftart111111111111111"/>
    <w:rsid w:val="00FD1AA2"/>
  </w:style>
  <w:style w:type="character" w:customStyle="1" w:styleId="WW-Absatz-Standardschriftart1111111111111111">
    <w:name w:val="WW-Absatz-Standardschriftart1111111111111111"/>
    <w:rsid w:val="00FD1AA2"/>
  </w:style>
  <w:style w:type="character" w:customStyle="1" w:styleId="WW8Num1z0">
    <w:name w:val="WW8Num1z0"/>
    <w:rsid w:val="00FD1AA2"/>
    <w:rPr>
      <w:rFonts w:ascii="Symbol" w:eastAsia="Times New Roman" w:hAnsi="Symbol" w:cs="Times New Roman"/>
    </w:rPr>
  </w:style>
  <w:style w:type="character" w:customStyle="1" w:styleId="WW8Num1z1">
    <w:name w:val="WW8Num1z1"/>
    <w:rsid w:val="00FD1AA2"/>
    <w:rPr>
      <w:rFonts w:ascii="Courier New" w:hAnsi="Courier New" w:cs="Courier New"/>
    </w:rPr>
  </w:style>
  <w:style w:type="character" w:customStyle="1" w:styleId="WW8Num1z2">
    <w:name w:val="WW8Num1z2"/>
    <w:rsid w:val="00FD1AA2"/>
    <w:rPr>
      <w:rFonts w:ascii="Wingdings" w:hAnsi="Wingdings"/>
    </w:rPr>
  </w:style>
  <w:style w:type="character" w:customStyle="1" w:styleId="WW8Num1z3">
    <w:name w:val="WW8Num1z3"/>
    <w:rsid w:val="00FD1AA2"/>
    <w:rPr>
      <w:rFonts w:ascii="Symbol" w:hAnsi="Symbol"/>
    </w:rPr>
  </w:style>
  <w:style w:type="character" w:styleId="PageNumber">
    <w:name w:val="page number"/>
    <w:basedOn w:val="DefaultParagraphFont"/>
    <w:rsid w:val="00FD1AA2"/>
  </w:style>
  <w:style w:type="character" w:styleId="Hyperlink">
    <w:name w:val="Hyperlink"/>
    <w:basedOn w:val="DefaultParagraphFont"/>
    <w:rsid w:val="00FD1AA2"/>
    <w:rPr>
      <w:color w:val="0000FF"/>
      <w:u w:val="single"/>
    </w:rPr>
  </w:style>
  <w:style w:type="character" w:styleId="FollowedHyperlink">
    <w:name w:val="FollowedHyperlink"/>
    <w:basedOn w:val="DefaultParagraphFont"/>
    <w:rsid w:val="00FD1AA2"/>
    <w:rPr>
      <w:color w:val="800080"/>
      <w:u w:val="single"/>
    </w:rPr>
  </w:style>
  <w:style w:type="character" w:customStyle="1" w:styleId="NumberingSymbols">
    <w:name w:val="Numbering Symbols"/>
    <w:rsid w:val="00FD1AA2"/>
  </w:style>
  <w:style w:type="paragraph" w:customStyle="1" w:styleId="Heading">
    <w:name w:val="Heading"/>
    <w:basedOn w:val="Normal"/>
    <w:next w:val="BodyText"/>
    <w:rsid w:val="00FD1AA2"/>
    <w:pPr>
      <w:keepNext/>
      <w:spacing w:before="240" w:after="120"/>
    </w:pPr>
    <w:rPr>
      <w:rFonts w:ascii="Nimbus Sans L" w:eastAsia="DejaVu Sans" w:hAnsi="Nimbus Sans L" w:cs="DejaVu Sans"/>
      <w:sz w:val="28"/>
      <w:szCs w:val="28"/>
    </w:rPr>
  </w:style>
  <w:style w:type="paragraph" w:styleId="BodyText">
    <w:name w:val="Body Text"/>
    <w:basedOn w:val="Normal"/>
    <w:rsid w:val="00FD1AA2"/>
    <w:pPr>
      <w:spacing w:line="360" w:lineRule="auto"/>
    </w:pPr>
  </w:style>
  <w:style w:type="paragraph" w:styleId="List">
    <w:name w:val="List"/>
    <w:basedOn w:val="BodyText"/>
    <w:rsid w:val="00FD1AA2"/>
  </w:style>
  <w:style w:type="paragraph" w:styleId="Caption">
    <w:name w:val="caption"/>
    <w:basedOn w:val="Normal"/>
    <w:qFormat/>
    <w:rsid w:val="00FD1AA2"/>
    <w:pPr>
      <w:suppressLineNumbers/>
      <w:spacing w:before="120" w:after="120"/>
    </w:pPr>
    <w:rPr>
      <w:i/>
      <w:iCs/>
    </w:rPr>
  </w:style>
  <w:style w:type="paragraph" w:customStyle="1" w:styleId="Index">
    <w:name w:val="Index"/>
    <w:basedOn w:val="Normal"/>
    <w:rsid w:val="00FD1AA2"/>
    <w:pPr>
      <w:suppressLineNumbers/>
    </w:pPr>
  </w:style>
  <w:style w:type="paragraph" w:styleId="Header">
    <w:name w:val="header"/>
    <w:basedOn w:val="Normal"/>
    <w:next w:val="Heading1"/>
    <w:rsid w:val="00FD1AA2"/>
    <w:pPr>
      <w:tabs>
        <w:tab w:val="center" w:pos="4320"/>
        <w:tab w:val="right" w:pos="8640"/>
      </w:tabs>
    </w:pPr>
  </w:style>
  <w:style w:type="paragraph" w:styleId="BodyTextIndent3">
    <w:name w:val="Body Text Indent 3"/>
    <w:basedOn w:val="Normal"/>
    <w:rsid w:val="00FD1AA2"/>
    <w:pPr>
      <w:spacing w:line="360" w:lineRule="auto"/>
      <w:ind w:firstLine="720"/>
      <w:jc w:val="both"/>
    </w:pPr>
    <w:rPr>
      <w:b/>
      <w:bCs/>
    </w:rPr>
  </w:style>
  <w:style w:type="paragraph" w:styleId="BodyTextIndent">
    <w:name w:val="Body Text Indent"/>
    <w:basedOn w:val="Normal"/>
    <w:rsid w:val="00FD1AA2"/>
    <w:pPr>
      <w:ind w:left="540" w:hanging="720"/>
      <w:jc w:val="both"/>
    </w:pPr>
  </w:style>
  <w:style w:type="paragraph" w:styleId="BodyTextIndent2">
    <w:name w:val="Body Text Indent 2"/>
    <w:basedOn w:val="Normal"/>
    <w:rsid w:val="00FD1AA2"/>
    <w:pPr>
      <w:spacing w:line="360" w:lineRule="auto"/>
      <w:ind w:firstLine="720"/>
      <w:jc w:val="both"/>
    </w:pPr>
  </w:style>
  <w:style w:type="paragraph" w:styleId="BodyText2">
    <w:name w:val="Body Text 2"/>
    <w:basedOn w:val="Normal"/>
    <w:rsid w:val="00FD1AA2"/>
    <w:pPr>
      <w:spacing w:line="360" w:lineRule="auto"/>
      <w:jc w:val="both"/>
    </w:pPr>
  </w:style>
  <w:style w:type="paragraph" w:styleId="Footer">
    <w:name w:val="footer"/>
    <w:basedOn w:val="Normal"/>
    <w:rsid w:val="00FD1AA2"/>
    <w:pPr>
      <w:tabs>
        <w:tab w:val="center" w:pos="4320"/>
        <w:tab w:val="right" w:pos="8640"/>
      </w:tabs>
    </w:pPr>
    <w:rPr>
      <w:sz w:val="32"/>
    </w:rPr>
  </w:style>
  <w:style w:type="paragraph" w:customStyle="1" w:styleId="TableContents">
    <w:name w:val="Table Contents"/>
    <w:basedOn w:val="Normal"/>
    <w:rsid w:val="00FD1AA2"/>
    <w:pPr>
      <w:suppressLineNumbers/>
    </w:pPr>
  </w:style>
  <w:style w:type="paragraph" w:customStyle="1" w:styleId="TableHeading">
    <w:name w:val="Table Heading"/>
    <w:basedOn w:val="TableContents"/>
    <w:rsid w:val="00FD1AA2"/>
    <w:pPr>
      <w:jc w:val="center"/>
    </w:pPr>
    <w:rPr>
      <w:b/>
      <w:bCs/>
    </w:rPr>
  </w:style>
  <w:style w:type="paragraph" w:customStyle="1" w:styleId="Framecontents">
    <w:name w:val="Frame contents"/>
    <w:basedOn w:val="BodyText"/>
    <w:rsid w:val="00FD1AA2"/>
  </w:style>
  <w:style w:type="paragraph" w:customStyle="1" w:styleId="Text">
    <w:name w:val="Text"/>
    <w:basedOn w:val="Normal"/>
    <w:rsid w:val="00FD1AA2"/>
    <w:pPr>
      <w:autoSpaceDE w:val="0"/>
      <w:spacing w:line="252" w:lineRule="auto"/>
      <w:ind w:firstLine="202"/>
    </w:pPr>
    <w:rPr>
      <w:rFonts w:eastAsia="PMingLiU"/>
      <w:kern w:val="1"/>
      <w:sz w:val="20"/>
      <w:szCs w:val="20"/>
    </w:rPr>
  </w:style>
  <w:style w:type="paragraph" w:styleId="NormalWeb">
    <w:name w:val="Normal (Web)"/>
    <w:basedOn w:val="Normal"/>
    <w:rsid w:val="00550B4F"/>
    <w:pPr>
      <w:suppressAutoHyphens w:val="0"/>
      <w:spacing w:before="100" w:beforeAutospacing="1" w:after="100" w:afterAutospacing="1"/>
    </w:pPr>
    <w:rPr>
      <w:rFonts w:eastAsia="Calibri"/>
      <w:lang w:eastAsia="en-US"/>
    </w:rPr>
  </w:style>
  <w:style w:type="character" w:customStyle="1" w:styleId="citationjournal">
    <w:name w:val="citation journal"/>
    <w:rsid w:val="00047256"/>
    <w:rPr>
      <w:rFonts w:cs="Times New Roman"/>
    </w:rPr>
  </w:style>
  <w:style w:type="paragraph" w:styleId="BalloonText">
    <w:name w:val="Balloon Text"/>
    <w:basedOn w:val="Normal"/>
    <w:link w:val="BalloonTextChar"/>
    <w:uiPriority w:val="99"/>
    <w:semiHidden/>
    <w:unhideWhenUsed/>
    <w:rsid w:val="00CD7714"/>
    <w:rPr>
      <w:rFonts w:ascii="Tahoma" w:hAnsi="Tahoma" w:cs="Tahoma"/>
      <w:sz w:val="16"/>
      <w:szCs w:val="16"/>
    </w:rPr>
  </w:style>
  <w:style w:type="character" w:customStyle="1" w:styleId="BalloonTextChar">
    <w:name w:val="Balloon Text Char"/>
    <w:basedOn w:val="DefaultParagraphFont"/>
    <w:link w:val="BalloonText"/>
    <w:uiPriority w:val="99"/>
    <w:semiHidden/>
    <w:rsid w:val="00CD771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hyperlink" Target="mailto:kalsimbb@yahoo.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kalsimbb@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17949</CharactersWithSpaces>
  <SharedDoc>false</SharedDoc>
  <HLinks>
    <vt:vector size="24" baseType="variant">
      <vt:variant>
        <vt:i4>6357066</vt:i4>
      </vt:variant>
      <vt:variant>
        <vt:i4>6</vt:i4>
      </vt:variant>
      <vt:variant>
        <vt:i4>0</vt:i4>
      </vt:variant>
      <vt:variant>
        <vt:i4>5</vt:i4>
      </vt:variant>
      <vt:variant>
        <vt:lpwstr>mailto:kalsimbb@yahoo.com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6357066</vt:i4>
      </vt:variant>
      <vt:variant>
        <vt:i4>0</vt:i4>
      </vt:variant>
      <vt:variant>
        <vt:i4>0</vt:i4>
      </vt:variant>
      <vt:variant>
        <vt:i4>5</vt:i4>
      </vt:variant>
      <vt:variant>
        <vt:lpwstr>mailto:kalsimbb@yahoo.com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2015-03-18T01:35:00Z</cp:lastPrinted>
  <dcterms:created xsi:type="dcterms:W3CDTF">2015-03-18T11:11:00Z</dcterms:created>
  <dcterms:modified xsi:type="dcterms:W3CDTF">2015-03-18T03:46:00Z</dcterms:modified>
</cp:coreProperties>
</file>