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FC" w:rsidRPr="00E05E75" w:rsidRDefault="00DC0DFC" w:rsidP="007B6A0C">
      <w:pPr>
        <w:autoSpaceDE w:val="0"/>
        <w:autoSpaceDN w:val="0"/>
        <w:adjustRightInd w:val="0"/>
        <w:snapToGrid w:val="0"/>
        <w:jc w:val="center"/>
        <w:rPr>
          <w:b/>
          <w:color w:val="000000"/>
          <w:sz w:val="20"/>
          <w:szCs w:val="20"/>
        </w:rPr>
      </w:pPr>
      <w:r w:rsidRPr="00E05E75">
        <w:rPr>
          <w:b/>
          <w:color w:val="000000"/>
          <w:sz w:val="20"/>
          <w:szCs w:val="20"/>
        </w:rPr>
        <w:t xml:space="preserve">Study of anticancer effect of </w:t>
      </w:r>
      <w:proofErr w:type="spellStart"/>
      <w:r w:rsidRPr="00E05E75">
        <w:rPr>
          <w:b/>
          <w:i/>
          <w:color w:val="000000"/>
          <w:sz w:val="20"/>
          <w:szCs w:val="20"/>
        </w:rPr>
        <w:t>Calocyby</w:t>
      </w:r>
      <w:proofErr w:type="spellEnd"/>
      <w:r w:rsidRPr="00E05E75">
        <w:rPr>
          <w:b/>
          <w:i/>
          <w:color w:val="000000"/>
          <w:sz w:val="20"/>
          <w:szCs w:val="20"/>
        </w:rPr>
        <w:t xml:space="preserve"> </w:t>
      </w:r>
      <w:proofErr w:type="spellStart"/>
      <w:r w:rsidRPr="00E05E75">
        <w:rPr>
          <w:b/>
          <w:i/>
          <w:color w:val="000000"/>
          <w:sz w:val="20"/>
          <w:szCs w:val="20"/>
        </w:rPr>
        <w:t>indica</w:t>
      </w:r>
      <w:proofErr w:type="spellEnd"/>
      <w:r w:rsidRPr="00E05E75">
        <w:rPr>
          <w:b/>
          <w:color w:val="000000"/>
          <w:sz w:val="20"/>
          <w:szCs w:val="20"/>
        </w:rPr>
        <w:t xml:space="preserve"> mushroom on breast cancer cell line</w:t>
      </w:r>
      <w:r w:rsidR="00E05E75">
        <w:rPr>
          <w:b/>
          <w:color w:val="000000"/>
          <w:sz w:val="20"/>
          <w:szCs w:val="20"/>
        </w:rPr>
        <w:t xml:space="preserve"> </w:t>
      </w:r>
      <w:r w:rsidRPr="00E05E75">
        <w:rPr>
          <w:b/>
          <w:color w:val="000000"/>
          <w:sz w:val="20"/>
          <w:szCs w:val="20"/>
        </w:rPr>
        <w:t xml:space="preserve">and human </w:t>
      </w:r>
      <w:proofErr w:type="spellStart"/>
      <w:r w:rsidRPr="00E05E75">
        <w:rPr>
          <w:b/>
          <w:color w:val="000000"/>
          <w:sz w:val="20"/>
          <w:szCs w:val="20"/>
        </w:rPr>
        <w:t>Ewings</w:t>
      </w:r>
      <w:proofErr w:type="spellEnd"/>
      <w:r w:rsidRPr="00E05E75">
        <w:rPr>
          <w:b/>
          <w:color w:val="000000"/>
          <w:sz w:val="20"/>
          <w:szCs w:val="20"/>
        </w:rPr>
        <w:t xml:space="preserve"> sarcoma cancer cell lines</w:t>
      </w:r>
    </w:p>
    <w:p w:rsidR="00BB2F19" w:rsidRPr="00E05E75" w:rsidRDefault="00BB2F19" w:rsidP="007B6A0C">
      <w:pPr>
        <w:snapToGrid w:val="0"/>
        <w:jc w:val="center"/>
        <w:rPr>
          <w:sz w:val="20"/>
          <w:szCs w:val="20"/>
          <w:lang w:eastAsia="zh-CN"/>
        </w:rPr>
      </w:pPr>
    </w:p>
    <w:p w:rsidR="00177451" w:rsidRPr="00E05E75" w:rsidRDefault="00177451" w:rsidP="007B6A0C">
      <w:pPr>
        <w:autoSpaceDE w:val="0"/>
        <w:autoSpaceDN w:val="0"/>
        <w:adjustRightInd w:val="0"/>
        <w:snapToGrid w:val="0"/>
        <w:jc w:val="center"/>
        <w:rPr>
          <w:color w:val="000000"/>
          <w:sz w:val="20"/>
          <w:szCs w:val="20"/>
          <w:lang w:eastAsia="zh-CN"/>
        </w:rPr>
      </w:pPr>
      <w:proofErr w:type="spellStart"/>
      <w:r w:rsidRPr="00E05E75">
        <w:rPr>
          <w:color w:val="000000"/>
          <w:sz w:val="20"/>
          <w:szCs w:val="20"/>
        </w:rPr>
        <w:t>Swapan</w:t>
      </w:r>
      <w:proofErr w:type="spellEnd"/>
      <w:r w:rsidRPr="00E05E75">
        <w:rPr>
          <w:color w:val="000000"/>
          <w:sz w:val="20"/>
          <w:szCs w:val="20"/>
        </w:rPr>
        <w:t xml:space="preserve"> Kumar </w:t>
      </w:r>
      <w:proofErr w:type="spellStart"/>
      <w:r w:rsidRPr="00E05E75">
        <w:rPr>
          <w:color w:val="000000"/>
          <w:sz w:val="20"/>
          <w:szCs w:val="20"/>
        </w:rPr>
        <w:t>Ghosh</w:t>
      </w:r>
      <w:proofErr w:type="spellEnd"/>
    </w:p>
    <w:p w:rsidR="007B6A0C" w:rsidRPr="00E05E75" w:rsidRDefault="007B6A0C" w:rsidP="007B6A0C">
      <w:pPr>
        <w:autoSpaceDE w:val="0"/>
        <w:autoSpaceDN w:val="0"/>
        <w:adjustRightInd w:val="0"/>
        <w:snapToGrid w:val="0"/>
        <w:jc w:val="center"/>
        <w:rPr>
          <w:b/>
          <w:color w:val="000000"/>
          <w:sz w:val="20"/>
          <w:szCs w:val="20"/>
          <w:lang w:eastAsia="zh-CN"/>
        </w:rPr>
      </w:pPr>
    </w:p>
    <w:p w:rsidR="00177451" w:rsidRPr="00E05E75" w:rsidRDefault="00177451" w:rsidP="007B6A0C">
      <w:pPr>
        <w:autoSpaceDE w:val="0"/>
        <w:autoSpaceDN w:val="0"/>
        <w:adjustRightInd w:val="0"/>
        <w:snapToGrid w:val="0"/>
        <w:jc w:val="center"/>
        <w:rPr>
          <w:color w:val="000000"/>
          <w:sz w:val="20"/>
          <w:szCs w:val="20"/>
        </w:rPr>
      </w:pPr>
      <w:proofErr w:type="gramStart"/>
      <w:r w:rsidRPr="00E05E75">
        <w:rPr>
          <w:color w:val="000000"/>
          <w:sz w:val="20"/>
          <w:szCs w:val="20"/>
        </w:rPr>
        <w:t xml:space="preserve">Molecular </w:t>
      </w:r>
      <w:proofErr w:type="spellStart"/>
      <w:r w:rsidRPr="00E05E75">
        <w:rPr>
          <w:color w:val="000000"/>
          <w:sz w:val="20"/>
          <w:szCs w:val="20"/>
        </w:rPr>
        <w:t>Mycopathology</w:t>
      </w:r>
      <w:proofErr w:type="spellEnd"/>
      <w:r w:rsidRPr="00E05E75">
        <w:rPr>
          <w:color w:val="000000"/>
          <w:sz w:val="20"/>
          <w:szCs w:val="20"/>
        </w:rPr>
        <w:t xml:space="preserve"> Lab.PG Dept, of Botany.</w:t>
      </w:r>
      <w:proofErr w:type="gramEnd"/>
      <w:r w:rsidRPr="00E05E75">
        <w:rPr>
          <w:color w:val="000000"/>
          <w:sz w:val="20"/>
          <w:szCs w:val="20"/>
        </w:rPr>
        <w:t xml:space="preserve"> Ramakrishna Mission Vivekan</w:t>
      </w:r>
      <w:r w:rsidR="00E05E75" w:rsidRPr="00E05E75">
        <w:rPr>
          <w:color w:val="000000"/>
          <w:sz w:val="20"/>
          <w:szCs w:val="20"/>
        </w:rPr>
        <w:t>anda</w:t>
      </w:r>
      <w:r w:rsidR="00E05E75">
        <w:rPr>
          <w:color w:val="000000"/>
          <w:sz w:val="20"/>
          <w:szCs w:val="20"/>
        </w:rPr>
        <w:t xml:space="preserve"> </w:t>
      </w:r>
      <w:r w:rsidR="00E05E75" w:rsidRPr="00E05E75">
        <w:rPr>
          <w:color w:val="000000"/>
          <w:sz w:val="20"/>
          <w:szCs w:val="20"/>
        </w:rPr>
        <w:t xml:space="preserve">Centenary College, </w:t>
      </w:r>
      <w:proofErr w:type="spellStart"/>
      <w:r w:rsidR="00E05E75" w:rsidRPr="00E05E75">
        <w:rPr>
          <w:color w:val="000000"/>
          <w:sz w:val="20"/>
          <w:szCs w:val="20"/>
        </w:rPr>
        <w:t>Rahara</w:t>
      </w:r>
      <w:proofErr w:type="spellEnd"/>
      <w:r w:rsidRPr="00E05E75">
        <w:rPr>
          <w:color w:val="000000"/>
          <w:sz w:val="20"/>
          <w:szCs w:val="20"/>
        </w:rPr>
        <w:t>, Kolkata-700118, India</w:t>
      </w:r>
    </w:p>
    <w:p w:rsidR="001817C7" w:rsidRPr="00E05E75" w:rsidRDefault="00873DB4" w:rsidP="007B6A0C">
      <w:pPr>
        <w:snapToGrid w:val="0"/>
        <w:jc w:val="center"/>
        <w:rPr>
          <w:sz w:val="20"/>
          <w:szCs w:val="20"/>
          <w:lang w:eastAsia="zh-CN"/>
        </w:rPr>
      </w:pPr>
      <w:hyperlink r:id="rId7" w:history="1">
        <w:r w:rsidR="00177451" w:rsidRPr="00E05E75">
          <w:rPr>
            <w:rStyle w:val="Hyperlink"/>
            <w:sz w:val="20"/>
            <w:szCs w:val="20"/>
          </w:rPr>
          <w:t>swapan.krghosh@yahoo.com</w:t>
        </w:r>
      </w:hyperlink>
    </w:p>
    <w:p w:rsidR="007B6A0C" w:rsidRPr="00E05E75" w:rsidRDefault="007B6A0C" w:rsidP="007B6A0C">
      <w:pPr>
        <w:snapToGrid w:val="0"/>
        <w:jc w:val="center"/>
        <w:rPr>
          <w:sz w:val="20"/>
          <w:szCs w:val="20"/>
          <w:lang w:eastAsia="zh-CN"/>
        </w:rPr>
      </w:pPr>
    </w:p>
    <w:p w:rsidR="00177451" w:rsidRPr="00E05E75" w:rsidRDefault="00177451" w:rsidP="007B6A0C">
      <w:pPr>
        <w:autoSpaceDE w:val="0"/>
        <w:autoSpaceDN w:val="0"/>
        <w:adjustRightInd w:val="0"/>
        <w:snapToGrid w:val="0"/>
        <w:jc w:val="both"/>
        <w:rPr>
          <w:rFonts w:eastAsia="Times New Roman"/>
          <w:sz w:val="20"/>
          <w:szCs w:val="20"/>
        </w:rPr>
      </w:pPr>
      <w:r w:rsidRPr="00E05E75">
        <w:rPr>
          <w:b/>
          <w:color w:val="000000"/>
          <w:sz w:val="20"/>
          <w:szCs w:val="20"/>
        </w:rPr>
        <w:t xml:space="preserve">Abstract: </w:t>
      </w:r>
      <w:proofErr w:type="spellStart"/>
      <w:r w:rsidRPr="00E05E75">
        <w:rPr>
          <w:rFonts w:eastAsia="Times New Roman"/>
          <w:i/>
          <w:sz w:val="20"/>
          <w:szCs w:val="20"/>
        </w:rPr>
        <w:t>Calocybe</w:t>
      </w:r>
      <w:proofErr w:type="spellEnd"/>
      <w:r w:rsidRPr="00E05E75">
        <w:rPr>
          <w:rFonts w:eastAsia="Times New Roman"/>
          <w:i/>
          <w:sz w:val="20"/>
          <w:szCs w:val="20"/>
        </w:rPr>
        <w:t xml:space="preserve"> </w:t>
      </w:r>
      <w:proofErr w:type="spellStart"/>
      <w:proofErr w:type="gramStart"/>
      <w:r w:rsidRPr="00E05E75">
        <w:rPr>
          <w:rFonts w:eastAsia="Times New Roman"/>
          <w:i/>
          <w:sz w:val="20"/>
          <w:szCs w:val="20"/>
        </w:rPr>
        <w:t>india</w:t>
      </w:r>
      <w:proofErr w:type="spellEnd"/>
      <w:proofErr w:type="gramEnd"/>
      <w:r w:rsidRPr="00E05E75">
        <w:rPr>
          <w:rFonts w:eastAsia="Times New Roman"/>
          <w:sz w:val="20"/>
          <w:szCs w:val="20"/>
        </w:rPr>
        <w:t xml:space="preserve"> is one kind of </w:t>
      </w:r>
      <w:proofErr w:type="spellStart"/>
      <w:r w:rsidRPr="00E05E75">
        <w:rPr>
          <w:rFonts w:eastAsia="Times New Roman"/>
          <w:sz w:val="20"/>
          <w:szCs w:val="20"/>
        </w:rPr>
        <w:t>basidiomycetous</w:t>
      </w:r>
      <w:proofErr w:type="spellEnd"/>
      <w:r w:rsidRPr="00E05E75">
        <w:rPr>
          <w:rFonts w:eastAsia="Times New Roman"/>
          <w:sz w:val="20"/>
          <w:szCs w:val="20"/>
        </w:rPr>
        <w:t xml:space="preserve"> edible mushroom. Its inhibitory and </w:t>
      </w:r>
      <w:proofErr w:type="spellStart"/>
      <w:r w:rsidRPr="00E05E75">
        <w:rPr>
          <w:rFonts w:eastAsia="Times New Roman"/>
          <w:sz w:val="20"/>
          <w:szCs w:val="20"/>
        </w:rPr>
        <w:t>cytotoxic</w:t>
      </w:r>
      <w:proofErr w:type="spellEnd"/>
      <w:r w:rsidRPr="00E05E75">
        <w:rPr>
          <w:rFonts w:eastAsia="Times New Roman"/>
          <w:sz w:val="20"/>
          <w:szCs w:val="20"/>
        </w:rPr>
        <w:t xml:space="preserve"> effects have been tested on human Ewing's sarcoma MHH‐ES‐1 and breast cancer </w:t>
      </w:r>
      <w:r w:rsidRPr="00E05E75">
        <w:rPr>
          <w:sz w:val="20"/>
          <w:szCs w:val="20"/>
        </w:rPr>
        <w:t xml:space="preserve">MCF-7 </w:t>
      </w:r>
      <w:r w:rsidRPr="00E05E75">
        <w:rPr>
          <w:rFonts w:eastAsia="Times New Roman"/>
          <w:sz w:val="20"/>
          <w:szCs w:val="20"/>
        </w:rPr>
        <w:t xml:space="preserve">cell lines, using </w:t>
      </w:r>
      <w:proofErr w:type="spellStart"/>
      <w:r w:rsidRPr="00E05E75">
        <w:rPr>
          <w:rFonts w:eastAsia="Times New Roman"/>
          <w:sz w:val="20"/>
          <w:szCs w:val="20"/>
        </w:rPr>
        <w:t>vincristine</w:t>
      </w:r>
      <w:proofErr w:type="spellEnd"/>
      <w:r w:rsidRPr="00E05E75">
        <w:rPr>
          <w:rFonts w:eastAsia="Times New Roman"/>
          <w:sz w:val="20"/>
          <w:szCs w:val="20"/>
        </w:rPr>
        <w:t xml:space="preserve"> and</w:t>
      </w:r>
      <w:r w:rsidRPr="00E05E75">
        <w:rPr>
          <w:sz w:val="20"/>
          <w:szCs w:val="20"/>
        </w:rPr>
        <w:t xml:space="preserve"> </w:t>
      </w:r>
      <w:proofErr w:type="spellStart"/>
      <w:r w:rsidRPr="00E05E75">
        <w:rPr>
          <w:sz w:val="20"/>
          <w:szCs w:val="20"/>
        </w:rPr>
        <w:t>tamoxifen</w:t>
      </w:r>
      <w:proofErr w:type="spellEnd"/>
      <w:r w:rsidRPr="00E05E75">
        <w:rPr>
          <w:rFonts w:eastAsia="Times New Roman"/>
          <w:sz w:val="20"/>
          <w:szCs w:val="20"/>
        </w:rPr>
        <w:t xml:space="preserve"> as reference</w:t>
      </w:r>
      <w:r w:rsidR="00E05E75">
        <w:rPr>
          <w:rFonts w:eastAsia="Times New Roman"/>
          <w:sz w:val="20"/>
          <w:szCs w:val="20"/>
        </w:rPr>
        <w:t xml:space="preserve"> </w:t>
      </w:r>
      <w:r w:rsidRPr="00E05E75">
        <w:rPr>
          <w:rFonts w:eastAsia="Times New Roman"/>
          <w:sz w:val="20"/>
          <w:szCs w:val="20"/>
        </w:rPr>
        <w:t xml:space="preserve">positive controls. </w:t>
      </w:r>
      <w:r w:rsidRPr="00E05E75">
        <w:rPr>
          <w:sz w:val="20"/>
          <w:szCs w:val="20"/>
        </w:rPr>
        <w:t>Inhibition of</w:t>
      </w:r>
      <w:r w:rsidR="00E05E75">
        <w:rPr>
          <w:sz w:val="20"/>
          <w:szCs w:val="20"/>
        </w:rPr>
        <w:t xml:space="preserve"> </w:t>
      </w:r>
      <w:r w:rsidRPr="00E05E75">
        <w:rPr>
          <w:rFonts w:eastAsia="Times New Roman"/>
          <w:sz w:val="20"/>
          <w:szCs w:val="20"/>
        </w:rPr>
        <w:t>MHH‐ES‐1</w:t>
      </w:r>
      <w:r w:rsidR="00E05E75">
        <w:rPr>
          <w:rFonts w:eastAsia="Times New Roman"/>
          <w:sz w:val="20"/>
          <w:szCs w:val="20"/>
        </w:rPr>
        <w:t xml:space="preserve"> </w:t>
      </w:r>
      <w:r w:rsidRPr="00E05E75">
        <w:rPr>
          <w:sz w:val="20"/>
          <w:szCs w:val="20"/>
        </w:rPr>
        <w:t xml:space="preserve">and MT7 cells to </w:t>
      </w:r>
      <w:r w:rsidRPr="00E05E75">
        <w:rPr>
          <w:i/>
          <w:iCs/>
          <w:sz w:val="20"/>
          <w:szCs w:val="20"/>
        </w:rPr>
        <w:t xml:space="preserve">C. </w:t>
      </w:r>
      <w:proofErr w:type="spellStart"/>
      <w:r w:rsidRPr="00E05E75">
        <w:rPr>
          <w:i/>
          <w:iCs/>
          <w:sz w:val="20"/>
          <w:szCs w:val="20"/>
        </w:rPr>
        <w:t>indica</w:t>
      </w:r>
      <w:proofErr w:type="spellEnd"/>
      <w:r w:rsidR="00E05E75">
        <w:rPr>
          <w:i/>
          <w:iCs/>
          <w:sz w:val="20"/>
          <w:szCs w:val="20"/>
        </w:rPr>
        <w:t xml:space="preserve"> </w:t>
      </w:r>
      <w:r w:rsidRPr="00E05E75">
        <w:rPr>
          <w:sz w:val="20"/>
          <w:szCs w:val="20"/>
        </w:rPr>
        <w:t>was determined individually by the MTT colorimetric assay</w:t>
      </w:r>
      <w:r w:rsidR="00E05E75">
        <w:rPr>
          <w:rFonts w:eastAsia="Times New Roman"/>
          <w:sz w:val="20"/>
          <w:szCs w:val="20"/>
        </w:rPr>
        <w:t xml:space="preserve"> method was employed</w:t>
      </w:r>
      <w:r w:rsidRPr="00E05E75">
        <w:rPr>
          <w:rFonts w:eastAsia="Times New Roman"/>
          <w:sz w:val="20"/>
          <w:szCs w:val="20"/>
        </w:rPr>
        <w:t xml:space="preserve"> to evaluate cell viability in this </w:t>
      </w:r>
      <w:proofErr w:type="spellStart"/>
      <w:r w:rsidRPr="00E05E75">
        <w:rPr>
          <w:rFonts w:eastAsia="Times New Roman"/>
          <w:sz w:val="20"/>
          <w:szCs w:val="20"/>
        </w:rPr>
        <w:t>cytotoxic</w:t>
      </w:r>
      <w:proofErr w:type="spellEnd"/>
      <w:r w:rsidRPr="00E05E75">
        <w:rPr>
          <w:rFonts w:eastAsia="Times New Roman"/>
          <w:sz w:val="20"/>
          <w:szCs w:val="20"/>
        </w:rPr>
        <w:t xml:space="preserve"> assay. </w:t>
      </w:r>
      <w:proofErr w:type="spellStart"/>
      <w:r w:rsidRPr="00E05E75">
        <w:rPr>
          <w:rFonts w:eastAsia="Times New Roman"/>
          <w:sz w:val="20"/>
          <w:szCs w:val="20"/>
        </w:rPr>
        <w:t>Micromolar</w:t>
      </w:r>
      <w:proofErr w:type="spellEnd"/>
      <w:r w:rsidRPr="00E05E75">
        <w:rPr>
          <w:rFonts w:eastAsia="Times New Roman"/>
          <w:sz w:val="20"/>
          <w:szCs w:val="20"/>
        </w:rPr>
        <w:t xml:space="preserve"> concentrations of both </w:t>
      </w:r>
      <w:proofErr w:type="gramStart"/>
      <w:r w:rsidRPr="00E05E75">
        <w:rPr>
          <w:rFonts w:eastAsia="Times New Roman"/>
          <w:sz w:val="20"/>
          <w:szCs w:val="20"/>
        </w:rPr>
        <w:t>WE</w:t>
      </w:r>
      <w:proofErr w:type="gramEnd"/>
      <w:r w:rsidRPr="00E05E75">
        <w:rPr>
          <w:rFonts w:eastAsia="Times New Roman"/>
          <w:sz w:val="20"/>
          <w:szCs w:val="20"/>
        </w:rPr>
        <w:t xml:space="preserve"> and ME of </w:t>
      </w:r>
      <w:proofErr w:type="spellStart"/>
      <w:r w:rsidRPr="00E05E75">
        <w:rPr>
          <w:rFonts w:eastAsia="Times New Roman"/>
          <w:i/>
          <w:sz w:val="20"/>
          <w:szCs w:val="20"/>
        </w:rPr>
        <w:t>C.indica</w:t>
      </w:r>
      <w:proofErr w:type="spellEnd"/>
      <w:r w:rsidRPr="00E05E75">
        <w:rPr>
          <w:rFonts w:eastAsia="Times New Roman"/>
          <w:sz w:val="20"/>
          <w:szCs w:val="20"/>
        </w:rPr>
        <w:t xml:space="preserve"> (10 mg to 100mg) inhibited the growth of both cell lines in a dose-dependent manner. The IC50 values of </w:t>
      </w:r>
      <w:proofErr w:type="gramStart"/>
      <w:r w:rsidRPr="00E05E75">
        <w:rPr>
          <w:rFonts w:eastAsia="Times New Roman"/>
          <w:sz w:val="20"/>
          <w:szCs w:val="20"/>
        </w:rPr>
        <w:t>WE and ME</w:t>
      </w:r>
      <w:proofErr w:type="gramEnd"/>
      <w:r w:rsidRPr="00E05E75">
        <w:rPr>
          <w:rFonts w:eastAsia="Times New Roman"/>
          <w:sz w:val="20"/>
          <w:szCs w:val="20"/>
        </w:rPr>
        <w:t xml:space="preserve"> in MHH‐ES‐1 cell line were</w:t>
      </w:r>
      <w:r w:rsidR="00E05E75">
        <w:rPr>
          <w:rFonts w:eastAsia="Times New Roman"/>
          <w:sz w:val="20"/>
          <w:szCs w:val="20"/>
        </w:rPr>
        <w:t xml:space="preserve"> </w:t>
      </w:r>
      <w:r w:rsidRPr="00E05E75">
        <w:rPr>
          <w:sz w:val="20"/>
          <w:szCs w:val="20"/>
        </w:rPr>
        <w:t>55.25±1.201mg/ml and</w:t>
      </w:r>
      <w:r w:rsidRPr="00E05E75">
        <w:rPr>
          <w:rFonts w:eastAsia="Times New Roman"/>
          <w:sz w:val="20"/>
          <w:szCs w:val="20"/>
        </w:rPr>
        <w:t xml:space="preserve"> </w:t>
      </w:r>
      <w:r w:rsidRPr="00E05E75">
        <w:rPr>
          <w:sz w:val="20"/>
          <w:szCs w:val="20"/>
        </w:rPr>
        <w:t>46.56±0.134mg/ml</w:t>
      </w:r>
      <w:r w:rsidRPr="00E05E75">
        <w:rPr>
          <w:rFonts w:eastAsia="Times New Roman"/>
          <w:sz w:val="20"/>
          <w:szCs w:val="20"/>
        </w:rPr>
        <w:t xml:space="preserve"> respectively while</w:t>
      </w:r>
      <w:r w:rsidR="00E05E75">
        <w:rPr>
          <w:rFonts w:eastAsia="Times New Roman"/>
          <w:sz w:val="20"/>
          <w:szCs w:val="20"/>
        </w:rPr>
        <w:t xml:space="preserve"> </w:t>
      </w:r>
      <w:r w:rsidRPr="00E05E75">
        <w:rPr>
          <w:sz w:val="20"/>
          <w:szCs w:val="20"/>
        </w:rPr>
        <w:t>these values of MCF7 cell line were</w:t>
      </w:r>
      <w:r w:rsidRPr="00E05E75">
        <w:rPr>
          <w:rFonts w:eastAsia="Times New Roman"/>
          <w:sz w:val="20"/>
          <w:szCs w:val="20"/>
        </w:rPr>
        <w:t xml:space="preserve"> </w:t>
      </w:r>
      <w:r w:rsidRPr="00E05E75">
        <w:rPr>
          <w:sz w:val="20"/>
          <w:szCs w:val="20"/>
        </w:rPr>
        <w:t>52.12±0.15mg/ml and</w:t>
      </w:r>
      <w:r w:rsidRPr="00E05E75">
        <w:rPr>
          <w:rFonts w:eastAsia="Times New Roman"/>
          <w:sz w:val="20"/>
          <w:szCs w:val="20"/>
        </w:rPr>
        <w:t xml:space="preserve"> </w:t>
      </w:r>
      <w:r w:rsidRPr="00E05E75">
        <w:rPr>
          <w:sz w:val="20"/>
          <w:szCs w:val="20"/>
        </w:rPr>
        <w:t>47.94±0.09mg/ml respectively.</w:t>
      </w:r>
      <w:r w:rsidRPr="00E05E75">
        <w:rPr>
          <w:rFonts w:eastAsia="Times New Roman"/>
          <w:sz w:val="20"/>
          <w:szCs w:val="20"/>
        </w:rPr>
        <w:t xml:space="preserve"> </w:t>
      </w:r>
      <w:proofErr w:type="gramStart"/>
      <w:r w:rsidRPr="00E05E75">
        <w:rPr>
          <w:rFonts w:eastAsia="Times New Roman"/>
          <w:sz w:val="20"/>
          <w:szCs w:val="20"/>
        </w:rPr>
        <w:t xml:space="preserve">It </w:t>
      </w:r>
      <w:proofErr w:type="spellStart"/>
      <w:r w:rsidRPr="00E05E75">
        <w:rPr>
          <w:rFonts w:eastAsia="Times New Roman"/>
          <w:sz w:val="20"/>
          <w:szCs w:val="20"/>
        </w:rPr>
        <w:t>indicats</w:t>
      </w:r>
      <w:proofErr w:type="spellEnd"/>
      <w:r w:rsidRPr="00E05E75">
        <w:rPr>
          <w:rFonts w:eastAsia="Times New Roman"/>
          <w:sz w:val="20"/>
          <w:szCs w:val="20"/>
        </w:rPr>
        <w:t xml:space="preserve"> that both WE and ME of this mushroom</w:t>
      </w:r>
      <w:r w:rsidR="00E05E75">
        <w:rPr>
          <w:rFonts w:eastAsia="Times New Roman"/>
          <w:sz w:val="20"/>
          <w:szCs w:val="20"/>
        </w:rPr>
        <w:t xml:space="preserve"> </w:t>
      </w:r>
      <w:r w:rsidRPr="00E05E75">
        <w:rPr>
          <w:rFonts w:eastAsia="Times New Roman"/>
          <w:sz w:val="20"/>
          <w:szCs w:val="20"/>
        </w:rPr>
        <w:t>fruit body are effective for inhibition of both cancer cell lines.</w:t>
      </w:r>
      <w:proofErr w:type="gramEnd"/>
      <w:r w:rsidRPr="00E05E75">
        <w:rPr>
          <w:rFonts w:eastAsia="Times New Roman"/>
          <w:sz w:val="20"/>
          <w:szCs w:val="20"/>
        </w:rPr>
        <w:t xml:space="preserve"> This action suggests that the extract of </w:t>
      </w:r>
      <w:r w:rsidRPr="00E05E75">
        <w:rPr>
          <w:rFonts w:eastAsia="Times New Roman"/>
          <w:i/>
          <w:sz w:val="20"/>
          <w:szCs w:val="20"/>
        </w:rPr>
        <w:t xml:space="preserve">C </w:t>
      </w:r>
      <w:proofErr w:type="spellStart"/>
      <w:r w:rsidRPr="00E05E75">
        <w:rPr>
          <w:rFonts w:eastAsia="Times New Roman"/>
          <w:i/>
          <w:sz w:val="20"/>
          <w:szCs w:val="20"/>
        </w:rPr>
        <w:t>indica</w:t>
      </w:r>
      <w:proofErr w:type="spellEnd"/>
      <w:r w:rsidR="00E05E75">
        <w:rPr>
          <w:rFonts w:eastAsia="Times New Roman"/>
          <w:sz w:val="20"/>
          <w:szCs w:val="20"/>
        </w:rPr>
        <w:t xml:space="preserve"> </w:t>
      </w:r>
      <w:r w:rsidRPr="00E05E75">
        <w:rPr>
          <w:rFonts w:eastAsia="Times New Roman"/>
          <w:sz w:val="20"/>
          <w:szCs w:val="20"/>
        </w:rPr>
        <w:t>might be a new promising agent in the treatment of both human sarcoma and breast cancer.</w:t>
      </w:r>
    </w:p>
    <w:p w:rsidR="005236DB" w:rsidRPr="00E05E75" w:rsidRDefault="00E05E75" w:rsidP="007B6A0C">
      <w:pPr>
        <w:snapToGrid w:val="0"/>
        <w:jc w:val="both"/>
        <w:rPr>
          <w:sz w:val="20"/>
          <w:szCs w:val="20"/>
          <w:lang w:eastAsia="zh-CN"/>
        </w:rPr>
      </w:pPr>
      <w:r>
        <w:rPr>
          <w:color w:val="000000"/>
          <w:sz w:val="20"/>
          <w:szCs w:val="20"/>
        </w:rPr>
        <w:t>[</w:t>
      </w:r>
      <w:proofErr w:type="spellStart"/>
      <w:r w:rsidR="00177451" w:rsidRPr="00E05E75">
        <w:rPr>
          <w:color w:val="000000"/>
          <w:sz w:val="20"/>
          <w:szCs w:val="20"/>
        </w:rPr>
        <w:t>Ghosh</w:t>
      </w:r>
      <w:proofErr w:type="spellEnd"/>
      <w:r w:rsidR="00177451" w:rsidRPr="00E05E75">
        <w:rPr>
          <w:color w:val="000000"/>
          <w:sz w:val="20"/>
          <w:szCs w:val="20"/>
        </w:rPr>
        <w:t xml:space="preserve"> SK. </w:t>
      </w:r>
      <w:r w:rsidR="00177451" w:rsidRPr="00E05E75">
        <w:rPr>
          <w:b/>
          <w:color w:val="000000"/>
          <w:sz w:val="20"/>
          <w:szCs w:val="20"/>
        </w:rPr>
        <w:t xml:space="preserve">Study of anticancer effect of </w:t>
      </w:r>
      <w:proofErr w:type="spellStart"/>
      <w:r w:rsidR="00177451" w:rsidRPr="00E05E75">
        <w:rPr>
          <w:b/>
          <w:i/>
          <w:color w:val="000000"/>
          <w:sz w:val="20"/>
          <w:szCs w:val="20"/>
        </w:rPr>
        <w:t>Calocyby</w:t>
      </w:r>
      <w:proofErr w:type="spellEnd"/>
      <w:r w:rsidR="00177451" w:rsidRPr="00E05E75">
        <w:rPr>
          <w:b/>
          <w:i/>
          <w:color w:val="000000"/>
          <w:sz w:val="20"/>
          <w:szCs w:val="20"/>
        </w:rPr>
        <w:t xml:space="preserve"> </w:t>
      </w:r>
      <w:proofErr w:type="spellStart"/>
      <w:r w:rsidR="00177451" w:rsidRPr="00E05E75">
        <w:rPr>
          <w:b/>
          <w:i/>
          <w:color w:val="000000"/>
          <w:sz w:val="20"/>
          <w:szCs w:val="20"/>
        </w:rPr>
        <w:t>indica</w:t>
      </w:r>
      <w:proofErr w:type="spellEnd"/>
      <w:r w:rsidR="00177451" w:rsidRPr="00E05E75">
        <w:rPr>
          <w:b/>
          <w:color w:val="000000"/>
          <w:sz w:val="20"/>
          <w:szCs w:val="20"/>
        </w:rPr>
        <w:t xml:space="preserve"> mushroom on breast cancer cell line</w:t>
      </w:r>
      <w:r>
        <w:rPr>
          <w:b/>
          <w:color w:val="000000"/>
          <w:sz w:val="20"/>
          <w:szCs w:val="20"/>
        </w:rPr>
        <w:t xml:space="preserve"> </w:t>
      </w:r>
      <w:r w:rsidR="00177451" w:rsidRPr="00E05E75">
        <w:rPr>
          <w:b/>
          <w:color w:val="000000"/>
          <w:sz w:val="20"/>
          <w:szCs w:val="20"/>
        </w:rPr>
        <w:t xml:space="preserve">and human </w:t>
      </w:r>
      <w:proofErr w:type="spellStart"/>
      <w:r w:rsidR="00177451" w:rsidRPr="00E05E75">
        <w:rPr>
          <w:b/>
          <w:color w:val="000000"/>
          <w:sz w:val="20"/>
          <w:szCs w:val="20"/>
        </w:rPr>
        <w:t>Ewings</w:t>
      </w:r>
      <w:proofErr w:type="spellEnd"/>
      <w:r w:rsidR="00177451" w:rsidRPr="00E05E75">
        <w:rPr>
          <w:b/>
          <w:color w:val="000000"/>
          <w:sz w:val="20"/>
          <w:szCs w:val="20"/>
        </w:rPr>
        <w:t xml:space="preserve"> sarcoma cancer cell lines</w:t>
      </w:r>
      <w:r w:rsidR="005236DB" w:rsidRPr="00E05E75">
        <w:rPr>
          <w:rFonts w:eastAsia="Times New Roman"/>
          <w:b/>
          <w:bCs/>
          <w:sz w:val="20"/>
          <w:szCs w:val="20"/>
          <w:lang w:bidi="fa-IR"/>
        </w:rPr>
        <w:t>.</w:t>
      </w:r>
      <w:r w:rsidR="005236DB" w:rsidRPr="00E05E75">
        <w:rPr>
          <w:bCs/>
          <w:i/>
          <w:sz w:val="20"/>
          <w:szCs w:val="20"/>
        </w:rPr>
        <w:t xml:space="preserve"> N Y </w:t>
      </w:r>
      <w:proofErr w:type="spellStart"/>
      <w:r w:rsidR="005236DB" w:rsidRPr="00E05E75">
        <w:rPr>
          <w:bCs/>
          <w:i/>
          <w:sz w:val="20"/>
          <w:szCs w:val="20"/>
        </w:rPr>
        <w:t>Sci</w:t>
      </w:r>
      <w:proofErr w:type="spellEnd"/>
      <w:r w:rsidR="005236DB" w:rsidRPr="00E05E75">
        <w:rPr>
          <w:bCs/>
          <w:i/>
          <w:sz w:val="20"/>
          <w:szCs w:val="20"/>
        </w:rPr>
        <w:t xml:space="preserve"> J</w:t>
      </w:r>
      <w:r w:rsidR="005236DB" w:rsidRPr="00E05E75">
        <w:rPr>
          <w:bCs/>
          <w:sz w:val="20"/>
          <w:szCs w:val="20"/>
        </w:rPr>
        <w:t xml:space="preserve"> </w:t>
      </w:r>
      <w:r w:rsidR="005236DB" w:rsidRPr="00E05E75">
        <w:rPr>
          <w:sz w:val="20"/>
          <w:szCs w:val="20"/>
        </w:rPr>
        <w:t>201</w:t>
      </w:r>
      <w:r w:rsidR="005236DB" w:rsidRPr="00E05E75">
        <w:rPr>
          <w:rFonts w:hint="eastAsia"/>
          <w:sz w:val="20"/>
          <w:szCs w:val="20"/>
        </w:rPr>
        <w:t>5</w:t>
      </w:r>
      <w:r w:rsidR="005236DB" w:rsidRPr="00E05E75">
        <w:rPr>
          <w:sz w:val="20"/>
          <w:szCs w:val="20"/>
        </w:rPr>
        <w:t>;</w:t>
      </w:r>
      <w:r w:rsidR="005236DB" w:rsidRPr="00E05E75">
        <w:rPr>
          <w:rFonts w:hint="eastAsia"/>
          <w:sz w:val="20"/>
          <w:szCs w:val="20"/>
        </w:rPr>
        <w:t>8</w:t>
      </w:r>
      <w:r w:rsidR="005236DB" w:rsidRPr="00E05E75">
        <w:rPr>
          <w:sz w:val="20"/>
          <w:szCs w:val="20"/>
        </w:rPr>
        <w:t>(</w:t>
      </w:r>
      <w:r w:rsidR="005236DB" w:rsidRPr="00E05E75">
        <w:rPr>
          <w:rFonts w:hint="eastAsia"/>
          <w:sz w:val="20"/>
          <w:szCs w:val="20"/>
        </w:rPr>
        <w:t>5</w:t>
      </w:r>
      <w:r w:rsidR="005236DB" w:rsidRPr="00E05E75">
        <w:rPr>
          <w:sz w:val="20"/>
          <w:szCs w:val="20"/>
        </w:rPr>
        <w:t>):</w:t>
      </w:r>
      <w:r w:rsidR="004214D5" w:rsidRPr="00E05E75">
        <w:rPr>
          <w:noProof/>
          <w:color w:val="000000"/>
          <w:sz w:val="20"/>
          <w:szCs w:val="20"/>
        </w:rPr>
        <w:t>10</w:t>
      </w:r>
      <w:r w:rsidR="005236DB" w:rsidRPr="00E05E75">
        <w:rPr>
          <w:color w:val="000000"/>
          <w:sz w:val="20"/>
          <w:szCs w:val="20"/>
        </w:rPr>
        <w:t>-</w:t>
      </w:r>
      <w:r w:rsidR="004214D5" w:rsidRPr="00E05E75">
        <w:rPr>
          <w:noProof/>
          <w:color w:val="000000"/>
          <w:sz w:val="20"/>
          <w:szCs w:val="20"/>
        </w:rPr>
        <w:t>1</w:t>
      </w:r>
      <w:r w:rsidR="007B1A99">
        <w:rPr>
          <w:rFonts w:hint="eastAsia"/>
          <w:noProof/>
          <w:color w:val="000000"/>
          <w:sz w:val="20"/>
          <w:szCs w:val="20"/>
          <w:lang w:eastAsia="zh-CN"/>
        </w:rPr>
        <w:t>5</w:t>
      </w:r>
      <w:r w:rsidR="005236DB" w:rsidRPr="00E05E75">
        <w:rPr>
          <w:sz w:val="20"/>
          <w:szCs w:val="20"/>
        </w:rPr>
        <w:t xml:space="preserve">]. (ISSN: 1554-0200). </w:t>
      </w:r>
      <w:hyperlink r:id="rId8" w:history="1">
        <w:r w:rsidR="005236DB" w:rsidRPr="00E05E75">
          <w:rPr>
            <w:rStyle w:val="Hyperlink"/>
            <w:sz w:val="20"/>
            <w:szCs w:val="20"/>
          </w:rPr>
          <w:t>http://www.sciencepub.net/newyork</w:t>
        </w:r>
      </w:hyperlink>
      <w:r w:rsidR="005236DB" w:rsidRPr="00E05E75">
        <w:rPr>
          <w:sz w:val="20"/>
          <w:szCs w:val="20"/>
        </w:rPr>
        <w:t xml:space="preserve">. </w:t>
      </w:r>
      <w:r w:rsidR="007B6A0C" w:rsidRPr="00E05E75">
        <w:rPr>
          <w:rFonts w:hint="eastAsia"/>
          <w:sz w:val="20"/>
          <w:szCs w:val="20"/>
          <w:lang w:eastAsia="zh-CN"/>
        </w:rPr>
        <w:t>3</w:t>
      </w:r>
    </w:p>
    <w:p w:rsidR="001817C7" w:rsidRPr="00E05E75" w:rsidRDefault="001817C7" w:rsidP="007B6A0C">
      <w:pPr>
        <w:snapToGrid w:val="0"/>
        <w:jc w:val="both"/>
        <w:rPr>
          <w:sz w:val="20"/>
          <w:szCs w:val="20"/>
        </w:rPr>
      </w:pPr>
    </w:p>
    <w:p w:rsidR="001817C7" w:rsidRPr="00E05E75" w:rsidRDefault="001817C7" w:rsidP="007B6A0C">
      <w:pPr>
        <w:snapToGrid w:val="0"/>
        <w:jc w:val="both"/>
        <w:rPr>
          <w:sz w:val="20"/>
          <w:szCs w:val="20"/>
        </w:rPr>
      </w:pPr>
      <w:r w:rsidRPr="00E05E75">
        <w:rPr>
          <w:b/>
          <w:sz w:val="20"/>
          <w:szCs w:val="20"/>
        </w:rPr>
        <w:t xml:space="preserve">Keywords: </w:t>
      </w:r>
      <w:r w:rsidR="00177451" w:rsidRPr="00E05E75">
        <w:rPr>
          <w:sz w:val="20"/>
          <w:szCs w:val="20"/>
        </w:rPr>
        <w:t>Mushroom, Cancer,</w:t>
      </w:r>
      <w:r w:rsidR="00E05E75">
        <w:rPr>
          <w:sz w:val="20"/>
          <w:szCs w:val="20"/>
        </w:rPr>
        <w:t xml:space="preserve"> </w:t>
      </w:r>
      <w:r w:rsidR="00177451" w:rsidRPr="00E05E75">
        <w:rPr>
          <w:sz w:val="20"/>
          <w:szCs w:val="20"/>
        </w:rPr>
        <w:t>anticancer agent, Cancer cell lines</w:t>
      </w:r>
    </w:p>
    <w:p w:rsidR="007B6A0C" w:rsidRPr="00E05E75" w:rsidRDefault="007B6A0C" w:rsidP="007B6A0C">
      <w:pPr>
        <w:snapToGrid w:val="0"/>
        <w:ind w:firstLine="425"/>
        <w:jc w:val="both"/>
        <w:rPr>
          <w:b/>
          <w:sz w:val="20"/>
          <w:szCs w:val="20"/>
        </w:rPr>
      </w:pPr>
    </w:p>
    <w:p w:rsidR="007B6A0C" w:rsidRPr="00E05E75" w:rsidRDefault="007B6A0C" w:rsidP="007B6A0C">
      <w:pPr>
        <w:snapToGrid w:val="0"/>
        <w:ind w:firstLine="425"/>
        <w:jc w:val="both"/>
        <w:rPr>
          <w:b/>
          <w:sz w:val="20"/>
          <w:szCs w:val="20"/>
        </w:rPr>
        <w:sectPr w:rsidR="007B6A0C" w:rsidRPr="00E05E75" w:rsidSect="004214D5">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0"/>
          <w:cols w:space="720"/>
          <w:docGrid w:linePitch="360"/>
        </w:sectPr>
      </w:pPr>
    </w:p>
    <w:p w:rsidR="00177451" w:rsidRPr="00E05E75" w:rsidRDefault="00177451" w:rsidP="007B6A0C">
      <w:pPr>
        <w:autoSpaceDE w:val="0"/>
        <w:autoSpaceDN w:val="0"/>
        <w:adjustRightInd w:val="0"/>
        <w:snapToGrid w:val="0"/>
        <w:jc w:val="both"/>
        <w:rPr>
          <w:b/>
          <w:color w:val="000000"/>
          <w:sz w:val="20"/>
          <w:szCs w:val="20"/>
        </w:rPr>
      </w:pPr>
      <w:r w:rsidRPr="00E05E75">
        <w:rPr>
          <w:color w:val="000000"/>
          <w:sz w:val="20"/>
          <w:szCs w:val="20"/>
        </w:rPr>
        <w:lastRenderedPageBreak/>
        <w:t>1.</w:t>
      </w:r>
      <w:r w:rsidR="007B6A0C" w:rsidRPr="00E05E75">
        <w:rPr>
          <w:rFonts w:hint="eastAsia"/>
          <w:color w:val="000000"/>
          <w:sz w:val="20"/>
          <w:szCs w:val="20"/>
          <w:lang w:eastAsia="zh-CN"/>
        </w:rPr>
        <w:t xml:space="preserve"> </w:t>
      </w:r>
      <w:r w:rsidR="00600A78" w:rsidRPr="00E05E75">
        <w:rPr>
          <w:rFonts w:hint="eastAsia"/>
          <w:color w:val="000000"/>
          <w:sz w:val="20"/>
          <w:szCs w:val="20"/>
          <w:lang w:eastAsia="zh-CN"/>
        </w:rPr>
        <w:t>I</w:t>
      </w:r>
      <w:r w:rsidRPr="00E05E75">
        <w:rPr>
          <w:b/>
          <w:color w:val="000000"/>
          <w:sz w:val="20"/>
          <w:szCs w:val="20"/>
        </w:rPr>
        <w:t>ntroduction</w:t>
      </w:r>
    </w:p>
    <w:p w:rsidR="00177451" w:rsidRPr="00E05E75" w:rsidRDefault="00177451" w:rsidP="007B6A0C">
      <w:pPr>
        <w:autoSpaceDE w:val="0"/>
        <w:autoSpaceDN w:val="0"/>
        <w:adjustRightInd w:val="0"/>
        <w:snapToGrid w:val="0"/>
        <w:ind w:firstLine="425"/>
        <w:jc w:val="both"/>
        <w:rPr>
          <w:sz w:val="20"/>
          <w:szCs w:val="20"/>
        </w:rPr>
      </w:pPr>
      <w:r w:rsidRPr="00E05E75">
        <w:rPr>
          <w:sz w:val="20"/>
          <w:szCs w:val="20"/>
        </w:rPr>
        <w:t xml:space="preserve">Mushroom is ‘a </w:t>
      </w:r>
      <w:proofErr w:type="spellStart"/>
      <w:r w:rsidRPr="00E05E75">
        <w:rPr>
          <w:sz w:val="20"/>
          <w:szCs w:val="20"/>
        </w:rPr>
        <w:t>macrofungus</w:t>
      </w:r>
      <w:proofErr w:type="spellEnd"/>
      <w:r w:rsidRPr="00E05E75">
        <w:rPr>
          <w:sz w:val="20"/>
          <w:szCs w:val="20"/>
        </w:rPr>
        <w:t xml:space="preserve"> with a distinctive fruiting body, which can be either </w:t>
      </w:r>
      <w:proofErr w:type="spellStart"/>
      <w:r w:rsidRPr="00E05E75">
        <w:rPr>
          <w:sz w:val="20"/>
          <w:szCs w:val="20"/>
        </w:rPr>
        <w:t>hypogeous</w:t>
      </w:r>
      <w:proofErr w:type="spellEnd"/>
      <w:r w:rsidRPr="00E05E75">
        <w:rPr>
          <w:sz w:val="20"/>
          <w:szCs w:val="20"/>
        </w:rPr>
        <w:t xml:space="preserve"> or epigeous, large enough to be seen with the naked eye and to be picked by hand’ (Chang &amp;</w:t>
      </w:r>
      <w:r w:rsidR="00E05E75">
        <w:rPr>
          <w:rFonts w:hint="eastAsia"/>
          <w:sz w:val="20"/>
          <w:szCs w:val="20"/>
          <w:lang w:eastAsia="zh-CN"/>
        </w:rPr>
        <w:t xml:space="preserve"> </w:t>
      </w:r>
      <w:r w:rsidRPr="00E05E75">
        <w:rPr>
          <w:sz w:val="20"/>
          <w:szCs w:val="20"/>
        </w:rPr>
        <w:t>Miles</w:t>
      </w:r>
      <w:r w:rsidRPr="00E05E75">
        <w:rPr>
          <w:rStyle w:val="ref-journal"/>
          <w:sz w:val="20"/>
          <w:szCs w:val="20"/>
        </w:rPr>
        <w:t xml:space="preserve">. </w:t>
      </w:r>
      <w:r w:rsidRPr="00E05E75">
        <w:rPr>
          <w:sz w:val="20"/>
          <w:szCs w:val="20"/>
        </w:rPr>
        <w:t>1992).</w:t>
      </w:r>
      <w:r w:rsidR="00E05E75">
        <w:rPr>
          <w:rFonts w:hint="eastAsia"/>
          <w:sz w:val="20"/>
          <w:szCs w:val="20"/>
          <w:lang w:eastAsia="zh-CN"/>
        </w:rPr>
        <w:t xml:space="preserve"> </w:t>
      </w:r>
      <w:r w:rsidRPr="00E05E75">
        <w:rPr>
          <w:color w:val="131413"/>
          <w:sz w:val="20"/>
          <w:szCs w:val="20"/>
        </w:rPr>
        <w:t>More than 30 species of medicinal mushrooms are currently identified as sources for biologically active metabolites with potential anti-cancer properties (</w:t>
      </w:r>
      <w:proofErr w:type="spellStart"/>
      <w:r w:rsidRPr="00E05E75">
        <w:rPr>
          <w:color w:val="131413"/>
          <w:sz w:val="20"/>
          <w:szCs w:val="20"/>
        </w:rPr>
        <w:t>Dilani</w:t>
      </w:r>
      <w:proofErr w:type="spellEnd"/>
      <w:r w:rsidRPr="00E05E75">
        <w:rPr>
          <w:color w:val="131413"/>
          <w:sz w:val="20"/>
          <w:szCs w:val="20"/>
        </w:rPr>
        <w:t xml:space="preserve"> et al 2</w:t>
      </w:r>
      <w:r w:rsidRPr="00E05E75">
        <w:rPr>
          <w:color w:val="000000"/>
          <w:sz w:val="20"/>
          <w:szCs w:val="20"/>
        </w:rPr>
        <w:t>012).</w:t>
      </w:r>
      <w:r w:rsidRPr="00E05E75">
        <w:rPr>
          <w:sz w:val="20"/>
          <w:szCs w:val="20"/>
        </w:rPr>
        <w:t xml:space="preserve"> More than 50 mushroom species have yielded potential </w:t>
      </w:r>
      <w:proofErr w:type="spellStart"/>
      <w:r w:rsidRPr="00E05E75">
        <w:rPr>
          <w:sz w:val="20"/>
          <w:szCs w:val="20"/>
        </w:rPr>
        <w:t>immunoceuticals</w:t>
      </w:r>
      <w:proofErr w:type="spellEnd"/>
      <w:r w:rsidRPr="00E05E75">
        <w:rPr>
          <w:sz w:val="20"/>
          <w:szCs w:val="20"/>
        </w:rPr>
        <w:t xml:space="preserve"> that exhibit anticancer activity in vitro or in animal models and of these, six have been investigated in human cancers</w:t>
      </w:r>
      <w:r w:rsidR="00E05E75" w:rsidRPr="00E05E75">
        <w:rPr>
          <w:rFonts w:hint="eastAsia"/>
          <w:sz w:val="20"/>
          <w:szCs w:val="20"/>
          <w:lang w:eastAsia="zh-CN"/>
        </w:rPr>
        <w:t xml:space="preserve"> </w:t>
      </w:r>
      <w:r w:rsidRPr="00E05E75">
        <w:rPr>
          <w:sz w:val="20"/>
          <w:szCs w:val="20"/>
        </w:rPr>
        <w:t>(</w:t>
      </w:r>
      <w:r w:rsidRPr="00E05E75">
        <w:rPr>
          <w:bCs/>
          <w:sz w:val="20"/>
          <w:szCs w:val="20"/>
        </w:rPr>
        <w:t>Parris.</w:t>
      </w:r>
      <w:r w:rsidR="00E05E75" w:rsidRPr="00E05E75">
        <w:rPr>
          <w:rFonts w:hint="eastAsia"/>
          <w:bCs/>
          <w:sz w:val="20"/>
          <w:szCs w:val="20"/>
          <w:lang w:eastAsia="zh-CN"/>
        </w:rPr>
        <w:t xml:space="preserve"> </w:t>
      </w:r>
      <w:r w:rsidRPr="00E05E75">
        <w:rPr>
          <w:bCs/>
          <w:sz w:val="20"/>
          <w:szCs w:val="20"/>
        </w:rPr>
        <w:t>2000</w:t>
      </w:r>
      <w:r w:rsidR="00E05E75">
        <w:rPr>
          <w:sz w:val="20"/>
          <w:szCs w:val="20"/>
        </w:rPr>
        <w:t>)</w:t>
      </w:r>
      <w:r w:rsidRPr="00E05E75">
        <w:rPr>
          <w:sz w:val="20"/>
          <w:szCs w:val="20"/>
        </w:rPr>
        <w:t xml:space="preserve">. Six mushroom preparations have shown clinically significant efficacy against human cancers: </w:t>
      </w:r>
      <w:proofErr w:type="spellStart"/>
      <w:r w:rsidRPr="00E05E75">
        <w:rPr>
          <w:sz w:val="20"/>
          <w:szCs w:val="20"/>
        </w:rPr>
        <w:t>lentinan</w:t>
      </w:r>
      <w:proofErr w:type="spellEnd"/>
      <w:r w:rsidRPr="00E05E75">
        <w:rPr>
          <w:sz w:val="20"/>
          <w:szCs w:val="20"/>
        </w:rPr>
        <w:t xml:space="preserve"> (</w:t>
      </w:r>
      <w:proofErr w:type="spellStart"/>
      <w:r w:rsidRPr="00E05E75">
        <w:rPr>
          <w:i/>
          <w:sz w:val="20"/>
          <w:szCs w:val="20"/>
        </w:rPr>
        <w:t>Lentnula</w:t>
      </w:r>
      <w:proofErr w:type="spellEnd"/>
      <w:r w:rsidRPr="00E05E75">
        <w:rPr>
          <w:i/>
          <w:sz w:val="20"/>
          <w:szCs w:val="20"/>
        </w:rPr>
        <w:t xml:space="preserve"> </w:t>
      </w:r>
      <w:proofErr w:type="spellStart"/>
      <w:r w:rsidRPr="00E05E75">
        <w:rPr>
          <w:i/>
          <w:sz w:val="20"/>
          <w:szCs w:val="20"/>
        </w:rPr>
        <w:t>edodes</w:t>
      </w:r>
      <w:proofErr w:type="spellEnd"/>
      <w:r w:rsidRPr="00E05E75">
        <w:rPr>
          <w:sz w:val="20"/>
          <w:szCs w:val="20"/>
        </w:rPr>
        <w:t xml:space="preserve">), </w:t>
      </w:r>
      <w:proofErr w:type="spellStart"/>
      <w:r w:rsidRPr="00E05E75">
        <w:rPr>
          <w:sz w:val="20"/>
          <w:szCs w:val="20"/>
        </w:rPr>
        <w:t>schizophyllan</w:t>
      </w:r>
      <w:proofErr w:type="spellEnd"/>
      <w:r w:rsidRPr="00E05E75">
        <w:rPr>
          <w:sz w:val="20"/>
          <w:szCs w:val="20"/>
        </w:rPr>
        <w:t xml:space="preserve"> (</w:t>
      </w:r>
      <w:proofErr w:type="spellStart"/>
      <w:r w:rsidRPr="00E05E75">
        <w:rPr>
          <w:i/>
          <w:sz w:val="20"/>
          <w:szCs w:val="20"/>
        </w:rPr>
        <w:t>Schizophyllum</w:t>
      </w:r>
      <w:proofErr w:type="spellEnd"/>
      <w:r w:rsidRPr="00E05E75">
        <w:rPr>
          <w:i/>
          <w:sz w:val="20"/>
          <w:szCs w:val="20"/>
        </w:rPr>
        <w:t xml:space="preserve"> commune</w:t>
      </w:r>
      <w:r w:rsidRPr="00E05E75">
        <w:rPr>
          <w:sz w:val="20"/>
          <w:szCs w:val="20"/>
        </w:rPr>
        <w:t>),</w:t>
      </w:r>
      <w:r w:rsidR="00E05E75" w:rsidRPr="00E05E75">
        <w:rPr>
          <w:rFonts w:hint="eastAsia"/>
          <w:sz w:val="20"/>
          <w:szCs w:val="20"/>
          <w:lang w:eastAsia="zh-CN"/>
        </w:rPr>
        <w:t xml:space="preserve"> </w:t>
      </w:r>
      <w:r w:rsidRPr="00E05E75">
        <w:rPr>
          <w:sz w:val="20"/>
          <w:szCs w:val="20"/>
        </w:rPr>
        <w:t xml:space="preserve">Active </w:t>
      </w:r>
      <w:proofErr w:type="spellStart"/>
      <w:r w:rsidRPr="00E05E75">
        <w:rPr>
          <w:sz w:val="20"/>
          <w:szCs w:val="20"/>
        </w:rPr>
        <w:t>Hexose</w:t>
      </w:r>
      <w:proofErr w:type="spellEnd"/>
      <w:r w:rsidRPr="00E05E75">
        <w:rPr>
          <w:sz w:val="20"/>
          <w:szCs w:val="20"/>
        </w:rPr>
        <w:t xml:space="preserve"> Correlated Compound (AHCC)</w:t>
      </w:r>
      <w:r w:rsidR="00E05E75" w:rsidRPr="00E05E75">
        <w:rPr>
          <w:rFonts w:hint="eastAsia"/>
          <w:sz w:val="20"/>
          <w:szCs w:val="20"/>
          <w:lang w:eastAsia="zh-CN"/>
        </w:rPr>
        <w:t xml:space="preserve"> </w:t>
      </w:r>
      <w:proofErr w:type="spellStart"/>
      <w:r w:rsidRPr="00E05E75">
        <w:rPr>
          <w:sz w:val="20"/>
          <w:szCs w:val="20"/>
        </w:rPr>
        <w:t>Lentinula</w:t>
      </w:r>
      <w:proofErr w:type="spellEnd"/>
      <w:r w:rsidRPr="00E05E75">
        <w:rPr>
          <w:sz w:val="20"/>
          <w:szCs w:val="20"/>
        </w:rPr>
        <w:t xml:space="preserve"> </w:t>
      </w:r>
      <w:proofErr w:type="spellStart"/>
      <w:r w:rsidRPr="00E05E75">
        <w:rPr>
          <w:sz w:val="20"/>
          <w:szCs w:val="20"/>
        </w:rPr>
        <w:t>edodes</w:t>
      </w:r>
      <w:proofErr w:type="spellEnd"/>
      <w:r w:rsidRPr="00E05E75">
        <w:rPr>
          <w:sz w:val="20"/>
          <w:szCs w:val="20"/>
        </w:rPr>
        <w:t>)</w:t>
      </w:r>
      <w:r w:rsidR="00E05E75">
        <w:rPr>
          <w:sz w:val="20"/>
          <w:szCs w:val="20"/>
        </w:rPr>
        <w:t>,</w:t>
      </w:r>
      <w:r w:rsidRPr="00E05E75">
        <w:rPr>
          <w:sz w:val="20"/>
          <w:szCs w:val="20"/>
        </w:rPr>
        <w:t xml:space="preserve"> </w:t>
      </w:r>
      <w:proofErr w:type="spellStart"/>
      <w:r w:rsidRPr="00E05E75">
        <w:rPr>
          <w:sz w:val="20"/>
          <w:szCs w:val="20"/>
        </w:rPr>
        <w:t>Maitake</w:t>
      </w:r>
      <w:proofErr w:type="spellEnd"/>
      <w:r w:rsidRPr="00E05E75">
        <w:rPr>
          <w:sz w:val="20"/>
          <w:szCs w:val="20"/>
        </w:rPr>
        <w:t xml:space="preserve"> D-Fraction (</w:t>
      </w:r>
      <w:proofErr w:type="spellStart"/>
      <w:r w:rsidRPr="00E05E75">
        <w:rPr>
          <w:i/>
          <w:iCs/>
          <w:sz w:val="20"/>
          <w:szCs w:val="20"/>
        </w:rPr>
        <w:t>Grifola</w:t>
      </w:r>
      <w:proofErr w:type="spellEnd"/>
      <w:r w:rsidRPr="00E05E75">
        <w:rPr>
          <w:i/>
          <w:iCs/>
          <w:sz w:val="20"/>
          <w:szCs w:val="20"/>
        </w:rPr>
        <w:t xml:space="preserve"> </w:t>
      </w:r>
      <w:proofErr w:type="spellStart"/>
      <w:r w:rsidRPr="00E05E75">
        <w:rPr>
          <w:i/>
          <w:iCs/>
          <w:sz w:val="20"/>
          <w:szCs w:val="20"/>
        </w:rPr>
        <w:t>frondosa</w:t>
      </w:r>
      <w:proofErr w:type="spellEnd"/>
      <w:r w:rsidRPr="00E05E75">
        <w:rPr>
          <w:sz w:val="20"/>
          <w:szCs w:val="20"/>
        </w:rPr>
        <w:t>)</w:t>
      </w:r>
      <w:r w:rsidR="00E05E75">
        <w:rPr>
          <w:sz w:val="20"/>
          <w:szCs w:val="20"/>
        </w:rPr>
        <w:t>,</w:t>
      </w:r>
      <w:r w:rsidRPr="00E05E75">
        <w:rPr>
          <w:sz w:val="20"/>
          <w:szCs w:val="20"/>
        </w:rPr>
        <w:t xml:space="preserve"> Polysaccharide-K </w:t>
      </w:r>
      <w:proofErr w:type="spellStart"/>
      <w:r w:rsidRPr="00E05E75">
        <w:rPr>
          <w:i/>
          <w:iCs/>
          <w:sz w:val="20"/>
          <w:szCs w:val="20"/>
        </w:rPr>
        <w:t>Coriolus</w:t>
      </w:r>
      <w:proofErr w:type="spellEnd"/>
      <w:r w:rsidRPr="00E05E75">
        <w:rPr>
          <w:i/>
          <w:iCs/>
          <w:sz w:val="20"/>
          <w:szCs w:val="20"/>
        </w:rPr>
        <w:t xml:space="preserve"> </w:t>
      </w:r>
      <w:proofErr w:type="spellStart"/>
      <w:r w:rsidRPr="00E05E75">
        <w:rPr>
          <w:i/>
          <w:iCs/>
          <w:sz w:val="20"/>
          <w:szCs w:val="20"/>
        </w:rPr>
        <w:t>versicolor</w:t>
      </w:r>
      <w:proofErr w:type="spellEnd"/>
      <w:r w:rsidRPr="00E05E75">
        <w:rPr>
          <w:i/>
          <w:iCs/>
          <w:sz w:val="20"/>
          <w:szCs w:val="20"/>
        </w:rPr>
        <w:t xml:space="preserve"> </w:t>
      </w:r>
      <w:r w:rsidRPr="00E05E75">
        <w:rPr>
          <w:sz w:val="20"/>
          <w:szCs w:val="20"/>
        </w:rPr>
        <w:t>(formerly</w:t>
      </w:r>
      <w:r w:rsidR="00E05E75">
        <w:rPr>
          <w:rFonts w:hint="eastAsia"/>
          <w:sz w:val="20"/>
          <w:szCs w:val="20"/>
          <w:lang w:eastAsia="zh-CN"/>
        </w:rPr>
        <w:t xml:space="preserve"> </w:t>
      </w:r>
      <w:proofErr w:type="spellStart"/>
      <w:r w:rsidRPr="00E05E75">
        <w:rPr>
          <w:i/>
          <w:iCs/>
          <w:sz w:val="20"/>
          <w:szCs w:val="20"/>
        </w:rPr>
        <w:t>Trametes</w:t>
      </w:r>
      <w:proofErr w:type="spellEnd"/>
      <w:r w:rsidRPr="00E05E75">
        <w:rPr>
          <w:i/>
          <w:iCs/>
          <w:sz w:val="20"/>
          <w:szCs w:val="20"/>
        </w:rPr>
        <w:t xml:space="preserve"> </w:t>
      </w:r>
      <w:proofErr w:type="spellStart"/>
      <w:r w:rsidRPr="00E05E75">
        <w:rPr>
          <w:i/>
          <w:iCs/>
          <w:sz w:val="20"/>
          <w:szCs w:val="20"/>
        </w:rPr>
        <w:t>versicolor</w:t>
      </w:r>
      <w:proofErr w:type="spellEnd"/>
      <w:r w:rsidRPr="00E05E75">
        <w:rPr>
          <w:i/>
          <w:iCs/>
          <w:sz w:val="20"/>
          <w:szCs w:val="20"/>
        </w:rPr>
        <w:t xml:space="preserve">, </w:t>
      </w:r>
      <w:proofErr w:type="spellStart"/>
      <w:r w:rsidRPr="00E05E75">
        <w:rPr>
          <w:i/>
          <w:iCs/>
          <w:sz w:val="20"/>
          <w:szCs w:val="20"/>
        </w:rPr>
        <w:t>Polyporus</w:t>
      </w:r>
      <w:proofErr w:type="spellEnd"/>
      <w:r w:rsidRPr="00E05E75">
        <w:rPr>
          <w:i/>
          <w:iCs/>
          <w:sz w:val="20"/>
          <w:szCs w:val="20"/>
        </w:rPr>
        <w:t xml:space="preserve"> </w:t>
      </w:r>
      <w:proofErr w:type="spellStart"/>
      <w:r w:rsidRPr="00E05E75">
        <w:rPr>
          <w:i/>
          <w:iCs/>
          <w:sz w:val="20"/>
          <w:szCs w:val="20"/>
        </w:rPr>
        <w:t>versicolor</w:t>
      </w:r>
      <w:proofErr w:type="spellEnd"/>
      <w:r w:rsidRPr="00E05E75">
        <w:rPr>
          <w:sz w:val="20"/>
          <w:szCs w:val="20"/>
        </w:rPr>
        <w:t>)</w:t>
      </w:r>
      <w:r w:rsidR="00E05E75">
        <w:rPr>
          <w:sz w:val="20"/>
          <w:szCs w:val="20"/>
        </w:rPr>
        <w:t>,</w:t>
      </w:r>
      <w:r w:rsidRPr="00E05E75">
        <w:rPr>
          <w:sz w:val="20"/>
          <w:szCs w:val="20"/>
        </w:rPr>
        <w:t xml:space="preserve"> and Polysaccharide- </w:t>
      </w:r>
      <w:proofErr w:type="spellStart"/>
      <w:r w:rsidRPr="00E05E75">
        <w:rPr>
          <w:i/>
          <w:iCs/>
          <w:sz w:val="20"/>
          <w:szCs w:val="20"/>
        </w:rPr>
        <w:t>Coriolus</w:t>
      </w:r>
      <w:proofErr w:type="spellEnd"/>
      <w:r w:rsidRPr="00E05E75">
        <w:rPr>
          <w:i/>
          <w:iCs/>
          <w:sz w:val="20"/>
          <w:szCs w:val="20"/>
        </w:rPr>
        <w:t xml:space="preserve"> </w:t>
      </w:r>
      <w:proofErr w:type="spellStart"/>
      <w:r w:rsidRPr="00E05E75">
        <w:rPr>
          <w:i/>
          <w:iCs/>
          <w:sz w:val="20"/>
          <w:szCs w:val="20"/>
        </w:rPr>
        <w:t>versicolor</w:t>
      </w:r>
      <w:proofErr w:type="spellEnd"/>
      <w:r w:rsidRPr="00E05E75">
        <w:rPr>
          <w:i/>
          <w:iCs/>
          <w:sz w:val="20"/>
          <w:szCs w:val="20"/>
        </w:rPr>
        <w:t xml:space="preserve"> </w:t>
      </w:r>
      <w:r w:rsidRPr="00E05E75">
        <w:rPr>
          <w:sz w:val="20"/>
          <w:szCs w:val="20"/>
        </w:rPr>
        <w:t xml:space="preserve">(formerly </w:t>
      </w:r>
      <w:proofErr w:type="spellStart"/>
      <w:r w:rsidRPr="00E05E75">
        <w:rPr>
          <w:i/>
          <w:iCs/>
          <w:sz w:val="20"/>
          <w:szCs w:val="20"/>
        </w:rPr>
        <w:t>Trametes</w:t>
      </w:r>
      <w:proofErr w:type="spellEnd"/>
      <w:r w:rsidRPr="00E05E75">
        <w:rPr>
          <w:i/>
          <w:iCs/>
          <w:sz w:val="20"/>
          <w:szCs w:val="20"/>
        </w:rPr>
        <w:t xml:space="preserve"> </w:t>
      </w:r>
      <w:proofErr w:type="spellStart"/>
      <w:r w:rsidRPr="00E05E75">
        <w:rPr>
          <w:i/>
          <w:iCs/>
          <w:sz w:val="20"/>
          <w:szCs w:val="20"/>
        </w:rPr>
        <w:t>versicolor</w:t>
      </w:r>
      <w:proofErr w:type="spellEnd"/>
      <w:r w:rsidRPr="00E05E75">
        <w:rPr>
          <w:i/>
          <w:iCs/>
          <w:sz w:val="20"/>
          <w:szCs w:val="20"/>
        </w:rPr>
        <w:t xml:space="preserve">, </w:t>
      </w:r>
      <w:proofErr w:type="spellStart"/>
      <w:r w:rsidRPr="00E05E75">
        <w:rPr>
          <w:i/>
          <w:iCs/>
          <w:sz w:val="20"/>
          <w:szCs w:val="20"/>
        </w:rPr>
        <w:t>Polyporus</w:t>
      </w:r>
      <w:proofErr w:type="spellEnd"/>
      <w:r w:rsidRPr="00E05E75">
        <w:rPr>
          <w:i/>
          <w:iCs/>
          <w:sz w:val="20"/>
          <w:szCs w:val="20"/>
        </w:rPr>
        <w:t xml:space="preserve"> </w:t>
      </w:r>
      <w:proofErr w:type="spellStart"/>
      <w:r w:rsidRPr="00E05E75">
        <w:rPr>
          <w:i/>
          <w:iCs/>
          <w:sz w:val="20"/>
          <w:szCs w:val="20"/>
        </w:rPr>
        <w:t>versicolor</w:t>
      </w:r>
      <w:proofErr w:type="spellEnd"/>
      <w:r w:rsidRPr="00E05E75">
        <w:rPr>
          <w:sz w:val="20"/>
          <w:szCs w:val="20"/>
        </w:rPr>
        <w:t>)</w:t>
      </w:r>
      <w:r w:rsidR="00E05E75" w:rsidRPr="00E05E75">
        <w:rPr>
          <w:rFonts w:hint="eastAsia"/>
          <w:sz w:val="20"/>
          <w:szCs w:val="20"/>
          <w:lang w:eastAsia="zh-CN"/>
        </w:rPr>
        <w:t xml:space="preserve"> </w:t>
      </w:r>
      <w:r w:rsidRPr="00E05E75">
        <w:rPr>
          <w:sz w:val="20"/>
          <w:szCs w:val="20"/>
        </w:rPr>
        <w:t xml:space="preserve">P. Since </w:t>
      </w:r>
      <w:proofErr w:type="spellStart"/>
      <w:r w:rsidRPr="00E05E75">
        <w:rPr>
          <w:sz w:val="20"/>
          <w:szCs w:val="20"/>
        </w:rPr>
        <w:t>lentinan</w:t>
      </w:r>
      <w:proofErr w:type="spellEnd"/>
      <w:r w:rsidRPr="00E05E75">
        <w:rPr>
          <w:sz w:val="20"/>
          <w:szCs w:val="20"/>
        </w:rPr>
        <w:t xml:space="preserve"> and </w:t>
      </w:r>
      <w:proofErr w:type="spellStart"/>
      <w:r w:rsidRPr="00E05E75">
        <w:rPr>
          <w:sz w:val="20"/>
          <w:szCs w:val="20"/>
        </w:rPr>
        <w:t>schizophyllan</w:t>
      </w:r>
      <w:proofErr w:type="spellEnd"/>
      <w:r w:rsidRPr="00E05E75">
        <w:rPr>
          <w:sz w:val="20"/>
          <w:szCs w:val="20"/>
        </w:rPr>
        <w:t xml:space="preserve"> have limited oral bioavailability, and therefore fail to meet the definition of </w:t>
      </w:r>
      <w:proofErr w:type="spellStart"/>
      <w:r w:rsidRPr="00E05E75">
        <w:rPr>
          <w:sz w:val="20"/>
          <w:szCs w:val="20"/>
        </w:rPr>
        <w:t>immunoceutical</w:t>
      </w:r>
      <w:proofErr w:type="spellEnd"/>
      <w:r w:rsidRPr="00E05E75">
        <w:rPr>
          <w:sz w:val="20"/>
          <w:szCs w:val="20"/>
        </w:rPr>
        <w:t xml:space="preserve">, they will only be given a cursory review. AHCC and </w:t>
      </w:r>
      <w:proofErr w:type="spellStart"/>
      <w:r w:rsidRPr="00E05E75">
        <w:rPr>
          <w:sz w:val="20"/>
          <w:szCs w:val="20"/>
        </w:rPr>
        <w:t>Maitake</w:t>
      </w:r>
      <w:proofErr w:type="spellEnd"/>
      <w:r w:rsidRPr="00E05E75">
        <w:rPr>
          <w:sz w:val="20"/>
          <w:szCs w:val="20"/>
        </w:rPr>
        <w:t xml:space="preserve"> D-Fraction are still in the early stages of investigation. The remaining two have been subjected to in-depth application against cancers in humans (</w:t>
      </w:r>
      <w:r w:rsidRPr="00E05E75">
        <w:rPr>
          <w:bCs/>
          <w:sz w:val="20"/>
          <w:szCs w:val="20"/>
        </w:rPr>
        <w:t>Parris.</w:t>
      </w:r>
      <w:r w:rsidR="00E05E75" w:rsidRPr="00E05E75">
        <w:rPr>
          <w:rFonts w:hint="eastAsia"/>
          <w:bCs/>
          <w:sz w:val="20"/>
          <w:szCs w:val="20"/>
          <w:lang w:eastAsia="zh-CN"/>
        </w:rPr>
        <w:t xml:space="preserve"> </w:t>
      </w:r>
      <w:r w:rsidRPr="00E05E75">
        <w:rPr>
          <w:bCs/>
          <w:sz w:val="20"/>
          <w:szCs w:val="20"/>
        </w:rPr>
        <w:t>2000</w:t>
      </w:r>
      <w:r w:rsidR="00E05E75">
        <w:rPr>
          <w:sz w:val="20"/>
          <w:szCs w:val="20"/>
        </w:rPr>
        <w:t>)</w:t>
      </w:r>
      <w:r w:rsidRPr="00E05E75">
        <w:rPr>
          <w:sz w:val="20"/>
          <w:szCs w:val="20"/>
        </w:rPr>
        <w:t>.</w:t>
      </w:r>
    </w:p>
    <w:p w:rsidR="00177451" w:rsidRPr="00E05E75" w:rsidRDefault="00177451" w:rsidP="007B6A0C">
      <w:pPr>
        <w:autoSpaceDE w:val="0"/>
        <w:autoSpaceDN w:val="0"/>
        <w:adjustRightInd w:val="0"/>
        <w:snapToGrid w:val="0"/>
        <w:ind w:firstLine="425"/>
        <w:jc w:val="both"/>
        <w:rPr>
          <w:color w:val="131413"/>
          <w:sz w:val="20"/>
          <w:szCs w:val="20"/>
        </w:rPr>
      </w:pPr>
      <w:r w:rsidRPr="00E05E75">
        <w:rPr>
          <w:color w:val="000000"/>
          <w:sz w:val="20"/>
          <w:szCs w:val="20"/>
        </w:rPr>
        <w:t xml:space="preserve">The number of mushroom species on the </w:t>
      </w:r>
      <w:proofErr w:type="spellStart"/>
      <w:r w:rsidRPr="00E05E75">
        <w:rPr>
          <w:color w:val="000000"/>
          <w:sz w:val="20"/>
          <w:szCs w:val="20"/>
        </w:rPr>
        <w:t>earths</w:t>
      </w:r>
      <w:proofErr w:type="spellEnd"/>
      <w:r w:rsidRPr="00E05E75">
        <w:rPr>
          <w:color w:val="000000"/>
          <w:sz w:val="20"/>
          <w:szCs w:val="20"/>
        </w:rPr>
        <w:t xml:space="preserve"> estimated to be 140</w:t>
      </w:r>
      <w:r w:rsidR="00873DB4" w:rsidRPr="00E05E75">
        <w:rPr>
          <w:noProof/>
          <w:color w:val="000000"/>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 style="width:1.9pt;height:.65pt;visibility:visible">
            <v:imagedata r:id="rId12" o:title=" "/>
          </v:shape>
        </w:pict>
      </w:r>
      <w:r w:rsidRPr="00E05E75">
        <w:rPr>
          <w:color w:val="000000"/>
          <w:sz w:val="20"/>
          <w:szCs w:val="20"/>
        </w:rPr>
        <w:t xml:space="preserve">000, suggesting that only 10% are known. Assuming that the proportion of useful </w:t>
      </w:r>
      <w:r w:rsidRPr="00E05E75">
        <w:rPr>
          <w:color w:val="000000"/>
          <w:sz w:val="20"/>
          <w:szCs w:val="20"/>
        </w:rPr>
        <w:lastRenderedPageBreak/>
        <w:t>mushrooms among the undiscovered and unexamined mushrooms will be only 5%, which implies 7000 yet undiscovered species will be of possible benefit to mankind (</w:t>
      </w:r>
      <w:proofErr w:type="spellStart"/>
      <w:r w:rsidRPr="00E05E75">
        <w:rPr>
          <w:color w:val="000000"/>
          <w:sz w:val="20"/>
          <w:szCs w:val="20"/>
        </w:rPr>
        <w:t>Hawksworth</w:t>
      </w:r>
      <w:proofErr w:type="spellEnd"/>
      <w:r w:rsidRPr="00E05E75">
        <w:rPr>
          <w:color w:val="000000"/>
          <w:sz w:val="20"/>
          <w:szCs w:val="20"/>
        </w:rPr>
        <w:t xml:space="preserve"> 2001). </w:t>
      </w:r>
      <w:proofErr w:type="spellStart"/>
      <w:r w:rsidRPr="00E05E75">
        <w:rPr>
          <w:color w:val="000000"/>
          <w:sz w:val="20"/>
          <w:szCs w:val="20"/>
        </w:rPr>
        <w:t>Ghosh</w:t>
      </w:r>
      <w:proofErr w:type="spellEnd"/>
      <w:r w:rsidRPr="00E05E75">
        <w:rPr>
          <w:color w:val="000000"/>
          <w:sz w:val="20"/>
          <w:szCs w:val="20"/>
        </w:rPr>
        <w:t xml:space="preserve"> et al</w:t>
      </w:r>
      <w:r w:rsidR="00E05E75">
        <w:rPr>
          <w:color w:val="000000"/>
          <w:sz w:val="20"/>
          <w:szCs w:val="20"/>
        </w:rPr>
        <w:t xml:space="preserve"> </w:t>
      </w:r>
      <w:r w:rsidRPr="00E05E75">
        <w:rPr>
          <w:color w:val="000000"/>
          <w:sz w:val="20"/>
          <w:szCs w:val="20"/>
        </w:rPr>
        <w:t>(2012) reported 47 mushroom species</w:t>
      </w:r>
      <w:r w:rsidR="00E05E75">
        <w:rPr>
          <w:color w:val="000000"/>
          <w:sz w:val="20"/>
          <w:szCs w:val="20"/>
        </w:rPr>
        <w:t xml:space="preserve"> </w:t>
      </w:r>
      <w:r w:rsidRPr="00E05E75">
        <w:rPr>
          <w:color w:val="000000"/>
          <w:sz w:val="20"/>
          <w:szCs w:val="20"/>
        </w:rPr>
        <w:t xml:space="preserve">from West </w:t>
      </w:r>
      <w:proofErr w:type="gramStart"/>
      <w:r w:rsidRPr="00E05E75">
        <w:rPr>
          <w:color w:val="000000"/>
          <w:sz w:val="20"/>
          <w:szCs w:val="20"/>
        </w:rPr>
        <w:t>Bengal,</w:t>
      </w:r>
      <w:proofErr w:type="gramEnd"/>
      <w:r w:rsidR="00E05E75">
        <w:rPr>
          <w:color w:val="000000"/>
          <w:sz w:val="20"/>
          <w:szCs w:val="20"/>
        </w:rPr>
        <w:t xml:space="preserve"> </w:t>
      </w:r>
      <w:r w:rsidRPr="00E05E75">
        <w:rPr>
          <w:color w:val="000000"/>
          <w:sz w:val="20"/>
          <w:szCs w:val="20"/>
        </w:rPr>
        <w:t>Cancer is a leading cause of death worldwide. The current anti-cancer drugs available in market are not target specific and pose several side-effects and complications in clinical management of various forms of cancer, which highlights the urgent need for novel effective and less-toxic therapeutic approaches. In this context, some prized mushrooms with validated anti-cancer properties and their active compounds are of immense interest.</w:t>
      </w:r>
      <w:r w:rsidR="00E05E75">
        <w:rPr>
          <w:color w:val="131413"/>
          <w:sz w:val="20"/>
          <w:szCs w:val="20"/>
        </w:rPr>
        <w:t xml:space="preserve"> </w:t>
      </w:r>
      <w:proofErr w:type="spellStart"/>
      <w:r w:rsidRPr="00E05E75">
        <w:rPr>
          <w:color w:val="131413"/>
          <w:sz w:val="20"/>
          <w:szCs w:val="20"/>
        </w:rPr>
        <w:t>Ghosh</w:t>
      </w:r>
      <w:proofErr w:type="spellEnd"/>
      <w:r w:rsidRPr="00E05E75">
        <w:rPr>
          <w:color w:val="131413"/>
          <w:sz w:val="20"/>
          <w:szCs w:val="20"/>
        </w:rPr>
        <w:t xml:space="preserve"> (2014</w:t>
      </w:r>
      <w:r w:rsidR="00E05E75">
        <w:rPr>
          <w:color w:val="131413"/>
          <w:sz w:val="20"/>
          <w:szCs w:val="20"/>
        </w:rPr>
        <w:t>)</w:t>
      </w:r>
      <w:r w:rsidRPr="00E05E75">
        <w:rPr>
          <w:color w:val="131413"/>
          <w:sz w:val="20"/>
          <w:szCs w:val="20"/>
        </w:rPr>
        <w:t xml:space="preserve"> isolated polysaccharides and </w:t>
      </w:r>
      <w:proofErr w:type="spellStart"/>
      <w:r w:rsidRPr="00E05E75">
        <w:rPr>
          <w:color w:val="131413"/>
          <w:sz w:val="20"/>
          <w:szCs w:val="20"/>
        </w:rPr>
        <w:t>terpenoids</w:t>
      </w:r>
      <w:proofErr w:type="spellEnd"/>
      <w:r w:rsidRPr="00E05E75">
        <w:rPr>
          <w:color w:val="131413"/>
          <w:sz w:val="20"/>
          <w:szCs w:val="20"/>
        </w:rPr>
        <w:t xml:space="preserve"> from </w:t>
      </w:r>
      <w:proofErr w:type="spellStart"/>
      <w:r w:rsidRPr="00E05E75">
        <w:rPr>
          <w:color w:val="131413"/>
          <w:sz w:val="20"/>
          <w:szCs w:val="20"/>
        </w:rPr>
        <w:t>basidiomycota</w:t>
      </w:r>
      <w:proofErr w:type="spellEnd"/>
      <w:r w:rsidRPr="00E05E75">
        <w:rPr>
          <w:color w:val="131413"/>
          <w:sz w:val="20"/>
          <w:szCs w:val="20"/>
        </w:rPr>
        <w:t xml:space="preserve"> mushrooms and found their antimicrobial property, There are, however, still countries and regions that have not been studied for their diversity of mushrooms. This is particularly true in tropical regions of the world (</w:t>
      </w:r>
      <w:proofErr w:type="spellStart"/>
      <w:r w:rsidRPr="00E05E75">
        <w:rPr>
          <w:color w:val="131413"/>
          <w:sz w:val="20"/>
          <w:szCs w:val="20"/>
        </w:rPr>
        <w:t>Hawksworth</w:t>
      </w:r>
      <w:proofErr w:type="spellEnd"/>
      <w:r w:rsidRPr="00E05E75">
        <w:rPr>
          <w:color w:val="131413"/>
          <w:sz w:val="20"/>
          <w:szCs w:val="20"/>
        </w:rPr>
        <w:t xml:space="preserve"> </w:t>
      </w:r>
      <w:r w:rsidRPr="00E05E75">
        <w:rPr>
          <w:sz w:val="20"/>
          <w:szCs w:val="20"/>
        </w:rPr>
        <w:t>2001</w:t>
      </w:r>
      <w:r w:rsidRPr="00E05E75">
        <w:rPr>
          <w:color w:val="131413"/>
          <w:sz w:val="20"/>
          <w:szCs w:val="20"/>
        </w:rPr>
        <w:t xml:space="preserve">; Hyde </w:t>
      </w:r>
      <w:r w:rsidRPr="00E05E75">
        <w:rPr>
          <w:sz w:val="20"/>
          <w:szCs w:val="20"/>
        </w:rPr>
        <w:t>2001</w:t>
      </w:r>
      <w:r w:rsidRPr="00E05E75">
        <w:rPr>
          <w:color w:val="131413"/>
          <w:sz w:val="20"/>
          <w:szCs w:val="20"/>
        </w:rPr>
        <w:t xml:space="preserve">; </w:t>
      </w:r>
      <w:proofErr w:type="spellStart"/>
      <w:r w:rsidRPr="00E05E75">
        <w:rPr>
          <w:color w:val="131413"/>
          <w:sz w:val="20"/>
          <w:szCs w:val="20"/>
        </w:rPr>
        <w:t>Aly</w:t>
      </w:r>
      <w:proofErr w:type="spellEnd"/>
      <w:r w:rsidRPr="00E05E75">
        <w:rPr>
          <w:color w:val="131413"/>
          <w:sz w:val="20"/>
          <w:szCs w:val="20"/>
        </w:rPr>
        <w:t xml:space="preserve"> et</w:t>
      </w:r>
      <w:r w:rsidR="00E05E75">
        <w:rPr>
          <w:rFonts w:hint="eastAsia"/>
          <w:color w:val="131413"/>
          <w:sz w:val="20"/>
          <w:szCs w:val="20"/>
          <w:lang w:eastAsia="zh-CN"/>
        </w:rPr>
        <w:t xml:space="preserve"> </w:t>
      </w:r>
      <w:r w:rsidRPr="00E05E75">
        <w:rPr>
          <w:color w:val="131413"/>
          <w:sz w:val="20"/>
          <w:szCs w:val="20"/>
        </w:rPr>
        <w:t xml:space="preserve">al. </w:t>
      </w:r>
      <w:r w:rsidRPr="00E05E75">
        <w:rPr>
          <w:sz w:val="20"/>
          <w:szCs w:val="20"/>
        </w:rPr>
        <w:t>2010</w:t>
      </w:r>
      <w:r w:rsidRPr="00E05E75">
        <w:rPr>
          <w:color w:val="131413"/>
          <w:sz w:val="20"/>
          <w:szCs w:val="20"/>
        </w:rPr>
        <w:t xml:space="preserve">; </w:t>
      </w:r>
      <w:proofErr w:type="spellStart"/>
      <w:r w:rsidRPr="00E05E75">
        <w:rPr>
          <w:color w:val="131413"/>
          <w:sz w:val="20"/>
          <w:szCs w:val="20"/>
        </w:rPr>
        <w:t>Boonyanuphap</w:t>
      </w:r>
      <w:proofErr w:type="spellEnd"/>
      <w:r w:rsidRPr="00E05E75">
        <w:rPr>
          <w:color w:val="131413"/>
          <w:sz w:val="20"/>
          <w:szCs w:val="20"/>
        </w:rPr>
        <w:t xml:space="preserve"> and </w:t>
      </w:r>
      <w:proofErr w:type="spellStart"/>
      <w:r w:rsidRPr="00E05E75">
        <w:rPr>
          <w:color w:val="131413"/>
          <w:sz w:val="20"/>
          <w:szCs w:val="20"/>
        </w:rPr>
        <w:t>Hansawasdi</w:t>
      </w:r>
      <w:proofErr w:type="spellEnd"/>
      <w:r w:rsidRPr="00E05E75">
        <w:rPr>
          <w:color w:val="131413"/>
          <w:sz w:val="20"/>
          <w:szCs w:val="20"/>
        </w:rPr>
        <w:t xml:space="preserve"> </w:t>
      </w:r>
      <w:r w:rsidRPr="00E05E75">
        <w:rPr>
          <w:sz w:val="20"/>
          <w:szCs w:val="20"/>
        </w:rPr>
        <w:t>2010</w:t>
      </w:r>
      <w:r w:rsidRPr="00E05E75">
        <w:rPr>
          <w:color w:val="131413"/>
          <w:sz w:val="20"/>
          <w:szCs w:val="20"/>
        </w:rPr>
        <w:t>). There is a need to explore tropical countries for the presence of mushrooms and to assay their bioactive metabolites that can be used as possible remedies for cancer treatments.</w:t>
      </w:r>
    </w:p>
    <w:p w:rsidR="00B562FD" w:rsidRPr="00E05E75" w:rsidRDefault="00177451" w:rsidP="007B6A0C">
      <w:pPr>
        <w:autoSpaceDE w:val="0"/>
        <w:autoSpaceDN w:val="0"/>
        <w:adjustRightInd w:val="0"/>
        <w:snapToGrid w:val="0"/>
        <w:ind w:firstLine="425"/>
        <w:jc w:val="both"/>
        <w:rPr>
          <w:color w:val="000000"/>
          <w:sz w:val="20"/>
          <w:szCs w:val="20"/>
        </w:rPr>
      </w:pPr>
      <w:proofErr w:type="spellStart"/>
      <w:r w:rsidRPr="00E05E75">
        <w:rPr>
          <w:sz w:val="20"/>
          <w:szCs w:val="20"/>
        </w:rPr>
        <w:t>Cytotoxicity</w:t>
      </w:r>
      <w:proofErr w:type="spellEnd"/>
      <w:r w:rsidRPr="00E05E75">
        <w:rPr>
          <w:sz w:val="20"/>
          <w:szCs w:val="20"/>
        </w:rPr>
        <w:t xml:space="preserve"> has been defined as the cell killing property of a chemical compound independent from the mechanism of death (Graham-Evans </w:t>
      </w:r>
      <w:r w:rsidRPr="00E05E75">
        <w:rPr>
          <w:i/>
          <w:iCs/>
          <w:sz w:val="20"/>
          <w:szCs w:val="20"/>
        </w:rPr>
        <w:t>et al</w:t>
      </w:r>
      <w:r w:rsidRPr="00E05E75">
        <w:rPr>
          <w:sz w:val="20"/>
          <w:szCs w:val="20"/>
        </w:rPr>
        <w:t xml:space="preserve">., 2003). </w:t>
      </w:r>
      <w:proofErr w:type="spellStart"/>
      <w:r w:rsidRPr="00E05E75">
        <w:rPr>
          <w:sz w:val="20"/>
          <w:szCs w:val="20"/>
        </w:rPr>
        <w:t>Cytotoxicity</w:t>
      </w:r>
      <w:proofErr w:type="spellEnd"/>
      <w:r w:rsidRPr="00E05E75">
        <w:rPr>
          <w:sz w:val="20"/>
          <w:szCs w:val="20"/>
        </w:rPr>
        <w:t xml:space="preserve"> assay is an appropriate method for screening new substances within a short time in order to determine </w:t>
      </w:r>
      <w:proofErr w:type="spellStart"/>
      <w:r w:rsidRPr="00E05E75">
        <w:rPr>
          <w:sz w:val="20"/>
          <w:szCs w:val="20"/>
        </w:rPr>
        <w:t>cytotoxicity</w:t>
      </w:r>
      <w:proofErr w:type="spellEnd"/>
      <w:r w:rsidRPr="00E05E75">
        <w:rPr>
          <w:sz w:val="20"/>
          <w:szCs w:val="20"/>
        </w:rPr>
        <w:t xml:space="preserve"> on cancer cells (Alley </w:t>
      </w:r>
      <w:r w:rsidRPr="00E05E75">
        <w:rPr>
          <w:i/>
          <w:iCs/>
          <w:sz w:val="20"/>
          <w:szCs w:val="20"/>
        </w:rPr>
        <w:t>et al</w:t>
      </w:r>
      <w:r w:rsidRPr="00E05E75">
        <w:rPr>
          <w:sz w:val="20"/>
          <w:szCs w:val="20"/>
        </w:rPr>
        <w:t xml:space="preserve">., </w:t>
      </w:r>
      <w:r w:rsidRPr="00E05E75">
        <w:rPr>
          <w:sz w:val="20"/>
          <w:szCs w:val="20"/>
        </w:rPr>
        <w:lastRenderedPageBreak/>
        <w:t xml:space="preserve">1988). Usually in oncology research and clinical </w:t>
      </w:r>
      <w:r w:rsidR="00B562FD" w:rsidRPr="00E05E75">
        <w:rPr>
          <w:sz w:val="20"/>
          <w:szCs w:val="20"/>
        </w:rPr>
        <w:t xml:space="preserve">practices, </w:t>
      </w:r>
      <w:r w:rsidR="00B562FD" w:rsidRPr="00E05E75">
        <w:rPr>
          <w:i/>
          <w:iCs/>
          <w:sz w:val="20"/>
          <w:szCs w:val="20"/>
        </w:rPr>
        <w:t xml:space="preserve">in vitro </w:t>
      </w:r>
      <w:r w:rsidR="00B562FD" w:rsidRPr="00E05E75">
        <w:rPr>
          <w:sz w:val="20"/>
          <w:szCs w:val="20"/>
        </w:rPr>
        <w:t xml:space="preserve">testing is preferred prior to </w:t>
      </w:r>
      <w:r w:rsidR="00B562FD" w:rsidRPr="00E05E75">
        <w:rPr>
          <w:i/>
          <w:iCs/>
          <w:sz w:val="20"/>
          <w:szCs w:val="20"/>
        </w:rPr>
        <w:t xml:space="preserve">in vivo </w:t>
      </w:r>
      <w:r w:rsidR="00B562FD" w:rsidRPr="00E05E75">
        <w:rPr>
          <w:sz w:val="20"/>
          <w:szCs w:val="20"/>
        </w:rPr>
        <w:t xml:space="preserve">testing. </w:t>
      </w:r>
      <w:r w:rsidR="00B562FD" w:rsidRPr="00E05E75">
        <w:rPr>
          <w:i/>
          <w:iCs/>
          <w:sz w:val="20"/>
          <w:szCs w:val="20"/>
        </w:rPr>
        <w:t xml:space="preserve">In vitro </w:t>
      </w:r>
      <w:r w:rsidR="00B562FD" w:rsidRPr="00E05E75">
        <w:rPr>
          <w:sz w:val="20"/>
          <w:szCs w:val="20"/>
        </w:rPr>
        <w:t>cultures can be cultivated under a controlled environment (pH, temperature, humidity, oxygen / CO</w:t>
      </w:r>
      <w:r w:rsidR="00B562FD" w:rsidRPr="00E05E75">
        <w:rPr>
          <w:sz w:val="20"/>
          <w:szCs w:val="20"/>
          <w:vertAlign w:val="subscript"/>
        </w:rPr>
        <w:t>2</w:t>
      </w:r>
      <w:r w:rsidR="00B562FD" w:rsidRPr="00E05E75">
        <w:rPr>
          <w:sz w:val="20"/>
          <w:szCs w:val="20"/>
        </w:rPr>
        <w:t xml:space="preserve"> balance etc.) resulting </w:t>
      </w:r>
      <w:proofErr w:type="gramStart"/>
      <w:r w:rsidR="00B562FD" w:rsidRPr="00E05E75">
        <w:rPr>
          <w:sz w:val="20"/>
          <w:szCs w:val="20"/>
        </w:rPr>
        <w:t>in a homogenous batches</w:t>
      </w:r>
      <w:proofErr w:type="gramEnd"/>
      <w:r w:rsidR="00B562FD" w:rsidRPr="00E05E75">
        <w:rPr>
          <w:sz w:val="20"/>
          <w:szCs w:val="20"/>
        </w:rPr>
        <w:t xml:space="preserve"> of cells and thus minimizing experimental errors. MTT assay has been described as rapid, simple and reproducible method, widely used in the screening of anticancer drugs and to measure the </w:t>
      </w:r>
      <w:proofErr w:type="spellStart"/>
      <w:r w:rsidR="00B562FD" w:rsidRPr="00E05E75">
        <w:rPr>
          <w:sz w:val="20"/>
          <w:szCs w:val="20"/>
        </w:rPr>
        <w:t>cytotoxic</w:t>
      </w:r>
      <w:proofErr w:type="spellEnd"/>
      <w:r w:rsidR="00B562FD" w:rsidRPr="00E05E75">
        <w:rPr>
          <w:sz w:val="20"/>
          <w:szCs w:val="20"/>
        </w:rPr>
        <w:t xml:space="preserve"> properties. Hence in the current study, the </w:t>
      </w:r>
      <w:proofErr w:type="spellStart"/>
      <w:r w:rsidR="00B562FD" w:rsidRPr="00E05E75">
        <w:rPr>
          <w:sz w:val="20"/>
          <w:szCs w:val="20"/>
        </w:rPr>
        <w:t>cytotoxic</w:t>
      </w:r>
      <w:proofErr w:type="spellEnd"/>
      <w:r w:rsidR="00B562FD" w:rsidRPr="00E05E75">
        <w:rPr>
          <w:sz w:val="20"/>
          <w:szCs w:val="20"/>
        </w:rPr>
        <w:t xml:space="preserve"> </w:t>
      </w:r>
      <w:proofErr w:type="gramStart"/>
      <w:r w:rsidR="00B562FD" w:rsidRPr="00E05E75">
        <w:rPr>
          <w:sz w:val="20"/>
          <w:szCs w:val="20"/>
        </w:rPr>
        <w:t xml:space="preserve">properties of </w:t>
      </w:r>
      <w:r w:rsidR="00B562FD" w:rsidRPr="00E05E75">
        <w:rPr>
          <w:i/>
          <w:iCs/>
          <w:sz w:val="20"/>
          <w:szCs w:val="20"/>
        </w:rPr>
        <w:t>C.</w:t>
      </w:r>
      <w:r w:rsidR="00E05E75">
        <w:rPr>
          <w:rFonts w:hint="eastAsia"/>
          <w:i/>
          <w:iCs/>
          <w:sz w:val="20"/>
          <w:szCs w:val="20"/>
          <w:lang w:eastAsia="zh-CN"/>
        </w:rPr>
        <w:t xml:space="preserve"> </w:t>
      </w:r>
      <w:proofErr w:type="spellStart"/>
      <w:r w:rsidR="00B562FD" w:rsidRPr="00E05E75">
        <w:rPr>
          <w:i/>
          <w:iCs/>
          <w:sz w:val="20"/>
          <w:szCs w:val="20"/>
        </w:rPr>
        <w:t>indica</w:t>
      </w:r>
      <w:proofErr w:type="spellEnd"/>
      <w:r w:rsidR="00B562FD" w:rsidRPr="00E05E75">
        <w:rPr>
          <w:i/>
          <w:iCs/>
          <w:sz w:val="20"/>
          <w:szCs w:val="20"/>
        </w:rPr>
        <w:t xml:space="preserve"> </w:t>
      </w:r>
      <w:r w:rsidR="00B562FD" w:rsidRPr="00E05E75">
        <w:rPr>
          <w:sz w:val="20"/>
          <w:szCs w:val="20"/>
        </w:rPr>
        <w:t>was</w:t>
      </w:r>
      <w:proofErr w:type="gramEnd"/>
      <w:r w:rsidR="00B562FD" w:rsidRPr="00E05E75">
        <w:rPr>
          <w:sz w:val="20"/>
          <w:szCs w:val="20"/>
        </w:rPr>
        <w:t xml:space="preserve"> evaluated using this assay.</w:t>
      </w:r>
    </w:p>
    <w:p w:rsidR="00B562FD" w:rsidRPr="00E05E75" w:rsidRDefault="00B562FD" w:rsidP="007B6A0C">
      <w:pPr>
        <w:autoSpaceDE w:val="0"/>
        <w:autoSpaceDN w:val="0"/>
        <w:adjustRightInd w:val="0"/>
        <w:snapToGrid w:val="0"/>
        <w:ind w:firstLine="425"/>
        <w:jc w:val="both"/>
        <w:rPr>
          <w:color w:val="000000"/>
          <w:sz w:val="20"/>
          <w:szCs w:val="20"/>
        </w:rPr>
      </w:pPr>
      <w:r w:rsidRPr="00E05E75">
        <w:rPr>
          <w:color w:val="000000"/>
          <w:sz w:val="20"/>
          <w:szCs w:val="20"/>
        </w:rPr>
        <w:t>Therefore, the objective of this work</w:t>
      </w:r>
      <w:r w:rsidR="00E05E75">
        <w:rPr>
          <w:color w:val="000000"/>
          <w:sz w:val="20"/>
          <w:szCs w:val="20"/>
        </w:rPr>
        <w:t xml:space="preserve"> </w:t>
      </w:r>
      <w:r w:rsidRPr="00E05E75">
        <w:rPr>
          <w:color w:val="000000"/>
          <w:sz w:val="20"/>
          <w:szCs w:val="20"/>
        </w:rPr>
        <w:t xml:space="preserve">is to bioassay of </w:t>
      </w:r>
      <w:proofErr w:type="spellStart"/>
      <w:r w:rsidRPr="00E05E75">
        <w:rPr>
          <w:i/>
          <w:sz w:val="20"/>
          <w:szCs w:val="20"/>
        </w:rPr>
        <w:t>Calocybe</w:t>
      </w:r>
      <w:proofErr w:type="spellEnd"/>
      <w:r w:rsidRPr="00E05E75">
        <w:rPr>
          <w:i/>
          <w:sz w:val="20"/>
          <w:szCs w:val="20"/>
        </w:rPr>
        <w:t xml:space="preserve"> </w:t>
      </w:r>
      <w:proofErr w:type="spellStart"/>
      <w:r w:rsidRPr="00E05E75">
        <w:rPr>
          <w:i/>
          <w:sz w:val="20"/>
          <w:szCs w:val="20"/>
        </w:rPr>
        <w:t>indica</w:t>
      </w:r>
      <w:proofErr w:type="spellEnd"/>
      <w:r w:rsidRPr="00E05E75">
        <w:rPr>
          <w:sz w:val="20"/>
          <w:szCs w:val="20"/>
        </w:rPr>
        <w:t xml:space="preserve"> mushroom</w:t>
      </w:r>
      <w:r w:rsidR="00E05E75">
        <w:rPr>
          <w:sz w:val="20"/>
          <w:szCs w:val="20"/>
        </w:rPr>
        <w:t xml:space="preserve"> </w:t>
      </w:r>
      <w:r w:rsidRPr="00E05E75">
        <w:rPr>
          <w:sz w:val="20"/>
          <w:szCs w:val="20"/>
        </w:rPr>
        <w:t>as anticancer agent against two cancer cell lines in vitro</w:t>
      </w:r>
      <w:r w:rsidR="00E05E75">
        <w:rPr>
          <w:sz w:val="20"/>
          <w:szCs w:val="20"/>
        </w:rPr>
        <w:t>.</w:t>
      </w:r>
    </w:p>
    <w:p w:rsidR="00B562FD" w:rsidRPr="00E05E75" w:rsidRDefault="00B562FD" w:rsidP="007B6A0C">
      <w:pPr>
        <w:autoSpaceDE w:val="0"/>
        <w:autoSpaceDN w:val="0"/>
        <w:adjustRightInd w:val="0"/>
        <w:snapToGrid w:val="0"/>
        <w:ind w:firstLine="425"/>
        <w:jc w:val="both"/>
        <w:rPr>
          <w:color w:val="000000"/>
          <w:sz w:val="20"/>
          <w:szCs w:val="20"/>
        </w:rPr>
      </w:pPr>
    </w:p>
    <w:p w:rsidR="00B562FD" w:rsidRPr="00E05E75" w:rsidRDefault="00B562FD" w:rsidP="007B6A0C">
      <w:pPr>
        <w:autoSpaceDE w:val="0"/>
        <w:autoSpaceDN w:val="0"/>
        <w:adjustRightInd w:val="0"/>
        <w:snapToGrid w:val="0"/>
        <w:jc w:val="both"/>
        <w:rPr>
          <w:color w:val="000000"/>
          <w:sz w:val="20"/>
          <w:szCs w:val="20"/>
        </w:rPr>
      </w:pPr>
      <w:r w:rsidRPr="00E05E75">
        <w:rPr>
          <w:b/>
          <w:color w:val="000000"/>
          <w:sz w:val="20"/>
          <w:szCs w:val="20"/>
        </w:rPr>
        <w:t>2.</w:t>
      </w:r>
      <w:r w:rsidR="00600A78" w:rsidRPr="00E05E75">
        <w:rPr>
          <w:rFonts w:hint="eastAsia"/>
          <w:b/>
          <w:color w:val="000000"/>
          <w:sz w:val="20"/>
          <w:szCs w:val="20"/>
          <w:lang w:eastAsia="zh-CN"/>
        </w:rPr>
        <w:t xml:space="preserve"> </w:t>
      </w:r>
      <w:r w:rsidRPr="00E05E75">
        <w:rPr>
          <w:b/>
          <w:color w:val="000000"/>
          <w:sz w:val="20"/>
          <w:szCs w:val="20"/>
        </w:rPr>
        <w:t>Materials and Methods</w:t>
      </w:r>
    </w:p>
    <w:p w:rsidR="00B562FD" w:rsidRPr="00E05E75" w:rsidRDefault="00B562FD" w:rsidP="007B6A0C">
      <w:pPr>
        <w:autoSpaceDE w:val="0"/>
        <w:autoSpaceDN w:val="0"/>
        <w:adjustRightInd w:val="0"/>
        <w:snapToGrid w:val="0"/>
        <w:jc w:val="both"/>
        <w:rPr>
          <w:b/>
          <w:color w:val="000000"/>
          <w:sz w:val="20"/>
          <w:szCs w:val="20"/>
        </w:rPr>
      </w:pPr>
      <w:r w:rsidRPr="00E05E75">
        <w:rPr>
          <w:b/>
          <w:color w:val="000000"/>
          <w:sz w:val="20"/>
          <w:szCs w:val="20"/>
        </w:rPr>
        <w:t>Mushroom collection</w:t>
      </w:r>
      <w:r w:rsidR="00E05E75">
        <w:rPr>
          <w:b/>
          <w:color w:val="000000"/>
          <w:sz w:val="20"/>
          <w:szCs w:val="20"/>
        </w:rPr>
        <w:t xml:space="preserve"> </w:t>
      </w:r>
      <w:r w:rsidRPr="00E05E75">
        <w:rPr>
          <w:b/>
          <w:color w:val="000000"/>
          <w:sz w:val="20"/>
          <w:szCs w:val="20"/>
        </w:rPr>
        <w:t>and identification</w:t>
      </w:r>
    </w:p>
    <w:p w:rsidR="00B562FD" w:rsidRDefault="00B562FD" w:rsidP="007B6A0C">
      <w:pPr>
        <w:autoSpaceDE w:val="0"/>
        <w:autoSpaceDN w:val="0"/>
        <w:adjustRightInd w:val="0"/>
        <w:snapToGrid w:val="0"/>
        <w:ind w:firstLine="425"/>
        <w:jc w:val="both"/>
        <w:rPr>
          <w:rFonts w:hint="eastAsia"/>
          <w:color w:val="000000"/>
          <w:sz w:val="20"/>
          <w:szCs w:val="20"/>
          <w:lang w:eastAsia="zh-CN"/>
        </w:rPr>
      </w:pPr>
      <w:r w:rsidRPr="00E05E75">
        <w:rPr>
          <w:color w:val="000000"/>
          <w:sz w:val="20"/>
          <w:szCs w:val="20"/>
        </w:rPr>
        <w:t>The wild fruit bodies /</w:t>
      </w:r>
      <w:proofErr w:type="spellStart"/>
      <w:r w:rsidRPr="00E05E75">
        <w:rPr>
          <w:color w:val="000000"/>
          <w:sz w:val="20"/>
          <w:szCs w:val="20"/>
        </w:rPr>
        <w:t>basidiocarps</w:t>
      </w:r>
      <w:proofErr w:type="spellEnd"/>
      <w:r w:rsidR="00E05E75">
        <w:rPr>
          <w:color w:val="000000"/>
          <w:sz w:val="20"/>
          <w:szCs w:val="20"/>
        </w:rPr>
        <w:t xml:space="preserve"> </w:t>
      </w:r>
      <w:r w:rsidRPr="00E05E75">
        <w:rPr>
          <w:color w:val="000000"/>
          <w:sz w:val="20"/>
          <w:szCs w:val="20"/>
        </w:rPr>
        <w:t>was collected in August 2014</w:t>
      </w:r>
      <w:r w:rsidR="00E05E75">
        <w:rPr>
          <w:color w:val="000000"/>
          <w:sz w:val="20"/>
          <w:szCs w:val="20"/>
        </w:rPr>
        <w:t xml:space="preserve"> </w:t>
      </w:r>
      <w:r w:rsidRPr="00E05E75">
        <w:rPr>
          <w:color w:val="000000"/>
          <w:sz w:val="20"/>
          <w:szCs w:val="20"/>
        </w:rPr>
        <w:t>from Badu</w:t>
      </w:r>
      <w:r w:rsidR="00E05E75">
        <w:rPr>
          <w:color w:val="000000"/>
          <w:sz w:val="20"/>
          <w:szCs w:val="20"/>
        </w:rPr>
        <w:t xml:space="preserve"> </w:t>
      </w:r>
      <w:r w:rsidRPr="00E05E75">
        <w:rPr>
          <w:color w:val="000000"/>
          <w:sz w:val="20"/>
          <w:szCs w:val="20"/>
        </w:rPr>
        <w:t xml:space="preserve">regions of </w:t>
      </w:r>
      <w:proofErr w:type="spellStart"/>
      <w:r w:rsidRPr="00E05E75">
        <w:rPr>
          <w:color w:val="000000"/>
          <w:sz w:val="20"/>
          <w:szCs w:val="20"/>
        </w:rPr>
        <w:t>Barasat</w:t>
      </w:r>
      <w:proofErr w:type="spellEnd"/>
      <w:r w:rsidR="00E05E75">
        <w:rPr>
          <w:color w:val="000000"/>
          <w:sz w:val="20"/>
          <w:szCs w:val="20"/>
        </w:rPr>
        <w:t xml:space="preserve"> </w:t>
      </w:r>
      <w:r w:rsidRPr="00E05E75">
        <w:rPr>
          <w:color w:val="000000"/>
          <w:sz w:val="20"/>
          <w:szCs w:val="20"/>
        </w:rPr>
        <w:t>District, 24 –</w:t>
      </w:r>
      <w:proofErr w:type="spellStart"/>
      <w:r w:rsidRPr="00E05E75">
        <w:rPr>
          <w:color w:val="000000"/>
          <w:sz w:val="20"/>
          <w:szCs w:val="20"/>
        </w:rPr>
        <w:t>Parganas</w:t>
      </w:r>
      <w:proofErr w:type="spellEnd"/>
      <w:r w:rsidRPr="00E05E75">
        <w:rPr>
          <w:color w:val="000000"/>
          <w:sz w:val="20"/>
          <w:szCs w:val="20"/>
        </w:rPr>
        <w:t>, India and carried to Laboratory in biodegradable polythene bags. Their color</w:t>
      </w:r>
      <w:r w:rsidR="00E05E75">
        <w:rPr>
          <w:color w:val="000000"/>
          <w:sz w:val="20"/>
          <w:szCs w:val="20"/>
        </w:rPr>
        <w:t>,</w:t>
      </w:r>
      <w:r w:rsidRPr="00E05E75">
        <w:rPr>
          <w:color w:val="000000"/>
          <w:sz w:val="20"/>
          <w:szCs w:val="20"/>
        </w:rPr>
        <w:t xml:space="preserve"> size</w:t>
      </w:r>
      <w:r w:rsidR="00E05E75">
        <w:rPr>
          <w:color w:val="000000"/>
          <w:sz w:val="20"/>
          <w:szCs w:val="20"/>
        </w:rPr>
        <w:t>,</w:t>
      </w:r>
      <w:r w:rsidRPr="00E05E75">
        <w:rPr>
          <w:color w:val="000000"/>
          <w:sz w:val="20"/>
          <w:szCs w:val="20"/>
        </w:rPr>
        <w:t xml:space="preserve"> shape and attachment to the substrates were recorded</w:t>
      </w:r>
      <w:r w:rsidR="00E05E75">
        <w:rPr>
          <w:color w:val="000000"/>
          <w:sz w:val="20"/>
          <w:szCs w:val="20"/>
        </w:rPr>
        <w:t>.</w:t>
      </w:r>
      <w:r w:rsidR="00E05E75">
        <w:rPr>
          <w:rFonts w:hint="eastAsia"/>
          <w:color w:val="000000"/>
          <w:sz w:val="20"/>
          <w:szCs w:val="20"/>
          <w:lang w:eastAsia="zh-CN"/>
        </w:rPr>
        <w:t xml:space="preserve"> </w:t>
      </w:r>
      <w:r w:rsidRPr="00E05E75">
        <w:rPr>
          <w:color w:val="000000"/>
          <w:sz w:val="20"/>
          <w:szCs w:val="20"/>
        </w:rPr>
        <w:t xml:space="preserve">Some biochemical tests were conducted and morphological and anatomical </w:t>
      </w:r>
      <w:proofErr w:type="gramStart"/>
      <w:r w:rsidRPr="00E05E75">
        <w:rPr>
          <w:color w:val="000000"/>
          <w:sz w:val="20"/>
          <w:szCs w:val="20"/>
        </w:rPr>
        <w:t>observation were</w:t>
      </w:r>
      <w:proofErr w:type="gramEnd"/>
      <w:r w:rsidRPr="00E05E75">
        <w:rPr>
          <w:color w:val="000000"/>
          <w:sz w:val="20"/>
          <w:szCs w:val="20"/>
        </w:rPr>
        <w:t xml:space="preserve"> noted as per</w:t>
      </w:r>
      <w:r w:rsidR="00E05E75">
        <w:rPr>
          <w:color w:val="000000"/>
          <w:sz w:val="20"/>
          <w:szCs w:val="20"/>
        </w:rPr>
        <w:t xml:space="preserve"> </w:t>
      </w:r>
      <w:r w:rsidRPr="00E05E75">
        <w:rPr>
          <w:color w:val="000000"/>
          <w:sz w:val="20"/>
          <w:szCs w:val="20"/>
        </w:rPr>
        <w:t>published</w:t>
      </w:r>
      <w:r w:rsidR="00E05E75">
        <w:rPr>
          <w:color w:val="000000"/>
          <w:sz w:val="20"/>
          <w:szCs w:val="20"/>
        </w:rPr>
        <w:t xml:space="preserve"> </w:t>
      </w:r>
      <w:r w:rsidRPr="00E05E75">
        <w:rPr>
          <w:color w:val="000000"/>
          <w:sz w:val="20"/>
          <w:szCs w:val="20"/>
        </w:rPr>
        <w:t xml:space="preserve">keys of mushrooms. The mushrooms were </w:t>
      </w:r>
      <w:proofErr w:type="spellStart"/>
      <w:r w:rsidRPr="00E05E75">
        <w:rPr>
          <w:color w:val="000000"/>
          <w:sz w:val="20"/>
          <w:szCs w:val="20"/>
        </w:rPr>
        <w:t>phenotypical</w:t>
      </w:r>
      <w:proofErr w:type="spellEnd"/>
      <w:r w:rsidRPr="00E05E75">
        <w:rPr>
          <w:color w:val="000000"/>
          <w:sz w:val="20"/>
          <w:szCs w:val="20"/>
        </w:rPr>
        <w:t xml:space="preserve"> identified consulting with published keys</w:t>
      </w:r>
      <w:r w:rsidR="00E05E75">
        <w:rPr>
          <w:color w:val="000000"/>
          <w:sz w:val="20"/>
          <w:szCs w:val="20"/>
        </w:rPr>
        <w:t>.</w:t>
      </w:r>
    </w:p>
    <w:p w:rsidR="00C34190" w:rsidRPr="00E05E75" w:rsidRDefault="00C34190" w:rsidP="007B6A0C">
      <w:pPr>
        <w:autoSpaceDE w:val="0"/>
        <w:autoSpaceDN w:val="0"/>
        <w:adjustRightInd w:val="0"/>
        <w:snapToGrid w:val="0"/>
        <w:ind w:firstLine="425"/>
        <w:jc w:val="both"/>
        <w:rPr>
          <w:rFonts w:hint="eastAsia"/>
          <w:color w:val="000000"/>
          <w:sz w:val="20"/>
          <w:szCs w:val="20"/>
          <w:lang w:eastAsia="zh-CN"/>
        </w:rPr>
      </w:pPr>
    </w:p>
    <w:p w:rsidR="00B562FD" w:rsidRPr="00E05E75" w:rsidRDefault="00B562FD" w:rsidP="007B6A0C">
      <w:pPr>
        <w:autoSpaceDE w:val="0"/>
        <w:autoSpaceDN w:val="0"/>
        <w:adjustRightInd w:val="0"/>
        <w:snapToGrid w:val="0"/>
        <w:jc w:val="both"/>
        <w:rPr>
          <w:b/>
          <w:color w:val="000000"/>
          <w:sz w:val="20"/>
          <w:szCs w:val="20"/>
        </w:rPr>
      </w:pPr>
      <w:r w:rsidRPr="00E05E75">
        <w:rPr>
          <w:b/>
          <w:color w:val="000000"/>
          <w:sz w:val="20"/>
          <w:szCs w:val="20"/>
        </w:rPr>
        <w:t>Extraction</w:t>
      </w:r>
    </w:p>
    <w:p w:rsidR="00B562FD" w:rsidRDefault="00B562FD" w:rsidP="007B6A0C">
      <w:pPr>
        <w:autoSpaceDE w:val="0"/>
        <w:autoSpaceDN w:val="0"/>
        <w:adjustRightInd w:val="0"/>
        <w:snapToGrid w:val="0"/>
        <w:ind w:firstLine="425"/>
        <w:jc w:val="both"/>
        <w:rPr>
          <w:rFonts w:hint="eastAsia"/>
          <w:color w:val="000000"/>
          <w:sz w:val="20"/>
          <w:szCs w:val="20"/>
          <w:lang w:eastAsia="zh-CN"/>
        </w:rPr>
      </w:pPr>
      <w:r w:rsidRPr="00E05E75">
        <w:rPr>
          <w:color w:val="000000"/>
          <w:sz w:val="20"/>
          <w:szCs w:val="20"/>
        </w:rPr>
        <w:t>The collected fruit bodies were dried in oven at 60</w:t>
      </w:r>
      <w:r w:rsidRPr="00E05E75">
        <w:rPr>
          <w:color w:val="000000"/>
          <w:sz w:val="20"/>
          <w:szCs w:val="20"/>
          <w:vertAlign w:val="superscript"/>
        </w:rPr>
        <w:t>0</w:t>
      </w:r>
      <w:r w:rsidRPr="00E05E75">
        <w:rPr>
          <w:color w:val="000000"/>
          <w:sz w:val="20"/>
          <w:szCs w:val="20"/>
        </w:rPr>
        <w:t>C</w:t>
      </w:r>
      <w:r w:rsidR="00E05E75">
        <w:rPr>
          <w:color w:val="000000"/>
          <w:sz w:val="20"/>
          <w:szCs w:val="20"/>
        </w:rPr>
        <w:t xml:space="preserve"> </w:t>
      </w:r>
      <w:r w:rsidRPr="00E05E75">
        <w:rPr>
          <w:color w:val="000000"/>
          <w:sz w:val="20"/>
          <w:szCs w:val="20"/>
        </w:rPr>
        <w:t>for two days. The dried fruit bodies were cut in to pieces, and</w:t>
      </w:r>
      <w:r w:rsidRPr="00E05E75">
        <w:rPr>
          <w:sz w:val="20"/>
          <w:szCs w:val="20"/>
        </w:rPr>
        <w:t xml:space="preserve"> were then ground to powder using mortar and pestle. The</w:t>
      </w:r>
      <w:r w:rsidR="00E05E75">
        <w:rPr>
          <w:sz w:val="20"/>
          <w:szCs w:val="20"/>
        </w:rPr>
        <w:t xml:space="preserve"> </w:t>
      </w:r>
      <w:r w:rsidRPr="00E05E75">
        <w:rPr>
          <w:color w:val="000000"/>
          <w:sz w:val="20"/>
          <w:szCs w:val="20"/>
        </w:rPr>
        <w:t>powders were</w:t>
      </w:r>
      <w:r w:rsidR="00E05E75">
        <w:rPr>
          <w:color w:val="000000"/>
          <w:sz w:val="20"/>
          <w:szCs w:val="20"/>
        </w:rPr>
        <w:t xml:space="preserve"> </w:t>
      </w:r>
      <w:r w:rsidRPr="00E05E75">
        <w:rPr>
          <w:color w:val="000000"/>
          <w:sz w:val="20"/>
          <w:szCs w:val="20"/>
        </w:rPr>
        <w:t>extracted with two types of solvents (distilled water or methanol).</w:t>
      </w:r>
      <w:r w:rsidR="00E05E75">
        <w:rPr>
          <w:rFonts w:hint="eastAsia"/>
          <w:color w:val="000000"/>
          <w:sz w:val="20"/>
          <w:szCs w:val="20"/>
          <w:lang w:eastAsia="zh-CN"/>
        </w:rPr>
        <w:t xml:space="preserve"> </w:t>
      </w:r>
      <w:r w:rsidRPr="00E05E75">
        <w:rPr>
          <w:color w:val="000000"/>
          <w:sz w:val="20"/>
          <w:szCs w:val="20"/>
        </w:rPr>
        <w:t>In both cases,</w:t>
      </w:r>
      <w:r w:rsidR="00E05E75">
        <w:rPr>
          <w:rFonts w:hint="eastAsia"/>
          <w:color w:val="000000"/>
          <w:sz w:val="20"/>
          <w:szCs w:val="20"/>
          <w:lang w:eastAsia="zh-CN"/>
        </w:rPr>
        <w:t xml:space="preserve"> </w:t>
      </w:r>
      <w:r w:rsidRPr="00E05E75">
        <w:rPr>
          <w:color w:val="000000"/>
          <w:sz w:val="20"/>
          <w:szCs w:val="20"/>
        </w:rPr>
        <w:t xml:space="preserve">100 grams of the dried mushroom powdered </w:t>
      </w:r>
      <w:r w:rsidRPr="00E05E75">
        <w:rPr>
          <w:sz w:val="20"/>
          <w:szCs w:val="20"/>
        </w:rPr>
        <w:t xml:space="preserve">were filled separately in the thimble and extracted with methanol/water (250 ml) using a </w:t>
      </w:r>
      <w:proofErr w:type="spellStart"/>
      <w:r w:rsidRPr="00E05E75">
        <w:rPr>
          <w:sz w:val="20"/>
          <w:szCs w:val="20"/>
        </w:rPr>
        <w:t>Soxhlet</w:t>
      </w:r>
      <w:proofErr w:type="spellEnd"/>
      <w:r w:rsidRPr="00E05E75">
        <w:rPr>
          <w:sz w:val="20"/>
          <w:szCs w:val="20"/>
        </w:rPr>
        <w:t xml:space="preserve"> apparatus followed by distillation and evaporation.</w:t>
      </w:r>
      <w:r w:rsidRPr="00E05E75">
        <w:rPr>
          <w:color w:val="000000"/>
          <w:sz w:val="20"/>
          <w:szCs w:val="20"/>
        </w:rPr>
        <w:t xml:space="preserve"> The source of heating was a mantle heater with highly regulated thermostat. </w:t>
      </w:r>
      <w:r w:rsidRPr="00E05E75">
        <w:rPr>
          <w:sz w:val="20"/>
          <w:szCs w:val="20"/>
        </w:rPr>
        <w:t>The powder is placed in a cellulose thimble in an extraction chamber, which is placed on top of a collecting flask beneath a reflux condenser. Methanol is added to the flask, and the setup is heated under reflux. When a certain level of condensed solvent has accumulated in the thimble, it is siphoned into the flask beneath.</w:t>
      </w:r>
      <w:r w:rsidRPr="00E05E75">
        <w:rPr>
          <w:color w:val="000000"/>
          <w:sz w:val="20"/>
          <w:szCs w:val="20"/>
        </w:rPr>
        <w:t xml:space="preserve"> The obtained extract solution was then evaporated at 50</w:t>
      </w:r>
      <w:r w:rsidRPr="00E05E75">
        <w:rPr>
          <w:color w:val="000000"/>
          <w:sz w:val="20"/>
          <w:szCs w:val="20"/>
          <w:vertAlign w:val="superscript"/>
        </w:rPr>
        <w:t>0</w:t>
      </w:r>
      <w:r w:rsidRPr="00E05E75">
        <w:rPr>
          <w:color w:val="000000"/>
          <w:sz w:val="20"/>
          <w:szCs w:val="20"/>
        </w:rPr>
        <w:t xml:space="preserve">C using a rotary </w:t>
      </w:r>
      <w:proofErr w:type="gramStart"/>
      <w:r w:rsidRPr="00E05E75">
        <w:rPr>
          <w:color w:val="000000"/>
          <w:sz w:val="20"/>
          <w:szCs w:val="20"/>
        </w:rPr>
        <w:t>evaporator,</w:t>
      </w:r>
      <w:proofErr w:type="gramEnd"/>
      <w:r w:rsidRPr="00E05E75">
        <w:rPr>
          <w:color w:val="000000"/>
          <w:sz w:val="20"/>
          <w:szCs w:val="20"/>
        </w:rPr>
        <w:t xml:space="preserve"> and the resultant crude extract was stored at -20</w:t>
      </w:r>
      <w:r w:rsidRPr="00E05E75">
        <w:rPr>
          <w:color w:val="000000"/>
          <w:sz w:val="20"/>
          <w:szCs w:val="20"/>
          <w:vertAlign w:val="superscript"/>
        </w:rPr>
        <w:t>0</w:t>
      </w:r>
      <w:r w:rsidRPr="00E05E75">
        <w:rPr>
          <w:color w:val="000000"/>
          <w:sz w:val="20"/>
          <w:szCs w:val="20"/>
        </w:rPr>
        <w:t>C until use to prepare the required concentrations.</w:t>
      </w:r>
    </w:p>
    <w:p w:rsidR="00C34190" w:rsidRPr="00E05E75" w:rsidRDefault="00C34190" w:rsidP="007B6A0C">
      <w:pPr>
        <w:autoSpaceDE w:val="0"/>
        <w:autoSpaceDN w:val="0"/>
        <w:adjustRightInd w:val="0"/>
        <w:snapToGrid w:val="0"/>
        <w:ind w:firstLine="425"/>
        <w:jc w:val="both"/>
        <w:rPr>
          <w:rFonts w:hint="eastAsia"/>
          <w:sz w:val="20"/>
          <w:szCs w:val="20"/>
          <w:lang w:eastAsia="zh-CN"/>
        </w:rPr>
      </w:pPr>
    </w:p>
    <w:p w:rsidR="00B562FD" w:rsidRPr="00E05E75" w:rsidRDefault="00B562FD" w:rsidP="007B6A0C">
      <w:pPr>
        <w:autoSpaceDE w:val="0"/>
        <w:autoSpaceDN w:val="0"/>
        <w:adjustRightInd w:val="0"/>
        <w:snapToGrid w:val="0"/>
        <w:jc w:val="both"/>
        <w:rPr>
          <w:b/>
          <w:color w:val="000000"/>
          <w:sz w:val="20"/>
          <w:szCs w:val="20"/>
        </w:rPr>
      </w:pPr>
      <w:r w:rsidRPr="00E05E75">
        <w:rPr>
          <w:b/>
          <w:color w:val="000000"/>
          <w:sz w:val="20"/>
          <w:szCs w:val="20"/>
        </w:rPr>
        <w:t>Preparation and sterilization of serial concentration of mushroom extracts</w:t>
      </w:r>
    </w:p>
    <w:p w:rsidR="00B562FD" w:rsidRPr="00E05E75" w:rsidRDefault="00B562FD" w:rsidP="007B6A0C">
      <w:pPr>
        <w:autoSpaceDE w:val="0"/>
        <w:autoSpaceDN w:val="0"/>
        <w:adjustRightInd w:val="0"/>
        <w:snapToGrid w:val="0"/>
        <w:ind w:firstLine="425"/>
        <w:jc w:val="both"/>
        <w:rPr>
          <w:rFonts w:hint="eastAsia"/>
          <w:color w:val="000000"/>
          <w:sz w:val="20"/>
          <w:szCs w:val="20"/>
          <w:lang w:eastAsia="zh-CN"/>
        </w:rPr>
      </w:pPr>
      <w:r w:rsidRPr="00E05E75">
        <w:rPr>
          <w:color w:val="000000"/>
          <w:sz w:val="20"/>
          <w:szCs w:val="20"/>
        </w:rPr>
        <w:t xml:space="preserve">The five concentrations (10.0, 20.0, 40.0, 100.0 and 200 mg/ml) of each mushroom extract were prepared and the solvent was DMEM medium. In the </w:t>
      </w:r>
      <w:r w:rsidRPr="00E05E75">
        <w:rPr>
          <w:color w:val="000000"/>
          <w:sz w:val="20"/>
          <w:szCs w:val="20"/>
        </w:rPr>
        <w:lastRenderedPageBreak/>
        <w:t>case of methanol extract (ME), it was first dissolved in drops of DMSO, and then the volume was made-up with DMEM medium</w:t>
      </w:r>
      <w:r w:rsidR="00C34190">
        <w:rPr>
          <w:rFonts w:hint="eastAsia"/>
          <w:color w:val="000000"/>
          <w:sz w:val="20"/>
          <w:szCs w:val="20"/>
          <w:lang w:eastAsia="zh-CN"/>
        </w:rPr>
        <w:t>.</w:t>
      </w:r>
    </w:p>
    <w:p w:rsidR="00B562FD" w:rsidRDefault="00B562FD" w:rsidP="007B6A0C">
      <w:pPr>
        <w:autoSpaceDE w:val="0"/>
        <w:autoSpaceDN w:val="0"/>
        <w:adjustRightInd w:val="0"/>
        <w:snapToGrid w:val="0"/>
        <w:ind w:firstLine="425"/>
        <w:jc w:val="both"/>
        <w:rPr>
          <w:rFonts w:hint="eastAsia"/>
          <w:color w:val="000000"/>
          <w:sz w:val="20"/>
          <w:szCs w:val="20"/>
          <w:lang w:eastAsia="zh-CN"/>
        </w:rPr>
      </w:pPr>
      <w:r w:rsidRPr="00E05E75">
        <w:rPr>
          <w:color w:val="000000"/>
          <w:sz w:val="20"/>
          <w:szCs w:val="20"/>
        </w:rPr>
        <w:t>All concentrations of both extract (WE and ME) solutions were passed through sterilized Millipore filter</w:t>
      </w:r>
      <w:r w:rsidR="00E05E75">
        <w:rPr>
          <w:rFonts w:hint="eastAsia"/>
          <w:color w:val="000000"/>
          <w:sz w:val="20"/>
          <w:szCs w:val="20"/>
          <w:lang w:eastAsia="zh-CN"/>
        </w:rPr>
        <w:t xml:space="preserve"> </w:t>
      </w:r>
      <w:r w:rsidRPr="00E05E75">
        <w:rPr>
          <w:color w:val="000000"/>
          <w:sz w:val="20"/>
          <w:szCs w:val="20"/>
        </w:rPr>
        <w:t>(0.22µm</w:t>
      </w:r>
      <w:r w:rsidR="00E05E75">
        <w:rPr>
          <w:color w:val="000000"/>
          <w:sz w:val="20"/>
          <w:szCs w:val="20"/>
        </w:rPr>
        <w:t>)</w:t>
      </w:r>
      <w:r w:rsidRPr="00E05E75">
        <w:rPr>
          <w:color w:val="000000"/>
          <w:sz w:val="20"/>
          <w:szCs w:val="20"/>
        </w:rPr>
        <w:t>.</w:t>
      </w:r>
    </w:p>
    <w:p w:rsidR="00C34190" w:rsidRPr="00E05E75" w:rsidRDefault="00C34190" w:rsidP="007B6A0C">
      <w:pPr>
        <w:autoSpaceDE w:val="0"/>
        <w:autoSpaceDN w:val="0"/>
        <w:adjustRightInd w:val="0"/>
        <w:snapToGrid w:val="0"/>
        <w:ind w:firstLine="425"/>
        <w:jc w:val="both"/>
        <w:rPr>
          <w:rFonts w:hint="eastAsia"/>
          <w:color w:val="000000"/>
          <w:sz w:val="20"/>
          <w:szCs w:val="20"/>
          <w:lang w:eastAsia="zh-CN"/>
        </w:rPr>
      </w:pPr>
    </w:p>
    <w:p w:rsidR="00B562FD" w:rsidRPr="00E05E75" w:rsidRDefault="00B562FD" w:rsidP="007B6A0C">
      <w:pPr>
        <w:autoSpaceDE w:val="0"/>
        <w:autoSpaceDN w:val="0"/>
        <w:adjustRightInd w:val="0"/>
        <w:snapToGrid w:val="0"/>
        <w:jc w:val="both"/>
        <w:rPr>
          <w:b/>
          <w:bCs/>
          <w:sz w:val="20"/>
          <w:szCs w:val="20"/>
        </w:rPr>
      </w:pPr>
      <w:r w:rsidRPr="00E05E75">
        <w:rPr>
          <w:b/>
          <w:bCs/>
          <w:sz w:val="20"/>
          <w:szCs w:val="20"/>
        </w:rPr>
        <w:t>Chemicals</w:t>
      </w:r>
    </w:p>
    <w:p w:rsidR="00B562FD" w:rsidRDefault="00B562FD" w:rsidP="007B6A0C">
      <w:pPr>
        <w:autoSpaceDE w:val="0"/>
        <w:autoSpaceDN w:val="0"/>
        <w:adjustRightInd w:val="0"/>
        <w:snapToGrid w:val="0"/>
        <w:ind w:firstLine="425"/>
        <w:jc w:val="both"/>
        <w:rPr>
          <w:rFonts w:hint="eastAsia"/>
          <w:sz w:val="20"/>
          <w:szCs w:val="20"/>
          <w:lang w:eastAsia="zh-CN"/>
        </w:rPr>
      </w:pPr>
      <w:r w:rsidRPr="00E05E75">
        <w:rPr>
          <w:color w:val="000000"/>
          <w:sz w:val="20"/>
          <w:szCs w:val="20"/>
        </w:rPr>
        <w:t xml:space="preserve">3-(4, 5-dimethyl thiazol-2-yl)-5-diphenyl </w:t>
      </w:r>
      <w:proofErr w:type="spellStart"/>
      <w:r w:rsidRPr="00E05E75">
        <w:rPr>
          <w:color w:val="000000"/>
          <w:sz w:val="20"/>
          <w:szCs w:val="20"/>
        </w:rPr>
        <w:t>tetrazolium</w:t>
      </w:r>
      <w:proofErr w:type="spellEnd"/>
      <w:r w:rsidRPr="00E05E75">
        <w:rPr>
          <w:color w:val="000000"/>
          <w:sz w:val="20"/>
          <w:szCs w:val="20"/>
        </w:rPr>
        <w:t xml:space="preserve"> bromide (MTT), Fetal Bovine Serum (FBS), Phosphate Buffered Saline (PBS), Eagle s minimum essential medium (DMEM) and </w:t>
      </w:r>
      <w:proofErr w:type="spellStart"/>
      <w:r w:rsidRPr="00E05E75">
        <w:rPr>
          <w:color w:val="000000"/>
          <w:sz w:val="20"/>
          <w:szCs w:val="20"/>
        </w:rPr>
        <w:t>Trypsin</w:t>
      </w:r>
      <w:proofErr w:type="spellEnd"/>
      <w:r w:rsidRPr="00E05E75">
        <w:rPr>
          <w:color w:val="000000"/>
          <w:sz w:val="20"/>
          <w:szCs w:val="20"/>
        </w:rPr>
        <w:t xml:space="preserve"> were obtained from sigma Aldrich Co, St. Louis, USA. EDTA, glucose, </w:t>
      </w:r>
      <w:proofErr w:type="spellStart"/>
      <w:r w:rsidRPr="00E05E75">
        <w:rPr>
          <w:color w:val="000000"/>
          <w:sz w:val="20"/>
          <w:szCs w:val="20"/>
        </w:rPr>
        <w:t>Trichloroacetic</w:t>
      </w:r>
      <w:proofErr w:type="spellEnd"/>
      <w:r w:rsidRPr="00E05E75">
        <w:rPr>
          <w:color w:val="000000"/>
          <w:sz w:val="20"/>
          <w:szCs w:val="20"/>
        </w:rPr>
        <w:t xml:space="preserve"> acid (TCA), Acetic acid, </w:t>
      </w:r>
      <w:proofErr w:type="spellStart"/>
      <w:r w:rsidRPr="00E05E75">
        <w:rPr>
          <w:color w:val="000000"/>
          <w:sz w:val="20"/>
          <w:szCs w:val="20"/>
        </w:rPr>
        <w:t>Tris</w:t>
      </w:r>
      <w:proofErr w:type="spellEnd"/>
      <w:r w:rsidRPr="00E05E75">
        <w:rPr>
          <w:color w:val="000000"/>
          <w:sz w:val="20"/>
          <w:szCs w:val="20"/>
        </w:rPr>
        <w:t xml:space="preserve"> base and antibiotics from </w:t>
      </w:r>
      <w:proofErr w:type="spellStart"/>
      <w:r w:rsidRPr="00E05E75">
        <w:rPr>
          <w:color w:val="000000"/>
          <w:sz w:val="20"/>
          <w:szCs w:val="20"/>
        </w:rPr>
        <w:t>Himedia</w:t>
      </w:r>
      <w:proofErr w:type="spellEnd"/>
      <w:r w:rsidRPr="00E05E75">
        <w:rPr>
          <w:color w:val="000000"/>
          <w:sz w:val="20"/>
          <w:szCs w:val="20"/>
        </w:rPr>
        <w:t xml:space="preserve"> Laboratories Ltd., Mumbai, </w:t>
      </w:r>
      <w:proofErr w:type="spellStart"/>
      <w:r w:rsidRPr="00E05E75">
        <w:rPr>
          <w:color w:val="000000"/>
          <w:sz w:val="20"/>
          <w:szCs w:val="20"/>
        </w:rPr>
        <w:t>Dimethyl</w:t>
      </w:r>
      <w:proofErr w:type="spellEnd"/>
      <w:r w:rsidRPr="00E05E75">
        <w:rPr>
          <w:color w:val="000000"/>
          <w:sz w:val="20"/>
          <w:szCs w:val="20"/>
        </w:rPr>
        <w:t xml:space="preserve"> </w:t>
      </w:r>
      <w:proofErr w:type="spellStart"/>
      <w:r w:rsidRPr="00E05E75">
        <w:rPr>
          <w:color w:val="000000"/>
          <w:sz w:val="20"/>
          <w:szCs w:val="20"/>
        </w:rPr>
        <w:t>Sulfoxide</w:t>
      </w:r>
      <w:proofErr w:type="spellEnd"/>
      <w:r w:rsidRPr="00E05E75">
        <w:rPr>
          <w:color w:val="000000"/>
          <w:sz w:val="20"/>
          <w:szCs w:val="20"/>
        </w:rPr>
        <w:t xml:space="preserve"> (DMSO) and </w:t>
      </w:r>
      <w:proofErr w:type="spellStart"/>
      <w:r w:rsidRPr="00E05E75">
        <w:rPr>
          <w:color w:val="000000"/>
          <w:sz w:val="20"/>
          <w:szCs w:val="20"/>
        </w:rPr>
        <w:t>Propanol</w:t>
      </w:r>
      <w:proofErr w:type="spellEnd"/>
      <w:r w:rsidRPr="00E05E75">
        <w:rPr>
          <w:color w:val="000000"/>
          <w:sz w:val="20"/>
          <w:szCs w:val="20"/>
        </w:rPr>
        <w:t xml:space="preserve"> from E. Merck Ltd., Mumbai, India,</w:t>
      </w:r>
      <w:r w:rsidR="00E05E75">
        <w:rPr>
          <w:rFonts w:hint="eastAsia"/>
          <w:color w:val="000000"/>
          <w:sz w:val="20"/>
          <w:szCs w:val="20"/>
          <w:lang w:eastAsia="zh-CN"/>
        </w:rPr>
        <w:t xml:space="preserve"> </w:t>
      </w:r>
      <w:proofErr w:type="spellStart"/>
      <w:r w:rsidRPr="00E05E75">
        <w:rPr>
          <w:color w:val="000000"/>
          <w:sz w:val="20"/>
          <w:szCs w:val="20"/>
        </w:rPr>
        <w:t>Vincristine</w:t>
      </w:r>
      <w:proofErr w:type="spellEnd"/>
      <w:r w:rsidRPr="00E05E75">
        <w:rPr>
          <w:color w:val="000000"/>
          <w:sz w:val="20"/>
          <w:szCs w:val="20"/>
        </w:rPr>
        <w:t xml:space="preserve"> and </w:t>
      </w:r>
      <w:proofErr w:type="spellStart"/>
      <w:r w:rsidRPr="00E05E75">
        <w:rPr>
          <w:sz w:val="20"/>
          <w:szCs w:val="20"/>
        </w:rPr>
        <w:t>tamoxifen</w:t>
      </w:r>
      <w:proofErr w:type="spellEnd"/>
      <w:r w:rsidR="00E05E75">
        <w:rPr>
          <w:rFonts w:hint="eastAsia"/>
          <w:sz w:val="20"/>
          <w:szCs w:val="20"/>
          <w:lang w:eastAsia="zh-CN"/>
        </w:rPr>
        <w:t>.</w:t>
      </w:r>
    </w:p>
    <w:p w:rsidR="00C34190" w:rsidRPr="00E05E75" w:rsidRDefault="00C34190" w:rsidP="007B6A0C">
      <w:pPr>
        <w:autoSpaceDE w:val="0"/>
        <w:autoSpaceDN w:val="0"/>
        <w:adjustRightInd w:val="0"/>
        <w:snapToGrid w:val="0"/>
        <w:ind w:firstLine="425"/>
        <w:jc w:val="both"/>
        <w:rPr>
          <w:rFonts w:hint="eastAsia"/>
          <w:bCs/>
          <w:sz w:val="20"/>
          <w:szCs w:val="20"/>
          <w:lang w:eastAsia="zh-CN"/>
        </w:rPr>
      </w:pPr>
    </w:p>
    <w:p w:rsidR="00B562FD" w:rsidRPr="00E05E75" w:rsidRDefault="00B562FD" w:rsidP="007B6A0C">
      <w:pPr>
        <w:autoSpaceDE w:val="0"/>
        <w:autoSpaceDN w:val="0"/>
        <w:adjustRightInd w:val="0"/>
        <w:snapToGrid w:val="0"/>
        <w:jc w:val="both"/>
        <w:rPr>
          <w:b/>
          <w:bCs/>
          <w:sz w:val="20"/>
          <w:szCs w:val="20"/>
        </w:rPr>
      </w:pPr>
      <w:r w:rsidRPr="00E05E75">
        <w:rPr>
          <w:b/>
          <w:bCs/>
          <w:sz w:val="20"/>
          <w:szCs w:val="20"/>
        </w:rPr>
        <w:t>Cell lines, culture medium and subculture of cell line</w:t>
      </w:r>
    </w:p>
    <w:p w:rsidR="00B562FD" w:rsidRPr="00E05E75" w:rsidRDefault="00B562FD" w:rsidP="007B6A0C">
      <w:pPr>
        <w:autoSpaceDE w:val="0"/>
        <w:autoSpaceDN w:val="0"/>
        <w:adjustRightInd w:val="0"/>
        <w:snapToGrid w:val="0"/>
        <w:ind w:firstLine="425"/>
        <w:jc w:val="both"/>
        <w:rPr>
          <w:color w:val="000000"/>
          <w:sz w:val="20"/>
          <w:szCs w:val="20"/>
        </w:rPr>
      </w:pPr>
      <w:r w:rsidRPr="00E05E75">
        <w:rPr>
          <w:rFonts w:eastAsia="Times New Roman"/>
          <w:sz w:val="20"/>
          <w:szCs w:val="20"/>
        </w:rPr>
        <w:t xml:space="preserve">Human Ewing's sarcoma MHH‐ES‐1 having passage number 170 and breast cancer </w:t>
      </w:r>
      <w:r w:rsidRPr="00E05E75">
        <w:rPr>
          <w:sz w:val="20"/>
          <w:szCs w:val="20"/>
        </w:rPr>
        <w:t xml:space="preserve">MCF-7 </w:t>
      </w:r>
      <w:r w:rsidRPr="00E05E75">
        <w:rPr>
          <w:rFonts w:eastAsia="Times New Roman"/>
          <w:sz w:val="20"/>
          <w:szCs w:val="20"/>
        </w:rPr>
        <w:t>cell lines</w:t>
      </w:r>
      <w:r w:rsidRPr="00E05E75">
        <w:rPr>
          <w:sz w:val="20"/>
          <w:szCs w:val="20"/>
        </w:rPr>
        <w:t xml:space="preserve"> </w:t>
      </w:r>
      <w:r w:rsidRPr="00E05E75">
        <w:rPr>
          <w:color w:val="000000"/>
          <w:sz w:val="20"/>
          <w:szCs w:val="20"/>
        </w:rPr>
        <w:t>having passage number 185</w:t>
      </w:r>
      <w:r w:rsidR="00E05E75">
        <w:rPr>
          <w:color w:val="000000"/>
          <w:sz w:val="20"/>
          <w:szCs w:val="20"/>
        </w:rPr>
        <w:t xml:space="preserve"> </w:t>
      </w:r>
      <w:r w:rsidRPr="00E05E75">
        <w:rPr>
          <w:color w:val="000000"/>
          <w:sz w:val="20"/>
          <w:szCs w:val="20"/>
        </w:rPr>
        <w:t>were grown and maintained in DMEM (Dulbecco’s Modified Eagle media</w:t>
      </w:r>
      <w:r w:rsidR="00E05E75">
        <w:rPr>
          <w:color w:val="000000"/>
          <w:sz w:val="20"/>
          <w:szCs w:val="20"/>
        </w:rPr>
        <w:t>)</w:t>
      </w:r>
      <w:r w:rsidR="00E05E75">
        <w:rPr>
          <w:rFonts w:hint="eastAsia"/>
          <w:color w:val="000000"/>
          <w:sz w:val="20"/>
          <w:szCs w:val="20"/>
          <w:lang w:eastAsia="zh-CN"/>
        </w:rPr>
        <w:t xml:space="preserve"> </w:t>
      </w:r>
      <w:r w:rsidRPr="00E05E75">
        <w:rPr>
          <w:color w:val="000000"/>
          <w:sz w:val="20"/>
          <w:szCs w:val="20"/>
        </w:rPr>
        <w:t xml:space="preserve">supplemented with L </w:t>
      </w:r>
      <w:proofErr w:type="spellStart"/>
      <w:r w:rsidRPr="00E05E75">
        <w:rPr>
          <w:color w:val="000000"/>
          <w:sz w:val="20"/>
          <w:szCs w:val="20"/>
        </w:rPr>
        <w:t>Glutimine</w:t>
      </w:r>
      <w:proofErr w:type="spellEnd"/>
      <w:r w:rsidRPr="00E05E75">
        <w:rPr>
          <w:color w:val="000000"/>
          <w:sz w:val="20"/>
          <w:szCs w:val="20"/>
        </w:rPr>
        <w:t xml:space="preserve">, 10% v/v fetal bovine serum, sodium carbonate in 75 square mm tissue culture flasks to the 60-70% confluence. The media also supplemented with 100 </w:t>
      </w:r>
      <w:proofErr w:type="spellStart"/>
      <w:r w:rsidRPr="00E05E75">
        <w:rPr>
          <w:color w:val="000000"/>
          <w:sz w:val="20"/>
          <w:szCs w:val="20"/>
        </w:rPr>
        <w:t>μg</w:t>
      </w:r>
      <w:proofErr w:type="spellEnd"/>
      <w:r w:rsidRPr="00E05E75">
        <w:rPr>
          <w:color w:val="000000"/>
          <w:sz w:val="20"/>
          <w:szCs w:val="20"/>
        </w:rPr>
        <w:t xml:space="preserve">/ml streptomycin </w:t>
      </w:r>
      <w:r w:rsidRPr="00E05E75">
        <w:rPr>
          <w:color w:val="231F20"/>
          <w:sz w:val="20"/>
          <w:szCs w:val="20"/>
        </w:rPr>
        <w:t>(</w:t>
      </w:r>
      <w:proofErr w:type="spellStart"/>
      <w:r w:rsidRPr="00E05E75">
        <w:rPr>
          <w:color w:val="231F20"/>
          <w:sz w:val="20"/>
          <w:szCs w:val="20"/>
        </w:rPr>
        <w:t>Invitrogen</w:t>
      </w:r>
      <w:proofErr w:type="spellEnd"/>
      <w:r w:rsidRPr="00E05E75">
        <w:rPr>
          <w:color w:val="231F20"/>
          <w:sz w:val="20"/>
          <w:szCs w:val="20"/>
        </w:rPr>
        <w:t xml:space="preserve">) </w:t>
      </w:r>
      <w:r w:rsidRPr="00E05E75">
        <w:rPr>
          <w:color w:val="000000"/>
          <w:sz w:val="20"/>
          <w:szCs w:val="20"/>
        </w:rPr>
        <w:t xml:space="preserve">and </w:t>
      </w:r>
      <w:r w:rsidRPr="00E05E75">
        <w:rPr>
          <w:color w:val="231F20"/>
          <w:sz w:val="20"/>
          <w:szCs w:val="20"/>
        </w:rPr>
        <w:t xml:space="preserve">250 IU/ml </w:t>
      </w:r>
      <w:r w:rsidRPr="00E05E75">
        <w:rPr>
          <w:color w:val="000000"/>
          <w:sz w:val="20"/>
          <w:szCs w:val="20"/>
        </w:rPr>
        <w:t xml:space="preserve">penicillin </w:t>
      </w:r>
      <w:r w:rsidRPr="00E05E75">
        <w:rPr>
          <w:color w:val="231F20"/>
          <w:sz w:val="20"/>
          <w:szCs w:val="20"/>
        </w:rPr>
        <w:t>(</w:t>
      </w:r>
      <w:proofErr w:type="spellStart"/>
      <w:r w:rsidRPr="00E05E75">
        <w:rPr>
          <w:color w:val="231F20"/>
          <w:sz w:val="20"/>
          <w:szCs w:val="20"/>
        </w:rPr>
        <w:t>Invitrogen</w:t>
      </w:r>
      <w:proofErr w:type="spellEnd"/>
      <w:r w:rsidRPr="00E05E75">
        <w:rPr>
          <w:color w:val="231F20"/>
          <w:sz w:val="20"/>
          <w:szCs w:val="20"/>
        </w:rPr>
        <w:t xml:space="preserve">) </w:t>
      </w:r>
      <w:r w:rsidRPr="00E05E75">
        <w:rPr>
          <w:color w:val="000000"/>
          <w:sz w:val="20"/>
          <w:szCs w:val="20"/>
        </w:rPr>
        <w:t>at 37°c in a humidified atmosphere of 5% CO2. Maintenance cultures were passage weekly, and the culture medium was changed twice a week.</w:t>
      </w:r>
      <w:r w:rsidR="00E05E75">
        <w:rPr>
          <w:rFonts w:hint="eastAsia"/>
          <w:color w:val="000000"/>
          <w:sz w:val="20"/>
          <w:szCs w:val="20"/>
          <w:lang w:eastAsia="zh-CN"/>
        </w:rPr>
        <w:t xml:space="preserve"> </w:t>
      </w:r>
      <w:proofErr w:type="gramStart"/>
      <w:r w:rsidR="00E05E75">
        <w:rPr>
          <w:color w:val="000000"/>
          <w:sz w:val="20"/>
          <w:szCs w:val="20"/>
        </w:rPr>
        <w:t>(</w:t>
      </w:r>
      <w:proofErr w:type="spellStart"/>
      <w:r w:rsidRPr="00E05E75">
        <w:rPr>
          <w:sz w:val="20"/>
          <w:szCs w:val="20"/>
        </w:rPr>
        <w:t>Freshney</w:t>
      </w:r>
      <w:proofErr w:type="spellEnd"/>
      <w:r w:rsidR="00E05E75">
        <w:rPr>
          <w:sz w:val="20"/>
          <w:szCs w:val="20"/>
        </w:rPr>
        <w:t>,</w:t>
      </w:r>
      <w:r w:rsidR="00C34190">
        <w:rPr>
          <w:rFonts w:hint="eastAsia"/>
          <w:sz w:val="20"/>
          <w:szCs w:val="20"/>
          <w:lang w:eastAsia="zh-CN"/>
        </w:rPr>
        <w:t xml:space="preserve"> </w:t>
      </w:r>
      <w:r w:rsidRPr="00E05E75">
        <w:rPr>
          <w:sz w:val="20"/>
          <w:szCs w:val="20"/>
        </w:rPr>
        <w:t>2000</w:t>
      </w:r>
      <w:r w:rsidRPr="00E05E75">
        <w:rPr>
          <w:color w:val="000066"/>
          <w:sz w:val="20"/>
          <w:szCs w:val="20"/>
        </w:rPr>
        <w:t>)</w:t>
      </w:r>
      <w:r w:rsidRPr="00E05E75">
        <w:rPr>
          <w:color w:val="000000"/>
          <w:sz w:val="20"/>
          <w:szCs w:val="20"/>
        </w:rPr>
        <w:t>.</w:t>
      </w:r>
      <w:proofErr w:type="gramEnd"/>
    </w:p>
    <w:p w:rsidR="00B562FD" w:rsidRDefault="00B562FD" w:rsidP="007B6A0C">
      <w:pPr>
        <w:autoSpaceDE w:val="0"/>
        <w:autoSpaceDN w:val="0"/>
        <w:adjustRightInd w:val="0"/>
        <w:snapToGrid w:val="0"/>
        <w:ind w:firstLine="425"/>
        <w:jc w:val="both"/>
        <w:rPr>
          <w:rFonts w:hint="eastAsia"/>
          <w:sz w:val="20"/>
          <w:szCs w:val="20"/>
          <w:lang w:eastAsia="zh-CN"/>
        </w:rPr>
      </w:pPr>
      <w:r w:rsidRPr="00E05E75">
        <w:rPr>
          <w:sz w:val="20"/>
          <w:szCs w:val="20"/>
        </w:rPr>
        <w:t xml:space="preserve">Normal human peripheral mononuclear leukocytes were obtained from whole peripheral blood. The sample was obtained by </w:t>
      </w:r>
      <w:proofErr w:type="spellStart"/>
      <w:r w:rsidRPr="00E05E75">
        <w:rPr>
          <w:sz w:val="20"/>
          <w:szCs w:val="20"/>
        </w:rPr>
        <w:t>venipuncture</w:t>
      </w:r>
      <w:proofErr w:type="spellEnd"/>
      <w:r w:rsidRPr="00E05E75">
        <w:rPr>
          <w:sz w:val="20"/>
          <w:szCs w:val="20"/>
        </w:rPr>
        <w:t xml:space="preserve"> from a healthy volunteer blood</w:t>
      </w:r>
      <w:r w:rsidR="00E05E75">
        <w:rPr>
          <w:sz w:val="20"/>
          <w:szCs w:val="20"/>
        </w:rPr>
        <w:t xml:space="preserve"> </w:t>
      </w:r>
      <w:r w:rsidRPr="00E05E75">
        <w:rPr>
          <w:sz w:val="20"/>
          <w:szCs w:val="20"/>
        </w:rPr>
        <w:t>donor. Lymphocytes were isolated with the gradient density method</w:t>
      </w:r>
      <w:r w:rsidR="00E05E75">
        <w:rPr>
          <w:sz w:val="20"/>
          <w:szCs w:val="20"/>
        </w:rPr>
        <w:t>,</w:t>
      </w:r>
      <w:r w:rsidRPr="00E05E75">
        <w:rPr>
          <w:sz w:val="20"/>
          <w:szCs w:val="20"/>
        </w:rPr>
        <w:t xml:space="preserve"> using the </w:t>
      </w:r>
      <w:proofErr w:type="spellStart"/>
      <w:r w:rsidRPr="00E05E75">
        <w:rPr>
          <w:sz w:val="20"/>
          <w:szCs w:val="20"/>
        </w:rPr>
        <w:t>Hystopaque</w:t>
      </w:r>
      <w:proofErr w:type="spellEnd"/>
      <w:r w:rsidRPr="00E05E75">
        <w:rPr>
          <w:sz w:val="20"/>
          <w:szCs w:val="20"/>
        </w:rPr>
        <w:t xml:space="preserve"> 1077 solution (from Sigma Aldrich).</w:t>
      </w:r>
    </w:p>
    <w:p w:rsidR="00C34190" w:rsidRPr="00E05E75" w:rsidRDefault="00C34190" w:rsidP="007B6A0C">
      <w:pPr>
        <w:autoSpaceDE w:val="0"/>
        <w:autoSpaceDN w:val="0"/>
        <w:adjustRightInd w:val="0"/>
        <w:snapToGrid w:val="0"/>
        <w:ind w:firstLine="425"/>
        <w:jc w:val="both"/>
        <w:rPr>
          <w:rFonts w:hint="eastAsia"/>
          <w:b/>
          <w:bCs/>
          <w:sz w:val="20"/>
          <w:szCs w:val="20"/>
          <w:lang w:eastAsia="zh-CN"/>
        </w:rPr>
      </w:pPr>
    </w:p>
    <w:p w:rsidR="00B562FD" w:rsidRPr="00E05E75" w:rsidRDefault="00B562FD" w:rsidP="007B6A0C">
      <w:pPr>
        <w:autoSpaceDE w:val="0"/>
        <w:autoSpaceDN w:val="0"/>
        <w:adjustRightInd w:val="0"/>
        <w:snapToGrid w:val="0"/>
        <w:jc w:val="both"/>
        <w:rPr>
          <w:sz w:val="20"/>
          <w:szCs w:val="20"/>
        </w:rPr>
      </w:pPr>
      <w:r w:rsidRPr="00E05E75">
        <w:rPr>
          <w:b/>
          <w:bCs/>
          <w:sz w:val="20"/>
          <w:szCs w:val="20"/>
        </w:rPr>
        <w:t>Sterility test</w:t>
      </w:r>
    </w:p>
    <w:p w:rsidR="00B562FD" w:rsidRDefault="00B562FD" w:rsidP="007B6A0C">
      <w:pPr>
        <w:autoSpaceDE w:val="0"/>
        <w:autoSpaceDN w:val="0"/>
        <w:adjustRightInd w:val="0"/>
        <w:snapToGrid w:val="0"/>
        <w:ind w:firstLine="425"/>
        <w:jc w:val="both"/>
        <w:rPr>
          <w:rFonts w:hint="eastAsia"/>
          <w:sz w:val="20"/>
          <w:szCs w:val="20"/>
          <w:lang w:eastAsia="zh-CN"/>
        </w:rPr>
      </w:pPr>
      <w:r w:rsidRPr="00E05E75">
        <w:rPr>
          <w:sz w:val="20"/>
          <w:szCs w:val="20"/>
        </w:rPr>
        <w:t>Sterility test was done initially to check the extracts for the contamination. 35 mm culture dish was</w:t>
      </w:r>
      <w:r w:rsidR="00E05E75">
        <w:rPr>
          <w:sz w:val="20"/>
          <w:szCs w:val="20"/>
        </w:rPr>
        <w:t xml:space="preserve"> </w:t>
      </w:r>
      <w:r w:rsidRPr="00E05E75">
        <w:rPr>
          <w:sz w:val="20"/>
          <w:szCs w:val="20"/>
        </w:rPr>
        <w:t xml:space="preserve">plated with </w:t>
      </w:r>
      <w:r w:rsidRPr="00E05E75">
        <w:rPr>
          <w:rFonts w:eastAsia="Times New Roman"/>
          <w:sz w:val="20"/>
          <w:szCs w:val="20"/>
        </w:rPr>
        <w:t>MHH‐ES‐1</w:t>
      </w:r>
      <w:r w:rsidR="00E05E75">
        <w:rPr>
          <w:rFonts w:eastAsia="Times New Roman"/>
          <w:sz w:val="20"/>
          <w:szCs w:val="20"/>
        </w:rPr>
        <w:t xml:space="preserve"> </w:t>
      </w:r>
      <w:r w:rsidRPr="00E05E75">
        <w:rPr>
          <w:sz w:val="20"/>
          <w:szCs w:val="20"/>
        </w:rPr>
        <w:t>and MCF-7</w:t>
      </w:r>
      <w:r w:rsidR="00E05E75">
        <w:rPr>
          <w:sz w:val="20"/>
          <w:szCs w:val="20"/>
        </w:rPr>
        <w:t xml:space="preserve"> </w:t>
      </w:r>
      <w:r w:rsidRPr="00E05E75">
        <w:rPr>
          <w:sz w:val="20"/>
          <w:szCs w:val="20"/>
        </w:rPr>
        <w:t>cell suspension in 2ml</w:t>
      </w:r>
      <w:r w:rsidR="00E05E75">
        <w:rPr>
          <w:sz w:val="20"/>
          <w:szCs w:val="20"/>
        </w:rPr>
        <w:t xml:space="preserve"> </w:t>
      </w:r>
      <w:r w:rsidRPr="00E05E75">
        <w:rPr>
          <w:sz w:val="20"/>
          <w:szCs w:val="20"/>
        </w:rPr>
        <w:t>of DMEM media and allow the cells to adhere. The</w:t>
      </w:r>
      <w:r w:rsidR="00E05E75">
        <w:rPr>
          <w:sz w:val="20"/>
          <w:szCs w:val="20"/>
        </w:rPr>
        <w:t xml:space="preserve"> </w:t>
      </w:r>
      <w:r w:rsidRPr="00E05E75">
        <w:rPr>
          <w:sz w:val="20"/>
          <w:szCs w:val="20"/>
        </w:rPr>
        <w:t>crude plant extracts were added into culture dishes and incubated at CO</w:t>
      </w:r>
      <w:r w:rsidRPr="00E05E75">
        <w:rPr>
          <w:sz w:val="20"/>
          <w:szCs w:val="20"/>
          <w:vertAlign w:val="subscript"/>
        </w:rPr>
        <w:t xml:space="preserve">2 </w:t>
      </w:r>
      <w:r w:rsidRPr="00E05E75">
        <w:rPr>
          <w:sz w:val="20"/>
          <w:szCs w:val="20"/>
        </w:rPr>
        <w:t>incubator (5%) for 24 hours.</w:t>
      </w:r>
    </w:p>
    <w:p w:rsidR="00C34190" w:rsidRPr="00E05E75" w:rsidRDefault="00C34190" w:rsidP="007B6A0C">
      <w:pPr>
        <w:autoSpaceDE w:val="0"/>
        <w:autoSpaceDN w:val="0"/>
        <w:adjustRightInd w:val="0"/>
        <w:snapToGrid w:val="0"/>
        <w:ind w:firstLine="425"/>
        <w:jc w:val="both"/>
        <w:rPr>
          <w:rFonts w:hint="eastAsia"/>
          <w:color w:val="000000"/>
          <w:sz w:val="20"/>
          <w:szCs w:val="20"/>
          <w:lang w:eastAsia="zh-CN"/>
        </w:rPr>
      </w:pPr>
    </w:p>
    <w:p w:rsidR="00B562FD" w:rsidRPr="00E05E75" w:rsidRDefault="00B562FD" w:rsidP="007B6A0C">
      <w:pPr>
        <w:autoSpaceDE w:val="0"/>
        <w:autoSpaceDN w:val="0"/>
        <w:adjustRightInd w:val="0"/>
        <w:snapToGrid w:val="0"/>
        <w:jc w:val="both"/>
        <w:rPr>
          <w:b/>
          <w:bCs/>
          <w:sz w:val="20"/>
          <w:szCs w:val="20"/>
        </w:rPr>
      </w:pPr>
      <w:r w:rsidRPr="00E05E75">
        <w:rPr>
          <w:b/>
          <w:bCs/>
          <w:sz w:val="20"/>
          <w:szCs w:val="20"/>
        </w:rPr>
        <w:t>Cell Treatment Procedure</w:t>
      </w:r>
    </w:p>
    <w:p w:rsidR="00B562FD" w:rsidRPr="00E05E75" w:rsidRDefault="00B562FD" w:rsidP="007B6A0C">
      <w:pPr>
        <w:autoSpaceDE w:val="0"/>
        <w:autoSpaceDN w:val="0"/>
        <w:adjustRightInd w:val="0"/>
        <w:snapToGrid w:val="0"/>
        <w:ind w:firstLine="425"/>
        <w:jc w:val="both"/>
        <w:rPr>
          <w:color w:val="000000"/>
          <w:sz w:val="20"/>
          <w:szCs w:val="20"/>
        </w:rPr>
      </w:pPr>
      <w:r w:rsidRPr="00E05E75">
        <w:rPr>
          <w:color w:val="000000"/>
          <w:sz w:val="20"/>
          <w:szCs w:val="20"/>
        </w:rPr>
        <w:t xml:space="preserve">The monolayer cells were detached with </w:t>
      </w:r>
      <w:proofErr w:type="spellStart"/>
      <w:r w:rsidRPr="00E05E75">
        <w:rPr>
          <w:color w:val="000000"/>
          <w:sz w:val="20"/>
          <w:szCs w:val="20"/>
        </w:rPr>
        <w:t>trypsin</w:t>
      </w:r>
      <w:proofErr w:type="spellEnd"/>
      <w:r w:rsidRPr="00E05E75">
        <w:rPr>
          <w:color w:val="000000"/>
          <w:sz w:val="20"/>
          <w:szCs w:val="20"/>
        </w:rPr>
        <w:t xml:space="preserve"> ethylene </w:t>
      </w:r>
      <w:proofErr w:type="spellStart"/>
      <w:r w:rsidRPr="00E05E75">
        <w:rPr>
          <w:color w:val="000000"/>
          <w:sz w:val="20"/>
          <w:szCs w:val="20"/>
        </w:rPr>
        <w:t>diamine</w:t>
      </w:r>
      <w:proofErr w:type="spellEnd"/>
      <w:r w:rsidRPr="00E05E75">
        <w:rPr>
          <w:color w:val="000000"/>
          <w:sz w:val="20"/>
          <w:szCs w:val="20"/>
        </w:rPr>
        <w:t xml:space="preserve"> tetra acetic acid (EDTA) to make single cell suspensions and viable cells were counted using a </w:t>
      </w:r>
      <w:proofErr w:type="spellStart"/>
      <w:r w:rsidRPr="00E05E75">
        <w:rPr>
          <w:color w:val="000000"/>
          <w:sz w:val="20"/>
          <w:szCs w:val="20"/>
        </w:rPr>
        <w:t>hemocytometer</w:t>
      </w:r>
      <w:proofErr w:type="spellEnd"/>
      <w:r w:rsidRPr="00E05E75">
        <w:rPr>
          <w:color w:val="000000"/>
          <w:sz w:val="20"/>
          <w:szCs w:val="20"/>
        </w:rPr>
        <w:t xml:space="preserve"> and diluted with medium containing 5% FBS to give final density of 1 x 10</w:t>
      </w:r>
      <w:r w:rsidRPr="00E05E75">
        <w:rPr>
          <w:color w:val="000000"/>
          <w:sz w:val="20"/>
          <w:szCs w:val="20"/>
          <w:vertAlign w:val="superscript"/>
        </w:rPr>
        <w:t>6</w:t>
      </w:r>
      <w:r w:rsidRPr="00E05E75">
        <w:rPr>
          <w:color w:val="000000"/>
          <w:sz w:val="20"/>
          <w:szCs w:val="20"/>
        </w:rPr>
        <w:t xml:space="preserve"> </w:t>
      </w:r>
      <w:r w:rsidRPr="00E05E75">
        <w:rPr>
          <w:color w:val="000000"/>
          <w:sz w:val="20"/>
          <w:szCs w:val="20"/>
        </w:rPr>
        <w:lastRenderedPageBreak/>
        <w:t xml:space="preserve">cells / ml. </w:t>
      </w:r>
      <w:r w:rsidRPr="00E05E75">
        <w:rPr>
          <w:sz w:val="20"/>
          <w:szCs w:val="20"/>
        </w:rPr>
        <w:t xml:space="preserve">One hundred micro </w:t>
      </w:r>
      <w:proofErr w:type="spellStart"/>
      <w:r w:rsidRPr="00E05E75">
        <w:rPr>
          <w:sz w:val="20"/>
          <w:szCs w:val="20"/>
        </w:rPr>
        <w:t>litres</w:t>
      </w:r>
      <w:proofErr w:type="spellEnd"/>
      <w:r w:rsidRPr="00E05E75">
        <w:rPr>
          <w:sz w:val="20"/>
          <w:szCs w:val="20"/>
        </w:rPr>
        <w:t xml:space="preserve"> per well</w:t>
      </w:r>
      <w:r w:rsidRPr="00E05E75">
        <w:rPr>
          <w:color w:val="000000"/>
          <w:sz w:val="20"/>
          <w:szCs w:val="20"/>
        </w:rPr>
        <w:t xml:space="preserve"> of cell suspension were seeded in to 96-well plates at plating density of 10,000 cells / well and incubated to allow for cell attachment at 37 </w:t>
      </w:r>
      <w:r w:rsidRPr="00E05E75">
        <w:rPr>
          <w:color w:val="000000"/>
          <w:sz w:val="20"/>
          <w:szCs w:val="20"/>
          <w:vertAlign w:val="superscript"/>
        </w:rPr>
        <w:t>0</w:t>
      </w:r>
      <w:r w:rsidRPr="00E05E75">
        <w:rPr>
          <w:color w:val="000000"/>
          <w:sz w:val="20"/>
          <w:szCs w:val="20"/>
        </w:rPr>
        <w:t>C, 5% CO</w:t>
      </w:r>
      <w:r w:rsidRPr="00E05E75">
        <w:rPr>
          <w:color w:val="000000"/>
          <w:sz w:val="20"/>
          <w:szCs w:val="20"/>
          <w:vertAlign w:val="subscript"/>
        </w:rPr>
        <w:t>2</w:t>
      </w:r>
      <w:r w:rsidRPr="00E05E75">
        <w:rPr>
          <w:color w:val="000000"/>
          <w:sz w:val="20"/>
          <w:szCs w:val="20"/>
        </w:rPr>
        <w:t>, 95% air and 100% relative humidity. After 24 h the cells were treated with serial concentration of the test samples</w:t>
      </w:r>
      <w:proofErr w:type="gramStart"/>
      <w:r w:rsidRPr="00E05E75">
        <w:rPr>
          <w:color w:val="000000"/>
          <w:sz w:val="20"/>
          <w:szCs w:val="20"/>
        </w:rPr>
        <w:t>..</w:t>
      </w:r>
      <w:proofErr w:type="gramEnd"/>
      <w:r w:rsidRPr="00E05E75">
        <w:rPr>
          <w:color w:val="000000"/>
          <w:sz w:val="20"/>
          <w:szCs w:val="20"/>
        </w:rPr>
        <w:t xml:space="preserve"> Aliquots of </w:t>
      </w:r>
      <w:r w:rsidRPr="00E05E75">
        <w:rPr>
          <w:sz w:val="20"/>
          <w:szCs w:val="20"/>
        </w:rPr>
        <w:t>100µl</w:t>
      </w:r>
      <w:r w:rsidRPr="00E05E75">
        <w:rPr>
          <w:color w:val="000000"/>
          <w:sz w:val="20"/>
          <w:szCs w:val="20"/>
        </w:rPr>
        <w:t xml:space="preserve"> of these different sample dilutions were added to the appropriate wells already containing 100µl of medium, resulted the required final sample concentrations</w:t>
      </w:r>
      <w:r w:rsidR="00E05E75">
        <w:rPr>
          <w:rFonts w:hint="eastAsia"/>
          <w:color w:val="000000"/>
          <w:sz w:val="20"/>
          <w:szCs w:val="20"/>
          <w:lang w:eastAsia="zh-CN"/>
        </w:rPr>
        <w:t xml:space="preserve"> </w:t>
      </w:r>
      <w:r w:rsidRPr="00E05E75">
        <w:rPr>
          <w:color w:val="000000"/>
          <w:sz w:val="20"/>
          <w:szCs w:val="20"/>
        </w:rPr>
        <w:t>(</w:t>
      </w:r>
      <w:r w:rsidRPr="00E05E75">
        <w:rPr>
          <w:sz w:val="20"/>
          <w:szCs w:val="20"/>
        </w:rPr>
        <w:t>5, 10, 20, 50 and 100mg/ml</w:t>
      </w:r>
      <w:r w:rsidRPr="00E05E75">
        <w:rPr>
          <w:color w:val="000000"/>
          <w:sz w:val="20"/>
          <w:szCs w:val="20"/>
        </w:rPr>
        <w:t xml:space="preserve">). Following treatment with </w:t>
      </w:r>
      <w:proofErr w:type="spellStart"/>
      <w:r w:rsidRPr="00E05E75">
        <w:rPr>
          <w:color w:val="000000"/>
          <w:sz w:val="20"/>
          <w:szCs w:val="20"/>
        </w:rPr>
        <w:t>methanolic</w:t>
      </w:r>
      <w:proofErr w:type="spellEnd"/>
      <w:r w:rsidRPr="00E05E75">
        <w:rPr>
          <w:color w:val="000000"/>
          <w:sz w:val="20"/>
          <w:szCs w:val="20"/>
        </w:rPr>
        <w:t xml:space="preserve"> extract of </w:t>
      </w:r>
      <w:r w:rsidRPr="00E05E75">
        <w:rPr>
          <w:i/>
          <w:iCs/>
          <w:color w:val="000000"/>
          <w:sz w:val="20"/>
          <w:szCs w:val="20"/>
        </w:rPr>
        <w:t>C.</w:t>
      </w:r>
      <w:r w:rsidR="00E05E75">
        <w:rPr>
          <w:rFonts w:hint="eastAsia"/>
          <w:i/>
          <w:iCs/>
          <w:color w:val="000000"/>
          <w:sz w:val="20"/>
          <w:szCs w:val="20"/>
          <w:lang w:eastAsia="zh-CN"/>
        </w:rPr>
        <w:t xml:space="preserve"> </w:t>
      </w:r>
      <w:proofErr w:type="spellStart"/>
      <w:r w:rsidRPr="00E05E75">
        <w:rPr>
          <w:i/>
          <w:iCs/>
          <w:color w:val="000000"/>
          <w:sz w:val="20"/>
          <w:szCs w:val="20"/>
        </w:rPr>
        <w:t>indica</w:t>
      </w:r>
      <w:proofErr w:type="spellEnd"/>
      <w:r w:rsidRPr="00E05E75">
        <w:rPr>
          <w:color w:val="000000"/>
          <w:sz w:val="20"/>
          <w:szCs w:val="20"/>
        </w:rPr>
        <w:t>, the plates were incubated for an additional 48 h at 37 C, 5% CO2, 95% air and 100% relative humidity. The medium without samples were served as negative</w:t>
      </w:r>
      <w:r w:rsidR="00E05E75">
        <w:rPr>
          <w:color w:val="000000"/>
          <w:sz w:val="20"/>
          <w:szCs w:val="20"/>
        </w:rPr>
        <w:t xml:space="preserve"> </w:t>
      </w:r>
      <w:r w:rsidRPr="00E05E75">
        <w:rPr>
          <w:color w:val="000000"/>
          <w:sz w:val="20"/>
          <w:szCs w:val="20"/>
        </w:rPr>
        <w:t>control and</w:t>
      </w:r>
      <w:r w:rsidR="00E05E75">
        <w:rPr>
          <w:color w:val="000000"/>
          <w:sz w:val="20"/>
          <w:szCs w:val="20"/>
        </w:rPr>
        <w:t xml:space="preserve"> </w:t>
      </w:r>
      <w:r w:rsidRPr="00E05E75">
        <w:rPr>
          <w:color w:val="000000"/>
          <w:sz w:val="20"/>
          <w:szCs w:val="20"/>
        </w:rPr>
        <w:t xml:space="preserve">medium treated with </w:t>
      </w:r>
      <w:proofErr w:type="spellStart"/>
      <w:r w:rsidRPr="00E05E75">
        <w:rPr>
          <w:color w:val="000000"/>
          <w:sz w:val="20"/>
          <w:szCs w:val="20"/>
        </w:rPr>
        <w:t>vincristine</w:t>
      </w:r>
      <w:proofErr w:type="spellEnd"/>
      <w:r w:rsidRPr="00E05E75">
        <w:rPr>
          <w:color w:val="000000"/>
          <w:sz w:val="20"/>
          <w:szCs w:val="20"/>
        </w:rPr>
        <w:t xml:space="preserve">/ </w:t>
      </w:r>
      <w:proofErr w:type="spellStart"/>
      <w:r w:rsidRPr="00E05E75">
        <w:rPr>
          <w:color w:val="000000"/>
          <w:sz w:val="20"/>
          <w:szCs w:val="20"/>
        </w:rPr>
        <w:t>tamoxifen</w:t>
      </w:r>
      <w:proofErr w:type="spellEnd"/>
      <w:r w:rsidRPr="00E05E75">
        <w:rPr>
          <w:color w:val="000000"/>
          <w:sz w:val="20"/>
          <w:szCs w:val="20"/>
        </w:rPr>
        <w:t xml:space="preserve"> as positive control; triplicate was maintained for all concentrations.</w:t>
      </w:r>
    </w:p>
    <w:p w:rsidR="00C34190" w:rsidRDefault="00C34190" w:rsidP="007B6A0C">
      <w:pPr>
        <w:autoSpaceDE w:val="0"/>
        <w:autoSpaceDN w:val="0"/>
        <w:adjustRightInd w:val="0"/>
        <w:snapToGrid w:val="0"/>
        <w:jc w:val="both"/>
        <w:rPr>
          <w:rFonts w:hint="eastAsia"/>
          <w:b/>
          <w:bCs/>
          <w:sz w:val="20"/>
          <w:szCs w:val="20"/>
          <w:lang w:eastAsia="zh-CN"/>
        </w:rPr>
      </w:pPr>
    </w:p>
    <w:p w:rsidR="00B562FD" w:rsidRPr="00E05E75" w:rsidRDefault="00B562FD" w:rsidP="007B6A0C">
      <w:pPr>
        <w:autoSpaceDE w:val="0"/>
        <w:autoSpaceDN w:val="0"/>
        <w:adjustRightInd w:val="0"/>
        <w:snapToGrid w:val="0"/>
        <w:jc w:val="both"/>
        <w:rPr>
          <w:b/>
          <w:bCs/>
          <w:sz w:val="20"/>
          <w:szCs w:val="20"/>
        </w:rPr>
      </w:pPr>
      <w:r w:rsidRPr="00E05E75">
        <w:rPr>
          <w:b/>
          <w:bCs/>
          <w:sz w:val="20"/>
          <w:szCs w:val="20"/>
        </w:rPr>
        <w:t>MTT assay</w:t>
      </w:r>
    </w:p>
    <w:p w:rsidR="00B562FD" w:rsidRPr="00E05E75" w:rsidRDefault="00B562FD" w:rsidP="007B6A0C">
      <w:pPr>
        <w:autoSpaceDE w:val="0"/>
        <w:autoSpaceDN w:val="0"/>
        <w:adjustRightInd w:val="0"/>
        <w:snapToGrid w:val="0"/>
        <w:ind w:firstLine="425"/>
        <w:jc w:val="both"/>
        <w:rPr>
          <w:color w:val="000000"/>
          <w:sz w:val="20"/>
          <w:szCs w:val="20"/>
        </w:rPr>
      </w:pPr>
      <w:r w:rsidRPr="00E05E75">
        <w:rPr>
          <w:sz w:val="20"/>
          <w:szCs w:val="20"/>
        </w:rPr>
        <w:t>Inhibition of</w:t>
      </w:r>
      <w:r w:rsidR="00E05E75">
        <w:rPr>
          <w:sz w:val="20"/>
          <w:szCs w:val="20"/>
        </w:rPr>
        <w:t xml:space="preserve"> </w:t>
      </w:r>
      <w:r w:rsidRPr="00E05E75">
        <w:rPr>
          <w:rFonts w:eastAsia="Times New Roman"/>
          <w:sz w:val="20"/>
          <w:szCs w:val="20"/>
        </w:rPr>
        <w:t>MHH‐ES‐1</w:t>
      </w:r>
      <w:r w:rsidR="00E05E75">
        <w:rPr>
          <w:rFonts w:eastAsia="Times New Roman"/>
          <w:sz w:val="20"/>
          <w:szCs w:val="20"/>
        </w:rPr>
        <w:t xml:space="preserve"> </w:t>
      </w:r>
      <w:r w:rsidRPr="00E05E75">
        <w:rPr>
          <w:sz w:val="20"/>
          <w:szCs w:val="20"/>
        </w:rPr>
        <w:t xml:space="preserve">and MT7 cell cells to </w:t>
      </w:r>
      <w:r w:rsidRPr="00E05E75">
        <w:rPr>
          <w:i/>
          <w:iCs/>
          <w:sz w:val="20"/>
          <w:szCs w:val="20"/>
        </w:rPr>
        <w:t xml:space="preserve">C. </w:t>
      </w:r>
      <w:proofErr w:type="spellStart"/>
      <w:r w:rsidRPr="00E05E75">
        <w:rPr>
          <w:i/>
          <w:iCs/>
          <w:sz w:val="20"/>
          <w:szCs w:val="20"/>
        </w:rPr>
        <w:t>indica</w:t>
      </w:r>
      <w:proofErr w:type="spellEnd"/>
      <w:r w:rsidR="00E05E75">
        <w:rPr>
          <w:i/>
          <w:iCs/>
          <w:sz w:val="20"/>
          <w:szCs w:val="20"/>
        </w:rPr>
        <w:t xml:space="preserve"> </w:t>
      </w:r>
      <w:r w:rsidRPr="00E05E75">
        <w:rPr>
          <w:sz w:val="20"/>
          <w:szCs w:val="20"/>
        </w:rPr>
        <w:t>was determined individually by the MTT colorimetric assay (</w:t>
      </w:r>
      <w:proofErr w:type="spellStart"/>
      <w:r w:rsidRPr="00E05E75">
        <w:rPr>
          <w:sz w:val="20"/>
          <w:szCs w:val="20"/>
        </w:rPr>
        <w:t>Mosmann</w:t>
      </w:r>
      <w:proofErr w:type="spellEnd"/>
      <w:r w:rsidRPr="00E05E75">
        <w:rPr>
          <w:sz w:val="20"/>
          <w:szCs w:val="20"/>
        </w:rPr>
        <w:t xml:space="preserve"> 1983). Cells were seeded in a flat-bottomed 96-well plate and incubated for 24 h at 37°C and in 5% CO2. Both cell lines were treated with different concentration of extract of C </w:t>
      </w:r>
      <w:proofErr w:type="spellStart"/>
      <w:r w:rsidRPr="00E05E75">
        <w:rPr>
          <w:sz w:val="20"/>
          <w:szCs w:val="20"/>
        </w:rPr>
        <w:t>indica</w:t>
      </w:r>
      <w:proofErr w:type="spellEnd"/>
      <w:r w:rsidRPr="00E05E75">
        <w:rPr>
          <w:sz w:val="20"/>
          <w:szCs w:val="20"/>
        </w:rPr>
        <w:t xml:space="preserve">. The solvent DMSO treated cells served as control. Cells were then treated with </w:t>
      </w:r>
      <w:r w:rsidRPr="00E05E75">
        <w:rPr>
          <w:color w:val="000000"/>
          <w:sz w:val="20"/>
          <w:szCs w:val="20"/>
        </w:rPr>
        <w:t>15µ l of MTT (5g / ml) in</w:t>
      </w:r>
      <w:r w:rsidR="00E05E75">
        <w:rPr>
          <w:color w:val="000000"/>
          <w:sz w:val="20"/>
          <w:szCs w:val="20"/>
        </w:rPr>
        <w:t xml:space="preserve"> </w:t>
      </w:r>
      <w:r w:rsidRPr="00E05E75">
        <w:rPr>
          <w:color w:val="000000"/>
          <w:sz w:val="20"/>
          <w:szCs w:val="20"/>
        </w:rPr>
        <w:t xml:space="preserve">PBS </w:t>
      </w:r>
      <w:r w:rsidR="00E05E75">
        <w:rPr>
          <w:color w:val="000000"/>
          <w:sz w:val="20"/>
          <w:szCs w:val="20"/>
        </w:rPr>
        <w:t>(</w:t>
      </w:r>
      <w:r w:rsidRPr="00E05E75">
        <w:rPr>
          <w:color w:val="000000"/>
          <w:sz w:val="20"/>
          <w:szCs w:val="20"/>
        </w:rPr>
        <w:t>phosphate buffered saline)</w:t>
      </w:r>
      <w:r w:rsidR="00E05E75">
        <w:rPr>
          <w:color w:val="000000"/>
          <w:sz w:val="20"/>
          <w:szCs w:val="20"/>
        </w:rPr>
        <w:t xml:space="preserve"> </w:t>
      </w:r>
      <w:r w:rsidRPr="00E05E75">
        <w:rPr>
          <w:sz w:val="20"/>
          <w:szCs w:val="20"/>
        </w:rPr>
        <w:t xml:space="preserve">for 4 h at 37°C and then DMSO (200 </w:t>
      </w:r>
      <w:proofErr w:type="spellStart"/>
      <w:r w:rsidRPr="00E05E75">
        <w:rPr>
          <w:sz w:val="20"/>
          <w:szCs w:val="20"/>
        </w:rPr>
        <w:t>μl</w:t>
      </w:r>
      <w:proofErr w:type="spellEnd"/>
      <w:r w:rsidRPr="00E05E75">
        <w:rPr>
          <w:sz w:val="20"/>
          <w:szCs w:val="20"/>
        </w:rPr>
        <w:t xml:space="preserve">) was added to each well to dissolve the </w:t>
      </w:r>
      <w:proofErr w:type="spellStart"/>
      <w:r w:rsidRPr="00E05E75">
        <w:rPr>
          <w:sz w:val="20"/>
          <w:szCs w:val="20"/>
        </w:rPr>
        <w:t>formazan</w:t>
      </w:r>
      <w:proofErr w:type="spellEnd"/>
      <w:r w:rsidRPr="00E05E75">
        <w:rPr>
          <w:sz w:val="20"/>
          <w:szCs w:val="20"/>
        </w:rPr>
        <w:t xml:space="preserve"> crystals. The assay is based on the cleavage of the </w:t>
      </w:r>
      <w:proofErr w:type="spellStart"/>
      <w:r w:rsidRPr="00E05E75">
        <w:rPr>
          <w:sz w:val="20"/>
          <w:szCs w:val="20"/>
        </w:rPr>
        <w:t>tetrazolium</w:t>
      </w:r>
      <w:proofErr w:type="spellEnd"/>
      <w:r w:rsidRPr="00E05E75">
        <w:rPr>
          <w:sz w:val="20"/>
          <w:szCs w:val="20"/>
        </w:rPr>
        <w:t xml:space="preserve"> salt MTT to form purple color </w:t>
      </w:r>
      <w:proofErr w:type="spellStart"/>
      <w:r w:rsidRPr="00E05E75">
        <w:rPr>
          <w:sz w:val="20"/>
          <w:szCs w:val="20"/>
        </w:rPr>
        <w:t>coloured</w:t>
      </w:r>
      <w:proofErr w:type="spellEnd"/>
      <w:r w:rsidRPr="00E05E75">
        <w:rPr>
          <w:sz w:val="20"/>
          <w:szCs w:val="20"/>
        </w:rPr>
        <w:t xml:space="preserve"> </w:t>
      </w:r>
      <w:proofErr w:type="spellStart"/>
      <w:r w:rsidRPr="00E05E75">
        <w:rPr>
          <w:sz w:val="20"/>
          <w:szCs w:val="20"/>
        </w:rPr>
        <w:t>formazen</w:t>
      </w:r>
      <w:proofErr w:type="spellEnd"/>
      <w:r w:rsidRPr="00E05E75">
        <w:rPr>
          <w:sz w:val="20"/>
          <w:szCs w:val="20"/>
        </w:rPr>
        <w:t xml:space="preserve"> dye by viable cells. Thus DMSO soluble </w:t>
      </w:r>
      <w:proofErr w:type="spellStart"/>
      <w:r w:rsidRPr="00E05E75">
        <w:rPr>
          <w:sz w:val="20"/>
          <w:szCs w:val="20"/>
        </w:rPr>
        <w:t>formazan</w:t>
      </w:r>
      <w:proofErr w:type="spellEnd"/>
      <w:r w:rsidRPr="00E05E75">
        <w:rPr>
          <w:sz w:val="20"/>
          <w:szCs w:val="20"/>
        </w:rPr>
        <w:t xml:space="preserve"> is produced. The amount of soluble </w:t>
      </w:r>
      <w:proofErr w:type="spellStart"/>
      <w:r w:rsidRPr="00E05E75">
        <w:rPr>
          <w:sz w:val="20"/>
          <w:szCs w:val="20"/>
        </w:rPr>
        <w:t>formazan</w:t>
      </w:r>
      <w:proofErr w:type="spellEnd"/>
      <w:r w:rsidRPr="00E05E75">
        <w:rPr>
          <w:sz w:val="20"/>
          <w:szCs w:val="20"/>
        </w:rPr>
        <w:t xml:space="preserve"> product</w:t>
      </w:r>
      <w:r w:rsidR="00E05E75">
        <w:rPr>
          <w:sz w:val="20"/>
          <w:szCs w:val="20"/>
        </w:rPr>
        <w:t xml:space="preserve"> </w:t>
      </w:r>
      <w:r w:rsidRPr="00E05E75">
        <w:rPr>
          <w:sz w:val="20"/>
          <w:szCs w:val="20"/>
        </w:rPr>
        <w:t>generated from MTT is proportional to the number</w:t>
      </w:r>
      <w:r w:rsidR="00E05E75">
        <w:rPr>
          <w:sz w:val="20"/>
          <w:szCs w:val="20"/>
        </w:rPr>
        <w:t xml:space="preserve"> </w:t>
      </w:r>
      <w:r w:rsidRPr="00E05E75">
        <w:rPr>
          <w:sz w:val="20"/>
          <w:szCs w:val="20"/>
        </w:rPr>
        <w:t>of living cells in the sample and the optical density (OD) was recorded at 492 nm in a</w:t>
      </w:r>
      <w:r w:rsidR="00E05E75">
        <w:rPr>
          <w:sz w:val="20"/>
          <w:szCs w:val="20"/>
        </w:rPr>
        <w:t xml:space="preserve"> </w:t>
      </w:r>
      <w:proofErr w:type="spellStart"/>
      <w:r w:rsidRPr="00E05E75">
        <w:rPr>
          <w:sz w:val="20"/>
          <w:szCs w:val="20"/>
        </w:rPr>
        <w:t>microplate</w:t>
      </w:r>
      <w:proofErr w:type="spellEnd"/>
      <w:r w:rsidRPr="00E05E75">
        <w:rPr>
          <w:sz w:val="20"/>
          <w:szCs w:val="20"/>
        </w:rPr>
        <w:t xml:space="preserve"> reader. (</w:t>
      </w:r>
      <w:proofErr w:type="gramStart"/>
      <w:r w:rsidRPr="00E05E75">
        <w:rPr>
          <w:sz w:val="20"/>
          <w:szCs w:val="20"/>
        </w:rPr>
        <w:t>a</w:t>
      </w:r>
      <w:proofErr w:type="gramEnd"/>
      <w:r w:rsidRPr="00E05E75">
        <w:rPr>
          <w:sz w:val="20"/>
          <w:szCs w:val="20"/>
        </w:rPr>
        <w:t xml:space="preserve"> </w:t>
      </w:r>
      <w:proofErr w:type="spellStart"/>
      <w:r w:rsidRPr="00E05E75">
        <w:rPr>
          <w:sz w:val="20"/>
          <w:szCs w:val="20"/>
        </w:rPr>
        <w:t>BioTek</w:t>
      </w:r>
      <w:proofErr w:type="spellEnd"/>
      <w:r w:rsidRPr="00E05E75">
        <w:rPr>
          <w:sz w:val="20"/>
          <w:szCs w:val="20"/>
        </w:rPr>
        <w:t xml:space="preserve"> Synergy 2 </w:t>
      </w:r>
      <w:proofErr w:type="spellStart"/>
      <w:r w:rsidRPr="00E05E75">
        <w:rPr>
          <w:sz w:val="20"/>
          <w:szCs w:val="20"/>
        </w:rPr>
        <w:t>multiplate</w:t>
      </w:r>
      <w:proofErr w:type="spellEnd"/>
      <w:r w:rsidRPr="00E05E75">
        <w:rPr>
          <w:sz w:val="20"/>
          <w:szCs w:val="20"/>
        </w:rPr>
        <w:t xml:space="preserve"> reader.). Percentage of residual cell viability was determined as [1</w:t>
      </w:r>
      <w:proofErr w:type="gramStart"/>
      <w:r w:rsidRPr="00E05E75">
        <w:rPr>
          <w:sz w:val="20"/>
          <w:szCs w:val="20"/>
        </w:rPr>
        <w:t>−(</w:t>
      </w:r>
      <w:proofErr w:type="gramEnd"/>
      <w:r w:rsidRPr="00E05E75">
        <w:rPr>
          <w:sz w:val="20"/>
          <w:szCs w:val="20"/>
        </w:rPr>
        <w:t>OD of treated cells/OD of</w:t>
      </w:r>
      <w:r w:rsidR="00E05E75">
        <w:rPr>
          <w:sz w:val="20"/>
          <w:szCs w:val="20"/>
        </w:rPr>
        <w:t xml:space="preserve"> </w:t>
      </w:r>
      <w:r w:rsidRPr="00E05E75">
        <w:rPr>
          <w:sz w:val="20"/>
          <w:szCs w:val="20"/>
        </w:rPr>
        <w:t xml:space="preserve">control cells)]×100. The Inhibitory concentration required for 50% </w:t>
      </w:r>
      <w:proofErr w:type="spellStart"/>
      <w:r w:rsidRPr="00E05E75">
        <w:rPr>
          <w:sz w:val="20"/>
          <w:szCs w:val="20"/>
        </w:rPr>
        <w:t>cytotoxicity</w:t>
      </w:r>
      <w:proofErr w:type="spellEnd"/>
      <w:r w:rsidRPr="00E05E75">
        <w:rPr>
          <w:sz w:val="20"/>
          <w:szCs w:val="20"/>
        </w:rPr>
        <w:t xml:space="preserve"> (IC50) value was </w:t>
      </w:r>
      <w:proofErr w:type="spellStart"/>
      <w:r w:rsidRPr="00E05E75">
        <w:rPr>
          <w:sz w:val="20"/>
          <w:szCs w:val="20"/>
        </w:rPr>
        <w:t>analysed</w:t>
      </w:r>
      <w:proofErr w:type="spellEnd"/>
      <w:r w:rsidRPr="00E05E75">
        <w:rPr>
          <w:sz w:val="20"/>
          <w:szCs w:val="20"/>
        </w:rPr>
        <w:t xml:space="preserve"> using </w:t>
      </w:r>
      <w:proofErr w:type="spellStart"/>
      <w:r w:rsidRPr="00E05E75">
        <w:rPr>
          <w:sz w:val="20"/>
          <w:szCs w:val="20"/>
        </w:rPr>
        <w:t>sigmaplot</w:t>
      </w:r>
      <w:proofErr w:type="spellEnd"/>
      <w:r w:rsidRPr="00E05E75">
        <w:rPr>
          <w:sz w:val="20"/>
          <w:szCs w:val="20"/>
        </w:rPr>
        <w:t xml:space="preserve"> software. Thus MTT assay provides a quantitative measurement of viable cells by determining the amount of </w:t>
      </w:r>
      <w:proofErr w:type="spellStart"/>
      <w:r w:rsidRPr="00E05E75">
        <w:rPr>
          <w:sz w:val="20"/>
          <w:szCs w:val="20"/>
        </w:rPr>
        <w:t>formazan</w:t>
      </w:r>
      <w:proofErr w:type="spellEnd"/>
      <w:r w:rsidRPr="00E05E75">
        <w:rPr>
          <w:sz w:val="20"/>
          <w:szCs w:val="20"/>
        </w:rPr>
        <w:t xml:space="preserve"> produced by metabolically active cells.</w:t>
      </w:r>
    </w:p>
    <w:p w:rsidR="00B562FD" w:rsidRDefault="00B562FD" w:rsidP="007B6A0C">
      <w:pPr>
        <w:autoSpaceDE w:val="0"/>
        <w:autoSpaceDN w:val="0"/>
        <w:adjustRightInd w:val="0"/>
        <w:snapToGrid w:val="0"/>
        <w:ind w:firstLine="425"/>
        <w:jc w:val="both"/>
        <w:rPr>
          <w:rFonts w:hint="eastAsia"/>
          <w:sz w:val="20"/>
          <w:szCs w:val="20"/>
          <w:lang w:eastAsia="zh-CN"/>
        </w:rPr>
      </w:pPr>
      <w:r w:rsidRPr="00E05E75">
        <w:rPr>
          <w:sz w:val="20"/>
          <w:szCs w:val="20"/>
        </w:rPr>
        <w:t xml:space="preserve">For the normal human lymphocytes, which are in suspension, the </w:t>
      </w:r>
      <w:proofErr w:type="spellStart"/>
      <w:r w:rsidRPr="00E05E75">
        <w:rPr>
          <w:sz w:val="20"/>
          <w:szCs w:val="20"/>
        </w:rPr>
        <w:t>cytotoxicity</w:t>
      </w:r>
      <w:proofErr w:type="spellEnd"/>
      <w:r w:rsidRPr="00E05E75">
        <w:rPr>
          <w:sz w:val="20"/>
          <w:szCs w:val="20"/>
        </w:rPr>
        <w:t xml:space="preserve"> was evaluated using the water-soluble MTS (</w:t>
      </w:r>
      <w:proofErr w:type="spellStart"/>
      <w:r w:rsidRPr="00E05E75">
        <w:rPr>
          <w:sz w:val="20"/>
          <w:szCs w:val="20"/>
        </w:rPr>
        <w:t>Voraue</w:t>
      </w:r>
      <w:proofErr w:type="spellEnd"/>
      <w:r w:rsidRPr="00E05E75">
        <w:rPr>
          <w:sz w:val="20"/>
          <w:szCs w:val="20"/>
        </w:rPr>
        <w:t>,</w:t>
      </w:r>
      <w:r w:rsidR="00E05E75">
        <w:rPr>
          <w:rFonts w:hint="eastAsia"/>
          <w:sz w:val="20"/>
          <w:szCs w:val="20"/>
          <w:lang w:eastAsia="zh-CN"/>
        </w:rPr>
        <w:t xml:space="preserve"> </w:t>
      </w:r>
      <w:r w:rsidRPr="00E05E75">
        <w:rPr>
          <w:sz w:val="20"/>
          <w:szCs w:val="20"/>
        </w:rPr>
        <w:t>1997) dye.</w:t>
      </w:r>
    </w:p>
    <w:p w:rsidR="00C34190" w:rsidRPr="00E05E75" w:rsidRDefault="00C34190" w:rsidP="007B6A0C">
      <w:pPr>
        <w:autoSpaceDE w:val="0"/>
        <w:autoSpaceDN w:val="0"/>
        <w:adjustRightInd w:val="0"/>
        <w:snapToGrid w:val="0"/>
        <w:ind w:firstLine="425"/>
        <w:jc w:val="both"/>
        <w:rPr>
          <w:rFonts w:hint="eastAsia"/>
          <w:color w:val="000000"/>
          <w:sz w:val="20"/>
          <w:szCs w:val="20"/>
          <w:lang w:eastAsia="zh-CN"/>
        </w:rPr>
      </w:pPr>
    </w:p>
    <w:p w:rsidR="00B562FD" w:rsidRPr="00E05E75" w:rsidRDefault="00B562FD" w:rsidP="007B6A0C">
      <w:pPr>
        <w:autoSpaceDE w:val="0"/>
        <w:autoSpaceDN w:val="0"/>
        <w:adjustRightInd w:val="0"/>
        <w:snapToGrid w:val="0"/>
        <w:jc w:val="both"/>
        <w:rPr>
          <w:b/>
          <w:bCs/>
          <w:sz w:val="20"/>
          <w:szCs w:val="20"/>
        </w:rPr>
      </w:pPr>
      <w:r w:rsidRPr="00E05E75">
        <w:rPr>
          <w:b/>
          <w:bCs/>
          <w:sz w:val="20"/>
          <w:szCs w:val="20"/>
        </w:rPr>
        <w:t>Cell morphological studies</w:t>
      </w:r>
    </w:p>
    <w:p w:rsidR="00B562FD" w:rsidRDefault="00B562FD" w:rsidP="007B6A0C">
      <w:pPr>
        <w:autoSpaceDE w:val="0"/>
        <w:autoSpaceDN w:val="0"/>
        <w:adjustRightInd w:val="0"/>
        <w:snapToGrid w:val="0"/>
        <w:ind w:firstLine="425"/>
        <w:jc w:val="both"/>
        <w:rPr>
          <w:rFonts w:hint="eastAsia"/>
          <w:sz w:val="20"/>
          <w:szCs w:val="20"/>
          <w:lang w:eastAsia="zh-CN"/>
        </w:rPr>
      </w:pPr>
      <w:r w:rsidRPr="00E05E75">
        <w:rPr>
          <w:sz w:val="20"/>
          <w:szCs w:val="20"/>
        </w:rPr>
        <w:t xml:space="preserve">To determine the morphological changes of cells DAPI staining was </w:t>
      </w:r>
      <w:proofErr w:type="spellStart"/>
      <w:r w:rsidRPr="00E05E75">
        <w:rPr>
          <w:sz w:val="20"/>
          <w:szCs w:val="20"/>
        </w:rPr>
        <w:t>performed.The</w:t>
      </w:r>
      <w:proofErr w:type="spellEnd"/>
      <w:r w:rsidRPr="00E05E75">
        <w:rPr>
          <w:sz w:val="20"/>
          <w:szCs w:val="20"/>
        </w:rPr>
        <w:t xml:space="preserve"> cells were seeded on glass slide and treated with each concentration of </w:t>
      </w:r>
      <w:r w:rsidRPr="00E05E75">
        <w:rPr>
          <w:sz w:val="20"/>
          <w:szCs w:val="20"/>
        </w:rPr>
        <w:lastRenderedPageBreak/>
        <w:t xml:space="preserve">both </w:t>
      </w:r>
      <w:proofErr w:type="gramStart"/>
      <w:r w:rsidRPr="00E05E75">
        <w:rPr>
          <w:sz w:val="20"/>
          <w:szCs w:val="20"/>
        </w:rPr>
        <w:t>WE and ME</w:t>
      </w:r>
      <w:proofErr w:type="gramEnd"/>
      <w:r w:rsidRPr="00E05E75">
        <w:rPr>
          <w:sz w:val="20"/>
          <w:szCs w:val="20"/>
        </w:rPr>
        <w:t xml:space="preserve"> for 24 hours.</w:t>
      </w:r>
      <w:r w:rsidR="00E05E75">
        <w:rPr>
          <w:rFonts w:hint="eastAsia"/>
          <w:sz w:val="20"/>
          <w:szCs w:val="20"/>
          <w:lang w:eastAsia="zh-CN"/>
        </w:rPr>
        <w:t xml:space="preserve"> </w:t>
      </w:r>
      <w:r w:rsidRPr="00E05E75">
        <w:rPr>
          <w:sz w:val="20"/>
          <w:szCs w:val="20"/>
        </w:rPr>
        <w:t xml:space="preserve">Untreated and treated cells were rinsed with phosphate buffered saline, fixed with ice- cold 10%tri </w:t>
      </w:r>
      <w:proofErr w:type="spellStart"/>
      <w:r w:rsidRPr="00E05E75">
        <w:rPr>
          <w:sz w:val="20"/>
          <w:szCs w:val="20"/>
        </w:rPr>
        <w:t>chloroacetic</w:t>
      </w:r>
      <w:proofErr w:type="spellEnd"/>
      <w:r w:rsidRPr="00E05E75">
        <w:rPr>
          <w:sz w:val="20"/>
          <w:szCs w:val="20"/>
        </w:rPr>
        <w:t xml:space="preserve"> acid and further washed with cold 70%, 80% and 90 % of ethanol. The cells were stained with 1 </w:t>
      </w:r>
      <w:proofErr w:type="spellStart"/>
      <w:r w:rsidRPr="00E05E75">
        <w:rPr>
          <w:sz w:val="20"/>
          <w:szCs w:val="20"/>
        </w:rPr>
        <w:t>μg</w:t>
      </w:r>
      <w:proofErr w:type="spellEnd"/>
      <w:r w:rsidRPr="00E05E75">
        <w:rPr>
          <w:sz w:val="20"/>
          <w:szCs w:val="20"/>
        </w:rPr>
        <w:t xml:space="preserve"> /ml 4- 6 – </w:t>
      </w:r>
      <w:proofErr w:type="spellStart"/>
      <w:r w:rsidRPr="00E05E75">
        <w:rPr>
          <w:sz w:val="20"/>
          <w:szCs w:val="20"/>
        </w:rPr>
        <w:t>diamidino</w:t>
      </w:r>
      <w:proofErr w:type="spellEnd"/>
      <w:r w:rsidRPr="00E05E75">
        <w:rPr>
          <w:sz w:val="20"/>
          <w:szCs w:val="20"/>
        </w:rPr>
        <w:t xml:space="preserve"> – 2 –</w:t>
      </w:r>
      <w:proofErr w:type="spellStart"/>
      <w:r w:rsidRPr="00E05E75">
        <w:rPr>
          <w:sz w:val="20"/>
          <w:szCs w:val="20"/>
        </w:rPr>
        <w:t>phenylindole</w:t>
      </w:r>
      <w:proofErr w:type="spellEnd"/>
      <w:r w:rsidRPr="00E05E75">
        <w:rPr>
          <w:sz w:val="20"/>
          <w:szCs w:val="20"/>
        </w:rPr>
        <w:t xml:space="preserve"> (DAPI) for 3 minutes cover slipped with 90% glycerol and observed under florescence microscope.</w:t>
      </w:r>
    </w:p>
    <w:p w:rsidR="00C34190" w:rsidRDefault="00C34190" w:rsidP="007B6A0C">
      <w:pPr>
        <w:autoSpaceDE w:val="0"/>
        <w:autoSpaceDN w:val="0"/>
        <w:adjustRightInd w:val="0"/>
        <w:snapToGrid w:val="0"/>
        <w:ind w:firstLine="425"/>
        <w:jc w:val="both"/>
        <w:rPr>
          <w:rFonts w:hint="eastAsia"/>
          <w:sz w:val="20"/>
          <w:szCs w:val="20"/>
          <w:lang w:eastAsia="zh-CN"/>
        </w:rPr>
      </w:pPr>
    </w:p>
    <w:p w:rsidR="00B562FD" w:rsidRPr="00E05E75" w:rsidRDefault="00B562FD" w:rsidP="007B6A0C">
      <w:pPr>
        <w:autoSpaceDE w:val="0"/>
        <w:autoSpaceDN w:val="0"/>
        <w:adjustRightInd w:val="0"/>
        <w:snapToGrid w:val="0"/>
        <w:jc w:val="both"/>
        <w:rPr>
          <w:b/>
          <w:bCs/>
          <w:sz w:val="20"/>
          <w:szCs w:val="20"/>
        </w:rPr>
      </w:pPr>
      <w:r w:rsidRPr="00E05E75">
        <w:rPr>
          <w:b/>
          <w:bCs/>
          <w:sz w:val="20"/>
          <w:szCs w:val="20"/>
        </w:rPr>
        <w:t>Statistical analysis</w:t>
      </w:r>
    </w:p>
    <w:p w:rsidR="00B562FD" w:rsidRPr="00E05E75" w:rsidRDefault="00B562FD" w:rsidP="007B6A0C">
      <w:pPr>
        <w:autoSpaceDE w:val="0"/>
        <w:autoSpaceDN w:val="0"/>
        <w:adjustRightInd w:val="0"/>
        <w:snapToGrid w:val="0"/>
        <w:ind w:firstLine="425"/>
        <w:jc w:val="both"/>
        <w:rPr>
          <w:sz w:val="20"/>
          <w:szCs w:val="20"/>
        </w:rPr>
      </w:pPr>
      <w:r w:rsidRPr="00E05E75">
        <w:rPr>
          <w:sz w:val="20"/>
          <w:szCs w:val="20"/>
        </w:rPr>
        <w:t xml:space="preserve">The IC50 (50% </w:t>
      </w:r>
      <w:proofErr w:type="spellStart"/>
      <w:r w:rsidRPr="00E05E75">
        <w:rPr>
          <w:sz w:val="20"/>
          <w:szCs w:val="20"/>
        </w:rPr>
        <w:t>cytotoxicity</w:t>
      </w:r>
      <w:proofErr w:type="spellEnd"/>
      <w:r w:rsidRPr="00E05E75">
        <w:rPr>
          <w:sz w:val="20"/>
          <w:szCs w:val="20"/>
        </w:rPr>
        <w:t xml:space="preserve">) is the concentration of the toxic compound that </w:t>
      </w:r>
      <w:proofErr w:type="spellStart"/>
      <w:r w:rsidRPr="00E05E75">
        <w:rPr>
          <w:sz w:val="20"/>
          <w:szCs w:val="20"/>
        </w:rPr>
        <w:t>reducesthe</w:t>
      </w:r>
      <w:proofErr w:type="spellEnd"/>
      <w:r w:rsidRPr="00E05E75">
        <w:rPr>
          <w:sz w:val="20"/>
          <w:szCs w:val="20"/>
        </w:rPr>
        <w:t xml:space="preserve"> biological activity by 50%. The IC50 value was obtained from MTT assay and calculated using Microsoft excel software. The values were expressed in geometric mean. </w:t>
      </w:r>
      <w:proofErr w:type="gramStart"/>
      <w:r w:rsidRPr="00E05E75">
        <w:rPr>
          <w:sz w:val="20"/>
          <w:szCs w:val="20"/>
        </w:rPr>
        <w:t xml:space="preserve">Differences </w:t>
      </w:r>
      <w:proofErr w:type="spellStart"/>
      <w:r w:rsidRPr="00E05E75">
        <w:rPr>
          <w:sz w:val="20"/>
          <w:szCs w:val="20"/>
        </w:rPr>
        <w:t>wereconsidered</w:t>
      </w:r>
      <w:proofErr w:type="spellEnd"/>
      <w:r w:rsidRPr="00E05E75">
        <w:rPr>
          <w:sz w:val="20"/>
          <w:szCs w:val="20"/>
        </w:rPr>
        <w:t xml:space="preserve"> to be a statically significant when P &lt;0.05 and P &lt; 0.01.</w:t>
      </w:r>
      <w:proofErr w:type="gramEnd"/>
    </w:p>
    <w:p w:rsidR="00B562FD" w:rsidRPr="00E05E75" w:rsidRDefault="00B562FD" w:rsidP="007B6A0C">
      <w:pPr>
        <w:autoSpaceDE w:val="0"/>
        <w:autoSpaceDN w:val="0"/>
        <w:adjustRightInd w:val="0"/>
        <w:snapToGrid w:val="0"/>
        <w:jc w:val="both"/>
        <w:rPr>
          <w:sz w:val="20"/>
          <w:szCs w:val="20"/>
        </w:rPr>
      </w:pPr>
    </w:p>
    <w:p w:rsidR="00B562FD" w:rsidRPr="00E05E75" w:rsidRDefault="00B562FD" w:rsidP="007B6A0C">
      <w:pPr>
        <w:autoSpaceDE w:val="0"/>
        <w:autoSpaceDN w:val="0"/>
        <w:adjustRightInd w:val="0"/>
        <w:snapToGrid w:val="0"/>
        <w:jc w:val="both"/>
        <w:rPr>
          <w:b/>
          <w:sz w:val="20"/>
          <w:szCs w:val="20"/>
        </w:rPr>
      </w:pPr>
      <w:proofErr w:type="gramStart"/>
      <w:r w:rsidRPr="00E05E75">
        <w:rPr>
          <w:b/>
          <w:sz w:val="20"/>
          <w:szCs w:val="20"/>
        </w:rPr>
        <w:t>3.Result</w:t>
      </w:r>
      <w:proofErr w:type="gramEnd"/>
      <w:r w:rsidRPr="00E05E75">
        <w:rPr>
          <w:b/>
          <w:sz w:val="20"/>
          <w:szCs w:val="20"/>
        </w:rPr>
        <w:t xml:space="preserve"> and Discussion</w:t>
      </w:r>
    </w:p>
    <w:p w:rsidR="00B562FD" w:rsidRPr="00E05E75" w:rsidRDefault="00B562FD" w:rsidP="007B6A0C">
      <w:pPr>
        <w:autoSpaceDE w:val="0"/>
        <w:autoSpaceDN w:val="0"/>
        <w:adjustRightInd w:val="0"/>
        <w:snapToGrid w:val="0"/>
        <w:ind w:firstLine="425"/>
        <w:jc w:val="both"/>
        <w:rPr>
          <w:sz w:val="20"/>
          <w:szCs w:val="20"/>
        </w:rPr>
      </w:pPr>
      <w:proofErr w:type="gramStart"/>
      <w:r w:rsidRPr="00E05E75">
        <w:rPr>
          <w:sz w:val="20"/>
          <w:szCs w:val="20"/>
        </w:rPr>
        <w:t xml:space="preserve">On the basis of </w:t>
      </w:r>
      <w:proofErr w:type="spellStart"/>
      <w:r w:rsidRPr="00E05E75">
        <w:rPr>
          <w:sz w:val="20"/>
          <w:szCs w:val="20"/>
        </w:rPr>
        <w:t>phenotypical</w:t>
      </w:r>
      <w:proofErr w:type="spellEnd"/>
      <w:r w:rsidRPr="00E05E75">
        <w:rPr>
          <w:sz w:val="20"/>
          <w:szCs w:val="20"/>
        </w:rPr>
        <w:t xml:space="preserve"> (morphological</w:t>
      </w:r>
      <w:r w:rsidR="00E05E75">
        <w:rPr>
          <w:sz w:val="20"/>
          <w:szCs w:val="20"/>
        </w:rPr>
        <w:t>,</w:t>
      </w:r>
      <w:r w:rsidRPr="00E05E75">
        <w:rPr>
          <w:sz w:val="20"/>
          <w:szCs w:val="20"/>
        </w:rPr>
        <w:t xml:space="preserve"> biochemical and anatomical</w:t>
      </w:r>
      <w:r w:rsidR="00E05E75">
        <w:rPr>
          <w:sz w:val="20"/>
          <w:szCs w:val="20"/>
        </w:rPr>
        <w:t>)</w:t>
      </w:r>
      <w:r w:rsidRPr="00E05E75">
        <w:rPr>
          <w:sz w:val="20"/>
          <w:szCs w:val="20"/>
        </w:rPr>
        <w:t xml:space="preserve"> characters of the collected fruit body of mushrooms</w:t>
      </w:r>
      <w:r w:rsidR="00E05E75">
        <w:rPr>
          <w:sz w:val="20"/>
          <w:szCs w:val="20"/>
        </w:rPr>
        <w:t xml:space="preserve"> </w:t>
      </w:r>
      <w:r w:rsidRPr="00E05E75">
        <w:rPr>
          <w:sz w:val="20"/>
          <w:szCs w:val="20"/>
        </w:rPr>
        <w:t>and comparing with the published keys of mushrooms (</w:t>
      </w:r>
      <w:hyperlink r:id="rId13" w:history="1">
        <w:r w:rsidRPr="00E05E75">
          <w:rPr>
            <w:rStyle w:val="Hyperlink"/>
            <w:sz w:val="20"/>
            <w:szCs w:val="20"/>
          </w:rPr>
          <w:t>www.britmycolsoc.org.uk</w:t>
        </w:r>
      </w:hyperlink>
      <w:r w:rsidR="00E05E75">
        <w:rPr>
          <w:sz w:val="20"/>
          <w:szCs w:val="20"/>
        </w:rPr>
        <w:t>.</w:t>
      </w:r>
      <w:r w:rsidRPr="00E05E75">
        <w:rPr>
          <w:sz w:val="20"/>
          <w:szCs w:val="20"/>
        </w:rPr>
        <w:t xml:space="preserve"> www.mycokey.com</w:t>
      </w:r>
      <w:r w:rsidR="00E05E75">
        <w:rPr>
          <w:sz w:val="20"/>
          <w:szCs w:val="20"/>
        </w:rPr>
        <w:t>)</w:t>
      </w:r>
      <w:r w:rsidRPr="00E05E75">
        <w:rPr>
          <w:sz w:val="20"/>
          <w:szCs w:val="20"/>
        </w:rPr>
        <w:t>.</w:t>
      </w:r>
      <w:proofErr w:type="gramEnd"/>
      <w:r w:rsidRPr="00E05E75">
        <w:rPr>
          <w:sz w:val="20"/>
          <w:szCs w:val="20"/>
        </w:rPr>
        <w:t xml:space="preserve"> </w:t>
      </w:r>
      <w:proofErr w:type="gramStart"/>
      <w:r w:rsidRPr="00E05E75">
        <w:rPr>
          <w:sz w:val="20"/>
          <w:szCs w:val="20"/>
        </w:rPr>
        <w:t>it</w:t>
      </w:r>
      <w:proofErr w:type="gramEnd"/>
      <w:r w:rsidRPr="00E05E75">
        <w:rPr>
          <w:sz w:val="20"/>
          <w:szCs w:val="20"/>
        </w:rPr>
        <w:t xml:space="preserve"> was identified as </w:t>
      </w:r>
      <w:proofErr w:type="spellStart"/>
      <w:r w:rsidRPr="00E05E75">
        <w:rPr>
          <w:i/>
          <w:sz w:val="20"/>
          <w:szCs w:val="20"/>
        </w:rPr>
        <w:t>Calocybe</w:t>
      </w:r>
      <w:proofErr w:type="spellEnd"/>
      <w:r w:rsidRPr="00E05E75">
        <w:rPr>
          <w:i/>
          <w:sz w:val="20"/>
          <w:szCs w:val="20"/>
        </w:rPr>
        <w:t xml:space="preserve"> </w:t>
      </w:r>
      <w:proofErr w:type="spellStart"/>
      <w:r w:rsidRPr="00E05E75">
        <w:rPr>
          <w:i/>
          <w:sz w:val="20"/>
          <w:szCs w:val="20"/>
        </w:rPr>
        <w:t>indica</w:t>
      </w:r>
      <w:proofErr w:type="spellEnd"/>
      <w:r w:rsidR="00E05E75">
        <w:rPr>
          <w:sz w:val="20"/>
          <w:szCs w:val="20"/>
        </w:rPr>
        <w:t>.</w:t>
      </w:r>
    </w:p>
    <w:p w:rsidR="00B562FD" w:rsidRPr="00E05E75" w:rsidRDefault="00B562FD" w:rsidP="007B6A0C">
      <w:pPr>
        <w:autoSpaceDE w:val="0"/>
        <w:autoSpaceDN w:val="0"/>
        <w:adjustRightInd w:val="0"/>
        <w:snapToGrid w:val="0"/>
        <w:ind w:firstLine="425"/>
        <w:jc w:val="both"/>
        <w:rPr>
          <w:rFonts w:hint="eastAsia"/>
          <w:sz w:val="20"/>
          <w:szCs w:val="20"/>
          <w:lang w:eastAsia="zh-CN"/>
        </w:rPr>
      </w:pPr>
      <w:r w:rsidRPr="00E05E75">
        <w:rPr>
          <w:sz w:val="20"/>
          <w:szCs w:val="20"/>
        </w:rPr>
        <w:t>The inhibitory/</w:t>
      </w:r>
      <w:proofErr w:type="spellStart"/>
      <w:r w:rsidRPr="00E05E75">
        <w:rPr>
          <w:sz w:val="20"/>
          <w:szCs w:val="20"/>
        </w:rPr>
        <w:t>cytotoxicity</w:t>
      </w:r>
      <w:proofErr w:type="spellEnd"/>
      <w:r w:rsidRPr="00E05E75">
        <w:rPr>
          <w:sz w:val="20"/>
          <w:szCs w:val="20"/>
        </w:rPr>
        <w:t xml:space="preserve"> properties of water and </w:t>
      </w:r>
      <w:proofErr w:type="spellStart"/>
      <w:r w:rsidRPr="00E05E75">
        <w:rPr>
          <w:sz w:val="20"/>
          <w:szCs w:val="20"/>
        </w:rPr>
        <w:t>methanolic</w:t>
      </w:r>
      <w:proofErr w:type="spellEnd"/>
      <w:r w:rsidRPr="00E05E75">
        <w:rPr>
          <w:sz w:val="20"/>
          <w:szCs w:val="20"/>
        </w:rPr>
        <w:t xml:space="preserve"> extracts are compared with standard </w:t>
      </w:r>
      <w:proofErr w:type="spellStart"/>
      <w:r w:rsidRPr="00E05E75">
        <w:rPr>
          <w:sz w:val="20"/>
          <w:szCs w:val="20"/>
        </w:rPr>
        <w:t>tamoxifen</w:t>
      </w:r>
      <w:proofErr w:type="spellEnd"/>
      <w:r w:rsidRPr="00E05E75">
        <w:rPr>
          <w:sz w:val="20"/>
          <w:szCs w:val="20"/>
        </w:rPr>
        <w:t xml:space="preserve"> for MCF-7 cell line and </w:t>
      </w:r>
      <w:proofErr w:type="spellStart"/>
      <w:r w:rsidRPr="00E05E75">
        <w:rPr>
          <w:sz w:val="20"/>
          <w:szCs w:val="20"/>
        </w:rPr>
        <w:t>vincristne</w:t>
      </w:r>
      <w:proofErr w:type="spellEnd"/>
      <w:r w:rsidRPr="00E05E75">
        <w:rPr>
          <w:sz w:val="20"/>
          <w:szCs w:val="20"/>
        </w:rPr>
        <w:t xml:space="preserve"> on </w:t>
      </w:r>
      <w:r w:rsidRPr="00E05E75">
        <w:rPr>
          <w:rFonts w:eastAsia="Times New Roman"/>
          <w:sz w:val="20"/>
          <w:szCs w:val="20"/>
        </w:rPr>
        <w:t xml:space="preserve">MHH‐ES‐1 </w:t>
      </w:r>
      <w:r w:rsidRPr="00E05E75">
        <w:rPr>
          <w:sz w:val="20"/>
          <w:szCs w:val="20"/>
        </w:rPr>
        <w:t>cell line (Tables 1, 2</w:t>
      </w:r>
      <w:proofErr w:type="gramStart"/>
      <w:r w:rsidRPr="00E05E75">
        <w:rPr>
          <w:sz w:val="20"/>
          <w:szCs w:val="20"/>
        </w:rPr>
        <w:t>,3</w:t>
      </w:r>
      <w:proofErr w:type="gramEnd"/>
      <w:r w:rsidRPr="00E05E75">
        <w:rPr>
          <w:sz w:val="20"/>
          <w:szCs w:val="20"/>
        </w:rPr>
        <w:t xml:space="preserve"> and 4) respectively. The maximum concentration (mg/ml) used in the study was 100 mg/ml. The results presented in the table1 showed that 100mg/ml</w:t>
      </w:r>
      <w:r w:rsidR="00E05E75">
        <w:rPr>
          <w:sz w:val="20"/>
          <w:szCs w:val="20"/>
        </w:rPr>
        <w:t xml:space="preserve"> </w:t>
      </w:r>
      <w:r w:rsidRPr="00E05E75">
        <w:rPr>
          <w:sz w:val="20"/>
          <w:szCs w:val="20"/>
        </w:rPr>
        <w:t>concentration of</w:t>
      </w:r>
      <w:r w:rsidR="00E05E75">
        <w:rPr>
          <w:sz w:val="20"/>
          <w:szCs w:val="20"/>
        </w:rPr>
        <w:t xml:space="preserve"> </w:t>
      </w:r>
      <w:r w:rsidRPr="00E05E75">
        <w:rPr>
          <w:sz w:val="20"/>
          <w:szCs w:val="20"/>
        </w:rPr>
        <w:t xml:space="preserve">WE of </w:t>
      </w:r>
      <w:r w:rsidRPr="00E05E75">
        <w:rPr>
          <w:i/>
          <w:sz w:val="20"/>
          <w:szCs w:val="20"/>
        </w:rPr>
        <w:t xml:space="preserve">C. </w:t>
      </w:r>
      <w:proofErr w:type="spellStart"/>
      <w:r w:rsidRPr="00E05E75">
        <w:rPr>
          <w:i/>
          <w:sz w:val="20"/>
          <w:szCs w:val="20"/>
        </w:rPr>
        <w:t>indica</w:t>
      </w:r>
      <w:proofErr w:type="spellEnd"/>
      <w:r w:rsidRPr="00E05E75">
        <w:rPr>
          <w:i/>
          <w:sz w:val="20"/>
          <w:szCs w:val="20"/>
        </w:rPr>
        <w:t xml:space="preserve"> </w:t>
      </w:r>
      <w:r w:rsidRPr="00E05E75">
        <w:rPr>
          <w:sz w:val="20"/>
          <w:szCs w:val="20"/>
        </w:rPr>
        <w:t xml:space="preserve">caused 71.2 %of MHH-ES cell death while 5mg/ml has no effect. 100mg/ml </w:t>
      </w:r>
      <w:proofErr w:type="spellStart"/>
      <w:r w:rsidRPr="00E05E75">
        <w:rPr>
          <w:sz w:val="20"/>
          <w:szCs w:val="20"/>
        </w:rPr>
        <w:t>Vincristine</w:t>
      </w:r>
      <w:proofErr w:type="spellEnd"/>
      <w:r w:rsidRPr="00E05E75">
        <w:rPr>
          <w:sz w:val="20"/>
          <w:szCs w:val="20"/>
        </w:rPr>
        <w:t xml:space="preserve"> showed 98.02 % of cell death</w:t>
      </w:r>
      <w:r w:rsidR="00E05E75">
        <w:rPr>
          <w:sz w:val="20"/>
          <w:szCs w:val="20"/>
        </w:rPr>
        <w:t>.</w:t>
      </w:r>
      <w:r w:rsidRPr="00E05E75">
        <w:rPr>
          <w:sz w:val="20"/>
          <w:szCs w:val="20"/>
        </w:rPr>
        <w:t xml:space="preserve"> ME (100mg/ml) gave 81.20 % of cell death (table2) and it was better inhibition than WE</w:t>
      </w:r>
      <w:proofErr w:type="gramStart"/>
      <w:r w:rsidRPr="00E05E75">
        <w:rPr>
          <w:sz w:val="20"/>
          <w:szCs w:val="20"/>
        </w:rPr>
        <w:t>.(</w:t>
      </w:r>
      <w:proofErr w:type="gramEnd"/>
      <w:r w:rsidRPr="00E05E75">
        <w:rPr>
          <w:sz w:val="20"/>
          <w:szCs w:val="20"/>
        </w:rPr>
        <w:t>100mg/ml)</w:t>
      </w:r>
      <w:r w:rsidR="00E05E75">
        <w:rPr>
          <w:sz w:val="20"/>
          <w:szCs w:val="20"/>
        </w:rPr>
        <w:t>.</w:t>
      </w:r>
      <w:r w:rsidRPr="00E05E75">
        <w:rPr>
          <w:sz w:val="20"/>
          <w:szCs w:val="20"/>
        </w:rPr>
        <w:t xml:space="preserve"> In case of MCF7 cell line</w:t>
      </w:r>
      <w:r w:rsidR="00E05E75">
        <w:rPr>
          <w:sz w:val="20"/>
          <w:szCs w:val="20"/>
        </w:rPr>
        <w:t>,</w:t>
      </w:r>
      <w:r w:rsidRPr="00E05E75">
        <w:rPr>
          <w:sz w:val="20"/>
          <w:szCs w:val="20"/>
        </w:rPr>
        <w:t xml:space="preserve"> the effect of both WE and ME of this mushroom have the same trends</w:t>
      </w:r>
      <w:r w:rsidR="00E05E75">
        <w:rPr>
          <w:sz w:val="20"/>
          <w:szCs w:val="20"/>
        </w:rPr>
        <w:t>.</w:t>
      </w:r>
      <w:r w:rsidR="00E05E75">
        <w:rPr>
          <w:rFonts w:hint="eastAsia"/>
          <w:sz w:val="20"/>
          <w:szCs w:val="20"/>
          <w:lang w:eastAsia="zh-CN"/>
        </w:rPr>
        <w:t xml:space="preserve"> </w:t>
      </w:r>
      <w:r w:rsidRPr="00E05E75">
        <w:rPr>
          <w:sz w:val="20"/>
          <w:szCs w:val="20"/>
        </w:rPr>
        <w:t>WE</w:t>
      </w:r>
      <w:r w:rsidR="00E05E75">
        <w:rPr>
          <w:rFonts w:hint="eastAsia"/>
          <w:sz w:val="20"/>
          <w:szCs w:val="20"/>
          <w:lang w:eastAsia="zh-CN"/>
        </w:rPr>
        <w:t xml:space="preserve"> </w:t>
      </w:r>
      <w:r w:rsidRPr="00E05E75">
        <w:rPr>
          <w:sz w:val="20"/>
          <w:szCs w:val="20"/>
        </w:rPr>
        <w:t>(100mg/ml</w:t>
      </w:r>
      <w:r w:rsidR="00E05E75">
        <w:rPr>
          <w:sz w:val="20"/>
          <w:szCs w:val="20"/>
        </w:rPr>
        <w:t>)</w:t>
      </w:r>
      <w:r w:rsidR="00E05E75">
        <w:rPr>
          <w:rFonts w:hint="eastAsia"/>
          <w:sz w:val="20"/>
          <w:szCs w:val="20"/>
          <w:lang w:eastAsia="zh-CN"/>
        </w:rPr>
        <w:t xml:space="preserve"> </w:t>
      </w:r>
      <w:r w:rsidRPr="00E05E75">
        <w:rPr>
          <w:sz w:val="20"/>
          <w:szCs w:val="20"/>
        </w:rPr>
        <w:t>gave 88.20 % of cell death</w:t>
      </w:r>
      <w:r w:rsidR="00E05E75">
        <w:rPr>
          <w:rFonts w:hint="eastAsia"/>
          <w:sz w:val="20"/>
          <w:szCs w:val="20"/>
          <w:lang w:eastAsia="zh-CN"/>
        </w:rPr>
        <w:t xml:space="preserve"> </w:t>
      </w:r>
      <w:r w:rsidRPr="00E05E75">
        <w:rPr>
          <w:sz w:val="20"/>
          <w:szCs w:val="20"/>
        </w:rPr>
        <w:t>(table 3)</w:t>
      </w:r>
      <w:r w:rsidR="00E05E75">
        <w:rPr>
          <w:sz w:val="20"/>
          <w:szCs w:val="20"/>
        </w:rPr>
        <w:t xml:space="preserve"> </w:t>
      </w:r>
      <w:r w:rsidRPr="00E05E75">
        <w:rPr>
          <w:sz w:val="20"/>
          <w:szCs w:val="20"/>
        </w:rPr>
        <w:t>while ME (100mg/ml</w:t>
      </w:r>
      <w:r w:rsidR="00E05E75">
        <w:rPr>
          <w:sz w:val="20"/>
          <w:szCs w:val="20"/>
        </w:rPr>
        <w:t>)</w:t>
      </w:r>
      <w:r w:rsidR="00E05E75">
        <w:rPr>
          <w:rFonts w:hint="eastAsia"/>
          <w:sz w:val="20"/>
          <w:szCs w:val="20"/>
          <w:lang w:eastAsia="zh-CN"/>
        </w:rPr>
        <w:t xml:space="preserve"> </w:t>
      </w:r>
      <w:r w:rsidRPr="00E05E75">
        <w:rPr>
          <w:sz w:val="20"/>
          <w:szCs w:val="20"/>
        </w:rPr>
        <w:t>gave 89.20%)</w:t>
      </w:r>
      <w:r w:rsidR="00E05E75">
        <w:rPr>
          <w:rFonts w:hint="eastAsia"/>
          <w:sz w:val="20"/>
          <w:szCs w:val="20"/>
          <w:lang w:eastAsia="zh-CN"/>
        </w:rPr>
        <w:t xml:space="preserve"> </w:t>
      </w:r>
      <w:r w:rsidRPr="00E05E75">
        <w:rPr>
          <w:sz w:val="20"/>
          <w:szCs w:val="20"/>
        </w:rPr>
        <w:t>(</w:t>
      </w:r>
      <w:proofErr w:type="gramStart"/>
      <w:r w:rsidRPr="00E05E75">
        <w:rPr>
          <w:sz w:val="20"/>
          <w:szCs w:val="20"/>
        </w:rPr>
        <w:t>table</w:t>
      </w:r>
      <w:proofErr w:type="gramEnd"/>
      <w:r w:rsidRPr="00E05E75">
        <w:rPr>
          <w:sz w:val="20"/>
          <w:szCs w:val="20"/>
        </w:rPr>
        <w:t xml:space="preserve"> 4). </w:t>
      </w:r>
      <w:r w:rsidRPr="00E05E75">
        <w:rPr>
          <w:rFonts w:eastAsia="Times New Roman"/>
          <w:sz w:val="20"/>
          <w:szCs w:val="20"/>
        </w:rPr>
        <w:t xml:space="preserve">The IC50 values of </w:t>
      </w:r>
      <w:proofErr w:type="gramStart"/>
      <w:r w:rsidRPr="00E05E75">
        <w:rPr>
          <w:rFonts w:eastAsia="Times New Roman"/>
          <w:sz w:val="20"/>
          <w:szCs w:val="20"/>
        </w:rPr>
        <w:t>WE and ME</w:t>
      </w:r>
      <w:proofErr w:type="gramEnd"/>
      <w:r w:rsidRPr="00E05E75">
        <w:rPr>
          <w:rFonts w:eastAsia="Times New Roman"/>
          <w:sz w:val="20"/>
          <w:szCs w:val="20"/>
        </w:rPr>
        <w:t xml:space="preserve"> in MHH‐ES‐1 cell line were </w:t>
      </w:r>
      <w:r w:rsidRPr="00E05E75">
        <w:rPr>
          <w:sz w:val="20"/>
          <w:szCs w:val="20"/>
        </w:rPr>
        <w:t>55.25±1.201mg/ml and</w:t>
      </w:r>
      <w:r w:rsidRPr="00E05E75">
        <w:rPr>
          <w:rFonts w:eastAsia="Times New Roman"/>
          <w:sz w:val="20"/>
          <w:szCs w:val="20"/>
        </w:rPr>
        <w:t xml:space="preserve"> </w:t>
      </w:r>
      <w:r w:rsidRPr="00E05E75">
        <w:rPr>
          <w:sz w:val="20"/>
          <w:szCs w:val="20"/>
        </w:rPr>
        <w:t>46.56±0.134mg/ml</w:t>
      </w:r>
      <w:r w:rsidR="00E05E75">
        <w:rPr>
          <w:rFonts w:eastAsia="Times New Roman"/>
          <w:sz w:val="20"/>
          <w:szCs w:val="20"/>
        </w:rPr>
        <w:t xml:space="preserve"> </w:t>
      </w:r>
      <w:r w:rsidRPr="00E05E75">
        <w:rPr>
          <w:rFonts w:eastAsia="Times New Roman"/>
          <w:sz w:val="20"/>
          <w:szCs w:val="20"/>
        </w:rPr>
        <w:t>respectively while</w:t>
      </w:r>
      <w:r w:rsidR="00E05E75">
        <w:rPr>
          <w:rFonts w:eastAsia="Times New Roman"/>
          <w:sz w:val="20"/>
          <w:szCs w:val="20"/>
        </w:rPr>
        <w:t xml:space="preserve"> </w:t>
      </w:r>
      <w:r w:rsidRPr="00E05E75">
        <w:rPr>
          <w:sz w:val="20"/>
          <w:szCs w:val="20"/>
        </w:rPr>
        <w:t>these values of MCF7 cell line were</w:t>
      </w:r>
      <w:r w:rsidRPr="00E05E75">
        <w:rPr>
          <w:rFonts w:eastAsia="Times New Roman"/>
          <w:sz w:val="20"/>
          <w:szCs w:val="20"/>
        </w:rPr>
        <w:t xml:space="preserve"> </w:t>
      </w:r>
      <w:r w:rsidRPr="00E05E75">
        <w:rPr>
          <w:sz w:val="20"/>
          <w:szCs w:val="20"/>
        </w:rPr>
        <w:t>52.12±0.15mg/ml and</w:t>
      </w:r>
      <w:r w:rsidRPr="00E05E75">
        <w:rPr>
          <w:rFonts w:eastAsia="Times New Roman"/>
          <w:sz w:val="20"/>
          <w:szCs w:val="20"/>
        </w:rPr>
        <w:t xml:space="preserve"> </w:t>
      </w:r>
      <w:r w:rsidRPr="00E05E75">
        <w:rPr>
          <w:sz w:val="20"/>
          <w:szCs w:val="20"/>
        </w:rPr>
        <w:t>47.94±0.09mg/ml respectively</w:t>
      </w:r>
      <w:r w:rsidR="00E05E75">
        <w:rPr>
          <w:rFonts w:hint="eastAsia"/>
          <w:sz w:val="20"/>
          <w:szCs w:val="20"/>
          <w:lang w:eastAsia="zh-CN"/>
        </w:rPr>
        <w:t>.</w:t>
      </w:r>
    </w:p>
    <w:p w:rsidR="00EC35EE" w:rsidRPr="00E05E75" w:rsidRDefault="00B562FD" w:rsidP="00E05E75">
      <w:pPr>
        <w:autoSpaceDE w:val="0"/>
        <w:autoSpaceDN w:val="0"/>
        <w:adjustRightInd w:val="0"/>
        <w:snapToGrid w:val="0"/>
        <w:ind w:firstLine="425"/>
        <w:jc w:val="both"/>
        <w:rPr>
          <w:sz w:val="20"/>
          <w:szCs w:val="20"/>
        </w:rPr>
      </w:pPr>
      <w:r w:rsidRPr="00E05E75">
        <w:rPr>
          <w:sz w:val="20"/>
          <w:szCs w:val="20"/>
        </w:rPr>
        <w:t>The Percentage</w:t>
      </w:r>
      <w:r w:rsidR="00E05E75">
        <w:rPr>
          <w:sz w:val="20"/>
          <w:szCs w:val="20"/>
        </w:rPr>
        <w:t xml:space="preserve"> </w:t>
      </w:r>
      <w:r w:rsidRPr="00E05E75">
        <w:rPr>
          <w:sz w:val="20"/>
          <w:szCs w:val="20"/>
        </w:rPr>
        <w:t>of cancer cell death are found to be concentration dependent (table 1</w:t>
      </w:r>
      <w:proofErr w:type="gramStart"/>
      <w:r w:rsidRPr="00E05E75">
        <w:rPr>
          <w:sz w:val="20"/>
          <w:szCs w:val="20"/>
        </w:rPr>
        <w:t>,2,3</w:t>
      </w:r>
      <w:proofErr w:type="gramEnd"/>
      <w:r w:rsidRPr="00E05E75">
        <w:rPr>
          <w:sz w:val="20"/>
          <w:szCs w:val="20"/>
        </w:rPr>
        <w:t>,</w:t>
      </w:r>
      <w:r w:rsidR="00E05E75">
        <w:rPr>
          <w:rFonts w:hint="eastAsia"/>
          <w:sz w:val="20"/>
          <w:szCs w:val="20"/>
          <w:lang w:eastAsia="zh-CN"/>
        </w:rPr>
        <w:t xml:space="preserve"> </w:t>
      </w:r>
      <w:r w:rsidRPr="00E05E75">
        <w:rPr>
          <w:sz w:val="20"/>
          <w:szCs w:val="20"/>
        </w:rPr>
        <w:t xml:space="preserve">and 4). A linear relationship between the </w:t>
      </w:r>
      <w:proofErr w:type="spellStart"/>
      <w:r w:rsidRPr="00E05E75">
        <w:rPr>
          <w:sz w:val="20"/>
          <w:szCs w:val="20"/>
        </w:rPr>
        <w:t>formazan</w:t>
      </w:r>
      <w:proofErr w:type="spellEnd"/>
      <w:r w:rsidRPr="00E05E75">
        <w:rPr>
          <w:sz w:val="20"/>
          <w:szCs w:val="20"/>
        </w:rPr>
        <w:t xml:space="preserve"> generated and the number of viable cells was demonstrated, together with time-dependent growth characteristics for MCF-7 cells by Ferrari </w:t>
      </w:r>
      <w:r w:rsidRPr="00E05E75">
        <w:rPr>
          <w:i/>
          <w:iCs/>
          <w:sz w:val="20"/>
          <w:szCs w:val="20"/>
        </w:rPr>
        <w:t>et al</w:t>
      </w:r>
      <w:r w:rsidRPr="00E05E75">
        <w:rPr>
          <w:sz w:val="20"/>
          <w:szCs w:val="20"/>
        </w:rPr>
        <w:t>., (1990).</w:t>
      </w:r>
      <w:r w:rsidR="00E05E75">
        <w:rPr>
          <w:rFonts w:hint="eastAsia"/>
          <w:sz w:val="20"/>
          <w:szCs w:val="20"/>
          <w:lang w:eastAsia="zh-CN"/>
        </w:rPr>
        <w:t xml:space="preserve"> </w:t>
      </w:r>
    </w:p>
    <w:p w:rsidR="00E05E75" w:rsidRDefault="00E05E75" w:rsidP="007B6A0C">
      <w:pPr>
        <w:autoSpaceDE w:val="0"/>
        <w:autoSpaceDN w:val="0"/>
        <w:adjustRightInd w:val="0"/>
        <w:snapToGrid w:val="0"/>
        <w:jc w:val="both"/>
        <w:rPr>
          <w:sz w:val="20"/>
          <w:szCs w:val="20"/>
        </w:rPr>
        <w:sectPr w:rsidR="00E05E75" w:rsidSect="00E05E75">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576"/>
          <w:docGrid w:linePitch="360"/>
        </w:sectPr>
      </w:pPr>
    </w:p>
    <w:p w:rsidR="00E05E75" w:rsidRDefault="00E05E75" w:rsidP="007B6A0C">
      <w:pPr>
        <w:autoSpaceDE w:val="0"/>
        <w:autoSpaceDN w:val="0"/>
        <w:adjustRightInd w:val="0"/>
        <w:snapToGrid w:val="0"/>
        <w:jc w:val="both"/>
        <w:rPr>
          <w:rFonts w:hint="eastAsia"/>
          <w:sz w:val="20"/>
          <w:szCs w:val="20"/>
          <w:lang w:eastAsia="zh-CN"/>
        </w:rPr>
      </w:pPr>
    </w:p>
    <w:p w:rsidR="00C34190" w:rsidRDefault="00C34190" w:rsidP="007B6A0C">
      <w:pPr>
        <w:autoSpaceDE w:val="0"/>
        <w:autoSpaceDN w:val="0"/>
        <w:adjustRightInd w:val="0"/>
        <w:snapToGrid w:val="0"/>
        <w:jc w:val="both"/>
        <w:rPr>
          <w:rFonts w:hint="eastAsia"/>
          <w:sz w:val="20"/>
          <w:szCs w:val="20"/>
          <w:lang w:eastAsia="zh-CN"/>
        </w:rPr>
      </w:pPr>
    </w:p>
    <w:p w:rsidR="00C34190" w:rsidRDefault="00C34190" w:rsidP="007B6A0C">
      <w:pPr>
        <w:autoSpaceDE w:val="0"/>
        <w:autoSpaceDN w:val="0"/>
        <w:adjustRightInd w:val="0"/>
        <w:snapToGrid w:val="0"/>
        <w:jc w:val="both"/>
        <w:rPr>
          <w:rFonts w:hint="eastAsia"/>
          <w:sz w:val="20"/>
          <w:szCs w:val="20"/>
          <w:lang w:eastAsia="zh-CN"/>
        </w:rPr>
      </w:pPr>
    </w:p>
    <w:p w:rsidR="00C34190" w:rsidRDefault="00C34190" w:rsidP="007B6A0C">
      <w:pPr>
        <w:autoSpaceDE w:val="0"/>
        <w:autoSpaceDN w:val="0"/>
        <w:adjustRightInd w:val="0"/>
        <w:snapToGrid w:val="0"/>
        <w:jc w:val="both"/>
        <w:rPr>
          <w:rFonts w:hint="eastAsia"/>
          <w:sz w:val="20"/>
          <w:szCs w:val="20"/>
          <w:lang w:eastAsia="zh-CN"/>
        </w:rPr>
      </w:pPr>
    </w:p>
    <w:p w:rsidR="00B562FD" w:rsidRPr="00E05E75" w:rsidRDefault="00B562FD" w:rsidP="007B6A0C">
      <w:pPr>
        <w:autoSpaceDE w:val="0"/>
        <w:autoSpaceDN w:val="0"/>
        <w:adjustRightInd w:val="0"/>
        <w:snapToGrid w:val="0"/>
        <w:jc w:val="both"/>
        <w:rPr>
          <w:sz w:val="20"/>
          <w:szCs w:val="20"/>
        </w:rPr>
      </w:pPr>
      <w:proofErr w:type="gramStart"/>
      <w:r w:rsidRPr="00E05E75">
        <w:rPr>
          <w:sz w:val="20"/>
          <w:szCs w:val="20"/>
        </w:rPr>
        <w:t>Table</w:t>
      </w:r>
      <w:r w:rsidR="00E05E75">
        <w:rPr>
          <w:rFonts w:hint="eastAsia"/>
          <w:sz w:val="20"/>
          <w:szCs w:val="20"/>
          <w:lang w:eastAsia="zh-CN"/>
        </w:rPr>
        <w:t xml:space="preserve"> </w:t>
      </w:r>
      <w:r w:rsidRPr="00E05E75">
        <w:rPr>
          <w:sz w:val="20"/>
          <w:szCs w:val="20"/>
        </w:rPr>
        <w:t>1</w:t>
      </w:r>
      <w:r w:rsidR="00E05E75">
        <w:rPr>
          <w:rFonts w:hint="eastAsia"/>
          <w:sz w:val="20"/>
          <w:szCs w:val="20"/>
          <w:lang w:eastAsia="zh-CN"/>
        </w:rPr>
        <w:t>.</w:t>
      </w:r>
      <w:proofErr w:type="gramEnd"/>
      <w:r w:rsidRPr="00E05E75">
        <w:rPr>
          <w:sz w:val="20"/>
          <w:szCs w:val="20"/>
        </w:rPr>
        <w:t xml:space="preserve"> Effect of water </w:t>
      </w:r>
      <w:proofErr w:type="gramStart"/>
      <w:r w:rsidRPr="00E05E75">
        <w:rPr>
          <w:sz w:val="20"/>
          <w:szCs w:val="20"/>
        </w:rPr>
        <w:t>extract(</w:t>
      </w:r>
      <w:proofErr w:type="gramEnd"/>
      <w:r w:rsidRPr="00E05E75">
        <w:rPr>
          <w:sz w:val="20"/>
          <w:szCs w:val="20"/>
        </w:rPr>
        <w:t xml:space="preserve">WE) of </w:t>
      </w:r>
      <w:r w:rsidRPr="00E05E75">
        <w:rPr>
          <w:i/>
          <w:sz w:val="20"/>
          <w:szCs w:val="20"/>
        </w:rPr>
        <w:t xml:space="preserve">C. </w:t>
      </w:r>
      <w:proofErr w:type="spellStart"/>
      <w:r w:rsidRPr="00E05E75">
        <w:rPr>
          <w:i/>
          <w:sz w:val="20"/>
          <w:szCs w:val="20"/>
        </w:rPr>
        <w:t>indica</w:t>
      </w:r>
      <w:proofErr w:type="spellEnd"/>
      <w:r w:rsidRPr="00E05E75">
        <w:rPr>
          <w:sz w:val="20"/>
          <w:szCs w:val="20"/>
        </w:rPr>
        <w:t xml:space="preserve"> on </w:t>
      </w:r>
      <w:r w:rsidRPr="00E05E75">
        <w:rPr>
          <w:rFonts w:eastAsia="Times New Roman"/>
          <w:sz w:val="20"/>
          <w:szCs w:val="20"/>
        </w:rPr>
        <w:t>MHH‐ES‐1</w:t>
      </w:r>
      <w:r w:rsidR="00E05E75">
        <w:rPr>
          <w:rFonts w:eastAsia="Times New Roman"/>
          <w:sz w:val="20"/>
          <w:szCs w:val="20"/>
        </w:rPr>
        <w:t xml:space="preserve"> </w:t>
      </w:r>
      <w:r w:rsidRPr="00E05E75">
        <w:rPr>
          <w:sz w:val="20"/>
          <w:szCs w:val="20"/>
        </w:rPr>
        <w:t>cell line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4"/>
        <w:gridCol w:w="2697"/>
        <w:gridCol w:w="2390"/>
        <w:gridCol w:w="1885"/>
      </w:tblGrid>
      <w:tr w:rsidR="00B562FD" w:rsidRPr="00E05E75" w:rsidTr="00E05E75">
        <w:trPr>
          <w:jc w:val="center"/>
        </w:trPr>
        <w:tc>
          <w:tcPr>
            <w:tcW w:w="1360"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Treatment(mg/ml)</w:t>
            </w:r>
          </w:p>
        </w:tc>
        <w:tc>
          <w:tcPr>
            <w:tcW w:w="1408"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 of</w:t>
            </w:r>
            <w:r w:rsidR="00E05E75">
              <w:rPr>
                <w:color w:val="000000"/>
                <w:sz w:val="20"/>
                <w:szCs w:val="20"/>
              </w:rPr>
              <w:t xml:space="preserve"> </w:t>
            </w:r>
            <w:r w:rsidRPr="00E05E75">
              <w:rPr>
                <w:color w:val="000000"/>
                <w:sz w:val="20"/>
                <w:szCs w:val="20"/>
              </w:rPr>
              <w:t xml:space="preserve">Dead </w:t>
            </w:r>
            <w:proofErr w:type="spellStart"/>
            <w:r w:rsidRPr="00E05E75">
              <w:rPr>
                <w:color w:val="000000"/>
                <w:sz w:val="20"/>
                <w:szCs w:val="20"/>
              </w:rPr>
              <w:t>cell±SE</w:t>
            </w:r>
            <w:proofErr w:type="spellEnd"/>
          </w:p>
        </w:tc>
        <w:tc>
          <w:tcPr>
            <w:tcW w:w="1248"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 of viable cells</w:t>
            </w:r>
          </w:p>
        </w:tc>
        <w:tc>
          <w:tcPr>
            <w:tcW w:w="984" w:type="pct"/>
            <w:tcBorders>
              <w:left w:val="single" w:sz="4" w:space="0" w:color="auto"/>
              <w:bottom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IC50</w:t>
            </w:r>
          </w:p>
        </w:tc>
      </w:tr>
      <w:tr w:rsidR="00B562FD" w:rsidRPr="00E05E75" w:rsidTr="00E05E75">
        <w:trPr>
          <w:jc w:val="center"/>
        </w:trPr>
        <w:tc>
          <w:tcPr>
            <w:tcW w:w="1360"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05</w:t>
            </w:r>
          </w:p>
        </w:tc>
        <w:tc>
          <w:tcPr>
            <w:tcW w:w="1408"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0.00</w:t>
            </w:r>
          </w:p>
        </w:tc>
        <w:tc>
          <w:tcPr>
            <w:tcW w:w="1248"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100</w:t>
            </w:r>
          </w:p>
        </w:tc>
        <w:tc>
          <w:tcPr>
            <w:tcW w:w="984" w:type="pct"/>
            <w:vMerge w:val="restart"/>
            <w:tcBorders>
              <w:top w:val="single" w:sz="4" w:space="0" w:color="auto"/>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55.25±1.201</w:t>
            </w:r>
          </w:p>
        </w:tc>
      </w:tr>
      <w:tr w:rsidR="00B562FD" w:rsidRPr="00E05E75" w:rsidTr="00E05E75">
        <w:trPr>
          <w:jc w:val="center"/>
        </w:trPr>
        <w:tc>
          <w:tcPr>
            <w:tcW w:w="1360"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w:t>
            </w:r>
          </w:p>
        </w:tc>
        <w:tc>
          <w:tcPr>
            <w:tcW w:w="1408"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0.52</w:t>
            </w:r>
            <w:r w:rsidRPr="00E05E75">
              <w:rPr>
                <w:rFonts w:eastAsia="Times New Roman"/>
                <w:color w:val="000000"/>
                <w:sz w:val="20"/>
                <w:szCs w:val="20"/>
              </w:rPr>
              <w:t xml:space="preserve"> ±0.001</w:t>
            </w:r>
          </w:p>
        </w:tc>
        <w:tc>
          <w:tcPr>
            <w:tcW w:w="1248"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94.80±1.20</w:t>
            </w:r>
          </w:p>
        </w:tc>
        <w:tc>
          <w:tcPr>
            <w:tcW w:w="984"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360"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20</w:t>
            </w:r>
          </w:p>
        </w:tc>
        <w:tc>
          <w:tcPr>
            <w:tcW w:w="1408"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23.00±0.20</w:t>
            </w:r>
          </w:p>
        </w:tc>
        <w:tc>
          <w:tcPr>
            <w:tcW w:w="1248"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73.00±1.003</w:t>
            </w:r>
          </w:p>
        </w:tc>
        <w:tc>
          <w:tcPr>
            <w:tcW w:w="984"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360"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50</w:t>
            </w:r>
          </w:p>
        </w:tc>
        <w:tc>
          <w:tcPr>
            <w:tcW w:w="1408"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48.00±0.20</w:t>
            </w:r>
          </w:p>
        </w:tc>
        <w:tc>
          <w:tcPr>
            <w:tcW w:w="1248"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52.00±0.70</w:t>
            </w:r>
          </w:p>
        </w:tc>
        <w:tc>
          <w:tcPr>
            <w:tcW w:w="984"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360"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100</w:t>
            </w:r>
          </w:p>
        </w:tc>
        <w:tc>
          <w:tcPr>
            <w:tcW w:w="1408"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71.2.0±0.23</w:t>
            </w:r>
          </w:p>
        </w:tc>
        <w:tc>
          <w:tcPr>
            <w:tcW w:w="1248"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28.80±0..914</w:t>
            </w:r>
          </w:p>
        </w:tc>
        <w:tc>
          <w:tcPr>
            <w:tcW w:w="984"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360"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 xml:space="preserve">100 </w:t>
            </w:r>
            <w:proofErr w:type="spellStart"/>
            <w:r w:rsidRPr="00E05E75">
              <w:rPr>
                <w:color w:val="000000"/>
                <w:sz w:val="20"/>
                <w:szCs w:val="20"/>
              </w:rPr>
              <w:t>Vincristine</w:t>
            </w:r>
            <w:proofErr w:type="spellEnd"/>
          </w:p>
        </w:tc>
        <w:tc>
          <w:tcPr>
            <w:tcW w:w="1408"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98.02±1.0</w:t>
            </w:r>
          </w:p>
        </w:tc>
        <w:tc>
          <w:tcPr>
            <w:tcW w:w="1248"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01..08±.0001</w:t>
            </w:r>
          </w:p>
        </w:tc>
        <w:tc>
          <w:tcPr>
            <w:tcW w:w="984"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360"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Negative</w:t>
            </w:r>
            <w:r w:rsidR="00E05E75">
              <w:rPr>
                <w:color w:val="000000"/>
                <w:sz w:val="20"/>
                <w:szCs w:val="20"/>
              </w:rPr>
              <w:t xml:space="preserve"> </w:t>
            </w:r>
            <w:r w:rsidRPr="00E05E75">
              <w:rPr>
                <w:color w:val="000000"/>
                <w:sz w:val="20"/>
                <w:szCs w:val="20"/>
              </w:rPr>
              <w:t>control</w:t>
            </w:r>
          </w:p>
        </w:tc>
        <w:tc>
          <w:tcPr>
            <w:tcW w:w="1408"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00.00</w:t>
            </w:r>
          </w:p>
        </w:tc>
        <w:tc>
          <w:tcPr>
            <w:tcW w:w="1248"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100.00</w:t>
            </w:r>
          </w:p>
        </w:tc>
        <w:tc>
          <w:tcPr>
            <w:tcW w:w="984"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bl>
    <w:p w:rsidR="00EC35EE" w:rsidRDefault="00EC35EE" w:rsidP="007B6A0C">
      <w:pPr>
        <w:autoSpaceDE w:val="0"/>
        <w:autoSpaceDN w:val="0"/>
        <w:adjustRightInd w:val="0"/>
        <w:snapToGrid w:val="0"/>
        <w:ind w:firstLine="425"/>
        <w:jc w:val="both"/>
        <w:rPr>
          <w:rFonts w:hint="eastAsia"/>
          <w:sz w:val="20"/>
          <w:szCs w:val="20"/>
          <w:lang w:eastAsia="zh-CN"/>
        </w:rPr>
      </w:pPr>
    </w:p>
    <w:p w:rsidR="00C34190" w:rsidRPr="00E05E75" w:rsidRDefault="00C34190" w:rsidP="007B6A0C">
      <w:pPr>
        <w:autoSpaceDE w:val="0"/>
        <w:autoSpaceDN w:val="0"/>
        <w:adjustRightInd w:val="0"/>
        <w:snapToGrid w:val="0"/>
        <w:ind w:firstLine="425"/>
        <w:jc w:val="both"/>
        <w:rPr>
          <w:sz w:val="20"/>
          <w:szCs w:val="20"/>
          <w:lang w:eastAsia="zh-CN"/>
        </w:rPr>
      </w:pPr>
    </w:p>
    <w:p w:rsidR="00B562FD" w:rsidRPr="00E05E75" w:rsidRDefault="00B562FD" w:rsidP="007B6A0C">
      <w:pPr>
        <w:autoSpaceDE w:val="0"/>
        <w:autoSpaceDN w:val="0"/>
        <w:adjustRightInd w:val="0"/>
        <w:snapToGrid w:val="0"/>
        <w:jc w:val="both"/>
        <w:rPr>
          <w:sz w:val="20"/>
          <w:szCs w:val="20"/>
        </w:rPr>
      </w:pPr>
      <w:proofErr w:type="gramStart"/>
      <w:r w:rsidRPr="00E05E75">
        <w:rPr>
          <w:sz w:val="20"/>
          <w:szCs w:val="20"/>
        </w:rPr>
        <w:t>Table 2</w:t>
      </w:r>
      <w:r w:rsidR="00C34190">
        <w:rPr>
          <w:rFonts w:hint="eastAsia"/>
          <w:sz w:val="20"/>
          <w:szCs w:val="20"/>
          <w:lang w:eastAsia="zh-CN"/>
        </w:rPr>
        <w:t>.</w:t>
      </w:r>
      <w:proofErr w:type="gramEnd"/>
      <w:r w:rsidRPr="00E05E75">
        <w:rPr>
          <w:sz w:val="20"/>
          <w:szCs w:val="20"/>
        </w:rPr>
        <w:t xml:space="preserve"> Effect of </w:t>
      </w:r>
      <w:proofErr w:type="spellStart"/>
      <w:r w:rsidRPr="00E05E75">
        <w:rPr>
          <w:sz w:val="20"/>
          <w:szCs w:val="20"/>
        </w:rPr>
        <w:t>methanolic</w:t>
      </w:r>
      <w:proofErr w:type="spellEnd"/>
      <w:r w:rsidRPr="00E05E75">
        <w:rPr>
          <w:sz w:val="20"/>
          <w:szCs w:val="20"/>
        </w:rPr>
        <w:t xml:space="preserve"> </w:t>
      </w:r>
      <w:proofErr w:type="gramStart"/>
      <w:r w:rsidRPr="00E05E75">
        <w:rPr>
          <w:sz w:val="20"/>
          <w:szCs w:val="20"/>
        </w:rPr>
        <w:t>extract(</w:t>
      </w:r>
      <w:proofErr w:type="gramEnd"/>
      <w:r w:rsidRPr="00E05E75">
        <w:rPr>
          <w:sz w:val="20"/>
          <w:szCs w:val="20"/>
        </w:rPr>
        <w:t xml:space="preserve">ME) of </w:t>
      </w:r>
      <w:r w:rsidRPr="00E05E75">
        <w:rPr>
          <w:i/>
          <w:sz w:val="20"/>
          <w:szCs w:val="20"/>
        </w:rPr>
        <w:t xml:space="preserve">C. </w:t>
      </w:r>
      <w:proofErr w:type="spellStart"/>
      <w:r w:rsidRPr="00E05E75">
        <w:rPr>
          <w:i/>
          <w:sz w:val="20"/>
          <w:szCs w:val="20"/>
        </w:rPr>
        <w:t>indica</w:t>
      </w:r>
      <w:proofErr w:type="spellEnd"/>
      <w:r w:rsidRPr="00E05E75">
        <w:rPr>
          <w:sz w:val="20"/>
          <w:szCs w:val="20"/>
        </w:rPr>
        <w:t xml:space="preserve"> on </w:t>
      </w:r>
      <w:r w:rsidRPr="00E05E75">
        <w:rPr>
          <w:rFonts w:eastAsia="Times New Roman"/>
          <w:sz w:val="20"/>
          <w:szCs w:val="20"/>
        </w:rPr>
        <w:t>MHH‐ES‐1</w:t>
      </w:r>
      <w:r w:rsidR="00E05E75">
        <w:rPr>
          <w:rFonts w:eastAsia="Times New Roman"/>
          <w:sz w:val="20"/>
          <w:szCs w:val="20"/>
        </w:rPr>
        <w:t xml:space="preserve"> </w:t>
      </w:r>
      <w:r w:rsidRPr="00E05E75">
        <w:rPr>
          <w:sz w:val="20"/>
          <w:szCs w:val="20"/>
        </w:rPr>
        <w:t>cell line.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4"/>
        <w:gridCol w:w="2264"/>
        <w:gridCol w:w="2007"/>
        <w:gridCol w:w="1641"/>
      </w:tblGrid>
      <w:tr w:rsidR="00B562FD" w:rsidRPr="00E05E75" w:rsidTr="00E05E75">
        <w:trPr>
          <w:jc w:val="center"/>
        </w:trPr>
        <w:tc>
          <w:tcPr>
            <w:tcW w:w="1913"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Treatment(mg/ml)</w:t>
            </w:r>
          </w:p>
        </w:tc>
        <w:tc>
          <w:tcPr>
            <w:tcW w:w="1182"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 of</w:t>
            </w:r>
            <w:r w:rsidR="00E05E75">
              <w:rPr>
                <w:color w:val="000000"/>
                <w:sz w:val="20"/>
                <w:szCs w:val="20"/>
              </w:rPr>
              <w:t xml:space="preserve"> </w:t>
            </w:r>
            <w:r w:rsidRPr="00E05E75">
              <w:rPr>
                <w:color w:val="000000"/>
                <w:sz w:val="20"/>
                <w:szCs w:val="20"/>
              </w:rPr>
              <w:t xml:space="preserve">Dead </w:t>
            </w:r>
            <w:proofErr w:type="spellStart"/>
            <w:r w:rsidRPr="00E05E75">
              <w:rPr>
                <w:color w:val="000000"/>
                <w:sz w:val="20"/>
                <w:szCs w:val="20"/>
              </w:rPr>
              <w:t>cell±SE</w:t>
            </w:r>
            <w:proofErr w:type="spellEnd"/>
          </w:p>
        </w:tc>
        <w:tc>
          <w:tcPr>
            <w:tcW w:w="1048"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 of viable cells</w:t>
            </w:r>
          </w:p>
        </w:tc>
        <w:tc>
          <w:tcPr>
            <w:tcW w:w="857" w:type="pct"/>
            <w:tcBorders>
              <w:top w:val="single" w:sz="4" w:space="0" w:color="auto"/>
              <w:left w:val="single" w:sz="4" w:space="0" w:color="auto"/>
              <w:bottom w:val="single" w:sz="4" w:space="0" w:color="auto"/>
            </w:tcBorders>
            <w:vAlign w:val="center"/>
          </w:tcPr>
          <w:p w:rsidR="00B562FD" w:rsidRPr="00E05E75" w:rsidRDefault="00B562FD" w:rsidP="007B6A0C">
            <w:pPr>
              <w:autoSpaceDE w:val="0"/>
              <w:autoSpaceDN w:val="0"/>
              <w:adjustRightInd w:val="0"/>
              <w:snapToGrid w:val="0"/>
              <w:jc w:val="both"/>
              <w:rPr>
                <w:rFonts w:hint="eastAsia"/>
                <w:color w:val="000000"/>
                <w:sz w:val="20"/>
                <w:szCs w:val="20"/>
                <w:lang w:eastAsia="zh-CN"/>
              </w:rPr>
            </w:pPr>
            <w:r w:rsidRPr="00E05E75">
              <w:rPr>
                <w:color w:val="000000"/>
                <w:sz w:val="20"/>
                <w:szCs w:val="20"/>
              </w:rPr>
              <w:t>IC50(mg/ml)</w:t>
            </w:r>
          </w:p>
        </w:tc>
      </w:tr>
      <w:tr w:rsidR="00B562FD" w:rsidRPr="00E05E75" w:rsidTr="00E05E75">
        <w:trPr>
          <w:jc w:val="center"/>
        </w:trPr>
        <w:tc>
          <w:tcPr>
            <w:tcW w:w="1913"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05</w:t>
            </w:r>
          </w:p>
        </w:tc>
        <w:tc>
          <w:tcPr>
            <w:tcW w:w="1182"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0.00</w:t>
            </w:r>
          </w:p>
        </w:tc>
        <w:tc>
          <w:tcPr>
            <w:tcW w:w="1048"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100</w:t>
            </w:r>
          </w:p>
        </w:tc>
        <w:tc>
          <w:tcPr>
            <w:tcW w:w="857" w:type="pct"/>
            <w:vMerge w:val="restart"/>
            <w:tcBorders>
              <w:top w:val="single" w:sz="4" w:space="0" w:color="auto"/>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46.56±0.134</w:t>
            </w:r>
          </w:p>
        </w:tc>
      </w:tr>
      <w:tr w:rsidR="00B562FD" w:rsidRPr="00E05E75" w:rsidTr="00E05E75">
        <w:trPr>
          <w:jc w:val="center"/>
        </w:trPr>
        <w:tc>
          <w:tcPr>
            <w:tcW w:w="1913"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w:t>
            </w:r>
          </w:p>
        </w:tc>
        <w:tc>
          <w:tcPr>
            <w:tcW w:w="1182"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5.52</w:t>
            </w:r>
            <w:r w:rsidRPr="00E05E75">
              <w:rPr>
                <w:rFonts w:eastAsia="Times New Roman"/>
                <w:color w:val="000000"/>
                <w:sz w:val="20"/>
                <w:szCs w:val="20"/>
              </w:rPr>
              <w:t xml:space="preserve"> ±0.001</w:t>
            </w:r>
          </w:p>
        </w:tc>
        <w:tc>
          <w:tcPr>
            <w:tcW w:w="1048"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94.48±1.20</w:t>
            </w:r>
          </w:p>
        </w:tc>
        <w:tc>
          <w:tcPr>
            <w:tcW w:w="857"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913"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20</w:t>
            </w:r>
          </w:p>
        </w:tc>
        <w:tc>
          <w:tcPr>
            <w:tcW w:w="1182"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33.00±0.20</w:t>
            </w:r>
          </w:p>
        </w:tc>
        <w:tc>
          <w:tcPr>
            <w:tcW w:w="1048"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67.00±1.003</w:t>
            </w:r>
          </w:p>
        </w:tc>
        <w:tc>
          <w:tcPr>
            <w:tcW w:w="857"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913"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50</w:t>
            </w:r>
          </w:p>
        </w:tc>
        <w:tc>
          <w:tcPr>
            <w:tcW w:w="1182"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58.00±0.20</w:t>
            </w:r>
          </w:p>
        </w:tc>
        <w:tc>
          <w:tcPr>
            <w:tcW w:w="1048"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42.00±0.70</w:t>
            </w:r>
          </w:p>
        </w:tc>
        <w:tc>
          <w:tcPr>
            <w:tcW w:w="857"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913"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100</w:t>
            </w:r>
          </w:p>
        </w:tc>
        <w:tc>
          <w:tcPr>
            <w:tcW w:w="1182"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81.20±0.23</w:t>
            </w:r>
          </w:p>
        </w:tc>
        <w:tc>
          <w:tcPr>
            <w:tcW w:w="1048"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18.80±.914</w:t>
            </w:r>
          </w:p>
        </w:tc>
        <w:tc>
          <w:tcPr>
            <w:tcW w:w="857"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913"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100 (positive control)</w:t>
            </w:r>
            <w:proofErr w:type="spellStart"/>
            <w:r w:rsidRPr="00E05E75">
              <w:rPr>
                <w:color w:val="000000"/>
                <w:sz w:val="20"/>
                <w:szCs w:val="20"/>
              </w:rPr>
              <w:t>Vincristine</w:t>
            </w:r>
            <w:proofErr w:type="spellEnd"/>
          </w:p>
        </w:tc>
        <w:tc>
          <w:tcPr>
            <w:tcW w:w="1182"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98.02±1.0</w:t>
            </w:r>
          </w:p>
        </w:tc>
        <w:tc>
          <w:tcPr>
            <w:tcW w:w="1048"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01..08±.0001</w:t>
            </w:r>
          </w:p>
        </w:tc>
        <w:tc>
          <w:tcPr>
            <w:tcW w:w="857"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913"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Negative</w:t>
            </w:r>
            <w:r w:rsidR="00E05E75">
              <w:rPr>
                <w:color w:val="000000"/>
                <w:sz w:val="20"/>
                <w:szCs w:val="20"/>
              </w:rPr>
              <w:t xml:space="preserve"> </w:t>
            </w:r>
            <w:r w:rsidRPr="00E05E75">
              <w:rPr>
                <w:color w:val="000000"/>
                <w:sz w:val="20"/>
                <w:szCs w:val="20"/>
              </w:rPr>
              <w:t>control</w:t>
            </w:r>
          </w:p>
        </w:tc>
        <w:tc>
          <w:tcPr>
            <w:tcW w:w="1182"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00.00</w:t>
            </w:r>
          </w:p>
        </w:tc>
        <w:tc>
          <w:tcPr>
            <w:tcW w:w="1048"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100.00</w:t>
            </w:r>
          </w:p>
        </w:tc>
        <w:tc>
          <w:tcPr>
            <w:tcW w:w="857"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bl>
    <w:p w:rsidR="00B562FD" w:rsidRDefault="00B562FD" w:rsidP="007B6A0C">
      <w:pPr>
        <w:autoSpaceDE w:val="0"/>
        <w:autoSpaceDN w:val="0"/>
        <w:adjustRightInd w:val="0"/>
        <w:snapToGrid w:val="0"/>
        <w:jc w:val="center"/>
        <w:rPr>
          <w:rFonts w:hint="eastAsia"/>
          <w:sz w:val="20"/>
          <w:szCs w:val="20"/>
          <w:lang w:eastAsia="zh-CN"/>
        </w:rPr>
      </w:pPr>
    </w:p>
    <w:p w:rsidR="00C34190" w:rsidRPr="00E05E75" w:rsidRDefault="00C34190" w:rsidP="007B6A0C">
      <w:pPr>
        <w:autoSpaceDE w:val="0"/>
        <w:autoSpaceDN w:val="0"/>
        <w:adjustRightInd w:val="0"/>
        <w:snapToGrid w:val="0"/>
        <w:jc w:val="center"/>
        <w:rPr>
          <w:rFonts w:hint="eastAsia"/>
          <w:sz w:val="20"/>
          <w:szCs w:val="20"/>
          <w:lang w:eastAsia="zh-CN"/>
        </w:rPr>
      </w:pPr>
    </w:p>
    <w:p w:rsidR="00B562FD" w:rsidRPr="00E05E75" w:rsidRDefault="00B562FD" w:rsidP="007B6A0C">
      <w:pPr>
        <w:autoSpaceDE w:val="0"/>
        <w:autoSpaceDN w:val="0"/>
        <w:adjustRightInd w:val="0"/>
        <w:snapToGrid w:val="0"/>
        <w:jc w:val="both"/>
        <w:rPr>
          <w:sz w:val="20"/>
          <w:szCs w:val="20"/>
        </w:rPr>
      </w:pPr>
      <w:proofErr w:type="gramStart"/>
      <w:r w:rsidRPr="00E05E75">
        <w:rPr>
          <w:sz w:val="20"/>
          <w:szCs w:val="20"/>
        </w:rPr>
        <w:t>Table 3</w:t>
      </w:r>
      <w:r w:rsidR="00C34190">
        <w:rPr>
          <w:rFonts w:hint="eastAsia"/>
          <w:sz w:val="20"/>
          <w:szCs w:val="20"/>
          <w:lang w:eastAsia="zh-CN"/>
        </w:rPr>
        <w:t>.</w:t>
      </w:r>
      <w:proofErr w:type="gramEnd"/>
      <w:r w:rsidRPr="00E05E75">
        <w:rPr>
          <w:sz w:val="20"/>
          <w:szCs w:val="20"/>
        </w:rPr>
        <w:t xml:space="preserve"> Effect of water </w:t>
      </w:r>
      <w:proofErr w:type="gramStart"/>
      <w:r w:rsidRPr="00E05E75">
        <w:rPr>
          <w:sz w:val="20"/>
          <w:szCs w:val="20"/>
        </w:rPr>
        <w:t>extract(</w:t>
      </w:r>
      <w:proofErr w:type="gramEnd"/>
      <w:r w:rsidRPr="00E05E75">
        <w:rPr>
          <w:sz w:val="20"/>
          <w:szCs w:val="20"/>
        </w:rPr>
        <w:t xml:space="preserve">WE) of </w:t>
      </w:r>
      <w:r w:rsidRPr="00E05E75">
        <w:rPr>
          <w:i/>
          <w:sz w:val="20"/>
          <w:szCs w:val="20"/>
        </w:rPr>
        <w:t xml:space="preserve">C. </w:t>
      </w:r>
      <w:proofErr w:type="spellStart"/>
      <w:r w:rsidRPr="00E05E75">
        <w:rPr>
          <w:i/>
          <w:sz w:val="20"/>
          <w:szCs w:val="20"/>
        </w:rPr>
        <w:t>indica</w:t>
      </w:r>
      <w:proofErr w:type="spellEnd"/>
      <w:r w:rsidRPr="00E05E75">
        <w:rPr>
          <w:sz w:val="20"/>
          <w:szCs w:val="20"/>
        </w:rPr>
        <w:t xml:space="preserve"> on </w:t>
      </w:r>
      <w:r w:rsidRPr="00E05E75">
        <w:rPr>
          <w:rFonts w:eastAsia="Times New Roman"/>
          <w:sz w:val="20"/>
          <w:szCs w:val="20"/>
        </w:rPr>
        <w:t>MCF7</w:t>
      </w:r>
      <w:r w:rsidR="00E05E75">
        <w:rPr>
          <w:rFonts w:eastAsia="Times New Roman"/>
          <w:sz w:val="20"/>
          <w:szCs w:val="20"/>
        </w:rPr>
        <w:t xml:space="preserve"> </w:t>
      </w:r>
      <w:r w:rsidRPr="00E05E75">
        <w:rPr>
          <w:sz w:val="20"/>
          <w:szCs w:val="20"/>
        </w:rPr>
        <w:t>cell line.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5"/>
        <w:gridCol w:w="2235"/>
        <w:gridCol w:w="2034"/>
        <w:gridCol w:w="1662"/>
      </w:tblGrid>
      <w:tr w:rsidR="00B562FD" w:rsidRPr="00E05E75" w:rsidTr="00E05E75">
        <w:trPr>
          <w:jc w:val="center"/>
        </w:trPr>
        <w:tc>
          <w:tcPr>
            <w:tcW w:w="1903"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Treatment(mg/ml)</w:t>
            </w:r>
          </w:p>
        </w:tc>
        <w:tc>
          <w:tcPr>
            <w:tcW w:w="1167"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 of</w:t>
            </w:r>
            <w:r w:rsidR="00E05E75">
              <w:rPr>
                <w:color w:val="000000"/>
                <w:sz w:val="20"/>
                <w:szCs w:val="20"/>
              </w:rPr>
              <w:t xml:space="preserve"> </w:t>
            </w:r>
            <w:r w:rsidRPr="00E05E75">
              <w:rPr>
                <w:color w:val="000000"/>
                <w:sz w:val="20"/>
                <w:szCs w:val="20"/>
              </w:rPr>
              <w:t xml:space="preserve">dead </w:t>
            </w:r>
            <w:proofErr w:type="spellStart"/>
            <w:r w:rsidRPr="00E05E75">
              <w:rPr>
                <w:color w:val="000000"/>
                <w:sz w:val="20"/>
                <w:szCs w:val="20"/>
              </w:rPr>
              <w:t>cell±SE</w:t>
            </w:r>
            <w:proofErr w:type="spellEnd"/>
          </w:p>
        </w:tc>
        <w:tc>
          <w:tcPr>
            <w:tcW w:w="1062"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 of viable cells</w:t>
            </w:r>
          </w:p>
        </w:tc>
        <w:tc>
          <w:tcPr>
            <w:tcW w:w="868" w:type="pct"/>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IC50(mg/ml)</w:t>
            </w:r>
          </w:p>
        </w:tc>
      </w:tr>
      <w:tr w:rsidR="00B562FD" w:rsidRPr="00E05E75" w:rsidTr="00E05E75">
        <w:trPr>
          <w:jc w:val="center"/>
        </w:trPr>
        <w:tc>
          <w:tcPr>
            <w:tcW w:w="1903"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05</w:t>
            </w:r>
          </w:p>
        </w:tc>
        <w:tc>
          <w:tcPr>
            <w:tcW w:w="1167"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0.00±0</w:t>
            </w:r>
          </w:p>
        </w:tc>
        <w:tc>
          <w:tcPr>
            <w:tcW w:w="1062"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100±0.0</w:t>
            </w:r>
          </w:p>
        </w:tc>
        <w:tc>
          <w:tcPr>
            <w:tcW w:w="868" w:type="pct"/>
            <w:vMerge w:val="restart"/>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52.12±0.15</w:t>
            </w:r>
          </w:p>
        </w:tc>
      </w:tr>
      <w:tr w:rsidR="00B562FD" w:rsidRPr="00E05E75" w:rsidTr="00E05E75">
        <w:trPr>
          <w:jc w:val="center"/>
        </w:trPr>
        <w:tc>
          <w:tcPr>
            <w:tcW w:w="1903"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w:t>
            </w:r>
          </w:p>
        </w:tc>
        <w:tc>
          <w:tcPr>
            <w:tcW w:w="1167"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4.52</w:t>
            </w:r>
            <w:r w:rsidRPr="00E05E75">
              <w:rPr>
                <w:rFonts w:eastAsia="Times New Roman"/>
                <w:color w:val="000000"/>
                <w:sz w:val="20"/>
                <w:szCs w:val="20"/>
              </w:rPr>
              <w:t xml:space="preserve"> ±0.001</w:t>
            </w:r>
          </w:p>
        </w:tc>
        <w:tc>
          <w:tcPr>
            <w:tcW w:w="1062"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95.48±2.10</w:t>
            </w:r>
          </w:p>
        </w:tc>
        <w:tc>
          <w:tcPr>
            <w:tcW w:w="868"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903"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20</w:t>
            </w:r>
          </w:p>
        </w:tc>
        <w:tc>
          <w:tcPr>
            <w:tcW w:w="1167"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30.00±0.20</w:t>
            </w:r>
          </w:p>
        </w:tc>
        <w:tc>
          <w:tcPr>
            <w:tcW w:w="1062"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70.00±4.003</w:t>
            </w:r>
          </w:p>
        </w:tc>
        <w:tc>
          <w:tcPr>
            <w:tcW w:w="868"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903"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50</w:t>
            </w:r>
          </w:p>
        </w:tc>
        <w:tc>
          <w:tcPr>
            <w:tcW w:w="1167"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49.00±0.20</w:t>
            </w:r>
          </w:p>
        </w:tc>
        <w:tc>
          <w:tcPr>
            <w:tcW w:w="1062"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41.00±0.50</w:t>
            </w:r>
          </w:p>
        </w:tc>
        <w:tc>
          <w:tcPr>
            <w:tcW w:w="868"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903"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100</w:t>
            </w:r>
          </w:p>
        </w:tc>
        <w:tc>
          <w:tcPr>
            <w:tcW w:w="1167"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88.20±0.23</w:t>
            </w:r>
          </w:p>
        </w:tc>
        <w:tc>
          <w:tcPr>
            <w:tcW w:w="1062"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11.80±.5.02</w:t>
            </w:r>
          </w:p>
        </w:tc>
        <w:tc>
          <w:tcPr>
            <w:tcW w:w="868"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903"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100(</w:t>
            </w:r>
            <w:proofErr w:type="spellStart"/>
            <w:r w:rsidRPr="00E05E75">
              <w:rPr>
                <w:color w:val="000000"/>
                <w:sz w:val="20"/>
                <w:szCs w:val="20"/>
              </w:rPr>
              <w:t>tamoxifen</w:t>
            </w:r>
            <w:proofErr w:type="spellEnd"/>
            <w:r w:rsidRPr="00E05E75">
              <w:rPr>
                <w:color w:val="000000"/>
                <w:sz w:val="20"/>
                <w:szCs w:val="20"/>
              </w:rPr>
              <w:t>)(Positive control</w:t>
            </w:r>
          </w:p>
        </w:tc>
        <w:tc>
          <w:tcPr>
            <w:tcW w:w="1167"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97.13±1.0</w:t>
            </w:r>
          </w:p>
        </w:tc>
        <w:tc>
          <w:tcPr>
            <w:tcW w:w="1062"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02..87±.0001</w:t>
            </w:r>
          </w:p>
        </w:tc>
        <w:tc>
          <w:tcPr>
            <w:tcW w:w="868"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903"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Negative control</w:t>
            </w:r>
          </w:p>
        </w:tc>
        <w:tc>
          <w:tcPr>
            <w:tcW w:w="1167"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00.00</w:t>
            </w:r>
          </w:p>
        </w:tc>
        <w:tc>
          <w:tcPr>
            <w:tcW w:w="1062"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100.00</w:t>
            </w:r>
          </w:p>
        </w:tc>
        <w:tc>
          <w:tcPr>
            <w:tcW w:w="868"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bl>
    <w:p w:rsidR="009459B3" w:rsidRDefault="009459B3" w:rsidP="007B6A0C">
      <w:pPr>
        <w:snapToGrid w:val="0"/>
        <w:ind w:firstLine="425"/>
        <w:jc w:val="both"/>
        <w:rPr>
          <w:rFonts w:hint="eastAsia"/>
          <w:sz w:val="20"/>
          <w:szCs w:val="20"/>
          <w:lang w:eastAsia="zh-CN"/>
        </w:rPr>
      </w:pPr>
    </w:p>
    <w:p w:rsidR="00C34190" w:rsidRPr="00E05E75" w:rsidRDefault="00C34190" w:rsidP="007B6A0C">
      <w:pPr>
        <w:snapToGrid w:val="0"/>
        <w:ind w:firstLine="425"/>
        <w:jc w:val="both"/>
        <w:rPr>
          <w:rFonts w:hint="eastAsia"/>
          <w:sz w:val="20"/>
          <w:szCs w:val="20"/>
          <w:lang w:eastAsia="zh-CN"/>
        </w:rPr>
      </w:pPr>
    </w:p>
    <w:p w:rsidR="00B562FD" w:rsidRPr="00E05E75" w:rsidRDefault="00B562FD" w:rsidP="007B6A0C">
      <w:pPr>
        <w:autoSpaceDE w:val="0"/>
        <w:autoSpaceDN w:val="0"/>
        <w:adjustRightInd w:val="0"/>
        <w:snapToGrid w:val="0"/>
        <w:jc w:val="both"/>
        <w:rPr>
          <w:sz w:val="20"/>
          <w:szCs w:val="20"/>
        </w:rPr>
      </w:pPr>
      <w:proofErr w:type="gramStart"/>
      <w:r w:rsidRPr="00E05E75">
        <w:rPr>
          <w:sz w:val="20"/>
          <w:szCs w:val="20"/>
        </w:rPr>
        <w:t>Table 4</w:t>
      </w:r>
      <w:r w:rsidR="00C34190">
        <w:rPr>
          <w:rFonts w:hint="eastAsia"/>
          <w:sz w:val="20"/>
          <w:szCs w:val="20"/>
          <w:lang w:eastAsia="zh-CN"/>
        </w:rPr>
        <w:t>.</w:t>
      </w:r>
      <w:proofErr w:type="gramEnd"/>
      <w:r w:rsidRPr="00E05E75">
        <w:rPr>
          <w:sz w:val="20"/>
          <w:szCs w:val="20"/>
        </w:rPr>
        <w:t xml:space="preserve"> Effect of </w:t>
      </w:r>
      <w:proofErr w:type="spellStart"/>
      <w:r w:rsidRPr="00E05E75">
        <w:rPr>
          <w:sz w:val="20"/>
          <w:szCs w:val="20"/>
        </w:rPr>
        <w:t>methanolic</w:t>
      </w:r>
      <w:proofErr w:type="spellEnd"/>
      <w:r w:rsidRPr="00E05E75">
        <w:rPr>
          <w:sz w:val="20"/>
          <w:szCs w:val="20"/>
        </w:rPr>
        <w:t xml:space="preserve"> </w:t>
      </w:r>
      <w:proofErr w:type="gramStart"/>
      <w:r w:rsidRPr="00E05E75">
        <w:rPr>
          <w:sz w:val="20"/>
          <w:szCs w:val="20"/>
        </w:rPr>
        <w:t>extract(</w:t>
      </w:r>
      <w:proofErr w:type="gramEnd"/>
      <w:r w:rsidRPr="00E05E75">
        <w:rPr>
          <w:sz w:val="20"/>
          <w:szCs w:val="20"/>
        </w:rPr>
        <w:t>ME)</w:t>
      </w:r>
      <w:r w:rsidR="00E05E75">
        <w:rPr>
          <w:sz w:val="20"/>
          <w:szCs w:val="20"/>
        </w:rPr>
        <w:t xml:space="preserve"> </w:t>
      </w:r>
      <w:r w:rsidRPr="00E05E75">
        <w:rPr>
          <w:sz w:val="20"/>
          <w:szCs w:val="20"/>
        </w:rPr>
        <w:t xml:space="preserve">of </w:t>
      </w:r>
      <w:r w:rsidRPr="00E05E75">
        <w:rPr>
          <w:i/>
          <w:sz w:val="20"/>
          <w:szCs w:val="20"/>
        </w:rPr>
        <w:t xml:space="preserve">C. </w:t>
      </w:r>
      <w:proofErr w:type="spellStart"/>
      <w:r w:rsidRPr="00E05E75">
        <w:rPr>
          <w:i/>
          <w:sz w:val="20"/>
          <w:szCs w:val="20"/>
        </w:rPr>
        <w:t>indica</w:t>
      </w:r>
      <w:proofErr w:type="spellEnd"/>
      <w:r w:rsidRPr="00E05E75">
        <w:rPr>
          <w:sz w:val="20"/>
          <w:szCs w:val="20"/>
        </w:rPr>
        <w:t xml:space="preserve"> on </w:t>
      </w:r>
      <w:r w:rsidRPr="00E05E75">
        <w:rPr>
          <w:rFonts w:eastAsia="Times New Roman"/>
          <w:sz w:val="20"/>
          <w:szCs w:val="20"/>
        </w:rPr>
        <w:t>MCF7</w:t>
      </w:r>
      <w:r w:rsidR="00E05E75">
        <w:rPr>
          <w:rFonts w:eastAsia="Times New Roman"/>
          <w:sz w:val="20"/>
          <w:szCs w:val="20"/>
        </w:rPr>
        <w:t xml:space="preserve"> </w:t>
      </w:r>
      <w:r w:rsidRPr="00E05E75">
        <w:rPr>
          <w:sz w:val="20"/>
          <w:szCs w:val="20"/>
        </w:rPr>
        <w:t>cell line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5"/>
        <w:gridCol w:w="1848"/>
        <w:gridCol w:w="2095"/>
        <w:gridCol w:w="2088"/>
      </w:tblGrid>
      <w:tr w:rsidR="00B562FD" w:rsidRPr="00E05E75" w:rsidTr="00E05E75">
        <w:trPr>
          <w:jc w:val="center"/>
        </w:trPr>
        <w:tc>
          <w:tcPr>
            <w:tcW w:w="1851"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Treatment(mg/ml)</w:t>
            </w:r>
          </w:p>
        </w:tc>
        <w:tc>
          <w:tcPr>
            <w:tcW w:w="965"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 of</w:t>
            </w:r>
            <w:r w:rsidR="00E05E75">
              <w:rPr>
                <w:color w:val="000000"/>
                <w:sz w:val="20"/>
                <w:szCs w:val="20"/>
              </w:rPr>
              <w:t xml:space="preserve"> </w:t>
            </w:r>
            <w:r w:rsidRPr="00E05E75">
              <w:rPr>
                <w:color w:val="000000"/>
                <w:sz w:val="20"/>
                <w:szCs w:val="20"/>
              </w:rPr>
              <w:t xml:space="preserve">Dead </w:t>
            </w:r>
            <w:proofErr w:type="spellStart"/>
            <w:r w:rsidRPr="00E05E75">
              <w:rPr>
                <w:color w:val="000000"/>
                <w:sz w:val="20"/>
                <w:szCs w:val="20"/>
              </w:rPr>
              <w:t>cell±SE</w:t>
            </w:r>
            <w:proofErr w:type="spellEnd"/>
          </w:p>
        </w:tc>
        <w:tc>
          <w:tcPr>
            <w:tcW w:w="1094"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 of viable cells</w:t>
            </w:r>
          </w:p>
        </w:tc>
        <w:tc>
          <w:tcPr>
            <w:tcW w:w="1090" w:type="pct"/>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IC50(mg/ml)</w:t>
            </w:r>
          </w:p>
        </w:tc>
      </w:tr>
      <w:tr w:rsidR="00B562FD" w:rsidRPr="00E05E75" w:rsidTr="00E05E75">
        <w:trPr>
          <w:jc w:val="center"/>
        </w:trPr>
        <w:tc>
          <w:tcPr>
            <w:tcW w:w="1851"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05</w:t>
            </w:r>
          </w:p>
        </w:tc>
        <w:tc>
          <w:tcPr>
            <w:tcW w:w="965"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0.00</w:t>
            </w:r>
          </w:p>
        </w:tc>
        <w:tc>
          <w:tcPr>
            <w:tcW w:w="1094"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100</w:t>
            </w:r>
          </w:p>
        </w:tc>
        <w:tc>
          <w:tcPr>
            <w:tcW w:w="1090" w:type="pct"/>
            <w:vMerge w:val="restart"/>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47.94±0.09</w:t>
            </w:r>
          </w:p>
        </w:tc>
      </w:tr>
      <w:tr w:rsidR="00B562FD" w:rsidRPr="00E05E75" w:rsidTr="00E05E75">
        <w:trPr>
          <w:jc w:val="center"/>
        </w:trPr>
        <w:tc>
          <w:tcPr>
            <w:tcW w:w="1851"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w:t>
            </w:r>
          </w:p>
        </w:tc>
        <w:tc>
          <w:tcPr>
            <w:tcW w:w="965"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15.52</w:t>
            </w:r>
            <w:r w:rsidRPr="00E05E75">
              <w:rPr>
                <w:rFonts w:eastAsia="Times New Roman"/>
                <w:color w:val="000000"/>
                <w:sz w:val="20"/>
                <w:szCs w:val="20"/>
              </w:rPr>
              <w:t xml:space="preserve"> ±0.00</w:t>
            </w:r>
          </w:p>
        </w:tc>
        <w:tc>
          <w:tcPr>
            <w:tcW w:w="1094"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84.48±2.10</w:t>
            </w:r>
          </w:p>
        </w:tc>
        <w:tc>
          <w:tcPr>
            <w:tcW w:w="1090"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851"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20</w:t>
            </w:r>
          </w:p>
        </w:tc>
        <w:tc>
          <w:tcPr>
            <w:tcW w:w="965"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43.00±0.11</w:t>
            </w:r>
          </w:p>
        </w:tc>
        <w:tc>
          <w:tcPr>
            <w:tcW w:w="1094"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57.00±2.01</w:t>
            </w:r>
          </w:p>
        </w:tc>
        <w:tc>
          <w:tcPr>
            <w:tcW w:w="1090"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851"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50</w:t>
            </w:r>
          </w:p>
        </w:tc>
        <w:tc>
          <w:tcPr>
            <w:tcW w:w="965"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68.00±0.13</w:t>
            </w:r>
          </w:p>
        </w:tc>
        <w:tc>
          <w:tcPr>
            <w:tcW w:w="1094"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32.00±0.80</w:t>
            </w:r>
          </w:p>
        </w:tc>
        <w:tc>
          <w:tcPr>
            <w:tcW w:w="1090"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851"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100</w:t>
            </w:r>
          </w:p>
        </w:tc>
        <w:tc>
          <w:tcPr>
            <w:tcW w:w="965"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89.20±0.11</w:t>
            </w:r>
          </w:p>
        </w:tc>
        <w:tc>
          <w:tcPr>
            <w:tcW w:w="1094"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10.80±.8.14</w:t>
            </w:r>
          </w:p>
        </w:tc>
        <w:tc>
          <w:tcPr>
            <w:tcW w:w="1090"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851"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100</w:t>
            </w:r>
            <w:r w:rsidR="00E05E75">
              <w:rPr>
                <w:color w:val="000000"/>
                <w:sz w:val="20"/>
                <w:szCs w:val="20"/>
              </w:rPr>
              <w:t>(</w:t>
            </w:r>
            <w:proofErr w:type="spellStart"/>
            <w:r w:rsidRPr="00E05E75">
              <w:rPr>
                <w:color w:val="000000"/>
                <w:sz w:val="20"/>
                <w:szCs w:val="20"/>
              </w:rPr>
              <w:t>tamoxifen</w:t>
            </w:r>
            <w:proofErr w:type="spellEnd"/>
            <w:r w:rsidRPr="00E05E75">
              <w:rPr>
                <w:color w:val="000000"/>
                <w:sz w:val="20"/>
                <w:szCs w:val="20"/>
              </w:rPr>
              <w:t>)(positive</w:t>
            </w:r>
            <w:r w:rsidR="00E05E75">
              <w:rPr>
                <w:color w:val="000000"/>
                <w:sz w:val="20"/>
                <w:szCs w:val="20"/>
              </w:rPr>
              <w:t xml:space="preserve"> </w:t>
            </w:r>
            <w:proofErr w:type="spellStart"/>
            <w:r w:rsidRPr="00E05E75">
              <w:rPr>
                <w:color w:val="000000"/>
                <w:sz w:val="20"/>
                <w:szCs w:val="20"/>
              </w:rPr>
              <w:t>cotrol</w:t>
            </w:r>
            <w:proofErr w:type="spellEnd"/>
          </w:p>
        </w:tc>
        <w:tc>
          <w:tcPr>
            <w:tcW w:w="965"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97.13±1.0</w:t>
            </w:r>
          </w:p>
        </w:tc>
        <w:tc>
          <w:tcPr>
            <w:tcW w:w="1094"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02..87±.0001</w:t>
            </w:r>
          </w:p>
        </w:tc>
        <w:tc>
          <w:tcPr>
            <w:tcW w:w="1090"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r w:rsidR="00B562FD" w:rsidRPr="00E05E75" w:rsidTr="00E05E75">
        <w:trPr>
          <w:jc w:val="center"/>
        </w:trPr>
        <w:tc>
          <w:tcPr>
            <w:tcW w:w="1851"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Negative Control</w:t>
            </w:r>
          </w:p>
        </w:tc>
        <w:tc>
          <w:tcPr>
            <w:tcW w:w="965" w:type="pct"/>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00.00</w:t>
            </w:r>
          </w:p>
        </w:tc>
        <w:tc>
          <w:tcPr>
            <w:tcW w:w="1094" w:type="pct"/>
            <w:tcBorders>
              <w:righ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r w:rsidRPr="00E05E75">
              <w:rPr>
                <w:color w:val="000000"/>
                <w:sz w:val="20"/>
                <w:szCs w:val="20"/>
              </w:rPr>
              <w:t>100.00</w:t>
            </w:r>
          </w:p>
        </w:tc>
        <w:tc>
          <w:tcPr>
            <w:tcW w:w="1090" w:type="pct"/>
            <w:vMerge/>
            <w:tcBorders>
              <w:left w:val="single" w:sz="4" w:space="0" w:color="auto"/>
            </w:tcBorders>
            <w:vAlign w:val="center"/>
          </w:tcPr>
          <w:p w:rsidR="00B562FD" w:rsidRPr="00E05E75" w:rsidRDefault="00B562FD" w:rsidP="007B6A0C">
            <w:pPr>
              <w:autoSpaceDE w:val="0"/>
              <w:autoSpaceDN w:val="0"/>
              <w:adjustRightInd w:val="0"/>
              <w:snapToGrid w:val="0"/>
              <w:jc w:val="both"/>
              <w:rPr>
                <w:color w:val="000000"/>
                <w:sz w:val="20"/>
                <w:szCs w:val="20"/>
              </w:rPr>
            </w:pPr>
          </w:p>
        </w:tc>
      </w:tr>
    </w:tbl>
    <w:p w:rsidR="00B562FD" w:rsidRDefault="00B562FD" w:rsidP="007B6A0C">
      <w:pPr>
        <w:autoSpaceDE w:val="0"/>
        <w:autoSpaceDN w:val="0"/>
        <w:adjustRightInd w:val="0"/>
        <w:snapToGrid w:val="0"/>
        <w:ind w:firstLine="425"/>
        <w:jc w:val="both"/>
        <w:rPr>
          <w:rFonts w:hint="eastAsia"/>
          <w:sz w:val="20"/>
          <w:szCs w:val="20"/>
          <w:lang w:eastAsia="zh-CN"/>
        </w:rPr>
      </w:pPr>
    </w:p>
    <w:p w:rsidR="00C34190" w:rsidRPr="00E05E75" w:rsidRDefault="00C34190" w:rsidP="007B6A0C">
      <w:pPr>
        <w:autoSpaceDE w:val="0"/>
        <w:autoSpaceDN w:val="0"/>
        <w:adjustRightInd w:val="0"/>
        <w:snapToGrid w:val="0"/>
        <w:ind w:firstLine="425"/>
        <w:jc w:val="both"/>
        <w:rPr>
          <w:rFonts w:hint="eastAsia"/>
          <w:sz w:val="20"/>
          <w:szCs w:val="20"/>
          <w:lang w:eastAsia="zh-CN"/>
        </w:rPr>
      </w:pPr>
    </w:p>
    <w:p w:rsidR="00E05E75" w:rsidRDefault="00E05E75" w:rsidP="007B6A0C">
      <w:pPr>
        <w:autoSpaceDE w:val="0"/>
        <w:autoSpaceDN w:val="0"/>
        <w:adjustRightInd w:val="0"/>
        <w:snapToGrid w:val="0"/>
        <w:ind w:firstLine="425"/>
        <w:jc w:val="both"/>
        <w:rPr>
          <w:color w:val="231F20"/>
          <w:sz w:val="20"/>
          <w:szCs w:val="20"/>
        </w:rPr>
        <w:sectPr w:rsidR="00E05E75" w:rsidSect="00E05E75">
          <w:footnotePr>
            <w:pos w:val="beneathText"/>
          </w:footnotePr>
          <w:type w:val="continuous"/>
          <w:pgSz w:w="12240" w:h="15840" w:code="1"/>
          <w:pgMar w:top="1440" w:right="1440" w:bottom="1440" w:left="1440" w:header="720" w:footer="720" w:gutter="0"/>
          <w:cols w:space="576"/>
          <w:docGrid w:linePitch="360"/>
        </w:sectPr>
      </w:pPr>
    </w:p>
    <w:p w:rsidR="00B562FD" w:rsidRPr="00E05E75" w:rsidRDefault="00B562FD" w:rsidP="007B6A0C">
      <w:pPr>
        <w:autoSpaceDE w:val="0"/>
        <w:autoSpaceDN w:val="0"/>
        <w:adjustRightInd w:val="0"/>
        <w:snapToGrid w:val="0"/>
        <w:ind w:firstLine="425"/>
        <w:jc w:val="both"/>
        <w:rPr>
          <w:rFonts w:hint="eastAsia"/>
          <w:color w:val="231F20"/>
          <w:sz w:val="20"/>
          <w:szCs w:val="20"/>
          <w:lang w:eastAsia="zh-CN"/>
        </w:rPr>
      </w:pPr>
      <w:r w:rsidRPr="00E05E75">
        <w:rPr>
          <w:color w:val="231F20"/>
          <w:sz w:val="20"/>
          <w:szCs w:val="20"/>
        </w:rPr>
        <w:lastRenderedPageBreak/>
        <w:t xml:space="preserve">Lucas et al (1957) first demonstrated the anti-cancer activity of mushrooms. They used extracts of fruiting bodies of </w:t>
      </w:r>
      <w:r w:rsidRPr="00E05E75">
        <w:rPr>
          <w:i/>
          <w:iCs/>
          <w:color w:val="231F20"/>
          <w:sz w:val="20"/>
          <w:szCs w:val="20"/>
        </w:rPr>
        <w:t xml:space="preserve">Boletus </w:t>
      </w:r>
      <w:proofErr w:type="spellStart"/>
      <w:r w:rsidRPr="00E05E75">
        <w:rPr>
          <w:i/>
          <w:iCs/>
          <w:color w:val="231F20"/>
          <w:sz w:val="20"/>
          <w:szCs w:val="20"/>
        </w:rPr>
        <w:t>edulis</w:t>
      </w:r>
      <w:proofErr w:type="spellEnd"/>
      <w:r w:rsidRPr="00E05E75">
        <w:rPr>
          <w:i/>
          <w:iCs/>
          <w:color w:val="231F20"/>
          <w:sz w:val="20"/>
          <w:szCs w:val="20"/>
        </w:rPr>
        <w:t xml:space="preserve"> </w:t>
      </w:r>
      <w:r w:rsidRPr="00E05E75">
        <w:rPr>
          <w:color w:val="231F20"/>
          <w:sz w:val="20"/>
          <w:szCs w:val="20"/>
        </w:rPr>
        <w:t xml:space="preserve">and other mushrooms in tests against implanted Sarcoma 180 line in mice. The anti-cancer </w:t>
      </w:r>
      <w:proofErr w:type="spellStart"/>
      <w:r w:rsidRPr="00E05E75">
        <w:rPr>
          <w:color w:val="231F20"/>
          <w:sz w:val="20"/>
          <w:szCs w:val="20"/>
        </w:rPr>
        <w:t>calvacin</w:t>
      </w:r>
      <w:proofErr w:type="spellEnd"/>
      <w:r w:rsidRPr="00E05E75">
        <w:rPr>
          <w:color w:val="231F20"/>
          <w:sz w:val="20"/>
          <w:szCs w:val="20"/>
        </w:rPr>
        <w:t xml:space="preserve">, a conjugated protein containing one or more carbohydrate residues was extracted from the giant puffball </w:t>
      </w:r>
      <w:proofErr w:type="spellStart"/>
      <w:r w:rsidRPr="00E05E75">
        <w:rPr>
          <w:i/>
          <w:iCs/>
          <w:color w:val="231F20"/>
          <w:sz w:val="20"/>
          <w:szCs w:val="20"/>
        </w:rPr>
        <w:t>Calvatia</w:t>
      </w:r>
      <w:proofErr w:type="spellEnd"/>
      <w:r w:rsidRPr="00E05E75">
        <w:rPr>
          <w:i/>
          <w:iCs/>
          <w:color w:val="231F20"/>
          <w:sz w:val="20"/>
          <w:szCs w:val="20"/>
        </w:rPr>
        <w:t xml:space="preserve"> </w:t>
      </w:r>
      <w:proofErr w:type="spellStart"/>
      <w:r w:rsidRPr="00E05E75">
        <w:rPr>
          <w:i/>
          <w:iCs/>
          <w:color w:val="231F20"/>
          <w:sz w:val="20"/>
          <w:szCs w:val="20"/>
        </w:rPr>
        <w:t>gigantea</w:t>
      </w:r>
      <w:proofErr w:type="spellEnd"/>
      <w:r w:rsidRPr="00E05E75">
        <w:rPr>
          <w:i/>
          <w:iCs/>
          <w:color w:val="231F20"/>
          <w:sz w:val="20"/>
          <w:szCs w:val="20"/>
        </w:rPr>
        <w:t xml:space="preserve"> </w:t>
      </w:r>
      <w:r w:rsidRPr="00E05E75">
        <w:rPr>
          <w:color w:val="231F20"/>
          <w:sz w:val="20"/>
          <w:szCs w:val="20"/>
        </w:rPr>
        <w:t xml:space="preserve">and tested against many experimental tumors, such as Sarcoma 180,mammary </w:t>
      </w:r>
      <w:proofErr w:type="spellStart"/>
      <w:r w:rsidRPr="00E05E75">
        <w:rPr>
          <w:color w:val="231F20"/>
          <w:sz w:val="20"/>
          <w:szCs w:val="20"/>
        </w:rPr>
        <w:t>adenocarcinoma</w:t>
      </w:r>
      <w:proofErr w:type="spellEnd"/>
      <w:r w:rsidRPr="00E05E75">
        <w:rPr>
          <w:color w:val="231F20"/>
          <w:sz w:val="20"/>
          <w:szCs w:val="20"/>
        </w:rPr>
        <w:t xml:space="preserve"> 755, </w:t>
      </w:r>
      <w:r w:rsidRPr="00E05E75">
        <w:rPr>
          <w:color w:val="231F20"/>
          <w:sz w:val="20"/>
          <w:szCs w:val="20"/>
        </w:rPr>
        <w:lastRenderedPageBreak/>
        <w:t xml:space="preserve">leukemia L-1210, and </w:t>
      </w:r>
      <w:proofErr w:type="spellStart"/>
      <w:r w:rsidRPr="00E05E75">
        <w:rPr>
          <w:color w:val="231F20"/>
          <w:sz w:val="20"/>
          <w:szCs w:val="20"/>
        </w:rPr>
        <w:t>HeLa</w:t>
      </w:r>
      <w:proofErr w:type="spellEnd"/>
      <w:r w:rsidRPr="00E05E75">
        <w:rPr>
          <w:color w:val="231F20"/>
          <w:sz w:val="20"/>
          <w:szCs w:val="20"/>
        </w:rPr>
        <w:t xml:space="preserve"> cell lines presenting significant growth inhibition on those types of cancer (Lucas et al 1957). </w:t>
      </w:r>
      <w:proofErr w:type="spellStart"/>
      <w:r w:rsidRPr="00E05E75">
        <w:rPr>
          <w:sz w:val="20"/>
          <w:szCs w:val="20"/>
        </w:rPr>
        <w:t>Ikekawa</w:t>
      </w:r>
      <w:proofErr w:type="spellEnd"/>
      <w:r w:rsidRPr="00E05E75">
        <w:rPr>
          <w:sz w:val="20"/>
          <w:szCs w:val="20"/>
        </w:rPr>
        <w:t xml:space="preserve"> et al. (1969) published one of the first scientific reports on antitumor activity of extracts of mushrooms against implanted Sarcoma 180 in animals. Soon after, three major anticancer drugs, </w:t>
      </w:r>
      <w:proofErr w:type="spellStart"/>
      <w:r w:rsidRPr="00E05E75">
        <w:rPr>
          <w:sz w:val="20"/>
          <w:szCs w:val="20"/>
        </w:rPr>
        <w:t>Krestin</w:t>
      </w:r>
      <w:proofErr w:type="spellEnd"/>
      <w:r w:rsidRPr="00E05E75">
        <w:rPr>
          <w:sz w:val="20"/>
          <w:szCs w:val="20"/>
        </w:rPr>
        <w:t xml:space="preserve"> from cultured mycelium of </w:t>
      </w:r>
      <w:proofErr w:type="spellStart"/>
      <w:r w:rsidRPr="00E05E75">
        <w:rPr>
          <w:i/>
          <w:iCs/>
          <w:sz w:val="20"/>
          <w:szCs w:val="20"/>
        </w:rPr>
        <w:t>Trametes</w:t>
      </w:r>
      <w:proofErr w:type="spellEnd"/>
      <w:r w:rsidRPr="00E05E75">
        <w:rPr>
          <w:i/>
          <w:iCs/>
          <w:sz w:val="20"/>
          <w:szCs w:val="20"/>
        </w:rPr>
        <w:t xml:space="preserve"> </w:t>
      </w:r>
      <w:r w:rsidRPr="00E05E75">
        <w:rPr>
          <w:sz w:val="20"/>
          <w:szCs w:val="20"/>
        </w:rPr>
        <w:t>(</w:t>
      </w:r>
      <w:proofErr w:type="spellStart"/>
      <w:r w:rsidRPr="00E05E75">
        <w:rPr>
          <w:i/>
          <w:iCs/>
          <w:sz w:val="20"/>
          <w:szCs w:val="20"/>
        </w:rPr>
        <w:t>Coriolus</w:t>
      </w:r>
      <w:proofErr w:type="spellEnd"/>
      <w:r w:rsidRPr="00E05E75">
        <w:rPr>
          <w:i/>
          <w:iCs/>
          <w:sz w:val="20"/>
          <w:szCs w:val="20"/>
        </w:rPr>
        <w:t xml:space="preserve"> </w:t>
      </w:r>
      <w:proofErr w:type="spellStart"/>
      <w:r w:rsidRPr="00E05E75">
        <w:rPr>
          <w:i/>
          <w:iCs/>
          <w:sz w:val="20"/>
          <w:szCs w:val="20"/>
        </w:rPr>
        <w:t>versicolor</w:t>
      </w:r>
      <w:proofErr w:type="spellEnd"/>
      <w:r w:rsidRPr="00E05E75">
        <w:rPr>
          <w:sz w:val="20"/>
          <w:szCs w:val="20"/>
        </w:rPr>
        <w:t xml:space="preserve">), </w:t>
      </w:r>
      <w:proofErr w:type="spellStart"/>
      <w:r w:rsidRPr="00E05E75">
        <w:rPr>
          <w:sz w:val="20"/>
          <w:szCs w:val="20"/>
        </w:rPr>
        <w:t>Lentinan</w:t>
      </w:r>
      <w:proofErr w:type="spellEnd"/>
      <w:r w:rsidRPr="00E05E75">
        <w:rPr>
          <w:sz w:val="20"/>
          <w:szCs w:val="20"/>
        </w:rPr>
        <w:t xml:space="preserve"> from fruiting bodies of </w:t>
      </w:r>
      <w:proofErr w:type="spellStart"/>
      <w:r w:rsidRPr="00E05E75">
        <w:rPr>
          <w:i/>
          <w:iCs/>
          <w:sz w:val="20"/>
          <w:szCs w:val="20"/>
        </w:rPr>
        <w:t>Lentinus</w:t>
      </w:r>
      <w:proofErr w:type="spellEnd"/>
      <w:r w:rsidRPr="00E05E75">
        <w:rPr>
          <w:i/>
          <w:iCs/>
          <w:sz w:val="20"/>
          <w:szCs w:val="20"/>
        </w:rPr>
        <w:t xml:space="preserve"> </w:t>
      </w:r>
      <w:proofErr w:type="spellStart"/>
      <w:r w:rsidRPr="00E05E75">
        <w:rPr>
          <w:i/>
          <w:iCs/>
          <w:sz w:val="20"/>
          <w:szCs w:val="20"/>
        </w:rPr>
        <w:t>edodus</w:t>
      </w:r>
      <w:proofErr w:type="spellEnd"/>
      <w:r w:rsidRPr="00E05E75">
        <w:rPr>
          <w:i/>
          <w:iCs/>
          <w:sz w:val="20"/>
          <w:szCs w:val="20"/>
        </w:rPr>
        <w:t xml:space="preserve"> </w:t>
      </w:r>
      <w:r w:rsidRPr="00E05E75">
        <w:rPr>
          <w:sz w:val="20"/>
          <w:szCs w:val="20"/>
        </w:rPr>
        <w:t xml:space="preserve">and </w:t>
      </w:r>
      <w:proofErr w:type="spellStart"/>
      <w:r w:rsidRPr="00E05E75">
        <w:rPr>
          <w:sz w:val="20"/>
          <w:szCs w:val="20"/>
        </w:rPr>
        <w:t>Scizophyllan</w:t>
      </w:r>
      <w:proofErr w:type="spellEnd"/>
      <w:r w:rsidRPr="00E05E75">
        <w:rPr>
          <w:sz w:val="20"/>
          <w:szCs w:val="20"/>
        </w:rPr>
        <w:t xml:space="preserve"> from </w:t>
      </w:r>
      <w:proofErr w:type="spellStart"/>
      <w:r w:rsidRPr="00E05E75">
        <w:rPr>
          <w:i/>
          <w:sz w:val="20"/>
          <w:szCs w:val="20"/>
        </w:rPr>
        <w:lastRenderedPageBreak/>
        <w:t>Schizophyllum</w:t>
      </w:r>
      <w:proofErr w:type="spellEnd"/>
      <w:r w:rsidRPr="00E05E75">
        <w:rPr>
          <w:i/>
          <w:sz w:val="20"/>
          <w:szCs w:val="20"/>
        </w:rPr>
        <w:t xml:space="preserve"> </w:t>
      </w:r>
      <w:proofErr w:type="spellStart"/>
      <w:r w:rsidRPr="00E05E75">
        <w:rPr>
          <w:i/>
          <w:sz w:val="20"/>
          <w:szCs w:val="20"/>
        </w:rPr>
        <w:t>commune</w:t>
      </w:r>
      <w:proofErr w:type="gramStart"/>
      <w:r w:rsidRPr="00E05E75">
        <w:rPr>
          <w:sz w:val="20"/>
          <w:szCs w:val="20"/>
        </w:rPr>
        <w:t>,were</w:t>
      </w:r>
      <w:proofErr w:type="spellEnd"/>
      <w:proofErr w:type="gramEnd"/>
      <w:r w:rsidRPr="00E05E75">
        <w:rPr>
          <w:sz w:val="20"/>
          <w:szCs w:val="20"/>
        </w:rPr>
        <w:t xml:space="preserve"> developed (</w:t>
      </w:r>
      <w:proofErr w:type="spellStart"/>
      <w:r w:rsidRPr="00E05E75">
        <w:rPr>
          <w:sz w:val="20"/>
          <w:szCs w:val="20"/>
        </w:rPr>
        <w:t>Wasser</w:t>
      </w:r>
      <w:proofErr w:type="spellEnd"/>
      <w:r w:rsidRPr="00E05E75">
        <w:rPr>
          <w:sz w:val="20"/>
          <w:szCs w:val="20"/>
        </w:rPr>
        <w:t xml:space="preserve"> 2002; Mizuno, 1999).</w:t>
      </w:r>
      <w:r w:rsidR="00E05E75">
        <w:rPr>
          <w:rFonts w:hint="eastAsia"/>
          <w:sz w:val="20"/>
          <w:szCs w:val="20"/>
          <w:lang w:eastAsia="zh-CN"/>
        </w:rPr>
        <w:t xml:space="preserve"> </w:t>
      </w:r>
      <w:r w:rsidRPr="00E05E75">
        <w:rPr>
          <w:sz w:val="20"/>
          <w:szCs w:val="20"/>
        </w:rPr>
        <w:t>Mo et al</w:t>
      </w:r>
      <w:r w:rsidR="00E05E75">
        <w:rPr>
          <w:rFonts w:hint="eastAsia"/>
          <w:sz w:val="20"/>
          <w:szCs w:val="20"/>
          <w:lang w:eastAsia="zh-CN"/>
        </w:rPr>
        <w:t xml:space="preserve"> </w:t>
      </w:r>
      <w:r w:rsidR="00E05E75">
        <w:rPr>
          <w:sz w:val="20"/>
          <w:szCs w:val="20"/>
        </w:rPr>
        <w:t>(</w:t>
      </w:r>
      <w:r w:rsidRPr="00E05E75">
        <w:rPr>
          <w:sz w:val="20"/>
          <w:szCs w:val="20"/>
        </w:rPr>
        <w:t>2004) and</w:t>
      </w:r>
      <w:r w:rsidR="00E05E75">
        <w:rPr>
          <w:sz w:val="20"/>
          <w:szCs w:val="20"/>
        </w:rPr>
        <w:t xml:space="preserve"> </w:t>
      </w:r>
      <w:r w:rsidRPr="00E05E75">
        <w:rPr>
          <w:sz w:val="20"/>
          <w:szCs w:val="20"/>
        </w:rPr>
        <w:t>reported</w:t>
      </w:r>
      <w:r w:rsidR="00E05E75">
        <w:rPr>
          <w:sz w:val="20"/>
          <w:szCs w:val="20"/>
        </w:rPr>
        <w:t xml:space="preserve"> </w:t>
      </w:r>
      <w:r w:rsidRPr="00E05E75">
        <w:rPr>
          <w:sz w:val="20"/>
          <w:szCs w:val="20"/>
        </w:rPr>
        <w:t xml:space="preserve">that extract of </w:t>
      </w:r>
      <w:proofErr w:type="spellStart"/>
      <w:r w:rsidRPr="00E05E75">
        <w:rPr>
          <w:i/>
          <w:sz w:val="20"/>
          <w:szCs w:val="20"/>
        </w:rPr>
        <w:t>Phellinus</w:t>
      </w:r>
      <w:proofErr w:type="spellEnd"/>
      <w:r w:rsidRPr="00E05E75">
        <w:rPr>
          <w:sz w:val="20"/>
          <w:szCs w:val="20"/>
        </w:rPr>
        <w:t xml:space="preserve"> sp</w:t>
      </w:r>
      <w:r w:rsidR="00E05E75">
        <w:rPr>
          <w:rFonts w:hint="eastAsia"/>
          <w:sz w:val="20"/>
          <w:szCs w:val="20"/>
          <w:lang w:eastAsia="zh-CN"/>
        </w:rPr>
        <w:t>.</w:t>
      </w:r>
    </w:p>
    <w:p w:rsidR="00EC35EE" w:rsidRPr="00E05E75" w:rsidRDefault="00B562FD" w:rsidP="007B6A0C">
      <w:pPr>
        <w:autoSpaceDE w:val="0"/>
        <w:autoSpaceDN w:val="0"/>
        <w:adjustRightInd w:val="0"/>
        <w:snapToGrid w:val="0"/>
        <w:ind w:firstLine="425"/>
        <w:jc w:val="both"/>
        <w:rPr>
          <w:sz w:val="20"/>
          <w:szCs w:val="20"/>
        </w:rPr>
      </w:pPr>
      <w:r w:rsidRPr="00E05E75">
        <w:rPr>
          <w:sz w:val="20"/>
          <w:szCs w:val="20"/>
        </w:rPr>
        <w:t>Inflammatory breast cancer (IBC) is the most lethal and least understood form of advanced breast cancer. Michelle et al</w:t>
      </w:r>
      <w:r w:rsidR="00E05E75">
        <w:rPr>
          <w:rFonts w:hint="eastAsia"/>
          <w:sz w:val="20"/>
          <w:szCs w:val="20"/>
          <w:lang w:eastAsia="zh-CN"/>
        </w:rPr>
        <w:t xml:space="preserve"> </w:t>
      </w:r>
      <w:r w:rsidR="00E05E75">
        <w:rPr>
          <w:sz w:val="20"/>
          <w:szCs w:val="20"/>
        </w:rPr>
        <w:t>(</w:t>
      </w:r>
      <w:r w:rsidRPr="00E05E75">
        <w:rPr>
          <w:sz w:val="20"/>
          <w:szCs w:val="20"/>
        </w:rPr>
        <w:t>2011) reported</w:t>
      </w:r>
      <w:r w:rsidR="00E05E75">
        <w:rPr>
          <w:sz w:val="20"/>
          <w:szCs w:val="20"/>
        </w:rPr>
        <w:t xml:space="preserve"> </w:t>
      </w:r>
      <w:r w:rsidRPr="00E05E75">
        <w:rPr>
          <w:sz w:val="20"/>
          <w:szCs w:val="20"/>
        </w:rPr>
        <w:t>the effects of</w:t>
      </w:r>
      <w:r w:rsidR="00E05E75">
        <w:rPr>
          <w:sz w:val="20"/>
          <w:szCs w:val="20"/>
        </w:rPr>
        <w:t xml:space="preserve"> </w:t>
      </w:r>
      <w:r w:rsidRPr="00E05E75">
        <w:rPr>
          <w:i/>
          <w:sz w:val="20"/>
          <w:szCs w:val="20"/>
        </w:rPr>
        <w:t>G.</w:t>
      </w:r>
      <w:r w:rsidR="00E05E75">
        <w:rPr>
          <w:rFonts w:hint="eastAsia"/>
          <w:i/>
          <w:sz w:val="20"/>
          <w:szCs w:val="20"/>
          <w:lang w:eastAsia="zh-CN"/>
        </w:rPr>
        <w:t xml:space="preserve"> </w:t>
      </w:r>
      <w:proofErr w:type="spellStart"/>
      <w:r w:rsidRPr="00E05E75">
        <w:rPr>
          <w:i/>
          <w:sz w:val="20"/>
          <w:szCs w:val="20"/>
        </w:rPr>
        <w:t>lucidum</w:t>
      </w:r>
      <w:proofErr w:type="spellEnd"/>
      <w:r w:rsidRPr="00E05E75">
        <w:rPr>
          <w:sz w:val="20"/>
          <w:szCs w:val="20"/>
        </w:rPr>
        <w:t xml:space="preserve"> (</w:t>
      </w:r>
      <w:proofErr w:type="spellStart"/>
      <w:r w:rsidRPr="00E05E75">
        <w:rPr>
          <w:sz w:val="20"/>
          <w:szCs w:val="20"/>
        </w:rPr>
        <w:t>Reishi</w:t>
      </w:r>
      <w:proofErr w:type="spellEnd"/>
      <w:r w:rsidRPr="00E05E75">
        <w:rPr>
          <w:sz w:val="20"/>
          <w:szCs w:val="20"/>
        </w:rPr>
        <w:t xml:space="preserve">) on viability, apoptosis, invasion, and its mechanism of action in IBC cells (SUM-149). Results show that </w:t>
      </w:r>
      <w:proofErr w:type="spellStart"/>
      <w:r w:rsidRPr="00E05E75">
        <w:rPr>
          <w:sz w:val="20"/>
          <w:szCs w:val="20"/>
        </w:rPr>
        <w:t>Reishi</w:t>
      </w:r>
      <w:proofErr w:type="spellEnd"/>
      <w:r w:rsidRPr="00E05E75">
        <w:rPr>
          <w:sz w:val="20"/>
          <w:szCs w:val="20"/>
        </w:rPr>
        <w:t xml:space="preserve"> selectively inhibits cancer cell viability although it does not affect the viability of noncancerous mammary epithelial cells. </w:t>
      </w:r>
      <w:proofErr w:type="spellStart"/>
      <w:r w:rsidRPr="00E05E75">
        <w:rPr>
          <w:sz w:val="20"/>
          <w:szCs w:val="20"/>
        </w:rPr>
        <w:t>Maiti</w:t>
      </w:r>
      <w:proofErr w:type="spellEnd"/>
      <w:r w:rsidRPr="00E05E75">
        <w:rPr>
          <w:sz w:val="20"/>
          <w:szCs w:val="20"/>
        </w:rPr>
        <w:t xml:space="preserve"> et al (2008) reported </w:t>
      </w:r>
      <w:proofErr w:type="spellStart"/>
      <w:r w:rsidRPr="00E05E75">
        <w:rPr>
          <w:sz w:val="20"/>
          <w:szCs w:val="20"/>
        </w:rPr>
        <w:t>cytotoxicity</w:t>
      </w:r>
      <w:proofErr w:type="spellEnd"/>
      <w:r w:rsidRPr="00E05E75">
        <w:rPr>
          <w:sz w:val="20"/>
          <w:szCs w:val="20"/>
        </w:rPr>
        <w:t xml:space="preserve"> effect of C. </w:t>
      </w:r>
      <w:proofErr w:type="spellStart"/>
      <w:r w:rsidRPr="00E05E75">
        <w:rPr>
          <w:sz w:val="20"/>
          <w:szCs w:val="20"/>
        </w:rPr>
        <w:t>indica</w:t>
      </w:r>
      <w:proofErr w:type="spellEnd"/>
      <w:r w:rsidR="00E05E75">
        <w:rPr>
          <w:sz w:val="20"/>
          <w:szCs w:val="20"/>
        </w:rPr>
        <w:t xml:space="preserve"> </w:t>
      </w:r>
      <w:r w:rsidRPr="00E05E75">
        <w:rPr>
          <w:sz w:val="20"/>
          <w:szCs w:val="20"/>
        </w:rPr>
        <w:t xml:space="preserve">on some cancerous cell lines. The </w:t>
      </w:r>
      <w:proofErr w:type="spellStart"/>
      <w:r w:rsidRPr="00E05E75">
        <w:rPr>
          <w:sz w:val="20"/>
          <w:szCs w:val="20"/>
        </w:rPr>
        <w:t>methanolic</w:t>
      </w:r>
      <w:proofErr w:type="spellEnd"/>
      <w:r w:rsidRPr="00E05E75">
        <w:rPr>
          <w:sz w:val="20"/>
          <w:szCs w:val="20"/>
        </w:rPr>
        <w:t xml:space="preserve"> extract of </w:t>
      </w:r>
      <w:proofErr w:type="spellStart"/>
      <w:r w:rsidRPr="00E05E75">
        <w:rPr>
          <w:i/>
          <w:iCs/>
          <w:sz w:val="20"/>
          <w:szCs w:val="20"/>
        </w:rPr>
        <w:t>Calocybe</w:t>
      </w:r>
      <w:proofErr w:type="spellEnd"/>
      <w:r w:rsidRPr="00E05E75">
        <w:rPr>
          <w:i/>
          <w:iCs/>
          <w:sz w:val="20"/>
          <w:szCs w:val="20"/>
        </w:rPr>
        <w:t xml:space="preserve"> </w:t>
      </w:r>
      <w:proofErr w:type="spellStart"/>
      <w:r w:rsidRPr="00E05E75">
        <w:rPr>
          <w:i/>
          <w:iCs/>
          <w:sz w:val="20"/>
          <w:szCs w:val="20"/>
        </w:rPr>
        <w:t>indica</w:t>
      </w:r>
      <w:proofErr w:type="spellEnd"/>
      <w:r w:rsidRPr="00E05E75">
        <w:rPr>
          <w:i/>
          <w:iCs/>
          <w:sz w:val="20"/>
          <w:szCs w:val="20"/>
        </w:rPr>
        <w:t xml:space="preserve"> </w:t>
      </w:r>
      <w:r w:rsidRPr="00E05E75">
        <w:rPr>
          <w:sz w:val="20"/>
          <w:szCs w:val="20"/>
        </w:rPr>
        <w:t>showed significant inhibitory effect against induced inflammation in the experimental</w:t>
      </w:r>
      <w:r w:rsidR="00EC35EE" w:rsidRPr="00E05E75">
        <w:rPr>
          <w:sz w:val="20"/>
          <w:szCs w:val="20"/>
        </w:rPr>
        <w:t xml:space="preserve"> mice model</w:t>
      </w:r>
      <w:r w:rsidR="00E05E75">
        <w:rPr>
          <w:rFonts w:hint="eastAsia"/>
          <w:sz w:val="20"/>
          <w:szCs w:val="20"/>
          <w:lang w:eastAsia="zh-CN"/>
        </w:rPr>
        <w:t xml:space="preserve"> </w:t>
      </w:r>
      <w:r w:rsidR="00E05E75">
        <w:rPr>
          <w:sz w:val="20"/>
          <w:szCs w:val="20"/>
        </w:rPr>
        <w:t>(</w:t>
      </w:r>
      <w:proofErr w:type="spellStart"/>
      <w:r w:rsidR="00EC35EE" w:rsidRPr="00E05E75">
        <w:rPr>
          <w:sz w:val="20"/>
          <w:szCs w:val="20"/>
        </w:rPr>
        <w:t>Prabu</w:t>
      </w:r>
      <w:proofErr w:type="spellEnd"/>
      <w:r w:rsidR="00EC35EE" w:rsidRPr="00E05E75">
        <w:rPr>
          <w:sz w:val="20"/>
          <w:szCs w:val="20"/>
        </w:rPr>
        <w:t xml:space="preserve"> </w:t>
      </w:r>
      <w:r w:rsidR="00EC35EE" w:rsidRPr="00E05E75">
        <w:rPr>
          <w:bCs/>
          <w:sz w:val="20"/>
          <w:szCs w:val="20"/>
        </w:rPr>
        <w:t xml:space="preserve">and </w:t>
      </w:r>
      <w:proofErr w:type="spellStart"/>
      <w:r w:rsidR="00EC35EE" w:rsidRPr="00E05E75">
        <w:rPr>
          <w:bCs/>
          <w:sz w:val="20"/>
          <w:szCs w:val="20"/>
        </w:rPr>
        <w:t>Kumuthakalavalli</w:t>
      </w:r>
      <w:proofErr w:type="spellEnd"/>
      <w:r w:rsidR="00E05E75">
        <w:rPr>
          <w:b/>
          <w:bCs/>
          <w:sz w:val="20"/>
          <w:szCs w:val="20"/>
        </w:rPr>
        <w:t>,</w:t>
      </w:r>
      <w:r w:rsidR="00EC35EE" w:rsidRPr="00E05E75">
        <w:rPr>
          <w:b/>
          <w:bCs/>
          <w:sz w:val="20"/>
          <w:szCs w:val="20"/>
        </w:rPr>
        <w:t xml:space="preserve"> </w:t>
      </w:r>
      <w:r w:rsidR="00EC35EE" w:rsidRPr="00E05E75">
        <w:rPr>
          <w:sz w:val="20"/>
          <w:szCs w:val="20"/>
        </w:rPr>
        <w:t>2014). This</w:t>
      </w:r>
      <w:r w:rsidR="00E05E75">
        <w:rPr>
          <w:sz w:val="20"/>
          <w:szCs w:val="20"/>
        </w:rPr>
        <w:t xml:space="preserve"> </w:t>
      </w:r>
      <w:r w:rsidR="00EC35EE" w:rsidRPr="00E05E75">
        <w:rPr>
          <w:sz w:val="20"/>
          <w:szCs w:val="20"/>
        </w:rPr>
        <w:t xml:space="preserve">screening of </w:t>
      </w:r>
      <w:proofErr w:type="spellStart"/>
      <w:r w:rsidR="00EC35EE" w:rsidRPr="00E05E75">
        <w:rPr>
          <w:i/>
          <w:sz w:val="20"/>
          <w:szCs w:val="20"/>
        </w:rPr>
        <w:t>C.indica</w:t>
      </w:r>
      <w:proofErr w:type="spellEnd"/>
      <w:r w:rsidR="00E05E75">
        <w:rPr>
          <w:sz w:val="20"/>
          <w:szCs w:val="20"/>
        </w:rPr>
        <w:t xml:space="preserve"> </w:t>
      </w:r>
      <w:r w:rsidR="00EC35EE" w:rsidRPr="00E05E75">
        <w:rPr>
          <w:sz w:val="20"/>
          <w:szCs w:val="20"/>
        </w:rPr>
        <w:t>as anticancer agent also supported them.</w:t>
      </w:r>
    </w:p>
    <w:p w:rsidR="00EC35EE" w:rsidRPr="00E05E75" w:rsidRDefault="00EC35EE" w:rsidP="007B6A0C">
      <w:pPr>
        <w:autoSpaceDE w:val="0"/>
        <w:autoSpaceDN w:val="0"/>
        <w:adjustRightInd w:val="0"/>
        <w:snapToGrid w:val="0"/>
        <w:ind w:firstLine="425"/>
        <w:jc w:val="both"/>
        <w:rPr>
          <w:sz w:val="20"/>
          <w:szCs w:val="20"/>
          <w:lang w:eastAsia="zh-CN"/>
        </w:rPr>
      </w:pPr>
      <w:r w:rsidRPr="00E05E75">
        <w:rPr>
          <w:sz w:val="20"/>
          <w:szCs w:val="20"/>
        </w:rPr>
        <w:t xml:space="preserve">Based on MTT assay results, DAPI staining was conducted to investigate </w:t>
      </w:r>
      <w:r w:rsidRPr="00E05E75">
        <w:rPr>
          <w:i/>
          <w:sz w:val="20"/>
          <w:szCs w:val="20"/>
        </w:rPr>
        <w:t xml:space="preserve">C </w:t>
      </w:r>
      <w:proofErr w:type="spellStart"/>
      <w:r w:rsidRPr="00E05E75">
        <w:rPr>
          <w:i/>
          <w:sz w:val="20"/>
          <w:szCs w:val="20"/>
        </w:rPr>
        <w:t>indica</w:t>
      </w:r>
      <w:proofErr w:type="spellEnd"/>
      <w:r w:rsidRPr="00E05E75">
        <w:rPr>
          <w:sz w:val="20"/>
          <w:szCs w:val="20"/>
        </w:rPr>
        <w:t xml:space="preserve"> induced changes in cell structures. Cells were incubated with both</w:t>
      </w:r>
      <w:r w:rsidR="00E05E75">
        <w:rPr>
          <w:sz w:val="20"/>
          <w:szCs w:val="20"/>
        </w:rPr>
        <w:t xml:space="preserve"> </w:t>
      </w:r>
      <w:r w:rsidRPr="00E05E75">
        <w:rPr>
          <w:sz w:val="20"/>
          <w:szCs w:val="20"/>
        </w:rPr>
        <w:t>extracts</w:t>
      </w:r>
      <w:r w:rsidR="00E05E75">
        <w:rPr>
          <w:rFonts w:hint="eastAsia"/>
          <w:sz w:val="20"/>
          <w:szCs w:val="20"/>
          <w:lang w:eastAsia="zh-CN"/>
        </w:rPr>
        <w:t xml:space="preserve"> </w:t>
      </w:r>
      <w:r w:rsidRPr="00E05E75">
        <w:rPr>
          <w:sz w:val="20"/>
          <w:szCs w:val="20"/>
        </w:rPr>
        <w:t>(WE</w:t>
      </w:r>
      <w:r w:rsidR="00E05E75">
        <w:rPr>
          <w:rFonts w:hint="eastAsia"/>
          <w:sz w:val="20"/>
          <w:szCs w:val="20"/>
          <w:lang w:eastAsia="zh-CN"/>
        </w:rPr>
        <w:t xml:space="preserve"> </w:t>
      </w:r>
      <w:r w:rsidRPr="00E05E75">
        <w:rPr>
          <w:sz w:val="20"/>
          <w:szCs w:val="20"/>
        </w:rPr>
        <w:t>&amp;</w:t>
      </w:r>
      <w:r w:rsidR="00E05E75">
        <w:rPr>
          <w:rFonts w:hint="eastAsia"/>
          <w:sz w:val="20"/>
          <w:szCs w:val="20"/>
          <w:lang w:eastAsia="zh-CN"/>
        </w:rPr>
        <w:t xml:space="preserve"> </w:t>
      </w:r>
      <w:r w:rsidRPr="00E05E75">
        <w:rPr>
          <w:sz w:val="20"/>
          <w:szCs w:val="20"/>
        </w:rPr>
        <w:t xml:space="preserve">ME) of </w:t>
      </w:r>
      <w:r w:rsidRPr="00E05E75">
        <w:rPr>
          <w:i/>
          <w:sz w:val="20"/>
          <w:szCs w:val="20"/>
        </w:rPr>
        <w:t xml:space="preserve">C </w:t>
      </w:r>
      <w:proofErr w:type="spellStart"/>
      <w:r w:rsidRPr="00E05E75">
        <w:rPr>
          <w:i/>
          <w:sz w:val="20"/>
          <w:szCs w:val="20"/>
        </w:rPr>
        <w:t>indica</w:t>
      </w:r>
      <w:proofErr w:type="spellEnd"/>
      <w:r w:rsidRPr="00E05E75">
        <w:rPr>
          <w:sz w:val="20"/>
          <w:szCs w:val="20"/>
        </w:rPr>
        <w:t xml:space="preserve"> separately, and morphological alterations were confirmed via florescence microscope. After 24 h of incubation with various concentrations of extract</w:t>
      </w:r>
      <w:r w:rsidR="00E05E75">
        <w:rPr>
          <w:sz w:val="20"/>
          <w:szCs w:val="20"/>
        </w:rPr>
        <w:t xml:space="preserve"> </w:t>
      </w:r>
      <w:r w:rsidRPr="00E05E75">
        <w:rPr>
          <w:sz w:val="20"/>
          <w:szCs w:val="20"/>
        </w:rPr>
        <w:t xml:space="preserve">of </w:t>
      </w:r>
      <w:r w:rsidRPr="00E05E75">
        <w:rPr>
          <w:i/>
          <w:sz w:val="20"/>
          <w:szCs w:val="20"/>
        </w:rPr>
        <w:t xml:space="preserve">C </w:t>
      </w:r>
      <w:proofErr w:type="spellStart"/>
      <w:r w:rsidRPr="00E05E75">
        <w:rPr>
          <w:i/>
          <w:sz w:val="20"/>
          <w:szCs w:val="20"/>
        </w:rPr>
        <w:t>indica</w:t>
      </w:r>
      <w:proofErr w:type="spellEnd"/>
      <w:r w:rsidRPr="00E05E75">
        <w:rPr>
          <w:sz w:val="20"/>
          <w:szCs w:val="20"/>
        </w:rPr>
        <w:t xml:space="preserve">, many of the cells showed </w:t>
      </w:r>
      <w:proofErr w:type="spellStart"/>
      <w:r w:rsidRPr="00E05E75">
        <w:rPr>
          <w:sz w:val="20"/>
          <w:szCs w:val="20"/>
        </w:rPr>
        <w:t>cytoplasmic</w:t>
      </w:r>
      <w:proofErr w:type="spellEnd"/>
      <w:r w:rsidRPr="00E05E75">
        <w:rPr>
          <w:sz w:val="20"/>
          <w:szCs w:val="20"/>
        </w:rPr>
        <w:t xml:space="preserve"> shrinkage and loss of normal nuclear architecture, became detached and found floating in the medium. As a result, the number of </w:t>
      </w:r>
      <w:proofErr w:type="spellStart"/>
      <w:r w:rsidRPr="00E05E75">
        <w:rPr>
          <w:sz w:val="20"/>
          <w:szCs w:val="20"/>
        </w:rPr>
        <w:t>cytotoxic</w:t>
      </w:r>
      <w:proofErr w:type="spellEnd"/>
      <w:r w:rsidRPr="00E05E75">
        <w:rPr>
          <w:sz w:val="20"/>
          <w:szCs w:val="20"/>
        </w:rPr>
        <w:t xml:space="preserve"> cells increased with </w:t>
      </w:r>
      <w:proofErr w:type="gramStart"/>
      <w:r w:rsidRPr="00E05E75">
        <w:rPr>
          <w:sz w:val="20"/>
          <w:szCs w:val="20"/>
        </w:rPr>
        <w:t>WE</w:t>
      </w:r>
      <w:proofErr w:type="gramEnd"/>
      <w:r w:rsidRPr="00E05E75">
        <w:rPr>
          <w:sz w:val="20"/>
          <w:szCs w:val="20"/>
        </w:rPr>
        <w:t xml:space="preserve"> and ME- concentration, with the highest having the most pronounced inhibitory effect on cell proliferation than the control. In this screening trial</w:t>
      </w:r>
      <w:r w:rsidR="00E05E75">
        <w:rPr>
          <w:sz w:val="20"/>
          <w:szCs w:val="20"/>
        </w:rPr>
        <w:t>,</w:t>
      </w:r>
      <w:r w:rsidRPr="00E05E75">
        <w:rPr>
          <w:sz w:val="20"/>
          <w:szCs w:val="20"/>
        </w:rPr>
        <w:t xml:space="preserve"> WE and </w:t>
      </w:r>
      <w:proofErr w:type="gramStart"/>
      <w:r w:rsidRPr="00E05E75">
        <w:rPr>
          <w:sz w:val="20"/>
          <w:szCs w:val="20"/>
        </w:rPr>
        <w:t>ME</w:t>
      </w:r>
      <w:proofErr w:type="gramEnd"/>
      <w:r w:rsidRPr="00E05E75">
        <w:rPr>
          <w:sz w:val="20"/>
          <w:szCs w:val="20"/>
        </w:rPr>
        <w:t xml:space="preserve"> of fruit body of this mushroom were found no </w:t>
      </w:r>
      <w:proofErr w:type="spellStart"/>
      <w:r w:rsidRPr="00E05E75">
        <w:rPr>
          <w:sz w:val="20"/>
          <w:szCs w:val="20"/>
        </w:rPr>
        <w:t>cytotoxicity</w:t>
      </w:r>
      <w:proofErr w:type="spellEnd"/>
      <w:r w:rsidRPr="00E05E75">
        <w:rPr>
          <w:sz w:val="20"/>
          <w:szCs w:val="20"/>
        </w:rPr>
        <w:t xml:space="preserve"> on normal lymphocyte cells. More over this mushroom is eaten by locals of collected zone</w:t>
      </w:r>
      <w:r w:rsidR="00E05E75">
        <w:rPr>
          <w:sz w:val="20"/>
          <w:szCs w:val="20"/>
        </w:rPr>
        <w:t>.</w:t>
      </w:r>
    </w:p>
    <w:p w:rsidR="007B6A0C" w:rsidRPr="00E05E75" w:rsidRDefault="007B6A0C" w:rsidP="007B6A0C">
      <w:pPr>
        <w:autoSpaceDE w:val="0"/>
        <w:autoSpaceDN w:val="0"/>
        <w:adjustRightInd w:val="0"/>
        <w:snapToGrid w:val="0"/>
        <w:ind w:firstLine="425"/>
        <w:jc w:val="both"/>
        <w:rPr>
          <w:sz w:val="20"/>
          <w:szCs w:val="20"/>
          <w:lang w:eastAsia="zh-CN"/>
        </w:rPr>
      </w:pPr>
    </w:p>
    <w:p w:rsidR="00EC35EE" w:rsidRPr="00E05E75" w:rsidRDefault="00EC35EE" w:rsidP="007B6A0C">
      <w:pPr>
        <w:autoSpaceDE w:val="0"/>
        <w:autoSpaceDN w:val="0"/>
        <w:adjustRightInd w:val="0"/>
        <w:snapToGrid w:val="0"/>
        <w:jc w:val="both"/>
        <w:rPr>
          <w:sz w:val="20"/>
          <w:szCs w:val="20"/>
        </w:rPr>
      </w:pPr>
      <w:r w:rsidRPr="00E05E75">
        <w:rPr>
          <w:b/>
          <w:sz w:val="20"/>
          <w:szCs w:val="20"/>
        </w:rPr>
        <w:t>4.</w:t>
      </w:r>
      <w:r w:rsidR="00600A78" w:rsidRPr="00E05E75">
        <w:rPr>
          <w:rFonts w:hint="eastAsia"/>
          <w:sz w:val="20"/>
          <w:szCs w:val="20"/>
          <w:lang w:eastAsia="zh-CN"/>
        </w:rPr>
        <w:t xml:space="preserve"> </w:t>
      </w:r>
      <w:r w:rsidRPr="00E05E75">
        <w:rPr>
          <w:b/>
          <w:sz w:val="20"/>
          <w:szCs w:val="20"/>
        </w:rPr>
        <w:t>Conclusion</w:t>
      </w:r>
    </w:p>
    <w:p w:rsidR="00EC35EE" w:rsidRPr="00E05E75" w:rsidRDefault="00EC35EE" w:rsidP="007B6A0C">
      <w:pPr>
        <w:autoSpaceDE w:val="0"/>
        <w:autoSpaceDN w:val="0"/>
        <w:adjustRightInd w:val="0"/>
        <w:snapToGrid w:val="0"/>
        <w:ind w:firstLine="425"/>
        <w:jc w:val="both"/>
        <w:rPr>
          <w:rFonts w:eastAsia="Times New Roman"/>
          <w:sz w:val="20"/>
          <w:szCs w:val="20"/>
        </w:rPr>
      </w:pPr>
      <w:r w:rsidRPr="00E05E75">
        <w:rPr>
          <w:sz w:val="20"/>
          <w:szCs w:val="20"/>
        </w:rPr>
        <w:t xml:space="preserve">A </w:t>
      </w:r>
      <w:proofErr w:type="spellStart"/>
      <w:r w:rsidRPr="00E05E75">
        <w:rPr>
          <w:sz w:val="20"/>
          <w:szCs w:val="20"/>
        </w:rPr>
        <w:t>nutraceuticals</w:t>
      </w:r>
      <w:proofErr w:type="spellEnd"/>
      <w:r w:rsidRPr="00E05E75">
        <w:rPr>
          <w:sz w:val="20"/>
          <w:szCs w:val="20"/>
        </w:rPr>
        <w:t xml:space="preserve"> can be defined as a substance that may be considered a food or part of a food that provides medical or health benefits like the prevention and treatment of disease. </w:t>
      </w:r>
      <w:r w:rsidRPr="00E05E75">
        <w:rPr>
          <w:rFonts w:eastAsia="Times New Roman"/>
          <w:sz w:val="20"/>
          <w:szCs w:val="20"/>
        </w:rPr>
        <w:t>These results suggest a possible use of extracts from this mushroom to identify compounds of possible interest in the treatment of breast cancer and sarcoma, so that the anticancer agent may be clinically successful. The finding of its active compound against cancers</w:t>
      </w:r>
      <w:r w:rsidR="00E05E75">
        <w:rPr>
          <w:rFonts w:eastAsia="Times New Roman"/>
          <w:sz w:val="20"/>
          <w:szCs w:val="20"/>
        </w:rPr>
        <w:t xml:space="preserve"> </w:t>
      </w:r>
      <w:r w:rsidRPr="00E05E75">
        <w:rPr>
          <w:rFonts w:eastAsia="Times New Roman"/>
          <w:sz w:val="20"/>
          <w:szCs w:val="20"/>
        </w:rPr>
        <w:t>and their isolation and purification will be future course of works.</w:t>
      </w:r>
    </w:p>
    <w:p w:rsidR="00EC35EE" w:rsidRPr="00E05E75" w:rsidRDefault="00EC35EE" w:rsidP="007B6A0C">
      <w:pPr>
        <w:autoSpaceDE w:val="0"/>
        <w:autoSpaceDN w:val="0"/>
        <w:adjustRightInd w:val="0"/>
        <w:snapToGrid w:val="0"/>
        <w:jc w:val="both"/>
        <w:rPr>
          <w:sz w:val="20"/>
          <w:szCs w:val="20"/>
        </w:rPr>
      </w:pPr>
    </w:p>
    <w:p w:rsidR="00EC35EE" w:rsidRPr="00E05E75" w:rsidRDefault="00EC35EE" w:rsidP="007B6A0C">
      <w:pPr>
        <w:pStyle w:val="NoSpacing"/>
        <w:snapToGrid w:val="0"/>
        <w:jc w:val="both"/>
        <w:rPr>
          <w:rFonts w:ascii="Times New Roman" w:hAnsi="Times New Roman"/>
          <w:b/>
          <w:sz w:val="20"/>
          <w:szCs w:val="20"/>
        </w:rPr>
      </w:pPr>
      <w:r w:rsidRPr="00E05E75">
        <w:rPr>
          <w:rFonts w:ascii="Times New Roman" w:hAnsi="Times New Roman"/>
          <w:b/>
          <w:sz w:val="20"/>
          <w:szCs w:val="20"/>
        </w:rPr>
        <w:t>Corresponding Author:</w:t>
      </w:r>
    </w:p>
    <w:p w:rsidR="00EC35EE" w:rsidRPr="00E05E75" w:rsidRDefault="00EC35EE" w:rsidP="007B6A0C">
      <w:pPr>
        <w:pStyle w:val="NoSpacing"/>
        <w:snapToGrid w:val="0"/>
        <w:jc w:val="both"/>
        <w:rPr>
          <w:rFonts w:ascii="Times New Roman" w:hAnsi="Times New Roman"/>
          <w:sz w:val="20"/>
          <w:szCs w:val="20"/>
        </w:rPr>
      </w:pPr>
      <w:r w:rsidRPr="00E05E75">
        <w:rPr>
          <w:rFonts w:ascii="Times New Roman" w:hAnsi="Times New Roman"/>
          <w:sz w:val="20"/>
          <w:szCs w:val="20"/>
        </w:rPr>
        <w:t xml:space="preserve">Dr. </w:t>
      </w:r>
      <w:proofErr w:type="spellStart"/>
      <w:r w:rsidRPr="00E05E75">
        <w:rPr>
          <w:rFonts w:ascii="Times New Roman" w:hAnsi="Times New Roman"/>
          <w:sz w:val="20"/>
          <w:szCs w:val="20"/>
        </w:rPr>
        <w:t>Swapan</w:t>
      </w:r>
      <w:proofErr w:type="spellEnd"/>
      <w:r w:rsidRPr="00E05E75">
        <w:rPr>
          <w:rFonts w:ascii="Times New Roman" w:hAnsi="Times New Roman"/>
          <w:sz w:val="20"/>
          <w:szCs w:val="20"/>
        </w:rPr>
        <w:t xml:space="preserve"> Kumar </w:t>
      </w:r>
      <w:proofErr w:type="spellStart"/>
      <w:r w:rsidRPr="00E05E75">
        <w:rPr>
          <w:rFonts w:ascii="Times New Roman" w:hAnsi="Times New Roman"/>
          <w:sz w:val="20"/>
          <w:szCs w:val="20"/>
        </w:rPr>
        <w:t>Ghosh</w:t>
      </w:r>
      <w:proofErr w:type="spellEnd"/>
    </w:p>
    <w:p w:rsidR="00EC35EE" w:rsidRPr="00E05E75" w:rsidRDefault="00EC35EE" w:rsidP="007B6A0C">
      <w:pPr>
        <w:pStyle w:val="NoSpacing"/>
        <w:snapToGrid w:val="0"/>
        <w:jc w:val="both"/>
        <w:rPr>
          <w:rFonts w:ascii="Times New Roman" w:hAnsi="Times New Roman"/>
          <w:sz w:val="20"/>
          <w:szCs w:val="20"/>
        </w:rPr>
      </w:pPr>
      <w:r w:rsidRPr="00E05E75">
        <w:rPr>
          <w:rFonts w:ascii="Times New Roman" w:hAnsi="Times New Roman"/>
          <w:sz w:val="20"/>
          <w:szCs w:val="20"/>
        </w:rPr>
        <w:t>Associate Professor</w:t>
      </w:r>
    </w:p>
    <w:p w:rsidR="00EC35EE" w:rsidRPr="00E05E75" w:rsidRDefault="00EC35EE" w:rsidP="007B6A0C">
      <w:pPr>
        <w:pStyle w:val="NoSpacing"/>
        <w:snapToGrid w:val="0"/>
        <w:jc w:val="both"/>
        <w:rPr>
          <w:rFonts w:ascii="Times New Roman" w:hAnsi="Times New Roman"/>
          <w:sz w:val="20"/>
          <w:szCs w:val="20"/>
        </w:rPr>
      </w:pPr>
      <w:r w:rsidRPr="00E05E75">
        <w:rPr>
          <w:rFonts w:ascii="Times New Roman" w:hAnsi="Times New Roman"/>
          <w:sz w:val="20"/>
          <w:szCs w:val="20"/>
        </w:rPr>
        <w:t>Ramakrishna Mission Vivekananda Centenary College</w:t>
      </w:r>
    </w:p>
    <w:p w:rsidR="00EC35EE" w:rsidRPr="00E05E75" w:rsidRDefault="00EC35EE" w:rsidP="007B6A0C">
      <w:pPr>
        <w:pStyle w:val="NoSpacing"/>
        <w:snapToGrid w:val="0"/>
        <w:jc w:val="both"/>
        <w:rPr>
          <w:rFonts w:ascii="Times New Roman" w:hAnsi="Times New Roman"/>
          <w:sz w:val="20"/>
          <w:szCs w:val="20"/>
        </w:rPr>
      </w:pPr>
      <w:proofErr w:type="spellStart"/>
      <w:r w:rsidRPr="00E05E75">
        <w:rPr>
          <w:rFonts w:ascii="Times New Roman" w:hAnsi="Times New Roman"/>
          <w:sz w:val="20"/>
          <w:szCs w:val="20"/>
        </w:rPr>
        <w:t>Rahara</w:t>
      </w:r>
      <w:proofErr w:type="spellEnd"/>
      <w:r w:rsidRPr="00E05E75">
        <w:rPr>
          <w:rFonts w:ascii="Times New Roman" w:hAnsi="Times New Roman"/>
          <w:sz w:val="20"/>
          <w:szCs w:val="20"/>
        </w:rPr>
        <w:t>, Kolkata 118</w:t>
      </w:r>
    </w:p>
    <w:p w:rsidR="00EC35EE" w:rsidRPr="00E05E75" w:rsidRDefault="00EC35EE" w:rsidP="007B6A0C">
      <w:pPr>
        <w:pStyle w:val="NoSpacing"/>
        <w:snapToGrid w:val="0"/>
        <w:jc w:val="both"/>
        <w:rPr>
          <w:rFonts w:ascii="Times New Roman" w:hAnsi="Times New Roman"/>
          <w:sz w:val="20"/>
          <w:szCs w:val="20"/>
        </w:rPr>
      </w:pPr>
      <w:r w:rsidRPr="00E05E75">
        <w:rPr>
          <w:rFonts w:ascii="Times New Roman" w:hAnsi="Times New Roman"/>
          <w:sz w:val="20"/>
          <w:szCs w:val="20"/>
        </w:rPr>
        <w:t>West Bengal, India</w:t>
      </w:r>
    </w:p>
    <w:p w:rsidR="00EC35EE" w:rsidRPr="00E05E75" w:rsidRDefault="00EC35EE" w:rsidP="007B6A0C">
      <w:pPr>
        <w:pStyle w:val="NoSpacing"/>
        <w:snapToGrid w:val="0"/>
        <w:jc w:val="both"/>
        <w:rPr>
          <w:rFonts w:ascii="Times New Roman" w:hAnsi="Times New Roman"/>
          <w:iCs/>
          <w:sz w:val="20"/>
          <w:szCs w:val="20"/>
        </w:rPr>
      </w:pPr>
      <w:r w:rsidRPr="00E05E75">
        <w:rPr>
          <w:rFonts w:ascii="Times New Roman" w:hAnsi="Times New Roman"/>
          <w:iCs/>
          <w:sz w:val="20"/>
          <w:szCs w:val="20"/>
        </w:rPr>
        <w:lastRenderedPageBreak/>
        <w:t xml:space="preserve">E mail: </w:t>
      </w:r>
      <w:hyperlink r:id="rId17" w:history="1">
        <w:r w:rsidRPr="00E05E75">
          <w:rPr>
            <w:rStyle w:val="Hyperlink"/>
            <w:rFonts w:ascii="Times New Roman" w:hAnsi="Times New Roman"/>
            <w:iCs/>
            <w:sz w:val="20"/>
            <w:szCs w:val="20"/>
          </w:rPr>
          <w:t>swapan.krghosh@yahoo.com</w:t>
        </w:r>
      </w:hyperlink>
    </w:p>
    <w:p w:rsidR="00EC35EE" w:rsidRPr="00E05E75" w:rsidRDefault="00EC35EE" w:rsidP="007B6A0C">
      <w:pPr>
        <w:pStyle w:val="NoSpacing"/>
        <w:snapToGrid w:val="0"/>
        <w:jc w:val="both"/>
        <w:rPr>
          <w:rFonts w:ascii="Times New Roman" w:hAnsi="Times New Roman"/>
          <w:sz w:val="20"/>
          <w:szCs w:val="20"/>
        </w:rPr>
      </w:pPr>
      <w:r w:rsidRPr="00E05E75">
        <w:rPr>
          <w:rFonts w:ascii="Times New Roman" w:hAnsi="Times New Roman"/>
          <w:iCs/>
          <w:sz w:val="20"/>
          <w:szCs w:val="20"/>
        </w:rPr>
        <w:t>Mobile: + 91 9433203463</w:t>
      </w:r>
    </w:p>
    <w:p w:rsidR="00EC35EE" w:rsidRPr="00E05E75" w:rsidRDefault="00EC35EE" w:rsidP="007B6A0C">
      <w:pPr>
        <w:autoSpaceDE w:val="0"/>
        <w:autoSpaceDN w:val="0"/>
        <w:adjustRightInd w:val="0"/>
        <w:snapToGrid w:val="0"/>
        <w:jc w:val="both"/>
        <w:rPr>
          <w:sz w:val="20"/>
          <w:szCs w:val="20"/>
        </w:rPr>
      </w:pPr>
    </w:p>
    <w:p w:rsidR="007B6A0C" w:rsidRPr="00E05E75" w:rsidRDefault="00EC35EE" w:rsidP="007B6A0C">
      <w:pPr>
        <w:autoSpaceDE w:val="0"/>
        <w:autoSpaceDN w:val="0"/>
        <w:adjustRightInd w:val="0"/>
        <w:snapToGrid w:val="0"/>
        <w:jc w:val="both"/>
        <w:rPr>
          <w:sz w:val="20"/>
          <w:szCs w:val="20"/>
        </w:rPr>
      </w:pPr>
      <w:r w:rsidRPr="00E05E75">
        <w:rPr>
          <w:b/>
          <w:sz w:val="20"/>
          <w:szCs w:val="20"/>
        </w:rPr>
        <w:t>References</w:t>
      </w:r>
    </w:p>
    <w:p w:rsidR="007B6A0C" w:rsidRPr="00E05E75" w:rsidRDefault="007B6A0C" w:rsidP="00600A78">
      <w:pPr>
        <w:numPr>
          <w:ilvl w:val="0"/>
          <w:numId w:val="7"/>
        </w:numPr>
        <w:autoSpaceDE w:val="0"/>
        <w:autoSpaceDN w:val="0"/>
        <w:adjustRightInd w:val="0"/>
        <w:snapToGrid w:val="0"/>
        <w:jc w:val="both"/>
        <w:rPr>
          <w:sz w:val="20"/>
          <w:szCs w:val="20"/>
        </w:rPr>
      </w:pPr>
      <w:r w:rsidRPr="00E05E75">
        <w:rPr>
          <w:color w:val="221E1F"/>
          <w:sz w:val="20"/>
          <w:szCs w:val="20"/>
        </w:rPr>
        <w:t>A</w:t>
      </w:r>
      <w:r w:rsidR="00EC35EE" w:rsidRPr="00E05E75">
        <w:rPr>
          <w:color w:val="221E1F"/>
          <w:sz w:val="20"/>
          <w:szCs w:val="20"/>
        </w:rPr>
        <w:t>lley MC,</w:t>
      </w:r>
      <w:r w:rsidR="00E05E75">
        <w:rPr>
          <w:color w:val="221E1F"/>
          <w:sz w:val="20"/>
          <w:szCs w:val="20"/>
        </w:rPr>
        <w:t xml:space="preserve"> </w:t>
      </w:r>
      <w:proofErr w:type="spellStart"/>
      <w:r w:rsidR="00EC35EE" w:rsidRPr="00E05E75">
        <w:rPr>
          <w:color w:val="221E1F"/>
          <w:sz w:val="20"/>
          <w:szCs w:val="20"/>
        </w:rPr>
        <w:t>Scudiro</w:t>
      </w:r>
      <w:proofErr w:type="spellEnd"/>
      <w:r w:rsidR="00EC35EE" w:rsidRPr="00E05E75">
        <w:rPr>
          <w:color w:val="221E1F"/>
          <w:sz w:val="20"/>
          <w:szCs w:val="20"/>
        </w:rPr>
        <w:t xml:space="preserve"> DA,</w:t>
      </w:r>
      <w:r w:rsidR="00E05E75">
        <w:rPr>
          <w:color w:val="221E1F"/>
          <w:sz w:val="20"/>
          <w:szCs w:val="20"/>
        </w:rPr>
        <w:t xml:space="preserve"> </w:t>
      </w:r>
      <w:r w:rsidR="00EC35EE" w:rsidRPr="00E05E75">
        <w:rPr>
          <w:color w:val="221E1F"/>
          <w:sz w:val="20"/>
          <w:szCs w:val="20"/>
        </w:rPr>
        <w:t xml:space="preserve">Monks A, </w:t>
      </w:r>
      <w:proofErr w:type="spellStart"/>
      <w:r w:rsidR="00EC35EE" w:rsidRPr="00E05E75">
        <w:rPr>
          <w:color w:val="221E1F"/>
          <w:sz w:val="20"/>
          <w:szCs w:val="20"/>
        </w:rPr>
        <w:t>Hursey</w:t>
      </w:r>
      <w:proofErr w:type="spellEnd"/>
      <w:r w:rsidR="00EC35EE" w:rsidRPr="00E05E75">
        <w:rPr>
          <w:color w:val="221E1F"/>
          <w:sz w:val="20"/>
          <w:szCs w:val="20"/>
        </w:rPr>
        <w:t xml:space="preserve"> ML</w:t>
      </w:r>
      <w:r w:rsidR="00E05E75">
        <w:rPr>
          <w:color w:val="221E1F"/>
          <w:sz w:val="20"/>
          <w:szCs w:val="20"/>
        </w:rPr>
        <w:t>,</w:t>
      </w:r>
      <w:r w:rsidR="00EC35EE" w:rsidRPr="00E05E75">
        <w:rPr>
          <w:color w:val="221E1F"/>
          <w:sz w:val="20"/>
          <w:szCs w:val="20"/>
        </w:rPr>
        <w:t xml:space="preserve"> Czerwinski MJ</w:t>
      </w:r>
      <w:r w:rsidR="00E05E75">
        <w:rPr>
          <w:color w:val="221E1F"/>
          <w:sz w:val="20"/>
          <w:szCs w:val="20"/>
        </w:rPr>
        <w:t>,</w:t>
      </w:r>
      <w:r w:rsidR="00EC35EE" w:rsidRPr="00E05E75">
        <w:rPr>
          <w:color w:val="221E1F"/>
          <w:sz w:val="20"/>
          <w:szCs w:val="20"/>
        </w:rPr>
        <w:t xml:space="preserve"> Fine, DL.</w:t>
      </w:r>
      <w:r w:rsidR="00E05E75">
        <w:rPr>
          <w:color w:val="221E1F"/>
          <w:sz w:val="20"/>
          <w:szCs w:val="20"/>
        </w:rPr>
        <w:t xml:space="preserve"> </w:t>
      </w:r>
      <w:r w:rsidR="00EC35EE" w:rsidRPr="00E05E75">
        <w:rPr>
          <w:color w:val="221E1F"/>
          <w:sz w:val="20"/>
          <w:szCs w:val="20"/>
        </w:rPr>
        <w:t>Feasibility of drug</w:t>
      </w:r>
      <w:r w:rsidR="00E05E75">
        <w:rPr>
          <w:color w:val="221E1F"/>
          <w:sz w:val="20"/>
          <w:szCs w:val="20"/>
        </w:rPr>
        <w:t xml:space="preserve"> </w:t>
      </w:r>
      <w:r w:rsidR="00EC35EE" w:rsidRPr="00E05E75">
        <w:rPr>
          <w:color w:val="221E1F"/>
          <w:sz w:val="20"/>
          <w:szCs w:val="20"/>
        </w:rPr>
        <w:t xml:space="preserve">screening with panels of human tumor cell lines using a </w:t>
      </w:r>
      <w:proofErr w:type="spellStart"/>
      <w:r w:rsidR="00EC35EE" w:rsidRPr="00E05E75">
        <w:rPr>
          <w:color w:val="221E1F"/>
          <w:sz w:val="20"/>
          <w:szCs w:val="20"/>
        </w:rPr>
        <w:t>microculture</w:t>
      </w:r>
      <w:proofErr w:type="spellEnd"/>
      <w:r w:rsidR="00EC35EE" w:rsidRPr="00E05E75">
        <w:rPr>
          <w:color w:val="221E1F"/>
          <w:sz w:val="20"/>
          <w:szCs w:val="20"/>
        </w:rPr>
        <w:t xml:space="preserve"> </w:t>
      </w:r>
      <w:proofErr w:type="spellStart"/>
      <w:r w:rsidR="00EC35EE" w:rsidRPr="00E05E75">
        <w:rPr>
          <w:color w:val="221E1F"/>
          <w:sz w:val="20"/>
          <w:szCs w:val="20"/>
        </w:rPr>
        <w:t>tetrazolium</w:t>
      </w:r>
      <w:proofErr w:type="spellEnd"/>
      <w:r w:rsidR="00EC35EE" w:rsidRPr="00E05E75">
        <w:rPr>
          <w:color w:val="221E1F"/>
          <w:sz w:val="20"/>
          <w:szCs w:val="20"/>
        </w:rPr>
        <w:t xml:space="preserve"> assay. </w:t>
      </w:r>
      <w:r w:rsidR="00EC35EE" w:rsidRPr="00E05E75">
        <w:rPr>
          <w:i/>
          <w:color w:val="221E1F"/>
          <w:sz w:val="20"/>
          <w:szCs w:val="20"/>
        </w:rPr>
        <w:t>Cancer Res</w:t>
      </w:r>
      <w:r w:rsidR="00EC35EE" w:rsidRPr="00E05E75">
        <w:rPr>
          <w:i/>
          <w:iCs/>
          <w:color w:val="221E1F"/>
          <w:sz w:val="20"/>
          <w:szCs w:val="20"/>
        </w:rPr>
        <w:t xml:space="preserve">. </w:t>
      </w:r>
      <w:r w:rsidR="00EC35EE" w:rsidRPr="00E05E75">
        <w:rPr>
          <w:iCs/>
          <w:color w:val="221E1F"/>
          <w:sz w:val="20"/>
          <w:szCs w:val="20"/>
        </w:rPr>
        <w:t>1988</w:t>
      </w:r>
      <w:proofErr w:type="gramStart"/>
      <w:r w:rsidR="00EC35EE" w:rsidRPr="00E05E75">
        <w:rPr>
          <w:iCs/>
          <w:color w:val="221E1F"/>
          <w:sz w:val="20"/>
          <w:szCs w:val="20"/>
        </w:rPr>
        <w:t>;</w:t>
      </w:r>
      <w:r w:rsidR="00EC35EE" w:rsidRPr="00E05E75">
        <w:rPr>
          <w:color w:val="221E1F"/>
          <w:sz w:val="20"/>
          <w:szCs w:val="20"/>
        </w:rPr>
        <w:t>48</w:t>
      </w:r>
      <w:proofErr w:type="gramEnd"/>
      <w:r w:rsidR="00EC35EE" w:rsidRPr="00E05E75">
        <w:rPr>
          <w:color w:val="221E1F"/>
          <w:sz w:val="20"/>
          <w:szCs w:val="20"/>
        </w:rPr>
        <w:t>: 589-601.</w:t>
      </w:r>
    </w:p>
    <w:p w:rsidR="007B6A0C" w:rsidRPr="00E05E75" w:rsidRDefault="007B6A0C" w:rsidP="00600A78">
      <w:pPr>
        <w:numPr>
          <w:ilvl w:val="0"/>
          <w:numId w:val="7"/>
        </w:numPr>
        <w:autoSpaceDE w:val="0"/>
        <w:autoSpaceDN w:val="0"/>
        <w:adjustRightInd w:val="0"/>
        <w:snapToGrid w:val="0"/>
        <w:jc w:val="both"/>
        <w:rPr>
          <w:color w:val="000000"/>
          <w:sz w:val="20"/>
          <w:szCs w:val="20"/>
        </w:rPr>
      </w:pPr>
      <w:r w:rsidRPr="00E05E75">
        <w:rPr>
          <w:color w:val="131413"/>
          <w:sz w:val="20"/>
          <w:szCs w:val="20"/>
        </w:rPr>
        <w:t>B</w:t>
      </w:r>
      <w:r w:rsidR="00EC35EE" w:rsidRPr="00E05E75">
        <w:rPr>
          <w:color w:val="131413"/>
          <w:sz w:val="20"/>
          <w:szCs w:val="20"/>
        </w:rPr>
        <w:t xml:space="preserve">lackwell M </w:t>
      </w:r>
      <w:proofErr w:type="gramStart"/>
      <w:r w:rsidR="00EC35EE" w:rsidRPr="00E05E75">
        <w:rPr>
          <w:color w:val="131413"/>
          <w:sz w:val="20"/>
          <w:szCs w:val="20"/>
        </w:rPr>
        <w:t>The</w:t>
      </w:r>
      <w:proofErr w:type="gramEnd"/>
      <w:r w:rsidR="00EC35EE" w:rsidRPr="00E05E75">
        <w:rPr>
          <w:color w:val="131413"/>
          <w:sz w:val="20"/>
          <w:szCs w:val="20"/>
        </w:rPr>
        <w:t xml:space="preserve"> fungi: 1, 2, 3 </w:t>
      </w:r>
      <w:r w:rsidR="00EC35EE" w:rsidRPr="00E05E75">
        <w:rPr>
          <w:rFonts w:eastAsia="AdvTT3713a231+20"/>
          <w:color w:val="131413"/>
          <w:sz w:val="20"/>
          <w:szCs w:val="20"/>
        </w:rPr>
        <w:t xml:space="preserve">… </w:t>
      </w:r>
      <w:r w:rsidR="00EC35EE" w:rsidRPr="00E05E75">
        <w:rPr>
          <w:color w:val="131413"/>
          <w:sz w:val="20"/>
          <w:szCs w:val="20"/>
        </w:rPr>
        <w:t>5.1 million species? Am J</w:t>
      </w:r>
      <w:r w:rsidR="00E05E75">
        <w:rPr>
          <w:color w:val="131413"/>
          <w:sz w:val="20"/>
          <w:szCs w:val="20"/>
        </w:rPr>
        <w:t xml:space="preserve"> </w:t>
      </w:r>
      <w:proofErr w:type="spellStart"/>
      <w:r w:rsidR="00EC35EE" w:rsidRPr="00E05E75">
        <w:rPr>
          <w:color w:val="131413"/>
          <w:sz w:val="20"/>
          <w:szCs w:val="20"/>
        </w:rPr>
        <w:t>Bot</w:t>
      </w:r>
      <w:proofErr w:type="spellEnd"/>
      <w:r w:rsidR="00EC35EE" w:rsidRPr="00E05E75">
        <w:rPr>
          <w:color w:val="131413"/>
          <w:sz w:val="20"/>
          <w:szCs w:val="20"/>
        </w:rPr>
        <w:t xml:space="preserve"> 2011; 98 (3):426</w:t>
      </w:r>
      <w:r w:rsidR="00EC35EE" w:rsidRPr="00E05E75">
        <w:rPr>
          <w:rFonts w:eastAsia="AdvTT3713a231+20"/>
          <w:color w:val="131413"/>
          <w:sz w:val="20"/>
          <w:szCs w:val="20"/>
        </w:rPr>
        <w:t>–</w:t>
      </w:r>
      <w:r w:rsidR="00EC35EE" w:rsidRPr="00E05E75">
        <w:rPr>
          <w:color w:val="131413"/>
          <w:sz w:val="20"/>
          <w:szCs w:val="20"/>
        </w:rPr>
        <w:t>438</w:t>
      </w:r>
      <w:r w:rsidR="00C34190">
        <w:rPr>
          <w:rFonts w:hint="eastAsia"/>
          <w:color w:val="131413"/>
          <w:sz w:val="20"/>
          <w:szCs w:val="20"/>
          <w:lang w:eastAsia="zh-CN"/>
        </w:rPr>
        <w:t>.</w:t>
      </w:r>
    </w:p>
    <w:p w:rsidR="007B6A0C" w:rsidRPr="00E05E75" w:rsidRDefault="007B6A0C" w:rsidP="00600A78">
      <w:pPr>
        <w:numPr>
          <w:ilvl w:val="0"/>
          <w:numId w:val="7"/>
        </w:numPr>
        <w:autoSpaceDE w:val="0"/>
        <w:autoSpaceDN w:val="0"/>
        <w:adjustRightInd w:val="0"/>
        <w:snapToGrid w:val="0"/>
        <w:jc w:val="both"/>
        <w:rPr>
          <w:color w:val="131413"/>
          <w:sz w:val="20"/>
          <w:szCs w:val="20"/>
        </w:rPr>
      </w:pPr>
      <w:proofErr w:type="spellStart"/>
      <w:r w:rsidRPr="00E05E75">
        <w:rPr>
          <w:color w:val="131413"/>
          <w:sz w:val="20"/>
          <w:szCs w:val="20"/>
        </w:rPr>
        <w:t>B</w:t>
      </w:r>
      <w:r w:rsidR="00A07E3E" w:rsidRPr="00E05E75">
        <w:rPr>
          <w:color w:val="131413"/>
          <w:sz w:val="20"/>
          <w:szCs w:val="20"/>
        </w:rPr>
        <w:t>oonyanuphap</w:t>
      </w:r>
      <w:proofErr w:type="spellEnd"/>
      <w:r w:rsidR="00A07E3E" w:rsidRPr="00E05E75">
        <w:rPr>
          <w:color w:val="131413"/>
          <w:sz w:val="20"/>
          <w:szCs w:val="20"/>
        </w:rPr>
        <w:t xml:space="preserve"> J, </w:t>
      </w:r>
      <w:proofErr w:type="spellStart"/>
      <w:r w:rsidR="00A07E3E" w:rsidRPr="00E05E75">
        <w:rPr>
          <w:color w:val="131413"/>
          <w:sz w:val="20"/>
          <w:szCs w:val="20"/>
        </w:rPr>
        <w:t>Hansawasdi</w:t>
      </w:r>
      <w:proofErr w:type="spellEnd"/>
      <w:r w:rsidR="00A07E3E" w:rsidRPr="00E05E75">
        <w:rPr>
          <w:color w:val="131413"/>
          <w:sz w:val="20"/>
          <w:szCs w:val="20"/>
        </w:rPr>
        <w:t xml:space="preserve"> C. Spatial distribution of β-</w:t>
      </w:r>
      <w:proofErr w:type="spellStart"/>
      <w:r w:rsidR="00A07E3E" w:rsidRPr="00E05E75">
        <w:rPr>
          <w:color w:val="131413"/>
          <w:sz w:val="20"/>
          <w:szCs w:val="20"/>
        </w:rPr>
        <w:t>glucan</w:t>
      </w:r>
      <w:proofErr w:type="spellEnd"/>
      <w:r w:rsidR="00A07E3E" w:rsidRPr="00E05E75">
        <w:rPr>
          <w:color w:val="131413"/>
          <w:sz w:val="20"/>
          <w:szCs w:val="20"/>
        </w:rPr>
        <w:t xml:space="preserve"> containing wild mushroom communities in </w:t>
      </w:r>
      <w:proofErr w:type="spellStart"/>
      <w:r w:rsidR="00A07E3E" w:rsidRPr="00E05E75">
        <w:rPr>
          <w:color w:val="131413"/>
          <w:sz w:val="20"/>
          <w:szCs w:val="20"/>
        </w:rPr>
        <w:t>subtropicaldry</w:t>
      </w:r>
      <w:proofErr w:type="spellEnd"/>
      <w:r w:rsidR="00A07E3E" w:rsidRPr="00E05E75">
        <w:rPr>
          <w:color w:val="131413"/>
          <w:sz w:val="20"/>
          <w:szCs w:val="20"/>
        </w:rPr>
        <w:t xml:space="preserve"> forest. Thailand. </w:t>
      </w:r>
      <w:r w:rsidR="00A07E3E" w:rsidRPr="00E05E75">
        <w:rPr>
          <w:i/>
          <w:color w:val="131413"/>
          <w:sz w:val="20"/>
          <w:szCs w:val="20"/>
        </w:rPr>
        <w:t>Fungal Divers</w:t>
      </w:r>
      <w:r w:rsidR="00A07E3E" w:rsidRPr="00E05E75">
        <w:rPr>
          <w:color w:val="131413"/>
          <w:sz w:val="20"/>
          <w:szCs w:val="20"/>
        </w:rPr>
        <w:t xml:space="preserve"> 2010; 46:29</w:t>
      </w:r>
      <w:r w:rsidR="00A07E3E" w:rsidRPr="00E05E75">
        <w:rPr>
          <w:rFonts w:eastAsia="AdvTT3713a231+20"/>
          <w:color w:val="131413"/>
          <w:sz w:val="20"/>
          <w:szCs w:val="20"/>
        </w:rPr>
        <w:t>–</w:t>
      </w:r>
      <w:r w:rsidR="00A07E3E" w:rsidRPr="00E05E75">
        <w:rPr>
          <w:color w:val="131413"/>
          <w:sz w:val="20"/>
          <w:szCs w:val="20"/>
        </w:rPr>
        <w:t>42</w:t>
      </w:r>
      <w:r w:rsidR="00C34190">
        <w:rPr>
          <w:rFonts w:hint="eastAsia"/>
          <w:color w:val="131413"/>
          <w:sz w:val="20"/>
          <w:szCs w:val="20"/>
          <w:lang w:eastAsia="zh-CN"/>
        </w:rPr>
        <w:t>.</w:t>
      </w:r>
    </w:p>
    <w:p w:rsidR="007B6A0C" w:rsidRPr="00E05E75" w:rsidRDefault="007B6A0C" w:rsidP="00600A78">
      <w:pPr>
        <w:numPr>
          <w:ilvl w:val="0"/>
          <w:numId w:val="7"/>
        </w:numPr>
        <w:autoSpaceDE w:val="0"/>
        <w:autoSpaceDN w:val="0"/>
        <w:adjustRightInd w:val="0"/>
        <w:snapToGrid w:val="0"/>
        <w:jc w:val="both"/>
        <w:rPr>
          <w:color w:val="131413"/>
          <w:sz w:val="20"/>
          <w:szCs w:val="20"/>
        </w:rPr>
      </w:pPr>
      <w:r w:rsidRPr="00E05E75">
        <w:rPr>
          <w:sz w:val="20"/>
          <w:szCs w:val="20"/>
        </w:rPr>
        <w:t>C</w:t>
      </w:r>
      <w:r w:rsidR="00A07E3E" w:rsidRPr="00E05E75">
        <w:rPr>
          <w:sz w:val="20"/>
          <w:szCs w:val="20"/>
        </w:rPr>
        <w:t xml:space="preserve">hang ST, Miles PG. Mushrooms biology—a new discipline. </w:t>
      </w:r>
      <w:r w:rsidR="00A07E3E" w:rsidRPr="00E05E75">
        <w:rPr>
          <w:rStyle w:val="ref-journal"/>
          <w:i/>
          <w:sz w:val="20"/>
          <w:szCs w:val="20"/>
        </w:rPr>
        <w:t>Mycologist</w:t>
      </w:r>
      <w:r w:rsidR="00A07E3E" w:rsidRPr="00E05E75">
        <w:rPr>
          <w:rStyle w:val="ref-journal"/>
          <w:sz w:val="20"/>
          <w:szCs w:val="20"/>
        </w:rPr>
        <w:t xml:space="preserve">. </w:t>
      </w:r>
      <w:r w:rsidR="00A07E3E" w:rsidRPr="00E05E75">
        <w:rPr>
          <w:sz w:val="20"/>
          <w:szCs w:val="20"/>
        </w:rPr>
        <w:t>1992</w:t>
      </w:r>
      <w:proofErr w:type="gramStart"/>
      <w:r w:rsidR="00A07E3E" w:rsidRPr="00E05E75">
        <w:rPr>
          <w:sz w:val="20"/>
          <w:szCs w:val="20"/>
        </w:rPr>
        <w:t>;</w:t>
      </w:r>
      <w:r w:rsidR="00A07E3E" w:rsidRPr="00E05E75">
        <w:rPr>
          <w:rStyle w:val="ref-vol"/>
          <w:sz w:val="20"/>
          <w:szCs w:val="20"/>
        </w:rPr>
        <w:t>6</w:t>
      </w:r>
      <w:r w:rsidR="00A07E3E" w:rsidRPr="00E05E75">
        <w:rPr>
          <w:sz w:val="20"/>
          <w:szCs w:val="20"/>
        </w:rPr>
        <w:t>:64</w:t>
      </w:r>
      <w:proofErr w:type="gramEnd"/>
      <w:r w:rsidR="00A07E3E" w:rsidRPr="00E05E75">
        <w:rPr>
          <w:sz w:val="20"/>
          <w:szCs w:val="20"/>
        </w:rPr>
        <w:t>–5.</w:t>
      </w:r>
    </w:p>
    <w:p w:rsidR="007B6A0C" w:rsidRPr="00E05E75" w:rsidRDefault="007B6A0C" w:rsidP="00600A78">
      <w:pPr>
        <w:numPr>
          <w:ilvl w:val="0"/>
          <w:numId w:val="7"/>
        </w:numPr>
        <w:autoSpaceDE w:val="0"/>
        <w:autoSpaceDN w:val="0"/>
        <w:adjustRightInd w:val="0"/>
        <w:snapToGrid w:val="0"/>
        <w:jc w:val="both"/>
        <w:rPr>
          <w:color w:val="131413"/>
          <w:sz w:val="20"/>
          <w:szCs w:val="20"/>
        </w:rPr>
      </w:pPr>
      <w:proofErr w:type="spellStart"/>
      <w:r w:rsidRPr="00E05E75">
        <w:rPr>
          <w:color w:val="131413"/>
          <w:sz w:val="20"/>
          <w:szCs w:val="20"/>
        </w:rPr>
        <w:t>D</w:t>
      </w:r>
      <w:r w:rsidR="00A07E3E" w:rsidRPr="00E05E75">
        <w:rPr>
          <w:color w:val="131413"/>
          <w:sz w:val="20"/>
          <w:szCs w:val="20"/>
        </w:rPr>
        <w:t>ilani</w:t>
      </w:r>
      <w:proofErr w:type="spellEnd"/>
      <w:r w:rsidR="00A07E3E" w:rsidRPr="00E05E75">
        <w:rPr>
          <w:color w:val="131413"/>
          <w:sz w:val="20"/>
          <w:szCs w:val="20"/>
        </w:rPr>
        <w:t xml:space="preserve"> D </w:t>
      </w:r>
      <w:proofErr w:type="spellStart"/>
      <w:r w:rsidR="00A07E3E" w:rsidRPr="00E05E75">
        <w:rPr>
          <w:color w:val="131413"/>
          <w:sz w:val="20"/>
          <w:szCs w:val="20"/>
        </w:rPr>
        <w:t>D</w:t>
      </w:r>
      <w:proofErr w:type="spellEnd"/>
      <w:r w:rsidR="00A07E3E" w:rsidRPr="00E05E75">
        <w:rPr>
          <w:color w:val="131413"/>
          <w:sz w:val="20"/>
          <w:szCs w:val="20"/>
        </w:rPr>
        <w:t xml:space="preserve"> S, Sylvie R, </w:t>
      </w:r>
      <w:proofErr w:type="spellStart"/>
      <w:r w:rsidR="00A07E3E" w:rsidRPr="00E05E75">
        <w:rPr>
          <w:color w:val="131413"/>
          <w:sz w:val="20"/>
          <w:szCs w:val="20"/>
        </w:rPr>
        <w:t>Françoise</w:t>
      </w:r>
      <w:proofErr w:type="gramStart"/>
      <w:r w:rsidR="00E05E75">
        <w:rPr>
          <w:color w:val="131413"/>
          <w:sz w:val="20"/>
          <w:szCs w:val="20"/>
        </w:rPr>
        <w:t>,</w:t>
      </w:r>
      <w:r w:rsidR="00A07E3E" w:rsidRPr="00E05E75">
        <w:rPr>
          <w:color w:val="131413"/>
          <w:sz w:val="20"/>
          <w:szCs w:val="20"/>
        </w:rPr>
        <w:t>Ali</w:t>
      </w:r>
      <w:proofErr w:type="spellEnd"/>
      <w:proofErr w:type="gramEnd"/>
      <w:r w:rsidR="00A07E3E" w:rsidRPr="00E05E75">
        <w:rPr>
          <w:color w:val="131413"/>
          <w:sz w:val="20"/>
          <w:szCs w:val="20"/>
        </w:rPr>
        <w:t xml:space="preserve"> H.</w:t>
      </w:r>
      <w:r w:rsidR="00E05E75">
        <w:rPr>
          <w:color w:val="131413"/>
          <w:sz w:val="20"/>
          <w:szCs w:val="20"/>
        </w:rPr>
        <w:t>,</w:t>
      </w:r>
      <w:r w:rsidR="00A07E3E" w:rsidRPr="00E05E75">
        <w:rPr>
          <w:color w:val="131413"/>
          <w:sz w:val="20"/>
          <w:szCs w:val="20"/>
        </w:rPr>
        <w:t xml:space="preserve"> Kevin D H. Medicinal mushrooms in supportive cancer therapies: an approach to anti-cancer effects and putative mechanisms of action. Fungal Diversity</w:t>
      </w:r>
      <w:r w:rsidR="00E05E75">
        <w:rPr>
          <w:color w:val="131413"/>
          <w:sz w:val="20"/>
          <w:szCs w:val="20"/>
        </w:rPr>
        <w:t>,</w:t>
      </w:r>
      <w:r w:rsidR="00C34190">
        <w:rPr>
          <w:rFonts w:hint="eastAsia"/>
          <w:color w:val="131413"/>
          <w:sz w:val="20"/>
          <w:szCs w:val="20"/>
          <w:lang w:eastAsia="zh-CN"/>
        </w:rPr>
        <w:t xml:space="preserve"> </w:t>
      </w:r>
      <w:r w:rsidR="00A07E3E" w:rsidRPr="00E05E75">
        <w:rPr>
          <w:color w:val="131413"/>
          <w:sz w:val="20"/>
          <w:szCs w:val="20"/>
        </w:rPr>
        <w:t>2012</w:t>
      </w:r>
      <w:proofErr w:type="gramStart"/>
      <w:r w:rsidR="00A07E3E" w:rsidRPr="00E05E75">
        <w:rPr>
          <w:color w:val="131413"/>
          <w:sz w:val="20"/>
          <w:szCs w:val="20"/>
        </w:rPr>
        <w:t>;55:1</w:t>
      </w:r>
      <w:proofErr w:type="gramEnd"/>
      <w:r w:rsidR="00A07E3E" w:rsidRPr="00E05E75">
        <w:rPr>
          <w:rFonts w:eastAsia="AdvTT3713a231+20"/>
          <w:color w:val="131413"/>
          <w:sz w:val="20"/>
          <w:szCs w:val="20"/>
        </w:rPr>
        <w:t>–</w:t>
      </w:r>
      <w:r w:rsidR="00A07E3E" w:rsidRPr="00E05E75">
        <w:rPr>
          <w:color w:val="131413"/>
          <w:sz w:val="20"/>
          <w:szCs w:val="20"/>
        </w:rPr>
        <w:t>35</w:t>
      </w:r>
      <w:r w:rsidR="00C34190">
        <w:rPr>
          <w:rFonts w:hint="eastAsia"/>
          <w:color w:val="131413"/>
          <w:sz w:val="20"/>
          <w:szCs w:val="20"/>
          <w:lang w:eastAsia="zh-CN"/>
        </w:rPr>
        <w:t>.</w:t>
      </w:r>
    </w:p>
    <w:p w:rsidR="007B6A0C" w:rsidRPr="00E05E75" w:rsidRDefault="007B6A0C" w:rsidP="00600A78">
      <w:pPr>
        <w:numPr>
          <w:ilvl w:val="0"/>
          <w:numId w:val="7"/>
        </w:numPr>
        <w:autoSpaceDE w:val="0"/>
        <w:autoSpaceDN w:val="0"/>
        <w:adjustRightInd w:val="0"/>
        <w:snapToGrid w:val="0"/>
        <w:jc w:val="both"/>
        <w:rPr>
          <w:sz w:val="20"/>
          <w:szCs w:val="20"/>
        </w:rPr>
      </w:pPr>
      <w:r w:rsidRPr="00E05E75">
        <w:rPr>
          <w:sz w:val="20"/>
          <w:szCs w:val="20"/>
        </w:rPr>
        <w:t>F</w:t>
      </w:r>
      <w:r w:rsidR="00A07E3E" w:rsidRPr="00E05E75">
        <w:rPr>
          <w:sz w:val="20"/>
          <w:szCs w:val="20"/>
        </w:rPr>
        <w:t xml:space="preserve">errari M, </w:t>
      </w:r>
      <w:proofErr w:type="spellStart"/>
      <w:r w:rsidR="00A07E3E" w:rsidRPr="00E05E75">
        <w:rPr>
          <w:sz w:val="20"/>
          <w:szCs w:val="20"/>
        </w:rPr>
        <w:t>Fornasiero</w:t>
      </w:r>
      <w:proofErr w:type="spellEnd"/>
      <w:r w:rsidR="00A07E3E" w:rsidRPr="00E05E75">
        <w:rPr>
          <w:sz w:val="20"/>
          <w:szCs w:val="20"/>
        </w:rPr>
        <w:t xml:space="preserve"> MC, </w:t>
      </w:r>
      <w:proofErr w:type="spellStart"/>
      <w:r w:rsidR="00A07E3E" w:rsidRPr="00E05E75">
        <w:rPr>
          <w:sz w:val="20"/>
          <w:szCs w:val="20"/>
        </w:rPr>
        <w:t>Isetta</w:t>
      </w:r>
      <w:proofErr w:type="spellEnd"/>
      <w:r w:rsidR="00A07E3E" w:rsidRPr="00E05E75">
        <w:rPr>
          <w:sz w:val="20"/>
          <w:szCs w:val="20"/>
        </w:rPr>
        <w:t xml:space="preserve"> AM. MTT colorimetric assay for 111 testing macrophage </w:t>
      </w:r>
      <w:proofErr w:type="spellStart"/>
      <w:r w:rsidR="00A07E3E" w:rsidRPr="00E05E75">
        <w:rPr>
          <w:sz w:val="20"/>
          <w:szCs w:val="20"/>
        </w:rPr>
        <w:t>cytotoxic</w:t>
      </w:r>
      <w:proofErr w:type="spellEnd"/>
      <w:r w:rsidR="00A07E3E" w:rsidRPr="00E05E75">
        <w:rPr>
          <w:sz w:val="20"/>
          <w:szCs w:val="20"/>
        </w:rPr>
        <w:t xml:space="preserve"> activity in vitro</w:t>
      </w:r>
      <w:r w:rsidR="00A07E3E" w:rsidRPr="00E05E75">
        <w:rPr>
          <w:i/>
          <w:sz w:val="20"/>
          <w:szCs w:val="20"/>
        </w:rPr>
        <w:t>. J. Immunological Methods</w:t>
      </w:r>
      <w:r w:rsidR="00A07E3E" w:rsidRPr="00E05E75">
        <w:rPr>
          <w:sz w:val="20"/>
          <w:szCs w:val="20"/>
        </w:rPr>
        <w:t>. 1990; 131:165-70.</w:t>
      </w:r>
    </w:p>
    <w:p w:rsidR="007B6A0C" w:rsidRPr="00E05E75" w:rsidRDefault="007B6A0C" w:rsidP="00600A78">
      <w:pPr>
        <w:numPr>
          <w:ilvl w:val="0"/>
          <w:numId w:val="7"/>
        </w:numPr>
        <w:autoSpaceDE w:val="0"/>
        <w:autoSpaceDN w:val="0"/>
        <w:adjustRightInd w:val="0"/>
        <w:snapToGrid w:val="0"/>
        <w:jc w:val="both"/>
        <w:rPr>
          <w:sz w:val="20"/>
          <w:szCs w:val="20"/>
        </w:rPr>
      </w:pPr>
      <w:proofErr w:type="spellStart"/>
      <w:r w:rsidRPr="00E05E75">
        <w:rPr>
          <w:sz w:val="20"/>
          <w:szCs w:val="20"/>
        </w:rPr>
        <w:t>F</w:t>
      </w:r>
      <w:r w:rsidR="00A07E3E" w:rsidRPr="00E05E75">
        <w:rPr>
          <w:sz w:val="20"/>
          <w:szCs w:val="20"/>
        </w:rPr>
        <w:t>reshney</w:t>
      </w:r>
      <w:proofErr w:type="spellEnd"/>
      <w:r w:rsidR="00A07E3E" w:rsidRPr="00E05E75">
        <w:rPr>
          <w:sz w:val="20"/>
          <w:szCs w:val="20"/>
        </w:rPr>
        <w:t xml:space="preserve"> RI. Culture of Animal Cells. A Manual for Basic</w:t>
      </w:r>
      <w:r w:rsidR="00C34190">
        <w:rPr>
          <w:rFonts w:hint="eastAsia"/>
          <w:sz w:val="20"/>
          <w:szCs w:val="20"/>
          <w:lang w:eastAsia="zh-CN"/>
        </w:rPr>
        <w:t xml:space="preserve"> </w:t>
      </w:r>
      <w:r w:rsidR="00A07E3E" w:rsidRPr="00E05E75">
        <w:rPr>
          <w:sz w:val="20"/>
          <w:szCs w:val="20"/>
        </w:rPr>
        <w:t>Technique, 2000, 4th ed. Wiley-</w:t>
      </w:r>
      <w:proofErr w:type="spellStart"/>
      <w:r w:rsidR="00A07E3E" w:rsidRPr="00E05E75">
        <w:rPr>
          <w:sz w:val="20"/>
          <w:szCs w:val="20"/>
        </w:rPr>
        <w:t>liss</w:t>
      </w:r>
      <w:proofErr w:type="spellEnd"/>
      <w:r w:rsidR="00A07E3E" w:rsidRPr="00E05E75">
        <w:rPr>
          <w:sz w:val="20"/>
          <w:szCs w:val="20"/>
        </w:rPr>
        <w:t xml:space="preserve">, </w:t>
      </w:r>
      <w:proofErr w:type="spellStart"/>
      <w:r w:rsidR="00A07E3E" w:rsidRPr="00E05E75">
        <w:rPr>
          <w:sz w:val="20"/>
          <w:szCs w:val="20"/>
        </w:rPr>
        <w:t>Ajohuwiley</w:t>
      </w:r>
      <w:proofErr w:type="spellEnd"/>
      <w:r w:rsidR="00A07E3E" w:rsidRPr="00E05E75">
        <w:rPr>
          <w:sz w:val="20"/>
          <w:szCs w:val="20"/>
        </w:rPr>
        <w:t xml:space="preserve"> and Sons. Inc. Publication, New York.</w:t>
      </w:r>
    </w:p>
    <w:p w:rsidR="007B6A0C" w:rsidRPr="00E05E75" w:rsidRDefault="007B6A0C" w:rsidP="00600A78">
      <w:pPr>
        <w:numPr>
          <w:ilvl w:val="0"/>
          <w:numId w:val="7"/>
        </w:numPr>
        <w:snapToGrid w:val="0"/>
        <w:jc w:val="both"/>
        <w:rPr>
          <w:sz w:val="20"/>
          <w:szCs w:val="20"/>
        </w:rPr>
      </w:pPr>
      <w:proofErr w:type="spellStart"/>
      <w:r w:rsidRPr="00E05E75">
        <w:rPr>
          <w:sz w:val="20"/>
          <w:szCs w:val="20"/>
        </w:rPr>
        <w:t>G</w:t>
      </w:r>
      <w:r w:rsidR="00A07E3E" w:rsidRPr="00E05E75">
        <w:rPr>
          <w:sz w:val="20"/>
          <w:szCs w:val="20"/>
        </w:rPr>
        <w:t>hosh</w:t>
      </w:r>
      <w:proofErr w:type="spellEnd"/>
      <w:r w:rsidR="00A07E3E" w:rsidRPr="00E05E75">
        <w:rPr>
          <w:sz w:val="20"/>
          <w:szCs w:val="20"/>
        </w:rPr>
        <w:t xml:space="preserve"> SK. Isolation of Polysaccharides and </w:t>
      </w:r>
      <w:proofErr w:type="spellStart"/>
      <w:r w:rsidR="00A07E3E" w:rsidRPr="00E05E75">
        <w:rPr>
          <w:sz w:val="20"/>
          <w:szCs w:val="20"/>
        </w:rPr>
        <w:t>terpenoids</w:t>
      </w:r>
      <w:proofErr w:type="spellEnd"/>
      <w:r w:rsidR="00A07E3E" w:rsidRPr="00E05E75">
        <w:rPr>
          <w:sz w:val="20"/>
          <w:szCs w:val="20"/>
        </w:rPr>
        <w:t xml:space="preserve"> from some </w:t>
      </w:r>
      <w:proofErr w:type="spellStart"/>
      <w:r w:rsidR="00A07E3E" w:rsidRPr="00E05E75">
        <w:rPr>
          <w:sz w:val="20"/>
          <w:szCs w:val="20"/>
        </w:rPr>
        <w:t>Basidiomycota</w:t>
      </w:r>
      <w:proofErr w:type="spellEnd"/>
      <w:r w:rsidR="00A07E3E" w:rsidRPr="00E05E75">
        <w:rPr>
          <w:sz w:val="20"/>
          <w:szCs w:val="20"/>
        </w:rPr>
        <w:t xml:space="preserve"> and their antibacterial activities. </w:t>
      </w:r>
      <w:r w:rsidR="00A07E3E" w:rsidRPr="00E05E75">
        <w:rPr>
          <w:i/>
          <w:sz w:val="20"/>
          <w:szCs w:val="20"/>
        </w:rPr>
        <w:t>British Microbial Research Journal</w:t>
      </w:r>
      <w:r w:rsidR="00A07E3E" w:rsidRPr="00E05E75">
        <w:rPr>
          <w:sz w:val="20"/>
          <w:szCs w:val="20"/>
        </w:rPr>
        <w:t xml:space="preserve"> 2014; </w:t>
      </w:r>
      <w:r w:rsidR="00A07E3E" w:rsidRPr="00E05E75">
        <w:rPr>
          <w:rFonts w:eastAsia="Calibri"/>
          <w:bCs/>
          <w:i/>
          <w:iCs/>
          <w:sz w:val="20"/>
          <w:szCs w:val="20"/>
        </w:rPr>
        <w:t>4(2): 151-162,</w:t>
      </w:r>
    </w:p>
    <w:p w:rsidR="007B6A0C" w:rsidRPr="00E05E75" w:rsidRDefault="007B6A0C" w:rsidP="00600A78">
      <w:pPr>
        <w:numPr>
          <w:ilvl w:val="0"/>
          <w:numId w:val="7"/>
        </w:numPr>
        <w:snapToGrid w:val="0"/>
        <w:jc w:val="both"/>
        <w:rPr>
          <w:sz w:val="20"/>
          <w:szCs w:val="20"/>
        </w:rPr>
      </w:pPr>
      <w:proofErr w:type="spellStart"/>
      <w:r w:rsidRPr="00E05E75">
        <w:rPr>
          <w:sz w:val="20"/>
          <w:szCs w:val="20"/>
        </w:rPr>
        <w:t>G</w:t>
      </w:r>
      <w:r w:rsidR="00A07E3E" w:rsidRPr="00E05E75">
        <w:rPr>
          <w:sz w:val="20"/>
          <w:szCs w:val="20"/>
        </w:rPr>
        <w:t>hosh</w:t>
      </w:r>
      <w:proofErr w:type="spellEnd"/>
      <w:r w:rsidR="00E05E75">
        <w:rPr>
          <w:sz w:val="20"/>
          <w:szCs w:val="20"/>
        </w:rPr>
        <w:t xml:space="preserve"> </w:t>
      </w:r>
      <w:r w:rsidR="00C34190">
        <w:rPr>
          <w:sz w:val="20"/>
          <w:szCs w:val="20"/>
        </w:rPr>
        <w:t>SK,</w:t>
      </w:r>
      <w:r w:rsidR="00C34190">
        <w:rPr>
          <w:rFonts w:hint="eastAsia"/>
          <w:sz w:val="20"/>
          <w:szCs w:val="20"/>
          <w:lang w:eastAsia="zh-CN"/>
        </w:rPr>
        <w:t xml:space="preserve"> </w:t>
      </w:r>
      <w:proofErr w:type="spellStart"/>
      <w:r w:rsidR="00A07E3E" w:rsidRPr="00E05E75">
        <w:rPr>
          <w:sz w:val="20"/>
          <w:szCs w:val="20"/>
        </w:rPr>
        <w:t>Chakravarty</w:t>
      </w:r>
      <w:proofErr w:type="spellEnd"/>
      <w:r w:rsidR="00A07E3E" w:rsidRPr="00E05E75">
        <w:rPr>
          <w:sz w:val="20"/>
          <w:szCs w:val="20"/>
        </w:rPr>
        <w:t xml:space="preserve"> A</w:t>
      </w:r>
      <w:r w:rsidR="00E05E75">
        <w:rPr>
          <w:sz w:val="20"/>
          <w:szCs w:val="20"/>
        </w:rPr>
        <w:t>,</w:t>
      </w:r>
      <w:r w:rsidR="00C34190">
        <w:rPr>
          <w:sz w:val="20"/>
          <w:szCs w:val="20"/>
        </w:rPr>
        <w:t xml:space="preserve"> </w:t>
      </w:r>
      <w:proofErr w:type="spellStart"/>
      <w:r w:rsidR="00C34190">
        <w:rPr>
          <w:sz w:val="20"/>
          <w:szCs w:val="20"/>
        </w:rPr>
        <w:t>Talukdar</w:t>
      </w:r>
      <w:proofErr w:type="spellEnd"/>
      <w:r w:rsidR="00C34190">
        <w:rPr>
          <w:sz w:val="20"/>
          <w:szCs w:val="20"/>
        </w:rPr>
        <w:t xml:space="preserve"> J,</w:t>
      </w:r>
      <w:r w:rsidR="00C34190">
        <w:rPr>
          <w:rFonts w:hint="eastAsia"/>
          <w:sz w:val="20"/>
          <w:szCs w:val="20"/>
          <w:lang w:eastAsia="zh-CN"/>
        </w:rPr>
        <w:t xml:space="preserve"> </w:t>
      </w:r>
      <w:proofErr w:type="spellStart"/>
      <w:r w:rsidR="00A07E3E" w:rsidRPr="00E05E75">
        <w:rPr>
          <w:sz w:val="20"/>
          <w:szCs w:val="20"/>
        </w:rPr>
        <w:t>Sandhya</w:t>
      </w:r>
      <w:proofErr w:type="spellEnd"/>
      <w:r w:rsidR="00A07E3E" w:rsidRPr="00E05E75">
        <w:rPr>
          <w:sz w:val="20"/>
          <w:szCs w:val="20"/>
        </w:rPr>
        <w:t xml:space="preserve">, S </w:t>
      </w:r>
      <w:proofErr w:type="spellStart"/>
      <w:r w:rsidR="00A07E3E" w:rsidRPr="00E05E75">
        <w:rPr>
          <w:sz w:val="20"/>
          <w:szCs w:val="20"/>
        </w:rPr>
        <w:t>S</w:t>
      </w:r>
      <w:proofErr w:type="spellEnd"/>
      <w:r w:rsidR="00A07E3E" w:rsidRPr="00E05E75">
        <w:rPr>
          <w:sz w:val="20"/>
          <w:szCs w:val="20"/>
        </w:rPr>
        <w:t xml:space="preserve">, </w:t>
      </w:r>
      <w:proofErr w:type="spellStart"/>
      <w:r w:rsidR="00A07E3E" w:rsidRPr="00E05E75">
        <w:rPr>
          <w:sz w:val="20"/>
          <w:szCs w:val="20"/>
        </w:rPr>
        <w:t>Bera</w:t>
      </w:r>
      <w:proofErr w:type="spellEnd"/>
      <w:r w:rsidR="00A07E3E" w:rsidRPr="00E05E75">
        <w:rPr>
          <w:sz w:val="20"/>
          <w:szCs w:val="20"/>
        </w:rPr>
        <w:t xml:space="preserve"> M. </w:t>
      </w:r>
      <w:proofErr w:type="spellStart"/>
      <w:r w:rsidR="00A07E3E" w:rsidRPr="00E05E75">
        <w:rPr>
          <w:sz w:val="20"/>
          <w:szCs w:val="20"/>
        </w:rPr>
        <w:t>Sarkar</w:t>
      </w:r>
      <w:proofErr w:type="spellEnd"/>
      <w:r w:rsidR="00A07E3E" w:rsidRPr="00E05E75">
        <w:rPr>
          <w:sz w:val="20"/>
          <w:szCs w:val="20"/>
        </w:rPr>
        <w:t xml:space="preserve"> D, </w:t>
      </w:r>
      <w:proofErr w:type="spellStart"/>
      <w:r w:rsidR="00A07E3E" w:rsidRPr="00E05E75">
        <w:rPr>
          <w:sz w:val="20"/>
          <w:szCs w:val="20"/>
        </w:rPr>
        <w:t>Barmon</w:t>
      </w:r>
      <w:proofErr w:type="spellEnd"/>
      <w:r w:rsidR="00A07E3E" w:rsidRPr="00E05E75">
        <w:rPr>
          <w:sz w:val="20"/>
          <w:szCs w:val="20"/>
        </w:rPr>
        <w:t xml:space="preserve"> Roy. Study of Diversity of </w:t>
      </w:r>
      <w:proofErr w:type="spellStart"/>
      <w:r w:rsidR="00A07E3E" w:rsidRPr="00E05E75">
        <w:rPr>
          <w:sz w:val="20"/>
          <w:szCs w:val="20"/>
        </w:rPr>
        <w:t>Basidiomycota</w:t>
      </w:r>
      <w:proofErr w:type="spellEnd"/>
      <w:r w:rsidR="00E05E75">
        <w:rPr>
          <w:sz w:val="20"/>
          <w:szCs w:val="20"/>
        </w:rPr>
        <w:t xml:space="preserve"> </w:t>
      </w:r>
      <w:r w:rsidR="00A07E3E" w:rsidRPr="00E05E75">
        <w:rPr>
          <w:sz w:val="20"/>
          <w:szCs w:val="20"/>
        </w:rPr>
        <w:t>Mushrooms in West Bengal</w:t>
      </w:r>
      <w:r w:rsidR="00E05E75">
        <w:rPr>
          <w:sz w:val="20"/>
          <w:szCs w:val="20"/>
        </w:rPr>
        <w:t xml:space="preserve"> </w:t>
      </w:r>
      <w:r w:rsidR="00A07E3E" w:rsidRPr="00E05E75">
        <w:rPr>
          <w:sz w:val="20"/>
          <w:szCs w:val="20"/>
        </w:rPr>
        <w:t>of India</w:t>
      </w:r>
      <w:r w:rsidR="00E05E75">
        <w:rPr>
          <w:sz w:val="20"/>
          <w:szCs w:val="20"/>
        </w:rPr>
        <w:t>.</w:t>
      </w:r>
      <w:r w:rsidR="00A07E3E" w:rsidRPr="00E05E75">
        <w:rPr>
          <w:sz w:val="20"/>
          <w:szCs w:val="20"/>
        </w:rPr>
        <w:t xml:space="preserve"> </w:t>
      </w:r>
      <w:r w:rsidR="00A07E3E" w:rsidRPr="00E05E75">
        <w:rPr>
          <w:i/>
          <w:sz w:val="20"/>
          <w:szCs w:val="20"/>
        </w:rPr>
        <w:t>Transient –A J of Natural Science and Allied Subjects</w:t>
      </w:r>
      <w:r w:rsidR="00A07E3E" w:rsidRPr="00E05E75">
        <w:rPr>
          <w:sz w:val="20"/>
          <w:szCs w:val="20"/>
        </w:rPr>
        <w:t xml:space="preserve"> 2012</w:t>
      </w:r>
      <w:proofErr w:type="gramStart"/>
      <w:r w:rsidR="00A07E3E" w:rsidRPr="00E05E75">
        <w:rPr>
          <w:sz w:val="20"/>
          <w:szCs w:val="20"/>
        </w:rPr>
        <w:t>;2:73</w:t>
      </w:r>
      <w:proofErr w:type="gramEnd"/>
      <w:r w:rsidR="00A07E3E" w:rsidRPr="00E05E75">
        <w:rPr>
          <w:sz w:val="20"/>
          <w:szCs w:val="20"/>
        </w:rPr>
        <w:t>-96</w:t>
      </w:r>
      <w:r w:rsidR="00E05E75">
        <w:rPr>
          <w:sz w:val="20"/>
          <w:szCs w:val="20"/>
        </w:rPr>
        <w:t>.</w:t>
      </w:r>
    </w:p>
    <w:p w:rsidR="007B6A0C" w:rsidRPr="00E05E75" w:rsidRDefault="007B6A0C" w:rsidP="00600A78">
      <w:pPr>
        <w:numPr>
          <w:ilvl w:val="0"/>
          <w:numId w:val="7"/>
        </w:numPr>
        <w:autoSpaceDE w:val="0"/>
        <w:autoSpaceDN w:val="0"/>
        <w:adjustRightInd w:val="0"/>
        <w:snapToGrid w:val="0"/>
        <w:jc w:val="both"/>
        <w:rPr>
          <w:sz w:val="20"/>
          <w:szCs w:val="20"/>
        </w:rPr>
      </w:pPr>
      <w:r w:rsidRPr="00E05E75">
        <w:rPr>
          <w:color w:val="221E1F"/>
          <w:sz w:val="20"/>
          <w:szCs w:val="20"/>
        </w:rPr>
        <w:t>G</w:t>
      </w:r>
      <w:r w:rsidR="00A07E3E" w:rsidRPr="00E05E75">
        <w:rPr>
          <w:color w:val="221E1F"/>
          <w:sz w:val="20"/>
          <w:szCs w:val="20"/>
        </w:rPr>
        <w:t xml:space="preserve">raham-Evans B, </w:t>
      </w:r>
      <w:proofErr w:type="spellStart"/>
      <w:r w:rsidR="00A07E3E" w:rsidRPr="00E05E75">
        <w:rPr>
          <w:color w:val="221E1F"/>
          <w:sz w:val="20"/>
          <w:szCs w:val="20"/>
        </w:rPr>
        <w:t>Tchounwou</w:t>
      </w:r>
      <w:proofErr w:type="spellEnd"/>
      <w:r w:rsidR="00A07E3E" w:rsidRPr="00E05E75">
        <w:rPr>
          <w:color w:val="221E1F"/>
          <w:sz w:val="20"/>
          <w:szCs w:val="20"/>
        </w:rPr>
        <w:t xml:space="preserve"> PB, </w:t>
      </w:r>
      <w:proofErr w:type="spellStart"/>
      <w:r w:rsidR="00A07E3E" w:rsidRPr="00E05E75">
        <w:rPr>
          <w:color w:val="221E1F"/>
          <w:sz w:val="20"/>
          <w:szCs w:val="20"/>
        </w:rPr>
        <w:t>Cohly</w:t>
      </w:r>
      <w:proofErr w:type="spellEnd"/>
      <w:r w:rsidR="00A07E3E" w:rsidRPr="00E05E75">
        <w:rPr>
          <w:color w:val="221E1F"/>
          <w:sz w:val="20"/>
          <w:szCs w:val="20"/>
        </w:rPr>
        <w:t>, HH</w:t>
      </w:r>
      <w:r w:rsidR="00E05E75">
        <w:rPr>
          <w:color w:val="221E1F"/>
          <w:sz w:val="20"/>
          <w:szCs w:val="20"/>
        </w:rPr>
        <w:t xml:space="preserve"> </w:t>
      </w:r>
      <w:proofErr w:type="spellStart"/>
      <w:r w:rsidR="00A07E3E" w:rsidRPr="00E05E75">
        <w:rPr>
          <w:color w:val="221E1F"/>
          <w:sz w:val="20"/>
          <w:szCs w:val="20"/>
        </w:rPr>
        <w:t>Cytotoxicity</w:t>
      </w:r>
      <w:proofErr w:type="spellEnd"/>
      <w:r w:rsidR="00A07E3E" w:rsidRPr="00E05E75">
        <w:rPr>
          <w:color w:val="221E1F"/>
          <w:sz w:val="20"/>
          <w:szCs w:val="20"/>
        </w:rPr>
        <w:t xml:space="preserve"> and proliferation studies with arsenic in established human cell lines: </w:t>
      </w:r>
      <w:proofErr w:type="spellStart"/>
      <w:r w:rsidR="00A07E3E" w:rsidRPr="00E05E75">
        <w:rPr>
          <w:color w:val="221E1F"/>
          <w:sz w:val="20"/>
          <w:szCs w:val="20"/>
        </w:rPr>
        <w:t>keratinocytes</w:t>
      </w:r>
      <w:proofErr w:type="spellEnd"/>
      <w:r w:rsidR="00A07E3E" w:rsidRPr="00E05E75">
        <w:rPr>
          <w:color w:val="221E1F"/>
          <w:sz w:val="20"/>
          <w:szCs w:val="20"/>
        </w:rPr>
        <w:t xml:space="preserve">, </w:t>
      </w:r>
      <w:proofErr w:type="spellStart"/>
      <w:r w:rsidR="00A07E3E" w:rsidRPr="00E05E75">
        <w:rPr>
          <w:color w:val="221E1F"/>
          <w:sz w:val="20"/>
          <w:szCs w:val="20"/>
        </w:rPr>
        <w:t>melanocytes</w:t>
      </w:r>
      <w:proofErr w:type="spellEnd"/>
      <w:r w:rsidR="00A07E3E" w:rsidRPr="00E05E75">
        <w:rPr>
          <w:color w:val="221E1F"/>
          <w:sz w:val="20"/>
          <w:szCs w:val="20"/>
        </w:rPr>
        <w:t xml:space="preserve">, </w:t>
      </w:r>
      <w:proofErr w:type="spellStart"/>
      <w:r w:rsidR="00A07E3E" w:rsidRPr="00E05E75">
        <w:rPr>
          <w:color w:val="221E1F"/>
          <w:sz w:val="20"/>
          <w:szCs w:val="20"/>
        </w:rPr>
        <w:t>dendritic</w:t>
      </w:r>
      <w:proofErr w:type="spellEnd"/>
      <w:r w:rsidR="00A07E3E" w:rsidRPr="00E05E75">
        <w:rPr>
          <w:color w:val="221E1F"/>
          <w:sz w:val="20"/>
          <w:szCs w:val="20"/>
        </w:rPr>
        <w:t xml:space="preserve"> cells, dermal fibroblasts, </w:t>
      </w:r>
      <w:proofErr w:type="spellStart"/>
      <w:r w:rsidR="00A07E3E" w:rsidRPr="00E05E75">
        <w:rPr>
          <w:color w:val="221E1F"/>
          <w:sz w:val="20"/>
          <w:szCs w:val="20"/>
        </w:rPr>
        <w:t>microvascular</w:t>
      </w:r>
      <w:proofErr w:type="spellEnd"/>
      <w:r w:rsidR="00A07E3E" w:rsidRPr="00E05E75">
        <w:rPr>
          <w:color w:val="221E1F"/>
          <w:sz w:val="20"/>
          <w:szCs w:val="20"/>
        </w:rPr>
        <w:t xml:space="preserve"> endothelial cells, </w:t>
      </w:r>
      <w:proofErr w:type="spellStart"/>
      <w:r w:rsidR="00A07E3E" w:rsidRPr="00E05E75">
        <w:rPr>
          <w:color w:val="221E1F"/>
          <w:sz w:val="20"/>
          <w:szCs w:val="20"/>
        </w:rPr>
        <w:t>monocytes</w:t>
      </w:r>
      <w:proofErr w:type="spellEnd"/>
      <w:r w:rsidR="00A07E3E" w:rsidRPr="00E05E75">
        <w:rPr>
          <w:color w:val="221E1F"/>
          <w:sz w:val="20"/>
          <w:szCs w:val="20"/>
        </w:rPr>
        <w:t xml:space="preserve"> and T cells. </w:t>
      </w:r>
      <w:r w:rsidR="00A07E3E" w:rsidRPr="00E05E75">
        <w:rPr>
          <w:i/>
          <w:color w:val="221E1F"/>
          <w:sz w:val="20"/>
          <w:szCs w:val="20"/>
        </w:rPr>
        <w:t>Int. J. Mol. Sci</w:t>
      </w:r>
      <w:r w:rsidR="00A07E3E" w:rsidRPr="00E05E75">
        <w:rPr>
          <w:color w:val="221E1F"/>
          <w:sz w:val="20"/>
          <w:szCs w:val="20"/>
        </w:rPr>
        <w:t>. 2003</w:t>
      </w:r>
      <w:proofErr w:type="gramStart"/>
      <w:r w:rsidR="00A07E3E" w:rsidRPr="00E05E75">
        <w:rPr>
          <w:color w:val="221E1F"/>
          <w:sz w:val="20"/>
          <w:szCs w:val="20"/>
        </w:rPr>
        <w:t>;4</w:t>
      </w:r>
      <w:proofErr w:type="gramEnd"/>
      <w:r w:rsidR="00A07E3E" w:rsidRPr="00E05E75">
        <w:rPr>
          <w:color w:val="221E1F"/>
          <w:sz w:val="20"/>
          <w:szCs w:val="20"/>
        </w:rPr>
        <w:t>: 13-21.</w:t>
      </w:r>
    </w:p>
    <w:p w:rsidR="007B6A0C" w:rsidRPr="00E05E75" w:rsidRDefault="007B6A0C" w:rsidP="00600A78">
      <w:pPr>
        <w:numPr>
          <w:ilvl w:val="0"/>
          <w:numId w:val="7"/>
        </w:numPr>
        <w:autoSpaceDE w:val="0"/>
        <w:autoSpaceDN w:val="0"/>
        <w:adjustRightInd w:val="0"/>
        <w:snapToGrid w:val="0"/>
        <w:jc w:val="both"/>
        <w:rPr>
          <w:sz w:val="20"/>
          <w:szCs w:val="20"/>
        </w:rPr>
      </w:pPr>
      <w:proofErr w:type="spellStart"/>
      <w:r w:rsidRPr="00E05E75">
        <w:rPr>
          <w:sz w:val="20"/>
          <w:szCs w:val="20"/>
        </w:rPr>
        <w:t>H</w:t>
      </w:r>
      <w:r w:rsidR="00A07E3E" w:rsidRPr="00E05E75">
        <w:rPr>
          <w:sz w:val="20"/>
          <w:szCs w:val="20"/>
        </w:rPr>
        <w:t>awksworth</w:t>
      </w:r>
      <w:proofErr w:type="spellEnd"/>
      <w:r w:rsidR="00A07E3E" w:rsidRPr="00E05E75">
        <w:rPr>
          <w:sz w:val="20"/>
          <w:szCs w:val="20"/>
        </w:rPr>
        <w:t xml:space="preserve"> DL. Mushrooms: the extent of the unexplored potential. </w:t>
      </w:r>
      <w:proofErr w:type="spellStart"/>
      <w:r w:rsidR="00A07E3E" w:rsidRPr="00E05E75">
        <w:rPr>
          <w:rStyle w:val="ref-journal"/>
          <w:i/>
          <w:sz w:val="20"/>
          <w:szCs w:val="20"/>
        </w:rPr>
        <w:t>Int</w:t>
      </w:r>
      <w:proofErr w:type="spellEnd"/>
      <w:r w:rsidR="00A07E3E" w:rsidRPr="00E05E75">
        <w:rPr>
          <w:rStyle w:val="ref-journal"/>
          <w:i/>
          <w:sz w:val="20"/>
          <w:szCs w:val="20"/>
        </w:rPr>
        <w:t xml:space="preserve"> J Med Mushrooms</w:t>
      </w:r>
      <w:r w:rsidR="00A07E3E" w:rsidRPr="00E05E75">
        <w:rPr>
          <w:rStyle w:val="ref-journal"/>
          <w:sz w:val="20"/>
          <w:szCs w:val="20"/>
        </w:rPr>
        <w:t xml:space="preserve">. </w:t>
      </w:r>
      <w:r w:rsidR="00A07E3E" w:rsidRPr="00E05E75">
        <w:rPr>
          <w:sz w:val="20"/>
          <w:szCs w:val="20"/>
        </w:rPr>
        <w:t>2001</w:t>
      </w:r>
      <w:proofErr w:type="gramStart"/>
      <w:r w:rsidR="00A07E3E" w:rsidRPr="00E05E75">
        <w:rPr>
          <w:sz w:val="20"/>
          <w:szCs w:val="20"/>
        </w:rPr>
        <w:t>;</w:t>
      </w:r>
      <w:r w:rsidR="00A07E3E" w:rsidRPr="00E05E75">
        <w:rPr>
          <w:rStyle w:val="ref-vol"/>
          <w:sz w:val="20"/>
          <w:szCs w:val="20"/>
        </w:rPr>
        <w:t>3</w:t>
      </w:r>
      <w:r w:rsidR="00A07E3E" w:rsidRPr="00E05E75">
        <w:rPr>
          <w:sz w:val="20"/>
          <w:szCs w:val="20"/>
        </w:rPr>
        <w:t>:333</w:t>
      </w:r>
      <w:proofErr w:type="gramEnd"/>
      <w:r w:rsidR="00A07E3E" w:rsidRPr="00E05E75">
        <w:rPr>
          <w:sz w:val="20"/>
          <w:szCs w:val="20"/>
        </w:rPr>
        <w:t>–7.</w:t>
      </w:r>
    </w:p>
    <w:p w:rsidR="007B6A0C" w:rsidRPr="00E05E75" w:rsidRDefault="007B6A0C" w:rsidP="00600A78">
      <w:pPr>
        <w:numPr>
          <w:ilvl w:val="0"/>
          <w:numId w:val="7"/>
        </w:numPr>
        <w:autoSpaceDE w:val="0"/>
        <w:autoSpaceDN w:val="0"/>
        <w:adjustRightInd w:val="0"/>
        <w:snapToGrid w:val="0"/>
        <w:jc w:val="both"/>
        <w:rPr>
          <w:sz w:val="20"/>
          <w:szCs w:val="20"/>
        </w:rPr>
      </w:pPr>
      <w:proofErr w:type="spellStart"/>
      <w:r w:rsidRPr="00E05E75">
        <w:rPr>
          <w:sz w:val="20"/>
          <w:szCs w:val="20"/>
        </w:rPr>
        <w:t>I</w:t>
      </w:r>
      <w:r w:rsidR="00A07E3E" w:rsidRPr="00E05E75">
        <w:rPr>
          <w:sz w:val="20"/>
          <w:szCs w:val="20"/>
        </w:rPr>
        <w:t>kekawa</w:t>
      </w:r>
      <w:proofErr w:type="spellEnd"/>
      <w:r w:rsidR="00A07E3E" w:rsidRPr="00E05E75">
        <w:rPr>
          <w:sz w:val="20"/>
          <w:szCs w:val="20"/>
        </w:rPr>
        <w:t xml:space="preserve"> T., </w:t>
      </w:r>
      <w:proofErr w:type="spellStart"/>
      <w:r w:rsidR="00A07E3E" w:rsidRPr="00E05E75">
        <w:rPr>
          <w:sz w:val="20"/>
          <w:szCs w:val="20"/>
        </w:rPr>
        <w:t>Uehara</w:t>
      </w:r>
      <w:proofErr w:type="spellEnd"/>
      <w:r w:rsidR="00A07E3E" w:rsidRPr="00E05E75">
        <w:rPr>
          <w:sz w:val="20"/>
          <w:szCs w:val="20"/>
        </w:rPr>
        <w:t xml:space="preserve"> N., Maeda, Y., Nakanishi M., Fukuoka</w:t>
      </w:r>
      <w:r w:rsidR="00E05E75">
        <w:rPr>
          <w:sz w:val="20"/>
          <w:szCs w:val="20"/>
        </w:rPr>
        <w:t xml:space="preserve"> </w:t>
      </w:r>
      <w:r w:rsidR="00A07E3E" w:rsidRPr="00E05E75">
        <w:rPr>
          <w:sz w:val="20"/>
          <w:szCs w:val="20"/>
        </w:rPr>
        <w:t xml:space="preserve">F. Antitumor activity of aqueous extracts of edible mushrooms. </w:t>
      </w:r>
      <w:r w:rsidR="00A07E3E" w:rsidRPr="00E05E75">
        <w:rPr>
          <w:i/>
          <w:sz w:val="20"/>
          <w:szCs w:val="20"/>
        </w:rPr>
        <w:t>Cancer Res</w:t>
      </w:r>
      <w:r w:rsidR="00A07E3E" w:rsidRPr="00E05E75">
        <w:rPr>
          <w:sz w:val="20"/>
          <w:szCs w:val="20"/>
        </w:rPr>
        <w:t>., 1969</w:t>
      </w:r>
      <w:proofErr w:type="gramStart"/>
      <w:r w:rsidR="00A07E3E" w:rsidRPr="00E05E75">
        <w:rPr>
          <w:sz w:val="20"/>
          <w:szCs w:val="20"/>
        </w:rPr>
        <w:t>;29</w:t>
      </w:r>
      <w:proofErr w:type="gramEnd"/>
      <w:r w:rsidR="00A07E3E" w:rsidRPr="00E05E75">
        <w:rPr>
          <w:sz w:val="20"/>
          <w:szCs w:val="20"/>
        </w:rPr>
        <w:t>, 734-735.</w:t>
      </w:r>
    </w:p>
    <w:p w:rsidR="007B6A0C" w:rsidRPr="00E05E75" w:rsidRDefault="007B6A0C" w:rsidP="00600A78">
      <w:pPr>
        <w:numPr>
          <w:ilvl w:val="0"/>
          <w:numId w:val="7"/>
        </w:numPr>
        <w:snapToGrid w:val="0"/>
        <w:jc w:val="both"/>
        <w:rPr>
          <w:sz w:val="20"/>
          <w:szCs w:val="20"/>
        </w:rPr>
      </w:pPr>
      <w:r w:rsidRPr="00E05E75">
        <w:rPr>
          <w:sz w:val="20"/>
          <w:szCs w:val="20"/>
        </w:rPr>
        <w:t>L</w:t>
      </w:r>
      <w:r w:rsidR="00A07E3E" w:rsidRPr="00E05E75">
        <w:rPr>
          <w:sz w:val="20"/>
          <w:szCs w:val="20"/>
        </w:rPr>
        <w:t xml:space="preserve">ucas EH, </w:t>
      </w:r>
      <w:proofErr w:type="spellStart"/>
      <w:r w:rsidR="00A07E3E" w:rsidRPr="00E05E75">
        <w:rPr>
          <w:sz w:val="20"/>
          <w:szCs w:val="20"/>
        </w:rPr>
        <w:t>Ringler</w:t>
      </w:r>
      <w:proofErr w:type="spellEnd"/>
      <w:r w:rsidR="00A07E3E" w:rsidRPr="00E05E75">
        <w:rPr>
          <w:sz w:val="20"/>
          <w:szCs w:val="20"/>
        </w:rPr>
        <w:t xml:space="preserve"> RL, </w:t>
      </w:r>
      <w:proofErr w:type="spellStart"/>
      <w:r w:rsidR="00A07E3E" w:rsidRPr="00E05E75">
        <w:rPr>
          <w:sz w:val="20"/>
          <w:szCs w:val="20"/>
        </w:rPr>
        <w:t>Byarrum</w:t>
      </w:r>
      <w:proofErr w:type="spellEnd"/>
      <w:r w:rsidR="00A07E3E" w:rsidRPr="00E05E75">
        <w:rPr>
          <w:sz w:val="20"/>
          <w:szCs w:val="20"/>
        </w:rPr>
        <w:t xml:space="preserve"> RU, Stevens JA, Clarke DA, Stock CC. Tumor inhibitors</w:t>
      </w:r>
      <w:r w:rsidR="00E05E75">
        <w:rPr>
          <w:sz w:val="20"/>
          <w:szCs w:val="20"/>
        </w:rPr>
        <w:t xml:space="preserve"> </w:t>
      </w:r>
      <w:r w:rsidR="00A07E3E" w:rsidRPr="00E05E75">
        <w:rPr>
          <w:sz w:val="20"/>
          <w:szCs w:val="20"/>
        </w:rPr>
        <w:t xml:space="preserve">in </w:t>
      </w:r>
      <w:r w:rsidR="00A07E3E" w:rsidRPr="00E05E75">
        <w:rPr>
          <w:i/>
          <w:sz w:val="20"/>
          <w:szCs w:val="20"/>
        </w:rPr>
        <w:t>Boletus</w:t>
      </w:r>
      <w:r w:rsidR="00B54CDA" w:rsidRPr="00E05E75">
        <w:rPr>
          <w:sz w:val="20"/>
          <w:szCs w:val="20"/>
        </w:rPr>
        <w:t>.</w:t>
      </w:r>
      <w:r w:rsidR="00A07E3E" w:rsidRPr="00E05E75">
        <w:rPr>
          <w:sz w:val="20"/>
          <w:szCs w:val="20"/>
        </w:rPr>
        <w:t xml:space="preserve"> DA, Stock CC. Tumor inhibitors</w:t>
      </w:r>
      <w:r w:rsidR="00E05E75">
        <w:rPr>
          <w:sz w:val="20"/>
          <w:szCs w:val="20"/>
        </w:rPr>
        <w:t xml:space="preserve"> </w:t>
      </w:r>
      <w:r w:rsidR="00A07E3E" w:rsidRPr="00E05E75">
        <w:rPr>
          <w:sz w:val="20"/>
          <w:szCs w:val="20"/>
        </w:rPr>
        <w:t xml:space="preserve">in </w:t>
      </w:r>
      <w:r w:rsidR="00A07E3E" w:rsidRPr="00E05E75">
        <w:rPr>
          <w:i/>
          <w:sz w:val="20"/>
          <w:szCs w:val="20"/>
        </w:rPr>
        <w:lastRenderedPageBreak/>
        <w:t xml:space="preserve">Boletus </w:t>
      </w:r>
      <w:proofErr w:type="spellStart"/>
      <w:r w:rsidR="00A07E3E" w:rsidRPr="00E05E75">
        <w:rPr>
          <w:i/>
          <w:sz w:val="20"/>
          <w:szCs w:val="20"/>
        </w:rPr>
        <w:t>edulis</w:t>
      </w:r>
      <w:proofErr w:type="spellEnd"/>
      <w:r w:rsidR="00A07E3E" w:rsidRPr="00E05E75">
        <w:rPr>
          <w:sz w:val="20"/>
          <w:szCs w:val="20"/>
        </w:rPr>
        <w:t xml:space="preserve"> and other </w:t>
      </w:r>
      <w:proofErr w:type="spellStart"/>
      <w:r w:rsidR="00A07E3E" w:rsidRPr="00E05E75">
        <w:rPr>
          <w:sz w:val="20"/>
          <w:szCs w:val="20"/>
        </w:rPr>
        <w:t>Holobasidiomycetes</w:t>
      </w:r>
      <w:proofErr w:type="spellEnd"/>
      <w:r w:rsidR="00A07E3E" w:rsidRPr="00E05E75">
        <w:rPr>
          <w:sz w:val="20"/>
          <w:szCs w:val="20"/>
        </w:rPr>
        <w:t xml:space="preserve">, </w:t>
      </w:r>
      <w:r w:rsidR="00A07E3E" w:rsidRPr="00E05E75">
        <w:rPr>
          <w:i/>
          <w:sz w:val="20"/>
          <w:szCs w:val="20"/>
        </w:rPr>
        <w:t xml:space="preserve">Antibiotics </w:t>
      </w:r>
      <w:proofErr w:type="spellStart"/>
      <w:r w:rsidR="00A07E3E" w:rsidRPr="00E05E75">
        <w:rPr>
          <w:i/>
          <w:sz w:val="20"/>
          <w:szCs w:val="20"/>
        </w:rPr>
        <w:t>Chemother</w:t>
      </w:r>
      <w:proofErr w:type="spellEnd"/>
      <w:r w:rsidR="00A07E3E" w:rsidRPr="00E05E75">
        <w:rPr>
          <w:sz w:val="20"/>
          <w:szCs w:val="20"/>
        </w:rPr>
        <w:t xml:space="preserve"> 1957</w:t>
      </w:r>
      <w:proofErr w:type="gramStart"/>
      <w:r w:rsidR="00A07E3E" w:rsidRPr="00E05E75">
        <w:rPr>
          <w:sz w:val="20"/>
          <w:szCs w:val="20"/>
        </w:rPr>
        <w:t>;7:1</w:t>
      </w:r>
      <w:proofErr w:type="gramEnd"/>
      <w:r w:rsidR="00A07E3E" w:rsidRPr="00E05E75">
        <w:rPr>
          <w:sz w:val="20"/>
          <w:szCs w:val="20"/>
        </w:rPr>
        <w:t>-14</w:t>
      </w:r>
      <w:r w:rsidR="00C34190">
        <w:rPr>
          <w:rFonts w:hint="eastAsia"/>
          <w:sz w:val="20"/>
          <w:szCs w:val="20"/>
          <w:lang w:eastAsia="zh-CN"/>
        </w:rPr>
        <w:t>.</w:t>
      </w:r>
    </w:p>
    <w:p w:rsidR="007B6A0C" w:rsidRPr="00E05E75" w:rsidRDefault="007B6A0C" w:rsidP="00600A78">
      <w:pPr>
        <w:numPr>
          <w:ilvl w:val="0"/>
          <w:numId w:val="7"/>
        </w:numPr>
        <w:shd w:val="clear" w:color="auto" w:fill="FFFFFF"/>
        <w:snapToGrid w:val="0"/>
        <w:jc w:val="both"/>
        <w:rPr>
          <w:rFonts w:eastAsia="Times New Roman"/>
          <w:sz w:val="20"/>
          <w:szCs w:val="20"/>
        </w:rPr>
      </w:pPr>
      <w:r w:rsidRPr="00E05E75">
        <w:rPr>
          <w:rFonts w:eastAsia="Times New Roman"/>
          <w:sz w:val="20"/>
          <w:szCs w:val="20"/>
        </w:rPr>
        <w:t>M</w:t>
      </w:r>
      <w:r w:rsidR="00A07E3E" w:rsidRPr="00E05E75">
        <w:rPr>
          <w:rFonts w:eastAsia="Times New Roman"/>
          <w:sz w:val="20"/>
          <w:szCs w:val="20"/>
        </w:rPr>
        <w:t xml:space="preserve">, </w:t>
      </w:r>
      <w:hyperlink r:id="rId18" w:history="1">
        <w:proofErr w:type="spellStart"/>
        <w:r w:rsidR="00A07E3E" w:rsidRPr="00E05E75">
          <w:rPr>
            <w:rFonts w:eastAsia="Times New Roman"/>
            <w:sz w:val="20"/>
            <w:szCs w:val="20"/>
          </w:rPr>
          <w:t>Bhutia</w:t>
        </w:r>
        <w:proofErr w:type="spellEnd"/>
        <w:r w:rsidR="00A07E3E" w:rsidRPr="00E05E75">
          <w:rPr>
            <w:rFonts w:eastAsia="Times New Roman"/>
            <w:sz w:val="20"/>
            <w:szCs w:val="20"/>
          </w:rPr>
          <w:t xml:space="preserve"> SK</w:t>
        </w:r>
      </w:hyperlink>
      <w:r w:rsidR="00A07E3E" w:rsidRPr="00E05E75">
        <w:rPr>
          <w:rFonts w:eastAsia="Times New Roman"/>
          <w:sz w:val="20"/>
          <w:szCs w:val="20"/>
        </w:rPr>
        <w:t xml:space="preserve">, </w:t>
      </w:r>
      <w:hyperlink r:id="rId19" w:history="1">
        <w:proofErr w:type="spellStart"/>
        <w:r w:rsidR="00A07E3E" w:rsidRPr="00E05E75">
          <w:rPr>
            <w:rFonts w:eastAsia="Times New Roman"/>
            <w:sz w:val="20"/>
            <w:szCs w:val="20"/>
          </w:rPr>
          <w:t>Mallick</w:t>
        </w:r>
        <w:proofErr w:type="spellEnd"/>
        <w:r w:rsidR="00A07E3E" w:rsidRPr="00E05E75">
          <w:rPr>
            <w:rFonts w:eastAsia="Times New Roman"/>
            <w:sz w:val="20"/>
            <w:szCs w:val="20"/>
          </w:rPr>
          <w:t xml:space="preserve"> SK</w:t>
        </w:r>
      </w:hyperlink>
      <w:r w:rsidR="00A07E3E" w:rsidRPr="00E05E75">
        <w:rPr>
          <w:rFonts w:eastAsia="Times New Roman"/>
          <w:sz w:val="20"/>
          <w:szCs w:val="20"/>
        </w:rPr>
        <w:t xml:space="preserve">, </w:t>
      </w:r>
      <w:hyperlink r:id="rId20" w:history="1">
        <w:r w:rsidR="00A07E3E" w:rsidRPr="00E05E75">
          <w:rPr>
            <w:rFonts w:eastAsia="Times New Roman"/>
            <w:sz w:val="20"/>
            <w:szCs w:val="20"/>
          </w:rPr>
          <w:t>Kumar A</w:t>
        </w:r>
      </w:hyperlink>
      <w:r w:rsidR="00A07E3E" w:rsidRPr="00E05E75">
        <w:rPr>
          <w:rFonts w:eastAsia="Times New Roman"/>
          <w:sz w:val="20"/>
          <w:szCs w:val="20"/>
        </w:rPr>
        <w:t xml:space="preserve">, </w:t>
      </w:r>
      <w:hyperlink r:id="rId21" w:history="1">
        <w:proofErr w:type="spellStart"/>
        <w:r w:rsidR="00A07E3E" w:rsidRPr="00E05E75">
          <w:rPr>
            <w:rFonts w:eastAsia="Times New Roman"/>
            <w:sz w:val="20"/>
            <w:szCs w:val="20"/>
          </w:rPr>
          <w:t>Khadgi</w:t>
        </w:r>
        <w:proofErr w:type="spellEnd"/>
        <w:r w:rsidR="00A07E3E" w:rsidRPr="00E05E75">
          <w:rPr>
            <w:rFonts w:eastAsia="Times New Roman"/>
            <w:sz w:val="20"/>
            <w:szCs w:val="20"/>
          </w:rPr>
          <w:t xml:space="preserve"> N</w:t>
        </w:r>
      </w:hyperlink>
      <w:r w:rsidR="00A07E3E" w:rsidRPr="00E05E75">
        <w:rPr>
          <w:rFonts w:eastAsia="Times New Roman"/>
          <w:sz w:val="20"/>
          <w:szCs w:val="20"/>
        </w:rPr>
        <w:t xml:space="preserve">, </w:t>
      </w:r>
      <w:hyperlink r:id="rId22" w:history="1">
        <w:proofErr w:type="spellStart"/>
        <w:r w:rsidR="00A07E3E" w:rsidRPr="00E05E75">
          <w:rPr>
            <w:rFonts w:eastAsia="Times New Roman"/>
            <w:sz w:val="20"/>
            <w:szCs w:val="20"/>
          </w:rPr>
          <w:t>Maiti</w:t>
        </w:r>
        <w:proofErr w:type="spellEnd"/>
        <w:r w:rsidR="00A07E3E" w:rsidRPr="00E05E75">
          <w:rPr>
            <w:rFonts w:eastAsia="Times New Roman"/>
            <w:sz w:val="20"/>
            <w:szCs w:val="20"/>
          </w:rPr>
          <w:t xml:space="preserve"> TK</w:t>
        </w:r>
      </w:hyperlink>
      <w:r w:rsidR="00A07E3E" w:rsidRPr="00E05E75">
        <w:rPr>
          <w:rFonts w:eastAsia="Times New Roman"/>
          <w:sz w:val="20"/>
          <w:szCs w:val="20"/>
        </w:rPr>
        <w:t>.2008</w:t>
      </w:r>
      <w:r w:rsidR="00A07E3E" w:rsidRPr="00E05E75">
        <w:rPr>
          <w:rFonts w:eastAsia="Times New Roman"/>
          <w:bCs/>
          <w:sz w:val="20"/>
          <w:szCs w:val="20"/>
        </w:rPr>
        <w:t xml:space="preserve"> </w:t>
      </w:r>
      <w:proofErr w:type="spellStart"/>
      <w:r w:rsidR="00A07E3E" w:rsidRPr="00E05E75">
        <w:rPr>
          <w:rFonts w:eastAsia="Times New Roman"/>
          <w:bCs/>
          <w:sz w:val="20"/>
          <w:szCs w:val="20"/>
        </w:rPr>
        <w:t>Antiproliferative</w:t>
      </w:r>
      <w:proofErr w:type="spellEnd"/>
      <w:r w:rsidR="00A07E3E" w:rsidRPr="00E05E75">
        <w:rPr>
          <w:rFonts w:eastAsia="Times New Roman"/>
          <w:bCs/>
          <w:sz w:val="20"/>
          <w:szCs w:val="20"/>
        </w:rPr>
        <w:t xml:space="preserve"> and </w:t>
      </w:r>
      <w:proofErr w:type="spellStart"/>
      <w:r w:rsidR="00A07E3E" w:rsidRPr="00E05E75">
        <w:rPr>
          <w:rFonts w:eastAsia="Times New Roman"/>
          <w:bCs/>
          <w:sz w:val="20"/>
          <w:szCs w:val="20"/>
        </w:rPr>
        <w:t>immunostimulatory</w:t>
      </w:r>
      <w:proofErr w:type="spellEnd"/>
      <w:r w:rsidR="00A07E3E" w:rsidRPr="00E05E75">
        <w:rPr>
          <w:rFonts w:eastAsia="Times New Roman"/>
          <w:bCs/>
          <w:sz w:val="20"/>
          <w:szCs w:val="20"/>
        </w:rPr>
        <w:t xml:space="preserve"> protein fraction from edible mushrooms </w:t>
      </w:r>
      <w:hyperlink r:id="rId23" w:tooltip="Environmental toxicology and pharmacology." w:history="1">
        <w:r w:rsidR="00A07E3E" w:rsidRPr="00E05E75">
          <w:rPr>
            <w:rFonts w:eastAsia="Times New Roman"/>
            <w:i/>
            <w:sz w:val="20"/>
            <w:szCs w:val="20"/>
          </w:rPr>
          <w:t xml:space="preserve">Environ </w:t>
        </w:r>
        <w:proofErr w:type="spellStart"/>
        <w:r w:rsidR="00A07E3E" w:rsidRPr="00E05E75">
          <w:rPr>
            <w:rFonts w:eastAsia="Times New Roman"/>
            <w:i/>
            <w:sz w:val="20"/>
            <w:szCs w:val="20"/>
          </w:rPr>
          <w:t>Toxicol</w:t>
        </w:r>
        <w:proofErr w:type="spellEnd"/>
        <w:r w:rsidR="00A07E3E" w:rsidRPr="00E05E75">
          <w:rPr>
            <w:rFonts w:eastAsia="Times New Roman"/>
            <w:i/>
            <w:sz w:val="20"/>
            <w:szCs w:val="20"/>
          </w:rPr>
          <w:t xml:space="preserve"> </w:t>
        </w:r>
        <w:proofErr w:type="spellStart"/>
        <w:r w:rsidR="00A07E3E" w:rsidRPr="00E05E75">
          <w:rPr>
            <w:rFonts w:eastAsia="Times New Roman"/>
            <w:i/>
            <w:sz w:val="20"/>
            <w:szCs w:val="20"/>
          </w:rPr>
          <w:t>Pharmacol</w:t>
        </w:r>
        <w:proofErr w:type="spellEnd"/>
        <w:r w:rsidR="00A07E3E" w:rsidRPr="00E05E75">
          <w:rPr>
            <w:rFonts w:eastAsia="Times New Roman"/>
            <w:i/>
            <w:sz w:val="20"/>
            <w:szCs w:val="20"/>
            <w:u w:val="single"/>
          </w:rPr>
          <w:t>.</w:t>
        </w:r>
      </w:hyperlink>
      <w:r w:rsidR="00A07E3E" w:rsidRPr="00E05E75">
        <w:rPr>
          <w:rFonts w:eastAsia="Times New Roman"/>
          <w:sz w:val="20"/>
          <w:szCs w:val="20"/>
        </w:rPr>
        <w:t xml:space="preserve"> 2008; 26(2):187-91.</w:t>
      </w:r>
    </w:p>
    <w:p w:rsidR="007B6A0C" w:rsidRPr="00E05E75" w:rsidRDefault="007B6A0C" w:rsidP="00600A78">
      <w:pPr>
        <w:numPr>
          <w:ilvl w:val="0"/>
          <w:numId w:val="7"/>
        </w:numPr>
        <w:autoSpaceDE w:val="0"/>
        <w:autoSpaceDN w:val="0"/>
        <w:adjustRightInd w:val="0"/>
        <w:snapToGrid w:val="0"/>
        <w:jc w:val="both"/>
        <w:rPr>
          <w:sz w:val="20"/>
          <w:szCs w:val="20"/>
        </w:rPr>
      </w:pPr>
      <w:r w:rsidRPr="00E05E75">
        <w:rPr>
          <w:rStyle w:val="Hyperlink"/>
          <w:color w:val="auto"/>
          <w:sz w:val="20"/>
          <w:szCs w:val="20"/>
          <w:u w:val="none"/>
        </w:rPr>
        <w:t>M</w:t>
      </w:r>
      <w:r w:rsidR="00A07E3E" w:rsidRPr="00E05E75">
        <w:rPr>
          <w:sz w:val="20"/>
          <w:szCs w:val="20"/>
        </w:rPr>
        <w:t xml:space="preserve">, </w:t>
      </w:r>
      <w:hyperlink r:id="rId24" w:history="1">
        <w:proofErr w:type="spellStart"/>
        <w:r w:rsidR="00A07E3E" w:rsidRPr="00E05E75">
          <w:rPr>
            <w:rStyle w:val="Hyperlink"/>
            <w:color w:val="auto"/>
            <w:sz w:val="20"/>
            <w:szCs w:val="20"/>
            <w:u w:val="none"/>
          </w:rPr>
          <w:t>Raysa</w:t>
        </w:r>
        <w:proofErr w:type="spellEnd"/>
        <w:r w:rsidR="00A07E3E" w:rsidRPr="00E05E75">
          <w:rPr>
            <w:rStyle w:val="Hyperlink"/>
            <w:color w:val="auto"/>
            <w:sz w:val="20"/>
            <w:szCs w:val="20"/>
            <w:u w:val="none"/>
          </w:rPr>
          <w:t xml:space="preserve"> Rosario Acevedo</w:t>
        </w:r>
      </w:hyperlink>
      <w:r w:rsidR="00A07E3E" w:rsidRPr="00E05E75">
        <w:rPr>
          <w:sz w:val="20"/>
          <w:szCs w:val="20"/>
        </w:rPr>
        <w:t xml:space="preserve">, </w:t>
      </w:r>
      <w:hyperlink r:id="rId25" w:history="1">
        <w:r w:rsidR="00A07E3E" w:rsidRPr="00E05E75">
          <w:rPr>
            <w:rStyle w:val="Hyperlink"/>
            <w:color w:val="auto"/>
            <w:sz w:val="20"/>
            <w:szCs w:val="20"/>
            <w:u w:val="none"/>
          </w:rPr>
          <w:t>Elisa Otero-</w:t>
        </w:r>
        <w:proofErr w:type="spellStart"/>
        <w:r w:rsidR="00A07E3E" w:rsidRPr="00E05E75">
          <w:rPr>
            <w:rStyle w:val="Hyperlink"/>
            <w:color w:val="auto"/>
            <w:sz w:val="20"/>
            <w:szCs w:val="20"/>
            <w:u w:val="none"/>
          </w:rPr>
          <w:t>Franqui</w:t>
        </w:r>
        <w:proofErr w:type="spellEnd"/>
      </w:hyperlink>
      <w:r w:rsidR="00A07E3E" w:rsidRPr="00E05E75">
        <w:rPr>
          <w:sz w:val="20"/>
          <w:szCs w:val="20"/>
        </w:rPr>
        <w:t xml:space="preserve">, </w:t>
      </w:r>
      <w:hyperlink r:id="rId26" w:history="1">
        <w:r w:rsidR="00A07E3E" w:rsidRPr="00E05E75">
          <w:rPr>
            <w:rStyle w:val="Hyperlink"/>
            <w:color w:val="auto"/>
            <w:sz w:val="20"/>
            <w:szCs w:val="20"/>
            <w:u w:val="none"/>
          </w:rPr>
          <w:t xml:space="preserve">Luis. </w:t>
        </w:r>
        <w:proofErr w:type="gramStart"/>
        <w:r w:rsidR="00A07E3E" w:rsidRPr="00E05E75">
          <w:rPr>
            <w:rStyle w:val="Hyperlink"/>
            <w:color w:val="auto"/>
            <w:sz w:val="20"/>
            <w:szCs w:val="20"/>
            <w:u w:val="none"/>
          </w:rPr>
          <w:t xml:space="preserve">A. </w:t>
        </w:r>
        <w:proofErr w:type="spellStart"/>
        <w:r w:rsidR="00A07E3E" w:rsidRPr="00E05E75">
          <w:rPr>
            <w:rStyle w:val="Hyperlink"/>
            <w:color w:val="auto"/>
            <w:sz w:val="20"/>
            <w:szCs w:val="20"/>
            <w:u w:val="none"/>
          </w:rPr>
          <w:t>Cubano</w:t>
        </w:r>
        <w:proofErr w:type="spellEnd"/>
      </w:hyperlink>
      <w:r w:rsidR="00A07E3E" w:rsidRPr="00E05E75">
        <w:rPr>
          <w:sz w:val="20"/>
          <w:szCs w:val="20"/>
        </w:rPr>
        <w:t xml:space="preserve">, and </w:t>
      </w:r>
      <w:hyperlink r:id="rId27" w:history="1">
        <w:proofErr w:type="spellStart"/>
        <w:r w:rsidR="00A07E3E" w:rsidRPr="00E05E75">
          <w:rPr>
            <w:rStyle w:val="Hyperlink"/>
            <w:color w:val="auto"/>
            <w:sz w:val="20"/>
            <w:szCs w:val="20"/>
            <w:u w:val="none"/>
          </w:rPr>
          <w:t>Suranganie</w:t>
        </w:r>
        <w:proofErr w:type="spellEnd"/>
        <w:r w:rsidR="00A07E3E" w:rsidRPr="00E05E75">
          <w:rPr>
            <w:rStyle w:val="Hyperlink"/>
            <w:color w:val="auto"/>
            <w:sz w:val="20"/>
            <w:szCs w:val="20"/>
            <w:u w:val="none"/>
          </w:rPr>
          <w:t xml:space="preserve"> F. </w:t>
        </w:r>
        <w:proofErr w:type="spellStart"/>
        <w:r w:rsidR="00A07E3E" w:rsidRPr="00E05E75">
          <w:rPr>
            <w:rStyle w:val="Hyperlink"/>
            <w:color w:val="auto"/>
            <w:sz w:val="20"/>
            <w:szCs w:val="20"/>
            <w:u w:val="none"/>
          </w:rPr>
          <w:t>Dharmawardhane</w:t>
        </w:r>
        <w:proofErr w:type="spellEnd"/>
      </w:hyperlink>
      <w:r w:rsidR="00E05E75">
        <w:rPr>
          <w:sz w:val="20"/>
          <w:szCs w:val="20"/>
        </w:rPr>
        <w:t xml:space="preserve"> </w:t>
      </w:r>
      <w:proofErr w:type="spellStart"/>
      <w:r w:rsidR="00A07E3E" w:rsidRPr="00E05E75">
        <w:rPr>
          <w:sz w:val="20"/>
          <w:szCs w:val="20"/>
        </w:rPr>
        <w:t>Ganoderma</w:t>
      </w:r>
      <w:proofErr w:type="spellEnd"/>
      <w:r w:rsidR="00A07E3E" w:rsidRPr="00E05E75">
        <w:rPr>
          <w:sz w:val="20"/>
          <w:szCs w:val="20"/>
        </w:rPr>
        <w:t xml:space="preserve"> </w:t>
      </w:r>
      <w:proofErr w:type="spellStart"/>
      <w:r w:rsidR="00A07E3E" w:rsidRPr="00E05E75">
        <w:rPr>
          <w:sz w:val="20"/>
          <w:szCs w:val="20"/>
        </w:rPr>
        <w:t>lucidum</w:t>
      </w:r>
      <w:proofErr w:type="spellEnd"/>
      <w:r w:rsidR="00A07E3E" w:rsidRPr="00E05E75">
        <w:rPr>
          <w:sz w:val="20"/>
          <w:szCs w:val="20"/>
        </w:rPr>
        <w:t xml:space="preserve"> (</w:t>
      </w:r>
      <w:proofErr w:type="spellStart"/>
      <w:r w:rsidR="00A07E3E" w:rsidRPr="00E05E75">
        <w:rPr>
          <w:sz w:val="20"/>
          <w:szCs w:val="20"/>
        </w:rPr>
        <w:t>Reishi</w:t>
      </w:r>
      <w:proofErr w:type="spellEnd"/>
      <w:r w:rsidR="00A07E3E" w:rsidRPr="00E05E75">
        <w:rPr>
          <w:sz w:val="20"/>
          <w:szCs w:val="20"/>
        </w:rPr>
        <w:t xml:space="preserve">) Inhibits Cancer Cell Growth and Expression of Key Molecules in Inflammatory Breast </w:t>
      </w:r>
      <w:r w:rsidR="00A07E3E" w:rsidRPr="00E05E75">
        <w:rPr>
          <w:i/>
          <w:sz w:val="20"/>
          <w:szCs w:val="20"/>
        </w:rPr>
        <w:t>Cancer</w:t>
      </w:r>
      <w:r w:rsidR="00A07E3E" w:rsidRPr="00E05E75">
        <w:rPr>
          <w:b/>
          <w:i/>
          <w:sz w:val="20"/>
          <w:szCs w:val="20"/>
        </w:rPr>
        <w:t xml:space="preserve"> </w:t>
      </w:r>
      <w:hyperlink r:id="rId28" w:tgtFrame="pmc_ext" w:history="1">
        <w:proofErr w:type="spellStart"/>
        <w:r w:rsidR="00A07E3E" w:rsidRPr="00E05E75">
          <w:rPr>
            <w:rStyle w:val="citation-abbreviation"/>
            <w:i/>
            <w:sz w:val="20"/>
            <w:szCs w:val="20"/>
          </w:rPr>
          <w:t>Nutr</w:t>
        </w:r>
        <w:proofErr w:type="spellEnd"/>
        <w:r w:rsidR="00A07E3E" w:rsidRPr="00E05E75">
          <w:rPr>
            <w:rStyle w:val="citation-abbreviation"/>
            <w:i/>
            <w:sz w:val="20"/>
            <w:szCs w:val="20"/>
          </w:rPr>
          <w:t xml:space="preserve"> Cancer.</w:t>
        </w:r>
        <w:proofErr w:type="gramEnd"/>
        <w:r w:rsidR="00A07E3E" w:rsidRPr="00E05E75">
          <w:rPr>
            <w:rStyle w:val="citation-abbreviation"/>
            <w:i/>
            <w:sz w:val="20"/>
            <w:szCs w:val="20"/>
          </w:rPr>
          <w:t xml:space="preserve"> </w:t>
        </w:r>
        <w:r w:rsidR="00A07E3E" w:rsidRPr="00E05E75">
          <w:rPr>
            <w:rStyle w:val="citation-publication-date"/>
            <w:i/>
            <w:sz w:val="20"/>
            <w:szCs w:val="20"/>
          </w:rPr>
          <w:t xml:space="preserve">2011; </w:t>
        </w:r>
        <w:r w:rsidR="00A07E3E" w:rsidRPr="00E05E75">
          <w:rPr>
            <w:rStyle w:val="citation-volume"/>
            <w:i/>
            <w:sz w:val="20"/>
            <w:szCs w:val="20"/>
          </w:rPr>
          <w:t>63</w:t>
        </w:r>
        <w:r w:rsidR="00A07E3E" w:rsidRPr="00E05E75">
          <w:rPr>
            <w:rStyle w:val="citation-issue"/>
            <w:i/>
            <w:sz w:val="20"/>
            <w:szCs w:val="20"/>
          </w:rPr>
          <w:t>(7)</w:t>
        </w:r>
        <w:r w:rsidR="00A07E3E" w:rsidRPr="00E05E75">
          <w:rPr>
            <w:rStyle w:val="citation-flpages"/>
            <w:i/>
            <w:sz w:val="20"/>
            <w:szCs w:val="20"/>
          </w:rPr>
          <w:t>: 1085–1094.</w:t>
        </w:r>
        <w:r w:rsidR="00A07E3E" w:rsidRPr="00E05E75">
          <w:rPr>
            <w:rStyle w:val="citation-flpages"/>
            <w:sz w:val="20"/>
            <w:szCs w:val="20"/>
          </w:rPr>
          <w:t xml:space="preserve"> </w:t>
        </w:r>
      </w:hyperlink>
    </w:p>
    <w:p w:rsidR="007B6A0C" w:rsidRPr="00E05E75" w:rsidRDefault="007B6A0C" w:rsidP="00600A78">
      <w:pPr>
        <w:numPr>
          <w:ilvl w:val="0"/>
          <w:numId w:val="7"/>
        </w:numPr>
        <w:autoSpaceDE w:val="0"/>
        <w:autoSpaceDN w:val="0"/>
        <w:adjustRightInd w:val="0"/>
        <w:snapToGrid w:val="0"/>
        <w:jc w:val="both"/>
        <w:rPr>
          <w:sz w:val="20"/>
          <w:szCs w:val="20"/>
        </w:rPr>
      </w:pPr>
      <w:r w:rsidRPr="00E05E75">
        <w:rPr>
          <w:sz w:val="20"/>
          <w:szCs w:val="20"/>
        </w:rPr>
        <w:t>M</w:t>
      </w:r>
      <w:r w:rsidR="00A07E3E" w:rsidRPr="00E05E75">
        <w:rPr>
          <w:sz w:val="20"/>
          <w:szCs w:val="20"/>
        </w:rPr>
        <w:t xml:space="preserve">izuno, T. The extraction and development of </w:t>
      </w:r>
      <w:proofErr w:type="spellStart"/>
      <w:r w:rsidR="00A07E3E" w:rsidRPr="00E05E75">
        <w:rPr>
          <w:sz w:val="20"/>
          <w:szCs w:val="20"/>
        </w:rPr>
        <w:t>antitumoractive</w:t>
      </w:r>
      <w:proofErr w:type="spellEnd"/>
      <w:r w:rsidR="00A07E3E" w:rsidRPr="00E05E75">
        <w:rPr>
          <w:sz w:val="20"/>
          <w:szCs w:val="20"/>
        </w:rPr>
        <w:t xml:space="preserve"> polysaccharides </w:t>
      </w:r>
      <w:proofErr w:type="spellStart"/>
      <w:r w:rsidR="00A07E3E" w:rsidRPr="00E05E75">
        <w:rPr>
          <w:sz w:val="20"/>
          <w:szCs w:val="20"/>
        </w:rPr>
        <w:t>frommedicinal</w:t>
      </w:r>
      <w:proofErr w:type="spellEnd"/>
      <w:r w:rsidR="00A07E3E" w:rsidRPr="00E05E75">
        <w:rPr>
          <w:sz w:val="20"/>
          <w:szCs w:val="20"/>
        </w:rPr>
        <w:t xml:space="preserve"> mushrooms in Japan (review). </w:t>
      </w:r>
      <w:r w:rsidR="00A07E3E" w:rsidRPr="00E05E75">
        <w:rPr>
          <w:i/>
          <w:sz w:val="20"/>
          <w:szCs w:val="20"/>
        </w:rPr>
        <w:t>Int. J. Med. Mushr</w:t>
      </w:r>
      <w:r w:rsidR="00A07E3E" w:rsidRPr="00E05E75">
        <w:rPr>
          <w:sz w:val="20"/>
          <w:szCs w:val="20"/>
        </w:rPr>
        <w:t>1999; 1: 9-30.</w:t>
      </w:r>
    </w:p>
    <w:p w:rsidR="007B6A0C" w:rsidRPr="00E05E75" w:rsidRDefault="007B6A0C" w:rsidP="00600A78">
      <w:pPr>
        <w:numPr>
          <w:ilvl w:val="0"/>
          <w:numId w:val="7"/>
        </w:numPr>
        <w:autoSpaceDE w:val="0"/>
        <w:autoSpaceDN w:val="0"/>
        <w:adjustRightInd w:val="0"/>
        <w:snapToGrid w:val="0"/>
        <w:jc w:val="both"/>
        <w:rPr>
          <w:sz w:val="20"/>
          <w:szCs w:val="20"/>
        </w:rPr>
      </w:pPr>
      <w:r w:rsidRPr="00E05E75">
        <w:rPr>
          <w:color w:val="131413"/>
          <w:sz w:val="20"/>
          <w:szCs w:val="20"/>
        </w:rPr>
        <w:t>M</w:t>
      </w:r>
      <w:r w:rsidR="00A07E3E" w:rsidRPr="00E05E75">
        <w:rPr>
          <w:color w:val="131413"/>
          <w:sz w:val="20"/>
          <w:szCs w:val="20"/>
        </w:rPr>
        <w:t xml:space="preserve">o </w:t>
      </w:r>
      <w:proofErr w:type="spellStart"/>
      <w:r w:rsidR="00A07E3E" w:rsidRPr="00E05E75">
        <w:rPr>
          <w:color w:val="131413"/>
          <w:sz w:val="20"/>
          <w:szCs w:val="20"/>
        </w:rPr>
        <w:t>S,Wang</w:t>
      </w:r>
      <w:proofErr w:type="spellEnd"/>
      <w:r w:rsidR="00A07E3E" w:rsidRPr="00E05E75">
        <w:rPr>
          <w:color w:val="131413"/>
          <w:sz w:val="20"/>
          <w:szCs w:val="20"/>
        </w:rPr>
        <w:t xml:space="preserve"> S, Zhou G, Yang Y, Li Y, Chen X, Shi J. </w:t>
      </w:r>
      <w:proofErr w:type="spellStart"/>
      <w:r w:rsidR="00A07E3E" w:rsidRPr="00E05E75">
        <w:rPr>
          <w:color w:val="131413"/>
          <w:sz w:val="20"/>
          <w:szCs w:val="20"/>
        </w:rPr>
        <w:t>Phelligridins</w:t>
      </w:r>
      <w:proofErr w:type="spellEnd"/>
      <w:r w:rsidR="00A07E3E" w:rsidRPr="00E05E75">
        <w:rPr>
          <w:color w:val="131413"/>
          <w:sz w:val="20"/>
          <w:szCs w:val="20"/>
        </w:rPr>
        <w:t xml:space="preserve"> C-F: </w:t>
      </w:r>
      <w:proofErr w:type="spellStart"/>
      <w:r w:rsidR="00A07E3E" w:rsidRPr="00E05E75">
        <w:rPr>
          <w:color w:val="131413"/>
          <w:sz w:val="20"/>
          <w:szCs w:val="20"/>
        </w:rPr>
        <w:t>cytotoxic</w:t>
      </w:r>
      <w:proofErr w:type="spellEnd"/>
      <w:r w:rsidR="00A07E3E" w:rsidRPr="00E05E75">
        <w:rPr>
          <w:color w:val="131413"/>
          <w:sz w:val="20"/>
          <w:szCs w:val="20"/>
        </w:rPr>
        <w:t xml:space="preserve"> </w:t>
      </w:r>
      <w:proofErr w:type="spellStart"/>
      <w:r w:rsidR="00A07E3E" w:rsidRPr="00E05E75">
        <w:rPr>
          <w:color w:val="131413"/>
          <w:sz w:val="20"/>
          <w:szCs w:val="20"/>
        </w:rPr>
        <w:t>pyrano</w:t>
      </w:r>
      <w:proofErr w:type="spellEnd"/>
      <w:r w:rsidR="00A07E3E" w:rsidRPr="00E05E75">
        <w:rPr>
          <w:color w:val="131413"/>
          <w:sz w:val="20"/>
          <w:szCs w:val="20"/>
        </w:rPr>
        <w:t xml:space="preserve">[4,3-c][2]benzopyran-1,6-dione and </w:t>
      </w:r>
      <w:proofErr w:type="spellStart"/>
      <w:r w:rsidR="00A07E3E" w:rsidRPr="00E05E75">
        <w:rPr>
          <w:color w:val="131413"/>
          <w:sz w:val="20"/>
          <w:szCs w:val="20"/>
        </w:rPr>
        <w:t>furo</w:t>
      </w:r>
      <w:proofErr w:type="spellEnd"/>
      <w:r w:rsidR="00A07E3E" w:rsidRPr="00E05E75">
        <w:rPr>
          <w:color w:val="131413"/>
          <w:sz w:val="20"/>
          <w:szCs w:val="20"/>
        </w:rPr>
        <w:t xml:space="preserve">[3,2-c]pyran-4-one derivatives from the fungus </w:t>
      </w:r>
      <w:proofErr w:type="spellStart"/>
      <w:r w:rsidR="00A07E3E" w:rsidRPr="00E05E75">
        <w:rPr>
          <w:i/>
          <w:color w:val="131413"/>
          <w:sz w:val="20"/>
          <w:szCs w:val="20"/>
        </w:rPr>
        <w:t>Phellinus</w:t>
      </w:r>
      <w:proofErr w:type="spellEnd"/>
      <w:r w:rsidR="00A07E3E" w:rsidRPr="00E05E75">
        <w:rPr>
          <w:i/>
          <w:color w:val="131413"/>
          <w:sz w:val="20"/>
          <w:szCs w:val="20"/>
        </w:rPr>
        <w:t xml:space="preserve"> </w:t>
      </w:r>
      <w:proofErr w:type="spellStart"/>
      <w:r w:rsidR="00A07E3E" w:rsidRPr="00E05E75">
        <w:rPr>
          <w:i/>
          <w:color w:val="131413"/>
          <w:sz w:val="20"/>
          <w:szCs w:val="20"/>
        </w:rPr>
        <w:t>igniarius</w:t>
      </w:r>
      <w:proofErr w:type="spellEnd"/>
      <w:r w:rsidR="00A07E3E" w:rsidRPr="00E05E75">
        <w:rPr>
          <w:i/>
          <w:color w:val="131413"/>
          <w:sz w:val="20"/>
          <w:szCs w:val="20"/>
        </w:rPr>
        <w:t>. J Nat Prod</w:t>
      </w:r>
      <w:r w:rsidR="00A07E3E" w:rsidRPr="00E05E75">
        <w:rPr>
          <w:color w:val="131413"/>
          <w:sz w:val="20"/>
          <w:szCs w:val="20"/>
        </w:rPr>
        <w:t xml:space="preserve"> 2004</w:t>
      </w:r>
      <w:proofErr w:type="gramStart"/>
      <w:r w:rsidR="00A07E3E" w:rsidRPr="00E05E75">
        <w:rPr>
          <w:color w:val="131413"/>
          <w:sz w:val="20"/>
          <w:szCs w:val="20"/>
        </w:rPr>
        <w:t>;67:823</w:t>
      </w:r>
      <w:proofErr w:type="gramEnd"/>
      <w:r w:rsidR="00A07E3E" w:rsidRPr="00E05E75">
        <w:rPr>
          <w:rFonts w:eastAsia="AdvTT3713a231+20"/>
          <w:color w:val="131413"/>
          <w:sz w:val="20"/>
          <w:szCs w:val="20"/>
        </w:rPr>
        <w:t>–</w:t>
      </w:r>
      <w:r w:rsidR="00A07E3E" w:rsidRPr="00E05E75">
        <w:rPr>
          <w:color w:val="131413"/>
          <w:sz w:val="20"/>
          <w:szCs w:val="20"/>
        </w:rPr>
        <w:t>828</w:t>
      </w:r>
      <w:r w:rsidR="00C34190">
        <w:rPr>
          <w:rFonts w:hint="eastAsia"/>
          <w:color w:val="131413"/>
          <w:sz w:val="20"/>
          <w:szCs w:val="20"/>
          <w:lang w:eastAsia="zh-CN"/>
        </w:rPr>
        <w:t>.</w:t>
      </w:r>
    </w:p>
    <w:p w:rsidR="007B6A0C" w:rsidRPr="00E05E75" w:rsidRDefault="007B6A0C" w:rsidP="00600A78">
      <w:pPr>
        <w:numPr>
          <w:ilvl w:val="0"/>
          <w:numId w:val="7"/>
        </w:numPr>
        <w:autoSpaceDE w:val="0"/>
        <w:autoSpaceDN w:val="0"/>
        <w:adjustRightInd w:val="0"/>
        <w:snapToGrid w:val="0"/>
        <w:jc w:val="both"/>
        <w:rPr>
          <w:color w:val="131413"/>
          <w:sz w:val="20"/>
          <w:szCs w:val="20"/>
        </w:rPr>
      </w:pPr>
      <w:proofErr w:type="spellStart"/>
      <w:r w:rsidRPr="00E05E75">
        <w:rPr>
          <w:sz w:val="20"/>
          <w:szCs w:val="20"/>
        </w:rPr>
        <w:t>M</w:t>
      </w:r>
      <w:r w:rsidR="00A07E3E" w:rsidRPr="00E05E75">
        <w:rPr>
          <w:sz w:val="20"/>
          <w:szCs w:val="20"/>
        </w:rPr>
        <w:t>osmann</w:t>
      </w:r>
      <w:proofErr w:type="spellEnd"/>
      <w:r w:rsidR="00A07E3E" w:rsidRPr="00E05E75">
        <w:rPr>
          <w:sz w:val="20"/>
          <w:szCs w:val="20"/>
        </w:rPr>
        <w:t xml:space="preserve"> T. Rapid colorimetric assay for cellular growth and </w:t>
      </w:r>
      <w:proofErr w:type="spellStart"/>
      <w:r w:rsidR="00A07E3E" w:rsidRPr="00E05E75">
        <w:rPr>
          <w:sz w:val="20"/>
          <w:szCs w:val="20"/>
        </w:rPr>
        <w:t>survival</w:t>
      </w:r>
      <w:proofErr w:type="gramStart"/>
      <w:r w:rsidR="00A07E3E" w:rsidRPr="00E05E75">
        <w:rPr>
          <w:sz w:val="20"/>
          <w:szCs w:val="20"/>
        </w:rPr>
        <w:t>:application</w:t>
      </w:r>
      <w:proofErr w:type="spellEnd"/>
      <w:proofErr w:type="gramEnd"/>
      <w:r w:rsidR="00A07E3E" w:rsidRPr="00E05E75">
        <w:rPr>
          <w:sz w:val="20"/>
          <w:szCs w:val="20"/>
        </w:rPr>
        <w:t xml:space="preserve"> to </w:t>
      </w:r>
      <w:r w:rsidR="00A07E3E" w:rsidRPr="00E05E75">
        <w:rPr>
          <w:sz w:val="20"/>
          <w:szCs w:val="20"/>
        </w:rPr>
        <w:lastRenderedPageBreak/>
        <w:t xml:space="preserve">proliferation and </w:t>
      </w:r>
      <w:proofErr w:type="spellStart"/>
      <w:r w:rsidR="00A07E3E" w:rsidRPr="00E05E75">
        <w:rPr>
          <w:sz w:val="20"/>
          <w:szCs w:val="20"/>
        </w:rPr>
        <w:t>cytotoxicity</w:t>
      </w:r>
      <w:proofErr w:type="spellEnd"/>
      <w:r w:rsidR="00A07E3E" w:rsidRPr="00E05E75">
        <w:rPr>
          <w:sz w:val="20"/>
          <w:szCs w:val="20"/>
        </w:rPr>
        <w:t xml:space="preserve"> assays. </w:t>
      </w:r>
      <w:r w:rsidR="00A07E3E" w:rsidRPr="00E05E75">
        <w:rPr>
          <w:i/>
          <w:sz w:val="20"/>
          <w:szCs w:val="20"/>
        </w:rPr>
        <w:t xml:space="preserve">J </w:t>
      </w:r>
      <w:proofErr w:type="spellStart"/>
      <w:r w:rsidR="00A07E3E" w:rsidRPr="00E05E75">
        <w:rPr>
          <w:i/>
          <w:sz w:val="20"/>
          <w:szCs w:val="20"/>
        </w:rPr>
        <w:t>Immunol</w:t>
      </w:r>
      <w:proofErr w:type="spellEnd"/>
      <w:r w:rsidR="00A07E3E" w:rsidRPr="00E05E75">
        <w:rPr>
          <w:i/>
          <w:sz w:val="20"/>
          <w:szCs w:val="20"/>
        </w:rPr>
        <w:t xml:space="preserve"> Methods</w:t>
      </w:r>
      <w:r w:rsidR="00A07E3E" w:rsidRPr="00E05E75">
        <w:rPr>
          <w:sz w:val="20"/>
          <w:szCs w:val="20"/>
        </w:rPr>
        <w:t xml:space="preserve"> 1983</w:t>
      </w:r>
      <w:proofErr w:type="gramStart"/>
      <w:r w:rsidR="00A07E3E" w:rsidRPr="00E05E75">
        <w:rPr>
          <w:sz w:val="20"/>
          <w:szCs w:val="20"/>
        </w:rPr>
        <w:t>;65</w:t>
      </w:r>
      <w:proofErr w:type="gramEnd"/>
      <w:r w:rsidR="00A07E3E" w:rsidRPr="00E05E75">
        <w:rPr>
          <w:sz w:val="20"/>
          <w:szCs w:val="20"/>
        </w:rPr>
        <w:t>: 55–63.</w:t>
      </w:r>
    </w:p>
    <w:p w:rsidR="007B6A0C" w:rsidRPr="00E05E75" w:rsidRDefault="007B6A0C" w:rsidP="00600A78">
      <w:pPr>
        <w:numPr>
          <w:ilvl w:val="0"/>
          <w:numId w:val="7"/>
        </w:numPr>
        <w:autoSpaceDE w:val="0"/>
        <w:autoSpaceDN w:val="0"/>
        <w:adjustRightInd w:val="0"/>
        <w:snapToGrid w:val="0"/>
        <w:jc w:val="both"/>
        <w:rPr>
          <w:sz w:val="20"/>
          <w:szCs w:val="20"/>
        </w:rPr>
      </w:pPr>
      <w:r w:rsidRPr="00E05E75">
        <w:rPr>
          <w:sz w:val="20"/>
          <w:szCs w:val="20"/>
        </w:rPr>
        <w:t>P</w:t>
      </w:r>
      <w:r w:rsidR="00A07E3E" w:rsidRPr="00E05E75">
        <w:rPr>
          <w:sz w:val="20"/>
          <w:szCs w:val="20"/>
        </w:rPr>
        <w:t>arris K.</w:t>
      </w:r>
      <w:r w:rsidR="00E05E75">
        <w:rPr>
          <w:bCs/>
          <w:sz w:val="20"/>
          <w:szCs w:val="20"/>
        </w:rPr>
        <w:t xml:space="preserve"> </w:t>
      </w:r>
      <w:r w:rsidR="00A07E3E" w:rsidRPr="00E05E75">
        <w:rPr>
          <w:bCs/>
          <w:sz w:val="20"/>
          <w:szCs w:val="20"/>
        </w:rPr>
        <w:t xml:space="preserve">The Use of Mushroom </w:t>
      </w:r>
      <w:proofErr w:type="spellStart"/>
      <w:r w:rsidR="00A07E3E" w:rsidRPr="00E05E75">
        <w:rPr>
          <w:bCs/>
          <w:sz w:val="20"/>
          <w:szCs w:val="20"/>
        </w:rPr>
        <w:t>Glucans</w:t>
      </w:r>
      <w:proofErr w:type="spellEnd"/>
      <w:r w:rsidR="00A07E3E" w:rsidRPr="00E05E75">
        <w:rPr>
          <w:bCs/>
          <w:sz w:val="20"/>
          <w:szCs w:val="20"/>
        </w:rPr>
        <w:t xml:space="preserve"> and </w:t>
      </w:r>
      <w:proofErr w:type="spellStart"/>
      <w:r w:rsidR="00A07E3E" w:rsidRPr="00E05E75">
        <w:rPr>
          <w:bCs/>
          <w:sz w:val="20"/>
          <w:szCs w:val="20"/>
        </w:rPr>
        <w:t>Proteoglycans</w:t>
      </w:r>
      <w:proofErr w:type="spellEnd"/>
      <w:r w:rsidR="00A07E3E" w:rsidRPr="00E05E75">
        <w:rPr>
          <w:bCs/>
          <w:sz w:val="20"/>
          <w:szCs w:val="20"/>
        </w:rPr>
        <w:t xml:space="preserve"> in Cancer Treatment,</w:t>
      </w:r>
      <w:r w:rsidR="00E05E75">
        <w:rPr>
          <w:sz w:val="20"/>
          <w:szCs w:val="20"/>
        </w:rPr>
        <w:t xml:space="preserve"> </w:t>
      </w:r>
      <w:r w:rsidR="00A07E3E" w:rsidRPr="00E05E75">
        <w:rPr>
          <w:bCs/>
          <w:i/>
          <w:sz w:val="20"/>
          <w:szCs w:val="20"/>
        </w:rPr>
        <w:t>Alternative Medicine Review</w:t>
      </w:r>
      <w:proofErr w:type="gramStart"/>
      <w:r w:rsidR="00E05E75">
        <w:rPr>
          <w:bCs/>
          <w:sz w:val="20"/>
          <w:szCs w:val="20"/>
        </w:rPr>
        <w:t>,</w:t>
      </w:r>
      <w:r w:rsidR="00A07E3E" w:rsidRPr="00E05E75">
        <w:rPr>
          <w:bCs/>
          <w:sz w:val="20"/>
          <w:szCs w:val="20"/>
        </w:rPr>
        <w:t>2000</w:t>
      </w:r>
      <w:proofErr w:type="gramEnd"/>
      <w:r w:rsidR="00A07E3E" w:rsidRPr="00E05E75">
        <w:rPr>
          <w:bCs/>
          <w:sz w:val="20"/>
          <w:szCs w:val="20"/>
        </w:rPr>
        <w:t>;</w:t>
      </w:r>
      <w:r w:rsidR="00A07E3E" w:rsidRPr="00E05E75">
        <w:rPr>
          <w:sz w:val="20"/>
          <w:szCs w:val="20"/>
        </w:rPr>
        <w:t xml:space="preserve"> 5</w:t>
      </w:r>
      <w:r w:rsidR="00E05E75">
        <w:rPr>
          <w:sz w:val="20"/>
          <w:szCs w:val="20"/>
        </w:rPr>
        <w:t>(</w:t>
      </w:r>
      <w:r w:rsidR="00A07E3E" w:rsidRPr="00E05E75">
        <w:rPr>
          <w:sz w:val="20"/>
          <w:szCs w:val="20"/>
        </w:rPr>
        <w:t>1) :4-27</w:t>
      </w:r>
      <w:r w:rsidR="00E05E75">
        <w:rPr>
          <w:sz w:val="20"/>
          <w:szCs w:val="20"/>
        </w:rPr>
        <w:t>.</w:t>
      </w:r>
    </w:p>
    <w:p w:rsidR="007B6A0C" w:rsidRPr="00E05E75" w:rsidRDefault="007B6A0C" w:rsidP="00600A78">
      <w:pPr>
        <w:numPr>
          <w:ilvl w:val="0"/>
          <w:numId w:val="7"/>
        </w:numPr>
        <w:autoSpaceDE w:val="0"/>
        <w:autoSpaceDN w:val="0"/>
        <w:adjustRightInd w:val="0"/>
        <w:snapToGrid w:val="0"/>
        <w:jc w:val="both"/>
        <w:rPr>
          <w:sz w:val="20"/>
          <w:szCs w:val="20"/>
        </w:rPr>
      </w:pPr>
      <w:proofErr w:type="spellStart"/>
      <w:r w:rsidRPr="00E05E75">
        <w:rPr>
          <w:sz w:val="20"/>
          <w:szCs w:val="20"/>
        </w:rPr>
        <w:t>P</w:t>
      </w:r>
      <w:r w:rsidR="00A07E3E" w:rsidRPr="00E05E75">
        <w:rPr>
          <w:sz w:val="20"/>
          <w:szCs w:val="20"/>
        </w:rPr>
        <w:t>rabu</w:t>
      </w:r>
      <w:proofErr w:type="spellEnd"/>
      <w:r w:rsidR="00A07E3E" w:rsidRPr="00E05E75">
        <w:rPr>
          <w:sz w:val="20"/>
          <w:szCs w:val="20"/>
        </w:rPr>
        <w:t xml:space="preserve"> M </w:t>
      </w:r>
      <w:r w:rsidR="00A07E3E" w:rsidRPr="00E05E75">
        <w:rPr>
          <w:bCs/>
          <w:sz w:val="20"/>
          <w:szCs w:val="20"/>
        </w:rPr>
        <w:t xml:space="preserve">and </w:t>
      </w:r>
      <w:proofErr w:type="spellStart"/>
      <w:r w:rsidR="00A07E3E" w:rsidRPr="00E05E75">
        <w:rPr>
          <w:bCs/>
          <w:sz w:val="20"/>
          <w:szCs w:val="20"/>
        </w:rPr>
        <w:t>Kumuthakalavalli</w:t>
      </w:r>
      <w:proofErr w:type="spellEnd"/>
      <w:r w:rsidR="00A07E3E" w:rsidRPr="00E05E75">
        <w:rPr>
          <w:b/>
          <w:bCs/>
          <w:sz w:val="20"/>
          <w:szCs w:val="20"/>
        </w:rPr>
        <w:t xml:space="preserve"> </w:t>
      </w:r>
      <w:r w:rsidR="00A07E3E" w:rsidRPr="00E05E75">
        <w:rPr>
          <w:bCs/>
          <w:sz w:val="20"/>
          <w:szCs w:val="20"/>
        </w:rPr>
        <w:t>R</w:t>
      </w:r>
      <w:r w:rsidR="00E05E75">
        <w:rPr>
          <w:b/>
          <w:bCs/>
          <w:sz w:val="20"/>
          <w:szCs w:val="20"/>
        </w:rPr>
        <w:t>,</w:t>
      </w:r>
      <w:r w:rsidR="00A07E3E" w:rsidRPr="00E05E75">
        <w:rPr>
          <w:b/>
          <w:bCs/>
          <w:sz w:val="20"/>
          <w:szCs w:val="20"/>
        </w:rPr>
        <w:t xml:space="preserve"> </w:t>
      </w:r>
      <w:r w:rsidR="00A07E3E" w:rsidRPr="00E05E75">
        <w:rPr>
          <w:bCs/>
          <w:i/>
          <w:iCs/>
          <w:sz w:val="20"/>
          <w:szCs w:val="20"/>
        </w:rPr>
        <w:t xml:space="preserve">in vitro </w:t>
      </w:r>
      <w:r w:rsidR="00A07E3E" w:rsidRPr="00E05E75">
        <w:rPr>
          <w:bCs/>
          <w:sz w:val="20"/>
          <w:szCs w:val="20"/>
        </w:rPr>
        <w:t xml:space="preserve">and </w:t>
      </w:r>
      <w:r w:rsidR="00A07E3E" w:rsidRPr="00E05E75">
        <w:rPr>
          <w:bCs/>
          <w:i/>
          <w:iCs/>
          <w:sz w:val="20"/>
          <w:szCs w:val="20"/>
        </w:rPr>
        <w:t xml:space="preserve">in vivo </w:t>
      </w:r>
      <w:proofErr w:type="spellStart"/>
      <w:r w:rsidR="00A07E3E" w:rsidRPr="00E05E75">
        <w:rPr>
          <w:bCs/>
          <w:sz w:val="20"/>
          <w:szCs w:val="20"/>
        </w:rPr>
        <w:t>antiinflammatory</w:t>
      </w:r>
      <w:proofErr w:type="spellEnd"/>
      <w:r w:rsidR="00A07E3E" w:rsidRPr="00E05E75">
        <w:rPr>
          <w:bCs/>
          <w:sz w:val="20"/>
          <w:szCs w:val="20"/>
        </w:rPr>
        <w:t xml:space="preserve"> activity of the </w:t>
      </w:r>
      <w:proofErr w:type="spellStart"/>
      <w:r w:rsidR="00A07E3E" w:rsidRPr="00E05E75">
        <w:rPr>
          <w:bCs/>
          <w:sz w:val="20"/>
          <w:szCs w:val="20"/>
        </w:rPr>
        <w:t>methanolic</w:t>
      </w:r>
      <w:proofErr w:type="spellEnd"/>
      <w:r w:rsidR="00A07E3E" w:rsidRPr="00E05E75">
        <w:rPr>
          <w:bCs/>
          <w:sz w:val="20"/>
          <w:szCs w:val="20"/>
        </w:rPr>
        <w:t xml:space="preserve"> extract of </w:t>
      </w:r>
      <w:proofErr w:type="spellStart"/>
      <w:r w:rsidR="00A07E3E" w:rsidRPr="00E05E75">
        <w:rPr>
          <w:bCs/>
          <w:i/>
          <w:iCs/>
          <w:sz w:val="20"/>
          <w:szCs w:val="20"/>
        </w:rPr>
        <w:t>calocybe</w:t>
      </w:r>
      <w:proofErr w:type="spellEnd"/>
      <w:r w:rsidR="00A07E3E" w:rsidRPr="00E05E75">
        <w:rPr>
          <w:bCs/>
          <w:i/>
          <w:iCs/>
          <w:sz w:val="20"/>
          <w:szCs w:val="20"/>
        </w:rPr>
        <w:t xml:space="preserve"> </w:t>
      </w:r>
      <w:proofErr w:type="spellStart"/>
      <w:r w:rsidR="00A07E3E" w:rsidRPr="00E05E75">
        <w:rPr>
          <w:bCs/>
          <w:i/>
          <w:iCs/>
          <w:sz w:val="20"/>
          <w:szCs w:val="20"/>
        </w:rPr>
        <w:t>indica</w:t>
      </w:r>
      <w:proofErr w:type="spellEnd"/>
      <w:r w:rsidR="00A07E3E" w:rsidRPr="00E05E75">
        <w:rPr>
          <w:bCs/>
          <w:i/>
          <w:iCs/>
          <w:sz w:val="20"/>
          <w:szCs w:val="20"/>
        </w:rPr>
        <w:t xml:space="preserve"> </w:t>
      </w:r>
      <w:proofErr w:type="spellStart"/>
      <w:r w:rsidR="00A07E3E" w:rsidRPr="00E05E75">
        <w:rPr>
          <w:bCs/>
          <w:sz w:val="20"/>
          <w:szCs w:val="20"/>
        </w:rPr>
        <w:t>p.&amp;c</w:t>
      </w:r>
      <w:proofErr w:type="spellEnd"/>
      <w:r w:rsidR="00A07E3E" w:rsidRPr="00E05E75">
        <w:rPr>
          <w:bCs/>
          <w:sz w:val="20"/>
          <w:szCs w:val="20"/>
        </w:rPr>
        <w:t>.</w:t>
      </w:r>
      <w:r w:rsidR="00A07E3E" w:rsidRPr="00E05E75">
        <w:rPr>
          <w:b/>
          <w:bCs/>
          <w:sz w:val="20"/>
          <w:szCs w:val="20"/>
        </w:rPr>
        <w:t xml:space="preserve"> </w:t>
      </w:r>
      <w:r w:rsidR="00A07E3E" w:rsidRPr="00E05E75">
        <w:rPr>
          <w:bCs/>
          <w:sz w:val="20"/>
          <w:szCs w:val="20"/>
        </w:rPr>
        <w:t xml:space="preserve">World j of </w:t>
      </w:r>
      <w:proofErr w:type="spellStart"/>
      <w:r w:rsidR="00A07E3E" w:rsidRPr="00E05E75">
        <w:rPr>
          <w:bCs/>
          <w:sz w:val="20"/>
          <w:szCs w:val="20"/>
        </w:rPr>
        <w:t>phar</w:t>
      </w:r>
      <w:proofErr w:type="spellEnd"/>
      <w:r w:rsidR="00A07E3E" w:rsidRPr="00E05E75">
        <w:rPr>
          <w:bCs/>
          <w:sz w:val="20"/>
          <w:szCs w:val="20"/>
        </w:rPr>
        <w:t xml:space="preserve"> and </w:t>
      </w:r>
      <w:proofErr w:type="spellStart"/>
      <w:r w:rsidR="00A07E3E" w:rsidRPr="00E05E75">
        <w:rPr>
          <w:bCs/>
          <w:sz w:val="20"/>
          <w:szCs w:val="20"/>
        </w:rPr>
        <w:t>pharma</w:t>
      </w:r>
      <w:proofErr w:type="spellEnd"/>
      <w:r w:rsidR="00A07E3E" w:rsidRPr="00E05E75">
        <w:rPr>
          <w:bCs/>
          <w:sz w:val="20"/>
          <w:szCs w:val="20"/>
        </w:rPr>
        <w:t xml:space="preserve"> sciences 2014;3(5):776-783.</w:t>
      </w:r>
    </w:p>
    <w:p w:rsidR="007B6A0C" w:rsidRPr="00E05E75" w:rsidRDefault="007B6A0C" w:rsidP="00600A78">
      <w:pPr>
        <w:numPr>
          <w:ilvl w:val="0"/>
          <w:numId w:val="7"/>
        </w:numPr>
        <w:autoSpaceDE w:val="0"/>
        <w:autoSpaceDN w:val="0"/>
        <w:adjustRightInd w:val="0"/>
        <w:snapToGrid w:val="0"/>
        <w:jc w:val="both"/>
        <w:rPr>
          <w:sz w:val="20"/>
          <w:szCs w:val="20"/>
        </w:rPr>
      </w:pPr>
      <w:proofErr w:type="spellStart"/>
      <w:r w:rsidRPr="00E05E75">
        <w:rPr>
          <w:sz w:val="20"/>
          <w:szCs w:val="20"/>
        </w:rPr>
        <w:t>V</w:t>
      </w:r>
      <w:r w:rsidR="00A07E3E" w:rsidRPr="00E05E75">
        <w:rPr>
          <w:sz w:val="20"/>
          <w:szCs w:val="20"/>
        </w:rPr>
        <w:t>irag</w:t>
      </w:r>
      <w:proofErr w:type="spellEnd"/>
      <w:r w:rsidR="00A07E3E" w:rsidRPr="00E05E75">
        <w:rPr>
          <w:sz w:val="20"/>
          <w:szCs w:val="20"/>
        </w:rPr>
        <w:t xml:space="preserve"> P, Brie I, </w:t>
      </w:r>
      <w:proofErr w:type="spellStart"/>
      <w:r w:rsidR="00A07E3E" w:rsidRPr="00E05E75">
        <w:rPr>
          <w:sz w:val="20"/>
          <w:szCs w:val="20"/>
        </w:rPr>
        <w:t>Postescu</w:t>
      </w:r>
      <w:proofErr w:type="spellEnd"/>
      <w:r w:rsidR="00A07E3E" w:rsidRPr="00E05E75">
        <w:rPr>
          <w:sz w:val="20"/>
          <w:szCs w:val="20"/>
        </w:rPr>
        <w:t xml:space="preserve"> ID, </w:t>
      </w:r>
      <w:proofErr w:type="spellStart"/>
      <w:r w:rsidR="00A07E3E" w:rsidRPr="00E05E75">
        <w:rPr>
          <w:sz w:val="20"/>
          <w:szCs w:val="20"/>
        </w:rPr>
        <w:t>Perde-Schrepler</w:t>
      </w:r>
      <w:proofErr w:type="spellEnd"/>
      <w:r w:rsidR="00A07E3E" w:rsidRPr="00E05E75">
        <w:rPr>
          <w:sz w:val="20"/>
          <w:szCs w:val="20"/>
        </w:rPr>
        <w:t xml:space="preserve"> M, Fischer-Fodor E, </w:t>
      </w:r>
      <w:proofErr w:type="gramStart"/>
      <w:r w:rsidR="00A07E3E" w:rsidRPr="00E05E75">
        <w:rPr>
          <w:sz w:val="20"/>
          <w:szCs w:val="20"/>
        </w:rPr>
        <w:t>et</w:t>
      </w:r>
      <w:proofErr w:type="gramEnd"/>
      <w:r w:rsidR="00A07E3E" w:rsidRPr="00E05E75">
        <w:rPr>
          <w:sz w:val="20"/>
          <w:szCs w:val="20"/>
        </w:rPr>
        <w:t xml:space="preserve"> </w:t>
      </w:r>
      <w:proofErr w:type="spellStart"/>
      <w:r w:rsidR="00A07E3E" w:rsidRPr="00E05E75">
        <w:rPr>
          <w:sz w:val="20"/>
          <w:szCs w:val="20"/>
        </w:rPr>
        <w:t>al.Comparative</w:t>
      </w:r>
      <w:proofErr w:type="spellEnd"/>
      <w:r w:rsidR="00A07E3E" w:rsidRPr="00E05E75">
        <w:rPr>
          <w:sz w:val="20"/>
          <w:szCs w:val="20"/>
        </w:rPr>
        <w:t xml:space="preserve"> study of two evaluation methods for the </w:t>
      </w:r>
      <w:proofErr w:type="spellStart"/>
      <w:r w:rsidR="00A07E3E" w:rsidRPr="00E05E75">
        <w:rPr>
          <w:sz w:val="20"/>
          <w:szCs w:val="20"/>
        </w:rPr>
        <w:t>genotoxic</w:t>
      </w:r>
      <w:proofErr w:type="spellEnd"/>
      <w:r w:rsidR="00A07E3E" w:rsidRPr="00E05E75">
        <w:rPr>
          <w:sz w:val="20"/>
          <w:szCs w:val="20"/>
        </w:rPr>
        <w:t xml:space="preserve"> effects </w:t>
      </w:r>
      <w:proofErr w:type="spellStart"/>
      <w:r w:rsidR="00A07E3E" w:rsidRPr="00E05E75">
        <w:rPr>
          <w:sz w:val="20"/>
          <w:szCs w:val="20"/>
        </w:rPr>
        <w:t>ofenvironmental</w:t>
      </w:r>
      <w:proofErr w:type="spellEnd"/>
      <w:r w:rsidR="00A07E3E" w:rsidRPr="00E05E75">
        <w:rPr>
          <w:sz w:val="20"/>
          <w:szCs w:val="20"/>
        </w:rPr>
        <w:t xml:space="preserve"> heavy metals on normal cells. </w:t>
      </w:r>
      <w:proofErr w:type="spellStart"/>
      <w:r w:rsidR="00A07E3E" w:rsidRPr="00E05E75">
        <w:rPr>
          <w:i/>
          <w:sz w:val="20"/>
          <w:szCs w:val="20"/>
        </w:rPr>
        <w:t>Toxicol</w:t>
      </w:r>
      <w:proofErr w:type="spellEnd"/>
      <w:r w:rsidR="00A07E3E" w:rsidRPr="00E05E75">
        <w:rPr>
          <w:i/>
          <w:sz w:val="20"/>
          <w:szCs w:val="20"/>
        </w:rPr>
        <w:t xml:space="preserve"> </w:t>
      </w:r>
      <w:proofErr w:type="spellStart"/>
      <w:r w:rsidR="00A07E3E" w:rsidRPr="00E05E75">
        <w:rPr>
          <w:i/>
          <w:sz w:val="20"/>
          <w:szCs w:val="20"/>
        </w:rPr>
        <w:t>Ind</w:t>
      </w:r>
      <w:proofErr w:type="spellEnd"/>
      <w:r w:rsidR="00A07E3E" w:rsidRPr="00E05E75">
        <w:rPr>
          <w:i/>
          <w:sz w:val="20"/>
          <w:szCs w:val="20"/>
        </w:rPr>
        <w:t xml:space="preserve"> Health</w:t>
      </w:r>
      <w:r w:rsidR="00A07E3E" w:rsidRPr="00E05E75">
        <w:rPr>
          <w:sz w:val="20"/>
          <w:szCs w:val="20"/>
        </w:rPr>
        <w:t xml:space="preserve"> 2009</w:t>
      </w:r>
      <w:proofErr w:type="gramStart"/>
      <w:r w:rsidR="00A07E3E" w:rsidRPr="00E05E75">
        <w:rPr>
          <w:sz w:val="20"/>
          <w:szCs w:val="20"/>
        </w:rPr>
        <w:t>;25</w:t>
      </w:r>
      <w:proofErr w:type="gramEnd"/>
      <w:r w:rsidR="00A07E3E" w:rsidRPr="00E05E75">
        <w:rPr>
          <w:sz w:val="20"/>
          <w:szCs w:val="20"/>
        </w:rPr>
        <w:t>: 253–258.</w:t>
      </w:r>
    </w:p>
    <w:p w:rsidR="007B6A0C" w:rsidRPr="00E05E75" w:rsidRDefault="007B6A0C" w:rsidP="00600A78">
      <w:pPr>
        <w:numPr>
          <w:ilvl w:val="0"/>
          <w:numId w:val="7"/>
        </w:numPr>
        <w:autoSpaceDE w:val="0"/>
        <w:autoSpaceDN w:val="0"/>
        <w:adjustRightInd w:val="0"/>
        <w:snapToGrid w:val="0"/>
        <w:jc w:val="both"/>
        <w:rPr>
          <w:sz w:val="20"/>
          <w:szCs w:val="20"/>
        </w:rPr>
      </w:pPr>
      <w:proofErr w:type="spellStart"/>
      <w:r w:rsidRPr="00E05E75">
        <w:rPr>
          <w:sz w:val="20"/>
          <w:szCs w:val="20"/>
        </w:rPr>
        <w:t>V</w:t>
      </w:r>
      <w:r w:rsidR="00A07E3E" w:rsidRPr="00E05E75">
        <w:rPr>
          <w:sz w:val="20"/>
          <w:szCs w:val="20"/>
        </w:rPr>
        <w:t>orauer</w:t>
      </w:r>
      <w:proofErr w:type="spellEnd"/>
      <w:r w:rsidR="00A07E3E" w:rsidRPr="00E05E75">
        <w:rPr>
          <w:sz w:val="20"/>
          <w:szCs w:val="20"/>
        </w:rPr>
        <w:t xml:space="preserve"> K, </w:t>
      </w:r>
      <w:proofErr w:type="spellStart"/>
      <w:r w:rsidR="00A07E3E" w:rsidRPr="00E05E75">
        <w:rPr>
          <w:sz w:val="20"/>
          <w:szCs w:val="20"/>
        </w:rPr>
        <w:t>Steindl</w:t>
      </w:r>
      <w:proofErr w:type="spellEnd"/>
      <w:r w:rsidR="00A07E3E" w:rsidRPr="00E05E75">
        <w:rPr>
          <w:sz w:val="20"/>
          <w:szCs w:val="20"/>
        </w:rPr>
        <w:t xml:space="preserve"> F, </w:t>
      </w:r>
      <w:proofErr w:type="spellStart"/>
      <w:r w:rsidR="00A07E3E" w:rsidRPr="00E05E75">
        <w:rPr>
          <w:sz w:val="20"/>
          <w:szCs w:val="20"/>
        </w:rPr>
        <w:t>Jungbauer</w:t>
      </w:r>
      <w:proofErr w:type="spellEnd"/>
      <w:r w:rsidR="00A07E3E" w:rsidRPr="00E05E75">
        <w:rPr>
          <w:sz w:val="20"/>
          <w:szCs w:val="20"/>
        </w:rPr>
        <w:t xml:space="preserve"> A, Hahn R, </w:t>
      </w:r>
      <w:proofErr w:type="spellStart"/>
      <w:r w:rsidR="00A07E3E" w:rsidRPr="00E05E75">
        <w:rPr>
          <w:sz w:val="20"/>
          <w:szCs w:val="20"/>
        </w:rPr>
        <w:t>Katinger</w:t>
      </w:r>
      <w:proofErr w:type="spellEnd"/>
      <w:r w:rsidR="00A07E3E" w:rsidRPr="00E05E75">
        <w:rPr>
          <w:sz w:val="20"/>
          <w:szCs w:val="20"/>
        </w:rPr>
        <w:t xml:space="preserve"> H.</w:t>
      </w:r>
      <w:r w:rsidR="00E05E75">
        <w:rPr>
          <w:sz w:val="20"/>
          <w:szCs w:val="20"/>
        </w:rPr>
        <w:t xml:space="preserve"> </w:t>
      </w:r>
      <w:r w:rsidR="00A07E3E" w:rsidRPr="00E05E75">
        <w:rPr>
          <w:sz w:val="20"/>
          <w:szCs w:val="20"/>
        </w:rPr>
        <w:t xml:space="preserve">Cytokine activity assay by means of proliferation measured in plane convex </w:t>
      </w:r>
      <w:proofErr w:type="spellStart"/>
      <w:r w:rsidR="00A07E3E" w:rsidRPr="00E05E75">
        <w:rPr>
          <w:sz w:val="20"/>
          <w:szCs w:val="20"/>
        </w:rPr>
        <w:t>microtiter</w:t>
      </w:r>
      <w:proofErr w:type="spellEnd"/>
      <w:r w:rsidR="00A07E3E" w:rsidRPr="00E05E75">
        <w:rPr>
          <w:sz w:val="20"/>
          <w:szCs w:val="20"/>
        </w:rPr>
        <w:t xml:space="preserve"> wells. </w:t>
      </w:r>
      <w:r w:rsidR="00A07E3E" w:rsidRPr="00E05E75">
        <w:rPr>
          <w:i/>
          <w:sz w:val="20"/>
          <w:szCs w:val="20"/>
        </w:rPr>
        <w:t xml:space="preserve">J </w:t>
      </w:r>
      <w:proofErr w:type="spellStart"/>
      <w:r w:rsidR="00A07E3E" w:rsidRPr="00E05E75">
        <w:rPr>
          <w:i/>
          <w:sz w:val="20"/>
          <w:szCs w:val="20"/>
        </w:rPr>
        <w:t>Biochem</w:t>
      </w:r>
      <w:proofErr w:type="spellEnd"/>
      <w:r w:rsidR="00A07E3E" w:rsidRPr="00E05E75">
        <w:rPr>
          <w:i/>
          <w:sz w:val="20"/>
          <w:szCs w:val="20"/>
        </w:rPr>
        <w:t xml:space="preserve"> </w:t>
      </w:r>
      <w:proofErr w:type="spellStart"/>
      <w:r w:rsidR="00A07E3E" w:rsidRPr="00E05E75">
        <w:rPr>
          <w:i/>
          <w:sz w:val="20"/>
          <w:szCs w:val="20"/>
        </w:rPr>
        <w:t>Biophys</w:t>
      </w:r>
      <w:proofErr w:type="spellEnd"/>
      <w:r w:rsidR="00A07E3E" w:rsidRPr="00E05E75">
        <w:rPr>
          <w:i/>
          <w:sz w:val="20"/>
          <w:szCs w:val="20"/>
        </w:rPr>
        <w:t xml:space="preserve"> Methods</w:t>
      </w:r>
      <w:r w:rsidR="00A07E3E" w:rsidRPr="00E05E75">
        <w:rPr>
          <w:sz w:val="20"/>
          <w:szCs w:val="20"/>
        </w:rPr>
        <w:t xml:space="preserve"> 1996</w:t>
      </w:r>
      <w:proofErr w:type="gramStart"/>
      <w:r w:rsidR="00A07E3E" w:rsidRPr="00E05E75">
        <w:rPr>
          <w:sz w:val="20"/>
          <w:szCs w:val="20"/>
        </w:rPr>
        <w:t>;32</w:t>
      </w:r>
      <w:proofErr w:type="gramEnd"/>
      <w:r w:rsidR="00A07E3E" w:rsidRPr="00E05E75">
        <w:rPr>
          <w:sz w:val="20"/>
          <w:szCs w:val="20"/>
        </w:rPr>
        <w:t>: 85–96.</w:t>
      </w:r>
    </w:p>
    <w:p w:rsidR="007B6A0C" w:rsidRPr="00C34190" w:rsidRDefault="007B6A0C" w:rsidP="007B6A0C">
      <w:pPr>
        <w:pStyle w:val="NoSpacing"/>
        <w:numPr>
          <w:ilvl w:val="0"/>
          <w:numId w:val="7"/>
        </w:numPr>
        <w:snapToGrid w:val="0"/>
        <w:ind w:left="425" w:hanging="425"/>
        <w:jc w:val="both"/>
        <w:rPr>
          <w:sz w:val="20"/>
          <w:szCs w:val="20"/>
        </w:rPr>
      </w:pPr>
      <w:proofErr w:type="spellStart"/>
      <w:r w:rsidRPr="00C34190">
        <w:rPr>
          <w:rFonts w:ascii="Times New Roman" w:hAnsi="Times New Roman"/>
          <w:sz w:val="20"/>
          <w:szCs w:val="20"/>
        </w:rPr>
        <w:t>W</w:t>
      </w:r>
      <w:r w:rsidR="00A07E3E" w:rsidRPr="00C34190">
        <w:rPr>
          <w:rFonts w:ascii="Times New Roman" w:hAnsi="Times New Roman"/>
          <w:sz w:val="20"/>
          <w:szCs w:val="20"/>
        </w:rPr>
        <w:t>asser</w:t>
      </w:r>
      <w:proofErr w:type="spellEnd"/>
      <w:r w:rsidR="00A07E3E" w:rsidRPr="00C34190">
        <w:rPr>
          <w:rFonts w:ascii="Times New Roman" w:hAnsi="Times New Roman"/>
          <w:sz w:val="20"/>
          <w:szCs w:val="20"/>
        </w:rPr>
        <w:t xml:space="preserve"> SP. Medicinal mushrooms as source of antitumor and </w:t>
      </w:r>
      <w:proofErr w:type="spellStart"/>
      <w:r w:rsidR="00A07E3E" w:rsidRPr="00C34190">
        <w:rPr>
          <w:rFonts w:ascii="Times New Roman" w:hAnsi="Times New Roman"/>
          <w:sz w:val="20"/>
          <w:szCs w:val="20"/>
        </w:rPr>
        <w:t>immunomodulating</w:t>
      </w:r>
      <w:proofErr w:type="spellEnd"/>
      <w:r w:rsidR="00A07E3E" w:rsidRPr="00C34190">
        <w:rPr>
          <w:rFonts w:ascii="Times New Roman" w:hAnsi="Times New Roman"/>
          <w:sz w:val="20"/>
          <w:szCs w:val="20"/>
        </w:rPr>
        <w:t xml:space="preserve"> polysaccharides. </w:t>
      </w:r>
      <w:r w:rsidR="00A07E3E" w:rsidRPr="00C34190">
        <w:rPr>
          <w:rFonts w:ascii="Times New Roman" w:hAnsi="Times New Roman"/>
          <w:i/>
          <w:sz w:val="20"/>
          <w:szCs w:val="20"/>
        </w:rPr>
        <w:t xml:space="preserve">Appl. </w:t>
      </w:r>
      <w:proofErr w:type="spellStart"/>
      <w:r w:rsidR="00A07E3E" w:rsidRPr="00C34190">
        <w:rPr>
          <w:rFonts w:ascii="Times New Roman" w:hAnsi="Times New Roman"/>
          <w:i/>
          <w:sz w:val="20"/>
          <w:szCs w:val="20"/>
        </w:rPr>
        <w:t>Microbiol</w:t>
      </w:r>
      <w:proofErr w:type="spellEnd"/>
      <w:r w:rsidR="00A07E3E" w:rsidRPr="00C34190">
        <w:rPr>
          <w:rFonts w:ascii="Times New Roman" w:hAnsi="Times New Roman"/>
          <w:i/>
          <w:sz w:val="20"/>
          <w:szCs w:val="20"/>
        </w:rPr>
        <w:t xml:space="preserve">. </w:t>
      </w:r>
      <w:proofErr w:type="spellStart"/>
      <w:proofErr w:type="gramStart"/>
      <w:r w:rsidR="00A07E3E" w:rsidRPr="00C34190">
        <w:rPr>
          <w:rFonts w:ascii="Times New Roman" w:hAnsi="Times New Roman"/>
          <w:i/>
          <w:sz w:val="20"/>
          <w:szCs w:val="20"/>
        </w:rPr>
        <w:t>Biotechnol</w:t>
      </w:r>
      <w:proofErr w:type="spellEnd"/>
      <w:r w:rsidR="00A07E3E" w:rsidRPr="00C34190">
        <w:rPr>
          <w:rFonts w:ascii="Times New Roman" w:hAnsi="Times New Roman"/>
          <w:sz w:val="20"/>
          <w:szCs w:val="20"/>
        </w:rPr>
        <w:t>.,</w:t>
      </w:r>
      <w:proofErr w:type="gramEnd"/>
      <w:r w:rsidR="00E05E75" w:rsidRPr="00C34190">
        <w:rPr>
          <w:rFonts w:ascii="Times New Roman" w:eastAsiaTheme="minorEastAsia" w:hAnsi="Times New Roman" w:hint="eastAsia"/>
          <w:sz w:val="20"/>
          <w:szCs w:val="20"/>
          <w:lang w:eastAsia="zh-CN"/>
        </w:rPr>
        <w:t xml:space="preserve"> </w:t>
      </w:r>
      <w:r w:rsidR="00A07E3E" w:rsidRPr="00C34190">
        <w:rPr>
          <w:rFonts w:ascii="Times New Roman" w:hAnsi="Times New Roman"/>
          <w:sz w:val="20"/>
          <w:szCs w:val="20"/>
        </w:rPr>
        <w:t>2002; 60: 258-274</w:t>
      </w:r>
      <w:r w:rsidR="00B54CDA" w:rsidRPr="00C34190">
        <w:rPr>
          <w:rFonts w:ascii="Times New Roman" w:hAnsi="Times New Roman"/>
          <w:sz w:val="20"/>
          <w:szCs w:val="20"/>
        </w:rPr>
        <w:t>.</w:t>
      </w:r>
      <w:r w:rsidR="00C34190" w:rsidRPr="00C34190">
        <w:rPr>
          <w:rFonts w:ascii="Times New Roman" w:eastAsiaTheme="minorEastAsia" w:hAnsi="Times New Roman" w:hint="eastAsia"/>
          <w:sz w:val="20"/>
          <w:szCs w:val="20"/>
          <w:lang w:eastAsia="zh-CN"/>
        </w:rPr>
        <w:t xml:space="preserve"> </w:t>
      </w:r>
    </w:p>
    <w:p w:rsidR="007B6A0C" w:rsidRPr="00E05E75" w:rsidRDefault="007B6A0C" w:rsidP="007B6A0C">
      <w:pPr>
        <w:snapToGrid w:val="0"/>
        <w:ind w:left="425" w:hanging="425"/>
        <w:jc w:val="both"/>
        <w:rPr>
          <w:sz w:val="20"/>
          <w:szCs w:val="20"/>
        </w:rPr>
        <w:sectPr w:rsidR="007B6A0C" w:rsidRPr="00E05E75" w:rsidSect="00E05E75">
          <w:footnotePr>
            <w:pos w:val="beneathText"/>
          </w:footnotePr>
          <w:type w:val="continuous"/>
          <w:pgSz w:w="12240" w:h="15840" w:code="1"/>
          <w:pgMar w:top="1440" w:right="1440" w:bottom="1440" w:left="1440" w:header="720" w:footer="720" w:gutter="0"/>
          <w:cols w:num="2" w:space="576"/>
          <w:docGrid w:linePitch="360"/>
        </w:sectPr>
      </w:pPr>
    </w:p>
    <w:p w:rsidR="004D0467" w:rsidRPr="00E05E75" w:rsidRDefault="004D0467" w:rsidP="007B6A0C">
      <w:pPr>
        <w:snapToGrid w:val="0"/>
        <w:ind w:left="425" w:hanging="425"/>
        <w:jc w:val="both"/>
        <w:rPr>
          <w:sz w:val="20"/>
          <w:szCs w:val="20"/>
        </w:rPr>
      </w:pPr>
    </w:p>
    <w:p w:rsidR="00340515" w:rsidRPr="00E05E75" w:rsidRDefault="00340515" w:rsidP="007B6A0C">
      <w:pPr>
        <w:snapToGrid w:val="0"/>
        <w:ind w:left="425" w:hanging="425"/>
        <w:jc w:val="both"/>
        <w:rPr>
          <w:sz w:val="20"/>
          <w:szCs w:val="20"/>
          <w:lang w:eastAsia="zh-CN"/>
        </w:rPr>
      </w:pPr>
    </w:p>
    <w:p w:rsidR="005236DB" w:rsidRPr="00E05E75" w:rsidRDefault="005236DB" w:rsidP="007B6A0C">
      <w:pPr>
        <w:snapToGrid w:val="0"/>
        <w:ind w:left="425" w:hanging="425"/>
        <w:jc w:val="both"/>
        <w:rPr>
          <w:sz w:val="20"/>
          <w:szCs w:val="20"/>
        </w:rPr>
      </w:pPr>
    </w:p>
    <w:p w:rsidR="003C4738" w:rsidRPr="00E05E75" w:rsidRDefault="005236DB" w:rsidP="007B6A0C">
      <w:pPr>
        <w:snapToGrid w:val="0"/>
        <w:ind w:left="425" w:hanging="425"/>
        <w:jc w:val="both"/>
        <w:rPr>
          <w:sz w:val="20"/>
          <w:szCs w:val="20"/>
        </w:rPr>
      </w:pPr>
      <w:r w:rsidRPr="00E05E75">
        <w:rPr>
          <w:sz w:val="20"/>
          <w:szCs w:val="20"/>
        </w:rPr>
        <w:t>4/2</w:t>
      </w:r>
      <w:r w:rsidR="007B6A0C" w:rsidRPr="00E05E75">
        <w:rPr>
          <w:rFonts w:hint="eastAsia"/>
          <w:sz w:val="20"/>
          <w:szCs w:val="20"/>
          <w:lang w:eastAsia="zh-CN"/>
        </w:rPr>
        <w:t>7/</w:t>
      </w:r>
      <w:r w:rsidRPr="00E05E75">
        <w:rPr>
          <w:sz w:val="20"/>
          <w:szCs w:val="20"/>
        </w:rPr>
        <w:t>015</w:t>
      </w:r>
    </w:p>
    <w:sectPr w:rsidR="003C4738" w:rsidRPr="00E05E75" w:rsidSect="00DD4C68">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A65" w:rsidRDefault="00732A65">
      <w:r>
        <w:separator/>
      </w:r>
    </w:p>
  </w:endnote>
  <w:endnote w:type="continuationSeparator" w:id="0">
    <w:p w:rsidR="00732A65" w:rsidRDefault="00732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dvTT3713a231+2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0C" w:rsidRDefault="00873DB4" w:rsidP="00B3167C">
    <w:pPr>
      <w:pStyle w:val="Footer"/>
      <w:framePr w:wrap="around" w:vAnchor="text" w:hAnchor="margin" w:xAlign="center" w:y="1"/>
      <w:rPr>
        <w:rStyle w:val="PageNumber"/>
      </w:rPr>
    </w:pPr>
    <w:r>
      <w:rPr>
        <w:rStyle w:val="PageNumber"/>
      </w:rPr>
      <w:fldChar w:fldCharType="begin"/>
    </w:r>
    <w:r w:rsidR="007B6A0C">
      <w:rPr>
        <w:rStyle w:val="PageNumber"/>
      </w:rPr>
      <w:instrText xml:space="preserve">PAGE  </w:instrText>
    </w:r>
    <w:r>
      <w:rPr>
        <w:rStyle w:val="PageNumber"/>
      </w:rPr>
      <w:fldChar w:fldCharType="end"/>
    </w:r>
  </w:p>
  <w:p w:rsidR="007B6A0C" w:rsidRDefault="007B6A0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0C" w:rsidRPr="005236DB" w:rsidRDefault="00873DB4" w:rsidP="005236DB">
    <w:pPr>
      <w:jc w:val="center"/>
      <w:rPr>
        <w:sz w:val="20"/>
      </w:rPr>
    </w:pPr>
    <w:r w:rsidRPr="005236DB">
      <w:rPr>
        <w:sz w:val="20"/>
      </w:rPr>
      <w:fldChar w:fldCharType="begin"/>
    </w:r>
    <w:r w:rsidR="007B6A0C" w:rsidRPr="005236DB">
      <w:rPr>
        <w:sz w:val="20"/>
      </w:rPr>
      <w:instrText xml:space="preserve"> page </w:instrText>
    </w:r>
    <w:r w:rsidRPr="005236DB">
      <w:rPr>
        <w:sz w:val="20"/>
      </w:rPr>
      <w:fldChar w:fldCharType="separate"/>
    </w:r>
    <w:r w:rsidR="007B1A99">
      <w:rPr>
        <w:noProof/>
        <w:sz w:val="20"/>
      </w:rPr>
      <w:t>10</w:t>
    </w:r>
    <w:r w:rsidRPr="005236DB">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0C" w:rsidRDefault="00873DB4" w:rsidP="00B3167C">
    <w:pPr>
      <w:pStyle w:val="Footer"/>
      <w:framePr w:wrap="around" w:vAnchor="text" w:hAnchor="margin" w:xAlign="center" w:y="1"/>
      <w:rPr>
        <w:rStyle w:val="PageNumber"/>
      </w:rPr>
    </w:pPr>
    <w:r>
      <w:rPr>
        <w:rStyle w:val="PageNumber"/>
      </w:rPr>
      <w:fldChar w:fldCharType="begin"/>
    </w:r>
    <w:r w:rsidR="007B6A0C">
      <w:rPr>
        <w:rStyle w:val="PageNumber"/>
      </w:rPr>
      <w:instrText xml:space="preserve">PAGE  </w:instrText>
    </w:r>
    <w:r>
      <w:rPr>
        <w:rStyle w:val="PageNumber"/>
      </w:rPr>
      <w:fldChar w:fldCharType="end"/>
    </w:r>
  </w:p>
  <w:p w:rsidR="007B6A0C" w:rsidRDefault="007B6A0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0C" w:rsidRPr="005236DB" w:rsidRDefault="00873DB4" w:rsidP="005236DB">
    <w:pPr>
      <w:jc w:val="center"/>
      <w:rPr>
        <w:sz w:val="20"/>
      </w:rPr>
    </w:pPr>
    <w:r w:rsidRPr="005236DB">
      <w:rPr>
        <w:sz w:val="20"/>
      </w:rPr>
      <w:fldChar w:fldCharType="begin"/>
    </w:r>
    <w:r w:rsidR="007B6A0C" w:rsidRPr="005236DB">
      <w:rPr>
        <w:sz w:val="20"/>
      </w:rPr>
      <w:instrText xml:space="preserve"> page </w:instrText>
    </w:r>
    <w:r w:rsidRPr="005236DB">
      <w:rPr>
        <w:sz w:val="20"/>
      </w:rPr>
      <w:fldChar w:fldCharType="separate"/>
    </w:r>
    <w:r w:rsidR="007B1A99">
      <w:rPr>
        <w:noProof/>
        <w:sz w:val="20"/>
      </w:rPr>
      <w:t>11</w:t>
    </w:r>
    <w:r w:rsidRPr="005236DB">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5EE" w:rsidRDefault="00873DB4" w:rsidP="00B3167C">
    <w:pPr>
      <w:pStyle w:val="Footer"/>
      <w:framePr w:wrap="around" w:vAnchor="text" w:hAnchor="margin" w:xAlign="center" w:y="1"/>
      <w:rPr>
        <w:rStyle w:val="PageNumber"/>
      </w:rPr>
    </w:pPr>
    <w:r>
      <w:rPr>
        <w:rStyle w:val="PageNumber"/>
      </w:rPr>
      <w:fldChar w:fldCharType="begin"/>
    </w:r>
    <w:r w:rsidR="00EC35EE">
      <w:rPr>
        <w:rStyle w:val="PageNumber"/>
      </w:rPr>
      <w:instrText xml:space="preserve">PAGE  </w:instrText>
    </w:r>
    <w:r>
      <w:rPr>
        <w:rStyle w:val="PageNumber"/>
      </w:rPr>
      <w:fldChar w:fldCharType="end"/>
    </w:r>
  </w:p>
  <w:p w:rsidR="00EC35EE" w:rsidRDefault="00EC35E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5EE" w:rsidRPr="005236DB" w:rsidRDefault="00873DB4" w:rsidP="005236DB">
    <w:pPr>
      <w:jc w:val="center"/>
      <w:rPr>
        <w:sz w:val="20"/>
      </w:rPr>
    </w:pPr>
    <w:r w:rsidRPr="005236DB">
      <w:rPr>
        <w:sz w:val="20"/>
      </w:rPr>
      <w:fldChar w:fldCharType="begin"/>
    </w:r>
    <w:r w:rsidR="005236DB" w:rsidRPr="005236DB">
      <w:rPr>
        <w:sz w:val="20"/>
      </w:rPr>
      <w:instrText xml:space="preserve"> page </w:instrText>
    </w:r>
    <w:r w:rsidRPr="005236DB">
      <w:rPr>
        <w:sz w:val="20"/>
      </w:rPr>
      <w:fldChar w:fldCharType="separate"/>
    </w:r>
    <w:r w:rsidR="00E05E75">
      <w:rPr>
        <w:noProof/>
        <w:sz w:val="20"/>
      </w:rPr>
      <w:t>15</w:t>
    </w:r>
    <w:r w:rsidRPr="005236D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A65" w:rsidRDefault="00732A65">
      <w:r>
        <w:separator/>
      </w:r>
    </w:p>
  </w:footnote>
  <w:footnote w:type="continuationSeparator" w:id="0">
    <w:p w:rsidR="00732A65" w:rsidRDefault="00732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0C" w:rsidRPr="005236DB" w:rsidRDefault="007B6A0C" w:rsidP="005236DB">
    <w:pPr>
      <w:pBdr>
        <w:bottom w:val="thinThickMediumGap" w:sz="12" w:space="1" w:color="auto"/>
      </w:pBdr>
      <w:tabs>
        <w:tab w:val="left" w:pos="851"/>
        <w:tab w:val="right" w:pos="8364"/>
      </w:tabs>
      <w:adjustRightInd w:val="0"/>
      <w:snapToGrid w:val="0"/>
      <w:jc w:val="both"/>
      <w:rPr>
        <w:iCs/>
        <w:sz w:val="20"/>
        <w:szCs w:val="20"/>
      </w:rPr>
    </w:pPr>
    <w:r w:rsidRPr="005236DB">
      <w:rPr>
        <w:rFonts w:hint="eastAsia"/>
        <w:sz w:val="20"/>
        <w:szCs w:val="20"/>
      </w:rPr>
      <w:tab/>
    </w:r>
    <w:r w:rsidRPr="005236DB">
      <w:rPr>
        <w:sz w:val="20"/>
        <w:szCs w:val="20"/>
      </w:rPr>
      <w:t>New York Science Journal 201</w:t>
    </w:r>
    <w:r w:rsidRPr="005236DB">
      <w:rPr>
        <w:rFonts w:hint="eastAsia"/>
        <w:sz w:val="20"/>
        <w:szCs w:val="20"/>
      </w:rPr>
      <w:t>5</w:t>
    </w:r>
    <w:proofErr w:type="gramStart"/>
    <w:r w:rsidRPr="005236DB">
      <w:rPr>
        <w:sz w:val="20"/>
        <w:szCs w:val="20"/>
      </w:rPr>
      <w:t>;</w:t>
    </w:r>
    <w:r w:rsidRPr="005236DB">
      <w:rPr>
        <w:rFonts w:hint="eastAsia"/>
        <w:sz w:val="20"/>
        <w:szCs w:val="20"/>
      </w:rPr>
      <w:t>8</w:t>
    </w:r>
    <w:proofErr w:type="gramEnd"/>
    <w:r w:rsidRPr="005236DB">
      <w:rPr>
        <w:sz w:val="20"/>
        <w:szCs w:val="20"/>
      </w:rPr>
      <w:t>(</w:t>
    </w:r>
    <w:r w:rsidRPr="005236DB">
      <w:rPr>
        <w:rFonts w:hint="eastAsia"/>
        <w:sz w:val="20"/>
        <w:szCs w:val="20"/>
      </w:rPr>
      <w:t>5</w:t>
    </w:r>
    <w:r w:rsidRPr="005236DB">
      <w:rPr>
        <w:sz w:val="20"/>
        <w:szCs w:val="20"/>
      </w:rPr>
      <w:t>)</w:t>
    </w:r>
    <w:r w:rsidRPr="005236DB">
      <w:rPr>
        <w:iCs/>
        <w:sz w:val="20"/>
        <w:szCs w:val="20"/>
      </w:rPr>
      <w:t xml:space="preserve">     </w:t>
    </w:r>
    <w:r w:rsidRPr="005236DB">
      <w:rPr>
        <w:rFonts w:hint="eastAsia"/>
        <w:iCs/>
        <w:sz w:val="20"/>
        <w:szCs w:val="20"/>
      </w:rPr>
      <w:tab/>
    </w:r>
    <w:r w:rsidRPr="005236DB">
      <w:rPr>
        <w:iCs/>
        <w:sz w:val="20"/>
        <w:szCs w:val="20"/>
      </w:rPr>
      <w:t xml:space="preserve"> </w:t>
    </w:r>
    <w:r w:rsidRPr="005236DB">
      <w:rPr>
        <w:rFonts w:hint="eastAsia"/>
        <w:iCs/>
        <w:sz w:val="20"/>
        <w:szCs w:val="20"/>
      </w:rPr>
      <w:t xml:space="preserve"> </w:t>
    </w:r>
    <w:r w:rsidRPr="005236DB">
      <w:rPr>
        <w:iCs/>
        <w:sz w:val="20"/>
        <w:szCs w:val="20"/>
      </w:rPr>
      <w:t xml:space="preserve">   </w:t>
    </w:r>
    <w:hyperlink r:id="rId1" w:history="1">
      <w:r w:rsidRPr="005236DB">
        <w:rPr>
          <w:rStyle w:val="Hyperlink"/>
          <w:sz w:val="20"/>
          <w:szCs w:val="20"/>
        </w:rPr>
        <w:t>http://www.sciencepub.net/newyork</w:t>
      </w:r>
    </w:hyperlink>
  </w:p>
  <w:p w:rsidR="007B6A0C" w:rsidRPr="005236DB" w:rsidRDefault="007B6A0C" w:rsidP="005236DB">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0C" w:rsidRPr="005236DB" w:rsidRDefault="007B6A0C" w:rsidP="005236DB">
    <w:pPr>
      <w:pBdr>
        <w:bottom w:val="thinThickMediumGap" w:sz="12" w:space="1" w:color="auto"/>
      </w:pBdr>
      <w:tabs>
        <w:tab w:val="left" w:pos="851"/>
        <w:tab w:val="right" w:pos="8364"/>
      </w:tabs>
      <w:adjustRightInd w:val="0"/>
      <w:snapToGrid w:val="0"/>
      <w:jc w:val="both"/>
      <w:rPr>
        <w:iCs/>
        <w:sz w:val="20"/>
        <w:szCs w:val="20"/>
      </w:rPr>
    </w:pPr>
    <w:r w:rsidRPr="005236DB">
      <w:rPr>
        <w:rFonts w:hint="eastAsia"/>
        <w:sz w:val="20"/>
        <w:szCs w:val="20"/>
      </w:rPr>
      <w:tab/>
    </w:r>
    <w:r w:rsidRPr="005236DB">
      <w:rPr>
        <w:sz w:val="20"/>
        <w:szCs w:val="20"/>
      </w:rPr>
      <w:t>New York Science Journal 201</w:t>
    </w:r>
    <w:r w:rsidRPr="005236DB">
      <w:rPr>
        <w:rFonts w:hint="eastAsia"/>
        <w:sz w:val="20"/>
        <w:szCs w:val="20"/>
      </w:rPr>
      <w:t>5</w:t>
    </w:r>
    <w:proofErr w:type="gramStart"/>
    <w:r w:rsidRPr="005236DB">
      <w:rPr>
        <w:sz w:val="20"/>
        <w:szCs w:val="20"/>
      </w:rPr>
      <w:t>;</w:t>
    </w:r>
    <w:r w:rsidRPr="005236DB">
      <w:rPr>
        <w:rFonts w:hint="eastAsia"/>
        <w:sz w:val="20"/>
        <w:szCs w:val="20"/>
      </w:rPr>
      <w:t>8</w:t>
    </w:r>
    <w:proofErr w:type="gramEnd"/>
    <w:r w:rsidRPr="005236DB">
      <w:rPr>
        <w:sz w:val="20"/>
        <w:szCs w:val="20"/>
      </w:rPr>
      <w:t>(</w:t>
    </w:r>
    <w:r w:rsidRPr="005236DB">
      <w:rPr>
        <w:rFonts w:hint="eastAsia"/>
        <w:sz w:val="20"/>
        <w:szCs w:val="20"/>
      </w:rPr>
      <w:t>5</w:t>
    </w:r>
    <w:r w:rsidRPr="005236DB">
      <w:rPr>
        <w:sz w:val="20"/>
        <w:szCs w:val="20"/>
      </w:rPr>
      <w:t>)</w:t>
    </w:r>
    <w:r w:rsidRPr="005236DB">
      <w:rPr>
        <w:iCs/>
        <w:sz w:val="20"/>
        <w:szCs w:val="20"/>
      </w:rPr>
      <w:t xml:space="preserve">     </w:t>
    </w:r>
    <w:r w:rsidRPr="005236DB">
      <w:rPr>
        <w:rFonts w:hint="eastAsia"/>
        <w:iCs/>
        <w:sz w:val="20"/>
        <w:szCs w:val="20"/>
      </w:rPr>
      <w:tab/>
    </w:r>
    <w:r w:rsidRPr="005236DB">
      <w:rPr>
        <w:iCs/>
        <w:sz w:val="20"/>
        <w:szCs w:val="20"/>
      </w:rPr>
      <w:t xml:space="preserve"> </w:t>
    </w:r>
    <w:r w:rsidRPr="005236DB">
      <w:rPr>
        <w:rFonts w:hint="eastAsia"/>
        <w:iCs/>
        <w:sz w:val="20"/>
        <w:szCs w:val="20"/>
      </w:rPr>
      <w:t xml:space="preserve"> </w:t>
    </w:r>
    <w:r w:rsidRPr="005236DB">
      <w:rPr>
        <w:iCs/>
        <w:sz w:val="20"/>
        <w:szCs w:val="20"/>
      </w:rPr>
      <w:t xml:space="preserve">   </w:t>
    </w:r>
    <w:hyperlink r:id="rId1" w:history="1">
      <w:r w:rsidRPr="005236DB">
        <w:rPr>
          <w:rStyle w:val="Hyperlink"/>
          <w:sz w:val="20"/>
          <w:szCs w:val="20"/>
        </w:rPr>
        <w:t>http://www.sciencepub.net/newyork</w:t>
      </w:r>
    </w:hyperlink>
  </w:p>
  <w:p w:rsidR="007B6A0C" w:rsidRPr="005236DB" w:rsidRDefault="007B6A0C" w:rsidP="005236DB">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DB" w:rsidRPr="005236DB" w:rsidRDefault="005236DB" w:rsidP="005236DB">
    <w:pPr>
      <w:pBdr>
        <w:bottom w:val="thinThickMediumGap" w:sz="12" w:space="1" w:color="auto"/>
      </w:pBdr>
      <w:tabs>
        <w:tab w:val="left" w:pos="851"/>
        <w:tab w:val="right" w:pos="8364"/>
      </w:tabs>
      <w:adjustRightInd w:val="0"/>
      <w:snapToGrid w:val="0"/>
      <w:jc w:val="both"/>
      <w:rPr>
        <w:iCs/>
        <w:sz w:val="20"/>
        <w:szCs w:val="20"/>
      </w:rPr>
    </w:pPr>
    <w:r w:rsidRPr="005236DB">
      <w:rPr>
        <w:rFonts w:hint="eastAsia"/>
        <w:sz w:val="20"/>
        <w:szCs w:val="20"/>
      </w:rPr>
      <w:tab/>
    </w:r>
    <w:r w:rsidRPr="005236DB">
      <w:rPr>
        <w:sz w:val="20"/>
        <w:szCs w:val="20"/>
      </w:rPr>
      <w:t>New York Science Journal 201</w:t>
    </w:r>
    <w:r w:rsidRPr="005236DB">
      <w:rPr>
        <w:rFonts w:hint="eastAsia"/>
        <w:sz w:val="20"/>
        <w:szCs w:val="20"/>
      </w:rPr>
      <w:t>5</w:t>
    </w:r>
    <w:proofErr w:type="gramStart"/>
    <w:r w:rsidRPr="005236DB">
      <w:rPr>
        <w:sz w:val="20"/>
        <w:szCs w:val="20"/>
      </w:rPr>
      <w:t>;</w:t>
    </w:r>
    <w:r w:rsidRPr="005236DB">
      <w:rPr>
        <w:rFonts w:hint="eastAsia"/>
        <w:sz w:val="20"/>
        <w:szCs w:val="20"/>
      </w:rPr>
      <w:t>8</w:t>
    </w:r>
    <w:proofErr w:type="gramEnd"/>
    <w:r w:rsidRPr="005236DB">
      <w:rPr>
        <w:sz w:val="20"/>
        <w:szCs w:val="20"/>
      </w:rPr>
      <w:t>(</w:t>
    </w:r>
    <w:r w:rsidRPr="005236DB">
      <w:rPr>
        <w:rFonts w:hint="eastAsia"/>
        <w:sz w:val="20"/>
        <w:szCs w:val="20"/>
      </w:rPr>
      <w:t>5</w:t>
    </w:r>
    <w:r w:rsidRPr="005236DB">
      <w:rPr>
        <w:sz w:val="20"/>
        <w:szCs w:val="20"/>
      </w:rPr>
      <w:t>)</w:t>
    </w:r>
    <w:r w:rsidRPr="005236DB">
      <w:rPr>
        <w:iCs/>
        <w:sz w:val="20"/>
        <w:szCs w:val="20"/>
      </w:rPr>
      <w:t xml:space="preserve">     </w:t>
    </w:r>
    <w:r w:rsidRPr="005236DB">
      <w:rPr>
        <w:rFonts w:hint="eastAsia"/>
        <w:iCs/>
        <w:sz w:val="20"/>
        <w:szCs w:val="20"/>
      </w:rPr>
      <w:tab/>
    </w:r>
    <w:r w:rsidRPr="005236DB">
      <w:rPr>
        <w:iCs/>
        <w:sz w:val="20"/>
        <w:szCs w:val="20"/>
      </w:rPr>
      <w:t xml:space="preserve"> </w:t>
    </w:r>
    <w:r w:rsidRPr="005236DB">
      <w:rPr>
        <w:rFonts w:hint="eastAsia"/>
        <w:iCs/>
        <w:sz w:val="20"/>
        <w:szCs w:val="20"/>
      </w:rPr>
      <w:t xml:space="preserve"> </w:t>
    </w:r>
    <w:r w:rsidRPr="005236DB">
      <w:rPr>
        <w:iCs/>
        <w:sz w:val="20"/>
        <w:szCs w:val="20"/>
      </w:rPr>
      <w:t xml:space="preserve">   </w:t>
    </w:r>
    <w:hyperlink r:id="rId1" w:history="1">
      <w:r w:rsidRPr="005236DB">
        <w:rPr>
          <w:rStyle w:val="Hyperlink"/>
          <w:sz w:val="20"/>
          <w:szCs w:val="20"/>
        </w:rPr>
        <w:t>http://www.sciencepub.net/newyork</w:t>
      </w:r>
    </w:hyperlink>
  </w:p>
  <w:p w:rsidR="005236DB" w:rsidRPr="005236DB" w:rsidRDefault="005236DB" w:rsidP="005236DB">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F266F2"/>
    <w:multiLevelType w:val="hybridMultilevel"/>
    <w:tmpl w:val="EC3C426C"/>
    <w:lvl w:ilvl="0" w:tplc="8F3C67E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A37EE7"/>
    <w:multiLevelType w:val="multilevel"/>
    <w:tmpl w:val="87A2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434D14A5"/>
    <w:multiLevelType w:val="hybridMultilevel"/>
    <w:tmpl w:val="5790ADD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3313"/>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C533D"/>
    <w:rsid w:val="001144BB"/>
    <w:rsid w:val="00177451"/>
    <w:rsid w:val="00177C9A"/>
    <w:rsid w:val="001811AA"/>
    <w:rsid w:val="001817C7"/>
    <w:rsid w:val="001A3FA9"/>
    <w:rsid w:val="001B41B8"/>
    <w:rsid w:val="001B5FB7"/>
    <w:rsid w:val="00281669"/>
    <w:rsid w:val="002F20CD"/>
    <w:rsid w:val="00322FAB"/>
    <w:rsid w:val="00340515"/>
    <w:rsid w:val="00345581"/>
    <w:rsid w:val="00370978"/>
    <w:rsid w:val="00381BC2"/>
    <w:rsid w:val="00381DD8"/>
    <w:rsid w:val="003834F3"/>
    <w:rsid w:val="003C4738"/>
    <w:rsid w:val="004214D5"/>
    <w:rsid w:val="00441468"/>
    <w:rsid w:val="004430A5"/>
    <w:rsid w:val="00456753"/>
    <w:rsid w:val="00464A43"/>
    <w:rsid w:val="00471E57"/>
    <w:rsid w:val="0049143E"/>
    <w:rsid w:val="004A6C92"/>
    <w:rsid w:val="004D0467"/>
    <w:rsid w:val="00505C68"/>
    <w:rsid w:val="00507331"/>
    <w:rsid w:val="005236DB"/>
    <w:rsid w:val="00593132"/>
    <w:rsid w:val="005B0230"/>
    <w:rsid w:val="005F5E04"/>
    <w:rsid w:val="00600A78"/>
    <w:rsid w:val="00606CD7"/>
    <w:rsid w:val="00630DD3"/>
    <w:rsid w:val="00643038"/>
    <w:rsid w:val="0065209A"/>
    <w:rsid w:val="006D5C2E"/>
    <w:rsid w:val="006E5F03"/>
    <w:rsid w:val="006E6ACB"/>
    <w:rsid w:val="006F1706"/>
    <w:rsid w:val="0071408D"/>
    <w:rsid w:val="00732A65"/>
    <w:rsid w:val="00757302"/>
    <w:rsid w:val="007726DB"/>
    <w:rsid w:val="00780998"/>
    <w:rsid w:val="007A5CDF"/>
    <w:rsid w:val="007B1A99"/>
    <w:rsid w:val="007B6A0C"/>
    <w:rsid w:val="007D746F"/>
    <w:rsid w:val="00814FA7"/>
    <w:rsid w:val="00873DB4"/>
    <w:rsid w:val="0089040B"/>
    <w:rsid w:val="008A20AC"/>
    <w:rsid w:val="008B6E2D"/>
    <w:rsid w:val="008F0C29"/>
    <w:rsid w:val="009058F9"/>
    <w:rsid w:val="0091208A"/>
    <w:rsid w:val="00914558"/>
    <w:rsid w:val="009459B3"/>
    <w:rsid w:val="00950169"/>
    <w:rsid w:val="00952EB8"/>
    <w:rsid w:val="009655C9"/>
    <w:rsid w:val="00A03677"/>
    <w:rsid w:val="00A07E3E"/>
    <w:rsid w:val="00A3476D"/>
    <w:rsid w:val="00A4578E"/>
    <w:rsid w:val="00A50376"/>
    <w:rsid w:val="00A70491"/>
    <w:rsid w:val="00B1419E"/>
    <w:rsid w:val="00B3167C"/>
    <w:rsid w:val="00B4448D"/>
    <w:rsid w:val="00B54CDA"/>
    <w:rsid w:val="00B562FD"/>
    <w:rsid w:val="00B60E8D"/>
    <w:rsid w:val="00B86262"/>
    <w:rsid w:val="00BB2F19"/>
    <w:rsid w:val="00BD2A8D"/>
    <w:rsid w:val="00BE6288"/>
    <w:rsid w:val="00BF6579"/>
    <w:rsid w:val="00C137EA"/>
    <w:rsid w:val="00C25821"/>
    <w:rsid w:val="00C307A8"/>
    <w:rsid w:val="00C34190"/>
    <w:rsid w:val="00CB60DF"/>
    <w:rsid w:val="00CE1753"/>
    <w:rsid w:val="00CE7B2F"/>
    <w:rsid w:val="00D07507"/>
    <w:rsid w:val="00D3777A"/>
    <w:rsid w:val="00D724FB"/>
    <w:rsid w:val="00D82896"/>
    <w:rsid w:val="00DA4530"/>
    <w:rsid w:val="00DA5976"/>
    <w:rsid w:val="00DC0DFC"/>
    <w:rsid w:val="00DD4C68"/>
    <w:rsid w:val="00DE7463"/>
    <w:rsid w:val="00DF7353"/>
    <w:rsid w:val="00E05E75"/>
    <w:rsid w:val="00E4459C"/>
    <w:rsid w:val="00E51FC2"/>
    <w:rsid w:val="00E910CC"/>
    <w:rsid w:val="00EC35EE"/>
    <w:rsid w:val="00ED4441"/>
    <w:rsid w:val="00F10099"/>
    <w:rsid w:val="00F138CC"/>
    <w:rsid w:val="00F13CC8"/>
    <w:rsid w:val="00F26834"/>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07507"/>
    <w:pPr>
      <w:keepNext/>
      <w:tabs>
        <w:tab w:val="num" w:pos="0"/>
      </w:tabs>
      <w:outlineLvl w:val="0"/>
    </w:pPr>
    <w:rPr>
      <w:b/>
      <w:bCs/>
      <w:sz w:val="32"/>
    </w:rPr>
  </w:style>
  <w:style w:type="paragraph" w:styleId="Heading2">
    <w:name w:val="heading 2"/>
    <w:basedOn w:val="Normal"/>
    <w:next w:val="Normal"/>
    <w:qFormat/>
    <w:rsid w:val="00D07507"/>
    <w:pPr>
      <w:keepNext/>
      <w:tabs>
        <w:tab w:val="num" w:pos="0"/>
      </w:tabs>
      <w:jc w:val="both"/>
      <w:outlineLvl w:val="1"/>
    </w:pPr>
    <w:rPr>
      <w:b/>
      <w:sz w:val="28"/>
    </w:rPr>
  </w:style>
  <w:style w:type="paragraph" w:styleId="Heading3">
    <w:name w:val="heading 3"/>
    <w:basedOn w:val="Normal"/>
    <w:next w:val="Normal"/>
    <w:qFormat/>
    <w:rsid w:val="00D07507"/>
    <w:pPr>
      <w:keepNext/>
      <w:tabs>
        <w:tab w:val="num" w:pos="0"/>
      </w:tabs>
      <w:spacing w:line="360" w:lineRule="auto"/>
      <w:jc w:val="both"/>
      <w:outlineLvl w:val="2"/>
    </w:pPr>
    <w:rPr>
      <w:b/>
      <w:bCs/>
    </w:rPr>
  </w:style>
  <w:style w:type="paragraph" w:styleId="Heading6">
    <w:name w:val="heading 6"/>
    <w:basedOn w:val="Normal"/>
    <w:next w:val="Normal"/>
    <w:qFormat/>
    <w:rsid w:val="00D0750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07507"/>
  </w:style>
  <w:style w:type="character" w:customStyle="1" w:styleId="WW-Absatz-Standardschriftart">
    <w:name w:val="WW-Absatz-Standardschriftart"/>
    <w:rsid w:val="00D07507"/>
  </w:style>
  <w:style w:type="character" w:customStyle="1" w:styleId="WW-Absatz-Standardschriftart1">
    <w:name w:val="WW-Absatz-Standardschriftart1"/>
    <w:rsid w:val="00D07507"/>
  </w:style>
  <w:style w:type="character" w:customStyle="1" w:styleId="WW-Absatz-Standardschriftart11">
    <w:name w:val="WW-Absatz-Standardschriftart11"/>
    <w:rsid w:val="00D07507"/>
  </w:style>
  <w:style w:type="character" w:customStyle="1" w:styleId="WW-Absatz-Standardschriftart111">
    <w:name w:val="WW-Absatz-Standardschriftart111"/>
    <w:rsid w:val="00D07507"/>
  </w:style>
  <w:style w:type="character" w:customStyle="1" w:styleId="WW-Absatz-Standardschriftart1111">
    <w:name w:val="WW-Absatz-Standardschriftart1111"/>
    <w:rsid w:val="00D07507"/>
  </w:style>
  <w:style w:type="character" w:customStyle="1" w:styleId="WW-Absatz-Standardschriftart11111">
    <w:name w:val="WW-Absatz-Standardschriftart11111"/>
    <w:rsid w:val="00D07507"/>
  </w:style>
  <w:style w:type="character" w:customStyle="1" w:styleId="WW-Absatz-Standardschriftart111111">
    <w:name w:val="WW-Absatz-Standardschriftart111111"/>
    <w:rsid w:val="00D07507"/>
  </w:style>
  <w:style w:type="character" w:customStyle="1" w:styleId="WW-Absatz-Standardschriftart1111111">
    <w:name w:val="WW-Absatz-Standardschriftart1111111"/>
    <w:rsid w:val="00D07507"/>
  </w:style>
  <w:style w:type="character" w:customStyle="1" w:styleId="WW-Absatz-Standardschriftart11111111">
    <w:name w:val="WW-Absatz-Standardschriftart11111111"/>
    <w:rsid w:val="00D07507"/>
  </w:style>
  <w:style w:type="character" w:customStyle="1" w:styleId="WW-Absatz-Standardschriftart111111111">
    <w:name w:val="WW-Absatz-Standardschriftart111111111"/>
    <w:rsid w:val="00D07507"/>
  </w:style>
  <w:style w:type="character" w:customStyle="1" w:styleId="WW-Absatz-Standardschriftart1111111111">
    <w:name w:val="WW-Absatz-Standardschriftart1111111111"/>
    <w:rsid w:val="00D07507"/>
  </w:style>
  <w:style w:type="character" w:customStyle="1" w:styleId="WW-Absatz-Standardschriftart11111111111">
    <w:name w:val="WW-Absatz-Standardschriftart11111111111"/>
    <w:rsid w:val="00D07507"/>
  </w:style>
  <w:style w:type="character" w:customStyle="1" w:styleId="WW-Absatz-Standardschriftart111111111111">
    <w:name w:val="WW-Absatz-Standardschriftart111111111111"/>
    <w:rsid w:val="00D07507"/>
  </w:style>
  <w:style w:type="character" w:customStyle="1" w:styleId="WW-Absatz-Standardschriftart1111111111111">
    <w:name w:val="WW-Absatz-Standardschriftart1111111111111"/>
    <w:rsid w:val="00D07507"/>
  </w:style>
  <w:style w:type="character" w:customStyle="1" w:styleId="WW-Absatz-Standardschriftart11111111111111">
    <w:name w:val="WW-Absatz-Standardschriftart11111111111111"/>
    <w:rsid w:val="00D07507"/>
  </w:style>
  <w:style w:type="character" w:customStyle="1" w:styleId="WW-Absatz-Standardschriftart111111111111111">
    <w:name w:val="WW-Absatz-Standardschriftart111111111111111"/>
    <w:rsid w:val="00D07507"/>
  </w:style>
  <w:style w:type="character" w:customStyle="1" w:styleId="WW-Absatz-Standardschriftart1111111111111111">
    <w:name w:val="WW-Absatz-Standardschriftart1111111111111111"/>
    <w:rsid w:val="00D07507"/>
  </w:style>
  <w:style w:type="character" w:customStyle="1" w:styleId="WW8Num1z0">
    <w:name w:val="WW8Num1z0"/>
    <w:rsid w:val="00D07507"/>
    <w:rPr>
      <w:rFonts w:ascii="Symbol" w:eastAsia="Times New Roman" w:hAnsi="Symbol" w:cs="Times New Roman"/>
    </w:rPr>
  </w:style>
  <w:style w:type="character" w:customStyle="1" w:styleId="WW8Num1z1">
    <w:name w:val="WW8Num1z1"/>
    <w:rsid w:val="00D07507"/>
    <w:rPr>
      <w:rFonts w:ascii="Courier New" w:hAnsi="Courier New" w:cs="Courier New"/>
    </w:rPr>
  </w:style>
  <w:style w:type="character" w:customStyle="1" w:styleId="WW8Num1z2">
    <w:name w:val="WW8Num1z2"/>
    <w:rsid w:val="00D07507"/>
    <w:rPr>
      <w:rFonts w:ascii="Wingdings" w:hAnsi="Wingdings"/>
    </w:rPr>
  </w:style>
  <w:style w:type="character" w:customStyle="1" w:styleId="WW8Num1z3">
    <w:name w:val="WW8Num1z3"/>
    <w:rsid w:val="00D07507"/>
    <w:rPr>
      <w:rFonts w:ascii="Symbol" w:hAnsi="Symbol"/>
    </w:rPr>
  </w:style>
  <w:style w:type="character" w:styleId="PageNumber">
    <w:name w:val="page number"/>
    <w:basedOn w:val="DefaultParagraphFont"/>
    <w:rsid w:val="00D07507"/>
  </w:style>
  <w:style w:type="character" w:styleId="Hyperlink">
    <w:name w:val="Hyperlink"/>
    <w:basedOn w:val="DefaultParagraphFont"/>
    <w:rsid w:val="00D07507"/>
    <w:rPr>
      <w:color w:val="0000FF"/>
      <w:u w:val="single"/>
    </w:rPr>
  </w:style>
  <w:style w:type="character" w:styleId="FollowedHyperlink">
    <w:name w:val="FollowedHyperlink"/>
    <w:basedOn w:val="DefaultParagraphFont"/>
    <w:rsid w:val="00D07507"/>
    <w:rPr>
      <w:color w:val="800080"/>
      <w:u w:val="single"/>
    </w:rPr>
  </w:style>
  <w:style w:type="character" w:customStyle="1" w:styleId="NumberingSymbols">
    <w:name w:val="Numbering Symbols"/>
    <w:rsid w:val="00D07507"/>
  </w:style>
  <w:style w:type="paragraph" w:customStyle="1" w:styleId="Heading">
    <w:name w:val="Heading"/>
    <w:basedOn w:val="Normal"/>
    <w:next w:val="BodyText"/>
    <w:rsid w:val="00D07507"/>
    <w:pPr>
      <w:keepNext/>
      <w:spacing w:before="240" w:after="120"/>
    </w:pPr>
    <w:rPr>
      <w:rFonts w:ascii="Nimbus Sans L" w:eastAsia="DejaVu Sans" w:hAnsi="Nimbus Sans L" w:cs="DejaVu Sans"/>
      <w:sz w:val="28"/>
      <w:szCs w:val="28"/>
    </w:rPr>
  </w:style>
  <w:style w:type="paragraph" w:styleId="BodyText">
    <w:name w:val="Body Text"/>
    <w:basedOn w:val="Normal"/>
    <w:rsid w:val="00D07507"/>
    <w:pPr>
      <w:spacing w:line="360" w:lineRule="auto"/>
    </w:pPr>
  </w:style>
  <w:style w:type="paragraph" w:styleId="List">
    <w:name w:val="List"/>
    <w:basedOn w:val="BodyText"/>
    <w:rsid w:val="00D07507"/>
  </w:style>
  <w:style w:type="paragraph" w:styleId="Caption">
    <w:name w:val="caption"/>
    <w:basedOn w:val="Normal"/>
    <w:qFormat/>
    <w:rsid w:val="00D07507"/>
    <w:pPr>
      <w:suppressLineNumbers/>
      <w:spacing w:before="120" w:after="120"/>
    </w:pPr>
    <w:rPr>
      <w:i/>
      <w:iCs/>
    </w:rPr>
  </w:style>
  <w:style w:type="paragraph" w:customStyle="1" w:styleId="Index">
    <w:name w:val="Index"/>
    <w:basedOn w:val="Normal"/>
    <w:rsid w:val="00D07507"/>
    <w:pPr>
      <w:suppressLineNumbers/>
    </w:pPr>
  </w:style>
  <w:style w:type="paragraph" w:styleId="Header">
    <w:name w:val="header"/>
    <w:basedOn w:val="Normal"/>
    <w:next w:val="Heading1"/>
    <w:rsid w:val="00D07507"/>
    <w:pPr>
      <w:tabs>
        <w:tab w:val="center" w:pos="4320"/>
        <w:tab w:val="right" w:pos="8640"/>
      </w:tabs>
    </w:pPr>
  </w:style>
  <w:style w:type="paragraph" w:styleId="BodyTextIndent3">
    <w:name w:val="Body Text Indent 3"/>
    <w:basedOn w:val="Normal"/>
    <w:rsid w:val="00D07507"/>
    <w:pPr>
      <w:spacing w:line="360" w:lineRule="auto"/>
      <w:ind w:firstLine="720"/>
      <w:jc w:val="both"/>
    </w:pPr>
    <w:rPr>
      <w:b/>
      <w:bCs/>
    </w:rPr>
  </w:style>
  <w:style w:type="paragraph" w:styleId="BodyTextIndent">
    <w:name w:val="Body Text Indent"/>
    <w:basedOn w:val="Normal"/>
    <w:rsid w:val="00D07507"/>
    <w:pPr>
      <w:ind w:left="540" w:hanging="720"/>
      <w:jc w:val="both"/>
    </w:pPr>
  </w:style>
  <w:style w:type="paragraph" w:styleId="BodyTextIndent2">
    <w:name w:val="Body Text Indent 2"/>
    <w:basedOn w:val="Normal"/>
    <w:rsid w:val="00D07507"/>
    <w:pPr>
      <w:spacing w:line="360" w:lineRule="auto"/>
      <w:ind w:firstLine="720"/>
      <w:jc w:val="both"/>
    </w:pPr>
  </w:style>
  <w:style w:type="paragraph" w:styleId="BodyText2">
    <w:name w:val="Body Text 2"/>
    <w:basedOn w:val="Normal"/>
    <w:rsid w:val="00D07507"/>
    <w:pPr>
      <w:spacing w:line="360" w:lineRule="auto"/>
      <w:jc w:val="both"/>
    </w:pPr>
  </w:style>
  <w:style w:type="paragraph" w:styleId="Footer">
    <w:name w:val="footer"/>
    <w:basedOn w:val="Normal"/>
    <w:rsid w:val="00D07507"/>
    <w:pPr>
      <w:tabs>
        <w:tab w:val="center" w:pos="4320"/>
        <w:tab w:val="right" w:pos="8640"/>
      </w:tabs>
    </w:pPr>
    <w:rPr>
      <w:sz w:val="32"/>
    </w:rPr>
  </w:style>
  <w:style w:type="paragraph" w:customStyle="1" w:styleId="TableContents">
    <w:name w:val="Table Contents"/>
    <w:basedOn w:val="Normal"/>
    <w:rsid w:val="00D07507"/>
    <w:pPr>
      <w:suppressLineNumbers/>
    </w:pPr>
  </w:style>
  <w:style w:type="paragraph" w:customStyle="1" w:styleId="TableHeading">
    <w:name w:val="Table Heading"/>
    <w:basedOn w:val="TableContents"/>
    <w:rsid w:val="00D07507"/>
    <w:pPr>
      <w:jc w:val="center"/>
    </w:pPr>
    <w:rPr>
      <w:b/>
      <w:bCs/>
    </w:rPr>
  </w:style>
  <w:style w:type="paragraph" w:customStyle="1" w:styleId="Framecontents">
    <w:name w:val="Frame contents"/>
    <w:basedOn w:val="BodyText"/>
    <w:rsid w:val="00D07507"/>
  </w:style>
  <w:style w:type="paragraph" w:customStyle="1" w:styleId="Text">
    <w:name w:val="Text"/>
    <w:basedOn w:val="Normal"/>
    <w:rsid w:val="00D07507"/>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ref-journal">
    <w:name w:val="ref-journal"/>
    <w:rsid w:val="00177451"/>
  </w:style>
  <w:style w:type="table" w:styleId="TableGrid">
    <w:name w:val="Table Grid"/>
    <w:basedOn w:val="TableNormal"/>
    <w:uiPriority w:val="59"/>
    <w:rsid w:val="00B562FD"/>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EC35EE"/>
    <w:rPr>
      <w:rFonts w:ascii="Calibri" w:eastAsia="Calibri" w:hAnsi="Calibri"/>
      <w:sz w:val="22"/>
      <w:szCs w:val="22"/>
      <w:lang w:eastAsia="en-US"/>
    </w:rPr>
  </w:style>
  <w:style w:type="character" w:customStyle="1" w:styleId="ref-vol">
    <w:name w:val="ref-vol"/>
    <w:rsid w:val="00A07E3E"/>
  </w:style>
  <w:style w:type="character" w:customStyle="1" w:styleId="citation-abbreviation">
    <w:name w:val="citation-abbreviation"/>
    <w:basedOn w:val="DefaultParagraphFont"/>
    <w:rsid w:val="00A07E3E"/>
  </w:style>
  <w:style w:type="character" w:customStyle="1" w:styleId="citation-publication-date">
    <w:name w:val="citation-publication-date"/>
    <w:basedOn w:val="DefaultParagraphFont"/>
    <w:rsid w:val="00A07E3E"/>
  </w:style>
  <w:style w:type="character" w:customStyle="1" w:styleId="citation-volume">
    <w:name w:val="citation-volume"/>
    <w:basedOn w:val="DefaultParagraphFont"/>
    <w:rsid w:val="00A07E3E"/>
  </w:style>
  <w:style w:type="character" w:customStyle="1" w:styleId="citation-issue">
    <w:name w:val="citation-issue"/>
    <w:basedOn w:val="DefaultParagraphFont"/>
    <w:rsid w:val="00A07E3E"/>
  </w:style>
  <w:style w:type="character" w:customStyle="1" w:styleId="citation-flpages">
    <w:name w:val="citation-flpages"/>
    <w:basedOn w:val="DefaultParagraphFont"/>
    <w:rsid w:val="00A07E3E"/>
  </w:style>
  <w:style w:type="paragraph" w:styleId="BalloonText">
    <w:name w:val="Balloon Text"/>
    <w:basedOn w:val="Normal"/>
    <w:link w:val="BalloonTextChar"/>
    <w:uiPriority w:val="99"/>
    <w:semiHidden/>
    <w:unhideWhenUsed/>
    <w:rsid w:val="001A3FA9"/>
    <w:rPr>
      <w:rFonts w:ascii="Tahoma" w:hAnsi="Tahoma" w:cs="Tahoma"/>
      <w:sz w:val="16"/>
      <w:szCs w:val="16"/>
    </w:rPr>
  </w:style>
  <w:style w:type="character" w:customStyle="1" w:styleId="BalloonTextChar">
    <w:name w:val="Balloon Text Char"/>
    <w:basedOn w:val="DefaultParagraphFont"/>
    <w:link w:val="BalloonText"/>
    <w:uiPriority w:val="99"/>
    <w:semiHidden/>
    <w:rsid w:val="001A3FA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britmycolsoc.org.uk" TargetMode="External"/><Relationship Id="rId18" Type="http://schemas.openxmlformats.org/officeDocument/2006/relationships/hyperlink" Target="http://www.ncbi.nlm.nih.gov/pubmed?term=Bhutia%20SK%5BAuthor%5D&amp;cauthor=true&amp;cauthor_uid=21783909" TargetMode="External"/><Relationship Id="rId26" Type="http://schemas.openxmlformats.org/officeDocument/2006/relationships/hyperlink" Target="file:///C:\pubmed\?term=Cubano%20LA%5Bauth%5D" TargetMode="External"/><Relationship Id="rId3" Type="http://schemas.openxmlformats.org/officeDocument/2006/relationships/settings" Target="settings.xml"/><Relationship Id="rId21" Type="http://schemas.openxmlformats.org/officeDocument/2006/relationships/hyperlink" Target="http://www.ncbi.nlm.nih.gov/pubmed?term=Khadgi%20N%5BAuthor%5D&amp;cauthor=true&amp;cauthor_uid=21783909" TargetMode="External"/><Relationship Id="rId7" Type="http://schemas.openxmlformats.org/officeDocument/2006/relationships/hyperlink" Target="mailto:swapan.krghosh@yahoo.com" TargetMode="External"/><Relationship Id="rId12" Type="http://schemas.openxmlformats.org/officeDocument/2006/relationships/image" Target="media/image1.png"/><Relationship Id="rId17" Type="http://schemas.openxmlformats.org/officeDocument/2006/relationships/hyperlink" Target="mailto:swapan.krghosh@yahoo.com" TargetMode="External"/><Relationship Id="rId25" Type="http://schemas.openxmlformats.org/officeDocument/2006/relationships/hyperlink" Target="file:///C:\pubmed\?term=Otero-Franqui%20E%5Bauth%5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ncbi.nlm.nih.gov/pubmed?term=Kumar%20A%5BAuthor%5D&amp;cauthor=true&amp;cauthor_uid=21783909"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file:///C:\pubmed\?term=Acevedo%20RR%5Bauth%5D"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file:///C:\Users\SWAPAN%20KR%20GHOSH\Desktop\Anticancer%20mushrooms\antiproliferatic%20activity%20of%20mushrooms.htm" TargetMode="External"/><Relationship Id="rId28" Type="http://schemas.openxmlformats.org/officeDocument/2006/relationships/hyperlink" Target="file:///C:\entrez\eutils\elink.fcgi?dbfrom=pubmed&amp;retmode=ref&amp;cmd=prlinks&amp;id=21888505" TargetMode="External"/><Relationship Id="rId10" Type="http://schemas.openxmlformats.org/officeDocument/2006/relationships/footer" Target="footer1.xml"/><Relationship Id="rId19" Type="http://schemas.openxmlformats.org/officeDocument/2006/relationships/hyperlink" Target="http://www.ncbi.nlm.nih.gov/pubmed?term=Mallick%20SK%5BAuthor%5D&amp;cauthor=true&amp;cauthor_uid=21783909"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www.ncbi.nlm.nih.gov/pubmed?term=Maiti%20TK%5BAuthor%5D&amp;cauthor=true&amp;cauthor_uid=21783909" TargetMode="External"/><Relationship Id="rId27" Type="http://schemas.openxmlformats.org/officeDocument/2006/relationships/hyperlink" Target="file:///C:\pubmed\?term=Dharmawardhane%20SF%5Bauth%5D" TargetMode="Externa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3639</Words>
  <Characters>20746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24337</CharactersWithSpaces>
  <SharedDoc>false</SharedDoc>
  <HLinks>
    <vt:vector size="120" baseType="variant">
      <vt:variant>
        <vt:i4>1769527</vt:i4>
      </vt:variant>
      <vt:variant>
        <vt:i4>48</vt:i4>
      </vt:variant>
      <vt:variant>
        <vt:i4>0</vt:i4>
      </vt:variant>
      <vt:variant>
        <vt:i4>5</vt:i4>
      </vt:variant>
      <vt:variant>
        <vt:lpwstr>C:\entrez\eutils\elink.fcgi</vt:lpwstr>
      </vt:variant>
      <vt:variant>
        <vt:lpwstr/>
      </vt:variant>
      <vt:variant>
        <vt:i4>1114179</vt:i4>
      </vt:variant>
      <vt:variant>
        <vt:i4>45</vt:i4>
      </vt:variant>
      <vt:variant>
        <vt:i4>0</vt:i4>
      </vt:variant>
      <vt:variant>
        <vt:i4>5</vt:i4>
      </vt:variant>
      <vt:variant>
        <vt:lpwstr>C:\pubmed\</vt:lpwstr>
      </vt:variant>
      <vt:variant>
        <vt:lpwstr/>
      </vt:variant>
      <vt:variant>
        <vt:i4>1114179</vt:i4>
      </vt:variant>
      <vt:variant>
        <vt:i4>42</vt:i4>
      </vt:variant>
      <vt:variant>
        <vt:i4>0</vt:i4>
      </vt:variant>
      <vt:variant>
        <vt:i4>5</vt:i4>
      </vt:variant>
      <vt:variant>
        <vt:lpwstr>C:\pubmed\</vt:lpwstr>
      </vt:variant>
      <vt:variant>
        <vt:lpwstr/>
      </vt:variant>
      <vt:variant>
        <vt:i4>1114179</vt:i4>
      </vt:variant>
      <vt:variant>
        <vt:i4>39</vt:i4>
      </vt:variant>
      <vt:variant>
        <vt:i4>0</vt:i4>
      </vt:variant>
      <vt:variant>
        <vt:i4>5</vt:i4>
      </vt:variant>
      <vt:variant>
        <vt:lpwstr>C:\pubmed\</vt:lpwstr>
      </vt:variant>
      <vt:variant>
        <vt:lpwstr/>
      </vt:variant>
      <vt:variant>
        <vt:i4>1114179</vt:i4>
      </vt:variant>
      <vt:variant>
        <vt:i4>36</vt:i4>
      </vt:variant>
      <vt:variant>
        <vt:i4>0</vt:i4>
      </vt:variant>
      <vt:variant>
        <vt:i4>5</vt:i4>
      </vt:variant>
      <vt:variant>
        <vt:lpwstr>C:\pubmed\</vt:lpwstr>
      </vt:variant>
      <vt:variant>
        <vt:lpwstr/>
      </vt:variant>
      <vt:variant>
        <vt:i4>1114179</vt:i4>
      </vt:variant>
      <vt:variant>
        <vt:i4>33</vt:i4>
      </vt:variant>
      <vt:variant>
        <vt:i4>0</vt:i4>
      </vt:variant>
      <vt:variant>
        <vt:i4>5</vt:i4>
      </vt:variant>
      <vt:variant>
        <vt:lpwstr>C:\pubmed\</vt:lpwstr>
      </vt:variant>
      <vt:variant>
        <vt:lpwstr/>
      </vt:variant>
      <vt:variant>
        <vt:i4>2818051</vt:i4>
      </vt:variant>
      <vt:variant>
        <vt:i4>30</vt:i4>
      </vt:variant>
      <vt:variant>
        <vt:i4>0</vt:i4>
      </vt:variant>
      <vt:variant>
        <vt:i4>5</vt:i4>
      </vt:variant>
      <vt:variant>
        <vt:lpwstr>C:\Users\SWAPAN KR GHOSH\Desktop\Anticancer mushrooms\antiproliferatic activity of mushrooms.htm</vt:lpwstr>
      </vt:variant>
      <vt:variant>
        <vt:lpwstr/>
      </vt:variant>
      <vt:variant>
        <vt:i4>3997781</vt:i4>
      </vt:variant>
      <vt:variant>
        <vt:i4>27</vt:i4>
      </vt:variant>
      <vt:variant>
        <vt:i4>0</vt:i4>
      </vt:variant>
      <vt:variant>
        <vt:i4>5</vt:i4>
      </vt:variant>
      <vt:variant>
        <vt:lpwstr>http://www.ncbi.nlm.nih.gov/pubmed?term=Maiti%20TK%5BAuthor%5D&amp;cauthor=true&amp;cauthor_uid=21783909</vt:lpwstr>
      </vt:variant>
      <vt:variant>
        <vt:lpwstr/>
      </vt:variant>
      <vt:variant>
        <vt:i4>7274502</vt:i4>
      </vt:variant>
      <vt:variant>
        <vt:i4>24</vt:i4>
      </vt:variant>
      <vt:variant>
        <vt:i4>0</vt:i4>
      </vt:variant>
      <vt:variant>
        <vt:i4>5</vt:i4>
      </vt:variant>
      <vt:variant>
        <vt:lpwstr>http://www.ncbi.nlm.nih.gov/pubmed?term=Khadgi%20N%5BAuthor%5D&amp;cauthor=true&amp;cauthor_uid=21783909</vt:lpwstr>
      </vt:variant>
      <vt:variant>
        <vt:lpwstr/>
      </vt:variant>
      <vt:variant>
        <vt:i4>7995469</vt:i4>
      </vt:variant>
      <vt:variant>
        <vt:i4>21</vt:i4>
      </vt:variant>
      <vt:variant>
        <vt:i4>0</vt:i4>
      </vt:variant>
      <vt:variant>
        <vt:i4>5</vt:i4>
      </vt:variant>
      <vt:variant>
        <vt:lpwstr>http://www.ncbi.nlm.nih.gov/pubmed?term=Kumar%20A%5BAuthor%5D&amp;cauthor=true&amp;cauthor_uid=21783909</vt:lpwstr>
      </vt:variant>
      <vt:variant>
        <vt:lpwstr/>
      </vt:variant>
      <vt:variant>
        <vt:i4>4587580</vt:i4>
      </vt:variant>
      <vt:variant>
        <vt:i4>18</vt:i4>
      </vt:variant>
      <vt:variant>
        <vt:i4>0</vt:i4>
      </vt:variant>
      <vt:variant>
        <vt:i4>5</vt:i4>
      </vt:variant>
      <vt:variant>
        <vt:lpwstr>http://www.ncbi.nlm.nih.gov/pubmed?term=Mallick%20SK%5BAuthor%5D&amp;cauthor=true&amp;cauthor_uid=21783909</vt:lpwstr>
      </vt:variant>
      <vt:variant>
        <vt:lpwstr/>
      </vt:variant>
      <vt:variant>
        <vt:i4>4653162</vt:i4>
      </vt:variant>
      <vt:variant>
        <vt:i4>15</vt:i4>
      </vt:variant>
      <vt:variant>
        <vt:i4>0</vt:i4>
      </vt:variant>
      <vt:variant>
        <vt:i4>5</vt:i4>
      </vt:variant>
      <vt:variant>
        <vt:lpwstr>http://www.ncbi.nlm.nih.gov/pubmed?term=Bhutia%20SK%5BAuthor%5D&amp;cauthor=true&amp;cauthor_uid=21783909</vt:lpwstr>
      </vt:variant>
      <vt:variant>
        <vt:lpwstr/>
      </vt:variant>
      <vt:variant>
        <vt:i4>8060998</vt:i4>
      </vt:variant>
      <vt:variant>
        <vt:i4>12</vt:i4>
      </vt:variant>
      <vt:variant>
        <vt:i4>0</vt:i4>
      </vt:variant>
      <vt:variant>
        <vt:i4>5</vt:i4>
      </vt:variant>
      <vt:variant>
        <vt:lpwstr>http://www.ncbi.nlm.nih.gov/pubmed?term=Maiti%20S%5BAuthor%5D&amp;cauthor=true&amp;cauthor_uid=21783909</vt:lpwstr>
      </vt:variant>
      <vt:variant>
        <vt:lpwstr/>
      </vt:variant>
      <vt:variant>
        <vt:i4>5832757</vt:i4>
      </vt:variant>
      <vt:variant>
        <vt:i4>9</vt:i4>
      </vt:variant>
      <vt:variant>
        <vt:i4>0</vt:i4>
      </vt:variant>
      <vt:variant>
        <vt:i4>5</vt:i4>
      </vt:variant>
      <vt:variant>
        <vt:lpwstr>mailto:swapan.krghosh@yahoo.com</vt:lpwstr>
      </vt:variant>
      <vt:variant>
        <vt:lpwstr/>
      </vt:variant>
      <vt:variant>
        <vt:i4>3407917</vt:i4>
      </vt:variant>
      <vt:variant>
        <vt:i4>6</vt:i4>
      </vt:variant>
      <vt:variant>
        <vt:i4>0</vt:i4>
      </vt:variant>
      <vt:variant>
        <vt:i4>5</vt:i4>
      </vt:variant>
      <vt:variant>
        <vt:lpwstr>http://www.britmycolsoc.org.uk/</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5832757</vt:i4>
      </vt:variant>
      <vt:variant>
        <vt:i4>0</vt:i4>
      </vt:variant>
      <vt:variant>
        <vt:i4>0</vt:i4>
      </vt:variant>
      <vt:variant>
        <vt:i4>5</vt:i4>
      </vt:variant>
      <vt:variant>
        <vt:lpwstr>mailto:swapan.krghosh@yahoo.com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2015-04-29T00:39:00Z</cp:lastPrinted>
  <dcterms:created xsi:type="dcterms:W3CDTF">2015-04-29T07:35:00Z</dcterms:created>
  <dcterms:modified xsi:type="dcterms:W3CDTF">2015-04-29T01:09:00Z</dcterms:modified>
</cp:coreProperties>
</file>