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98F" w:rsidRPr="00D1008C" w:rsidRDefault="00BE598F" w:rsidP="00D1008C">
      <w:pPr>
        <w:snapToGrid w:val="0"/>
        <w:ind w:right="2"/>
        <w:contextualSpacing/>
        <w:jc w:val="center"/>
        <w:outlineLvl w:val="0"/>
        <w:rPr>
          <w:b/>
          <w:bCs/>
          <w:sz w:val="20"/>
          <w:szCs w:val="20"/>
        </w:rPr>
      </w:pPr>
      <w:r w:rsidRPr="00D1008C">
        <w:rPr>
          <w:b/>
          <w:bCs/>
          <w:sz w:val="20"/>
          <w:szCs w:val="20"/>
        </w:rPr>
        <w:t>Identification of Stem Cells in Liver Tissue of Patients with HCV-induced Chronic Liver Disease Versus Hepatocellular Carcinoma: Immunohistochemical Study</w:t>
      </w:r>
    </w:p>
    <w:p w:rsidR="007632B3" w:rsidRPr="00D1008C" w:rsidRDefault="007632B3" w:rsidP="00D1008C">
      <w:pPr>
        <w:pStyle w:val="BodyText"/>
        <w:snapToGrid w:val="0"/>
        <w:spacing w:before="0" w:line="240" w:lineRule="auto"/>
        <w:ind w:right="2"/>
        <w:contextualSpacing/>
        <w:jc w:val="center"/>
        <w:rPr>
          <w:sz w:val="20"/>
          <w:szCs w:val="20"/>
          <w:vertAlign w:val="baseline"/>
          <w:lang w:eastAsia="en-US"/>
        </w:rPr>
      </w:pPr>
    </w:p>
    <w:p w:rsidR="00BE598F" w:rsidRPr="00D1008C" w:rsidRDefault="00BE598F" w:rsidP="00C82AE8">
      <w:pPr>
        <w:pStyle w:val="BodyText"/>
        <w:snapToGrid w:val="0"/>
        <w:spacing w:before="0" w:line="240" w:lineRule="auto"/>
        <w:ind w:right="2"/>
        <w:contextualSpacing/>
        <w:jc w:val="center"/>
        <w:rPr>
          <w:b w:val="0"/>
          <w:bCs w:val="0"/>
          <w:sz w:val="20"/>
          <w:szCs w:val="20"/>
          <w:vertAlign w:val="baseline"/>
          <w:lang w:eastAsia="en-US"/>
        </w:rPr>
      </w:pPr>
      <w:r w:rsidRPr="00D1008C">
        <w:rPr>
          <w:b w:val="0"/>
          <w:bCs w:val="0"/>
          <w:sz w:val="20"/>
          <w:szCs w:val="20"/>
          <w:vertAlign w:val="baseline"/>
          <w:lang w:eastAsia="en-US"/>
        </w:rPr>
        <w:t>Mohammed S. Rozaek</w:t>
      </w:r>
      <w:r w:rsidR="00EC0A2A" w:rsidRPr="00D1008C">
        <w:rPr>
          <w:b w:val="0"/>
          <w:bCs w:val="0"/>
          <w:sz w:val="20"/>
          <w:szCs w:val="20"/>
          <w:lang w:eastAsia="en-US"/>
        </w:rPr>
        <w:t>1</w:t>
      </w:r>
      <w:r w:rsidR="00D1008C">
        <w:rPr>
          <w:rFonts w:eastAsiaTheme="minorEastAsia" w:hint="eastAsia"/>
          <w:b w:val="0"/>
          <w:bCs w:val="0"/>
          <w:sz w:val="20"/>
          <w:szCs w:val="20"/>
          <w:lang w:eastAsia="zh-CN"/>
        </w:rPr>
        <w:t>,</w:t>
      </w:r>
      <w:r w:rsidR="004611F0" w:rsidRPr="00D1008C">
        <w:rPr>
          <w:rFonts w:eastAsiaTheme="minorEastAsia" w:hint="eastAsia"/>
          <w:b w:val="0"/>
          <w:bCs w:val="0"/>
          <w:sz w:val="20"/>
          <w:szCs w:val="20"/>
          <w:vertAlign w:val="baseline"/>
          <w:lang w:eastAsia="zh-CN"/>
        </w:rPr>
        <w:t xml:space="preserve"> E</w:t>
      </w:r>
      <w:r w:rsidR="00357D4E" w:rsidRPr="00D1008C">
        <w:rPr>
          <w:b w:val="0"/>
          <w:bCs w:val="0"/>
          <w:sz w:val="20"/>
          <w:szCs w:val="20"/>
          <w:vertAlign w:val="baseline"/>
          <w:lang w:eastAsia="en-US"/>
        </w:rPr>
        <w:t>lsayed</w:t>
      </w:r>
      <w:r w:rsidR="00D1008C"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G.</w:t>
      </w:r>
      <w:r w:rsidR="00D1008C"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Ammar</w:t>
      </w:r>
      <w:r w:rsidR="00EC0A2A" w:rsidRPr="00D1008C">
        <w:rPr>
          <w:b w:val="0"/>
          <w:bCs w:val="0"/>
          <w:sz w:val="20"/>
          <w:szCs w:val="20"/>
          <w:lang w:eastAsia="en-US"/>
        </w:rPr>
        <w:t>1</w:t>
      </w:r>
      <w:r w:rsidR="00BC3B44" w:rsidRPr="00D1008C">
        <w:rPr>
          <w:b w:val="0"/>
          <w:bCs w:val="0"/>
          <w:sz w:val="20"/>
          <w:szCs w:val="20"/>
          <w:vertAlign w:val="baseline"/>
          <w:lang w:eastAsia="en-US"/>
        </w:rPr>
        <w:t>,</w:t>
      </w:r>
      <w:r w:rsidR="004611F0" w:rsidRPr="00D1008C">
        <w:rPr>
          <w:rFonts w:eastAsiaTheme="minorEastAsia" w:hint="eastAsia"/>
          <w:b w:val="0"/>
          <w:bCs w:val="0"/>
          <w:sz w:val="20"/>
          <w:szCs w:val="20"/>
          <w:vertAlign w:val="baseline"/>
          <w:lang w:eastAsia="zh-CN"/>
        </w:rPr>
        <w:t xml:space="preserve"> </w:t>
      </w:r>
      <w:r w:rsidR="00357D4E" w:rsidRPr="00D1008C">
        <w:rPr>
          <w:b w:val="0"/>
          <w:bCs w:val="0"/>
          <w:sz w:val="20"/>
          <w:szCs w:val="20"/>
          <w:vertAlign w:val="baseline"/>
          <w:lang w:eastAsia="en-US"/>
        </w:rPr>
        <w:t>Olfat</w:t>
      </w:r>
      <w:r w:rsidR="00D1008C" w:rsidRPr="00D1008C">
        <w:rPr>
          <w:rFonts w:eastAsiaTheme="minorEastAsia" w:hint="eastAsia"/>
          <w:b w:val="0"/>
          <w:bCs w:val="0"/>
          <w:sz w:val="20"/>
          <w:szCs w:val="20"/>
          <w:vertAlign w:val="baseline"/>
          <w:lang w:eastAsia="zh-CN"/>
        </w:rPr>
        <w:t xml:space="preserve"> </w:t>
      </w:r>
      <w:r w:rsidR="00357D4E" w:rsidRPr="00D1008C">
        <w:rPr>
          <w:b w:val="0"/>
          <w:bCs w:val="0"/>
          <w:sz w:val="20"/>
          <w:szCs w:val="20"/>
          <w:vertAlign w:val="baseline"/>
          <w:lang w:eastAsia="en-US"/>
        </w:rPr>
        <w:t>A.</w:t>
      </w:r>
      <w:r w:rsidR="00D1008C" w:rsidRPr="00D1008C">
        <w:rPr>
          <w:rFonts w:eastAsiaTheme="minorEastAsia" w:hint="eastAsia"/>
          <w:b w:val="0"/>
          <w:bCs w:val="0"/>
          <w:sz w:val="20"/>
          <w:szCs w:val="20"/>
          <w:vertAlign w:val="baseline"/>
          <w:lang w:eastAsia="zh-CN"/>
        </w:rPr>
        <w:t xml:space="preserve"> </w:t>
      </w:r>
      <w:r w:rsidRPr="00D1008C">
        <w:rPr>
          <w:b w:val="0"/>
          <w:bCs w:val="0"/>
          <w:sz w:val="20"/>
          <w:szCs w:val="20"/>
          <w:vertAlign w:val="baseline"/>
          <w:lang w:eastAsia="en-US"/>
        </w:rPr>
        <w:t>Hammam</w:t>
      </w:r>
      <w:r w:rsidR="00EC0A2A" w:rsidRPr="00D1008C">
        <w:rPr>
          <w:b w:val="0"/>
          <w:bCs w:val="0"/>
          <w:sz w:val="20"/>
          <w:szCs w:val="20"/>
          <w:vertAlign w:val="baseline"/>
          <w:lang w:eastAsia="en-US"/>
        </w:rPr>
        <w:t>3</w:t>
      </w:r>
      <w:r w:rsidR="00112702" w:rsidRPr="00D1008C">
        <w:rPr>
          <w:b w:val="0"/>
          <w:bCs w:val="0"/>
          <w:sz w:val="20"/>
          <w:szCs w:val="20"/>
          <w:vertAlign w:val="baseline"/>
          <w:lang w:eastAsia="en-US"/>
        </w:rPr>
        <w:t>,</w:t>
      </w:r>
      <w:r w:rsidR="004611F0" w:rsidRPr="00D1008C">
        <w:rPr>
          <w:rFonts w:eastAsiaTheme="minorEastAsia" w:hint="eastAsia"/>
          <w:b w:val="0"/>
          <w:bCs w:val="0"/>
          <w:sz w:val="20"/>
          <w:szCs w:val="20"/>
          <w:vertAlign w:val="baseline"/>
          <w:lang w:eastAsia="zh-CN"/>
        </w:rPr>
        <w:t xml:space="preserve"> </w:t>
      </w:r>
      <w:r w:rsidR="00112702" w:rsidRPr="00D1008C">
        <w:rPr>
          <w:b w:val="0"/>
          <w:bCs w:val="0"/>
          <w:sz w:val="20"/>
          <w:szCs w:val="20"/>
          <w:vertAlign w:val="baseline"/>
          <w:lang w:eastAsia="en-US"/>
        </w:rPr>
        <w:t>Bahy</w:t>
      </w:r>
      <w:r w:rsidR="00D1008C" w:rsidRPr="00D1008C">
        <w:rPr>
          <w:rFonts w:eastAsiaTheme="minorEastAsia" w:hint="eastAsia"/>
          <w:b w:val="0"/>
          <w:bCs w:val="0"/>
          <w:sz w:val="20"/>
          <w:szCs w:val="20"/>
          <w:vertAlign w:val="baseline"/>
          <w:lang w:eastAsia="zh-CN"/>
        </w:rPr>
        <w:t xml:space="preserve"> </w:t>
      </w:r>
      <w:r w:rsidR="00112702" w:rsidRPr="00D1008C">
        <w:rPr>
          <w:b w:val="0"/>
          <w:bCs w:val="0"/>
          <w:sz w:val="20"/>
          <w:szCs w:val="20"/>
          <w:vertAlign w:val="baseline"/>
          <w:lang w:eastAsia="en-US"/>
        </w:rPr>
        <w:t>EL</w:t>
      </w:r>
      <w:r w:rsidR="00D1008C" w:rsidRPr="00D1008C">
        <w:rPr>
          <w:rFonts w:eastAsiaTheme="minorEastAsia" w:hint="eastAsia"/>
          <w:b w:val="0"/>
          <w:bCs w:val="0"/>
          <w:sz w:val="20"/>
          <w:szCs w:val="20"/>
          <w:vertAlign w:val="baseline"/>
          <w:lang w:eastAsia="zh-CN"/>
        </w:rPr>
        <w:t xml:space="preserve"> </w:t>
      </w:r>
      <w:r w:rsidR="00112702" w:rsidRPr="00D1008C">
        <w:rPr>
          <w:b w:val="0"/>
          <w:bCs w:val="0"/>
          <w:sz w:val="20"/>
          <w:szCs w:val="20"/>
          <w:vertAlign w:val="baseline"/>
          <w:lang w:eastAsia="en-US"/>
        </w:rPr>
        <w:t>Deen</w:t>
      </w:r>
      <w:r w:rsidR="00D1008C" w:rsidRPr="00D1008C">
        <w:rPr>
          <w:rFonts w:eastAsiaTheme="minorEastAsia" w:hint="eastAsia"/>
          <w:b w:val="0"/>
          <w:bCs w:val="0"/>
          <w:sz w:val="20"/>
          <w:szCs w:val="20"/>
          <w:vertAlign w:val="baseline"/>
          <w:lang w:eastAsia="zh-CN"/>
        </w:rPr>
        <w:t xml:space="preserve"> </w:t>
      </w:r>
      <w:r w:rsidR="00357D4E" w:rsidRPr="00D1008C">
        <w:rPr>
          <w:b w:val="0"/>
          <w:bCs w:val="0"/>
          <w:sz w:val="20"/>
          <w:szCs w:val="20"/>
          <w:vertAlign w:val="baseline"/>
          <w:lang w:eastAsia="en-US"/>
        </w:rPr>
        <w:t>E.</w:t>
      </w:r>
      <w:r w:rsidR="004611F0" w:rsidRPr="00D1008C">
        <w:rPr>
          <w:rFonts w:eastAsiaTheme="minorEastAsia" w:hint="eastAsia"/>
          <w:b w:val="0"/>
          <w:bCs w:val="0"/>
          <w:sz w:val="20"/>
          <w:szCs w:val="20"/>
          <w:vertAlign w:val="baseline"/>
          <w:lang w:eastAsia="zh-CN"/>
        </w:rPr>
        <w:t xml:space="preserve"> </w:t>
      </w:r>
      <w:r w:rsidR="00357D4E" w:rsidRPr="00D1008C">
        <w:rPr>
          <w:b w:val="0"/>
          <w:bCs w:val="0"/>
          <w:sz w:val="20"/>
          <w:szCs w:val="20"/>
          <w:vertAlign w:val="baseline"/>
          <w:lang w:eastAsia="en-US"/>
        </w:rPr>
        <w:t>El</w:t>
      </w:r>
      <w:r w:rsidR="00BC3B44" w:rsidRPr="00D1008C">
        <w:rPr>
          <w:b w:val="0"/>
          <w:bCs w:val="0"/>
          <w:sz w:val="20"/>
          <w:szCs w:val="20"/>
          <w:vertAlign w:val="baseline"/>
          <w:lang w:eastAsia="en-US"/>
        </w:rPr>
        <w:t>bahnasawy</w:t>
      </w:r>
      <w:r w:rsidR="00EC0A2A" w:rsidRPr="00D1008C">
        <w:rPr>
          <w:b w:val="0"/>
          <w:bCs w:val="0"/>
          <w:sz w:val="20"/>
          <w:szCs w:val="20"/>
          <w:lang w:eastAsia="en-US"/>
        </w:rPr>
        <w:t>2</w:t>
      </w:r>
      <w:r w:rsidR="00112702" w:rsidRPr="00D1008C">
        <w:rPr>
          <w:b w:val="0"/>
          <w:bCs w:val="0"/>
          <w:sz w:val="20"/>
          <w:szCs w:val="20"/>
          <w:vertAlign w:val="baseline"/>
          <w:lang w:eastAsia="en-US"/>
        </w:rPr>
        <w:t>,</w:t>
      </w:r>
      <w:r w:rsidR="004611F0" w:rsidRPr="00D1008C">
        <w:rPr>
          <w:rFonts w:eastAsiaTheme="minorEastAsia" w:hint="eastAsia"/>
          <w:b w:val="0"/>
          <w:bCs w:val="0"/>
          <w:sz w:val="20"/>
          <w:szCs w:val="20"/>
          <w:vertAlign w:val="baseline"/>
          <w:lang w:eastAsia="zh-CN"/>
        </w:rPr>
        <w:t xml:space="preserve"> </w:t>
      </w:r>
      <w:r w:rsidR="00112702" w:rsidRPr="00D1008C">
        <w:rPr>
          <w:b w:val="0"/>
          <w:bCs w:val="0"/>
          <w:sz w:val="20"/>
          <w:szCs w:val="20"/>
          <w:vertAlign w:val="baseline"/>
          <w:lang w:eastAsia="en-US"/>
        </w:rPr>
        <w:t>Moh</w:t>
      </w:r>
      <w:r w:rsidR="00F2459C">
        <w:rPr>
          <w:b w:val="0"/>
          <w:bCs w:val="0"/>
          <w:sz w:val="20"/>
          <w:szCs w:val="20"/>
          <w:vertAlign w:val="baseline"/>
          <w:lang w:eastAsia="en-US"/>
        </w:rPr>
        <w:t>a</w:t>
      </w:r>
      <w:r w:rsidR="00112702" w:rsidRPr="00D1008C">
        <w:rPr>
          <w:b w:val="0"/>
          <w:bCs w:val="0"/>
          <w:sz w:val="20"/>
          <w:szCs w:val="20"/>
          <w:vertAlign w:val="baseline"/>
          <w:lang w:eastAsia="en-US"/>
        </w:rPr>
        <w:t>mmed</w:t>
      </w:r>
      <w:r w:rsidR="00D1008C" w:rsidRPr="00D1008C">
        <w:rPr>
          <w:rFonts w:eastAsiaTheme="minorEastAsia" w:hint="eastAsia"/>
          <w:b w:val="0"/>
          <w:bCs w:val="0"/>
          <w:sz w:val="20"/>
          <w:szCs w:val="20"/>
          <w:vertAlign w:val="baseline"/>
          <w:lang w:eastAsia="zh-CN"/>
        </w:rPr>
        <w:t xml:space="preserve"> </w:t>
      </w:r>
      <w:r w:rsidR="00112702" w:rsidRPr="00D1008C">
        <w:rPr>
          <w:b w:val="0"/>
          <w:bCs w:val="0"/>
          <w:sz w:val="20"/>
          <w:szCs w:val="20"/>
          <w:vertAlign w:val="baseline"/>
          <w:lang w:eastAsia="en-US"/>
        </w:rPr>
        <w:t>Salah</w:t>
      </w:r>
      <w:r w:rsidR="00D1008C" w:rsidRPr="00D1008C">
        <w:rPr>
          <w:rFonts w:eastAsiaTheme="minorEastAsia" w:hint="eastAsia"/>
          <w:b w:val="0"/>
          <w:bCs w:val="0"/>
          <w:sz w:val="20"/>
          <w:szCs w:val="20"/>
          <w:vertAlign w:val="baseline"/>
          <w:lang w:eastAsia="zh-CN"/>
        </w:rPr>
        <w:t xml:space="preserve"> </w:t>
      </w:r>
      <w:r w:rsidR="00112702" w:rsidRPr="00D1008C">
        <w:rPr>
          <w:b w:val="0"/>
          <w:bCs w:val="0"/>
          <w:sz w:val="20"/>
          <w:szCs w:val="20"/>
          <w:vertAlign w:val="baseline"/>
          <w:lang w:eastAsia="en-US"/>
        </w:rPr>
        <w:t>Ali</w:t>
      </w:r>
      <w:r w:rsidR="00EC0A2A" w:rsidRPr="00D1008C">
        <w:rPr>
          <w:b w:val="0"/>
          <w:bCs w:val="0"/>
          <w:sz w:val="20"/>
          <w:szCs w:val="20"/>
          <w:lang w:eastAsia="en-US"/>
        </w:rPr>
        <w:t>2</w:t>
      </w:r>
      <w:r w:rsidR="00BC3B44" w:rsidRPr="00D1008C">
        <w:rPr>
          <w:b w:val="0"/>
          <w:bCs w:val="0"/>
          <w:sz w:val="20"/>
          <w:szCs w:val="20"/>
          <w:vertAlign w:val="baseline"/>
          <w:lang w:eastAsia="en-US"/>
        </w:rPr>
        <w:t>,</w:t>
      </w:r>
      <w:r w:rsidR="004611F0"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Hend</w:t>
      </w:r>
      <w:r w:rsidR="00357D4E" w:rsidRPr="00D1008C">
        <w:rPr>
          <w:b w:val="0"/>
          <w:bCs w:val="0"/>
          <w:sz w:val="20"/>
          <w:szCs w:val="20"/>
          <w:vertAlign w:val="baseline"/>
          <w:lang w:eastAsia="en-US"/>
        </w:rPr>
        <w:t>awy</w:t>
      </w:r>
      <w:r w:rsidR="00BC3B44" w:rsidRPr="00D1008C">
        <w:rPr>
          <w:b w:val="0"/>
          <w:bCs w:val="0"/>
          <w:sz w:val="20"/>
          <w:szCs w:val="20"/>
          <w:vertAlign w:val="baseline"/>
          <w:lang w:eastAsia="en-US"/>
        </w:rPr>
        <w:t>A.Zedan</w:t>
      </w:r>
      <w:r w:rsidR="00EC0A2A" w:rsidRPr="00D1008C">
        <w:rPr>
          <w:b w:val="0"/>
          <w:bCs w:val="0"/>
          <w:sz w:val="20"/>
          <w:szCs w:val="20"/>
          <w:lang w:eastAsia="en-US"/>
        </w:rPr>
        <w:t>2</w:t>
      </w:r>
      <w:r w:rsidR="00BC3B44" w:rsidRPr="00D1008C">
        <w:rPr>
          <w:b w:val="0"/>
          <w:bCs w:val="0"/>
          <w:sz w:val="20"/>
          <w:szCs w:val="20"/>
          <w:vertAlign w:val="baseline"/>
          <w:lang w:eastAsia="en-US"/>
        </w:rPr>
        <w:t>,</w:t>
      </w:r>
      <w:r w:rsidR="004611F0"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Hosam</w:t>
      </w:r>
      <w:r w:rsidR="004611F0"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Eldeen</w:t>
      </w:r>
      <w:r w:rsidR="004611F0"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S.</w:t>
      </w:r>
      <w:r w:rsidR="004611F0" w:rsidRPr="00D1008C">
        <w:rPr>
          <w:rFonts w:eastAsiaTheme="minorEastAsia" w:hint="eastAsia"/>
          <w:b w:val="0"/>
          <w:bCs w:val="0"/>
          <w:sz w:val="20"/>
          <w:szCs w:val="20"/>
          <w:vertAlign w:val="baseline"/>
          <w:lang w:eastAsia="zh-CN"/>
        </w:rPr>
        <w:t xml:space="preserve"> </w:t>
      </w:r>
      <w:r w:rsidR="00BC3B44" w:rsidRPr="00D1008C">
        <w:rPr>
          <w:b w:val="0"/>
          <w:bCs w:val="0"/>
          <w:sz w:val="20"/>
          <w:szCs w:val="20"/>
          <w:vertAlign w:val="baseline"/>
          <w:lang w:eastAsia="en-US"/>
        </w:rPr>
        <w:t>Shabana</w:t>
      </w:r>
      <w:r w:rsidR="00EC0A2A" w:rsidRPr="00D1008C">
        <w:rPr>
          <w:b w:val="0"/>
          <w:bCs w:val="0"/>
          <w:sz w:val="20"/>
          <w:szCs w:val="20"/>
          <w:lang w:eastAsia="en-US"/>
        </w:rPr>
        <w:t>2</w:t>
      </w:r>
      <w:r w:rsidR="007632B3" w:rsidRPr="00D1008C">
        <w:rPr>
          <w:b w:val="0"/>
          <w:bCs w:val="0"/>
          <w:sz w:val="20"/>
          <w:szCs w:val="20"/>
          <w:vertAlign w:val="baseline"/>
          <w:lang w:eastAsia="en-US"/>
        </w:rPr>
        <w:t xml:space="preserve"> and </w:t>
      </w:r>
      <w:r w:rsidR="00357D4E" w:rsidRPr="00D1008C">
        <w:rPr>
          <w:b w:val="0"/>
          <w:bCs w:val="0"/>
          <w:sz w:val="20"/>
          <w:szCs w:val="20"/>
          <w:vertAlign w:val="baseline"/>
          <w:lang w:eastAsia="en-US"/>
        </w:rPr>
        <w:t>Farag</w:t>
      </w:r>
      <w:r w:rsidR="004611F0" w:rsidRPr="00D1008C">
        <w:rPr>
          <w:rFonts w:eastAsiaTheme="minorEastAsia" w:hint="eastAsia"/>
          <w:b w:val="0"/>
          <w:bCs w:val="0"/>
          <w:sz w:val="20"/>
          <w:szCs w:val="20"/>
          <w:vertAlign w:val="baseline"/>
          <w:lang w:eastAsia="zh-CN"/>
        </w:rPr>
        <w:t xml:space="preserve"> </w:t>
      </w:r>
      <w:r w:rsidR="007632B3" w:rsidRPr="00D1008C">
        <w:rPr>
          <w:b w:val="0"/>
          <w:bCs w:val="0"/>
          <w:sz w:val="20"/>
          <w:szCs w:val="20"/>
          <w:vertAlign w:val="baseline"/>
          <w:lang w:eastAsia="en-US"/>
        </w:rPr>
        <w:t>Khalil</w:t>
      </w:r>
      <w:r w:rsidR="00C82AE8">
        <w:rPr>
          <w:b w:val="0"/>
          <w:bCs w:val="0"/>
          <w:sz w:val="20"/>
          <w:szCs w:val="20"/>
          <w:lang w:eastAsia="en-US"/>
        </w:rPr>
        <w:t>2</w:t>
      </w:r>
    </w:p>
    <w:p w:rsidR="00BE598F" w:rsidRPr="00D1008C" w:rsidRDefault="00BE598F" w:rsidP="00D1008C">
      <w:pPr>
        <w:pStyle w:val="BodyText"/>
        <w:snapToGrid w:val="0"/>
        <w:spacing w:before="0" w:line="240" w:lineRule="auto"/>
        <w:ind w:right="2"/>
        <w:contextualSpacing/>
        <w:jc w:val="center"/>
        <w:rPr>
          <w:b w:val="0"/>
          <w:bCs w:val="0"/>
          <w:sz w:val="20"/>
          <w:szCs w:val="20"/>
          <w:vertAlign w:val="baseline"/>
          <w:lang w:eastAsia="en-US"/>
        </w:rPr>
      </w:pPr>
    </w:p>
    <w:p w:rsidR="00EC0A2A" w:rsidRPr="00D1008C" w:rsidRDefault="00182227" w:rsidP="00D1008C">
      <w:pPr>
        <w:pStyle w:val="BodyText"/>
        <w:snapToGrid w:val="0"/>
        <w:spacing w:before="0" w:line="240" w:lineRule="auto"/>
        <w:ind w:right="2"/>
        <w:contextualSpacing/>
        <w:jc w:val="center"/>
        <w:rPr>
          <w:b w:val="0"/>
          <w:bCs w:val="0"/>
          <w:sz w:val="20"/>
          <w:szCs w:val="20"/>
          <w:vertAlign w:val="baseline"/>
        </w:rPr>
      </w:pPr>
      <w:r w:rsidRPr="00D1008C">
        <w:rPr>
          <w:b w:val="0"/>
          <w:bCs w:val="0"/>
          <w:sz w:val="20"/>
          <w:szCs w:val="20"/>
          <w:vertAlign w:val="baseline"/>
        </w:rPr>
        <w:t>Tropical Medicine</w:t>
      </w:r>
      <w:r w:rsidR="00853E04" w:rsidRPr="00D1008C">
        <w:rPr>
          <w:b w:val="0"/>
          <w:bCs w:val="0"/>
          <w:sz w:val="20"/>
          <w:szCs w:val="20"/>
          <w:vertAlign w:val="baseline"/>
        </w:rPr>
        <w:t xml:space="preserve"> Department</w:t>
      </w:r>
      <w:r w:rsidR="00EC0A2A" w:rsidRPr="00D1008C">
        <w:rPr>
          <w:b w:val="0"/>
          <w:bCs w:val="0"/>
          <w:sz w:val="20"/>
          <w:szCs w:val="20"/>
        </w:rPr>
        <w:t>1</w:t>
      </w:r>
      <w:r w:rsidR="00853E04" w:rsidRPr="00D1008C">
        <w:rPr>
          <w:b w:val="0"/>
          <w:bCs w:val="0"/>
          <w:sz w:val="20"/>
          <w:szCs w:val="20"/>
          <w:vertAlign w:val="baseline"/>
        </w:rPr>
        <w:t>, Internal Medicine</w:t>
      </w:r>
      <w:r w:rsidRPr="00D1008C">
        <w:rPr>
          <w:b w:val="0"/>
          <w:bCs w:val="0"/>
          <w:sz w:val="20"/>
          <w:szCs w:val="20"/>
          <w:vertAlign w:val="baseline"/>
        </w:rPr>
        <w:t xml:space="preserve"> Department</w:t>
      </w:r>
      <w:r w:rsidR="00EC0A2A" w:rsidRPr="00D1008C">
        <w:rPr>
          <w:b w:val="0"/>
          <w:bCs w:val="0"/>
          <w:sz w:val="20"/>
          <w:szCs w:val="20"/>
        </w:rPr>
        <w:t>2</w:t>
      </w:r>
      <w:r w:rsidRPr="00D1008C">
        <w:rPr>
          <w:b w:val="0"/>
          <w:bCs w:val="0"/>
          <w:sz w:val="20"/>
          <w:szCs w:val="20"/>
          <w:vertAlign w:val="baseline"/>
        </w:rPr>
        <w:t>, Faculty of Medic</w:t>
      </w:r>
      <w:r w:rsidR="00853E04" w:rsidRPr="00D1008C">
        <w:rPr>
          <w:b w:val="0"/>
          <w:bCs w:val="0"/>
          <w:sz w:val="20"/>
          <w:szCs w:val="20"/>
          <w:vertAlign w:val="baseline"/>
        </w:rPr>
        <w:t>ine, Al Azhar University, Egypt</w:t>
      </w:r>
    </w:p>
    <w:p w:rsidR="00BE598F" w:rsidRPr="00D1008C" w:rsidRDefault="00853E04" w:rsidP="00D1008C">
      <w:pPr>
        <w:pStyle w:val="BodyText"/>
        <w:snapToGrid w:val="0"/>
        <w:spacing w:before="0" w:line="240" w:lineRule="auto"/>
        <w:ind w:right="2"/>
        <w:contextualSpacing/>
        <w:jc w:val="center"/>
        <w:rPr>
          <w:b w:val="0"/>
          <w:bCs w:val="0"/>
          <w:sz w:val="20"/>
          <w:szCs w:val="20"/>
          <w:vertAlign w:val="baseline"/>
        </w:rPr>
      </w:pPr>
      <w:r w:rsidRPr="00D1008C">
        <w:rPr>
          <w:b w:val="0"/>
          <w:bCs w:val="0"/>
          <w:sz w:val="20"/>
          <w:szCs w:val="20"/>
          <w:vertAlign w:val="baseline"/>
        </w:rPr>
        <w:t>Pathology</w:t>
      </w:r>
      <w:r w:rsidR="00182227" w:rsidRPr="00D1008C">
        <w:rPr>
          <w:b w:val="0"/>
          <w:bCs w:val="0"/>
          <w:sz w:val="20"/>
          <w:szCs w:val="20"/>
          <w:vertAlign w:val="baseline"/>
        </w:rPr>
        <w:t xml:space="preserve"> Department</w:t>
      </w:r>
      <w:r w:rsidR="00BB0202" w:rsidRPr="00D1008C">
        <w:rPr>
          <w:b w:val="0"/>
          <w:bCs w:val="0"/>
          <w:sz w:val="20"/>
          <w:szCs w:val="20"/>
          <w:vertAlign w:val="baseline"/>
        </w:rPr>
        <w:t>Theodor</w:t>
      </w:r>
      <w:r w:rsidR="00BE598F" w:rsidRPr="00D1008C">
        <w:rPr>
          <w:b w:val="0"/>
          <w:bCs w:val="0"/>
          <w:sz w:val="20"/>
          <w:szCs w:val="20"/>
          <w:vertAlign w:val="baseline"/>
        </w:rPr>
        <w:t>Bilharz Research Institute</w:t>
      </w:r>
      <w:r w:rsidR="00EC0A2A" w:rsidRPr="00D1008C">
        <w:rPr>
          <w:b w:val="0"/>
          <w:bCs w:val="0"/>
          <w:sz w:val="20"/>
          <w:szCs w:val="20"/>
        </w:rPr>
        <w:t>3</w:t>
      </w:r>
      <w:r w:rsidR="007632B3" w:rsidRPr="00D1008C">
        <w:rPr>
          <w:b w:val="0"/>
          <w:bCs w:val="0"/>
          <w:sz w:val="20"/>
          <w:szCs w:val="20"/>
          <w:vertAlign w:val="baseline"/>
        </w:rPr>
        <w:t>, Egypt</w:t>
      </w:r>
    </w:p>
    <w:p w:rsidR="00BE598F" w:rsidRPr="00D1008C" w:rsidRDefault="00E32D2A" w:rsidP="00D1008C">
      <w:pPr>
        <w:pStyle w:val="BodyText"/>
        <w:snapToGrid w:val="0"/>
        <w:spacing w:before="0" w:line="240" w:lineRule="auto"/>
        <w:ind w:right="2"/>
        <w:contextualSpacing/>
        <w:jc w:val="center"/>
        <w:rPr>
          <w:b w:val="0"/>
          <w:bCs w:val="0"/>
          <w:color w:val="000000"/>
          <w:sz w:val="20"/>
          <w:szCs w:val="20"/>
          <w:vertAlign w:val="baseline"/>
        </w:rPr>
      </w:pPr>
      <w:hyperlink r:id="rId8" w:history="1">
        <w:r w:rsidR="006961A4" w:rsidRPr="00D1008C">
          <w:rPr>
            <w:rStyle w:val="Hyperlink"/>
            <w:b w:val="0"/>
            <w:bCs w:val="0"/>
            <w:sz w:val="20"/>
            <w:szCs w:val="20"/>
            <w:vertAlign w:val="baseline"/>
          </w:rPr>
          <w:t>drsaidammar@yahoo.com</w:t>
        </w:r>
      </w:hyperlink>
    </w:p>
    <w:p w:rsidR="007632B3" w:rsidRPr="00D1008C" w:rsidRDefault="007632B3" w:rsidP="004611F0">
      <w:pPr>
        <w:pStyle w:val="BodyText"/>
        <w:snapToGrid w:val="0"/>
        <w:spacing w:before="0" w:line="240" w:lineRule="auto"/>
        <w:contextualSpacing/>
        <w:jc w:val="center"/>
        <w:rPr>
          <w:color w:val="000000"/>
          <w:sz w:val="20"/>
          <w:szCs w:val="20"/>
          <w:vertAlign w:val="baseline"/>
        </w:rPr>
      </w:pPr>
    </w:p>
    <w:p w:rsidR="00D76EFF" w:rsidRPr="00D1008C" w:rsidRDefault="00BE598F" w:rsidP="00D1008C">
      <w:pPr>
        <w:pStyle w:val="BodyText"/>
        <w:snapToGrid w:val="0"/>
        <w:spacing w:before="0" w:line="240" w:lineRule="auto"/>
        <w:contextualSpacing/>
        <w:jc w:val="both"/>
        <w:rPr>
          <w:rFonts w:eastAsiaTheme="minorEastAsia"/>
          <w:sz w:val="20"/>
          <w:szCs w:val="20"/>
          <w:lang w:eastAsia="zh-CN" w:bidi="ar-EG"/>
        </w:rPr>
      </w:pPr>
      <w:r w:rsidRPr="00D1008C">
        <w:rPr>
          <w:color w:val="000000"/>
          <w:sz w:val="20"/>
          <w:szCs w:val="20"/>
          <w:vertAlign w:val="baseline"/>
        </w:rPr>
        <w:t>Abstract</w:t>
      </w:r>
      <w:r w:rsidR="007632B3" w:rsidRPr="00D1008C">
        <w:rPr>
          <w:color w:val="000000"/>
          <w:sz w:val="20"/>
          <w:szCs w:val="20"/>
          <w:vertAlign w:val="baseline"/>
        </w:rPr>
        <w:t xml:space="preserve">: </w:t>
      </w:r>
      <w:r w:rsidR="00182227" w:rsidRPr="00D1008C">
        <w:rPr>
          <w:b w:val="0"/>
          <w:bCs w:val="0"/>
          <w:color w:val="000000"/>
          <w:sz w:val="20"/>
          <w:szCs w:val="20"/>
          <w:vertAlign w:val="baseline"/>
        </w:rPr>
        <w:t>Hepatitis C virus infection is a worldwide problem;</w:t>
      </w:r>
      <w:r w:rsidR="005D72CC">
        <w:rPr>
          <w:rFonts w:eastAsiaTheme="minorEastAsia" w:hint="eastAsia"/>
          <w:b w:val="0"/>
          <w:bCs w:val="0"/>
          <w:color w:val="000000"/>
          <w:sz w:val="20"/>
          <w:szCs w:val="20"/>
          <w:vertAlign w:val="baseline"/>
          <w:lang w:eastAsia="zh-CN"/>
        </w:rPr>
        <w:t xml:space="preserve"> </w:t>
      </w:r>
      <w:r w:rsidR="007120AF" w:rsidRPr="00D1008C">
        <w:rPr>
          <w:b w:val="0"/>
          <w:bCs w:val="0"/>
          <w:color w:val="000000"/>
          <w:sz w:val="20"/>
          <w:szCs w:val="20"/>
          <w:vertAlign w:val="baseline"/>
        </w:rPr>
        <w:t>people are chronically infected and at risk of developing liver diseases including cirrhosis and cancer</w:t>
      </w:r>
      <w:r w:rsidR="005D72CC">
        <w:rPr>
          <w:rFonts w:eastAsiaTheme="minorEastAsia" w:hint="eastAsia"/>
          <w:b w:val="0"/>
          <w:bCs w:val="0"/>
          <w:color w:val="000000"/>
          <w:sz w:val="20"/>
          <w:szCs w:val="20"/>
          <w:vertAlign w:val="baseline"/>
          <w:lang w:eastAsia="zh-CN"/>
        </w:rPr>
        <w:t xml:space="preserve">. </w:t>
      </w:r>
      <w:r w:rsidR="00EA6FB9" w:rsidRPr="00D1008C">
        <w:rPr>
          <w:b w:val="0"/>
          <w:bCs w:val="0"/>
          <w:sz w:val="20"/>
          <w:szCs w:val="20"/>
          <w:vertAlign w:val="baseline"/>
        </w:rPr>
        <w:t>In recent years, a variety of stem cell markers such as CD34, CD133, CK7, CKl9, and OV6 have been found to be expressed in tumors along with intensive studies of stem cells, some of which are correlated with poor postoperative prognosis.</w:t>
      </w:r>
      <w:r w:rsidR="005D72CC">
        <w:rPr>
          <w:rFonts w:eastAsiaTheme="minorEastAsia" w:hint="eastAsia"/>
          <w:b w:val="0"/>
          <w:bCs w:val="0"/>
          <w:sz w:val="20"/>
          <w:szCs w:val="20"/>
          <w:vertAlign w:val="baseline"/>
          <w:lang w:eastAsia="zh-CN"/>
        </w:rPr>
        <w:t xml:space="preserve"> </w:t>
      </w:r>
      <w:r w:rsidR="00EA6FB9" w:rsidRPr="00D1008C">
        <w:rPr>
          <w:b w:val="0"/>
          <w:bCs w:val="0"/>
          <w:sz w:val="20"/>
          <w:szCs w:val="20"/>
          <w:vertAlign w:val="baseline"/>
        </w:rPr>
        <w:t>High expression of OCT4 in tumors such as breast cancer, bladder cancer, and oral squamous cell carcinoma predicts a poor prognosis. Aim of the work-To evaluate hepatic expression of OV6, Cytokeratin 19 and (Oct3/4) in patients with HCV-induced chronic liver disease versus HCC and its correlation with the histologic activity, laboratory and clinical parameters</w:t>
      </w:r>
      <w:r w:rsidR="00D1008C">
        <w:rPr>
          <w:b w:val="0"/>
          <w:bCs w:val="0"/>
          <w:sz w:val="20"/>
          <w:szCs w:val="20"/>
          <w:vertAlign w:val="baseline"/>
        </w:rPr>
        <w:t>.</w:t>
      </w:r>
      <w:r w:rsidR="005D72CC">
        <w:rPr>
          <w:rFonts w:eastAsiaTheme="minorEastAsia" w:hint="eastAsia"/>
          <w:b w:val="0"/>
          <w:bCs w:val="0"/>
          <w:sz w:val="20"/>
          <w:szCs w:val="20"/>
          <w:vertAlign w:val="baseline"/>
          <w:lang w:eastAsia="zh-CN"/>
        </w:rPr>
        <w:t xml:space="preserve"> </w:t>
      </w:r>
      <w:r w:rsidR="003A4EDB" w:rsidRPr="00D1008C">
        <w:rPr>
          <w:b w:val="0"/>
          <w:bCs w:val="0"/>
          <w:sz w:val="20"/>
          <w:szCs w:val="20"/>
          <w:vertAlign w:val="baseline"/>
        </w:rPr>
        <w:t>Patients and Methods</w:t>
      </w:r>
      <w:r w:rsidR="005D72CC">
        <w:rPr>
          <w:rFonts w:eastAsiaTheme="minorEastAsia" w:hint="eastAsia"/>
          <w:b w:val="0"/>
          <w:bCs w:val="0"/>
          <w:sz w:val="20"/>
          <w:szCs w:val="20"/>
          <w:vertAlign w:val="baseline"/>
          <w:lang w:eastAsia="zh-CN"/>
        </w:rPr>
        <w:t>:</w:t>
      </w:r>
      <w:r w:rsidR="003A4EDB" w:rsidRPr="00D1008C">
        <w:rPr>
          <w:b w:val="0"/>
          <w:bCs w:val="0"/>
          <w:sz w:val="20"/>
          <w:szCs w:val="20"/>
          <w:vertAlign w:val="baseline"/>
        </w:rPr>
        <w:t xml:space="preserve"> The present study was conducted on 75 selected patients and10 normal (age and sex matched) subjects were included as control group.</w:t>
      </w:r>
      <w:r w:rsidR="00D1008C" w:rsidRPr="00D1008C">
        <w:rPr>
          <w:rFonts w:eastAsiaTheme="minorEastAsia" w:hint="eastAsia"/>
          <w:b w:val="0"/>
          <w:bCs w:val="0"/>
          <w:sz w:val="20"/>
          <w:szCs w:val="20"/>
          <w:vertAlign w:val="baseline"/>
          <w:lang w:eastAsia="zh-CN"/>
        </w:rPr>
        <w:t xml:space="preserve"> </w:t>
      </w:r>
      <w:r w:rsidR="003A4EDB" w:rsidRPr="00D1008C">
        <w:rPr>
          <w:b w:val="0"/>
          <w:sz w:val="20"/>
          <w:szCs w:val="20"/>
          <w:vertAlign w:val="baseline"/>
        </w:rPr>
        <w:t>The studied patients were divided into 4 groups: Group I: 20 patients with chronic viral hepatitis C.</w:t>
      </w:r>
      <w:r w:rsidR="005D72CC">
        <w:rPr>
          <w:rFonts w:eastAsiaTheme="minorEastAsia" w:hint="eastAsia"/>
          <w:b w:val="0"/>
          <w:sz w:val="20"/>
          <w:szCs w:val="20"/>
          <w:vertAlign w:val="baseline"/>
          <w:lang w:eastAsia="zh-CN"/>
        </w:rPr>
        <w:t xml:space="preserve"> </w:t>
      </w:r>
      <w:r w:rsidR="003A4EDB" w:rsidRPr="00D1008C">
        <w:rPr>
          <w:b w:val="0"/>
          <w:sz w:val="20"/>
          <w:szCs w:val="20"/>
          <w:vertAlign w:val="baseline"/>
        </w:rPr>
        <w:t>GroupII: 25 patients with post hepatitis (C) cirrhosis,</w:t>
      </w:r>
      <w:r w:rsidR="005D72CC">
        <w:rPr>
          <w:rFonts w:eastAsiaTheme="minorEastAsia" w:hint="eastAsia"/>
          <w:b w:val="0"/>
          <w:sz w:val="20"/>
          <w:szCs w:val="20"/>
          <w:vertAlign w:val="baseline"/>
          <w:lang w:eastAsia="zh-CN"/>
        </w:rPr>
        <w:t xml:space="preserve"> </w:t>
      </w:r>
      <w:r w:rsidR="003A4EDB" w:rsidRPr="00D1008C">
        <w:rPr>
          <w:b w:val="0"/>
          <w:sz w:val="20"/>
          <w:szCs w:val="20"/>
          <w:vertAlign w:val="baseline"/>
        </w:rPr>
        <w:t>GroupIII: 30 patients with hepatocellular carcinoma,</w:t>
      </w:r>
      <w:r w:rsidR="005D72CC">
        <w:rPr>
          <w:rFonts w:eastAsiaTheme="minorEastAsia" w:hint="eastAsia"/>
          <w:b w:val="0"/>
          <w:sz w:val="20"/>
          <w:szCs w:val="20"/>
          <w:vertAlign w:val="baseline"/>
          <w:lang w:eastAsia="zh-CN"/>
        </w:rPr>
        <w:t xml:space="preserve"> </w:t>
      </w:r>
      <w:r w:rsidR="003A4EDB" w:rsidRPr="00D1008C">
        <w:rPr>
          <w:b w:val="0"/>
          <w:sz w:val="20"/>
          <w:szCs w:val="20"/>
          <w:vertAlign w:val="baseline"/>
        </w:rPr>
        <w:t>Group IV: 10 healthy individuals as control</w:t>
      </w:r>
      <w:r w:rsidR="00EA6FB9" w:rsidRPr="00D1008C">
        <w:rPr>
          <w:b w:val="0"/>
          <w:sz w:val="20"/>
          <w:szCs w:val="20"/>
          <w:vertAlign w:val="baseline"/>
        </w:rPr>
        <w:t>.</w:t>
      </w:r>
      <w:r w:rsidR="0004777E" w:rsidRPr="00D1008C">
        <w:rPr>
          <w:b w:val="0"/>
          <w:sz w:val="20"/>
          <w:szCs w:val="20"/>
          <w:vertAlign w:val="baseline"/>
        </w:rPr>
        <w:t>, liver biopsies were taken from all groups and in control group from individuals subjected to cholecystectomy after receiving their consent.</w:t>
      </w:r>
      <w:r w:rsidR="005D72CC">
        <w:rPr>
          <w:rFonts w:eastAsiaTheme="minorEastAsia" w:hint="eastAsia"/>
          <w:b w:val="0"/>
          <w:sz w:val="20"/>
          <w:szCs w:val="20"/>
          <w:vertAlign w:val="baseline"/>
          <w:lang w:eastAsia="zh-CN"/>
        </w:rPr>
        <w:t xml:space="preserve"> </w:t>
      </w:r>
      <w:r w:rsidR="0004777E" w:rsidRPr="00D1008C">
        <w:rPr>
          <w:b w:val="0"/>
          <w:sz w:val="20"/>
          <w:szCs w:val="20"/>
          <w:vertAlign w:val="baseline"/>
        </w:rPr>
        <w:t>Immunohistiochemistry:</w:t>
      </w:r>
      <w:r w:rsidR="005D72CC">
        <w:rPr>
          <w:rFonts w:eastAsiaTheme="minorEastAsia" w:hint="eastAsia"/>
          <w:b w:val="0"/>
          <w:sz w:val="20"/>
          <w:szCs w:val="20"/>
          <w:vertAlign w:val="baseline"/>
          <w:lang w:eastAsia="zh-CN"/>
        </w:rPr>
        <w:t xml:space="preserve"> </w:t>
      </w:r>
      <w:r w:rsidR="0004777E" w:rsidRPr="00D1008C">
        <w:rPr>
          <w:b w:val="0"/>
          <w:sz w:val="20"/>
          <w:szCs w:val="20"/>
          <w:vertAlign w:val="baseline"/>
        </w:rPr>
        <w:t>Paraffin sections on positive charged slides were pretreated for antigen retrieval, then with s</w:t>
      </w:r>
      <w:bookmarkStart w:id="0" w:name="_GoBack"/>
      <w:bookmarkEnd w:id="0"/>
      <w:r w:rsidR="0004777E" w:rsidRPr="00D1008C">
        <w:rPr>
          <w:b w:val="0"/>
          <w:sz w:val="20"/>
          <w:szCs w:val="20"/>
          <w:vertAlign w:val="baseline"/>
        </w:rPr>
        <w:t xml:space="preserve">upersensitive monoclonal human antibodies against OV6, CK19 and OCT3/4 with blockage of internal peroxidase activity. Streptavidin biotin peroxidase detection system was used, utilizing DAB as a chromogen and hematoxylin as a counter stain </w:t>
      </w:r>
      <w:r w:rsidR="00D76EFF" w:rsidRPr="00D1008C">
        <w:rPr>
          <w:b w:val="0"/>
          <w:sz w:val="20"/>
          <w:szCs w:val="20"/>
          <w:vertAlign w:val="baseline"/>
        </w:rPr>
        <w:t>results.</w:t>
      </w:r>
      <w:r w:rsidR="005D72CC">
        <w:rPr>
          <w:rFonts w:eastAsiaTheme="minorEastAsia" w:hint="eastAsia"/>
          <w:b w:val="0"/>
          <w:sz w:val="20"/>
          <w:szCs w:val="20"/>
          <w:vertAlign w:val="baseline"/>
          <w:lang w:eastAsia="zh-CN"/>
        </w:rPr>
        <w:t xml:space="preserve"> </w:t>
      </w:r>
      <w:r w:rsidR="00D76EFF" w:rsidRPr="00D1008C">
        <w:rPr>
          <w:b w:val="0"/>
          <w:sz w:val="20"/>
          <w:szCs w:val="20"/>
          <w:vertAlign w:val="baseline"/>
        </w:rPr>
        <w:t>The mean values of OV6 level showed a highly significant increase in group</w:t>
      </w:r>
      <w:r w:rsidR="00147E69" w:rsidRPr="00D1008C">
        <w:rPr>
          <w:b w:val="0"/>
          <w:sz w:val="20"/>
          <w:szCs w:val="20"/>
          <w:vertAlign w:val="baseline"/>
        </w:rPr>
        <w:t>s</w:t>
      </w:r>
      <w:r w:rsidR="00D76EFF" w:rsidRPr="00D1008C">
        <w:rPr>
          <w:b w:val="0"/>
          <w:sz w:val="20"/>
          <w:szCs w:val="20"/>
          <w:vertAlign w:val="baseline"/>
        </w:rPr>
        <w:t xml:space="preserve"> II and III compared to group I (</w:t>
      </w:r>
      <w:r w:rsidR="00D76EFF" w:rsidRPr="00D1008C">
        <w:rPr>
          <w:b w:val="0"/>
          <w:i/>
          <w:iCs/>
          <w:sz w:val="20"/>
          <w:szCs w:val="20"/>
          <w:vertAlign w:val="baseline"/>
        </w:rPr>
        <w:t>p</w:t>
      </w:r>
      <w:r w:rsidR="00D76EFF" w:rsidRPr="00D1008C">
        <w:rPr>
          <w:b w:val="0"/>
          <w:sz w:val="20"/>
          <w:szCs w:val="20"/>
          <w:vertAlign w:val="baseline"/>
        </w:rPr>
        <w:t xml:space="preserve"> value &lt; 0.01) and a highly significant increase in group III compared to group II (</w:t>
      </w:r>
      <w:r w:rsidR="00D76EFF" w:rsidRPr="00D1008C">
        <w:rPr>
          <w:b w:val="0"/>
          <w:i/>
          <w:iCs/>
          <w:sz w:val="20"/>
          <w:szCs w:val="20"/>
          <w:vertAlign w:val="baseline"/>
        </w:rPr>
        <w:t>p</w:t>
      </w:r>
      <w:r w:rsidR="00D76EFF" w:rsidRPr="00D1008C">
        <w:rPr>
          <w:b w:val="0"/>
          <w:sz w:val="20"/>
          <w:szCs w:val="20"/>
          <w:vertAlign w:val="baseline"/>
        </w:rPr>
        <w:t xml:space="preserve"> value &lt; 0.01).</w:t>
      </w:r>
      <w:r w:rsidR="00D1008C" w:rsidRPr="00D1008C">
        <w:rPr>
          <w:rFonts w:eastAsiaTheme="minorEastAsia" w:hint="eastAsia"/>
          <w:b w:val="0"/>
          <w:sz w:val="20"/>
          <w:szCs w:val="20"/>
          <w:vertAlign w:val="baseline"/>
          <w:lang w:eastAsia="zh-CN"/>
        </w:rPr>
        <w:t xml:space="preserve"> </w:t>
      </w:r>
      <w:r w:rsidR="00D76EFF" w:rsidRPr="00D1008C">
        <w:rPr>
          <w:b w:val="0"/>
          <w:sz w:val="20"/>
          <w:szCs w:val="20"/>
          <w:vertAlign w:val="baseline"/>
        </w:rPr>
        <w:t>Tissue expression of CK19 were significantly increased in hepatitis, cirrhosis and HCC groups compared to control group (</w:t>
      </w:r>
      <w:r w:rsidR="00D76EFF" w:rsidRPr="00D1008C">
        <w:rPr>
          <w:b w:val="0"/>
          <w:i/>
          <w:iCs/>
          <w:sz w:val="20"/>
          <w:szCs w:val="20"/>
          <w:vertAlign w:val="baseline"/>
        </w:rPr>
        <w:t>p</w:t>
      </w:r>
      <w:r w:rsidR="00D76EFF" w:rsidRPr="00D1008C">
        <w:rPr>
          <w:b w:val="0"/>
          <w:sz w:val="20"/>
          <w:szCs w:val="20"/>
          <w:vertAlign w:val="baseline"/>
        </w:rPr>
        <w:t xml:space="preserve"> value &lt; 0.01), and </w:t>
      </w:r>
      <w:r w:rsidR="00D76EFF" w:rsidRPr="00D1008C">
        <w:rPr>
          <w:b w:val="0"/>
          <w:sz w:val="20"/>
          <w:szCs w:val="20"/>
          <w:vertAlign w:val="baseline"/>
          <w:lang w:bidi="ar-EG"/>
        </w:rPr>
        <w:t>there</w:t>
      </w:r>
      <w:r w:rsidR="00D76EFF" w:rsidRPr="00D1008C">
        <w:rPr>
          <w:b w:val="0"/>
          <w:sz w:val="20"/>
          <w:szCs w:val="20"/>
          <w:vertAlign w:val="baseline"/>
        </w:rPr>
        <w:t xml:space="preserve"> is significance in expression of CK19 in HCC compared to cirrhosis and hepatitis gro</w:t>
      </w:r>
      <w:r w:rsidR="0068697D" w:rsidRPr="00D1008C">
        <w:rPr>
          <w:b w:val="0"/>
          <w:sz w:val="20"/>
          <w:szCs w:val="20"/>
          <w:vertAlign w:val="baseline"/>
        </w:rPr>
        <w:t>up (</w:t>
      </w:r>
      <w:r w:rsidR="0068697D" w:rsidRPr="00D1008C">
        <w:rPr>
          <w:b w:val="0"/>
          <w:i/>
          <w:iCs/>
          <w:sz w:val="20"/>
          <w:szCs w:val="20"/>
          <w:vertAlign w:val="baseline"/>
        </w:rPr>
        <w:t>p</w:t>
      </w:r>
      <w:r w:rsidR="0068697D" w:rsidRPr="00D1008C">
        <w:rPr>
          <w:b w:val="0"/>
          <w:sz w:val="20"/>
          <w:szCs w:val="20"/>
          <w:vertAlign w:val="baseline"/>
        </w:rPr>
        <w:t xml:space="preserve"> value &lt; 0.01). immunohistochemical stain</w:t>
      </w:r>
      <w:r w:rsidR="00D76EFF" w:rsidRPr="00D1008C">
        <w:rPr>
          <w:b w:val="0"/>
          <w:sz w:val="20"/>
          <w:szCs w:val="20"/>
          <w:vertAlign w:val="baseline"/>
        </w:rPr>
        <w:t xml:space="preserve"> OCT3/4 in HCC group revealed staining of OCT3/4 in all of HCC sections (83.3%) compared to cirrhotic (44%) and (20%) in hepatitis patients without cirrhosis while it was undetectable in normal control which is highly signifi</w:t>
      </w:r>
      <w:r w:rsidR="0068697D" w:rsidRPr="00D1008C">
        <w:rPr>
          <w:b w:val="0"/>
          <w:sz w:val="20"/>
          <w:szCs w:val="20"/>
          <w:vertAlign w:val="baseline"/>
        </w:rPr>
        <w:t>cant</w:t>
      </w:r>
      <w:r w:rsidR="005D72CC">
        <w:rPr>
          <w:rFonts w:eastAsiaTheme="minorEastAsia" w:hint="eastAsia"/>
          <w:b w:val="0"/>
          <w:sz w:val="20"/>
          <w:szCs w:val="20"/>
          <w:vertAlign w:val="baseline"/>
          <w:lang w:eastAsia="zh-CN"/>
        </w:rPr>
        <w:t xml:space="preserve">, </w:t>
      </w:r>
      <w:r w:rsidR="0068697D" w:rsidRPr="00D1008C">
        <w:rPr>
          <w:b w:val="0"/>
          <w:sz w:val="20"/>
          <w:szCs w:val="20"/>
          <w:vertAlign w:val="baseline"/>
        </w:rPr>
        <w:t>also</w:t>
      </w:r>
      <w:r w:rsidR="00D76EFF" w:rsidRPr="00D1008C">
        <w:rPr>
          <w:b w:val="0"/>
          <w:sz w:val="20"/>
          <w:szCs w:val="20"/>
          <w:vertAlign w:val="baseline"/>
        </w:rPr>
        <w:t xml:space="preserve"> there is significant difference of tissue expression of OCT3/4 between different grades of HCC tissues</w:t>
      </w:r>
      <w:r w:rsidR="00D1008C" w:rsidRPr="00D1008C">
        <w:rPr>
          <w:rFonts w:eastAsiaTheme="minorEastAsia" w:hint="eastAsia"/>
          <w:b w:val="0"/>
          <w:sz w:val="20"/>
          <w:szCs w:val="20"/>
          <w:vertAlign w:val="baseline"/>
          <w:lang w:eastAsia="zh-CN"/>
        </w:rPr>
        <w:t>.</w:t>
      </w:r>
      <w:r w:rsidR="00D1008C" w:rsidRPr="00D1008C">
        <w:rPr>
          <w:rFonts w:eastAsiaTheme="minorEastAsia" w:hint="eastAsia"/>
          <w:sz w:val="20"/>
          <w:szCs w:val="20"/>
          <w:lang w:eastAsia="zh-CN"/>
        </w:rPr>
        <w:t xml:space="preserve"> </w:t>
      </w:r>
    </w:p>
    <w:p w:rsidR="004611F0" w:rsidRPr="00D1008C" w:rsidRDefault="004611F0" w:rsidP="004611F0">
      <w:pPr>
        <w:jc w:val="both"/>
        <w:rPr>
          <w:rFonts w:eastAsiaTheme="minorEastAsia"/>
          <w:sz w:val="20"/>
          <w:szCs w:val="20"/>
          <w:lang w:eastAsia="zh-CN"/>
        </w:rPr>
      </w:pPr>
      <w:r w:rsidRPr="00D1008C">
        <w:rPr>
          <w:rFonts w:eastAsiaTheme="minorEastAsia" w:hint="eastAsia"/>
          <w:bCs/>
          <w:sz w:val="20"/>
          <w:szCs w:val="20"/>
          <w:lang w:eastAsia="zh-CN"/>
        </w:rPr>
        <w:t>[</w:t>
      </w:r>
      <w:r w:rsidR="007632B3" w:rsidRPr="00D1008C">
        <w:rPr>
          <w:bCs/>
          <w:sz w:val="20"/>
          <w:szCs w:val="20"/>
        </w:rPr>
        <w:t>Mohammed S. Rozaek,</w:t>
      </w:r>
      <w:r w:rsidRPr="00D1008C">
        <w:rPr>
          <w:rFonts w:eastAsiaTheme="minorEastAsia" w:hint="eastAsia"/>
          <w:bCs/>
          <w:sz w:val="20"/>
          <w:szCs w:val="20"/>
          <w:lang w:eastAsia="zh-CN"/>
        </w:rPr>
        <w:t xml:space="preserve"> </w:t>
      </w:r>
      <w:r w:rsidR="007632B3" w:rsidRPr="00D1008C">
        <w:rPr>
          <w:bCs/>
          <w:sz w:val="20"/>
          <w:szCs w:val="20"/>
        </w:rPr>
        <w:t>Elsayed</w:t>
      </w:r>
      <w:r w:rsidR="00D1008C" w:rsidRPr="00D1008C">
        <w:rPr>
          <w:rFonts w:eastAsiaTheme="minorEastAsia" w:hint="eastAsia"/>
          <w:bCs/>
          <w:sz w:val="20"/>
          <w:szCs w:val="20"/>
          <w:lang w:eastAsia="zh-CN"/>
        </w:rPr>
        <w:t xml:space="preserve"> </w:t>
      </w:r>
      <w:r w:rsidR="007632B3" w:rsidRPr="00D1008C">
        <w:rPr>
          <w:bCs/>
          <w:sz w:val="20"/>
          <w:szCs w:val="20"/>
        </w:rPr>
        <w:t>G.</w:t>
      </w:r>
      <w:r w:rsidR="00D1008C" w:rsidRPr="00D1008C">
        <w:rPr>
          <w:rFonts w:eastAsiaTheme="minorEastAsia" w:hint="eastAsia"/>
          <w:bCs/>
          <w:sz w:val="20"/>
          <w:szCs w:val="20"/>
          <w:lang w:eastAsia="zh-CN"/>
        </w:rPr>
        <w:t xml:space="preserve"> </w:t>
      </w:r>
      <w:r w:rsidR="007632B3" w:rsidRPr="00D1008C">
        <w:rPr>
          <w:bCs/>
          <w:sz w:val="20"/>
          <w:szCs w:val="20"/>
        </w:rPr>
        <w:t>Ammar,</w:t>
      </w:r>
      <w:r w:rsidR="00D1008C" w:rsidRPr="00D1008C">
        <w:rPr>
          <w:rFonts w:eastAsiaTheme="minorEastAsia" w:hint="eastAsia"/>
          <w:bCs/>
          <w:sz w:val="20"/>
          <w:szCs w:val="20"/>
          <w:lang w:eastAsia="zh-CN"/>
        </w:rPr>
        <w:t xml:space="preserve"> </w:t>
      </w:r>
      <w:r w:rsidR="007632B3" w:rsidRPr="00D1008C">
        <w:rPr>
          <w:bCs/>
          <w:sz w:val="20"/>
          <w:szCs w:val="20"/>
        </w:rPr>
        <w:t>Olfat</w:t>
      </w:r>
      <w:r w:rsidR="00D1008C" w:rsidRPr="00D1008C">
        <w:rPr>
          <w:rFonts w:eastAsiaTheme="minorEastAsia" w:hint="eastAsia"/>
          <w:bCs/>
          <w:sz w:val="20"/>
          <w:szCs w:val="20"/>
          <w:lang w:eastAsia="zh-CN"/>
        </w:rPr>
        <w:t xml:space="preserve"> </w:t>
      </w:r>
      <w:r w:rsidR="007632B3" w:rsidRPr="00D1008C">
        <w:rPr>
          <w:bCs/>
          <w:sz w:val="20"/>
          <w:szCs w:val="20"/>
        </w:rPr>
        <w:t>A.</w:t>
      </w:r>
      <w:r w:rsidR="00D1008C" w:rsidRPr="00D1008C">
        <w:rPr>
          <w:rFonts w:eastAsiaTheme="minorEastAsia" w:hint="eastAsia"/>
          <w:bCs/>
          <w:sz w:val="20"/>
          <w:szCs w:val="20"/>
          <w:lang w:eastAsia="zh-CN"/>
        </w:rPr>
        <w:t xml:space="preserve"> </w:t>
      </w:r>
      <w:r w:rsidR="007632B3" w:rsidRPr="00D1008C">
        <w:rPr>
          <w:bCs/>
          <w:sz w:val="20"/>
          <w:szCs w:val="20"/>
        </w:rPr>
        <w:t>Hammam, Bahy EL Deen E. Elbahnasawy</w:t>
      </w:r>
      <w:r w:rsidRPr="00D1008C">
        <w:rPr>
          <w:rFonts w:eastAsiaTheme="minorEastAsia" w:hint="eastAsia"/>
          <w:bCs/>
          <w:sz w:val="20"/>
          <w:szCs w:val="20"/>
          <w:lang w:eastAsia="zh-CN"/>
        </w:rPr>
        <w:t xml:space="preserve"> </w:t>
      </w:r>
      <w:r w:rsidR="007632B3" w:rsidRPr="00D1008C">
        <w:rPr>
          <w:bCs/>
          <w:sz w:val="20"/>
          <w:szCs w:val="20"/>
        </w:rPr>
        <w:t>Moh</w:t>
      </w:r>
      <w:r w:rsidR="00F2459C">
        <w:rPr>
          <w:bCs/>
          <w:sz w:val="20"/>
          <w:szCs w:val="20"/>
        </w:rPr>
        <w:t>a</w:t>
      </w:r>
      <w:r w:rsidR="007632B3" w:rsidRPr="00D1008C">
        <w:rPr>
          <w:bCs/>
          <w:sz w:val="20"/>
          <w:szCs w:val="20"/>
        </w:rPr>
        <w:t>mmed</w:t>
      </w:r>
      <w:r w:rsidRPr="00D1008C">
        <w:rPr>
          <w:rFonts w:eastAsiaTheme="minorEastAsia" w:hint="eastAsia"/>
          <w:bCs/>
          <w:sz w:val="20"/>
          <w:szCs w:val="20"/>
          <w:lang w:eastAsia="zh-CN"/>
        </w:rPr>
        <w:t xml:space="preserve"> </w:t>
      </w:r>
      <w:r w:rsidR="007632B3" w:rsidRPr="00D1008C">
        <w:rPr>
          <w:bCs/>
          <w:sz w:val="20"/>
          <w:szCs w:val="20"/>
        </w:rPr>
        <w:t>Salah</w:t>
      </w:r>
      <w:r w:rsidRPr="00D1008C">
        <w:rPr>
          <w:rFonts w:eastAsiaTheme="minorEastAsia" w:hint="eastAsia"/>
          <w:bCs/>
          <w:sz w:val="20"/>
          <w:szCs w:val="20"/>
          <w:lang w:eastAsia="zh-CN"/>
        </w:rPr>
        <w:t xml:space="preserve"> </w:t>
      </w:r>
      <w:r w:rsidR="007632B3" w:rsidRPr="00D1008C">
        <w:rPr>
          <w:bCs/>
          <w:sz w:val="20"/>
          <w:szCs w:val="20"/>
        </w:rPr>
        <w:t>Ali, Hendawy A. Zedan, Hosam</w:t>
      </w:r>
      <w:r w:rsidRPr="00D1008C">
        <w:rPr>
          <w:rFonts w:eastAsiaTheme="minorEastAsia" w:hint="eastAsia"/>
          <w:bCs/>
          <w:sz w:val="20"/>
          <w:szCs w:val="20"/>
          <w:lang w:eastAsia="zh-CN"/>
        </w:rPr>
        <w:t xml:space="preserve"> </w:t>
      </w:r>
      <w:r w:rsidR="007632B3" w:rsidRPr="00D1008C">
        <w:rPr>
          <w:bCs/>
          <w:sz w:val="20"/>
          <w:szCs w:val="20"/>
        </w:rPr>
        <w:t>Eldeen</w:t>
      </w:r>
      <w:r w:rsidRPr="00D1008C">
        <w:rPr>
          <w:rFonts w:eastAsiaTheme="minorEastAsia" w:hint="eastAsia"/>
          <w:bCs/>
          <w:sz w:val="20"/>
          <w:szCs w:val="20"/>
          <w:lang w:eastAsia="zh-CN"/>
        </w:rPr>
        <w:t xml:space="preserve"> </w:t>
      </w:r>
      <w:r w:rsidR="007632B3" w:rsidRPr="00D1008C">
        <w:rPr>
          <w:bCs/>
          <w:sz w:val="20"/>
          <w:szCs w:val="20"/>
        </w:rPr>
        <w:t>S.</w:t>
      </w:r>
      <w:r w:rsidRPr="00D1008C">
        <w:rPr>
          <w:rFonts w:eastAsiaTheme="minorEastAsia" w:hint="eastAsia"/>
          <w:bCs/>
          <w:sz w:val="20"/>
          <w:szCs w:val="20"/>
          <w:lang w:eastAsia="zh-CN"/>
        </w:rPr>
        <w:t xml:space="preserve"> </w:t>
      </w:r>
      <w:r w:rsidR="007632B3" w:rsidRPr="00D1008C">
        <w:rPr>
          <w:bCs/>
          <w:sz w:val="20"/>
          <w:szCs w:val="20"/>
        </w:rPr>
        <w:t>Shabana and Farag Khalil</w:t>
      </w:r>
      <w:r w:rsidRPr="00D1008C">
        <w:rPr>
          <w:rFonts w:eastAsiaTheme="minorEastAsia" w:hint="eastAsia"/>
          <w:bCs/>
          <w:sz w:val="20"/>
          <w:szCs w:val="20"/>
          <w:lang w:eastAsia="zh-CN"/>
        </w:rPr>
        <w:t xml:space="preserve">. </w:t>
      </w:r>
      <w:r w:rsidR="007632B3" w:rsidRPr="00D1008C">
        <w:rPr>
          <w:b/>
          <w:sz w:val="20"/>
          <w:szCs w:val="20"/>
        </w:rPr>
        <w:t>Identification of Stem Cells in Liver Tissue of Patients with HCV-induced Chronic Liver Disease Versus Hepatocellular Carcinoma: Immunohistochemical Study</w:t>
      </w:r>
      <w:r w:rsidRPr="00D1008C">
        <w:rPr>
          <w:b/>
          <w:bCs/>
          <w:sz w:val="20"/>
          <w:szCs w:val="20"/>
          <w:lang w:bidi="fa-IR"/>
        </w:rPr>
        <w:t>.</w:t>
      </w:r>
      <w:r w:rsidRPr="00D1008C">
        <w:rPr>
          <w:bCs/>
          <w:i/>
          <w:sz w:val="20"/>
          <w:szCs w:val="20"/>
        </w:rPr>
        <w:t xml:space="preserve"> N Y Sci J</w:t>
      </w:r>
      <w:r w:rsidRPr="00D1008C">
        <w:rPr>
          <w:bCs/>
          <w:sz w:val="20"/>
          <w:szCs w:val="20"/>
        </w:rPr>
        <w:t xml:space="preserve"> </w:t>
      </w:r>
      <w:r w:rsidRPr="00D1008C">
        <w:rPr>
          <w:sz w:val="20"/>
          <w:szCs w:val="20"/>
        </w:rPr>
        <w:t>201</w:t>
      </w:r>
      <w:r w:rsidRPr="00D1008C">
        <w:rPr>
          <w:rFonts w:hint="eastAsia"/>
          <w:sz w:val="20"/>
          <w:szCs w:val="20"/>
        </w:rPr>
        <w:t>5</w:t>
      </w:r>
      <w:r w:rsidRPr="00D1008C">
        <w:rPr>
          <w:sz w:val="20"/>
          <w:szCs w:val="20"/>
        </w:rPr>
        <w:t>;</w:t>
      </w:r>
      <w:r w:rsidRPr="00D1008C">
        <w:rPr>
          <w:rFonts w:hint="eastAsia"/>
          <w:sz w:val="20"/>
          <w:szCs w:val="20"/>
        </w:rPr>
        <w:t>8</w:t>
      </w:r>
      <w:r w:rsidRPr="00D1008C">
        <w:rPr>
          <w:sz w:val="20"/>
          <w:szCs w:val="20"/>
        </w:rPr>
        <w:t>(</w:t>
      </w:r>
      <w:r w:rsidRPr="00D1008C">
        <w:rPr>
          <w:rFonts w:hint="eastAsia"/>
          <w:sz w:val="20"/>
          <w:szCs w:val="20"/>
        </w:rPr>
        <w:t>6</w:t>
      </w:r>
      <w:r w:rsidRPr="00D1008C">
        <w:rPr>
          <w:sz w:val="20"/>
          <w:szCs w:val="20"/>
        </w:rPr>
        <w:t>):</w:t>
      </w:r>
      <w:r w:rsidR="003F4F33" w:rsidRPr="00D1008C">
        <w:rPr>
          <w:noProof/>
          <w:color w:val="000000"/>
          <w:sz w:val="20"/>
          <w:szCs w:val="20"/>
        </w:rPr>
        <w:t>110</w:t>
      </w:r>
      <w:r w:rsidRPr="00D1008C">
        <w:rPr>
          <w:color w:val="000000"/>
          <w:sz w:val="20"/>
          <w:szCs w:val="20"/>
        </w:rPr>
        <w:t>-</w:t>
      </w:r>
      <w:r w:rsidR="003F4F33" w:rsidRPr="00D1008C">
        <w:rPr>
          <w:noProof/>
          <w:color w:val="000000"/>
          <w:sz w:val="20"/>
          <w:szCs w:val="20"/>
        </w:rPr>
        <w:t>119</w:t>
      </w:r>
      <w:r w:rsidRPr="00D1008C">
        <w:rPr>
          <w:sz w:val="20"/>
          <w:szCs w:val="20"/>
        </w:rPr>
        <w:t xml:space="preserve">]. (ISSN: 1554-0200). </w:t>
      </w:r>
      <w:hyperlink r:id="rId9" w:history="1">
        <w:r w:rsidRPr="00D1008C">
          <w:rPr>
            <w:rStyle w:val="Hyperlink"/>
            <w:color w:val="0000FF"/>
            <w:sz w:val="20"/>
            <w:szCs w:val="20"/>
          </w:rPr>
          <w:t>http://www.sciencepub.net/newyork</w:t>
        </w:r>
      </w:hyperlink>
      <w:r w:rsidRPr="00D1008C">
        <w:rPr>
          <w:sz w:val="20"/>
          <w:szCs w:val="20"/>
        </w:rPr>
        <w:t xml:space="preserve">. </w:t>
      </w:r>
      <w:r w:rsidRPr="00D1008C">
        <w:rPr>
          <w:rFonts w:eastAsiaTheme="minorEastAsia" w:hint="eastAsia"/>
          <w:sz w:val="20"/>
          <w:szCs w:val="20"/>
          <w:lang w:eastAsia="zh-CN"/>
        </w:rPr>
        <w:t>17</w:t>
      </w:r>
    </w:p>
    <w:p w:rsidR="007632B3" w:rsidRPr="00D1008C" w:rsidRDefault="007632B3" w:rsidP="004611F0">
      <w:pPr>
        <w:autoSpaceDE w:val="0"/>
        <w:autoSpaceDN w:val="0"/>
        <w:adjustRightInd w:val="0"/>
        <w:snapToGrid w:val="0"/>
        <w:jc w:val="both"/>
        <w:outlineLvl w:val="0"/>
        <w:rPr>
          <w:sz w:val="20"/>
          <w:szCs w:val="20"/>
        </w:rPr>
      </w:pPr>
    </w:p>
    <w:p w:rsidR="00D76EFF" w:rsidRPr="00D1008C" w:rsidRDefault="00D76EFF" w:rsidP="004611F0">
      <w:pPr>
        <w:snapToGrid w:val="0"/>
        <w:contextualSpacing/>
        <w:jc w:val="both"/>
        <w:outlineLvl w:val="0"/>
        <w:rPr>
          <w:b/>
          <w:bCs/>
          <w:sz w:val="20"/>
          <w:szCs w:val="20"/>
        </w:rPr>
      </w:pPr>
      <w:r w:rsidRPr="00D1008C">
        <w:rPr>
          <w:b/>
          <w:bCs/>
          <w:sz w:val="20"/>
          <w:szCs w:val="20"/>
          <w:lang w:bidi="ar-EG"/>
        </w:rPr>
        <w:t>Key words</w:t>
      </w:r>
      <w:r w:rsidR="00EC0A2A" w:rsidRPr="00D1008C">
        <w:rPr>
          <w:sz w:val="20"/>
          <w:szCs w:val="20"/>
          <w:lang w:bidi="ar-EG"/>
        </w:rPr>
        <w:t xml:space="preserve">: </w:t>
      </w:r>
      <w:r w:rsidR="000D6471" w:rsidRPr="00D1008C">
        <w:rPr>
          <w:sz w:val="20"/>
          <w:szCs w:val="20"/>
          <w:lang w:bidi="ar-EG"/>
        </w:rPr>
        <w:t xml:space="preserve">Stem Cells in Liver </w:t>
      </w:r>
      <w:r w:rsidR="007632B3" w:rsidRPr="00D1008C">
        <w:rPr>
          <w:sz w:val="20"/>
          <w:szCs w:val="20"/>
          <w:lang w:bidi="ar-EG"/>
        </w:rPr>
        <w:t>Tissue, HCV</w:t>
      </w:r>
      <w:r w:rsidR="0068697D" w:rsidRPr="00D1008C">
        <w:rPr>
          <w:sz w:val="20"/>
          <w:szCs w:val="20"/>
          <w:lang w:bidi="ar-EG"/>
        </w:rPr>
        <w:t>-induced Chronic Liver Disease,</w:t>
      </w:r>
      <w:r w:rsidR="000D6471" w:rsidRPr="00D1008C">
        <w:rPr>
          <w:sz w:val="20"/>
          <w:szCs w:val="20"/>
          <w:lang w:bidi="ar-EG"/>
        </w:rPr>
        <w:t>Hepatocellular</w:t>
      </w:r>
      <w:r w:rsidRPr="00D1008C">
        <w:rPr>
          <w:sz w:val="20"/>
          <w:szCs w:val="20"/>
          <w:lang w:bidi="ar-EG"/>
        </w:rPr>
        <w:t>Carcinoma:</w:t>
      </w:r>
      <w:r w:rsidR="0068697D" w:rsidRPr="00D1008C">
        <w:rPr>
          <w:sz w:val="20"/>
          <w:szCs w:val="20"/>
          <w:lang w:bidi="ar-EG"/>
        </w:rPr>
        <w:t xml:space="preserve"> OV6, Cytokeratin 19 and OCT</w:t>
      </w:r>
      <w:r w:rsidR="000D6471" w:rsidRPr="00D1008C">
        <w:rPr>
          <w:sz w:val="20"/>
          <w:szCs w:val="20"/>
          <w:lang w:bidi="ar-EG"/>
        </w:rPr>
        <w:t>3/4Immunohistochemical</w:t>
      </w:r>
    </w:p>
    <w:p w:rsidR="004611F0" w:rsidRPr="00D1008C" w:rsidRDefault="004611F0" w:rsidP="004611F0">
      <w:pPr>
        <w:widowControl w:val="0"/>
        <w:tabs>
          <w:tab w:val="right" w:pos="567"/>
          <w:tab w:val="right" w:pos="709"/>
          <w:tab w:val="right" w:pos="851"/>
        </w:tabs>
        <w:snapToGrid w:val="0"/>
        <w:jc w:val="both"/>
        <w:rPr>
          <w:b/>
          <w:bCs/>
          <w:sz w:val="20"/>
          <w:szCs w:val="20"/>
        </w:rPr>
      </w:pPr>
    </w:p>
    <w:p w:rsidR="004611F0" w:rsidRPr="00D1008C" w:rsidRDefault="004611F0" w:rsidP="004611F0">
      <w:pPr>
        <w:widowControl w:val="0"/>
        <w:tabs>
          <w:tab w:val="right" w:pos="567"/>
          <w:tab w:val="right" w:pos="709"/>
          <w:tab w:val="right" w:pos="851"/>
        </w:tabs>
        <w:snapToGrid w:val="0"/>
        <w:jc w:val="both"/>
        <w:rPr>
          <w:b/>
          <w:bCs/>
          <w:sz w:val="20"/>
          <w:szCs w:val="20"/>
        </w:rPr>
        <w:sectPr w:rsidR="004611F0" w:rsidRPr="00D1008C" w:rsidSect="003F4F33">
          <w:headerReference w:type="default" r:id="rId10"/>
          <w:footerReference w:type="default" r:id="rId11"/>
          <w:type w:val="continuous"/>
          <w:pgSz w:w="12242" w:h="15842" w:code="1"/>
          <w:pgMar w:top="1440" w:right="1440" w:bottom="1440" w:left="1440" w:header="720" w:footer="720" w:gutter="0"/>
          <w:pgNumType w:start="110"/>
          <w:cols w:space="709"/>
          <w:bidi/>
          <w:docGrid w:linePitch="360"/>
        </w:sectPr>
      </w:pPr>
    </w:p>
    <w:p w:rsidR="0004777E" w:rsidRPr="00D1008C" w:rsidRDefault="007632B3" w:rsidP="004611F0">
      <w:pPr>
        <w:widowControl w:val="0"/>
        <w:tabs>
          <w:tab w:val="right" w:pos="567"/>
          <w:tab w:val="right" w:pos="709"/>
          <w:tab w:val="right" w:pos="851"/>
        </w:tabs>
        <w:snapToGrid w:val="0"/>
        <w:jc w:val="both"/>
        <w:rPr>
          <w:b/>
          <w:bCs/>
          <w:sz w:val="20"/>
          <w:szCs w:val="20"/>
          <w:lang w:bidi="ar-EG"/>
        </w:rPr>
      </w:pPr>
      <w:r w:rsidRPr="00D1008C">
        <w:rPr>
          <w:b/>
          <w:bCs/>
          <w:sz w:val="20"/>
          <w:szCs w:val="20"/>
        </w:rPr>
        <w:lastRenderedPageBreak/>
        <w:t xml:space="preserve">1. </w:t>
      </w:r>
      <w:r w:rsidR="000D6471" w:rsidRPr="00D1008C">
        <w:rPr>
          <w:b/>
          <w:bCs/>
          <w:sz w:val="20"/>
          <w:szCs w:val="20"/>
        </w:rPr>
        <w:t>Introduction</w:t>
      </w:r>
    </w:p>
    <w:p w:rsidR="0068697D" w:rsidRPr="00D1008C" w:rsidRDefault="0068697D" w:rsidP="004611F0">
      <w:pPr>
        <w:tabs>
          <w:tab w:val="left" w:pos="709"/>
        </w:tabs>
        <w:autoSpaceDE w:val="0"/>
        <w:autoSpaceDN w:val="0"/>
        <w:adjustRightInd w:val="0"/>
        <w:snapToGrid w:val="0"/>
        <w:ind w:firstLine="425"/>
        <w:jc w:val="both"/>
        <w:rPr>
          <w:b/>
          <w:bCs/>
          <w:sz w:val="20"/>
          <w:szCs w:val="20"/>
        </w:rPr>
      </w:pPr>
      <w:r w:rsidRPr="00D1008C">
        <w:rPr>
          <w:sz w:val="20"/>
          <w:szCs w:val="20"/>
        </w:rPr>
        <w:t>Estimates indicate that 3-4 million persons are newly infected each year, 170 million people are chronically infected and at risk of developing liver diseases including cirrhosis and cancer with 350,000 deaths annually due to HCV related causes</w:t>
      </w:r>
      <w:r w:rsidR="00D1008C">
        <w:rPr>
          <w:sz w:val="20"/>
          <w:szCs w:val="20"/>
        </w:rPr>
        <w:t xml:space="preserve"> </w:t>
      </w:r>
      <w:r w:rsidRPr="00D1008C">
        <w:rPr>
          <w:sz w:val="20"/>
          <w:szCs w:val="20"/>
        </w:rPr>
        <w:t xml:space="preserve">The highest HCV prevalence in the world occurs in Egypt, where the prevalence rates reached up to 15% </w:t>
      </w:r>
      <w:r w:rsidR="00147E69" w:rsidRPr="00D1008C">
        <w:rPr>
          <w:b/>
          <w:bCs/>
          <w:sz w:val="20"/>
          <w:szCs w:val="20"/>
        </w:rPr>
        <w:t>(WHO), (2004): Sievert W, AltraifI.,</w:t>
      </w:r>
      <w:r w:rsidR="005D72CC">
        <w:rPr>
          <w:rFonts w:eastAsiaTheme="minorEastAsia" w:hint="eastAsia"/>
          <w:b/>
          <w:bCs/>
          <w:sz w:val="20"/>
          <w:szCs w:val="20"/>
          <w:lang w:eastAsia="zh-CN"/>
        </w:rPr>
        <w:t xml:space="preserve"> </w:t>
      </w:r>
      <w:r w:rsidR="00147E69" w:rsidRPr="00D1008C">
        <w:rPr>
          <w:b/>
          <w:bCs/>
          <w:i/>
          <w:iCs/>
          <w:sz w:val="20"/>
          <w:szCs w:val="20"/>
        </w:rPr>
        <w:t>et al.</w:t>
      </w:r>
      <w:r w:rsidR="00147E69" w:rsidRPr="00D1008C">
        <w:rPr>
          <w:b/>
          <w:bCs/>
          <w:sz w:val="20"/>
          <w:szCs w:val="20"/>
        </w:rPr>
        <w:t xml:space="preserve"> (2011)</w:t>
      </w:r>
      <w:r w:rsidR="005B187C" w:rsidRPr="00D1008C">
        <w:rPr>
          <w:sz w:val="20"/>
          <w:szCs w:val="20"/>
        </w:rPr>
        <w:t>.</w:t>
      </w:r>
      <w:r w:rsidR="00D1008C">
        <w:rPr>
          <w:rFonts w:eastAsiaTheme="minorEastAsia" w:hint="eastAsia"/>
          <w:sz w:val="20"/>
          <w:szCs w:val="20"/>
          <w:lang w:eastAsia="zh-CN"/>
        </w:rPr>
        <w:t xml:space="preserve"> </w:t>
      </w:r>
      <w:r w:rsidRPr="00D1008C">
        <w:rPr>
          <w:sz w:val="20"/>
          <w:szCs w:val="20"/>
        </w:rPr>
        <w:t>Stem cells (SCs) are undifferentiated cells capable of renewing themselves throughout their life and of generating one or more types of differentiated cells</w:t>
      </w:r>
      <w:r w:rsidR="00D1008C">
        <w:rPr>
          <w:sz w:val="20"/>
          <w:szCs w:val="20"/>
        </w:rPr>
        <w:t>.</w:t>
      </w:r>
      <w:r w:rsidR="005D72CC">
        <w:rPr>
          <w:rFonts w:eastAsiaTheme="minorEastAsia" w:hint="eastAsia"/>
          <w:sz w:val="20"/>
          <w:szCs w:val="20"/>
          <w:lang w:eastAsia="zh-CN"/>
        </w:rPr>
        <w:t xml:space="preserve"> </w:t>
      </w:r>
      <w:r w:rsidRPr="00D1008C">
        <w:rPr>
          <w:sz w:val="20"/>
          <w:szCs w:val="20"/>
        </w:rPr>
        <w:t xml:space="preserve">Some molecular markers have been found to be useful for evaluating the prognosis of the patients with </w:t>
      </w:r>
      <w:r w:rsidRPr="00D1008C">
        <w:rPr>
          <w:sz w:val="20"/>
          <w:szCs w:val="20"/>
        </w:rPr>
        <w:lastRenderedPageBreak/>
        <w:t>hepatocellular carcinoma (HCC) after surgery. In recent years, a variety of stem cell markers such as CD34, CD133, CK7, CKl9, and OV6 have been found to be expressed in tumors along with intensive studies of stem cells, some of which are correlated with poor postoperative prognosis. OCT4 (OCT3/4, POU5F1), as one of embryonic stem cell markers, plays an important role in maintaining the stemness properties</w:t>
      </w:r>
      <w:r w:rsidR="005D72CC">
        <w:rPr>
          <w:rFonts w:eastAsiaTheme="minorEastAsia" w:hint="eastAsia"/>
          <w:sz w:val="20"/>
          <w:szCs w:val="20"/>
          <w:lang w:eastAsia="zh-CN"/>
        </w:rPr>
        <w:t xml:space="preserve"> </w:t>
      </w:r>
      <w:r w:rsidR="00957F76" w:rsidRPr="00D1008C">
        <w:rPr>
          <w:rFonts w:eastAsia="E-XFZ-Identity-H"/>
          <w:b/>
          <w:bCs/>
          <w:sz w:val="20"/>
          <w:szCs w:val="20"/>
        </w:rPr>
        <w:t>Nichols J</w:t>
      </w:r>
      <w:r w:rsidR="0045204D" w:rsidRPr="00D1008C">
        <w:rPr>
          <w:rFonts w:eastAsia="E-XFZ-Identity-H"/>
          <w:b/>
          <w:bCs/>
          <w:sz w:val="20"/>
          <w:szCs w:val="20"/>
        </w:rPr>
        <w:t>, et</w:t>
      </w:r>
      <w:r w:rsidR="00957F76" w:rsidRPr="00D1008C">
        <w:rPr>
          <w:b/>
          <w:bCs/>
          <w:i/>
          <w:iCs/>
          <w:sz w:val="20"/>
          <w:szCs w:val="20"/>
        </w:rPr>
        <w:t xml:space="preserve"> al.</w:t>
      </w:r>
      <w:r w:rsidR="00957F76" w:rsidRPr="00D1008C">
        <w:rPr>
          <w:rFonts w:eastAsia="E-XFZ-Identity-H"/>
          <w:b/>
          <w:bCs/>
          <w:sz w:val="20"/>
          <w:szCs w:val="20"/>
        </w:rPr>
        <w:t>(1998</w:t>
      </w:r>
      <w:r w:rsidRPr="00D1008C">
        <w:rPr>
          <w:b/>
          <w:bCs/>
          <w:sz w:val="20"/>
          <w:szCs w:val="20"/>
        </w:rPr>
        <w:t xml:space="preserve">). </w:t>
      </w:r>
      <w:r w:rsidRPr="00D1008C">
        <w:rPr>
          <w:sz w:val="20"/>
          <w:szCs w:val="20"/>
        </w:rPr>
        <w:t>High expression of OCT4 in tumors such as breast cancer, bladder cancer, and oral squamous cell carcinoma predicts a poor prognosis</w:t>
      </w:r>
      <w:r w:rsidR="00D1008C">
        <w:rPr>
          <w:rFonts w:eastAsiaTheme="minorEastAsia" w:hint="eastAsia"/>
          <w:sz w:val="20"/>
          <w:szCs w:val="20"/>
          <w:lang w:eastAsia="zh-CN"/>
        </w:rPr>
        <w:t xml:space="preserve"> </w:t>
      </w:r>
      <w:r w:rsidR="00957F76" w:rsidRPr="00D1008C">
        <w:rPr>
          <w:rFonts w:eastAsia="E-XFZ-Identity-H"/>
          <w:b/>
          <w:bCs/>
          <w:sz w:val="20"/>
          <w:szCs w:val="20"/>
        </w:rPr>
        <w:t>Ezeh UI</w:t>
      </w:r>
      <w:r w:rsidR="0045204D" w:rsidRPr="00D1008C">
        <w:rPr>
          <w:rFonts w:eastAsia="E-XFZ-Identity-H"/>
          <w:b/>
          <w:bCs/>
          <w:sz w:val="20"/>
          <w:szCs w:val="20"/>
        </w:rPr>
        <w:t>, et</w:t>
      </w:r>
      <w:r w:rsidR="00957F76" w:rsidRPr="00D1008C">
        <w:rPr>
          <w:b/>
          <w:bCs/>
          <w:i/>
          <w:iCs/>
          <w:sz w:val="20"/>
          <w:szCs w:val="20"/>
        </w:rPr>
        <w:t xml:space="preserve"> al.</w:t>
      </w:r>
      <w:r w:rsidR="00542887" w:rsidRPr="00D1008C">
        <w:rPr>
          <w:rFonts w:eastAsia="E-XFZ-Identity-H"/>
          <w:b/>
          <w:bCs/>
          <w:sz w:val="20"/>
          <w:szCs w:val="20"/>
        </w:rPr>
        <w:t>(2005).</w:t>
      </w:r>
      <w:r w:rsidR="005B187C" w:rsidRPr="00D1008C">
        <w:rPr>
          <w:rFonts w:eastAsia="E-XFZ-Identity-H"/>
          <w:b/>
          <w:bCs/>
          <w:sz w:val="20"/>
          <w:szCs w:val="20"/>
        </w:rPr>
        <w:t>,</w:t>
      </w:r>
      <w:r w:rsidR="005D72CC">
        <w:rPr>
          <w:rFonts w:eastAsia="E-XFZ-Identity-H" w:hint="eastAsia"/>
          <w:b/>
          <w:bCs/>
          <w:sz w:val="20"/>
          <w:szCs w:val="20"/>
          <w:lang w:eastAsia="zh-CN"/>
        </w:rPr>
        <w:t xml:space="preserve"> </w:t>
      </w:r>
      <w:r w:rsidR="00957F76" w:rsidRPr="00D1008C">
        <w:rPr>
          <w:rFonts w:eastAsia="E-XFZ-Identity-H"/>
          <w:b/>
          <w:bCs/>
          <w:sz w:val="20"/>
          <w:szCs w:val="20"/>
        </w:rPr>
        <w:t>Chiou SH,</w:t>
      </w:r>
      <w:r w:rsidR="00D1008C">
        <w:rPr>
          <w:rFonts w:eastAsia="E-XFZ-Identity-H"/>
          <w:b/>
          <w:bCs/>
          <w:sz w:val="20"/>
          <w:szCs w:val="20"/>
        </w:rPr>
        <w:t xml:space="preserve"> </w:t>
      </w:r>
      <w:r w:rsidR="00957F76" w:rsidRPr="00D1008C">
        <w:rPr>
          <w:b/>
          <w:bCs/>
          <w:i/>
          <w:iCs/>
          <w:sz w:val="20"/>
          <w:szCs w:val="20"/>
        </w:rPr>
        <w:t>et al.</w:t>
      </w:r>
      <w:r w:rsidR="00957F76" w:rsidRPr="00D1008C">
        <w:rPr>
          <w:rFonts w:eastAsia="E-XFZ-Identity-H"/>
          <w:b/>
          <w:bCs/>
          <w:sz w:val="20"/>
          <w:szCs w:val="20"/>
        </w:rPr>
        <w:t>(2008)</w:t>
      </w:r>
      <w:r w:rsidR="00357D4E" w:rsidRPr="00D1008C">
        <w:rPr>
          <w:b/>
          <w:bCs/>
          <w:sz w:val="20"/>
          <w:szCs w:val="20"/>
        </w:rPr>
        <w:t>.</w:t>
      </w:r>
      <w:r w:rsidRPr="00D1008C">
        <w:rPr>
          <w:sz w:val="20"/>
          <w:szCs w:val="20"/>
        </w:rPr>
        <w:t xml:space="preserve"> Oval cell marker (OV6) is a monoclonal antibody prepared against ratoval cells and is useful in identifying oval </w:t>
      </w:r>
      <w:r w:rsidRPr="00D1008C">
        <w:rPr>
          <w:sz w:val="20"/>
          <w:szCs w:val="20"/>
        </w:rPr>
        <w:lastRenderedPageBreak/>
        <w:t>cells. OV-6 has become widely used as a marker for lineage pathways in rat models of hepatocarcinogenesis</w:t>
      </w:r>
      <w:r w:rsidR="005D72CC">
        <w:rPr>
          <w:rFonts w:eastAsiaTheme="minorEastAsia" w:hint="eastAsia"/>
          <w:sz w:val="20"/>
          <w:szCs w:val="20"/>
          <w:lang w:eastAsia="zh-CN"/>
        </w:rPr>
        <w:t xml:space="preserve"> </w:t>
      </w:r>
      <w:r w:rsidRPr="00D1008C">
        <w:rPr>
          <w:sz w:val="20"/>
          <w:szCs w:val="20"/>
        </w:rPr>
        <w:t xml:space="preserve">and in the proliferative response to liver injury </w:t>
      </w:r>
      <w:r w:rsidR="00957F76" w:rsidRPr="00D1008C">
        <w:rPr>
          <w:b/>
          <w:bCs/>
          <w:sz w:val="20"/>
          <w:szCs w:val="20"/>
        </w:rPr>
        <w:t>Crosby HA (1998</w:t>
      </w:r>
      <w:r w:rsidRPr="00D1008C">
        <w:rPr>
          <w:b/>
          <w:bCs/>
          <w:sz w:val="20"/>
          <w:szCs w:val="20"/>
        </w:rPr>
        <w:t>).</w:t>
      </w:r>
      <w:r w:rsidR="00D1008C">
        <w:rPr>
          <w:sz w:val="20"/>
          <w:szCs w:val="20"/>
          <w:lang w:val="en-GB"/>
        </w:rPr>
        <w:t xml:space="preserve"> </w:t>
      </w:r>
      <w:r w:rsidRPr="00D1008C">
        <w:rPr>
          <w:sz w:val="20"/>
          <w:szCs w:val="20"/>
          <w:lang w:val="en-GB"/>
        </w:rPr>
        <w:t xml:space="preserve">Cytokeratin19 (CK19) is a biliary epithelial cell marker and is generally expressed in intrahepatic cholangiocarcinoma (ICC) cells </w:t>
      </w:r>
      <w:bookmarkStart w:id="1" w:name="d46539e234"/>
      <w:bookmarkEnd w:id="1"/>
      <w:r w:rsidR="00957F76" w:rsidRPr="00D1008C">
        <w:rPr>
          <w:b/>
          <w:bCs/>
          <w:sz w:val="20"/>
          <w:szCs w:val="20"/>
          <w:lang w:val="en-GB"/>
        </w:rPr>
        <w:t xml:space="preserve">Corcelle V, </w:t>
      </w:r>
      <w:r w:rsidR="00957F76" w:rsidRPr="00D1008C">
        <w:rPr>
          <w:b/>
          <w:bCs/>
          <w:i/>
          <w:iCs/>
          <w:sz w:val="20"/>
          <w:szCs w:val="20"/>
        </w:rPr>
        <w:t>et al.</w:t>
      </w:r>
      <w:r w:rsidR="005D72CC">
        <w:rPr>
          <w:rFonts w:eastAsiaTheme="minorEastAsia" w:hint="eastAsia"/>
          <w:b/>
          <w:bCs/>
          <w:i/>
          <w:iCs/>
          <w:sz w:val="20"/>
          <w:szCs w:val="20"/>
          <w:lang w:eastAsia="zh-CN"/>
        </w:rPr>
        <w:t xml:space="preserve"> </w:t>
      </w:r>
      <w:r w:rsidR="00957F76" w:rsidRPr="00D1008C">
        <w:rPr>
          <w:b/>
          <w:bCs/>
          <w:sz w:val="20"/>
          <w:szCs w:val="20"/>
          <w:lang w:val="en-GB"/>
        </w:rPr>
        <w:t>(2006)</w:t>
      </w:r>
      <w:r w:rsidRPr="00D1008C">
        <w:rPr>
          <w:b/>
          <w:bCs/>
          <w:sz w:val="20"/>
          <w:szCs w:val="20"/>
          <w:lang w:val="en-GB"/>
        </w:rPr>
        <w:t>).</w:t>
      </w:r>
      <w:r w:rsidRPr="00D1008C">
        <w:rPr>
          <w:sz w:val="20"/>
          <w:szCs w:val="20"/>
          <w:lang w:val="en-GB"/>
        </w:rPr>
        <w:t xml:space="preserve"> Studies have shown that the expression of CK19 in primary HCC is associated with poorer outcome</w:t>
      </w:r>
      <w:r w:rsidR="00D1008C">
        <w:rPr>
          <w:sz w:val="20"/>
          <w:szCs w:val="20"/>
          <w:lang w:val="en-GB"/>
        </w:rPr>
        <w:t xml:space="preserve"> </w:t>
      </w:r>
      <w:r w:rsidR="000A5C7B" w:rsidRPr="00D1008C">
        <w:rPr>
          <w:b/>
          <w:bCs/>
          <w:sz w:val="20"/>
          <w:szCs w:val="20"/>
        </w:rPr>
        <w:t xml:space="preserve">Yamamoto T, Uenishi T, </w:t>
      </w:r>
      <w:r w:rsidR="000A5C7B" w:rsidRPr="00D1008C">
        <w:rPr>
          <w:b/>
          <w:bCs/>
          <w:i/>
          <w:iCs/>
          <w:sz w:val="20"/>
          <w:szCs w:val="20"/>
        </w:rPr>
        <w:t>et al.</w:t>
      </w:r>
      <w:r w:rsidR="000A5C7B" w:rsidRPr="00D1008C">
        <w:rPr>
          <w:b/>
          <w:bCs/>
          <w:sz w:val="20"/>
          <w:szCs w:val="20"/>
        </w:rPr>
        <w:t xml:space="preserve"> (2005)</w:t>
      </w:r>
      <w:r w:rsidR="000A5C7B" w:rsidRPr="00D1008C">
        <w:rPr>
          <w:sz w:val="20"/>
          <w:szCs w:val="20"/>
        </w:rPr>
        <w:t>:</w:t>
      </w:r>
      <w:r w:rsidRPr="00D1008C">
        <w:rPr>
          <w:sz w:val="20"/>
          <w:szCs w:val="20"/>
          <w:lang w:val="en-GB"/>
        </w:rPr>
        <w:t xml:space="preserve"> There have also been studies demonstrating that CK19 expression in primary HCC is a significant risk </w:t>
      </w:r>
      <w:r w:rsidRPr="00D1008C">
        <w:rPr>
          <w:rStyle w:val="a6an8awg3c11"/>
          <w:color w:val="auto"/>
          <w:sz w:val="20"/>
          <w:szCs w:val="20"/>
          <w:lang w:val="en-GB"/>
        </w:rPr>
        <w:t>factor</w:t>
      </w:r>
      <w:r w:rsidRPr="00D1008C">
        <w:rPr>
          <w:sz w:val="20"/>
          <w:szCs w:val="20"/>
          <w:lang w:val="en-GB"/>
        </w:rPr>
        <w:t xml:space="preserve"> for developing lymph node metastasis. </w:t>
      </w:r>
      <w:bookmarkStart w:id="2" w:name="d46539e242"/>
      <w:bookmarkStart w:id="3" w:name="d46539e244"/>
      <w:bookmarkStart w:id="4" w:name="d46539e246"/>
      <w:bookmarkEnd w:id="2"/>
      <w:bookmarkEnd w:id="3"/>
      <w:bookmarkEnd w:id="4"/>
      <w:r w:rsidR="000A5C7B" w:rsidRPr="00D1008C">
        <w:rPr>
          <w:b/>
          <w:bCs/>
          <w:sz w:val="20"/>
          <w:szCs w:val="20"/>
          <w:lang w:val="en-GB"/>
        </w:rPr>
        <w:t xml:space="preserve">Uenishi T, </w:t>
      </w:r>
      <w:r w:rsidR="000A5C7B" w:rsidRPr="00D1008C">
        <w:rPr>
          <w:b/>
          <w:bCs/>
          <w:i/>
          <w:iCs/>
          <w:sz w:val="20"/>
          <w:szCs w:val="20"/>
        </w:rPr>
        <w:t>et al.</w:t>
      </w:r>
      <w:r w:rsidR="005D72CC">
        <w:rPr>
          <w:rFonts w:eastAsiaTheme="minorEastAsia" w:hint="eastAsia"/>
          <w:b/>
          <w:bCs/>
          <w:i/>
          <w:iCs/>
          <w:sz w:val="20"/>
          <w:szCs w:val="20"/>
          <w:lang w:eastAsia="zh-CN"/>
        </w:rPr>
        <w:t xml:space="preserve"> </w:t>
      </w:r>
      <w:r w:rsidR="000A5C7B" w:rsidRPr="00D1008C">
        <w:rPr>
          <w:b/>
          <w:bCs/>
          <w:sz w:val="20"/>
          <w:szCs w:val="20"/>
          <w:lang w:val="en-GB"/>
        </w:rPr>
        <w:t>(2003), Zhuang PY,</w:t>
      </w:r>
      <w:r w:rsidR="00D1008C">
        <w:rPr>
          <w:b/>
          <w:bCs/>
          <w:sz w:val="20"/>
          <w:szCs w:val="20"/>
          <w:lang w:val="en-GB"/>
        </w:rPr>
        <w:t xml:space="preserve"> </w:t>
      </w:r>
      <w:r w:rsidR="000A5C7B" w:rsidRPr="00D1008C">
        <w:rPr>
          <w:b/>
          <w:bCs/>
          <w:i/>
          <w:iCs/>
          <w:sz w:val="20"/>
          <w:szCs w:val="20"/>
        </w:rPr>
        <w:t>et al.</w:t>
      </w:r>
      <w:r w:rsidR="000A5C7B" w:rsidRPr="00D1008C">
        <w:rPr>
          <w:b/>
          <w:bCs/>
          <w:sz w:val="20"/>
          <w:szCs w:val="20"/>
          <w:lang w:val="en-GB"/>
        </w:rPr>
        <w:t>(2008):</w:t>
      </w:r>
    </w:p>
    <w:p w:rsidR="004854CC" w:rsidRPr="00D1008C" w:rsidRDefault="004854CC" w:rsidP="004611F0">
      <w:pPr>
        <w:tabs>
          <w:tab w:val="right" w:pos="709"/>
        </w:tabs>
        <w:snapToGrid w:val="0"/>
        <w:jc w:val="both"/>
        <w:rPr>
          <w:b/>
          <w:bCs/>
          <w:sz w:val="20"/>
          <w:szCs w:val="20"/>
        </w:rPr>
      </w:pPr>
      <w:r w:rsidRPr="00D1008C">
        <w:rPr>
          <w:b/>
          <w:bCs/>
          <w:sz w:val="20"/>
          <w:szCs w:val="20"/>
        </w:rPr>
        <w:t>Aim of the work</w:t>
      </w:r>
    </w:p>
    <w:p w:rsidR="00EA6FB9" w:rsidRPr="00D1008C" w:rsidRDefault="004854CC" w:rsidP="004611F0">
      <w:pPr>
        <w:tabs>
          <w:tab w:val="left" w:pos="180"/>
        </w:tabs>
        <w:snapToGrid w:val="0"/>
        <w:ind w:firstLine="425"/>
        <w:jc w:val="both"/>
        <w:rPr>
          <w:sz w:val="20"/>
          <w:szCs w:val="20"/>
        </w:rPr>
      </w:pPr>
      <w:r w:rsidRPr="00D1008C">
        <w:rPr>
          <w:sz w:val="20"/>
          <w:szCs w:val="20"/>
        </w:rPr>
        <w:t>To evaluate hepatic expression of OV6, Cytokeratin 19 and (Oct3/4) in patients with HCV-induced chronic liver disease versus HCC and its correlation with the histologic activity, laboratory and clinical parameters</w:t>
      </w:r>
    </w:p>
    <w:p w:rsidR="004854CC" w:rsidRPr="00D1008C" w:rsidRDefault="004854CC" w:rsidP="004611F0">
      <w:pPr>
        <w:tabs>
          <w:tab w:val="left" w:pos="180"/>
        </w:tabs>
        <w:snapToGrid w:val="0"/>
        <w:jc w:val="both"/>
        <w:rPr>
          <w:sz w:val="20"/>
          <w:szCs w:val="20"/>
        </w:rPr>
      </w:pPr>
    </w:p>
    <w:p w:rsidR="004854CC" w:rsidRPr="00D1008C" w:rsidRDefault="007632B3" w:rsidP="004611F0">
      <w:pPr>
        <w:widowControl w:val="0"/>
        <w:tabs>
          <w:tab w:val="right" w:pos="426"/>
          <w:tab w:val="right" w:pos="709"/>
          <w:tab w:val="right" w:pos="851"/>
          <w:tab w:val="right" w:pos="1134"/>
        </w:tabs>
        <w:snapToGrid w:val="0"/>
        <w:jc w:val="both"/>
        <w:rPr>
          <w:b/>
          <w:bCs/>
          <w:sz w:val="20"/>
          <w:szCs w:val="20"/>
        </w:rPr>
      </w:pPr>
      <w:r w:rsidRPr="00D1008C">
        <w:rPr>
          <w:b/>
          <w:bCs/>
          <w:sz w:val="20"/>
          <w:szCs w:val="20"/>
        </w:rPr>
        <w:t xml:space="preserve">2. </w:t>
      </w:r>
      <w:r w:rsidR="004854CC" w:rsidRPr="00D1008C">
        <w:rPr>
          <w:b/>
          <w:bCs/>
          <w:sz w:val="20"/>
          <w:szCs w:val="20"/>
        </w:rPr>
        <w:t>Patients and Methods</w:t>
      </w:r>
    </w:p>
    <w:p w:rsidR="004854CC" w:rsidRPr="00D1008C" w:rsidRDefault="004854CC" w:rsidP="00A97307">
      <w:pPr>
        <w:tabs>
          <w:tab w:val="left" w:pos="180"/>
          <w:tab w:val="right" w:pos="567"/>
          <w:tab w:val="right" w:pos="709"/>
        </w:tabs>
        <w:snapToGrid w:val="0"/>
        <w:ind w:firstLine="425"/>
        <w:jc w:val="both"/>
        <w:rPr>
          <w:sz w:val="20"/>
          <w:szCs w:val="20"/>
        </w:rPr>
      </w:pPr>
      <w:r w:rsidRPr="00D1008C">
        <w:rPr>
          <w:sz w:val="20"/>
          <w:szCs w:val="20"/>
        </w:rPr>
        <w:t>The present study was conducted on 75 selected patients referred to tropical medicine department El-Hus</w:t>
      </w:r>
      <w:r w:rsidR="004869A1">
        <w:rPr>
          <w:sz w:val="20"/>
          <w:szCs w:val="20"/>
        </w:rPr>
        <w:t>s</w:t>
      </w:r>
      <w:r w:rsidRPr="00D1008C">
        <w:rPr>
          <w:sz w:val="20"/>
          <w:szCs w:val="20"/>
        </w:rPr>
        <w:t>e</w:t>
      </w:r>
      <w:r w:rsidR="00E77506">
        <w:rPr>
          <w:sz w:val="20"/>
          <w:szCs w:val="20"/>
        </w:rPr>
        <w:t>i</w:t>
      </w:r>
      <w:r w:rsidRPr="00D1008C">
        <w:rPr>
          <w:sz w:val="20"/>
          <w:szCs w:val="20"/>
        </w:rPr>
        <w:t xml:space="preserve">n university hospital and TBRI. Also, </w:t>
      </w:r>
      <w:r w:rsidR="00732E80" w:rsidRPr="00D1008C">
        <w:rPr>
          <w:sz w:val="20"/>
          <w:szCs w:val="20"/>
        </w:rPr>
        <w:t xml:space="preserve">10 normal </w:t>
      </w:r>
      <w:r w:rsidRPr="00D1008C">
        <w:rPr>
          <w:sz w:val="20"/>
          <w:szCs w:val="20"/>
        </w:rPr>
        <w:t>subjects were included as control group.The studied patients were divided into 4 groups:</w:t>
      </w:r>
      <w:r w:rsidRPr="00D1008C">
        <w:rPr>
          <w:b/>
          <w:bCs/>
          <w:sz w:val="20"/>
          <w:szCs w:val="20"/>
        </w:rPr>
        <w:t xml:space="preserve"> Group I</w:t>
      </w:r>
      <w:r w:rsidRPr="00D1008C">
        <w:rPr>
          <w:sz w:val="20"/>
          <w:szCs w:val="20"/>
        </w:rPr>
        <w:t>: 20 patients with chronic viral hepatitis C.</w:t>
      </w:r>
      <w:r w:rsidR="005D72CC">
        <w:rPr>
          <w:rFonts w:eastAsiaTheme="minorEastAsia" w:hint="eastAsia"/>
          <w:sz w:val="20"/>
          <w:szCs w:val="20"/>
          <w:lang w:eastAsia="zh-CN"/>
        </w:rPr>
        <w:t xml:space="preserve"> </w:t>
      </w:r>
      <w:r w:rsidRPr="00D1008C">
        <w:rPr>
          <w:b/>
          <w:bCs/>
          <w:sz w:val="20"/>
          <w:szCs w:val="20"/>
        </w:rPr>
        <w:t>GroupII</w:t>
      </w:r>
      <w:r w:rsidRPr="00D1008C">
        <w:rPr>
          <w:sz w:val="20"/>
          <w:szCs w:val="20"/>
        </w:rPr>
        <w:t>: 25 patients with post hepatitis (C) cirrhosis.</w:t>
      </w:r>
      <w:r w:rsidR="005D72CC">
        <w:rPr>
          <w:rFonts w:eastAsiaTheme="minorEastAsia" w:hint="eastAsia"/>
          <w:sz w:val="20"/>
          <w:szCs w:val="20"/>
          <w:lang w:eastAsia="zh-CN"/>
        </w:rPr>
        <w:t xml:space="preserve"> </w:t>
      </w:r>
      <w:r w:rsidRPr="00D1008C">
        <w:rPr>
          <w:b/>
          <w:bCs/>
          <w:sz w:val="20"/>
          <w:szCs w:val="20"/>
        </w:rPr>
        <w:t>GroupIII</w:t>
      </w:r>
      <w:r w:rsidRPr="00D1008C">
        <w:rPr>
          <w:sz w:val="20"/>
          <w:szCs w:val="20"/>
        </w:rPr>
        <w:t>: 30 patients with hepatocellular carcinoma.</w:t>
      </w:r>
      <w:r w:rsidR="005D72CC">
        <w:rPr>
          <w:rFonts w:eastAsiaTheme="minorEastAsia" w:hint="eastAsia"/>
          <w:sz w:val="20"/>
          <w:szCs w:val="20"/>
          <w:lang w:eastAsia="zh-CN"/>
        </w:rPr>
        <w:t xml:space="preserve"> </w:t>
      </w:r>
      <w:r w:rsidRPr="00D1008C">
        <w:rPr>
          <w:b/>
          <w:bCs/>
          <w:sz w:val="20"/>
          <w:szCs w:val="20"/>
        </w:rPr>
        <w:t>Group IV</w:t>
      </w:r>
      <w:r w:rsidRPr="00D1008C">
        <w:rPr>
          <w:sz w:val="20"/>
          <w:szCs w:val="20"/>
        </w:rPr>
        <w:t>: 10 healthy individuals as control, liver biopsies were taken from individuals subjected to cholecystectomy after receiving their consent they were 6 males and 4 female with mean age (46.6 ± 10.01), their liver function tests were within normal and had no serological evidence of hepatitis C and or B and no significant pathological changes.</w:t>
      </w:r>
    </w:p>
    <w:p w:rsidR="004854CC" w:rsidRPr="00D1008C" w:rsidRDefault="004854CC" w:rsidP="004611F0">
      <w:pPr>
        <w:widowControl w:val="0"/>
        <w:snapToGrid w:val="0"/>
        <w:jc w:val="both"/>
        <w:rPr>
          <w:sz w:val="20"/>
          <w:szCs w:val="20"/>
        </w:rPr>
      </w:pPr>
      <w:r w:rsidRPr="00D1008C">
        <w:rPr>
          <w:b/>
          <w:bCs/>
          <w:sz w:val="20"/>
          <w:szCs w:val="20"/>
        </w:rPr>
        <w:t>Inclusion criteria:</w:t>
      </w:r>
    </w:p>
    <w:p w:rsidR="004854CC" w:rsidRPr="00D1008C" w:rsidRDefault="00D6616D" w:rsidP="004611F0">
      <w:pPr>
        <w:widowControl w:val="0"/>
        <w:snapToGrid w:val="0"/>
        <w:ind w:firstLine="425"/>
        <w:jc w:val="both"/>
        <w:rPr>
          <w:b/>
          <w:bCs/>
          <w:sz w:val="20"/>
          <w:szCs w:val="20"/>
          <w:u w:val="single"/>
        </w:rPr>
      </w:pPr>
      <w:r w:rsidRPr="00D1008C">
        <w:rPr>
          <w:sz w:val="20"/>
          <w:szCs w:val="20"/>
        </w:rPr>
        <w:t>Patients</w:t>
      </w:r>
      <w:r w:rsidR="004854CC" w:rsidRPr="00D1008C">
        <w:rPr>
          <w:sz w:val="20"/>
          <w:szCs w:val="20"/>
        </w:rPr>
        <w:t xml:space="preserve"> with; 1- Chronic hepatitis C proved clinically,biochemically and serologically. 2- Cirrhosis due to HCV diagnosis was based upon clinical, biochemical, serological, ultrasonographic and histopathological findings3-Hepatocellular carcinoma on top of post-viral chronic liver disease either with elevation in AFP (&gt;200ng according to American Association for the study of liver diseases </w:t>
      </w:r>
      <w:r w:rsidR="004854CC" w:rsidRPr="00D1008C">
        <w:rPr>
          <w:b/>
          <w:bCs/>
          <w:sz w:val="20"/>
          <w:szCs w:val="20"/>
        </w:rPr>
        <w:t xml:space="preserve">(Bruix and Sherman, 2005), </w:t>
      </w:r>
      <w:r w:rsidR="004854CC" w:rsidRPr="00D1008C">
        <w:rPr>
          <w:sz w:val="20"/>
          <w:szCs w:val="20"/>
        </w:rPr>
        <w:t>and /or subjected focal lesion by ultrasound diagnosis with characteristic features of HCC by spiral abdominal CT.</w:t>
      </w:r>
    </w:p>
    <w:p w:rsidR="004854CC" w:rsidRPr="00D1008C" w:rsidRDefault="004854CC" w:rsidP="004611F0">
      <w:pPr>
        <w:widowControl w:val="0"/>
        <w:snapToGrid w:val="0"/>
        <w:jc w:val="both"/>
        <w:rPr>
          <w:sz w:val="20"/>
          <w:szCs w:val="20"/>
        </w:rPr>
      </w:pPr>
      <w:r w:rsidRPr="00D1008C">
        <w:rPr>
          <w:b/>
          <w:bCs/>
          <w:sz w:val="20"/>
          <w:szCs w:val="20"/>
          <w:u w:val="single"/>
        </w:rPr>
        <w:t>Exclusion criteria:</w:t>
      </w:r>
      <w:r w:rsidRPr="00D1008C">
        <w:rPr>
          <w:sz w:val="20"/>
          <w:szCs w:val="20"/>
        </w:rPr>
        <w:t xml:space="preserve"> Patients with;</w:t>
      </w:r>
    </w:p>
    <w:p w:rsidR="004854CC" w:rsidRPr="00D1008C" w:rsidRDefault="004854CC" w:rsidP="004611F0">
      <w:pPr>
        <w:widowControl w:val="0"/>
        <w:tabs>
          <w:tab w:val="right" w:pos="426"/>
        </w:tabs>
        <w:snapToGrid w:val="0"/>
        <w:ind w:firstLine="425"/>
        <w:jc w:val="both"/>
        <w:rPr>
          <w:sz w:val="20"/>
          <w:szCs w:val="20"/>
        </w:rPr>
      </w:pPr>
      <w:r w:rsidRPr="00D1008C">
        <w:rPr>
          <w:sz w:val="20"/>
          <w:szCs w:val="20"/>
        </w:rPr>
        <w:t>Positive serology for HBs-Ag and HIV-Ab.</w:t>
      </w:r>
      <w:r w:rsidR="00732E80" w:rsidRPr="00D1008C">
        <w:rPr>
          <w:sz w:val="20"/>
          <w:szCs w:val="20"/>
        </w:rPr>
        <w:t>,</w:t>
      </w:r>
      <w:r w:rsidR="005D72CC">
        <w:rPr>
          <w:rFonts w:eastAsiaTheme="minorEastAsia" w:hint="eastAsia"/>
          <w:sz w:val="20"/>
          <w:szCs w:val="20"/>
          <w:lang w:eastAsia="zh-CN"/>
        </w:rPr>
        <w:t xml:space="preserve"> </w:t>
      </w:r>
      <w:r w:rsidRPr="00D1008C">
        <w:rPr>
          <w:sz w:val="20"/>
          <w:szCs w:val="20"/>
        </w:rPr>
        <w:t>Schistosomiasis</w:t>
      </w:r>
      <w:r w:rsidR="00732E80" w:rsidRPr="00D1008C">
        <w:rPr>
          <w:sz w:val="20"/>
          <w:szCs w:val="20"/>
        </w:rPr>
        <w:t>,</w:t>
      </w:r>
      <w:r w:rsidR="005D72CC">
        <w:rPr>
          <w:rFonts w:eastAsiaTheme="minorEastAsia" w:hint="eastAsia"/>
          <w:sz w:val="20"/>
          <w:szCs w:val="20"/>
          <w:lang w:eastAsia="zh-CN"/>
        </w:rPr>
        <w:t xml:space="preserve"> </w:t>
      </w:r>
      <w:r w:rsidRPr="00D1008C">
        <w:rPr>
          <w:sz w:val="20"/>
          <w:szCs w:val="20"/>
        </w:rPr>
        <w:t>Decompensated cirrhosis</w:t>
      </w:r>
      <w:r w:rsidR="00732E80" w:rsidRPr="00D1008C">
        <w:rPr>
          <w:sz w:val="20"/>
          <w:szCs w:val="20"/>
        </w:rPr>
        <w:t>,</w:t>
      </w:r>
      <w:r w:rsidRPr="00D1008C">
        <w:rPr>
          <w:sz w:val="20"/>
          <w:szCs w:val="20"/>
        </w:rPr>
        <w:t xml:space="preserve"> Patients </w:t>
      </w:r>
      <w:r w:rsidRPr="00D1008C">
        <w:rPr>
          <w:sz w:val="20"/>
          <w:szCs w:val="20"/>
          <w:lang w:bidi="ar-EG"/>
        </w:rPr>
        <w:t xml:space="preserve">with other causes of liver disease </w:t>
      </w:r>
      <w:r w:rsidRPr="00D1008C">
        <w:rPr>
          <w:sz w:val="20"/>
          <w:szCs w:val="20"/>
        </w:rPr>
        <w:t xml:space="preserve">(Auto-immune hepatitis, Hemochromatosis, Wilson’s disease and </w:t>
      </w:r>
      <w:r w:rsidRPr="00D1008C">
        <w:rPr>
          <w:sz w:val="20"/>
          <w:szCs w:val="20"/>
          <w:lang w:bidi="ar-EG"/>
        </w:rPr>
        <w:t>Budd Chiarri).</w:t>
      </w:r>
      <w:r w:rsidR="005D72CC">
        <w:rPr>
          <w:rFonts w:eastAsiaTheme="minorEastAsia" w:hint="eastAsia"/>
          <w:sz w:val="20"/>
          <w:szCs w:val="20"/>
          <w:lang w:eastAsia="zh-CN" w:bidi="ar-EG"/>
        </w:rPr>
        <w:t xml:space="preserve"> </w:t>
      </w:r>
      <w:r w:rsidRPr="00D1008C">
        <w:rPr>
          <w:sz w:val="20"/>
          <w:szCs w:val="20"/>
          <w:lang w:bidi="ar-EG"/>
        </w:rPr>
        <w:t xml:space="preserve">Patients with advanced systemic disease as heart failure, renal failure or any depleting </w:t>
      </w:r>
      <w:r w:rsidRPr="00D1008C">
        <w:rPr>
          <w:sz w:val="20"/>
          <w:szCs w:val="20"/>
          <w:lang w:bidi="ar-EG"/>
        </w:rPr>
        <w:lastRenderedPageBreak/>
        <w:t>disease that will affect life expectancy.</w:t>
      </w:r>
      <w:r w:rsidR="00732E80" w:rsidRPr="00D1008C">
        <w:rPr>
          <w:sz w:val="20"/>
          <w:szCs w:val="20"/>
          <w:lang w:bidi="ar-EG"/>
        </w:rPr>
        <w:t>,</w:t>
      </w:r>
      <w:r w:rsidRPr="00D1008C">
        <w:rPr>
          <w:sz w:val="20"/>
          <w:szCs w:val="20"/>
        </w:rPr>
        <w:t>Metastatic liver disease.</w:t>
      </w:r>
    </w:p>
    <w:p w:rsidR="00D6616D" w:rsidRPr="00D1008C" w:rsidRDefault="00732E80" w:rsidP="004611F0">
      <w:pPr>
        <w:pStyle w:val="BodyText"/>
        <w:snapToGrid w:val="0"/>
        <w:spacing w:before="0" w:line="240" w:lineRule="auto"/>
        <w:contextualSpacing/>
        <w:jc w:val="both"/>
        <w:rPr>
          <w:sz w:val="20"/>
          <w:szCs w:val="20"/>
          <w:vertAlign w:val="baseline"/>
        </w:rPr>
      </w:pPr>
      <w:r w:rsidRPr="00D1008C">
        <w:rPr>
          <w:sz w:val="20"/>
          <w:szCs w:val="20"/>
          <w:vertAlign w:val="baseline"/>
        </w:rPr>
        <w:t>All the studied cases were subjected to the following</w:t>
      </w:r>
    </w:p>
    <w:p w:rsidR="004778E9" w:rsidRPr="005D72CC" w:rsidRDefault="004778E9" w:rsidP="004611F0">
      <w:pPr>
        <w:pStyle w:val="BodyText"/>
        <w:snapToGrid w:val="0"/>
        <w:spacing w:before="0" w:line="240" w:lineRule="auto"/>
        <w:contextualSpacing/>
        <w:jc w:val="both"/>
        <w:rPr>
          <w:b w:val="0"/>
          <w:sz w:val="20"/>
          <w:szCs w:val="20"/>
          <w:vertAlign w:val="baseline"/>
        </w:rPr>
      </w:pPr>
      <w:r w:rsidRPr="005D72CC">
        <w:rPr>
          <w:b w:val="0"/>
          <w:sz w:val="20"/>
          <w:szCs w:val="20"/>
          <w:vertAlign w:val="baseline"/>
        </w:rPr>
        <w:t xml:space="preserve">- Full </w:t>
      </w:r>
      <w:r w:rsidR="00D6616D" w:rsidRPr="005D72CC">
        <w:rPr>
          <w:b w:val="0"/>
          <w:bCs w:val="0"/>
          <w:sz w:val="20"/>
          <w:szCs w:val="20"/>
          <w:vertAlign w:val="baseline"/>
        </w:rPr>
        <w:t>history, Clinical</w:t>
      </w:r>
      <w:r w:rsidRPr="005D72CC">
        <w:rPr>
          <w:b w:val="0"/>
          <w:sz w:val="20"/>
          <w:szCs w:val="20"/>
          <w:vertAlign w:val="baseline"/>
        </w:rPr>
        <w:t xml:space="preserve"> examination,</w:t>
      </w:r>
      <w:r w:rsidR="005D72CC" w:rsidRPr="005D72CC">
        <w:rPr>
          <w:rFonts w:eastAsiaTheme="minorEastAsia" w:hint="eastAsia"/>
          <w:b w:val="0"/>
          <w:sz w:val="20"/>
          <w:szCs w:val="20"/>
          <w:vertAlign w:val="baseline"/>
          <w:lang w:eastAsia="zh-CN"/>
        </w:rPr>
        <w:t xml:space="preserve"> </w:t>
      </w:r>
      <w:r w:rsidRPr="005D72CC">
        <w:rPr>
          <w:b w:val="0"/>
          <w:sz w:val="20"/>
          <w:szCs w:val="20"/>
          <w:vertAlign w:val="baseline"/>
        </w:rPr>
        <w:t>Laboratory investigations including</w:t>
      </w:r>
      <w:r w:rsidRPr="005D72CC">
        <w:rPr>
          <w:rFonts w:eastAsia="Calibri"/>
          <w:b w:val="0"/>
          <w:sz w:val="20"/>
          <w:szCs w:val="20"/>
          <w:vertAlign w:val="baseline"/>
        </w:rPr>
        <w:t xml:space="preserve"> CBC,</w:t>
      </w:r>
      <w:r w:rsidR="005D72CC" w:rsidRPr="005D72CC">
        <w:rPr>
          <w:rFonts w:eastAsiaTheme="minorEastAsia" w:hint="eastAsia"/>
          <w:b w:val="0"/>
          <w:sz w:val="20"/>
          <w:szCs w:val="20"/>
          <w:vertAlign w:val="baseline"/>
          <w:lang w:eastAsia="zh-CN"/>
        </w:rPr>
        <w:t xml:space="preserve"> </w:t>
      </w:r>
      <w:r w:rsidRPr="005D72CC">
        <w:rPr>
          <w:rFonts w:eastAsia="Calibri"/>
          <w:b w:val="0"/>
          <w:sz w:val="20"/>
          <w:szCs w:val="20"/>
          <w:vertAlign w:val="baseline"/>
        </w:rPr>
        <w:t>ALT, AST, serum albumin, serum bilirubin (total and direct), prothrombin time and international normalization ratio (INR),</w:t>
      </w:r>
      <w:r w:rsidR="005D72CC" w:rsidRPr="005D72CC">
        <w:rPr>
          <w:rFonts w:eastAsiaTheme="minorEastAsia" w:hint="eastAsia"/>
          <w:b w:val="0"/>
          <w:sz w:val="20"/>
          <w:szCs w:val="20"/>
          <w:vertAlign w:val="baseline"/>
          <w:lang w:eastAsia="zh-CN"/>
        </w:rPr>
        <w:t xml:space="preserve"> </w:t>
      </w:r>
      <w:r w:rsidRPr="005D72CC">
        <w:rPr>
          <w:rFonts w:eastAsia="Calibri"/>
          <w:b w:val="0"/>
          <w:sz w:val="20"/>
          <w:szCs w:val="20"/>
          <w:vertAlign w:val="baseline"/>
        </w:rPr>
        <w:t>HCV Ab and HBs Ag</w:t>
      </w:r>
      <w:r w:rsidR="00D1008C" w:rsidRPr="005D72CC">
        <w:rPr>
          <w:rFonts w:eastAsia="Calibri"/>
          <w:b w:val="0"/>
          <w:sz w:val="20"/>
          <w:szCs w:val="20"/>
          <w:vertAlign w:val="baseline"/>
        </w:rPr>
        <w:t>.</w:t>
      </w:r>
      <w:r w:rsidR="005D72CC" w:rsidRPr="005D72CC">
        <w:rPr>
          <w:rFonts w:eastAsiaTheme="minorEastAsia" w:hint="eastAsia"/>
          <w:b w:val="0"/>
          <w:sz w:val="20"/>
          <w:szCs w:val="20"/>
          <w:vertAlign w:val="baseline"/>
          <w:lang w:eastAsia="zh-CN"/>
        </w:rPr>
        <w:t xml:space="preserve"> </w:t>
      </w:r>
      <w:r w:rsidRPr="005D72CC">
        <w:rPr>
          <w:rFonts w:eastAsia="Calibri"/>
          <w:b w:val="0"/>
          <w:sz w:val="20"/>
          <w:szCs w:val="20"/>
          <w:vertAlign w:val="baseline"/>
        </w:rPr>
        <w:t>blood urea and serum creatinine, serum alpha-fetoprotein (AFP)</w:t>
      </w:r>
      <w:r w:rsidR="00D1008C" w:rsidRPr="005D72CC">
        <w:rPr>
          <w:rFonts w:eastAsia="Calibri"/>
          <w:b w:val="0"/>
          <w:sz w:val="20"/>
          <w:szCs w:val="20"/>
          <w:vertAlign w:val="baseline"/>
        </w:rPr>
        <w:t>.</w:t>
      </w:r>
    </w:p>
    <w:p w:rsidR="00010329" w:rsidRPr="00D1008C" w:rsidRDefault="00E02D0E" w:rsidP="004611F0">
      <w:pPr>
        <w:pStyle w:val="ListParagraph"/>
        <w:snapToGrid w:val="0"/>
        <w:ind w:left="0"/>
        <w:jc w:val="both"/>
        <w:rPr>
          <w:rFonts w:eastAsia="Calibri"/>
          <w:sz w:val="20"/>
          <w:szCs w:val="20"/>
        </w:rPr>
      </w:pPr>
      <w:r w:rsidRPr="005D72CC">
        <w:rPr>
          <w:bCs/>
          <w:sz w:val="20"/>
          <w:szCs w:val="20"/>
        </w:rPr>
        <w:t>-Abdominal ultrasonography,</w:t>
      </w:r>
      <w:r w:rsidR="005D72CC" w:rsidRPr="005D72CC">
        <w:rPr>
          <w:rFonts w:eastAsiaTheme="minorEastAsia" w:hint="eastAsia"/>
          <w:bCs/>
          <w:sz w:val="20"/>
          <w:szCs w:val="20"/>
          <w:lang w:eastAsia="zh-CN"/>
        </w:rPr>
        <w:t xml:space="preserve"> </w:t>
      </w:r>
      <w:r w:rsidRPr="005D72CC">
        <w:rPr>
          <w:bCs/>
          <w:sz w:val="20"/>
          <w:szCs w:val="20"/>
        </w:rPr>
        <w:t>Abdominal</w:t>
      </w:r>
      <w:r w:rsidR="005D72CC">
        <w:rPr>
          <w:rFonts w:eastAsiaTheme="minorEastAsia" w:hint="eastAsia"/>
          <w:bCs/>
          <w:sz w:val="20"/>
          <w:szCs w:val="20"/>
          <w:lang w:eastAsia="zh-CN"/>
        </w:rPr>
        <w:t xml:space="preserve"> </w:t>
      </w:r>
      <w:r w:rsidRPr="005D72CC">
        <w:rPr>
          <w:bCs/>
          <w:sz w:val="20"/>
          <w:szCs w:val="20"/>
        </w:rPr>
        <w:t>Triphasic Spiral Computed Tomography (CT):</w:t>
      </w:r>
      <w:r w:rsidRPr="00D1008C">
        <w:rPr>
          <w:sz w:val="20"/>
          <w:szCs w:val="20"/>
        </w:rPr>
        <w:t xml:space="preserve"> FOR</w:t>
      </w:r>
      <w:r w:rsidR="00D1008C">
        <w:rPr>
          <w:sz w:val="20"/>
          <w:szCs w:val="20"/>
        </w:rPr>
        <w:t xml:space="preserve"> </w:t>
      </w:r>
      <w:r w:rsidRPr="00D1008C">
        <w:rPr>
          <w:sz w:val="20"/>
          <w:szCs w:val="20"/>
        </w:rPr>
        <w:t>All patients with ultrasonographic detected hepatic focal lesion(s) were subjected to abdominal triphasic spiral CT</w:t>
      </w:r>
    </w:p>
    <w:p w:rsidR="004778E9" w:rsidRPr="00D1008C" w:rsidRDefault="00010329" w:rsidP="004611F0">
      <w:pPr>
        <w:pStyle w:val="ListParagraph"/>
        <w:snapToGrid w:val="0"/>
        <w:ind w:left="0"/>
        <w:jc w:val="both"/>
        <w:rPr>
          <w:rFonts w:eastAsia="Calibri"/>
          <w:sz w:val="20"/>
          <w:szCs w:val="20"/>
        </w:rPr>
      </w:pPr>
      <w:r w:rsidRPr="00D1008C">
        <w:rPr>
          <w:b/>
          <w:bCs/>
          <w:sz w:val="20"/>
          <w:szCs w:val="20"/>
        </w:rPr>
        <w:t>Ultrasound guided liver biopsy</w:t>
      </w:r>
    </w:p>
    <w:p w:rsidR="00010329" w:rsidRPr="00D1008C" w:rsidRDefault="00010329" w:rsidP="004611F0">
      <w:pPr>
        <w:pStyle w:val="ListParagraph"/>
        <w:snapToGrid w:val="0"/>
        <w:ind w:left="0"/>
        <w:jc w:val="both"/>
        <w:rPr>
          <w:rFonts w:eastAsia="Calibri"/>
          <w:sz w:val="20"/>
          <w:szCs w:val="20"/>
        </w:rPr>
      </w:pPr>
      <w:r w:rsidRPr="00D1008C">
        <w:rPr>
          <w:rFonts w:eastAsia="Calibri"/>
          <w:b/>
          <w:bCs/>
          <w:sz w:val="20"/>
          <w:szCs w:val="20"/>
        </w:rPr>
        <w:t>Histopathological procedure</w:t>
      </w:r>
      <w:r w:rsidRPr="00D1008C">
        <w:rPr>
          <w:rFonts w:eastAsia="Calibri"/>
          <w:sz w:val="20"/>
          <w:szCs w:val="20"/>
        </w:rPr>
        <w:t>:</w:t>
      </w:r>
    </w:p>
    <w:p w:rsidR="00010329" w:rsidRPr="00D1008C" w:rsidRDefault="00010329" w:rsidP="004611F0">
      <w:pPr>
        <w:pStyle w:val="ListParagraph"/>
        <w:snapToGrid w:val="0"/>
        <w:ind w:left="0" w:firstLine="425"/>
        <w:jc w:val="both"/>
        <w:rPr>
          <w:rFonts w:eastAsia="Calibri"/>
          <w:sz w:val="20"/>
          <w:szCs w:val="20"/>
        </w:rPr>
      </w:pPr>
      <w:r w:rsidRPr="00D1008C">
        <w:rPr>
          <w:rFonts w:eastAsia="Calibri"/>
          <w:sz w:val="20"/>
          <w:szCs w:val="20"/>
        </w:rPr>
        <w:t>Liver tissues were processed into paraffin blocks and were stained with Haematoxylin and Eosin for histopathological diagnosis and with Masson Trichrom for assessment of fibrosis.</w:t>
      </w:r>
      <w:r w:rsidR="005D72CC">
        <w:rPr>
          <w:rFonts w:eastAsiaTheme="minorEastAsia" w:hint="eastAsia"/>
          <w:sz w:val="20"/>
          <w:szCs w:val="20"/>
          <w:lang w:eastAsia="zh-CN"/>
        </w:rPr>
        <w:t xml:space="preserve"> </w:t>
      </w:r>
      <w:r w:rsidRPr="00D1008C">
        <w:rPr>
          <w:rFonts w:eastAsia="Calibri"/>
          <w:sz w:val="20"/>
          <w:szCs w:val="20"/>
        </w:rPr>
        <w:t>Grading of inflammation and staging of fibrosis were assessed for pathological evaluation of cases using the METAVIR system (French Metavir Cooperative study group, 1994). Unstained paraffin sections from each case were subjected to immunohistochemical procedures using monoclonal antibodies for OV6 purchased from (R&amp;D, USA), CK19 and OCT3/4 purchased from (Santa Cruz biotechnology, USA).</w:t>
      </w:r>
    </w:p>
    <w:p w:rsidR="00010329" w:rsidRPr="00D1008C" w:rsidRDefault="00010329" w:rsidP="004611F0">
      <w:pPr>
        <w:pStyle w:val="ListParagraph"/>
        <w:snapToGrid w:val="0"/>
        <w:ind w:left="0"/>
        <w:jc w:val="both"/>
        <w:rPr>
          <w:rFonts w:eastAsia="Calibri"/>
          <w:sz w:val="20"/>
          <w:szCs w:val="20"/>
        </w:rPr>
      </w:pPr>
      <w:r w:rsidRPr="00D1008C">
        <w:rPr>
          <w:rFonts w:eastAsia="Calibri"/>
          <w:b/>
          <w:bCs/>
          <w:sz w:val="20"/>
          <w:szCs w:val="20"/>
        </w:rPr>
        <w:t>Immunohistiochemistry</w:t>
      </w:r>
      <w:r w:rsidRPr="00D1008C">
        <w:rPr>
          <w:rFonts w:eastAsia="Calibri"/>
          <w:sz w:val="20"/>
          <w:szCs w:val="20"/>
        </w:rPr>
        <w:t>:</w:t>
      </w:r>
    </w:p>
    <w:p w:rsidR="00010329" w:rsidRPr="00D1008C" w:rsidRDefault="00010329" w:rsidP="004611F0">
      <w:pPr>
        <w:widowControl w:val="0"/>
        <w:tabs>
          <w:tab w:val="right" w:pos="567"/>
          <w:tab w:val="right" w:pos="709"/>
          <w:tab w:val="right" w:pos="851"/>
        </w:tabs>
        <w:snapToGrid w:val="0"/>
        <w:ind w:firstLine="425"/>
        <w:jc w:val="both"/>
        <w:rPr>
          <w:rFonts w:eastAsia="Calibri"/>
          <w:sz w:val="20"/>
          <w:szCs w:val="20"/>
        </w:rPr>
      </w:pPr>
      <w:r w:rsidRPr="00D1008C">
        <w:rPr>
          <w:rFonts w:eastAsia="Calibri"/>
          <w:sz w:val="20"/>
          <w:szCs w:val="20"/>
        </w:rPr>
        <w:t>Paraffin sections on positive charged slides were pretreated for antigen retrieval, then with supersensitive monoclonal human antibodies against OV6, CK19 and OCT3/4 with blockage of internal peroxidase activity. Streptavidin biotin peroxidase detection system was used, utilizing DAB as a chromogen and hematoxylin as a counter stain (Ultra</w:t>
      </w:r>
      <w:r w:rsidR="005D72CC">
        <w:rPr>
          <w:rFonts w:eastAsiaTheme="minorEastAsia" w:hint="eastAsia"/>
          <w:sz w:val="20"/>
          <w:szCs w:val="20"/>
          <w:lang w:eastAsia="zh-CN"/>
        </w:rPr>
        <w:t xml:space="preserve"> </w:t>
      </w:r>
      <w:r w:rsidRPr="00D1008C">
        <w:rPr>
          <w:rFonts w:eastAsia="Calibri"/>
          <w:sz w:val="20"/>
          <w:szCs w:val="20"/>
        </w:rPr>
        <w:t>Vision Detection Kit DAKO, Denmark).</w:t>
      </w:r>
    </w:p>
    <w:p w:rsidR="004611F0" w:rsidRPr="00D1008C" w:rsidRDefault="004611F0" w:rsidP="004611F0">
      <w:pPr>
        <w:widowControl w:val="0"/>
        <w:tabs>
          <w:tab w:val="right" w:pos="567"/>
          <w:tab w:val="right" w:pos="709"/>
          <w:tab w:val="right" w:pos="851"/>
        </w:tabs>
        <w:snapToGrid w:val="0"/>
        <w:jc w:val="both"/>
        <w:rPr>
          <w:rFonts w:eastAsiaTheme="minorEastAsia"/>
          <w:sz w:val="20"/>
          <w:szCs w:val="20"/>
          <w:lang w:eastAsia="zh-CN"/>
        </w:rPr>
      </w:pPr>
    </w:p>
    <w:p w:rsidR="006251C8" w:rsidRPr="00D1008C" w:rsidRDefault="006251C8" w:rsidP="006251C8">
      <w:pPr>
        <w:widowControl w:val="0"/>
        <w:tabs>
          <w:tab w:val="right" w:pos="567"/>
          <w:tab w:val="right" w:pos="709"/>
          <w:tab w:val="right" w:pos="851"/>
        </w:tabs>
        <w:snapToGrid w:val="0"/>
        <w:jc w:val="both"/>
        <w:rPr>
          <w:rFonts w:eastAsiaTheme="minorEastAsia"/>
          <w:b/>
          <w:bCs/>
          <w:sz w:val="20"/>
          <w:szCs w:val="20"/>
          <w:lang w:eastAsia="zh-CN"/>
        </w:rPr>
      </w:pPr>
      <w:r w:rsidRPr="00D1008C">
        <w:rPr>
          <w:b/>
          <w:bCs/>
          <w:sz w:val="20"/>
          <w:szCs w:val="20"/>
        </w:rPr>
        <w:t>3. Results</w:t>
      </w:r>
    </w:p>
    <w:p w:rsidR="006251C8" w:rsidRPr="00D1008C" w:rsidRDefault="006251C8" w:rsidP="006251C8">
      <w:pPr>
        <w:widowControl w:val="0"/>
        <w:tabs>
          <w:tab w:val="right" w:pos="567"/>
          <w:tab w:val="right" w:pos="709"/>
          <w:tab w:val="right" w:pos="851"/>
        </w:tabs>
        <w:snapToGrid w:val="0"/>
        <w:ind w:firstLine="425"/>
        <w:jc w:val="both"/>
        <w:rPr>
          <w:rFonts w:eastAsiaTheme="minorEastAsia"/>
          <w:sz w:val="20"/>
          <w:szCs w:val="20"/>
          <w:lang w:eastAsia="zh-CN"/>
        </w:rPr>
      </w:pPr>
      <w:r w:rsidRPr="00D1008C">
        <w:rPr>
          <w:sz w:val="20"/>
          <w:szCs w:val="20"/>
        </w:rPr>
        <w:t>There was statistically significant increase in age in HCC group in comparison to hepatitis group (</w:t>
      </w:r>
      <w:r w:rsidRPr="00D1008C">
        <w:rPr>
          <w:i/>
          <w:iCs/>
          <w:sz w:val="20"/>
          <w:szCs w:val="20"/>
        </w:rPr>
        <w:t>P</w:t>
      </w:r>
      <w:r w:rsidRPr="00D1008C">
        <w:rPr>
          <w:sz w:val="20"/>
          <w:szCs w:val="20"/>
        </w:rPr>
        <w:t xml:space="preserve"> value &lt; 0.01), while, no statistically significance in age distribution between control and other groups and no significance between cirrhosis and HCC.</w:t>
      </w:r>
    </w:p>
    <w:p w:rsidR="006251C8" w:rsidRPr="00D1008C" w:rsidRDefault="006251C8" w:rsidP="006251C8">
      <w:pPr>
        <w:widowControl w:val="0"/>
        <w:tabs>
          <w:tab w:val="right" w:pos="567"/>
          <w:tab w:val="right" w:pos="709"/>
          <w:tab w:val="right" w:pos="851"/>
        </w:tabs>
        <w:snapToGrid w:val="0"/>
        <w:ind w:firstLine="425"/>
        <w:jc w:val="both"/>
        <w:rPr>
          <w:rFonts w:eastAsiaTheme="minorEastAsia"/>
          <w:sz w:val="20"/>
          <w:szCs w:val="20"/>
          <w:lang w:eastAsia="zh-CN"/>
        </w:rPr>
      </w:pPr>
      <w:r w:rsidRPr="00D1008C">
        <w:rPr>
          <w:sz w:val="20"/>
          <w:szCs w:val="20"/>
        </w:rPr>
        <w:t>Table (2): The mean values of WBCs, RBCs, Hb and platelet count show a high statistically significant decrease in cirrhotic, HCC groups compared to control group (</w:t>
      </w:r>
      <w:r w:rsidRPr="00D1008C">
        <w:rPr>
          <w:i/>
          <w:iCs/>
          <w:sz w:val="20"/>
          <w:szCs w:val="20"/>
        </w:rPr>
        <w:t>p</w:t>
      </w:r>
      <w:r w:rsidRPr="00D1008C">
        <w:rPr>
          <w:sz w:val="20"/>
          <w:szCs w:val="20"/>
        </w:rPr>
        <w:t xml:space="preserve"> value &lt; 0.01).</w:t>
      </w:r>
      <w:r w:rsidR="00D1008C">
        <w:rPr>
          <w:sz w:val="20"/>
          <w:szCs w:val="20"/>
        </w:rPr>
        <w:t xml:space="preserve"> </w:t>
      </w:r>
      <w:r w:rsidRPr="00D1008C">
        <w:rPr>
          <w:sz w:val="20"/>
          <w:szCs w:val="20"/>
        </w:rPr>
        <w:t>The mean values of WBCs, RBCs, Hb and platelet count show a high statistically significant decrease in cirrhosis, HCC groups compared to hepatitis group (</w:t>
      </w:r>
      <w:r w:rsidRPr="00D1008C">
        <w:rPr>
          <w:i/>
          <w:iCs/>
          <w:sz w:val="20"/>
          <w:szCs w:val="20"/>
        </w:rPr>
        <w:t>p</w:t>
      </w:r>
      <w:r w:rsidRPr="00D1008C">
        <w:rPr>
          <w:sz w:val="20"/>
          <w:szCs w:val="20"/>
        </w:rPr>
        <w:t xml:space="preserve"> value &lt; 0.01).</w:t>
      </w:r>
      <w:r w:rsidR="00D1008C">
        <w:rPr>
          <w:sz w:val="20"/>
          <w:szCs w:val="20"/>
        </w:rPr>
        <w:t xml:space="preserve"> </w:t>
      </w:r>
      <w:r w:rsidRPr="00D1008C">
        <w:rPr>
          <w:sz w:val="20"/>
          <w:szCs w:val="20"/>
        </w:rPr>
        <w:t>The mean value of RBCs count show a statistically significant decrease in HCC group compared to cirrhosis group (</w:t>
      </w:r>
      <w:r w:rsidRPr="00D1008C">
        <w:rPr>
          <w:i/>
          <w:iCs/>
          <w:sz w:val="20"/>
          <w:szCs w:val="20"/>
        </w:rPr>
        <w:t>p</w:t>
      </w:r>
      <w:r w:rsidRPr="00D1008C">
        <w:rPr>
          <w:sz w:val="20"/>
          <w:szCs w:val="20"/>
        </w:rPr>
        <w:t xml:space="preserve"> value &lt; 0.05). The mean values of Hb and platelet count show a high statistically significant decrease in HCC group compared to </w:t>
      </w:r>
      <w:r w:rsidRPr="00D1008C">
        <w:rPr>
          <w:sz w:val="20"/>
          <w:szCs w:val="20"/>
        </w:rPr>
        <w:lastRenderedPageBreak/>
        <w:t>cirrhosis group (</w:t>
      </w:r>
      <w:r w:rsidRPr="00D1008C">
        <w:rPr>
          <w:i/>
          <w:iCs/>
          <w:sz w:val="20"/>
          <w:szCs w:val="20"/>
        </w:rPr>
        <w:t>p</w:t>
      </w:r>
      <w:r w:rsidRPr="00D1008C">
        <w:rPr>
          <w:sz w:val="20"/>
          <w:szCs w:val="20"/>
        </w:rPr>
        <w:t xml:space="preserve"> value &lt; 0.01).The mean value of ESR show a high statistically significant increase in HCC group compared to all groups (</w:t>
      </w:r>
      <w:r w:rsidRPr="00D1008C">
        <w:rPr>
          <w:i/>
          <w:iCs/>
          <w:sz w:val="20"/>
          <w:szCs w:val="20"/>
        </w:rPr>
        <w:t>p</w:t>
      </w:r>
      <w:r w:rsidRPr="00D1008C">
        <w:rPr>
          <w:sz w:val="20"/>
          <w:szCs w:val="20"/>
        </w:rPr>
        <w:t xml:space="preserve"> value &lt; 0.01) </w:t>
      </w:r>
      <w:r w:rsidRPr="00D1008C">
        <w:rPr>
          <w:sz w:val="20"/>
          <w:szCs w:val="20"/>
        </w:rPr>
        <w:lastRenderedPageBreak/>
        <w:t>and in cirrhosis group compared to hepatitis group (</w:t>
      </w:r>
      <w:r w:rsidRPr="00D1008C">
        <w:rPr>
          <w:i/>
          <w:iCs/>
          <w:sz w:val="20"/>
          <w:szCs w:val="20"/>
        </w:rPr>
        <w:t>p</w:t>
      </w:r>
      <w:r w:rsidRPr="00D1008C">
        <w:rPr>
          <w:sz w:val="20"/>
          <w:szCs w:val="20"/>
        </w:rPr>
        <w:t xml:space="preserve"> value &lt; 0.05).</w:t>
      </w:r>
    </w:p>
    <w:p w:rsidR="006251C8" w:rsidRPr="00D1008C" w:rsidRDefault="006251C8" w:rsidP="004611F0">
      <w:pPr>
        <w:widowControl w:val="0"/>
        <w:tabs>
          <w:tab w:val="right" w:pos="567"/>
          <w:tab w:val="right" w:pos="709"/>
          <w:tab w:val="right" w:pos="851"/>
        </w:tabs>
        <w:snapToGrid w:val="0"/>
        <w:jc w:val="both"/>
        <w:rPr>
          <w:rFonts w:eastAsiaTheme="minorEastAsia"/>
          <w:sz w:val="20"/>
          <w:szCs w:val="20"/>
          <w:lang w:eastAsia="zh-CN"/>
        </w:rPr>
        <w:sectPr w:rsidR="006251C8" w:rsidRPr="00D1008C" w:rsidSect="00D1008C">
          <w:headerReference w:type="default" r:id="rId12"/>
          <w:footerReference w:type="default" r:id="rId13"/>
          <w:type w:val="continuous"/>
          <w:pgSz w:w="12242" w:h="15842" w:code="1"/>
          <w:pgMar w:top="1440" w:right="1440" w:bottom="1440" w:left="1440" w:header="720" w:footer="720" w:gutter="0"/>
          <w:cols w:num="2" w:space="576"/>
          <w:docGrid w:linePitch="360"/>
        </w:sectPr>
      </w:pPr>
    </w:p>
    <w:p w:rsidR="00010329" w:rsidRPr="00D1008C" w:rsidRDefault="00010329" w:rsidP="004611F0">
      <w:pPr>
        <w:widowControl w:val="0"/>
        <w:tabs>
          <w:tab w:val="right" w:pos="567"/>
          <w:tab w:val="right" w:pos="709"/>
          <w:tab w:val="right" w:pos="851"/>
        </w:tabs>
        <w:snapToGrid w:val="0"/>
        <w:jc w:val="both"/>
        <w:rPr>
          <w:rFonts w:eastAsia="Calibri"/>
          <w:sz w:val="20"/>
          <w:szCs w:val="20"/>
        </w:rPr>
      </w:pPr>
    </w:p>
    <w:p w:rsidR="00F80BAC" w:rsidRPr="00D1008C" w:rsidRDefault="00F80BAC" w:rsidP="004611F0">
      <w:pPr>
        <w:snapToGrid w:val="0"/>
        <w:jc w:val="center"/>
        <w:rPr>
          <w:sz w:val="20"/>
          <w:szCs w:val="20"/>
        </w:rPr>
      </w:pPr>
      <w:r w:rsidRPr="00D1008C">
        <w:rPr>
          <w:b/>
          <w:bCs/>
          <w:sz w:val="20"/>
          <w:szCs w:val="20"/>
        </w:rPr>
        <w:t xml:space="preserve">Table (1): </w:t>
      </w:r>
      <w:r w:rsidRPr="00D1008C">
        <w:rPr>
          <w:sz w:val="20"/>
          <w:szCs w:val="20"/>
        </w:rPr>
        <w:t>Demographic data of the studied groups</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658"/>
        <w:gridCol w:w="762"/>
        <w:gridCol w:w="877"/>
        <w:gridCol w:w="782"/>
        <w:gridCol w:w="782"/>
        <w:gridCol w:w="782"/>
        <w:gridCol w:w="782"/>
        <w:gridCol w:w="791"/>
        <w:gridCol w:w="1077"/>
        <w:gridCol w:w="1285"/>
      </w:tblGrid>
      <w:tr w:rsidR="0045204D" w:rsidRPr="005D72CC" w:rsidTr="006251C8">
        <w:trPr>
          <w:jc w:val="center"/>
        </w:trPr>
        <w:tc>
          <w:tcPr>
            <w:tcW w:w="865" w:type="pct"/>
            <w:tcBorders>
              <w:top w:val="double" w:sz="4" w:space="0" w:color="auto"/>
              <w:bottom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Variables</w:t>
            </w:r>
          </w:p>
        </w:tc>
        <w:tc>
          <w:tcPr>
            <w:tcW w:w="856" w:type="pct"/>
            <w:gridSpan w:val="2"/>
            <w:tcBorders>
              <w:top w:val="double" w:sz="4" w:space="0" w:color="auto"/>
              <w:bottom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Control</w:t>
            </w:r>
          </w:p>
          <w:p w:rsidR="00F80BAC" w:rsidRPr="005D72CC" w:rsidRDefault="00F80BAC" w:rsidP="004611F0">
            <w:pPr>
              <w:snapToGrid w:val="0"/>
              <w:jc w:val="both"/>
              <w:rPr>
                <w:color w:val="000000"/>
                <w:sz w:val="20"/>
                <w:szCs w:val="20"/>
              </w:rPr>
            </w:pPr>
            <w:r w:rsidRPr="005D72CC">
              <w:rPr>
                <w:color w:val="000000"/>
                <w:sz w:val="20"/>
                <w:szCs w:val="20"/>
              </w:rPr>
              <w:t>N=10</w:t>
            </w:r>
          </w:p>
        </w:tc>
        <w:tc>
          <w:tcPr>
            <w:tcW w:w="816" w:type="pct"/>
            <w:gridSpan w:val="2"/>
            <w:tcBorders>
              <w:top w:val="double" w:sz="4" w:space="0" w:color="auto"/>
              <w:bottom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Group I</w:t>
            </w:r>
          </w:p>
          <w:p w:rsidR="00F80BAC" w:rsidRPr="005D72CC" w:rsidRDefault="00F80BAC" w:rsidP="004611F0">
            <w:pPr>
              <w:snapToGrid w:val="0"/>
              <w:jc w:val="both"/>
              <w:rPr>
                <w:color w:val="000000"/>
                <w:sz w:val="20"/>
                <w:szCs w:val="20"/>
              </w:rPr>
            </w:pPr>
            <w:r w:rsidRPr="005D72CC">
              <w:rPr>
                <w:color w:val="000000"/>
                <w:sz w:val="20"/>
                <w:szCs w:val="20"/>
              </w:rPr>
              <w:t>N=20</w:t>
            </w:r>
          </w:p>
        </w:tc>
        <w:tc>
          <w:tcPr>
            <w:tcW w:w="816" w:type="pct"/>
            <w:gridSpan w:val="2"/>
            <w:tcBorders>
              <w:top w:val="double" w:sz="4" w:space="0" w:color="auto"/>
              <w:bottom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Group II</w:t>
            </w:r>
          </w:p>
          <w:p w:rsidR="00F80BAC" w:rsidRPr="005D72CC" w:rsidRDefault="00F80BAC" w:rsidP="004611F0">
            <w:pPr>
              <w:snapToGrid w:val="0"/>
              <w:jc w:val="both"/>
              <w:rPr>
                <w:bCs/>
                <w:color w:val="000000"/>
                <w:sz w:val="20"/>
                <w:szCs w:val="20"/>
              </w:rPr>
            </w:pPr>
            <w:r w:rsidRPr="005D72CC">
              <w:rPr>
                <w:color w:val="000000"/>
                <w:sz w:val="20"/>
                <w:szCs w:val="20"/>
              </w:rPr>
              <w:t>N=25</w:t>
            </w:r>
          </w:p>
        </w:tc>
        <w:tc>
          <w:tcPr>
            <w:tcW w:w="975" w:type="pct"/>
            <w:gridSpan w:val="2"/>
            <w:tcBorders>
              <w:top w:val="double" w:sz="4" w:space="0" w:color="auto"/>
              <w:bottom w:val="double" w:sz="4" w:space="0" w:color="auto"/>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Group III</w:t>
            </w:r>
          </w:p>
          <w:p w:rsidR="00F80BAC" w:rsidRPr="005D72CC" w:rsidRDefault="00F80BAC" w:rsidP="004611F0">
            <w:pPr>
              <w:snapToGrid w:val="0"/>
              <w:jc w:val="both"/>
              <w:rPr>
                <w:bCs/>
                <w:color w:val="000000"/>
                <w:sz w:val="20"/>
                <w:szCs w:val="20"/>
              </w:rPr>
            </w:pPr>
            <w:r w:rsidRPr="005D72CC">
              <w:rPr>
                <w:color w:val="000000"/>
                <w:sz w:val="20"/>
                <w:szCs w:val="20"/>
              </w:rPr>
              <w:t>N=30</w:t>
            </w:r>
          </w:p>
        </w:tc>
        <w:tc>
          <w:tcPr>
            <w:tcW w:w="671" w:type="pct"/>
            <w:tcBorders>
              <w:top w:val="double" w:sz="4" w:space="0" w:color="auto"/>
              <w:left w:val="single" w:sz="4" w:space="0" w:color="auto"/>
              <w:bottom w:val="double" w:sz="4" w:space="0" w:color="auto"/>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i/>
                <w:iCs/>
                <w:color w:val="000000"/>
                <w:sz w:val="20"/>
                <w:szCs w:val="20"/>
              </w:rPr>
              <w:t>P</w:t>
            </w:r>
            <w:r w:rsidRPr="005D72CC">
              <w:rPr>
                <w:bCs/>
                <w:color w:val="000000"/>
                <w:sz w:val="20"/>
                <w:szCs w:val="20"/>
              </w:rPr>
              <w:t xml:space="preserve"> value</w:t>
            </w:r>
          </w:p>
        </w:tc>
      </w:tr>
      <w:tr w:rsidR="0045204D" w:rsidRPr="005D72CC" w:rsidTr="006251C8">
        <w:trPr>
          <w:jc w:val="center"/>
        </w:trPr>
        <w:tc>
          <w:tcPr>
            <w:tcW w:w="865" w:type="pct"/>
            <w:tcBorders>
              <w:top w:val="double" w:sz="4" w:space="0" w:color="auto"/>
            </w:tcBorders>
            <w:shd w:val="clear" w:color="auto" w:fill="auto"/>
            <w:vAlign w:val="center"/>
          </w:tcPr>
          <w:p w:rsidR="00F80BAC" w:rsidRPr="005D72CC" w:rsidRDefault="00F80BAC" w:rsidP="004611F0">
            <w:pPr>
              <w:snapToGrid w:val="0"/>
              <w:jc w:val="both"/>
              <w:rPr>
                <w:bCs/>
                <w:color w:val="000000"/>
                <w:sz w:val="20"/>
                <w:szCs w:val="20"/>
                <w:u w:val="single"/>
              </w:rPr>
            </w:pPr>
            <w:r w:rsidRPr="005D72CC">
              <w:rPr>
                <w:bCs/>
                <w:color w:val="000000"/>
                <w:sz w:val="20"/>
                <w:szCs w:val="20"/>
                <w:u w:val="single"/>
              </w:rPr>
              <w:t>Age</w:t>
            </w:r>
          </w:p>
          <w:p w:rsidR="00F80BAC" w:rsidRPr="005D72CC" w:rsidRDefault="00F80BAC" w:rsidP="004611F0">
            <w:pPr>
              <w:snapToGrid w:val="0"/>
              <w:jc w:val="both"/>
              <w:rPr>
                <w:color w:val="000000"/>
                <w:sz w:val="20"/>
                <w:szCs w:val="20"/>
              </w:rPr>
            </w:pPr>
            <w:r w:rsidRPr="005D72CC">
              <w:rPr>
                <w:color w:val="000000"/>
                <w:sz w:val="20"/>
                <w:szCs w:val="20"/>
              </w:rPr>
              <w:t>Mean ±SD</w:t>
            </w:r>
          </w:p>
        </w:tc>
        <w:tc>
          <w:tcPr>
            <w:tcW w:w="856" w:type="pct"/>
            <w:gridSpan w:val="2"/>
            <w:tcBorders>
              <w:top w:val="double" w:sz="4" w:space="0" w:color="auto"/>
            </w:tcBorders>
            <w:shd w:val="clear" w:color="auto" w:fill="auto"/>
            <w:vAlign w:val="center"/>
          </w:tcPr>
          <w:p w:rsidR="00F80BAC" w:rsidRPr="005D72CC" w:rsidRDefault="00F80BAC" w:rsidP="004611F0">
            <w:pPr>
              <w:snapToGrid w:val="0"/>
              <w:jc w:val="both"/>
              <w:rPr>
                <w:color w:val="000000"/>
                <w:sz w:val="20"/>
                <w:szCs w:val="20"/>
                <w:lang w:bidi="ar-EG"/>
              </w:rPr>
            </w:pPr>
          </w:p>
          <w:p w:rsidR="00F80BAC" w:rsidRPr="005D72CC" w:rsidRDefault="00F80BAC" w:rsidP="004611F0">
            <w:pPr>
              <w:snapToGrid w:val="0"/>
              <w:jc w:val="both"/>
              <w:rPr>
                <w:color w:val="000000"/>
                <w:sz w:val="20"/>
                <w:szCs w:val="20"/>
              </w:rPr>
            </w:pPr>
            <w:r w:rsidRPr="005D72CC">
              <w:rPr>
                <w:color w:val="000000"/>
                <w:sz w:val="20"/>
                <w:szCs w:val="20"/>
              </w:rPr>
              <w:t>46.6 ±10.1</w:t>
            </w:r>
          </w:p>
        </w:tc>
        <w:tc>
          <w:tcPr>
            <w:tcW w:w="816" w:type="pct"/>
            <w:gridSpan w:val="2"/>
            <w:tcBorders>
              <w:top w:val="double" w:sz="4" w:space="0" w:color="auto"/>
            </w:tcBorders>
            <w:shd w:val="clear" w:color="auto" w:fill="auto"/>
            <w:vAlign w:val="center"/>
          </w:tcPr>
          <w:p w:rsidR="00F80BAC" w:rsidRPr="005D72CC" w:rsidRDefault="00F80BAC" w:rsidP="004611F0">
            <w:pPr>
              <w:snapToGrid w:val="0"/>
              <w:jc w:val="both"/>
              <w:rPr>
                <w:color w:val="000000"/>
                <w:sz w:val="20"/>
                <w:szCs w:val="20"/>
              </w:rPr>
            </w:pPr>
          </w:p>
          <w:p w:rsidR="00F80BAC" w:rsidRPr="005D72CC" w:rsidRDefault="00F80BAC" w:rsidP="004611F0">
            <w:pPr>
              <w:snapToGrid w:val="0"/>
              <w:jc w:val="both"/>
              <w:rPr>
                <w:color w:val="000000"/>
                <w:sz w:val="20"/>
                <w:szCs w:val="20"/>
              </w:rPr>
            </w:pPr>
            <w:r w:rsidRPr="005D72CC">
              <w:rPr>
                <w:color w:val="000000"/>
                <w:sz w:val="20"/>
                <w:szCs w:val="20"/>
              </w:rPr>
              <w:t>41.7 ± 8.4</w:t>
            </w:r>
          </w:p>
        </w:tc>
        <w:tc>
          <w:tcPr>
            <w:tcW w:w="816" w:type="pct"/>
            <w:gridSpan w:val="2"/>
            <w:tcBorders>
              <w:top w:val="double" w:sz="4" w:space="0" w:color="auto"/>
            </w:tcBorders>
            <w:shd w:val="clear" w:color="auto" w:fill="auto"/>
            <w:vAlign w:val="center"/>
          </w:tcPr>
          <w:p w:rsidR="00F80BAC" w:rsidRPr="005D72CC" w:rsidRDefault="00F80BAC" w:rsidP="004611F0">
            <w:pPr>
              <w:snapToGrid w:val="0"/>
              <w:jc w:val="both"/>
              <w:rPr>
                <w:color w:val="000000"/>
                <w:sz w:val="20"/>
                <w:szCs w:val="20"/>
              </w:rPr>
            </w:pPr>
          </w:p>
          <w:p w:rsidR="00F80BAC" w:rsidRPr="005D72CC" w:rsidRDefault="00F80BAC" w:rsidP="004611F0">
            <w:pPr>
              <w:snapToGrid w:val="0"/>
              <w:jc w:val="both"/>
              <w:rPr>
                <w:color w:val="000000"/>
                <w:sz w:val="20"/>
                <w:szCs w:val="20"/>
              </w:rPr>
            </w:pPr>
            <w:r w:rsidRPr="005D72CC">
              <w:rPr>
                <w:color w:val="000000"/>
                <w:sz w:val="20"/>
                <w:szCs w:val="20"/>
                <w:lang w:val="en-GB"/>
              </w:rPr>
              <w:t>48.3</w:t>
            </w:r>
            <w:r w:rsidRPr="005D72CC">
              <w:rPr>
                <w:color w:val="000000"/>
                <w:sz w:val="20"/>
                <w:szCs w:val="20"/>
              </w:rPr>
              <w:t>±10.2</w:t>
            </w:r>
          </w:p>
        </w:tc>
        <w:tc>
          <w:tcPr>
            <w:tcW w:w="975" w:type="pct"/>
            <w:gridSpan w:val="2"/>
            <w:tcBorders>
              <w:top w:val="double" w:sz="4" w:space="0" w:color="auto"/>
              <w:right w:val="single" w:sz="4" w:space="0" w:color="auto"/>
            </w:tcBorders>
            <w:shd w:val="clear" w:color="auto" w:fill="auto"/>
            <w:vAlign w:val="center"/>
          </w:tcPr>
          <w:p w:rsidR="00F80BAC" w:rsidRPr="005D72CC" w:rsidRDefault="00F80BAC" w:rsidP="004611F0">
            <w:pPr>
              <w:snapToGrid w:val="0"/>
              <w:jc w:val="both"/>
              <w:rPr>
                <w:color w:val="000000"/>
                <w:sz w:val="20"/>
                <w:szCs w:val="20"/>
              </w:rPr>
            </w:pPr>
          </w:p>
          <w:p w:rsidR="00F80BAC" w:rsidRPr="005D72CC" w:rsidRDefault="00F80BAC" w:rsidP="004611F0">
            <w:pPr>
              <w:snapToGrid w:val="0"/>
              <w:jc w:val="both"/>
              <w:rPr>
                <w:color w:val="000000"/>
                <w:sz w:val="20"/>
                <w:szCs w:val="20"/>
              </w:rPr>
            </w:pPr>
            <w:r w:rsidRPr="005D72CC">
              <w:rPr>
                <w:color w:val="000000"/>
                <w:sz w:val="20"/>
                <w:szCs w:val="20"/>
              </w:rPr>
              <w:t>53.7 ± 15.3*</w:t>
            </w:r>
          </w:p>
        </w:tc>
        <w:tc>
          <w:tcPr>
            <w:tcW w:w="671" w:type="pct"/>
            <w:tcBorders>
              <w:top w:val="double" w:sz="4" w:space="0" w:color="auto"/>
              <w:left w:val="single" w:sz="4" w:space="0" w:color="auto"/>
              <w:right w:val="single" w:sz="4" w:space="0" w:color="auto"/>
            </w:tcBorders>
            <w:shd w:val="clear" w:color="auto" w:fill="auto"/>
            <w:vAlign w:val="center"/>
          </w:tcPr>
          <w:p w:rsidR="00F80BAC" w:rsidRPr="005D72CC" w:rsidRDefault="00F80BAC" w:rsidP="004611F0">
            <w:pPr>
              <w:snapToGrid w:val="0"/>
              <w:jc w:val="both"/>
              <w:rPr>
                <w:color w:val="000000"/>
                <w:sz w:val="20"/>
                <w:szCs w:val="20"/>
              </w:rPr>
            </w:pPr>
          </w:p>
        </w:tc>
      </w:tr>
      <w:tr w:rsidR="0045204D" w:rsidRPr="005D72CC" w:rsidTr="006251C8">
        <w:trPr>
          <w:jc w:val="center"/>
        </w:trPr>
        <w:tc>
          <w:tcPr>
            <w:tcW w:w="865" w:type="pct"/>
            <w:vMerge w:val="restart"/>
            <w:shd w:val="clear" w:color="auto" w:fill="auto"/>
            <w:vAlign w:val="center"/>
          </w:tcPr>
          <w:p w:rsidR="00F80BAC" w:rsidRPr="005D72CC" w:rsidRDefault="00F80BAC" w:rsidP="004611F0">
            <w:pPr>
              <w:snapToGrid w:val="0"/>
              <w:jc w:val="both"/>
              <w:rPr>
                <w:bCs/>
                <w:color w:val="000000"/>
                <w:sz w:val="20"/>
                <w:szCs w:val="20"/>
                <w:u w:val="single"/>
              </w:rPr>
            </w:pPr>
            <w:r w:rsidRPr="005D72CC">
              <w:rPr>
                <w:bCs/>
                <w:color w:val="000000"/>
                <w:sz w:val="20"/>
                <w:szCs w:val="20"/>
                <w:u w:val="single"/>
              </w:rPr>
              <w:t>Gender</w:t>
            </w:r>
          </w:p>
          <w:p w:rsidR="00F80BAC" w:rsidRPr="005D72CC" w:rsidRDefault="00F80BAC" w:rsidP="004611F0">
            <w:pPr>
              <w:snapToGrid w:val="0"/>
              <w:jc w:val="both"/>
              <w:rPr>
                <w:color w:val="000000"/>
                <w:sz w:val="20"/>
                <w:szCs w:val="20"/>
              </w:rPr>
            </w:pPr>
            <w:r w:rsidRPr="005D72CC">
              <w:rPr>
                <w:color w:val="000000"/>
                <w:sz w:val="20"/>
                <w:szCs w:val="20"/>
              </w:rPr>
              <w:t>Male</w:t>
            </w:r>
          </w:p>
          <w:p w:rsidR="00F80BAC" w:rsidRPr="005D72CC" w:rsidRDefault="00F80BAC" w:rsidP="004611F0">
            <w:pPr>
              <w:snapToGrid w:val="0"/>
              <w:jc w:val="both"/>
              <w:rPr>
                <w:bCs/>
                <w:color w:val="000000"/>
                <w:sz w:val="20"/>
                <w:szCs w:val="20"/>
                <w:u w:val="single"/>
              </w:rPr>
            </w:pPr>
            <w:r w:rsidRPr="005D72CC">
              <w:rPr>
                <w:color w:val="000000"/>
                <w:sz w:val="20"/>
                <w:szCs w:val="20"/>
              </w:rPr>
              <w:t>Female</w:t>
            </w:r>
          </w:p>
        </w:tc>
        <w:tc>
          <w:tcPr>
            <w:tcW w:w="39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N</w:t>
            </w:r>
          </w:p>
        </w:tc>
        <w:tc>
          <w:tcPr>
            <w:tcW w:w="45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w:t>
            </w:r>
          </w:p>
        </w:tc>
        <w:tc>
          <w:tcPr>
            <w:tcW w:w="408" w:type="pct"/>
            <w:shd w:val="clear" w:color="auto" w:fill="auto"/>
            <w:vAlign w:val="center"/>
          </w:tcPr>
          <w:p w:rsidR="00F80BAC" w:rsidRPr="005D72CC" w:rsidRDefault="00F80BAC" w:rsidP="004611F0">
            <w:pPr>
              <w:tabs>
                <w:tab w:val="center" w:pos="1085"/>
              </w:tabs>
              <w:snapToGrid w:val="0"/>
              <w:jc w:val="both"/>
              <w:rPr>
                <w:color w:val="000000"/>
                <w:sz w:val="20"/>
                <w:szCs w:val="20"/>
              </w:rPr>
            </w:pPr>
            <w:r w:rsidRPr="005D72CC">
              <w:rPr>
                <w:color w:val="000000"/>
                <w:sz w:val="20"/>
                <w:szCs w:val="20"/>
              </w:rPr>
              <w:t>N</w:t>
            </w:r>
          </w:p>
        </w:tc>
        <w:tc>
          <w:tcPr>
            <w:tcW w:w="408" w:type="pct"/>
            <w:shd w:val="clear" w:color="auto" w:fill="auto"/>
            <w:vAlign w:val="center"/>
          </w:tcPr>
          <w:p w:rsidR="00F80BAC" w:rsidRPr="005D72CC" w:rsidRDefault="00F80BAC" w:rsidP="004611F0">
            <w:pPr>
              <w:tabs>
                <w:tab w:val="center" w:pos="1085"/>
              </w:tabs>
              <w:snapToGrid w:val="0"/>
              <w:jc w:val="both"/>
              <w:rPr>
                <w:color w:val="000000"/>
                <w:sz w:val="20"/>
                <w:szCs w:val="20"/>
              </w:rPr>
            </w:pPr>
            <w:r w:rsidRPr="005D72CC">
              <w:rPr>
                <w:color w:val="000000"/>
                <w:sz w:val="20"/>
                <w:szCs w:val="20"/>
              </w:rPr>
              <w:t>%</w:t>
            </w:r>
          </w:p>
        </w:tc>
        <w:tc>
          <w:tcPr>
            <w:tcW w:w="408" w:type="pct"/>
            <w:shd w:val="clear" w:color="auto" w:fill="auto"/>
            <w:vAlign w:val="center"/>
          </w:tcPr>
          <w:p w:rsidR="00F80BAC" w:rsidRPr="005D72CC" w:rsidRDefault="00F80BAC" w:rsidP="004611F0">
            <w:pPr>
              <w:tabs>
                <w:tab w:val="center" w:pos="923"/>
              </w:tabs>
              <w:snapToGrid w:val="0"/>
              <w:jc w:val="both"/>
              <w:rPr>
                <w:color w:val="000000"/>
                <w:sz w:val="20"/>
                <w:szCs w:val="20"/>
              </w:rPr>
            </w:pPr>
            <w:r w:rsidRPr="005D72CC">
              <w:rPr>
                <w:color w:val="000000"/>
                <w:sz w:val="20"/>
                <w:szCs w:val="20"/>
              </w:rPr>
              <w:t>N</w:t>
            </w:r>
          </w:p>
        </w:tc>
        <w:tc>
          <w:tcPr>
            <w:tcW w:w="408" w:type="pct"/>
            <w:shd w:val="clear" w:color="auto" w:fill="auto"/>
            <w:vAlign w:val="center"/>
          </w:tcPr>
          <w:p w:rsidR="00F80BAC" w:rsidRPr="005D72CC" w:rsidRDefault="00F80BAC" w:rsidP="004611F0">
            <w:pPr>
              <w:tabs>
                <w:tab w:val="center" w:pos="923"/>
              </w:tabs>
              <w:snapToGrid w:val="0"/>
              <w:jc w:val="both"/>
              <w:rPr>
                <w:color w:val="000000"/>
                <w:sz w:val="20"/>
                <w:szCs w:val="20"/>
              </w:rPr>
            </w:pPr>
            <w:r w:rsidRPr="005D72CC">
              <w:rPr>
                <w:color w:val="000000"/>
                <w:sz w:val="20"/>
                <w:szCs w:val="20"/>
              </w:rPr>
              <w:t>%</w:t>
            </w:r>
          </w:p>
        </w:tc>
        <w:tc>
          <w:tcPr>
            <w:tcW w:w="413" w:type="pct"/>
            <w:shd w:val="clear" w:color="auto" w:fill="auto"/>
            <w:vAlign w:val="center"/>
          </w:tcPr>
          <w:p w:rsidR="00F80BAC" w:rsidRPr="005D72CC" w:rsidRDefault="00F80BAC" w:rsidP="004611F0">
            <w:pPr>
              <w:tabs>
                <w:tab w:val="left" w:pos="923"/>
              </w:tabs>
              <w:snapToGrid w:val="0"/>
              <w:jc w:val="both"/>
              <w:rPr>
                <w:color w:val="000000"/>
                <w:sz w:val="20"/>
                <w:szCs w:val="20"/>
              </w:rPr>
            </w:pPr>
            <w:r w:rsidRPr="005D72CC">
              <w:rPr>
                <w:color w:val="000000"/>
                <w:sz w:val="20"/>
                <w:szCs w:val="20"/>
              </w:rPr>
              <w:t>N</w:t>
            </w:r>
          </w:p>
        </w:tc>
        <w:tc>
          <w:tcPr>
            <w:tcW w:w="562" w:type="pct"/>
            <w:tcBorders>
              <w:right w:val="single" w:sz="4" w:space="0" w:color="auto"/>
            </w:tcBorders>
            <w:shd w:val="clear" w:color="auto" w:fill="auto"/>
            <w:vAlign w:val="center"/>
          </w:tcPr>
          <w:p w:rsidR="00F80BAC" w:rsidRPr="005D72CC" w:rsidRDefault="00F80BAC" w:rsidP="004611F0">
            <w:pPr>
              <w:tabs>
                <w:tab w:val="left" w:pos="923"/>
              </w:tabs>
              <w:snapToGrid w:val="0"/>
              <w:jc w:val="both"/>
              <w:rPr>
                <w:color w:val="000000"/>
                <w:sz w:val="20"/>
                <w:szCs w:val="20"/>
              </w:rPr>
            </w:pPr>
            <w:r w:rsidRPr="005D72CC">
              <w:rPr>
                <w:color w:val="000000"/>
                <w:sz w:val="20"/>
                <w:szCs w:val="20"/>
              </w:rPr>
              <w:t>%</w:t>
            </w:r>
          </w:p>
        </w:tc>
        <w:tc>
          <w:tcPr>
            <w:tcW w:w="671" w:type="pct"/>
            <w:vMerge w:val="restart"/>
            <w:tcBorders>
              <w:left w:val="single" w:sz="4" w:space="0" w:color="auto"/>
              <w:right w:val="single" w:sz="4" w:space="0" w:color="auto"/>
            </w:tcBorders>
            <w:shd w:val="clear" w:color="auto" w:fill="auto"/>
            <w:vAlign w:val="center"/>
          </w:tcPr>
          <w:p w:rsidR="00F80BAC" w:rsidRPr="005D72CC" w:rsidRDefault="00D6616D" w:rsidP="004611F0">
            <w:pPr>
              <w:tabs>
                <w:tab w:val="left" w:pos="923"/>
              </w:tabs>
              <w:snapToGrid w:val="0"/>
              <w:jc w:val="both"/>
              <w:rPr>
                <w:color w:val="000000"/>
                <w:sz w:val="20"/>
                <w:szCs w:val="20"/>
              </w:rPr>
            </w:pPr>
            <w:r w:rsidRPr="005D72CC">
              <w:rPr>
                <w:color w:val="000000"/>
                <w:sz w:val="20"/>
                <w:szCs w:val="20"/>
              </w:rPr>
              <w:t>0</w:t>
            </w:r>
            <w:r w:rsidR="00F80BAC" w:rsidRPr="005D72CC">
              <w:rPr>
                <w:color w:val="000000"/>
                <w:sz w:val="20"/>
                <w:szCs w:val="20"/>
              </w:rPr>
              <w:t>.143</w:t>
            </w:r>
          </w:p>
        </w:tc>
      </w:tr>
      <w:tr w:rsidR="0045204D" w:rsidRPr="005D72CC" w:rsidTr="006251C8">
        <w:trPr>
          <w:jc w:val="center"/>
        </w:trPr>
        <w:tc>
          <w:tcPr>
            <w:tcW w:w="865" w:type="pct"/>
            <w:vMerge/>
            <w:shd w:val="clear" w:color="auto" w:fill="auto"/>
            <w:vAlign w:val="center"/>
          </w:tcPr>
          <w:p w:rsidR="00F80BAC" w:rsidRPr="005D72CC" w:rsidRDefault="00F80BAC" w:rsidP="004611F0">
            <w:pPr>
              <w:snapToGrid w:val="0"/>
              <w:jc w:val="both"/>
              <w:rPr>
                <w:color w:val="000000"/>
                <w:sz w:val="20"/>
                <w:szCs w:val="20"/>
              </w:rPr>
            </w:pPr>
          </w:p>
        </w:tc>
        <w:tc>
          <w:tcPr>
            <w:tcW w:w="39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6</w:t>
            </w:r>
          </w:p>
        </w:tc>
        <w:tc>
          <w:tcPr>
            <w:tcW w:w="45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60</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8</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40</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10</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40</w:t>
            </w:r>
          </w:p>
        </w:tc>
        <w:tc>
          <w:tcPr>
            <w:tcW w:w="413"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20</w:t>
            </w:r>
          </w:p>
        </w:tc>
        <w:tc>
          <w:tcPr>
            <w:tcW w:w="562" w:type="pct"/>
            <w:tcBorders>
              <w:right w:val="single" w:sz="4" w:space="0" w:color="auto"/>
            </w:tcBorders>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66.7</w:t>
            </w:r>
          </w:p>
        </w:tc>
        <w:tc>
          <w:tcPr>
            <w:tcW w:w="671" w:type="pct"/>
            <w:vMerge/>
            <w:tcBorders>
              <w:left w:val="single" w:sz="4" w:space="0" w:color="auto"/>
              <w:right w:val="single" w:sz="4" w:space="0" w:color="auto"/>
            </w:tcBorders>
            <w:shd w:val="clear" w:color="auto" w:fill="auto"/>
            <w:vAlign w:val="center"/>
          </w:tcPr>
          <w:p w:rsidR="00F80BAC" w:rsidRPr="005D72CC" w:rsidRDefault="00F80BAC" w:rsidP="004611F0">
            <w:pPr>
              <w:snapToGrid w:val="0"/>
              <w:jc w:val="both"/>
              <w:rPr>
                <w:color w:val="000000"/>
                <w:sz w:val="20"/>
                <w:szCs w:val="20"/>
              </w:rPr>
            </w:pPr>
          </w:p>
        </w:tc>
      </w:tr>
      <w:tr w:rsidR="0045204D" w:rsidRPr="005D72CC" w:rsidTr="006251C8">
        <w:trPr>
          <w:jc w:val="center"/>
        </w:trPr>
        <w:tc>
          <w:tcPr>
            <w:tcW w:w="865" w:type="pct"/>
            <w:vMerge/>
            <w:shd w:val="clear" w:color="auto" w:fill="auto"/>
            <w:vAlign w:val="center"/>
          </w:tcPr>
          <w:p w:rsidR="00F80BAC" w:rsidRPr="005D72CC" w:rsidRDefault="00F80BAC" w:rsidP="004611F0">
            <w:pPr>
              <w:snapToGrid w:val="0"/>
              <w:jc w:val="both"/>
              <w:rPr>
                <w:color w:val="000000"/>
                <w:sz w:val="20"/>
                <w:szCs w:val="20"/>
              </w:rPr>
            </w:pPr>
          </w:p>
        </w:tc>
        <w:tc>
          <w:tcPr>
            <w:tcW w:w="39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4</w:t>
            </w:r>
          </w:p>
        </w:tc>
        <w:tc>
          <w:tcPr>
            <w:tcW w:w="45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40</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12</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60</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15</w:t>
            </w:r>
          </w:p>
        </w:tc>
        <w:tc>
          <w:tcPr>
            <w:tcW w:w="408"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60</w:t>
            </w:r>
          </w:p>
        </w:tc>
        <w:tc>
          <w:tcPr>
            <w:tcW w:w="413" w:type="pct"/>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10</w:t>
            </w:r>
          </w:p>
        </w:tc>
        <w:tc>
          <w:tcPr>
            <w:tcW w:w="562" w:type="pct"/>
            <w:tcBorders>
              <w:right w:val="single" w:sz="4" w:space="0" w:color="auto"/>
            </w:tcBorders>
            <w:shd w:val="clear" w:color="auto" w:fill="auto"/>
            <w:vAlign w:val="center"/>
          </w:tcPr>
          <w:p w:rsidR="00F80BAC" w:rsidRPr="005D72CC" w:rsidRDefault="00F80BAC" w:rsidP="004611F0">
            <w:pPr>
              <w:snapToGrid w:val="0"/>
              <w:jc w:val="both"/>
              <w:rPr>
                <w:color w:val="000000"/>
                <w:sz w:val="20"/>
                <w:szCs w:val="20"/>
              </w:rPr>
            </w:pPr>
            <w:r w:rsidRPr="005D72CC">
              <w:rPr>
                <w:color w:val="000000"/>
                <w:sz w:val="20"/>
                <w:szCs w:val="20"/>
              </w:rPr>
              <w:t>33.3</w:t>
            </w:r>
          </w:p>
        </w:tc>
        <w:tc>
          <w:tcPr>
            <w:tcW w:w="671" w:type="pct"/>
            <w:vMerge/>
            <w:tcBorders>
              <w:left w:val="single" w:sz="4" w:space="0" w:color="auto"/>
              <w:right w:val="single" w:sz="4" w:space="0" w:color="auto"/>
            </w:tcBorders>
            <w:shd w:val="clear" w:color="auto" w:fill="auto"/>
            <w:vAlign w:val="center"/>
          </w:tcPr>
          <w:p w:rsidR="00F80BAC" w:rsidRPr="005D72CC" w:rsidRDefault="00F80BAC" w:rsidP="004611F0">
            <w:pPr>
              <w:snapToGrid w:val="0"/>
              <w:jc w:val="both"/>
              <w:rPr>
                <w:color w:val="000000"/>
                <w:sz w:val="20"/>
                <w:szCs w:val="20"/>
              </w:rPr>
            </w:pPr>
          </w:p>
        </w:tc>
      </w:tr>
    </w:tbl>
    <w:p w:rsidR="00F80BAC" w:rsidRPr="00D1008C" w:rsidRDefault="00F80BAC" w:rsidP="006251C8">
      <w:pPr>
        <w:snapToGrid w:val="0"/>
        <w:jc w:val="both"/>
        <w:rPr>
          <w:sz w:val="20"/>
          <w:szCs w:val="20"/>
        </w:rPr>
      </w:pPr>
      <w:r w:rsidRPr="00D1008C">
        <w:rPr>
          <w:sz w:val="20"/>
          <w:szCs w:val="20"/>
        </w:rPr>
        <w:t>*</w:t>
      </w:r>
      <w:r w:rsidRPr="00D1008C">
        <w:rPr>
          <w:i/>
          <w:iCs/>
          <w:sz w:val="20"/>
          <w:szCs w:val="20"/>
        </w:rPr>
        <w:t>P</w:t>
      </w:r>
      <w:r w:rsidRPr="00D1008C">
        <w:rPr>
          <w:sz w:val="20"/>
          <w:szCs w:val="20"/>
        </w:rPr>
        <w:t xml:space="preserve"> value &lt;0.01compared to hepatitis group</w:t>
      </w:r>
    </w:p>
    <w:p w:rsidR="004611F0" w:rsidRPr="00D1008C" w:rsidRDefault="004611F0" w:rsidP="004611F0">
      <w:pPr>
        <w:tabs>
          <w:tab w:val="left" w:pos="180"/>
        </w:tabs>
        <w:snapToGrid w:val="0"/>
        <w:ind w:firstLine="425"/>
        <w:jc w:val="both"/>
        <w:rPr>
          <w:sz w:val="20"/>
          <w:szCs w:val="20"/>
        </w:rPr>
      </w:pPr>
    </w:p>
    <w:p w:rsidR="00F80BAC" w:rsidRPr="00D1008C" w:rsidRDefault="00F80BAC" w:rsidP="004611F0">
      <w:pPr>
        <w:tabs>
          <w:tab w:val="left" w:pos="180"/>
          <w:tab w:val="right" w:pos="709"/>
        </w:tabs>
        <w:snapToGrid w:val="0"/>
        <w:jc w:val="center"/>
        <w:rPr>
          <w:sz w:val="20"/>
          <w:szCs w:val="20"/>
        </w:rPr>
      </w:pPr>
      <w:r w:rsidRPr="00D1008C">
        <w:rPr>
          <w:b/>
          <w:bCs/>
          <w:sz w:val="20"/>
          <w:szCs w:val="20"/>
        </w:rPr>
        <w:t xml:space="preserve">Table (2): </w:t>
      </w:r>
      <w:r w:rsidRPr="00D1008C">
        <w:rPr>
          <w:sz w:val="20"/>
          <w:szCs w:val="20"/>
        </w:rPr>
        <w:t>Hematological findings of the studied groups</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3681"/>
        <w:gridCol w:w="1230"/>
        <w:gridCol w:w="1393"/>
        <w:gridCol w:w="1619"/>
        <w:gridCol w:w="1655"/>
      </w:tblGrid>
      <w:tr w:rsidR="0045204D" w:rsidRPr="005D72CC" w:rsidTr="005D72CC">
        <w:trPr>
          <w:jc w:val="center"/>
        </w:trPr>
        <w:tc>
          <w:tcPr>
            <w:tcW w:w="1922" w:type="pct"/>
            <w:vMerge w:val="restart"/>
            <w:tcBorders>
              <w:right w:val="double" w:sz="4" w:space="0" w:color="auto"/>
            </w:tcBorders>
            <w:shd w:val="clear" w:color="auto" w:fill="auto"/>
            <w:vAlign w:val="center"/>
          </w:tcPr>
          <w:p w:rsidR="00F80BAC" w:rsidRPr="005D72CC" w:rsidRDefault="00F80BAC" w:rsidP="004611F0">
            <w:pPr>
              <w:snapToGrid w:val="0"/>
              <w:jc w:val="both"/>
              <w:rPr>
                <w:rFonts w:eastAsiaTheme="minorEastAsia"/>
                <w:bCs/>
                <w:color w:val="000000"/>
                <w:sz w:val="20"/>
                <w:szCs w:val="20"/>
                <w:lang w:eastAsia="zh-CN"/>
              </w:rPr>
            </w:pPr>
            <w:r w:rsidRPr="005D72CC">
              <w:rPr>
                <w:bCs/>
                <w:color w:val="000000"/>
                <w:sz w:val="20"/>
                <w:szCs w:val="20"/>
              </w:rPr>
              <w:t>Normal values</w:t>
            </w:r>
          </w:p>
        </w:tc>
        <w:tc>
          <w:tcPr>
            <w:tcW w:w="642" w:type="pct"/>
            <w:tcBorders>
              <w:left w:val="double" w:sz="4" w:space="0" w:color="auto"/>
              <w:bottom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Control</w:t>
            </w:r>
          </w:p>
          <w:p w:rsidR="00F80BAC" w:rsidRPr="005D72CC" w:rsidRDefault="00F80BAC" w:rsidP="004611F0">
            <w:pPr>
              <w:snapToGrid w:val="0"/>
              <w:jc w:val="both"/>
              <w:rPr>
                <w:bCs/>
                <w:color w:val="000000"/>
                <w:sz w:val="20"/>
                <w:szCs w:val="20"/>
              </w:rPr>
            </w:pPr>
            <w:r w:rsidRPr="005D72CC">
              <w:rPr>
                <w:bCs/>
                <w:color w:val="000000"/>
                <w:sz w:val="20"/>
                <w:szCs w:val="20"/>
              </w:rPr>
              <w:t>N=10</w:t>
            </w:r>
          </w:p>
        </w:tc>
        <w:tc>
          <w:tcPr>
            <w:tcW w:w="727" w:type="pct"/>
            <w:tcBorders>
              <w:bottom w:val="double" w:sz="4" w:space="0" w:color="auto"/>
            </w:tcBorders>
            <w:shd w:val="clear" w:color="auto" w:fill="auto"/>
            <w:vAlign w:val="center"/>
          </w:tcPr>
          <w:p w:rsidR="00D1008C" w:rsidRPr="005D72CC" w:rsidRDefault="00F80BAC" w:rsidP="004611F0">
            <w:pPr>
              <w:snapToGrid w:val="0"/>
              <w:jc w:val="both"/>
              <w:rPr>
                <w:rFonts w:eastAsiaTheme="minorEastAsia"/>
                <w:bCs/>
                <w:color w:val="000000"/>
                <w:sz w:val="20"/>
                <w:szCs w:val="20"/>
                <w:lang w:eastAsia="zh-CN"/>
              </w:rPr>
            </w:pPr>
            <w:r w:rsidRPr="005D72CC">
              <w:rPr>
                <w:bCs/>
                <w:color w:val="000000"/>
                <w:sz w:val="20"/>
                <w:szCs w:val="20"/>
              </w:rPr>
              <w:t>Group I</w:t>
            </w:r>
            <w:r w:rsidR="00D1008C" w:rsidRPr="005D72CC">
              <w:rPr>
                <w:bCs/>
                <w:color w:val="000000"/>
                <w:sz w:val="20"/>
                <w:szCs w:val="20"/>
              </w:rPr>
              <w:t xml:space="preserve"> </w:t>
            </w:r>
          </w:p>
          <w:p w:rsidR="00F80BAC" w:rsidRPr="005D72CC" w:rsidRDefault="00D1008C" w:rsidP="004611F0">
            <w:pPr>
              <w:snapToGrid w:val="0"/>
              <w:jc w:val="both"/>
              <w:rPr>
                <w:bCs/>
                <w:color w:val="000000"/>
                <w:sz w:val="20"/>
                <w:szCs w:val="20"/>
              </w:rPr>
            </w:pPr>
            <w:r w:rsidRPr="005D72CC">
              <w:rPr>
                <w:bCs/>
                <w:color w:val="000000"/>
                <w:sz w:val="20"/>
                <w:szCs w:val="20"/>
              </w:rPr>
              <w:t xml:space="preserve"> </w:t>
            </w:r>
            <w:r w:rsidR="00F80BAC" w:rsidRPr="005D72CC">
              <w:rPr>
                <w:bCs/>
                <w:color w:val="000000"/>
                <w:sz w:val="20"/>
                <w:szCs w:val="20"/>
              </w:rPr>
              <w:t>N=20</w:t>
            </w:r>
          </w:p>
        </w:tc>
        <w:tc>
          <w:tcPr>
            <w:tcW w:w="845" w:type="pct"/>
            <w:tcBorders>
              <w:bottom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Group II</w:t>
            </w:r>
          </w:p>
          <w:p w:rsidR="00F80BAC" w:rsidRPr="005D72CC" w:rsidRDefault="00F80BAC" w:rsidP="004611F0">
            <w:pPr>
              <w:snapToGrid w:val="0"/>
              <w:jc w:val="both"/>
              <w:rPr>
                <w:bCs/>
                <w:color w:val="000000"/>
                <w:sz w:val="20"/>
                <w:szCs w:val="20"/>
              </w:rPr>
            </w:pPr>
            <w:r w:rsidRPr="005D72CC">
              <w:rPr>
                <w:bCs/>
                <w:color w:val="000000"/>
                <w:sz w:val="20"/>
                <w:szCs w:val="20"/>
              </w:rPr>
              <w:t>N=25</w:t>
            </w:r>
          </w:p>
        </w:tc>
        <w:tc>
          <w:tcPr>
            <w:tcW w:w="864" w:type="pct"/>
            <w:tcBorders>
              <w:bottom w:val="double" w:sz="4" w:space="0" w:color="auto"/>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Group III</w:t>
            </w:r>
          </w:p>
          <w:p w:rsidR="00F80BAC" w:rsidRPr="005D72CC" w:rsidRDefault="00F80BAC" w:rsidP="004611F0">
            <w:pPr>
              <w:snapToGrid w:val="0"/>
              <w:jc w:val="both"/>
              <w:rPr>
                <w:bCs/>
                <w:color w:val="000000"/>
                <w:sz w:val="20"/>
                <w:szCs w:val="20"/>
              </w:rPr>
            </w:pPr>
            <w:r w:rsidRPr="005D72CC">
              <w:rPr>
                <w:bCs/>
                <w:color w:val="000000"/>
                <w:sz w:val="20"/>
                <w:szCs w:val="20"/>
              </w:rPr>
              <w:t>N=30</w:t>
            </w:r>
          </w:p>
        </w:tc>
      </w:tr>
      <w:tr w:rsidR="0045204D" w:rsidRPr="005D72CC" w:rsidTr="005D72CC">
        <w:trPr>
          <w:jc w:val="center"/>
        </w:trPr>
        <w:tc>
          <w:tcPr>
            <w:tcW w:w="1922" w:type="pct"/>
            <w:vMerge/>
            <w:tcBorders>
              <w:right w:val="double" w:sz="4" w:space="0" w:color="auto"/>
            </w:tcBorders>
            <w:shd w:val="clear" w:color="auto" w:fill="auto"/>
            <w:vAlign w:val="center"/>
          </w:tcPr>
          <w:p w:rsidR="00F80BAC" w:rsidRPr="005D72CC" w:rsidRDefault="00F80BAC" w:rsidP="004611F0">
            <w:pPr>
              <w:snapToGrid w:val="0"/>
              <w:jc w:val="both"/>
              <w:rPr>
                <w:bCs/>
                <w:color w:val="000000"/>
                <w:sz w:val="20"/>
                <w:szCs w:val="20"/>
              </w:rPr>
            </w:pPr>
          </w:p>
        </w:tc>
        <w:tc>
          <w:tcPr>
            <w:tcW w:w="642" w:type="pct"/>
            <w:tcBorders>
              <w:top w:val="double" w:sz="4" w:space="0" w:color="auto"/>
              <w:left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Mean ± SD</w:t>
            </w:r>
          </w:p>
        </w:tc>
        <w:tc>
          <w:tcPr>
            <w:tcW w:w="727" w:type="pct"/>
            <w:tcBorders>
              <w:top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Mean ± SD</w:t>
            </w:r>
          </w:p>
        </w:tc>
        <w:tc>
          <w:tcPr>
            <w:tcW w:w="845" w:type="pct"/>
            <w:tcBorders>
              <w:top w:val="doub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Mean ± SD</w:t>
            </w:r>
          </w:p>
        </w:tc>
        <w:tc>
          <w:tcPr>
            <w:tcW w:w="864" w:type="pct"/>
            <w:tcBorders>
              <w:top w:val="double" w:sz="4" w:space="0" w:color="auto"/>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Mean ± SD</w:t>
            </w:r>
          </w:p>
        </w:tc>
      </w:tr>
      <w:tr w:rsidR="0045204D" w:rsidRPr="005D72CC" w:rsidTr="005D72CC">
        <w:trPr>
          <w:jc w:val="center"/>
        </w:trPr>
        <w:tc>
          <w:tcPr>
            <w:tcW w:w="192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WBCs count(4-11)</w:t>
            </w:r>
            <w:r w:rsidR="005D72CC">
              <w:rPr>
                <w:rFonts w:eastAsiaTheme="minorEastAsia" w:hint="eastAsia"/>
                <w:bCs/>
                <w:color w:val="000000"/>
                <w:sz w:val="20"/>
                <w:szCs w:val="20"/>
                <w:lang w:eastAsia="zh-CN"/>
              </w:rPr>
              <w:t xml:space="preserve"> </w:t>
            </w:r>
            <w:r w:rsidRPr="005D72CC">
              <w:rPr>
                <w:bCs/>
                <w:color w:val="000000"/>
                <w:sz w:val="20"/>
                <w:szCs w:val="20"/>
              </w:rPr>
              <w:t>thousand/cmm</w:t>
            </w:r>
          </w:p>
        </w:tc>
        <w:tc>
          <w:tcPr>
            <w:tcW w:w="64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5.6±0.75</w:t>
            </w:r>
          </w:p>
        </w:tc>
        <w:tc>
          <w:tcPr>
            <w:tcW w:w="727"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5.39±0.78</w:t>
            </w:r>
          </w:p>
        </w:tc>
        <w:tc>
          <w:tcPr>
            <w:tcW w:w="845"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4.32±0.43*^</w:t>
            </w:r>
          </w:p>
        </w:tc>
        <w:tc>
          <w:tcPr>
            <w:tcW w:w="864" w:type="pct"/>
            <w:tcBorders>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4.16±0.28*^</w:t>
            </w:r>
          </w:p>
        </w:tc>
      </w:tr>
      <w:tr w:rsidR="0045204D" w:rsidRPr="005D72CC" w:rsidTr="005D72CC">
        <w:trPr>
          <w:jc w:val="center"/>
        </w:trPr>
        <w:tc>
          <w:tcPr>
            <w:tcW w:w="192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RBCs count(4.5-5.5) mil/cmm</w:t>
            </w:r>
          </w:p>
        </w:tc>
        <w:tc>
          <w:tcPr>
            <w:tcW w:w="64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5.2±0.24</w:t>
            </w:r>
          </w:p>
        </w:tc>
        <w:tc>
          <w:tcPr>
            <w:tcW w:w="727"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5.23±0.4</w:t>
            </w:r>
          </w:p>
        </w:tc>
        <w:tc>
          <w:tcPr>
            <w:tcW w:w="845"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3.96±0.26*^</w:t>
            </w:r>
          </w:p>
        </w:tc>
        <w:tc>
          <w:tcPr>
            <w:tcW w:w="864" w:type="pct"/>
            <w:tcBorders>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3.72±70.38*^$</w:t>
            </w:r>
          </w:p>
        </w:tc>
      </w:tr>
      <w:tr w:rsidR="0045204D" w:rsidRPr="005D72CC" w:rsidTr="005D72CC">
        <w:trPr>
          <w:jc w:val="center"/>
        </w:trPr>
        <w:tc>
          <w:tcPr>
            <w:tcW w:w="192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Haemoglobin(11-16) g/dl</w:t>
            </w:r>
          </w:p>
        </w:tc>
        <w:tc>
          <w:tcPr>
            <w:tcW w:w="64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13.8±0.27</w:t>
            </w:r>
          </w:p>
        </w:tc>
        <w:tc>
          <w:tcPr>
            <w:tcW w:w="727"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13.7±0.35</w:t>
            </w:r>
          </w:p>
        </w:tc>
        <w:tc>
          <w:tcPr>
            <w:tcW w:w="845"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12.75±0.42*^</w:t>
            </w:r>
          </w:p>
        </w:tc>
        <w:tc>
          <w:tcPr>
            <w:tcW w:w="864" w:type="pct"/>
            <w:tcBorders>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11.73±0.36*^!!</w:t>
            </w:r>
          </w:p>
        </w:tc>
      </w:tr>
      <w:tr w:rsidR="0045204D" w:rsidRPr="005D72CC" w:rsidTr="005D72CC">
        <w:trPr>
          <w:jc w:val="center"/>
        </w:trPr>
        <w:tc>
          <w:tcPr>
            <w:tcW w:w="192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Platelet count(150-350) thousand/cmm</w:t>
            </w:r>
          </w:p>
        </w:tc>
        <w:tc>
          <w:tcPr>
            <w:tcW w:w="64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187.±8.28</w:t>
            </w:r>
          </w:p>
        </w:tc>
        <w:tc>
          <w:tcPr>
            <w:tcW w:w="727"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192.73±16.14</w:t>
            </w:r>
          </w:p>
        </w:tc>
        <w:tc>
          <w:tcPr>
            <w:tcW w:w="845"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153.03±32.52*^</w:t>
            </w:r>
          </w:p>
        </w:tc>
        <w:tc>
          <w:tcPr>
            <w:tcW w:w="864" w:type="pct"/>
            <w:tcBorders>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98.83±12.18*^!!</w:t>
            </w:r>
          </w:p>
        </w:tc>
      </w:tr>
      <w:tr w:rsidR="0045204D" w:rsidRPr="005D72CC" w:rsidTr="005D72CC">
        <w:trPr>
          <w:jc w:val="center"/>
        </w:trPr>
        <w:tc>
          <w:tcPr>
            <w:tcW w:w="192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ESR (1st h.Male:3-7,</w:t>
            </w:r>
            <w:r w:rsidR="005D72CC">
              <w:rPr>
                <w:rFonts w:eastAsiaTheme="minorEastAsia" w:hint="eastAsia"/>
                <w:bCs/>
                <w:color w:val="000000"/>
                <w:sz w:val="20"/>
                <w:szCs w:val="20"/>
                <w:lang w:eastAsia="zh-CN"/>
              </w:rPr>
              <w:t xml:space="preserve"> </w:t>
            </w:r>
            <w:r w:rsidRPr="005D72CC">
              <w:rPr>
                <w:bCs/>
                <w:color w:val="000000"/>
                <w:sz w:val="20"/>
                <w:szCs w:val="20"/>
              </w:rPr>
              <w:t>Female:5-10</w:t>
            </w:r>
          </w:p>
        </w:tc>
        <w:tc>
          <w:tcPr>
            <w:tcW w:w="64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13.8±3.61</w:t>
            </w:r>
          </w:p>
        </w:tc>
        <w:tc>
          <w:tcPr>
            <w:tcW w:w="727"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12.4±4.17$</w:t>
            </w:r>
          </w:p>
        </w:tc>
        <w:tc>
          <w:tcPr>
            <w:tcW w:w="845"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18.57±4.22^</w:t>
            </w:r>
          </w:p>
        </w:tc>
        <w:tc>
          <w:tcPr>
            <w:tcW w:w="864" w:type="pct"/>
            <w:tcBorders>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50.18±16.93*^!!</w:t>
            </w:r>
          </w:p>
        </w:tc>
      </w:tr>
      <w:tr w:rsidR="0045204D" w:rsidRPr="005D72CC" w:rsidTr="005D72CC">
        <w:trPr>
          <w:jc w:val="center"/>
        </w:trPr>
        <w:tc>
          <w:tcPr>
            <w:tcW w:w="192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AFP</w:t>
            </w:r>
          </w:p>
        </w:tc>
        <w:tc>
          <w:tcPr>
            <w:tcW w:w="642"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0</w:t>
            </w:r>
          </w:p>
        </w:tc>
        <w:tc>
          <w:tcPr>
            <w:tcW w:w="727"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0.82±.55</w:t>
            </w:r>
          </w:p>
        </w:tc>
        <w:tc>
          <w:tcPr>
            <w:tcW w:w="845" w:type="pct"/>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0.34±.31</w:t>
            </w:r>
          </w:p>
        </w:tc>
        <w:tc>
          <w:tcPr>
            <w:tcW w:w="864" w:type="pct"/>
            <w:tcBorders>
              <w:right w:val="single" w:sz="4" w:space="0" w:color="auto"/>
            </w:tcBorders>
            <w:shd w:val="clear" w:color="auto" w:fill="auto"/>
            <w:vAlign w:val="center"/>
          </w:tcPr>
          <w:p w:rsidR="00F80BAC" w:rsidRPr="005D72CC" w:rsidRDefault="00F80BAC" w:rsidP="004611F0">
            <w:pPr>
              <w:snapToGrid w:val="0"/>
              <w:jc w:val="both"/>
              <w:rPr>
                <w:bCs/>
                <w:color w:val="000000"/>
                <w:sz w:val="20"/>
                <w:szCs w:val="20"/>
              </w:rPr>
            </w:pPr>
            <w:r w:rsidRPr="005D72CC">
              <w:rPr>
                <w:bCs/>
                <w:color w:val="000000"/>
                <w:sz w:val="20"/>
                <w:szCs w:val="20"/>
              </w:rPr>
              <w:t>88.35±88.11*^!!</w:t>
            </w:r>
          </w:p>
        </w:tc>
      </w:tr>
    </w:tbl>
    <w:p w:rsidR="00D6616D" w:rsidRPr="00D1008C" w:rsidRDefault="00F80BAC" w:rsidP="004611F0">
      <w:pPr>
        <w:snapToGrid w:val="0"/>
        <w:jc w:val="both"/>
        <w:rPr>
          <w:sz w:val="20"/>
          <w:szCs w:val="20"/>
        </w:rPr>
      </w:pPr>
      <w:r w:rsidRPr="00D1008C">
        <w:rPr>
          <w:sz w:val="20"/>
          <w:szCs w:val="20"/>
        </w:rPr>
        <w:t>* P value &lt;0.01 compared to control group</w:t>
      </w:r>
      <w:r w:rsidR="00D1008C">
        <w:rPr>
          <w:sz w:val="20"/>
          <w:szCs w:val="20"/>
        </w:rPr>
        <w:t>,</w:t>
      </w:r>
      <w:r w:rsidRPr="00D1008C">
        <w:rPr>
          <w:sz w:val="20"/>
          <w:szCs w:val="20"/>
        </w:rPr>
        <w:t>^</w:t>
      </w:r>
      <w:r w:rsidRPr="00D1008C">
        <w:rPr>
          <w:i/>
          <w:iCs/>
          <w:sz w:val="20"/>
          <w:szCs w:val="20"/>
        </w:rPr>
        <w:t>P</w:t>
      </w:r>
      <w:r w:rsidRPr="00D1008C">
        <w:rPr>
          <w:sz w:val="20"/>
          <w:szCs w:val="20"/>
        </w:rPr>
        <w:t xml:space="preserve"> value &lt;0.01 compared to chronic hepatitis group,$ </w:t>
      </w:r>
      <w:r w:rsidRPr="00D1008C">
        <w:rPr>
          <w:i/>
          <w:iCs/>
          <w:sz w:val="20"/>
          <w:szCs w:val="20"/>
        </w:rPr>
        <w:t>P</w:t>
      </w:r>
      <w:r w:rsidRPr="00D1008C">
        <w:rPr>
          <w:sz w:val="20"/>
          <w:szCs w:val="20"/>
        </w:rPr>
        <w:t xml:space="preserve"> value &lt;0.05 compared to cirrhosis group.!! </w:t>
      </w:r>
      <w:r w:rsidRPr="00D1008C">
        <w:rPr>
          <w:i/>
          <w:iCs/>
          <w:sz w:val="20"/>
          <w:szCs w:val="20"/>
        </w:rPr>
        <w:t>P</w:t>
      </w:r>
      <w:r w:rsidRPr="00D1008C">
        <w:rPr>
          <w:sz w:val="20"/>
          <w:szCs w:val="20"/>
        </w:rPr>
        <w:t xml:space="preserve"> value &lt;0.01 compared to cirrhosis grou,As regard hematological findings of the studied groups</w:t>
      </w:r>
    </w:p>
    <w:p w:rsidR="004611F0" w:rsidRPr="00D1008C" w:rsidRDefault="004611F0" w:rsidP="004611F0">
      <w:pPr>
        <w:snapToGrid w:val="0"/>
        <w:ind w:firstLine="425"/>
        <w:jc w:val="both"/>
        <w:rPr>
          <w:sz w:val="20"/>
          <w:szCs w:val="20"/>
        </w:rPr>
      </w:pPr>
    </w:p>
    <w:p w:rsidR="006D1CAC" w:rsidRPr="00D1008C" w:rsidRDefault="006D1CAC" w:rsidP="004611F0">
      <w:pPr>
        <w:snapToGrid w:val="0"/>
        <w:jc w:val="center"/>
        <w:rPr>
          <w:b/>
          <w:bCs/>
          <w:sz w:val="20"/>
          <w:szCs w:val="20"/>
        </w:rPr>
      </w:pPr>
      <w:r w:rsidRPr="00D1008C">
        <w:rPr>
          <w:b/>
          <w:bCs/>
          <w:sz w:val="20"/>
          <w:szCs w:val="20"/>
        </w:rPr>
        <w:t xml:space="preserve">Table (3): </w:t>
      </w:r>
      <w:r w:rsidRPr="00D1008C">
        <w:rPr>
          <w:sz w:val="20"/>
          <w:szCs w:val="20"/>
        </w:rPr>
        <w:t>Tissue levels of OV6 in the studied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630"/>
        <w:gridCol w:w="2170"/>
        <w:gridCol w:w="2105"/>
        <w:gridCol w:w="2147"/>
      </w:tblGrid>
      <w:tr w:rsidR="0045204D" w:rsidRPr="005D72CC" w:rsidTr="006251C8">
        <w:trPr>
          <w:jc w:val="center"/>
        </w:trPr>
        <w:tc>
          <w:tcPr>
            <w:tcW w:w="796" w:type="pct"/>
            <w:shd w:val="clear" w:color="auto" w:fill="auto"/>
            <w:vAlign w:val="center"/>
          </w:tcPr>
          <w:p w:rsidR="006D1CAC" w:rsidRPr="005D72CC" w:rsidRDefault="006D1CAC" w:rsidP="004611F0">
            <w:pPr>
              <w:snapToGrid w:val="0"/>
              <w:jc w:val="both"/>
              <w:rPr>
                <w:bCs/>
                <w:color w:val="000000"/>
                <w:sz w:val="20"/>
                <w:szCs w:val="20"/>
              </w:rPr>
            </w:pPr>
            <w:r w:rsidRPr="005D72CC">
              <w:rPr>
                <w:bCs/>
                <w:color w:val="000000"/>
                <w:sz w:val="20"/>
                <w:szCs w:val="20"/>
              </w:rPr>
              <w:t>Variables</w:t>
            </w:r>
          </w:p>
        </w:tc>
        <w:tc>
          <w:tcPr>
            <w:tcW w:w="851" w:type="pct"/>
            <w:shd w:val="clear" w:color="auto" w:fill="auto"/>
            <w:vAlign w:val="center"/>
          </w:tcPr>
          <w:p w:rsidR="006D1CAC" w:rsidRPr="005D72CC" w:rsidRDefault="006D1CAC" w:rsidP="004611F0">
            <w:pPr>
              <w:snapToGrid w:val="0"/>
              <w:jc w:val="both"/>
              <w:rPr>
                <w:bCs/>
                <w:color w:val="000000"/>
                <w:sz w:val="20"/>
                <w:szCs w:val="20"/>
              </w:rPr>
            </w:pPr>
            <w:r w:rsidRPr="005D72CC">
              <w:rPr>
                <w:bCs/>
                <w:color w:val="000000"/>
                <w:sz w:val="20"/>
                <w:szCs w:val="20"/>
              </w:rPr>
              <w:t>Control</w:t>
            </w:r>
          </w:p>
          <w:p w:rsidR="006D1CAC" w:rsidRPr="005D72CC" w:rsidRDefault="006D1CAC" w:rsidP="004611F0">
            <w:pPr>
              <w:snapToGrid w:val="0"/>
              <w:jc w:val="both"/>
              <w:rPr>
                <w:color w:val="000000"/>
                <w:sz w:val="20"/>
                <w:szCs w:val="20"/>
              </w:rPr>
            </w:pPr>
            <w:r w:rsidRPr="005D72CC">
              <w:rPr>
                <w:color w:val="000000"/>
                <w:sz w:val="20"/>
                <w:szCs w:val="20"/>
              </w:rPr>
              <w:t>N=10</w:t>
            </w:r>
          </w:p>
        </w:tc>
        <w:tc>
          <w:tcPr>
            <w:tcW w:w="1133" w:type="pct"/>
            <w:shd w:val="clear" w:color="auto" w:fill="auto"/>
            <w:vAlign w:val="center"/>
          </w:tcPr>
          <w:p w:rsidR="006D1CAC" w:rsidRPr="005D72CC" w:rsidRDefault="006D1CAC" w:rsidP="004611F0">
            <w:pPr>
              <w:snapToGrid w:val="0"/>
              <w:jc w:val="both"/>
              <w:rPr>
                <w:bCs/>
                <w:color w:val="000000"/>
                <w:sz w:val="20"/>
                <w:szCs w:val="20"/>
              </w:rPr>
            </w:pPr>
            <w:r w:rsidRPr="005D72CC">
              <w:rPr>
                <w:bCs/>
                <w:color w:val="000000"/>
                <w:sz w:val="20"/>
                <w:szCs w:val="20"/>
              </w:rPr>
              <w:t>Group I</w:t>
            </w:r>
            <w:r w:rsidR="00D1008C" w:rsidRPr="005D72CC">
              <w:rPr>
                <w:color w:val="000000"/>
                <w:sz w:val="20"/>
                <w:szCs w:val="20"/>
              </w:rPr>
              <w:t xml:space="preserve"> </w:t>
            </w:r>
            <w:r w:rsidRPr="005D72CC">
              <w:rPr>
                <w:color w:val="000000"/>
                <w:sz w:val="20"/>
                <w:szCs w:val="20"/>
              </w:rPr>
              <w:t>N=20</w:t>
            </w:r>
          </w:p>
        </w:tc>
        <w:tc>
          <w:tcPr>
            <w:tcW w:w="1099" w:type="pct"/>
            <w:shd w:val="clear" w:color="auto" w:fill="auto"/>
            <w:vAlign w:val="center"/>
          </w:tcPr>
          <w:p w:rsidR="006D1CAC" w:rsidRPr="005D72CC" w:rsidRDefault="006D1CAC" w:rsidP="004611F0">
            <w:pPr>
              <w:snapToGrid w:val="0"/>
              <w:jc w:val="both"/>
              <w:rPr>
                <w:bCs/>
                <w:color w:val="000000"/>
                <w:sz w:val="20"/>
                <w:szCs w:val="20"/>
              </w:rPr>
            </w:pPr>
            <w:r w:rsidRPr="005D72CC">
              <w:rPr>
                <w:bCs/>
                <w:color w:val="000000"/>
                <w:sz w:val="20"/>
                <w:szCs w:val="20"/>
              </w:rPr>
              <w:t>Group II</w:t>
            </w:r>
          </w:p>
          <w:p w:rsidR="006D1CAC" w:rsidRPr="005D72CC" w:rsidRDefault="006D1CAC" w:rsidP="004611F0">
            <w:pPr>
              <w:snapToGrid w:val="0"/>
              <w:jc w:val="both"/>
              <w:rPr>
                <w:bCs/>
                <w:color w:val="000000"/>
                <w:sz w:val="20"/>
                <w:szCs w:val="20"/>
              </w:rPr>
            </w:pPr>
            <w:r w:rsidRPr="005D72CC">
              <w:rPr>
                <w:color w:val="000000"/>
                <w:sz w:val="20"/>
                <w:szCs w:val="20"/>
              </w:rPr>
              <w:t>N=25</w:t>
            </w:r>
          </w:p>
        </w:tc>
        <w:tc>
          <w:tcPr>
            <w:tcW w:w="1121" w:type="pct"/>
            <w:shd w:val="clear" w:color="auto" w:fill="auto"/>
            <w:vAlign w:val="center"/>
          </w:tcPr>
          <w:p w:rsidR="006D1CAC" w:rsidRPr="005D72CC" w:rsidRDefault="006D1CAC" w:rsidP="004611F0">
            <w:pPr>
              <w:snapToGrid w:val="0"/>
              <w:jc w:val="both"/>
              <w:rPr>
                <w:bCs/>
                <w:color w:val="000000"/>
                <w:sz w:val="20"/>
                <w:szCs w:val="20"/>
              </w:rPr>
            </w:pPr>
            <w:r w:rsidRPr="005D72CC">
              <w:rPr>
                <w:bCs/>
                <w:color w:val="000000"/>
                <w:sz w:val="20"/>
                <w:szCs w:val="20"/>
              </w:rPr>
              <w:t>Group III</w:t>
            </w:r>
          </w:p>
          <w:p w:rsidR="006D1CAC" w:rsidRPr="005D72CC" w:rsidRDefault="006D1CAC" w:rsidP="004611F0">
            <w:pPr>
              <w:snapToGrid w:val="0"/>
              <w:jc w:val="both"/>
              <w:rPr>
                <w:bCs/>
                <w:color w:val="000000"/>
                <w:sz w:val="20"/>
                <w:szCs w:val="20"/>
              </w:rPr>
            </w:pPr>
            <w:r w:rsidRPr="005D72CC">
              <w:rPr>
                <w:color w:val="000000"/>
                <w:sz w:val="20"/>
                <w:szCs w:val="20"/>
              </w:rPr>
              <w:t>N=30</w:t>
            </w:r>
          </w:p>
        </w:tc>
      </w:tr>
      <w:tr w:rsidR="0045204D" w:rsidRPr="005D72CC" w:rsidTr="006251C8">
        <w:trPr>
          <w:jc w:val="center"/>
        </w:trPr>
        <w:tc>
          <w:tcPr>
            <w:tcW w:w="796" w:type="pct"/>
            <w:shd w:val="clear" w:color="auto" w:fill="auto"/>
            <w:vAlign w:val="center"/>
          </w:tcPr>
          <w:p w:rsidR="006D1CAC" w:rsidRPr="005D72CC" w:rsidRDefault="006D1CAC" w:rsidP="004611F0">
            <w:pPr>
              <w:snapToGrid w:val="0"/>
              <w:jc w:val="both"/>
              <w:rPr>
                <w:color w:val="000000"/>
                <w:sz w:val="20"/>
                <w:szCs w:val="20"/>
              </w:rPr>
            </w:pPr>
            <w:r w:rsidRPr="005D72CC">
              <w:rPr>
                <w:color w:val="000000"/>
                <w:sz w:val="20"/>
                <w:szCs w:val="20"/>
              </w:rPr>
              <w:t>Mean ± SD</w:t>
            </w:r>
          </w:p>
        </w:tc>
        <w:tc>
          <w:tcPr>
            <w:tcW w:w="851" w:type="pct"/>
            <w:shd w:val="clear" w:color="auto" w:fill="auto"/>
            <w:vAlign w:val="center"/>
          </w:tcPr>
          <w:p w:rsidR="006D1CAC" w:rsidRPr="005D72CC" w:rsidRDefault="006D1CAC" w:rsidP="004611F0">
            <w:pPr>
              <w:snapToGrid w:val="0"/>
              <w:jc w:val="both"/>
              <w:rPr>
                <w:color w:val="000000"/>
                <w:sz w:val="20"/>
                <w:szCs w:val="20"/>
              </w:rPr>
            </w:pPr>
            <w:r w:rsidRPr="005D72CC">
              <w:rPr>
                <w:color w:val="000000"/>
                <w:sz w:val="20"/>
                <w:szCs w:val="20"/>
              </w:rPr>
              <w:t>.000</w:t>
            </w:r>
            <w:r w:rsidR="00D1008C" w:rsidRPr="005D72CC">
              <w:rPr>
                <w:color w:val="000000"/>
                <w:sz w:val="20"/>
                <w:szCs w:val="20"/>
              </w:rPr>
              <w:t xml:space="preserve"> ±.</w:t>
            </w:r>
            <w:r w:rsidRPr="005D72CC">
              <w:rPr>
                <w:color w:val="000000"/>
                <w:sz w:val="20"/>
                <w:szCs w:val="20"/>
              </w:rPr>
              <w:t>0000</w:t>
            </w:r>
          </w:p>
        </w:tc>
        <w:tc>
          <w:tcPr>
            <w:tcW w:w="1133" w:type="pct"/>
            <w:shd w:val="clear" w:color="auto" w:fill="auto"/>
            <w:vAlign w:val="center"/>
          </w:tcPr>
          <w:p w:rsidR="006D1CAC" w:rsidRPr="005D72CC" w:rsidRDefault="006D1CAC" w:rsidP="004611F0">
            <w:pPr>
              <w:snapToGrid w:val="0"/>
              <w:jc w:val="both"/>
              <w:rPr>
                <w:color w:val="000000"/>
                <w:sz w:val="20"/>
                <w:szCs w:val="20"/>
              </w:rPr>
            </w:pPr>
            <w:r w:rsidRPr="005D72CC">
              <w:rPr>
                <w:color w:val="000000"/>
                <w:sz w:val="20"/>
                <w:szCs w:val="20"/>
              </w:rPr>
              <w:t>13.7</w:t>
            </w:r>
            <w:r w:rsidR="00D1008C" w:rsidRPr="005D72CC">
              <w:rPr>
                <w:color w:val="000000"/>
                <w:sz w:val="20"/>
                <w:szCs w:val="20"/>
              </w:rPr>
              <w:t xml:space="preserve"> </w:t>
            </w:r>
            <w:r w:rsidRPr="005D72CC">
              <w:rPr>
                <w:color w:val="000000"/>
                <w:sz w:val="20"/>
                <w:szCs w:val="20"/>
              </w:rPr>
              <w:t>±10.18</w:t>
            </w:r>
            <w:r w:rsidR="00D1008C" w:rsidRPr="005D72CC">
              <w:rPr>
                <w:color w:val="000000"/>
                <w:sz w:val="20"/>
                <w:szCs w:val="20"/>
              </w:rPr>
              <w:t xml:space="preserve"> </w:t>
            </w:r>
            <w:r w:rsidRPr="005D72CC">
              <w:rPr>
                <w:color w:val="000000"/>
                <w:sz w:val="20"/>
                <w:szCs w:val="20"/>
              </w:rPr>
              <w:t>*</w:t>
            </w:r>
          </w:p>
        </w:tc>
        <w:tc>
          <w:tcPr>
            <w:tcW w:w="1099" w:type="pct"/>
            <w:shd w:val="clear" w:color="auto" w:fill="auto"/>
            <w:vAlign w:val="center"/>
          </w:tcPr>
          <w:p w:rsidR="006D1CAC" w:rsidRPr="005D72CC" w:rsidRDefault="006D1CAC" w:rsidP="004611F0">
            <w:pPr>
              <w:snapToGrid w:val="0"/>
              <w:jc w:val="both"/>
              <w:rPr>
                <w:color w:val="000000"/>
                <w:sz w:val="20"/>
                <w:szCs w:val="20"/>
              </w:rPr>
            </w:pPr>
            <w:r w:rsidRPr="005D72CC">
              <w:rPr>
                <w:color w:val="000000"/>
                <w:sz w:val="20"/>
                <w:szCs w:val="20"/>
              </w:rPr>
              <w:t>34.92 ± 11.80 *^</w:t>
            </w:r>
          </w:p>
        </w:tc>
        <w:tc>
          <w:tcPr>
            <w:tcW w:w="1121" w:type="pct"/>
            <w:shd w:val="clear" w:color="auto" w:fill="auto"/>
            <w:vAlign w:val="center"/>
          </w:tcPr>
          <w:p w:rsidR="006D1CAC" w:rsidRPr="005D72CC" w:rsidRDefault="006D1CAC" w:rsidP="004611F0">
            <w:pPr>
              <w:snapToGrid w:val="0"/>
              <w:jc w:val="both"/>
              <w:rPr>
                <w:color w:val="000000"/>
                <w:sz w:val="20"/>
                <w:szCs w:val="20"/>
              </w:rPr>
            </w:pPr>
            <w:r w:rsidRPr="005D72CC">
              <w:rPr>
                <w:color w:val="000000"/>
                <w:sz w:val="20"/>
                <w:szCs w:val="20"/>
              </w:rPr>
              <w:t>62.23 ± 17.26*^"</w:t>
            </w:r>
          </w:p>
        </w:tc>
      </w:tr>
    </w:tbl>
    <w:p w:rsidR="006D1CAC" w:rsidRPr="00D1008C" w:rsidRDefault="006D1CAC" w:rsidP="004611F0">
      <w:pPr>
        <w:snapToGrid w:val="0"/>
        <w:jc w:val="both"/>
        <w:rPr>
          <w:sz w:val="20"/>
          <w:szCs w:val="20"/>
        </w:rPr>
      </w:pPr>
      <w:r w:rsidRPr="00D1008C">
        <w:rPr>
          <w:sz w:val="20"/>
          <w:szCs w:val="20"/>
        </w:rPr>
        <w:t xml:space="preserve">* </w:t>
      </w:r>
      <w:r w:rsidRPr="00D1008C">
        <w:rPr>
          <w:i/>
          <w:iCs/>
          <w:sz w:val="20"/>
          <w:szCs w:val="20"/>
        </w:rPr>
        <w:t>P</w:t>
      </w:r>
      <w:r w:rsidRPr="00D1008C">
        <w:rPr>
          <w:sz w:val="20"/>
          <w:szCs w:val="20"/>
        </w:rPr>
        <w:t xml:space="preserve"> value &lt;0.01compared to control</w:t>
      </w:r>
      <w:r w:rsidR="00D6616D" w:rsidRPr="00D1008C">
        <w:rPr>
          <w:sz w:val="20"/>
          <w:szCs w:val="20"/>
        </w:rPr>
        <w:tab/>
      </w:r>
      <w:r w:rsidRPr="00D1008C">
        <w:rPr>
          <w:sz w:val="20"/>
          <w:szCs w:val="20"/>
        </w:rPr>
        <w:t xml:space="preserve">^ </w:t>
      </w:r>
      <w:r w:rsidRPr="00D1008C">
        <w:rPr>
          <w:i/>
          <w:iCs/>
          <w:sz w:val="20"/>
          <w:szCs w:val="20"/>
        </w:rPr>
        <w:t>P</w:t>
      </w:r>
      <w:r w:rsidRPr="00D1008C">
        <w:rPr>
          <w:sz w:val="20"/>
          <w:szCs w:val="20"/>
        </w:rPr>
        <w:t xml:space="preserve"> value &lt;0.01compared to hepatitis</w:t>
      </w:r>
      <w:r w:rsidR="00D6616D" w:rsidRPr="00D1008C">
        <w:rPr>
          <w:sz w:val="20"/>
          <w:szCs w:val="20"/>
        </w:rPr>
        <w:tab/>
      </w:r>
      <w:r w:rsidRPr="00D1008C">
        <w:rPr>
          <w:sz w:val="20"/>
          <w:szCs w:val="20"/>
        </w:rPr>
        <w:t>"</w:t>
      </w:r>
      <w:r w:rsidRPr="00D1008C">
        <w:rPr>
          <w:i/>
          <w:iCs/>
          <w:sz w:val="20"/>
          <w:szCs w:val="20"/>
        </w:rPr>
        <w:t>P</w:t>
      </w:r>
      <w:r w:rsidRPr="00D1008C">
        <w:rPr>
          <w:sz w:val="20"/>
          <w:szCs w:val="20"/>
        </w:rPr>
        <w:t xml:space="preserve"> value &lt;0.01compared to cirrhosis</w:t>
      </w:r>
    </w:p>
    <w:p w:rsidR="004611F0" w:rsidRPr="00D1008C" w:rsidRDefault="004611F0" w:rsidP="004611F0">
      <w:pPr>
        <w:tabs>
          <w:tab w:val="right" w:pos="567"/>
          <w:tab w:val="right" w:pos="709"/>
        </w:tabs>
        <w:snapToGrid w:val="0"/>
        <w:ind w:firstLine="425"/>
        <w:jc w:val="both"/>
        <w:rPr>
          <w:sz w:val="20"/>
          <w:szCs w:val="20"/>
        </w:rPr>
      </w:pPr>
    </w:p>
    <w:p w:rsidR="004611F0" w:rsidRPr="00D1008C" w:rsidRDefault="004611F0" w:rsidP="004611F0">
      <w:pPr>
        <w:tabs>
          <w:tab w:val="right" w:pos="567"/>
          <w:tab w:val="right" w:pos="709"/>
        </w:tabs>
        <w:snapToGrid w:val="0"/>
        <w:ind w:firstLine="425"/>
        <w:jc w:val="both"/>
        <w:rPr>
          <w:sz w:val="20"/>
          <w:szCs w:val="20"/>
        </w:rPr>
        <w:sectPr w:rsidR="004611F0" w:rsidRPr="00D1008C" w:rsidSect="00F93E9F">
          <w:headerReference w:type="default" r:id="rId14"/>
          <w:footerReference w:type="default" r:id="rId15"/>
          <w:type w:val="continuous"/>
          <w:pgSz w:w="12242" w:h="15842" w:code="1"/>
          <w:pgMar w:top="1440" w:right="1440" w:bottom="1440" w:left="1440" w:header="720" w:footer="720" w:gutter="0"/>
          <w:cols w:space="709"/>
          <w:bidi/>
          <w:docGrid w:linePitch="360"/>
        </w:sectPr>
      </w:pPr>
    </w:p>
    <w:p w:rsidR="006D1CAC" w:rsidRPr="00D1008C" w:rsidRDefault="007632B3" w:rsidP="004611F0">
      <w:pPr>
        <w:autoSpaceDE w:val="0"/>
        <w:autoSpaceDN w:val="0"/>
        <w:adjustRightInd w:val="0"/>
        <w:snapToGrid w:val="0"/>
        <w:jc w:val="center"/>
        <w:rPr>
          <w:b/>
          <w:bCs/>
          <w:sz w:val="20"/>
          <w:szCs w:val="20"/>
        </w:rPr>
      </w:pPr>
      <w:r w:rsidRPr="00D1008C">
        <w:rPr>
          <w:b/>
          <w:bCs/>
          <w:noProof/>
          <w:sz w:val="20"/>
          <w:szCs w:val="20"/>
          <w:lang w:eastAsia="zh-CN"/>
        </w:rPr>
        <w:lastRenderedPageBreak/>
        <w:drawing>
          <wp:inline distT="0" distB="0" distL="0" distR="0">
            <wp:extent cx="2965450" cy="166005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744" cy="1664140"/>
                    </a:xfrm>
                    <a:prstGeom prst="rect">
                      <a:avLst/>
                    </a:prstGeom>
                    <a:noFill/>
                  </pic:spPr>
                </pic:pic>
              </a:graphicData>
            </a:graphic>
          </wp:inline>
        </w:drawing>
      </w:r>
    </w:p>
    <w:p w:rsidR="006D1CAC" w:rsidRPr="00D1008C" w:rsidRDefault="006D1CAC" w:rsidP="004611F0">
      <w:pPr>
        <w:autoSpaceDE w:val="0"/>
        <w:autoSpaceDN w:val="0"/>
        <w:adjustRightInd w:val="0"/>
        <w:snapToGrid w:val="0"/>
        <w:jc w:val="both"/>
        <w:rPr>
          <w:sz w:val="20"/>
          <w:szCs w:val="20"/>
        </w:rPr>
      </w:pPr>
      <w:r w:rsidRPr="00D1008C">
        <w:rPr>
          <w:b/>
          <w:bCs/>
          <w:sz w:val="20"/>
          <w:szCs w:val="20"/>
        </w:rPr>
        <w:t>Figure (1):</w:t>
      </w:r>
      <w:r w:rsidRPr="00D1008C">
        <w:rPr>
          <w:sz w:val="20"/>
          <w:szCs w:val="20"/>
        </w:rPr>
        <w:t xml:space="preserve"> Showing tissue expression of OV6 in the studied groups.</w:t>
      </w:r>
    </w:p>
    <w:p w:rsidR="00D6616D" w:rsidRPr="00D1008C" w:rsidRDefault="00D6616D" w:rsidP="004611F0">
      <w:pPr>
        <w:autoSpaceDE w:val="0"/>
        <w:autoSpaceDN w:val="0"/>
        <w:adjustRightInd w:val="0"/>
        <w:snapToGrid w:val="0"/>
        <w:jc w:val="center"/>
        <w:rPr>
          <w:rFonts w:eastAsiaTheme="minorEastAsia"/>
          <w:b/>
          <w:bCs/>
          <w:sz w:val="20"/>
          <w:szCs w:val="20"/>
          <w:lang w:eastAsia="zh-CN"/>
        </w:rPr>
      </w:pPr>
    </w:p>
    <w:p w:rsidR="006251C8" w:rsidRPr="00D1008C" w:rsidRDefault="006251C8" w:rsidP="006251C8">
      <w:pPr>
        <w:tabs>
          <w:tab w:val="right" w:pos="567"/>
          <w:tab w:val="right" w:pos="709"/>
        </w:tabs>
        <w:snapToGrid w:val="0"/>
        <w:ind w:firstLine="425"/>
        <w:jc w:val="both"/>
        <w:rPr>
          <w:sz w:val="20"/>
          <w:szCs w:val="20"/>
        </w:rPr>
      </w:pPr>
      <w:r w:rsidRPr="00D1008C">
        <w:rPr>
          <w:sz w:val="20"/>
          <w:szCs w:val="20"/>
        </w:rPr>
        <w:t xml:space="preserve">There is increase in the number of the hepatocytes expressing OV6 from hepatitis cirrhosis and HCC, the mean values of OV6 expression were significantly increased in hepatitis, cirrhosis and HCC groups compared to control group ( </w:t>
      </w:r>
      <w:r w:rsidRPr="00D1008C">
        <w:rPr>
          <w:i/>
          <w:iCs/>
          <w:sz w:val="20"/>
          <w:szCs w:val="20"/>
        </w:rPr>
        <w:t>p</w:t>
      </w:r>
      <w:r w:rsidRPr="00D1008C">
        <w:rPr>
          <w:sz w:val="20"/>
          <w:szCs w:val="20"/>
        </w:rPr>
        <w:t xml:space="preserve"> value &lt; 0.01) and in </w:t>
      </w:r>
      <w:r w:rsidRPr="00D1008C">
        <w:rPr>
          <w:sz w:val="20"/>
          <w:szCs w:val="20"/>
        </w:rPr>
        <w:lastRenderedPageBreak/>
        <w:t>cirrhosis, HCC groups compared to hepatitis group (</w:t>
      </w:r>
      <w:r w:rsidRPr="00D1008C">
        <w:rPr>
          <w:i/>
          <w:iCs/>
          <w:sz w:val="20"/>
          <w:szCs w:val="20"/>
        </w:rPr>
        <w:t>p</w:t>
      </w:r>
      <w:r w:rsidRPr="00D1008C">
        <w:rPr>
          <w:sz w:val="20"/>
          <w:szCs w:val="20"/>
        </w:rPr>
        <w:t xml:space="preserve"> value &lt; 0.01) and in HCC group compared to cirrhosis group (</w:t>
      </w:r>
      <w:r w:rsidRPr="00D1008C">
        <w:rPr>
          <w:i/>
          <w:iCs/>
          <w:sz w:val="20"/>
          <w:szCs w:val="20"/>
        </w:rPr>
        <w:t>p</w:t>
      </w:r>
      <w:r w:rsidRPr="00D1008C">
        <w:rPr>
          <w:sz w:val="20"/>
          <w:szCs w:val="20"/>
        </w:rPr>
        <w:t xml:space="preserve"> value &lt; 0.01).</w:t>
      </w:r>
    </w:p>
    <w:p w:rsidR="006251C8" w:rsidRPr="00D1008C" w:rsidRDefault="006251C8" w:rsidP="004611F0">
      <w:pPr>
        <w:autoSpaceDE w:val="0"/>
        <w:autoSpaceDN w:val="0"/>
        <w:adjustRightInd w:val="0"/>
        <w:snapToGrid w:val="0"/>
        <w:jc w:val="center"/>
        <w:rPr>
          <w:rFonts w:eastAsiaTheme="minorEastAsia"/>
          <w:b/>
          <w:bCs/>
          <w:sz w:val="20"/>
          <w:szCs w:val="20"/>
          <w:lang w:eastAsia="zh-CN"/>
        </w:rPr>
      </w:pPr>
    </w:p>
    <w:p w:rsidR="009707B7" w:rsidRPr="00D1008C" w:rsidRDefault="009707B7" w:rsidP="004611F0">
      <w:pPr>
        <w:autoSpaceDE w:val="0"/>
        <w:autoSpaceDN w:val="0"/>
        <w:adjustRightInd w:val="0"/>
        <w:snapToGrid w:val="0"/>
        <w:jc w:val="both"/>
        <w:rPr>
          <w:sz w:val="20"/>
          <w:szCs w:val="20"/>
        </w:rPr>
      </w:pPr>
      <w:r w:rsidRPr="00D1008C">
        <w:rPr>
          <w:b/>
          <w:bCs/>
          <w:sz w:val="20"/>
          <w:szCs w:val="20"/>
        </w:rPr>
        <w:t xml:space="preserve">Table (4) </w:t>
      </w:r>
      <w:r w:rsidRPr="00D1008C">
        <w:rPr>
          <w:sz w:val="20"/>
          <w:szCs w:val="20"/>
        </w:rPr>
        <w:t>Relation between grade of inflammation of chronic hepatitis group with or without cirrhosis and tissue levels of OV6: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0"/>
        <w:gridCol w:w="440"/>
        <w:gridCol w:w="1504"/>
      </w:tblGrid>
      <w:tr w:rsidR="0045204D" w:rsidRPr="00D1008C" w:rsidTr="005D72CC">
        <w:trPr>
          <w:jc w:val="center"/>
        </w:trPr>
        <w:tc>
          <w:tcPr>
            <w:tcW w:w="292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histological grades of activity</w:t>
            </w:r>
          </w:p>
        </w:tc>
        <w:tc>
          <w:tcPr>
            <w:tcW w:w="470"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N</w:t>
            </w:r>
          </w:p>
        </w:tc>
        <w:tc>
          <w:tcPr>
            <w:tcW w:w="1605" w:type="pct"/>
            <w:shd w:val="clear" w:color="auto" w:fill="auto"/>
            <w:vAlign w:val="center"/>
          </w:tcPr>
          <w:p w:rsidR="009707B7" w:rsidRPr="00D1008C" w:rsidRDefault="009707B7" w:rsidP="004611F0">
            <w:pPr>
              <w:snapToGrid w:val="0"/>
              <w:jc w:val="both"/>
              <w:rPr>
                <w:color w:val="000000"/>
                <w:sz w:val="20"/>
                <w:szCs w:val="20"/>
              </w:rPr>
            </w:pPr>
            <w:r w:rsidRPr="00D1008C">
              <w:rPr>
                <w:b/>
                <w:bCs/>
                <w:color w:val="000000"/>
                <w:sz w:val="20"/>
                <w:szCs w:val="20"/>
              </w:rPr>
              <w:t>Mean ± SD</w:t>
            </w:r>
          </w:p>
        </w:tc>
      </w:tr>
      <w:tr w:rsidR="0045204D" w:rsidRPr="00D1008C" w:rsidTr="005D72CC">
        <w:trPr>
          <w:jc w:val="center"/>
        </w:trPr>
        <w:tc>
          <w:tcPr>
            <w:tcW w:w="292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A1</w:t>
            </w:r>
          </w:p>
        </w:tc>
        <w:tc>
          <w:tcPr>
            <w:tcW w:w="470"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13</w:t>
            </w:r>
          </w:p>
        </w:tc>
        <w:tc>
          <w:tcPr>
            <w:tcW w:w="160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18.46</w:t>
            </w:r>
            <w:r w:rsidR="00D1008C">
              <w:rPr>
                <w:color w:val="000000"/>
                <w:sz w:val="20"/>
                <w:szCs w:val="20"/>
              </w:rPr>
              <w:t xml:space="preserve"> </w:t>
            </w:r>
            <w:r w:rsidRPr="00D1008C">
              <w:rPr>
                <w:color w:val="000000"/>
                <w:sz w:val="20"/>
                <w:szCs w:val="20"/>
              </w:rPr>
              <w:t>±10.005</w:t>
            </w:r>
          </w:p>
        </w:tc>
      </w:tr>
      <w:tr w:rsidR="0045204D" w:rsidRPr="00D1008C" w:rsidTr="005D72CC">
        <w:trPr>
          <w:jc w:val="center"/>
        </w:trPr>
        <w:tc>
          <w:tcPr>
            <w:tcW w:w="292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A2</w:t>
            </w:r>
          </w:p>
        </w:tc>
        <w:tc>
          <w:tcPr>
            <w:tcW w:w="470"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9</w:t>
            </w:r>
          </w:p>
        </w:tc>
        <w:tc>
          <w:tcPr>
            <w:tcW w:w="160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9.88</w:t>
            </w:r>
            <w:r w:rsidR="00D1008C">
              <w:rPr>
                <w:color w:val="000000"/>
                <w:sz w:val="20"/>
                <w:szCs w:val="20"/>
              </w:rPr>
              <w:t xml:space="preserve"> </w:t>
            </w:r>
            <w:r w:rsidRPr="00D1008C">
              <w:rPr>
                <w:color w:val="000000"/>
                <w:sz w:val="20"/>
                <w:szCs w:val="20"/>
              </w:rPr>
              <w:t>± 9.61</w:t>
            </w:r>
          </w:p>
        </w:tc>
      </w:tr>
      <w:tr w:rsidR="0045204D" w:rsidRPr="00D1008C" w:rsidTr="005D72CC">
        <w:trPr>
          <w:jc w:val="center"/>
        </w:trPr>
        <w:tc>
          <w:tcPr>
            <w:tcW w:w="292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A3</w:t>
            </w:r>
          </w:p>
        </w:tc>
        <w:tc>
          <w:tcPr>
            <w:tcW w:w="470"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23</w:t>
            </w:r>
          </w:p>
        </w:tc>
        <w:tc>
          <w:tcPr>
            <w:tcW w:w="1605" w:type="pct"/>
            <w:shd w:val="clear" w:color="auto" w:fill="auto"/>
            <w:vAlign w:val="center"/>
          </w:tcPr>
          <w:p w:rsidR="009707B7" w:rsidRPr="00D1008C" w:rsidRDefault="009707B7" w:rsidP="004611F0">
            <w:pPr>
              <w:snapToGrid w:val="0"/>
              <w:jc w:val="both"/>
              <w:rPr>
                <w:color w:val="000000"/>
                <w:sz w:val="20"/>
                <w:szCs w:val="20"/>
              </w:rPr>
            </w:pPr>
            <w:r w:rsidRPr="00D1008C">
              <w:rPr>
                <w:color w:val="000000"/>
                <w:sz w:val="20"/>
                <w:szCs w:val="20"/>
              </w:rPr>
              <w:t>35.56</w:t>
            </w:r>
            <w:r w:rsidR="00D1008C">
              <w:rPr>
                <w:color w:val="000000"/>
                <w:sz w:val="20"/>
                <w:szCs w:val="20"/>
              </w:rPr>
              <w:t xml:space="preserve"> </w:t>
            </w:r>
            <w:r w:rsidRPr="00D1008C">
              <w:rPr>
                <w:color w:val="000000"/>
                <w:sz w:val="20"/>
                <w:szCs w:val="20"/>
              </w:rPr>
              <w:t>±12.7 *^</w:t>
            </w:r>
          </w:p>
        </w:tc>
      </w:tr>
    </w:tbl>
    <w:p w:rsidR="009707B7" w:rsidRPr="00D1008C" w:rsidRDefault="009707B7" w:rsidP="00D7540E">
      <w:pPr>
        <w:snapToGrid w:val="0"/>
        <w:jc w:val="both"/>
        <w:rPr>
          <w:sz w:val="20"/>
          <w:szCs w:val="20"/>
        </w:rPr>
      </w:pPr>
      <w:r w:rsidRPr="00D1008C">
        <w:rPr>
          <w:sz w:val="20"/>
          <w:szCs w:val="20"/>
        </w:rPr>
        <w:t>*</w:t>
      </w:r>
      <w:r w:rsidRPr="00D1008C">
        <w:rPr>
          <w:i/>
          <w:iCs/>
          <w:sz w:val="20"/>
          <w:szCs w:val="20"/>
        </w:rPr>
        <w:t>P</w:t>
      </w:r>
      <w:r w:rsidRPr="00D1008C">
        <w:rPr>
          <w:sz w:val="20"/>
          <w:szCs w:val="20"/>
        </w:rPr>
        <w:t>&lt;.01 compared to A1</w:t>
      </w:r>
      <w:r w:rsidR="005D72CC">
        <w:rPr>
          <w:rFonts w:eastAsiaTheme="minorEastAsia" w:hint="eastAsia"/>
          <w:sz w:val="20"/>
          <w:szCs w:val="20"/>
          <w:lang w:eastAsia="zh-CN"/>
        </w:rPr>
        <w:t xml:space="preserve">; </w:t>
      </w:r>
      <w:r w:rsidRPr="00D1008C">
        <w:rPr>
          <w:sz w:val="20"/>
          <w:szCs w:val="20"/>
        </w:rPr>
        <w:t>^</w:t>
      </w:r>
      <w:r w:rsidRPr="00D1008C">
        <w:rPr>
          <w:i/>
          <w:iCs/>
          <w:sz w:val="20"/>
          <w:szCs w:val="20"/>
        </w:rPr>
        <w:t>P</w:t>
      </w:r>
      <w:r w:rsidRPr="00D1008C">
        <w:rPr>
          <w:sz w:val="20"/>
          <w:szCs w:val="20"/>
        </w:rPr>
        <w:t>&lt;.01 compared to A2</w:t>
      </w:r>
    </w:p>
    <w:p w:rsidR="009707B7" w:rsidRDefault="009707B7" w:rsidP="004611F0">
      <w:pPr>
        <w:tabs>
          <w:tab w:val="right" w:pos="709"/>
        </w:tabs>
        <w:snapToGrid w:val="0"/>
        <w:ind w:firstLine="425"/>
        <w:jc w:val="both"/>
        <w:rPr>
          <w:rFonts w:eastAsiaTheme="minorEastAsia"/>
          <w:sz w:val="20"/>
          <w:szCs w:val="20"/>
          <w:lang w:eastAsia="zh-CN"/>
        </w:rPr>
      </w:pPr>
    </w:p>
    <w:p w:rsidR="005D72CC" w:rsidRPr="005D72CC" w:rsidRDefault="005D72CC" w:rsidP="004611F0">
      <w:pPr>
        <w:tabs>
          <w:tab w:val="right" w:pos="709"/>
        </w:tabs>
        <w:snapToGrid w:val="0"/>
        <w:ind w:firstLine="425"/>
        <w:jc w:val="both"/>
        <w:rPr>
          <w:rFonts w:eastAsiaTheme="minorEastAsia"/>
          <w:sz w:val="20"/>
          <w:szCs w:val="20"/>
          <w:lang w:eastAsia="zh-CN"/>
        </w:rPr>
      </w:pPr>
    </w:p>
    <w:p w:rsidR="006D1CAC" w:rsidRPr="00D1008C" w:rsidRDefault="009707B7" w:rsidP="004611F0">
      <w:pPr>
        <w:tabs>
          <w:tab w:val="right" w:pos="709"/>
        </w:tabs>
        <w:snapToGrid w:val="0"/>
        <w:ind w:firstLine="425"/>
        <w:jc w:val="both"/>
        <w:rPr>
          <w:b/>
          <w:bCs/>
          <w:sz w:val="20"/>
          <w:szCs w:val="20"/>
        </w:rPr>
      </w:pPr>
      <w:r w:rsidRPr="00D1008C">
        <w:rPr>
          <w:sz w:val="20"/>
          <w:szCs w:val="20"/>
        </w:rPr>
        <w:t>The mean values of OV6 level were significantly increased in A3 compared to A2 and A1 (</w:t>
      </w:r>
      <w:r w:rsidRPr="00D1008C">
        <w:rPr>
          <w:i/>
          <w:iCs/>
          <w:sz w:val="20"/>
          <w:szCs w:val="20"/>
        </w:rPr>
        <w:t>p</w:t>
      </w:r>
      <w:r w:rsidRPr="00D1008C">
        <w:rPr>
          <w:sz w:val="20"/>
          <w:szCs w:val="20"/>
        </w:rPr>
        <w:t>&lt;0.01), while no significance of OV6 expression in A2 compared to A1.</w:t>
      </w:r>
    </w:p>
    <w:p w:rsidR="00D6616D" w:rsidRDefault="00D6616D" w:rsidP="004611F0">
      <w:pPr>
        <w:tabs>
          <w:tab w:val="right" w:pos="709"/>
        </w:tabs>
        <w:snapToGrid w:val="0"/>
        <w:jc w:val="both"/>
        <w:rPr>
          <w:rFonts w:eastAsiaTheme="minorEastAsia"/>
          <w:b/>
          <w:bCs/>
          <w:sz w:val="20"/>
          <w:szCs w:val="20"/>
          <w:lang w:eastAsia="zh-CN"/>
        </w:rPr>
      </w:pPr>
    </w:p>
    <w:p w:rsidR="005D72CC" w:rsidRPr="005D72CC" w:rsidRDefault="005D72CC" w:rsidP="004611F0">
      <w:pPr>
        <w:tabs>
          <w:tab w:val="right" w:pos="709"/>
        </w:tabs>
        <w:snapToGrid w:val="0"/>
        <w:jc w:val="both"/>
        <w:rPr>
          <w:rFonts w:eastAsiaTheme="minorEastAsia"/>
          <w:b/>
          <w:bCs/>
          <w:sz w:val="20"/>
          <w:szCs w:val="20"/>
          <w:lang w:eastAsia="zh-CN"/>
        </w:rPr>
      </w:pPr>
    </w:p>
    <w:p w:rsidR="007632B3" w:rsidRPr="00D1008C" w:rsidRDefault="007632B3" w:rsidP="004611F0">
      <w:pPr>
        <w:tabs>
          <w:tab w:val="right" w:pos="6379"/>
        </w:tabs>
        <w:autoSpaceDE w:val="0"/>
        <w:autoSpaceDN w:val="0"/>
        <w:adjustRightInd w:val="0"/>
        <w:snapToGrid w:val="0"/>
        <w:jc w:val="center"/>
        <w:rPr>
          <w:b/>
          <w:bCs/>
          <w:sz w:val="20"/>
          <w:szCs w:val="20"/>
        </w:rPr>
      </w:pPr>
      <w:r w:rsidRPr="00D1008C">
        <w:rPr>
          <w:b/>
          <w:bCs/>
          <w:noProof/>
          <w:sz w:val="20"/>
          <w:szCs w:val="20"/>
          <w:lang w:eastAsia="zh-CN"/>
        </w:rPr>
        <w:drawing>
          <wp:inline distT="0" distB="0" distL="0" distR="0">
            <wp:extent cx="2933700" cy="174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6139" cy="1747702"/>
                    </a:xfrm>
                    <a:prstGeom prst="rect">
                      <a:avLst/>
                    </a:prstGeom>
                    <a:noFill/>
                  </pic:spPr>
                </pic:pic>
              </a:graphicData>
            </a:graphic>
          </wp:inline>
        </w:drawing>
      </w:r>
    </w:p>
    <w:p w:rsidR="009707B7" w:rsidRPr="00D1008C" w:rsidRDefault="009707B7" w:rsidP="004611F0">
      <w:pPr>
        <w:tabs>
          <w:tab w:val="right" w:pos="6379"/>
        </w:tabs>
        <w:autoSpaceDE w:val="0"/>
        <w:autoSpaceDN w:val="0"/>
        <w:adjustRightInd w:val="0"/>
        <w:snapToGrid w:val="0"/>
        <w:jc w:val="both"/>
        <w:rPr>
          <w:b/>
          <w:bCs/>
          <w:sz w:val="20"/>
          <w:szCs w:val="20"/>
        </w:rPr>
      </w:pPr>
      <w:r w:rsidRPr="00D1008C">
        <w:rPr>
          <w:b/>
          <w:bCs/>
          <w:sz w:val="20"/>
          <w:szCs w:val="20"/>
        </w:rPr>
        <w:t>Figure (2):</w:t>
      </w:r>
      <w:r w:rsidRPr="00D1008C">
        <w:rPr>
          <w:sz w:val="20"/>
          <w:szCs w:val="20"/>
        </w:rPr>
        <w:t xml:space="preserve"> showing tissue expression of OV6 in different histological grades</w:t>
      </w:r>
      <w:r w:rsidR="005D72CC">
        <w:rPr>
          <w:rFonts w:eastAsiaTheme="minorEastAsia" w:hint="eastAsia"/>
          <w:sz w:val="20"/>
          <w:szCs w:val="20"/>
          <w:lang w:eastAsia="zh-CN"/>
        </w:rPr>
        <w:t xml:space="preserve"> </w:t>
      </w:r>
      <w:r w:rsidRPr="00D1008C">
        <w:rPr>
          <w:sz w:val="20"/>
          <w:szCs w:val="20"/>
        </w:rPr>
        <w:t>of activity.</w:t>
      </w:r>
    </w:p>
    <w:p w:rsidR="00D6616D" w:rsidRDefault="00D6616D" w:rsidP="004611F0">
      <w:pPr>
        <w:tabs>
          <w:tab w:val="right" w:pos="6379"/>
        </w:tabs>
        <w:autoSpaceDE w:val="0"/>
        <w:autoSpaceDN w:val="0"/>
        <w:adjustRightInd w:val="0"/>
        <w:snapToGrid w:val="0"/>
        <w:jc w:val="both"/>
        <w:rPr>
          <w:rFonts w:eastAsiaTheme="minorEastAsia"/>
          <w:b/>
          <w:bCs/>
          <w:sz w:val="20"/>
          <w:szCs w:val="20"/>
          <w:lang w:eastAsia="zh-CN"/>
        </w:rPr>
      </w:pPr>
    </w:p>
    <w:p w:rsidR="005D72CC" w:rsidRPr="005D72CC" w:rsidRDefault="005D72CC" w:rsidP="004611F0">
      <w:pPr>
        <w:tabs>
          <w:tab w:val="right" w:pos="6379"/>
        </w:tabs>
        <w:autoSpaceDE w:val="0"/>
        <w:autoSpaceDN w:val="0"/>
        <w:adjustRightInd w:val="0"/>
        <w:snapToGrid w:val="0"/>
        <w:jc w:val="both"/>
        <w:rPr>
          <w:rFonts w:eastAsiaTheme="minorEastAsia"/>
          <w:b/>
          <w:bCs/>
          <w:sz w:val="20"/>
          <w:szCs w:val="20"/>
          <w:lang w:eastAsia="zh-CN"/>
        </w:rPr>
      </w:pPr>
    </w:p>
    <w:p w:rsidR="006D1CAC" w:rsidRPr="00D1008C" w:rsidRDefault="007632B3" w:rsidP="004611F0">
      <w:pPr>
        <w:autoSpaceDE w:val="0"/>
        <w:autoSpaceDN w:val="0"/>
        <w:adjustRightInd w:val="0"/>
        <w:snapToGrid w:val="0"/>
        <w:jc w:val="center"/>
        <w:rPr>
          <w:rFonts w:eastAsiaTheme="minorEastAsia"/>
          <w:b/>
          <w:bCs/>
          <w:sz w:val="20"/>
          <w:szCs w:val="20"/>
          <w:lang w:eastAsia="zh-CN"/>
        </w:rPr>
      </w:pPr>
      <w:r w:rsidRPr="00D1008C">
        <w:rPr>
          <w:b/>
          <w:bCs/>
          <w:noProof/>
          <w:sz w:val="20"/>
          <w:szCs w:val="20"/>
          <w:lang w:eastAsia="zh-CN"/>
        </w:rPr>
        <w:drawing>
          <wp:inline distT="0" distB="0" distL="0" distR="0">
            <wp:extent cx="2707828" cy="18224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935" cy="1823195"/>
                    </a:xfrm>
                    <a:prstGeom prst="rect">
                      <a:avLst/>
                    </a:prstGeom>
                    <a:noFill/>
                  </pic:spPr>
                </pic:pic>
              </a:graphicData>
            </a:graphic>
          </wp:inline>
        </w:drawing>
      </w:r>
    </w:p>
    <w:p w:rsidR="006251C8" w:rsidRPr="00D1008C" w:rsidRDefault="006251C8" w:rsidP="004611F0">
      <w:pPr>
        <w:autoSpaceDE w:val="0"/>
        <w:autoSpaceDN w:val="0"/>
        <w:adjustRightInd w:val="0"/>
        <w:snapToGrid w:val="0"/>
        <w:jc w:val="center"/>
        <w:rPr>
          <w:rFonts w:eastAsiaTheme="minorEastAsia"/>
          <w:b/>
          <w:bCs/>
          <w:sz w:val="20"/>
          <w:szCs w:val="20"/>
          <w:lang w:eastAsia="zh-CN"/>
        </w:rPr>
      </w:pPr>
    </w:p>
    <w:p w:rsidR="007632B3" w:rsidRPr="00D1008C" w:rsidRDefault="007632B3" w:rsidP="004611F0">
      <w:pPr>
        <w:autoSpaceDE w:val="0"/>
        <w:autoSpaceDN w:val="0"/>
        <w:adjustRightInd w:val="0"/>
        <w:snapToGrid w:val="0"/>
        <w:jc w:val="center"/>
        <w:rPr>
          <w:b/>
          <w:bCs/>
          <w:sz w:val="20"/>
          <w:szCs w:val="20"/>
        </w:rPr>
      </w:pPr>
      <w:r w:rsidRPr="00D1008C">
        <w:rPr>
          <w:b/>
          <w:bCs/>
          <w:noProof/>
          <w:sz w:val="20"/>
          <w:szCs w:val="20"/>
          <w:lang w:eastAsia="zh-CN"/>
        </w:rPr>
        <w:drawing>
          <wp:inline distT="0" distB="0" distL="0" distR="0">
            <wp:extent cx="2732077" cy="1854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169" cy="1859013"/>
                    </a:xfrm>
                    <a:prstGeom prst="rect">
                      <a:avLst/>
                    </a:prstGeom>
                    <a:noFill/>
                  </pic:spPr>
                </pic:pic>
              </a:graphicData>
            </a:graphic>
          </wp:inline>
        </w:drawing>
      </w:r>
    </w:p>
    <w:p w:rsidR="00CA7FA9" w:rsidRPr="00D1008C" w:rsidRDefault="000D2BA3" w:rsidP="004611F0">
      <w:pPr>
        <w:autoSpaceDE w:val="0"/>
        <w:autoSpaceDN w:val="0"/>
        <w:adjustRightInd w:val="0"/>
        <w:snapToGrid w:val="0"/>
        <w:jc w:val="both"/>
        <w:rPr>
          <w:rFonts w:eastAsiaTheme="minorEastAsia"/>
          <w:sz w:val="20"/>
          <w:szCs w:val="20"/>
          <w:lang w:eastAsia="zh-CN"/>
        </w:rPr>
      </w:pPr>
      <w:r w:rsidRPr="00D1008C">
        <w:rPr>
          <w:rFonts w:eastAsia="Calibri"/>
          <w:sz w:val="20"/>
          <w:szCs w:val="20"/>
        </w:rPr>
        <w:t>Figure (3)</w:t>
      </w:r>
      <w:r w:rsidR="00CA7FA9" w:rsidRPr="00D1008C">
        <w:rPr>
          <w:rFonts w:eastAsia="Calibri"/>
          <w:sz w:val="20"/>
          <w:szCs w:val="20"/>
        </w:rPr>
        <w:t xml:space="preserve">: liver section from HCV case, A2activity and </w:t>
      </w:r>
      <w:r w:rsidR="00CA7FA9" w:rsidRPr="00D1008C">
        <w:rPr>
          <w:rFonts w:eastAsia="Calibri"/>
          <w:sz w:val="20"/>
          <w:szCs w:val="20"/>
          <w:lang w:bidi="ar-EG"/>
        </w:rPr>
        <w:t>F2</w:t>
      </w:r>
      <w:r w:rsidR="00CA7FA9" w:rsidRPr="00D1008C">
        <w:rPr>
          <w:rFonts w:eastAsia="Calibri"/>
          <w:sz w:val="20"/>
          <w:szCs w:val="20"/>
        </w:rPr>
        <w:t xml:space="preserve"> fibrosis with mild expression of OV6 monoclonal antibody in hepatocytes as cytoplasmic brownish stain (arrow)(IHC, DAB, OV6 x200.)</w:t>
      </w:r>
    </w:p>
    <w:p w:rsidR="004611F0" w:rsidRDefault="004611F0" w:rsidP="004611F0">
      <w:pPr>
        <w:autoSpaceDE w:val="0"/>
        <w:autoSpaceDN w:val="0"/>
        <w:adjustRightInd w:val="0"/>
        <w:snapToGrid w:val="0"/>
        <w:jc w:val="both"/>
        <w:rPr>
          <w:rFonts w:eastAsiaTheme="minorEastAsia"/>
          <w:b/>
          <w:bCs/>
          <w:sz w:val="20"/>
          <w:szCs w:val="20"/>
          <w:lang w:eastAsia="zh-CN"/>
        </w:rPr>
      </w:pPr>
    </w:p>
    <w:p w:rsidR="005D72CC" w:rsidRPr="00D1008C" w:rsidRDefault="005D72CC" w:rsidP="004611F0">
      <w:pPr>
        <w:autoSpaceDE w:val="0"/>
        <w:autoSpaceDN w:val="0"/>
        <w:adjustRightInd w:val="0"/>
        <w:snapToGrid w:val="0"/>
        <w:jc w:val="both"/>
        <w:rPr>
          <w:rFonts w:eastAsiaTheme="minorEastAsia"/>
          <w:b/>
          <w:bCs/>
          <w:sz w:val="20"/>
          <w:szCs w:val="20"/>
          <w:lang w:eastAsia="zh-CN"/>
        </w:rPr>
      </w:pPr>
    </w:p>
    <w:p w:rsidR="007632B3" w:rsidRPr="00D1008C" w:rsidRDefault="007632B3" w:rsidP="004611F0">
      <w:pPr>
        <w:snapToGrid w:val="0"/>
        <w:jc w:val="center"/>
        <w:rPr>
          <w:b/>
          <w:bCs/>
          <w:sz w:val="20"/>
          <w:szCs w:val="20"/>
        </w:rPr>
      </w:pPr>
      <w:r w:rsidRPr="00D1008C">
        <w:rPr>
          <w:b/>
          <w:bCs/>
          <w:noProof/>
          <w:sz w:val="20"/>
          <w:szCs w:val="20"/>
          <w:lang w:eastAsia="zh-CN"/>
        </w:rPr>
        <w:lastRenderedPageBreak/>
        <w:drawing>
          <wp:inline distT="0" distB="0" distL="0" distR="0">
            <wp:extent cx="2589111" cy="1943100"/>
            <wp:effectExtent l="19050" t="0" r="168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625" cy="1945738"/>
                    </a:xfrm>
                    <a:prstGeom prst="rect">
                      <a:avLst/>
                    </a:prstGeom>
                    <a:noFill/>
                  </pic:spPr>
                </pic:pic>
              </a:graphicData>
            </a:graphic>
          </wp:inline>
        </w:drawing>
      </w:r>
    </w:p>
    <w:p w:rsidR="00CA7FA9" w:rsidRPr="00D1008C" w:rsidRDefault="00606A8C" w:rsidP="004611F0">
      <w:pPr>
        <w:snapToGrid w:val="0"/>
        <w:jc w:val="both"/>
        <w:rPr>
          <w:rFonts w:eastAsiaTheme="minorEastAsia"/>
          <w:sz w:val="20"/>
          <w:szCs w:val="20"/>
          <w:lang w:eastAsia="zh-CN"/>
        </w:rPr>
      </w:pPr>
      <w:r w:rsidRPr="00D1008C">
        <w:rPr>
          <w:rFonts w:eastAsia="Calibri"/>
          <w:sz w:val="20"/>
          <w:szCs w:val="20"/>
        </w:rPr>
        <w:t>Figure (4)</w:t>
      </w:r>
      <w:r w:rsidR="00CA7FA9" w:rsidRPr="00D1008C">
        <w:rPr>
          <w:rFonts w:eastAsia="Calibri"/>
          <w:sz w:val="20"/>
          <w:szCs w:val="20"/>
        </w:rPr>
        <w:t>: liver section from HCV case,</w:t>
      </w:r>
      <w:r w:rsidR="00D1008C">
        <w:rPr>
          <w:rFonts w:eastAsia="Calibri"/>
          <w:sz w:val="20"/>
          <w:szCs w:val="20"/>
        </w:rPr>
        <w:t xml:space="preserve"> </w:t>
      </w:r>
      <w:r w:rsidR="00CA7FA9" w:rsidRPr="00D1008C">
        <w:rPr>
          <w:rFonts w:eastAsia="Calibri"/>
          <w:sz w:val="20"/>
          <w:szCs w:val="20"/>
        </w:rPr>
        <w:t>A3</w:t>
      </w:r>
      <w:r w:rsidR="00D1008C">
        <w:rPr>
          <w:rFonts w:eastAsia="Calibri"/>
          <w:sz w:val="20"/>
          <w:szCs w:val="20"/>
        </w:rPr>
        <w:t xml:space="preserve"> </w:t>
      </w:r>
      <w:r w:rsidR="00CA7FA9" w:rsidRPr="00D1008C">
        <w:rPr>
          <w:rFonts w:eastAsia="Calibri"/>
          <w:sz w:val="20"/>
          <w:szCs w:val="20"/>
        </w:rPr>
        <w:t>activity and F4 fibrosis with formation of regenerating nodule,</w:t>
      </w:r>
      <w:r w:rsidR="00D1008C">
        <w:rPr>
          <w:rFonts w:eastAsia="Calibri"/>
          <w:sz w:val="20"/>
          <w:szCs w:val="20"/>
        </w:rPr>
        <w:t xml:space="preserve"> </w:t>
      </w:r>
      <w:r w:rsidR="00CA7FA9" w:rsidRPr="00D1008C">
        <w:rPr>
          <w:rFonts w:eastAsia="Calibri"/>
          <w:sz w:val="20"/>
          <w:szCs w:val="20"/>
        </w:rPr>
        <w:t>with moderate expression of OV6 monoclonal antibody in hepatocytes (red arrow) and lining cells of bile duct as cytoplasmic brownish stain(black arrow)</w:t>
      </w:r>
      <w:r w:rsidR="00D1008C">
        <w:rPr>
          <w:rFonts w:eastAsia="Calibri"/>
          <w:sz w:val="20"/>
          <w:szCs w:val="20"/>
        </w:rPr>
        <w:t xml:space="preserve"> </w:t>
      </w:r>
      <w:r w:rsidR="00CA7FA9" w:rsidRPr="00D1008C">
        <w:rPr>
          <w:rFonts w:eastAsia="Calibri"/>
          <w:sz w:val="20"/>
          <w:szCs w:val="20"/>
        </w:rPr>
        <w:t>(IHC, DAB, OV6 x200.)</w:t>
      </w:r>
    </w:p>
    <w:p w:rsidR="004611F0" w:rsidRPr="00D1008C" w:rsidRDefault="004611F0" w:rsidP="004611F0">
      <w:pPr>
        <w:snapToGrid w:val="0"/>
        <w:ind w:firstLine="425"/>
        <w:jc w:val="both"/>
        <w:rPr>
          <w:rFonts w:eastAsiaTheme="minorEastAsia"/>
          <w:sz w:val="20"/>
          <w:szCs w:val="20"/>
          <w:lang w:eastAsia="zh-CN"/>
        </w:rPr>
      </w:pPr>
    </w:p>
    <w:p w:rsidR="007632B3" w:rsidRPr="00D1008C" w:rsidRDefault="007632B3" w:rsidP="004611F0">
      <w:pPr>
        <w:snapToGrid w:val="0"/>
        <w:jc w:val="center"/>
        <w:rPr>
          <w:rFonts w:eastAsia="Calibri"/>
          <w:sz w:val="20"/>
          <w:szCs w:val="20"/>
        </w:rPr>
      </w:pPr>
      <w:r w:rsidRPr="00D1008C">
        <w:rPr>
          <w:rFonts w:eastAsia="Calibri"/>
          <w:noProof/>
          <w:sz w:val="20"/>
          <w:szCs w:val="20"/>
          <w:lang w:eastAsia="zh-CN"/>
        </w:rPr>
        <w:drawing>
          <wp:inline distT="0" distB="0" distL="0" distR="0">
            <wp:extent cx="2758337" cy="2070100"/>
            <wp:effectExtent l="19050" t="0" r="391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952" cy="2069811"/>
                    </a:xfrm>
                    <a:prstGeom prst="rect">
                      <a:avLst/>
                    </a:prstGeom>
                    <a:noFill/>
                  </pic:spPr>
                </pic:pic>
              </a:graphicData>
            </a:graphic>
          </wp:inline>
        </w:drawing>
      </w:r>
    </w:p>
    <w:p w:rsidR="00591554" w:rsidRPr="00D1008C" w:rsidRDefault="00591554" w:rsidP="004611F0">
      <w:pPr>
        <w:snapToGrid w:val="0"/>
        <w:jc w:val="both"/>
        <w:rPr>
          <w:rFonts w:eastAsia="Calibri"/>
          <w:sz w:val="20"/>
          <w:szCs w:val="20"/>
        </w:rPr>
      </w:pPr>
      <w:r w:rsidRPr="00D1008C">
        <w:rPr>
          <w:rFonts w:eastAsia="Calibri"/>
          <w:sz w:val="20"/>
          <w:szCs w:val="20"/>
        </w:rPr>
        <w:t xml:space="preserve">Figure </w:t>
      </w:r>
      <w:r w:rsidR="00606A8C" w:rsidRPr="00D1008C">
        <w:rPr>
          <w:rFonts w:eastAsia="Calibri"/>
          <w:sz w:val="20"/>
          <w:szCs w:val="20"/>
        </w:rPr>
        <w:t>(5)</w:t>
      </w:r>
      <w:r w:rsidRPr="00D1008C">
        <w:rPr>
          <w:rFonts w:eastAsia="Calibri"/>
          <w:sz w:val="20"/>
          <w:szCs w:val="20"/>
        </w:rPr>
        <w:t>: liver section from HCC, with 90 % expression of OV6 monoclonal antibody in hepatocytes as cytoplasmic brownish stain (IHC, DAB, OV6 x200.)</w:t>
      </w:r>
    </w:p>
    <w:p w:rsidR="00606A8C" w:rsidRPr="00D1008C" w:rsidRDefault="00606A8C" w:rsidP="004611F0">
      <w:pPr>
        <w:autoSpaceDE w:val="0"/>
        <w:autoSpaceDN w:val="0"/>
        <w:adjustRightInd w:val="0"/>
        <w:snapToGrid w:val="0"/>
        <w:jc w:val="center"/>
        <w:rPr>
          <w:rFonts w:eastAsiaTheme="minorEastAsia"/>
          <w:b/>
          <w:bCs/>
          <w:sz w:val="20"/>
          <w:szCs w:val="20"/>
          <w:lang w:eastAsia="zh-CN"/>
        </w:rPr>
      </w:pPr>
    </w:p>
    <w:p w:rsidR="006251C8" w:rsidRPr="00D1008C" w:rsidRDefault="006251C8" w:rsidP="006251C8">
      <w:pPr>
        <w:snapToGrid w:val="0"/>
        <w:jc w:val="center"/>
        <w:rPr>
          <w:b/>
          <w:bCs/>
          <w:sz w:val="20"/>
          <w:szCs w:val="20"/>
        </w:rPr>
      </w:pPr>
      <w:r w:rsidRPr="00D1008C">
        <w:rPr>
          <w:b/>
          <w:bCs/>
          <w:noProof/>
          <w:sz w:val="20"/>
          <w:szCs w:val="20"/>
          <w:lang w:eastAsia="zh-CN"/>
        </w:rPr>
        <w:drawing>
          <wp:inline distT="0" distB="0" distL="0" distR="0">
            <wp:extent cx="2996410" cy="198120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014"/>
                    <a:stretch/>
                  </pic:blipFill>
                  <pic:spPr bwMode="auto">
                    <a:xfrm>
                      <a:off x="0" y="0"/>
                      <a:ext cx="3005912" cy="1987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51C8" w:rsidRPr="00D1008C" w:rsidRDefault="006251C8" w:rsidP="006251C8">
      <w:pPr>
        <w:snapToGrid w:val="0"/>
        <w:jc w:val="both"/>
        <w:rPr>
          <w:b/>
          <w:bCs/>
          <w:sz w:val="20"/>
          <w:szCs w:val="20"/>
        </w:rPr>
      </w:pPr>
      <w:r w:rsidRPr="00D1008C">
        <w:rPr>
          <w:b/>
          <w:bCs/>
          <w:sz w:val="20"/>
          <w:szCs w:val="20"/>
        </w:rPr>
        <w:t>Figure</w:t>
      </w:r>
      <w:r w:rsidR="005D72CC">
        <w:rPr>
          <w:rFonts w:eastAsiaTheme="minorEastAsia" w:hint="eastAsia"/>
          <w:b/>
          <w:bCs/>
          <w:sz w:val="20"/>
          <w:szCs w:val="20"/>
          <w:lang w:eastAsia="zh-CN"/>
        </w:rPr>
        <w:t xml:space="preserve"> </w:t>
      </w:r>
      <w:r w:rsidRPr="00D1008C">
        <w:rPr>
          <w:b/>
          <w:bCs/>
          <w:sz w:val="20"/>
          <w:szCs w:val="20"/>
        </w:rPr>
        <w:t>(6):</w:t>
      </w:r>
      <w:r w:rsidRPr="00D1008C">
        <w:rPr>
          <w:sz w:val="20"/>
          <w:szCs w:val="20"/>
        </w:rPr>
        <w:t xml:space="preserve"> showing tissue expression of OV6 in different histological stages of fibrosis:</w:t>
      </w:r>
    </w:p>
    <w:p w:rsidR="006251C8" w:rsidRPr="00D1008C" w:rsidRDefault="006251C8" w:rsidP="004611F0">
      <w:pPr>
        <w:autoSpaceDE w:val="0"/>
        <w:autoSpaceDN w:val="0"/>
        <w:adjustRightInd w:val="0"/>
        <w:snapToGrid w:val="0"/>
        <w:jc w:val="center"/>
        <w:rPr>
          <w:rFonts w:eastAsiaTheme="minorEastAsia"/>
          <w:b/>
          <w:bCs/>
          <w:sz w:val="20"/>
          <w:szCs w:val="20"/>
          <w:lang w:eastAsia="zh-CN"/>
        </w:rPr>
      </w:pPr>
    </w:p>
    <w:p w:rsidR="006251C8" w:rsidRPr="00D1008C" w:rsidRDefault="006251C8" w:rsidP="004611F0">
      <w:pPr>
        <w:autoSpaceDE w:val="0"/>
        <w:autoSpaceDN w:val="0"/>
        <w:adjustRightInd w:val="0"/>
        <w:snapToGrid w:val="0"/>
        <w:jc w:val="center"/>
        <w:rPr>
          <w:rFonts w:eastAsiaTheme="minorEastAsia"/>
          <w:b/>
          <w:bCs/>
          <w:sz w:val="20"/>
          <w:szCs w:val="20"/>
          <w:lang w:eastAsia="zh-CN"/>
        </w:rPr>
      </w:pPr>
    </w:p>
    <w:p w:rsidR="006D1CAC" w:rsidRPr="00420112" w:rsidRDefault="006D1CAC" w:rsidP="004611F0">
      <w:pPr>
        <w:autoSpaceDE w:val="0"/>
        <w:autoSpaceDN w:val="0"/>
        <w:adjustRightInd w:val="0"/>
        <w:snapToGrid w:val="0"/>
        <w:jc w:val="both"/>
        <w:rPr>
          <w:rFonts w:eastAsiaTheme="minorEastAsia"/>
          <w:sz w:val="20"/>
          <w:szCs w:val="20"/>
          <w:lang w:eastAsia="zh-CN"/>
        </w:rPr>
      </w:pPr>
      <w:r w:rsidRPr="00D1008C">
        <w:rPr>
          <w:b/>
          <w:bCs/>
          <w:sz w:val="20"/>
          <w:szCs w:val="20"/>
        </w:rPr>
        <w:lastRenderedPageBreak/>
        <w:t>Table (5):</w:t>
      </w:r>
      <w:r w:rsidRPr="00D1008C">
        <w:rPr>
          <w:sz w:val="20"/>
          <w:szCs w:val="20"/>
        </w:rPr>
        <w:t xml:space="preserve"> Relation between stage of fibrosis of chronic hepatitis (with or without cirrhosis and tissue levels of OV6</w:t>
      </w:r>
      <w:r w:rsidR="00420112">
        <w:rPr>
          <w:rFonts w:eastAsiaTheme="minorEastAsia" w:hint="eastAsia"/>
          <w:sz w:val="20"/>
          <w:szCs w:val="20"/>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1185"/>
        <w:gridCol w:w="1006"/>
        <w:gridCol w:w="1377"/>
      </w:tblGrid>
      <w:tr w:rsidR="0045204D" w:rsidRPr="00D1008C" w:rsidTr="004611F0">
        <w:trPr>
          <w:jc w:val="center"/>
        </w:trPr>
        <w:tc>
          <w:tcPr>
            <w:tcW w:w="0" w:type="auto"/>
            <w:shd w:val="clear" w:color="auto" w:fill="auto"/>
            <w:vAlign w:val="center"/>
          </w:tcPr>
          <w:p w:rsidR="006D1CAC" w:rsidRPr="00D1008C" w:rsidRDefault="006D1CAC" w:rsidP="00420112">
            <w:pPr>
              <w:snapToGrid w:val="0"/>
              <w:rPr>
                <w:b/>
                <w:bCs/>
                <w:color w:val="000000"/>
                <w:sz w:val="20"/>
                <w:szCs w:val="20"/>
              </w:rPr>
            </w:pPr>
            <w:r w:rsidRPr="00D1008C">
              <w:rPr>
                <w:b/>
                <w:bCs/>
                <w:color w:val="000000"/>
                <w:sz w:val="20"/>
                <w:szCs w:val="20"/>
              </w:rPr>
              <w:t>Variables</w:t>
            </w:r>
          </w:p>
        </w:tc>
        <w:tc>
          <w:tcPr>
            <w:tcW w:w="0" w:type="auto"/>
            <w:shd w:val="clear" w:color="auto" w:fill="auto"/>
            <w:vAlign w:val="center"/>
          </w:tcPr>
          <w:p w:rsidR="006D1CAC" w:rsidRPr="00D1008C" w:rsidRDefault="006D1CAC" w:rsidP="00420112">
            <w:pPr>
              <w:snapToGrid w:val="0"/>
              <w:rPr>
                <w:color w:val="000000"/>
                <w:sz w:val="20"/>
                <w:szCs w:val="20"/>
              </w:rPr>
            </w:pPr>
            <w:r w:rsidRPr="00D1008C">
              <w:rPr>
                <w:b/>
                <w:bCs/>
                <w:color w:val="000000"/>
                <w:sz w:val="20"/>
                <w:szCs w:val="20"/>
              </w:rPr>
              <w:t>F1</w:t>
            </w:r>
          </w:p>
          <w:p w:rsidR="006D1CAC" w:rsidRPr="00D1008C" w:rsidRDefault="006D1CAC" w:rsidP="00420112">
            <w:pPr>
              <w:snapToGrid w:val="0"/>
              <w:rPr>
                <w:color w:val="000000"/>
                <w:sz w:val="20"/>
                <w:szCs w:val="20"/>
              </w:rPr>
            </w:pPr>
            <w:r w:rsidRPr="00D1008C">
              <w:rPr>
                <w:color w:val="000000"/>
                <w:sz w:val="20"/>
                <w:szCs w:val="20"/>
              </w:rPr>
              <w:t>N=13</w:t>
            </w:r>
          </w:p>
        </w:tc>
        <w:tc>
          <w:tcPr>
            <w:tcW w:w="0" w:type="auto"/>
            <w:shd w:val="clear" w:color="auto" w:fill="auto"/>
            <w:vAlign w:val="center"/>
          </w:tcPr>
          <w:p w:rsidR="006D1CAC" w:rsidRPr="00D1008C" w:rsidRDefault="006D1CAC" w:rsidP="00420112">
            <w:pPr>
              <w:snapToGrid w:val="0"/>
              <w:rPr>
                <w:color w:val="000000"/>
                <w:sz w:val="20"/>
                <w:szCs w:val="20"/>
              </w:rPr>
            </w:pPr>
            <w:r w:rsidRPr="00D1008C">
              <w:rPr>
                <w:b/>
                <w:bCs/>
                <w:color w:val="000000"/>
                <w:sz w:val="20"/>
                <w:szCs w:val="20"/>
              </w:rPr>
              <w:t>F2</w:t>
            </w:r>
          </w:p>
          <w:p w:rsidR="006D1CAC" w:rsidRPr="00D1008C" w:rsidRDefault="006D1CAC" w:rsidP="00420112">
            <w:pPr>
              <w:snapToGrid w:val="0"/>
              <w:rPr>
                <w:color w:val="000000"/>
                <w:sz w:val="20"/>
                <w:szCs w:val="20"/>
              </w:rPr>
            </w:pPr>
            <w:r w:rsidRPr="00D1008C">
              <w:rPr>
                <w:color w:val="000000"/>
                <w:sz w:val="20"/>
                <w:szCs w:val="20"/>
              </w:rPr>
              <w:t>N=6</w:t>
            </w:r>
          </w:p>
        </w:tc>
        <w:tc>
          <w:tcPr>
            <w:tcW w:w="0" w:type="auto"/>
            <w:shd w:val="clear" w:color="auto" w:fill="auto"/>
            <w:vAlign w:val="center"/>
          </w:tcPr>
          <w:p w:rsidR="006D1CAC" w:rsidRPr="00D1008C" w:rsidRDefault="006D1CAC" w:rsidP="00420112">
            <w:pPr>
              <w:snapToGrid w:val="0"/>
              <w:rPr>
                <w:b/>
                <w:bCs/>
                <w:color w:val="000000"/>
                <w:sz w:val="20"/>
                <w:szCs w:val="20"/>
              </w:rPr>
            </w:pPr>
            <w:r w:rsidRPr="00D1008C">
              <w:rPr>
                <w:b/>
                <w:bCs/>
                <w:color w:val="000000"/>
                <w:sz w:val="20"/>
                <w:szCs w:val="20"/>
              </w:rPr>
              <w:t>F3+4</w:t>
            </w:r>
          </w:p>
          <w:p w:rsidR="006D1CAC" w:rsidRPr="00D1008C" w:rsidRDefault="006D1CAC" w:rsidP="00420112">
            <w:pPr>
              <w:snapToGrid w:val="0"/>
              <w:rPr>
                <w:b/>
                <w:bCs/>
                <w:color w:val="000000"/>
                <w:sz w:val="20"/>
                <w:szCs w:val="20"/>
              </w:rPr>
            </w:pPr>
            <w:r w:rsidRPr="00D1008C">
              <w:rPr>
                <w:color w:val="000000"/>
                <w:sz w:val="20"/>
                <w:szCs w:val="20"/>
              </w:rPr>
              <w:t>N=26</w:t>
            </w:r>
          </w:p>
        </w:tc>
      </w:tr>
      <w:tr w:rsidR="0045204D" w:rsidRPr="00D1008C" w:rsidTr="004611F0">
        <w:trPr>
          <w:jc w:val="center"/>
        </w:trPr>
        <w:tc>
          <w:tcPr>
            <w:tcW w:w="0" w:type="auto"/>
            <w:shd w:val="clear" w:color="auto" w:fill="auto"/>
            <w:vAlign w:val="center"/>
          </w:tcPr>
          <w:p w:rsidR="006D1CAC" w:rsidRPr="00D1008C" w:rsidRDefault="006D1CAC" w:rsidP="00420112">
            <w:pPr>
              <w:snapToGrid w:val="0"/>
              <w:rPr>
                <w:color w:val="000000"/>
                <w:sz w:val="20"/>
                <w:szCs w:val="20"/>
              </w:rPr>
            </w:pPr>
            <w:r w:rsidRPr="00D1008C">
              <w:rPr>
                <w:color w:val="000000"/>
                <w:sz w:val="20"/>
                <w:szCs w:val="20"/>
              </w:rPr>
              <w:t>Mean ± SD</w:t>
            </w:r>
          </w:p>
        </w:tc>
        <w:tc>
          <w:tcPr>
            <w:tcW w:w="0" w:type="auto"/>
            <w:shd w:val="clear" w:color="auto" w:fill="auto"/>
            <w:vAlign w:val="center"/>
          </w:tcPr>
          <w:p w:rsidR="006D1CAC" w:rsidRPr="00D1008C" w:rsidRDefault="006D1CAC" w:rsidP="00420112">
            <w:pPr>
              <w:snapToGrid w:val="0"/>
              <w:rPr>
                <w:color w:val="000000"/>
                <w:sz w:val="20"/>
                <w:szCs w:val="20"/>
              </w:rPr>
            </w:pPr>
            <w:r w:rsidRPr="00D1008C">
              <w:rPr>
                <w:color w:val="000000"/>
                <w:sz w:val="20"/>
                <w:szCs w:val="20"/>
              </w:rPr>
              <w:t>16.15 ±</w:t>
            </w:r>
            <w:r w:rsidR="00D1008C">
              <w:rPr>
                <w:color w:val="000000"/>
                <w:sz w:val="20"/>
                <w:szCs w:val="20"/>
              </w:rPr>
              <w:t xml:space="preserve"> </w:t>
            </w:r>
            <w:r w:rsidRPr="00D1008C">
              <w:rPr>
                <w:color w:val="000000"/>
                <w:sz w:val="20"/>
                <w:szCs w:val="20"/>
              </w:rPr>
              <w:t>10.56</w:t>
            </w:r>
          </w:p>
        </w:tc>
        <w:tc>
          <w:tcPr>
            <w:tcW w:w="0" w:type="auto"/>
            <w:shd w:val="clear" w:color="auto" w:fill="auto"/>
            <w:vAlign w:val="center"/>
          </w:tcPr>
          <w:p w:rsidR="006D1CAC" w:rsidRPr="00D1008C" w:rsidRDefault="006D1CAC" w:rsidP="00420112">
            <w:pPr>
              <w:snapToGrid w:val="0"/>
              <w:rPr>
                <w:color w:val="000000"/>
                <w:sz w:val="20"/>
                <w:szCs w:val="20"/>
              </w:rPr>
            </w:pPr>
            <w:r w:rsidRPr="00D1008C">
              <w:rPr>
                <w:color w:val="000000"/>
                <w:sz w:val="20"/>
                <w:szCs w:val="20"/>
              </w:rPr>
              <w:t>7.33 ±</w:t>
            </w:r>
            <w:r w:rsidR="00D1008C">
              <w:rPr>
                <w:color w:val="000000"/>
                <w:sz w:val="20"/>
                <w:szCs w:val="20"/>
              </w:rPr>
              <w:t xml:space="preserve"> </w:t>
            </w:r>
            <w:r w:rsidRPr="00D1008C">
              <w:rPr>
                <w:color w:val="000000"/>
                <w:sz w:val="20"/>
                <w:szCs w:val="20"/>
              </w:rPr>
              <w:t>7.36</w:t>
            </w:r>
          </w:p>
        </w:tc>
        <w:tc>
          <w:tcPr>
            <w:tcW w:w="0" w:type="auto"/>
            <w:shd w:val="clear" w:color="auto" w:fill="auto"/>
            <w:vAlign w:val="center"/>
          </w:tcPr>
          <w:p w:rsidR="006D1CAC" w:rsidRPr="00D1008C" w:rsidRDefault="006D1CAC" w:rsidP="00420112">
            <w:pPr>
              <w:snapToGrid w:val="0"/>
              <w:rPr>
                <w:color w:val="000000"/>
                <w:sz w:val="20"/>
                <w:szCs w:val="20"/>
              </w:rPr>
            </w:pPr>
            <w:r w:rsidRPr="00D1008C">
              <w:rPr>
                <w:color w:val="000000"/>
                <w:sz w:val="20"/>
                <w:szCs w:val="20"/>
              </w:rPr>
              <w:t>34.34 ±</w:t>
            </w:r>
            <w:r w:rsidR="00D1008C">
              <w:rPr>
                <w:color w:val="000000"/>
                <w:sz w:val="20"/>
                <w:szCs w:val="20"/>
              </w:rPr>
              <w:t xml:space="preserve"> </w:t>
            </w:r>
            <w:r w:rsidRPr="00D1008C">
              <w:rPr>
                <w:color w:val="000000"/>
                <w:sz w:val="20"/>
                <w:szCs w:val="20"/>
              </w:rPr>
              <w:t>11.92*^</w:t>
            </w:r>
          </w:p>
        </w:tc>
      </w:tr>
    </w:tbl>
    <w:p w:rsidR="006D1CAC" w:rsidRPr="00D1008C" w:rsidRDefault="006D1CAC" w:rsidP="006251C8">
      <w:pPr>
        <w:snapToGrid w:val="0"/>
        <w:jc w:val="both"/>
        <w:rPr>
          <w:sz w:val="20"/>
          <w:szCs w:val="20"/>
        </w:rPr>
      </w:pPr>
      <w:r w:rsidRPr="00D1008C">
        <w:rPr>
          <w:sz w:val="20"/>
          <w:szCs w:val="20"/>
        </w:rPr>
        <w:t>*p&lt; 0.01 compared to f1</w:t>
      </w:r>
      <w:r w:rsidR="00420112">
        <w:rPr>
          <w:rFonts w:eastAsiaTheme="minorEastAsia" w:hint="eastAsia"/>
          <w:sz w:val="20"/>
          <w:szCs w:val="20"/>
          <w:lang w:eastAsia="zh-CN"/>
        </w:rPr>
        <w:t xml:space="preserve">; </w:t>
      </w:r>
      <w:r w:rsidRPr="00D1008C">
        <w:rPr>
          <w:sz w:val="20"/>
          <w:szCs w:val="20"/>
        </w:rPr>
        <w:t>^p&lt; 0.01compared to f2</w:t>
      </w:r>
    </w:p>
    <w:p w:rsidR="006D1CAC" w:rsidRPr="00D1008C" w:rsidRDefault="006D1CAC" w:rsidP="004611F0">
      <w:pPr>
        <w:tabs>
          <w:tab w:val="right" w:pos="709"/>
        </w:tabs>
        <w:snapToGrid w:val="0"/>
        <w:ind w:firstLine="425"/>
        <w:jc w:val="both"/>
        <w:rPr>
          <w:sz w:val="20"/>
          <w:szCs w:val="20"/>
        </w:rPr>
      </w:pPr>
    </w:p>
    <w:p w:rsidR="006D1CAC" w:rsidRPr="00D1008C" w:rsidRDefault="006D1CAC" w:rsidP="004611F0">
      <w:pPr>
        <w:tabs>
          <w:tab w:val="right" w:pos="709"/>
        </w:tabs>
        <w:snapToGrid w:val="0"/>
        <w:ind w:firstLine="425"/>
        <w:jc w:val="both"/>
        <w:rPr>
          <w:sz w:val="20"/>
          <w:szCs w:val="20"/>
        </w:rPr>
      </w:pPr>
      <w:r w:rsidRPr="00D1008C">
        <w:rPr>
          <w:sz w:val="20"/>
          <w:szCs w:val="20"/>
        </w:rPr>
        <w:t>The mean values of OV6 level were significantly increased in (F3+4) compared to F1and F2 (</w:t>
      </w:r>
      <w:r w:rsidRPr="00D1008C">
        <w:rPr>
          <w:i/>
          <w:iCs/>
          <w:sz w:val="20"/>
          <w:szCs w:val="20"/>
        </w:rPr>
        <w:t>p</w:t>
      </w:r>
      <w:r w:rsidRPr="00D1008C">
        <w:rPr>
          <w:sz w:val="20"/>
          <w:szCs w:val="20"/>
        </w:rPr>
        <w:t>&lt;0.01), but no significance increase in F2 compared to F1.</w:t>
      </w:r>
    </w:p>
    <w:p w:rsidR="006D1CAC" w:rsidRPr="00D1008C" w:rsidRDefault="006D1CAC" w:rsidP="004611F0">
      <w:pPr>
        <w:autoSpaceDE w:val="0"/>
        <w:autoSpaceDN w:val="0"/>
        <w:adjustRightInd w:val="0"/>
        <w:snapToGrid w:val="0"/>
        <w:jc w:val="center"/>
        <w:rPr>
          <w:b/>
          <w:bCs/>
          <w:sz w:val="20"/>
          <w:szCs w:val="20"/>
        </w:rPr>
      </w:pPr>
    </w:p>
    <w:p w:rsidR="006D1CAC" w:rsidRPr="00D1008C" w:rsidRDefault="006D1CAC" w:rsidP="004611F0">
      <w:pPr>
        <w:autoSpaceDE w:val="0"/>
        <w:autoSpaceDN w:val="0"/>
        <w:adjustRightInd w:val="0"/>
        <w:snapToGrid w:val="0"/>
        <w:jc w:val="both"/>
        <w:rPr>
          <w:sz w:val="20"/>
          <w:szCs w:val="20"/>
        </w:rPr>
      </w:pPr>
      <w:r w:rsidRPr="00D1008C">
        <w:rPr>
          <w:b/>
          <w:bCs/>
          <w:sz w:val="20"/>
          <w:szCs w:val="20"/>
        </w:rPr>
        <w:t>Table (6):</w:t>
      </w:r>
      <w:r w:rsidRPr="00D1008C">
        <w:rPr>
          <w:sz w:val="20"/>
          <w:szCs w:val="20"/>
        </w:rPr>
        <w:t xml:space="preserve"> Relation between histopathological grades of HCC and tissue levels of OV6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6"/>
        <w:gridCol w:w="576"/>
        <w:gridCol w:w="2162"/>
      </w:tblGrid>
      <w:tr w:rsidR="0045204D" w:rsidRPr="00D1008C" w:rsidTr="006251C8">
        <w:trPr>
          <w:jc w:val="center"/>
        </w:trPr>
        <w:tc>
          <w:tcPr>
            <w:tcW w:w="2076"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Grades of HCC</w:t>
            </w:r>
          </w:p>
        </w:tc>
        <w:tc>
          <w:tcPr>
            <w:tcW w:w="615"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N</w:t>
            </w:r>
          </w:p>
        </w:tc>
        <w:tc>
          <w:tcPr>
            <w:tcW w:w="2308" w:type="pct"/>
            <w:shd w:val="clear" w:color="auto" w:fill="auto"/>
            <w:vAlign w:val="center"/>
          </w:tcPr>
          <w:p w:rsidR="006D1CAC" w:rsidRPr="00D1008C" w:rsidRDefault="006D1CAC" w:rsidP="004611F0">
            <w:pPr>
              <w:snapToGrid w:val="0"/>
              <w:jc w:val="both"/>
              <w:rPr>
                <w:color w:val="000000"/>
                <w:sz w:val="20"/>
                <w:szCs w:val="20"/>
              </w:rPr>
            </w:pPr>
            <w:r w:rsidRPr="00D1008C">
              <w:rPr>
                <w:b/>
                <w:bCs/>
                <w:color w:val="000000"/>
                <w:sz w:val="20"/>
                <w:szCs w:val="20"/>
              </w:rPr>
              <w:t>Mean ± SD</w:t>
            </w:r>
          </w:p>
        </w:tc>
      </w:tr>
      <w:tr w:rsidR="0045204D" w:rsidRPr="00D1008C" w:rsidTr="006251C8">
        <w:trPr>
          <w:jc w:val="center"/>
        </w:trPr>
        <w:tc>
          <w:tcPr>
            <w:tcW w:w="2076"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I</w:t>
            </w:r>
          </w:p>
        </w:tc>
        <w:tc>
          <w:tcPr>
            <w:tcW w:w="615"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10</w:t>
            </w:r>
          </w:p>
        </w:tc>
        <w:tc>
          <w:tcPr>
            <w:tcW w:w="2308"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67.30</w:t>
            </w:r>
            <w:r w:rsidR="00D1008C">
              <w:rPr>
                <w:color w:val="000000"/>
                <w:sz w:val="20"/>
                <w:szCs w:val="20"/>
              </w:rPr>
              <w:t xml:space="preserve"> </w:t>
            </w:r>
            <w:r w:rsidRPr="00D1008C">
              <w:rPr>
                <w:color w:val="000000"/>
                <w:sz w:val="20"/>
                <w:szCs w:val="20"/>
              </w:rPr>
              <w:t>±16.20*</w:t>
            </w:r>
          </w:p>
        </w:tc>
      </w:tr>
      <w:tr w:rsidR="0045204D" w:rsidRPr="00D1008C" w:rsidTr="006251C8">
        <w:trPr>
          <w:jc w:val="center"/>
        </w:trPr>
        <w:tc>
          <w:tcPr>
            <w:tcW w:w="2076"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II</w:t>
            </w:r>
          </w:p>
        </w:tc>
        <w:tc>
          <w:tcPr>
            <w:tcW w:w="615"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11</w:t>
            </w:r>
          </w:p>
        </w:tc>
        <w:tc>
          <w:tcPr>
            <w:tcW w:w="2308"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63.81</w:t>
            </w:r>
            <w:r w:rsidR="00D1008C">
              <w:rPr>
                <w:color w:val="000000"/>
                <w:sz w:val="20"/>
                <w:szCs w:val="20"/>
              </w:rPr>
              <w:t xml:space="preserve"> </w:t>
            </w:r>
            <w:r w:rsidRPr="00D1008C">
              <w:rPr>
                <w:color w:val="000000"/>
                <w:sz w:val="20"/>
                <w:szCs w:val="20"/>
              </w:rPr>
              <w:t>±15.89*</w:t>
            </w:r>
          </w:p>
        </w:tc>
      </w:tr>
      <w:tr w:rsidR="0045204D" w:rsidRPr="00D1008C" w:rsidTr="006251C8">
        <w:trPr>
          <w:jc w:val="center"/>
        </w:trPr>
        <w:tc>
          <w:tcPr>
            <w:tcW w:w="2076"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III</w:t>
            </w:r>
          </w:p>
        </w:tc>
        <w:tc>
          <w:tcPr>
            <w:tcW w:w="615"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9</w:t>
            </w:r>
          </w:p>
        </w:tc>
        <w:tc>
          <w:tcPr>
            <w:tcW w:w="2308" w:type="pct"/>
            <w:shd w:val="clear" w:color="auto" w:fill="auto"/>
            <w:vAlign w:val="center"/>
          </w:tcPr>
          <w:p w:rsidR="006D1CAC" w:rsidRPr="00D1008C" w:rsidRDefault="006D1CAC" w:rsidP="004611F0">
            <w:pPr>
              <w:snapToGrid w:val="0"/>
              <w:jc w:val="both"/>
              <w:rPr>
                <w:color w:val="000000"/>
                <w:sz w:val="20"/>
                <w:szCs w:val="20"/>
              </w:rPr>
            </w:pPr>
            <w:r w:rsidRPr="00D1008C">
              <w:rPr>
                <w:color w:val="000000"/>
                <w:sz w:val="20"/>
                <w:szCs w:val="20"/>
              </w:rPr>
              <w:t>54.66</w:t>
            </w:r>
            <w:r w:rsidR="00D1008C">
              <w:rPr>
                <w:color w:val="000000"/>
                <w:sz w:val="20"/>
                <w:szCs w:val="20"/>
              </w:rPr>
              <w:t xml:space="preserve"> </w:t>
            </w:r>
            <w:r w:rsidRPr="00D1008C">
              <w:rPr>
                <w:color w:val="000000"/>
                <w:sz w:val="20"/>
                <w:szCs w:val="20"/>
              </w:rPr>
              <w:t>±19.20*</w:t>
            </w:r>
          </w:p>
        </w:tc>
      </w:tr>
    </w:tbl>
    <w:p w:rsidR="006D1CAC" w:rsidRPr="00D1008C" w:rsidRDefault="006D1CAC" w:rsidP="004611F0">
      <w:pPr>
        <w:snapToGrid w:val="0"/>
        <w:jc w:val="both"/>
        <w:rPr>
          <w:sz w:val="20"/>
          <w:szCs w:val="20"/>
        </w:rPr>
      </w:pPr>
      <w:r w:rsidRPr="00D1008C">
        <w:rPr>
          <w:i/>
          <w:iCs/>
          <w:sz w:val="20"/>
          <w:szCs w:val="20"/>
        </w:rPr>
        <w:t>P</w:t>
      </w:r>
      <w:r w:rsidRPr="00D1008C">
        <w:rPr>
          <w:sz w:val="20"/>
          <w:szCs w:val="20"/>
        </w:rPr>
        <w:t>&lt;0.01</w:t>
      </w:r>
      <w:r w:rsidR="00420112">
        <w:rPr>
          <w:rFonts w:eastAsiaTheme="minorEastAsia" w:hint="eastAsia"/>
          <w:sz w:val="20"/>
          <w:szCs w:val="20"/>
          <w:lang w:eastAsia="zh-CN"/>
        </w:rPr>
        <w:t xml:space="preserve"> </w:t>
      </w:r>
      <w:r w:rsidRPr="00D1008C">
        <w:rPr>
          <w:sz w:val="20"/>
          <w:szCs w:val="20"/>
        </w:rPr>
        <w:t>compared to chronic hepatitis.</w:t>
      </w:r>
    </w:p>
    <w:p w:rsidR="006D1CAC" w:rsidRDefault="006D1CAC" w:rsidP="004611F0">
      <w:pPr>
        <w:tabs>
          <w:tab w:val="right" w:pos="709"/>
        </w:tabs>
        <w:snapToGrid w:val="0"/>
        <w:ind w:firstLine="425"/>
        <w:jc w:val="both"/>
        <w:rPr>
          <w:rFonts w:eastAsiaTheme="minorEastAsia"/>
          <w:sz w:val="20"/>
          <w:szCs w:val="20"/>
          <w:lang w:eastAsia="zh-CN"/>
        </w:rPr>
      </w:pPr>
    </w:p>
    <w:p w:rsidR="00420112" w:rsidRPr="00420112" w:rsidRDefault="00420112" w:rsidP="004611F0">
      <w:pPr>
        <w:tabs>
          <w:tab w:val="right" w:pos="709"/>
        </w:tabs>
        <w:snapToGrid w:val="0"/>
        <w:ind w:firstLine="425"/>
        <w:jc w:val="both"/>
        <w:rPr>
          <w:rFonts w:eastAsiaTheme="minorEastAsia"/>
          <w:sz w:val="20"/>
          <w:szCs w:val="20"/>
          <w:lang w:eastAsia="zh-CN"/>
        </w:rPr>
      </w:pPr>
    </w:p>
    <w:p w:rsidR="006D1CAC" w:rsidRPr="00420112" w:rsidRDefault="006D1CAC" w:rsidP="004611F0">
      <w:pPr>
        <w:tabs>
          <w:tab w:val="right" w:pos="709"/>
        </w:tabs>
        <w:snapToGrid w:val="0"/>
        <w:ind w:firstLine="425"/>
        <w:jc w:val="both"/>
        <w:rPr>
          <w:rFonts w:eastAsiaTheme="minorEastAsia"/>
          <w:b/>
          <w:bCs/>
          <w:sz w:val="20"/>
          <w:szCs w:val="20"/>
          <w:lang w:eastAsia="zh-CN"/>
        </w:rPr>
      </w:pPr>
      <w:r w:rsidRPr="00D1008C">
        <w:rPr>
          <w:sz w:val="20"/>
          <w:szCs w:val="20"/>
        </w:rPr>
        <w:t>The mean values of OV6 levels showed no significant difference in HC</w:t>
      </w:r>
      <w:r w:rsidR="00420112">
        <w:rPr>
          <w:sz w:val="20"/>
          <w:szCs w:val="20"/>
        </w:rPr>
        <w:t xml:space="preserve">C grades as regards levels of </w:t>
      </w:r>
      <w:r w:rsidR="00420112">
        <w:rPr>
          <w:rFonts w:eastAsiaTheme="minorEastAsia" w:hint="eastAsia"/>
          <w:sz w:val="20"/>
          <w:szCs w:val="20"/>
          <w:lang w:eastAsia="zh-CN"/>
        </w:rPr>
        <w:t>OV</w:t>
      </w:r>
      <w:r w:rsidRPr="00D1008C">
        <w:rPr>
          <w:sz w:val="20"/>
          <w:szCs w:val="20"/>
        </w:rPr>
        <w:t>6</w:t>
      </w:r>
      <w:r w:rsidR="00420112">
        <w:rPr>
          <w:rFonts w:eastAsiaTheme="minorEastAsia" w:hint="eastAsia"/>
          <w:sz w:val="20"/>
          <w:szCs w:val="20"/>
          <w:lang w:eastAsia="zh-CN"/>
        </w:rPr>
        <w:t xml:space="preserve">. </w:t>
      </w:r>
    </w:p>
    <w:p w:rsidR="006D1CAC" w:rsidRPr="00D1008C" w:rsidRDefault="006D1CAC" w:rsidP="004611F0">
      <w:pPr>
        <w:tabs>
          <w:tab w:val="right" w:pos="709"/>
        </w:tabs>
        <w:snapToGrid w:val="0"/>
        <w:jc w:val="both"/>
        <w:rPr>
          <w:b/>
          <w:bCs/>
          <w:sz w:val="20"/>
          <w:szCs w:val="20"/>
        </w:rPr>
      </w:pPr>
    </w:p>
    <w:p w:rsidR="006D1CAC" w:rsidRPr="00D1008C" w:rsidRDefault="007632B3" w:rsidP="004611F0">
      <w:pPr>
        <w:tabs>
          <w:tab w:val="right" w:pos="709"/>
        </w:tabs>
        <w:snapToGrid w:val="0"/>
        <w:jc w:val="center"/>
        <w:rPr>
          <w:b/>
          <w:bCs/>
          <w:sz w:val="20"/>
          <w:szCs w:val="20"/>
        </w:rPr>
      </w:pPr>
      <w:r w:rsidRPr="00D1008C">
        <w:rPr>
          <w:b/>
          <w:bCs/>
          <w:noProof/>
          <w:sz w:val="20"/>
          <w:szCs w:val="20"/>
          <w:lang w:eastAsia="zh-CN"/>
        </w:rPr>
        <w:drawing>
          <wp:inline distT="0" distB="0" distL="0" distR="0">
            <wp:extent cx="2794000" cy="1572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977" cy="1573460"/>
                    </a:xfrm>
                    <a:prstGeom prst="rect">
                      <a:avLst/>
                    </a:prstGeom>
                    <a:noFill/>
                  </pic:spPr>
                </pic:pic>
              </a:graphicData>
            </a:graphic>
          </wp:inline>
        </w:drawing>
      </w:r>
    </w:p>
    <w:p w:rsidR="006D1CAC" w:rsidRPr="00D1008C" w:rsidRDefault="006D1CAC" w:rsidP="004611F0">
      <w:pPr>
        <w:tabs>
          <w:tab w:val="right" w:pos="709"/>
        </w:tabs>
        <w:snapToGrid w:val="0"/>
        <w:jc w:val="both"/>
        <w:rPr>
          <w:sz w:val="20"/>
          <w:szCs w:val="20"/>
        </w:rPr>
      </w:pPr>
      <w:r w:rsidRPr="00D1008C">
        <w:rPr>
          <w:b/>
          <w:bCs/>
          <w:sz w:val="20"/>
          <w:szCs w:val="20"/>
        </w:rPr>
        <w:t>Figure</w:t>
      </w:r>
      <w:r w:rsidR="00420112">
        <w:rPr>
          <w:rFonts w:eastAsiaTheme="minorEastAsia" w:hint="eastAsia"/>
          <w:b/>
          <w:bCs/>
          <w:sz w:val="20"/>
          <w:szCs w:val="20"/>
          <w:lang w:eastAsia="zh-CN"/>
        </w:rPr>
        <w:t xml:space="preserve"> </w:t>
      </w:r>
      <w:r w:rsidR="00606A8C" w:rsidRPr="00D1008C">
        <w:rPr>
          <w:b/>
          <w:bCs/>
          <w:sz w:val="20"/>
          <w:szCs w:val="20"/>
        </w:rPr>
        <w:t>(7</w:t>
      </w:r>
      <w:r w:rsidRPr="00D1008C">
        <w:rPr>
          <w:b/>
          <w:bCs/>
          <w:sz w:val="20"/>
          <w:szCs w:val="20"/>
        </w:rPr>
        <w:t>):</w:t>
      </w:r>
      <w:r w:rsidR="00420112">
        <w:rPr>
          <w:rFonts w:eastAsiaTheme="minorEastAsia" w:hint="eastAsia"/>
          <w:b/>
          <w:bCs/>
          <w:sz w:val="20"/>
          <w:szCs w:val="20"/>
          <w:lang w:eastAsia="zh-CN"/>
        </w:rPr>
        <w:t xml:space="preserve"> S</w:t>
      </w:r>
      <w:r w:rsidRPr="00D1008C">
        <w:rPr>
          <w:sz w:val="20"/>
          <w:szCs w:val="20"/>
        </w:rPr>
        <w:t>howing tissue expression of OV6 in different grades of</w:t>
      </w:r>
      <w:r w:rsidR="00420112">
        <w:rPr>
          <w:rFonts w:eastAsiaTheme="minorEastAsia" w:hint="eastAsia"/>
          <w:sz w:val="20"/>
          <w:szCs w:val="20"/>
          <w:lang w:eastAsia="zh-CN"/>
        </w:rPr>
        <w:t xml:space="preserve"> </w:t>
      </w:r>
      <w:r w:rsidRPr="00D1008C">
        <w:rPr>
          <w:sz w:val="20"/>
          <w:szCs w:val="20"/>
        </w:rPr>
        <w:t>HCC</w:t>
      </w:r>
    </w:p>
    <w:p w:rsidR="004611F0" w:rsidRPr="00D1008C" w:rsidRDefault="004611F0" w:rsidP="004611F0">
      <w:pPr>
        <w:tabs>
          <w:tab w:val="right" w:pos="709"/>
        </w:tabs>
        <w:snapToGrid w:val="0"/>
        <w:jc w:val="center"/>
        <w:rPr>
          <w:b/>
          <w:bCs/>
          <w:sz w:val="20"/>
          <w:szCs w:val="20"/>
        </w:rPr>
        <w:sectPr w:rsidR="004611F0" w:rsidRPr="00D1008C" w:rsidSect="004611F0">
          <w:headerReference w:type="default" r:id="rId24"/>
          <w:footerReference w:type="default" r:id="rId25"/>
          <w:type w:val="continuous"/>
          <w:pgSz w:w="12242" w:h="15842" w:code="1"/>
          <w:pgMar w:top="1440" w:right="1440" w:bottom="1440" w:left="1440" w:header="720" w:footer="720" w:gutter="0"/>
          <w:cols w:num="2" w:space="425"/>
          <w:docGrid w:linePitch="360"/>
        </w:sectPr>
      </w:pPr>
    </w:p>
    <w:p w:rsidR="006251C8" w:rsidRPr="00D1008C" w:rsidRDefault="006251C8" w:rsidP="004611F0">
      <w:pPr>
        <w:tabs>
          <w:tab w:val="right" w:pos="709"/>
        </w:tabs>
        <w:snapToGrid w:val="0"/>
        <w:jc w:val="center"/>
        <w:rPr>
          <w:rFonts w:eastAsiaTheme="minorEastAsia"/>
          <w:b/>
          <w:bCs/>
          <w:sz w:val="20"/>
          <w:szCs w:val="20"/>
          <w:lang w:eastAsia="zh-CN"/>
        </w:rPr>
      </w:pPr>
    </w:p>
    <w:p w:rsidR="00C53350" w:rsidRPr="00D1008C" w:rsidRDefault="00277E93" w:rsidP="004611F0">
      <w:pPr>
        <w:tabs>
          <w:tab w:val="right" w:pos="709"/>
        </w:tabs>
        <w:snapToGrid w:val="0"/>
        <w:jc w:val="center"/>
        <w:rPr>
          <w:b/>
          <w:bCs/>
          <w:sz w:val="20"/>
          <w:szCs w:val="20"/>
        </w:rPr>
      </w:pPr>
      <w:r w:rsidRPr="00D1008C">
        <w:rPr>
          <w:b/>
          <w:bCs/>
          <w:sz w:val="20"/>
          <w:szCs w:val="20"/>
        </w:rPr>
        <w:t>Table (7</w:t>
      </w:r>
      <w:r w:rsidR="00C53350" w:rsidRPr="00D1008C">
        <w:rPr>
          <w:b/>
          <w:bCs/>
          <w:sz w:val="20"/>
          <w:szCs w:val="20"/>
        </w:rPr>
        <w:t>):</w:t>
      </w:r>
      <w:r w:rsidR="00C53350" w:rsidRPr="00D1008C">
        <w:rPr>
          <w:sz w:val="20"/>
          <w:szCs w:val="20"/>
        </w:rPr>
        <w:t xml:space="preserve"> Tissue expression of CK 19 in the studied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1651"/>
        <w:gridCol w:w="1492"/>
        <w:gridCol w:w="1561"/>
        <w:gridCol w:w="1651"/>
        <w:gridCol w:w="1509"/>
      </w:tblGrid>
      <w:tr w:rsidR="0045204D" w:rsidRPr="00D1008C" w:rsidTr="006251C8">
        <w:trPr>
          <w:jc w:val="center"/>
        </w:trPr>
        <w:tc>
          <w:tcPr>
            <w:tcW w:w="894" w:type="pct"/>
            <w:vMerge w:val="restart"/>
            <w:shd w:val="clear" w:color="auto" w:fill="auto"/>
            <w:vAlign w:val="center"/>
          </w:tcPr>
          <w:p w:rsidR="00C53350" w:rsidRPr="00D1008C" w:rsidRDefault="00C53350" w:rsidP="004611F0">
            <w:pPr>
              <w:snapToGrid w:val="0"/>
              <w:jc w:val="both"/>
              <w:rPr>
                <w:b/>
                <w:bCs/>
                <w:color w:val="000000"/>
                <w:sz w:val="20"/>
                <w:szCs w:val="20"/>
              </w:rPr>
            </w:pPr>
            <w:r w:rsidRPr="00D1008C">
              <w:rPr>
                <w:b/>
                <w:bCs/>
                <w:color w:val="000000"/>
                <w:sz w:val="20"/>
                <w:szCs w:val="20"/>
              </w:rPr>
              <w:t>Group</w:t>
            </w:r>
          </w:p>
        </w:tc>
        <w:tc>
          <w:tcPr>
            <w:tcW w:w="3318" w:type="pct"/>
            <w:gridSpan w:val="4"/>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CK 19</w:t>
            </w:r>
          </w:p>
        </w:tc>
        <w:tc>
          <w:tcPr>
            <w:tcW w:w="788" w:type="pct"/>
            <w:shd w:val="clear" w:color="auto" w:fill="auto"/>
            <w:vAlign w:val="center"/>
          </w:tcPr>
          <w:p w:rsidR="00C53350" w:rsidRPr="00D1008C" w:rsidRDefault="00C53350" w:rsidP="004611F0">
            <w:pPr>
              <w:snapToGrid w:val="0"/>
              <w:jc w:val="both"/>
              <w:rPr>
                <w:color w:val="000000"/>
                <w:sz w:val="20"/>
                <w:szCs w:val="20"/>
              </w:rPr>
            </w:pPr>
            <w:r w:rsidRPr="00D1008C">
              <w:rPr>
                <w:i/>
                <w:iCs/>
                <w:color w:val="000000"/>
                <w:sz w:val="20"/>
                <w:szCs w:val="20"/>
              </w:rPr>
              <w:t>P</w:t>
            </w:r>
            <w:r w:rsidRPr="00D1008C">
              <w:rPr>
                <w:color w:val="000000"/>
                <w:sz w:val="20"/>
                <w:szCs w:val="20"/>
              </w:rPr>
              <w:t>-value</w:t>
            </w:r>
          </w:p>
        </w:tc>
      </w:tr>
      <w:tr w:rsidR="0045204D" w:rsidRPr="00D1008C" w:rsidTr="006251C8">
        <w:trPr>
          <w:jc w:val="center"/>
        </w:trPr>
        <w:tc>
          <w:tcPr>
            <w:tcW w:w="894" w:type="pct"/>
            <w:vMerge/>
            <w:shd w:val="clear" w:color="auto" w:fill="auto"/>
            <w:vAlign w:val="center"/>
          </w:tcPr>
          <w:p w:rsidR="00C53350" w:rsidRPr="00D1008C" w:rsidRDefault="00C53350" w:rsidP="004611F0">
            <w:pPr>
              <w:snapToGrid w:val="0"/>
              <w:jc w:val="both"/>
              <w:rPr>
                <w:color w:val="000000"/>
                <w:sz w:val="20"/>
                <w:szCs w:val="20"/>
              </w:rPr>
            </w:pP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-Ve</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779"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1+</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815"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2+</w:t>
            </w:r>
          </w:p>
          <w:p w:rsidR="00C53350" w:rsidRPr="00D1008C" w:rsidRDefault="00E255EA"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3+</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788" w:type="pct"/>
            <w:vMerge w:val="restar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&lt;.01</w:t>
            </w:r>
          </w:p>
        </w:tc>
      </w:tr>
      <w:tr w:rsidR="0045204D" w:rsidRPr="00D1008C" w:rsidTr="006251C8">
        <w:trPr>
          <w:jc w:val="center"/>
        </w:trPr>
        <w:tc>
          <w:tcPr>
            <w:tcW w:w="894"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Control</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10</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100</w:t>
            </w:r>
          </w:p>
        </w:tc>
        <w:tc>
          <w:tcPr>
            <w:tcW w:w="779"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815"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788" w:type="pct"/>
            <w:vMerge/>
            <w:shd w:val="clear" w:color="auto" w:fill="auto"/>
            <w:vAlign w:val="center"/>
          </w:tcPr>
          <w:p w:rsidR="00C53350" w:rsidRPr="00D1008C" w:rsidRDefault="00C53350" w:rsidP="004611F0">
            <w:pPr>
              <w:snapToGrid w:val="0"/>
              <w:jc w:val="both"/>
              <w:rPr>
                <w:color w:val="000000"/>
                <w:sz w:val="20"/>
                <w:szCs w:val="20"/>
              </w:rPr>
            </w:pPr>
          </w:p>
        </w:tc>
      </w:tr>
      <w:tr w:rsidR="0045204D" w:rsidRPr="00D1008C" w:rsidTr="006251C8">
        <w:trPr>
          <w:jc w:val="center"/>
        </w:trPr>
        <w:tc>
          <w:tcPr>
            <w:tcW w:w="894"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Hepatitis</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779"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9</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45</w:t>
            </w:r>
          </w:p>
        </w:tc>
        <w:tc>
          <w:tcPr>
            <w:tcW w:w="815"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11</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55</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788" w:type="pct"/>
            <w:vMerge/>
            <w:shd w:val="clear" w:color="auto" w:fill="auto"/>
            <w:vAlign w:val="center"/>
          </w:tcPr>
          <w:p w:rsidR="00C53350" w:rsidRPr="00D1008C" w:rsidRDefault="00C53350" w:rsidP="004611F0">
            <w:pPr>
              <w:snapToGrid w:val="0"/>
              <w:jc w:val="both"/>
              <w:rPr>
                <w:color w:val="000000"/>
                <w:sz w:val="20"/>
                <w:szCs w:val="20"/>
              </w:rPr>
            </w:pPr>
          </w:p>
        </w:tc>
      </w:tr>
      <w:tr w:rsidR="0045204D" w:rsidRPr="00D1008C" w:rsidTr="006251C8">
        <w:trPr>
          <w:jc w:val="center"/>
        </w:trPr>
        <w:tc>
          <w:tcPr>
            <w:tcW w:w="894"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Cirrhosis</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779"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4</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16</w:t>
            </w:r>
          </w:p>
        </w:tc>
        <w:tc>
          <w:tcPr>
            <w:tcW w:w="815"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10</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40</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11</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44</w:t>
            </w:r>
          </w:p>
        </w:tc>
        <w:tc>
          <w:tcPr>
            <w:tcW w:w="788" w:type="pct"/>
            <w:vMerge/>
            <w:shd w:val="clear" w:color="auto" w:fill="auto"/>
            <w:vAlign w:val="center"/>
          </w:tcPr>
          <w:p w:rsidR="00C53350" w:rsidRPr="00D1008C" w:rsidRDefault="00C53350" w:rsidP="004611F0">
            <w:pPr>
              <w:snapToGrid w:val="0"/>
              <w:jc w:val="both"/>
              <w:rPr>
                <w:color w:val="000000"/>
                <w:sz w:val="20"/>
                <w:szCs w:val="20"/>
              </w:rPr>
            </w:pPr>
          </w:p>
        </w:tc>
      </w:tr>
      <w:tr w:rsidR="0045204D" w:rsidRPr="00D1008C" w:rsidTr="006251C8">
        <w:trPr>
          <w:jc w:val="center"/>
        </w:trPr>
        <w:tc>
          <w:tcPr>
            <w:tcW w:w="894"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HCC</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779"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815"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862" w:type="pc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30</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100</w:t>
            </w:r>
          </w:p>
        </w:tc>
        <w:tc>
          <w:tcPr>
            <w:tcW w:w="788" w:type="pct"/>
            <w:vMerge/>
            <w:shd w:val="clear" w:color="auto" w:fill="auto"/>
            <w:vAlign w:val="center"/>
          </w:tcPr>
          <w:p w:rsidR="00C53350" w:rsidRPr="00D1008C" w:rsidRDefault="00C53350" w:rsidP="004611F0">
            <w:pPr>
              <w:snapToGrid w:val="0"/>
              <w:jc w:val="both"/>
              <w:rPr>
                <w:color w:val="000000"/>
                <w:sz w:val="20"/>
                <w:szCs w:val="20"/>
              </w:rPr>
            </w:pPr>
          </w:p>
        </w:tc>
      </w:tr>
    </w:tbl>
    <w:p w:rsidR="00E255EA" w:rsidRPr="00D1008C" w:rsidRDefault="00C53350" w:rsidP="00D7540E">
      <w:pPr>
        <w:snapToGrid w:val="0"/>
        <w:jc w:val="both"/>
        <w:rPr>
          <w:sz w:val="20"/>
          <w:szCs w:val="20"/>
        </w:rPr>
      </w:pPr>
      <w:r w:rsidRPr="00D1008C">
        <w:rPr>
          <w:sz w:val="20"/>
          <w:szCs w:val="20"/>
        </w:rPr>
        <w:t>Cross tables, Pearson Chi-Square.</w:t>
      </w:r>
    </w:p>
    <w:p w:rsidR="00FB545F" w:rsidRPr="00D1008C" w:rsidRDefault="00FB545F" w:rsidP="004611F0">
      <w:pPr>
        <w:tabs>
          <w:tab w:val="right" w:pos="709"/>
        </w:tabs>
        <w:snapToGrid w:val="0"/>
        <w:ind w:firstLine="425"/>
        <w:jc w:val="both"/>
        <w:rPr>
          <w:sz w:val="20"/>
          <w:szCs w:val="20"/>
        </w:rPr>
      </w:pPr>
    </w:p>
    <w:p w:rsidR="00D7540E" w:rsidRPr="00D1008C" w:rsidRDefault="00D7540E" w:rsidP="004611F0">
      <w:pPr>
        <w:tabs>
          <w:tab w:val="right" w:pos="709"/>
        </w:tabs>
        <w:snapToGrid w:val="0"/>
        <w:ind w:firstLine="425"/>
        <w:jc w:val="both"/>
        <w:rPr>
          <w:sz w:val="20"/>
          <w:szCs w:val="20"/>
        </w:rPr>
        <w:sectPr w:rsidR="00D7540E" w:rsidRPr="00D1008C" w:rsidSect="00F93E9F">
          <w:headerReference w:type="default" r:id="rId26"/>
          <w:footerReference w:type="default" r:id="rId27"/>
          <w:type w:val="continuous"/>
          <w:pgSz w:w="12242" w:h="15842" w:code="1"/>
          <w:pgMar w:top="1440" w:right="1440" w:bottom="1440" w:left="1440" w:header="720" w:footer="720" w:gutter="0"/>
          <w:cols w:space="709"/>
          <w:bidi/>
          <w:docGrid w:linePitch="360"/>
        </w:sectPr>
      </w:pPr>
    </w:p>
    <w:p w:rsidR="00C53350" w:rsidRPr="00D1008C" w:rsidRDefault="00C53350" w:rsidP="004611F0">
      <w:pPr>
        <w:tabs>
          <w:tab w:val="right" w:pos="709"/>
        </w:tabs>
        <w:snapToGrid w:val="0"/>
        <w:ind w:firstLine="425"/>
        <w:jc w:val="both"/>
        <w:rPr>
          <w:b/>
          <w:bCs/>
          <w:sz w:val="20"/>
          <w:szCs w:val="20"/>
        </w:rPr>
      </w:pPr>
      <w:r w:rsidRPr="00D1008C">
        <w:rPr>
          <w:sz w:val="20"/>
          <w:szCs w:val="20"/>
        </w:rPr>
        <w:lastRenderedPageBreak/>
        <w:t>As regards control group all were -vefor CK 19 expression, but in hepatitis 9 patients (45%) were (1+) and 11 patients (55%)</w:t>
      </w:r>
      <w:r w:rsidR="00420112">
        <w:rPr>
          <w:rFonts w:eastAsiaTheme="minorEastAsia" w:hint="eastAsia"/>
          <w:sz w:val="20"/>
          <w:szCs w:val="20"/>
          <w:lang w:eastAsia="zh-CN"/>
        </w:rPr>
        <w:t xml:space="preserve"> </w:t>
      </w:r>
      <w:r w:rsidRPr="00D1008C">
        <w:rPr>
          <w:sz w:val="20"/>
          <w:szCs w:val="20"/>
        </w:rPr>
        <w:t>were (2+),</w:t>
      </w:r>
      <w:r w:rsidR="00420112">
        <w:rPr>
          <w:rFonts w:eastAsiaTheme="minorEastAsia" w:hint="eastAsia"/>
          <w:sz w:val="20"/>
          <w:szCs w:val="20"/>
          <w:lang w:eastAsia="zh-CN"/>
        </w:rPr>
        <w:t xml:space="preserve"> </w:t>
      </w:r>
      <w:r w:rsidRPr="00D1008C">
        <w:rPr>
          <w:sz w:val="20"/>
          <w:szCs w:val="20"/>
        </w:rPr>
        <w:t>In cirrhosis 4 patients (16%) were (1+)</w:t>
      </w:r>
      <w:r w:rsidR="00D1008C">
        <w:rPr>
          <w:sz w:val="20"/>
          <w:szCs w:val="20"/>
        </w:rPr>
        <w:t>,</w:t>
      </w:r>
      <w:r w:rsidRPr="00D1008C">
        <w:rPr>
          <w:sz w:val="20"/>
          <w:szCs w:val="20"/>
        </w:rPr>
        <w:t>10 patients (40%) were</w:t>
      </w:r>
      <w:r w:rsidR="00D1008C">
        <w:rPr>
          <w:sz w:val="20"/>
          <w:szCs w:val="20"/>
        </w:rPr>
        <w:t xml:space="preserve"> </w:t>
      </w:r>
      <w:r w:rsidRPr="00D1008C">
        <w:rPr>
          <w:sz w:val="20"/>
          <w:szCs w:val="20"/>
        </w:rPr>
        <w:t>(2+) and 11(44%) were (3+)</w:t>
      </w:r>
      <w:r w:rsidR="00D1008C">
        <w:rPr>
          <w:sz w:val="20"/>
          <w:szCs w:val="20"/>
        </w:rPr>
        <w:t>,</w:t>
      </w:r>
      <w:r w:rsidRPr="00D1008C">
        <w:rPr>
          <w:sz w:val="20"/>
          <w:szCs w:val="20"/>
        </w:rPr>
        <w:t>while in HCC group all patients are (3+) "positive for expression of</w:t>
      </w:r>
      <w:r w:rsidR="00D1008C">
        <w:rPr>
          <w:sz w:val="20"/>
          <w:szCs w:val="20"/>
        </w:rPr>
        <w:t xml:space="preserve"> </w:t>
      </w:r>
      <w:r w:rsidRPr="00D1008C">
        <w:rPr>
          <w:sz w:val="20"/>
          <w:szCs w:val="20"/>
        </w:rPr>
        <w:t xml:space="preserve">CK 19.Tissue </w:t>
      </w:r>
      <w:r w:rsidRPr="00D1008C">
        <w:rPr>
          <w:sz w:val="20"/>
          <w:szCs w:val="20"/>
        </w:rPr>
        <w:lastRenderedPageBreak/>
        <w:t>expression of</w:t>
      </w:r>
      <w:r w:rsidR="00D1008C">
        <w:rPr>
          <w:sz w:val="20"/>
          <w:szCs w:val="20"/>
        </w:rPr>
        <w:t xml:space="preserve"> </w:t>
      </w:r>
      <w:r w:rsidRPr="00D1008C">
        <w:rPr>
          <w:sz w:val="20"/>
          <w:szCs w:val="20"/>
        </w:rPr>
        <w:t xml:space="preserve">CK 19 were significantly increased in hepatitis cirrhosis, HCC groups compared to control group ( </w:t>
      </w:r>
      <w:r w:rsidRPr="00D1008C">
        <w:rPr>
          <w:i/>
          <w:iCs/>
          <w:sz w:val="20"/>
          <w:szCs w:val="20"/>
        </w:rPr>
        <w:t>p</w:t>
      </w:r>
      <w:r w:rsidRPr="00D1008C">
        <w:rPr>
          <w:sz w:val="20"/>
          <w:szCs w:val="20"/>
        </w:rPr>
        <w:t xml:space="preserve"> value &lt; 0.01) and there is significance in expression of</w:t>
      </w:r>
      <w:r w:rsidR="00D1008C">
        <w:rPr>
          <w:sz w:val="20"/>
          <w:szCs w:val="20"/>
        </w:rPr>
        <w:t xml:space="preserve"> </w:t>
      </w:r>
      <w:r w:rsidRPr="00D1008C">
        <w:rPr>
          <w:sz w:val="20"/>
          <w:szCs w:val="20"/>
        </w:rPr>
        <w:t>CK 19 in HCC compared to cirrhosis and</w:t>
      </w:r>
      <w:r w:rsidR="00D1008C">
        <w:rPr>
          <w:sz w:val="20"/>
          <w:szCs w:val="20"/>
        </w:rPr>
        <w:t xml:space="preserve"> </w:t>
      </w:r>
      <w:r w:rsidRPr="00D1008C">
        <w:rPr>
          <w:sz w:val="20"/>
          <w:szCs w:val="20"/>
        </w:rPr>
        <w:t>hepatitis group (</w:t>
      </w:r>
      <w:r w:rsidRPr="00D1008C">
        <w:rPr>
          <w:i/>
          <w:iCs/>
          <w:sz w:val="20"/>
          <w:szCs w:val="20"/>
        </w:rPr>
        <w:t>p</w:t>
      </w:r>
      <w:r w:rsidRPr="00D1008C">
        <w:rPr>
          <w:sz w:val="20"/>
          <w:szCs w:val="20"/>
        </w:rPr>
        <w:t xml:space="preserve"> value &lt; 0.01).CK 19 was expressed as cytoplasmic stain in hepatocytes and bile ducts</w:t>
      </w:r>
      <w:r w:rsidR="00FB545F" w:rsidRPr="00D1008C">
        <w:rPr>
          <w:sz w:val="20"/>
          <w:szCs w:val="20"/>
        </w:rPr>
        <w:t>.</w:t>
      </w:r>
    </w:p>
    <w:p w:rsidR="00D7540E" w:rsidRPr="00D1008C" w:rsidRDefault="00D7540E" w:rsidP="004611F0">
      <w:pPr>
        <w:snapToGrid w:val="0"/>
        <w:jc w:val="center"/>
        <w:rPr>
          <w:b/>
          <w:bCs/>
          <w:sz w:val="20"/>
          <w:szCs w:val="20"/>
        </w:rPr>
        <w:sectPr w:rsidR="00D7540E" w:rsidRPr="00D1008C" w:rsidSect="00D7540E">
          <w:type w:val="continuous"/>
          <w:pgSz w:w="12242" w:h="15842" w:code="1"/>
          <w:pgMar w:top="1440" w:right="1440" w:bottom="1440" w:left="1440" w:header="720" w:footer="720" w:gutter="0"/>
          <w:cols w:num="2" w:space="425"/>
          <w:docGrid w:linePitch="360"/>
        </w:sectPr>
      </w:pPr>
    </w:p>
    <w:p w:rsidR="00277E93" w:rsidRPr="00D1008C" w:rsidRDefault="00277E93" w:rsidP="004611F0">
      <w:pPr>
        <w:snapToGrid w:val="0"/>
        <w:jc w:val="center"/>
        <w:rPr>
          <w:b/>
          <w:bCs/>
          <w:sz w:val="20"/>
          <w:szCs w:val="20"/>
        </w:rPr>
      </w:pPr>
    </w:p>
    <w:p w:rsidR="00C53350" w:rsidRPr="00D1008C" w:rsidRDefault="00277E93" w:rsidP="004611F0">
      <w:pPr>
        <w:snapToGrid w:val="0"/>
        <w:jc w:val="center"/>
        <w:rPr>
          <w:sz w:val="20"/>
          <w:szCs w:val="20"/>
        </w:rPr>
      </w:pPr>
      <w:r w:rsidRPr="00D1008C">
        <w:rPr>
          <w:b/>
          <w:bCs/>
          <w:sz w:val="20"/>
          <w:szCs w:val="20"/>
        </w:rPr>
        <w:t>Table (8</w:t>
      </w:r>
      <w:r w:rsidR="00C53350" w:rsidRPr="00D1008C">
        <w:rPr>
          <w:b/>
          <w:bCs/>
          <w:sz w:val="20"/>
          <w:szCs w:val="20"/>
        </w:rPr>
        <w:t xml:space="preserve">): </w:t>
      </w:r>
      <w:r w:rsidR="00C53350" w:rsidRPr="00D1008C">
        <w:rPr>
          <w:sz w:val="20"/>
          <w:szCs w:val="20"/>
        </w:rPr>
        <w:t>Tissue expression of CK19 in different grades of inflammation</w:t>
      </w: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5"/>
        <w:gridCol w:w="1388"/>
        <w:gridCol w:w="1460"/>
        <w:gridCol w:w="1460"/>
        <w:gridCol w:w="1460"/>
        <w:gridCol w:w="1154"/>
      </w:tblGrid>
      <w:tr w:rsidR="0045204D" w:rsidRPr="00D1008C" w:rsidTr="004611F0">
        <w:trPr>
          <w:trHeight w:val="70"/>
          <w:jc w:val="center"/>
        </w:trPr>
        <w:tc>
          <w:tcPr>
            <w:tcW w:w="1725" w:type="dxa"/>
            <w:vMerge w:val="restar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Grades of inflammation/N</w:t>
            </w:r>
          </w:p>
        </w:tc>
        <w:tc>
          <w:tcPr>
            <w:tcW w:w="5768" w:type="dxa"/>
            <w:gridSpan w:val="4"/>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CK19</w:t>
            </w:r>
          </w:p>
        </w:tc>
        <w:tc>
          <w:tcPr>
            <w:tcW w:w="1154" w:type="dxa"/>
            <w:shd w:val="clear" w:color="auto" w:fill="auto"/>
          </w:tcPr>
          <w:p w:rsidR="00C53350" w:rsidRPr="00D1008C" w:rsidRDefault="00C53350" w:rsidP="004611F0">
            <w:pPr>
              <w:snapToGrid w:val="0"/>
              <w:jc w:val="both"/>
              <w:rPr>
                <w:color w:val="000000"/>
                <w:sz w:val="20"/>
                <w:szCs w:val="20"/>
              </w:rPr>
            </w:pPr>
            <w:r w:rsidRPr="00D1008C">
              <w:rPr>
                <w:i/>
                <w:iCs/>
                <w:color w:val="000000"/>
                <w:sz w:val="20"/>
                <w:szCs w:val="20"/>
              </w:rPr>
              <w:t>P</w:t>
            </w:r>
            <w:r w:rsidRPr="00D1008C">
              <w:rPr>
                <w:color w:val="000000"/>
                <w:sz w:val="20"/>
                <w:szCs w:val="20"/>
              </w:rPr>
              <w:t>-value</w:t>
            </w:r>
          </w:p>
        </w:tc>
      </w:tr>
      <w:tr w:rsidR="0045204D" w:rsidRPr="00D1008C" w:rsidTr="004611F0">
        <w:trPr>
          <w:trHeight w:val="70"/>
          <w:jc w:val="center"/>
        </w:trPr>
        <w:tc>
          <w:tcPr>
            <w:tcW w:w="1725" w:type="dxa"/>
            <w:vMerge/>
            <w:shd w:val="clear" w:color="auto" w:fill="auto"/>
          </w:tcPr>
          <w:p w:rsidR="00C53350" w:rsidRPr="00D1008C" w:rsidRDefault="00C53350" w:rsidP="004611F0">
            <w:pPr>
              <w:snapToGrid w:val="0"/>
              <w:jc w:val="both"/>
              <w:rPr>
                <w:color w:val="000000"/>
                <w:sz w:val="20"/>
                <w:szCs w:val="20"/>
              </w:rPr>
            </w:pPr>
          </w:p>
        </w:tc>
        <w:tc>
          <w:tcPr>
            <w:tcW w:w="1388"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-Ve</w:t>
            </w:r>
          </w:p>
          <w:p w:rsidR="00C53350" w:rsidRPr="00D1008C" w:rsidRDefault="00C53350" w:rsidP="00D1008C">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2+</w:t>
            </w:r>
          </w:p>
          <w:p w:rsidR="00C53350" w:rsidRPr="00D1008C" w:rsidRDefault="00E255EA"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3+</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154" w:type="dxa"/>
            <w:vMerge w:val="restart"/>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&lt;.001</w:t>
            </w:r>
          </w:p>
        </w:tc>
      </w:tr>
      <w:tr w:rsidR="0045204D" w:rsidRPr="00D1008C" w:rsidTr="004611F0">
        <w:trPr>
          <w:jc w:val="center"/>
        </w:trPr>
        <w:tc>
          <w:tcPr>
            <w:tcW w:w="1725"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A1 (13)</w:t>
            </w:r>
          </w:p>
        </w:tc>
        <w:tc>
          <w:tcPr>
            <w:tcW w:w="1388"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5</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38.5</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8</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61.5</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154"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jc w:val="center"/>
        </w:trPr>
        <w:tc>
          <w:tcPr>
            <w:tcW w:w="1725"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A2</w:t>
            </w:r>
            <w:r w:rsidR="00D1008C">
              <w:rPr>
                <w:color w:val="000000"/>
                <w:sz w:val="20"/>
                <w:szCs w:val="20"/>
              </w:rPr>
              <w:t xml:space="preserve"> </w:t>
            </w:r>
            <w:r w:rsidRPr="00D1008C">
              <w:rPr>
                <w:color w:val="000000"/>
                <w:sz w:val="20"/>
                <w:szCs w:val="20"/>
              </w:rPr>
              <w:t>( 9)</w:t>
            </w:r>
          </w:p>
        </w:tc>
        <w:tc>
          <w:tcPr>
            <w:tcW w:w="1388"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4</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44.4</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5</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55.6</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154"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jc w:val="center"/>
        </w:trPr>
        <w:tc>
          <w:tcPr>
            <w:tcW w:w="1725"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A3</w:t>
            </w:r>
            <w:r w:rsidR="00D1008C">
              <w:rPr>
                <w:color w:val="000000"/>
                <w:sz w:val="20"/>
                <w:szCs w:val="20"/>
              </w:rPr>
              <w:t xml:space="preserve"> </w:t>
            </w:r>
            <w:r w:rsidRPr="00D1008C">
              <w:rPr>
                <w:color w:val="000000"/>
                <w:sz w:val="20"/>
                <w:szCs w:val="20"/>
              </w:rPr>
              <w:t>(23)</w:t>
            </w:r>
          </w:p>
        </w:tc>
        <w:tc>
          <w:tcPr>
            <w:tcW w:w="1388"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4</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17.4</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8</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34.8</w:t>
            </w:r>
          </w:p>
        </w:tc>
        <w:tc>
          <w:tcPr>
            <w:tcW w:w="146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11</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47.8</w:t>
            </w:r>
          </w:p>
        </w:tc>
        <w:tc>
          <w:tcPr>
            <w:tcW w:w="1154" w:type="dxa"/>
            <w:vMerge/>
            <w:shd w:val="clear" w:color="auto" w:fill="auto"/>
          </w:tcPr>
          <w:p w:rsidR="00C53350" w:rsidRPr="00D1008C" w:rsidRDefault="00C53350" w:rsidP="004611F0">
            <w:pPr>
              <w:snapToGrid w:val="0"/>
              <w:jc w:val="both"/>
              <w:rPr>
                <w:color w:val="000000"/>
                <w:sz w:val="20"/>
                <w:szCs w:val="20"/>
              </w:rPr>
            </w:pPr>
          </w:p>
        </w:tc>
      </w:tr>
    </w:tbl>
    <w:p w:rsidR="00C53350" w:rsidRPr="00D1008C" w:rsidRDefault="00C53350" w:rsidP="004611F0">
      <w:pPr>
        <w:snapToGrid w:val="0"/>
        <w:ind w:firstLine="425"/>
        <w:jc w:val="both"/>
        <w:rPr>
          <w:sz w:val="20"/>
          <w:szCs w:val="20"/>
        </w:rPr>
      </w:pPr>
      <w:r w:rsidRPr="00D1008C">
        <w:rPr>
          <w:sz w:val="20"/>
          <w:szCs w:val="20"/>
        </w:rPr>
        <w:t>Cross tables, Pearson Chi-Square.</w:t>
      </w:r>
    </w:p>
    <w:p w:rsidR="00E255EA" w:rsidRPr="00D1008C" w:rsidRDefault="00E255EA" w:rsidP="004611F0">
      <w:pPr>
        <w:snapToGrid w:val="0"/>
        <w:ind w:firstLine="425"/>
        <w:jc w:val="both"/>
        <w:rPr>
          <w:sz w:val="20"/>
          <w:szCs w:val="20"/>
        </w:rPr>
      </w:pPr>
    </w:p>
    <w:p w:rsidR="00D7540E" w:rsidRPr="00D1008C" w:rsidRDefault="00D7540E" w:rsidP="004611F0">
      <w:pPr>
        <w:snapToGrid w:val="0"/>
        <w:ind w:firstLine="425"/>
        <w:jc w:val="both"/>
        <w:rPr>
          <w:sz w:val="20"/>
          <w:szCs w:val="20"/>
        </w:rPr>
        <w:sectPr w:rsidR="00D7540E" w:rsidRPr="00D1008C" w:rsidSect="00F93E9F">
          <w:type w:val="continuous"/>
          <w:pgSz w:w="12242" w:h="15842" w:code="1"/>
          <w:pgMar w:top="1440" w:right="1440" w:bottom="1440" w:left="1440" w:header="720" w:footer="720" w:gutter="0"/>
          <w:cols w:space="709"/>
          <w:bidi/>
          <w:docGrid w:linePitch="360"/>
        </w:sectPr>
      </w:pPr>
    </w:p>
    <w:p w:rsidR="00C53350" w:rsidRPr="00D1008C" w:rsidRDefault="00C53350" w:rsidP="004611F0">
      <w:pPr>
        <w:snapToGrid w:val="0"/>
        <w:ind w:firstLine="425"/>
        <w:jc w:val="both"/>
        <w:rPr>
          <w:sz w:val="20"/>
          <w:szCs w:val="20"/>
        </w:rPr>
      </w:pPr>
      <w:r w:rsidRPr="00D1008C">
        <w:rPr>
          <w:sz w:val="20"/>
          <w:szCs w:val="20"/>
        </w:rPr>
        <w:lastRenderedPageBreak/>
        <w:t>Cytokeratin19was highly</w:t>
      </w:r>
      <w:r w:rsidR="00D1008C">
        <w:rPr>
          <w:sz w:val="20"/>
          <w:szCs w:val="20"/>
        </w:rPr>
        <w:t xml:space="preserve"> </w:t>
      </w:r>
      <w:r w:rsidRPr="00D1008C">
        <w:rPr>
          <w:sz w:val="20"/>
          <w:szCs w:val="20"/>
        </w:rPr>
        <w:t>significantly</w:t>
      </w:r>
      <w:r w:rsidR="00D1008C">
        <w:rPr>
          <w:sz w:val="20"/>
          <w:szCs w:val="20"/>
        </w:rPr>
        <w:t xml:space="preserve"> </w:t>
      </w:r>
      <w:r w:rsidRPr="00D1008C">
        <w:rPr>
          <w:sz w:val="20"/>
          <w:szCs w:val="20"/>
        </w:rPr>
        <w:t>expressed in A3 compared to A2 and A1,</w:t>
      </w:r>
      <w:r w:rsidR="00D1008C">
        <w:rPr>
          <w:rFonts w:eastAsiaTheme="minorEastAsia" w:hint="eastAsia"/>
          <w:sz w:val="20"/>
          <w:szCs w:val="20"/>
          <w:lang w:eastAsia="zh-CN"/>
        </w:rPr>
        <w:t xml:space="preserve"> </w:t>
      </w:r>
      <w:r w:rsidRPr="00D1008C">
        <w:rPr>
          <w:sz w:val="20"/>
          <w:szCs w:val="20"/>
        </w:rPr>
        <w:t>as in</w:t>
      </w:r>
      <w:r w:rsidR="00D1008C">
        <w:rPr>
          <w:sz w:val="20"/>
          <w:szCs w:val="20"/>
        </w:rPr>
        <w:t xml:space="preserve"> </w:t>
      </w:r>
      <w:r w:rsidRPr="00D1008C">
        <w:rPr>
          <w:sz w:val="20"/>
          <w:szCs w:val="20"/>
        </w:rPr>
        <w:t>A1 five patients were (1+) and eight were (2+)</w:t>
      </w:r>
      <w:r w:rsidR="00D1008C">
        <w:rPr>
          <w:sz w:val="20"/>
          <w:szCs w:val="20"/>
        </w:rPr>
        <w:t>,</w:t>
      </w:r>
      <w:r w:rsidR="00D1008C">
        <w:rPr>
          <w:rFonts w:eastAsiaTheme="minorEastAsia" w:hint="eastAsia"/>
          <w:sz w:val="20"/>
          <w:szCs w:val="20"/>
          <w:lang w:eastAsia="zh-CN"/>
        </w:rPr>
        <w:t xml:space="preserve"> </w:t>
      </w:r>
      <w:r w:rsidRPr="00D1008C">
        <w:rPr>
          <w:sz w:val="20"/>
          <w:szCs w:val="20"/>
        </w:rPr>
        <w:t>in A2 four patients were (1+) and five were (2+), while</w:t>
      </w:r>
      <w:r w:rsidR="00E255EA" w:rsidRPr="00D1008C">
        <w:rPr>
          <w:sz w:val="20"/>
          <w:szCs w:val="20"/>
        </w:rPr>
        <w:t xml:space="preserve"> in A3</w:t>
      </w:r>
      <w:r w:rsidR="00D1008C">
        <w:rPr>
          <w:sz w:val="20"/>
          <w:szCs w:val="20"/>
        </w:rPr>
        <w:t xml:space="preserve"> </w:t>
      </w:r>
      <w:r w:rsidR="00E255EA" w:rsidRPr="00D1008C">
        <w:rPr>
          <w:sz w:val="20"/>
          <w:szCs w:val="20"/>
        </w:rPr>
        <w:t>four patients were (1+)</w:t>
      </w:r>
      <w:r w:rsidRPr="00D1008C">
        <w:rPr>
          <w:sz w:val="20"/>
          <w:szCs w:val="20"/>
        </w:rPr>
        <w:t>,</w:t>
      </w:r>
      <w:r w:rsidR="00420112">
        <w:rPr>
          <w:rFonts w:eastAsiaTheme="minorEastAsia" w:hint="eastAsia"/>
          <w:sz w:val="20"/>
          <w:szCs w:val="20"/>
          <w:lang w:eastAsia="zh-CN"/>
        </w:rPr>
        <w:t xml:space="preserve"> </w:t>
      </w:r>
      <w:r w:rsidRPr="00D1008C">
        <w:rPr>
          <w:sz w:val="20"/>
          <w:szCs w:val="20"/>
        </w:rPr>
        <w:t>eight were (2+) and eleven patients were (3+) (</w:t>
      </w:r>
      <w:r w:rsidRPr="00D1008C">
        <w:rPr>
          <w:i/>
          <w:iCs/>
          <w:sz w:val="20"/>
          <w:szCs w:val="20"/>
        </w:rPr>
        <w:t>p</w:t>
      </w:r>
      <w:r w:rsidRPr="00D1008C">
        <w:rPr>
          <w:sz w:val="20"/>
          <w:szCs w:val="20"/>
        </w:rPr>
        <w:t xml:space="preserve"> value &lt; 0.01).</w:t>
      </w:r>
    </w:p>
    <w:p w:rsidR="006251C8" w:rsidRPr="00D1008C" w:rsidRDefault="006251C8" w:rsidP="006251C8">
      <w:pPr>
        <w:autoSpaceDE w:val="0"/>
        <w:autoSpaceDN w:val="0"/>
        <w:adjustRightInd w:val="0"/>
        <w:snapToGrid w:val="0"/>
        <w:ind w:firstLine="425"/>
        <w:contextualSpacing/>
        <w:jc w:val="both"/>
        <w:rPr>
          <w:rFonts w:eastAsia="Calibri"/>
          <w:sz w:val="20"/>
          <w:szCs w:val="20"/>
        </w:rPr>
      </w:pPr>
      <w:r w:rsidRPr="00D1008C">
        <w:rPr>
          <w:rFonts w:eastAsia="Calibri"/>
          <w:sz w:val="20"/>
          <w:szCs w:val="20"/>
          <w:lang w:bidi="ar-EG"/>
        </w:rPr>
        <w:t>As regards CK19</w:t>
      </w:r>
      <w:r w:rsidRPr="00D1008C">
        <w:rPr>
          <w:rFonts w:eastAsia="Calibri"/>
          <w:sz w:val="20"/>
          <w:szCs w:val="20"/>
        </w:rPr>
        <w:t>valuein (F3+4) were highly significantly expressed</w:t>
      </w:r>
      <w:r w:rsidR="00D1008C">
        <w:rPr>
          <w:rFonts w:eastAsia="Calibri"/>
          <w:sz w:val="20"/>
          <w:szCs w:val="20"/>
        </w:rPr>
        <w:t xml:space="preserve"> </w:t>
      </w:r>
      <w:r w:rsidRPr="00D1008C">
        <w:rPr>
          <w:rFonts w:eastAsia="Calibri"/>
          <w:sz w:val="20"/>
          <w:szCs w:val="20"/>
        </w:rPr>
        <w:t xml:space="preserve">compared to F2 and F1 but </w:t>
      </w:r>
      <w:r w:rsidRPr="00D1008C">
        <w:rPr>
          <w:rFonts w:eastAsia="Calibri"/>
          <w:sz w:val="20"/>
          <w:szCs w:val="20"/>
        </w:rPr>
        <w:lastRenderedPageBreak/>
        <w:t>there were no significant difference in F2 compared to F1 (p value &gt; 0.05),</w:t>
      </w:r>
      <w:r w:rsidR="00420112">
        <w:rPr>
          <w:rFonts w:eastAsiaTheme="minorEastAsia" w:hint="eastAsia"/>
          <w:sz w:val="20"/>
          <w:szCs w:val="20"/>
          <w:lang w:eastAsia="zh-CN"/>
        </w:rPr>
        <w:t xml:space="preserve"> </w:t>
      </w:r>
      <w:r w:rsidRPr="00D1008C">
        <w:rPr>
          <w:rFonts w:eastAsia="Calibri"/>
          <w:sz w:val="20"/>
          <w:szCs w:val="20"/>
        </w:rPr>
        <w:t>as in F 1 seven patients (53.8%) were (1+) and six patients (46.2%) were (2+)</w:t>
      </w:r>
      <w:r w:rsidR="00D1008C">
        <w:rPr>
          <w:rFonts w:eastAsia="Calibri"/>
          <w:sz w:val="20"/>
          <w:szCs w:val="20"/>
        </w:rPr>
        <w:t>,</w:t>
      </w:r>
      <w:r w:rsidRPr="00D1008C">
        <w:rPr>
          <w:rFonts w:eastAsia="Calibri"/>
          <w:sz w:val="20"/>
          <w:szCs w:val="20"/>
        </w:rPr>
        <w:t>in F2 tow patients (33.3%) were (1+) and four patients (66.7%) were (2+), while in F3+4</w:t>
      </w:r>
      <w:r w:rsidR="00D1008C">
        <w:rPr>
          <w:rFonts w:eastAsia="Calibri"/>
          <w:sz w:val="20"/>
          <w:szCs w:val="20"/>
        </w:rPr>
        <w:t xml:space="preserve"> </w:t>
      </w:r>
      <w:r w:rsidRPr="00D1008C">
        <w:rPr>
          <w:rFonts w:eastAsia="Calibri"/>
          <w:sz w:val="20"/>
          <w:szCs w:val="20"/>
        </w:rPr>
        <w:t>four patients (15.4%) were (1+) and eleven patients (42.3%) were (2+,</w:t>
      </w:r>
      <w:r w:rsidR="00420112">
        <w:rPr>
          <w:rFonts w:eastAsiaTheme="minorEastAsia" w:hint="eastAsia"/>
          <w:sz w:val="20"/>
          <w:szCs w:val="20"/>
          <w:lang w:eastAsia="zh-CN"/>
        </w:rPr>
        <w:t xml:space="preserve"> </w:t>
      </w:r>
      <w:r w:rsidRPr="00D1008C">
        <w:rPr>
          <w:rFonts w:eastAsia="Calibri"/>
          <w:sz w:val="20"/>
          <w:szCs w:val="20"/>
        </w:rPr>
        <w:t>3+) which is significant (</w:t>
      </w:r>
      <w:r w:rsidRPr="00D1008C">
        <w:rPr>
          <w:rFonts w:eastAsia="Calibri"/>
          <w:i/>
          <w:iCs/>
          <w:sz w:val="20"/>
          <w:szCs w:val="20"/>
        </w:rPr>
        <w:t>p</w:t>
      </w:r>
      <w:r w:rsidRPr="00D1008C">
        <w:rPr>
          <w:rFonts w:eastAsia="Calibri"/>
          <w:sz w:val="20"/>
          <w:szCs w:val="20"/>
        </w:rPr>
        <w:t xml:space="preserve"> value &lt; 0.01).</w:t>
      </w:r>
    </w:p>
    <w:p w:rsidR="006251C8" w:rsidRPr="00D1008C" w:rsidRDefault="006251C8" w:rsidP="004611F0">
      <w:pPr>
        <w:snapToGrid w:val="0"/>
        <w:jc w:val="center"/>
        <w:rPr>
          <w:rFonts w:eastAsiaTheme="minorEastAsia"/>
          <w:b/>
          <w:bCs/>
          <w:sz w:val="20"/>
          <w:szCs w:val="20"/>
          <w:lang w:eastAsia="zh-CN"/>
        </w:rPr>
        <w:sectPr w:rsidR="006251C8" w:rsidRPr="00D1008C" w:rsidSect="00D7540E">
          <w:type w:val="continuous"/>
          <w:pgSz w:w="12242" w:h="15842" w:code="1"/>
          <w:pgMar w:top="1440" w:right="1440" w:bottom="1440" w:left="1440" w:header="720" w:footer="720" w:gutter="0"/>
          <w:cols w:num="2" w:space="425"/>
          <w:docGrid w:linePitch="360"/>
        </w:sectPr>
      </w:pPr>
    </w:p>
    <w:p w:rsidR="00E255EA" w:rsidRPr="00D1008C" w:rsidRDefault="00E255EA" w:rsidP="004611F0">
      <w:pPr>
        <w:snapToGrid w:val="0"/>
        <w:jc w:val="center"/>
        <w:rPr>
          <w:b/>
          <w:bCs/>
          <w:sz w:val="20"/>
          <w:szCs w:val="20"/>
        </w:rPr>
      </w:pPr>
    </w:p>
    <w:p w:rsidR="00C53350" w:rsidRPr="00D1008C" w:rsidRDefault="00277E93" w:rsidP="004611F0">
      <w:pPr>
        <w:snapToGrid w:val="0"/>
        <w:jc w:val="center"/>
        <w:rPr>
          <w:b/>
          <w:bCs/>
          <w:sz w:val="20"/>
          <w:szCs w:val="20"/>
        </w:rPr>
      </w:pPr>
      <w:r w:rsidRPr="00D1008C">
        <w:rPr>
          <w:b/>
          <w:bCs/>
          <w:sz w:val="20"/>
          <w:szCs w:val="20"/>
        </w:rPr>
        <w:t>Table (9</w:t>
      </w:r>
      <w:r w:rsidR="00C53350" w:rsidRPr="00D1008C">
        <w:rPr>
          <w:b/>
          <w:bCs/>
          <w:sz w:val="20"/>
          <w:szCs w:val="20"/>
        </w:rPr>
        <w:t>):</w:t>
      </w:r>
      <w:r w:rsidR="00D1008C">
        <w:rPr>
          <w:rFonts w:eastAsiaTheme="minorEastAsia" w:hint="eastAsia"/>
          <w:b/>
          <w:bCs/>
          <w:sz w:val="20"/>
          <w:szCs w:val="20"/>
          <w:lang w:eastAsia="zh-CN"/>
        </w:rPr>
        <w:t xml:space="preserve"> </w:t>
      </w:r>
      <w:r w:rsidR="00C53350" w:rsidRPr="00D1008C">
        <w:rPr>
          <w:sz w:val="20"/>
          <w:szCs w:val="20"/>
        </w:rPr>
        <w:t>Tissue expression of CK 19 in different stages of fibrosis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9"/>
        <w:gridCol w:w="1421"/>
        <w:gridCol w:w="1489"/>
        <w:gridCol w:w="1489"/>
        <w:gridCol w:w="1489"/>
        <w:gridCol w:w="1379"/>
      </w:tblGrid>
      <w:tr w:rsidR="0045204D" w:rsidRPr="00D1008C" w:rsidTr="004611F0">
        <w:trPr>
          <w:trHeight w:val="70"/>
          <w:jc w:val="center"/>
        </w:trPr>
        <w:tc>
          <w:tcPr>
            <w:tcW w:w="1589" w:type="dxa"/>
            <w:vMerge w:val="restart"/>
            <w:shd w:val="clear" w:color="auto" w:fill="auto"/>
          </w:tcPr>
          <w:p w:rsidR="00C53350" w:rsidRPr="00D1008C" w:rsidRDefault="00C53350" w:rsidP="004611F0">
            <w:pPr>
              <w:snapToGrid w:val="0"/>
              <w:jc w:val="both"/>
              <w:rPr>
                <w:b/>
                <w:bCs/>
                <w:color w:val="000000"/>
                <w:sz w:val="20"/>
                <w:szCs w:val="20"/>
              </w:rPr>
            </w:pPr>
            <w:r w:rsidRPr="00D1008C">
              <w:rPr>
                <w:b/>
                <w:bCs/>
                <w:color w:val="000000"/>
                <w:sz w:val="20"/>
                <w:szCs w:val="20"/>
              </w:rPr>
              <w:t>Stage of fibrosis/ N</w:t>
            </w:r>
          </w:p>
        </w:tc>
        <w:tc>
          <w:tcPr>
            <w:tcW w:w="5888" w:type="dxa"/>
            <w:gridSpan w:val="4"/>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CK19</w:t>
            </w:r>
          </w:p>
        </w:tc>
        <w:tc>
          <w:tcPr>
            <w:tcW w:w="1379" w:type="dxa"/>
            <w:shd w:val="clear" w:color="auto" w:fill="auto"/>
          </w:tcPr>
          <w:p w:rsidR="00C53350" w:rsidRPr="00D1008C" w:rsidRDefault="00C53350" w:rsidP="004611F0">
            <w:pPr>
              <w:snapToGrid w:val="0"/>
              <w:jc w:val="both"/>
              <w:rPr>
                <w:color w:val="000000"/>
                <w:sz w:val="20"/>
                <w:szCs w:val="20"/>
              </w:rPr>
            </w:pPr>
            <w:r w:rsidRPr="00D1008C">
              <w:rPr>
                <w:i/>
                <w:iCs/>
                <w:color w:val="000000"/>
                <w:sz w:val="20"/>
                <w:szCs w:val="20"/>
              </w:rPr>
              <w:t>P</w:t>
            </w:r>
            <w:r w:rsidRPr="00D1008C">
              <w:rPr>
                <w:color w:val="000000"/>
                <w:sz w:val="20"/>
                <w:szCs w:val="20"/>
              </w:rPr>
              <w:t>-value</w:t>
            </w:r>
          </w:p>
        </w:tc>
      </w:tr>
      <w:tr w:rsidR="0045204D" w:rsidRPr="00D1008C" w:rsidTr="004611F0">
        <w:trPr>
          <w:trHeight w:val="70"/>
          <w:jc w:val="center"/>
        </w:trPr>
        <w:tc>
          <w:tcPr>
            <w:tcW w:w="1589" w:type="dxa"/>
            <w:vMerge/>
            <w:shd w:val="clear" w:color="auto" w:fill="auto"/>
          </w:tcPr>
          <w:p w:rsidR="00C53350" w:rsidRPr="00D1008C" w:rsidRDefault="00C53350" w:rsidP="004611F0">
            <w:pPr>
              <w:snapToGrid w:val="0"/>
              <w:jc w:val="both"/>
              <w:rPr>
                <w:color w:val="000000"/>
                <w:sz w:val="20"/>
                <w:szCs w:val="20"/>
              </w:rPr>
            </w:pPr>
          </w:p>
        </w:tc>
        <w:tc>
          <w:tcPr>
            <w:tcW w:w="142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-Ve</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2+</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00E255EA" w:rsidRPr="00D1008C">
              <w:rPr>
                <w:color w:val="000000"/>
                <w:sz w:val="20"/>
                <w:szCs w:val="20"/>
              </w:rPr>
              <w:t>%</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3+</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379" w:type="dxa"/>
            <w:vMerge w:val="restart"/>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&lt;.001</w:t>
            </w:r>
          </w:p>
        </w:tc>
      </w:tr>
      <w:tr w:rsidR="0045204D" w:rsidRPr="00D1008C" w:rsidTr="004611F0">
        <w:trPr>
          <w:jc w:val="center"/>
        </w:trPr>
        <w:tc>
          <w:tcPr>
            <w:tcW w:w="15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F1</w:t>
            </w:r>
            <w:r w:rsidR="00D1008C">
              <w:rPr>
                <w:color w:val="000000"/>
                <w:sz w:val="20"/>
                <w:szCs w:val="20"/>
              </w:rPr>
              <w:t xml:space="preserve"> </w:t>
            </w:r>
            <w:r w:rsidRPr="00D1008C">
              <w:rPr>
                <w:color w:val="000000"/>
                <w:sz w:val="20"/>
                <w:szCs w:val="20"/>
              </w:rPr>
              <w:t>(13)</w:t>
            </w:r>
          </w:p>
        </w:tc>
        <w:tc>
          <w:tcPr>
            <w:tcW w:w="142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0</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7</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53.8</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6</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46.2</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379"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jc w:val="center"/>
        </w:trPr>
        <w:tc>
          <w:tcPr>
            <w:tcW w:w="15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F2</w:t>
            </w:r>
            <w:r w:rsidR="00D1008C">
              <w:rPr>
                <w:color w:val="000000"/>
                <w:sz w:val="20"/>
                <w:szCs w:val="20"/>
              </w:rPr>
              <w:t xml:space="preserve"> </w:t>
            </w:r>
            <w:r w:rsidRPr="00D1008C">
              <w:rPr>
                <w:color w:val="000000"/>
                <w:sz w:val="20"/>
                <w:szCs w:val="20"/>
              </w:rPr>
              <w:t>(6)</w:t>
            </w:r>
          </w:p>
        </w:tc>
        <w:tc>
          <w:tcPr>
            <w:tcW w:w="142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2</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33.3</w:t>
            </w:r>
          </w:p>
        </w:tc>
        <w:tc>
          <w:tcPr>
            <w:tcW w:w="1489" w:type="dxa"/>
            <w:shd w:val="clear" w:color="auto" w:fill="auto"/>
          </w:tcPr>
          <w:p w:rsidR="00C53350" w:rsidRPr="00D1008C" w:rsidRDefault="00C53350" w:rsidP="00D1008C">
            <w:pPr>
              <w:snapToGrid w:val="0"/>
              <w:jc w:val="both"/>
              <w:rPr>
                <w:color w:val="000000"/>
                <w:sz w:val="20"/>
                <w:szCs w:val="20"/>
              </w:rPr>
            </w:pPr>
            <w:r w:rsidRPr="00D1008C">
              <w:rPr>
                <w:color w:val="000000"/>
                <w:sz w:val="20"/>
                <w:szCs w:val="20"/>
              </w:rPr>
              <w:t>4</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66.7</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379"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jc w:val="center"/>
        </w:trPr>
        <w:tc>
          <w:tcPr>
            <w:tcW w:w="15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F3+4 (26)</w:t>
            </w:r>
          </w:p>
        </w:tc>
        <w:tc>
          <w:tcPr>
            <w:tcW w:w="142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rFonts w:eastAsiaTheme="minorEastAsia" w:hint="eastAsia"/>
                <w:color w:val="000000"/>
                <w:sz w:val="20"/>
                <w:szCs w:val="20"/>
                <w:lang w:eastAsia="zh-CN"/>
              </w:rPr>
              <w:t xml:space="preserve"> -</w:t>
            </w:r>
            <w:r w:rsidR="00D1008C">
              <w:rPr>
                <w:color w:val="000000"/>
                <w:sz w:val="20"/>
                <w:szCs w:val="20"/>
              </w:rPr>
              <w:t>.</w:t>
            </w:r>
            <w:r w:rsidRPr="00D1008C">
              <w:rPr>
                <w:color w:val="000000"/>
                <w:sz w:val="20"/>
                <w:szCs w:val="20"/>
              </w:rPr>
              <w:t>0</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4</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15.4</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11</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42.3</w:t>
            </w:r>
          </w:p>
        </w:tc>
        <w:tc>
          <w:tcPr>
            <w:tcW w:w="148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11</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42.3</w:t>
            </w:r>
          </w:p>
        </w:tc>
        <w:tc>
          <w:tcPr>
            <w:tcW w:w="1379" w:type="dxa"/>
            <w:vMerge/>
            <w:shd w:val="clear" w:color="auto" w:fill="auto"/>
          </w:tcPr>
          <w:p w:rsidR="00C53350" w:rsidRPr="00D1008C" w:rsidRDefault="00C53350" w:rsidP="004611F0">
            <w:pPr>
              <w:snapToGrid w:val="0"/>
              <w:jc w:val="both"/>
              <w:rPr>
                <w:color w:val="000000"/>
                <w:sz w:val="20"/>
                <w:szCs w:val="20"/>
              </w:rPr>
            </w:pPr>
          </w:p>
        </w:tc>
      </w:tr>
    </w:tbl>
    <w:p w:rsidR="00C53350" w:rsidRPr="00D1008C" w:rsidRDefault="00C53350" w:rsidP="004611F0">
      <w:pPr>
        <w:snapToGrid w:val="0"/>
        <w:ind w:firstLine="425"/>
        <w:jc w:val="both"/>
        <w:rPr>
          <w:sz w:val="20"/>
          <w:szCs w:val="20"/>
        </w:rPr>
      </w:pPr>
      <w:r w:rsidRPr="00D1008C">
        <w:rPr>
          <w:sz w:val="20"/>
          <w:szCs w:val="20"/>
        </w:rPr>
        <w:t>Cross tables, Pearson Chi-Square.</w:t>
      </w:r>
    </w:p>
    <w:p w:rsidR="00D7540E" w:rsidRPr="00D1008C" w:rsidRDefault="00D7540E" w:rsidP="004611F0">
      <w:pPr>
        <w:autoSpaceDE w:val="0"/>
        <w:autoSpaceDN w:val="0"/>
        <w:adjustRightInd w:val="0"/>
        <w:snapToGrid w:val="0"/>
        <w:ind w:firstLine="425"/>
        <w:contextualSpacing/>
        <w:jc w:val="both"/>
        <w:rPr>
          <w:rFonts w:eastAsiaTheme="minorEastAsia"/>
          <w:sz w:val="20"/>
          <w:szCs w:val="20"/>
          <w:lang w:eastAsia="zh-CN" w:bidi="ar-EG"/>
        </w:rPr>
      </w:pPr>
    </w:p>
    <w:p w:rsidR="00277E93" w:rsidRPr="00D1008C" w:rsidRDefault="007632B3" w:rsidP="004611F0">
      <w:pPr>
        <w:autoSpaceDE w:val="0"/>
        <w:autoSpaceDN w:val="0"/>
        <w:adjustRightInd w:val="0"/>
        <w:snapToGrid w:val="0"/>
        <w:contextualSpacing/>
        <w:jc w:val="center"/>
        <w:rPr>
          <w:rFonts w:eastAsia="Calibri"/>
          <w:sz w:val="20"/>
          <w:szCs w:val="20"/>
        </w:rPr>
      </w:pPr>
      <w:r w:rsidRPr="00D1008C">
        <w:rPr>
          <w:rFonts w:eastAsia="Calibri"/>
          <w:noProof/>
          <w:sz w:val="20"/>
          <w:szCs w:val="20"/>
          <w:lang w:eastAsia="zh-CN"/>
        </w:rPr>
        <w:drawing>
          <wp:inline distT="0" distB="0" distL="0" distR="0">
            <wp:extent cx="3199550" cy="2066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9096" cy="2066631"/>
                    </a:xfrm>
                    <a:prstGeom prst="rect">
                      <a:avLst/>
                    </a:prstGeom>
                    <a:noFill/>
                  </pic:spPr>
                </pic:pic>
              </a:graphicData>
            </a:graphic>
          </wp:inline>
        </w:drawing>
      </w:r>
    </w:p>
    <w:p w:rsidR="00E255EA" w:rsidRPr="00D1008C" w:rsidRDefault="00A74694" w:rsidP="006251C8">
      <w:pPr>
        <w:snapToGrid w:val="0"/>
        <w:jc w:val="both"/>
        <w:rPr>
          <w:rFonts w:eastAsia="Calibri"/>
          <w:sz w:val="20"/>
          <w:szCs w:val="20"/>
        </w:rPr>
      </w:pPr>
      <w:r w:rsidRPr="00D1008C">
        <w:rPr>
          <w:rFonts w:eastAsia="Calibri"/>
          <w:sz w:val="20"/>
          <w:szCs w:val="20"/>
        </w:rPr>
        <w:t xml:space="preserve">Figure </w:t>
      </w:r>
      <w:r w:rsidR="00606A8C" w:rsidRPr="00D1008C">
        <w:rPr>
          <w:rFonts w:eastAsia="Calibri"/>
          <w:sz w:val="20"/>
          <w:szCs w:val="20"/>
        </w:rPr>
        <w:t>(8)</w:t>
      </w:r>
      <w:r w:rsidRPr="00D1008C">
        <w:rPr>
          <w:rFonts w:eastAsia="Calibri"/>
          <w:sz w:val="20"/>
          <w:szCs w:val="20"/>
        </w:rPr>
        <w:t>: liver section from HCV case,</w:t>
      </w:r>
      <w:r w:rsidR="00D1008C">
        <w:rPr>
          <w:rFonts w:eastAsia="Calibri"/>
          <w:sz w:val="20"/>
          <w:szCs w:val="20"/>
        </w:rPr>
        <w:t xml:space="preserve"> </w:t>
      </w:r>
      <w:r w:rsidRPr="00D1008C">
        <w:rPr>
          <w:rFonts w:eastAsia="Calibri"/>
          <w:sz w:val="20"/>
          <w:szCs w:val="20"/>
        </w:rPr>
        <w:t>A2</w:t>
      </w:r>
      <w:r w:rsidR="00D1008C">
        <w:rPr>
          <w:rFonts w:eastAsia="Calibri"/>
          <w:sz w:val="20"/>
          <w:szCs w:val="20"/>
        </w:rPr>
        <w:t xml:space="preserve"> </w:t>
      </w:r>
      <w:r w:rsidRPr="00D1008C">
        <w:rPr>
          <w:rFonts w:eastAsia="Calibri"/>
          <w:sz w:val="20"/>
          <w:szCs w:val="20"/>
        </w:rPr>
        <w:t>activity and F2 fibrosis with mild</w:t>
      </w:r>
      <w:r w:rsidR="00D1008C">
        <w:rPr>
          <w:rFonts w:eastAsia="Calibri"/>
          <w:sz w:val="20"/>
          <w:szCs w:val="20"/>
        </w:rPr>
        <w:t xml:space="preserve"> </w:t>
      </w:r>
      <w:r w:rsidRPr="00D1008C">
        <w:rPr>
          <w:rFonts w:eastAsia="Calibri"/>
          <w:sz w:val="20"/>
          <w:szCs w:val="20"/>
        </w:rPr>
        <w:t>expression of cytokeratin 19 monoclonal antibody in hepatocytes (red arrow)and lining cells of bile duct for as cytoplasmic brownish stain (black arrow) (IHC, DAB, cytokeratin 19,</w:t>
      </w:r>
      <w:r w:rsidR="00D1008C">
        <w:rPr>
          <w:rFonts w:eastAsia="Calibri"/>
          <w:sz w:val="20"/>
          <w:szCs w:val="20"/>
        </w:rPr>
        <w:t xml:space="preserve"> </w:t>
      </w:r>
      <w:r w:rsidRPr="00D1008C">
        <w:rPr>
          <w:rFonts w:eastAsia="Calibri"/>
          <w:sz w:val="20"/>
          <w:szCs w:val="20"/>
        </w:rPr>
        <w:t>x200.)</w:t>
      </w:r>
    </w:p>
    <w:p w:rsidR="00A74694" w:rsidRPr="00D1008C" w:rsidRDefault="00A74694" w:rsidP="004611F0">
      <w:pPr>
        <w:snapToGrid w:val="0"/>
        <w:jc w:val="center"/>
        <w:rPr>
          <w:rFonts w:eastAsia="Calibri"/>
          <w:sz w:val="20"/>
          <w:szCs w:val="20"/>
        </w:rPr>
      </w:pPr>
    </w:p>
    <w:p w:rsidR="00C53350" w:rsidRPr="00D1008C" w:rsidRDefault="00277E93" w:rsidP="004611F0">
      <w:pPr>
        <w:autoSpaceDE w:val="0"/>
        <w:autoSpaceDN w:val="0"/>
        <w:adjustRightInd w:val="0"/>
        <w:snapToGrid w:val="0"/>
        <w:contextualSpacing/>
        <w:jc w:val="center"/>
        <w:rPr>
          <w:rFonts w:eastAsia="Calibri"/>
          <w:sz w:val="20"/>
          <w:szCs w:val="20"/>
        </w:rPr>
      </w:pPr>
      <w:r w:rsidRPr="00D1008C">
        <w:rPr>
          <w:rFonts w:eastAsia="Calibri"/>
          <w:b/>
          <w:bCs/>
          <w:sz w:val="20"/>
          <w:szCs w:val="20"/>
        </w:rPr>
        <w:t>Table (10</w:t>
      </w:r>
      <w:r w:rsidR="00C53350" w:rsidRPr="00D1008C">
        <w:rPr>
          <w:rFonts w:eastAsia="Calibri"/>
          <w:b/>
          <w:bCs/>
          <w:sz w:val="20"/>
          <w:szCs w:val="20"/>
        </w:rPr>
        <w:t>):</w:t>
      </w:r>
      <w:r w:rsidR="005D72CC">
        <w:rPr>
          <w:rFonts w:eastAsiaTheme="minorEastAsia" w:hint="eastAsia"/>
          <w:b/>
          <w:bCs/>
          <w:sz w:val="20"/>
          <w:szCs w:val="20"/>
          <w:lang w:eastAsia="zh-CN"/>
        </w:rPr>
        <w:t xml:space="preserve"> </w:t>
      </w:r>
      <w:r w:rsidR="00C53350" w:rsidRPr="00D1008C">
        <w:rPr>
          <w:rFonts w:eastAsia="Calibri"/>
          <w:sz w:val="20"/>
          <w:szCs w:val="20"/>
        </w:rPr>
        <w:t>Tissue expression of CK19 in different grades of HCC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1500"/>
        <w:gridCol w:w="1549"/>
        <w:gridCol w:w="1549"/>
        <w:gridCol w:w="1556"/>
        <w:gridCol w:w="1427"/>
      </w:tblGrid>
      <w:tr w:rsidR="0045204D" w:rsidRPr="00D1008C" w:rsidTr="004611F0">
        <w:trPr>
          <w:trHeight w:val="70"/>
          <w:jc w:val="center"/>
        </w:trPr>
        <w:tc>
          <w:tcPr>
            <w:tcW w:w="1662" w:type="dxa"/>
            <w:vMerge w:val="restart"/>
            <w:shd w:val="clear" w:color="auto" w:fill="auto"/>
            <w:vAlign w:val="center"/>
          </w:tcPr>
          <w:p w:rsidR="00C53350" w:rsidRPr="00D1008C" w:rsidRDefault="00C53350" w:rsidP="004611F0">
            <w:pPr>
              <w:snapToGrid w:val="0"/>
              <w:jc w:val="both"/>
              <w:rPr>
                <w:color w:val="000000"/>
                <w:sz w:val="20"/>
                <w:szCs w:val="20"/>
              </w:rPr>
            </w:pPr>
            <w:r w:rsidRPr="00D1008C">
              <w:rPr>
                <w:color w:val="000000"/>
                <w:sz w:val="20"/>
                <w:szCs w:val="20"/>
              </w:rPr>
              <w:t>Grade of HCC /N</w:t>
            </w:r>
          </w:p>
        </w:tc>
        <w:tc>
          <w:tcPr>
            <w:tcW w:w="6154" w:type="dxa"/>
            <w:gridSpan w:val="4"/>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CK19</w:t>
            </w:r>
          </w:p>
        </w:tc>
        <w:tc>
          <w:tcPr>
            <w:tcW w:w="1427" w:type="dxa"/>
            <w:shd w:val="clear" w:color="auto" w:fill="auto"/>
          </w:tcPr>
          <w:p w:rsidR="00C53350" w:rsidRPr="00D1008C" w:rsidRDefault="00C53350" w:rsidP="004611F0">
            <w:pPr>
              <w:snapToGrid w:val="0"/>
              <w:jc w:val="both"/>
              <w:rPr>
                <w:color w:val="000000"/>
                <w:sz w:val="20"/>
                <w:szCs w:val="20"/>
              </w:rPr>
            </w:pPr>
            <w:r w:rsidRPr="00D1008C">
              <w:rPr>
                <w:i/>
                <w:iCs/>
                <w:color w:val="000000"/>
                <w:sz w:val="20"/>
                <w:szCs w:val="20"/>
              </w:rPr>
              <w:t>P</w:t>
            </w:r>
            <w:r w:rsidRPr="00D1008C">
              <w:rPr>
                <w:color w:val="000000"/>
                <w:sz w:val="20"/>
                <w:szCs w:val="20"/>
              </w:rPr>
              <w:t>-value</w:t>
            </w:r>
          </w:p>
        </w:tc>
      </w:tr>
      <w:tr w:rsidR="0045204D" w:rsidRPr="00D1008C" w:rsidTr="004611F0">
        <w:trPr>
          <w:trHeight w:val="70"/>
          <w:jc w:val="center"/>
        </w:trPr>
        <w:tc>
          <w:tcPr>
            <w:tcW w:w="1662" w:type="dxa"/>
            <w:vMerge/>
            <w:shd w:val="clear" w:color="auto" w:fill="auto"/>
          </w:tcPr>
          <w:p w:rsidR="00C53350" w:rsidRPr="00D1008C" w:rsidRDefault="00C53350" w:rsidP="004611F0">
            <w:pPr>
              <w:snapToGrid w:val="0"/>
              <w:jc w:val="both"/>
              <w:rPr>
                <w:color w:val="000000"/>
                <w:sz w:val="20"/>
                <w:szCs w:val="20"/>
              </w:rPr>
            </w:pPr>
          </w:p>
        </w:tc>
        <w:tc>
          <w:tcPr>
            <w:tcW w:w="150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-Ve</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2+</w:t>
            </w:r>
          </w:p>
          <w:p w:rsidR="00C53350" w:rsidRPr="00D1008C" w:rsidRDefault="00E255EA" w:rsidP="004611F0">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155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3+</w:t>
            </w:r>
          </w:p>
          <w:p w:rsidR="00C53350" w:rsidRPr="00D1008C" w:rsidRDefault="00C53350"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27" w:type="dxa"/>
            <w:vMerge w:val="restart"/>
            <w:shd w:val="clear" w:color="auto" w:fill="auto"/>
          </w:tcPr>
          <w:p w:rsidR="00C53350" w:rsidRPr="00D1008C" w:rsidRDefault="00C53350" w:rsidP="004611F0">
            <w:pPr>
              <w:snapToGrid w:val="0"/>
              <w:jc w:val="both"/>
              <w:rPr>
                <w:color w:val="000000"/>
                <w:sz w:val="20"/>
                <w:szCs w:val="20"/>
              </w:rPr>
            </w:pPr>
          </w:p>
          <w:p w:rsidR="00C53350" w:rsidRPr="00D1008C" w:rsidRDefault="00C53350" w:rsidP="004611F0">
            <w:pPr>
              <w:snapToGrid w:val="0"/>
              <w:jc w:val="both"/>
              <w:rPr>
                <w:color w:val="000000"/>
                <w:sz w:val="20"/>
                <w:szCs w:val="20"/>
              </w:rPr>
            </w:pPr>
            <w:r w:rsidRPr="00D1008C">
              <w:rPr>
                <w:color w:val="000000"/>
                <w:sz w:val="20"/>
                <w:szCs w:val="20"/>
              </w:rPr>
              <w:t>&gt; 0.05</w:t>
            </w:r>
          </w:p>
        </w:tc>
      </w:tr>
      <w:tr w:rsidR="0045204D" w:rsidRPr="00D1008C" w:rsidTr="004611F0">
        <w:trPr>
          <w:jc w:val="center"/>
        </w:trPr>
        <w:tc>
          <w:tcPr>
            <w:tcW w:w="1662"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I</w:t>
            </w:r>
            <w:r w:rsidR="00D1008C">
              <w:rPr>
                <w:color w:val="000000"/>
                <w:sz w:val="20"/>
                <w:szCs w:val="20"/>
              </w:rPr>
              <w:t xml:space="preserve"> </w:t>
            </w:r>
            <w:r w:rsidRPr="00D1008C">
              <w:rPr>
                <w:color w:val="000000"/>
                <w:sz w:val="20"/>
                <w:szCs w:val="20"/>
              </w:rPr>
              <w:t>(10)</w:t>
            </w:r>
          </w:p>
        </w:tc>
        <w:tc>
          <w:tcPr>
            <w:tcW w:w="150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5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10</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100</w:t>
            </w:r>
          </w:p>
        </w:tc>
        <w:tc>
          <w:tcPr>
            <w:tcW w:w="1427"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jc w:val="center"/>
        </w:trPr>
        <w:tc>
          <w:tcPr>
            <w:tcW w:w="1662"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II</w:t>
            </w:r>
            <w:r w:rsidR="00D1008C">
              <w:rPr>
                <w:color w:val="000000"/>
                <w:sz w:val="20"/>
                <w:szCs w:val="20"/>
              </w:rPr>
              <w:t xml:space="preserve"> </w:t>
            </w:r>
            <w:r w:rsidRPr="00D1008C">
              <w:rPr>
                <w:color w:val="000000"/>
                <w:sz w:val="20"/>
                <w:szCs w:val="20"/>
              </w:rPr>
              <w:t>(11)</w:t>
            </w:r>
          </w:p>
        </w:tc>
        <w:tc>
          <w:tcPr>
            <w:tcW w:w="150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5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11</w:t>
            </w:r>
            <w:r w:rsidR="005D72CC">
              <w:rPr>
                <w:color w:val="000000"/>
                <w:sz w:val="20"/>
                <w:szCs w:val="20"/>
              </w:rPr>
              <w:t xml:space="preserve"> -</w:t>
            </w:r>
            <w:r w:rsidR="00D1008C">
              <w:rPr>
                <w:color w:val="000000"/>
                <w:sz w:val="20"/>
                <w:szCs w:val="20"/>
              </w:rPr>
              <w:t xml:space="preserve"> </w:t>
            </w:r>
            <w:r w:rsidRPr="00D1008C">
              <w:rPr>
                <w:color w:val="000000"/>
                <w:sz w:val="20"/>
                <w:szCs w:val="20"/>
              </w:rPr>
              <w:t>100</w:t>
            </w:r>
          </w:p>
        </w:tc>
        <w:tc>
          <w:tcPr>
            <w:tcW w:w="1427"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jc w:val="center"/>
        </w:trPr>
        <w:tc>
          <w:tcPr>
            <w:tcW w:w="1662"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III</w:t>
            </w:r>
            <w:r w:rsidR="00D1008C">
              <w:rPr>
                <w:color w:val="000000"/>
                <w:sz w:val="20"/>
                <w:szCs w:val="20"/>
              </w:rPr>
              <w:t xml:space="preserve"> </w:t>
            </w:r>
            <w:r w:rsidRPr="00D1008C">
              <w:rPr>
                <w:color w:val="000000"/>
                <w:sz w:val="20"/>
                <w:szCs w:val="20"/>
              </w:rPr>
              <w:t>(9)</w:t>
            </w:r>
          </w:p>
        </w:tc>
        <w:tc>
          <w:tcPr>
            <w:tcW w:w="150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4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155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9</w:t>
            </w:r>
            <w:r w:rsidR="005D72CC">
              <w:rPr>
                <w:color w:val="000000"/>
                <w:sz w:val="20"/>
                <w:szCs w:val="20"/>
              </w:rPr>
              <w:t xml:space="preserve"> -</w:t>
            </w:r>
            <w:r w:rsidR="00D1008C">
              <w:rPr>
                <w:color w:val="000000"/>
                <w:sz w:val="20"/>
                <w:szCs w:val="20"/>
              </w:rPr>
              <w:t xml:space="preserve"> </w:t>
            </w:r>
            <w:r w:rsidRPr="00D1008C">
              <w:rPr>
                <w:color w:val="000000"/>
                <w:sz w:val="20"/>
                <w:szCs w:val="20"/>
              </w:rPr>
              <w:t>100</w:t>
            </w:r>
          </w:p>
        </w:tc>
        <w:tc>
          <w:tcPr>
            <w:tcW w:w="1427" w:type="dxa"/>
            <w:vMerge/>
            <w:shd w:val="clear" w:color="auto" w:fill="auto"/>
          </w:tcPr>
          <w:p w:rsidR="00C53350" w:rsidRPr="00D1008C" w:rsidRDefault="00C53350" w:rsidP="004611F0">
            <w:pPr>
              <w:snapToGrid w:val="0"/>
              <w:jc w:val="both"/>
              <w:rPr>
                <w:color w:val="000000"/>
                <w:sz w:val="20"/>
                <w:szCs w:val="20"/>
              </w:rPr>
            </w:pPr>
          </w:p>
        </w:tc>
      </w:tr>
    </w:tbl>
    <w:p w:rsidR="00C53350" w:rsidRPr="00D1008C" w:rsidRDefault="00C53350" w:rsidP="00DE0AC4">
      <w:pPr>
        <w:snapToGrid w:val="0"/>
        <w:jc w:val="both"/>
        <w:rPr>
          <w:b/>
          <w:bCs/>
          <w:sz w:val="20"/>
          <w:szCs w:val="20"/>
        </w:rPr>
      </w:pPr>
      <w:r w:rsidRPr="00D1008C">
        <w:rPr>
          <w:b/>
          <w:bCs/>
          <w:sz w:val="20"/>
          <w:szCs w:val="20"/>
        </w:rPr>
        <w:t xml:space="preserve">Cross tables, Pearson Chi-Square; </w:t>
      </w:r>
      <w:r w:rsidRPr="00D1008C">
        <w:rPr>
          <w:b/>
          <w:bCs/>
          <w:i/>
          <w:iCs/>
          <w:sz w:val="20"/>
          <w:szCs w:val="20"/>
        </w:rPr>
        <w:t>P</w:t>
      </w:r>
      <w:r w:rsidRPr="00D1008C">
        <w:rPr>
          <w:b/>
          <w:bCs/>
          <w:sz w:val="20"/>
          <w:szCs w:val="20"/>
        </w:rPr>
        <w:t>&lt;0.01</w:t>
      </w:r>
    </w:p>
    <w:p w:rsidR="00DE0AC4" w:rsidRPr="00D1008C" w:rsidRDefault="00DE0AC4" w:rsidP="004611F0">
      <w:pPr>
        <w:snapToGrid w:val="0"/>
        <w:ind w:firstLine="425"/>
        <w:jc w:val="both"/>
        <w:rPr>
          <w:rFonts w:eastAsiaTheme="minorEastAsia"/>
          <w:sz w:val="20"/>
          <w:szCs w:val="20"/>
          <w:lang w:eastAsia="zh-CN"/>
        </w:rPr>
      </w:pPr>
    </w:p>
    <w:p w:rsidR="00A74694" w:rsidRPr="00D1008C" w:rsidRDefault="00C53350" w:rsidP="004611F0">
      <w:pPr>
        <w:snapToGrid w:val="0"/>
        <w:ind w:firstLine="425"/>
        <w:jc w:val="both"/>
        <w:rPr>
          <w:sz w:val="20"/>
          <w:szCs w:val="20"/>
        </w:rPr>
      </w:pPr>
      <w:r w:rsidRPr="00D1008C">
        <w:rPr>
          <w:sz w:val="20"/>
          <w:szCs w:val="20"/>
        </w:rPr>
        <w:t>There is no significant difference of tissue expression of CK19 between different grades of HCC, (</w:t>
      </w:r>
      <w:r w:rsidRPr="00D1008C">
        <w:rPr>
          <w:i/>
          <w:iCs/>
          <w:sz w:val="20"/>
          <w:szCs w:val="20"/>
        </w:rPr>
        <w:t>p</w:t>
      </w:r>
      <w:r w:rsidRPr="00D1008C">
        <w:rPr>
          <w:sz w:val="20"/>
          <w:szCs w:val="20"/>
        </w:rPr>
        <w:t xml:space="preserve"> value &gt; 0.05)</w:t>
      </w:r>
      <w:r w:rsidR="00A74694" w:rsidRPr="00D1008C">
        <w:rPr>
          <w:sz w:val="20"/>
          <w:szCs w:val="20"/>
        </w:rPr>
        <w:t>.</w:t>
      </w:r>
    </w:p>
    <w:p w:rsidR="00E255EA" w:rsidRPr="00D1008C" w:rsidRDefault="00E255EA" w:rsidP="004611F0">
      <w:pPr>
        <w:tabs>
          <w:tab w:val="right" w:pos="709"/>
        </w:tabs>
        <w:snapToGrid w:val="0"/>
        <w:jc w:val="both"/>
        <w:rPr>
          <w:b/>
          <w:bCs/>
          <w:sz w:val="20"/>
          <w:szCs w:val="20"/>
        </w:rPr>
      </w:pPr>
    </w:p>
    <w:p w:rsidR="00C53350" w:rsidRPr="00D1008C" w:rsidRDefault="00C53350" w:rsidP="00DE0AC4">
      <w:pPr>
        <w:tabs>
          <w:tab w:val="right" w:pos="709"/>
        </w:tabs>
        <w:snapToGrid w:val="0"/>
        <w:jc w:val="both"/>
        <w:rPr>
          <w:rFonts w:eastAsiaTheme="minorEastAsia"/>
          <w:b/>
          <w:bCs/>
          <w:sz w:val="20"/>
          <w:szCs w:val="20"/>
          <w:lang w:eastAsia="zh-CN"/>
        </w:rPr>
      </w:pPr>
      <w:r w:rsidRPr="00D1008C">
        <w:rPr>
          <w:b/>
          <w:bCs/>
          <w:sz w:val="20"/>
          <w:szCs w:val="20"/>
        </w:rPr>
        <w:t>Immunohistochemical Detection of OCT 3/4</w:t>
      </w:r>
    </w:p>
    <w:p w:rsidR="00DE0AC4" w:rsidRPr="00D1008C" w:rsidRDefault="00DE0AC4" w:rsidP="00DE0AC4">
      <w:pPr>
        <w:tabs>
          <w:tab w:val="right" w:pos="709"/>
        </w:tabs>
        <w:snapToGrid w:val="0"/>
        <w:jc w:val="both"/>
        <w:rPr>
          <w:rFonts w:eastAsiaTheme="minorEastAsia"/>
          <w:b/>
          <w:bCs/>
          <w:sz w:val="20"/>
          <w:szCs w:val="20"/>
          <w:lang w:eastAsia="zh-CN"/>
        </w:rPr>
      </w:pPr>
    </w:p>
    <w:p w:rsidR="00C53350" w:rsidRPr="00D1008C" w:rsidRDefault="00277E93" w:rsidP="004611F0">
      <w:pPr>
        <w:snapToGrid w:val="0"/>
        <w:jc w:val="center"/>
        <w:rPr>
          <w:sz w:val="20"/>
          <w:szCs w:val="20"/>
        </w:rPr>
      </w:pPr>
      <w:r w:rsidRPr="00D1008C">
        <w:rPr>
          <w:b/>
          <w:bCs/>
          <w:sz w:val="20"/>
          <w:szCs w:val="20"/>
        </w:rPr>
        <w:t>Table (11</w:t>
      </w:r>
      <w:r w:rsidR="00C53350" w:rsidRPr="00D1008C">
        <w:rPr>
          <w:b/>
          <w:bCs/>
          <w:sz w:val="20"/>
          <w:szCs w:val="20"/>
        </w:rPr>
        <w:t>):</w:t>
      </w:r>
      <w:r w:rsidR="005D72CC">
        <w:rPr>
          <w:rFonts w:eastAsiaTheme="minorEastAsia" w:hint="eastAsia"/>
          <w:b/>
          <w:bCs/>
          <w:sz w:val="20"/>
          <w:szCs w:val="20"/>
          <w:lang w:eastAsia="zh-CN"/>
        </w:rPr>
        <w:t xml:space="preserve"> </w:t>
      </w:r>
      <w:r w:rsidR="00C53350" w:rsidRPr="00D1008C">
        <w:rPr>
          <w:sz w:val="20"/>
          <w:szCs w:val="20"/>
        </w:rPr>
        <w:t>Tissue expression of OCT3/4 in different groups</w:t>
      </w: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1340"/>
        <w:gridCol w:w="1207"/>
        <w:gridCol w:w="1350"/>
        <w:gridCol w:w="1499"/>
        <w:gridCol w:w="1361"/>
        <w:gridCol w:w="1295"/>
      </w:tblGrid>
      <w:tr w:rsidR="0045204D" w:rsidRPr="00D1008C" w:rsidTr="004611F0">
        <w:trPr>
          <w:trHeight w:val="70"/>
          <w:jc w:val="center"/>
        </w:trPr>
        <w:tc>
          <w:tcPr>
            <w:tcW w:w="1316" w:type="dxa"/>
            <w:vMerge w:val="restart"/>
            <w:shd w:val="clear" w:color="auto" w:fill="auto"/>
          </w:tcPr>
          <w:p w:rsidR="00C53350" w:rsidRPr="00D1008C" w:rsidRDefault="00C53350" w:rsidP="004611F0">
            <w:pPr>
              <w:snapToGrid w:val="0"/>
              <w:jc w:val="both"/>
              <w:rPr>
                <w:color w:val="000000"/>
                <w:sz w:val="20"/>
                <w:szCs w:val="20"/>
              </w:rPr>
            </w:pPr>
          </w:p>
          <w:p w:rsidR="00C53350" w:rsidRPr="00D1008C" w:rsidRDefault="00C53350" w:rsidP="004611F0">
            <w:pPr>
              <w:snapToGrid w:val="0"/>
              <w:jc w:val="both"/>
              <w:rPr>
                <w:color w:val="000000"/>
                <w:sz w:val="20"/>
                <w:szCs w:val="20"/>
              </w:rPr>
            </w:pPr>
            <w:r w:rsidRPr="00D1008C">
              <w:rPr>
                <w:color w:val="000000"/>
                <w:sz w:val="20"/>
                <w:szCs w:val="20"/>
              </w:rPr>
              <w:t>G</w:t>
            </w:r>
            <w:r w:rsidR="000A5C7B" w:rsidRPr="00D1008C">
              <w:rPr>
                <w:color w:val="000000"/>
                <w:sz w:val="20"/>
                <w:szCs w:val="20"/>
              </w:rPr>
              <w:t>r</w:t>
            </w:r>
            <w:r w:rsidRPr="00D1008C">
              <w:rPr>
                <w:color w:val="000000"/>
                <w:sz w:val="20"/>
                <w:szCs w:val="20"/>
              </w:rPr>
              <w:t>oups</w:t>
            </w:r>
          </w:p>
        </w:tc>
        <w:tc>
          <w:tcPr>
            <w:tcW w:w="6757" w:type="dxa"/>
            <w:gridSpan w:val="5"/>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OCT3/4</w:t>
            </w:r>
          </w:p>
        </w:tc>
        <w:tc>
          <w:tcPr>
            <w:tcW w:w="1295" w:type="dxa"/>
            <w:shd w:val="clear" w:color="auto" w:fill="auto"/>
          </w:tcPr>
          <w:p w:rsidR="00C53350" w:rsidRPr="00D1008C" w:rsidRDefault="00C53350" w:rsidP="004611F0">
            <w:pPr>
              <w:snapToGrid w:val="0"/>
              <w:jc w:val="both"/>
              <w:rPr>
                <w:color w:val="000000"/>
                <w:sz w:val="20"/>
                <w:szCs w:val="20"/>
              </w:rPr>
            </w:pPr>
            <w:r w:rsidRPr="00D1008C">
              <w:rPr>
                <w:i/>
                <w:iCs/>
                <w:color w:val="000000"/>
                <w:sz w:val="20"/>
                <w:szCs w:val="20"/>
              </w:rPr>
              <w:t>P</w:t>
            </w:r>
            <w:r w:rsidRPr="00D1008C">
              <w:rPr>
                <w:color w:val="000000"/>
                <w:sz w:val="20"/>
                <w:szCs w:val="20"/>
              </w:rPr>
              <w:t>-value</w:t>
            </w:r>
          </w:p>
        </w:tc>
      </w:tr>
      <w:tr w:rsidR="0045204D" w:rsidRPr="00D1008C" w:rsidTr="004611F0">
        <w:trPr>
          <w:trHeight w:val="70"/>
          <w:jc w:val="center"/>
        </w:trPr>
        <w:tc>
          <w:tcPr>
            <w:tcW w:w="1316" w:type="dxa"/>
            <w:vMerge/>
            <w:shd w:val="clear" w:color="auto" w:fill="auto"/>
          </w:tcPr>
          <w:p w:rsidR="00C53350" w:rsidRPr="00D1008C" w:rsidRDefault="00C53350" w:rsidP="004611F0">
            <w:pPr>
              <w:snapToGrid w:val="0"/>
              <w:jc w:val="both"/>
              <w:rPr>
                <w:color w:val="000000"/>
                <w:sz w:val="20"/>
                <w:szCs w:val="20"/>
              </w:rPr>
            </w:pPr>
          </w:p>
        </w:tc>
        <w:tc>
          <w:tcPr>
            <w:tcW w:w="134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-Ve</w:t>
            </w:r>
          </w:p>
          <w:p w:rsidR="00C53350" w:rsidRPr="00D1008C" w:rsidRDefault="00C53350" w:rsidP="004611F0">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1207" w:type="dxa"/>
            <w:shd w:val="clear" w:color="auto" w:fill="auto"/>
          </w:tcPr>
          <w:p w:rsidR="00C53350" w:rsidRPr="00D1008C" w:rsidRDefault="00C53350" w:rsidP="004611F0">
            <w:pPr>
              <w:snapToGrid w:val="0"/>
              <w:contextualSpacing/>
              <w:jc w:val="both"/>
              <w:rPr>
                <w:rFonts w:eastAsia="Calibri"/>
                <w:color w:val="000000"/>
                <w:sz w:val="20"/>
                <w:szCs w:val="20"/>
              </w:rPr>
            </w:pPr>
            <w:r w:rsidRPr="00D1008C">
              <w:rPr>
                <w:rFonts w:eastAsia="Calibri"/>
                <w:color w:val="000000"/>
                <w:sz w:val="20"/>
                <w:szCs w:val="20"/>
              </w:rPr>
              <w:t>1</w:t>
            </w:r>
            <w:r w:rsidR="00D1008C">
              <w:rPr>
                <w:rFonts w:eastAsia="Calibri"/>
                <w:color w:val="000000"/>
                <w:sz w:val="20"/>
                <w:szCs w:val="20"/>
              </w:rPr>
              <w:t xml:space="preserve"> </w:t>
            </w:r>
            <w:r w:rsidRPr="00D1008C">
              <w:rPr>
                <w:rFonts w:eastAsia="Calibri"/>
                <w:color w:val="000000"/>
                <w:sz w:val="20"/>
                <w:szCs w:val="20"/>
              </w:rPr>
              <w:t>-25</w:t>
            </w:r>
          </w:p>
          <w:p w:rsidR="00C53350" w:rsidRPr="00D1008C" w:rsidRDefault="00C53350" w:rsidP="004611F0">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135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26 – 50</w:t>
            </w:r>
          </w:p>
          <w:p w:rsidR="00C53350" w:rsidRPr="00D1008C" w:rsidRDefault="00E255EA" w:rsidP="004611F0">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149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51 – 75</w:t>
            </w:r>
          </w:p>
          <w:p w:rsidR="00C53350" w:rsidRPr="00D1008C" w:rsidRDefault="00C53350" w:rsidP="004611F0">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136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76-100</w:t>
            </w:r>
          </w:p>
          <w:p w:rsidR="00C53350" w:rsidRPr="00D1008C" w:rsidRDefault="00C53350" w:rsidP="004611F0">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1295" w:type="dxa"/>
            <w:vMerge w:val="restart"/>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&lt;.001</w:t>
            </w:r>
          </w:p>
        </w:tc>
      </w:tr>
      <w:tr w:rsidR="0045204D" w:rsidRPr="00D1008C" w:rsidTr="004611F0">
        <w:trPr>
          <w:trHeight w:val="143"/>
          <w:jc w:val="center"/>
        </w:trPr>
        <w:tc>
          <w:tcPr>
            <w:tcW w:w="131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Control</w:t>
            </w:r>
          </w:p>
        </w:tc>
        <w:tc>
          <w:tcPr>
            <w:tcW w:w="134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10</w:t>
            </w:r>
            <w:r w:rsidR="005D72CC">
              <w:rPr>
                <w:color w:val="000000"/>
                <w:sz w:val="20"/>
                <w:szCs w:val="20"/>
              </w:rPr>
              <w:t xml:space="preserve"> -</w:t>
            </w:r>
            <w:r w:rsidR="00D1008C">
              <w:rPr>
                <w:color w:val="000000"/>
                <w:sz w:val="20"/>
                <w:szCs w:val="20"/>
              </w:rPr>
              <w:t xml:space="preserve"> </w:t>
            </w:r>
            <w:r w:rsidRPr="00D1008C">
              <w:rPr>
                <w:color w:val="000000"/>
                <w:sz w:val="20"/>
                <w:szCs w:val="20"/>
              </w:rPr>
              <w:t>100</w:t>
            </w:r>
          </w:p>
        </w:tc>
        <w:tc>
          <w:tcPr>
            <w:tcW w:w="1207"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35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49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36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295"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trHeight w:val="143"/>
          <w:jc w:val="center"/>
        </w:trPr>
        <w:tc>
          <w:tcPr>
            <w:tcW w:w="131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Hepatitis</w:t>
            </w:r>
          </w:p>
        </w:tc>
        <w:tc>
          <w:tcPr>
            <w:tcW w:w="134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16</w:t>
            </w:r>
            <w:r w:rsidR="005D72CC">
              <w:rPr>
                <w:color w:val="000000"/>
                <w:sz w:val="20"/>
                <w:szCs w:val="20"/>
              </w:rPr>
              <w:t xml:space="preserve"> -</w:t>
            </w:r>
            <w:r w:rsidR="00D1008C">
              <w:rPr>
                <w:color w:val="000000"/>
                <w:sz w:val="20"/>
                <w:szCs w:val="20"/>
              </w:rPr>
              <w:t xml:space="preserve"> </w:t>
            </w:r>
            <w:r w:rsidRPr="00D1008C">
              <w:rPr>
                <w:color w:val="000000"/>
                <w:sz w:val="20"/>
                <w:szCs w:val="20"/>
              </w:rPr>
              <w:t>80</w:t>
            </w:r>
          </w:p>
        </w:tc>
        <w:tc>
          <w:tcPr>
            <w:tcW w:w="1207"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4</w:t>
            </w:r>
            <w:r w:rsidR="005D72CC">
              <w:rPr>
                <w:color w:val="000000"/>
                <w:sz w:val="20"/>
                <w:szCs w:val="20"/>
              </w:rPr>
              <w:t xml:space="preserve"> -</w:t>
            </w:r>
            <w:r w:rsidR="00D1008C">
              <w:rPr>
                <w:color w:val="000000"/>
                <w:sz w:val="20"/>
                <w:szCs w:val="20"/>
              </w:rPr>
              <w:t xml:space="preserve"> </w:t>
            </w:r>
            <w:r w:rsidRPr="00D1008C">
              <w:rPr>
                <w:color w:val="000000"/>
                <w:sz w:val="20"/>
                <w:szCs w:val="20"/>
              </w:rPr>
              <w:t>20</w:t>
            </w:r>
          </w:p>
        </w:tc>
        <w:tc>
          <w:tcPr>
            <w:tcW w:w="135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49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36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295"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trHeight w:val="143"/>
          <w:jc w:val="center"/>
        </w:trPr>
        <w:tc>
          <w:tcPr>
            <w:tcW w:w="131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Cirrhosis</w:t>
            </w:r>
          </w:p>
        </w:tc>
        <w:tc>
          <w:tcPr>
            <w:tcW w:w="134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14</w:t>
            </w:r>
            <w:r w:rsidR="005D72CC">
              <w:rPr>
                <w:color w:val="000000"/>
                <w:sz w:val="20"/>
                <w:szCs w:val="20"/>
              </w:rPr>
              <w:t xml:space="preserve"> -</w:t>
            </w:r>
            <w:r w:rsidR="00D1008C">
              <w:rPr>
                <w:color w:val="000000"/>
                <w:sz w:val="20"/>
                <w:szCs w:val="20"/>
              </w:rPr>
              <w:t xml:space="preserve"> </w:t>
            </w:r>
            <w:r w:rsidRPr="00D1008C">
              <w:rPr>
                <w:color w:val="000000"/>
                <w:sz w:val="20"/>
                <w:szCs w:val="20"/>
              </w:rPr>
              <w:t>56</w:t>
            </w:r>
          </w:p>
        </w:tc>
        <w:tc>
          <w:tcPr>
            <w:tcW w:w="1207"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w:t>
            </w:r>
            <w:r w:rsidR="005D72CC">
              <w:rPr>
                <w:color w:val="000000"/>
                <w:sz w:val="20"/>
                <w:szCs w:val="20"/>
              </w:rPr>
              <w:t xml:space="preserve"> -</w:t>
            </w:r>
            <w:r w:rsidR="00D1008C">
              <w:rPr>
                <w:color w:val="000000"/>
                <w:sz w:val="20"/>
                <w:szCs w:val="20"/>
              </w:rPr>
              <w:t xml:space="preserve"> </w:t>
            </w:r>
            <w:r w:rsidRPr="00D1008C">
              <w:rPr>
                <w:color w:val="000000"/>
                <w:sz w:val="20"/>
                <w:szCs w:val="20"/>
              </w:rPr>
              <w:t>4</w:t>
            </w:r>
          </w:p>
        </w:tc>
        <w:tc>
          <w:tcPr>
            <w:tcW w:w="135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10</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40</w:t>
            </w:r>
          </w:p>
        </w:tc>
        <w:tc>
          <w:tcPr>
            <w:tcW w:w="149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36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0</w:t>
            </w:r>
            <w:r w:rsidR="00D1008C">
              <w:rPr>
                <w:color w:val="000000"/>
                <w:sz w:val="20"/>
                <w:szCs w:val="20"/>
              </w:rPr>
              <w:t>.</w:t>
            </w:r>
            <w:r w:rsidRPr="00D1008C">
              <w:rPr>
                <w:color w:val="000000"/>
                <w:sz w:val="20"/>
                <w:szCs w:val="20"/>
              </w:rPr>
              <w:t>0</w:t>
            </w:r>
          </w:p>
        </w:tc>
        <w:tc>
          <w:tcPr>
            <w:tcW w:w="1295" w:type="dxa"/>
            <w:vMerge/>
            <w:shd w:val="clear" w:color="auto" w:fill="auto"/>
          </w:tcPr>
          <w:p w:rsidR="00C53350" w:rsidRPr="00D1008C" w:rsidRDefault="00C53350" w:rsidP="004611F0">
            <w:pPr>
              <w:snapToGrid w:val="0"/>
              <w:jc w:val="both"/>
              <w:rPr>
                <w:color w:val="000000"/>
                <w:sz w:val="20"/>
                <w:szCs w:val="20"/>
              </w:rPr>
            </w:pPr>
          </w:p>
        </w:tc>
      </w:tr>
      <w:tr w:rsidR="0045204D" w:rsidRPr="00D1008C" w:rsidTr="004611F0">
        <w:trPr>
          <w:trHeight w:val="152"/>
          <w:jc w:val="center"/>
        </w:trPr>
        <w:tc>
          <w:tcPr>
            <w:tcW w:w="1316"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HCC</w:t>
            </w:r>
          </w:p>
        </w:tc>
        <w:tc>
          <w:tcPr>
            <w:tcW w:w="134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5</w:t>
            </w:r>
            <w:r w:rsidR="005D72CC">
              <w:rPr>
                <w:color w:val="000000"/>
                <w:sz w:val="20"/>
                <w:szCs w:val="20"/>
              </w:rPr>
              <w:t xml:space="preserve"> -</w:t>
            </w:r>
            <w:r w:rsidR="00D1008C">
              <w:rPr>
                <w:color w:val="000000"/>
                <w:sz w:val="20"/>
                <w:szCs w:val="20"/>
              </w:rPr>
              <w:t xml:space="preserve"> </w:t>
            </w:r>
            <w:r w:rsidRPr="00D1008C">
              <w:rPr>
                <w:color w:val="000000"/>
                <w:sz w:val="20"/>
                <w:szCs w:val="20"/>
              </w:rPr>
              <w:t>16.6</w:t>
            </w:r>
          </w:p>
        </w:tc>
        <w:tc>
          <w:tcPr>
            <w:tcW w:w="1207"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w:t>
            </w:r>
            <w:r w:rsidR="005D72CC">
              <w:rPr>
                <w:color w:val="000000"/>
                <w:sz w:val="20"/>
                <w:szCs w:val="20"/>
              </w:rPr>
              <w:t xml:space="preserve"> -</w:t>
            </w:r>
            <w:r w:rsidRPr="00D1008C">
              <w:rPr>
                <w:color w:val="000000"/>
                <w:sz w:val="20"/>
                <w:szCs w:val="20"/>
              </w:rPr>
              <w:t xml:space="preserve"> 3.3</w:t>
            </w:r>
          </w:p>
        </w:tc>
        <w:tc>
          <w:tcPr>
            <w:tcW w:w="1350"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3</w:t>
            </w:r>
            <w:r w:rsidR="005D72CC">
              <w:rPr>
                <w:color w:val="000000"/>
                <w:sz w:val="20"/>
                <w:szCs w:val="20"/>
              </w:rPr>
              <w:t xml:space="preserve"> -</w:t>
            </w:r>
            <w:r w:rsidR="00D1008C">
              <w:rPr>
                <w:color w:val="000000"/>
                <w:sz w:val="20"/>
                <w:szCs w:val="20"/>
              </w:rPr>
              <w:t xml:space="preserve"> </w:t>
            </w:r>
            <w:r w:rsidRPr="00D1008C">
              <w:rPr>
                <w:color w:val="000000"/>
                <w:sz w:val="20"/>
                <w:szCs w:val="20"/>
              </w:rPr>
              <w:t>10</w:t>
            </w:r>
          </w:p>
        </w:tc>
        <w:tc>
          <w:tcPr>
            <w:tcW w:w="1499"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8</w:t>
            </w:r>
            <w:r w:rsidR="005D72CC">
              <w:rPr>
                <w:color w:val="000000"/>
                <w:sz w:val="20"/>
                <w:szCs w:val="20"/>
              </w:rPr>
              <w:t xml:space="preserve"> -</w:t>
            </w:r>
            <w:r w:rsidR="00D1008C">
              <w:rPr>
                <w:color w:val="000000"/>
                <w:sz w:val="20"/>
                <w:szCs w:val="20"/>
              </w:rPr>
              <w:t xml:space="preserve"> </w:t>
            </w:r>
            <w:r w:rsidRPr="00D1008C">
              <w:rPr>
                <w:color w:val="000000"/>
                <w:sz w:val="20"/>
                <w:szCs w:val="20"/>
              </w:rPr>
              <w:t>26.6</w:t>
            </w:r>
          </w:p>
        </w:tc>
        <w:tc>
          <w:tcPr>
            <w:tcW w:w="1361" w:type="dxa"/>
            <w:shd w:val="clear" w:color="auto" w:fill="auto"/>
          </w:tcPr>
          <w:p w:rsidR="00C53350" w:rsidRPr="00D1008C" w:rsidRDefault="00C53350" w:rsidP="004611F0">
            <w:pPr>
              <w:snapToGrid w:val="0"/>
              <w:jc w:val="both"/>
              <w:rPr>
                <w:color w:val="000000"/>
                <w:sz w:val="20"/>
                <w:szCs w:val="20"/>
              </w:rPr>
            </w:pPr>
            <w:r w:rsidRPr="00D1008C">
              <w:rPr>
                <w:color w:val="000000"/>
                <w:sz w:val="20"/>
                <w:szCs w:val="20"/>
              </w:rPr>
              <w:t>13</w:t>
            </w:r>
            <w:r w:rsidR="005D72CC">
              <w:rPr>
                <w:color w:val="000000"/>
                <w:sz w:val="20"/>
                <w:szCs w:val="20"/>
              </w:rPr>
              <w:t xml:space="preserve"> -</w:t>
            </w:r>
            <w:r w:rsidR="00D1008C">
              <w:rPr>
                <w:color w:val="000000"/>
                <w:sz w:val="20"/>
                <w:szCs w:val="20"/>
              </w:rPr>
              <w:t xml:space="preserve"> </w:t>
            </w:r>
            <w:r w:rsidRPr="00D1008C">
              <w:rPr>
                <w:color w:val="000000"/>
                <w:sz w:val="20"/>
                <w:szCs w:val="20"/>
              </w:rPr>
              <w:t>43.3</w:t>
            </w:r>
          </w:p>
        </w:tc>
        <w:tc>
          <w:tcPr>
            <w:tcW w:w="1295" w:type="dxa"/>
            <w:vMerge/>
            <w:shd w:val="clear" w:color="auto" w:fill="auto"/>
          </w:tcPr>
          <w:p w:rsidR="00C53350" w:rsidRPr="00D1008C" w:rsidRDefault="00C53350" w:rsidP="004611F0">
            <w:pPr>
              <w:snapToGrid w:val="0"/>
              <w:jc w:val="both"/>
              <w:rPr>
                <w:color w:val="000000"/>
                <w:sz w:val="20"/>
                <w:szCs w:val="20"/>
              </w:rPr>
            </w:pPr>
          </w:p>
        </w:tc>
      </w:tr>
    </w:tbl>
    <w:p w:rsidR="00DE0AC4" w:rsidRPr="00D1008C" w:rsidRDefault="00DE0AC4" w:rsidP="00DE0AC4">
      <w:pPr>
        <w:snapToGrid w:val="0"/>
        <w:jc w:val="both"/>
        <w:rPr>
          <w:rFonts w:eastAsiaTheme="minorEastAsia"/>
          <w:sz w:val="20"/>
          <w:szCs w:val="20"/>
          <w:lang w:eastAsia="zh-CN"/>
        </w:rPr>
      </w:pPr>
    </w:p>
    <w:p w:rsidR="00987C1F" w:rsidRPr="00D1008C" w:rsidRDefault="00C53350" w:rsidP="00DE0AC4">
      <w:pPr>
        <w:snapToGrid w:val="0"/>
        <w:ind w:firstLine="425"/>
        <w:jc w:val="both"/>
        <w:rPr>
          <w:rFonts w:eastAsiaTheme="minorEastAsia"/>
          <w:sz w:val="20"/>
          <w:szCs w:val="20"/>
          <w:lang w:eastAsia="zh-CN"/>
        </w:rPr>
      </w:pPr>
      <w:r w:rsidRPr="00D1008C">
        <w:rPr>
          <w:sz w:val="20"/>
          <w:szCs w:val="20"/>
        </w:rPr>
        <w:t>Cross tables, Pearson Chi-Square.There is significant difference of tissue expression of OCT3/4 between different groups</w:t>
      </w:r>
      <w:r w:rsidR="00D1008C">
        <w:rPr>
          <w:sz w:val="20"/>
          <w:szCs w:val="20"/>
        </w:rPr>
        <w:t xml:space="preserve"> </w:t>
      </w:r>
      <w:r w:rsidRPr="00D1008C">
        <w:rPr>
          <w:sz w:val="20"/>
          <w:szCs w:val="20"/>
        </w:rPr>
        <w:t>OCT3/4 was over expressed in HCC group</w:t>
      </w:r>
      <w:r w:rsidR="00D1008C" w:rsidRPr="00D1008C">
        <w:rPr>
          <w:rFonts w:eastAsiaTheme="minorEastAsia" w:hint="eastAsia"/>
          <w:sz w:val="20"/>
          <w:szCs w:val="20"/>
          <w:lang w:eastAsia="zh-CN"/>
        </w:rPr>
        <w:t>.</w:t>
      </w:r>
    </w:p>
    <w:p w:rsidR="007632B3" w:rsidRPr="00D1008C" w:rsidRDefault="007632B3" w:rsidP="004611F0">
      <w:pPr>
        <w:snapToGrid w:val="0"/>
        <w:jc w:val="center"/>
        <w:rPr>
          <w:b/>
          <w:bCs/>
          <w:sz w:val="20"/>
          <w:szCs w:val="20"/>
        </w:rPr>
      </w:pPr>
      <w:r w:rsidRPr="00D1008C">
        <w:rPr>
          <w:b/>
          <w:bCs/>
          <w:noProof/>
          <w:sz w:val="20"/>
          <w:szCs w:val="20"/>
          <w:lang w:eastAsia="zh-CN"/>
        </w:rPr>
        <w:lastRenderedPageBreak/>
        <w:drawing>
          <wp:inline distT="0" distB="0" distL="0" distR="0">
            <wp:extent cx="3228230" cy="17800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1620" cy="1781952"/>
                    </a:xfrm>
                    <a:prstGeom prst="rect">
                      <a:avLst/>
                    </a:prstGeom>
                    <a:noFill/>
                  </pic:spPr>
                </pic:pic>
              </a:graphicData>
            </a:graphic>
          </wp:inline>
        </w:drawing>
      </w:r>
    </w:p>
    <w:p w:rsidR="00C53350" w:rsidRPr="00D1008C" w:rsidRDefault="00C53350" w:rsidP="00DE0AC4">
      <w:pPr>
        <w:snapToGrid w:val="0"/>
        <w:jc w:val="center"/>
        <w:rPr>
          <w:sz w:val="20"/>
          <w:szCs w:val="20"/>
        </w:rPr>
      </w:pPr>
      <w:r w:rsidRPr="00D1008C">
        <w:rPr>
          <w:b/>
          <w:bCs/>
          <w:sz w:val="20"/>
          <w:szCs w:val="20"/>
        </w:rPr>
        <w:t>Figure</w:t>
      </w:r>
      <w:r w:rsidR="00606A8C" w:rsidRPr="00D1008C">
        <w:rPr>
          <w:b/>
          <w:bCs/>
          <w:sz w:val="20"/>
          <w:szCs w:val="20"/>
        </w:rPr>
        <w:t xml:space="preserve"> (9</w:t>
      </w:r>
      <w:r w:rsidRPr="00D1008C">
        <w:rPr>
          <w:b/>
          <w:bCs/>
          <w:sz w:val="20"/>
          <w:szCs w:val="20"/>
        </w:rPr>
        <w:t>):</w:t>
      </w:r>
      <w:r w:rsidR="00420112">
        <w:rPr>
          <w:sz w:val="20"/>
          <w:szCs w:val="20"/>
        </w:rPr>
        <w:t xml:space="preserve"> </w:t>
      </w:r>
      <w:r w:rsidR="00420112">
        <w:rPr>
          <w:rFonts w:eastAsiaTheme="minorEastAsia" w:hint="eastAsia"/>
          <w:sz w:val="20"/>
          <w:szCs w:val="20"/>
          <w:lang w:eastAsia="zh-CN"/>
        </w:rPr>
        <w:t>S</w:t>
      </w:r>
      <w:r w:rsidRPr="00D1008C">
        <w:rPr>
          <w:sz w:val="20"/>
          <w:szCs w:val="20"/>
        </w:rPr>
        <w:t>howing comparison between</w:t>
      </w:r>
      <w:r w:rsidR="00987C1F" w:rsidRPr="00D1008C">
        <w:rPr>
          <w:sz w:val="20"/>
          <w:szCs w:val="20"/>
        </w:rPr>
        <w:t xml:space="preserve"> tissue expression of OCT3/4 in the</w:t>
      </w:r>
      <w:r w:rsidR="00420112">
        <w:rPr>
          <w:rFonts w:eastAsiaTheme="minorEastAsia" w:hint="eastAsia"/>
          <w:sz w:val="20"/>
          <w:szCs w:val="20"/>
          <w:lang w:eastAsia="zh-CN"/>
        </w:rPr>
        <w:t xml:space="preserve"> </w:t>
      </w:r>
      <w:r w:rsidRPr="00D1008C">
        <w:rPr>
          <w:sz w:val="20"/>
          <w:szCs w:val="20"/>
        </w:rPr>
        <w:t>studied groups</w:t>
      </w:r>
    </w:p>
    <w:p w:rsidR="00DE0AC4" w:rsidRPr="00D1008C" w:rsidRDefault="00DE0AC4" w:rsidP="004611F0">
      <w:pPr>
        <w:snapToGrid w:val="0"/>
        <w:jc w:val="center"/>
        <w:rPr>
          <w:rFonts w:eastAsiaTheme="minorEastAsia"/>
          <w:b/>
          <w:bCs/>
          <w:sz w:val="20"/>
          <w:szCs w:val="20"/>
          <w:lang w:eastAsia="zh-CN"/>
        </w:rPr>
      </w:pPr>
    </w:p>
    <w:p w:rsidR="00C53350" w:rsidRPr="00D1008C" w:rsidRDefault="00277E93" w:rsidP="00DE0AC4">
      <w:pPr>
        <w:snapToGrid w:val="0"/>
        <w:jc w:val="both"/>
        <w:rPr>
          <w:sz w:val="20"/>
          <w:szCs w:val="20"/>
        </w:rPr>
      </w:pPr>
      <w:r w:rsidRPr="00D1008C">
        <w:rPr>
          <w:b/>
          <w:bCs/>
          <w:sz w:val="20"/>
          <w:szCs w:val="20"/>
        </w:rPr>
        <w:t>Table (12</w:t>
      </w:r>
      <w:r w:rsidR="00C53350" w:rsidRPr="00D1008C">
        <w:rPr>
          <w:b/>
          <w:bCs/>
          <w:sz w:val="20"/>
          <w:szCs w:val="20"/>
        </w:rPr>
        <w:t>):</w:t>
      </w:r>
      <w:r w:rsidR="005D72CC">
        <w:rPr>
          <w:rFonts w:eastAsiaTheme="minorEastAsia" w:hint="eastAsia"/>
          <w:b/>
          <w:bCs/>
          <w:sz w:val="20"/>
          <w:szCs w:val="20"/>
          <w:lang w:eastAsia="zh-CN"/>
        </w:rPr>
        <w:t xml:space="preserve"> </w:t>
      </w:r>
      <w:r w:rsidR="00C53350" w:rsidRPr="00D1008C">
        <w:rPr>
          <w:sz w:val="20"/>
          <w:szCs w:val="20"/>
        </w:rPr>
        <w:t>Tissue expression of OCT3/4 in different grades of inflammation of chronic hepatitis patients with or without cirrhosis: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1472"/>
        <w:gridCol w:w="1400"/>
        <w:gridCol w:w="1425"/>
        <w:gridCol w:w="1283"/>
        <w:gridCol w:w="1283"/>
        <w:gridCol w:w="1218"/>
      </w:tblGrid>
      <w:tr w:rsidR="0045204D" w:rsidRPr="00D1008C" w:rsidTr="00DE0AC4">
        <w:trPr>
          <w:jc w:val="center"/>
        </w:trPr>
        <w:tc>
          <w:tcPr>
            <w:tcW w:w="781" w:type="pct"/>
            <w:vMerge w:val="restar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Grades /N</w:t>
            </w:r>
          </w:p>
        </w:tc>
        <w:tc>
          <w:tcPr>
            <w:tcW w:w="3583" w:type="pct"/>
            <w:gridSpan w:val="5"/>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OCT3/4</w:t>
            </w:r>
          </w:p>
        </w:tc>
        <w:tc>
          <w:tcPr>
            <w:tcW w:w="637" w:type="pct"/>
            <w:shd w:val="clear" w:color="auto" w:fill="auto"/>
            <w:vAlign w:val="center"/>
          </w:tcPr>
          <w:p w:rsidR="00C53350" w:rsidRPr="00D1008C" w:rsidRDefault="00C53350" w:rsidP="00DE0AC4">
            <w:pPr>
              <w:snapToGrid w:val="0"/>
              <w:jc w:val="both"/>
              <w:rPr>
                <w:color w:val="000000"/>
                <w:sz w:val="20"/>
                <w:szCs w:val="20"/>
              </w:rPr>
            </w:pPr>
            <w:r w:rsidRPr="00D1008C">
              <w:rPr>
                <w:i/>
                <w:iCs/>
                <w:color w:val="000000"/>
                <w:sz w:val="20"/>
                <w:szCs w:val="20"/>
              </w:rPr>
              <w:t>P</w:t>
            </w:r>
            <w:r w:rsidRPr="00D1008C">
              <w:rPr>
                <w:color w:val="000000"/>
                <w:sz w:val="20"/>
                <w:szCs w:val="20"/>
              </w:rPr>
              <w:t>-value</w:t>
            </w:r>
          </w:p>
        </w:tc>
      </w:tr>
      <w:tr w:rsidR="0045204D" w:rsidRPr="00D1008C" w:rsidTr="00DE0AC4">
        <w:trPr>
          <w:jc w:val="center"/>
        </w:trPr>
        <w:tc>
          <w:tcPr>
            <w:tcW w:w="781" w:type="pct"/>
            <w:vMerge/>
            <w:shd w:val="clear" w:color="auto" w:fill="auto"/>
            <w:vAlign w:val="center"/>
          </w:tcPr>
          <w:p w:rsidR="00C53350" w:rsidRPr="00D1008C" w:rsidRDefault="00C53350" w:rsidP="00DE0AC4">
            <w:pPr>
              <w:snapToGrid w:val="0"/>
              <w:jc w:val="both"/>
              <w:rPr>
                <w:color w:val="000000"/>
                <w:sz w:val="20"/>
                <w:szCs w:val="20"/>
              </w:rPr>
            </w:pPr>
          </w:p>
        </w:tc>
        <w:tc>
          <w:tcPr>
            <w:tcW w:w="768"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-Ve</w:t>
            </w:r>
          </w:p>
          <w:p w:rsidR="00C53350" w:rsidRPr="00D1008C" w:rsidRDefault="00C53350" w:rsidP="00DE0AC4">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731"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1</w:t>
            </w:r>
            <w:r w:rsidR="00D1008C">
              <w:rPr>
                <w:color w:val="000000"/>
                <w:sz w:val="20"/>
                <w:szCs w:val="20"/>
              </w:rPr>
              <w:t xml:space="preserve"> </w:t>
            </w:r>
            <w:r w:rsidRPr="00D1008C">
              <w:rPr>
                <w:color w:val="000000"/>
                <w:sz w:val="20"/>
                <w:szCs w:val="20"/>
              </w:rPr>
              <w:t>-</w:t>
            </w:r>
            <w:r w:rsidR="00D1008C">
              <w:rPr>
                <w:color w:val="000000"/>
                <w:sz w:val="20"/>
                <w:szCs w:val="20"/>
              </w:rPr>
              <w:t xml:space="preserve"> </w:t>
            </w:r>
            <w:r w:rsidRPr="00D1008C">
              <w:rPr>
                <w:color w:val="000000"/>
                <w:sz w:val="20"/>
                <w:szCs w:val="20"/>
              </w:rPr>
              <w:t>25</w:t>
            </w:r>
          </w:p>
          <w:p w:rsidR="00C53350" w:rsidRPr="00D1008C" w:rsidRDefault="00C53350" w:rsidP="00DE0AC4">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744"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26</w:t>
            </w:r>
            <w:r w:rsidR="00D1008C">
              <w:rPr>
                <w:color w:val="000000"/>
                <w:sz w:val="20"/>
                <w:szCs w:val="20"/>
              </w:rPr>
              <w:t xml:space="preserve"> </w:t>
            </w:r>
            <w:r w:rsidRPr="00D1008C">
              <w:rPr>
                <w:color w:val="000000"/>
                <w:sz w:val="20"/>
                <w:szCs w:val="20"/>
              </w:rPr>
              <w:t>-</w:t>
            </w:r>
            <w:r w:rsidR="00D1008C">
              <w:rPr>
                <w:color w:val="000000"/>
                <w:sz w:val="20"/>
                <w:szCs w:val="20"/>
              </w:rPr>
              <w:t xml:space="preserve"> </w:t>
            </w:r>
            <w:r w:rsidRPr="00D1008C">
              <w:rPr>
                <w:color w:val="000000"/>
                <w:sz w:val="20"/>
                <w:szCs w:val="20"/>
              </w:rPr>
              <w:t>50</w:t>
            </w:r>
          </w:p>
          <w:p w:rsidR="00C53350" w:rsidRPr="00D1008C" w:rsidRDefault="00E255EA" w:rsidP="00DE0AC4">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51</w:t>
            </w:r>
            <w:r w:rsidR="00D1008C">
              <w:rPr>
                <w:color w:val="000000"/>
                <w:sz w:val="20"/>
                <w:szCs w:val="20"/>
              </w:rPr>
              <w:t xml:space="preserve"> </w:t>
            </w:r>
            <w:r w:rsidRPr="00D1008C">
              <w:rPr>
                <w:color w:val="000000"/>
                <w:sz w:val="20"/>
                <w:szCs w:val="20"/>
              </w:rPr>
              <w:t>-</w:t>
            </w:r>
            <w:r w:rsidR="00D1008C">
              <w:rPr>
                <w:color w:val="000000"/>
                <w:sz w:val="20"/>
                <w:szCs w:val="20"/>
              </w:rPr>
              <w:t xml:space="preserve"> </w:t>
            </w:r>
            <w:r w:rsidRPr="00D1008C">
              <w:rPr>
                <w:color w:val="000000"/>
                <w:sz w:val="20"/>
                <w:szCs w:val="20"/>
              </w:rPr>
              <w:t>75</w:t>
            </w:r>
          </w:p>
          <w:p w:rsidR="00C53350" w:rsidRPr="00D1008C" w:rsidRDefault="00C53350" w:rsidP="00DE0AC4">
            <w:pPr>
              <w:snapToGrid w:val="0"/>
              <w:jc w:val="both"/>
              <w:rPr>
                <w:color w:val="000000"/>
                <w:sz w:val="20"/>
                <w:szCs w:val="20"/>
              </w:rPr>
            </w:pPr>
            <w:r w:rsidRPr="00D1008C">
              <w:rPr>
                <w:color w:val="000000"/>
                <w:sz w:val="20"/>
                <w:szCs w:val="20"/>
              </w:rPr>
              <w:t>N</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76 - 100</w:t>
            </w:r>
          </w:p>
          <w:p w:rsidR="00C53350" w:rsidRPr="00D1008C" w:rsidRDefault="00C53350" w:rsidP="00DE0AC4">
            <w:pPr>
              <w:snapToGrid w:val="0"/>
              <w:jc w:val="both"/>
              <w:rPr>
                <w:color w:val="000000"/>
                <w:sz w:val="20"/>
                <w:szCs w:val="20"/>
              </w:rPr>
            </w:pPr>
            <w:r w:rsidRPr="00D1008C">
              <w:rPr>
                <w:color w:val="000000"/>
                <w:sz w:val="20"/>
                <w:szCs w:val="20"/>
              </w:rPr>
              <w:t>N</w:t>
            </w:r>
            <w:r w:rsidR="005D72CC">
              <w:rPr>
                <w:color w:val="000000"/>
                <w:sz w:val="20"/>
                <w:szCs w:val="20"/>
              </w:rPr>
              <w:t xml:space="preserve"> -</w:t>
            </w:r>
            <w:r w:rsidR="00D1008C">
              <w:rPr>
                <w:color w:val="000000"/>
                <w:sz w:val="20"/>
                <w:szCs w:val="20"/>
              </w:rPr>
              <w:t xml:space="preserve"> </w:t>
            </w:r>
            <w:r w:rsidRPr="00D1008C">
              <w:rPr>
                <w:color w:val="000000"/>
                <w:sz w:val="20"/>
                <w:szCs w:val="20"/>
              </w:rPr>
              <w:t>%</w:t>
            </w:r>
          </w:p>
        </w:tc>
        <w:tc>
          <w:tcPr>
            <w:tcW w:w="637" w:type="pct"/>
            <w:vMerge w:val="restart"/>
            <w:shd w:val="clear" w:color="auto" w:fill="auto"/>
            <w:vAlign w:val="center"/>
          </w:tcPr>
          <w:p w:rsidR="00C53350" w:rsidRPr="00D1008C" w:rsidRDefault="00C53350" w:rsidP="00DE0AC4">
            <w:pPr>
              <w:snapToGrid w:val="0"/>
              <w:jc w:val="both"/>
              <w:rPr>
                <w:color w:val="000000"/>
                <w:sz w:val="20"/>
                <w:szCs w:val="20"/>
              </w:rPr>
            </w:pPr>
          </w:p>
          <w:p w:rsidR="00C53350" w:rsidRPr="00D1008C" w:rsidRDefault="00C53350" w:rsidP="00DE0AC4">
            <w:pPr>
              <w:snapToGrid w:val="0"/>
              <w:jc w:val="both"/>
              <w:rPr>
                <w:color w:val="000000"/>
                <w:sz w:val="20"/>
                <w:szCs w:val="20"/>
              </w:rPr>
            </w:pPr>
          </w:p>
          <w:p w:rsidR="00C53350" w:rsidRPr="00D1008C" w:rsidRDefault="00C53350" w:rsidP="00DE0AC4">
            <w:pPr>
              <w:snapToGrid w:val="0"/>
              <w:jc w:val="both"/>
              <w:rPr>
                <w:color w:val="000000"/>
                <w:sz w:val="20"/>
                <w:szCs w:val="20"/>
              </w:rPr>
            </w:pPr>
            <w:r w:rsidRPr="00D1008C">
              <w:rPr>
                <w:color w:val="000000"/>
                <w:sz w:val="20"/>
                <w:szCs w:val="20"/>
              </w:rPr>
              <w:t>&lt;.001</w:t>
            </w:r>
          </w:p>
        </w:tc>
      </w:tr>
      <w:tr w:rsidR="0045204D" w:rsidRPr="00D1008C" w:rsidTr="00DE0AC4">
        <w:trPr>
          <w:jc w:val="center"/>
        </w:trPr>
        <w:tc>
          <w:tcPr>
            <w:tcW w:w="781" w:type="pct"/>
            <w:shd w:val="clear" w:color="auto" w:fill="auto"/>
            <w:vAlign w:val="center"/>
          </w:tcPr>
          <w:p w:rsidR="00C53350" w:rsidRPr="00D1008C" w:rsidRDefault="00C53350" w:rsidP="00DE0AC4">
            <w:pPr>
              <w:snapToGrid w:val="0"/>
              <w:jc w:val="both"/>
              <w:rPr>
                <w:color w:val="000000"/>
                <w:sz w:val="20"/>
                <w:szCs w:val="20"/>
              </w:rPr>
            </w:pPr>
            <w:r w:rsidRPr="00D1008C">
              <w:rPr>
                <w:b/>
                <w:bCs/>
                <w:color w:val="000000"/>
                <w:sz w:val="20"/>
                <w:szCs w:val="20"/>
              </w:rPr>
              <w:t>A1</w:t>
            </w:r>
            <w:r w:rsidR="00D1008C">
              <w:rPr>
                <w:b/>
                <w:bCs/>
                <w:color w:val="000000"/>
                <w:sz w:val="20"/>
                <w:szCs w:val="20"/>
              </w:rPr>
              <w:t xml:space="preserve"> </w:t>
            </w:r>
            <w:r w:rsidRPr="00D1008C">
              <w:rPr>
                <w:b/>
                <w:bCs/>
                <w:color w:val="000000"/>
                <w:sz w:val="20"/>
                <w:szCs w:val="20"/>
              </w:rPr>
              <w:t>(13)</w:t>
            </w:r>
          </w:p>
        </w:tc>
        <w:tc>
          <w:tcPr>
            <w:tcW w:w="768"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11</w:t>
            </w:r>
            <w:r w:rsidR="005D72CC">
              <w:rPr>
                <w:rFonts w:eastAsiaTheme="minorEastAsia" w:hint="eastAsia"/>
                <w:color w:val="000000"/>
                <w:sz w:val="20"/>
                <w:szCs w:val="20"/>
                <w:lang w:eastAsia="zh-CN"/>
              </w:rPr>
              <w:t xml:space="preserve"> -</w:t>
            </w:r>
            <w:r w:rsidR="00D1008C">
              <w:rPr>
                <w:color w:val="000000"/>
                <w:sz w:val="20"/>
                <w:szCs w:val="20"/>
              </w:rPr>
              <w:t xml:space="preserve"> </w:t>
            </w:r>
            <w:r w:rsidRPr="00D1008C">
              <w:rPr>
                <w:color w:val="000000"/>
                <w:sz w:val="20"/>
                <w:szCs w:val="20"/>
              </w:rPr>
              <w:t>84.61</w:t>
            </w:r>
          </w:p>
        </w:tc>
        <w:tc>
          <w:tcPr>
            <w:tcW w:w="731"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2</w:t>
            </w:r>
            <w:r w:rsidR="005D72CC">
              <w:rPr>
                <w:color w:val="000000"/>
                <w:sz w:val="20"/>
                <w:szCs w:val="20"/>
              </w:rPr>
              <w:t xml:space="preserve"> -</w:t>
            </w:r>
            <w:r w:rsidRPr="00D1008C">
              <w:rPr>
                <w:color w:val="000000"/>
                <w:sz w:val="20"/>
                <w:szCs w:val="20"/>
              </w:rPr>
              <w:t xml:space="preserve"> 15.38</w:t>
            </w:r>
          </w:p>
        </w:tc>
        <w:tc>
          <w:tcPr>
            <w:tcW w:w="744"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637" w:type="pct"/>
            <w:vMerge/>
            <w:shd w:val="clear" w:color="auto" w:fill="auto"/>
            <w:vAlign w:val="center"/>
          </w:tcPr>
          <w:p w:rsidR="00C53350" w:rsidRPr="00D1008C" w:rsidRDefault="00C53350" w:rsidP="00DE0AC4">
            <w:pPr>
              <w:snapToGrid w:val="0"/>
              <w:jc w:val="both"/>
              <w:rPr>
                <w:color w:val="000000"/>
                <w:sz w:val="20"/>
                <w:szCs w:val="20"/>
              </w:rPr>
            </w:pPr>
          </w:p>
        </w:tc>
      </w:tr>
      <w:tr w:rsidR="0045204D" w:rsidRPr="00D1008C" w:rsidTr="00DE0AC4">
        <w:trPr>
          <w:jc w:val="center"/>
        </w:trPr>
        <w:tc>
          <w:tcPr>
            <w:tcW w:w="781" w:type="pct"/>
            <w:shd w:val="clear" w:color="auto" w:fill="auto"/>
            <w:vAlign w:val="center"/>
          </w:tcPr>
          <w:p w:rsidR="00C53350" w:rsidRPr="00D1008C" w:rsidRDefault="00C53350" w:rsidP="00DE0AC4">
            <w:pPr>
              <w:snapToGrid w:val="0"/>
              <w:jc w:val="both"/>
              <w:rPr>
                <w:b/>
                <w:bCs/>
                <w:color w:val="000000"/>
                <w:sz w:val="20"/>
                <w:szCs w:val="20"/>
              </w:rPr>
            </w:pPr>
            <w:r w:rsidRPr="00D1008C">
              <w:rPr>
                <w:b/>
                <w:bCs/>
                <w:color w:val="000000"/>
                <w:sz w:val="20"/>
                <w:szCs w:val="20"/>
              </w:rPr>
              <w:t>A2</w:t>
            </w:r>
            <w:r w:rsidR="00D1008C">
              <w:rPr>
                <w:b/>
                <w:bCs/>
                <w:color w:val="000000"/>
                <w:sz w:val="20"/>
                <w:szCs w:val="20"/>
              </w:rPr>
              <w:t xml:space="preserve"> </w:t>
            </w:r>
            <w:r w:rsidRPr="00D1008C">
              <w:rPr>
                <w:b/>
                <w:bCs/>
                <w:color w:val="000000"/>
                <w:sz w:val="20"/>
                <w:szCs w:val="20"/>
              </w:rPr>
              <w:t>( 9)</w:t>
            </w:r>
          </w:p>
        </w:tc>
        <w:tc>
          <w:tcPr>
            <w:tcW w:w="768"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6</w:t>
            </w:r>
            <w:r w:rsidR="005D72CC">
              <w:rPr>
                <w:color w:val="000000"/>
                <w:sz w:val="20"/>
                <w:szCs w:val="20"/>
              </w:rPr>
              <w:t xml:space="preserve"> -</w:t>
            </w:r>
            <w:r w:rsidR="00D1008C">
              <w:rPr>
                <w:color w:val="000000"/>
                <w:sz w:val="20"/>
                <w:szCs w:val="20"/>
              </w:rPr>
              <w:t xml:space="preserve"> </w:t>
            </w:r>
            <w:r w:rsidRPr="00D1008C">
              <w:rPr>
                <w:color w:val="000000"/>
                <w:sz w:val="20"/>
                <w:szCs w:val="20"/>
              </w:rPr>
              <w:t>66.66</w:t>
            </w:r>
          </w:p>
        </w:tc>
        <w:tc>
          <w:tcPr>
            <w:tcW w:w="731"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1</w:t>
            </w:r>
            <w:r w:rsidR="005D72CC">
              <w:rPr>
                <w:color w:val="000000"/>
                <w:sz w:val="20"/>
                <w:szCs w:val="20"/>
              </w:rPr>
              <w:t xml:space="preserve"> -</w:t>
            </w:r>
            <w:r w:rsidR="00D1008C">
              <w:rPr>
                <w:color w:val="000000"/>
                <w:sz w:val="20"/>
                <w:szCs w:val="20"/>
              </w:rPr>
              <w:t xml:space="preserve"> </w:t>
            </w:r>
            <w:r w:rsidRPr="00D1008C">
              <w:rPr>
                <w:color w:val="000000"/>
                <w:sz w:val="20"/>
                <w:szCs w:val="20"/>
              </w:rPr>
              <w:t>11.1</w:t>
            </w:r>
          </w:p>
        </w:tc>
        <w:tc>
          <w:tcPr>
            <w:tcW w:w="744"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2</w:t>
            </w:r>
            <w:r w:rsidR="005D72CC">
              <w:rPr>
                <w:color w:val="000000"/>
                <w:sz w:val="20"/>
                <w:szCs w:val="20"/>
              </w:rPr>
              <w:t xml:space="preserve"> -</w:t>
            </w:r>
            <w:r w:rsidR="00D1008C">
              <w:rPr>
                <w:color w:val="000000"/>
                <w:sz w:val="20"/>
                <w:szCs w:val="20"/>
              </w:rPr>
              <w:t xml:space="preserve"> </w:t>
            </w:r>
            <w:r w:rsidRPr="00D1008C">
              <w:rPr>
                <w:color w:val="000000"/>
                <w:sz w:val="20"/>
                <w:szCs w:val="20"/>
              </w:rPr>
              <w:t>22.2</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637" w:type="pct"/>
            <w:vMerge/>
            <w:shd w:val="clear" w:color="auto" w:fill="auto"/>
            <w:vAlign w:val="center"/>
          </w:tcPr>
          <w:p w:rsidR="00C53350" w:rsidRPr="00D1008C" w:rsidRDefault="00C53350" w:rsidP="00DE0AC4">
            <w:pPr>
              <w:snapToGrid w:val="0"/>
              <w:jc w:val="both"/>
              <w:rPr>
                <w:color w:val="000000"/>
                <w:sz w:val="20"/>
                <w:szCs w:val="20"/>
              </w:rPr>
            </w:pPr>
          </w:p>
        </w:tc>
      </w:tr>
      <w:tr w:rsidR="0045204D" w:rsidRPr="00D1008C" w:rsidTr="00DE0AC4">
        <w:trPr>
          <w:jc w:val="center"/>
        </w:trPr>
        <w:tc>
          <w:tcPr>
            <w:tcW w:w="781" w:type="pct"/>
            <w:shd w:val="clear" w:color="auto" w:fill="auto"/>
            <w:vAlign w:val="center"/>
          </w:tcPr>
          <w:p w:rsidR="00C53350" w:rsidRPr="00D1008C" w:rsidRDefault="00C53350" w:rsidP="00DE0AC4">
            <w:pPr>
              <w:snapToGrid w:val="0"/>
              <w:jc w:val="both"/>
              <w:rPr>
                <w:b/>
                <w:bCs/>
                <w:color w:val="000000"/>
                <w:sz w:val="20"/>
                <w:szCs w:val="20"/>
              </w:rPr>
            </w:pPr>
            <w:r w:rsidRPr="00D1008C">
              <w:rPr>
                <w:b/>
                <w:bCs/>
                <w:color w:val="000000"/>
                <w:sz w:val="20"/>
                <w:szCs w:val="20"/>
              </w:rPr>
              <w:t>A3</w:t>
            </w:r>
            <w:r w:rsidR="00D1008C">
              <w:rPr>
                <w:b/>
                <w:bCs/>
                <w:color w:val="000000"/>
                <w:sz w:val="20"/>
                <w:szCs w:val="20"/>
              </w:rPr>
              <w:t xml:space="preserve"> </w:t>
            </w:r>
            <w:r w:rsidRPr="00D1008C">
              <w:rPr>
                <w:b/>
                <w:bCs/>
                <w:color w:val="000000"/>
                <w:sz w:val="20"/>
                <w:szCs w:val="20"/>
              </w:rPr>
              <w:t>(23)</w:t>
            </w:r>
          </w:p>
        </w:tc>
        <w:tc>
          <w:tcPr>
            <w:tcW w:w="768"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10</w:t>
            </w:r>
            <w:r w:rsidR="005D72CC">
              <w:rPr>
                <w:color w:val="000000"/>
                <w:sz w:val="20"/>
                <w:szCs w:val="20"/>
              </w:rPr>
              <w:t xml:space="preserve"> -</w:t>
            </w:r>
            <w:r w:rsidRPr="00D1008C">
              <w:rPr>
                <w:color w:val="000000"/>
                <w:sz w:val="20"/>
                <w:szCs w:val="20"/>
              </w:rPr>
              <w:t xml:space="preserve"> 43.47</w:t>
            </w:r>
          </w:p>
        </w:tc>
        <w:tc>
          <w:tcPr>
            <w:tcW w:w="731"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 xml:space="preserve"> </w:t>
            </w:r>
            <w:r w:rsidRPr="00D1008C">
              <w:rPr>
                <w:color w:val="000000"/>
                <w:sz w:val="20"/>
                <w:szCs w:val="20"/>
              </w:rPr>
              <w:t>0</w:t>
            </w:r>
          </w:p>
        </w:tc>
        <w:tc>
          <w:tcPr>
            <w:tcW w:w="744"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5</w:t>
            </w:r>
            <w:r w:rsidR="005D72CC">
              <w:rPr>
                <w:color w:val="000000"/>
                <w:sz w:val="20"/>
                <w:szCs w:val="20"/>
              </w:rPr>
              <w:t xml:space="preserve"> -</w:t>
            </w:r>
            <w:r w:rsidRPr="00D1008C">
              <w:rPr>
                <w:color w:val="000000"/>
                <w:sz w:val="20"/>
                <w:szCs w:val="20"/>
              </w:rPr>
              <w:t xml:space="preserve"> 21.73</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8</w:t>
            </w:r>
            <w:r w:rsidR="005D72CC">
              <w:rPr>
                <w:color w:val="000000"/>
                <w:sz w:val="20"/>
                <w:szCs w:val="20"/>
              </w:rPr>
              <w:t xml:space="preserve"> -</w:t>
            </w:r>
            <w:r w:rsidRPr="00D1008C">
              <w:rPr>
                <w:color w:val="000000"/>
                <w:sz w:val="20"/>
                <w:szCs w:val="20"/>
              </w:rPr>
              <w:t xml:space="preserve"> 34.78</w:t>
            </w:r>
          </w:p>
        </w:tc>
        <w:tc>
          <w:tcPr>
            <w:tcW w:w="670" w:type="pct"/>
            <w:shd w:val="clear" w:color="auto" w:fill="auto"/>
            <w:vAlign w:val="center"/>
          </w:tcPr>
          <w:p w:rsidR="00C53350" w:rsidRPr="00D1008C" w:rsidRDefault="00C53350" w:rsidP="00DE0AC4">
            <w:pPr>
              <w:snapToGrid w:val="0"/>
              <w:jc w:val="both"/>
              <w:rPr>
                <w:color w:val="000000"/>
                <w:sz w:val="20"/>
                <w:szCs w:val="20"/>
              </w:rPr>
            </w:pPr>
            <w:r w:rsidRPr="00D1008C">
              <w:rPr>
                <w:color w:val="000000"/>
                <w:sz w:val="20"/>
                <w:szCs w:val="20"/>
              </w:rPr>
              <w:t>0</w:t>
            </w:r>
            <w:r w:rsidR="005D72CC">
              <w:rPr>
                <w:color w:val="000000"/>
                <w:sz w:val="20"/>
                <w:szCs w:val="20"/>
              </w:rPr>
              <w:t xml:space="preserve"> -</w:t>
            </w:r>
            <w:r w:rsidR="00D1008C">
              <w:rPr>
                <w:color w:val="000000"/>
                <w:sz w:val="20"/>
                <w:szCs w:val="20"/>
              </w:rPr>
              <w:t>.</w:t>
            </w:r>
            <w:r w:rsidRPr="00D1008C">
              <w:rPr>
                <w:color w:val="000000"/>
                <w:sz w:val="20"/>
                <w:szCs w:val="20"/>
              </w:rPr>
              <w:t>0</w:t>
            </w:r>
          </w:p>
        </w:tc>
        <w:tc>
          <w:tcPr>
            <w:tcW w:w="637" w:type="pct"/>
            <w:vMerge/>
            <w:shd w:val="clear" w:color="auto" w:fill="auto"/>
            <w:vAlign w:val="center"/>
          </w:tcPr>
          <w:p w:rsidR="00C53350" w:rsidRPr="00D1008C" w:rsidRDefault="00C53350" w:rsidP="00DE0AC4">
            <w:pPr>
              <w:snapToGrid w:val="0"/>
              <w:jc w:val="both"/>
              <w:rPr>
                <w:color w:val="000000"/>
                <w:sz w:val="20"/>
                <w:szCs w:val="20"/>
              </w:rPr>
            </w:pPr>
          </w:p>
        </w:tc>
      </w:tr>
    </w:tbl>
    <w:p w:rsidR="00C53350" w:rsidRPr="00D1008C" w:rsidRDefault="00C53350" w:rsidP="00DE0AC4">
      <w:pPr>
        <w:snapToGrid w:val="0"/>
        <w:jc w:val="both"/>
        <w:rPr>
          <w:sz w:val="20"/>
          <w:szCs w:val="20"/>
        </w:rPr>
      </w:pPr>
      <w:r w:rsidRPr="00D1008C">
        <w:rPr>
          <w:sz w:val="20"/>
          <w:szCs w:val="20"/>
        </w:rPr>
        <w:t>Cross tables, Pearson Chi-Square.</w:t>
      </w:r>
    </w:p>
    <w:p w:rsidR="00E255EA" w:rsidRPr="00D1008C" w:rsidRDefault="00E255EA" w:rsidP="004611F0">
      <w:pPr>
        <w:snapToGrid w:val="0"/>
        <w:ind w:firstLine="425"/>
        <w:jc w:val="both"/>
        <w:rPr>
          <w:sz w:val="20"/>
          <w:szCs w:val="20"/>
        </w:rPr>
      </w:pPr>
    </w:p>
    <w:p w:rsidR="00D7540E" w:rsidRPr="00D1008C" w:rsidRDefault="00D7540E" w:rsidP="004611F0">
      <w:pPr>
        <w:snapToGrid w:val="0"/>
        <w:ind w:firstLine="425"/>
        <w:jc w:val="both"/>
        <w:rPr>
          <w:sz w:val="20"/>
          <w:szCs w:val="20"/>
        </w:rPr>
        <w:sectPr w:rsidR="00D7540E" w:rsidRPr="00D1008C" w:rsidSect="00F93E9F">
          <w:type w:val="continuous"/>
          <w:pgSz w:w="12242" w:h="15842" w:code="1"/>
          <w:pgMar w:top="1440" w:right="1440" w:bottom="1440" w:left="1440" w:header="720" w:footer="720" w:gutter="0"/>
          <w:cols w:space="709"/>
          <w:bidi/>
          <w:docGrid w:linePitch="360"/>
        </w:sectPr>
      </w:pPr>
    </w:p>
    <w:p w:rsidR="00C53350" w:rsidRPr="00D1008C" w:rsidRDefault="00C53350" w:rsidP="004611F0">
      <w:pPr>
        <w:snapToGrid w:val="0"/>
        <w:ind w:firstLine="425"/>
        <w:jc w:val="both"/>
        <w:rPr>
          <w:sz w:val="20"/>
          <w:szCs w:val="20"/>
        </w:rPr>
      </w:pPr>
      <w:r w:rsidRPr="00D1008C">
        <w:rPr>
          <w:sz w:val="20"/>
          <w:szCs w:val="20"/>
        </w:rPr>
        <w:lastRenderedPageBreak/>
        <w:t>There is significant difference of tissue expression of OCT3/4 between different grades of inflammation</w:t>
      </w:r>
      <w:r w:rsidR="00D1008C">
        <w:rPr>
          <w:sz w:val="20"/>
          <w:szCs w:val="20"/>
        </w:rPr>
        <w:t xml:space="preserve"> </w:t>
      </w:r>
      <w:r w:rsidRPr="00D1008C">
        <w:rPr>
          <w:sz w:val="20"/>
          <w:szCs w:val="20"/>
        </w:rPr>
        <w:t>as in A1 only two patient of thirteen (15.38 %) was staining</w:t>
      </w:r>
      <w:r w:rsidR="00D1008C">
        <w:rPr>
          <w:sz w:val="20"/>
          <w:szCs w:val="20"/>
        </w:rPr>
        <w:t xml:space="preserve"> </w:t>
      </w:r>
      <w:r w:rsidRPr="00D1008C">
        <w:rPr>
          <w:sz w:val="20"/>
          <w:szCs w:val="20"/>
        </w:rPr>
        <w:t>+ve for</w:t>
      </w:r>
      <w:r w:rsidR="00D1008C">
        <w:rPr>
          <w:sz w:val="20"/>
          <w:szCs w:val="20"/>
        </w:rPr>
        <w:t xml:space="preserve"> </w:t>
      </w:r>
      <w:r w:rsidRPr="00D1008C">
        <w:rPr>
          <w:sz w:val="20"/>
          <w:szCs w:val="20"/>
        </w:rPr>
        <w:t>OCT3/4 (1- 25 )</w:t>
      </w:r>
      <w:r w:rsidR="00D1008C">
        <w:rPr>
          <w:sz w:val="20"/>
          <w:szCs w:val="20"/>
        </w:rPr>
        <w:t>,</w:t>
      </w:r>
      <w:r w:rsidR="00420112">
        <w:rPr>
          <w:rFonts w:eastAsiaTheme="minorEastAsia" w:hint="eastAsia"/>
          <w:sz w:val="20"/>
          <w:szCs w:val="20"/>
          <w:lang w:eastAsia="zh-CN"/>
        </w:rPr>
        <w:t xml:space="preserve"> </w:t>
      </w:r>
      <w:r w:rsidRPr="00D1008C">
        <w:rPr>
          <w:sz w:val="20"/>
          <w:szCs w:val="20"/>
        </w:rPr>
        <w:t>in A2 three patients of nine were +ve for OCT 3/4 one of them at</w:t>
      </w:r>
      <w:r w:rsidR="00D1008C">
        <w:rPr>
          <w:sz w:val="20"/>
          <w:szCs w:val="20"/>
        </w:rPr>
        <w:t xml:space="preserve"> </w:t>
      </w:r>
      <w:r w:rsidRPr="00D1008C">
        <w:rPr>
          <w:sz w:val="20"/>
          <w:szCs w:val="20"/>
        </w:rPr>
        <w:t xml:space="preserve">(1-25) </w:t>
      </w:r>
      <w:r w:rsidRPr="00D1008C">
        <w:rPr>
          <w:sz w:val="20"/>
          <w:szCs w:val="20"/>
        </w:rPr>
        <w:lastRenderedPageBreak/>
        <w:t>and two</w:t>
      </w:r>
      <w:r w:rsidR="00D1008C">
        <w:rPr>
          <w:sz w:val="20"/>
          <w:szCs w:val="20"/>
        </w:rPr>
        <w:t xml:space="preserve"> </w:t>
      </w:r>
      <w:r w:rsidRPr="00D1008C">
        <w:rPr>
          <w:sz w:val="20"/>
          <w:szCs w:val="20"/>
        </w:rPr>
        <w:t>at (26-50), while in A3 thirteen patients from twenty three were +ve for</w:t>
      </w:r>
      <w:r w:rsidR="00D1008C">
        <w:rPr>
          <w:sz w:val="20"/>
          <w:szCs w:val="20"/>
        </w:rPr>
        <w:t xml:space="preserve"> </w:t>
      </w:r>
      <w:r w:rsidRPr="00D1008C">
        <w:rPr>
          <w:sz w:val="20"/>
          <w:szCs w:val="20"/>
        </w:rPr>
        <w:t>OCT3/4 five and eight in (26-50)</w:t>
      </w:r>
      <w:r w:rsidR="00420112">
        <w:rPr>
          <w:rFonts w:eastAsiaTheme="minorEastAsia" w:hint="eastAsia"/>
          <w:sz w:val="20"/>
          <w:szCs w:val="20"/>
          <w:lang w:eastAsia="zh-CN"/>
        </w:rPr>
        <w:t xml:space="preserve"> </w:t>
      </w:r>
      <w:r w:rsidRPr="00D1008C">
        <w:rPr>
          <w:sz w:val="20"/>
          <w:szCs w:val="20"/>
        </w:rPr>
        <w:t>and (51-75) respectively.</w:t>
      </w:r>
    </w:p>
    <w:p w:rsidR="00C53350" w:rsidRPr="00D1008C" w:rsidRDefault="00C53350" w:rsidP="004611F0">
      <w:pPr>
        <w:tabs>
          <w:tab w:val="right" w:pos="709"/>
        </w:tabs>
        <w:snapToGrid w:val="0"/>
        <w:ind w:firstLine="425"/>
        <w:jc w:val="both"/>
        <w:rPr>
          <w:sz w:val="20"/>
          <w:szCs w:val="20"/>
        </w:rPr>
      </w:pPr>
      <w:r w:rsidRPr="00D1008C">
        <w:rPr>
          <w:sz w:val="20"/>
          <w:szCs w:val="20"/>
        </w:rPr>
        <w:t>Expression of OCT3/4 increase with increasing grades of activity.</w:t>
      </w:r>
    </w:p>
    <w:p w:rsidR="00D7540E" w:rsidRPr="00D1008C" w:rsidRDefault="00D7540E" w:rsidP="004611F0">
      <w:pPr>
        <w:snapToGrid w:val="0"/>
        <w:jc w:val="center"/>
        <w:rPr>
          <w:b/>
          <w:bCs/>
          <w:sz w:val="20"/>
          <w:szCs w:val="20"/>
        </w:rPr>
        <w:sectPr w:rsidR="00D7540E" w:rsidRPr="00D1008C" w:rsidSect="00D7540E">
          <w:type w:val="continuous"/>
          <w:pgSz w:w="12242" w:h="15842" w:code="1"/>
          <w:pgMar w:top="1440" w:right="1440" w:bottom="1440" w:left="1440" w:header="720" w:footer="720" w:gutter="0"/>
          <w:cols w:num="2" w:space="425"/>
          <w:docGrid w:linePitch="360"/>
        </w:sectPr>
      </w:pPr>
    </w:p>
    <w:p w:rsidR="00FB545F" w:rsidRPr="00D1008C" w:rsidRDefault="00FB545F" w:rsidP="004611F0">
      <w:pPr>
        <w:snapToGrid w:val="0"/>
        <w:jc w:val="center"/>
        <w:rPr>
          <w:b/>
          <w:bCs/>
          <w:sz w:val="20"/>
          <w:szCs w:val="20"/>
        </w:rPr>
      </w:pPr>
    </w:p>
    <w:p w:rsidR="00C53350" w:rsidRPr="00D1008C" w:rsidRDefault="00277E93" w:rsidP="004611F0">
      <w:pPr>
        <w:snapToGrid w:val="0"/>
        <w:jc w:val="center"/>
        <w:rPr>
          <w:sz w:val="20"/>
          <w:szCs w:val="20"/>
        </w:rPr>
      </w:pPr>
      <w:r w:rsidRPr="00D1008C">
        <w:rPr>
          <w:b/>
          <w:bCs/>
          <w:sz w:val="20"/>
          <w:szCs w:val="20"/>
        </w:rPr>
        <w:t>Table (13</w:t>
      </w:r>
      <w:r w:rsidR="00C53350" w:rsidRPr="00D1008C">
        <w:rPr>
          <w:b/>
          <w:bCs/>
          <w:sz w:val="20"/>
          <w:szCs w:val="20"/>
        </w:rPr>
        <w:t>):</w:t>
      </w:r>
      <w:r w:rsidR="00C53350" w:rsidRPr="00D1008C">
        <w:rPr>
          <w:sz w:val="20"/>
          <w:szCs w:val="20"/>
        </w:rPr>
        <w:t xml:space="preserve"> Tissue expression of OCT3/4 in different Stages of fibrosis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033"/>
        <w:gridCol w:w="833"/>
        <w:gridCol w:w="933"/>
        <w:gridCol w:w="1033"/>
        <w:gridCol w:w="467"/>
        <w:gridCol w:w="467"/>
        <w:gridCol w:w="1194"/>
        <w:gridCol w:w="783"/>
        <w:gridCol w:w="833"/>
        <w:gridCol w:w="838"/>
      </w:tblGrid>
      <w:tr w:rsidR="0045204D" w:rsidRPr="00D1008C" w:rsidTr="00D7540E">
        <w:trPr>
          <w:jc w:val="center"/>
        </w:trPr>
        <w:tc>
          <w:tcPr>
            <w:tcW w:w="0" w:type="auto"/>
            <w:gridSpan w:val="4"/>
            <w:vMerge w:val="restart"/>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Stages /N</w:t>
            </w:r>
          </w:p>
        </w:tc>
        <w:tc>
          <w:tcPr>
            <w:tcW w:w="0" w:type="auto"/>
            <w:gridSpan w:val="6"/>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OCT3/4</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i/>
                <w:iCs/>
                <w:color w:val="000000"/>
                <w:sz w:val="20"/>
                <w:szCs w:val="20"/>
              </w:rPr>
              <w:t>P</w:t>
            </w:r>
            <w:r w:rsidRPr="00D1008C">
              <w:rPr>
                <w:bCs/>
                <w:color w:val="000000"/>
                <w:sz w:val="20"/>
                <w:szCs w:val="20"/>
              </w:rPr>
              <w:t>-value</w:t>
            </w:r>
          </w:p>
        </w:tc>
      </w:tr>
      <w:tr w:rsidR="00D1008C" w:rsidRPr="00D1008C" w:rsidTr="00D7540E">
        <w:trPr>
          <w:jc w:val="center"/>
        </w:trPr>
        <w:tc>
          <w:tcPr>
            <w:tcW w:w="0" w:type="auto"/>
            <w:gridSpan w:val="4"/>
            <w:vMerge/>
            <w:shd w:val="clear" w:color="auto" w:fill="auto"/>
            <w:vAlign w:val="center"/>
          </w:tcPr>
          <w:p w:rsidR="00C53350" w:rsidRPr="00D1008C" w:rsidRDefault="00C53350" w:rsidP="00D7540E">
            <w:pPr>
              <w:snapToGrid w:val="0"/>
              <w:jc w:val="both"/>
              <w:rPr>
                <w:bCs/>
                <w:color w:val="000000"/>
                <w:sz w:val="20"/>
                <w:szCs w:val="20"/>
              </w:rPr>
            </w:pP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-Ve</w:t>
            </w:r>
          </w:p>
          <w:p w:rsidR="00C53350" w:rsidRPr="00D1008C" w:rsidRDefault="00C53350" w:rsidP="00D1008C">
            <w:pPr>
              <w:snapToGrid w:val="0"/>
              <w:jc w:val="both"/>
              <w:rPr>
                <w:bCs/>
                <w:color w:val="000000"/>
                <w:sz w:val="20"/>
                <w:szCs w:val="20"/>
              </w:rPr>
            </w:pPr>
            <w:r w:rsidRPr="00D1008C">
              <w:rPr>
                <w:bCs/>
                <w:color w:val="000000"/>
                <w:sz w:val="20"/>
                <w:szCs w:val="20"/>
              </w:rPr>
              <w:t>N</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w:t>
            </w:r>
          </w:p>
        </w:tc>
        <w:tc>
          <w:tcPr>
            <w:tcW w:w="0" w:type="auto"/>
            <w:gridSpan w:val="2"/>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1</w:t>
            </w:r>
            <w:r w:rsidR="00D1008C">
              <w:rPr>
                <w:bCs/>
                <w:color w:val="000000"/>
                <w:sz w:val="20"/>
                <w:szCs w:val="20"/>
              </w:rPr>
              <w:t xml:space="preserve"> </w:t>
            </w:r>
            <w:r w:rsidRPr="00D1008C">
              <w:rPr>
                <w:bCs/>
                <w:color w:val="000000"/>
                <w:sz w:val="20"/>
                <w:szCs w:val="20"/>
              </w:rPr>
              <w:t>-</w:t>
            </w:r>
            <w:r w:rsidR="00D1008C">
              <w:rPr>
                <w:bCs/>
                <w:color w:val="000000"/>
                <w:sz w:val="20"/>
                <w:szCs w:val="20"/>
              </w:rPr>
              <w:t xml:space="preserve"> </w:t>
            </w:r>
            <w:r w:rsidRPr="00D1008C">
              <w:rPr>
                <w:bCs/>
                <w:color w:val="000000"/>
                <w:sz w:val="20"/>
                <w:szCs w:val="20"/>
              </w:rPr>
              <w:t>25</w:t>
            </w:r>
          </w:p>
          <w:p w:rsidR="00C53350" w:rsidRPr="00D1008C" w:rsidRDefault="00C53350" w:rsidP="00D7540E">
            <w:pPr>
              <w:snapToGrid w:val="0"/>
              <w:jc w:val="both"/>
              <w:rPr>
                <w:bCs/>
                <w:color w:val="000000"/>
                <w:sz w:val="20"/>
                <w:szCs w:val="20"/>
              </w:rPr>
            </w:pPr>
            <w:r w:rsidRPr="00D1008C">
              <w:rPr>
                <w:bCs/>
                <w:color w:val="000000"/>
                <w:sz w:val="20"/>
                <w:szCs w:val="20"/>
              </w:rPr>
              <w:t>N</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26 -</w:t>
            </w:r>
            <w:r w:rsidR="00D1008C">
              <w:rPr>
                <w:bCs/>
                <w:color w:val="000000"/>
                <w:sz w:val="20"/>
                <w:szCs w:val="20"/>
              </w:rPr>
              <w:t xml:space="preserve"> </w:t>
            </w:r>
            <w:r w:rsidRPr="00D1008C">
              <w:rPr>
                <w:bCs/>
                <w:color w:val="000000"/>
                <w:sz w:val="20"/>
                <w:szCs w:val="20"/>
              </w:rPr>
              <w:t>50</w:t>
            </w:r>
            <w:r w:rsidR="00D1008C">
              <w:rPr>
                <w:bCs/>
                <w:color w:val="000000"/>
                <w:sz w:val="20"/>
                <w:szCs w:val="20"/>
              </w:rPr>
              <w:t xml:space="preserve"> </w:t>
            </w:r>
            <w:r w:rsidRPr="00D1008C">
              <w:rPr>
                <w:bCs/>
                <w:color w:val="000000"/>
                <w:sz w:val="20"/>
                <w:szCs w:val="20"/>
              </w:rPr>
              <w:t>N</w:t>
            </w:r>
            <w:r w:rsidR="00D1008C">
              <w:rPr>
                <w:bCs/>
                <w:color w:val="000000"/>
                <w:sz w:val="20"/>
                <w:szCs w:val="20"/>
              </w:rPr>
              <w:t xml:space="preserve"> </w:t>
            </w:r>
            <w:r w:rsidRPr="00D1008C">
              <w:rPr>
                <w:bCs/>
                <w:color w:val="000000"/>
                <w:sz w:val="20"/>
                <w:szCs w:val="20"/>
              </w:rPr>
              <w:t>%</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51 - 75</w:t>
            </w:r>
          </w:p>
          <w:p w:rsidR="00C53350" w:rsidRPr="00D1008C" w:rsidRDefault="00C53350" w:rsidP="00D7540E">
            <w:pPr>
              <w:snapToGrid w:val="0"/>
              <w:jc w:val="both"/>
              <w:rPr>
                <w:bCs/>
                <w:color w:val="000000"/>
                <w:sz w:val="20"/>
                <w:szCs w:val="20"/>
              </w:rPr>
            </w:pPr>
            <w:r w:rsidRPr="00D1008C">
              <w:rPr>
                <w:bCs/>
                <w:color w:val="000000"/>
                <w:sz w:val="20"/>
                <w:szCs w:val="20"/>
              </w:rPr>
              <w:t>N</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76 -100</w:t>
            </w:r>
          </w:p>
          <w:p w:rsidR="00C53350" w:rsidRPr="00D1008C" w:rsidRDefault="00C53350" w:rsidP="00D7540E">
            <w:pPr>
              <w:snapToGrid w:val="0"/>
              <w:jc w:val="both"/>
              <w:rPr>
                <w:bCs/>
                <w:color w:val="000000"/>
                <w:sz w:val="20"/>
                <w:szCs w:val="20"/>
              </w:rPr>
            </w:pPr>
            <w:r w:rsidRPr="00D1008C">
              <w:rPr>
                <w:bCs/>
                <w:color w:val="000000"/>
                <w:sz w:val="20"/>
                <w:szCs w:val="20"/>
              </w:rPr>
              <w:t>N</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w:t>
            </w:r>
          </w:p>
        </w:tc>
        <w:tc>
          <w:tcPr>
            <w:tcW w:w="0" w:type="auto"/>
            <w:vMerge w:val="restart"/>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&lt;.001</w:t>
            </w:r>
          </w:p>
        </w:tc>
      </w:tr>
      <w:tr w:rsidR="00D1008C" w:rsidRPr="00D1008C" w:rsidTr="00D7540E">
        <w:trPr>
          <w:jc w:val="center"/>
        </w:trPr>
        <w:tc>
          <w:tcPr>
            <w:tcW w:w="0" w:type="auto"/>
            <w:gridSpan w:val="4"/>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F1</w:t>
            </w:r>
            <w:r w:rsidR="00D1008C">
              <w:rPr>
                <w:bCs/>
                <w:color w:val="000000"/>
                <w:sz w:val="20"/>
                <w:szCs w:val="20"/>
              </w:rPr>
              <w:t xml:space="preserve"> </w:t>
            </w:r>
            <w:r w:rsidRPr="00D1008C">
              <w:rPr>
                <w:bCs/>
                <w:color w:val="000000"/>
                <w:sz w:val="20"/>
                <w:szCs w:val="20"/>
              </w:rPr>
              <w:t>(13)</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11</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84.61</w:t>
            </w:r>
          </w:p>
        </w:tc>
        <w:tc>
          <w:tcPr>
            <w:tcW w:w="0" w:type="auto"/>
            <w:gridSpan w:val="2"/>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0</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0</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2</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15.38</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0</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0</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0</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0</w:t>
            </w:r>
          </w:p>
        </w:tc>
        <w:tc>
          <w:tcPr>
            <w:tcW w:w="0" w:type="auto"/>
            <w:vMerge/>
            <w:shd w:val="clear" w:color="auto" w:fill="auto"/>
            <w:vAlign w:val="center"/>
          </w:tcPr>
          <w:p w:rsidR="00C53350" w:rsidRPr="00D1008C" w:rsidRDefault="00C53350" w:rsidP="00D7540E">
            <w:pPr>
              <w:snapToGrid w:val="0"/>
              <w:jc w:val="both"/>
              <w:rPr>
                <w:bCs/>
                <w:color w:val="000000"/>
                <w:sz w:val="20"/>
                <w:szCs w:val="20"/>
              </w:rPr>
            </w:pPr>
          </w:p>
        </w:tc>
      </w:tr>
      <w:tr w:rsidR="00D1008C" w:rsidRPr="00D1008C" w:rsidTr="00D7540E">
        <w:trPr>
          <w:jc w:val="center"/>
        </w:trPr>
        <w:tc>
          <w:tcPr>
            <w:tcW w:w="0" w:type="auto"/>
            <w:gridSpan w:val="4"/>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F2</w:t>
            </w:r>
            <w:r w:rsidR="00D1008C">
              <w:rPr>
                <w:bCs/>
                <w:color w:val="000000"/>
                <w:sz w:val="20"/>
                <w:szCs w:val="20"/>
              </w:rPr>
              <w:t xml:space="preserve"> </w:t>
            </w:r>
            <w:r w:rsidRPr="00D1008C">
              <w:rPr>
                <w:bCs/>
                <w:color w:val="000000"/>
                <w:sz w:val="20"/>
                <w:szCs w:val="20"/>
              </w:rPr>
              <w:t>( 6)</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3</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50</w:t>
            </w:r>
          </w:p>
        </w:tc>
        <w:tc>
          <w:tcPr>
            <w:tcW w:w="0" w:type="auto"/>
            <w:gridSpan w:val="2"/>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1</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16.66</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2</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33.33</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0</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0</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0</w:t>
            </w:r>
            <w:r w:rsidR="005D72CC">
              <w:rPr>
                <w:bCs/>
                <w:color w:val="000000"/>
                <w:sz w:val="20"/>
                <w:szCs w:val="20"/>
              </w:rPr>
              <w:t xml:space="preserve"> -</w:t>
            </w:r>
            <w:r w:rsidRPr="00D1008C">
              <w:rPr>
                <w:bCs/>
                <w:color w:val="000000"/>
                <w:sz w:val="20"/>
                <w:szCs w:val="20"/>
              </w:rPr>
              <w:t xml:space="preserve"> 0</w:t>
            </w:r>
          </w:p>
        </w:tc>
        <w:tc>
          <w:tcPr>
            <w:tcW w:w="0" w:type="auto"/>
            <w:vMerge/>
            <w:shd w:val="clear" w:color="auto" w:fill="auto"/>
            <w:vAlign w:val="center"/>
          </w:tcPr>
          <w:p w:rsidR="00C53350" w:rsidRPr="00D1008C" w:rsidRDefault="00C53350" w:rsidP="00D7540E">
            <w:pPr>
              <w:snapToGrid w:val="0"/>
              <w:jc w:val="both"/>
              <w:rPr>
                <w:bCs/>
                <w:color w:val="000000"/>
                <w:sz w:val="20"/>
                <w:szCs w:val="20"/>
              </w:rPr>
            </w:pPr>
          </w:p>
        </w:tc>
      </w:tr>
      <w:tr w:rsidR="00D1008C" w:rsidRPr="00D1008C" w:rsidTr="00D7540E">
        <w:trPr>
          <w:gridAfter w:val="1"/>
          <w:jc w:val="center"/>
        </w:trPr>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F3+4</w:t>
            </w:r>
            <w:r w:rsidR="005D72CC">
              <w:rPr>
                <w:bCs/>
                <w:color w:val="000000"/>
                <w:sz w:val="20"/>
                <w:szCs w:val="20"/>
              </w:rPr>
              <w:t xml:space="preserve"> -</w:t>
            </w:r>
            <w:r w:rsidRPr="00D1008C">
              <w:rPr>
                <w:bCs/>
                <w:color w:val="000000"/>
                <w:sz w:val="20"/>
                <w:szCs w:val="20"/>
              </w:rPr>
              <w:t>(26)</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14</w:t>
            </w:r>
            <w:r w:rsidR="005D72CC">
              <w:rPr>
                <w:bCs/>
                <w:color w:val="000000"/>
                <w:sz w:val="20"/>
                <w:szCs w:val="20"/>
              </w:rPr>
              <w:t xml:space="preserve"> -</w:t>
            </w:r>
            <w:r w:rsidR="00D1008C">
              <w:rPr>
                <w:rFonts w:eastAsiaTheme="minorEastAsia" w:hint="eastAsia"/>
                <w:bCs/>
                <w:color w:val="000000"/>
                <w:sz w:val="20"/>
                <w:szCs w:val="20"/>
                <w:lang w:eastAsia="zh-CN"/>
              </w:rPr>
              <w:t xml:space="preserve"> </w:t>
            </w:r>
            <w:r w:rsidRPr="00D1008C">
              <w:rPr>
                <w:bCs/>
                <w:color w:val="000000"/>
                <w:sz w:val="20"/>
                <w:szCs w:val="20"/>
              </w:rPr>
              <w:t>53.84</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1</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3.84</w:t>
            </w:r>
          </w:p>
        </w:tc>
        <w:tc>
          <w:tcPr>
            <w:tcW w:w="0" w:type="auto"/>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3</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11.53</w:t>
            </w:r>
          </w:p>
        </w:tc>
        <w:tc>
          <w:tcPr>
            <w:tcW w:w="0" w:type="auto"/>
            <w:gridSpan w:val="2"/>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8</w:t>
            </w:r>
            <w:r w:rsidR="005D72CC">
              <w:rPr>
                <w:rFonts w:eastAsiaTheme="minorEastAsia" w:hint="eastAsia"/>
                <w:bCs/>
                <w:color w:val="000000"/>
                <w:sz w:val="20"/>
                <w:szCs w:val="20"/>
                <w:lang w:eastAsia="zh-CN"/>
              </w:rPr>
              <w:t xml:space="preserve"> -</w:t>
            </w:r>
            <w:r w:rsidR="00D1008C">
              <w:rPr>
                <w:bCs/>
                <w:color w:val="000000"/>
                <w:sz w:val="20"/>
                <w:szCs w:val="20"/>
              </w:rPr>
              <w:t xml:space="preserve"> </w:t>
            </w:r>
            <w:r w:rsidRPr="00D1008C">
              <w:rPr>
                <w:bCs/>
                <w:color w:val="000000"/>
                <w:sz w:val="20"/>
                <w:szCs w:val="20"/>
              </w:rPr>
              <w:t>30.76</w:t>
            </w:r>
          </w:p>
        </w:tc>
        <w:tc>
          <w:tcPr>
            <w:tcW w:w="0" w:type="auto"/>
            <w:gridSpan w:val="2"/>
            <w:shd w:val="clear" w:color="auto" w:fill="auto"/>
            <w:vAlign w:val="center"/>
          </w:tcPr>
          <w:p w:rsidR="00C53350" w:rsidRPr="00D1008C" w:rsidRDefault="00C53350" w:rsidP="00D7540E">
            <w:pPr>
              <w:snapToGrid w:val="0"/>
              <w:jc w:val="both"/>
              <w:rPr>
                <w:bCs/>
                <w:color w:val="000000"/>
                <w:sz w:val="20"/>
                <w:szCs w:val="20"/>
              </w:rPr>
            </w:pPr>
            <w:r w:rsidRPr="00D1008C">
              <w:rPr>
                <w:bCs/>
                <w:color w:val="000000"/>
                <w:sz w:val="20"/>
                <w:szCs w:val="20"/>
              </w:rPr>
              <w:t>0</w:t>
            </w:r>
            <w:r w:rsidR="005D72CC">
              <w:rPr>
                <w:bCs/>
                <w:color w:val="000000"/>
                <w:sz w:val="20"/>
                <w:szCs w:val="20"/>
              </w:rPr>
              <w:t xml:space="preserve"> -</w:t>
            </w:r>
            <w:r w:rsidR="00D1008C">
              <w:rPr>
                <w:bCs/>
                <w:color w:val="000000"/>
                <w:sz w:val="20"/>
                <w:szCs w:val="20"/>
              </w:rPr>
              <w:t xml:space="preserve"> </w:t>
            </w:r>
            <w:r w:rsidRPr="00D1008C">
              <w:rPr>
                <w:bCs/>
                <w:color w:val="000000"/>
                <w:sz w:val="20"/>
                <w:szCs w:val="20"/>
              </w:rPr>
              <w:t>0</w:t>
            </w:r>
          </w:p>
        </w:tc>
        <w:tc>
          <w:tcPr>
            <w:tcW w:w="0" w:type="auto"/>
            <w:gridSpan w:val="2"/>
            <w:shd w:val="clear" w:color="auto" w:fill="auto"/>
            <w:vAlign w:val="center"/>
          </w:tcPr>
          <w:p w:rsidR="00C53350" w:rsidRPr="00D1008C" w:rsidRDefault="00C53350" w:rsidP="00D7540E">
            <w:pPr>
              <w:snapToGrid w:val="0"/>
              <w:jc w:val="both"/>
              <w:rPr>
                <w:bCs/>
                <w:color w:val="000000"/>
                <w:sz w:val="20"/>
                <w:szCs w:val="20"/>
              </w:rPr>
            </w:pPr>
          </w:p>
        </w:tc>
      </w:tr>
    </w:tbl>
    <w:p w:rsidR="00C53350" w:rsidRPr="00D1008C" w:rsidRDefault="00C53350" w:rsidP="00DE0AC4">
      <w:pPr>
        <w:snapToGrid w:val="0"/>
        <w:jc w:val="both"/>
        <w:rPr>
          <w:b/>
          <w:bCs/>
          <w:sz w:val="20"/>
          <w:szCs w:val="20"/>
        </w:rPr>
      </w:pPr>
      <w:r w:rsidRPr="00D1008C">
        <w:rPr>
          <w:b/>
          <w:bCs/>
          <w:sz w:val="20"/>
          <w:szCs w:val="20"/>
        </w:rPr>
        <w:t>Cross tabs, person Chi-square (</w:t>
      </w:r>
      <w:r w:rsidRPr="00D1008C">
        <w:rPr>
          <w:b/>
          <w:bCs/>
          <w:i/>
          <w:iCs/>
          <w:sz w:val="20"/>
          <w:szCs w:val="20"/>
        </w:rPr>
        <w:t>p</w:t>
      </w:r>
      <w:r w:rsidRPr="00D1008C">
        <w:rPr>
          <w:b/>
          <w:bCs/>
          <w:sz w:val="20"/>
          <w:szCs w:val="20"/>
        </w:rPr>
        <w:t>&lt;0.01)</w:t>
      </w:r>
    </w:p>
    <w:p w:rsidR="00FB545F" w:rsidRPr="00D1008C" w:rsidRDefault="00FB545F" w:rsidP="004611F0">
      <w:pPr>
        <w:tabs>
          <w:tab w:val="right" w:pos="426"/>
        </w:tabs>
        <w:snapToGrid w:val="0"/>
        <w:ind w:firstLine="425"/>
        <w:jc w:val="both"/>
        <w:rPr>
          <w:sz w:val="20"/>
          <w:szCs w:val="20"/>
        </w:rPr>
      </w:pPr>
    </w:p>
    <w:p w:rsidR="00D7540E" w:rsidRPr="00D1008C" w:rsidRDefault="00D7540E" w:rsidP="004611F0">
      <w:pPr>
        <w:tabs>
          <w:tab w:val="right" w:pos="426"/>
        </w:tabs>
        <w:snapToGrid w:val="0"/>
        <w:ind w:firstLine="425"/>
        <w:jc w:val="both"/>
        <w:rPr>
          <w:sz w:val="20"/>
          <w:szCs w:val="20"/>
        </w:rPr>
        <w:sectPr w:rsidR="00D7540E" w:rsidRPr="00D1008C" w:rsidSect="00F93E9F">
          <w:headerReference w:type="default" r:id="rId30"/>
          <w:type w:val="continuous"/>
          <w:pgSz w:w="12242" w:h="15842" w:code="1"/>
          <w:pgMar w:top="1440" w:right="1440" w:bottom="1440" w:left="1440" w:header="720" w:footer="720" w:gutter="0"/>
          <w:cols w:space="708"/>
          <w:bidi/>
          <w:docGrid w:linePitch="360"/>
        </w:sectPr>
      </w:pPr>
    </w:p>
    <w:p w:rsidR="004611F0" w:rsidRPr="00D1008C" w:rsidRDefault="00C53350" w:rsidP="004611F0">
      <w:pPr>
        <w:tabs>
          <w:tab w:val="right" w:pos="426"/>
        </w:tabs>
        <w:snapToGrid w:val="0"/>
        <w:ind w:firstLine="425"/>
        <w:jc w:val="both"/>
        <w:rPr>
          <w:sz w:val="20"/>
          <w:szCs w:val="20"/>
        </w:rPr>
      </w:pPr>
      <w:r w:rsidRPr="00D1008C">
        <w:rPr>
          <w:sz w:val="20"/>
          <w:szCs w:val="20"/>
        </w:rPr>
        <w:lastRenderedPageBreak/>
        <w:t>There is significant difference of tissue expression of OCT3/4 between different stages of fibrosis, as in F1 two patients (15.38%) was staining positive for OCT3/4 at (26-50), while in F2, one patients (16.66%) was staining positive for OCT3/4</w:t>
      </w:r>
      <w:r w:rsidR="00D1008C">
        <w:rPr>
          <w:sz w:val="20"/>
          <w:szCs w:val="20"/>
        </w:rPr>
        <w:t xml:space="preserve"> </w:t>
      </w:r>
      <w:r w:rsidRPr="00D1008C">
        <w:rPr>
          <w:sz w:val="20"/>
          <w:szCs w:val="20"/>
        </w:rPr>
        <w:t>at (1-25)</w:t>
      </w:r>
      <w:r w:rsidR="00D1008C">
        <w:rPr>
          <w:sz w:val="20"/>
          <w:szCs w:val="20"/>
        </w:rPr>
        <w:t>,</w:t>
      </w:r>
      <w:r w:rsidR="00087ECF">
        <w:rPr>
          <w:rFonts w:eastAsiaTheme="minorEastAsia" w:hint="eastAsia"/>
          <w:sz w:val="20"/>
          <w:szCs w:val="20"/>
          <w:lang w:eastAsia="zh-CN"/>
        </w:rPr>
        <w:t xml:space="preserve"> </w:t>
      </w:r>
      <w:r w:rsidRPr="00D1008C">
        <w:rPr>
          <w:sz w:val="20"/>
          <w:szCs w:val="20"/>
        </w:rPr>
        <w:t>and at (26-50) were two patients (33.33%), While in F3 one patient</w:t>
      </w:r>
      <w:r w:rsidR="00087ECF">
        <w:rPr>
          <w:rFonts w:eastAsiaTheme="minorEastAsia" w:hint="eastAsia"/>
          <w:sz w:val="20"/>
          <w:szCs w:val="20"/>
          <w:lang w:eastAsia="zh-CN"/>
        </w:rPr>
        <w:t xml:space="preserve"> </w:t>
      </w:r>
      <w:r w:rsidRPr="00D1008C">
        <w:rPr>
          <w:sz w:val="20"/>
          <w:szCs w:val="20"/>
        </w:rPr>
        <w:t>(3.84%), was staining positive at (1- 25)</w:t>
      </w:r>
      <w:r w:rsidR="00D1008C">
        <w:rPr>
          <w:sz w:val="20"/>
          <w:szCs w:val="20"/>
        </w:rPr>
        <w:t>,</w:t>
      </w:r>
      <w:r w:rsidRPr="00D1008C">
        <w:rPr>
          <w:sz w:val="20"/>
          <w:szCs w:val="20"/>
        </w:rPr>
        <w:t>three patients (11.53%) at</w:t>
      </w:r>
      <w:r w:rsidR="00D1008C">
        <w:rPr>
          <w:sz w:val="20"/>
          <w:szCs w:val="20"/>
        </w:rPr>
        <w:t xml:space="preserve"> </w:t>
      </w:r>
      <w:r w:rsidRPr="00D1008C">
        <w:rPr>
          <w:sz w:val="20"/>
          <w:szCs w:val="20"/>
        </w:rPr>
        <w:t>(26-50) and seven (30.76</w:t>
      </w:r>
      <w:r w:rsidR="00CF63C4" w:rsidRPr="00D1008C">
        <w:rPr>
          <w:sz w:val="20"/>
          <w:szCs w:val="20"/>
        </w:rPr>
        <w:t>%)</w:t>
      </w:r>
      <w:r w:rsidR="00D1008C">
        <w:rPr>
          <w:sz w:val="20"/>
          <w:szCs w:val="20"/>
        </w:rPr>
        <w:t xml:space="preserve"> </w:t>
      </w:r>
      <w:r w:rsidR="00CF63C4" w:rsidRPr="00D1008C">
        <w:rPr>
          <w:sz w:val="20"/>
          <w:szCs w:val="20"/>
        </w:rPr>
        <w:t>patients at</w:t>
      </w:r>
      <w:r w:rsidR="00D1008C">
        <w:rPr>
          <w:sz w:val="20"/>
          <w:szCs w:val="20"/>
        </w:rPr>
        <w:t xml:space="preserve"> </w:t>
      </w:r>
      <w:r w:rsidR="00CF63C4" w:rsidRPr="00D1008C">
        <w:rPr>
          <w:sz w:val="20"/>
          <w:szCs w:val="20"/>
        </w:rPr>
        <w:t>(51-75).</w:t>
      </w:r>
      <w:r w:rsidR="00D1008C">
        <w:rPr>
          <w:sz w:val="20"/>
          <w:szCs w:val="20"/>
        </w:rPr>
        <w:t xml:space="preserve"> </w:t>
      </w:r>
    </w:p>
    <w:p w:rsidR="004611F0" w:rsidRPr="00D1008C" w:rsidRDefault="004611F0" w:rsidP="004611F0">
      <w:pPr>
        <w:tabs>
          <w:tab w:val="right" w:pos="426"/>
        </w:tabs>
        <w:snapToGrid w:val="0"/>
        <w:ind w:firstLine="425"/>
        <w:jc w:val="both"/>
        <w:rPr>
          <w:sz w:val="20"/>
          <w:szCs w:val="20"/>
        </w:rPr>
      </w:pPr>
    </w:p>
    <w:p w:rsidR="007632B3" w:rsidRPr="00D1008C" w:rsidRDefault="007632B3" w:rsidP="004611F0">
      <w:pPr>
        <w:snapToGrid w:val="0"/>
        <w:jc w:val="center"/>
        <w:rPr>
          <w:rFonts w:eastAsia="Calibri"/>
          <w:sz w:val="20"/>
          <w:szCs w:val="20"/>
        </w:rPr>
      </w:pPr>
      <w:r w:rsidRPr="00D1008C">
        <w:rPr>
          <w:rFonts w:eastAsia="Calibri"/>
          <w:noProof/>
          <w:sz w:val="20"/>
          <w:szCs w:val="20"/>
          <w:lang w:eastAsia="zh-CN"/>
        </w:rPr>
        <w:lastRenderedPageBreak/>
        <w:drawing>
          <wp:inline distT="0" distB="0" distL="0" distR="0">
            <wp:extent cx="2255023" cy="16897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0401" cy="1693810"/>
                    </a:xfrm>
                    <a:prstGeom prst="rect">
                      <a:avLst/>
                    </a:prstGeom>
                    <a:noFill/>
                  </pic:spPr>
                </pic:pic>
              </a:graphicData>
            </a:graphic>
          </wp:inline>
        </w:drawing>
      </w:r>
    </w:p>
    <w:p w:rsidR="00D7540E" w:rsidRPr="00420112" w:rsidRDefault="000D2BA3" w:rsidP="00420112">
      <w:pPr>
        <w:snapToGrid w:val="0"/>
        <w:jc w:val="both"/>
        <w:rPr>
          <w:rFonts w:eastAsiaTheme="minorEastAsia"/>
          <w:sz w:val="20"/>
          <w:szCs w:val="20"/>
          <w:lang w:eastAsia="zh-CN"/>
        </w:rPr>
      </w:pPr>
      <w:r w:rsidRPr="00D1008C">
        <w:rPr>
          <w:rFonts w:eastAsia="Calibri"/>
          <w:sz w:val="20"/>
          <w:szCs w:val="20"/>
        </w:rPr>
        <w:t xml:space="preserve">Figure </w:t>
      </w:r>
      <w:r w:rsidR="00606A8C" w:rsidRPr="00D1008C">
        <w:rPr>
          <w:rFonts w:eastAsia="Calibri"/>
          <w:sz w:val="20"/>
          <w:szCs w:val="20"/>
        </w:rPr>
        <w:t>(10)</w:t>
      </w:r>
      <w:r w:rsidRPr="00D1008C">
        <w:rPr>
          <w:rFonts w:eastAsia="Calibri"/>
          <w:sz w:val="20"/>
          <w:szCs w:val="20"/>
        </w:rPr>
        <w:t>: liver section from HCV case, A2 activity and F3 fibrosis with moderate expression of Oct3/4monoclonal antibody in hepatocytes as cytoplasmic brownish stain (IHC, DAB,</w:t>
      </w:r>
      <w:r w:rsidR="00D1008C">
        <w:rPr>
          <w:rFonts w:eastAsia="Calibri"/>
          <w:sz w:val="20"/>
          <w:szCs w:val="20"/>
        </w:rPr>
        <w:t xml:space="preserve"> </w:t>
      </w:r>
      <w:r w:rsidRPr="00D1008C">
        <w:rPr>
          <w:rFonts w:eastAsia="Calibri"/>
          <w:sz w:val="20"/>
          <w:szCs w:val="20"/>
        </w:rPr>
        <w:t>Oct3/4,</w:t>
      </w:r>
      <w:r w:rsidR="00D1008C">
        <w:rPr>
          <w:rFonts w:eastAsia="Calibri"/>
          <w:sz w:val="20"/>
          <w:szCs w:val="20"/>
        </w:rPr>
        <w:t xml:space="preserve"> </w:t>
      </w:r>
      <w:r w:rsidRPr="00D1008C">
        <w:rPr>
          <w:rFonts w:eastAsia="Calibri"/>
          <w:sz w:val="20"/>
          <w:szCs w:val="20"/>
        </w:rPr>
        <w:t>x20</w:t>
      </w:r>
      <w:r w:rsidR="00606A8C" w:rsidRPr="00D1008C">
        <w:rPr>
          <w:rFonts w:eastAsia="Calibri"/>
          <w:sz w:val="20"/>
          <w:szCs w:val="20"/>
        </w:rPr>
        <w:t>0)</w:t>
      </w:r>
    </w:p>
    <w:p w:rsidR="00420112" w:rsidRPr="00420112" w:rsidRDefault="00420112" w:rsidP="004611F0">
      <w:pPr>
        <w:snapToGrid w:val="0"/>
        <w:ind w:firstLine="425"/>
        <w:jc w:val="both"/>
        <w:rPr>
          <w:rFonts w:eastAsiaTheme="minorEastAsia"/>
          <w:b/>
          <w:bCs/>
          <w:sz w:val="20"/>
          <w:szCs w:val="20"/>
          <w:lang w:eastAsia="zh-CN"/>
        </w:rPr>
        <w:sectPr w:rsidR="00420112" w:rsidRPr="00420112" w:rsidSect="00D7540E">
          <w:type w:val="continuous"/>
          <w:pgSz w:w="12242" w:h="15842" w:code="1"/>
          <w:pgMar w:top="1440" w:right="1440" w:bottom="1440" w:left="1440" w:header="720" w:footer="720" w:gutter="0"/>
          <w:cols w:num="2" w:space="425"/>
          <w:docGrid w:linePitch="360"/>
        </w:sectPr>
      </w:pPr>
    </w:p>
    <w:p w:rsidR="00E255EA" w:rsidRPr="00D1008C" w:rsidRDefault="00E255EA" w:rsidP="004611F0">
      <w:pPr>
        <w:snapToGrid w:val="0"/>
        <w:ind w:firstLine="425"/>
        <w:jc w:val="both"/>
        <w:rPr>
          <w:b/>
          <w:bCs/>
          <w:sz w:val="20"/>
          <w:szCs w:val="20"/>
        </w:rPr>
      </w:pPr>
    </w:p>
    <w:p w:rsidR="00C53350" w:rsidRPr="00D1008C" w:rsidRDefault="00277E93" w:rsidP="00D7540E">
      <w:pPr>
        <w:snapToGrid w:val="0"/>
        <w:jc w:val="center"/>
        <w:rPr>
          <w:sz w:val="20"/>
          <w:szCs w:val="20"/>
        </w:rPr>
      </w:pPr>
      <w:r w:rsidRPr="00D1008C">
        <w:rPr>
          <w:b/>
          <w:bCs/>
          <w:sz w:val="20"/>
          <w:szCs w:val="20"/>
        </w:rPr>
        <w:lastRenderedPageBreak/>
        <w:t>Table (14</w:t>
      </w:r>
      <w:r w:rsidR="00C53350" w:rsidRPr="00D1008C">
        <w:rPr>
          <w:b/>
          <w:bCs/>
          <w:sz w:val="20"/>
          <w:szCs w:val="20"/>
        </w:rPr>
        <w:t>):</w:t>
      </w:r>
      <w:r w:rsidR="005D72CC">
        <w:rPr>
          <w:rFonts w:eastAsiaTheme="minorEastAsia" w:hint="eastAsia"/>
          <w:b/>
          <w:bCs/>
          <w:sz w:val="20"/>
          <w:szCs w:val="20"/>
          <w:lang w:eastAsia="zh-CN"/>
        </w:rPr>
        <w:t xml:space="preserve"> </w:t>
      </w:r>
      <w:r w:rsidR="00C53350" w:rsidRPr="00D1008C">
        <w:rPr>
          <w:sz w:val="20"/>
          <w:szCs w:val="20"/>
        </w:rPr>
        <w:t>Tissue expression of OCT3/4 in different grades of HCC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197"/>
        <w:gridCol w:w="1496"/>
        <w:gridCol w:w="1498"/>
        <w:gridCol w:w="1496"/>
        <w:gridCol w:w="1646"/>
        <w:gridCol w:w="1048"/>
      </w:tblGrid>
      <w:tr w:rsidR="0045204D" w:rsidRPr="00420112" w:rsidTr="00420112">
        <w:trPr>
          <w:trHeight w:val="70"/>
          <w:jc w:val="center"/>
        </w:trPr>
        <w:tc>
          <w:tcPr>
            <w:tcW w:w="625" w:type="pct"/>
            <w:vMerge w:val="restar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Grades/N</w:t>
            </w:r>
          </w:p>
        </w:tc>
        <w:tc>
          <w:tcPr>
            <w:tcW w:w="3828" w:type="pct"/>
            <w:gridSpan w:val="5"/>
            <w:shd w:val="clear" w:color="auto" w:fill="auto"/>
          </w:tcPr>
          <w:p w:rsidR="00C53350" w:rsidRPr="00420112" w:rsidRDefault="00E255EA" w:rsidP="004611F0">
            <w:pPr>
              <w:snapToGrid w:val="0"/>
              <w:jc w:val="both"/>
              <w:rPr>
                <w:bCs/>
                <w:color w:val="000000"/>
                <w:sz w:val="20"/>
                <w:szCs w:val="20"/>
              </w:rPr>
            </w:pPr>
            <w:r w:rsidRPr="00420112">
              <w:rPr>
                <w:bCs/>
                <w:color w:val="000000"/>
                <w:sz w:val="20"/>
                <w:szCs w:val="20"/>
              </w:rPr>
              <w:t>OCT3/4</w:t>
            </w:r>
          </w:p>
        </w:tc>
        <w:tc>
          <w:tcPr>
            <w:tcW w:w="547" w:type="pct"/>
            <w:shd w:val="clear" w:color="auto" w:fill="auto"/>
          </w:tcPr>
          <w:p w:rsidR="00C53350" w:rsidRPr="00420112" w:rsidRDefault="00C53350" w:rsidP="004611F0">
            <w:pPr>
              <w:snapToGrid w:val="0"/>
              <w:jc w:val="both"/>
              <w:rPr>
                <w:bCs/>
                <w:color w:val="000000"/>
                <w:sz w:val="20"/>
                <w:szCs w:val="20"/>
              </w:rPr>
            </w:pPr>
            <w:r w:rsidRPr="00420112">
              <w:rPr>
                <w:bCs/>
                <w:i/>
                <w:iCs/>
                <w:color w:val="000000"/>
                <w:sz w:val="20"/>
                <w:szCs w:val="20"/>
              </w:rPr>
              <w:t>P</w:t>
            </w:r>
            <w:r w:rsidRPr="00420112">
              <w:rPr>
                <w:bCs/>
                <w:color w:val="000000"/>
                <w:sz w:val="20"/>
                <w:szCs w:val="20"/>
              </w:rPr>
              <w:t>-value</w:t>
            </w:r>
          </w:p>
        </w:tc>
      </w:tr>
      <w:tr w:rsidR="0045204D" w:rsidRPr="00420112" w:rsidTr="00420112">
        <w:trPr>
          <w:trHeight w:val="440"/>
          <w:jc w:val="center"/>
        </w:trPr>
        <w:tc>
          <w:tcPr>
            <w:tcW w:w="625" w:type="pct"/>
            <w:vMerge/>
            <w:shd w:val="clear" w:color="auto" w:fill="auto"/>
          </w:tcPr>
          <w:p w:rsidR="00C53350" w:rsidRPr="00420112" w:rsidRDefault="00C53350" w:rsidP="004611F0">
            <w:pPr>
              <w:snapToGrid w:val="0"/>
              <w:jc w:val="both"/>
              <w:rPr>
                <w:bCs/>
                <w:color w:val="000000"/>
                <w:sz w:val="20"/>
                <w:szCs w:val="20"/>
              </w:rPr>
            </w:pPr>
          </w:p>
        </w:tc>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-Ve</w:t>
            </w:r>
          </w:p>
          <w:p w:rsidR="00C53350" w:rsidRPr="00420112" w:rsidRDefault="00C53350" w:rsidP="004611F0">
            <w:pPr>
              <w:snapToGrid w:val="0"/>
              <w:jc w:val="both"/>
              <w:rPr>
                <w:bCs/>
                <w:color w:val="000000"/>
                <w:sz w:val="20"/>
                <w:szCs w:val="20"/>
              </w:rPr>
            </w:pPr>
            <w:r w:rsidRPr="00420112">
              <w:rPr>
                <w:bCs/>
                <w:color w:val="000000"/>
                <w:sz w:val="20"/>
                <w:szCs w:val="20"/>
              </w:rPr>
              <w:t>N</w:t>
            </w:r>
            <w:r w:rsidR="005D72CC" w:rsidRPr="00420112">
              <w:rPr>
                <w:rFonts w:eastAsiaTheme="minorEastAsia" w:hint="eastAsia"/>
                <w:bCs/>
                <w:color w:val="000000"/>
                <w:sz w:val="20"/>
                <w:szCs w:val="20"/>
                <w:lang w:eastAsia="zh-CN"/>
              </w:rPr>
              <w:t xml:space="preserve"> -</w:t>
            </w:r>
            <w:r w:rsidR="00D1008C" w:rsidRPr="00420112">
              <w:rPr>
                <w:bCs/>
                <w:color w:val="000000"/>
                <w:sz w:val="20"/>
                <w:szCs w:val="20"/>
              </w:rPr>
              <w:t xml:space="preserve"> </w:t>
            </w:r>
            <w:r w:rsidRPr="00420112">
              <w:rPr>
                <w:bCs/>
                <w:color w:val="000000"/>
                <w:sz w:val="20"/>
                <w:szCs w:val="20"/>
              </w:rPr>
              <w:t>%</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1 - 25(1+)</w:t>
            </w:r>
          </w:p>
          <w:p w:rsidR="00C53350" w:rsidRPr="00420112" w:rsidRDefault="00C53350" w:rsidP="004611F0">
            <w:pPr>
              <w:snapToGrid w:val="0"/>
              <w:jc w:val="both"/>
              <w:rPr>
                <w:bCs/>
                <w:color w:val="000000"/>
                <w:sz w:val="20"/>
                <w:szCs w:val="20"/>
              </w:rPr>
            </w:pPr>
            <w:r w:rsidRPr="00420112">
              <w:rPr>
                <w:bCs/>
                <w:color w:val="000000"/>
                <w:sz w:val="20"/>
                <w:szCs w:val="20"/>
              </w:rPr>
              <w:t>N</w:t>
            </w:r>
            <w:r w:rsidR="005D72CC" w:rsidRPr="00420112">
              <w:rPr>
                <w:rFonts w:eastAsiaTheme="minorEastAsia" w:hint="eastAsia"/>
                <w:bCs/>
                <w:color w:val="000000"/>
                <w:sz w:val="20"/>
                <w:szCs w:val="20"/>
                <w:lang w:eastAsia="zh-CN"/>
              </w:rPr>
              <w:t xml:space="preserve"> -</w:t>
            </w:r>
            <w:r w:rsidR="00D1008C" w:rsidRPr="00420112">
              <w:rPr>
                <w:bCs/>
                <w:color w:val="000000"/>
                <w:sz w:val="20"/>
                <w:szCs w:val="20"/>
              </w:rPr>
              <w:t xml:space="preserve"> </w:t>
            </w:r>
            <w:r w:rsidRPr="00420112">
              <w:rPr>
                <w:bCs/>
                <w:color w:val="000000"/>
                <w:sz w:val="20"/>
                <w:szCs w:val="20"/>
              </w:rPr>
              <w:t xml:space="preserve"> %</w:t>
            </w:r>
          </w:p>
        </w:tc>
        <w:tc>
          <w:tcPr>
            <w:tcW w:w="782"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26 - 50(2+)</w:t>
            </w:r>
          </w:p>
          <w:p w:rsidR="00C53350" w:rsidRPr="00420112" w:rsidRDefault="00E255EA" w:rsidP="004611F0">
            <w:pPr>
              <w:snapToGrid w:val="0"/>
              <w:jc w:val="both"/>
              <w:rPr>
                <w:bCs/>
                <w:color w:val="000000"/>
                <w:sz w:val="20"/>
                <w:szCs w:val="20"/>
              </w:rPr>
            </w:pPr>
            <w:r w:rsidRPr="00420112">
              <w:rPr>
                <w:bCs/>
                <w:color w:val="000000"/>
                <w:sz w:val="20"/>
                <w:szCs w:val="20"/>
              </w:rPr>
              <w:t>N</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51 - 75(3+)</w:t>
            </w:r>
          </w:p>
          <w:p w:rsidR="00C53350" w:rsidRPr="00420112" w:rsidRDefault="00C53350" w:rsidP="004611F0">
            <w:pPr>
              <w:snapToGrid w:val="0"/>
              <w:jc w:val="both"/>
              <w:rPr>
                <w:bCs/>
                <w:color w:val="000000"/>
                <w:sz w:val="20"/>
                <w:szCs w:val="20"/>
              </w:rPr>
            </w:pPr>
            <w:r w:rsidRPr="00420112">
              <w:rPr>
                <w:bCs/>
                <w:color w:val="000000"/>
                <w:sz w:val="20"/>
                <w:szCs w:val="20"/>
              </w:rPr>
              <w:t>N</w:t>
            </w:r>
            <w:r w:rsidR="005D72CC" w:rsidRPr="00420112">
              <w:rPr>
                <w:rFonts w:eastAsiaTheme="minorEastAsia" w:hint="eastAsia"/>
                <w:bCs/>
                <w:color w:val="000000"/>
                <w:sz w:val="20"/>
                <w:szCs w:val="20"/>
                <w:lang w:eastAsia="zh-CN"/>
              </w:rPr>
              <w:t xml:space="preserve"> -</w:t>
            </w:r>
            <w:r w:rsidR="00D1008C" w:rsidRPr="00420112">
              <w:rPr>
                <w:bCs/>
                <w:color w:val="000000"/>
                <w:sz w:val="20"/>
                <w:szCs w:val="20"/>
              </w:rPr>
              <w:t xml:space="preserve"> </w:t>
            </w:r>
            <w:r w:rsidRPr="00420112">
              <w:rPr>
                <w:bCs/>
                <w:color w:val="000000"/>
                <w:sz w:val="20"/>
                <w:szCs w:val="20"/>
              </w:rPr>
              <w:t xml:space="preserve"> %</w:t>
            </w:r>
          </w:p>
        </w:tc>
        <w:tc>
          <w:tcPr>
            <w:tcW w:w="859"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76 - 100(4+)</w:t>
            </w:r>
          </w:p>
          <w:p w:rsidR="00C53350" w:rsidRPr="00420112" w:rsidRDefault="00E255EA" w:rsidP="004611F0">
            <w:pPr>
              <w:snapToGrid w:val="0"/>
              <w:jc w:val="both"/>
              <w:rPr>
                <w:bCs/>
                <w:color w:val="000000"/>
                <w:sz w:val="20"/>
                <w:szCs w:val="20"/>
              </w:rPr>
            </w:pPr>
            <w:r w:rsidRPr="00420112">
              <w:rPr>
                <w:bCs/>
                <w:color w:val="000000"/>
                <w:sz w:val="20"/>
                <w:szCs w:val="20"/>
              </w:rPr>
              <w:t>N</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w:t>
            </w:r>
          </w:p>
        </w:tc>
        <w:tc>
          <w:tcPr>
            <w:tcW w:w="547" w:type="pct"/>
            <w:vMerge w:val="restart"/>
            <w:shd w:val="clear" w:color="auto" w:fill="auto"/>
          </w:tcPr>
          <w:p w:rsidR="00C53350" w:rsidRPr="00420112" w:rsidRDefault="00C53350" w:rsidP="004611F0">
            <w:pPr>
              <w:snapToGrid w:val="0"/>
              <w:jc w:val="both"/>
              <w:rPr>
                <w:bCs/>
                <w:color w:val="000000"/>
                <w:sz w:val="20"/>
                <w:szCs w:val="20"/>
              </w:rPr>
            </w:pPr>
          </w:p>
          <w:p w:rsidR="00C53350" w:rsidRPr="00420112" w:rsidRDefault="00420112" w:rsidP="00420112">
            <w:pPr>
              <w:snapToGrid w:val="0"/>
              <w:jc w:val="both"/>
              <w:rPr>
                <w:bCs/>
                <w:color w:val="000000"/>
                <w:sz w:val="20"/>
                <w:szCs w:val="20"/>
              </w:rPr>
            </w:pPr>
            <w:r>
              <w:rPr>
                <w:bCs/>
                <w:color w:val="000000"/>
                <w:sz w:val="20"/>
                <w:szCs w:val="20"/>
              </w:rPr>
              <w:t>&lt;.</w:t>
            </w:r>
            <w:r>
              <w:rPr>
                <w:rFonts w:eastAsiaTheme="minorEastAsia" w:hint="eastAsia"/>
                <w:bCs/>
                <w:color w:val="000000"/>
                <w:sz w:val="20"/>
                <w:szCs w:val="20"/>
                <w:lang w:eastAsia="zh-CN"/>
              </w:rPr>
              <w:t>00</w:t>
            </w:r>
            <w:r w:rsidR="00C53350" w:rsidRPr="00420112">
              <w:rPr>
                <w:bCs/>
                <w:color w:val="000000"/>
                <w:sz w:val="20"/>
                <w:szCs w:val="20"/>
              </w:rPr>
              <w:t>1</w:t>
            </w:r>
          </w:p>
        </w:tc>
      </w:tr>
      <w:tr w:rsidR="0045204D" w:rsidRPr="00420112" w:rsidTr="00420112">
        <w:trPr>
          <w:trHeight w:val="131"/>
          <w:jc w:val="center"/>
        </w:trPr>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I</w:t>
            </w:r>
            <w:r w:rsidR="00D1008C" w:rsidRPr="00420112">
              <w:rPr>
                <w:bCs/>
                <w:color w:val="000000"/>
                <w:sz w:val="20"/>
                <w:szCs w:val="20"/>
              </w:rPr>
              <w:t xml:space="preserve"> </w:t>
            </w:r>
            <w:r w:rsidRPr="00420112">
              <w:rPr>
                <w:bCs/>
                <w:color w:val="000000"/>
                <w:sz w:val="20"/>
                <w:szCs w:val="20"/>
              </w:rPr>
              <w:t>(10)</w:t>
            </w:r>
          </w:p>
        </w:tc>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5</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50</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3</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 xml:space="preserve"> 30</w:t>
            </w:r>
          </w:p>
        </w:tc>
        <w:tc>
          <w:tcPr>
            <w:tcW w:w="782"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2</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20</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0</w:t>
            </w:r>
            <w:r w:rsidR="005D72CC" w:rsidRPr="00420112">
              <w:rPr>
                <w:bCs/>
                <w:color w:val="000000"/>
                <w:sz w:val="20"/>
                <w:szCs w:val="20"/>
              </w:rPr>
              <w:t xml:space="preserve"> -</w:t>
            </w:r>
            <w:r w:rsidR="00D1008C" w:rsidRPr="00420112">
              <w:rPr>
                <w:bCs/>
                <w:color w:val="000000"/>
                <w:sz w:val="20"/>
                <w:szCs w:val="20"/>
              </w:rPr>
              <w:t>.</w:t>
            </w:r>
            <w:r w:rsidRPr="00420112">
              <w:rPr>
                <w:bCs/>
                <w:color w:val="000000"/>
                <w:sz w:val="20"/>
                <w:szCs w:val="20"/>
              </w:rPr>
              <w:t>0</w:t>
            </w:r>
          </w:p>
        </w:tc>
        <w:tc>
          <w:tcPr>
            <w:tcW w:w="859"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0</w:t>
            </w:r>
            <w:r w:rsidR="005D72CC" w:rsidRPr="00420112">
              <w:rPr>
                <w:bCs/>
                <w:color w:val="000000"/>
                <w:sz w:val="20"/>
                <w:szCs w:val="20"/>
              </w:rPr>
              <w:t xml:space="preserve"> -</w:t>
            </w:r>
            <w:r w:rsidR="00D1008C" w:rsidRPr="00420112">
              <w:rPr>
                <w:bCs/>
                <w:color w:val="000000"/>
                <w:sz w:val="20"/>
                <w:szCs w:val="20"/>
              </w:rPr>
              <w:t>.</w:t>
            </w:r>
            <w:r w:rsidRPr="00420112">
              <w:rPr>
                <w:bCs/>
                <w:color w:val="000000"/>
                <w:sz w:val="20"/>
                <w:szCs w:val="20"/>
              </w:rPr>
              <w:t>0</w:t>
            </w:r>
          </w:p>
        </w:tc>
        <w:tc>
          <w:tcPr>
            <w:tcW w:w="547" w:type="pct"/>
            <w:vMerge/>
            <w:shd w:val="clear" w:color="auto" w:fill="auto"/>
          </w:tcPr>
          <w:p w:rsidR="00C53350" w:rsidRPr="00420112" w:rsidRDefault="00C53350" w:rsidP="004611F0">
            <w:pPr>
              <w:snapToGrid w:val="0"/>
              <w:jc w:val="both"/>
              <w:rPr>
                <w:bCs/>
                <w:color w:val="000000"/>
                <w:sz w:val="20"/>
                <w:szCs w:val="20"/>
              </w:rPr>
            </w:pPr>
          </w:p>
        </w:tc>
      </w:tr>
      <w:tr w:rsidR="0045204D" w:rsidRPr="00420112" w:rsidTr="00420112">
        <w:trPr>
          <w:trHeight w:val="131"/>
          <w:jc w:val="center"/>
        </w:trPr>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II</w:t>
            </w:r>
            <w:r w:rsidR="00D1008C" w:rsidRPr="00420112">
              <w:rPr>
                <w:bCs/>
                <w:color w:val="000000"/>
                <w:sz w:val="20"/>
                <w:szCs w:val="20"/>
              </w:rPr>
              <w:t xml:space="preserve"> </w:t>
            </w:r>
            <w:r w:rsidRPr="00420112">
              <w:rPr>
                <w:bCs/>
                <w:color w:val="000000"/>
                <w:sz w:val="20"/>
                <w:szCs w:val="20"/>
              </w:rPr>
              <w:t>(11)</w:t>
            </w:r>
          </w:p>
        </w:tc>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0</w:t>
            </w:r>
            <w:r w:rsidR="005D72CC" w:rsidRPr="00420112">
              <w:rPr>
                <w:bCs/>
                <w:color w:val="000000"/>
                <w:sz w:val="20"/>
                <w:szCs w:val="20"/>
              </w:rPr>
              <w:t xml:space="preserve"> -</w:t>
            </w:r>
            <w:r w:rsidR="00D1008C" w:rsidRPr="00420112">
              <w:rPr>
                <w:bCs/>
                <w:color w:val="000000"/>
                <w:sz w:val="20"/>
                <w:szCs w:val="20"/>
              </w:rPr>
              <w:t>.</w:t>
            </w:r>
            <w:r w:rsidRPr="00420112">
              <w:rPr>
                <w:bCs/>
                <w:color w:val="000000"/>
                <w:sz w:val="20"/>
                <w:szCs w:val="20"/>
              </w:rPr>
              <w:t>0</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2</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18.18</w:t>
            </w:r>
          </w:p>
        </w:tc>
        <w:tc>
          <w:tcPr>
            <w:tcW w:w="782"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3</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27.27</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6</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54.54</w:t>
            </w:r>
          </w:p>
        </w:tc>
        <w:tc>
          <w:tcPr>
            <w:tcW w:w="859"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0</w:t>
            </w:r>
            <w:r w:rsidR="005D72CC" w:rsidRPr="00420112">
              <w:rPr>
                <w:bCs/>
                <w:color w:val="000000"/>
                <w:sz w:val="20"/>
                <w:szCs w:val="20"/>
              </w:rPr>
              <w:t xml:space="preserve"> -</w:t>
            </w:r>
            <w:r w:rsidR="00D1008C" w:rsidRPr="00420112">
              <w:rPr>
                <w:bCs/>
                <w:color w:val="000000"/>
                <w:sz w:val="20"/>
                <w:szCs w:val="20"/>
              </w:rPr>
              <w:t>.</w:t>
            </w:r>
            <w:r w:rsidRPr="00420112">
              <w:rPr>
                <w:bCs/>
                <w:color w:val="000000"/>
                <w:sz w:val="20"/>
                <w:szCs w:val="20"/>
              </w:rPr>
              <w:t>0</w:t>
            </w:r>
          </w:p>
        </w:tc>
        <w:tc>
          <w:tcPr>
            <w:tcW w:w="547" w:type="pct"/>
            <w:vMerge/>
            <w:shd w:val="clear" w:color="auto" w:fill="auto"/>
          </w:tcPr>
          <w:p w:rsidR="00C53350" w:rsidRPr="00420112" w:rsidRDefault="00C53350" w:rsidP="004611F0">
            <w:pPr>
              <w:snapToGrid w:val="0"/>
              <w:jc w:val="both"/>
              <w:rPr>
                <w:bCs/>
                <w:color w:val="000000"/>
                <w:sz w:val="20"/>
                <w:szCs w:val="20"/>
              </w:rPr>
            </w:pPr>
          </w:p>
        </w:tc>
      </w:tr>
      <w:tr w:rsidR="0045204D" w:rsidRPr="00420112" w:rsidTr="00420112">
        <w:trPr>
          <w:trHeight w:val="140"/>
          <w:jc w:val="center"/>
        </w:trPr>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III</w:t>
            </w:r>
            <w:r w:rsidR="00D1008C" w:rsidRPr="00420112">
              <w:rPr>
                <w:bCs/>
                <w:color w:val="000000"/>
                <w:sz w:val="20"/>
                <w:szCs w:val="20"/>
              </w:rPr>
              <w:t xml:space="preserve"> </w:t>
            </w:r>
            <w:r w:rsidRPr="00420112">
              <w:rPr>
                <w:bCs/>
                <w:color w:val="000000"/>
                <w:sz w:val="20"/>
                <w:szCs w:val="20"/>
              </w:rPr>
              <w:t>(9)</w:t>
            </w:r>
          </w:p>
        </w:tc>
        <w:tc>
          <w:tcPr>
            <w:tcW w:w="625"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0</w:t>
            </w:r>
            <w:r w:rsidR="005D72CC" w:rsidRPr="00420112">
              <w:rPr>
                <w:bCs/>
                <w:color w:val="000000"/>
                <w:sz w:val="20"/>
                <w:szCs w:val="20"/>
              </w:rPr>
              <w:t xml:space="preserve"> -</w:t>
            </w:r>
            <w:r w:rsidR="00D1008C" w:rsidRPr="00420112">
              <w:rPr>
                <w:bCs/>
                <w:color w:val="000000"/>
                <w:sz w:val="20"/>
                <w:szCs w:val="20"/>
              </w:rPr>
              <w:t>.</w:t>
            </w:r>
            <w:r w:rsidRPr="00420112">
              <w:rPr>
                <w:bCs/>
                <w:color w:val="000000"/>
                <w:sz w:val="20"/>
                <w:szCs w:val="20"/>
              </w:rPr>
              <w:t>0</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0</w:t>
            </w:r>
            <w:r w:rsidR="005D72CC" w:rsidRPr="00420112">
              <w:rPr>
                <w:bCs/>
                <w:color w:val="000000"/>
                <w:sz w:val="20"/>
                <w:szCs w:val="20"/>
              </w:rPr>
              <w:t xml:space="preserve"> -</w:t>
            </w:r>
            <w:r w:rsidR="00D1008C" w:rsidRPr="00420112">
              <w:rPr>
                <w:bCs/>
                <w:color w:val="000000"/>
                <w:sz w:val="20"/>
                <w:szCs w:val="20"/>
              </w:rPr>
              <w:t>.</w:t>
            </w:r>
            <w:r w:rsidRPr="00420112">
              <w:rPr>
                <w:bCs/>
                <w:color w:val="000000"/>
                <w:sz w:val="20"/>
                <w:szCs w:val="20"/>
              </w:rPr>
              <w:t>0</w:t>
            </w:r>
          </w:p>
        </w:tc>
        <w:tc>
          <w:tcPr>
            <w:tcW w:w="782"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1</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11.11</w:t>
            </w:r>
          </w:p>
        </w:tc>
        <w:tc>
          <w:tcPr>
            <w:tcW w:w="781"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1</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11.11</w:t>
            </w:r>
          </w:p>
        </w:tc>
        <w:tc>
          <w:tcPr>
            <w:tcW w:w="859" w:type="pct"/>
            <w:shd w:val="clear" w:color="auto" w:fill="auto"/>
          </w:tcPr>
          <w:p w:rsidR="00C53350" w:rsidRPr="00420112" w:rsidRDefault="00C53350" w:rsidP="004611F0">
            <w:pPr>
              <w:snapToGrid w:val="0"/>
              <w:jc w:val="both"/>
              <w:rPr>
                <w:bCs/>
                <w:color w:val="000000"/>
                <w:sz w:val="20"/>
                <w:szCs w:val="20"/>
              </w:rPr>
            </w:pPr>
            <w:r w:rsidRPr="00420112">
              <w:rPr>
                <w:bCs/>
                <w:color w:val="000000"/>
                <w:sz w:val="20"/>
                <w:szCs w:val="20"/>
              </w:rPr>
              <w:t>7</w:t>
            </w:r>
            <w:r w:rsidR="005D72CC" w:rsidRPr="00420112">
              <w:rPr>
                <w:bCs/>
                <w:color w:val="000000"/>
                <w:sz w:val="20"/>
                <w:szCs w:val="20"/>
              </w:rPr>
              <w:t xml:space="preserve"> -</w:t>
            </w:r>
            <w:r w:rsidR="00D1008C" w:rsidRPr="00420112">
              <w:rPr>
                <w:bCs/>
                <w:color w:val="000000"/>
                <w:sz w:val="20"/>
                <w:szCs w:val="20"/>
              </w:rPr>
              <w:t xml:space="preserve"> </w:t>
            </w:r>
            <w:r w:rsidRPr="00420112">
              <w:rPr>
                <w:bCs/>
                <w:color w:val="000000"/>
                <w:sz w:val="20"/>
                <w:szCs w:val="20"/>
              </w:rPr>
              <w:t>77.78</w:t>
            </w:r>
          </w:p>
        </w:tc>
        <w:tc>
          <w:tcPr>
            <w:tcW w:w="547" w:type="pct"/>
            <w:vMerge/>
            <w:shd w:val="clear" w:color="auto" w:fill="auto"/>
          </w:tcPr>
          <w:p w:rsidR="00C53350" w:rsidRPr="00420112" w:rsidRDefault="00C53350" w:rsidP="004611F0">
            <w:pPr>
              <w:snapToGrid w:val="0"/>
              <w:jc w:val="both"/>
              <w:rPr>
                <w:bCs/>
                <w:color w:val="000000"/>
                <w:sz w:val="20"/>
                <w:szCs w:val="20"/>
              </w:rPr>
            </w:pPr>
          </w:p>
        </w:tc>
      </w:tr>
    </w:tbl>
    <w:p w:rsidR="00C53350" w:rsidRPr="00D1008C" w:rsidRDefault="00C53350" w:rsidP="004611F0">
      <w:pPr>
        <w:snapToGrid w:val="0"/>
        <w:ind w:firstLine="425"/>
        <w:jc w:val="both"/>
        <w:rPr>
          <w:sz w:val="20"/>
          <w:szCs w:val="20"/>
        </w:rPr>
      </w:pPr>
      <w:r w:rsidRPr="00D1008C">
        <w:rPr>
          <w:sz w:val="20"/>
          <w:szCs w:val="20"/>
        </w:rPr>
        <w:t>Cross tables, Pearson Chi-Square.</w:t>
      </w:r>
    </w:p>
    <w:p w:rsidR="00FB545F" w:rsidRPr="00D1008C" w:rsidRDefault="00FB545F" w:rsidP="004611F0">
      <w:pPr>
        <w:snapToGrid w:val="0"/>
        <w:ind w:firstLine="425"/>
        <w:jc w:val="both"/>
        <w:rPr>
          <w:sz w:val="20"/>
          <w:szCs w:val="20"/>
        </w:rPr>
      </w:pPr>
    </w:p>
    <w:p w:rsidR="00D7540E" w:rsidRPr="00D1008C" w:rsidRDefault="00D7540E" w:rsidP="004611F0">
      <w:pPr>
        <w:tabs>
          <w:tab w:val="right" w:pos="709"/>
        </w:tabs>
        <w:snapToGrid w:val="0"/>
        <w:ind w:firstLine="425"/>
        <w:jc w:val="both"/>
        <w:rPr>
          <w:sz w:val="20"/>
          <w:szCs w:val="20"/>
        </w:rPr>
        <w:sectPr w:rsidR="00D7540E" w:rsidRPr="00D1008C" w:rsidSect="00F93E9F">
          <w:type w:val="continuous"/>
          <w:pgSz w:w="12242" w:h="15842" w:code="1"/>
          <w:pgMar w:top="1440" w:right="1440" w:bottom="1440" w:left="1440" w:header="720" w:footer="720" w:gutter="0"/>
          <w:cols w:space="708"/>
          <w:bidi/>
          <w:docGrid w:linePitch="360"/>
        </w:sectPr>
      </w:pPr>
    </w:p>
    <w:p w:rsidR="00C53350" w:rsidRPr="00D1008C" w:rsidRDefault="00C53350" w:rsidP="004611F0">
      <w:pPr>
        <w:tabs>
          <w:tab w:val="right" w:pos="709"/>
        </w:tabs>
        <w:snapToGrid w:val="0"/>
        <w:ind w:firstLine="425"/>
        <w:jc w:val="both"/>
        <w:rPr>
          <w:sz w:val="20"/>
          <w:szCs w:val="20"/>
        </w:rPr>
      </w:pPr>
      <w:r w:rsidRPr="00D1008C">
        <w:rPr>
          <w:sz w:val="20"/>
          <w:szCs w:val="20"/>
        </w:rPr>
        <w:lastRenderedPageBreak/>
        <w:t>There is significant difference of tissue expression of OCT3/4 between different grades of HCC tissues</w:t>
      </w:r>
      <w:r w:rsidR="00420112">
        <w:rPr>
          <w:rFonts w:eastAsiaTheme="minorEastAsia" w:hint="eastAsia"/>
          <w:sz w:val="20"/>
          <w:szCs w:val="20"/>
          <w:lang w:eastAsia="zh-CN"/>
        </w:rPr>
        <w:t xml:space="preserve"> </w:t>
      </w:r>
      <w:r w:rsidRPr="00D1008C">
        <w:rPr>
          <w:sz w:val="20"/>
          <w:szCs w:val="20"/>
        </w:rPr>
        <w:t>Poorly differentiated HCC tissues (Grade III) show high expression of OCT3/4 than moderate and well differentiated ones.</w:t>
      </w:r>
    </w:p>
    <w:p w:rsidR="00C53350" w:rsidRPr="00D1008C" w:rsidRDefault="00C53350" w:rsidP="004611F0">
      <w:pPr>
        <w:snapToGrid w:val="0"/>
        <w:ind w:firstLine="425"/>
        <w:jc w:val="both"/>
        <w:rPr>
          <w:sz w:val="20"/>
          <w:szCs w:val="20"/>
        </w:rPr>
      </w:pPr>
    </w:p>
    <w:p w:rsidR="00277E93" w:rsidRPr="00D1008C" w:rsidRDefault="00E255EA" w:rsidP="00D7540E">
      <w:pPr>
        <w:tabs>
          <w:tab w:val="right" w:pos="709"/>
          <w:tab w:val="left" w:pos="4320"/>
        </w:tabs>
        <w:snapToGrid w:val="0"/>
        <w:jc w:val="both"/>
        <w:outlineLvl w:val="0"/>
        <w:rPr>
          <w:b/>
          <w:bCs/>
          <w:sz w:val="20"/>
          <w:szCs w:val="20"/>
          <w:lang w:bidi="ar-EG"/>
        </w:rPr>
      </w:pPr>
      <w:r w:rsidRPr="00D1008C">
        <w:rPr>
          <w:b/>
          <w:bCs/>
          <w:sz w:val="20"/>
          <w:szCs w:val="20"/>
          <w:lang w:bidi="ar-EG"/>
        </w:rPr>
        <w:t>4. Discussion</w:t>
      </w:r>
    </w:p>
    <w:p w:rsidR="00BF4F26" w:rsidRPr="00420112" w:rsidRDefault="00BF4F26" w:rsidP="004611F0">
      <w:pPr>
        <w:snapToGrid w:val="0"/>
        <w:ind w:firstLine="425"/>
        <w:jc w:val="both"/>
        <w:rPr>
          <w:rFonts w:eastAsiaTheme="minorEastAsia"/>
          <w:sz w:val="20"/>
          <w:szCs w:val="20"/>
          <w:lang w:eastAsia="zh-CN"/>
        </w:rPr>
      </w:pPr>
      <w:r w:rsidRPr="00D1008C">
        <w:rPr>
          <w:sz w:val="20"/>
          <w:szCs w:val="20"/>
        </w:rPr>
        <w:t>Stem cells (SCs) are undifferentiated cells capable of renewing themselves throughout their life and of generating one or more types of differentiated cells. Different types of SCs with hepatic differentiation potential are theoretically eligible for liver cell replacement. These include embryonic and fetal liver SCs, induced pluripotent SCs, hepatoblasts, annex SCs (pluripotent SCs obtained from umbilical cord and umbilical cord blood, placenta and amniotic fluid), and adult SCs, such hepatic progenitor cells, hematopoietic SCs, and mesenchym</w:t>
      </w:r>
      <w:r w:rsidR="000A5C7B" w:rsidRPr="00D1008C">
        <w:rPr>
          <w:sz w:val="20"/>
          <w:szCs w:val="20"/>
        </w:rPr>
        <w:t xml:space="preserve">al stem cell </w:t>
      </w:r>
      <w:r w:rsidRPr="00D1008C">
        <w:rPr>
          <w:sz w:val="20"/>
          <w:szCs w:val="20"/>
        </w:rPr>
        <w:t xml:space="preserve">Gamal </w:t>
      </w:r>
      <w:r w:rsidRPr="00D1008C">
        <w:rPr>
          <w:i/>
          <w:iCs/>
          <w:sz w:val="20"/>
          <w:szCs w:val="20"/>
        </w:rPr>
        <w:t>et al.,</w:t>
      </w:r>
      <w:r w:rsidR="00420112">
        <w:rPr>
          <w:rFonts w:eastAsiaTheme="minorEastAsia" w:hint="eastAsia"/>
          <w:i/>
          <w:iCs/>
          <w:sz w:val="20"/>
          <w:szCs w:val="20"/>
          <w:lang w:eastAsia="zh-CN"/>
        </w:rPr>
        <w:t xml:space="preserve"> </w:t>
      </w:r>
      <w:r w:rsidR="000A5C7B" w:rsidRPr="00D1008C">
        <w:rPr>
          <w:sz w:val="20"/>
          <w:szCs w:val="20"/>
        </w:rPr>
        <w:t>(</w:t>
      </w:r>
      <w:r w:rsidRPr="00D1008C">
        <w:rPr>
          <w:sz w:val="20"/>
          <w:szCs w:val="20"/>
        </w:rPr>
        <w:t>2013).</w:t>
      </w:r>
      <w:r w:rsidR="00420112">
        <w:rPr>
          <w:rFonts w:eastAsiaTheme="minorEastAsia" w:hint="eastAsia"/>
          <w:sz w:val="20"/>
          <w:szCs w:val="20"/>
          <w:lang w:eastAsia="zh-CN"/>
        </w:rPr>
        <w:t xml:space="preserve"> </w:t>
      </w:r>
      <w:r w:rsidRPr="00D1008C">
        <w:rPr>
          <w:sz w:val="20"/>
          <w:szCs w:val="20"/>
        </w:rPr>
        <w:t>One potential mechanism of HCC resistance to chemotherapy may lie in the plasticity of the cell of origin, which is often a dysfunctional progenitor or stem cell. As many as 40% of HCCs are clonal and thus are considered to originate from progenitor/ stem cells. In addition, several signaling pathways, such as STAT3 (signal transducer and activator of transcription 3) and transforming growth factor-beta (TGF-β) are commonly deregulated in HCC</w:t>
      </w:r>
      <w:r w:rsidR="000A5C7B" w:rsidRPr="00D1008C">
        <w:rPr>
          <w:b/>
          <w:bCs/>
          <w:sz w:val="20"/>
          <w:szCs w:val="20"/>
        </w:rPr>
        <w:t xml:space="preserve"> Tang Y,</w:t>
      </w:r>
      <w:r w:rsidR="00D1008C">
        <w:rPr>
          <w:b/>
          <w:bCs/>
          <w:sz w:val="20"/>
          <w:szCs w:val="20"/>
        </w:rPr>
        <w:t xml:space="preserve"> </w:t>
      </w:r>
      <w:r w:rsidR="000A5C7B" w:rsidRPr="00D1008C">
        <w:rPr>
          <w:b/>
          <w:bCs/>
          <w:i/>
          <w:iCs/>
          <w:sz w:val="20"/>
          <w:szCs w:val="20"/>
        </w:rPr>
        <w:t>et al.</w:t>
      </w:r>
      <w:r w:rsidR="000A5C7B" w:rsidRPr="00D1008C">
        <w:rPr>
          <w:b/>
          <w:bCs/>
          <w:sz w:val="20"/>
          <w:szCs w:val="20"/>
        </w:rPr>
        <w:t xml:space="preserve"> (2008)</w:t>
      </w:r>
      <w:r w:rsidR="00420112">
        <w:rPr>
          <w:rFonts w:eastAsiaTheme="minorEastAsia" w:hint="eastAsia"/>
          <w:b/>
          <w:bCs/>
          <w:sz w:val="20"/>
          <w:szCs w:val="20"/>
          <w:lang w:eastAsia="zh-CN"/>
        </w:rPr>
        <w:t>.</w:t>
      </w:r>
    </w:p>
    <w:p w:rsidR="00BF4F26" w:rsidRPr="00D1008C" w:rsidRDefault="00BF4F26" w:rsidP="004611F0">
      <w:pPr>
        <w:tabs>
          <w:tab w:val="right" w:pos="709"/>
        </w:tabs>
        <w:snapToGrid w:val="0"/>
        <w:ind w:firstLine="425"/>
        <w:jc w:val="both"/>
        <w:rPr>
          <w:sz w:val="20"/>
          <w:szCs w:val="20"/>
          <w:lang w:bidi="ar-EG"/>
        </w:rPr>
      </w:pPr>
      <w:r w:rsidRPr="00D1008C">
        <w:rPr>
          <w:sz w:val="20"/>
          <w:szCs w:val="20"/>
        </w:rPr>
        <w:t xml:space="preserve">Hepatocytes proliferation rate increased in hepatitis C with increasing histological damage until cirrhosis is reached when the proliferation rate falls overwhelming liver injury, chronic liver injury or large scale hepatocytes senesce result in a potential stem cell compartment being activated from the smallest branches of the intrahepatic biliary tree. This reduction in hepatocytes proliferation in chronic hepatitis occurs concurrently with the activation of this potential stem cell compartment </w:t>
      </w:r>
      <w:r w:rsidR="000A5C7B" w:rsidRPr="00D1008C">
        <w:rPr>
          <w:b/>
          <w:bCs/>
          <w:sz w:val="20"/>
          <w:szCs w:val="20"/>
        </w:rPr>
        <w:t>Alison MR,</w:t>
      </w:r>
      <w:r w:rsidR="00D1008C">
        <w:rPr>
          <w:b/>
          <w:bCs/>
          <w:sz w:val="20"/>
          <w:szCs w:val="20"/>
        </w:rPr>
        <w:t xml:space="preserve"> </w:t>
      </w:r>
      <w:r w:rsidR="000A5C7B" w:rsidRPr="00D1008C">
        <w:rPr>
          <w:b/>
          <w:bCs/>
          <w:i/>
          <w:iCs/>
          <w:sz w:val="20"/>
          <w:szCs w:val="20"/>
        </w:rPr>
        <w:t>et al.</w:t>
      </w:r>
      <w:r w:rsidR="000A5C7B" w:rsidRPr="00D1008C">
        <w:rPr>
          <w:b/>
          <w:bCs/>
          <w:sz w:val="20"/>
          <w:szCs w:val="20"/>
        </w:rPr>
        <w:t xml:space="preserve"> (2009)</w:t>
      </w:r>
      <w:r w:rsidR="000A5C7B" w:rsidRPr="00D1008C">
        <w:rPr>
          <w:sz w:val="20"/>
          <w:szCs w:val="20"/>
        </w:rPr>
        <w:t>:</w:t>
      </w:r>
    </w:p>
    <w:p w:rsidR="00BF4F26" w:rsidRPr="00D1008C" w:rsidRDefault="00BF4F26" w:rsidP="004611F0">
      <w:pPr>
        <w:tabs>
          <w:tab w:val="right" w:pos="709"/>
        </w:tabs>
        <w:snapToGrid w:val="0"/>
        <w:ind w:firstLine="425"/>
        <w:jc w:val="both"/>
        <w:rPr>
          <w:sz w:val="20"/>
          <w:szCs w:val="20"/>
        </w:rPr>
      </w:pPr>
      <w:r w:rsidRPr="00D1008C">
        <w:rPr>
          <w:sz w:val="20"/>
          <w:szCs w:val="20"/>
        </w:rPr>
        <w:t>Demonstration of oval cells in human liver disease is based on the presence of cells with the typical histologic appearance of their counterparts in rodents combined with an appropriate immunohistochemical marker</w:t>
      </w:r>
      <w:r w:rsidR="000A5C7B" w:rsidRPr="00D1008C">
        <w:rPr>
          <w:b/>
          <w:bCs/>
          <w:sz w:val="20"/>
          <w:szCs w:val="20"/>
        </w:rPr>
        <w:t xml:space="preserve"> Lowes KN,</w:t>
      </w:r>
      <w:r w:rsidR="00D1008C">
        <w:rPr>
          <w:b/>
          <w:bCs/>
          <w:sz w:val="20"/>
          <w:szCs w:val="20"/>
        </w:rPr>
        <w:t xml:space="preserve"> </w:t>
      </w:r>
      <w:r w:rsidR="000A5C7B" w:rsidRPr="00D1008C">
        <w:rPr>
          <w:b/>
          <w:bCs/>
          <w:i/>
          <w:iCs/>
          <w:sz w:val="20"/>
          <w:szCs w:val="20"/>
        </w:rPr>
        <w:t>et al.</w:t>
      </w:r>
      <w:r w:rsidR="000A5C7B" w:rsidRPr="00D1008C">
        <w:rPr>
          <w:b/>
          <w:bCs/>
          <w:sz w:val="20"/>
          <w:szCs w:val="20"/>
        </w:rPr>
        <w:t xml:space="preserve"> (1999</w:t>
      </w:r>
      <w:r w:rsidR="000A5C7B" w:rsidRPr="00D1008C">
        <w:rPr>
          <w:sz w:val="20"/>
          <w:szCs w:val="20"/>
        </w:rPr>
        <w:t>)</w:t>
      </w:r>
      <w:r w:rsidR="00D1008C">
        <w:rPr>
          <w:rFonts w:eastAsiaTheme="minorEastAsia" w:hint="eastAsia"/>
          <w:sz w:val="20"/>
          <w:szCs w:val="20"/>
          <w:lang w:eastAsia="zh-CN"/>
        </w:rPr>
        <w:t xml:space="preserve"> </w:t>
      </w:r>
      <w:r w:rsidRPr="00D1008C">
        <w:rPr>
          <w:sz w:val="20"/>
          <w:szCs w:val="20"/>
        </w:rPr>
        <w:t xml:space="preserve">Progenitor cells are labeled by oval cell markers OV6 and OV1, biliary type cytokeratins (CK) CK7 and CK19, neuroendocrine markers, neural cell </w:t>
      </w:r>
      <w:r w:rsidRPr="00D1008C">
        <w:rPr>
          <w:sz w:val="20"/>
          <w:szCs w:val="20"/>
        </w:rPr>
        <w:lastRenderedPageBreak/>
        <w:t xml:space="preserve">adhesion molecule and others </w:t>
      </w:r>
      <w:r w:rsidR="002367B9" w:rsidRPr="00D1008C">
        <w:rPr>
          <w:b/>
          <w:bCs/>
          <w:sz w:val="20"/>
          <w:szCs w:val="20"/>
        </w:rPr>
        <w:t>Fotiado A,</w:t>
      </w:r>
      <w:r w:rsidR="00D1008C">
        <w:rPr>
          <w:b/>
          <w:bCs/>
          <w:sz w:val="20"/>
          <w:szCs w:val="20"/>
        </w:rPr>
        <w:t xml:space="preserve"> </w:t>
      </w:r>
      <w:r w:rsidR="002367B9" w:rsidRPr="00D1008C">
        <w:rPr>
          <w:b/>
          <w:bCs/>
          <w:i/>
          <w:iCs/>
          <w:sz w:val="20"/>
          <w:szCs w:val="20"/>
        </w:rPr>
        <w:t>et al.</w:t>
      </w:r>
      <w:r w:rsidR="002367B9" w:rsidRPr="00D1008C">
        <w:rPr>
          <w:b/>
          <w:bCs/>
          <w:sz w:val="20"/>
          <w:szCs w:val="20"/>
        </w:rPr>
        <w:t xml:space="preserve"> (2004)</w:t>
      </w:r>
      <w:r w:rsidRPr="00D1008C">
        <w:rPr>
          <w:b/>
          <w:bCs/>
          <w:sz w:val="20"/>
          <w:szCs w:val="20"/>
        </w:rPr>
        <w:t>.</w:t>
      </w:r>
      <w:r w:rsidR="00D1008C">
        <w:rPr>
          <w:rFonts w:eastAsiaTheme="minorEastAsia" w:hint="eastAsia"/>
          <w:b/>
          <w:bCs/>
          <w:sz w:val="20"/>
          <w:szCs w:val="20"/>
          <w:lang w:eastAsia="zh-CN"/>
        </w:rPr>
        <w:t xml:space="preserve"> </w:t>
      </w:r>
      <w:r w:rsidRPr="00D1008C">
        <w:rPr>
          <w:sz w:val="20"/>
          <w:szCs w:val="20"/>
        </w:rPr>
        <w:t xml:space="preserve">Oval cell marker (OV6) is a monoclonal antibody prepared against ratoval cells and is useful in identifying oval cells. OV-6 has become widely used as a marker for lineage pathways in rat models of hepatocarcinogenesis and in the proliferative response to liver injury </w:t>
      </w:r>
      <w:r w:rsidR="002367B9" w:rsidRPr="00D1008C">
        <w:rPr>
          <w:b/>
          <w:bCs/>
          <w:sz w:val="20"/>
          <w:szCs w:val="20"/>
        </w:rPr>
        <w:t>Crosby HA (1998)</w:t>
      </w:r>
      <w:r w:rsidRPr="00D1008C">
        <w:rPr>
          <w:b/>
          <w:bCs/>
          <w:sz w:val="20"/>
          <w:szCs w:val="20"/>
        </w:rPr>
        <w:t>.</w:t>
      </w:r>
    </w:p>
    <w:p w:rsidR="00BF4F26" w:rsidRPr="00D1008C" w:rsidRDefault="00BF4F26" w:rsidP="004611F0">
      <w:pPr>
        <w:tabs>
          <w:tab w:val="left" w:pos="709"/>
        </w:tabs>
        <w:autoSpaceDE w:val="0"/>
        <w:autoSpaceDN w:val="0"/>
        <w:adjustRightInd w:val="0"/>
        <w:snapToGrid w:val="0"/>
        <w:ind w:firstLine="425"/>
        <w:jc w:val="both"/>
        <w:rPr>
          <w:b/>
          <w:bCs/>
          <w:sz w:val="20"/>
          <w:szCs w:val="20"/>
        </w:rPr>
      </w:pPr>
      <w:r w:rsidRPr="00D1008C">
        <w:rPr>
          <w:sz w:val="20"/>
          <w:szCs w:val="20"/>
        </w:rPr>
        <w:t>Hepatocellular carcinoma should not express CK19 if they originate from hepatocytes. However, several previous reports showed that some HCC can express CK19, the marker specific for biliary epithelial cells</w:t>
      </w:r>
      <w:r w:rsidR="00087ECF">
        <w:rPr>
          <w:rFonts w:eastAsiaTheme="minorEastAsia" w:hint="eastAsia"/>
          <w:sz w:val="20"/>
          <w:szCs w:val="20"/>
          <w:lang w:eastAsia="zh-CN"/>
        </w:rPr>
        <w:t xml:space="preserve"> </w:t>
      </w:r>
      <w:r w:rsidR="002367B9" w:rsidRPr="00D1008C">
        <w:rPr>
          <w:b/>
          <w:bCs/>
          <w:sz w:val="20"/>
          <w:szCs w:val="20"/>
          <w:lang w:val="en-GB"/>
        </w:rPr>
        <w:t>Uenishi T</w:t>
      </w:r>
      <w:r w:rsidR="0045204D" w:rsidRPr="00D1008C">
        <w:rPr>
          <w:b/>
          <w:bCs/>
          <w:sz w:val="20"/>
          <w:szCs w:val="20"/>
          <w:lang w:val="en-GB"/>
        </w:rPr>
        <w:t>, et</w:t>
      </w:r>
      <w:r w:rsidR="002367B9" w:rsidRPr="00D1008C">
        <w:rPr>
          <w:b/>
          <w:bCs/>
          <w:i/>
          <w:iCs/>
          <w:sz w:val="20"/>
          <w:szCs w:val="20"/>
        </w:rPr>
        <w:t xml:space="preserve"> al.</w:t>
      </w:r>
      <w:r w:rsidR="00420112">
        <w:rPr>
          <w:rFonts w:eastAsiaTheme="minorEastAsia" w:hint="eastAsia"/>
          <w:b/>
          <w:bCs/>
          <w:i/>
          <w:iCs/>
          <w:sz w:val="20"/>
          <w:szCs w:val="20"/>
          <w:lang w:eastAsia="zh-CN"/>
        </w:rPr>
        <w:t xml:space="preserve"> </w:t>
      </w:r>
      <w:r w:rsidR="002367B9" w:rsidRPr="00D1008C">
        <w:rPr>
          <w:b/>
          <w:bCs/>
          <w:sz w:val="20"/>
          <w:szCs w:val="20"/>
          <w:lang w:val="en-GB"/>
        </w:rPr>
        <w:t>(2003)</w:t>
      </w:r>
      <w:r w:rsidR="00420112">
        <w:rPr>
          <w:rFonts w:eastAsiaTheme="minorEastAsia" w:hint="eastAsia"/>
          <w:b/>
          <w:bCs/>
          <w:sz w:val="20"/>
          <w:szCs w:val="20"/>
          <w:lang w:val="en-GB" w:eastAsia="zh-CN"/>
        </w:rPr>
        <w:t xml:space="preserve"> </w:t>
      </w:r>
      <w:r w:rsidR="002367B9" w:rsidRPr="00D1008C">
        <w:rPr>
          <w:b/>
          <w:bCs/>
          <w:sz w:val="20"/>
          <w:szCs w:val="20"/>
          <w:lang w:val="en-GB"/>
        </w:rPr>
        <w:t>and</w:t>
      </w:r>
      <w:r w:rsidR="002367B9" w:rsidRPr="00D1008C">
        <w:rPr>
          <w:b/>
          <w:bCs/>
          <w:sz w:val="20"/>
          <w:szCs w:val="20"/>
        </w:rPr>
        <w:t xml:space="preserve">-Yamamoto T, </w:t>
      </w:r>
      <w:r w:rsidR="002367B9" w:rsidRPr="00D1008C">
        <w:rPr>
          <w:b/>
          <w:bCs/>
          <w:i/>
          <w:iCs/>
          <w:sz w:val="20"/>
          <w:szCs w:val="20"/>
        </w:rPr>
        <w:t>et al.</w:t>
      </w:r>
      <w:r w:rsidR="002367B9" w:rsidRPr="00D1008C">
        <w:rPr>
          <w:b/>
          <w:bCs/>
          <w:sz w:val="20"/>
          <w:szCs w:val="20"/>
        </w:rPr>
        <w:t xml:space="preserve"> (2005)</w:t>
      </w:r>
      <w:r w:rsidR="00420112">
        <w:rPr>
          <w:rFonts w:eastAsiaTheme="minorEastAsia" w:hint="eastAsia"/>
          <w:b/>
          <w:bCs/>
          <w:sz w:val="20"/>
          <w:szCs w:val="20"/>
          <w:lang w:eastAsia="zh-CN"/>
        </w:rPr>
        <w:t xml:space="preserve">. </w:t>
      </w:r>
      <w:r w:rsidRPr="00D1008C">
        <w:rPr>
          <w:sz w:val="20"/>
          <w:szCs w:val="20"/>
        </w:rPr>
        <w:t>These consistent findings suggested that some HCC may develop from, instead of hepatocytes directly, but hepatic progenitor cells which express CK19</w:t>
      </w:r>
      <w:r w:rsidR="002367B9" w:rsidRPr="00D1008C">
        <w:rPr>
          <w:b/>
          <w:bCs/>
          <w:sz w:val="20"/>
          <w:szCs w:val="20"/>
        </w:rPr>
        <w:t xml:space="preserve">-Yamamoto T, </w:t>
      </w:r>
      <w:r w:rsidR="002367B9" w:rsidRPr="00D1008C">
        <w:rPr>
          <w:b/>
          <w:bCs/>
          <w:i/>
          <w:iCs/>
          <w:sz w:val="20"/>
          <w:szCs w:val="20"/>
        </w:rPr>
        <w:t>et al.</w:t>
      </w:r>
      <w:r w:rsidR="002367B9" w:rsidRPr="00D1008C">
        <w:rPr>
          <w:b/>
          <w:bCs/>
          <w:sz w:val="20"/>
          <w:szCs w:val="20"/>
        </w:rPr>
        <w:t xml:space="preserve"> (2005</w:t>
      </w:r>
      <w:r w:rsidR="002367B9" w:rsidRPr="00D1008C">
        <w:rPr>
          <w:sz w:val="20"/>
          <w:szCs w:val="20"/>
        </w:rPr>
        <w:t>)</w:t>
      </w:r>
      <w:r w:rsidR="00293EF9" w:rsidRPr="00D1008C">
        <w:rPr>
          <w:b/>
          <w:bCs/>
          <w:sz w:val="20"/>
          <w:szCs w:val="20"/>
        </w:rPr>
        <w:t>.</w:t>
      </w:r>
      <w:r w:rsidR="00D1008C">
        <w:rPr>
          <w:sz w:val="20"/>
          <w:szCs w:val="20"/>
        </w:rPr>
        <w:t xml:space="preserve"> </w:t>
      </w:r>
      <w:r w:rsidRPr="00D1008C">
        <w:rPr>
          <w:sz w:val="20"/>
          <w:szCs w:val="20"/>
        </w:rPr>
        <w:t>OCT4 (OCT3/4, POU5F1), as one of embryonic stem cell markers, plays an important role in maintaining the stemnessproperties</w:t>
      </w:r>
      <w:r w:rsidR="00420112">
        <w:rPr>
          <w:rFonts w:eastAsiaTheme="minorEastAsia" w:hint="eastAsia"/>
          <w:sz w:val="20"/>
          <w:szCs w:val="20"/>
          <w:lang w:eastAsia="zh-CN"/>
        </w:rPr>
        <w:t xml:space="preserve"> </w:t>
      </w:r>
      <w:r w:rsidR="00293EF9" w:rsidRPr="00D1008C">
        <w:rPr>
          <w:rFonts w:eastAsia="E-XFZ-Identity-H"/>
          <w:b/>
          <w:bCs/>
          <w:sz w:val="20"/>
          <w:szCs w:val="20"/>
        </w:rPr>
        <w:t>(</w:t>
      </w:r>
      <w:r w:rsidR="002367B9" w:rsidRPr="00D1008C">
        <w:rPr>
          <w:rFonts w:eastAsia="E-XFZ-Identity-H"/>
          <w:b/>
          <w:bCs/>
          <w:sz w:val="20"/>
          <w:szCs w:val="20"/>
        </w:rPr>
        <w:t>-Nichols J,</w:t>
      </w:r>
      <w:r w:rsidR="00D1008C">
        <w:rPr>
          <w:rFonts w:eastAsia="E-XFZ-Identity-H"/>
          <w:b/>
          <w:bCs/>
          <w:sz w:val="20"/>
          <w:szCs w:val="20"/>
        </w:rPr>
        <w:t xml:space="preserve"> </w:t>
      </w:r>
      <w:r w:rsidR="002367B9" w:rsidRPr="00D1008C">
        <w:rPr>
          <w:b/>
          <w:bCs/>
          <w:i/>
          <w:iCs/>
          <w:sz w:val="20"/>
          <w:szCs w:val="20"/>
        </w:rPr>
        <w:t>et al.</w:t>
      </w:r>
      <w:r w:rsidR="002367B9" w:rsidRPr="00D1008C">
        <w:rPr>
          <w:rFonts w:eastAsia="E-XFZ-Identity-H"/>
          <w:b/>
          <w:bCs/>
          <w:sz w:val="20"/>
          <w:szCs w:val="20"/>
        </w:rPr>
        <w:t>(1998)</w:t>
      </w:r>
      <w:r w:rsidRPr="00D1008C">
        <w:rPr>
          <w:b/>
          <w:bCs/>
          <w:sz w:val="20"/>
          <w:szCs w:val="20"/>
        </w:rPr>
        <w:t>.</w:t>
      </w:r>
      <w:r w:rsidRPr="00D1008C">
        <w:rPr>
          <w:sz w:val="20"/>
          <w:szCs w:val="20"/>
        </w:rPr>
        <w:t xml:space="preserve"> In our study, expression of OV6 was cytoplasmic brownish stain in the cells lining bile ducts, hepatocytes at the periphery of portal tracts and hepatocytes at the periphery of cirrhotic nodule.</w:t>
      </w:r>
      <w:r w:rsidR="00420112">
        <w:rPr>
          <w:rFonts w:eastAsiaTheme="minorEastAsia" w:hint="eastAsia"/>
          <w:sz w:val="20"/>
          <w:szCs w:val="20"/>
          <w:lang w:eastAsia="zh-CN"/>
        </w:rPr>
        <w:t xml:space="preserve"> </w:t>
      </w:r>
      <w:r w:rsidRPr="00D1008C">
        <w:rPr>
          <w:sz w:val="20"/>
          <w:szCs w:val="20"/>
        </w:rPr>
        <w:t>This was in agreement with</w:t>
      </w:r>
      <w:r w:rsidR="00420112">
        <w:rPr>
          <w:rFonts w:eastAsiaTheme="minorEastAsia" w:hint="eastAsia"/>
          <w:sz w:val="20"/>
          <w:szCs w:val="20"/>
          <w:lang w:eastAsia="zh-CN"/>
        </w:rPr>
        <w:t xml:space="preserve"> </w:t>
      </w:r>
      <w:r w:rsidR="002367B9" w:rsidRPr="00D1008C">
        <w:rPr>
          <w:b/>
          <w:bCs/>
          <w:sz w:val="20"/>
          <w:szCs w:val="20"/>
        </w:rPr>
        <w:t xml:space="preserve">Roskams T, </w:t>
      </w:r>
      <w:r w:rsidR="002367B9" w:rsidRPr="00D1008C">
        <w:rPr>
          <w:b/>
          <w:bCs/>
          <w:i/>
          <w:iCs/>
          <w:sz w:val="20"/>
          <w:szCs w:val="20"/>
        </w:rPr>
        <w:t>et al.</w:t>
      </w:r>
      <w:r w:rsidR="002367B9" w:rsidRPr="00D1008C">
        <w:rPr>
          <w:b/>
          <w:bCs/>
          <w:sz w:val="20"/>
          <w:szCs w:val="20"/>
        </w:rPr>
        <w:t xml:space="preserve"> (2004)</w:t>
      </w:r>
      <w:r w:rsidR="00420112">
        <w:rPr>
          <w:rFonts w:eastAsiaTheme="minorEastAsia" w:hint="eastAsia"/>
          <w:b/>
          <w:bCs/>
          <w:sz w:val="20"/>
          <w:szCs w:val="20"/>
          <w:lang w:eastAsia="zh-CN"/>
        </w:rPr>
        <w:t xml:space="preserve"> </w:t>
      </w:r>
      <w:r w:rsidRPr="00D1008C">
        <w:rPr>
          <w:sz w:val="20"/>
          <w:szCs w:val="20"/>
        </w:rPr>
        <w:t>who reported bipotential progenitor cells residing in most terminal branches of biliary tree, ductules and / or canal</w:t>
      </w:r>
      <w:r w:rsidR="00293EF9" w:rsidRPr="00D1008C">
        <w:rPr>
          <w:sz w:val="20"/>
          <w:szCs w:val="20"/>
        </w:rPr>
        <w:t>s of Hering.</w:t>
      </w:r>
      <w:r w:rsidR="00420112">
        <w:rPr>
          <w:rFonts w:eastAsiaTheme="minorEastAsia" w:hint="eastAsia"/>
          <w:sz w:val="20"/>
          <w:szCs w:val="20"/>
          <w:lang w:eastAsia="zh-CN"/>
        </w:rPr>
        <w:t xml:space="preserve"> </w:t>
      </w:r>
      <w:r w:rsidR="00293EF9" w:rsidRPr="00D1008C">
        <w:rPr>
          <w:sz w:val="20"/>
          <w:szCs w:val="20"/>
        </w:rPr>
        <w:t>Also this goes with</w:t>
      </w:r>
      <w:r w:rsidR="002367B9" w:rsidRPr="00D1008C">
        <w:rPr>
          <w:b/>
          <w:bCs/>
          <w:sz w:val="20"/>
          <w:szCs w:val="20"/>
        </w:rPr>
        <w:t xml:space="preserve"> Ikeda, </w:t>
      </w:r>
      <w:r w:rsidR="002367B9" w:rsidRPr="00D1008C">
        <w:rPr>
          <w:b/>
          <w:bCs/>
          <w:i/>
          <w:iCs/>
          <w:sz w:val="20"/>
          <w:szCs w:val="20"/>
        </w:rPr>
        <w:t>et al.</w:t>
      </w:r>
      <w:r w:rsidR="002367B9" w:rsidRPr="00D1008C">
        <w:rPr>
          <w:b/>
          <w:bCs/>
          <w:sz w:val="20"/>
          <w:szCs w:val="20"/>
        </w:rPr>
        <w:t xml:space="preserve"> (2009)</w:t>
      </w:r>
      <w:r w:rsidRPr="00D1008C">
        <w:rPr>
          <w:sz w:val="20"/>
          <w:szCs w:val="20"/>
        </w:rPr>
        <w:t xml:space="preserve"> who found hepatic progenitor cells were scattered at the interface or within periportal or periseptal hepatic parenchyma, particularly in liver cirrhosis. In the present study mean values of OV6 level showed a highly statistically significant increase in group II and III compared to group I (</w:t>
      </w:r>
      <w:r w:rsidRPr="00D1008C">
        <w:rPr>
          <w:i/>
          <w:iCs/>
          <w:sz w:val="20"/>
          <w:szCs w:val="20"/>
        </w:rPr>
        <w:t>p</w:t>
      </w:r>
      <w:r w:rsidRPr="00D1008C">
        <w:rPr>
          <w:sz w:val="20"/>
          <w:szCs w:val="20"/>
        </w:rPr>
        <w:t xml:space="preserve"> value &lt; 0.01) and a highly statistically significant increase in group III compared to group II (</w:t>
      </w:r>
      <w:r w:rsidRPr="00D1008C">
        <w:rPr>
          <w:i/>
          <w:iCs/>
          <w:sz w:val="20"/>
          <w:szCs w:val="20"/>
        </w:rPr>
        <w:t>p</w:t>
      </w:r>
      <w:r w:rsidRPr="00D1008C">
        <w:rPr>
          <w:sz w:val="20"/>
          <w:szCs w:val="20"/>
        </w:rPr>
        <w:t xml:space="preserve"> value &lt; 0.01). This coincides with</w:t>
      </w:r>
      <w:r w:rsidR="002367B9" w:rsidRPr="00D1008C">
        <w:rPr>
          <w:b/>
          <w:bCs/>
          <w:sz w:val="20"/>
          <w:szCs w:val="20"/>
        </w:rPr>
        <w:t xml:space="preserve"> Lowes KN,</w:t>
      </w:r>
      <w:r w:rsidR="00D1008C">
        <w:rPr>
          <w:b/>
          <w:bCs/>
          <w:sz w:val="20"/>
          <w:szCs w:val="20"/>
        </w:rPr>
        <w:t xml:space="preserve"> </w:t>
      </w:r>
      <w:r w:rsidR="002367B9" w:rsidRPr="00D1008C">
        <w:rPr>
          <w:b/>
          <w:bCs/>
          <w:i/>
          <w:iCs/>
          <w:sz w:val="20"/>
          <w:szCs w:val="20"/>
        </w:rPr>
        <w:t>et al.</w:t>
      </w:r>
      <w:r w:rsidR="002367B9" w:rsidRPr="00D1008C">
        <w:rPr>
          <w:b/>
          <w:bCs/>
          <w:sz w:val="20"/>
          <w:szCs w:val="20"/>
        </w:rPr>
        <w:t xml:space="preserve"> (2003):</w:t>
      </w:r>
      <w:r w:rsidRPr="00D1008C">
        <w:rPr>
          <w:sz w:val="20"/>
          <w:szCs w:val="20"/>
        </w:rPr>
        <w:t xml:space="preserve"> who concluded that oval cells are frequently found in subjects with chronic HCV. Moreover, there is association between severity of liver disease and number of oval cells and their number increased as disease severity increased. Oval cells were located predominantly in the periportal region and were occasionally observed to form ductularstructures.and also in agreement with </w:t>
      </w:r>
      <w:r w:rsidR="002367B9" w:rsidRPr="00D1008C">
        <w:rPr>
          <w:b/>
          <w:bCs/>
          <w:sz w:val="20"/>
          <w:szCs w:val="20"/>
        </w:rPr>
        <w:t>Bird T G,</w:t>
      </w:r>
      <w:r w:rsidR="00D1008C">
        <w:rPr>
          <w:b/>
          <w:bCs/>
          <w:sz w:val="20"/>
          <w:szCs w:val="20"/>
        </w:rPr>
        <w:t xml:space="preserve"> </w:t>
      </w:r>
      <w:r w:rsidR="002367B9" w:rsidRPr="00D1008C">
        <w:rPr>
          <w:b/>
          <w:bCs/>
          <w:i/>
          <w:iCs/>
          <w:sz w:val="20"/>
          <w:szCs w:val="20"/>
        </w:rPr>
        <w:t>et al.</w:t>
      </w:r>
      <w:r w:rsidR="002367B9" w:rsidRPr="00D1008C">
        <w:rPr>
          <w:b/>
          <w:bCs/>
          <w:sz w:val="20"/>
          <w:szCs w:val="20"/>
        </w:rPr>
        <w:t xml:space="preserve"> (2008):</w:t>
      </w:r>
      <w:r w:rsidR="00420112">
        <w:rPr>
          <w:rFonts w:eastAsiaTheme="minorEastAsia" w:hint="eastAsia"/>
          <w:b/>
          <w:bCs/>
          <w:sz w:val="20"/>
          <w:szCs w:val="20"/>
          <w:lang w:eastAsia="zh-CN"/>
        </w:rPr>
        <w:t xml:space="preserve"> </w:t>
      </w:r>
      <w:r w:rsidRPr="00D1008C">
        <w:rPr>
          <w:sz w:val="20"/>
          <w:szCs w:val="20"/>
        </w:rPr>
        <w:t>In our study expression of CK19 were significantly increased in hepatitis, cirrhosis and HCC groups compared to c</w:t>
      </w:r>
      <w:r w:rsidR="00D918F8" w:rsidRPr="00D1008C">
        <w:rPr>
          <w:sz w:val="20"/>
          <w:szCs w:val="20"/>
        </w:rPr>
        <w:t xml:space="preserve">ontrol group </w:t>
      </w:r>
      <w:r w:rsidRPr="00D1008C">
        <w:rPr>
          <w:sz w:val="20"/>
          <w:szCs w:val="20"/>
        </w:rPr>
        <w:t>(</w:t>
      </w:r>
      <w:r w:rsidRPr="00D1008C">
        <w:rPr>
          <w:i/>
          <w:iCs/>
          <w:sz w:val="20"/>
          <w:szCs w:val="20"/>
        </w:rPr>
        <w:t>p</w:t>
      </w:r>
      <w:r w:rsidRPr="00D1008C">
        <w:rPr>
          <w:sz w:val="20"/>
          <w:szCs w:val="20"/>
        </w:rPr>
        <w:t xml:space="preserve"> value &lt; 0.01).</w:t>
      </w:r>
      <w:r w:rsidR="00420112">
        <w:rPr>
          <w:rFonts w:eastAsiaTheme="minorEastAsia" w:hint="eastAsia"/>
          <w:sz w:val="20"/>
          <w:szCs w:val="20"/>
          <w:lang w:eastAsia="zh-CN"/>
        </w:rPr>
        <w:t xml:space="preserve"> S</w:t>
      </w:r>
      <w:r w:rsidRPr="00D1008C">
        <w:rPr>
          <w:rFonts w:eastAsia="Calibri"/>
          <w:sz w:val="20"/>
          <w:szCs w:val="20"/>
          <w:lang w:bidi="ar-EG"/>
        </w:rPr>
        <w:t xml:space="preserve">tudy has been shown </w:t>
      </w:r>
      <w:r w:rsidRPr="00D1008C">
        <w:rPr>
          <w:rFonts w:eastAsia="Calibri"/>
          <w:sz w:val="20"/>
          <w:szCs w:val="20"/>
          <w:lang w:bidi="ar-EG"/>
        </w:rPr>
        <w:lastRenderedPageBreak/>
        <w:t>that a proportion of precursor lesions and hepatocellular carcinomas express markers that are not present in mature hepatocytes. About half of the small cell dysplastic foci, the earliest pre-malignant lesions in human hepatocellular carcinoma, have been shown to be LPC-derived as judged by expression of markers such as CK7, C19 and OV-6.</w:t>
      </w:r>
      <w:r w:rsidR="00D1008C">
        <w:rPr>
          <w:rFonts w:eastAsia="Calibri"/>
          <w:sz w:val="20"/>
          <w:szCs w:val="20"/>
          <w:lang w:bidi="ar-EG"/>
        </w:rPr>
        <w:t xml:space="preserve"> </w:t>
      </w:r>
      <w:r w:rsidRPr="00D1008C">
        <w:rPr>
          <w:rFonts w:eastAsia="Calibri"/>
          <w:sz w:val="20"/>
          <w:szCs w:val="20"/>
          <w:lang w:bidi="ar-EG"/>
        </w:rPr>
        <w:t>In agreement with our results</w:t>
      </w:r>
      <w:r w:rsidR="009C5DAE" w:rsidRPr="00D1008C">
        <w:rPr>
          <w:b/>
          <w:bCs/>
          <w:sz w:val="20"/>
          <w:szCs w:val="20"/>
        </w:rPr>
        <w:t xml:space="preserve"> Oliva J, </w:t>
      </w:r>
      <w:r w:rsidR="009C5DAE" w:rsidRPr="00D1008C">
        <w:rPr>
          <w:b/>
          <w:bCs/>
          <w:i/>
          <w:iCs/>
          <w:sz w:val="20"/>
          <w:szCs w:val="20"/>
        </w:rPr>
        <w:t>et al.</w:t>
      </w:r>
      <w:r w:rsidR="009C5DAE" w:rsidRPr="00D1008C">
        <w:rPr>
          <w:b/>
          <w:bCs/>
          <w:sz w:val="20"/>
          <w:szCs w:val="20"/>
        </w:rPr>
        <w:t xml:space="preserve"> (2010):</w:t>
      </w:r>
      <w:r w:rsidR="00420112">
        <w:rPr>
          <w:rFonts w:eastAsiaTheme="minorEastAsia" w:hint="eastAsia"/>
          <w:b/>
          <w:bCs/>
          <w:sz w:val="20"/>
          <w:szCs w:val="20"/>
          <w:lang w:eastAsia="zh-CN"/>
        </w:rPr>
        <w:t xml:space="preserve"> C</w:t>
      </w:r>
      <w:r w:rsidRPr="00D1008C">
        <w:rPr>
          <w:rFonts w:eastAsia="Calibri"/>
          <w:sz w:val="20"/>
          <w:szCs w:val="20"/>
          <w:lang w:bidi="ar-EG"/>
        </w:rPr>
        <w:t>onducted a study to investigate HPC in HCC and their clinical significance, about 29% (12/42) and 19% (8/42) of</w:t>
      </w:r>
      <w:r w:rsidR="00D1008C">
        <w:rPr>
          <w:rFonts w:eastAsia="Calibri"/>
          <w:sz w:val="20"/>
          <w:szCs w:val="20"/>
          <w:lang w:bidi="ar-EG"/>
        </w:rPr>
        <w:t xml:space="preserve"> </w:t>
      </w:r>
      <w:r w:rsidRPr="00D1008C">
        <w:rPr>
          <w:rFonts w:eastAsia="Calibri"/>
          <w:sz w:val="20"/>
          <w:szCs w:val="20"/>
          <w:lang w:bidi="ar-EG"/>
        </w:rPr>
        <w:t>the HCC patients, in non-tumor and tumor part respectively, have positive expression of one or more markers of</w:t>
      </w:r>
      <w:r w:rsidR="00D1008C">
        <w:rPr>
          <w:rFonts w:eastAsia="Calibri"/>
          <w:sz w:val="20"/>
          <w:szCs w:val="20"/>
          <w:lang w:bidi="ar-EG"/>
        </w:rPr>
        <w:t xml:space="preserve"> </w:t>
      </w:r>
      <w:r w:rsidRPr="00D1008C">
        <w:rPr>
          <w:rFonts w:eastAsia="Calibri"/>
          <w:sz w:val="20"/>
          <w:szCs w:val="20"/>
          <w:lang w:bidi="ar-EG"/>
        </w:rPr>
        <w:t>progenitor cells such as alfa-fetoprotein, OV-6, CD133 andCK-19.</w:t>
      </w:r>
      <w:r w:rsidRPr="00D1008C">
        <w:rPr>
          <w:sz w:val="20"/>
          <w:szCs w:val="20"/>
          <w:lang w:bidi="ar-EG"/>
        </w:rPr>
        <w:t xml:space="preserve">In our study </w:t>
      </w:r>
      <w:r w:rsidRPr="00D1008C">
        <w:rPr>
          <w:sz w:val="20"/>
          <w:szCs w:val="20"/>
        </w:rPr>
        <w:t>there is significance in expression of CK19 in HCC compared to cirrhosis and hepatitis group (p value &lt; 0.01). This coincide with</w:t>
      </w:r>
      <w:r w:rsidR="00EC2340" w:rsidRPr="00D1008C">
        <w:rPr>
          <w:b/>
          <w:bCs/>
          <w:sz w:val="20"/>
          <w:szCs w:val="20"/>
        </w:rPr>
        <w:t xml:space="preserve"> Oliva J,</w:t>
      </w:r>
      <w:r w:rsidR="00D1008C">
        <w:rPr>
          <w:b/>
          <w:bCs/>
          <w:sz w:val="20"/>
          <w:szCs w:val="20"/>
        </w:rPr>
        <w:t xml:space="preserve"> </w:t>
      </w:r>
      <w:r w:rsidR="00EC2340" w:rsidRPr="00D1008C">
        <w:rPr>
          <w:b/>
          <w:bCs/>
          <w:i/>
          <w:iCs/>
          <w:sz w:val="20"/>
          <w:szCs w:val="20"/>
        </w:rPr>
        <w:t>et al.</w:t>
      </w:r>
      <w:r w:rsidR="00EC2340" w:rsidRPr="00D1008C">
        <w:rPr>
          <w:b/>
          <w:bCs/>
          <w:sz w:val="20"/>
          <w:szCs w:val="20"/>
        </w:rPr>
        <w:t xml:space="preserve"> (2010),</w:t>
      </w:r>
      <w:r w:rsidR="00D1008C">
        <w:rPr>
          <w:sz w:val="20"/>
          <w:szCs w:val="20"/>
        </w:rPr>
        <w:t xml:space="preserve"> </w:t>
      </w:r>
      <w:r w:rsidRPr="00D1008C">
        <w:rPr>
          <w:sz w:val="20"/>
          <w:szCs w:val="20"/>
        </w:rPr>
        <w:t>who state that a panel of liver stem cell markers, such as OV6, glutathione S transferase placental (GST-P) and CK-19, was found to be positive for both HCC and cirrhotic tissues. Interestingly, HCC tissues had a higher positivity than cirrhotic tissues in liver stem cell marker staining, and these markers were positive in non-tumor liver tissues, such as alcoholic steatohepatitis, non-alcoholic steatohepatitis (NASH), HBV or HCV infection (non cirrhotic).</w:t>
      </w:r>
    </w:p>
    <w:p w:rsidR="00BF4F26" w:rsidRPr="00D1008C" w:rsidRDefault="00BF4F26" w:rsidP="004611F0">
      <w:pPr>
        <w:autoSpaceDE w:val="0"/>
        <w:autoSpaceDN w:val="0"/>
        <w:adjustRightInd w:val="0"/>
        <w:snapToGrid w:val="0"/>
        <w:ind w:firstLine="425"/>
        <w:jc w:val="both"/>
        <w:rPr>
          <w:sz w:val="20"/>
          <w:szCs w:val="20"/>
        </w:rPr>
      </w:pPr>
      <w:r w:rsidRPr="00D1008C">
        <w:rPr>
          <w:sz w:val="20"/>
          <w:szCs w:val="20"/>
        </w:rPr>
        <w:t>In our study expression of OV6 was cytoplasmic brownish stain in the cells lining bile ducts, hepatocytes at the periphery of portal tracts and hepatocytes at the periphery of cirrhotic nodule. The mean values of OV6 level showed a highly significant increase in group II and III compared to group I (p value &lt; 0.01) and a highly significant increase in group III compare</w:t>
      </w:r>
      <w:r w:rsidR="00D918F8" w:rsidRPr="00D1008C">
        <w:rPr>
          <w:sz w:val="20"/>
          <w:szCs w:val="20"/>
        </w:rPr>
        <w:t>d to group II (p value &lt; 0.01).</w:t>
      </w:r>
      <w:r w:rsidRPr="00D1008C">
        <w:rPr>
          <w:sz w:val="20"/>
          <w:szCs w:val="20"/>
        </w:rPr>
        <w:t>Tissue expression of CK19 were significantly increased in hepatitis, cirrhosis and HCC groups com</w:t>
      </w:r>
      <w:r w:rsidR="00420112">
        <w:rPr>
          <w:rFonts w:eastAsiaTheme="minorEastAsia" w:hint="eastAsia"/>
          <w:sz w:val="20"/>
          <w:szCs w:val="20"/>
          <w:lang w:eastAsia="zh-CN"/>
        </w:rPr>
        <w:t xml:space="preserve">. </w:t>
      </w:r>
      <w:r w:rsidRPr="00D1008C">
        <w:rPr>
          <w:sz w:val="20"/>
          <w:szCs w:val="20"/>
        </w:rPr>
        <w:t xml:space="preserve">In the present study mean values of OV6 level showed a highly statistically significant increase in group II and III compared to group I (p value &lt; 0.01) and a highly statistically significant increase in group III compared to group II (p value &lt; 0.01). This coincides with </w:t>
      </w:r>
      <w:r w:rsidR="00EC2340" w:rsidRPr="00D1008C">
        <w:rPr>
          <w:b/>
          <w:bCs/>
          <w:sz w:val="20"/>
          <w:szCs w:val="20"/>
        </w:rPr>
        <w:t>Lowes KN,</w:t>
      </w:r>
      <w:r w:rsidR="00D1008C">
        <w:rPr>
          <w:b/>
          <w:bCs/>
          <w:sz w:val="20"/>
          <w:szCs w:val="20"/>
        </w:rPr>
        <w:t xml:space="preserve"> </w:t>
      </w:r>
      <w:r w:rsidR="00EC2340" w:rsidRPr="00D1008C">
        <w:rPr>
          <w:b/>
          <w:bCs/>
          <w:i/>
          <w:iCs/>
          <w:sz w:val="20"/>
          <w:szCs w:val="20"/>
        </w:rPr>
        <w:t>et al.</w:t>
      </w:r>
      <w:r w:rsidR="00EC2340" w:rsidRPr="00D1008C">
        <w:rPr>
          <w:b/>
          <w:bCs/>
          <w:sz w:val="20"/>
          <w:szCs w:val="20"/>
        </w:rPr>
        <w:t xml:space="preserve"> (1999):</w:t>
      </w:r>
      <w:r w:rsidRPr="00D1008C">
        <w:rPr>
          <w:sz w:val="20"/>
          <w:szCs w:val="20"/>
        </w:rPr>
        <w:t xml:space="preserve"> who concluded that oval cells are frequently found in subjects with chronic HCV. Moreover, there is association between severity of liver disease and number of oval cells and their number increased as disease severity increased. Oval cells were located predominantly in the periportal region and were occasionally observed to form ductular structure spared to control group (p value &lt; 0.01), and </w:t>
      </w:r>
      <w:r w:rsidRPr="00D1008C">
        <w:rPr>
          <w:sz w:val="20"/>
          <w:szCs w:val="20"/>
          <w:lang w:bidi="ar-EG"/>
        </w:rPr>
        <w:t>there</w:t>
      </w:r>
      <w:r w:rsidRPr="00D1008C">
        <w:rPr>
          <w:sz w:val="20"/>
          <w:szCs w:val="20"/>
        </w:rPr>
        <w:t xml:space="preserve"> is significance in expression of CK19 in HCC compared to cirrhosis and hepatitis group (p value &lt; 0.01). In our study immunohistochemical staining of OCT3/4 in HCC group revealed staining of OCT4 in most of HCC sections (83.3%) compared to cirrhotic (44%) and (20%) in hepatitis patients without cirrhosis while it was undetectable in normal contr</w:t>
      </w:r>
      <w:r w:rsidR="00293EF9" w:rsidRPr="00D1008C">
        <w:rPr>
          <w:sz w:val="20"/>
          <w:szCs w:val="20"/>
        </w:rPr>
        <w:t xml:space="preserve">ol </w:t>
      </w:r>
      <w:r w:rsidR="00293EF9" w:rsidRPr="00D1008C">
        <w:rPr>
          <w:sz w:val="20"/>
          <w:szCs w:val="20"/>
        </w:rPr>
        <w:lastRenderedPageBreak/>
        <w:t>which is highly significant.</w:t>
      </w:r>
      <w:r w:rsidR="00420112">
        <w:rPr>
          <w:rFonts w:eastAsiaTheme="minorEastAsia" w:hint="eastAsia"/>
          <w:sz w:val="20"/>
          <w:szCs w:val="20"/>
          <w:lang w:eastAsia="zh-CN"/>
        </w:rPr>
        <w:t xml:space="preserve"> </w:t>
      </w:r>
      <w:r w:rsidRPr="00D1008C">
        <w:rPr>
          <w:sz w:val="20"/>
          <w:szCs w:val="20"/>
        </w:rPr>
        <w:t xml:space="preserve">Our results is higher than </w:t>
      </w:r>
      <w:r w:rsidR="00EC2340" w:rsidRPr="00D1008C">
        <w:rPr>
          <w:b/>
          <w:bCs/>
          <w:sz w:val="20"/>
          <w:szCs w:val="20"/>
        </w:rPr>
        <w:t>Huang GW,</w:t>
      </w:r>
      <w:r w:rsidR="00D1008C">
        <w:rPr>
          <w:b/>
          <w:bCs/>
          <w:sz w:val="20"/>
          <w:szCs w:val="20"/>
        </w:rPr>
        <w:t xml:space="preserve"> </w:t>
      </w:r>
      <w:r w:rsidR="00EC2340" w:rsidRPr="00D1008C">
        <w:rPr>
          <w:b/>
          <w:bCs/>
          <w:i/>
          <w:iCs/>
          <w:sz w:val="20"/>
          <w:szCs w:val="20"/>
        </w:rPr>
        <w:t>et al.</w:t>
      </w:r>
      <w:r w:rsidR="00EC2340" w:rsidRPr="00D1008C">
        <w:rPr>
          <w:b/>
          <w:bCs/>
          <w:sz w:val="20"/>
          <w:szCs w:val="20"/>
        </w:rPr>
        <w:t xml:space="preserve"> (2005):</w:t>
      </w:r>
      <w:r w:rsidR="00420112">
        <w:rPr>
          <w:rFonts w:eastAsiaTheme="minorEastAsia" w:hint="eastAsia"/>
          <w:b/>
          <w:bCs/>
          <w:sz w:val="20"/>
          <w:szCs w:val="20"/>
          <w:lang w:eastAsia="zh-CN"/>
        </w:rPr>
        <w:t xml:space="preserve"> </w:t>
      </w:r>
      <w:r w:rsidRPr="00D1008C">
        <w:rPr>
          <w:sz w:val="20"/>
          <w:szCs w:val="20"/>
        </w:rPr>
        <w:t>who found that the positive rate of OCT4</w:t>
      </w:r>
      <w:r w:rsidR="00420112">
        <w:rPr>
          <w:rFonts w:eastAsiaTheme="minorEastAsia" w:hint="eastAsia"/>
          <w:sz w:val="20"/>
          <w:szCs w:val="20"/>
          <w:lang w:eastAsia="zh-CN"/>
        </w:rPr>
        <w:t xml:space="preserve"> </w:t>
      </w:r>
      <w:r w:rsidRPr="00D1008C">
        <w:rPr>
          <w:sz w:val="20"/>
          <w:szCs w:val="20"/>
        </w:rPr>
        <w:t>A in HCC tissues was 72.0%</w:t>
      </w:r>
      <w:r w:rsidR="00D1008C">
        <w:rPr>
          <w:sz w:val="20"/>
          <w:szCs w:val="20"/>
        </w:rPr>
        <w:t>,</w:t>
      </w:r>
      <w:r w:rsidRPr="00D1008C">
        <w:rPr>
          <w:sz w:val="20"/>
          <w:szCs w:val="20"/>
        </w:rPr>
        <w:t xml:space="preserve"> which was higher than that in the corresponding adjacent non tumorous liver tissues (30.8%); the expression of OCT4A mRNA in normal non cirrhotic liver tissues was undetectable. These results suggest that the expression of OCT4 gene may be associated with liver carcinogenesis.</w:t>
      </w:r>
      <w:r w:rsidR="00420112">
        <w:rPr>
          <w:rFonts w:eastAsiaTheme="minorEastAsia" w:hint="eastAsia"/>
          <w:sz w:val="20"/>
          <w:szCs w:val="20"/>
          <w:lang w:eastAsia="zh-CN"/>
        </w:rPr>
        <w:t xml:space="preserve"> </w:t>
      </w:r>
      <w:r w:rsidRPr="00D1008C">
        <w:rPr>
          <w:sz w:val="20"/>
          <w:szCs w:val="20"/>
        </w:rPr>
        <w:t xml:space="preserve">This also </w:t>
      </w:r>
      <w:r w:rsidRPr="00D1008C">
        <w:rPr>
          <w:sz w:val="20"/>
          <w:szCs w:val="20"/>
          <w:lang w:bidi="ar-EG"/>
        </w:rPr>
        <w:t xml:space="preserve">in agreement with </w:t>
      </w:r>
      <w:r w:rsidR="00EC2340" w:rsidRPr="00D1008C">
        <w:rPr>
          <w:b/>
          <w:bCs/>
          <w:sz w:val="20"/>
          <w:szCs w:val="20"/>
          <w:lang w:val="en-GB"/>
        </w:rPr>
        <w:t>Zhuang PY,</w:t>
      </w:r>
      <w:r w:rsidR="00D1008C">
        <w:rPr>
          <w:b/>
          <w:bCs/>
          <w:sz w:val="20"/>
          <w:szCs w:val="20"/>
          <w:lang w:val="en-GB"/>
        </w:rPr>
        <w:t xml:space="preserve"> </w:t>
      </w:r>
      <w:r w:rsidR="00EC2340" w:rsidRPr="00D1008C">
        <w:rPr>
          <w:b/>
          <w:bCs/>
          <w:i/>
          <w:iCs/>
          <w:sz w:val="20"/>
          <w:szCs w:val="20"/>
        </w:rPr>
        <w:t>et al.</w:t>
      </w:r>
      <w:r w:rsidR="00420112">
        <w:rPr>
          <w:rFonts w:eastAsiaTheme="minorEastAsia" w:hint="eastAsia"/>
          <w:b/>
          <w:bCs/>
          <w:i/>
          <w:iCs/>
          <w:sz w:val="20"/>
          <w:szCs w:val="20"/>
          <w:lang w:eastAsia="zh-CN"/>
        </w:rPr>
        <w:t xml:space="preserve"> </w:t>
      </w:r>
      <w:r w:rsidR="00EC2340" w:rsidRPr="00D1008C">
        <w:rPr>
          <w:b/>
          <w:bCs/>
          <w:sz w:val="20"/>
          <w:szCs w:val="20"/>
          <w:lang w:val="en-GB"/>
        </w:rPr>
        <w:t>(2008):</w:t>
      </w:r>
      <w:r w:rsidR="00D1008C">
        <w:rPr>
          <w:b/>
          <w:bCs/>
          <w:sz w:val="20"/>
          <w:szCs w:val="20"/>
          <w:lang w:val="en-GB"/>
        </w:rPr>
        <w:t xml:space="preserve"> </w:t>
      </w:r>
      <w:r w:rsidRPr="00D1008C">
        <w:rPr>
          <w:sz w:val="20"/>
          <w:szCs w:val="20"/>
        </w:rPr>
        <w:t>who found that Immunohistochemical staining of OCT4 in HCC sections revealed clear staining of OCT4 in most of the tumor sections (67.8%) compared to cirrhosis sections (35.5%),</w:t>
      </w:r>
      <w:r w:rsidR="00D1008C">
        <w:rPr>
          <w:sz w:val="20"/>
          <w:szCs w:val="20"/>
        </w:rPr>
        <w:t xml:space="preserve"> </w:t>
      </w:r>
      <w:r w:rsidRPr="00D1008C">
        <w:rPr>
          <w:sz w:val="20"/>
          <w:szCs w:val="20"/>
        </w:rPr>
        <w:t>The HCC samples had significantly stronger staining of OCT4 than that of the adjacent no</w:t>
      </w:r>
      <w:r w:rsidR="00D918F8" w:rsidRPr="00D1008C">
        <w:rPr>
          <w:sz w:val="20"/>
          <w:szCs w:val="20"/>
        </w:rPr>
        <w:t>ntumoral and cirrhosis tissues.</w:t>
      </w:r>
      <w:r w:rsidR="00D1008C">
        <w:rPr>
          <w:sz w:val="20"/>
          <w:szCs w:val="20"/>
        </w:rPr>
        <w:t xml:space="preserve"> </w:t>
      </w:r>
      <w:r w:rsidRPr="00D1008C">
        <w:rPr>
          <w:sz w:val="20"/>
          <w:szCs w:val="20"/>
        </w:rPr>
        <w:t>In our study the high rate of expression of OCT4 was in HCC group this coincides with</w:t>
      </w:r>
      <w:r w:rsidR="00420112">
        <w:rPr>
          <w:rFonts w:eastAsiaTheme="minorEastAsia" w:hint="eastAsia"/>
          <w:sz w:val="20"/>
          <w:szCs w:val="20"/>
          <w:lang w:eastAsia="zh-CN"/>
        </w:rPr>
        <w:t xml:space="preserve"> </w:t>
      </w:r>
      <w:r w:rsidR="00EC2340" w:rsidRPr="00D1008C">
        <w:rPr>
          <w:b/>
          <w:bCs/>
          <w:sz w:val="20"/>
          <w:szCs w:val="20"/>
        </w:rPr>
        <w:t>PinZhu Huang,</w:t>
      </w:r>
      <w:r w:rsidR="00D1008C">
        <w:rPr>
          <w:b/>
          <w:bCs/>
          <w:sz w:val="20"/>
          <w:szCs w:val="20"/>
        </w:rPr>
        <w:t xml:space="preserve"> </w:t>
      </w:r>
      <w:r w:rsidR="00EC2340" w:rsidRPr="00D1008C">
        <w:rPr>
          <w:b/>
          <w:bCs/>
          <w:i/>
          <w:iCs/>
          <w:sz w:val="20"/>
          <w:szCs w:val="20"/>
        </w:rPr>
        <w:t>et al.</w:t>
      </w:r>
      <w:r w:rsidR="00420112">
        <w:rPr>
          <w:rFonts w:eastAsiaTheme="minorEastAsia" w:hint="eastAsia"/>
          <w:b/>
          <w:bCs/>
          <w:i/>
          <w:iCs/>
          <w:sz w:val="20"/>
          <w:szCs w:val="20"/>
          <w:lang w:eastAsia="zh-CN"/>
        </w:rPr>
        <w:t xml:space="preserve"> </w:t>
      </w:r>
      <w:r w:rsidR="00EC2340" w:rsidRPr="00D1008C">
        <w:rPr>
          <w:rFonts w:eastAsia="E-XFZ-Identity-H"/>
          <w:b/>
          <w:bCs/>
          <w:sz w:val="20"/>
          <w:szCs w:val="20"/>
        </w:rPr>
        <w:t>(2010):</w:t>
      </w:r>
      <w:r w:rsidRPr="00D1008C">
        <w:rPr>
          <w:sz w:val="20"/>
          <w:szCs w:val="20"/>
        </w:rPr>
        <w:t xml:space="preserve"> who reported that OCT4 was highly expressed in HCC. Its expression was correlated with the tumor size, vascular invasion, and TNM stage of HCC. This suggests that OCT4 gene may play an important role in carcinogenesis and progression of HCC and the expression of OCT4A mRNA in HCC may be used as an indica</w:t>
      </w:r>
      <w:r w:rsidR="00D918F8" w:rsidRPr="00D1008C">
        <w:rPr>
          <w:sz w:val="20"/>
          <w:szCs w:val="20"/>
        </w:rPr>
        <w:t>tor of postoperative prognosis.</w:t>
      </w:r>
      <w:r w:rsidRPr="00D1008C">
        <w:rPr>
          <w:sz w:val="20"/>
          <w:szCs w:val="20"/>
        </w:rPr>
        <w:t>In our study we found that there is significant difference of tissue expression of OCT3/4 between different grades of HCC tissues, this also in agreement with</w:t>
      </w:r>
      <w:r w:rsidR="00EC2340" w:rsidRPr="00D1008C">
        <w:rPr>
          <w:b/>
          <w:bCs/>
          <w:sz w:val="20"/>
          <w:szCs w:val="20"/>
          <w:lang w:val="en-GB"/>
        </w:rPr>
        <w:t xml:space="preserve"> Zhuang PY,</w:t>
      </w:r>
      <w:r w:rsidR="00D1008C">
        <w:rPr>
          <w:b/>
          <w:bCs/>
          <w:sz w:val="20"/>
          <w:szCs w:val="20"/>
          <w:lang w:val="en-GB"/>
        </w:rPr>
        <w:t xml:space="preserve"> </w:t>
      </w:r>
      <w:r w:rsidR="00EC2340" w:rsidRPr="00D1008C">
        <w:rPr>
          <w:b/>
          <w:bCs/>
          <w:i/>
          <w:iCs/>
          <w:sz w:val="20"/>
          <w:szCs w:val="20"/>
        </w:rPr>
        <w:t>et al.</w:t>
      </w:r>
      <w:r w:rsidR="00420112">
        <w:rPr>
          <w:rFonts w:eastAsiaTheme="minorEastAsia" w:hint="eastAsia"/>
          <w:b/>
          <w:bCs/>
          <w:i/>
          <w:iCs/>
          <w:sz w:val="20"/>
          <w:szCs w:val="20"/>
          <w:lang w:eastAsia="zh-CN"/>
        </w:rPr>
        <w:t xml:space="preserve"> </w:t>
      </w:r>
      <w:r w:rsidR="00EC2340" w:rsidRPr="00D1008C">
        <w:rPr>
          <w:b/>
          <w:bCs/>
          <w:sz w:val="20"/>
          <w:szCs w:val="20"/>
          <w:lang w:val="en-GB"/>
        </w:rPr>
        <w:t xml:space="preserve">(2008): </w:t>
      </w:r>
      <w:r w:rsidRPr="00D1008C">
        <w:rPr>
          <w:sz w:val="20"/>
          <w:szCs w:val="20"/>
        </w:rPr>
        <w:t>who found that poorly differentiated HCC tissues showed higher expression of OCT4 than the well-differentiated ones.</w:t>
      </w:r>
    </w:p>
    <w:p w:rsidR="00343F4D" w:rsidRPr="00D1008C" w:rsidRDefault="00343F4D" w:rsidP="004611F0">
      <w:pPr>
        <w:tabs>
          <w:tab w:val="right" w:pos="709"/>
        </w:tabs>
        <w:snapToGrid w:val="0"/>
        <w:ind w:firstLine="425"/>
        <w:jc w:val="both"/>
        <w:rPr>
          <w:sz w:val="20"/>
          <w:szCs w:val="20"/>
        </w:rPr>
      </w:pPr>
      <w:r w:rsidRPr="00D1008C">
        <w:rPr>
          <w:sz w:val="20"/>
          <w:szCs w:val="20"/>
        </w:rPr>
        <w:t>As regard relation between grades of inflammation and stages of fibrosis in chronic hepatitis group (with or without cirrhosis) and tissue levels of OV6 and</w:t>
      </w:r>
      <w:r w:rsidR="00D918F8" w:rsidRPr="00D1008C">
        <w:rPr>
          <w:sz w:val="20"/>
          <w:szCs w:val="20"/>
        </w:rPr>
        <w:t xml:space="preserve"> CK19 and OCT3/4:</w:t>
      </w:r>
      <w:r w:rsidR="00420112">
        <w:rPr>
          <w:rFonts w:eastAsiaTheme="minorEastAsia" w:hint="eastAsia"/>
          <w:sz w:val="20"/>
          <w:szCs w:val="20"/>
          <w:lang w:eastAsia="zh-CN"/>
        </w:rPr>
        <w:t xml:space="preserve"> </w:t>
      </w:r>
      <w:r w:rsidRPr="00D1008C">
        <w:rPr>
          <w:sz w:val="20"/>
          <w:szCs w:val="20"/>
        </w:rPr>
        <w:t xml:space="preserve">In our study mean values of OV6, CK19 and OCT3/4 levels in A3 were highly significantly increased compared to A2 and A1 (p value &lt; 0.01) and there were no significant difference in A2 compared to A1 (p value &gt; 0.05). This was in agreement with </w:t>
      </w:r>
      <w:r w:rsidR="00EC2340" w:rsidRPr="00D1008C">
        <w:rPr>
          <w:b/>
          <w:bCs/>
          <w:sz w:val="20"/>
          <w:szCs w:val="20"/>
        </w:rPr>
        <w:t xml:space="preserve">-Fotiado A, </w:t>
      </w:r>
      <w:r w:rsidR="00EC2340" w:rsidRPr="00D1008C">
        <w:rPr>
          <w:b/>
          <w:bCs/>
          <w:i/>
          <w:iCs/>
          <w:sz w:val="20"/>
          <w:szCs w:val="20"/>
        </w:rPr>
        <w:t>et al.</w:t>
      </w:r>
      <w:r w:rsidR="00EC2340" w:rsidRPr="00D1008C">
        <w:rPr>
          <w:b/>
          <w:bCs/>
          <w:sz w:val="20"/>
          <w:szCs w:val="20"/>
        </w:rPr>
        <w:t xml:space="preserve"> (2004):</w:t>
      </w:r>
      <w:r w:rsidR="00420112">
        <w:rPr>
          <w:rFonts w:eastAsiaTheme="minorEastAsia" w:hint="eastAsia"/>
          <w:b/>
          <w:bCs/>
          <w:sz w:val="20"/>
          <w:szCs w:val="20"/>
          <w:lang w:eastAsia="zh-CN"/>
        </w:rPr>
        <w:t xml:space="preserve"> </w:t>
      </w:r>
      <w:r w:rsidRPr="00D1008C">
        <w:rPr>
          <w:sz w:val="20"/>
          <w:szCs w:val="20"/>
        </w:rPr>
        <w:t>who reported that progenitor cell activation correlates with the degree of in</w:t>
      </w:r>
      <w:r w:rsidR="00D918F8" w:rsidRPr="00D1008C">
        <w:rPr>
          <w:sz w:val="20"/>
          <w:szCs w:val="20"/>
        </w:rPr>
        <w:t>flammation in chronic hepatitis.</w:t>
      </w:r>
      <w:r w:rsidRPr="00D1008C">
        <w:rPr>
          <w:sz w:val="20"/>
          <w:szCs w:val="20"/>
        </w:rPr>
        <w:t xml:space="preserve">This also was in agreement with </w:t>
      </w:r>
      <w:r w:rsidR="00EC2340" w:rsidRPr="00D1008C">
        <w:rPr>
          <w:b/>
          <w:bCs/>
          <w:sz w:val="20"/>
          <w:szCs w:val="20"/>
        </w:rPr>
        <w:t>Lowes KN,</w:t>
      </w:r>
      <w:r w:rsidR="00D1008C">
        <w:rPr>
          <w:b/>
          <w:bCs/>
          <w:sz w:val="20"/>
          <w:szCs w:val="20"/>
        </w:rPr>
        <w:t xml:space="preserve"> </w:t>
      </w:r>
      <w:r w:rsidR="00EC2340" w:rsidRPr="00D1008C">
        <w:rPr>
          <w:b/>
          <w:bCs/>
          <w:i/>
          <w:iCs/>
          <w:sz w:val="20"/>
          <w:szCs w:val="20"/>
        </w:rPr>
        <w:t>et al.</w:t>
      </w:r>
      <w:r w:rsidR="00EC2340" w:rsidRPr="00D1008C">
        <w:rPr>
          <w:b/>
          <w:bCs/>
          <w:sz w:val="20"/>
          <w:szCs w:val="20"/>
        </w:rPr>
        <w:t xml:space="preserve"> (1999):</w:t>
      </w:r>
      <w:r w:rsidR="00D1008C">
        <w:rPr>
          <w:b/>
          <w:bCs/>
          <w:sz w:val="20"/>
          <w:szCs w:val="20"/>
        </w:rPr>
        <w:t xml:space="preserve"> </w:t>
      </w:r>
      <w:r w:rsidR="00D918F8" w:rsidRPr="00D1008C">
        <w:rPr>
          <w:b/>
          <w:bCs/>
          <w:sz w:val="20"/>
          <w:szCs w:val="20"/>
        </w:rPr>
        <w:t xml:space="preserve">and </w:t>
      </w:r>
      <w:r w:rsidR="00EC2340" w:rsidRPr="00D1008C">
        <w:rPr>
          <w:b/>
          <w:bCs/>
          <w:sz w:val="20"/>
          <w:szCs w:val="20"/>
        </w:rPr>
        <w:t>Roskams T (2003):</w:t>
      </w:r>
      <w:r w:rsidRPr="00D1008C">
        <w:rPr>
          <w:sz w:val="20"/>
          <w:szCs w:val="20"/>
        </w:rPr>
        <w:t xml:space="preserve"> who reported that progenitor cell activation correlates with the degree of fibrosis in chronic hepatitis.</w:t>
      </w:r>
    </w:p>
    <w:p w:rsidR="0045204D" w:rsidRPr="00D1008C" w:rsidRDefault="0045204D" w:rsidP="004611F0">
      <w:pPr>
        <w:snapToGrid w:val="0"/>
        <w:ind w:firstLine="425"/>
        <w:jc w:val="both"/>
        <w:rPr>
          <w:rFonts w:eastAsia="Calibri"/>
          <w:b/>
          <w:bCs/>
          <w:sz w:val="20"/>
          <w:szCs w:val="20"/>
        </w:rPr>
      </w:pPr>
    </w:p>
    <w:p w:rsidR="00E3166D" w:rsidRPr="00D1008C" w:rsidRDefault="00E3166D" w:rsidP="00D7540E">
      <w:pPr>
        <w:snapToGrid w:val="0"/>
        <w:jc w:val="both"/>
        <w:rPr>
          <w:rFonts w:eastAsia="Calibri"/>
          <w:b/>
          <w:bCs/>
          <w:sz w:val="20"/>
          <w:szCs w:val="20"/>
        </w:rPr>
      </w:pPr>
      <w:r w:rsidRPr="00D1008C">
        <w:rPr>
          <w:rFonts w:eastAsia="Calibri"/>
          <w:b/>
          <w:bCs/>
          <w:sz w:val="20"/>
          <w:szCs w:val="20"/>
        </w:rPr>
        <w:t>C</w:t>
      </w:r>
      <w:r w:rsidR="00A764E1" w:rsidRPr="00D1008C">
        <w:rPr>
          <w:rFonts w:eastAsia="Calibri"/>
          <w:b/>
          <w:bCs/>
          <w:sz w:val="20"/>
          <w:szCs w:val="20"/>
        </w:rPr>
        <w:t>o</w:t>
      </w:r>
      <w:r w:rsidR="00EC2340" w:rsidRPr="00D1008C">
        <w:rPr>
          <w:rFonts w:eastAsia="Calibri"/>
          <w:b/>
          <w:bCs/>
          <w:sz w:val="20"/>
          <w:szCs w:val="20"/>
        </w:rPr>
        <w:t>n</w:t>
      </w:r>
      <w:r w:rsidR="00A764E1" w:rsidRPr="00D1008C">
        <w:rPr>
          <w:rFonts w:eastAsia="Calibri"/>
          <w:b/>
          <w:bCs/>
          <w:sz w:val="20"/>
          <w:szCs w:val="20"/>
        </w:rPr>
        <w:t>clusion</w:t>
      </w:r>
    </w:p>
    <w:p w:rsidR="00E3166D" w:rsidRPr="00D1008C" w:rsidRDefault="00E3166D" w:rsidP="004611F0">
      <w:pPr>
        <w:tabs>
          <w:tab w:val="right" w:pos="709"/>
          <w:tab w:val="right" w:pos="900"/>
        </w:tabs>
        <w:snapToGrid w:val="0"/>
        <w:ind w:firstLine="425"/>
        <w:contextualSpacing/>
        <w:jc w:val="both"/>
        <w:rPr>
          <w:sz w:val="20"/>
          <w:szCs w:val="20"/>
        </w:rPr>
      </w:pPr>
      <w:r w:rsidRPr="00D1008C">
        <w:rPr>
          <w:sz w:val="20"/>
          <w:szCs w:val="20"/>
        </w:rPr>
        <w:t>In our study of OV6 was expressed in the cells lining bile ducts, hepatocytes at the periphery of portal tracts and hepatocytes at the periphery of cirrhotic nodule, and intrahepatic OV6 expression was significantly increased with progression of liver disease being higher in patients with HCC than those with liver cirrhosis and in liver cir</w:t>
      </w:r>
      <w:r w:rsidR="00DC066A" w:rsidRPr="00D1008C">
        <w:rPr>
          <w:sz w:val="20"/>
          <w:szCs w:val="20"/>
        </w:rPr>
        <w:t>rhosis than chronic hepatitis.</w:t>
      </w:r>
      <w:r w:rsidR="00D1008C">
        <w:rPr>
          <w:sz w:val="20"/>
          <w:szCs w:val="20"/>
        </w:rPr>
        <w:t xml:space="preserve"> </w:t>
      </w:r>
      <w:r w:rsidRPr="00D1008C">
        <w:rPr>
          <w:sz w:val="20"/>
          <w:szCs w:val="20"/>
        </w:rPr>
        <w:t xml:space="preserve">The combined immunohistochemechal </w:t>
      </w:r>
      <w:r w:rsidRPr="00D1008C">
        <w:rPr>
          <w:sz w:val="20"/>
          <w:szCs w:val="20"/>
        </w:rPr>
        <w:lastRenderedPageBreak/>
        <w:t>staining with CK19 and OCT3/4(as stem cell marker) is useful for characterization of HCC.</w:t>
      </w:r>
      <w:r w:rsidR="00D1008C">
        <w:rPr>
          <w:sz w:val="20"/>
          <w:szCs w:val="20"/>
        </w:rPr>
        <w:t xml:space="preserve"> </w:t>
      </w:r>
      <w:r w:rsidRPr="00D1008C">
        <w:rPr>
          <w:sz w:val="20"/>
          <w:szCs w:val="20"/>
        </w:rPr>
        <w:t xml:space="preserve">Cytokeratin </w:t>
      </w:r>
      <w:r w:rsidRPr="00D1008C">
        <w:rPr>
          <w:sz w:val="20"/>
          <w:szCs w:val="20"/>
          <w:lang w:val="en-GB"/>
        </w:rPr>
        <w:t>19 was considered a marker of hepatic progenitor cells and biliary epithelial cells, the subset of HCC expressing CK19may represent an HCC category that originates from HPC or by metaplasia.</w:t>
      </w:r>
      <w:r w:rsidRPr="00D1008C">
        <w:rPr>
          <w:sz w:val="20"/>
          <w:szCs w:val="20"/>
        </w:rPr>
        <w:t xml:space="preserve">We found in our study that there is highly significant increase in OV6, CK19, and OCT3/4 level in HCC compared to chronic hepatitis with or without cirrhosis and so </w:t>
      </w:r>
      <w:r w:rsidRPr="00D1008C">
        <w:rPr>
          <w:rFonts w:eastAsia="TimesLTStd-Roman"/>
          <w:sz w:val="20"/>
          <w:szCs w:val="20"/>
        </w:rPr>
        <w:t xml:space="preserve">our study demonstrated that HCCs are enriched with </w:t>
      </w:r>
      <w:r w:rsidRPr="00D1008C">
        <w:rPr>
          <w:sz w:val="20"/>
          <w:szCs w:val="20"/>
        </w:rPr>
        <w:t>progenitor hepatic stem cell</w:t>
      </w:r>
      <w:r w:rsidRPr="00D1008C">
        <w:rPr>
          <w:rFonts w:eastAsia="TimesLTStd-Roman"/>
          <w:sz w:val="20"/>
          <w:szCs w:val="20"/>
        </w:rPr>
        <w:t xml:space="preserve">, which in turn </w:t>
      </w:r>
      <w:r w:rsidRPr="00D1008C">
        <w:rPr>
          <w:sz w:val="20"/>
          <w:szCs w:val="20"/>
        </w:rPr>
        <w:t xml:space="preserve">may be involved in the process of carcinogenesis and transformation of </w:t>
      </w:r>
      <w:r w:rsidR="00DC066A" w:rsidRPr="00D1008C">
        <w:rPr>
          <w:sz w:val="20"/>
          <w:szCs w:val="20"/>
        </w:rPr>
        <w:t>hepatocytes to malignant cells.</w:t>
      </w:r>
    </w:p>
    <w:p w:rsidR="00DC066A" w:rsidRPr="00D1008C" w:rsidRDefault="00DC066A" w:rsidP="004611F0">
      <w:pPr>
        <w:tabs>
          <w:tab w:val="right" w:pos="709"/>
          <w:tab w:val="right" w:pos="900"/>
        </w:tabs>
        <w:snapToGrid w:val="0"/>
        <w:ind w:firstLine="425"/>
        <w:contextualSpacing/>
        <w:jc w:val="both"/>
        <w:rPr>
          <w:sz w:val="20"/>
          <w:szCs w:val="20"/>
        </w:rPr>
      </w:pPr>
    </w:p>
    <w:p w:rsidR="007F5B91" w:rsidRPr="00D1008C" w:rsidRDefault="007F5B91" w:rsidP="00D7540E">
      <w:pPr>
        <w:tabs>
          <w:tab w:val="right" w:pos="709"/>
          <w:tab w:val="right" w:pos="900"/>
        </w:tabs>
        <w:snapToGrid w:val="0"/>
        <w:contextualSpacing/>
        <w:jc w:val="both"/>
        <w:rPr>
          <w:b/>
          <w:bCs/>
          <w:sz w:val="20"/>
          <w:szCs w:val="20"/>
        </w:rPr>
      </w:pPr>
      <w:r w:rsidRPr="00D1008C">
        <w:rPr>
          <w:b/>
          <w:bCs/>
          <w:sz w:val="20"/>
          <w:szCs w:val="20"/>
        </w:rPr>
        <w:t>References</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Alison MR, Islam S, Lim S., </w:t>
      </w:r>
      <w:r w:rsidRPr="00087ECF">
        <w:rPr>
          <w:bCs/>
          <w:i/>
          <w:iCs/>
          <w:sz w:val="18"/>
          <w:szCs w:val="18"/>
        </w:rPr>
        <w:t>et al.</w:t>
      </w:r>
      <w:r w:rsidRPr="00087ECF">
        <w:rPr>
          <w:bCs/>
          <w:sz w:val="18"/>
          <w:szCs w:val="18"/>
        </w:rPr>
        <w:t xml:space="preserve"> (2009)</w:t>
      </w:r>
      <w:r w:rsidRPr="00087ECF">
        <w:rPr>
          <w:sz w:val="18"/>
          <w:szCs w:val="18"/>
        </w:rPr>
        <w:t>: Stem cell in liver regeneration,</w:t>
      </w:r>
      <w:r w:rsidR="00D1008C" w:rsidRPr="00087ECF">
        <w:rPr>
          <w:rFonts w:eastAsiaTheme="minorEastAsia" w:hint="eastAsia"/>
          <w:sz w:val="18"/>
          <w:szCs w:val="18"/>
          <w:lang w:eastAsia="zh-CN"/>
        </w:rPr>
        <w:t xml:space="preserve"> </w:t>
      </w:r>
      <w:r w:rsidRPr="00087ECF">
        <w:rPr>
          <w:sz w:val="18"/>
          <w:szCs w:val="18"/>
        </w:rPr>
        <w:t>fibrosis and cancer:</w:t>
      </w:r>
      <w:r w:rsidR="00D1008C" w:rsidRPr="00087ECF">
        <w:rPr>
          <w:rFonts w:eastAsiaTheme="minorEastAsia" w:hint="eastAsia"/>
          <w:sz w:val="18"/>
          <w:szCs w:val="18"/>
          <w:lang w:eastAsia="zh-CN"/>
        </w:rPr>
        <w:t xml:space="preserve"> </w:t>
      </w:r>
      <w:r w:rsidRPr="00087ECF">
        <w:rPr>
          <w:sz w:val="18"/>
          <w:szCs w:val="18"/>
        </w:rPr>
        <w:t>the good the bad and the ugly. J. Pathol; 217(2):282-98.</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Bird T G, Lorenzini S, Forbes S J, </w:t>
      </w:r>
      <w:r w:rsidR="002468AC" w:rsidRPr="00087ECF">
        <w:rPr>
          <w:bCs/>
          <w:i/>
          <w:iCs/>
          <w:sz w:val="18"/>
          <w:szCs w:val="18"/>
        </w:rPr>
        <w:t>et al.</w:t>
      </w:r>
      <w:r w:rsidR="00D1008C" w:rsidRPr="00087ECF">
        <w:rPr>
          <w:rFonts w:eastAsiaTheme="minorEastAsia" w:hint="eastAsia"/>
          <w:bCs/>
          <w:i/>
          <w:iCs/>
          <w:sz w:val="18"/>
          <w:szCs w:val="18"/>
          <w:lang w:eastAsia="zh-CN"/>
        </w:rPr>
        <w:t xml:space="preserve"> </w:t>
      </w:r>
      <w:r w:rsidRPr="00087ECF">
        <w:rPr>
          <w:bCs/>
          <w:sz w:val="18"/>
          <w:szCs w:val="18"/>
        </w:rPr>
        <w:t>(2008):</w:t>
      </w:r>
      <w:r w:rsidRPr="00087ECF">
        <w:rPr>
          <w:sz w:val="18"/>
          <w:szCs w:val="18"/>
        </w:rPr>
        <w:t xml:space="preserve"> Activation of stem cells in hepatic diseases. Cell Tissue Res; 331: 283–300.</w:t>
      </w:r>
    </w:p>
    <w:p w:rsidR="00147E69" w:rsidRPr="00087ECF" w:rsidRDefault="00147E69" w:rsidP="00D7540E">
      <w:pPr>
        <w:pStyle w:val="ListParagraph"/>
        <w:numPr>
          <w:ilvl w:val="0"/>
          <w:numId w:val="5"/>
        </w:numPr>
        <w:autoSpaceDE w:val="0"/>
        <w:autoSpaceDN w:val="0"/>
        <w:adjustRightInd w:val="0"/>
        <w:snapToGrid w:val="0"/>
        <w:jc w:val="both"/>
        <w:rPr>
          <w:sz w:val="18"/>
          <w:szCs w:val="18"/>
          <w:lang w:bidi="ar-EG"/>
        </w:rPr>
      </w:pPr>
      <w:r w:rsidRPr="00087ECF">
        <w:rPr>
          <w:bCs/>
          <w:sz w:val="18"/>
          <w:szCs w:val="18"/>
        </w:rPr>
        <w:t xml:space="preserve">burix J and Sherman M (2005): </w:t>
      </w:r>
      <w:r w:rsidRPr="00087ECF">
        <w:rPr>
          <w:sz w:val="18"/>
          <w:szCs w:val="18"/>
        </w:rPr>
        <w:t>Practice Guidelines Committee, American Association for the Study of Liver Diseases. Management of hepatocellular carcinoma.</w:t>
      </w:r>
      <w:r w:rsidR="00D1008C" w:rsidRPr="00087ECF">
        <w:rPr>
          <w:rFonts w:eastAsiaTheme="minorEastAsia" w:hint="eastAsia"/>
          <w:sz w:val="18"/>
          <w:szCs w:val="18"/>
          <w:lang w:eastAsia="zh-CN"/>
        </w:rPr>
        <w:t xml:space="preserve"> </w:t>
      </w:r>
      <w:r w:rsidRPr="00087ECF">
        <w:rPr>
          <w:sz w:val="18"/>
          <w:szCs w:val="18"/>
        </w:rPr>
        <w:t>Hepatology; 42: 1208 -1236.</w:t>
      </w:r>
    </w:p>
    <w:p w:rsidR="007F5B91" w:rsidRPr="00087ECF" w:rsidRDefault="007F5B91" w:rsidP="00D7540E">
      <w:pPr>
        <w:pStyle w:val="ListParagraph"/>
        <w:numPr>
          <w:ilvl w:val="0"/>
          <w:numId w:val="5"/>
        </w:numPr>
        <w:autoSpaceDE w:val="0"/>
        <w:autoSpaceDN w:val="0"/>
        <w:adjustRightInd w:val="0"/>
        <w:snapToGrid w:val="0"/>
        <w:jc w:val="both"/>
        <w:rPr>
          <w:rFonts w:eastAsia="E-XFZ-Identity-H"/>
          <w:sz w:val="18"/>
          <w:szCs w:val="18"/>
        </w:rPr>
      </w:pPr>
      <w:r w:rsidRPr="00087ECF">
        <w:rPr>
          <w:rFonts w:eastAsia="E-XFZ-Identity-H"/>
          <w:bCs/>
          <w:sz w:val="18"/>
          <w:szCs w:val="18"/>
        </w:rPr>
        <w:t xml:space="preserve">Chiou SH, Yu CC, Huang CY, </w:t>
      </w:r>
      <w:r w:rsidR="002468AC"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rFonts w:eastAsia="E-XFZ-Identity-H"/>
          <w:bCs/>
          <w:sz w:val="18"/>
          <w:szCs w:val="18"/>
        </w:rPr>
        <w:t>(2008):</w:t>
      </w:r>
      <w:r w:rsidRPr="00087ECF">
        <w:rPr>
          <w:rFonts w:eastAsia="E-XFZ-Identity-H"/>
          <w:sz w:val="18"/>
          <w:szCs w:val="18"/>
        </w:rPr>
        <w:t xml:space="preserve"> Positive correlations of Oct 4 and Nanog in oral cancer stem like cells and high grade oral squamous cell carcinoma [J]. Clin Cancer Res, 14(13):</w:t>
      </w:r>
      <w:r w:rsidR="00420112" w:rsidRPr="00087ECF">
        <w:rPr>
          <w:rFonts w:eastAsia="E-XFZ-Identity-H" w:hint="eastAsia"/>
          <w:sz w:val="18"/>
          <w:szCs w:val="18"/>
          <w:lang w:eastAsia="zh-CN"/>
        </w:rPr>
        <w:t xml:space="preserve"> </w:t>
      </w:r>
      <w:r w:rsidRPr="00087ECF">
        <w:rPr>
          <w:rFonts w:eastAsia="E-XFZ-Identity-H"/>
          <w:sz w:val="18"/>
          <w:szCs w:val="18"/>
        </w:rPr>
        <w:t>4085-4095.</w:t>
      </w:r>
    </w:p>
    <w:p w:rsidR="007F5B91" w:rsidRPr="00087ECF" w:rsidRDefault="007F5B91" w:rsidP="00D7540E">
      <w:pPr>
        <w:pStyle w:val="ListParagraph"/>
        <w:numPr>
          <w:ilvl w:val="0"/>
          <w:numId w:val="5"/>
        </w:numPr>
        <w:autoSpaceDE w:val="0"/>
        <w:autoSpaceDN w:val="0"/>
        <w:adjustRightInd w:val="0"/>
        <w:snapToGrid w:val="0"/>
        <w:jc w:val="both"/>
        <w:rPr>
          <w:sz w:val="18"/>
          <w:szCs w:val="18"/>
          <w:u w:val="single"/>
          <w:lang w:val="en-GB"/>
        </w:rPr>
      </w:pPr>
      <w:r w:rsidRPr="00087ECF">
        <w:rPr>
          <w:bCs/>
          <w:sz w:val="18"/>
          <w:szCs w:val="18"/>
          <w:lang w:val="en-GB"/>
        </w:rPr>
        <w:t xml:space="preserve">Corcelle V, Stieger B, Gjinovci A, </w:t>
      </w:r>
      <w:r w:rsidR="002468AC"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lang w:val="en-GB"/>
        </w:rPr>
        <w:t xml:space="preserve">(2006): </w:t>
      </w:r>
      <w:r w:rsidRPr="00087ECF">
        <w:rPr>
          <w:sz w:val="18"/>
          <w:szCs w:val="18"/>
          <w:lang w:val="en-GB"/>
        </w:rPr>
        <w:t>Characterization of two distinct liver progenitor cell subpopulations of hematopoietic and hepatic origins.</w:t>
      </w:r>
      <w:r w:rsidR="00420112" w:rsidRPr="00087ECF">
        <w:rPr>
          <w:rFonts w:eastAsiaTheme="minorEastAsia" w:hint="eastAsia"/>
          <w:sz w:val="18"/>
          <w:szCs w:val="18"/>
          <w:lang w:val="en-GB" w:eastAsia="zh-CN"/>
        </w:rPr>
        <w:t xml:space="preserve"> </w:t>
      </w:r>
      <w:r w:rsidRPr="00087ECF">
        <w:rPr>
          <w:sz w:val="18"/>
          <w:szCs w:val="18"/>
          <w:lang w:val="en-GB"/>
        </w:rPr>
        <w:t>Exp Cell Res</w:t>
      </w:r>
      <w:r w:rsidRPr="00087ECF">
        <w:rPr>
          <w:i/>
          <w:iCs/>
          <w:sz w:val="18"/>
          <w:szCs w:val="18"/>
          <w:lang w:val="en-GB"/>
        </w:rPr>
        <w:t>,</w:t>
      </w:r>
      <w:r w:rsidRPr="00087ECF">
        <w:rPr>
          <w:bCs/>
          <w:sz w:val="18"/>
          <w:szCs w:val="18"/>
          <w:lang w:val="en-GB"/>
        </w:rPr>
        <w:t>312:</w:t>
      </w:r>
      <w:r w:rsidRPr="00087ECF">
        <w:rPr>
          <w:sz w:val="18"/>
          <w:szCs w:val="18"/>
          <w:lang w:val="en-GB"/>
        </w:rPr>
        <w:t>2826-2836.</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Crosby HA (1998):</w:t>
      </w:r>
      <w:r w:rsidRPr="00087ECF">
        <w:rPr>
          <w:sz w:val="18"/>
          <w:szCs w:val="18"/>
        </w:rPr>
        <w:t xml:space="preserve"> Liver Research Laboratories, Queen Elizabeth Hospital, Birmingham; B15 2TH, UK. 10.1002/hep;5/1280/ 412.</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rFonts w:eastAsia="E-XFZ-Identity-H"/>
          <w:bCs/>
          <w:sz w:val="18"/>
          <w:szCs w:val="18"/>
        </w:rPr>
        <w:t xml:space="preserve">Ezeh UI, Turek PJ, Reijo RA, </w:t>
      </w:r>
      <w:r w:rsidR="002468AC" w:rsidRPr="00087ECF">
        <w:rPr>
          <w:bCs/>
          <w:i/>
          <w:iCs/>
          <w:sz w:val="18"/>
          <w:szCs w:val="18"/>
        </w:rPr>
        <w:t>et al.</w:t>
      </w:r>
      <w:r w:rsidRPr="00087ECF">
        <w:rPr>
          <w:rFonts w:eastAsia="E-XFZ-Identity-H"/>
          <w:bCs/>
          <w:sz w:val="18"/>
          <w:szCs w:val="18"/>
        </w:rPr>
        <w:t>(2005):</w:t>
      </w:r>
      <w:r w:rsidRPr="00087ECF">
        <w:rPr>
          <w:rFonts w:eastAsia="E-XFZ-Identity-H"/>
          <w:sz w:val="18"/>
          <w:szCs w:val="18"/>
        </w:rPr>
        <w:t xml:space="preserve"> Human embryonic stem cell genes OCT4, NANOG, STELLAR, and GDF3 are expressed in both seminoma and breast carcinoma [J]. Cancer, 104(10):2255-2265.</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Fotiado A, TzioufaV,Vrettou E, </w:t>
      </w:r>
      <w:r w:rsidR="002468AC" w:rsidRPr="00087ECF">
        <w:rPr>
          <w:bCs/>
          <w:i/>
          <w:iCs/>
          <w:sz w:val="18"/>
          <w:szCs w:val="18"/>
        </w:rPr>
        <w:t>et al.</w:t>
      </w:r>
      <w:r w:rsidRPr="00087ECF">
        <w:rPr>
          <w:bCs/>
          <w:sz w:val="18"/>
          <w:szCs w:val="18"/>
        </w:rPr>
        <w:t>(2004):</w:t>
      </w:r>
      <w:r w:rsidRPr="00087ECF">
        <w:rPr>
          <w:sz w:val="18"/>
          <w:szCs w:val="18"/>
        </w:rPr>
        <w:t xml:space="preserve"> Progenitor cell activation in chronic viral hepatitis.</w:t>
      </w:r>
      <w:r w:rsidR="00420112" w:rsidRPr="00087ECF">
        <w:rPr>
          <w:rFonts w:eastAsiaTheme="minorEastAsia" w:hint="eastAsia"/>
          <w:sz w:val="18"/>
          <w:szCs w:val="18"/>
          <w:lang w:eastAsia="zh-CN"/>
        </w:rPr>
        <w:t xml:space="preserve"> </w:t>
      </w:r>
      <w:r w:rsidRPr="00087ECF">
        <w:rPr>
          <w:sz w:val="18"/>
          <w:szCs w:val="18"/>
        </w:rPr>
        <w:t>Liver Int;24(3):268-74.</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Gamal MAH, Sliem H, Ellethy AT, </w:t>
      </w:r>
      <w:r w:rsidR="002468AC"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rPr>
        <w:t>(2013):</w:t>
      </w:r>
      <w:r w:rsidRPr="00087ECF">
        <w:rPr>
          <w:sz w:val="18"/>
          <w:szCs w:val="18"/>
        </w:rPr>
        <w:t xml:space="preserve"> Chronic Liver Disease: Stem Cell Therapy. Journal of Gastroenterology and Hepatology Research; 2(3): 434-438.</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Huang GW, Yang LY, Lu WQ, </w:t>
      </w:r>
      <w:r w:rsidR="002468AC" w:rsidRPr="00087ECF">
        <w:rPr>
          <w:bCs/>
          <w:i/>
          <w:iCs/>
          <w:sz w:val="18"/>
          <w:szCs w:val="18"/>
        </w:rPr>
        <w:t>et al.</w:t>
      </w:r>
      <w:r w:rsidRPr="00087ECF">
        <w:rPr>
          <w:bCs/>
          <w:sz w:val="18"/>
          <w:szCs w:val="18"/>
        </w:rPr>
        <w:t>(2005):</w:t>
      </w:r>
      <w:r w:rsidRPr="00087ECF">
        <w:rPr>
          <w:sz w:val="18"/>
          <w:szCs w:val="18"/>
        </w:rPr>
        <w:t xml:space="preserve"> Expression of hypoxia-inducible factor 1alpha and vascular endothelial growth factor in hepatocellular carcinoma: impact on neovascularization and survival. World J Gastroenterol. 11:1705–1708.</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Ikeda H,</w:t>
      </w:r>
      <w:r w:rsidR="00D1008C" w:rsidRPr="00087ECF">
        <w:rPr>
          <w:rFonts w:eastAsiaTheme="minorEastAsia" w:hint="eastAsia"/>
          <w:bCs/>
          <w:sz w:val="18"/>
          <w:szCs w:val="18"/>
          <w:lang w:eastAsia="zh-CN"/>
        </w:rPr>
        <w:t xml:space="preserve"> </w:t>
      </w:r>
      <w:r w:rsidRPr="00087ECF">
        <w:rPr>
          <w:bCs/>
          <w:sz w:val="18"/>
          <w:szCs w:val="18"/>
        </w:rPr>
        <w:t xml:space="preserve">Sasaki M, Sato Y, </w:t>
      </w:r>
      <w:r w:rsidR="002468AC"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rPr>
        <w:t xml:space="preserve">(2009): </w:t>
      </w:r>
      <w:r w:rsidRPr="00087ECF">
        <w:rPr>
          <w:sz w:val="18"/>
          <w:szCs w:val="18"/>
        </w:rPr>
        <w:t>Bile ductular cell reaction with sesescent hepatocytes in chronic viral hepatitis is lost during hepatocarcinogenesis.</w:t>
      </w:r>
      <w:r w:rsidR="00420112" w:rsidRPr="00087ECF">
        <w:rPr>
          <w:rFonts w:eastAsiaTheme="minorEastAsia" w:hint="eastAsia"/>
          <w:sz w:val="18"/>
          <w:szCs w:val="18"/>
          <w:lang w:eastAsia="zh-CN"/>
        </w:rPr>
        <w:t xml:space="preserve"> </w:t>
      </w:r>
      <w:r w:rsidRPr="00087ECF">
        <w:rPr>
          <w:sz w:val="18"/>
          <w:szCs w:val="18"/>
        </w:rPr>
        <w:t>Pathology International;</w:t>
      </w:r>
      <w:r w:rsidR="00420112" w:rsidRPr="00087ECF">
        <w:rPr>
          <w:rFonts w:eastAsiaTheme="minorEastAsia" w:hint="eastAsia"/>
          <w:sz w:val="18"/>
          <w:szCs w:val="18"/>
          <w:lang w:eastAsia="zh-CN"/>
        </w:rPr>
        <w:t xml:space="preserve"> </w:t>
      </w:r>
      <w:r w:rsidRPr="00087ECF">
        <w:rPr>
          <w:sz w:val="18"/>
          <w:szCs w:val="18"/>
        </w:rPr>
        <w:t>59-7:471-478.</w:t>
      </w:r>
    </w:p>
    <w:p w:rsidR="007F5B91" w:rsidRPr="00087ECF" w:rsidRDefault="007F5B91" w:rsidP="00D7540E">
      <w:pPr>
        <w:pStyle w:val="ListParagraph"/>
        <w:numPr>
          <w:ilvl w:val="0"/>
          <w:numId w:val="5"/>
        </w:numPr>
        <w:autoSpaceDE w:val="0"/>
        <w:autoSpaceDN w:val="0"/>
        <w:adjustRightInd w:val="0"/>
        <w:snapToGrid w:val="0"/>
        <w:jc w:val="both"/>
        <w:rPr>
          <w:sz w:val="18"/>
          <w:szCs w:val="18"/>
          <w:lang w:bidi="ar-EG"/>
        </w:rPr>
      </w:pPr>
      <w:r w:rsidRPr="00087ECF">
        <w:rPr>
          <w:bCs/>
          <w:sz w:val="18"/>
          <w:szCs w:val="18"/>
        </w:rPr>
        <w:lastRenderedPageBreak/>
        <w:t xml:space="preserve">Lowes KN, Croager EJ, Abraham LJ,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rPr>
        <w:t>(2003):</w:t>
      </w:r>
      <w:r w:rsidRPr="00087ECF">
        <w:rPr>
          <w:sz w:val="18"/>
          <w:szCs w:val="18"/>
        </w:rPr>
        <w:t xml:space="preserve"> Upregulation of lymphotoxin beta expression in liver progenitor cells in chronic hepatitis C.</w:t>
      </w:r>
      <w:r w:rsidR="00420112" w:rsidRPr="00087ECF">
        <w:rPr>
          <w:rFonts w:eastAsiaTheme="minorEastAsia" w:hint="eastAsia"/>
          <w:sz w:val="18"/>
          <w:szCs w:val="18"/>
          <w:lang w:eastAsia="zh-CN"/>
        </w:rPr>
        <w:t xml:space="preserve"> </w:t>
      </w:r>
      <w:r w:rsidRPr="00087ECF">
        <w:rPr>
          <w:sz w:val="18"/>
          <w:szCs w:val="18"/>
        </w:rPr>
        <w:t>Gut; 52(9)1327-1332.</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Lowes KN, Brennan BA, Yeoh GC,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rPr>
        <w:t xml:space="preserve">(1999): </w:t>
      </w:r>
      <w:r w:rsidRPr="00087ECF">
        <w:rPr>
          <w:sz w:val="18"/>
          <w:szCs w:val="18"/>
        </w:rPr>
        <w:t>Oval cell numbers in human chronic liver diseases are directlu related todiseaseseverity.Am J Pathol; 154:537-541.</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rFonts w:eastAsia="E-XFZ-Identity-H"/>
          <w:bCs/>
          <w:sz w:val="18"/>
          <w:szCs w:val="18"/>
        </w:rPr>
        <w:t xml:space="preserve">Nichols J, Zevnik B, Anastassiadis K,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rFonts w:eastAsia="E-XFZ-Identity-H"/>
          <w:bCs/>
          <w:sz w:val="18"/>
          <w:szCs w:val="18"/>
        </w:rPr>
        <w:t>(1998): F</w:t>
      </w:r>
      <w:r w:rsidRPr="00087ECF">
        <w:rPr>
          <w:rFonts w:eastAsia="E-XFZ-Identity-H"/>
          <w:sz w:val="18"/>
          <w:szCs w:val="18"/>
        </w:rPr>
        <w:t>ormation of pluripotent stem cells in the mammalian embryo depends on the POU transcription factor Oct4 [J]. Cell; 95(3):379-391.</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 xml:space="preserve">Oliva J, French B, Qing X, </w:t>
      </w:r>
      <w:r w:rsidR="002D6C14" w:rsidRPr="00087ECF">
        <w:rPr>
          <w:bCs/>
          <w:i/>
          <w:iCs/>
          <w:sz w:val="18"/>
          <w:szCs w:val="18"/>
        </w:rPr>
        <w:t>et al.</w:t>
      </w:r>
      <w:r w:rsidRPr="00087ECF">
        <w:rPr>
          <w:bCs/>
          <w:sz w:val="18"/>
          <w:szCs w:val="18"/>
        </w:rPr>
        <w:t>(2010):</w:t>
      </w:r>
      <w:r w:rsidRPr="00087ECF">
        <w:rPr>
          <w:sz w:val="18"/>
          <w:szCs w:val="18"/>
        </w:rPr>
        <w:t xml:space="preserve"> The identification of stem cells in human liver diseases and hepatocellular carcinoma. Experimental and Molecular Pathology. June; 88(3): 331-340.</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PinZhu Huang, CanLiang Lu, Bin</w:t>
      </w:r>
      <w:r w:rsidR="00420112" w:rsidRPr="00087ECF">
        <w:rPr>
          <w:rFonts w:eastAsiaTheme="minorEastAsia" w:hint="eastAsia"/>
          <w:bCs/>
          <w:sz w:val="18"/>
          <w:szCs w:val="18"/>
          <w:lang w:eastAsia="zh-CN"/>
        </w:rPr>
        <w:t xml:space="preserve"> </w:t>
      </w:r>
      <w:r w:rsidRPr="00087ECF">
        <w:rPr>
          <w:bCs/>
          <w:sz w:val="18"/>
          <w:szCs w:val="18"/>
        </w:rPr>
        <w:t xml:space="preserve">Kui Li,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rFonts w:eastAsia="E-XFZ-Identity-H"/>
          <w:bCs/>
          <w:sz w:val="18"/>
          <w:szCs w:val="18"/>
        </w:rPr>
        <w:t>(2010):</w:t>
      </w:r>
      <w:r w:rsidR="00D1008C" w:rsidRPr="00087ECF">
        <w:rPr>
          <w:rFonts w:eastAsia="E-XFZ-Identity-H"/>
          <w:bCs/>
          <w:sz w:val="18"/>
          <w:szCs w:val="18"/>
        </w:rPr>
        <w:t xml:space="preserve"> </w:t>
      </w:r>
      <w:r w:rsidRPr="00087ECF">
        <w:rPr>
          <w:sz w:val="18"/>
          <w:szCs w:val="18"/>
        </w:rPr>
        <w:t>OCT4 expression in hepatocellular carcinoma and its clinical significance. Chinese Journal of Cancer; Vol.29 Issue 1</w:t>
      </w:r>
    </w:p>
    <w:p w:rsidR="00CD203A" w:rsidRPr="00087ECF" w:rsidRDefault="00CD203A" w:rsidP="00D7540E">
      <w:pPr>
        <w:pStyle w:val="ListParagraph"/>
        <w:numPr>
          <w:ilvl w:val="0"/>
          <w:numId w:val="5"/>
        </w:numPr>
        <w:autoSpaceDE w:val="0"/>
        <w:autoSpaceDN w:val="0"/>
        <w:adjustRightInd w:val="0"/>
        <w:snapToGrid w:val="0"/>
        <w:jc w:val="both"/>
        <w:rPr>
          <w:bCs/>
          <w:sz w:val="18"/>
          <w:szCs w:val="18"/>
        </w:rPr>
      </w:pPr>
      <w:r w:rsidRPr="00087ECF">
        <w:rPr>
          <w:bCs/>
          <w:sz w:val="18"/>
          <w:szCs w:val="18"/>
        </w:rPr>
        <w:t>Roskams T (2006b):</w:t>
      </w:r>
      <w:r w:rsidRPr="00087ECF">
        <w:rPr>
          <w:sz w:val="18"/>
          <w:szCs w:val="18"/>
        </w:rPr>
        <w:t xml:space="preserve"> Liver stem cells and their implication in hepatocellular and cholangiocarcinoma Oncogene; 25: 3818–3822.</w:t>
      </w:r>
    </w:p>
    <w:p w:rsidR="007F5B91" w:rsidRPr="00087ECF" w:rsidRDefault="007F5B91" w:rsidP="00D7540E">
      <w:pPr>
        <w:pStyle w:val="ListParagraph"/>
        <w:numPr>
          <w:ilvl w:val="0"/>
          <w:numId w:val="5"/>
        </w:numPr>
        <w:autoSpaceDE w:val="0"/>
        <w:autoSpaceDN w:val="0"/>
        <w:adjustRightInd w:val="0"/>
        <w:snapToGrid w:val="0"/>
        <w:jc w:val="both"/>
        <w:rPr>
          <w:bCs/>
          <w:sz w:val="18"/>
          <w:szCs w:val="18"/>
        </w:rPr>
      </w:pPr>
      <w:r w:rsidRPr="00087ECF">
        <w:rPr>
          <w:bCs/>
          <w:sz w:val="18"/>
          <w:szCs w:val="18"/>
        </w:rPr>
        <w:t xml:space="preserve">Roskams T, Theise N, Balabaud C, </w:t>
      </w:r>
      <w:r w:rsidR="002D6C14" w:rsidRPr="00087ECF">
        <w:rPr>
          <w:bCs/>
          <w:i/>
          <w:iCs/>
          <w:sz w:val="18"/>
          <w:szCs w:val="18"/>
        </w:rPr>
        <w:t>et al.</w:t>
      </w:r>
      <w:r w:rsidRPr="00087ECF">
        <w:rPr>
          <w:bCs/>
          <w:sz w:val="18"/>
          <w:szCs w:val="18"/>
        </w:rPr>
        <w:t>(2004):</w:t>
      </w:r>
      <w:r w:rsidRPr="00087ECF">
        <w:rPr>
          <w:sz w:val="18"/>
          <w:szCs w:val="18"/>
        </w:rPr>
        <w:t xml:space="preserve"> Nomenclature of the finer branches of the biliary tree: canals, ductules and ductular reactions in human livers. Hepatology; 39:1739–1745.</w:t>
      </w:r>
    </w:p>
    <w:p w:rsidR="007F5B91" w:rsidRPr="00087ECF" w:rsidRDefault="007F5B91" w:rsidP="00D7540E">
      <w:pPr>
        <w:pStyle w:val="ListParagraph"/>
        <w:numPr>
          <w:ilvl w:val="0"/>
          <w:numId w:val="5"/>
        </w:numPr>
        <w:autoSpaceDE w:val="0"/>
        <w:autoSpaceDN w:val="0"/>
        <w:adjustRightInd w:val="0"/>
        <w:snapToGrid w:val="0"/>
        <w:jc w:val="both"/>
        <w:rPr>
          <w:bCs/>
          <w:sz w:val="18"/>
          <w:szCs w:val="18"/>
        </w:rPr>
      </w:pPr>
      <w:r w:rsidRPr="00087ECF">
        <w:rPr>
          <w:bCs/>
          <w:sz w:val="18"/>
          <w:szCs w:val="18"/>
        </w:rPr>
        <w:t>Roskams T (2003):</w:t>
      </w:r>
      <w:r w:rsidRPr="00087ECF">
        <w:rPr>
          <w:sz w:val="18"/>
          <w:szCs w:val="18"/>
        </w:rPr>
        <w:t xml:space="preserve"> Progenitor cell involvement in cirrhotic human liver diseases: from controversy to consensus. J Hepatol; 39:431–434.</w:t>
      </w:r>
    </w:p>
    <w:p w:rsidR="007F5B91" w:rsidRPr="00087ECF" w:rsidRDefault="007F5B91" w:rsidP="00D7540E">
      <w:pPr>
        <w:pStyle w:val="ListParagraph"/>
        <w:numPr>
          <w:ilvl w:val="0"/>
          <w:numId w:val="5"/>
        </w:numPr>
        <w:autoSpaceDE w:val="0"/>
        <w:autoSpaceDN w:val="0"/>
        <w:adjustRightInd w:val="0"/>
        <w:snapToGrid w:val="0"/>
        <w:jc w:val="both"/>
        <w:rPr>
          <w:bCs/>
          <w:sz w:val="18"/>
          <w:szCs w:val="18"/>
        </w:rPr>
      </w:pPr>
      <w:r w:rsidRPr="00087ECF">
        <w:rPr>
          <w:bCs/>
          <w:sz w:val="18"/>
          <w:szCs w:val="18"/>
        </w:rPr>
        <w:t xml:space="preserve">Sievert W, Altraif I, AhmEd EA,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rPr>
        <w:t>(2011):</w:t>
      </w:r>
      <w:r w:rsidRPr="00087ECF">
        <w:rPr>
          <w:sz w:val="18"/>
          <w:szCs w:val="18"/>
        </w:rPr>
        <w:t xml:space="preserve"> A systematic review of hepatitis C virus epidemiology in Asia, Austalia and Egypt. Liver Int; 31(2): 61-80.</w:t>
      </w:r>
    </w:p>
    <w:p w:rsidR="007F5B91" w:rsidRPr="00087ECF" w:rsidRDefault="007F5B91" w:rsidP="00D7540E">
      <w:pPr>
        <w:pStyle w:val="ListParagraph"/>
        <w:numPr>
          <w:ilvl w:val="0"/>
          <w:numId w:val="5"/>
        </w:numPr>
        <w:autoSpaceDE w:val="0"/>
        <w:autoSpaceDN w:val="0"/>
        <w:adjustRightInd w:val="0"/>
        <w:snapToGrid w:val="0"/>
        <w:jc w:val="both"/>
        <w:rPr>
          <w:bCs/>
          <w:sz w:val="18"/>
          <w:szCs w:val="18"/>
        </w:rPr>
      </w:pPr>
      <w:r w:rsidRPr="00087ECF">
        <w:rPr>
          <w:rFonts w:eastAsia="E-XFZ-Identity-H"/>
          <w:bCs/>
          <w:sz w:val="18"/>
          <w:szCs w:val="18"/>
        </w:rPr>
        <w:t>Takahashi K and Yamanaka S. (2006)</w:t>
      </w:r>
      <w:r w:rsidRPr="00087ECF">
        <w:rPr>
          <w:rFonts w:eastAsia="E-XFZ-Identity-H"/>
          <w:sz w:val="18"/>
          <w:szCs w:val="18"/>
        </w:rPr>
        <w:t>: Induction of pluripotent stem cells from mouse embryonic and adult fibroblast cultures by defined factors [J]. Cell, 126(4):663-676.</w:t>
      </w:r>
    </w:p>
    <w:p w:rsidR="007F5B91" w:rsidRPr="00087ECF" w:rsidRDefault="007F5B91" w:rsidP="00D7540E">
      <w:pPr>
        <w:pStyle w:val="ListParagraph"/>
        <w:numPr>
          <w:ilvl w:val="0"/>
          <w:numId w:val="5"/>
        </w:numPr>
        <w:autoSpaceDE w:val="0"/>
        <w:autoSpaceDN w:val="0"/>
        <w:adjustRightInd w:val="0"/>
        <w:snapToGrid w:val="0"/>
        <w:jc w:val="both"/>
        <w:rPr>
          <w:bCs/>
          <w:sz w:val="18"/>
          <w:szCs w:val="18"/>
        </w:rPr>
      </w:pPr>
      <w:r w:rsidRPr="00087ECF">
        <w:rPr>
          <w:bCs/>
          <w:sz w:val="18"/>
          <w:szCs w:val="18"/>
        </w:rPr>
        <w:t xml:space="preserve">Tang Y, Kitisin K, Jogunoori W,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rPr>
        <w:t>(2008):</w:t>
      </w:r>
      <w:r w:rsidRPr="00087ECF">
        <w:rPr>
          <w:sz w:val="18"/>
          <w:szCs w:val="18"/>
        </w:rPr>
        <w:t xml:space="preserve"> Progenitor stem cells give rise to liver cancer due to aberrant TGF-beta and IL-6 signaling. Proc Natl Acad</w:t>
      </w:r>
      <w:r w:rsidR="00420112" w:rsidRPr="00087ECF">
        <w:rPr>
          <w:rFonts w:eastAsiaTheme="minorEastAsia" w:hint="eastAsia"/>
          <w:sz w:val="18"/>
          <w:szCs w:val="18"/>
          <w:lang w:eastAsia="zh-CN"/>
        </w:rPr>
        <w:t xml:space="preserve"> </w:t>
      </w:r>
      <w:r w:rsidRPr="00087ECF">
        <w:rPr>
          <w:sz w:val="18"/>
          <w:szCs w:val="18"/>
        </w:rPr>
        <w:t>Sci USA; 105:2445–2450.</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lang w:val="en-GB"/>
        </w:rPr>
        <w:t xml:space="preserve">Uenishi T, Kubo S, Yamamoto T,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lang w:val="en-GB"/>
        </w:rPr>
        <w:t xml:space="preserve">(2003): </w:t>
      </w:r>
      <w:r w:rsidRPr="00087ECF">
        <w:rPr>
          <w:sz w:val="18"/>
          <w:szCs w:val="18"/>
          <w:lang w:val="en-GB"/>
        </w:rPr>
        <w:t>Cytokeratin 19 expression in hepatocellular carcinoma predicts early postoperative recurrence. Cancer Sci</w:t>
      </w:r>
      <w:r w:rsidRPr="00087ECF">
        <w:rPr>
          <w:i/>
          <w:iCs/>
          <w:sz w:val="18"/>
          <w:szCs w:val="18"/>
          <w:lang w:val="en-GB"/>
        </w:rPr>
        <w:t>,</w:t>
      </w:r>
      <w:r w:rsidRPr="00087ECF">
        <w:rPr>
          <w:sz w:val="18"/>
          <w:szCs w:val="18"/>
          <w:lang w:val="en-GB"/>
        </w:rPr>
        <w:t xml:space="preserve"> 94</w:t>
      </w:r>
      <w:r w:rsidRPr="00087ECF">
        <w:rPr>
          <w:bCs/>
          <w:sz w:val="18"/>
          <w:szCs w:val="18"/>
          <w:lang w:val="en-GB"/>
        </w:rPr>
        <w:t>:</w:t>
      </w:r>
      <w:r w:rsidRPr="00087ECF">
        <w:rPr>
          <w:sz w:val="18"/>
          <w:szCs w:val="18"/>
          <w:lang w:val="en-GB"/>
        </w:rPr>
        <w:t>851-857.</w:t>
      </w:r>
    </w:p>
    <w:p w:rsidR="007F5B91" w:rsidRPr="00087ECF" w:rsidRDefault="007F5B91" w:rsidP="00D7540E">
      <w:pPr>
        <w:pStyle w:val="ListParagraph"/>
        <w:numPr>
          <w:ilvl w:val="0"/>
          <w:numId w:val="5"/>
        </w:numPr>
        <w:autoSpaceDE w:val="0"/>
        <w:autoSpaceDN w:val="0"/>
        <w:adjustRightInd w:val="0"/>
        <w:snapToGrid w:val="0"/>
        <w:jc w:val="both"/>
        <w:rPr>
          <w:sz w:val="18"/>
          <w:szCs w:val="18"/>
        </w:rPr>
      </w:pPr>
      <w:r w:rsidRPr="00087ECF">
        <w:rPr>
          <w:bCs/>
          <w:sz w:val="18"/>
          <w:szCs w:val="18"/>
        </w:rPr>
        <w:t>World Health Organization (WHO), (2004):</w:t>
      </w:r>
      <w:r w:rsidRPr="00087ECF">
        <w:rPr>
          <w:sz w:val="18"/>
          <w:szCs w:val="18"/>
        </w:rPr>
        <w:t xml:space="preserve"> Global burden of disease (GBD) for hepatitis C. J Clin</w:t>
      </w:r>
      <w:r w:rsidR="00420112" w:rsidRPr="00087ECF">
        <w:rPr>
          <w:rFonts w:eastAsiaTheme="minorEastAsia" w:hint="eastAsia"/>
          <w:sz w:val="18"/>
          <w:szCs w:val="18"/>
          <w:lang w:eastAsia="zh-CN"/>
        </w:rPr>
        <w:t xml:space="preserve"> </w:t>
      </w:r>
      <w:r w:rsidRPr="00087ECF">
        <w:rPr>
          <w:sz w:val="18"/>
          <w:szCs w:val="18"/>
        </w:rPr>
        <w:t>Pharmacol; 44: 20–9.</w:t>
      </w:r>
    </w:p>
    <w:p w:rsidR="007F5B91" w:rsidRPr="00087ECF" w:rsidRDefault="007F5B91" w:rsidP="00D7540E">
      <w:pPr>
        <w:pStyle w:val="ListParagraph"/>
        <w:numPr>
          <w:ilvl w:val="0"/>
          <w:numId w:val="5"/>
        </w:numPr>
        <w:autoSpaceDE w:val="0"/>
        <w:autoSpaceDN w:val="0"/>
        <w:adjustRightInd w:val="0"/>
        <w:snapToGrid w:val="0"/>
        <w:jc w:val="both"/>
        <w:rPr>
          <w:bCs/>
          <w:sz w:val="18"/>
          <w:szCs w:val="18"/>
        </w:rPr>
      </w:pPr>
      <w:r w:rsidRPr="00087ECF">
        <w:rPr>
          <w:bCs/>
          <w:sz w:val="18"/>
          <w:szCs w:val="18"/>
        </w:rPr>
        <w:t xml:space="preserve">Yamamoto T, Uenishi T, Ogawa M, </w:t>
      </w:r>
      <w:r w:rsidR="002D6C14" w:rsidRPr="00087ECF">
        <w:rPr>
          <w:bCs/>
          <w:i/>
          <w:iCs/>
          <w:sz w:val="18"/>
          <w:szCs w:val="18"/>
        </w:rPr>
        <w:t>et al.</w:t>
      </w:r>
      <w:r w:rsidRPr="00087ECF">
        <w:rPr>
          <w:bCs/>
          <w:sz w:val="18"/>
          <w:szCs w:val="18"/>
        </w:rPr>
        <w:t>(2005)</w:t>
      </w:r>
      <w:r w:rsidRPr="00087ECF">
        <w:rPr>
          <w:sz w:val="18"/>
          <w:szCs w:val="18"/>
        </w:rPr>
        <w:t>: Immunohistologic attempt to find carcinogenesis from hepatic progenitor cell in hepatocellular carcinoma. Dig Surg; 22:364–370.</w:t>
      </w:r>
    </w:p>
    <w:p w:rsidR="00D7540E" w:rsidRPr="00087ECF" w:rsidRDefault="007F5B91" w:rsidP="004611F0">
      <w:pPr>
        <w:pStyle w:val="ListParagraph"/>
        <w:numPr>
          <w:ilvl w:val="0"/>
          <w:numId w:val="5"/>
        </w:numPr>
        <w:autoSpaceDE w:val="0"/>
        <w:autoSpaceDN w:val="0"/>
        <w:adjustRightInd w:val="0"/>
        <w:snapToGrid w:val="0"/>
        <w:ind w:left="425" w:hanging="425"/>
        <w:jc w:val="both"/>
        <w:rPr>
          <w:rFonts w:eastAsiaTheme="minorEastAsia"/>
          <w:sz w:val="18"/>
          <w:szCs w:val="18"/>
          <w:lang w:eastAsia="zh-CN" w:bidi="ar-EG"/>
        </w:rPr>
      </w:pPr>
      <w:r w:rsidRPr="00087ECF">
        <w:rPr>
          <w:bCs/>
          <w:sz w:val="18"/>
          <w:szCs w:val="18"/>
          <w:lang w:val="en-GB"/>
        </w:rPr>
        <w:t xml:space="preserve">Zhuang PY, Zhang JB, Zhu XD, </w:t>
      </w:r>
      <w:r w:rsidR="002D6C14" w:rsidRPr="00087ECF">
        <w:rPr>
          <w:bCs/>
          <w:i/>
          <w:iCs/>
          <w:sz w:val="18"/>
          <w:szCs w:val="18"/>
        </w:rPr>
        <w:t>et al.</w:t>
      </w:r>
      <w:r w:rsidR="00420112" w:rsidRPr="00087ECF">
        <w:rPr>
          <w:rFonts w:eastAsiaTheme="minorEastAsia" w:hint="eastAsia"/>
          <w:bCs/>
          <w:i/>
          <w:iCs/>
          <w:sz w:val="18"/>
          <w:szCs w:val="18"/>
          <w:lang w:eastAsia="zh-CN"/>
        </w:rPr>
        <w:t xml:space="preserve"> </w:t>
      </w:r>
      <w:r w:rsidRPr="00087ECF">
        <w:rPr>
          <w:bCs/>
          <w:sz w:val="18"/>
          <w:szCs w:val="18"/>
          <w:lang w:val="en-GB"/>
        </w:rPr>
        <w:t xml:space="preserve">(2008): </w:t>
      </w:r>
      <w:r w:rsidRPr="00087ECF">
        <w:rPr>
          <w:sz w:val="18"/>
          <w:szCs w:val="18"/>
          <w:lang w:val="en-GB"/>
        </w:rPr>
        <w:t>Two pathologic types of hepatocellular carcinoma with lymph node metastasis with distinct prognosis on the basis of CK19 expression in tumor. Cancer; 112</w:t>
      </w:r>
      <w:r w:rsidRPr="00087ECF">
        <w:rPr>
          <w:bCs/>
          <w:sz w:val="18"/>
          <w:szCs w:val="18"/>
          <w:lang w:val="en-GB"/>
        </w:rPr>
        <w:t>:</w:t>
      </w:r>
      <w:r w:rsidRPr="00087ECF">
        <w:rPr>
          <w:sz w:val="18"/>
          <w:szCs w:val="18"/>
          <w:lang w:val="en-GB"/>
        </w:rPr>
        <w:t>2740-2748.</w:t>
      </w:r>
      <w:r w:rsidR="00D1008C" w:rsidRPr="00087ECF">
        <w:rPr>
          <w:rFonts w:eastAsiaTheme="minorEastAsia" w:hint="eastAsia"/>
          <w:sz w:val="18"/>
          <w:szCs w:val="18"/>
          <w:lang w:val="en-GB" w:eastAsia="zh-CN"/>
        </w:rPr>
        <w:t xml:space="preserve"> </w:t>
      </w:r>
    </w:p>
    <w:p w:rsidR="00D7540E" w:rsidRPr="00D1008C" w:rsidRDefault="00D7540E" w:rsidP="004611F0">
      <w:pPr>
        <w:autoSpaceDE w:val="0"/>
        <w:autoSpaceDN w:val="0"/>
        <w:adjustRightInd w:val="0"/>
        <w:snapToGrid w:val="0"/>
        <w:ind w:left="425" w:hanging="425"/>
        <w:jc w:val="both"/>
        <w:rPr>
          <w:rFonts w:eastAsiaTheme="minorEastAsia"/>
          <w:sz w:val="20"/>
          <w:szCs w:val="20"/>
          <w:lang w:eastAsia="zh-CN" w:bidi="ar-EG"/>
        </w:rPr>
        <w:sectPr w:rsidR="00D7540E" w:rsidRPr="00D1008C" w:rsidSect="00D1008C">
          <w:type w:val="continuous"/>
          <w:pgSz w:w="12242" w:h="15842" w:code="1"/>
          <w:pgMar w:top="1440" w:right="1440" w:bottom="1440" w:left="1440" w:header="720" w:footer="720" w:gutter="0"/>
          <w:cols w:num="2" w:space="576"/>
          <w:docGrid w:linePitch="360"/>
        </w:sectPr>
      </w:pPr>
    </w:p>
    <w:p w:rsidR="007F5B91" w:rsidRPr="00D1008C" w:rsidRDefault="007F5B91" w:rsidP="004611F0">
      <w:pPr>
        <w:autoSpaceDE w:val="0"/>
        <w:autoSpaceDN w:val="0"/>
        <w:adjustRightInd w:val="0"/>
        <w:snapToGrid w:val="0"/>
        <w:ind w:left="425" w:hanging="425"/>
        <w:jc w:val="both"/>
        <w:rPr>
          <w:sz w:val="20"/>
          <w:szCs w:val="20"/>
          <w:lang w:bidi="ar-EG"/>
        </w:rPr>
      </w:pPr>
    </w:p>
    <w:p w:rsidR="00E3166D" w:rsidRPr="00D1008C" w:rsidRDefault="00087ECF" w:rsidP="004611F0">
      <w:pPr>
        <w:pStyle w:val="ListParagraph"/>
        <w:snapToGrid w:val="0"/>
        <w:ind w:left="425" w:hanging="425"/>
        <w:jc w:val="both"/>
        <w:rPr>
          <w:rFonts w:eastAsia="Calibri"/>
          <w:color w:val="000000"/>
          <w:sz w:val="20"/>
          <w:szCs w:val="20"/>
        </w:rPr>
      </w:pPr>
      <w:r>
        <w:rPr>
          <w:rFonts w:eastAsiaTheme="minorEastAsia" w:hint="eastAsia"/>
          <w:color w:val="000000"/>
          <w:sz w:val="20"/>
          <w:szCs w:val="20"/>
          <w:lang w:eastAsia="zh-CN"/>
        </w:rPr>
        <w:t>6</w:t>
      </w:r>
      <w:r w:rsidR="004611F0" w:rsidRPr="00D1008C">
        <w:rPr>
          <w:rFonts w:eastAsia="Calibri"/>
          <w:color w:val="000000"/>
          <w:sz w:val="20"/>
          <w:szCs w:val="20"/>
        </w:rPr>
        <w:t>/2</w:t>
      </w:r>
      <w:r>
        <w:rPr>
          <w:rFonts w:eastAsiaTheme="minorEastAsia" w:hint="eastAsia"/>
          <w:color w:val="000000"/>
          <w:sz w:val="20"/>
          <w:szCs w:val="20"/>
          <w:lang w:eastAsia="zh-CN"/>
        </w:rPr>
        <w:t>5</w:t>
      </w:r>
      <w:r w:rsidR="004611F0" w:rsidRPr="00D1008C">
        <w:rPr>
          <w:rFonts w:eastAsia="Calibri"/>
          <w:color w:val="000000"/>
          <w:sz w:val="20"/>
          <w:szCs w:val="20"/>
        </w:rPr>
        <w:t>/2015</w:t>
      </w:r>
    </w:p>
    <w:sectPr w:rsidR="00E3166D" w:rsidRPr="00D1008C" w:rsidSect="00F93E9F">
      <w:headerReference w:type="default" r:id="rId32"/>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AAF" w:rsidRDefault="00342AAF" w:rsidP="004778E9">
      <w:r>
        <w:separator/>
      </w:r>
    </w:p>
  </w:endnote>
  <w:endnote w:type="continuationSeparator" w:id="0">
    <w:p w:rsidR="00342AAF" w:rsidRDefault="00342AAF" w:rsidP="004778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FPEF">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XFZ-Identity-H">
    <w:altName w:val="Arial Unicode MS"/>
    <w:panose1 w:val="00000000000000000000"/>
    <w:charset w:val="86"/>
    <w:family w:val="auto"/>
    <w:notTrueType/>
    <w:pitch w:val="default"/>
    <w:sig w:usb0="00000001" w:usb1="080E0000" w:usb2="00000010" w:usb3="00000000" w:csb0="00040000" w:csb1="00000000"/>
  </w:font>
  <w:font w:name="TimesLTStd-Roman">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E32D2A" w:rsidP="004611F0">
    <w:pPr>
      <w:jc w:val="center"/>
      <w:rPr>
        <w:sz w:val="20"/>
      </w:rPr>
    </w:pPr>
    <w:r w:rsidRPr="004611F0">
      <w:rPr>
        <w:sz w:val="20"/>
      </w:rPr>
      <w:fldChar w:fldCharType="begin"/>
    </w:r>
    <w:r w:rsidR="00012010" w:rsidRPr="004611F0">
      <w:rPr>
        <w:sz w:val="20"/>
      </w:rPr>
      <w:instrText xml:space="preserve"> page </w:instrText>
    </w:r>
    <w:r w:rsidRPr="004611F0">
      <w:rPr>
        <w:sz w:val="20"/>
      </w:rPr>
      <w:fldChar w:fldCharType="separate"/>
    </w:r>
    <w:r w:rsidR="0057396C">
      <w:rPr>
        <w:noProof/>
        <w:sz w:val="20"/>
      </w:rPr>
      <w:t>110</w:t>
    </w:r>
    <w:r w:rsidRPr="004611F0">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E32D2A" w:rsidP="004611F0">
    <w:pPr>
      <w:jc w:val="center"/>
      <w:rPr>
        <w:sz w:val="20"/>
      </w:rPr>
    </w:pPr>
    <w:r w:rsidRPr="004611F0">
      <w:rPr>
        <w:sz w:val="20"/>
      </w:rPr>
      <w:fldChar w:fldCharType="begin"/>
    </w:r>
    <w:r w:rsidR="00012010" w:rsidRPr="004611F0">
      <w:rPr>
        <w:sz w:val="20"/>
      </w:rPr>
      <w:instrText xml:space="preserve"> page </w:instrText>
    </w:r>
    <w:r w:rsidRPr="004611F0">
      <w:rPr>
        <w:sz w:val="20"/>
      </w:rPr>
      <w:fldChar w:fldCharType="separate"/>
    </w:r>
    <w:r w:rsidR="0057396C">
      <w:rPr>
        <w:noProof/>
        <w:sz w:val="20"/>
      </w:rPr>
      <w:t>112</w:t>
    </w:r>
    <w:r w:rsidRPr="004611F0">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E32D2A" w:rsidP="004611F0">
    <w:pPr>
      <w:jc w:val="center"/>
      <w:rPr>
        <w:sz w:val="20"/>
      </w:rPr>
    </w:pPr>
    <w:r w:rsidRPr="004611F0">
      <w:rPr>
        <w:sz w:val="20"/>
      </w:rPr>
      <w:fldChar w:fldCharType="begin"/>
    </w:r>
    <w:r w:rsidR="00012010" w:rsidRPr="004611F0">
      <w:rPr>
        <w:sz w:val="20"/>
      </w:rPr>
      <w:instrText xml:space="preserve"> page </w:instrText>
    </w:r>
    <w:r w:rsidRPr="004611F0">
      <w:rPr>
        <w:sz w:val="20"/>
      </w:rPr>
      <w:fldChar w:fldCharType="separate"/>
    </w:r>
    <w:r w:rsidR="00012010">
      <w:rPr>
        <w:noProof/>
        <w:sz w:val="20"/>
      </w:rPr>
      <w:t>112</w:t>
    </w:r>
    <w:r w:rsidRPr="004611F0">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E32D2A" w:rsidP="004611F0">
    <w:pPr>
      <w:jc w:val="center"/>
      <w:rPr>
        <w:sz w:val="20"/>
      </w:rPr>
    </w:pPr>
    <w:r w:rsidRPr="004611F0">
      <w:rPr>
        <w:sz w:val="20"/>
      </w:rPr>
      <w:fldChar w:fldCharType="begin"/>
    </w:r>
    <w:r w:rsidR="00012010" w:rsidRPr="004611F0">
      <w:rPr>
        <w:sz w:val="20"/>
      </w:rPr>
      <w:instrText xml:space="preserve"> page </w:instrText>
    </w:r>
    <w:r w:rsidRPr="004611F0">
      <w:rPr>
        <w:sz w:val="20"/>
      </w:rPr>
      <w:fldChar w:fldCharType="separate"/>
    </w:r>
    <w:r w:rsidR="0057396C">
      <w:rPr>
        <w:noProof/>
        <w:sz w:val="20"/>
      </w:rPr>
      <w:t>114</w:t>
    </w:r>
    <w:r w:rsidRPr="004611F0">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E32D2A" w:rsidP="004611F0">
    <w:pPr>
      <w:jc w:val="center"/>
      <w:rPr>
        <w:sz w:val="20"/>
      </w:rPr>
    </w:pPr>
    <w:r w:rsidRPr="004611F0">
      <w:rPr>
        <w:sz w:val="20"/>
      </w:rPr>
      <w:fldChar w:fldCharType="begin"/>
    </w:r>
    <w:r w:rsidR="00012010" w:rsidRPr="004611F0">
      <w:rPr>
        <w:sz w:val="20"/>
      </w:rPr>
      <w:instrText xml:space="preserve"> page </w:instrText>
    </w:r>
    <w:r w:rsidRPr="004611F0">
      <w:rPr>
        <w:sz w:val="20"/>
      </w:rPr>
      <w:fldChar w:fldCharType="separate"/>
    </w:r>
    <w:r w:rsidR="0057396C">
      <w:rPr>
        <w:noProof/>
        <w:sz w:val="20"/>
      </w:rPr>
      <w:t>119</w:t>
    </w:r>
    <w:r w:rsidRPr="004611F0">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AAF" w:rsidRDefault="00342AAF" w:rsidP="004778E9">
      <w:r>
        <w:separator/>
      </w:r>
    </w:p>
  </w:footnote>
  <w:footnote w:type="continuationSeparator" w:id="0">
    <w:p w:rsidR="00342AAF" w:rsidRDefault="00342AAF" w:rsidP="004778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012010" w:rsidP="004611F0">
    <w:pPr>
      <w:pBdr>
        <w:bottom w:val="thinThickMediumGap" w:sz="12" w:space="1" w:color="auto"/>
      </w:pBdr>
      <w:tabs>
        <w:tab w:val="left" w:pos="851"/>
        <w:tab w:val="right" w:pos="8364"/>
      </w:tabs>
      <w:adjustRightInd w:val="0"/>
      <w:snapToGrid w:val="0"/>
      <w:jc w:val="both"/>
      <w:rPr>
        <w:iCs/>
        <w:sz w:val="20"/>
        <w:szCs w:val="20"/>
      </w:rPr>
    </w:pPr>
    <w:r w:rsidRPr="004611F0">
      <w:rPr>
        <w:rFonts w:hint="eastAsia"/>
        <w:sz w:val="20"/>
        <w:szCs w:val="20"/>
      </w:rPr>
      <w:tab/>
    </w:r>
    <w:r w:rsidRPr="004611F0">
      <w:rPr>
        <w:sz w:val="20"/>
        <w:szCs w:val="20"/>
      </w:rPr>
      <w:t>New York Science Journal 201</w:t>
    </w:r>
    <w:r w:rsidRPr="004611F0">
      <w:rPr>
        <w:rFonts w:hint="eastAsia"/>
        <w:sz w:val="20"/>
        <w:szCs w:val="20"/>
      </w:rPr>
      <w:t>5</w:t>
    </w:r>
    <w:r w:rsidRPr="004611F0">
      <w:rPr>
        <w:sz w:val="20"/>
        <w:szCs w:val="20"/>
      </w:rPr>
      <w:t>;</w:t>
    </w:r>
    <w:r w:rsidRPr="004611F0">
      <w:rPr>
        <w:rFonts w:hint="eastAsia"/>
        <w:sz w:val="20"/>
        <w:szCs w:val="20"/>
      </w:rPr>
      <w:t>8</w:t>
    </w:r>
    <w:r w:rsidRPr="004611F0">
      <w:rPr>
        <w:sz w:val="20"/>
        <w:szCs w:val="20"/>
      </w:rPr>
      <w:t>(</w:t>
    </w:r>
    <w:r w:rsidRPr="004611F0">
      <w:rPr>
        <w:rFonts w:hint="eastAsia"/>
        <w:sz w:val="20"/>
        <w:szCs w:val="20"/>
      </w:rPr>
      <w:t>6</w:t>
    </w:r>
    <w:r w:rsidRPr="004611F0">
      <w:rPr>
        <w:sz w:val="20"/>
        <w:szCs w:val="20"/>
      </w:rPr>
      <w:t>)</w:t>
    </w:r>
    <w:r w:rsidRPr="004611F0">
      <w:rPr>
        <w:iCs/>
        <w:sz w:val="20"/>
        <w:szCs w:val="20"/>
      </w:rPr>
      <w:t xml:space="preserve">     </w:t>
    </w:r>
    <w:r w:rsidRPr="004611F0">
      <w:rPr>
        <w:rFonts w:hint="eastAsia"/>
        <w:iCs/>
        <w:sz w:val="20"/>
        <w:szCs w:val="20"/>
      </w:rPr>
      <w:tab/>
    </w:r>
    <w:r w:rsidRPr="004611F0">
      <w:rPr>
        <w:iCs/>
        <w:sz w:val="20"/>
        <w:szCs w:val="20"/>
      </w:rPr>
      <w:t xml:space="preserve"> </w:t>
    </w:r>
    <w:r w:rsidRPr="004611F0">
      <w:rPr>
        <w:rFonts w:hint="eastAsia"/>
        <w:iCs/>
        <w:sz w:val="20"/>
        <w:szCs w:val="20"/>
      </w:rPr>
      <w:t xml:space="preserve"> </w:t>
    </w:r>
    <w:r w:rsidRPr="004611F0">
      <w:rPr>
        <w:iCs/>
        <w:sz w:val="20"/>
        <w:szCs w:val="20"/>
      </w:rPr>
      <w:t xml:space="preserve">   </w:t>
    </w:r>
    <w:hyperlink r:id="rId1" w:history="1">
      <w:r w:rsidRPr="004611F0">
        <w:rPr>
          <w:rStyle w:val="Hyperlink"/>
          <w:color w:val="0000FF"/>
          <w:sz w:val="20"/>
          <w:szCs w:val="20"/>
        </w:rPr>
        <w:t>http://www.sciencepub.net/newyork</w:t>
      </w:r>
    </w:hyperlink>
  </w:p>
  <w:p w:rsidR="00012010" w:rsidRPr="004611F0" w:rsidRDefault="00012010" w:rsidP="004611F0">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012010" w:rsidP="004611F0">
    <w:pPr>
      <w:pBdr>
        <w:bottom w:val="thinThickMediumGap" w:sz="12" w:space="1" w:color="auto"/>
      </w:pBdr>
      <w:tabs>
        <w:tab w:val="left" w:pos="851"/>
        <w:tab w:val="right" w:pos="8364"/>
      </w:tabs>
      <w:adjustRightInd w:val="0"/>
      <w:snapToGrid w:val="0"/>
      <w:jc w:val="both"/>
      <w:rPr>
        <w:iCs/>
        <w:sz w:val="20"/>
        <w:szCs w:val="20"/>
      </w:rPr>
    </w:pPr>
    <w:r w:rsidRPr="004611F0">
      <w:rPr>
        <w:rFonts w:hint="eastAsia"/>
        <w:sz w:val="20"/>
        <w:szCs w:val="20"/>
      </w:rPr>
      <w:tab/>
    </w:r>
    <w:r w:rsidRPr="004611F0">
      <w:rPr>
        <w:sz w:val="20"/>
        <w:szCs w:val="20"/>
      </w:rPr>
      <w:t>New York Science Journal 201</w:t>
    </w:r>
    <w:r w:rsidRPr="004611F0">
      <w:rPr>
        <w:rFonts w:hint="eastAsia"/>
        <w:sz w:val="20"/>
        <w:szCs w:val="20"/>
      </w:rPr>
      <w:t>5</w:t>
    </w:r>
    <w:r w:rsidRPr="004611F0">
      <w:rPr>
        <w:sz w:val="20"/>
        <w:szCs w:val="20"/>
      </w:rPr>
      <w:t>;</w:t>
    </w:r>
    <w:r w:rsidRPr="004611F0">
      <w:rPr>
        <w:rFonts w:hint="eastAsia"/>
        <w:sz w:val="20"/>
        <w:szCs w:val="20"/>
      </w:rPr>
      <w:t>8</w:t>
    </w:r>
    <w:r w:rsidRPr="004611F0">
      <w:rPr>
        <w:sz w:val="20"/>
        <w:szCs w:val="20"/>
      </w:rPr>
      <w:t>(</w:t>
    </w:r>
    <w:r w:rsidRPr="004611F0">
      <w:rPr>
        <w:rFonts w:hint="eastAsia"/>
        <w:sz w:val="20"/>
        <w:szCs w:val="20"/>
      </w:rPr>
      <w:t>6</w:t>
    </w:r>
    <w:r w:rsidRPr="004611F0">
      <w:rPr>
        <w:sz w:val="20"/>
        <w:szCs w:val="20"/>
      </w:rPr>
      <w:t>)</w:t>
    </w:r>
    <w:r w:rsidRPr="004611F0">
      <w:rPr>
        <w:iCs/>
        <w:sz w:val="20"/>
        <w:szCs w:val="20"/>
      </w:rPr>
      <w:t xml:space="preserve">     </w:t>
    </w:r>
    <w:r w:rsidRPr="004611F0">
      <w:rPr>
        <w:rFonts w:hint="eastAsia"/>
        <w:iCs/>
        <w:sz w:val="20"/>
        <w:szCs w:val="20"/>
      </w:rPr>
      <w:tab/>
    </w:r>
    <w:r w:rsidRPr="004611F0">
      <w:rPr>
        <w:iCs/>
        <w:sz w:val="20"/>
        <w:szCs w:val="20"/>
      </w:rPr>
      <w:t xml:space="preserve"> </w:t>
    </w:r>
    <w:r w:rsidRPr="004611F0">
      <w:rPr>
        <w:rFonts w:hint="eastAsia"/>
        <w:iCs/>
        <w:sz w:val="20"/>
        <w:szCs w:val="20"/>
      </w:rPr>
      <w:t xml:space="preserve"> </w:t>
    </w:r>
    <w:r w:rsidRPr="004611F0">
      <w:rPr>
        <w:iCs/>
        <w:sz w:val="20"/>
        <w:szCs w:val="20"/>
      </w:rPr>
      <w:t xml:space="preserve">   </w:t>
    </w:r>
    <w:hyperlink r:id="rId1" w:history="1">
      <w:r w:rsidRPr="004611F0">
        <w:rPr>
          <w:rStyle w:val="Hyperlink"/>
          <w:color w:val="0000FF"/>
          <w:sz w:val="20"/>
          <w:szCs w:val="20"/>
        </w:rPr>
        <w:t>http://www.sciencepub.net/newyork</w:t>
      </w:r>
    </w:hyperlink>
  </w:p>
  <w:p w:rsidR="00012010" w:rsidRPr="004611F0" w:rsidRDefault="00012010" w:rsidP="004611F0">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012010" w:rsidP="004611F0">
    <w:pPr>
      <w:pBdr>
        <w:bottom w:val="thinThickMediumGap" w:sz="12" w:space="1" w:color="auto"/>
      </w:pBdr>
      <w:tabs>
        <w:tab w:val="left" w:pos="851"/>
        <w:tab w:val="right" w:pos="8364"/>
      </w:tabs>
      <w:adjustRightInd w:val="0"/>
      <w:snapToGrid w:val="0"/>
      <w:jc w:val="both"/>
      <w:rPr>
        <w:iCs/>
        <w:sz w:val="20"/>
        <w:szCs w:val="20"/>
      </w:rPr>
    </w:pPr>
    <w:r w:rsidRPr="004611F0">
      <w:rPr>
        <w:rFonts w:hint="eastAsia"/>
        <w:sz w:val="20"/>
        <w:szCs w:val="20"/>
      </w:rPr>
      <w:tab/>
    </w:r>
    <w:r w:rsidRPr="004611F0">
      <w:rPr>
        <w:sz w:val="20"/>
        <w:szCs w:val="20"/>
      </w:rPr>
      <w:t>New York Science Journal 201</w:t>
    </w:r>
    <w:r w:rsidRPr="004611F0">
      <w:rPr>
        <w:rFonts w:hint="eastAsia"/>
        <w:sz w:val="20"/>
        <w:szCs w:val="20"/>
      </w:rPr>
      <w:t>5</w:t>
    </w:r>
    <w:r w:rsidRPr="004611F0">
      <w:rPr>
        <w:sz w:val="20"/>
        <w:szCs w:val="20"/>
      </w:rPr>
      <w:t>;</w:t>
    </w:r>
    <w:r w:rsidRPr="004611F0">
      <w:rPr>
        <w:rFonts w:hint="eastAsia"/>
        <w:sz w:val="20"/>
        <w:szCs w:val="20"/>
      </w:rPr>
      <w:t>8</w:t>
    </w:r>
    <w:r w:rsidRPr="004611F0">
      <w:rPr>
        <w:sz w:val="20"/>
        <w:szCs w:val="20"/>
      </w:rPr>
      <w:t>(</w:t>
    </w:r>
    <w:r w:rsidRPr="004611F0">
      <w:rPr>
        <w:rFonts w:hint="eastAsia"/>
        <w:sz w:val="20"/>
        <w:szCs w:val="20"/>
      </w:rPr>
      <w:t>6</w:t>
    </w:r>
    <w:r w:rsidRPr="004611F0">
      <w:rPr>
        <w:sz w:val="20"/>
        <w:szCs w:val="20"/>
      </w:rPr>
      <w:t>)</w:t>
    </w:r>
    <w:r w:rsidRPr="004611F0">
      <w:rPr>
        <w:iCs/>
        <w:sz w:val="20"/>
        <w:szCs w:val="20"/>
      </w:rPr>
      <w:t xml:space="preserve">     </w:t>
    </w:r>
    <w:r w:rsidRPr="004611F0">
      <w:rPr>
        <w:rFonts w:hint="eastAsia"/>
        <w:iCs/>
        <w:sz w:val="20"/>
        <w:szCs w:val="20"/>
      </w:rPr>
      <w:tab/>
    </w:r>
    <w:r w:rsidRPr="004611F0">
      <w:rPr>
        <w:iCs/>
        <w:sz w:val="20"/>
        <w:szCs w:val="20"/>
      </w:rPr>
      <w:t xml:space="preserve"> </w:t>
    </w:r>
    <w:r w:rsidRPr="004611F0">
      <w:rPr>
        <w:rFonts w:hint="eastAsia"/>
        <w:iCs/>
        <w:sz w:val="20"/>
        <w:szCs w:val="20"/>
      </w:rPr>
      <w:t xml:space="preserve"> </w:t>
    </w:r>
    <w:r w:rsidRPr="004611F0">
      <w:rPr>
        <w:iCs/>
        <w:sz w:val="20"/>
        <w:szCs w:val="20"/>
      </w:rPr>
      <w:t xml:space="preserve">   </w:t>
    </w:r>
    <w:hyperlink r:id="rId1" w:history="1">
      <w:r w:rsidRPr="004611F0">
        <w:rPr>
          <w:rStyle w:val="Hyperlink"/>
          <w:color w:val="0000FF"/>
          <w:sz w:val="20"/>
          <w:szCs w:val="20"/>
        </w:rPr>
        <w:t>http://www.sciencepub.net/newyork</w:t>
      </w:r>
    </w:hyperlink>
  </w:p>
  <w:p w:rsidR="00012010" w:rsidRPr="004611F0" w:rsidRDefault="00012010" w:rsidP="004611F0">
    <w:pPr>
      <w:tabs>
        <w:tab w:val="left" w:pos="851"/>
        <w:tab w:val="left" w:pos="7200"/>
        <w:tab w:val="right" w:pos="8364"/>
      </w:tabs>
      <w:adjustRightInd w:val="0"/>
      <w:snapToGrid w:val="0"/>
      <w:jc w:val="both"/>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012010" w:rsidP="004611F0">
    <w:pPr>
      <w:pBdr>
        <w:bottom w:val="thinThickMediumGap" w:sz="12" w:space="1" w:color="auto"/>
      </w:pBdr>
      <w:tabs>
        <w:tab w:val="left" w:pos="851"/>
        <w:tab w:val="right" w:pos="8364"/>
      </w:tabs>
      <w:adjustRightInd w:val="0"/>
      <w:snapToGrid w:val="0"/>
      <w:jc w:val="both"/>
      <w:rPr>
        <w:iCs/>
        <w:sz w:val="20"/>
        <w:szCs w:val="20"/>
      </w:rPr>
    </w:pPr>
    <w:r w:rsidRPr="004611F0">
      <w:rPr>
        <w:rFonts w:hint="eastAsia"/>
        <w:sz w:val="20"/>
        <w:szCs w:val="20"/>
      </w:rPr>
      <w:tab/>
    </w:r>
    <w:r w:rsidRPr="004611F0">
      <w:rPr>
        <w:sz w:val="20"/>
        <w:szCs w:val="20"/>
      </w:rPr>
      <w:t>New York Science Journal 201</w:t>
    </w:r>
    <w:r w:rsidRPr="004611F0">
      <w:rPr>
        <w:rFonts w:hint="eastAsia"/>
        <w:sz w:val="20"/>
        <w:szCs w:val="20"/>
      </w:rPr>
      <w:t>5</w:t>
    </w:r>
    <w:r w:rsidRPr="004611F0">
      <w:rPr>
        <w:sz w:val="20"/>
        <w:szCs w:val="20"/>
      </w:rPr>
      <w:t>;</w:t>
    </w:r>
    <w:r w:rsidRPr="004611F0">
      <w:rPr>
        <w:rFonts w:hint="eastAsia"/>
        <w:sz w:val="20"/>
        <w:szCs w:val="20"/>
      </w:rPr>
      <w:t>8</w:t>
    </w:r>
    <w:r w:rsidRPr="004611F0">
      <w:rPr>
        <w:sz w:val="20"/>
        <w:szCs w:val="20"/>
      </w:rPr>
      <w:t>(</w:t>
    </w:r>
    <w:r w:rsidRPr="004611F0">
      <w:rPr>
        <w:rFonts w:hint="eastAsia"/>
        <w:sz w:val="20"/>
        <w:szCs w:val="20"/>
      </w:rPr>
      <w:t>6</w:t>
    </w:r>
    <w:r w:rsidRPr="004611F0">
      <w:rPr>
        <w:sz w:val="20"/>
        <w:szCs w:val="20"/>
      </w:rPr>
      <w:t>)</w:t>
    </w:r>
    <w:r w:rsidRPr="004611F0">
      <w:rPr>
        <w:iCs/>
        <w:sz w:val="20"/>
        <w:szCs w:val="20"/>
      </w:rPr>
      <w:t xml:space="preserve">     </w:t>
    </w:r>
    <w:r w:rsidRPr="004611F0">
      <w:rPr>
        <w:rFonts w:hint="eastAsia"/>
        <w:iCs/>
        <w:sz w:val="20"/>
        <w:szCs w:val="20"/>
      </w:rPr>
      <w:tab/>
    </w:r>
    <w:r w:rsidRPr="004611F0">
      <w:rPr>
        <w:iCs/>
        <w:sz w:val="20"/>
        <w:szCs w:val="20"/>
      </w:rPr>
      <w:t xml:space="preserve"> </w:t>
    </w:r>
    <w:r w:rsidRPr="004611F0">
      <w:rPr>
        <w:rFonts w:hint="eastAsia"/>
        <w:iCs/>
        <w:sz w:val="20"/>
        <w:szCs w:val="20"/>
      </w:rPr>
      <w:t xml:space="preserve"> </w:t>
    </w:r>
    <w:r w:rsidRPr="004611F0">
      <w:rPr>
        <w:iCs/>
        <w:sz w:val="20"/>
        <w:szCs w:val="20"/>
      </w:rPr>
      <w:t xml:space="preserve">   </w:t>
    </w:r>
    <w:hyperlink r:id="rId1" w:history="1">
      <w:r w:rsidRPr="004611F0">
        <w:rPr>
          <w:rStyle w:val="Hyperlink"/>
          <w:color w:val="0000FF"/>
          <w:sz w:val="20"/>
          <w:szCs w:val="20"/>
        </w:rPr>
        <w:t>http://www.sciencepub.net/newyork</w:t>
      </w:r>
    </w:hyperlink>
  </w:p>
  <w:p w:rsidR="00012010" w:rsidRPr="004611F0" w:rsidRDefault="00012010" w:rsidP="004611F0">
    <w:pPr>
      <w:tabs>
        <w:tab w:val="left" w:pos="851"/>
        <w:tab w:val="left" w:pos="7200"/>
        <w:tab w:val="right" w:pos="8364"/>
      </w:tabs>
      <w:adjustRightInd w:val="0"/>
      <w:snapToGrid w:val="0"/>
      <w:jc w:val="both"/>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4611F0" w:rsidRDefault="00012010" w:rsidP="004611F0">
    <w:pPr>
      <w:pBdr>
        <w:bottom w:val="thinThickMediumGap" w:sz="12" w:space="1" w:color="auto"/>
      </w:pBdr>
      <w:tabs>
        <w:tab w:val="left" w:pos="851"/>
        <w:tab w:val="right" w:pos="8364"/>
      </w:tabs>
      <w:adjustRightInd w:val="0"/>
      <w:snapToGrid w:val="0"/>
      <w:jc w:val="both"/>
      <w:rPr>
        <w:iCs/>
        <w:sz w:val="20"/>
        <w:szCs w:val="20"/>
      </w:rPr>
    </w:pPr>
    <w:r w:rsidRPr="004611F0">
      <w:rPr>
        <w:rFonts w:hint="eastAsia"/>
        <w:sz w:val="20"/>
        <w:szCs w:val="20"/>
      </w:rPr>
      <w:tab/>
    </w:r>
    <w:r w:rsidRPr="004611F0">
      <w:rPr>
        <w:sz w:val="20"/>
        <w:szCs w:val="20"/>
      </w:rPr>
      <w:t>New York Science Journal 201</w:t>
    </w:r>
    <w:r w:rsidRPr="004611F0">
      <w:rPr>
        <w:rFonts w:hint="eastAsia"/>
        <w:sz w:val="20"/>
        <w:szCs w:val="20"/>
      </w:rPr>
      <w:t>5</w:t>
    </w:r>
    <w:r w:rsidRPr="004611F0">
      <w:rPr>
        <w:sz w:val="20"/>
        <w:szCs w:val="20"/>
      </w:rPr>
      <w:t>;</w:t>
    </w:r>
    <w:r w:rsidRPr="004611F0">
      <w:rPr>
        <w:rFonts w:hint="eastAsia"/>
        <w:sz w:val="20"/>
        <w:szCs w:val="20"/>
      </w:rPr>
      <w:t>8</w:t>
    </w:r>
    <w:r w:rsidRPr="004611F0">
      <w:rPr>
        <w:sz w:val="20"/>
        <w:szCs w:val="20"/>
      </w:rPr>
      <w:t>(</w:t>
    </w:r>
    <w:r w:rsidRPr="004611F0">
      <w:rPr>
        <w:rFonts w:hint="eastAsia"/>
        <w:sz w:val="20"/>
        <w:szCs w:val="20"/>
      </w:rPr>
      <w:t>6</w:t>
    </w:r>
    <w:r w:rsidRPr="004611F0">
      <w:rPr>
        <w:sz w:val="20"/>
        <w:szCs w:val="20"/>
      </w:rPr>
      <w:t>)</w:t>
    </w:r>
    <w:r w:rsidRPr="004611F0">
      <w:rPr>
        <w:iCs/>
        <w:sz w:val="20"/>
        <w:szCs w:val="20"/>
      </w:rPr>
      <w:t xml:space="preserve">     </w:t>
    </w:r>
    <w:r w:rsidRPr="004611F0">
      <w:rPr>
        <w:rFonts w:hint="eastAsia"/>
        <w:iCs/>
        <w:sz w:val="20"/>
        <w:szCs w:val="20"/>
      </w:rPr>
      <w:tab/>
    </w:r>
    <w:r w:rsidRPr="004611F0">
      <w:rPr>
        <w:iCs/>
        <w:sz w:val="20"/>
        <w:szCs w:val="20"/>
      </w:rPr>
      <w:t xml:space="preserve"> </w:t>
    </w:r>
    <w:r w:rsidRPr="004611F0">
      <w:rPr>
        <w:rFonts w:hint="eastAsia"/>
        <w:iCs/>
        <w:sz w:val="20"/>
        <w:szCs w:val="20"/>
      </w:rPr>
      <w:t xml:space="preserve"> </w:t>
    </w:r>
    <w:r w:rsidRPr="004611F0">
      <w:rPr>
        <w:iCs/>
        <w:sz w:val="20"/>
        <w:szCs w:val="20"/>
      </w:rPr>
      <w:t xml:space="preserve">   </w:t>
    </w:r>
    <w:hyperlink r:id="rId1" w:history="1">
      <w:r w:rsidRPr="004611F0">
        <w:rPr>
          <w:rStyle w:val="Hyperlink"/>
          <w:color w:val="0000FF"/>
          <w:sz w:val="20"/>
          <w:szCs w:val="20"/>
        </w:rPr>
        <w:t>http://www.sciencepub.net/newyork</w:t>
      </w:r>
    </w:hyperlink>
  </w:p>
  <w:p w:rsidR="00012010" w:rsidRPr="004611F0" w:rsidRDefault="00012010" w:rsidP="004611F0">
    <w:pPr>
      <w:tabs>
        <w:tab w:val="left" w:pos="851"/>
        <w:tab w:val="left" w:pos="7200"/>
        <w:tab w:val="right" w:pos="8364"/>
      </w:tabs>
      <w:adjustRightInd w:val="0"/>
      <w:snapToGrid w:val="0"/>
      <w:jc w:val="both"/>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5D1AA3" w:rsidRDefault="00012010" w:rsidP="005D1AA3">
    <w:pPr>
      <w:pBdr>
        <w:bottom w:val="thinThickMediumGap" w:sz="12" w:space="1" w:color="auto"/>
      </w:pBdr>
      <w:jc w:val="center"/>
      <w:rPr>
        <w:rFonts w:eastAsia="Calibri"/>
        <w:iCs/>
        <w:sz w:val="20"/>
        <w:szCs w:val="20"/>
      </w:rPr>
    </w:pPr>
    <w:r w:rsidRPr="005D1AA3">
      <w:rPr>
        <w:rFonts w:eastAsia="Calibri"/>
        <w:sz w:val="20"/>
        <w:szCs w:val="20"/>
      </w:rPr>
      <w:t>New York Science Journal 201</w:t>
    </w:r>
    <w:r>
      <w:rPr>
        <w:rFonts w:eastAsia="Calibri"/>
        <w:sz w:val="20"/>
        <w:szCs w:val="20"/>
        <w:lang w:eastAsia="zh-CN"/>
      </w:rPr>
      <w:t>5</w:t>
    </w:r>
    <w:r w:rsidRPr="005D1AA3">
      <w:rPr>
        <w:rFonts w:eastAsia="Calibri"/>
        <w:sz w:val="20"/>
        <w:szCs w:val="20"/>
      </w:rPr>
      <w:t>;</w:t>
    </w:r>
    <w:r>
      <w:rPr>
        <w:rFonts w:eastAsia="Calibri"/>
        <w:sz w:val="20"/>
        <w:szCs w:val="20"/>
        <w:lang w:eastAsia="zh-CN"/>
      </w:rPr>
      <w:t>8</w:t>
    </w:r>
    <w:r w:rsidRPr="005D1AA3">
      <w:rPr>
        <w:rFonts w:eastAsia="Calibri"/>
        <w:sz w:val="20"/>
        <w:szCs w:val="20"/>
      </w:rPr>
      <w:t>(x)</w:t>
    </w:r>
    <w:r w:rsidRPr="005D1AA3">
      <w:rPr>
        <w:rFonts w:eastAsia="Calibri"/>
        <w:sz w:val="20"/>
        <w:szCs w:val="20"/>
      </w:rPr>
      <w:tab/>
    </w:r>
    <w:hyperlink r:id="rId1" w:history="1">
      <w:r w:rsidRPr="005D1AA3">
        <w:rPr>
          <w:rFonts w:eastAsia="Calibri"/>
          <w:color w:val="0000FF"/>
          <w:sz w:val="20"/>
          <w:szCs w:val="20"/>
          <w:u w:val="single"/>
        </w:rPr>
        <w:t>http://www.sciencepub.net/newyork</w:t>
      </w:r>
    </w:hyperlink>
  </w:p>
  <w:p w:rsidR="00012010" w:rsidRPr="005D1AA3" w:rsidRDefault="00012010" w:rsidP="005D1AA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010" w:rsidRPr="005D1AA3" w:rsidRDefault="00012010" w:rsidP="005D1AA3">
    <w:pPr>
      <w:pBdr>
        <w:bottom w:val="thinThickMediumGap" w:sz="12" w:space="1" w:color="auto"/>
      </w:pBdr>
      <w:jc w:val="center"/>
      <w:rPr>
        <w:rFonts w:eastAsia="Calibri"/>
        <w:iCs/>
        <w:sz w:val="20"/>
        <w:szCs w:val="20"/>
      </w:rPr>
    </w:pPr>
    <w:bookmarkStart w:id="5" w:name="OLE_LINK1"/>
    <w:bookmarkStart w:id="6" w:name="OLE_LINK2"/>
    <w:bookmarkStart w:id="7" w:name="_Hlk302678399"/>
    <w:bookmarkStart w:id="8" w:name="OLE_LINK3"/>
    <w:bookmarkStart w:id="9" w:name="OLE_LINK4"/>
    <w:bookmarkStart w:id="10" w:name="_Hlk302678401"/>
    <w:bookmarkStart w:id="11" w:name="OLE_LINK5"/>
    <w:bookmarkStart w:id="12" w:name="OLE_LINK6"/>
    <w:bookmarkStart w:id="13" w:name="OLE_LINK7"/>
    <w:bookmarkStart w:id="14" w:name="OLE_LINK8"/>
    <w:bookmarkStart w:id="15" w:name="OLE_LINK9"/>
    <w:bookmarkStart w:id="16" w:name="_Hlk313407873"/>
    <w:bookmarkStart w:id="17" w:name="OLE_LINK10"/>
    <w:bookmarkStart w:id="18" w:name="OLE_LINK11"/>
    <w:bookmarkStart w:id="19" w:name="_Hlk313407879"/>
    <w:r w:rsidRPr="005D1AA3">
      <w:rPr>
        <w:rFonts w:eastAsia="Calibri"/>
        <w:sz w:val="20"/>
        <w:szCs w:val="20"/>
      </w:rPr>
      <w:t>New York Science Journal 201</w:t>
    </w:r>
    <w:r>
      <w:rPr>
        <w:rFonts w:eastAsia="Calibri"/>
        <w:sz w:val="20"/>
        <w:szCs w:val="20"/>
        <w:lang w:eastAsia="zh-CN"/>
      </w:rPr>
      <w:t>5</w:t>
    </w:r>
    <w:r w:rsidRPr="005D1AA3">
      <w:rPr>
        <w:rFonts w:eastAsia="Calibri"/>
        <w:sz w:val="20"/>
        <w:szCs w:val="20"/>
      </w:rPr>
      <w:t>;</w:t>
    </w:r>
    <w:r>
      <w:rPr>
        <w:rFonts w:eastAsia="Calibri"/>
        <w:sz w:val="20"/>
        <w:szCs w:val="20"/>
        <w:lang w:eastAsia="zh-CN"/>
      </w:rPr>
      <w:t>8</w:t>
    </w:r>
    <w:r w:rsidRPr="005D1AA3">
      <w:rPr>
        <w:rFonts w:eastAsia="Calibri"/>
        <w:sz w:val="20"/>
        <w:szCs w:val="20"/>
      </w:rPr>
      <w:t>(x)</w:t>
    </w:r>
    <w:r w:rsidRPr="005D1AA3">
      <w:rPr>
        <w:rFonts w:eastAsia="Calibri"/>
        <w:sz w:val="20"/>
        <w:szCs w:val="20"/>
      </w:rPr>
      <w:tab/>
    </w:r>
    <w:hyperlink r:id="rId1" w:history="1">
      <w:r w:rsidRPr="005D1AA3">
        <w:rPr>
          <w:rFonts w:eastAsia="Calibri"/>
          <w:color w:val="0000FF"/>
          <w:sz w:val="20"/>
          <w:szCs w:val="20"/>
          <w:u w:val="single"/>
        </w:rPr>
        <w:t>http://www.sciencepub.net/newyork</w:t>
      </w:r>
    </w:hyperlink>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012010" w:rsidRPr="005D1AA3" w:rsidRDefault="00012010" w:rsidP="005D1A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57BB0"/>
    <w:multiLevelType w:val="hybridMultilevel"/>
    <w:tmpl w:val="466AC418"/>
    <w:lvl w:ilvl="0" w:tplc="59F20DE8">
      <w:start w:val="1"/>
      <w:numFmt w:val="decimal"/>
      <w:lvlText w:val="%1-"/>
      <w:lvlJc w:val="left"/>
      <w:pPr>
        <w:ind w:left="855" w:hanging="360"/>
      </w:pPr>
      <w:rPr>
        <w:rFonts w:ascii="Times New Roman" w:eastAsia="Times New Roman" w:hAnsi="Times New Roman" w:cs="Times New Roman"/>
      </w:r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1">
    <w:nsid w:val="4DB73283"/>
    <w:multiLevelType w:val="hybridMultilevel"/>
    <w:tmpl w:val="317E19D6"/>
    <w:lvl w:ilvl="0" w:tplc="669AAE0C">
      <w:start w:val="1"/>
      <w:numFmt w:val="bullet"/>
      <w:lvlText w:val=""/>
      <w:lvlJc w:val="left"/>
      <w:pPr>
        <w:ind w:left="360" w:hanging="360"/>
      </w:pPr>
      <w:rPr>
        <w:rFonts w:ascii="Wingdings" w:hAnsi="Wingdings" w:hint="default"/>
        <w:sz w:val="26"/>
        <w:szCs w:val="2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4E4A22EB"/>
    <w:multiLevelType w:val="hybridMultilevel"/>
    <w:tmpl w:val="B54A765E"/>
    <w:lvl w:ilvl="0" w:tplc="ED14D84E">
      <w:start w:val="1"/>
      <w:numFmt w:val="decimal"/>
      <w:lvlText w:val="%1."/>
      <w:lvlJc w:val="left"/>
      <w:pPr>
        <w:ind w:left="720" w:hanging="360"/>
      </w:pPr>
      <w:rPr>
        <w:rFonts w:ascii="Times New Roman Bold+FPEF" w:hAnsi="Times New Roman Bold+FPEF"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510D33"/>
    <w:multiLevelType w:val="hybridMultilevel"/>
    <w:tmpl w:val="3586A2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
  <w:rsids>
    <w:rsidRoot w:val="00D8170A"/>
    <w:rsid w:val="00010329"/>
    <w:rsid w:val="00012010"/>
    <w:rsid w:val="00030A6D"/>
    <w:rsid w:val="0004777E"/>
    <w:rsid w:val="00087ECF"/>
    <w:rsid w:val="00095641"/>
    <w:rsid w:val="000A5C7B"/>
    <w:rsid w:val="000C34FA"/>
    <w:rsid w:val="000D11F9"/>
    <w:rsid w:val="000D2BA3"/>
    <w:rsid w:val="000D6471"/>
    <w:rsid w:val="0010031C"/>
    <w:rsid w:val="00112702"/>
    <w:rsid w:val="00147E69"/>
    <w:rsid w:val="00182227"/>
    <w:rsid w:val="001949DA"/>
    <w:rsid w:val="00196B0A"/>
    <w:rsid w:val="001A6F95"/>
    <w:rsid w:val="001B6C32"/>
    <w:rsid w:val="001F6C3E"/>
    <w:rsid w:val="002367B9"/>
    <w:rsid w:val="002468AC"/>
    <w:rsid w:val="002718DC"/>
    <w:rsid w:val="00277E93"/>
    <w:rsid w:val="0028788F"/>
    <w:rsid w:val="00293EF9"/>
    <w:rsid w:val="002A730C"/>
    <w:rsid w:val="002D6C14"/>
    <w:rsid w:val="00304793"/>
    <w:rsid w:val="00342AAF"/>
    <w:rsid w:val="00343F4D"/>
    <w:rsid w:val="00357D4E"/>
    <w:rsid w:val="00372C7B"/>
    <w:rsid w:val="00397308"/>
    <w:rsid w:val="003A4EDB"/>
    <w:rsid w:val="003F4F33"/>
    <w:rsid w:val="003F68E4"/>
    <w:rsid w:val="00420112"/>
    <w:rsid w:val="0045204D"/>
    <w:rsid w:val="004611F0"/>
    <w:rsid w:val="004641A8"/>
    <w:rsid w:val="00470360"/>
    <w:rsid w:val="004778E9"/>
    <w:rsid w:val="004842B4"/>
    <w:rsid w:val="004854CC"/>
    <w:rsid w:val="004869A1"/>
    <w:rsid w:val="004C2F8D"/>
    <w:rsid w:val="004D1D6E"/>
    <w:rsid w:val="00542887"/>
    <w:rsid w:val="00556035"/>
    <w:rsid w:val="0057396C"/>
    <w:rsid w:val="0058760A"/>
    <w:rsid w:val="00591554"/>
    <w:rsid w:val="005B187C"/>
    <w:rsid w:val="005C3222"/>
    <w:rsid w:val="005D1AA3"/>
    <w:rsid w:val="005D72CC"/>
    <w:rsid w:val="00606A8C"/>
    <w:rsid w:val="00616363"/>
    <w:rsid w:val="006251C8"/>
    <w:rsid w:val="00636847"/>
    <w:rsid w:val="0064472F"/>
    <w:rsid w:val="0068697D"/>
    <w:rsid w:val="006961A4"/>
    <w:rsid w:val="006D1CAC"/>
    <w:rsid w:val="007055BC"/>
    <w:rsid w:val="007120AF"/>
    <w:rsid w:val="00732E80"/>
    <w:rsid w:val="007416C1"/>
    <w:rsid w:val="00754F8C"/>
    <w:rsid w:val="007604D6"/>
    <w:rsid w:val="007632B3"/>
    <w:rsid w:val="00765D61"/>
    <w:rsid w:val="00793A25"/>
    <w:rsid w:val="007A5B81"/>
    <w:rsid w:val="007C0E49"/>
    <w:rsid w:val="007E0B5A"/>
    <w:rsid w:val="007F5B91"/>
    <w:rsid w:val="00853E04"/>
    <w:rsid w:val="008C17D0"/>
    <w:rsid w:val="008C5B06"/>
    <w:rsid w:val="0091477A"/>
    <w:rsid w:val="00957F76"/>
    <w:rsid w:val="009603D5"/>
    <w:rsid w:val="009707B7"/>
    <w:rsid w:val="00987C1F"/>
    <w:rsid w:val="009921BA"/>
    <w:rsid w:val="009C5DAE"/>
    <w:rsid w:val="009E276F"/>
    <w:rsid w:val="00A20A13"/>
    <w:rsid w:val="00A74694"/>
    <w:rsid w:val="00A764E1"/>
    <w:rsid w:val="00A97307"/>
    <w:rsid w:val="00AD6410"/>
    <w:rsid w:val="00B705A7"/>
    <w:rsid w:val="00BB0202"/>
    <w:rsid w:val="00BC3B44"/>
    <w:rsid w:val="00BE598F"/>
    <w:rsid w:val="00BF4F26"/>
    <w:rsid w:val="00C07A8D"/>
    <w:rsid w:val="00C53350"/>
    <w:rsid w:val="00C76C43"/>
    <w:rsid w:val="00C82AE8"/>
    <w:rsid w:val="00CA7FA9"/>
    <w:rsid w:val="00CD203A"/>
    <w:rsid w:val="00CF63C4"/>
    <w:rsid w:val="00D04D6D"/>
    <w:rsid w:val="00D1008C"/>
    <w:rsid w:val="00D30DA0"/>
    <w:rsid w:val="00D65377"/>
    <w:rsid w:val="00D6616D"/>
    <w:rsid w:val="00D7540E"/>
    <w:rsid w:val="00D76EFF"/>
    <w:rsid w:val="00D8170A"/>
    <w:rsid w:val="00D918F8"/>
    <w:rsid w:val="00DC066A"/>
    <w:rsid w:val="00DE0AC4"/>
    <w:rsid w:val="00DE254A"/>
    <w:rsid w:val="00E02D0E"/>
    <w:rsid w:val="00E255EA"/>
    <w:rsid w:val="00E3166D"/>
    <w:rsid w:val="00E32D2A"/>
    <w:rsid w:val="00E52A25"/>
    <w:rsid w:val="00E77506"/>
    <w:rsid w:val="00EA6FB9"/>
    <w:rsid w:val="00EC0A2A"/>
    <w:rsid w:val="00EC2340"/>
    <w:rsid w:val="00EC3F06"/>
    <w:rsid w:val="00F013D0"/>
    <w:rsid w:val="00F2459C"/>
    <w:rsid w:val="00F50797"/>
    <w:rsid w:val="00F751D9"/>
    <w:rsid w:val="00F80BAC"/>
    <w:rsid w:val="00F83FF6"/>
    <w:rsid w:val="00F93E9F"/>
    <w:rsid w:val="00FB545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8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BE598F"/>
    <w:pPr>
      <w:spacing w:before="120" w:line="240" w:lineRule="exact"/>
    </w:pPr>
    <w:rPr>
      <w:b/>
      <w:bCs/>
      <w:sz w:val="32"/>
      <w:szCs w:val="32"/>
      <w:vertAlign w:val="superscript"/>
      <w:lang w:eastAsia="ar-SA"/>
    </w:rPr>
  </w:style>
  <w:style w:type="character" w:customStyle="1" w:styleId="BodyTextChar">
    <w:name w:val="Body Text Char"/>
    <w:basedOn w:val="DefaultParagraphFont"/>
    <w:link w:val="BodyText"/>
    <w:rsid w:val="00BE598F"/>
    <w:rPr>
      <w:rFonts w:ascii="Times New Roman" w:eastAsia="Times New Roman" w:hAnsi="Times New Roman" w:cs="Times New Roman"/>
      <w:b/>
      <w:bCs/>
      <w:sz w:val="32"/>
      <w:szCs w:val="32"/>
      <w:vertAlign w:val="superscript"/>
      <w:lang w:eastAsia="ar-SA"/>
    </w:rPr>
  </w:style>
  <w:style w:type="paragraph" w:styleId="ListParagraph">
    <w:name w:val="List Paragraph"/>
    <w:basedOn w:val="Normal"/>
    <w:uiPriority w:val="34"/>
    <w:qFormat/>
    <w:rsid w:val="0068697D"/>
    <w:pPr>
      <w:ind w:left="720"/>
      <w:contextualSpacing/>
    </w:pPr>
  </w:style>
  <w:style w:type="character" w:customStyle="1" w:styleId="a6an8awg3c11">
    <w:name w:val="a6an8awg3c11"/>
    <w:rsid w:val="0068697D"/>
    <w:rPr>
      <w:b w:val="0"/>
      <w:bCs w:val="0"/>
      <w:vanish/>
      <w:webHidden w:val="0"/>
      <w:color w:val="0000FF"/>
      <w:u w:val="single"/>
      <w:specVanish/>
    </w:rPr>
  </w:style>
  <w:style w:type="paragraph" w:styleId="BalloonText">
    <w:name w:val="Balloon Text"/>
    <w:basedOn w:val="Normal"/>
    <w:link w:val="BalloonTextChar"/>
    <w:uiPriority w:val="99"/>
    <w:semiHidden/>
    <w:unhideWhenUsed/>
    <w:rsid w:val="006D1CAC"/>
    <w:rPr>
      <w:rFonts w:ascii="Tahoma" w:hAnsi="Tahoma" w:cs="Tahoma"/>
      <w:sz w:val="16"/>
      <w:szCs w:val="16"/>
    </w:rPr>
  </w:style>
  <w:style w:type="character" w:customStyle="1" w:styleId="BalloonTextChar">
    <w:name w:val="Balloon Text Char"/>
    <w:basedOn w:val="DefaultParagraphFont"/>
    <w:link w:val="BalloonText"/>
    <w:uiPriority w:val="99"/>
    <w:semiHidden/>
    <w:rsid w:val="006D1CAC"/>
    <w:rPr>
      <w:rFonts w:ascii="Tahoma" w:eastAsia="Times New Roman" w:hAnsi="Tahoma" w:cs="Tahoma"/>
      <w:sz w:val="16"/>
      <w:szCs w:val="16"/>
    </w:rPr>
  </w:style>
  <w:style w:type="character" w:styleId="Hyperlink">
    <w:name w:val="Hyperlink"/>
    <w:basedOn w:val="DefaultParagraphFont"/>
    <w:uiPriority w:val="99"/>
    <w:unhideWhenUsed/>
    <w:rsid w:val="006961A4"/>
    <w:rPr>
      <w:color w:val="0000FF" w:themeColor="hyperlink"/>
      <w:u w:val="single"/>
    </w:rPr>
  </w:style>
  <w:style w:type="character" w:styleId="CommentReference">
    <w:name w:val="annotation reference"/>
    <w:basedOn w:val="DefaultParagraphFont"/>
    <w:uiPriority w:val="99"/>
    <w:semiHidden/>
    <w:unhideWhenUsed/>
    <w:rsid w:val="00EC0A2A"/>
    <w:rPr>
      <w:sz w:val="16"/>
      <w:szCs w:val="16"/>
    </w:rPr>
  </w:style>
  <w:style w:type="paragraph" w:styleId="CommentText">
    <w:name w:val="annotation text"/>
    <w:basedOn w:val="Normal"/>
    <w:link w:val="CommentTextChar"/>
    <w:uiPriority w:val="99"/>
    <w:semiHidden/>
    <w:unhideWhenUsed/>
    <w:rsid w:val="00EC0A2A"/>
    <w:rPr>
      <w:sz w:val="20"/>
      <w:szCs w:val="20"/>
    </w:rPr>
  </w:style>
  <w:style w:type="character" w:customStyle="1" w:styleId="CommentTextChar">
    <w:name w:val="Comment Text Char"/>
    <w:basedOn w:val="DefaultParagraphFont"/>
    <w:link w:val="CommentText"/>
    <w:uiPriority w:val="99"/>
    <w:semiHidden/>
    <w:rsid w:val="00EC0A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0A2A"/>
    <w:rPr>
      <w:b/>
      <w:bCs/>
    </w:rPr>
  </w:style>
  <w:style w:type="character" w:customStyle="1" w:styleId="CommentSubjectChar">
    <w:name w:val="Comment Subject Char"/>
    <w:basedOn w:val="CommentTextChar"/>
    <w:link w:val="CommentSubject"/>
    <w:uiPriority w:val="99"/>
    <w:semiHidden/>
    <w:rsid w:val="00EC0A2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7632B3"/>
    <w:pPr>
      <w:tabs>
        <w:tab w:val="center" w:pos="4153"/>
        <w:tab w:val="right" w:pos="8306"/>
      </w:tabs>
    </w:pPr>
  </w:style>
  <w:style w:type="character" w:customStyle="1" w:styleId="HeaderChar">
    <w:name w:val="Header Char"/>
    <w:basedOn w:val="DefaultParagraphFont"/>
    <w:link w:val="Header"/>
    <w:uiPriority w:val="99"/>
    <w:rsid w:val="007632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632B3"/>
    <w:pPr>
      <w:tabs>
        <w:tab w:val="center" w:pos="4153"/>
        <w:tab w:val="right" w:pos="8306"/>
      </w:tabs>
    </w:pPr>
  </w:style>
  <w:style w:type="character" w:customStyle="1" w:styleId="FooterChar">
    <w:name w:val="Footer Char"/>
    <w:basedOn w:val="DefaultParagraphFont"/>
    <w:link w:val="Footer"/>
    <w:uiPriority w:val="99"/>
    <w:rsid w:val="007632B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8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BE598F"/>
    <w:pPr>
      <w:spacing w:before="120" w:line="240" w:lineRule="exact"/>
    </w:pPr>
    <w:rPr>
      <w:b/>
      <w:bCs/>
      <w:sz w:val="32"/>
      <w:szCs w:val="32"/>
      <w:vertAlign w:val="superscript"/>
      <w:lang w:eastAsia="ar-SA"/>
    </w:rPr>
  </w:style>
  <w:style w:type="character" w:customStyle="1" w:styleId="BodyTextChar">
    <w:name w:val="Body Text Char"/>
    <w:basedOn w:val="DefaultParagraphFont"/>
    <w:link w:val="BodyText"/>
    <w:rsid w:val="00BE598F"/>
    <w:rPr>
      <w:rFonts w:ascii="Times New Roman" w:eastAsia="Times New Roman" w:hAnsi="Times New Roman" w:cs="Times New Roman"/>
      <w:b/>
      <w:bCs/>
      <w:sz w:val="32"/>
      <w:szCs w:val="32"/>
      <w:vertAlign w:val="superscript"/>
      <w:lang w:eastAsia="ar-SA"/>
    </w:rPr>
  </w:style>
  <w:style w:type="paragraph" w:styleId="ListParagraph">
    <w:name w:val="List Paragraph"/>
    <w:basedOn w:val="Normal"/>
    <w:uiPriority w:val="34"/>
    <w:qFormat/>
    <w:rsid w:val="0068697D"/>
    <w:pPr>
      <w:ind w:left="720"/>
      <w:contextualSpacing/>
    </w:pPr>
  </w:style>
  <w:style w:type="character" w:customStyle="1" w:styleId="a6an8awg3c11">
    <w:name w:val="a6an8awg3c11"/>
    <w:rsid w:val="0068697D"/>
    <w:rPr>
      <w:b w:val="0"/>
      <w:bCs w:val="0"/>
      <w:vanish/>
      <w:webHidden w:val="0"/>
      <w:color w:val="0000FF"/>
      <w:u w:val="single"/>
      <w:specVanish/>
    </w:rPr>
  </w:style>
  <w:style w:type="paragraph" w:styleId="BalloonText">
    <w:name w:val="Balloon Text"/>
    <w:basedOn w:val="Normal"/>
    <w:link w:val="BalloonTextChar"/>
    <w:uiPriority w:val="99"/>
    <w:semiHidden/>
    <w:unhideWhenUsed/>
    <w:rsid w:val="006D1CAC"/>
    <w:rPr>
      <w:rFonts w:ascii="Tahoma" w:hAnsi="Tahoma" w:cs="Tahoma"/>
      <w:sz w:val="16"/>
      <w:szCs w:val="16"/>
    </w:rPr>
  </w:style>
  <w:style w:type="character" w:customStyle="1" w:styleId="BalloonTextChar">
    <w:name w:val="Balloon Text Char"/>
    <w:basedOn w:val="DefaultParagraphFont"/>
    <w:link w:val="BalloonText"/>
    <w:uiPriority w:val="99"/>
    <w:semiHidden/>
    <w:rsid w:val="006D1CAC"/>
    <w:rPr>
      <w:rFonts w:ascii="Tahoma" w:eastAsia="Times New Roman" w:hAnsi="Tahoma" w:cs="Tahoma"/>
      <w:sz w:val="16"/>
      <w:szCs w:val="16"/>
    </w:rPr>
  </w:style>
  <w:style w:type="character" w:styleId="Hyperlink">
    <w:name w:val="Hyperlink"/>
    <w:basedOn w:val="DefaultParagraphFont"/>
    <w:uiPriority w:val="99"/>
    <w:unhideWhenUsed/>
    <w:rsid w:val="006961A4"/>
    <w:rPr>
      <w:color w:val="0000FF" w:themeColor="hyperlink"/>
      <w:u w:val="single"/>
    </w:rPr>
  </w:style>
  <w:style w:type="character" w:styleId="CommentReference">
    <w:name w:val="annotation reference"/>
    <w:basedOn w:val="DefaultParagraphFont"/>
    <w:uiPriority w:val="99"/>
    <w:semiHidden/>
    <w:unhideWhenUsed/>
    <w:rsid w:val="00EC0A2A"/>
    <w:rPr>
      <w:sz w:val="16"/>
      <w:szCs w:val="16"/>
    </w:rPr>
  </w:style>
  <w:style w:type="paragraph" w:styleId="CommentText">
    <w:name w:val="annotation text"/>
    <w:basedOn w:val="Normal"/>
    <w:link w:val="CommentTextChar"/>
    <w:uiPriority w:val="99"/>
    <w:semiHidden/>
    <w:unhideWhenUsed/>
    <w:rsid w:val="00EC0A2A"/>
    <w:rPr>
      <w:sz w:val="20"/>
      <w:szCs w:val="20"/>
    </w:rPr>
  </w:style>
  <w:style w:type="character" w:customStyle="1" w:styleId="CommentTextChar">
    <w:name w:val="Comment Text Char"/>
    <w:basedOn w:val="DefaultParagraphFont"/>
    <w:link w:val="CommentText"/>
    <w:uiPriority w:val="99"/>
    <w:semiHidden/>
    <w:rsid w:val="00EC0A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0A2A"/>
    <w:rPr>
      <w:b/>
      <w:bCs/>
    </w:rPr>
  </w:style>
  <w:style w:type="character" w:customStyle="1" w:styleId="CommentSubjectChar">
    <w:name w:val="Comment Subject Char"/>
    <w:basedOn w:val="CommentTextChar"/>
    <w:link w:val="CommentSubject"/>
    <w:uiPriority w:val="99"/>
    <w:semiHidden/>
    <w:rsid w:val="00EC0A2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7632B3"/>
    <w:pPr>
      <w:tabs>
        <w:tab w:val="center" w:pos="4153"/>
        <w:tab w:val="right" w:pos="8306"/>
      </w:tabs>
    </w:pPr>
  </w:style>
  <w:style w:type="character" w:customStyle="1" w:styleId="HeaderChar">
    <w:name w:val="Header Char"/>
    <w:basedOn w:val="DefaultParagraphFont"/>
    <w:link w:val="Header"/>
    <w:uiPriority w:val="99"/>
    <w:rsid w:val="007632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632B3"/>
    <w:pPr>
      <w:tabs>
        <w:tab w:val="center" w:pos="4153"/>
        <w:tab w:val="right" w:pos="8306"/>
      </w:tabs>
    </w:pPr>
  </w:style>
  <w:style w:type="character" w:customStyle="1" w:styleId="FooterChar">
    <w:name w:val="Footer Char"/>
    <w:basedOn w:val="DefaultParagraphFont"/>
    <w:link w:val="Footer"/>
    <w:uiPriority w:val="99"/>
    <w:rsid w:val="007632B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15878929">
      <w:bodyDiv w:val="1"/>
      <w:marLeft w:val="0"/>
      <w:marRight w:val="0"/>
      <w:marTop w:val="0"/>
      <w:marBottom w:val="0"/>
      <w:divBdr>
        <w:top w:val="none" w:sz="0" w:space="0" w:color="auto"/>
        <w:left w:val="none" w:sz="0" w:space="0" w:color="auto"/>
        <w:bottom w:val="none" w:sz="0" w:space="0" w:color="auto"/>
        <w:right w:val="none" w:sz="0" w:space="0" w:color="auto"/>
      </w:divBdr>
    </w:div>
    <w:div w:id="1785075243">
      <w:bodyDiv w:val="1"/>
      <w:marLeft w:val="0"/>
      <w:marRight w:val="0"/>
      <w:marTop w:val="0"/>
      <w:marBottom w:val="0"/>
      <w:divBdr>
        <w:top w:val="none" w:sz="0" w:space="0" w:color="auto"/>
        <w:left w:val="none" w:sz="0" w:space="0" w:color="auto"/>
        <w:bottom w:val="none" w:sz="0" w:space="0" w:color="auto"/>
        <w:right w:val="none" w:sz="0" w:space="0" w:color="auto"/>
      </w:divBdr>
    </w:div>
    <w:div w:id="19449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saidammar@yahoo.com"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header" Target="header6.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0B9DE-36BC-4D40-9002-302B4490B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5282</Words>
  <Characters>30111</Characters>
  <Application>Microsoft Office Word</Application>
  <DocSecurity>0</DocSecurity>
  <Lines>250</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dc:creator>
  <cp:lastModifiedBy>Administrator</cp:lastModifiedBy>
  <cp:revision>2</cp:revision>
  <cp:lastPrinted>2015-07-30T00:46:00Z</cp:lastPrinted>
  <dcterms:created xsi:type="dcterms:W3CDTF">2015-08-03T22:57:00Z</dcterms:created>
  <dcterms:modified xsi:type="dcterms:W3CDTF">2015-08-03T22:57:00Z</dcterms:modified>
</cp:coreProperties>
</file>