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footer8.xml" ContentType="application/vnd.openxmlformats-officedocument.wordprocessingml.footer+xml"/>
  <Override PartName="/word/theme/themeOverride1.xml" ContentType="application/vnd.openxmlformats-officedocument.themeOverride+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07" w:rsidRPr="00452D55" w:rsidRDefault="00D14F07" w:rsidP="007F7839">
      <w:pPr>
        <w:suppressAutoHyphens w:val="0"/>
        <w:snapToGrid w:val="0"/>
        <w:jc w:val="center"/>
        <w:rPr>
          <w:rFonts w:eastAsia="Times New Roman"/>
          <w:b/>
          <w:bCs/>
          <w:sz w:val="20"/>
          <w:szCs w:val="20"/>
        </w:rPr>
      </w:pPr>
      <w:r w:rsidRPr="00452D55">
        <w:rPr>
          <w:rFonts w:eastAsia="Times New Roman"/>
          <w:b/>
          <w:bCs/>
          <w:sz w:val="20"/>
          <w:szCs w:val="20"/>
        </w:rPr>
        <w:t>Investigation the Impact of Land Surface Temperature on Type of Land Use</w:t>
      </w:r>
    </w:p>
    <w:p w:rsidR="00D14F07" w:rsidRPr="00452D55" w:rsidRDefault="00D14F07" w:rsidP="007F7839">
      <w:pPr>
        <w:suppressAutoHyphens w:val="0"/>
        <w:snapToGrid w:val="0"/>
        <w:jc w:val="center"/>
        <w:rPr>
          <w:rFonts w:eastAsia="Times New Roman"/>
          <w:b/>
          <w:bCs/>
          <w:sz w:val="20"/>
          <w:szCs w:val="20"/>
        </w:rPr>
      </w:pPr>
    </w:p>
    <w:p w:rsidR="00D14F07" w:rsidRPr="00452D55" w:rsidRDefault="00D14F07" w:rsidP="007F7839">
      <w:pPr>
        <w:suppressAutoHyphens w:val="0"/>
        <w:snapToGrid w:val="0"/>
        <w:jc w:val="center"/>
        <w:rPr>
          <w:sz w:val="20"/>
          <w:szCs w:val="20"/>
          <w:vertAlign w:val="superscript"/>
        </w:rPr>
      </w:pPr>
      <w:r w:rsidRPr="00452D55">
        <w:rPr>
          <w:sz w:val="20"/>
          <w:szCs w:val="20"/>
        </w:rPr>
        <w:t>Soheila Youneszadeh Jalili</w:t>
      </w:r>
      <w:r w:rsidRPr="00452D55">
        <w:rPr>
          <w:sz w:val="20"/>
          <w:szCs w:val="20"/>
          <w:vertAlign w:val="superscript"/>
        </w:rPr>
        <w:t>1</w:t>
      </w:r>
      <w:r w:rsidRPr="00452D55">
        <w:rPr>
          <w:sz w:val="20"/>
          <w:szCs w:val="20"/>
        </w:rPr>
        <w:t>, Nima Karimi</w:t>
      </w:r>
      <w:r w:rsidRPr="00452D55">
        <w:rPr>
          <w:sz w:val="20"/>
          <w:szCs w:val="20"/>
          <w:vertAlign w:val="superscript"/>
        </w:rPr>
        <w:t>2</w:t>
      </w:r>
      <w:r w:rsidRPr="00452D55">
        <w:rPr>
          <w:sz w:val="20"/>
          <w:szCs w:val="20"/>
        </w:rPr>
        <w:t>, Mersedeh Taheri</w:t>
      </w:r>
      <w:r w:rsidRPr="00452D55">
        <w:rPr>
          <w:sz w:val="20"/>
          <w:szCs w:val="20"/>
          <w:vertAlign w:val="superscript"/>
        </w:rPr>
        <w:t>2</w:t>
      </w:r>
      <w:r w:rsidRPr="00452D55">
        <w:rPr>
          <w:sz w:val="20"/>
          <w:szCs w:val="20"/>
        </w:rPr>
        <w:t>, Petter Plejesso</w:t>
      </w:r>
      <w:r w:rsidRPr="00452D55">
        <w:rPr>
          <w:sz w:val="20"/>
          <w:szCs w:val="20"/>
          <w:vertAlign w:val="superscript"/>
        </w:rPr>
        <w:t>3</w:t>
      </w:r>
    </w:p>
    <w:p w:rsidR="00D14F07" w:rsidRPr="00452D55" w:rsidRDefault="00D14F07" w:rsidP="007F7839">
      <w:pPr>
        <w:suppressAutoHyphens w:val="0"/>
        <w:snapToGrid w:val="0"/>
        <w:jc w:val="center"/>
        <w:rPr>
          <w:sz w:val="20"/>
          <w:szCs w:val="20"/>
          <w:vertAlign w:val="superscript"/>
        </w:rPr>
      </w:pPr>
    </w:p>
    <w:p w:rsidR="00272380" w:rsidRPr="00452D55" w:rsidRDefault="00D14F07" w:rsidP="007F7839">
      <w:pPr>
        <w:suppressAutoHyphens w:val="0"/>
        <w:snapToGrid w:val="0"/>
        <w:jc w:val="center"/>
        <w:rPr>
          <w:sz w:val="20"/>
          <w:szCs w:val="20"/>
          <w:lang w:eastAsia="zh-CN"/>
        </w:rPr>
      </w:pPr>
      <w:r w:rsidRPr="00452D55">
        <w:rPr>
          <w:sz w:val="20"/>
          <w:szCs w:val="20"/>
          <w:vertAlign w:val="superscript"/>
        </w:rPr>
        <w:t xml:space="preserve">1. </w:t>
      </w:r>
      <w:r w:rsidRPr="00452D55">
        <w:rPr>
          <w:sz w:val="20"/>
          <w:szCs w:val="20"/>
        </w:rPr>
        <w:t>Department of Physical Geography and Ecosystem Science Lund University, Lund, Sweden</w:t>
      </w:r>
      <w:r w:rsidR="00272380" w:rsidRPr="00452D55">
        <w:rPr>
          <w:sz w:val="20"/>
          <w:szCs w:val="20"/>
          <w:lang w:eastAsia="zh-CN"/>
        </w:rPr>
        <w:t xml:space="preserve"> </w:t>
      </w:r>
    </w:p>
    <w:p w:rsidR="00D14F07" w:rsidRPr="00452D55" w:rsidRDefault="00D14F07" w:rsidP="007F7839">
      <w:pPr>
        <w:suppressAutoHyphens w:val="0"/>
        <w:snapToGrid w:val="0"/>
        <w:jc w:val="center"/>
        <w:rPr>
          <w:sz w:val="20"/>
          <w:szCs w:val="20"/>
        </w:rPr>
      </w:pPr>
      <w:r w:rsidRPr="00452D55">
        <w:rPr>
          <w:sz w:val="20"/>
          <w:szCs w:val="20"/>
          <w:vertAlign w:val="superscript"/>
        </w:rPr>
        <w:t xml:space="preserve">2. </w:t>
      </w:r>
      <w:r w:rsidRPr="00452D55">
        <w:rPr>
          <w:sz w:val="20"/>
          <w:szCs w:val="20"/>
        </w:rPr>
        <w:t>Sharif University, MSc in Environmental E</w:t>
      </w:r>
      <w:bookmarkStart w:id="0" w:name="_GoBack"/>
      <w:bookmarkEnd w:id="0"/>
      <w:r w:rsidRPr="00452D55">
        <w:rPr>
          <w:sz w:val="20"/>
          <w:szCs w:val="20"/>
        </w:rPr>
        <w:t>ngineering, Department of Civil engineering, Tehran, Iran</w:t>
      </w:r>
    </w:p>
    <w:p w:rsidR="00D14F07" w:rsidRPr="00452D55" w:rsidRDefault="00D14F07" w:rsidP="007F7839">
      <w:pPr>
        <w:suppressAutoHyphens w:val="0"/>
        <w:snapToGrid w:val="0"/>
        <w:jc w:val="center"/>
        <w:rPr>
          <w:sz w:val="20"/>
          <w:szCs w:val="20"/>
        </w:rPr>
      </w:pPr>
      <w:r w:rsidRPr="00452D55">
        <w:rPr>
          <w:sz w:val="20"/>
          <w:szCs w:val="20"/>
          <w:vertAlign w:val="superscript"/>
        </w:rPr>
        <w:t>3.</w:t>
      </w:r>
      <w:r w:rsidRPr="00452D55">
        <w:rPr>
          <w:sz w:val="20"/>
          <w:szCs w:val="20"/>
        </w:rPr>
        <w:t xml:space="preserve"> Head of GIS center, Department of Physical Geography and Ecosystem Science, Lund University, Lund, Sweden</w:t>
      </w:r>
    </w:p>
    <w:p w:rsidR="00E73EAF" w:rsidRPr="00452D55" w:rsidRDefault="00E73EAF" w:rsidP="007F7839">
      <w:pPr>
        <w:suppressAutoHyphens w:val="0"/>
        <w:snapToGrid w:val="0"/>
        <w:jc w:val="center"/>
        <w:rPr>
          <w:b/>
          <w:sz w:val="20"/>
          <w:szCs w:val="20"/>
        </w:rPr>
      </w:pPr>
    </w:p>
    <w:p w:rsidR="0023594E" w:rsidRPr="00452D55" w:rsidRDefault="00471E57" w:rsidP="0023594E">
      <w:pPr>
        <w:jc w:val="both"/>
        <w:rPr>
          <w:sz w:val="20"/>
          <w:szCs w:val="20"/>
        </w:rPr>
        <w:sectPr w:rsidR="0023594E" w:rsidRPr="00452D55" w:rsidSect="0023594E">
          <w:headerReference w:type="default" r:id="rId7"/>
          <w:footerReference w:type="even" r:id="rId8"/>
          <w:footerReference w:type="default" r:id="rId9"/>
          <w:footnotePr>
            <w:pos w:val="beneathText"/>
          </w:footnotePr>
          <w:type w:val="continuous"/>
          <w:pgSz w:w="12240" w:h="15840" w:code="1"/>
          <w:pgMar w:top="1440" w:right="1440" w:bottom="1440" w:left="1440" w:header="720" w:footer="720" w:gutter="0"/>
          <w:pgNumType w:start="1"/>
          <w:cols w:space="720"/>
          <w:docGrid w:linePitch="360"/>
        </w:sectPr>
      </w:pPr>
      <w:r w:rsidRPr="00452D55">
        <w:rPr>
          <w:b/>
          <w:sz w:val="20"/>
          <w:szCs w:val="20"/>
        </w:rPr>
        <w:t>Abstract:</w:t>
      </w:r>
      <w:r w:rsidR="00D14F07" w:rsidRPr="00452D55">
        <w:rPr>
          <w:b/>
          <w:bCs/>
          <w:sz w:val="20"/>
          <w:szCs w:val="20"/>
        </w:rPr>
        <w:t xml:space="preserve"> </w:t>
      </w:r>
      <w:r w:rsidR="0023594E" w:rsidRPr="00452D55">
        <w:rPr>
          <w:sz w:val="20"/>
          <w:szCs w:val="20"/>
        </w:rPr>
        <w:t xml:space="preserve">Rapid Land use changes in Netherlands especially in urban expansion and open agriculture reduction which are due to enhanced economic growth. This research was investigated the impact of land surface temperature on type of land use in Netherlands using remote sensing, geographic information systems (GIS) and statistical methods. As land use change alters the thermal environment, LST could be a proper change indicator to show thermal changes in relation to land use changes. GIS was further applied to extract the coverage ratio of each land use in the context of LST pixels. Using correlation and linear regression this interrelationship was then quantified. </w:t>
      </w:r>
    </w:p>
    <w:p w:rsidR="0023594E" w:rsidRPr="00452D55" w:rsidRDefault="0023594E" w:rsidP="0023594E">
      <w:pPr>
        <w:suppressAutoHyphens w:val="0"/>
        <w:snapToGrid w:val="0"/>
        <w:jc w:val="both"/>
        <w:rPr>
          <w:sz w:val="20"/>
          <w:szCs w:val="20"/>
        </w:rPr>
      </w:pPr>
      <w:r w:rsidRPr="00452D55">
        <w:rPr>
          <w:sz w:val="20"/>
          <w:szCs w:val="20"/>
        </w:rPr>
        <w:lastRenderedPageBreak/>
        <w:t xml:space="preserve">Overall, the key results confirm that Build-up area and open agriculture has the largest LST difference between day and night values. Inland water has the maximum night LST, minimum day LST and the minimum LST difference between day and night. </w:t>
      </w:r>
    </w:p>
    <w:p w:rsidR="00187D02" w:rsidRPr="00452D55" w:rsidRDefault="00177C9A" w:rsidP="0023594E">
      <w:pPr>
        <w:suppressAutoHyphens w:val="0"/>
        <w:snapToGrid w:val="0"/>
        <w:jc w:val="both"/>
        <w:rPr>
          <w:sz w:val="20"/>
          <w:szCs w:val="20"/>
          <w:lang w:eastAsia="zh-CN"/>
        </w:rPr>
      </w:pPr>
      <w:r w:rsidRPr="00452D55">
        <w:rPr>
          <w:sz w:val="20"/>
          <w:szCs w:val="20"/>
        </w:rPr>
        <w:t>[</w:t>
      </w:r>
      <w:r w:rsidR="00D14F07" w:rsidRPr="00452D55">
        <w:rPr>
          <w:sz w:val="20"/>
          <w:szCs w:val="20"/>
        </w:rPr>
        <w:t>Soheila Youneszadeh Jalili, Nima Karimi, Mersedeh Taheri, Petter Plejesso</w:t>
      </w:r>
      <w:r w:rsidR="004A6C92" w:rsidRPr="00452D55">
        <w:rPr>
          <w:sz w:val="20"/>
          <w:szCs w:val="20"/>
        </w:rPr>
        <w:t xml:space="preserve">. </w:t>
      </w:r>
      <w:r w:rsidR="00D14F07" w:rsidRPr="00452D55">
        <w:rPr>
          <w:rFonts w:eastAsia="Times New Roman"/>
          <w:b/>
          <w:bCs/>
          <w:sz w:val="20"/>
          <w:szCs w:val="20"/>
        </w:rPr>
        <w:t>Investigation the Impact of Land Surface Temperature on Type of Land Use</w:t>
      </w:r>
      <w:r w:rsidR="00187D02" w:rsidRPr="00452D55">
        <w:rPr>
          <w:rFonts w:eastAsia="Times New Roman"/>
          <w:b/>
          <w:bCs/>
          <w:sz w:val="20"/>
          <w:szCs w:val="20"/>
          <w:lang w:bidi="fa-IR"/>
        </w:rPr>
        <w:t>.</w:t>
      </w:r>
      <w:r w:rsidR="00187D02" w:rsidRPr="00452D55">
        <w:rPr>
          <w:bCs/>
          <w:i/>
          <w:sz w:val="20"/>
          <w:szCs w:val="20"/>
        </w:rPr>
        <w:t xml:space="preserve"> N Y Sci J</w:t>
      </w:r>
      <w:r w:rsidR="00187D02" w:rsidRPr="00452D55">
        <w:rPr>
          <w:bCs/>
          <w:sz w:val="20"/>
          <w:szCs w:val="20"/>
        </w:rPr>
        <w:t xml:space="preserve"> </w:t>
      </w:r>
      <w:r w:rsidR="00187D02" w:rsidRPr="00452D55">
        <w:rPr>
          <w:sz w:val="20"/>
          <w:szCs w:val="20"/>
        </w:rPr>
        <w:t>2015;8(9):</w:t>
      </w:r>
      <w:r w:rsidR="00B41DCF" w:rsidRPr="00452D55">
        <w:rPr>
          <w:noProof/>
          <w:color w:val="000000"/>
          <w:sz w:val="20"/>
          <w:szCs w:val="20"/>
        </w:rPr>
        <w:t>44</w:t>
      </w:r>
      <w:r w:rsidR="00187D02" w:rsidRPr="00452D55">
        <w:rPr>
          <w:color w:val="000000"/>
          <w:sz w:val="20"/>
          <w:szCs w:val="20"/>
        </w:rPr>
        <w:t>-</w:t>
      </w:r>
      <w:r w:rsidR="00B41DCF" w:rsidRPr="00452D55">
        <w:rPr>
          <w:noProof/>
          <w:color w:val="000000"/>
          <w:sz w:val="20"/>
          <w:szCs w:val="20"/>
        </w:rPr>
        <w:t>50</w:t>
      </w:r>
      <w:r w:rsidR="00187D02" w:rsidRPr="00452D55">
        <w:rPr>
          <w:sz w:val="20"/>
          <w:szCs w:val="20"/>
        </w:rPr>
        <w:t xml:space="preserve">]. (ISSN: 1554-0200). </w:t>
      </w:r>
      <w:hyperlink r:id="rId10" w:history="1">
        <w:r w:rsidR="00187D02" w:rsidRPr="00452D55">
          <w:rPr>
            <w:rStyle w:val="Hyperlink"/>
            <w:sz w:val="20"/>
            <w:szCs w:val="20"/>
          </w:rPr>
          <w:t>http://www.sciencepub.net/newyork</w:t>
        </w:r>
      </w:hyperlink>
      <w:r w:rsidR="00187D02" w:rsidRPr="00452D55">
        <w:rPr>
          <w:sz w:val="20"/>
          <w:szCs w:val="20"/>
        </w:rPr>
        <w:t xml:space="preserve">. </w:t>
      </w:r>
      <w:r w:rsidR="007F7839" w:rsidRPr="00452D55">
        <w:rPr>
          <w:sz w:val="20"/>
          <w:szCs w:val="20"/>
          <w:lang w:eastAsia="zh-CN"/>
        </w:rPr>
        <w:t>9</w:t>
      </w:r>
    </w:p>
    <w:p w:rsidR="00E409F0" w:rsidRPr="00452D55" w:rsidRDefault="00E409F0" w:rsidP="007F7839">
      <w:pPr>
        <w:suppressAutoHyphens w:val="0"/>
        <w:snapToGrid w:val="0"/>
        <w:jc w:val="both"/>
        <w:rPr>
          <w:b/>
          <w:sz w:val="20"/>
          <w:szCs w:val="20"/>
        </w:rPr>
      </w:pPr>
    </w:p>
    <w:p w:rsidR="001817C7" w:rsidRPr="00452D55" w:rsidRDefault="001817C7" w:rsidP="0023594E">
      <w:pPr>
        <w:suppressAutoHyphens w:val="0"/>
        <w:snapToGrid w:val="0"/>
        <w:jc w:val="both"/>
        <w:rPr>
          <w:sz w:val="20"/>
          <w:szCs w:val="20"/>
        </w:rPr>
      </w:pPr>
      <w:r w:rsidRPr="00452D55">
        <w:rPr>
          <w:b/>
          <w:sz w:val="20"/>
          <w:szCs w:val="20"/>
        </w:rPr>
        <w:t xml:space="preserve">Keywords: </w:t>
      </w:r>
      <w:r w:rsidR="0023594E" w:rsidRPr="00452D55">
        <w:rPr>
          <w:rFonts w:eastAsia="Times New Roman"/>
          <w:sz w:val="20"/>
          <w:szCs w:val="20"/>
        </w:rPr>
        <w:t>Land Surface Temperature (LST), Land Use, RS &amp; GIS, Netherlands</w:t>
      </w:r>
    </w:p>
    <w:p w:rsidR="007F7839" w:rsidRPr="00452D55" w:rsidRDefault="007F7839" w:rsidP="007F7839">
      <w:pPr>
        <w:tabs>
          <w:tab w:val="left" w:pos="2760"/>
        </w:tabs>
        <w:suppressAutoHyphens w:val="0"/>
        <w:snapToGrid w:val="0"/>
        <w:jc w:val="both"/>
        <w:rPr>
          <w:sz w:val="20"/>
          <w:szCs w:val="20"/>
        </w:rPr>
      </w:pPr>
    </w:p>
    <w:p w:rsidR="007F7839" w:rsidRPr="00452D55" w:rsidRDefault="007F7839" w:rsidP="007F7839">
      <w:pPr>
        <w:tabs>
          <w:tab w:val="left" w:pos="2760"/>
        </w:tabs>
        <w:suppressAutoHyphens w:val="0"/>
        <w:snapToGrid w:val="0"/>
        <w:jc w:val="both"/>
        <w:rPr>
          <w:sz w:val="20"/>
          <w:szCs w:val="20"/>
        </w:rPr>
        <w:sectPr w:rsidR="007F7839" w:rsidRPr="00452D55" w:rsidSect="0023594E">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44"/>
          <w:cols w:space="720"/>
          <w:docGrid w:linePitch="360"/>
        </w:sectPr>
      </w:pPr>
    </w:p>
    <w:p w:rsidR="00737DD9" w:rsidRPr="00452D55" w:rsidRDefault="00737DD9" w:rsidP="007F7839">
      <w:pPr>
        <w:suppressAutoHyphens w:val="0"/>
        <w:snapToGrid w:val="0"/>
        <w:jc w:val="both"/>
        <w:rPr>
          <w:b/>
          <w:sz w:val="20"/>
          <w:szCs w:val="20"/>
        </w:rPr>
      </w:pPr>
      <w:r w:rsidRPr="00452D55">
        <w:rPr>
          <w:b/>
          <w:sz w:val="20"/>
          <w:szCs w:val="20"/>
        </w:rPr>
        <w:lastRenderedPageBreak/>
        <w:t xml:space="preserve">1. </w:t>
      </w:r>
      <w:r w:rsidR="00471E57" w:rsidRPr="00452D55">
        <w:rPr>
          <w:b/>
          <w:sz w:val="20"/>
          <w:szCs w:val="20"/>
        </w:rPr>
        <w:t>Introduction</w:t>
      </w:r>
    </w:p>
    <w:p w:rsidR="0023594E" w:rsidRPr="00452D55" w:rsidRDefault="0023594E" w:rsidP="0023594E">
      <w:pPr>
        <w:ind w:firstLine="720"/>
        <w:jc w:val="both"/>
        <w:rPr>
          <w:color w:val="000000"/>
          <w:sz w:val="20"/>
          <w:szCs w:val="20"/>
        </w:rPr>
      </w:pPr>
      <w:r w:rsidRPr="00452D55">
        <w:rPr>
          <w:color w:val="000000"/>
          <w:sz w:val="20"/>
          <w:szCs w:val="20"/>
        </w:rPr>
        <w:t>NASA launched the Earth Observing System's flagship satellite "Terra" on December 18, 1999. Terra has a sun-synchronous, near polar, circular orbit which passes the earth from north to south. It crosses the equator in the morning (10:30 a.m.) and visits the entire Earth's surface each 1 to 2 days. Terra carries five sensors including ASTER, CERES, MISR, MOPITT and MODIS (NASA, 2012).</w:t>
      </w:r>
    </w:p>
    <w:p w:rsidR="0023594E" w:rsidRPr="00452D55" w:rsidRDefault="0023594E" w:rsidP="0023594E">
      <w:pPr>
        <w:ind w:firstLine="720"/>
        <w:jc w:val="both"/>
        <w:rPr>
          <w:sz w:val="20"/>
          <w:szCs w:val="20"/>
        </w:rPr>
      </w:pPr>
      <w:r w:rsidRPr="00452D55">
        <w:rPr>
          <w:color w:val="000000"/>
          <w:sz w:val="20"/>
          <w:szCs w:val="20"/>
        </w:rPr>
        <w:t>In this study data derived from the Moderate Resolution Imaging Spectroradiometer (MODIS) product is used. MODIS has a 36 spectral band spectrometer. MODIS thermal infrared (TIR) bands are used for LST retrieval. Land surface temperature (LST) is temperature of the skin surface of land which can be derived from satellite information or direct measurements. In the remote-sensing terminology LST is the surface radiometric temperature emitted by the land surfaces and observed by sensor at instant viewing angles (Prata et al., 1995). Land use is defined as "the arrangements, activities and inputs people undertake in a certain land cover type to produce, change or maintain it" (FAO/UNEP, 1999). Different land use type have different amount of land surface temperature during day</w:t>
      </w:r>
      <w:r w:rsidRPr="00452D55">
        <w:rPr>
          <w:sz w:val="20"/>
          <w:szCs w:val="20"/>
        </w:rPr>
        <w:t xml:space="preserve"> and night times. This study investigate the night and day LST values for different land use types.</w:t>
      </w:r>
    </w:p>
    <w:p w:rsidR="0023594E" w:rsidRPr="00452D55" w:rsidRDefault="0023594E" w:rsidP="0023594E">
      <w:pPr>
        <w:jc w:val="both"/>
        <w:rPr>
          <w:sz w:val="20"/>
          <w:szCs w:val="20"/>
        </w:rPr>
      </w:pPr>
    </w:p>
    <w:p w:rsidR="0023594E" w:rsidRPr="00452D55" w:rsidRDefault="0023594E" w:rsidP="0023594E">
      <w:pPr>
        <w:jc w:val="both"/>
        <w:rPr>
          <w:b/>
          <w:bCs/>
          <w:sz w:val="20"/>
          <w:szCs w:val="20"/>
        </w:rPr>
      </w:pPr>
      <w:r w:rsidRPr="00452D55">
        <w:rPr>
          <w:b/>
          <w:bCs/>
          <w:sz w:val="20"/>
          <w:szCs w:val="20"/>
        </w:rPr>
        <w:t>Methodology</w:t>
      </w:r>
    </w:p>
    <w:p w:rsidR="0023594E" w:rsidRPr="00452D55" w:rsidRDefault="0023594E" w:rsidP="0023594E">
      <w:pPr>
        <w:ind w:firstLine="720"/>
        <w:jc w:val="both"/>
        <w:rPr>
          <w:sz w:val="20"/>
          <w:szCs w:val="20"/>
        </w:rPr>
      </w:pPr>
      <w:r w:rsidRPr="00452D55">
        <w:rPr>
          <w:sz w:val="20"/>
          <w:szCs w:val="20"/>
        </w:rPr>
        <w:t xml:space="preserve">The Netherlands is a country in Western Europe which borders the North Sea to the north and west, Belgium to the south and Germany to the east. </w:t>
      </w:r>
      <w:r w:rsidRPr="00452D55">
        <w:rPr>
          <w:sz w:val="20"/>
          <w:szCs w:val="20"/>
        </w:rPr>
        <w:lastRenderedPageBreak/>
        <w:t>The spatial land use database of Statistics Netherlands (NL: BBG, Bestand Bodemgebruik), is a frequently updated dataset of land use information in the Netherlands which was used for this research. BBG is used for this study.</w:t>
      </w:r>
      <w:r w:rsidRPr="00452D55">
        <w:rPr>
          <w:b/>
          <w:bCs/>
          <w:sz w:val="20"/>
          <w:szCs w:val="20"/>
        </w:rPr>
        <w:t xml:space="preserve"> </w:t>
      </w:r>
      <w:r w:rsidRPr="00452D55">
        <w:rPr>
          <w:sz w:val="20"/>
          <w:szCs w:val="20"/>
        </w:rPr>
        <w:t xml:space="preserve">The satellite data used for this study were MODIS LSTs, and the product was the 8-day 1 km MOD11A2, averaging LSTs in the daily product MOD11A1 over 8 days. The 8-day composites of these LST HDF images were downloaded for the period from 2000 to 2008. LST values per pixel were extracted from Oklahoma website available at: </w:t>
      </w:r>
      <w:hyperlink r:id="rId14" w:history="1">
        <w:r w:rsidRPr="00452D55">
          <w:rPr>
            <w:sz w:val="20"/>
            <w:szCs w:val="20"/>
          </w:rPr>
          <w:t>http://www.eomf.ou.edu/visualization/gmap/</w:t>
        </w:r>
      </w:hyperlink>
      <w:r w:rsidRPr="00452D55">
        <w:rPr>
          <w:sz w:val="20"/>
          <w:szCs w:val="20"/>
        </w:rPr>
        <w:t xml:space="preserve">. </w:t>
      </w:r>
    </w:p>
    <w:p w:rsidR="0023594E" w:rsidRPr="00452D55" w:rsidRDefault="0023594E" w:rsidP="0023594E">
      <w:pPr>
        <w:ind w:firstLine="720"/>
        <w:jc w:val="both"/>
        <w:rPr>
          <w:sz w:val="20"/>
          <w:szCs w:val="20"/>
        </w:rPr>
      </w:pPr>
      <w:r w:rsidRPr="00452D55">
        <w:rPr>
          <w:sz w:val="20"/>
          <w:szCs w:val="20"/>
        </w:rPr>
        <w:t>To retrieve LST values, MODIS pixel locations were entered based on the geographic coordinates (Latitude and Longitude). For each pixel, LST values were retrieved from 2000 to 2008 with 8-day intervals and in ASCII Table format. The raw LST values were multiplied by the scale factor of 0.02. The scale factor was defined in the LST product user manual (Zhengming, 2007). Afterwards, the LST values were subtracted by 273.15 to be converted from Kelvin to degrees Celsius. Multiple land uses can be present in one 1-km2 LST pixel and each of the land use classes can affect the LST mixed value. The coverage ratios of different land use types within individual MODIS pixels was computed. The land use types are open agriculture, build-up area, recreational area, greenhouse farming, forest and inland waterway &amp; offshore area.</w:t>
      </w:r>
    </w:p>
    <w:p w:rsidR="0023594E" w:rsidRPr="00452D55" w:rsidRDefault="0023594E" w:rsidP="0023594E">
      <w:pPr>
        <w:ind w:firstLine="720"/>
        <w:jc w:val="both"/>
        <w:rPr>
          <w:sz w:val="20"/>
          <w:szCs w:val="20"/>
        </w:rPr>
      </w:pPr>
      <w:r w:rsidRPr="00452D55">
        <w:rPr>
          <w:sz w:val="20"/>
          <w:szCs w:val="20"/>
        </w:rPr>
        <w:t xml:space="preserve">To examine weather different land uses have different LST values, and to see if there is any change of LST values through time (from 2000 to 2008), 27 </w:t>
      </w:r>
      <w:r w:rsidRPr="00452D55">
        <w:rPr>
          <w:sz w:val="20"/>
          <w:szCs w:val="20"/>
        </w:rPr>
        <w:lastRenderedPageBreak/>
        <w:t>representative cells were selected. These cells had fixed land use from 2000 to 2008. The representative cells were including of all land uses. Each land use had 5 cells apart from recreation areas that were represented by 2 cells. For the recreation class 5 pixels were not available. Representative cells had even distribution in the whole Netherlands. The temporal pattern of LST was analyzed with time plots which showed how LST behaves through time. After quality assessment and rejecting poor pixels, the temporal behavior of LST was plotted for single location pixels. LST values were extracted for every single representative cell from 2000 to 2008. Using SPSS 17 (SPSS Inc, 2008) and a one-way ANOVA function, Analysis of variance was tested. The ANOVA was used to test the hypothesis that several means of different land use classes are equal.</w:t>
      </w:r>
    </w:p>
    <w:p w:rsidR="0023594E" w:rsidRPr="00452D55" w:rsidRDefault="0023594E" w:rsidP="0023594E">
      <w:pPr>
        <w:tabs>
          <w:tab w:val="left" w:pos="6864"/>
        </w:tabs>
        <w:autoSpaceDE w:val="0"/>
        <w:autoSpaceDN w:val="0"/>
        <w:adjustRightInd w:val="0"/>
        <w:ind w:firstLine="720"/>
        <w:jc w:val="both"/>
        <w:rPr>
          <w:rFonts w:eastAsia="Times New Roman"/>
          <w:color w:val="0D0D0D"/>
          <w:sz w:val="20"/>
          <w:szCs w:val="20"/>
        </w:rPr>
      </w:pPr>
      <w:r w:rsidRPr="00452D55">
        <w:rPr>
          <w:sz w:val="20"/>
          <w:szCs w:val="20"/>
        </w:rPr>
        <w:t>In addition to determining if differences exist among the means, post hoc tests were applied to see which means that were differing, and where the difference among the means lie. The ANOVA results were analyzed using the Bonferroni post hoc test (Newsom, 2006). The Bonferroni is possibly the most frequently used post hoc test, because it is very flexible and simple to compute (Newsom, 2006).</w:t>
      </w:r>
      <w:r w:rsidRPr="00452D55">
        <w:rPr>
          <w:rFonts w:eastAsia="Times New Roman"/>
          <w:color w:val="0D0D0D"/>
          <w:sz w:val="20"/>
          <w:szCs w:val="20"/>
        </w:rPr>
        <w:tab/>
      </w:r>
    </w:p>
    <w:p w:rsidR="0023594E" w:rsidRPr="00452D55" w:rsidRDefault="0023594E" w:rsidP="0023594E">
      <w:pPr>
        <w:autoSpaceDE w:val="0"/>
        <w:autoSpaceDN w:val="0"/>
        <w:adjustRightInd w:val="0"/>
        <w:jc w:val="both"/>
        <w:rPr>
          <w:rFonts w:eastAsia="Times New Roman"/>
          <w:color w:val="0D0D0D"/>
          <w:sz w:val="20"/>
          <w:szCs w:val="20"/>
        </w:rPr>
      </w:pPr>
    </w:p>
    <w:p w:rsidR="0023594E" w:rsidRPr="00452D55" w:rsidRDefault="0023594E" w:rsidP="0023594E">
      <w:pPr>
        <w:autoSpaceDE w:val="0"/>
        <w:autoSpaceDN w:val="0"/>
        <w:adjustRightInd w:val="0"/>
        <w:jc w:val="both"/>
        <w:rPr>
          <w:rFonts w:eastAsia="Times New Roman"/>
          <w:b/>
          <w:bCs/>
          <w:color w:val="0D0D0D"/>
          <w:sz w:val="20"/>
          <w:szCs w:val="20"/>
        </w:rPr>
      </w:pPr>
      <w:r w:rsidRPr="00452D55">
        <w:rPr>
          <w:rFonts w:eastAsia="Times New Roman"/>
          <w:b/>
          <w:bCs/>
          <w:color w:val="0D0D0D"/>
          <w:sz w:val="20"/>
          <w:szCs w:val="20"/>
        </w:rPr>
        <w:t>Result and discussion</w:t>
      </w:r>
    </w:p>
    <w:p w:rsidR="0023594E" w:rsidRPr="00452D55" w:rsidRDefault="0023594E" w:rsidP="0023594E">
      <w:pPr>
        <w:jc w:val="both"/>
        <w:outlineLvl w:val="2"/>
        <w:rPr>
          <w:b/>
          <w:sz w:val="20"/>
          <w:szCs w:val="20"/>
        </w:rPr>
      </w:pPr>
      <w:r w:rsidRPr="00452D55">
        <w:rPr>
          <w:b/>
          <w:sz w:val="20"/>
          <w:szCs w:val="20"/>
        </w:rPr>
        <w:t>NOVA test for day time LST</w:t>
      </w:r>
    </w:p>
    <w:p w:rsidR="0023594E" w:rsidRPr="00452D55" w:rsidRDefault="0023594E" w:rsidP="0023594E">
      <w:pPr>
        <w:autoSpaceDE w:val="0"/>
        <w:autoSpaceDN w:val="0"/>
        <w:adjustRightInd w:val="0"/>
        <w:jc w:val="both"/>
        <w:rPr>
          <w:rFonts w:eastAsia="Times New Roman"/>
          <w:b/>
          <w:bCs/>
          <w:color w:val="0D0D0D"/>
          <w:sz w:val="20"/>
          <w:szCs w:val="20"/>
        </w:rPr>
      </w:pPr>
    </w:p>
    <w:p w:rsidR="0023594E" w:rsidRPr="00452D55" w:rsidRDefault="0023594E" w:rsidP="0023594E">
      <w:pPr>
        <w:autoSpaceDE w:val="0"/>
        <w:autoSpaceDN w:val="0"/>
        <w:adjustRightInd w:val="0"/>
        <w:jc w:val="both"/>
        <w:rPr>
          <w:rFonts w:eastAsia="Times New Roman"/>
          <w:color w:val="0D0D0D"/>
          <w:sz w:val="20"/>
          <w:szCs w:val="20"/>
        </w:rPr>
      </w:pPr>
    </w:p>
    <w:p w:rsidR="0023594E" w:rsidRPr="00452D55" w:rsidRDefault="0023594E" w:rsidP="0023594E">
      <w:pPr>
        <w:autoSpaceDE w:val="0"/>
        <w:autoSpaceDN w:val="0"/>
        <w:adjustRightInd w:val="0"/>
        <w:jc w:val="both"/>
        <w:rPr>
          <w:rFonts w:eastAsia="Times New Roman"/>
          <w:color w:val="000000"/>
          <w:sz w:val="20"/>
          <w:szCs w:val="20"/>
        </w:rPr>
      </w:pPr>
      <w:r w:rsidRPr="00452D55">
        <w:rPr>
          <w:rFonts w:eastAsia="Times New Roman"/>
          <w:color w:val="0D0D0D"/>
          <w:sz w:val="20"/>
          <w:szCs w:val="20"/>
        </w:rPr>
        <w:t xml:space="preserve">ANOVA is a statistical method used to compare the means of two or more groups. Tab.1 shows the descriptive analysis of nigh LST values of 27 fixed land use pixels. The column called count is the number of LST values extracted from fixed land use pixels from 2000 to 2008. For example, in five pixels with entirely open agriculture land use from 2000 to 2008, 1498 LST values are extracted. The column sum is the sum of all night LST values for each land use. Dividing the sum columns by the number of involved pixels, arithmetic mean is computed. The lowest mean LST is observed in forest, followed by open agriculture, recreational area, greenhouse farming, build-up area and inland waterway and offshore area. </w:t>
      </w:r>
    </w:p>
    <w:p w:rsidR="0023594E" w:rsidRPr="00452D55" w:rsidRDefault="0023594E" w:rsidP="0023594E">
      <w:pPr>
        <w:widowControl w:val="0"/>
        <w:autoSpaceDE w:val="0"/>
        <w:autoSpaceDN w:val="0"/>
        <w:adjustRightInd w:val="0"/>
        <w:ind w:firstLine="720"/>
        <w:jc w:val="both"/>
        <w:rPr>
          <w:rFonts w:eastAsia="Times New Roman"/>
          <w:color w:val="0D0D0D"/>
          <w:sz w:val="20"/>
          <w:szCs w:val="20"/>
        </w:rPr>
      </w:pPr>
      <w:r w:rsidRPr="00452D55">
        <w:rPr>
          <w:rFonts w:eastAsia="Times New Roman"/>
          <w:color w:val="0D0D0D"/>
          <w:sz w:val="20"/>
          <w:szCs w:val="20"/>
        </w:rPr>
        <w:t xml:space="preserve">The warmest land use during the nights is Inland waterway and offshore area. Water has an extremely high </w:t>
      </w:r>
      <w:hyperlink r:id="rId15" w:anchor="heat_capacity" w:history="1">
        <w:r w:rsidRPr="00452D55">
          <w:rPr>
            <w:rFonts w:eastAsia="Times New Roman"/>
            <w:color w:val="0D0D0D"/>
            <w:sz w:val="20"/>
            <w:szCs w:val="20"/>
          </w:rPr>
          <w:t>heat capacity</w:t>
        </w:r>
      </w:hyperlink>
      <w:r w:rsidRPr="00452D55">
        <w:rPr>
          <w:rFonts w:eastAsia="Times New Roman"/>
          <w:color w:val="0D0D0D"/>
          <w:sz w:val="20"/>
          <w:szCs w:val="20"/>
        </w:rPr>
        <w:t xml:space="preserve"> J/kg/◦C (</w:t>
      </w:r>
      <w:r w:rsidRPr="00452D55">
        <w:rPr>
          <w:color w:val="0D0D0D"/>
          <w:sz w:val="20"/>
          <w:szCs w:val="20"/>
        </w:rPr>
        <w:t>Sharp, 2001)</w:t>
      </w:r>
      <w:r w:rsidRPr="00452D55">
        <w:rPr>
          <w:rFonts w:eastAsia="Times New Roman"/>
          <w:color w:val="0D0D0D"/>
          <w:sz w:val="20"/>
          <w:szCs w:val="20"/>
        </w:rPr>
        <w:t xml:space="preserve">; </w:t>
      </w:r>
      <w:r w:rsidRPr="00452D55">
        <w:rPr>
          <w:rFonts w:eastAsia="Times New Roman"/>
          <w:bCs/>
          <w:color w:val="0D0D0D"/>
          <w:kern w:val="36"/>
          <w:sz w:val="20"/>
          <w:szCs w:val="20"/>
        </w:rPr>
        <w:t xml:space="preserve">this means that water can absorb a lot of energy before it increases temperature. </w:t>
      </w:r>
      <w:r w:rsidRPr="00452D55">
        <w:rPr>
          <w:rFonts w:eastAsia="Times New Roman"/>
          <w:color w:val="0D0D0D"/>
          <w:sz w:val="20"/>
          <w:szCs w:val="20"/>
        </w:rPr>
        <w:t>During the day time water absorb a high amount of heat. During night time, it emits the highest land surface temperature comparing to other land uses. This response is due to a rather high thermal inertia, relative to typical land uses. Thus, it heats less during the day and keeps that heat more at night and has the highest night LST.  Forest has the lowest night LST. It is related to cooling effect of evaporation and evapotranspiration.</w:t>
      </w:r>
    </w:p>
    <w:p w:rsidR="0023594E" w:rsidRPr="00452D55" w:rsidRDefault="0023594E" w:rsidP="0023594E">
      <w:pPr>
        <w:pStyle w:val="Caption"/>
        <w:jc w:val="center"/>
        <w:rPr>
          <w:color w:val="0D0D0D"/>
          <w:sz w:val="20"/>
          <w:szCs w:val="20"/>
        </w:rPr>
        <w:sectPr w:rsidR="0023594E" w:rsidRPr="00452D55" w:rsidSect="00F91BA1">
          <w:footnotePr>
            <w:pos w:val="beneathText"/>
          </w:footnotePr>
          <w:type w:val="continuous"/>
          <w:pgSz w:w="12240" w:h="15840" w:code="1"/>
          <w:pgMar w:top="1440" w:right="1440" w:bottom="1440" w:left="1440" w:header="720" w:footer="720" w:gutter="0"/>
          <w:cols w:num="2" w:space="720"/>
          <w:docGrid w:linePitch="360"/>
        </w:sectPr>
      </w:pPr>
      <w:bookmarkStart w:id="18" w:name="_Toc357617255"/>
    </w:p>
    <w:p w:rsidR="0023594E" w:rsidRPr="00452D55" w:rsidRDefault="0023594E" w:rsidP="0023594E">
      <w:pPr>
        <w:pStyle w:val="Caption"/>
        <w:jc w:val="center"/>
        <w:rPr>
          <w:color w:val="0D0D0D"/>
          <w:sz w:val="20"/>
          <w:szCs w:val="20"/>
        </w:rPr>
      </w:pPr>
    </w:p>
    <w:p w:rsidR="0023594E" w:rsidRPr="00452D55" w:rsidRDefault="0023594E" w:rsidP="0023594E">
      <w:pPr>
        <w:pStyle w:val="Caption"/>
        <w:jc w:val="center"/>
        <w:rPr>
          <w:b/>
          <w:color w:val="0D0D0D"/>
          <w:sz w:val="20"/>
          <w:szCs w:val="20"/>
        </w:rPr>
      </w:pPr>
      <w:r w:rsidRPr="00452D55">
        <w:rPr>
          <w:color w:val="0D0D0D"/>
          <w:sz w:val="20"/>
          <w:szCs w:val="20"/>
        </w:rPr>
        <w:t>Table 1 - descriptive analysis of nigh LST values</w:t>
      </w:r>
      <w:bookmarkEnd w:id="18"/>
    </w:p>
    <w:tbl>
      <w:tblPr>
        <w:tblW w:w="93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2840"/>
        <w:gridCol w:w="857"/>
        <w:gridCol w:w="1053"/>
        <w:gridCol w:w="1106"/>
        <w:gridCol w:w="1177"/>
        <w:gridCol w:w="1480"/>
      </w:tblGrid>
      <w:tr w:rsidR="0023594E" w:rsidRPr="00452D55" w:rsidTr="00F84972">
        <w:trPr>
          <w:trHeight w:val="463"/>
        </w:trPr>
        <w:tc>
          <w:tcPr>
            <w:tcW w:w="857" w:type="dxa"/>
            <w:noWrap/>
            <w:vAlign w:val="center"/>
            <w:hideMark/>
          </w:tcPr>
          <w:p w:rsidR="0023594E" w:rsidRPr="00452D55" w:rsidRDefault="0023594E" w:rsidP="00F84972">
            <w:pPr>
              <w:jc w:val="center"/>
              <w:rPr>
                <w:rFonts w:eastAsia="Times New Roman"/>
                <w:color w:val="000000"/>
                <w:sz w:val="20"/>
                <w:szCs w:val="20"/>
              </w:rPr>
            </w:pPr>
          </w:p>
        </w:tc>
        <w:tc>
          <w:tcPr>
            <w:tcW w:w="2840"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SUMMARY</w:t>
            </w:r>
          </w:p>
        </w:tc>
        <w:tc>
          <w:tcPr>
            <w:tcW w:w="857" w:type="dxa"/>
            <w:noWrap/>
            <w:vAlign w:val="center"/>
            <w:hideMark/>
          </w:tcPr>
          <w:p w:rsidR="0023594E" w:rsidRPr="00452D55" w:rsidRDefault="0023594E" w:rsidP="00F84972">
            <w:pPr>
              <w:jc w:val="center"/>
              <w:rPr>
                <w:rFonts w:eastAsia="Times New Roman"/>
                <w:color w:val="000000"/>
                <w:sz w:val="20"/>
                <w:szCs w:val="20"/>
              </w:rPr>
            </w:pPr>
          </w:p>
        </w:tc>
        <w:tc>
          <w:tcPr>
            <w:tcW w:w="1053" w:type="dxa"/>
            <w:noWrap/>
            <w:vAlign w:val="center"/>
            <w:hideMark/>
          </w:tcPr>
          <w:p w:rsidR="0023594E" w:rsidRPr="00452D55" w:rsidRDefault="0023594E" w:rsidP="00F84972">
            <w:pPr>
              <w:jc w:val="center"/>
              <w:rPr>
                <w:rFonts w:eastAsia="Times New Roman"/>
                <w:color w:val="000000"/>
                <w:sz w:val="20"/>
                <w:szCs w:val="20"/>
              </w:rPr>
            </w:pPr>
          </w:p>
        </w:tc>
        <w:tc>
          <w:tcPr>
            <w:tcW w:w="1106" w:type="dxa"/>
            <w:noWrap/>
            <w:vAlign w:val="center"/>
            <w:hideMark/>
          </w:tcPr>
          <w:p w:rsidR="0023594E" w:rsidRPr="00452D55" w:rsidRDefault="0023594E" w:rsidP="00F84972">
            <w:pPr>
              <w:jc w:val="center"/>
              <w:rPr>
                <w:rFonts w:eastAsia="Times New Roman"/>
                <w:color w:val="000000"/>
                <w:sz w:val="20"/>
                <w:szCs w:val="20"/>
              </w:rPr>
            </w:pPr>
          </w:p>
        </w:tc>
        <w:tc>
          <w:tcPr>
            <w:tcW w:w="1177" w:type="dxa"/>
            <w:noWrap/>
            <w:vAlign w:val="center"/>
            <w:hideMark/>
          </w:tcPr>
          <w:p w:rsidR="0023594E" w:rsidRPr="00452D55" w:rsidRDefault="0023594E" w:rsidP="00F84972">
            <w:pPr>
              <w:jc w:val="center"/>
              <w:rPr>
                <w:rFonts w:eastAsia="Times New Roman"/>
                <w:color w:val="000000"/>
                <w:sz w:val="20"/>
                <w:szCs w:val="20"/>
              </w:rPr>
            </w:pPr>
          </w:p>
        </w:tc>
        <w:tc>
          <w:tcPr>
            <w:tcW w:w="1480" w:type="dxa"/>
            <w:noWrap/>
            <w:vAlign w:val="center"/>
            <w:hideMark/>
          </w:tcPr>
          <w:p w:rsidR="0023594E" w:rsidRPr="00452D55" w:rsidRDefault="0023594E" w:rsidP="00F84972">
            <w:pPr>
              <w:jc w:val="center"/>
              <w:rPr>
                <w:rFonts w:eastAsia="Times New Roman"/>
                <w:color w:val="000000"/>
                <w:sz w:val="20"/>
                <w:szCs w:val="20"/>
              </w:rPr>
            </w:pPr>
          </w:p>
        </w:tc>
      </w:tr>
      <w:tr w:rsidR="0023594E" w:rsidRPr="00452D55" w:rsidTr="00F84972">
        <w:trPr>
          <w:trHeight w:val="441"/>
        </w:trPr>
        <w:tc>
          <w:tcPr>
            <w:tcW w:w="857" w:type="dxa"/>
            <w:noWrap/>
            <w:vAlign w:val="center"/>
            <w:hideMark/>
          </w:tcPr>
          <w:p w:rsidR="0023594E" w:rsidRPr="00452D55" w:rsidRDefault="0023594E" w:rsidP="00F84972">
            <w:pPr>
              <w:jc w:val="center"/>
              <w:rPr>
                <w:rFonts w:eastAsia="Times New Roman"/>
                <w:color w:val="000000"/>
                <w:sz w:val="20"/>
                <w:szCs w:val="20"/>
              </w:rPr>
            </w:pPr>
          </w:p>
        </w:tc>
        <w:tc>
          <w:tcPr>
            <w:tcW w:w="2840" w:type="dxa"/>
            <w:noWrap/>
            <w:vAlign w:val="center"/>
            <w:hideMark/>
          </w:tcPr>
          <w:p w:rsidR="0023594E" w:rsidRPr="00452D55" w:rsidRDefault="0023594E" w:rsidP="00F84972">
            <w:pPr>
              <w:jc w:val="center"/>
              <w:rPr>
                <w:rFonts w:eastAsia="Times New Roman"/>
                <w:i/>
                <w:iCs/>
                <w:color w:val="000000"/>
                <w:sz w:val="20"/>
                <w:szCs w:val="20"/>
              </w:rPr>
            </w:pPr>
            <w:r w:rsidRPr="00452D55">
              <w:rPr>
                <w:rFonts w:eastAsia="Times New Roman"/>
                <w:i/>
                <w:iCs/>
                <w:color w:val="000000"/>
                <w:sz w:val="20"/>
                <w:szCs w:val="20"/>
              </w:rPr>
              <w:t>Groups</w:t>
            </w:r>
          </w:p>
        </w:tc>
        <w:tc>
          <w:tcPr>
            <w:tcW w:w="857" w:type="dxa"/>
            <w:noWrap/>
            <w:vAlign w:val="center"/>
            <w:hideMark/>
          </w:tcPr>
          <w:p w:rsidR="0023594E" w:rsidRPr="00452D55" w:rsidRDefault="0023594E" w:rsidP="00F84972">
            <w:pPr>
              <w:jc w:val="center"/>
              <w:rPr>
                <w:rFonts w:eastAsia="Times New Roman"/>
                <w:i/>
                <w:iCs/>
                <w:color w:val="000000"/>
                <w:sz w:val="20"/>
                <w:szCs w:val="20"/>
              </w:rPr>
            </w:pPr>
            <w:r w:rsidRPr="00452D55">
              <w:rPr>
                <w:rFonts w:eastAsia="Times New Roman"/>
                <w:i/>
                <w:iCs/>
                <w:color w:val="000000"/>
                <w:sz w:val="20"/>
                <w:szCs w:val="20"/>
              </w:rPr>
              <w:t>Count</w:t>
            </w:r>
          </w:p>
        </w:tc>
        <w:tc>
          <w:tcPr>
            <w:tcW w:w="1053" w:type="dxa"/>
            <w:noWrap/>
            <w:vAlign w:val="center"/>
            <w:hideMark/>
          </w:tcPr>
          <w:p w:rsidR="0023594E" w:rsidRPr="00452D55" w:rsidRDefault="0023594E" w:rsidP="00F84972">
            <w:pPr>
              <w:jc w:val="center"/>
              <w:rPr>
                <w:rFonts w:eastAsia="Times New Roman"/>
                <w:i/>
                <w:iCs/>
                <w:color w:val="000000"/>
                <w:sz w:val="20"/>
                <w:szCs w:val="20"/>
              </w:rPr>
            </w:pPr>
            <w:r w:rsidRPr="00452D55">
              <w:rPr>
                <w:rFonts w:eastAsia="Times New Roman"/>
                <w:i/>
                <w:iCs/>
                <w:color w:val="000000"/>
                <w:sz w:val="20"/>
                <w:szCs w:val="20"/>
              </w:rPr>
              <w:t>Sum</w:t>
            </w:r>
          </w:p>
        </w:tc>
        <w:tc>
          <w:tcPr>
            <w:tcW w:w="1106" w:type="dxa"/>
            <w:noWrap/>
            <w:vAlign w:val="center"/>
            <w:hideMark/>
          </w:tcPr>
          <w:p w:rsidR="0023594E" w:rsidRPr="00452D55" w:rsidRDefault="0023594E" w:rsidP="00F84972">
            <w:pPr>
              <w:jc w:val="center"/>
              <w:rPr>
                <w:rFonts w:eastAsia="Times New Roman"/>
                <w:i/>
                <w:iCs/>
                <w:color w:val="000000"/>
                <w:sz w:val="20"/>
                <w:szCs w:val="20"/>
              </w:rPr>
            </w:pPr>
            <w:r w:rsidRPr="00452D55">
              <w:rPr>
                <w:rFonts w:eastAsia="Times New Roman"/>
                <w:i/>
                <w:iCs/>
                <w:color w:val="000000"/>
                <w:sz w:val="20"/>
                <w:szCs w:val="20"/>
              </w:rPr>
              <w:t>Arith. Mean</w:t>
            </w:r>
          </w:p>
        </w:tc>
        <w:tc>
          <w:tcPr>
            <w:tcW w:w="1177" w:type="dxa"/>
            <w:noWrap/>
            <w:vAlign w:val="center"/>
            <w:hideMark/>
          </w:tcPr>
          <w:p w:rsidR="0023594E" w:rsidRPr="00452D55" w:rsidRDefault="0023594E" w:rsidP="00F84972">
            <w:pPr>
              <w:jc w:val="center"/>
              <w:rPr>
                <w:rFonts w:eastAsia="Times New Roman"/>
                <w:i/>
                <w:iCs/>
                <w:color w:val="000000"/>
                <w:sz w:val="20"/>
                <w:szCs w:val="20"/>
              </w:rPr>
            </w:pPr>
            <w:r w:rsidRPr="00452D55">
              <w:rPr>
                <w:rFonts w:eastAsia="Times New Roman"/>
                <w:i/>
                <w:iCs/>
                <w:color w:val="000000"/>
                <w:sz w:val="20"/>
                <w:szCs w:val="20"/>
              </w:rPr>
              <w:t>Variance</w:t>
            </w:r>
          </w:p>
        </w:tc>
        <w:tc>
          <w:tcPr>
            <w:tcW w:w="1480" w:type="dxa"/>
            <w:noWrap/>
            <w:vAlign w:val="center"/>
            <w:hideMark/>
          </w:tcPr>
          <w:p w:rsidR="0023594E" w:rsidRPr="00452D55" w:rsidRDefault="0023594E" w:rsidP="00F84972">
            <w:pPr>
              <w:jc w:val="center"/>
              <w:rPr>
                <w:rFonts w:eastAsia="Times New Roman"/>
                <w:i/>
                <w:iCs/>
                <w:color w:val="000000"/>
                <w:sz w:val="20"/>
                <w:szCs w:val="20"/>
              </w:rPr>
            </w:pPr>
            <w:r w:rsidRPr="00452D55">
              <w:rPr>
                <w:rFonts w:eastAsia="Times New Roman"/>
                <w:i/>
                <w:iCs/>
                <w:color w:val="000000"/>
                <w:sz w:val="20"/>
                <w:szCs w:val="20"/>
              </w:rPr>
              <w:t>Std. Dev.</w:t>
            </w:r>
          </w:p>
        </w:tc>
      </w:tr>
      <w:tr w:rsidR="0023594E" w:rsidRPr="00452D55" w:rsidTr="00F84972">
        <w:trPr>
          <w:trHeight w:val="441"/>
        </w:trPr>
        <w:tc>
          <w:tcPr>
            <w:tcW w:w="85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1</w:t>
            </w:r>
          </w:p>
        </w:tc>
        <w:tc>
          <w:tcPr>
            <w:tcW w:w="2840"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Open agriculture, 5 pixels</w:t>
            </w:r>
          </w:p>
        </w:tc>
        <w:tc>
          <w:tcPr>
            <w:tcW w:w="85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1498</w:t>
            </w:r>
          </w:p>
        </w:tc>
        <w:tc>
          <w:tcPr>
            <w:tcW w:w="1053"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7089.94</w:t>
            </w:r>
          </w:p>
        </w:tc>
        <w:tc>
          <w:tcPr>
            <w:tcW w:w="1106"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4.733</w:t>
            </w:r>
          </w:p>
        </w:tc>
        <w:tc>
          <w:tcPr>
            <w:tcW w:w="117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44.585</w:t>
            </w:r>
          </w:p>
        </w:tc>
        <w:tc>
          <w:tcPr>
            <w:tcW w:w="1480"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6.677</w:t>
            </w:r>
          </w:p>
        </w:tc>
      </w:tr>
      <w:tr w:rsidR="0023594E" w:rsidRPr="00452D55" w:rsidTr="00F84972">
        <w:trPr>
          <w:trHeight w:val="441"/>
        </w:trPr>
        <w:tc>
          <w:tcPr>
            <w:tcW w:w="85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2</w:t>
            </w:r>
          </w:p>
        </w:tc>
        <w:tc>
          <w:tcPr>
            <w:tcW w:w="2840"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Build-up area, 5 pixels</w:t>
            </w:r>
          </w:p>
        </w:tc>
        <w:tc>
          <w:tcPr>
            <w:tcW w:w="85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1894</w:t>
            </w:r>
          </w:p>
        </w:tc>
        <w:tc>
          <w:tcPr>
            <w:tcW w:w="1053"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13540.68</w:t>
            </w:r>
          </w:p>
        </w:tc>
        <w:tc>
          <w:tcPr>
            <w:tcW w:w="1106"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7.149</w:t>
            </w:r>
          </w:p>
        </w:tc>
        <w:tc>
          <w:tcPr>
            <w:tcW w:w="117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51.906</w:t>
            </w:r>
          </w:p>
        </w:tc>
        <w:tc>
          <w:tcPr>
            <w:tcW w:w="1480"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7.205</w:t>
            </w:r>
          </w:p>
        </w:tc>
      </w:tr>
      <w:tr w:rsidR="0023594E" w:rsidRPr="00452D55" w:rsidTr="00F84972">
        <w:trPr>
          <w:trHeight w:val="441"/>
        </w:trPr>
        <w:tc>
          <w:tcPr>
            <w:tcW w:w="85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3</w:t>
            </w:r>
          </w:p>
        </w:tc>
        <w:tc>
          <w:tcPr>
            <w:tcW w:w="2840"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Recreational area, 2 pixels</w:t>
            </w:r>
          </w:p>
        </w:tc>
        <w:tc>
          <w:tcPr>
            <w:tcW w:w="85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725</w:t>
            </w:r>
          </w:p>
        </w:tc>
        <w:tc>
          <w:tcPr>
            <w:tcW w:w="1053"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3843.99</w:t>
            </w:r>
          </w:p>
        </w:tc>
        <w:tc>
          <w:tcPr>
            <w:tcW w:w="1106"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5.302</w:t>
            </w:r>
          </w:p>
        </w:tc>
        <w:tc>
          <w:tcPr>
            <w:tcW w:w="117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54.894</w:t>
            </w:r>
          </w:p>
        </w:tc>
        <w:tc>
          <w:tcPr>
            <w:tcW w:w="1480"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7.409</w:t>
            </w:r>
          </w:p>
        </w:tc>
      </w:tr>
      <w:tr w:rsidR="0023594E" w:rsidRPr="00452D55" w:rsidTr="00F84972">
        <w:trPr>
          <w:trHeight w:val="441"/>
        </w:trPr>
        <w:tc>
          <w:tcPr>
            <w:tcW w:w="85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4</w:t>
            </w:r>
          </w:p>
        </w:tc>
        <w:tc>
          <w:tcPr>
            <w:tcW w:w="2840"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Greenhouse farming, 5 pixels</w:t>
            </w:r>
          </w:p>
        </w:tc>
        <w:tc>
          <w:tcPr>
            <w:tcW w:w="85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1969</w:t>
            </w:r>
          </w:p>
        </w:tc>
        <w:tc>
          <w:tcPr>
            <w:tcW w:w="1053"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10457.79</w:t>
            </w:r>
          </w:p>
        </w:tc>
        <w:tc>
          <w:tcPr>
            <w:tcW w:w="1106"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5.311</w:t>
            </w:r>
          </w:p>
        </w:tc>
        <w:tc>
          <w:tcPr>
            <w:tcW w:w="117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36.062</w:t>
            </w:r>
          </w:p>
        </w:tc>
        <w:tc>
          <w:tcPr>
            <w:tcW w:w="1480"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6.005</w:t>
            </w:r>
          </w:p>
        </w:tc>
      </w:tr>
      <w:tr w:rsidR="0023594E" w:rsidRPr="00452D55" w:rsidTr="00F84972">
        <w:trPr>
          <w:trHeight w:val="441"/>
        </w:trPr>
        <w:tc>
          <w:tcPr>
            <w:tcW w:w="85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5</w:t>
            </w:r>
          </w:p>
        </w:tc>
        <w:tc>
          <w:tcPr>
            <w:tcW w:w="2840"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Forest, 5 pixels</w:t>
            </w:r>
          </w:p>
        </w:tc>
        <w:tc>
          <w:tcPr>
            <w:tcW w:w="85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1385</w:t>
            </w:r>
          </w:p>
        </w:tc>
        <w:tc>
          <w:tcPr>
            <w:tcW w:w="1053"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6042.57</w:t>
            </w:r>
          </w:p>
        </w:tc>
        <w:tc>
          <w:tcPr>
            <w:tcW w:w="1106"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4.363</w:t>
            </w:r>
          </w:p>
        </w:tc>
        <w:tc>
          <w:tcPr>
            <w:tcW w:w="117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59.287</w:t>
            </w:r>
          </w:p>
        </w:tc>
        <w:tc>
          <w:tcPr>
            <w:tcW w:w="1480"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7.700</w:t>
            </w:r>
          </w:p>
        </w:tc>
      </w:tr>
      <w:tr w:rsidR="0023594E" w:rsidRPr="00452D55" w:rsidTr="00F84972">
        <w:trPr>
          <w:trHeight w:val="463"/>
        </w:trPr>
        <w:tc>
          <w:tcPr>
            <w:tcW w:w="85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6</w:t>
            </w:r>
          </w:p>
        </w:tc>
        <w:tc>
          <w:tcPr>
            <w:tcW w:w="2840"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Inland waterway and Offshore area, 5 pixels</w:t>
            </w:r>
          </w:p>
        </w:tc>
        <w:tc>
          <w:tcPr>
            <w:tcW w:w="85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1571</w:t>
            </w:r>
          </w:p>
        </w:tc>
        <w:tc>
          <w:tcPr>
            <w:tcW w:w="1053"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12598.19</w:t>
            </w:r>
          </w:p>
        </w:tc>
        <w:tc>
          <w:tcPr>
            <w:tcW w:w="1106"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8.019</w:t>
            </w:r>
          </w:p>
        </w:tc>
        <w:tc>
          <w:tcPr>
            <w:tcW w:w="1177"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56.292</w:t>
            </w:r>
          </w:p>
        </w:tc>
        <w:tc>
          <w:tcPr>
            <w:tcW w:w="1480" w:type="dxa"/>
            <w:noWrap/>
            <w:vAlign w:val="center"/>
            <w:hideMark/>
          </w:tcPr>
          <w:p w:rsidR="0023594E" w:rsidRPr="00452D55" w:rsidRDefault="0023594E" w:rsidP="00F84972">
            <w:pPr>
              <w:jc w:val="center"/>
              <w:rPr>
                <w:rFonts w:eastAsia="Times New Roman"/>
                <w:color w:val="000000"/>
                <w:sz w:val="20"/>
                <w:szCs w:val="20"/>
              </w:rPr>
            </w:pPr>
            <w:r w:rsidRPr="00452D55">
              <w:rPr>
                <w:rFonts w:eastAsia="Times New Roman"/>
                <w:color w:val="000000"/>
                <w:sz w:val="20"/>
                <w:szCs w:val="20"/>
              </w:rPr>
              <w:t>7.503</w:t>
            </w:r>
          </w:p>
        </w:tc>
      </w:tr>
    </w:tbl>
    <w:p w:rsidR="0023594E" w:rsidRPr="00452D55" w:rsidRDefault="0023594E" w:rsidP="0023594E">
      <w:pPr>
        <w:jc w:val="both"/>
        <w:rPr>
          <w:sz w:val="20"/>
          <w:szCs w:val="20"/>
        </w:rPr>
      </w:pPr>
    </w:p>
    <w:p w:rsidR="0023594E" w:rsidRPr="00452D55" w:rsidRDefault="0023594E" w:rsidP="0023594E">
      <w:pPr>
        <w:widowControl w:val="0"/>
        <w:autoSpaceDE w:val="0"/>
        <w:autoSpaceDN w:val="0"/>
        <w:adjustRightInd w:val="0"/>
        <w:jc w:val="both"/>
        <w:rPr>
          <w:rFonts w:eastAsia="Times New Roman"/>
          <w:sz w:val="20"/>
          <w:szCs w:val="20"/>
        </w:rPr>
        <w:sectPr w:rsidR="0023594E" w:rsidRPr="00452D55" w:rsidSect="00F91BA1">
          <w:footnotePr>
            <w:pos w:val="beneathText"/>
          </w:footnotePr>
          <w:type w:val="continuous"/>
          <w:pgSz w:w="12240" w:h="15840" w:code="1"/>
          <w:pgMar w:top="1440" w:right="1440" w:bottom="1440" w:left="1440" w:header="720" w:footer="720" w:gutter="0"/>
          <w:cols w:space="720"/>
          <w:docGrid w:linePitch="360"/>
        </w:sectPr>
      </w:pPr>
    </w:p>
    <w:p w:rsidR="0023594E" w:rsidRPr="00452D55" w:rsidRDefault="0023594E" w:rsidP="0023594E">
      <w:pPr>
        <w:widowControl w:val="0"/>
        <w:autoSpaceDE w:val="0"/>
        <w:autoSpaceDN w:val="0"/>
        <w:adjustRightInd w:val="0"/>
        <w:ind w:firstLine="720"/>
        <w:jc w:val="both"/>
        <w:rPr>
          <w:rFonts w:eastAsia="Times New Roman"/>
          <w:sz w:val="20"/>
          <w:szCs w:val="20"/>
        </w:rPr>
        <w:sectPr w:rsidR="0023594E" w:rsidRPr="00452D55" w:rsidSect="00F91BA1">
          <w:footnotePr>
            <w:pos w:val="beneathText"/>
          </w:footnotePr>
          <w:type w:val="continuous"/>
          <w:pgSz w:w="12240" w:h="15840" w:code="1"/>
          <w:pgMar w:top="1440" w:right="1440" w:bottom="1440" w:left="1440" w:header="720" w:footer="720" w:gutter="0"/>
          <w:cols w:num="2" w:space="720"/>
          <w:docGrid w:linePitch="360"/>
        </w:sectPr>
      </w:pPr>
      <w:r w:rsidRPr="00452D55">
        <w:rPr>
          <w:rFonts w:eastAsia="Times New Roman"/>
          <w:sz w:val="20"/>
          <w:szCs w:val="20"/>
        </w:rPr>
        <w:lastRenderedPageBreak/>
        <w:t xml:space="preserve">Tab. 2 shows the result of applying the ANOVA test. F statistic indicates the amount of overlap group distributions. If the differences between groups are higher than the differences within the groups, the F value gets larger and the null hypothesis gets rejected. The null hypothesis for F </w:t>
      </w:r>
      <w:r w:rsidRPr="00452D55">
        <w:rPr>
          <w:rFonts w:eastAsia="Times New Roman"/>
          <w:sz w:val="20"/>
          <w:szCs w:val="20"/>
        </w:rPr>
        <w:lastRenderedPageBreak/>
        <w:t>test claims that all the means are equal. The alternative hypothesis argues that not all the means are equal and at least one of them is different. Tab. 2 indicates that the F test is significant at the level of 0.01 and null hypothesis is rejected.</w:t>
      </w:r>
    </w:p>
    <w:p w:rsidR="0023594E" w:rsidRPr="00452D55" w:rsidRDefault="0023594E" w:rsidP="0023594E">
      <w:pPr>
        <w:widowControl w:val="0"/>
        <w:autoSpaceDE w:val="0"/>
        <w:autoSpaceDN w:val="0"/>
        <w:adjustRightInd w:val="0"/>
        <w:jc w:val="both"/>
        <w:rPr>
          <w:rFonts w:eastAsia="Times New Roman"/>
          <w:sz w:val="20"/>
          <w:szCs w:val="20"/>
        </w:rPr>
      </w:pPr>
      <w:r w:rsidRPr="00452D55">
        <w:rPr>
          <w:rFonts w:eastAsia="Times New Roman"/>
          <w:sz w:val="20"/>
          <w:szCs w:val="20"/>
        </w:rPr>
        <w:lastRenderedPageBreak/>
        <w:t xml:space="preserve"> </w:t>
      </w:r>
    </w:p>
    <w:p w:rsidR="00373E66" w:rsidRPr="00452D55" w:rsidRDefault="00373E66" w:rsidP="00373E66">
      <w:pPr>
        <w:widowControl w:val="0"/>
        <w:autoSpaceDE w:val="0"/>
        <w:autoSpaceDN w:val="0"/>
        <w:adjustRightInd w:val="0"/>
        <w:jc w:val="both"/>
        <w:rPr>
          <w:rFonts w:eastAsia="Times New Roman"/>
          <w:sz w:val="20"/>
          <w:szCs w:val="20"/>
        </w:rPr>
        <w:sectPr w:rsidR="00373E66" w:rsidRPr="00452D55" w:rsidSect="00F91BA1">
          <w:footnotePr>
            <w:pos w:val="beneathText"/>
          </w:footnotePr>
          <w:type w:val="continuous"/>
          <w:pgSz w:w="12240" w:h="15840" w:code="1"/>
          <w:pgMar w:top="1440" w:right="1440" w:bottom="1440" w:left="1440" w:header="720" w:footer="720" w:gutter="0"/>
          <w:cols w:space="720"/>
          <w:docGrid w:linePitch="360"/>
        </w:sectPr>
      </w:pPr>
    </w:p>
    <w:tbl>
      <w:tblPr>
        <w:tblpPr w:leftFromText="180" w:rightFromText="180" w:tblpXSpec="center" w:tblpY="4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6"/>
        <w:gridCol w:w="1596"/>
        <w:gridCol w:w="1596"/>
        <w:gridCol w:w="1596"/>
        <w:gridCol w:w="1596"/>
        <w:gridCol w:w="1596"/>
      </w:tblGrid>
      <w:tr w:rsidR="00452D55" w:rsidRPr="00452D55" w:rsidTr="00452D55">
        <w:tc>
          <w:tcPr>
            <w:tcW w:w="1596" w:type="dxa"/>
            <w:shd w:val="clear" w:color="auto" w:fill="auto"/>
          </w:tcPr>
          <w:p w:rsidR="00373E66" w:rsidRPr="00452D55" w:rsidRDefault="00373E66" w:rsidP="00452D55">
            <w:pPr>
              <w:widowControl w:val="0"/>
              <w:autoSpaceDE w:val="0"/>
              <w:autoSpaceDN w:val="0"/>
              <w:adjustRightInd w:val="0"/>
              <w:jc w:val="both"/>
              <w:rPr>
                <w:rFonts w:eastAsia="Times New Roman"/>
                <w:sz w:val="20"/>
                <w:szCs w:val="20"/>
              </w:rPr>
            </w:pPr>
          </w:p>
        </w:tc>
        <w:tc>
          <w:tcPr>
            <w:tcW w:w="1596" w:type="dxa"/>
            <w:shd w:val="clear" w:color="auto" w:fill="auto"/>
          </w:tcPr>
          <w:p w:rsidR="00373E66" w:rsidRPr="00452D55" w:rsidRDefault="00373E66" w:rsidP="00452D55">
            <w:pPr>
              <w:widowControl w:val="0"/>
              <w:autoSpaceDE w:val="0"/>
              <w:autoSpaceDN w:val="0"/>
              <w:adjustRightInd w:val="0"/>
              <w:jc w:val="center"/>
              <w:rPr>
                <w:rFonts w:eastAsia="Times New Roman"/>
                <w:sz w:val="20"/>
                <w:szCs w:val="20"/>
              </w:rPr>
            </w:pPr>
            <w:r w:rsidRPr="00452D55">
              <w:rPr>
                <w:rFonts w:eastAsia="Times New Roman"/>
                <w:color w:val="000000"/>
                <w:sz w:val="20"/>
                <w:szCs w:val="20"/>
              </w:rPr>
              <w:t>Sum of Squares</w:t>
            </w:r>
          </w:p>
        </w:tc>
        <w:tc>
          <w:tcPr>
            <w:tcW w:w="1596" w:type="dxa"/>
            <w:shd w:val="clear" w:color="auto" w:fill="auto"/>
          </w:tcPr>
          <w:p w:rsidR="00373E66" w:rsidRPr="00452D55" w:rsidRDefault="00373E66" w:rsidP="00452D55">
            <w:pPr>
              <w:widowControl w:val="0"/>
              <w:autoSpaceDE w:val="0"/>
              <w:autoSpaceDN w:val="0"/>
              <w:adjustRightInd w:val="0"/>
              <w:jc w:val="center"/>
              <w:rPr>
                <w:rFonts w:eastAsia="Times New Roman"/>
                <w:i/>
                <w:iCs/>
                <w:sz w:val="20"/>
                <w:szCs w:val="20"/>
              </w:rPr>
            </w:pPr>
            <w:r w:rsidRPr="00452D55">
              <w:rPr>
                <w:rFonts w:eastAsia="Times New Roman"/>
                <w:i/>
                <w:iCs/>
                <w:color w:val="000000"/>
                <w:sz w:val="20"/>
                <w:szCs w:val="20"/>
              </w:rPr>
              <w:t>df</w:t>
            </w:r>
          </w:p>
        </w:tc>
        <w:tc>
          <w:tcPr>
            <w:tcW w:w="1596" w:type="dxa"/>
            <w:shd w:val="clear" w:color="auto" w:fill="auto"/>
          </w:tcPr>
          <w:p w:rsidR="00373E66" w:rsidRPr="00452D55" w:rsidRDefault="00373E66" w:rsidP="00452D55">
            <w:pPr>
              <w:widowControl w:val="0"/>
              <w:autoSpaceDE w:val="0"/>
              <w:autoSpaceDN w:val="0"/>
              <w:adjustRightInd w:val="0"/>
              <w:jc w:val="both"/>
              <w:rPr>
                <w:rFonts w:eastAsia="Times New Roman"/>
                <w:sz w:val="20"/>
                <w:szCs w:val="20"/>
              </w:rPr>
            </w:pPr>
            <w:r w:rsidRPr="00452D55">
              <w:rPr>
                <w:rFonts w:eastAsia="Times New Roman"/>
                <w:color w:val="000000"/>
                <w:sz w:val="20"/>
                <w:szCs w:val="20"/>
              </w:rPr>
              <w:t>Mean Square</w:t>
            </w:r>
          </w:p>
        </w:tc>
        <w:tc>
          <w:tcPr>
            <w:tcW w:w="1596" w:type="dxa"/>
            <w:shd w:val="clear" w:color="auto" w:fill="auto"/>
          </w:tcPr>
          <w:p w:rsidR="00373E66" w:rsidRPr="00452D55" w:rsidRDefault="00373E66" w:rsidP="00452D55">
            <w:pPr>
              <w:widowControl w:val="0"/>
              <w:autoSpaceDE w:val="0"/>
              <w:autoSpaceDN w:val="0"/>
              <w:adjustRightInd w:val="0"/>
              <w:jc w:val="both"/>
              <w:rPr>
                <w:rFonts w:eastAsia="Times New Roman"/>
                <w:sz w:val="20"/>
                <w:szCs w:val="20"/>
              </w:rPr>
            </w:pPr>
            <w:r w:rsidRPr="00452D55">
              <w:rPr>
                <w:rFonts w:eastAsia="Times New Roman"/>
                <w:color w:val="000000"/>
                <w:sz w:val="20"/>
                <w:szCs w:val="20"/>
              </w:rPr>
              <w:t>F</w:t>
            </w:r>
          </w:p>
        </w:tc>
        <w:tc>
          <w:tcPr>
            <w:tcW w:w="1596" w:type="dxa"/>
            <w:shd w:val="clear" w:color="auto" w:fill="auto"/>
            <w:vAlign w:val="bottom"/>
          </w:tcPr>
          <w:p w:rsidR="00373E66" w:rsidRPr="00452D55" w:rsidRDefault="00373E66" w:rsidP="00452D55">
            <w:pPr>
              <w:widowControl w:val="0"/>
              <w:autoSpaceDE w:val="0"/>
              <w:autoSpaceDN w:val="0"/>
              <w:adjustRightInd w:val="0"/>
              <w:jc w:val="center"/>
              <w:rPr>
                <w:rFonts w:eastAsia="Times New Roman"/>
                <w:color w:val="000000"/>
                <w:sz w:val="20"/>
                <w:szCs w:val="20"/>
              </w:rPr>
            </w:pPr>
            <w:r w:rsidRPr="00452D55">
              <w:rPr>
                <w:rFonts w:eastAsia="Times New Roman"/>
                <w:color w:val="000000"/>
                <w:sz w:val="20"/>
                <w:szCs w:val="20"/>
              </w:rPr>
              <w:t>Sig.</w:t>
            </w:r>
          </w:p>
        </w:tc>
      </w:tr>
      <w:tr w:rsidR="00452D55" w:rsidRPr="00452D55" w:rsidTr="00452D55">
        <w:tc>
          <w:tcPr>
            <w:tcW w:w="1596" w:type="dxa"/>
            <w:shd w:val="clear" w:color="auto" w:fill="auto"/>
          </w:tcPr>
          <w:p w:rsidR="00373E66" w:rsidRPr="00452D55" w:rsidRDefault="00373E66" w:rsidP="00452D55">
            <w:pPr>
              <w:widowControl w:val="0"/>
              <w:autoSpaceDE w:val="0"/>
              <w:autoSpaceDN w:val="0"/>
              <w:adjustRightInd w:val="0"/>
              <w:jc w:val="both"/>
              <w:rPr>
                <w:rFonts w:eastAsia="Times New Roman"/>
                <w:sz w:val="20"/>
                <w:szCs w:val="20"/>
              </w:rPr>
            </w:pPr>
            <w:r w:rsidRPr="00452D55">
              <w:rPr>
                <w:rFonts w:eastAsia="Times New Roman"/>
                <w:sz w:val="20"/>
                <w:szCs w:val="20"/>
              </w:rPr>
              <w:t>Between Groups</w:t>
            </w:r>
          </w:p>
          <w:p w:rsidR="00373E66" w:rsidRPr="00452D55" w:rsidRDefault="00373E66" w:rsidP="00452D55">
            <w:pPr>
              <w:widowControl w:val="0"/>
              <w:autoSpaceDE w:val="0"/>
              <w:autoSpaceDN w:val="0"/>
              <w:adjustRightInd w:val="0"/>
              <w:jc w:val="both"/>
              <w:rPr>
                <w:rFonts w:eastAsia="Times New Roman"/>
                <w:sz w:val="20"/>
                <w:szCs w:val="20"/>
              </w:rPr>
            </w:pPr>
            <w:r w:rsidRPr="00452D55">
              <w:rPr>
                <w:rFonts w:eastAsia="Times New Roman"/>
                <w:sz w:val="20"/>
                <w:szCs w:val="20"/>
              </w:rPr>
              <w:t>Within Groups</w:t>
            </w:r>
          </w:p>
          <w:p w:rsidR="00373E66" w:rsidRPr="00452D55" w:rsidRDefault="00373E66" w:rsidP="00452D55">
            <w:pPr>
              <w:widowControl w:val="0"/>
              <w:autoSpaceDE w:val="0"/>
              <w:autoSpaceDN w:val="0"/>
              <w:adjustRightInd w:val="0"/>
              <w:jc w:val="both"/>
              <w:rPr>
                <w:rFonts w:eastAsia="Times New Roman"/>
                <w:sz w:val="20"/>
                <w:szCs w:val="20"/>
              </w:rPr>
            </w:pPr>
            <w:r w:rsidRPr="00452D55">
              <w:rPr>
                <w:rFonts w:eastAsia="Times New Roman"/>
                <w:sz w:val="20"/>
                <w:szCs w:val="20"/>
              </w:rPr>
              <w:t>Total</w:t>
            </w:r>
          </w:p>
        </w:tc>
        <w:tc>
          <w:tcPr>
            <w:tcW w:w="1596" w:type="dxa"/>
            <w:shd w:val="clear" w:color="auto" w:fill="auto"/>
          </w:tcPr>
          <w:p w:rsidR="00373E66" w:rsidRPr="00452D55" w:rsidRDefault="00373E66" w:rsidP="00452D55">
            <w:pPr>
              <w:widowControl w:val="0"/>
              <w:autoSpaceDE w:val="0"/>
              <w:autoSpaceDN w:val="0"/>
              <w:adjustRightInd w:val="0"/>
              <w:jc w:val="center"/>
              <w:rPr>
                <w:rFonts w:eastAsia="Times New Roman"/>
                <w:sz w:val="20"/>
                <w:szCs w:val="20"/>
              </w:rPr>
            </w:pPr>
            <w:r w:rsidRPr="00452D55">
              <w:rPr>
                <w:rFonts w:eastAsia="Times New Roman"/>
                <w:sz w:val="20"/>
                <w:szCs w:val="20"/>
              </w:rPr>
              <w:t>16244.701</w:t>
            </w:r>
          </w:p>
          <w:p w:rsidR="00373E66" w:rsidRPr="00452D55" w:rsidRDefault="00373E66" w:rsidP="00452D55">
            <w:pPr>
              <w:widowControl w:val="0"/>
              <w:autoSpaceDE w:val="0"/>
              <w:autoSpaceDN w:val="0"/>
              <w:adjustRightInd w:val="0"/>
              <w:jc w:val="center"/>
              <w:rPr>
                <w:rFonts w:eastAsia="Times New Roman"/>
                <w:sz w:val="20"/>
                <w:szCs w:val="20"/>
              </w:rPr>
            </w:pPr>
            <w:r w:rsidRPr="00452D55">
              <w:rPr>
                <w:rFonts w:eastAsia="Times New Roman"/>
                <w:sz w:val="20"/>
                <w:szCs w:val="20"/>
              </w:rPr>
              <w:t>446110.511</w:t>
            </w:r>
          </w:p>
          <w:p w:rsidR="00373E66" w:rsidRPr="00452D55" w:rsidRDefault="00373E66" w:rsidP="00452D55">
            <w:pPr>
              <w:widowControl w:val="0"/>
              <w:autoSpaceDE w:val="0"/>
              <w:autoSpaceDN w:val="0"/>
              <w:adjustRightInd w:val="0"/>
              <w:jc w:val="center"/>
              <w:rPr>
                <w:rFonts w:eastAsia="Times New Roman"/>
                <w:sz w:val="20"/>
                <w:szCs w:val="20"/>
              </w:rPr>
            </w:pPr>
            <w:r w:rsidRPr="00452D55">
              <w:rPr>
                <w:rFonts w:eastAsia="Times New Roman"/>
                <w:sz w:val="20"/>
                <w:szCs w:val="20"/>
              </w:rPr>
              <w:t>462355.211</w:t>
            </w:r>
          </w:p>
        </w:tc>
        <w:tc>
          <w:tcPr>
            <w:tcW w:w="1596" w:type="dxa"/>
            <w:shd w:val="clear" w:color="auto" w:fill="auto"/>
          </w:tcPr>
          <w:p w:rsidR="00373E66" w:rsidRPr="00452D55" w:rsidRDefault="00373E66" w:rsidP="00452D55">
            <w:pPr>
              <w:widowControl w:val="0"/>
              <w:autoSpaceDE w:val="0"/>
              <w:autoSpaceDN w:val="0"/>
              <w:adjustRightInd w:val="0"/>
              <w:jc w:val="both"/>
              <w:rPr>
                <w:rFonts w:eastAsia="Times New Roman"/>
                <w:sz w:val="20"/>
                <w:szCs w:val="20"/>
              </w:rPr>
            </w:pPr>
            <w:r w:rsidRPr="00452D55">
              <w:rPr>
                <w:rFonts w:eastAsia="Times New Roman"/>
                <w:sz w:val="20"/>
                <w:szCs w:val="20"/>
              </w:rPr>
              <w:t>5</w:t>
            </w:r>
          </w:p>
          <w:p w:rsidR="00373E66" w:rsidRPr="00452D55" w:rsidRDefault="00373E66" w:rsidP="00452D55">
            <w:pPr>
              <w:widowControl w:val="0"/>
              <w:autoSpaceDE w:val="0"/>
              <w:autoSpaceDN w:val="0"/>
              <w:adjustRightInd w:val="0"/>
              <w:jc w:val="both"/>
              <w:rPr>
                <w:rFonts w:eastAsia="Times New Roman"/>
                <w:sz w:val="20"/>
                <w:szCs w:val="20"/>
              </w:rPr>
            </w:pPr>
            <w:r w:rsidRPr="00452D55">
              <w:rPr>
                <w:rFonts w:eastAsia="Times New Roman"/>
                <w:sz w:val="20"/>
                <w:szCs w:val="20"/>
              </w:rPr>
              <w:t>9035</w:t>
            </w:r>
          </w:p>
          <w:p w:rsidR="00373E66" w:rsidRPr="00452D55" w:rsidRDefault="00373E66" w:rsidP="00452D55">
            <w:pPr>
              <w:widowControl w:val="0"/>
              <w:autoSpaceDE w:val="0"/>
              <w:autoSpaceDN w:val="0"/>
              <w:adjustRightInd w:val="0"/>
              <w:jc w:val="both"/>
              <w:rPr>
                <w:rFonts w:eastAsia="Times New Roman"/>
                <w:sz w:val="20"/>
                <w:szCs w:val="20"/>
              </w:rPr>
            </w:pPr>
            <w:r w:rsidRPr="00452D55">
              <w:rPr>
                <w:rFonts w:eastAsia="Times New Roman"/>
                <w:sz w:val="20"/>
                <w:szCs w:val="20"/>
              </w:rPr>
              <w:t>9040</w:t>
            </w:r>
          </w:p>
        </w:tc>
        <w:tc>
          <w:tcPr>
            <w:tcW w:w="1596" w:type="dxa"/>
            <w:shd w:val="clear" w:color="auto" w:fill="auto"/>
          </w:tcPr>
          <w:p w:rsidR="00373E66" w:rsidRPr="00452D55" w:rsidRDefault="00373E66" w:rsidP="00452D55">
            <w:pPr>
              <w:widowControl w:val="0"/>
              <w:autoSpaceDE w:val="0"/>
              <w:autoSpaceDN w:val="0"/>
              <w:adjustRightInd w:val="0"/>
              <w:jc w:val="both"/>
              <w:rPr>
                <w:rFonts w:eastAsia="Times New Roman"/>
                <w:sz w:val="20"/>
                <w:szCs w:val="20"/>
              </w:rPr>
            </w:pPr>
            <w:r w:rsidRPr="00452D55">
              <w:rPr>
                <w:rFonts w:eastAsia="Times New Roman"/>
                <w:sz w:val="20"/>
                <w:szCs w:val="20"/>
              </w:rPr>
              <w:t>3248.940</w:t>
            </w:r>
          </w:p>
          <w:p w:rsidR="00373E66" w:rsidRPr="00452D55" w:rsidRDefault="00373E66" w:rsidP="00452D55">
            <w:pPr>
              <w:widowControl w:val="0"/>
              <w:autoSpaceDE w:val="0"/>
              <w:autoSpaceDN w:val="0"/>
              <w:adjustRightInd w:val="0"/>
              <w:jc w:val="both"/>
              <w:rPr>
                <w:rFonts w:eastAsia="Times New Roman"/>
                <w:sz w:val="20"/>
                <w:szCs w:val="20"/>
              </w:rPr>
            </w:pPr>
            <w:r w:rsidRPr="00452D55">
              <w:rPr>
                <w:rFonts w:eastAsia="Times New Roman"/>
                <w:sz w:val="20"/>
                <w:szCs w:val="20"/>
              </w:rPr>
              <w:t>49.376</w:t>
            </w:r>
          </w:p>
        </w:tc>
        <w:tc>
          <w:tcPr>
            <w:tcW w:w="1596" w:type="dxa"/>
            <w:shd w:val="clear" w:color="auto" w:fill="auto"/>
          </w:tcPr>
          <w:p w:rsidR="00373E66" w:rsidRPr="00452D55" w:rsidRDefault="00373E66" w:rsidP="00452D55">
            <w:pPr>
              <w:widowControl w:val="0"/>
              <w:autoSpaceDE w:val="0"/>
              <w:autoSpaceDN w:val="0"/>
              <w:adjustRightInd w:val="0"/>
              <w:jc w:val="both"/>
              <w:rPr>
                <w:rFonts w:eastAsia="Times New Roman"/>
                <w:sz w:val="20"/>
                <w:szCs w:val="20"/>
              </w:rPr>
            </w:pPr>
            <w:r w:rsidRPr="00452D55">
              <w:rPr>
                <w:rFonts w:eastAsia="Times New Roman"/>
                <w:color w:val="000000"/>
                <w:sz w:val="20"/>
                <w:szCs w:val="20"/>
              </w:rPr>
              <w:t>65.800</w:t>
            </w:r>
          </w:p>
        </w:tc>
        <w:tc>
          <w:tcPr>
            <w:tcW w:w="1596" w:type="dxa"/>
            <w:shd w:val="clear" w:color="auto" w:fill="auto"/>
          </w:tcPr>
          <w:p w:rsidR="00373E66" w:rsidRPr="00452D55" w:rsidRDefault="00373E66" w:rsidP="00452D55">
            <w:pPr>
              <w:widowControl w:val="0"/>
              <w:autoSpaceDE w:val="0"/>
              <w:autoSpaceDN w:val="0"/>
              <w:adjustRightInd w:val="0"/>
              <w:jc w:val="both"/>
              <w:rPr>
                <w:rFonts w:eastAsia="Times New Roman"/>
                <w:sz w:val="20"/>
                <w:szCs w:val="20"/>
              </w:rPr>
            </w:pPr>
            <w:r w:rsidRPr="00452D55">
              <w:rPr>
                <w:rFonts w:eastAsia="Times New Roman"/>
                <w:sz w:val="20"/>
                <w:szCs w:val="20"/>
              </w:rPr>
              <w:t>0.000</w:t>
            </w:r>
          </w:p>
        </w:tc>
      </w:tr>
    </w:tbl>
    <w:p w:rsidR="00373E66" w:rsidRPr="00452D55" w:rsidRDefault="00373E66" w:rsidP="00373E66">
      <w:pPr>
        <w:widowControl w:val="0"/>
        <w:autoSpaceDE w:val="0"/>
        <w:autoSpaceDN w:val="0"/>
        <w:adjustRightInd w:val="0"/>
        <w:ind w:firstLine="720"/>
        <w:jc w:val="center"/>
        <w:rPr>
          <w:rFonts w:eastAsia="Times New Roman"/>
          <w:b/>
          <w:i/>
          <w:iCs/>
          <w:sz w:val="20"/>
          <w:szCs w:val="20"/>
        </w:rPr>
        <w:sectPr w:rsidR="00373E66" w:rsidRPr="00452D55" w:rsidSect="00373E66">
          <w:footnotePr>
            <w:pos w:val="beneathText"/>
          </w:footnotePr>
          <w:type w:val="continuous"/>
          <w:pgSz w:w="12240" w:h="15840" w:code="1"/>
          <w:pgMar w:top="1440" w:right="1440" w:bottom="1440" w:left="1440" w:header="720" w:footer="720" w:gutter="0"/>
          <w:cols w:space="720"/>
          <w:docGrid w:linePitch="360"/>
        </w:sectPr>
      </w:pPr>
      <w:r w:rsidRPr="00452D55">
        <w:rPr>
          <w:rFonts w:eastAsia="Times New Roman"/>
          <w:i/>
          <w:iCs/>
          <w:sz w:val="20"/>
          <w:szCs w:val="20"/>
        </w:rPr>
        <w:lastRenderedPageBreak/>
        <w:t>Table 2 - The result of ANOVA test for night LST</w:t>
      </w:r>
    </w:p>
    <w:p w:rsidR="00373E66" w:rsidRPr="00452D55" w:rsidRDefault="00373E66" w:rsidP="00373E66">
      <w:pPr>
        <w:widowControl w:val="0"/>
        <w:autoSpaceDE w:val="0"/>
        <w:autoSpaceDN w:val="0"/>
        <w:adjustRightInd w:val="0"/>
        <w:jc w:val="both"/>
        <w:rPr>
          <w:rFonts w:eastAsia="Times New Roman"/>
          <w:sz w:val="20"/>
          <w:szCs w:val="20"/>
        </w:rPr>
      </w:pPr>
    </w:p>
    <w:p w:rsidR="00373E66" w:rsidRPr="00452D55" w:rsidRDefault="00373E66" w:rsidP="0023594E">
      <w:pPr>
        <w:widowControl w:val="0"/>
        <w:autoSpaceDE w:val="0"/>
        <w:autoSpaceDN w:val="0"/>
        <w:adjustRightInd w:val="0"/>
        <w:ind w:firstLine="720"/>
        <w:jc w:val="both"/>
        <w:rPr>
          <w:rFonts w:eastAsia="Times New Roman"/>
          <w:sz w:val="20"/>
          <w:szCs w:val="20"/>
        </w:rPr>
      </w:pPr>
    </w:p>
    <w:p w:rsidR="00373E66" w:rsidRPr="00452D55" w:rsidRDefault="00373E66" w:rsidP="0023594E">
      <w:pPr>
        <w:widowControl w:val="0"/>
        <w:autoSpaceDE w:val="0"/>
        <w:autoSpaceDN w:val="0"/>
        <w:adjustRightInd w:val="0"/>
        <w:ind w:firstLine="720"/>
        <w:jc w:val="both"/>
        <w:rPr>
          <w:rFonts w:eastAsia="Times New Roman"/>
          <w:sz w:val="20"/>
          <w:szCs w:val="20"/>
        </w:rPr>
        <w:sectPr w:rsidR="00373E66" w:rsidRPr="00452D55" w:rsidSect="00373E66">
          <w:footnotePr>
            <w:pos w:val="beneathText"/>
          </w:footnotePr>
          <w:type w:val="continuous"/>
          <w:pgSz w:w="12240" w:h="15840" w:code="1"/>
          <w:pgMar w:top="1440" w:right="1440" w:bottom="1440" w:left="1440" w:header="720" w:footer="720" w:gutter="0"/>
          <w:cols w:space="720"/>
          <w:docGrid w:linePitch="360"/>
        </w:sectPr>
      </w:pPr>
    </w:p>
    <w:p w:rsidR="0023594E" w:rsidRPr="00452D55" w:rsidRDefault="0023594E" w:rsidP="0023594E">
      <w:pPr>
        <w:widowControl w:val="0"/>
        <w:autoSpaceDE w:val="0"/>
        <w:autoSpaceDN w:val="0"/>
        <w:adjustRightInd w:val="0"/>
        <w:ind w:firstLine="720"/>
        <w:jc w:val="both"/>
        <w:rPr>
          <w:rFonts w:eastAsia="Times New Roman"/>
          <w:sz w:val="20"/>
          <w:szCs w:val="20"/>
        </w:rPr>
        <w:sectPr w:rsidR="0023594E" w:rsidRPr="00452D55" w:rsidSect="00373E66">
          <w:footnotePr>
            <w:pos w:val="beneathText"/>
          </w:footnotePr>
          <w:type w:val="continuous"/>
          <w:pgSz w:w="12240" w:h="15840" w:code="1"/>
          <w:pgMar w:top="1440" w:right="1440" w:bottom="1440" w:left="1440" w:header="720" w:footer="720" w:gutter="0"/>
          <w:cols w:num="2" w:space="720"/>
          <w:docGrid w:linePitch="360"/>
        </w:sectPr>
      </w:pPr>
      <w:r w:rsidRPr="00452D55">
        <w:rPr>
          <w:rFonts w:eastAsia="Times New Roman"/>
          <w:sz w:val="20"/>
          <w:szCs w:val="20"/>
        </w:rPr>
        <w:lastRenderedPageBreak/>
        <w:t xml:space="preserve">As discussed above, null hypothesis is rejected. Clearly there is a difference among the groups. Additional analysis, called post hoc tests, is done to determine where the differences lie. Fig. 1 </w:t>
      </w:r>
      <w:r w:rsidRPr="00452D55">
        <w:rPr>
          <w:rFonts w:eastAsia="Times New Roman"/>
          <w:sz w:val="20"/>
          <w:szCs w:val="20"/>
        </w:rPr>
        <w:lastRenderedPageBreak/>
        <w:t>shows the mean value of forest and open agriculture is very similar. Greenhouse farming and recreational area also show similarities in mean value.</w:t>
      </w:r>
    </w:p>
    <w:p w:rsidR="00373E66" w:rsidRPr="00452D55" w:rsidRDefault="00373E66" w:rsidP="0023594E">
      <w:pPr>
        <w:widowControl w:val="0"/>
        <w:autoSpaceDE w:val="0"/>
        <w:autoSpaceDN w:val="0"/>
        <w:adjustRightInd w:val="0"/>
        <w:jc w:val="both"/>
        <w:rPr>
          <w:rFonts w:eastAsia="Times New Roman"/>
          <w:sz w:val="20"/>
          <w:szCs w:val="20"/>
        </w:rPr>
        <w:sectPr w:rsidR="00373E66" w:rsidRPr="00452D55" w:rsidSect="00F91BA1">
          <w:footnotePr>
            <w:pos w:val="beneathText"/>
          </w:footnotePr>
          <w:type w:val="continuous"/>
          <w:pgSz w:w="12240" w:h="15840" w:code="1"/>
          <w:pgMar w:top="1440" w:right="1440" w:bottom="1440" w:left="1440" w:header="720" w:footer="720" w:gutter="0"/>
          <w:cols w:space="720"/>
          <w:docGrid w:linePitch="360"/>
        </w:sectPr>
      </w:pPr>
    </w:p>
    <w:p w:rsidR="0023594E" w:rsidRPr="00452D55" w:rsidRDefault="0023594E" w:rsidP="0023594E">
      <w:pPr>
        <w:widowControl w:val="0"/>
        <w:autoSpaceDE w:val="0"/>
        <w:autoSpaceDN w:val="0"/>
        <w:adjustRightInd w:val="0"/>
        <w:jc w:val="both"/>
        <w:rPr>
          <w:rFonts w:eastAsia="Times New Roman"/>
          <w:sz w:val="20"/>
          <w:szCs w:val="20"/>
        </w:rPr>
      </w:pPr>
      <w:r w:rsidRPr="00452D55">
        <w:rPr>
          <w:rFonts w:eastAsia="Times New Roman"/>
          <w:sz w:val="20"/>
          <w:szCs w:val="20"/>
        </w:rPr>
        <w:lastRenderedPageBreak/>
        <w:t xml:space="preserve">  </w:t>
      </w:r>
    </w:p>
    <w:p w:rsidR="0023594E" w:rsidRPr="00452D55" w:rsidRDefault="00F603E8" w:rsidP="0023594E">
      <w:pPr>
        <w:keepNext/>
        <w:widowControl w:val="0"/>
        <w:tabs>
          <w:tab w:val="left" w:pos="232"/>
          <w:tab w:val="center" w:pos="4680"/>
        </w:tabs>
        <w:autoSpaceDE w:val="0"/>
        <w:autoSpaceDN w:val="0"/>
        <w:adjustRightInd w:val="0"/>
        <w:jc w:val="center"/>
        <w:rPr>
          <w:sz w:val="20"/>
          <w:szCs w:val="20"/>
        </w:rPr>
      </w:pPr>
      <w:r>
        <w:rPr>
          <w:rFonts w:eastAsia="Times New Roman"/>
          <w:noProof/>
          <w:color w:val="000000"/>
          <w:sz w:val="20"/>
          <w:szCs w:val="20"/>
          <w:lang w:eastAsia="zh-CN"/>
        </w:rPr>
        <w:drawing>
          <wp:inline distT="0" distB="0" distL="0" distR="0">
            <wp:extent cx="4703201" cy="2761288"/>
            <wp:effectExtent l="6091" t="5786" r="5583" b="4701"/>
            <wp:docPr id="1" name="Chart 1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594E" w:rsidRPr="00452D55" w:rsidRDefault="0023594E" w:rsidP="0023594E">
      <w:pPr>
        <w:pStyle w:val="Caption"/>
        <w:jc w:val="center"/>
        <w:rPr>
          <w:b/>
          <w:color w:val="0D0D0D"/>
          <w:sz w:val="20"/>
          <w:szCs w:val="20"/>
        </w:rPr>
      </w:pPr>
      <w:bookmarkStart w:id="19" w:name="_Toc357713738"/>
      <w:r w:rsidRPr="00452D55">
        <w:rPr>
          <w:color w:val="0D0D0D"/>
          <w:sz w:val="20"/>
          <w:szCs w:val="20"/>
        </w:rPr>
        <w:t xml:space="preserve">Figure </w:t>
      </w:r>
      <w:r w:rsidR="0075253B" w:rsidRPr="00452D55">
        <w:rPr>
          <w:b/>
          <w:color w:val="0D0D0D"/>
          <w:sz w:val="20"/>
          <w:szCs w:val="20"/>
        </w:rPr>
        <w:fldChar w:fldCharType="begin"/>
      </w:r>
      <w:r w:rsidRPr="00452D55">
        <w:rPr>
          <w:color w:val="0D0D0D"/>
          <w:sz w:val="20"/>
          <w:szCs w:val="20"/>
        </w:rPr>
        <w:instrText xml:space="preserve"> SEQ Figure \* ARABIC </w:instrText>
      </w:r>
      <w:r w:rsidR="0075253B" w:rsidRPr="00452D55">
        <w:rPr>
          <w:b/>
          <w:color w:val="0D0D0D"/>
          <w:sz w:val="20"/>
          <w:szCs w:val="20"/>
        </w:rPr>
        <w:fldChar w:fldCharType="separate"/>
      </w:r>
      <w:r w:rsidR="00E97435">
        <w:rPr>
          <w:noProof/>
          <w:color w:val="0D0D0D"/>
          <w:sz w:val="20"/>
          <w:szCs w:val="20"/>
        </w:rPr>
        <w:t>1</w:t>
      </w:r>
      <w:r w:rsidR="0075253B" w:rsidRPr="00452D55">
        <w:rPr>
          <w:b/>
          <w:color w:val="0D0D0D"/>
          <w:sz w:val="20"/>
          <w:szCs w:val="20"/>
        </w:rPr>
        <w:fldChar w:fldCharType="end"/>
      </w:r>
      <w:r w:rsidRPr="00452D55">
        <w:rPr>
          <w:color w:val="0D0D0D"/>
          <w:sz w:val="20"/>
          <w:szCs w:val="20"/>
        </w:rPr>
        <w:t xml:space="preserve"> - Night LST arithmetic mean for different land uses</w:t>
      </w:r>
      <w:bookmarkEnd w:id="19"/>
    </w:p>
    <w:p w:rsidR="0023594E" w:rsidRPr="00452D55" w:rsidRDefault="0023594E" w:rsidP="0023594E">
      <w:pPr>
        <w:widowControl w:val="0"/>
        <w:autoSpaceDE w:val="0"/>
        <w:autoSpaceDN w:val="0"/>
        <w:adjustRightInd w:val="0"/>
        <w:jc w:val="both"/>
        <w:rPr>
          <w:rFonts w:eastAsia="Times New Roman"/>
          <w:sz w:val="20"/>
          <w:szCs w:val="20"/>
        </w:rPr>
      </w:pPr>
    </w:p>
    <w:p w:rsidR="0023594E" w:rsidRPr="00452D55" w:rsidRDefault="0023594E" w:rsidP="0023594E">
      <w:pPr>
        <w:widowControl w:val="0"/>
        <w:autoSpaceDE w:val="0"/>
        <w:autoSpaceDN w:val="0"/>
        <w:adjustRightInd w:val="0"/>
        <w:jc w:val="both"/>
        <w:rPr>
          <w:rFonts w:eastAsia="Times New Roman"/>
          <w:sz w:val="20"/>
          <w:szCs w:val="20"/>
        </w:rPr>
        <w:sectPr w:rsidR="0023594E" w:rsidRPr="00452D55" w:rsidSect="00F91BA1">
          <w:footnotePr>
            <w:pos w:val="beneathText"/>
          </w:footnotePr>
          <w:type w:val="continuous"/>
          <w:pgSz w:w="12240" w:h="15840" w:code="1"/>
          <w:pgMar w:top="1440" w:right="1440" w:bottom="1440" w:left="1440" w:header="720" w:footer="720" w:gutter="0"/>
          <w:cols w:space="720"/>
          <w:docGrid w:linePitch="360"/>
        </w:sectPr>
      </w:pPr>
    </w:p>
    <w:p w:rsidR="0023594E" w:rsidRPr="00452D55" w:rsidRDefault="0023594E" w:rsidP="0023594E">
      <w:pPr>
        <w:widowControl w:val="0"/>
        <w:autoSpaceDE w:val="0"/>
        <w:autoSpaceDN w:val="0"/>
        <w:adjustRightInd w:val="0"/>
        <w:ind w:firstLine="720"/>
        <w:jc w:val="both"/>
        <w:rPr>
          <w:rFonts w:eastAsia="Times New Roman"/>
          <w:sz w:val="20"/>
          <w:szCs w:val="20"/>
        </w:rPr>
      </w:pPr>
      <w:r w:rsidRPr="00452D55">
        <w:rPr>
          <w:rFonts w:eastAsia="Times New Roman"/>
          <w:sz w:val="20"/>
          <w:szCs w:val="20"/>
        </w:rPr>
        <w:lastRenderedPageBreak/>
        <w:t xml:space="preserve">To capture statistically significant differences between the mean values of land use groups, Bonferroni analysis is applied. The result of Bonferroni test shows that open agriculture group is significantly different from build-up area and inland waterway and offshore area groups at the 0.01 level. While there is no statistically prove to consider open agriculture, recreational area, greenhouse farming and forest as different groups. Build up area is statistically significant (P = 0.01) from all other land use groups. Recreation area group is different from build-up are and Inland waterway and offshore area groups at significance level of the 0.05. It´s mean is considered significantly different from forest (P = 0.05). Green house farming is significantly different from build-up are, inland waterway and offshore area and forest groups. Forest is a separate group from build-up area, inland waterway and offshore area and greenhouse farming at the 0.01 significance level. Forest group also differs from recreational area (P = 0.05). Inland waterway and offshore area is </w:t>
      </w:r>
      <w:r w:rsidRPr="00452D55">
        <w:rPr>
          <w:rFonts w:eastAsia="Times New Roman"/>
          <w:sz w:val="20"/>
          <w:szCs w:val="20"/>
        </w:rPr>
        <w:lastRenderedPageBreak/>
        <w:t xml:space="preserve">significantly different from all other groups at the 0.01 level. In summary, build-up and Inland waterway and offshore area are considered as separate groups. </w:t>
      </w:r>
    </w:p>
    <w:p w:rsidR="0023594E" w:rsidRPr="00452D55" w:rsidRDefault="0023594E" w:rsidP="0023594E">
      <w:pPr>
        <w:pStyle w:val="Caption"/>
        <w:jc w:val="center"/>
        <w:rPr>
          <w:b/>
          <w:color w:val="0D0D0D"/>
          <w:sz w:val="20"/>
          <w:szCs w:val="20"/>
        </w:rPr>
      </w:pPr>
    </w:p>
    <w:p w:rsidR="0023594E" w:rsidRPr="00452D55" w:rsidRDefault="0023594E" w:rsidP="0023594E">
      <w:pPr>
        <w:jc w:val="both"/>
        <w:outlineLvl w:val="2"/>
        <w:rPr>
          <w:b/>
          <w:sz w:val="20"/>
          <w:szCs w:val="20"/>
        </w:rPr>
      </w:pPr>
      <w:bookmarkStart w:id="20" w:name="_Toc357713710"/>
      <w:r w:rsidRPr="00452D55">
        <w:rPr>
          <w:b/>
          <w:sz w:val="20"/>
          <w:szCs w:val="20"/>
        </w:rPr>
        <w:t>ANOVA test for day time LST</w:t>
      </w:r>
      <w:bookmarkEnd w:id="20"/>
    </w:p>
    <w:p w:rsidR="0023594E" w:rsidRPr="00452D55" w:rsidRDefault="0023594E" w:rsidP="0023594E">
      <w:pPr>
        <w:widowControl w:val="0"/>
        <w:autoSpaceDE w:val="0"/>
        <w:autoSpaceDN w:val="0"/>
        <w:adjustRightInd w:val="0"/>
        <w:ind w:firstLine="720"/>
        <w:jc w:val="both"/>
        <w:rPr>
          <w:rFonts w:eastAsia="Times New Roman"/>
          <w:sz w:val="20"/>
          <w:szCs w:val="20"/>
        </w:rPr>
      </w:pPr>
      <w:r w:rsidRPr="00452D55">
        <w:rPr>
          <w:rFonts w:eastAsia="Times New Roman"/>
          <w:sz w:val="20"/>
          <w:szCs w:val="20"/>
        </w:rPr>
        <w:t xml:space="preserve">Tab. 3 shows the descriptive results of analyzing 27 homogeneous land use MODIS LST pixels. Build-up area has the largest day LST. Inland waterway and offshore area has the least day LST. It is because of high heat capacity of water. As Tab. 3 indicates, water has the minimum day LST mean. Water can be considered as a cooler land use during the day. As discussed from night ANOVA analysis, water has the largest night LST among all land use types. Build-up area has the largest day LST. The findings of the current study are consistent with those of Weng et al., (2004) who found that commercial and industrial land had the highest temperature followed by residential land; the lowest temperature </w:t>
      </w:r>
      <w:r w:rsidRPr="00452D55">
        <w:rPr>
          <w:rFonts w:eastAsia="Times New Roman"/>
          <w:sz w:val="20"/>
          <w:szCs w:val="20"/>
        </w:rPr>
        <w:lastRenderedPageBreak/>
        <w:t>was observed in forest and then in water bodies. The present findings seem to be consistent with other research of Guo (2012) which found that built-up areas with paved roads and residential and factory buildings have significant higher surface temperatures than other land cover types. Based on their study, vegetation have the lowest surface temperatures.</w:t>
      </w:r>
    </w:p>
    <w:p w:rsidR="0023594E" w:rsidRPr="00452D55" w:rsidRDefault="0023594E" w:rsidP="0023594E">
      <w:pPr>
        <w:widowControl w:val="0"/>
        <w:autoSpaceDE w:val="0"/>
        <w:autoSpaceDN w:val="0"/>
        <w:adjustRightInd w:val="0"/>
        <w:jc w:val="both"/>
        <w:rPr>
          <w:rFonts w:eastAsia="Times New Roman"/>
          <w:sz w:val="20"/>
          <w:szCs w:val="20"/>
        </w:rPr>
      </w:pPr>
      <w:r w:rsidRPr="00452D55">
        <w:rPr>
          <w:rFonts w:eastAsia="Times New Roman"/>
          <w:sz w:val="20"/>
          <w:szCs w:val="20"/>
        </w:rPr>
        <w:t xml:space="preserve">Possible explanation for high mean LST of paving materials is that paving and building materials are mostly dark and have a large heat capacity in one hand and a low reflectivity on the other hand </w:t>
      </w:r>
      <w:r w:rsidRPr="00452D55">
        <w:rPr>
          <w:rFonts w:eastAsia="Times New Roman"/>
          <w:sz w:val="20"/>
          <w:szCs w:val="20"/>
        </w:rPr>
        <w:lastRenderedPageBreak/>
        <w:t>(Mallick, 2009). Moreover, natural land covers benefit from cooling effect of soil moisture, evaporation and transpiration.</w:t>
      </w:r>
    </w:p>
    <w:p w:rsidR="0023594E" w:rsidRPr="00452D55" w:rsidRDefault="0023594E" w:rsidP="0023594E">
      <w:pPr>
        <w:widowControl w:val="0"/>
        <w:autoSpaceDE w:val="0"/>
        <w:autoSpaceDN w:val="0"/>
        <w:adjustRightInd w:val="0"/>
        <w:ind w:firstLine="720"/>
        <w:jc w:val="both"/>
        <w:rPr>
          <w:rFonts w:eastAsia="Times New Roman"/>
          <w:sz w:val="20"/>
          <w:szCs w:val="20"/>
        </w:rPr>
        <w:sectPr w:rsidR="0023594E" w:rsidRPr="00452D55" w:rsidSect="00F91BA1">
          <w:footnotePr>
            <w:pos w:val="beneathText"/>
          </w:footnotePr>
          <w:type w:val="continuous"/>
          <w:pgSz w:w="12240" w:h="15840" w:code="1"/>
          <w:pgMar w:top="1440" w:right="1440" w:bottom="1440" w:left="1440" w:header="720" w:footer="720" w:gutter="0"/>
          <w:cols w:num="2" w:space="720"/>
          <w:docGrid w:linePitch="360"/>
        </w:sectPr>
      </w:pPr>
      <w:r w:rsidRPr="00452D55">
        <w:rPr>
          <w:rFonts w:eastAsia="Times New Roman"/>
          <w:sz w:val="20"/>
          <w:szCs w:val="20"/>
        </w:rPr>
        <w:t>Lowest day time LST in the current study is for green house land use. The reason is that greenhouse farming houses have highly reflective roofs. The variance value of LST has the largest amount for build-up area, indicating that these surfaces experience a wide variation in land surface temperature which could be because of different construction materials.</w:t>
      </w:r>
    </w:p>
    <w:p w:rsidR="0023594E" w:rsidRPr="00452D55" w:rsidRDefault="0023594E" w:rsidP="0023594E">
      <w:pPr>
        <w:widowControl w:val="0"/>
        <w:autoSpaceDE w:val="0"/>
        <w:autoSpaceDN w:val="0"/>
        <w:adjustRightInd w:val="0"/>
        <w:rPr>
          <w:rFonts w:eastAsia="Times New Roman"/>
          <w:sz w:val="20"/>
          <w:szCs w:val="20"/>
        </w:rPr>
      </w:pPr>
    </w:p>
    <w:p w:rsidR="0023594E" w:rsidRPr="00452D55" w:rsidRDefault="0023594E" w:rsidP="0023594E">
      <w:pPr>
        <w:pStyle w:val="Caption"/>
        <w:jc w:val="center"/>
        <w:rPr>
          <w:b/>
          <w:color w:val="0D0D0D"/>
          <w:sz w:val="20"/>
          <w:szCs w:val="20"/>
        </w:rPr>
      </w:pPr>
      <w:bookmarkStart w:id="21" w:name="_Toc357617258"/>
      <w:r w:rsidRPr="00452D55">
        <w:rPr>
          <w:color w:val="0D0D0D"/>
          <w:sz w:val="20"/>
          <w:szCs w:val="20"/>
        </w:rPr>
        <w:t>Table 3 - descriptive analysis of day LST values</w:t>
      </w:r>
      <w:bookmarkEnd w:id="21"/>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0"/>
        <w:gridCol w:w="960"/>
        <w:gridCol w:w="1053"/>
        <w:gridCol w:w="1200"/>
        <w:gridCol w:w="1053"/>
      </w:tblGrid>
      <w:tr w:rsidR="0023594E" w:rsidRPr="00452D55" w:rsidTr="00373E66">
        <w:trPr>
          <w:trHeight w:val="315"/>
          <w:jc w:val="center"/>
        </w:trPr>
        <w:tc>
          <w:tcPr>
            <w:tcW w:w="4660" w:type="dxa"/>
            <w:noWrap/>
            <w:vAlign w:val="bottom"/>
            <w:hideMark/>
          </w:tcPr>
          <w:p w:rsidR="0023594E" w:rsidRPr="00452D55" w:rsidRDefault="0023594E" w:rsidP="00F84972">
            <w:pPr>
              <w:rPr>
                <w:rFonts w:eastAsia="Times New Roman"/>
                <w:color w:val="000000"/>
                <w:sz w:val="20"/>
                <w:szCs w:val="20"/>
              </w:rPr>
            </w:pPr>
            <w:r w:rsidRPr="00452D55">
              <w:rPr>
                <w:rFonts w:eastAsia="Times New Roman"/>
                <w:color w:val="000000"/>
                <w:sz w:val="20"/>
                <w:szCs w:val="20"/>
              </w:rPr>
              <w:t>SUMMARY</w:t>
            </w:r>
          </w:p>
        </w:tc>
        <w:tc>
          <w:tcPr>
            <w:tcW w:w="960" w:type="dxa"/>
            <w:noWrap/>
            <w:vAlign w:val="bottom"/>
            <w:hideMark/>
          </w:tcPr>
          <w:p w:rsidR="0023594E" w:rsidRPr="00452D55" w:rsidRDefault="0023594E" w:rsidP="00F84972">
            <w:pPr>
              <w:rPr>
                <w:rFonts w:eastAsia="Times New Roman"/>
                <w:color w:val="000000"/>
                <w:sz w:val="20"/>
                <w:szCs w:val="20"/>
              </w:rPr>
            </w:pPr>
          </w:p>
        </w:tc>
        <w:tc>
          <w:tcPr>
            <w:tcW w:w="1053" w:type="dxa"/>
            <w:noWrap/>
            <w:vAlign w:val="bottom"/>
            <w:hideMark/>
          </w:tcPr>
          <w:p w:rsidR="0023594E" w:rsidRPr="00452D55" w:rsidRDefault="0023594E" w:rsidP="00F84972">
            <w:pPr>
              <w:rPr>
                <w:rFonts w:eastAsia="Times New Roman"/>
                <w:color w:val="000000"/>
                <w:sz w:val="20"/>
                <w:szCs w:val="20"/>
              </w:rPr>
            </w:pPr>
          </w:p>
        </w:tc>
        <w:tc>
          <w:tcPr>
            <w:tcW w:w="1200" w:type="dxa"/>
            <w:noWrap/>
            <w:vAlign w:val="bottom"/>
            <w:hideMark/>
          </w:tcPr>
          <w:p w:rsidR="0023594E" w:rsidRPr="00452D55" w:rsidRDefault="0023594E" w:rsidP="00F84972">
            <w:pPr>
              <w:rPr>
                <w:rFonts w:eastAsia="Times New Roman"/>
                <w:color w:val="000000"/>
                <w:sz w:val="20"/>
                <w:szCs w:val="20"/>
              </w:rPr>
            </w:pPr>
          </w:p>
        </w:tc>
        <w:tc>
          <w:tcPr>
            <w:tcW w:w="1053" w:type="dxa"/>
            <w:noWrap/>
            <w:vAlign w:val="bottom"/>
            <w:hideMark/>
          </w:tcPr>
          <w:p w:rsidR="0023594E" w:rsidRPr="00452D55" w:rsidRDefault="0023594E" w:rsidP="00F84972">
            <w:pPr>
              <w:rPr>
                <w:rFonts w:eastAsia="Times New Roman"/>
                <w:color w:val="000000"/>
                <w:sz w:val="20"/>
                <w:szCs w:val="20"/>
              </w:rPr>
            </w:pPr>
          </w:p>
        </w:tc>
      </w:tr>
      <w:tr w:rsidR="0023594E" w:rsidRPr="00452D55" w:rsidTr="00373E66">
        <w:trPr>
          <w:trHeight w:val="300"/>
          <w:jc w:val="center"/>
        </w:trPr>
        <w:tc>
          <w:tcPr>
            <w:tcW w:w="4660" w:type="dxa"/>
            <w:noWrap/>
            <w:vAlign w:val="bottom"/>
            <w:hideMark/>
          </w:tcPr>
          <w:p w:rsidR="0023594E" w:rsidRPr="00452D55" w:rsidRDefault="0023594E" w:rsidP="00F84972">
            <w:pPr>
              <w:rPr>
                <w:rFonts w:eastAsia="Times New Roman"/>
                <w:i/>
                <w:iCs/>
                <w:color w:val="000000"/>
                <w:sz w:val="20"/>
                <w:szCs w:val="20"/>
              </w:rPr>
            </w:pPr>
            <w:r w:rsidRPr="00452D55">
              <w:rPr>
                <w:rFonts w:eastAsia="Times New Roman"/>
                <w:i/>
                <w:iCs/>
                <w:color w:val="000000"/>
                <w:sz w:val="20"/>
                <w:szCs w:val="20"/>
              </w:rPr>
              <w:t>Groups</w:t>
            </w:r>
          </w:p>
        </w:tc>
        <w:tc>
          <w:tcPr>
            <w:tcW w:w="960" w:type="dxa"/>
            <w:noWrap/>
            <w:vAlign w:val="bottom"/>
            <w:hideMark/>
          </w:tcPr>
          <w:p w:rsidR="0023594E" w:rsidRPr="00452D55" w:rsidRDefault="0023594E" w:rsidP="00F84972">
            <w:pPr>
              <w:jc w:val="center"/>
              <w:rPr>
                <w:rFonts w:eastAsia="Times New Roman"/>
                <w:i/>
                <w:iCs/>
                <w:color w:val="000000"/>
                <w:sz w:val="20"/>
                <w:szCs w:val="20"/>
              </w:rPr>
            </w:pPr>
            <w:r w:rsidRPr="00452D55">
              <w:rPr>
                <w:rFonts w:eastAsia="Times New Roman"/>
                <w:i/>
                <w:iCs/>
                <w:color w:val="000000"/>
                <w:sz w:val="20"/>
                <w:szCs w:val="20"/>
              </w:rPr>
              <w:t>Count</w:t>
            </w:r>
          </w:p>
        </w:tc>
        <w:tc>
          <w:tcPr>
            <w:tcW w:w="1053" w:type="dxa"/>
            <w:noWrap/>
            <w:vAlign w:val="bottom"/>
            <w:hideMark/>
          </w:tcPr>
          <w:p w:rsidR="0023594E" w:rsidRPr="00452D55" w:rsidRDefault="0023594E" w:rsidP="00F84972">
            <w:pPr>
              <w:jc w:val="center"/>
              <w:rPr>
                <w:rFonts w:eastAsia="Times New Roman"/>
                <w:i/>
                <w:iCs/>
                <w:color w:val="000000"/>
                <w:sz w:val="20"/>
                <w:szCs w:val="20"/>
              </w:rPr>
            </w:pPr>
            <w:r w:rsidRPr="00452D55">
              <w:rPr>
                <w:rFonts w:eastAsia="Times New Roman"/>
                <w:i/>
                <w:iCs/>
                <w:color w:val="000000"/>
                <w:sz w:val="20"/>
                <w:szCs w:val="20"/>
              </w:rPr>
              <w:t>Sum</w:t>
            </w:r>
          </w:p>
        </w:tc>
        <w:tc>
          <w:tcPr>
            <w:tcW w:w="1200" w:type="dxa"/>
            <w:noWrap/>
            <w:vAlign w:val="bottom"/>
            <w:hideMark/>
          </w:tcPr>
          <w:p w:rsidR="0023594E" w:rsidRPr="00452D55" w:rsidRDefault="0023594E" w:rsidP="00F84972">
            <w:pPr>
              <w:jc w:val="center"/>
              <w:rPr>
                <w:rFonts w:eastAsia="Times New Roman"/>
                <w:i/>
                <w:iCs/>
                <w:color w:val="000000"/>
                <w:sz w:val="20"/>
                <w:szCs w:val="20"/>
              </w:rPr>
            </w:pPr>
            <w:r w:rsidRPr="00452D55">
              <w:rPr>
                <w:rFonts w:eastAsia="Times New Roman"/>
                <w:i/>
                <w:iCs/>
                <w:color w:val="000000"/>
                <w:sz w:val="20"/>
                <w:szCs w:val="20"/>
              </w:rPr>
              <w:t>Arith. Mean</w:t>
            </w:r>
          </w:p>
        </w:tc>
        <w:tc>
          <w:tcPr>
            <w:tcW w:w="1053" w:type="dxa"/>
            <w:noWrap/>
            <w:vAlign w:val="bottom"/>
            <w:hideMark/>
          </w:tcPr>
          <w:p w:rsidR="0023594E" w:rsidRPr="00452D55" w:rsidRDefault="0023594E" w:rsidP="00F84972">
            <w:pPr>
              <w:jc w:val="center"/>
              <w:rPr>
                <w:rFonts w:eastAsia="Times New Roman"/>
                <w:i/>
                <w:iCs/>
                <w:color w:val="000000"/>
                <w:sz w:val="20"/>
                <w:szCs w:val="20"/>
              </w:rPr>
            </w:pPr>
            <w:r w:rsidRPr="00452D55">
              <w:rPr>
                <w:rFonts w:eastAsia="Times New Roman"/>
                <w:i/>
                <w:iCs/>
                <w:color w:val="000000"/>
                <w:sz w:val="20"/>
                <w:szCs w:val="20"/>
              </w:rPr>
              <w:t>Variance</w:t>
            </w:r>
          </w:p>
        </w:tc>
      </w:tr>
      <w:tr w:rsidR="0023594E" w:rsidRPr="00452D55" w:rsidTr="00373E66">
        <w:trPr>
          <w:trHeight w:val="300"/>
          <w:jc w:val="center"/>
        </w:trPr>
        <w:tc>
          <w:tcPr>
            <w:tcW w:w="4660" w:type="dxa"/>
            <w:noWrap/>
            <w:vAlign w:val="bottom"/>
            <w:hideMark/>
          </w:tcPr>
          <w:p w:rsidR="0023594E" w:rsidRPr="00452D55" w:rsidRDefault="0023594E" w:rsidP="00F84972">
            <w:pPr>
              <w:rPr>
                <w:rFonts w:eastAsia="Times New Roman"/>
                <w:color w:val="000000"/>
                <w:sz w:val="20"/>
                <w:szCs w:val="20"/>
              </w:rPr>
            </w:pPr>
            <w:r w:rsidRPr="00452D55">
              <w:rPr>
                <w:rFonts w:eastAsia="Times New Roman"/>
                <w:color w:val="000000"/>
                <w:sz w:val="20"/>
                <w:szCs w:val="20"/>
              </w:rPr>
              <w:t>Open agriculture, 5 pixels</w:t>
            </w:r>
          </w:p>
        </w:tc>
        <w:tc>
          <w:tcPr>
            <w:tcW w:w="960"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1859</w:t>
            </w:r>
          </w:p>
        </w:tc>
        <w:tc>
          <w:tcPr>
            <w:tcW w:w="1053"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25806.03</w:t>
            </w:r>
          </w:p>
        </w:tc>
        <w:tc>
          <w:tcPr>
            <w:tcW w:w="1200"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13.882</w:t>
            </w:r>
          </w:p>
        </w:tc>
        <w:tc>
          <w:tcPr>
            <w:tcW w:w="1053"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75.38114</w:t>
            </w:r>
          </w:p>
        </w:tc>
      </w:tr>
      <w:tr w:rsidR="0023594E" w:rsidRPr="00452D55" w:rsidTr="00373E66">
        <w:trPr>
          <w:trHeight w:val="300"/>
          <w:jc w:val="center"/>
        </w:trPr>
        <w:tc>
          <w:tcPr>
            <w:tcW w:w="4660" w:type="dxa"/>
            <w:noWrap/>
            <w:vAlign w:val="bottom"/>
            <w:hideMark/>
          </w:tcPr>
          <w:p w:rsidR="0023594E" w:rsidRPr="00452D55" w:rsidRDefault="0023594E" w:rsidP="00F84972">
            <w:pPr>
              <w:rPr>
                <w:rFonts w:eastAsia="Times New Roman"/>
                <w:color w:val="000000"/>
                <w:sz w:val="20"/>
                <w:szCs w:val="20"/>
              </w:rPr>
            </w:pPr>
            <w:r w:rsidRPr="00452D55">
              <w:rPr>
                <w:rFonts w:eastAsia="Times New Roman"/>
                <w:color w:val="000000"/>
                <w:sz w:val="20"/>
                <w:szCs w:val="20"/>
              </w:rPr>
              <w:t>Build-up area, 5 pixels</w:t>
            </w:r>
          </w:p>
        </w:tc>
        <w:tc>
          <w:tcPr>
            <w:tcW w:w="960"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707</w:t>
            </w:r>
          </w:p>
        </w:tc>
        <w:tc>
          <w:tcPr>
            <w:tcW w:w="1053"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12083.37</w:t>
            </w:r>
          </w:p>
        </w:tc>
        <w:tc>
          <w:tcPr>
            <w:tcW w:w="1200"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17.091</w:t>
            </w:r>
          </w:p>
        </w:tc>
        <w:tc>
          <w:tcPr>
            <w:tcW w:w="1053"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110.6373</w:t>
            </w:r>
          </w:p>
        </w:tc>
      </w:tr>
      <w:tr w:rsidR="0023594E" w:rsidRPr="00452D55" w:rsidTr="00373E66">
        <w:trPr>
          <w:trHeight w:val="300"/>
          <w:jc w:val="center"/>
        </w:trPr>
        <w:tc>
          <w:tcPr>
            <w:tcW w:w="4660" w:type="dxa"/>
            <w:noWrap/>
            <w:vAlign w:val="bottom"/>
            <w:hideMark/>
          </w:tcPr>
          <w:p w:rsidR="0023594E" w:rsidRPr="00452D55" w:rsidRDefault="0023594E" w:rsidP="00F84972">
            <w:pPr>
              <w:rPr>
                <w:rFonts w:eastAsia="Times New Roman"/>
                <w:color w:val="000000"/>
                <w:sz w:val="20"/>
                <w:szCs w:val="20"/>
              </w:rPr>
            </w:pPr>
            <w:r w:rsidRPr="00452D55">
              <w:rPr>
                <w:rFonts w:eastAsia="Times New Roman"/>
                <w:color w:val="000000"/>
                <w:sz w:val="20"/>
                <w:szCs w:val="20"/>
              </w:rPr>
              <w:t>Recreational area, 2 pixels</w:t>
            </w:r>
          </w:p>
        </w:tc>
        <w:tc>
          <w:tcPr>
            <w:tcW w:w="960"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1822</w:t>
            </w:r>
          </w:p>
        </w:tc>
        <w:tc>
          <w:tcPr>
            <w:tcW w:w="1053"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28032.6</w:t>
            </w:r>
          </w:p>
        </w:tc>
        <w:tc>
          <w:tcPr>
            <w:tcW w:w="1200"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15.386</w:t>
            </w:r>
          </w:p>
        </w:tc>
        <w:tc>
          <w:tcPr>
            <w:tcW w:w="1053"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82.37462</w:t>
            </w:r>
          </w:p>
        </w:tc>
      </w:tr>
      <w:tr w:rsidR="0023594E" w:rsidRPr="00452D55" w:rsidTr="00373E66">
        <w:trPr>
          <w:trHeight w:val="300"/>
          <w:jc w:val="center"/>
        </w:trPr>
        <w:tc>
          <w:tcPr>
            <w:tcW w:w="4660" w:type="dxa"/>
            <w:noWrap/>
            <w:vAlign w:val="bottom"/>
            <w:hideMark/>
          </w:tcPr>
          <w:p w:rsidR="0023594E" w:rsidRPr="00452D55" w:rsidRDefault="0023594E" w:rsidP="00F84972">
            <w:pPr>
              <w:rPr>
                <w:rFonts w:eastAsia="Times New Roman"/>
                <w:color w:val="000000"/>
                <w:sz w:val="20"/>
                <w:szCs w:val="20"/>
              </w:rPr>
            </w:pPr>
            <w:r w:rsidRPr="00452D55">
              <w:rPr>
                <w:rFonts w:eastAsia="Times New Roman"/>
                <w:color w:val="000000"/>
                <w:sz w:val="20"/>
                <w:szCs w:val="20"/>
              </w:rPr>
              <w:t>Greenhouse farming, 5 pixels</w:t>
            </w:r>
          </w:p>
        </w:tc>
        <w:tc>
          <w:tcPr>
            <w:tcW w:w="960"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1838</w:t>
            </w:r>
          </w:p>
        </w:tc>
        <w:tc>
          <w:tcPr>
            <w:tcW w:w="1053"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23253.18</w:t>
            </w:r>
          </w:p>
        </w:tc>
        <w:tc>
          <w:tcPr>
            <w:tcW w:w="1200"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12.651</w:t>
            </w:r>
          </w:p>
        </w:tc>
        <w:tc>
          <w:tcPr>
            <w:tcW w:w="1053"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75.32547</w:t>
            </w:r>
          </w:p>
        </w:tc>
      </w:tr>
      <w:tr w:rsidR="0023594E" w:rsidRPr="00452D55" w:rsidTr="00373E66">
        <w:trPr>
          <w:trHeight w:val="300"/>
          <w:jc w:val="center"/>
        </w:trPr>
        <w:tc>
          <w:tcPr>
            <w:tcW w:w="4660" w:type="dxa"/>
            <w:noWrap/>
            <w:vAlign w:val="bottom"/>
            <w:hideMark/>
          </w:tcPr>
          <w:p w:rsidR="0023594E" w:rsidRPr="00452D55" w:rsidRDefault="0023594E" w:rsidP="00F84972">
            <w:pPr>
              <w:rPr>
                <w:rFonts w:eastAsia="Times New Roman"/>
                <w:color w:val="000000"/>
                <w:sz w:val="20"/>
                <w:szCs w:val="20"/>
              </w:rPr>
            </w:pPr>
            <w:r w:rsidRPr="00452D55">
              <w:rPr>
                <w:rFonts w:eastAsia="Times New Roman"/>
                <w:color w:val="000000"/>
                <w:sz w:val="20"/>
                <w:szCs w:val="20"/>
              </w:rPr>
              <w:t>Forest, 5 pixels</w:t>
            </w:r>
          </w:p>
        </w:tc>
        <w:tc>
          <w:tcPr>
            <w:tcW w:w="960"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1800</w:t>
            </w:r>
          </w:p>
        </w:tc>
        <w:tc>
          <w:tcPr>
            <w:tcW w:w="1053"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23423.64</w:t>
            </w:r>
          </w:p>
        </w:tc>
        <w:tc>
          <w:tcPr>
            <w:tcW w:w="1200"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13.013</w:t>
            </w:r>
          </w:p>
        </w:tc>
        <w:tc>
          <w:tcPr>
            <w:tcW w:w="1053"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71.6768</w:t>
            </w:r>
          </w:p>
        </w:tc>
      </w:tr>
      <w:tr w:rsidR="0023594E" w:rsidRPr="00452D55" w:rsidTr="00373E66">
        <w:trPr>
          <w:trHeight w:val="315"/>
          <w:jc w:val="center"/>
        </w:trPr>
        <w:tc>
          <w:tcPr>
            <w:tcW w:w="4660" w:type="dxa"/>
            <w:noWrap/>
            <w:vAlign w:val="bottom"/>
            <w:hideMark/>
          </w:tcPr>
          <w:p w:rsidR="0023594E" w:rsidRPr="00452D55" w:rsidRDefault="0023594E" w:rsidP="00F84972">
            <w:pPr>
              <w:rPr>
                <w:rFonts w:eastAsia="Times New Roman"/>
                <w:color w:val="000000"/>
                <w:sz w:val="20"/>
                <w:szCs w:val="20"/>
              </w:rPr>
            </w:pPr>
            <w:r w:rsidRPr="00452D55">
              <w:rPr>
                <w:rFonts w:eastAsia="Times New Roman"/>
                <w:color w:val="000000"/>
                <w:sz w:val="20"/>
                <w:szCs w:val="20"/>
              </w:rPr>
              <w:t>Inland waterway and Offshore area, 5 pixels</w:t>
            </w:r>
          </w:p>
        </w:tc>
        <w:tc>
          <w:tcPr>
            <w:tcW w:w="960"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1871</w:t>
            </w:r>
          </w:p>
        </w:tc>
        <w:tc>
          <w:tcPr>
            <w:tcW w:w="1053"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21870.19</w:t>
            </w:r>
          </w:p>
        </w:tc>
        <w:tc>
          <w:tcPr>
            <w:tcW w:w="1200"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11.689</w:t>
            </w:r>
          </w:p>
        </w:tc>
        <w:tc>
          <w:tcPr>
            <w:tcW w:w="1053" w:type="dxa"/>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49.70682</w:t>
            </w:r>
          </w:p>
        </w:tc>
      </w:tr>
    </w:tbl>
    <w:p w:rsidR="0023594E" w:rsidRPr="00452D55" w:rsidRDefault="0023594E" w:rsidP="0023594E">
      <w:pPr>
        <w:widowControl w:val="0"/>
        <w:autoSpaceDE w:val="0"/>
        <w:autoSpaceDN w:val="0"/>
        <w:adjustRightInd w:val="0"/>
        <w:jc w:val="both"/>
        <w:rPr>
          <w:rFonts w:eastAsia="Times New Roman"/>
          <w:sz w:val="20"/>
          <w:szCs w:val="20"/>
        </w:rPr>
      </w:pPr>
    </w:p>
    <w:p w:rsidR="0023594E" w:rsidRPr="00452D55" w:rsidRDefault="0023594E" w:rsidP="0023594E">
      <w:pPr>
        <w:widowControl w:val="0"/>
        <w:autoSpaceDE w:val="0"/>
        <w:autoSpaceDN w:val="0"/>
        <w:adjustRightInd w:val="0"/>
        <w:jc w:val="both"/>
        <w:rPr>
          <w:rFonts w:eastAsia="Times New Roman"/>
          <w:sz w:val="20"/>
          <w:szCs w:val="20"/>
        </w:rPr>
        <w:sectPr w:rsidR="0023594E" w:rsidRPr="00452D55" w:rsidSect="00F91BA1">
          <w:footnotePr>
            <w:pos w:val="beneathText"/>
          </w:footnotePr>
          <w:type w:val="continuous"/>
          <w:pgSz w:w="12240" w:h="15840" w:code="1"/>
          <w:pgMar w:top="1440" w:right="1440" w:bottom="1440" w:left="1440" w:header="720" w:footer="720" w:gutter="0"/>
          <w:cols w:space="720"/>
          <w:docGrid w:linePitch="360"/>
        </w:sectPr>
      </w:pPr>
    </w:p>
    <w:p w:rsidR="0023594E" w:rsidRPr="00452D55" w:rsidRDefault="0023594E" w:rsidP="0023594E">
      <w:pPr>
        <w:widowControl w:val="0"/>
        <w:autoSpaceDE w:val="0"/>
        <w:autoSpaceDN w:val="0"/>
        <w:adjustRightInd w:val="0"/>
        <w:ind w:firstLine="720"/>
        <w:jc w:val="both"/>
        <w:rPr>
          <w:rFonts w:eastAsia="Times New Roman"/>
          <w:sz w:val="20"/>
          <w:szCs w:val="20"/>
        </w:rPr>
      </w:pPr>
      <w:r w:rsidRPr="00452D55">
        <w:rPr>
          <w:rFonts w:eastAsia="Times New Roman"/>
          <w:sz w:val="20"/>
          <w:szCs w:val="20"/>
        </w:rPr>
        <w:lastRenderedPageBreak/>
        <w:t xml:space="preserve">Tab. 4 shows the ANOVA test result for daytime LST. The result shows that the F value is statistically significant (p =0.01). Thus the null hypothesis is rejected and at least the mean of one of </w:t>
      </w:r>
      <w:r w:rsidRPr="00452D55">
        <w:rPr>
          <w:rFonts w:eastAsia="Times New Roman"/>
          <w:sz w:val="20"/>
          <w:szCs w:val="20"/>
        </w:rPr>
        <w:lastRenderedPageBreak/>
        <w:t>the land uses is not equal to zero. In other words, not all the means are equal and at least one of them is different.</w:t>
      </w:r>
    </w:p>
    <w:p w:rsidR="0023594E" w:rsidRPr="00452D55" w:rsidRDefault="0023594E" w:rsidP="0023594E">
      <w:pPr>
        <w:widowControl w:val="0"/>
        <w:autoSpaceDE w:val="0"/>
        <w:autoSpaceDN w:val="0"/>
        <w:adjustRightInd w:val="0"/>
        <w:jc w:val="both"/>
        <w:rPr>
          <w:rFonts w:eastAsia="Times New Roman"/>
          <w:sz w:val="20"/>
          <w:szCs w:val="20"/>
        </w:rPr>
        <w:sectPr w:rsidR="0023594E" w:rsidRPr="00452D55" w:rsidSect="00F91BA1">
          <w:footnotePr>
            <w:pos w:val="beneathText"/>
          </w:footnotePr>
          <w:type w:val="continuous"/>
          <w:pgSz w:w="12240" w:h="15840" w:code="1"/>
          <w:pgMar w:top="1440" w:right="1440" w:bottom="1440" w:left="1440" w:header="720" w:footer="720" w:gutter="0"/>
          <w:cols w:num="2" w:space="720"/>
          <w:docGrid w:linePitch="360"/>
        </w:sectPr>
      </w:pPr>
    </w:p>
    <w:p w:rsidR="0023594E" w:rsidRPr="00452D55" w:rsidRDefault="0023594E" w:rsidP="0023594E">
      <w:pPr>
        <w:widowControl w:val="0"/>
        <w:autoSpaceDE w:val="0"/>
        <w:autoSpaceDN w:val="0"/>
        <w:adjustRightInd w:val="0"/>
        <w:jc w:val="both"/>
        <w:rPr>
          <w:rFonts w:eastAsia="Times New Roman"/>
          <w:sz w:val="20"/>
          <w:szCs w:val="20"/>
        </w:rPr>
      </w:pPr>
    </w:p>
    <w:p w:rsidR="0023594E" w:rsidRPr="00452D55" w:rsidRDefault="0023594E" w:rsidP="0023594E">
      <w:pPr>
        <w:pStyle w:val="Caption"/>
        <w:jc w:val="center"/>
        <w:rPr>
          <w:color w:val="0D0D0D"/>
          <w:sz w:val="20"/>
          <w:szCs w:val="20"/>
        </w:rPr>
      </w:pPr>
      <w:bookmarkStart w:id="22" w:name="_Toc357617259"/>
      <w:r w:rsidRPr="00452D55">
        <w:rPr>
          <w:color w:val="0D0D0D"/>
          <w:sz w:val="20"/>
          <w:szCs w:val="20"/>
        </w:rPr>
        <w:t>Table 4 - The result of ANOVA test for day LST</w:t>
      </w:r>
      <w:bookmarkEnd w:id="2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6"/>
        <w:gridCol w:w="1596"/>
        <w:gridCol w:w="1596"/>
        <w:gridCol w:w="1596"/>
        <w:gridCol w:w="1596"/>
        <w:gridCol w:w="1596"/>
      </w:tblGrid>
      <w:tr w:rsidR="0023594E" w:rsidRPr="00452D55" w:rsidTr="00373E66">
        <w:trPr>
          <w:trHeight w:val="368"/>
          <w:jc w:val="center"/>
        </w:trPr>
        <w:tc>
          <w:tcPr>
            <w:tcW w:w="1596" w:type="dxa"/>
            <w:shd w:val="clear" w:color="auto" w:fill="auto"/>
          </w:tcPr>
          <w:p w:rsidR="0023594E" w:rsidRPr="00452D55" w:rsidRDefault="0023594E" w:rsidP="00F84972">
            <w:pPr>
              <w:pStyle w:val="Caption"/>
              <w:jc w:val="center"/>
              <w:rPr>
                <w:rFonts w:eastAsia="Calibri"/>
                <w:b/>
                <w:color w:val="0D0D0D"/>
                <w:sz w:val="20"/>
                <w:szCs w:val="20"/>
              </w:rPr>
            </w:pPr>
          </w:p>
        </w:tc>
        <w:tc>
          <w:tcPr>
            <w:tcW w:w="1596" w:type="dxa"/>
            <w:shd w:val="clear" w:color="auto" w:fill="auto"/>
            <w:vAlign w:val="bottom"/>
          </w:tcPr>
          <w:p w:rsidR="0023594E" w:rsidRPr="00452D55" w:rsidRDefault="0023594E" w:rsidP="00F84972">
            <w:pPr>
              <w:autoSpaceDE w:val="0"/>
              <w:autoSpaceDN w:val="0"/>
              <w:adjustRightInd w:val="0"/>
              <w:jc w:val="center"/>
              <w:rPr>
                <w:rFonts w:eastAsia="Times New Roman"/>
                <w:color w:val="000000"/>
                <w:sz w:val="20"/>
                <w:szCs w:val="20"/>
              </w:rPr>
            </w:pPr>
            <w:r w:rsidRPr="00452D55">
              <w:rPr>
                <w:rFonts w:eastAsia="Times New Roman"/>
                <w:color w:val="000000"/>
                <w:sz w:val="20"/>
                <w:szCs w:val="20"/>
              </w:rPr>
              <w:t>Sum of Squares</w:t>
            </w:r>
          </w:p>
        </w:tc>
        <w:tc>
          <w:tcPr>
            <w:tcW w:w="1596" w:type="dxa"/>
            <w:shd w:val="clear" w:color="auto" w:fill="auto"/>
          </w:tcPr>
          <w:p w:rsidR="0023594E" w:rsidRPr="00452D55" w:rsidRDefault="0023594E" w:rsidP="00F84972">
            <w:pPr>
              <w:pStyle w:val="Caption"/>
              <w:jc w:val="center"/>
              <w:rPr>
                <w:rFonts w:eastAsia="Calibri"/>
                <w:b/>
                <w:color w:val="0D0D0D"/>
                <w:sz w:val="20"/>
                <w:szCs w:val="20"/>
              </w:rPr>
            </w:pPr>
            <w:r w:rsidRPr="00452D55">
              <w:rPr>
                <w:rFonts w:eastAsia="Times New Roman"/>
                <w:color w:val="000000"/>
                <w:sz w:val="20"/>
                <w:szCs w:val="20"/>
              </w:rPr>
              <w:t>df</w:t>
            </w:r>
          </w:p>
        </w:tc>
        <w:tc>
          <w:tcPr>
            <w:tcW w:w="1596" w:type="dxa"/>
            <w:shd w:val="clear" w:color="auto" w:fill="auto"/>
            <w:vAlign w:val="bottom"/>
          </w:tcPr>
          <w:p w:rsidR="0023594E" w:rsidRPr="00452D55" w:rsidRDefault="0023594E" w:rsidP="00F84972">
            <w:pPr>
              <w:autoSpaceDE w:val="0"/>
              <w:autoSpaceDN w:val="0"/>
              <w:adjustRightInd w:val="0"/>
              <w:jc w:val="center"/>
              <w:rPr>
                <w:rFonts w:eastAsia="Times New Roman"/>
                <w:color w:val="000000"/>
                <w:sz w:val="20"/>
                <w:szCs w:val="20"/>
              </w:rPr>
            </w:pPr>
            <w:r w:rsidRPr="00452D55">
              <w:rPr>
                <w:rFonts w:eastAsia="Times New Roman"/>
                <w:color w:val="000000"/>
                <w:sz w:val="20"/>
                <w:szCs w:val="20"/>
              </w:rPr>
              <w:t>Mean Square</w:t>
            </w:r>
          </w:p>
        </w:tc>
        <w:tc>
          <w:tcPr>
            <w:tcW w:w="1596" w:type="dxa"/>
            <w:shd w:val="clear" w:color="auto" w:fill="auto"/>
          </w:tcPr>
          <w:p w:rsidR="0023594E" w:rsidRPr="00452D55" w:rsidRDefault="0023594E" w:rsidP="00F84972">
            <w:pPr>
              <w:pStyle w:val="Caption"/>
              <w:jc w:val="center"/>
              <w:rPr>
                <w:rFonts w:eastAsia="Calibri"/>
                <w:bCs/>
                <w:i w:val="0"/>
                <w:iCs w:val="0"/>
                <w:color w:val="0D0D0D"/>
                <w:sz w:val="20"/>
                <w:szCs w:val="20"/>
              </w:rPr>
            </w:pPr>
            <w:r w:rsidRPr="00452D55">
              <w:rPr>
                <w:rFonts w:eastAsia="Times New Roman"/>
                <w:i w:val="0"/>
                <w:iCs w:val="0"/>
                <w:color w:val="000000"/>
                <w:sz w:val="20"/>
                <w:szCs w:val="20"/>
              </w:rPr>
              <w:t>F</w:t>
            </w:r>
          </w:p>
        </w:tc>
        <w:tc>
          <w:tcPr>
            <w:tcW w:w="1596" w:type="dxa"/>
            <w:shd w:val="clear" w:color="auto" w:fill="auto"/>
            <w:vAlign w:val="bottom"/>
          </w:tcPr>
          <w:p w:rsidR="0023594E" w:rsidRPr="00452D55" w:rsidRDefault="0023594E" w:rsidP="00F84972">
            <w:pPr>
              <w:autoSpaceDE w:val="0"/>
              <w:autoSpaceDN w:val="0"/>
              <w:adjustRightInd w:val="0"/>
              <w:jc w:val="center"/>
              <w:rPr>
                <w:rFonts w:eastAsia="Times New Roman"/>
                <w:color w:val="000000"/>
                <w:sz w:val="20"/>
                <w:szCs w:val="20"/>
              </w:rPr>
            </w:pPr>
            <w:r w:rsidRPr="00452D55">
              <w:rPr>
                <w:rFonts w:eastAsia="Times New Roman"/>
                <w:color w:val="000000"/>
                <w:sz w:val="20"/>
                <w:szCs w:val="20"/>
              </w:rPr>
              <w:t>Sig.</w:t>
            </w:r>
          </w:p>
        </w:tc>
      </w:tr>
      <w:tr w:rsidR="0023594E" w:rsidRPr="00452D55" w:rsidTr="00373E66">
        <w:trPr>
          <w:trHeight w:val="1052"/>
          <w:jc w:val="center"/>
        </w:trPr>
        <w:tc>
          <w:tcPr>
            <w:tcW w:w="1596" w:type="dxa"/>
            <w:shd w:val="clear" w:color="auto" w:fill="auto"/>
          </w:tcPr>
          <w:p w:rsidR="0023594E" w:rsidRPr="00452D55" w:rsidRDefault="0023594E" w:rsidP="00F84972">
            <w:pPr>
              <w:pStyle w:val="Caption"/>
              <w:rPr>
                <w:rFonts w:eastAsia="Calibri"/>
                <w:bCs/>
                <w:i w:val="0"/>
                <w:iCs w:val="0"/>
                <w:color w:val="0D0D0D"/>
                <w:sz w:val="20"/>
                <w:szCs w:val="20"/>
              </w:rPr>
            </w:pPr>
            <w:r w:rsidRPr="00452D55">
              <w:rPr>
                <w:rFonts w:eastAsia="Calibri"/>
                <w:bCs/>
                <w:i w:val="0"/>
                <w:iCs w:val="0"/>
                <w:color w:val="0D0D0D"/>
                <w:sz w:val="20"/>
                <w:szCs w:val="20"/>
              </w:rPr>
              <w:t>Between Groups</w:t>
            </w:r>
          </w:p>
          <w:p w:rsidR="0023594E" w:rsidRPr="00452D55" w:rsidRDefault="0023594E" w:rsidP="00F84972">
            <w:pPr>
              <w:pStyle w:val="Caption"/>
              <w:rPr>
                <w:rFonts w:eastAsia="Calibri"/>
                <w:bCs/>
                <w:i w:val="0"/>
                <w:iCs w:val="0"/>
                <w:color w:val="0D0D0D"/>
                <w:sz w:val="20"/>
                <w:szCs w:val="20"/>
              </w:rPr>
            </w:pPr>
            <w:r w:rsidRPr="00452D55">
              <w:rPr>
                <w:rFonts w:eastAsia="Calibri"/>
                <w:bCs/>
                <w:i w:val="0"/>
                <w:iCs w:val="0"/>
                <w:color w:val="0D0D0D"/>
                <w:sz w:val="20"/>
                <w:szCs w:val="20"/>
              </w:rPr>
              <w:t>Within Groups</w:t>
            </w:r>
          </w:p>
          <w:p w:rsidR="0023594E" w:rsidRPr="00452D55" w:rsidRDefault="0023594E" w:rsidP="00F84972">
            <w:pPr>
              <w:pStyle w:val="Caption"/>
              <w:jc w:val="center"/>
              <w:rPr>
                <w:rFonts w:eastAsia="Calibri"/>
                <w:bCs/>
                <w:i w:val="0"/>
                <w:iCs w:val="0"/>
                <w:color w:val="0D0D0D"/>
                <w:sz w:val="20"/>
                <w:szCs w:val="20"/>
              </w:rPr>
            </w:pPr>
            <w:r w:rsidRPr="00452D55">
              <w:rPr>
                <w:rFonts w:eastAsia="Calibri"/>
                <w:bCs/>
                <w:i w:val="0"/>
                <w:iCs w:val="0"/>
                <w:color w:val="0D0D0D"/>
                <w:sz w:val="20"/>
                <w:szCs w:val="20"/>
              </w:rPr>
              <w:t>Total</w:t>
            </w:r>
          </w:p>
        </w:tc>
        <w:tc>
          <w:tcPr>
            <w:tcW w:w="1596" w:type="dxa"/>
            <w:shd w:val="clear" w:color="auto" w:fill="auto"/>
          </w:tcPr>
          <w:p w:rsidR="0023594E" w:rsidRPr="00452D55" w:rsidRDefault="0023594E" w:rsidP="00F84972">
            <w:pPr>
              <w:pStyle w:val="Caption"/>
              <w:jc w:val="center"/>
              <w:rPr>
                <w:rFonts w:eastAsia="Calibri"/>
                <w:bCs/>
                <w:i w:val="0"/>
                <w:iCs w:val="0"/>
                <w:color w:val="0D0D0D"/>
                <w:sz w:val="20"/>
                <w:szCs w:val="20"/>
              </w:rPr>
            </w:pPr>
            <w:r w:rsidRPr="00452D55">
              <w:rPr>
                <w:rFonts w:eastAsia="Calibri"/>
                <w:bCs/>
                <w:i w:val="0"/>
                <w:iCs w:val="0"/>
                <w:color w:val="0D0D0D"/>
                <w:sz w:val="20"/>
                <w:szCs w:val="20"/>
              </w:rPr>
              <w:t>23681.851</w:t>
            </w:r>
          </w:p>
          <w:p w:rsidR="0023594E" w:rsidRPr="00452D55" w:rsidRDefault="0023594E" w:rsidP="00F84972">
            <w:pPr>
              <w:pStyle w:val="Caption"/>
              <w:jc w:val="center"/>
              <w:rPr>
                <w:rFonts w:eastAsia="Calibri"/>
                <w:bCs/>
                <w:i w:val="0"/>
                <w:iCs w:val="0"/>
                <w:color w:val="0D0D0D"/>
                <w:sz w:val="20"/>
                <w:szCs w:val="20"/>
              </w:rPr>
            </w:pPr>
            <w:r w:rsidRPr="00452D55">
              <w:rPr>
                <w:rFonts w:eastAsia="Calibri"/>
                <w:bCs/>
                <w:i w:val="0"/>
                <w:iCs w:val="0"/>
                <w:color w:val="0D0D0D"/>
                <w:sz w:val="20"/>
                <w:szCs w:val="20"/>
              </w:rPr>
              <w:t>728401.816</w:t>
            </w:r>
          </w:p>
          <w:p w:rsidR="0023594E" w:rsidRPr="00452D55" w:rsidRDefault="0023594E" w:rsidP="00F84972">
            <w:pPr>
              <w:pStyle w:val="Caption"/>
              <w:jc w:val="center"/>
              <w:rPr>
                <w:rFonts w:eastAsia="Calibri"/>
                <w:bCs/>
                <w:i w:val="0"/>
                <w:iCs w:val="0"/>
                <w:color w:val="0D0D0D"/>
                <w:sz w:val="20"/>
                <w:szCs w:val="20"/>
              </w:rPr>
            </w:pPr>
            <w:r w:rsidRPr="00452D55">
              <w:rPr>
                <w:rFonts w:eastAsia="Calibri"/>
                <w:bCs/>
                <w:i w:val="0"/>
                <w:iCs w:val="0"/>
                <w:color w:val="0D0D0D"/>
                <w:sz w:val="20"/>
                <w:szCs w:val="20"/>
              </w:rPr>
              <w:t>752083.667</w:t>
            </w:r>
          </w:p>
        </w:tc>
        <w:tc>
          <w:tcPr>
            <w:tcW w:w="1596" w:type="dxa"/>
            <w:shd w:val="clear" w:color="auto" w:fill="auto"/>
          </w:tcPr>
          <w:p w:rsidR="0023594E" w:rsidRPr="00452D55" w:rsidRDefault="0023594E" w:rsidP="00F84972">
            <w:pPr>
              <w:pStyle w:val="Caption"/>
              <w:jc w:val="center"/>
              <w:rPr>
                <w:rFonts w:eastAsia="Calibri"/>
                <w:bCs/>
                <w:i w:val="0"/>
                <w:iCs w:val="0"/>
                <w:color w:val="0D0D0D"/>
                <w:sz w:val="20"/>
                <w:szCs w:val="20"/>
              </w:rPr>
            </w:pPr>
            <w:r w:rsidRPr="00452D55">
              <w:rPr>
                <w:rFonts w:eastAsia="Calibri"/>
                <w:bCs/>
                <w:i w:val="0"/>
                <w:iCs w:val="0"/>
                <w:color w:val="0D0D0D"/>
                <w:sz w:val="20"/>
                <w:szCs w:val="20"/>
              </w:rPr>
              <w:t>5</w:t>
            </w:r>
          </w:p>
          <w:p w:rsidR="0023594E" w:rsidRPr="00452D55" w:rsidRDefault="0023594E" w:rsidP="00F84972">
            <w:pPr>
              <w:pStyle w:val="Caption"/>
              <w:jc w:val="center"/>
              <w:rPr>
                <w:rFonts w:eastAsia="Calibri"/>
                <w:bCs/>
                <w:i w:val="0"/>
                <w:iCs w:val="0"/>
                <w:color w:val="0D0D0D"/>
                <w:sz w:val="20"/>
                <w:szCs w:val="20"/>
              </w:rPr>
            </w:pPr>
            <w:r w:rsidRPr="00452D55">
              <w:rPr>
                <w:rFonts w:eastAsia="Calibri"/>
                <w:bCs/>
                <w:i w:val="0"/>
                <w:iCs w:val="0"/>
                <w:color w:val="0D0D0D"/>
                <w:sz w:val="20"/>
                <w:szCs w:val="20"/>
              </w:rPr>
              <w:t>9890</w:t>
            </w:r>
          </w:p>
          <w:p w:rsidR="0023594E" w:rsidRPr="00452D55" w:rsidRDefault="0023594E" w:rsidP="00F84972">
            <w:pPr>
              <w:pStyle w:val="Caption"/>
              <w:jc w:val="center"/>
              <w:rPr>
                <w:rFonts w:eastAsia="Calibri"/>
                <w:bCs/>
                <w:i w:val="0"/>
                <w:iCs w:val="0"/>
                <w:color w:val="0D0D0D"/>
                <w:sz w:val="20"/>
                <w:szCs w:val="20"/>
              </w:rPr>
            </w:pPr>
            <w:r w:rsidRPr="00452D55">
              <w:rPr>
                <w:rFonts w:eastAsia="Calibri"/>
                <w:bCs/>
                <w:i w:val="0"/>
                <w:iCs w:val="0"/>
                <w:color w:val="0D0D0D"/>
                <w:sz w:val="20"/>
                <w:szCs w:val="20"/>
              </w:rPr>
              <w:t>9895</w:t>
            </w:r>
          </w:p>
        </w:tc>
        <w:tc>
          <w:tcPr>
            <w:tcW w:w="1596" w:type="dxa"/>
            <w:shd w:val="clear" w:color="auto" w:fill="auto"/>
          </w:tcPr>
          <w:p w:rsidR="0023594E" w:rsidRPr="00452D55" w:rsidRDefault="0023594E" w:rsidP="00F84972">
            <w:pPr>
              <w:pStyle w:val="Caption"/>
              <w:jc w:val="center"/>
              <w:rPr>
                <w:rFonts w:eastAsia="Calibri"/>
                <w:bCs/>
                <w:i w:val="0"/>
                <w:iCs w:val="0"/>
                <w:color w:val="0D0D0D"/>
                <w:sz w:val="20"/>
                <w:szCs w:val="20"/>
              </w:rPr>
            </w:pPr>
            <w:r w:rsidRPr="00452D55">
              <w:rPr>
                <w:rFonts w:eastAsia="Calibri"/>
                <w:bCs/>
                <w:i w:val="0"/>
                <w:iCs w:val="0"/>
                <w:color w:val="0D0D0D"/>
                <w:sz w:val="20"/>
                <w:szCs w:val="20"/>
              </w:rPr>
              <w:t>4736.370</w:t>
            </w:r>
          </w:p>
          <w:p w:rsidR="0023594E" w:rsidRPr="00452D55" w:rsidRDefault="0023594E" w:rsidP="00F84972">
            <w:pPr>
              <w:pStyle w:val="Caption"/>
              <w:jc w:val="center"/>
              <w:rPr>
                <w:rFonts w:eastAsia="Calibri"/>
                <w:bCs/>
                <w:i w:val="0"/>
                <w:iCs w:val="0"/>
                <w:color w:val="0D0D0D"/>
                <w:sz w:val="20"/>
                <w:szCs w:val="20"/>
              </w:rPr>
            </w:pPr>
            <w:r w:rsidRPr="00452D55">
              <w:rPr>
                <w:rFonts w:eastAsia="Calibri"/>
                <w:bCs/>
                <w:i w:val="0"/>
                <w:iCs w:val="0"/>
                <w:color w:val="0D0D0D"/>
                <w:sz w:val="20"/>
                <w:szCs w:val="20"/>
              </w:rPr>
              <w:t>73.650</w:t>
            </w:r>
          </w:p>
        </w:tc>
        <w:tc>
          <w:tcPr>
            <w:tcW w:w="1596" w:type="dxa"/>
            <w:shd w:val="clear" w:color="auto" w:fill="auto"/>
          </w:tcPr>
          <w:p w:rsidR="0023594E" w:rsidRPr="00452D55" w:rsidRDefault="0023594E" w:rsidP="00F84972">
            <w:pPr>
              <w:pStyle w:val="Caption"/>
              <w:jc w:val="center"/>
              <w:rPr>
                <w:rFonts w:eastAsia="Calibri"/>
                <w:bCs/>
                <w:i w:val="0"/>
                <w:iCs w:val="0"/>
                <w:color w:val="0D0D0D"/>
                <w:sz w:val="20"/>
                <w:szCs w:val="20"/>
              </w:rPr>
            </w:pPr>
            <w:r w:rsidRPr="00452D55">
              <w:rPr>
                <w:rFonts w:eastAsia="Times New Roman"/>
                <w:i w:val="0"/>
                <w:iCs w:val="0"/>
                <w:color w:val="000000"/>
                <w:sz w:val="20"/>
                <w:szCs w:val="20"/>
              </w:rPr>
              <w:t>64.309</w:t>
            </w:r>
          </w:p>
        </w:tc>
        <w:tc>
          <w:tcPr>
            <w:tcW w:w="1596" w:type="dxa"/>
            <w:shd w:val="clear" w:color="auto" w:fill="auto"/>
          </w:tcPr>
          <w:p w:rsidR="0023594E" w:rsidRPr="00452D55" w:rsidRDefault="0023594E" w:rsidP="00F84972">
            <w:pPr>
              <w:pStyle w:val="Caption"/>
              <w:jc w:val="center"/>
              <w:rPr>
                <w:rFonts w:eastAsia="Calibri"/>
                <w:bCs/>
                <w:i w:val="0"/>
                <w:iCs w:val="0"/>
                <w:color w:val="0D0D0D"/>
                <w:sz w:val="20"/>
                <w:szCs w:val="20"/>
              </w:rPr>
            </w:pPr>
            <w:r w:rsidRPr="00452D55">
              <w:rPr>
                <w:rFonts w:eastAsia="Calibri"/>
                <w:bCs/>
                <w:i w:val="0"/>
                <w:iCs w:val="0"/>
                <w:color w:val="0D0D0D"/>
                <w:sz w:val="20"/>
                <w:szCs w:val="20"/>
              </w:rPr>
              <w:t>0.000</w:t>
            </w:r>
          </w:p>
        </w:tc>
      </w:tr>
    </w:tbl>
    <w:p w:rsidR="0023594E" w:rsidRPr="00452D55" w:rsidRDefault="0023594E" w:rsidP="0023594E">
      <w:pPr>
        <w:widowControl w:val="0"/>
        <w:autoSpaceDE w:val="0"/>
        <w:autoSpaceDN w:val="0"/>
        <w:adjustRightInd w:val="0"/>
        <w:jc w:val="both"/>
        <w:rPr>
          <w:b/>
          <w:i/>
          <w:iCs/>
          <w:color w:val="0D0D0D"/>
          <w:sz w:val="20"/>
          <w:szCs w:val="20"/>
        </w:rPr>
      </w:pPr>
    </w:p>
    <w:p w:rsidR="0023594E" w:rsidRPr="00452D55" w:rsidRDefault="0023594E" w:rsidP="0023594E">
      <w:pPr>
        <w:widowControl w:val="0"/>
        <w:autoSpaceDE w:val="0"/>
        <w:autoSpaceDN w:val="0"/>
        <w:adjustRightInd w:val="0"/>
        <w:jc w:val="both"/>
        <w:rPr>
          <w:rFonts w:eastAsia="Times New Roman"/>
          <w:sz w:val="20"/>
          <w:szCs w:val="20"/>
        </w:rPr>
        <w:sectPr w:rsidR="0023594E" w:rsidRPr="00452D55" w:rsidSect="00F91BA1">
          <w:footnotePr>
            <w:pos w:val="beneathText"/>
          </w:footnotePr>
          <w:type w:val="continuous"/>
          <w:pgSz w:w="12240" w:h="15840" w:code="1"/>
          <w:pgMar w:top="1440" w:right="1440" w:bottom="1440" w:left="1440" w:header="720" w:footer="720" w:gutter="0"/>
          <w:cols w:space="720"/>
          <w:docGrid w:linePitch="360"/>
        </w:sectPr>
      </w:pPr>
    </w:p>
    <w:p w:rsidR="0023594E" w:rsidRPr="00452D55" w:rsidRDefault="0023594E" w:rsidP="0023594E">
      <w:pPr>
        <w:widowControl w:val="0"/>
        <w:autoSpaceDE w:val="0"/>
        <w:autoSpaceDN w:val="0"/>
        <w:adjustRightInd w:val="0"/>
        <w:jc w:val="both"/>
        <w:rPr>
          <w:rFonts w:eastAsia="Times New Roman"/>
          <w:sz w:val="20"/>
          <w:szCs w:val="20"/>
        </w:rPr>
        <w:sectPr w:rsidR="0023594E" w:rsidRPr="00452D55" w:rsidSect="00F91BA1">
          <w:footnotePr>
            <w:pos w:val="beneathText"/>
          </w:footnotePr>
          <w:type w:val="continuous"/>
          <w:pgSz w:w="12240" w:h="15840" w:code="1"/>
          <w:pgMar w:top="1440" w:right="1440" w:bottom="1440" w:left="1440" w:header="720" w:footer="720" w:gutter="0"/>
          <w:cols w:num="2" w:space="720"/>
          <w:docGrid w:linePitch="360"/>
        </w:sectPr>
      </w:pPr>
      <w:r w:rsidRPr="00452D55">
        <w:rPr>
          <w:rFonts w:eastAsia="Times New Roman"/>
          <w:sz w:val="20"/>
          <w:szCs w:val="20"/>
        </w:rPr>
        <w:lastRenderedPageBreak/>
        <w:t xml:space="preserve">Fig. 2 shows some similarities between the mean values of different land uses. For example, the mean day LST value for greenhouse farming and forest are almost the same. To find weather the near values are in the same groups, post hoc analysis is done. The lowest mean LST is observed in inland waterway and offshore area, followed by greenhouse farming, forest, open agriculture, recreational area and build-up area. The findings of the current study are consistent with those of Zhou et al., (2011), who found that the amount of LST becomes higher as the land use changed from vegetated areas to built-up lands. Campbell (2002) argued that temperature of different bodies is a function of their internal </w:t>
      </w:r>
      <w:r w:rsidRPr="00452D55">
        <w:rPr>
          <w:rFonts w:eastAsia="Times New Roman"/>
          <w:sz w:val="20"/>
          <w:szCs w:val="20"/>
        </w:rPr>
        <w:lastRenderedPageBreak/>
        <w:t xml:space="preserve">properties including heat capacity, inertia and thermal conductivity. Build-up area has the highest day LST, which can be due to reduction of the water storage that strengthen the sensible heat flux (Zhou, et al, 2011) .Non-evaporating and non-transpiring surfaces like paving and building materials have high absorptivity, high thermal capacity and low albedo. Based on NCHRP (2004), asphalt pavement has low conductivity (0.76-1.4 W/mK) which prevents the absorbed energy from being conveyed elsewhere; high absorptivity (0.85-0.93) of solar radiation coupled with relatively high thermal capacity (921-1,674 J/KgK) allows asphalt pavements to stock thermal energy and reach relatively high temperature </w:t>
      </w:r>
      <w:r w:rsidRPr="00452D55">
        <w:rPr>
          <w:rFonts w:eastAsia="Times New Roman"/>
          <w:sz w:val="20"/>
          <w:szCs w:val="20"/>
        </w:rPr>
        <w:lastRenderedPageBreak/>
        <w:t xml:space="preserve">– usually higher than the neighboring air. Fig. 2 also shows that open agriculture has a larger mean LST than forest. This finding corroborates the ideas of Wickham (2012), who found that the average annual land surface temperature for cropland is higher than average surface temperatures for forest. This finding furthermore supports previous research of Davin and Noblet-Ducoudré (2010). They argued that evapotranspiration from forest produce a larger cooling effect than croplands. For dense forest </w:t>
      </w:r>
      <w:r w:rsidRPr="00452D55">
        <w:rPr>
          <w:rFonts w:eastAsia="Times New Roman"/>
          <w:sz w:val="20"/>
          <w:szCs w:val="20"/>
        </w:rPr>
        <w:lastRenderedPageBreak/>
        <w:t>canopy, LST is collected from forest canopy. Therefore to compare forest with open agriculture, type of forest (evergreen, deciduous), and type of open agriculture (winter or summer farms) should be considered. Seasonal analysis can capture these variations better than annual LST values. In general, forest albedo is lower than cropland albedo. The color of soil, its water content and snow cover are among other important factors which impact surface characteristic (Bonan, 1997).</w:t>
      </w:r>
    </w:p>
    <w:p w:rsidR="0023594E" w:rsidRPr="00452D55" w:rsidRDefault="0023594E" w:rsidP="0023594E">
      <w:pPr>
        <w:autoSpaceDE w:val="0"/>
        <w:autoSpaceDN w:val="0"/>
        <w:adjustRightInd w:val="0"/>
        <w:rPr>
          <w:rFonts w:eastAsia="Times New Roman"/>
          <w:sz w:val="20"/>
          <w:szCs w:val="20"/>
        </w:rPr>
      </w:pPr>
    </w:p>
    <w:p w:rsidR="0023594E" w:rsidRPr="00452D55" w:rsidRDefault="00F603E8" w:rsidP="0023594E">
      <w:pPr>
        <w:keepNext/>
        <w:autoSpaceDE w:val="0"/>
        <w:autoSpaceDN w:val="0"/>
        <w:adjustRightInd w:val="0"/>
        <w:jc w:val="center"/>
        <w:rPr>
          <w:sz w:val="20"/>
          <w:szCs w:val="20"/>
        </w:rPr>
      </w:pPr>
      <w:r>
        <w:rPr>
          <w:rFonts w:eastAsia="Times New Roman"/>
          <w:noProof/>
          <w:color w:val="000000"/>
          <w:sz w:val="20"/>
          <w:szCs w:val="20"/>
          <w:lang w:eastAsia="zh-CN"/>
        </w:rPr>
        <w:drawing>
          <wp:inline distT="0" distB="0" distL="0" distR="0">
            <wp:extent cx="4386408" cy="2970468"/>
            <wp:effectExtent l="5852" t="6060" r="8290" b="4797"/>
            <wp:docPr id="2" name="Chart 1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594E" w:rsidRPr="00452D55" w:rsidRDefault="0023594E" w:rsidP="0023594E">
      <w:pPr>
        <w:pStyle w:val="Caption"/>
        <w:jc w:val="center"/>
        <w:rPr>
          <w:b/>
          <w:color w:val="0D0D0D"/>
          <w:sz w:val="20"/>
          <w:szCs w:val="20"/>
        </w:rPr>
      </w:pPr>
      <w:bookmarkStart w:id="23" w:name="_Toc357713739"/>
      <w:r w:rsidRPr="00452D55">
        <w:rPr>
          <w:color w:val="0D0D0D"/>
          <w:sz w:val="20"/>
          <w:szCs w:val="20"/>
        </w:rPr>
        <w:t>Figure 2 - Night LST arithmetic mean for different land uses</w:t>
      </w:r>
      <w:bookmarkEnd w:id="23"/>
    </w:p>
    <w:p w:rsidR="0023594E" w:rsidRPr="00452D55" w:rsidRDefault="0023594E" w:rsidP="0023594E">
      <w:pPr>
        <w:widowControl w:val="0"/>
        <w:autoSpaceDE w:val="0"/>
        <w:autoSpaceDN w:val="0"/>
        <w:adjustRightInd w:val="0"/>
        <w:jc w:val="both"/>
        <w:rPr>
          <w:rFonts w:eastAsia="Times New Roman"/>
          <w:sz w:val="20"/>
          <w:szCs w:val="20"/>
        </w:rPr>
        <w:sectPr w:rsidR="0023594E" w:rsidRPr="00452D55" w:rsidSect="00F91BA1">
          <w:footnotePr>
            <w:pos w:val="beneathText"/>
          </w:footnotePr>
          <w:type w:val="continuous"/>
          <w:pgSz w:w="12240" w:h="15840" w:code="1"/>
          <w:pgMar w:top="1440" w:right="1440" w:bottom="1440" w:left="1440" w:header="720" w:footer="720" w:gutter="0"/>
          <w:cols w:space="720"/>
          <w:docGrid w:linePitch="360"/>
        </w:sectPr>
      </w:pPr>
    </w:p>
    <w:p w:rsidR="0023594E" w:rsidRPr="00452D55" w:rsidRDefault="0023594E" w:rsidP="0023594E">
      <w:pPr>
        <w:widowControl w:val="0"/>
        <w:autoSpaceDE w:val="0"/>
        <w:autoSpaceDN w:val="0"/>
        <w:adjustRightInd w:val="0"/>
        <w:ind w:firstLine="720"/>
        <w:jc w:val="both"/>
        <w:rPr>
          <w:rFonts w:eastAsia="Times New Roman"/>
          <w:sz w:val="20"/>
          <w:szCs w:val="20"/>
        </w:rPr>
      </w:pPr>
      <w:r w:rsidRPr="00452D55">
        <w:rPr>
          <w:rFonts w:eastAsia="Times New Roman"/>
          <w:sz w:val="20"/>
          <w:szCs w:val="20"/>
        </w:rPr>
        <w:lastRenderedPageBreak/>
        <w:t xml:space="preserve">The LST shows similarities for forest, greenhouse farming, inland water and open agriculture. To allocate statistically different groups to these land use types, post hoc analysis is done. The result of Bonferroni test indicates that open agriculture is statistically different from forest at the significance level of 0.05, which supports the result of Wickham (2012). Open agriculture is separated from all other land use types at the 0.01 significance level. Build up area, inland waterway and offshore area and recreational area are considered as distinct land use groups (P = 0.01). Greenhouse farming is disjointed from all land use types (P = 0.01), except forest. Forest is statistically different from build-up area, recreational area and inland waterway and offshore area at the level of 0.01. Forest and open agriculture are allocated to different groups at significance level of 0.05. In summary, forest and greenhouse farming are considered as a jointed group. However, the findings of the current part do not support some of the previous research of Quattrochi and Ridd (1998) that argued that thermal </w:t>
      </w:r>
      <w:r w:rsidRPr="00452D55">
        <w:rPr>
          <w:rFonts w:eastAsia="Times New Roman"/>
          <w:sz w:val="20"/>
          <w:szCs w:val="20"/>
        </w:rPr>
        <w:lastRenderedPageBreak/>
        <w:t xml:space="preserve">responses for vegetation can be highly different as a function of the biophysical properties of the vegetation. For any surface material, certain internal properties play important roles in governing the temperature of a body at equilibrium with its surroundings (Campbell, 2002). These thermal properties vary with soil type and its moisture content (Sandholt et al., 2002). Biophysical characteristics of different vegetation types affect the thermal behavior of different green land covers (Weng, 2004). </w:t>
      </w:r>
    </w:p>
    <w:p w:rsidR="0023594E" w:rsidRPr="00452D55" w:rsidRDefault="0023594E" w:rsidP="0023594E">
      <w:pPr>
        <w:widowControl w:val="0"/>
        <w:autoSpaceDE w:val="0"/>
        <w:autoSpaceDN w:val="0"/>
        <w:adjustRightInd w:val="0"/>
        <w:jc w:val="both"/>
        <w:rPr>
          <w:rFonts w:eastAsia="Times New Roman"/>
          <w:sz w:val="20"/>
          <w:szCs w:val="20"/>
        </w:rPr>
      </w:pPr>
    </w:p>
    <w:p w:rsidR="0023594E" w:rsidRPr="00452D55" w:rsidRDefault="0023594E" w:rsidP="0023594E">
      <w:pPr>
        <w:widowControl w:val="0"/>
        <w:autoSpaceDE w:val="0"/>
        <w:autoSpaceDN w:val="0"/>
        <w:adjustRightInd w:val="0"/>
        <w:ind w:firstLine="720"/>
        <w:jc w:val="both"/>
        <w:rPr>
          <w:rFonts w:eastAsia="Times New Roman"/>
          <w:sz w:val="20"/>
          <w:szCs w:val="20"/>
        </w:rPr>
      </w:pPr>
      <w:r w:rsidRPr="00452D55">
        <w:rPr>
          <w:rFonts w:eastAsia="Times New Roman"/>
          <w:sz w:val="20"/>
          <w:szCs w:val="20"/>
        </w:rPr>
        <w:t>Tab. 5 and Fig. 3 indicate the difference between day and night LST values for different land uses. LST is normally defined as soil surface temperature for the bare soil surface. For dense vegetated ground, LST is the canopy surface temperature and for sparse vegetated LST is determined by the mixed temperature of the vegetation canopy, vegetation body and the soil surface (Qin and Karnieli 1999).</w:t>
      </w:r>
    </w:p>
    <w:p w:rsidR="0023594E" w:rsidRPr="00452D55" w:rsidRDefault="0023594E" w:rsidP="0023594E">
      <w:pPr>
        <w:widowControl w:val="0"/>
        <w:autoSpaceDE w:val="0"/>
        <w:autoSpaceDN w:val="0"/>
        <w:adjustRightInd w:val="0"/>
        <w:ind w:firstLine="720"/>
        <w:jc w:val="both"/>
        <w:rPr>
          <w:rFonts w:eastAsia="Times New Roman"/>
          <w:sz w:val="20"/>
          <w:szCs w:val="20"/>
        </w:rPr>
      </w:pPr>
      <w:r w:rsidRPr="00452D55">
        <w:rPr>
          <w:rFonts w:eastAsia="Times New Roman"/>
          <w:sz w:val="20"/>
          <w:szCs w:val="20"/>
        </w:rPr>
        <w:t xml:space="preserve">Build-up area and open agriculture has the largest LST difference between day and night values. </w:t>
      </w:r>
      <w:r w:rsidRPr="00452D55">
        <w:rPr>
          <w:rFonts w:eastAsia="Times New Roman"/>
          <w:sz w:val="20"/>
          <w:szCs w:val="20"/>
        </w:rPr>
        <w:lastRenderedPageBreak/>
        <w:t xml:space="preserve">One interesting point is inland water LST pattern. Inland water has the maximum night LST, minimum day LST and the minimum LST difference between day and night. This is because the water temperature changes slowly due to high thermal inertia and convection (Sun, 2012). After inland water the lowest mean difference is for greenhouse farming, followed by forest, open agriculture, build-up area and recreational area. The present findings seem to be consistent with other research of </w:t>
      </w:r>
      <w:r w:rsidRPr="00452D55">
        <w:rPr>
          <w:noProof/>
          <w:sz w:val="20"/>
          <w:szCs w:val="20"/>
        </w:rPr>
        <w:t>Kant</w:t>
      </w:r>
      <w:r w:rsidRPr="00452D55">
        <w:rPr>
          <w:rFonts w:eastAsia="Times New Roman"/>
          <w:sz w:val="20"/>
          <w:szCs w:val="20"/>
        </w:rPr>
        <w:t xml:space="preserve"> et. al (2009), which found commercial/industrial and high dense built-up area to have high surface temperature values during day time, compared to water bodies, agricultural cropland, and dense vegetation. They also argued that night LST values are higher in dense built-up and water bodies, than in dense vegetation and agricultural cropland. Recreation is a mixed land use and it is not easy to interpret its LST behavior. The mean day and night LST difference of forest is 8.65 degree Celsius which is less than the open </w:t>
      </w:r>
      <w:r w:rsidRPr="00452D55">
        <w:rPr>
          <w:rFonts w:eastAsia="Times New Roman"/>
          <w:sz w:val="20"/>
          <w:szCs w:val="20"/>
        </w:rPr>
        <w:lastRenderedPageBreak/>
        <w:t>agriculture with 9.14 degree Celsius. Based on Goulden et. al (2006), and due to night drainage of cold air from upper canopy layer to ground level, upper levels of canopy are warmer than forest ground level. This process is more sensible in intact forests rather than sparse and short vegetation. Based on the process described above, intact forest shows a higher night LST than short vegetation and bare ground. Consequently the LST difference between day and night is lower (Goulden et al., 2006). The reason is that satellite sensors only measure the temperature of the top of forest canopies. High difference between open agriculture and build-up area LSTs can cause a strong UHI between build-up area and the surrounding open agricultural farms (</w:t>
      </w:r>
      <w:r w:rsidRPr="00452D55">
        <w:rPr>
          <w:color w:val="131313"/>
          <w:sz w:val="20"/>
          <w:szCs w:val="20"/>
        </w:rPr>
        <w:t>Xu, 2010</w:t>
      </w:r>
      <w:r w:rsidRPr="00452D55">
        <w:rPr>
          <w:rFonts w:eastAsia="Times New Roman"/>
          <w:sz w:val="20"/>
          <w:szCs w:val="20"/>
        </w:rPr>
        <w:t>). Based on table 5, the difference between build-up area and open agriculture land uses is 3.20 degree Celsius for day time and 2.41 degree Celsius for night time.</w:t>
      </w:r>
    </w:p>
    <w:p w:rsidR="0023594E" w:rsidRPr="00452D55" w:rsidRDefault="0023594E" w:rsidP="0023594E">
      <w:pPr>
        <w:widowControl w:val="0"/>
        <w:autoSpaceDE w:val="0"/>
        <w:autoSpaceDN w:val="0"/>
        <w:adjustRightInd w:val="0"/>
        <w:jc w:val="both"/>
        <w:rPr>
          <w:rFonts w:eastAsia="Times New Roman"/>
          <w:sz w:val="20"/>
          <w:szCs w:val="20"/>
        </w:rPr>
        <w:sectPr w:rsidR="0023594E" w:rsidRPr="00452D55" w:rsidSect="00F91BA1">
          <w:footnotePr>
            <w:pos w:val="beneathText"/>
          </w:footnotePr>
          <w:type w:val="continuous"/>
          <w:pgSz w:w="12240" w:h="15840" w:code="1"/>
          <w:pgMar w:top="1440" w:right="1440" w:bottom="1440" w:left="1440" w:header="720" w:footer="720" w:gutter="0"/>
          <w:cols w:num="2" w:space="720"/>
          <w:docGrid w:linePitch="360"/>
        </w:sectPr>
      </w:pPr>
    </w:p>
    <w:p w:rsidR="0023594E" w:rsidRPr="00452D55" w:rsidRDefault="0023594E" w:rsidP="0023594E">
      <w:pPr>
        <w:widowControl w:val="0"/>
        <w:autoSpaceDE w:val="0"/>
        <w:autoSpaceDN w:val="0"/>
        <w:adjustRightInd w:val="0"/>
        <w:jc w:val="both"/>
        <w:rPr>
          <w:rFonts w:eastAsia="Times New Roman"/>
          <w:sz w:val="20"/>
          <w:szCs w:val="20"/>
        </w:rPr>
      </w:pPr>
    </w:p>
    <w:p w:rsidR="0023594E" w:rsidRPr="00452D55" w:rsidRDefault="0023594E" w:rsidP="0023594E">
      <w:pPr>
        <w:pStyle w:val="Caption"/>
        <w:jc w:val="center"/>
        <w:rPr>
          <w:b/>
          <w:i w:val="0"/>
          <w:iCs w:val="0"/>
          <w:color w:val="0D0D0D"/>
          <w:sz w:val="20"/>
          <w:szCs w:val="20"/>
        </w:rPr>
      </w:pPr>
      <w:bookmarkStart w:id="24" w:name="_Toc357617261"/>
      <w:r w:rsidRPr="00452D55">
        <w:rPr>
          <w:i w:val="0"/>
          <w:iCs w:val="0"/>
          <w:color w:val="0D0D0D"/>
          <w:sz w:val="20"/>
          <w:szCs w:val="20"/>
        </w:rPr>
        <w:t>Table 5- The mean difference between day and night LST</w:t>
      </w:r>
      <w:bookmarkEnd w:id="24"/>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3"/>
        <w:gridCol w:w="1260"/>
        <w:gridCol w:w="1005"/>
        <w:gridCol w:w="1531"/>
        <w:gridCol w:w="1977"/>
      </w:tblGrid>
      <w:tr w:rsidR="0023594E" w:rsidRPr="00452D55" w:rsidTr="00373E66">
        <w:trPr>
          <w:trHeight w:val="272"/>
          <w:jc w:val="center"/>
        </w:trPr>
        <w:tc>
          <w:tcPr>
            <w:tcW w:w="3193" w:type="dxa"/>
            <w:shd w:val="clear" w:color="auto" w:fill="auto"/>
            <w:noWrap/>
            <w:vAlign w:val="bottom"/>
            <w:hideMark/>
          </w:tcPr>
          <w:p w:rsidR="0023594E" w:rsidRPr="00452D55" w:rsidRDefault="0023594E" w:rsidP="00F84972">
            <w:pPr>
              <w:rPr>
                <w:rFonts w:eastAsia="Times New Roman"/>
                <w:color w:val="000000"/>
                <w:sz w:val="20"/>
                <w:szCs w:val="20"/>
              </w:rPr>
            </w:pPr>
          </w:p>
        </w:tc>
        <w:tc>
          <w:tcPr>
            <w:tcW w:w="1260" w:type="dxa"/>
            <w:shd w:val="clear" w:color="auto" w:fill="auto"/>
            <w:noWrap/>
            <w:vAlign w:val="bottom"/>
            <w:hideMark/>
          </w:tcPr>
          <w:p w:rsidR="0023594E" w:rsidRPr="00452D55" w:rsidRDefault="0023594E" w:rsidP="00F84972">
            <w:pPr>
              <w:jc w:val="center"/>
              <w:rPr>
                <w:rFonts w:eastAsia="Times New Roman"/>
                <w:i/>
                <w:iCs/>
                <w:color w:val="000000"/>
                <w:sz w:val="20"/>
                <w:szCs w:val="20"/>
              </w:rPr>
            </w:pPr>
            <w:r w:rsidRPr="00452D55">
              <w:rPr>
                <w:rFonts w:eastAsia="Times New Roman"/>
                <w:i/>
                <w:iCs/>
                <w:color w:val="000000"/>
                <w:sz w:val="20"/>
                <w:szCs w:val="20"/>
              </w:rPr>
              <w:t>Arith. Mean(day)</w:t>
            </w:r>
          </w:p>
        </w:tc>
        <w:tc>
          <w:tcPr>
            <w:tcW w:w="1005" w:type="dxa"/>
          </w:tcPr>
          <w:p w:rsidR="0023594E" w:rsidRPr="00452D55" w:rsidRDefault="0023594E" w:rsidP="00F84972">
            <w:pPr>
              <w:jc w:val="center"/>
              <w:rPr>
                <w:rFonts w:eastAsia="Times New Roman"/>
                <w:i/>
                <w:iCs/>
                <w:color w:val="000000"/>
                <w:sz w:val="20"/>
                <w:szCs w:val="20"/>
              </w:rPr>
            </w:pPr>
          </w:p>
        </w:tc>
        <w:tc>
          <w:tcPr>
            <w:tcW w:w="1531" w:type="dxa"/>
            <w:shd w:val="clear" w:color="auto" w:fill="auto"/>
            <w:noWrap/>
            <w:vAlign w:val="bottom"/>
            <w:hideMark/>
          </w:tcPr>
          <w:p w:rsidR="0023594E" w:rsidRPr="00452D55" w:rsidRDefault="0023594E" w:rsidP="00F84972">
            <w:pPr>
              <w:jc w:val="center"/>
              <w:rPr>
                <w:rFonts w:eastAsia="Times New Roman"/>
                <w:i/>
                <w:iCs/>
                <w:color w:val="000000"/>
                <w:sz w:val="20"/>
                <w:szCs w:val="20"/>
              </w:rPr>
            </w:pPr>
            <w:r w:rsidRPr="00452D55">
              <w:rPr>
                <w:rFonts w:eastAsia="Times New Roman"/>
                <w:i/>
                <w:iCs/>
                <w:color w:val="000000"/>
                <w:sz w:val="20"/>
                <w:szCs w:val="20"/>
              </w:rPr>
              <w:t>Arith. Mean(night)</w:t>
            </w:r>
          </w:p>
        </w:tc>
        <w:tc>
          <w:tcPr>
            <w:tcW w:w="1977" w:type="dxa"/>
            <w:shd w:val="clear" w:color="auto" w:fill="auto"/>
            <w:noWrap/>
            <w:vAlign w:val="bottom"/>
            <w:hideMark/>
          </w:tcPr>
          <w:p w:rsidR="0023594E" w:rsidRPr="00452D55" w:rsidRDefault="0023594E" w:rsidP="00F84972">
            <w:pPr>
              <w:rPr>
                <w:rFonts w:eastAsia="Times New Roman"/>
                <w:color w:val="000000"/>
                <w:sz w:val="20"/>
                <w:szCs w:val="20"/>
              </w:rPr>
            </w:pPr>
            <w:r w:rsidRPr="00452D55">
              <w:rPr>
                <w:rFonts w:eastAsia="Times New Roman"/>
                <w:color w:val="000000"/>
                <w:sz w:val="20"/>
                <w:szCs w:val="20"/>
              </w:rPr>
              <w:t>Arith. Mean (Day-Night)</w:t>
            </w:r>
          </w:p>
        </w:tc>
      </w:tr>
      <w:tr w:rsidR="0023594E" w:rsidRPr="00452D55" w:rsidTr="00373E66">
        <w:trPr>
          <w:trHeight w:val="272"/>
          <w:jc w:val="center"/>
        </w:trPr>
        <w:tc>
          <w:tcPr>
            <w:tcW w:w="3193" w:type="dxa"/>
            <w:shd w:val="clear" w:color="auto" w:fill="auto"/>
            <w:noWrap/>
            <w:vAlign w:val="bottom"/>
            <w:hideMark/>
          </w:tcPr>
          <w:p w:rsidR="0023594E" w:rsidRPr="00452D55" w:rsidRDefault="0023594E" w:rsidP="00F84972">
            <w:pPr>
              <w:rPr>
                <w:rFonts w:eastAsia="Times New Roman"/>
                <w:color w:val="000000"/>
                <w:sz w:val="20"/>
                <w:szCs w:val="20"/>
              </w:rPr>
            </w:pPr>
            <w:r w:rsidRPr="00452D55">
              <w:rPr>
                <w:rFonts w:eastAsia="Times New Roman"/>
                <w:color w:val="000000"/>
                <w:sz w:val="20"/>
                <w:szCs w:val="20"/>
              </w:rPr>
              <w:t xml:space="preserve">Open agriculture </w:t>
            </w:r>
          </w:p>
        </w:tc>
        <w:tc>
          <w:tcPr>
            <w:tcW w:w="1260"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13.882</w:t>
            </w:r>
          </w:p>
        </w:tc>
        <w:tc>
          <w:tcPr>
            <w:tcW w:w="1005" w:type="dxa"/>
          </w:tcPr>
          <w:p w:rsidR="0023594E" w:rsidRPr="00452D55" w:rsidRDefault="0023594E" w:rsidP="00F84972">
            <w:pPr>
              <w:jc w:val="right"/>
              <w:rPr>
                <w:rFonts w:eastAsia="Times New Roman"/>
                <w:color w:val="000000"/>
                <w:sz w:val="20"/>
                <w:szCs w:val="20"/>
              </w:rPr>
            </w:pPr>
          </w:p>
        </w:tc>
        <w:tc>
          <w:tcPr>
            <w:tcW w:w="1531"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4.733</w:t>
            </w:r>
          </w:p>
        </w:tc>
        <w:tc>
          <w:tcPr>
            <w:tcW w:w="1977"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9.149</w:t>
            </w:r>
          </w:p>
        </w:tc>
      </w:tr>
      <w:tr w:rsidR="0023594E" w:rsidRPr="00452D55" w:rsidTr="00373E66">
        <w:trPr>
          <w:trHeight w:val="272"/>
          <w:jc w:val="center"/>
        </w:trPr>
        <w:tc>
          <w:tcPr>
            <w:tcW w:w="3193" w:type="dxa"/>
            <w:shd w:val="clear" w:color="auto" w:fill="auto"/>
            <w:noWrap/>
            <w:vAlign w:val="bottom"/>
            <w:hideMark/>
          </w:tcPr>
          <w:p w:rsidR="0023594E" w:rsidRPr="00452D55" w:rsidRDefault="0023594E" w:rsidP="00F84972">
            <w:pPr>
              <w:rPr>
                <w:rFonts w:eastAsia="Times New Roman"/>
                <w:color w:val="000000"/>
                <w:sz w:val="20"/>
                <w:szCs w:val="20"/>
              </w:rPr>
            </w:pPr>
            <w:r w:rsidRPr="00452D55">
              <w:rPr>
                <w:rFonts w:eastAsia="Times New Roman"/>
                <w:color w:val="000000"/>
                <w:sz w:val="20"/>
                <w:szCs w:val="20"/>
              </w:rPr>
              <w:t>Build-up area</w:t>
            </w:r>
          </w:p>
        </w:tc>
        <w:tc>
          <w:tcPr>
            <w:tcW w:w="1260"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17.091</w:t>
            </w:r>
          </w:p>
        </w:tc>
        <w:tc>
          <w:tcPr>
            <w:tcW w:w="1005" w:type="dxa"/>
          </w:tcPr>
          <w:p w:rsidR="0023594E" w:rsidRPr="00452D55" w:rsidRDefault="0023594E" w:rsidP="00F84972">
            <w:pPr>
              <w:jc w:val="right"/>
              <w:rPr>
                <w:rFonts w:eastAsia="Times New Roman"/>
                <w:color w:val="000000"/>
                <w:sz w:val="20"/>
                <w:szCs w:val="20"/>
              </w:rPr>
            </w:pPr>
          </w:p>
        </w:tc>
        <w:tc>
          <w:tcPr>
            <w:tcW w:w="1531"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7.149</w:t>
            </w:r>
          </w:p>
        </w:tc>
        <w:tc>
          <w:tcPr>
            <w:tcW w:w="1977"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9.942</w:t>
            </w:r>
          </w:p>
        </w:tc>
      </w:tr>
      <w:tr w:rsidR="0023594E" w:rsidRPr="00452D55" w:rsidTr="00373E66">
        <w:trPr>
          <w:trHeight w:val="272"/>
          <w:jc w:val="center"/>
        </w:trPr>
        <w:tc>
          <w:tcPr>
            <w:tcW w:w="3193" w:type="dxa"/>
            <w:shd w:val="clear" w:color="auto" w:fill="auto"/>
            <w:noWrap/>
            <w:vAlign w:val="bottom"/>
            <w:hideMark/>
          </w:tcPr>
          <w:p w:rsidR="0023594E" w:rsidRPr="00452D55" w:rsidRDefault="0023594E" w:rsidP="00F84972">
            <w:pPr>
              <w:rPr>
                <w:rFonts w:eastAsia="Times New Roman"/>
                <w:color w:val="000000"/>
                <w:sz w:val="20"/>
                <w:szCs w:val="20"/>
              </w:rPr>
            </w:pPr>
            <w:r w:rsidRPr="00452D55">
              <w:rPr>
                <w:rFonts w:eastAsia="Times New Roman"/>
                <w:color w:val="000000"/>
                <w:sz w:val="20"/>
                <w:szCs w:val="20"/>
              </w:rPr>
              <w:t>Recreational  area</w:t>
            </w:r>
          </w:p>
        </w:tc>
        <w:tc>
          <w:tcPr>
            <w:tcW w:w="1260"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15.386</w:t>
            </w:r>
          </w:p>
        </w:tc>
        <w:tc>
          <w:tcPr>
            <w:tcW w:w="1005" w:type="dxa"/>
          </w:tcPr>
          <w:p w:rsidR="0023594E" w:rsidRPr="00452D55" w:rsidRDefault="0023594E" w:rsidP="00F84972">
            <w:pPr>
              <w:jc w:val="right"/>
              <w:rPr>
                <w:rFonts w:eastAsia="Times New Roman"/>
                <w:color w:val="000000"/>
                <w:sz w:val="20"/>
                <w:szCs w:val="20"/>
              </w:rPr>
            </w:pPr>
          </w:p>
        </w:tc>
        <w:tc>
          <w:tcPr>
            <w:tcW w:w="1531"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5.302</w:t>
            </w:r>
          </w:p>
        </w:tc>
        <w:tc>
          <w:tcPr>
            <w:tcW w:w="1977"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10.084</w:t>
            </w:r>
          </w:p>
        </w:tc>
      </w:tr>
      <w:tr w:rsidR="0023594E" w:rsidRPr="00452D55" w:rsidTr="00373E66">
        <w:trPr>
          <w:trHeight w:val="272"/>
          <w:jc w:val="center"/>
        </w:trPr>
        <w:tc>
          <w:tcPr>
            <w:tcW w:w="3193" w:type="dxa"/>
            <w:shd w:val="clear" w:color="auto" w:fill="auto"/>
            <w:noWrap/>
            <w:vAlign w:val="bottom"/>
            <w:hideMark/>
          </w:tcPr>
          <w:p w:rsidR="0023594E" w:rsidRPr="00452D55" w:rsidRDefault="0023594E" w:rsidP="00F84972">
            <w:pPr>
              <w:rPr>
                <w:rFonts w:eastAsia="Times New Roman"/>
                <w:color w:val="000000"/>
                <w:sz w:val="20"/>
                <w:szCs w:val="20"/>
              </w:rPr>
            </w:pPr>
            <w:r w:rsidRPr="00452D55">
              <w:rPr>
                <w:rFonts w:eastAsia="Times New Roman"/>
                <w:color w:val="000000"/>
                <w:sz w:val="20"/>
                <w:szCs w:val="20"/>
              </w:rPr>
              <w:t>Greenhouse farming</w:t>
            </w:r>
          </w:p>
        </w:tc>
        <w:tc>
          <w:tcPr>
            <w:tcW w:w="1260"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12.651</w:t>
            </w:r>
          </w:p>
        </w:tc>
        <w:tc>
          <w:tcPr>
            <w:tcW w:w="1005" w:type="dxa"/>
          </w:tcPr>
          <w:p w:rsidR="0023594E" w:rsidRPr="00452D55" w:rsidRDefault="0023594E" w:rsidP="00F84972">
            <w:pPr>
              <w:jc w:val="right"/>
              <w:rPr>
                <w:rFonts w:eastAsia="Times New Roman"/>
                <w:color w:val="000000"/>
                <w:sz w:val="20"/>
                <w:szCs w:val="20"/>
              </w:rPr>
            </w:pPr>
          </w:p>
        </w:tc>
        <w:tc>
          <w:tcPr>
            <w:tcW w:w="1531"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5.311</w:t>
            </w:r>
          </w:p>
        </w:tc>
        <w:tc>
          <w:tcPr>
            <w:tcW w:w="1977"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7.340</w:t>
            </w:r>
          </w:p>
        </w:tc>
      </w:tr>
      <w:tr w:rsidR="0023594E" w:rsidRPr="00452D55" w:rsidTr="00373E66">
        <w:trPr>
          <w:trHeight w:val="272"/>
          <w:jc w:val="center"/>
        </w:trPr>
        <w:tc>
          <w:tcPr>
            <w:tcW w:w="3193" w:type="dxa"/>
            <w:shd w:val="clear" w:color="auto" w:fill="auto"/>
            <w:noWrap/>
            <w:vAlign w:val="bottom"/>
            <w:hideMark/>
          </w:tcPr>
          <w:p w:rsidR="0023594E" w:rsidRPr="00452D55" w:rsidRDefault="0023594E" w:rsidP="00F84972">
            <w:pPr>
              <w:rPr>
                <w:rFonts w:eastAsia="Times New Roman"/>
                <w:color w:val="000000"/>
                <w:sz w:val="20"/>
                <w:szCs w:val="20"/>
              </w:rPr>
            </w:pPr>
            <w:r w:rsidRPr="00452D55">
              <w:rPr>
                <w:rFonts w:eastAsia="Times New Roman"/>
                <w:color w:val="000000"/>
                <w:sz w:val="20"/>
                <w:szCs w:val="20"/>
              </w:rPr>
              <w:t>Forest</w:t>
            </w:r>
          </w:p>
        </w:tc>
        <w:tc>
          <w:tcPr>
            <w:tcW w:w="1260"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13.013</w:t>
            </w:r>
          </w:p>
        </w:tc>
        <w:tc>
          <w:tcPr>
            <w:tcW w:w="1005" w:type="dxa"/>
          </w:tcPr>
          <w:p w:rsidR="0023594E" w:rsidRPr="00452D55" w:rsidRDefault="0023594E" w:rsidP="00F84972">
            <w:pPr>
              <w:jc w:val="right"/>
              <w:rPr>
                <w:rFonts w:eastAsia="Times New Roman"/>
                <w:color w:val="000000"/>
                <w:sz w:val="20"/>
                <w:szCs w:val="20"/>
              </w:rPr>
            </w:pPr>
          </w:p>
        </w:tc>
        <w:tc>
          <w:tcPr>
            <w:tcW w:w="1531"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4.363</w:t>
            </w:r>
          </w:p>
        </w:tc>
        <w:tc>
          <w:tcPr>
            <w:tcW w:w="1977"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8.650</w:t>
            </w:r>
          </w:p>
        </w:tc>
      </w:tr>
      <w:tr w:rsidR="0023594E" w:rsidRPr="00452D55" w:rsidTr="00373E66">
        <w:trPr>
          <w:trHeight w:val="286"/>
          <w:jc w:val="center"/>
        </w:trPr>
        <w:tc>
          <w:tcPr>
            <w:tcW w:w="3193" w:type="dxa"/>
            <w:shd w:val="clear" w:color="auto" w:fill="auto"/>
            <w:noWrap/>
            <w:vAlign w:val="bottom"/>
            <w:hideMark/>
          </w:tcPr>
          <w:p w:rsidR="0023594E" w:rsidRPr="00452D55" w:rsidRDefault="0023594E" w:rsidP="00F84972">
            <w:pPr>
              <w:rPr>
                <w:rFonts w:eastAsia="Times New Roman"/>
                <w:color w:val="000000"/>
                <w:sz w:val="20"/>
                <w:szCs w:val="20"/>
              </w:rPr>
            </w:pPr>
            <w:r w:rsidRPr="00452D55">
              <w:rPr>
                <w:rFonts w:eastAsia="Times New Roman"/>
                <w:color w:val="000000"/>
                <w:sz w:val="20"/>
                <w:szCs w:val="20"/>
              </w:rPr>
              <w:t>Inland waterway and Offshore area</w:t>
            </w:r>
          </w:p>
        </w:tc>
        <w:tc>
          <w:tcPr>
            <w:tcW w:w="1260"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11.689</w:t>
            </w:r>
          </w:p>
        </w:tc>
        <w:tc>
          <w:tcPr>
            <w:tcW w:w="1005" w:type="dxa"/>
          </w:tcPr>
          <w:p w:rsidR="0023594E" w:rsidRPr="00452D55" w:rsidRDefault="0023594E" w:rsidP="00F84972">
            <w:pPr>
              <w:jc w:val="right"/>
              <w:rPr>
                <w:rFonts w:eastAsia="Times New Roman"/>
                <w:color w:val="000000"/>
                <w:sz w:val="20"/>
                <w:szCs w:val="20"/>
              </w:rPr>
            </w:pPr>
          </w:p>
        </w:tc>
        <w:tc>
          <w:tcPr>
            <w:tcW w:w="1531"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8.019</w:t>
            </w:r>
          </w:p>
        </w:tc>
        <w:tc>
          <w:tcPr>
            <w:tcW w:w="1977" w:type="dxa"/>
            <w:shd w:val="clear" w:color="auto" w:fill="auto"/>
            <w:noWrap/>
            <w:vAlign w:val="bottom"/>
            <w:hideMark/>
          </w:tcPr>
          <w:p w:rsidR="0023594E" w:rsidRPr="00452D55" w:rsidRDefault="0023594E" w:rsidP="00F84972">
            <w:pPr>
              <w:jc w:val="right"/>
              <w:rPr>
                <w:rFonts w:eastAsia="Times New Roman"/>
                <w:color w:val="000000"/>
                <w:sz w:val="20"/>
                <w:szCs w:val="20"/>
              </w:rPr>
            </w:pPr>
            <w:r w:rsidRPr="00452D55">
              <w:rPr>
                <w:rFonts w:eastAsia="Times New Roman"/>
                <w:color w:val="000000"/>
                <w:sz w:val="20"/>
                <w:szCs w:val="20"/>
              </w:rPr>
              <w:t>3.670</w:t>
            </w:r>
          </w:p>
        </w:tc>
      </w:tr>
    </w:tbl>
    <w:p w:rsidR="0023594E" w:rsidRPr="00452D55" w:rsidRDefault="0023594E" w:rsidP="0023594E">
      <w:pPr>
        <w:widowControl w:val="0"/>
        <w:autoSpaceDE w:val="0"/>
        <w:autoSpaceDN w:val="0"/>
        <w:adjustRightInd w:val="0"/>
        <w:jc w:val="center"/>
        <w:rPr>
          <w:rFonts w:eastAsia="Times New Roman"/>
          <w:sz w:val="20"/>
          <w:szCs w:val="20"/>
        </w:rPr>
      </w:pPr>
    </w:p>
    <w:p w:rsidR="0023594E" w:rsidRPr="00452D55" w:rsidRDefault="00F603E8" w:rsidP="0023594E">
      <w:pPr>
        <w:widowControl w:val="0"/>
        <w:autoSpaceDE w:val="0"/>
        <w:autoSpaceDN w:val="0"/>
        <w:adjustRightInd w:val="0"/>
        <w:jc w:val="center"/>
        <w:rPr>
          <w:rFonts w:eastAsia="Times New Roman"/>
          <w:sz w:val="20"/>
          <w:szCs w:val="20"/>
        </w:rPr>
      </w:pPr>
      <w:r>
        <w:rPr>
          <w:rFonts w:eastAsia="Times New Roman"/>
          <w:noProof/>
          <w:sz w:val="20"/>
          <w:szCs w:val="20"/>
          <w:lang w:eastAsia="zh-CN"/>
        </w:rPr>
        <w:drawing>
          <wp:inline distT="0" distB="0" distL="0" distR="0">
            <wp:extent cx="4038600" cy="2333625"/>
            <wp:effectExtent l="19050" t="0" r="0" b="0"/>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8" cstate="print"/>
                    <a:srcRect/>
                    <a:stretch>
                      <a:fillRect/>
                    </a:stretch>
                  </pic:blipFill>
                  <pic:spPr bwMode="auto">
                    <a:xfrm>
                      <a:off x="0" y="0"/>
                      <a:ext cx="4038600" cy="2333625"/>
                    </a:xfrm>
                    <a:prstGeom prst="rect">
                      <a:avLst/>
                    </a:prstGeom>
                    <a:noFill/>
                    <a:ln w="9525">
                      <a:noFill/>
                      <a:miter lim="800000"/>
                      <a:headEnd/>
                      <a:tailEnd/>
                    </a:ln>
                  </pic:spPr>
                </pic:pic>
              </a:graphicData>
            </a:graphic>
          </wp:inline>
        </w:drawing>
      </w:r>
    </w:p>
    <w:p w:rsidR="0023594E" w:rsidRPr="00452D55" w:rsidRDefault="0023594E" w:rsidP="00B473AE">
      <w:pPr>
        <w:tabs>
          <w:tab w:val="left" w:pos="930"/>
        </w:tabs>
        <w:suppressAutoHyphens w:val="0"/>
        <w:snapToGrid w:val="0"/>
        <w:jc w:val="center"/>
        <w:rPr>
          <w:rFonts w:eastAsia="Times New Roman"/>
          <w:color w:val="000000"/>
          <w:sz w:val="20"/>
          <w:szCs w:val="20"/>
        </w:rPr>
      </w:pPr>
      <w:bookmarkStart w:id="25" w:name="_Toc357713740"/>
      <w:r w:rsidRPr="00452D55">
        <w:rPr>
          <w:i/>
          <w:iCs/>
          <w:color w:val="0D0D0D"/>
          <w:sz w:val="20"/>
          <w:szCs w:val="20"/>
        </w:rPr>
        <w:t>Figure 3- The mean difference between day and night LST, Figure shows the difference between mean day and night LST for different land use types</w:t>
      </w:r>
      <w:bookmarkEnd w:id="25"/>
    </w:p>
    <w:p w:rsidR="0023594E" w:rsidRPr="00452D55" w:rsidRDefault="0023594E" w:rsidP="007F7839">
      <w:pPr>
        <w:tabs>
          <w:tab w:val="left" w:pos="930"/>
        </w:tabs>
        <w:suppressAutoHyphens w:val="0"/>
        <w:snapToGrid w:val="0"/>
        <w:jc w:val="both"/>
        <w:rPr>
          <w:rFonts w:eastAsia="Times New Roman"/>
          <w:b/>
          <w:bCs/>
          <w:color w:val="000000"/>
          <w:sz w:val="20"/>
          <w:szCs w:val="20"/>
        </w:rPr>
        <w:sectPr w:rsidR="0023594E" w:rsidRPr="00452D55" w:rsidSect="0023594E">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720"/>
          <w:docGrid w:linePitch="360"/>
        </w:sectPr>
      </w:pPr>
    </w:p>
    <w:p w:rsidR="006F7347" w:rsidRPr="00452D55" w:rsidRDefault="006F7347" w:rsidP="007F7839">
      <w:pPr>
        <w:tabs>
          <w:tab w:val="left" w:pos="930"/>
        </w:tabs>
        <w:suppressAutoHyphens w:val="0"/>
        <w:snapToGrid w:val="0"/>
        <w:jc w:val="both"/>
        <w:rPr>
          <w:rFonts w:eastAsia="Times New Roman"/>
          <w:b/>
          <w:bCs/>
          <w:color w:val="000000"/>
          <w:sz w:val="20"/>
          <w:szCs w:val="20"/>
        </w:rPr>
      </w:pPr>
      <w:r w:rsidRPr="00452D55">
        <w:rPr>
          <w:rFonts w:eastAsia="Times New Roman"/>
          <w:b/>
          <w:bCs/>
          <w:color w:val="000000"/>
          <w:sz w:val="20"/>
          <w:szCs w:val="20"/>
        </w:rPr>
        <w:lastRenderedPageBreak/>
        <w:t>References:</w:t>
      </w:r>
    </w:p>
    <w:p w:rsidR="006F7347" w:rsidRPr="00452D55" w:rsidRDefault="006F7347" w:rsidP="007F7839">
      <w:pPr>
        <w:numPr>
          <w:ilvl w:val="0"/>
          <w:numId w:val="23"/>
        </w:numPr>
        <w:suppressAutoHyphens w:val="0"/>
        <w:autoSpaceDE w:val="0"/>
        <w:autoSpaceDN w:val="0"/>
        <w:adjustRightInd w:val="0"/>
        <w:snapToGrid w:val="0"/>
        <w:jc w:val="both"/>
        <w:rPr>
          <w:noProof/>
          <w:color w:val="0D0D0D"/>
          <w:sz w:val="20"/>
          <w:szCs w:val="20"/>
        </w:rPr>
      </w:pPr>
      <w:r w:rsidRPr="00452D55">
        <w:rPr>
          <w:noProof/>
          <w:sz w:val="20"/>
          <w:szCs w:val="20"/>
        </w:rPr>
        <w:t xml:space="preserve">Campbell, D. and Campbell, S. 2008. Statlab Workshop Introduction to Regression and Data </w:t>
      </w:r>
      <w:r w:rsidRPr="00452D55">
        <w:rPr>
          <w:noProof/>
          <w:sz w:val="20"/>
          <w:szCs w:val="20"/>
        </w:rPr>
        <w:lastRenderedPageBreak/>
        <w:t>Analysis. StatLab Workshop Series 2008, available at:</w:t>
      </w:r>
      <w:r w:rsidR="003D1FB9" w:rsidRPr="00452D55">
        <w:rPr>
          <w:noProof/>
          <w:sz w:val="20"/>
          <w:szCs w:val="20"/>
        </w:rPr>
        <w:t xml:space="preserve"> </w:t>
      </w:r>
      <w:hyperlink r:id="rId22" w:history="1">
        <w:r w:rsidRPr="00452D55">
          <w:rPr>
            <w:rStyle w:val="Hyperlink"/>
            <w:noProof/>
            <w:color w:val="0D0D0D"/>
            <w:sz w:val="20"/>
            <w:szCs w:val="20"/>
          </w:rPr>
          <w:t>http://www.yale.edu/statlab</w:t>
        </w:r>
      </w:hyperlink>
      <w:r w:rsidRPr="00452D55">
        <w:rPr>
          <w:noProof/>
          <w:color w:val="0D0D0D"/>
          <w:sz w:val="20"/>
          <w:szCs w:val="20"/>
        </w:rPr>
        <w:t>.</w:t>
      </w:r>
    </w:p>
    <w:p w:rsidR="006F7347" w:rsidRPr="00452D55" w:rsidRDefault="006F7347" w:rsidP="007F7839">
      <w:pPr>
        <w:numPr>
          <w:ilvl w:val="0"/>
          <w:numId w:val="23"/>
        </w:numPr>
        <w:suppressAutoHyphens w:val="0"/>
        <w:snapToGrid w:val="0"/>
        <w:jc w:val="both"/>
        <w:rPr>
          <w:sz w:val="20"/>
          <w:szCs w:val="20"/>
          <w:lang w:val="sv-SE"/>
        </w:rPr>
      </w:pPr>
      <w:r w:rsidRPr="00452D55">
        <w:rPr>
          <w:sz w:val="20"/>
          <w:szCs w:val="20"/>
        </w:rPr>
        <w:t xml:space="preserve">Davin, E.L. and De Noblet-Ducoudré, N. 2010. Climatic impact of global-scale deforestation: </w:t>
      </w:r>
      <w:r w:rsidRPr="00452D55">
        <w:rPr>
          <w:sz w:val="20"/>
          <w:szCs w:val="20"/>
        </w:rPr>
        <w:lastRenderedPageBreak/>
        <w:t xml:space="preserve">radiative versus non-radiative processes. </w:t>
      </w:r>
      <w:r w:rsidRPr="00452D55">
        <w:rPr>
          <w:sz w:val="20"/>
          <w:szCs w:val="20"/>
          <w:lang w:val="sv-SE"/>
        </w:rPr>
        <w:t>Clim. 23, 97–112</w:t>
      </w:r>
      <w:r w:rsidR="00272380" w:rsidRPr="00452D55">
        <w:rPr>
          <w:sz w:val="20"/>
          <w:szCs w:val="20"/>
          <w:lang w:val="sv-SE" w:eastAsia="zh-CN"/>
        </w:rPr>
        <w:t>.</w:t>
      </w:r>
    </w:p>
    <w:p w:rsidR="006F7347" w:rsidRPr="00452D55" w:rsidRDefault="006F7347" w:rsidP="007F7839">
      <w:pPr>
        <w:numPr>
          <w:ilvl w:val="0"/>
          <w:numId w:val="23"/>
        </w:numPr>
        <w:suppressAutoHyphens w:val="0"/>
        <w:snapToGrid w:val="0"/>
        <w:jc w:val="both"/>
        <w:rPr>
          <w:noProof/>
          <w:sz w:val="20"/>
          <w:szCs w:val="20"/>
        </w:rPr>
      </w:pPr>
      <w:r w:rsidRPr="00452D55">
        <w:rPr>
          <w:noProof/>
          <w:sz w:val="20"/>
          <w:szCs w:val="20"/>
        </w:rPr>
        <w:t>Guo, Z. Wang, S.D., et al. 2012. Assess the effect of different degrees of urbanization on land surface temperature using remote sensing images. Procedia Environmental Sciences, 13, 935-942, doi:10.1016/j.proenv.2012.01.087.</w:t>
      </w:r>
    </w:p>
    <w:p w:rsidR="006F7347" w:rsidRPr="00452D55" w:rsidRDefault="006F7347" w:rsidP="007F7839">
      <w:pPr>
        <w:numPr>
          <w:ilvl w:val="0"/>
          <w:numId w:val="23"/>
        </w:numPr>
        <w:suppressAutoHyphens w:val="0"/>
        <w:snapToGrid w:val="0"/>
        <w:jc w:val="both"/>
        <w:rPr>
          <w:noProof/>
          <w:sz w:val="20"/>
          <w:szCs w:val="20"/>
        </w:rPr>
      </w:pPr>
      <w:bookmarkStart w:id="26" w:name="_ENREF_4"/>
      <w:r w:rsidRPr="00452D55">
        <w:rPr>
          <w:noProof/>
          <w:sz w:val="20"/>
          <w:szCs w:val="20"/>
          <w:lang w:val="sv-SE"/>
        </w:rPr>
        <w:t xml:space="preserve">Keramitsoglou, I., Kiranoudis, C. T. et al. 2011. </w:t>
      </w:r>
      <w:r w:rsidRPr="00452D55">
        <w:rPr>
          <w:noProof/>
          <w:sz w:val="20"/>
          <w:szCs w:val="20"/>
        </w:rPr>
        <w:t>Identification and analysis of urban surface temperature patterns in Greater Athens, Greece, using MODIS imagery. Remote Sensing of Environment 115(12): 3080-3090.</w:t>
      </w:r>
      <w:bookmarkEnd w:id="26"/>
    </w:p>
    <w:p w:rsidR="006F7347" w:rsidRPr="00452D55" w:rsidRDefault="006F7347" w:rsidP="007F7839">
      <w:pPr>
        <w:numPr>
          <w:ilvl w:val="0"/>
          <w:numId w:val="23"/>
        </w:numPr>
        <w:suppressAutoHyphens w:val="0"/>
        <w:snapToGrid w:val="0"/>
        <w:jc w:val="both"/>
        <w:rPr>
          <w:noProof/>
          <w:sz w:val="20"/>
          <w:szCs w:val="20"/>
        </w:rPr>
      </w:pPr>
      <w:r w:rsidRPr="00452D55">
        <w:rPr>
          <w:noProof/>
          <w:sz w:val="20"/>
          <w:szCs w:val="20"/>
        </w:rPr>
        <w:t xml:space="preserve">Marzban, C., R. Illian, D. et al. 2013. </w:t>
      </w:r>
      <w:hyperlink r:id="rId23" w:history="1">
        <w:r w:rsidRPr="00452D55">
          <w:rPr>
            <w:noProof/>
            <w:sz w:val="20"/>
            <w:szCs w:val="20"/>
          </w:rPr>
          <w:t>Within-group</w:t>
        </w:r>
      </w:hyperlink>
      <w:r w:rsidRPr="00452D55">
        <w:rPr>
          <w:noProof/>
          <w:sz w:val="20"/>
          <w:szCs w:val="20"/>
        </w:rPr>
        <w:t xml:space="preserve"> and between-group correlation: Illustration on noninvasive estimation of intracranial pressure. Submitted to the IEEE Journal of Biomedical and Health Informatics. (A </w:t>
      </w:r>
      <w:hyperlink r:id="rId24" w:history="1">
        <w:r w:rsidRPr="00452D55">
          <w:rPr>
            <w:noProof/>
            <w:sz w:val="20"/>
            <w:szCs w:val="20"/>
          </w:rPr>
          <w:t>related paper</w:t>
        </w:r>
      </w:hyperlink>
      <w:r w:rsidRPr="00452D55">
        <w:rPr>
          <w:noProof/>
          <w:sz w:val="20"/>
          <w:szCs w:val="20"/>
        </w:rPr>
        <w:t xml:space="preserve"> with more detail has not been submitted for publication).</w:t>
      </w:r>
    </w:p>
    <w:p w:rsidR="006F7347" w:rsidRPr="00452D55" w:rsidRDefault="006F7347" w:rsidP="007F7839">
      <w:pPr>
        <w:numPr>
          <w:ilvl w:val="0"/>
          <w:numId w:val="23"/>
        </w:numPr>
        <w:suppressAutoHyphens w:val="0"/>
        <w:snapToGrid w:val="0"/>
        <w:jc w:val="both"/>
        <w:rPr>
          <w:noProof/>
          <w:sz w:val="20"/>
          <w:szCs w:val="20"/>
        </w:rPr>
      </w:pPr>
      <w:r w:rsidRPr="00452D55">
        <w:rPr>
          <w:noProof/>
          <w:sz w:val="20"/>
          <w:szCs w:val="20"/>
        </w:rPr>
        <w:t xml:space="preserve">Sun, Q., Wu, Z., et al. 2012. The relationship between land surface temperature and land </w:t>
      </w:r>
      <w:r w:rsidRPr="00452D55">
        <w:rPr>
          <w:noProof/>
          <w:sz w:val="20"/>
          <w:szCs w:val="20"/>
        </w:rPr>
        <w:lastRenderedPageBreak/>
        <w:t>use/land cover in Guangzhou, China. Environ Earth Sci, 65, 1687-1694, doi: 10.1007/s12665-011-1145-2.</w:t>
      </w:r>
    </w:p>
    <w:p w:rsidR="006F7347" w:rsidRPr="00452D55" w:rsidRDefault="006F7347" w:rsidP="007F7839">
      <w:pPr>
        <w:numPr>
          <w:ilvl w:val="0"/>
          <w:numId w:val="23"/>
        </w:numPr>
        <w:suppressAutoHyphens w:val="0"/>
        <w:snapToGrid w:val="0"/>
        <w:jc w:val="both"/>
        <w:rPr>
          <w:noProof/>
          <w:sz w:val="20"/>
          <w:szCs w:val="20"/>
        </w:rPr>
      </w:pPr>
      <w:r w:rsidRPr="00452D55">
        <w:rPr>
          <w:noProof/>
          <w:sz w:val="20"/>
          <w:szCs w:val="20"/>
        </w:rPr>
        <w:t>Su, Y.F., Foody, G.M., et al. 2012. Spatial non-stationarity in the relationships between land cover and surface temperature in an urban heat island and its impacts on thermally sensitive populations. Landscape and Urban Planning, 107(2), Pages 172-180, doi:10.1016/j.landurbplan.2012.05.016.</w:t>
      </w:r>
    </w:p>
    <w:p w:rsidR="006F7347" w:rsidRPr="00452D55" w:rsidRDefault="006F7347" w:rsidP="007F7839">
      <w:pPr>
        <w:numPr>
          <w:ilvl w:val="0"/>
          <w:numId w:val="23"/>
        </w:numPr>
        <w:suppressAutoHyphens w:val="0"/>
        <w:autoSpaceDE w:val="0"/>
        <w:autoSpaceDN w:val="0"/>
        <w:adjustRightInd w:val="0"/>
        <w:snapToGrid w:val="0"/>
        <w:jc w:val="both"/>
        <w:rPr>
          <w:noProof/>
          <w:sz w:val="20"/>
          <w:szCs w:val="20"/>
        </w:rPr>
      </w:pPr>
      <w:r w:rsidRPr="00452D55">
        <w:rPr>
          <w:noProof/>
          <w:sz w:val="20"/>
          <w:szCs w:val="20"/>
        </w:rPr>
        <w:t>van Leeuwen, T.T., Frank, A.J.,</w:t>
      </w:r>
      <w:r w:rsidR="003D1FB9" w:rsidRPr="00452D55">
        <w:rPr>
          <w:noProof/>
          <w:sz w:val="20"/>
          <w:szCs w:val="20"/>
        </w:rPr>
        <w:t xml:space="preserve"> </w:t>
      </w:r>
      <w:r w:rsidRPr="00452D55">
        <w:rPr>
          <w:noProof/>
          <w:sz w:val="20"/>
          <w:szCs w:val="20"/>
        </w:rPr>
        <w:t>et al. 2011.</w:t>
      </w:r>
      <w:r w:rsidR="003D1FB9" w:rsidRPr="00452D55">
        <w:rPr>
          <w:noProof/>
          <w:sz w:val="20"/>
          <w:szCs w:val="20"/>
        </w:rPr>
        <w:t xml:space="preserve"> </w:t>
      </w:r>
      <w:r w:rsidRPr="00452D55">
        <w:rPr>
          <w:noProof/>
          <w:sz w:val="20"/>
          <w:szCs w:val="20"/>
        </w:rPr>
        <w:t>Optimal use of land surface temperature data to detect changes in tropical forest cover. JOURNAL OF GEOPHYSICAL RESEARCH, 116, G02002, doi:10.1029/2010JG001488.</w:t>
      </w:r>
    </w:p>
    <w:p w:rsidR="007F7839" w:rsidRPr="00452D55" w:rsidRDefault="006F7347" w:rsidP="007F7839">
      <w:pPr>
        <w:numPr>
          <w:ilvl w:val="0"/>
          <w:numId w:val="23"/>
        </w:numPr>
        <w:suppressAutoHyphens w:val="0"/>
        <w:snapToGrid w:val="0"/>
        <w:ind w:left="425" w:hanging="425"/>
        <w:jc w:val="both"/>
        <w:rPr>
          <w:rStyle w:val="hps"/>
          <w:sz w:val="20"/>
          <w:szCs w:val="20"/>
        </w:rPr>
      </w:pPr>
      <w:r w:rsidRPr="00452D55">
        <w:rPr>
          <w:rFonts w:eastAsia="Times New Roman"/>
          <w:color w:val="151515"/>
          <w:sz w:val="20"/>
          <w:szCs w:val="20"/>
        </w:rPr>
        <w:t>Wickham, J., T. Wade, and K. Riiters. 2012 Comparison of cropland and forest surface temperatures across the conterminous United States. AGRICULTURAL AND FOREST METEOROLOGY. Elsevier Science Ltd, New York, NY, 166:137-143.</w:t>
      </w:r>
      <w:r w:rsidR="00272380" w:rsidRPr="00452D55">
        <w:rPr>
          <w:color w:val="151515"/>
          <w:sz w:val="20"/>
          <w:szCs w:val="20"/>
          <w:lang w:eastAsia="zh-CN"/>
        </w:rPr>
        <w:t xml:space="preserve"> </w:t>
      </w:r>
    </w:p>
    <w:p w:rsidR="007F7839" w:rsidRPr="00452D55" w:rsidRDefault="007F7839" w:rsidP="007F7839">
      <w:pPr>
        <w:suppressAutoHyphens w:val="0"/>
        <w:snapToGrid w:val="0"/>
        <w:ind w:left="425" w:hanging="425"/>
        <w:jc w:val="both"/>
        <w:rPr>
          <w:rStyle w:val="hps"/>
          <w:sz w:val="20"/>
          <w:szCs w:val="20"/>
        </w:rPr>
        <w:sectPr w:rsidR="007F7839" w:rsidRPr="00452D55" w:rsidSect="0023594E">
          <w:footnotePr>
            <w:pos w:val="beneathText"/>
          </w:footnotePr>
          <w:type w:val="continuous"/>
          <w:pgSz w:w="12240" w:h="15840" w:code="1"/>
          <w:pgMar w:top="1440" w:right="1440" w:bottom="1440" w:left="1440" w:header="720" w:footer="720" w:gutter="0"/>
          <w:cols w:num="2" w:space="720"/>
          <w:docGrid w:linePitch="360"/>
        </w:sectPr>
      </w:pPr>
    </w:p>
    <w:p w:rsidR="007F7839" w:rsidRPr="00452D55" w:rsidRDefault="007F7839" w:rsidP="007F7839">
      <w:pPr>
        <w:suppressAutoHyphens w:val="0"/>
        <w:snapToGrid w:val="0"/>
        <w:ind w:left="425" w:hanging="425"/>
        <w:jc w:val="both"/>
        <w:rPr>
          <w:sz w:val="20"/>
          <w:szCs w:val="20"/>
        </w:rPr>
      </w:pPr>
    </w:p>
    <w:p w:rsidR="007F7839" w:rsidRPr="00452D55" w:rsidRDefault="007F7839" w:rsidP="007F7839">
      <w:pPr>
        <w:suppressAutoHyphens w:val="0"/>
        <w:snapToGrid w:val="0"/>
        <w:ind w:left="425" w:hanging="425"/>
        <w:jc w:val="both"/>
        <w:rPr>
          <w:sz w:val="20"/>
          <w:szCs w:val="20"/>
          <w:lang w:eastAsia="zh-CN"/>
        </w:rPr>
      </w:pPr>
    </w:p>
    <w:p w:rsidR="00FB1951" w:rsidRPr="00452D55" w:rsidRDefault="0023594E" w:rsidP="007F7839">
      <w:pPr>
        <w:suppressAutoHyphens w:val="0"/>
        <w:snapToGrid w:val="0"/>
        <w:ind w:left="425" w:hanging="425"/>
        <w:jc w:val="both"/>
        <w:rPr>
          <w:sz w:val="20"/>
          <w:szCs w:val="20"/>
        </w:rPr>
      </w:pPr>
      <w:r w:rsidRPr="00452D55">
        <w:rPr>
          <w:sz w:val="20"/>
          <w:szCs w:val="20"/>
        </w:rPr>
        <w:t>9/13/2015</w:t>
      </w:r>
    </w:p>
    <w:p w:rsidR="0023594E" w:rsidRPr="00452D55" w:rsidRDefault="0023594E" w:rsidP="007F7839">
      <w:pPr>
        <w:suppressAutoHyphens w:val="0"/>
        <w:snapToGrid w:val="0"/>
        <w:ind w:left="425" w:hanging="425"/>
        <w:jc w:val="both"/>
        <w:rPr>
          <w:sz w:val="20"/>
          <w:szCs w:val="20"/>
        </w:rPr>
      </w:pPr>
    </w:p>
    <w:sectPr w:rsidR="0023594E" w:rsidRPr="00452D55" w:rsidSect="0023594E">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CC2" w:rsidRDefault="006F0CC2">
      <w:r>
        <w:separator/>
      </w:r>
    </w:p>
  </w:endnote>
  <w:endnote w:type="continuationSeparator" w:id="0">
    <w:p w:rsidR="006F0CC2" w:rsidRDefault="006F0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94E" w:rsidRDefault="0075253B" w:rsidP="00B3167C">
    <w:pPr>
      <w:pStyle w:val="Footer"/>
      <w:framePr w:wrap="around" w:vAnchor="text" w:hAnchor="margin" w:xAlign="center" w:y="1"/>
      <w:rPr>
        <w:rStyle w:val="PageNumber"/>
      </w:rPr>
    </w:pPr>
    <w:r>
      <w:rPr>
        <w:rStyle w:val="PageNumber"/>
      </w:rPr>
      <w:fldChar w:fldCharType="begin"/>
    </w:r>
    <w:r w:rsidR="0023594E">
      <w:rPr>
        <w:rStyle w:val="PageNumber"/>
      </w:rPr>
      <w:instrText xml:space="preserve">PAGE  </w:instrText>
    </w:r>
    <w:r>
      <w:rPr>
        <w:rStyle w:val="PageNumber"/>
      </w:rPr>
      <w:fldChar w:fldCharType="end"/>
    </w:r>
  </w:p>
  <w:p w:rsidR="0023594E" w:rsidRDefault="002359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94E" w:rsidRPr="00B3167C" w:rsidRDefault="0023594E" w:rsidP="00090A06">
    <w:pPr>
      <w:pStyle w:val="Footer"/>
      <w:framePr w:wrap="around" w:vAnchor="text" w:hAnchor="margin" w:xAlign="center" w:y="1"/>
      <w:rPr>
        <w:rStyle w:val="PageNumber"/>
        <w:sz w:val="20"/>
        <w:szCs w:val="20"/>
      </w:rPr>
    </w:pPr>
    <w:r>
      <w:rPr>
        <w:rStyle w:val="PageNumber"/>
        <w:sz w:val="20"/>
        <w:szCs w:val="20"/>
      </w:rPr>
      <w:t>44</w:t>
    </w:r>
  </w:p>
  <w:p w:rsidR="0023594E" w:rsidRDefault="0075253B" w:rsidP="006E6ACB">
    <w:pPr>
      <w:jc w:val="center"/>
    </w:pPr>
    <w:hyperlink r:id="rId1" w:history="1">
      <w:r w:rsidR="0023594E" w:rsidRPr="0093330D">
        <w:rPr>
          <w:rStyle w:val="Hyperlink"/>
          <w:rFonts w:cs="Calibri"/>
          <w:sz w:val="20"/>
          <w:szCs w:val="20"/>
        </w:rPr>
        <w:t>http://www.sciencepub.net</w:t>
      </w:r>
      <w:r w:rsidR="0023594E" w:rsidRPr="0093330D">
        <w:rPr>
          <w:rStyle w:val="Hyperlink"/>
          <w:sz w:val="20"/>
          <w:szCs w:val="20"/>
        </w:rPr>
        <w:t>/newyork</w:t>
      </w:r>
    </w:hyperlink>
    <w:r w:rsidR="0023594E">
      <w:rPr>
        <w:bCs/>
        <w:sz w:val="20"/>
      </w:rPr>
      <w:t xml:space="preserve"> </w:t>
    </w:r>
    <w:r w:rsidR="0023594E">
      <w:rPr>
        <w:rFonts w:hint="eastAsia"/>
        <w:bCs/>
        <w:sz w:val="20"/>
      </w:rPr>
      <w:t xml:space="preserve">  </w:t>
    </w:r>
    <w:r w:rsidR="0023594E">
      <w:rPr>
        <w:bCs/>
        <w:sz w:val="20"/>
      </w:rPr>
      <w:t xml:space="preserve">  </w:t>
    </w:r>
    <w:r w:rsidR="0023594E">
      <w:rPr>
        <w:rFonts w:hint="eastAsia"/>
        <w:bCs/>
        <w:sz w:val="20"/>
      </w:rPr>
      <w:t xml:space="preserve">                   </w:t>
    </w:r>
    <w:r w:rsidR="0023594E">
      <w:rPr>
        <w:bCs/>
        <w:sz w:val="20"/>
      </w:rPr>
      <w:tab/>
    </w:r>
    <w:r w:rsidR="0023594E">
      <w:rPr>
        <w:bCs/>
        <w:sz w:val="20"/>
      </w:rPr>
      <w:tab/>
    </w:r>
    <w:r w:rsidR="0023594E">
      <w:rPr>
        <w:bCs/>
        <w:sz w:val="20"/>
      </w:rPr>
      <w:tab/>
    </w:r>
    <w:r w:rsidR="0023594E">
      <w:rPr>
        <w:rFonts w:hint="eastAsia"/>
        <w:bCs/>
        <w:sz w:val="20"/>
      </w:rPr>
      <w:t xml:space="preserve">                   </w:t>
    </w:r>
    <w:bookmarkStart w:id="16" w:name="OLE_LINK12"/>
    <w:bookmarkStart w:id="17" w:name="OLE_LINK13"/>
    <w:r>
      <w:rPr>
        <w:bCs/>
        <w:sz w:val="20"/>
      </w:rPr>
      <w:fldChar w:fldCharType="begin"/>
    </w:r>
    <w:r w:rsidR="0023594E">
      <w:rPr>
        <w:bCs/>
        <w:sz w:val="20"/>
      </w:rPr>
      <w:instrText xml:space="preserve"> HYPERLINK "mailto:</w:instrText>
    </w:r>
    <w:r w:rsidR="0023594E" w:rsidRPr="00E84DAB">
      <w:rPr>
        <w:bCs/>
        <w:sz w:val="20"/>
      </w:rPr>
      <w:instrText>newyorksci@gmail.com</w:instrText>
    </w:r>
    <w:r w:rsidR="0023594E">
      <w:rPr>
        <w:bCs/>
        <w:sz w:val="20"/>
      </w:rPr>
      <w:instrText xml:space="preserve">" </w:instrText>
    </w:r>
    <w:r>
      <w:rPr>
        <w:bCs/>
        <w:sz w:val="20"/>
      </w:rPr>
      <w:fldChar w:fldCharType="separate"/>
    </w:r>
    <w:r w:rsidR="0023594E" w:rsidRPr="00261027">
      <w:rPr>
        <w:rStyle w:val="Hyperlink"/>
        <w:bCs/>
        <w:sz w:val="20"/>
      </w:rPr>
      <w:t>newyorksci@gmail.com</w:t>
    </w:r>
    <w:r>
      <w:rPr>
        <w:bCs/>
        <w:sz w:val="20"/>
      </w:rPr>
      <w:fldChar w:fldCharType="end"/>
    </w:r>
    <w:bookmarkEnd w:id="16"/>
    <w:bookmarkEnd w:id="17"/>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39" w:rsidRDefault="0075253B" w:rsidP="00B3167C">
    <w:pPr>
      <w:pStyle w:val="Footer"/>
      <w:framePr w:wrap="around" w:vAnchor="text" w:hAnchor="margin" w:xAlign="center" w:y="1"/>
      <w:rPr>
        <w:rStyle w:val="PageNumber"/>
      </w:rPr>
    </w:pPr>
    <w:r>
      <w:rPr>
        <w:rStyle w:val="PageNumber"/>
      </w:rPr>
      <w:fldChar w:fldCharType="begin"/>
    </w:r>
    <w:r w:rsidR="007F7839">
      <w:rPr>
        <w:rStyle w:val="PageNumber"/>
      </w:rPr>
      <w:instrText xml:space="preserve">PAGE  </w:instrText>
    </w:r>
    <w:r>
      <w:rPr>
        <w:rStyle w:val="PageNumber"/>
      </w:rPr>
      <w:fldChar w:fldCharType="end"/>
    </w:r>
  </w:p>
  <w:p w:rsidR="007F7839" w:rsidRDefault="007F783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39" w:rsidRPr="00187D02" w:rsidRDefault="0075253B" w:rsidP="00187D02">
    <w:pPr>
      <w:jc w:val="center"/>
      <w:rPr>
        <w:sz w:val="20"/>
      </w:rPr>
    </w:pPr>
    <w:r w:rsidRPr="00187D02">
      <w:rPr>
        <w:sz w:val="20"/>
      </w:rPr>
      <w:fldChar w:fldCharType="begin"/>
    </w:r>
    <w:r w:rsidR="007F7839" w:rsidRPr="00187D02">
      <w:rPr>
        <w:sz w:val="20"/>
      </w:rPr>
      <w:instrText xml:space="preserve"> page </w:instrText>
    </w:r>
    <w:r w:rsidRPr="00187D02">
      <w:rPr>
        <w:sz w:val="20"/>
      </w:rPr>
      <w:fldChar w:fldCharType="separate"/>
    </w:r>
    <w:r w:rsidR="00DD2172">
      <w:rPr>
        <w:noProof/>
        <w:sz w:val="20"/>
      </w:rPr>
      <w:t>45</w:t>
    </w:r>
    <w:r w:rsidRPr="00187D0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39" w:rsidRDefault="0075253B" w:rsidP="00B3167C">
    <w:pPr>
      <w:pStyle w:val="Footer"/>
      <w:framePr w:wrap="around" w:vAnchor="text" w:hAnchor="margin" w:xAlign="center" w:y="1"/>
      <w:rPr>
        <w:rStyle w:val="PageNumber"/>
      </w:rPr>
    </w:pPr>
    <w:r>
      <w:rPr>
        <w:rStyle w:val="PageNumber"/>
      </w:rPr>
      <w:fldChar w:fldCharType="begin"/>
    </w:r>
    <w:r w:rsidR="007F7839">
      <w:rPr>
        <w:rStyle w:val="PageNumber"/>
      </w:rPr>
      <w:instrText xml:space="preserve">PAGE  </w:instrText>
    </w:r>
    <w:r>
      <w:rPr>
        <w:rStyle w:val="PageNumber"/>
      </w:rPr>
      <w:fldChar w:fldCharType="end"/>
    </w:r>
  </w:p>
  <w:p w:rsidR="007F7839" w:rsidRDefault="007F783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39" w:rsidRPr="00187D02" w:rsidRDefault="0075253B" w:rsidP="00187D02">
    <w:pPr>
      <w:jc w:val="center"/>
      <w:rPr>
        <w:sz w:val="20"/>
      </w:rPr>
    </w:pPr>
    <w:r w:rsidRPr="00187D02">
      <w:rPr>
        <w:sz w:val="20"/>
      </w:rPr>
      <w:fldChar w:fldCharType="begin"/>
    </w:r>
    <w:r w:rsidR="007F7839" w:rsidRPr="00187D02">
      <w:rPr>
        <w:sz w:val="20"/>
      </w:rPr>
      <w:instrText xml:space="preserve"> page </w:instrText>
    </w:r>
    <w:r w:rsidRPr="00187D02">
      <w:rPr>
        <w:sz w:val="20"/>
      </w:rPr>
      <w:fldChar w:fldCharType="separate"/>
    </w:r>
    <w:r w:rsidR="00DD2172">
      <w:rPr>
        <w:noProof/>
        <w:sz w:val="20"/>
      </w:rPr>
      <w:t>50</w:t>
    </w:r>
    <w:r w:rsidRPr="00187D02">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A7C" w:rsidRDefault="0075253B" w:rsidP="00B3167C">
    <w:pPr>
      <w:pStyle w:val="Footer"/>
      <w:framePr w:wrap="around" w:vAnchor="text" w:hAnchor="margin" w:xAlign="center" w:y="1"/>
      <w:rPr>
        <w:rStyle w:val="PageNumber"/>
      </w:rPr>
    </w:pPr>
    <w:r>
      <w:rPr>
        <w:rStyle w:val="PageNumber"/>
      </w:rPr>
      <w:fldChar w:fldCharType="begin"/>
    </w:r>
    <w:r w:rsidR="00C40A7C">
      <w:rPr>
        <w:rStyle w:val="PageNumber"/>
      </w:rPr>
      <w:instrText xml:space="preserve">PAGE  </w:instrText>
    </w:r>
    <w:r>
      <w:rPr>
        <w:rStyle w:val="PageNumber"/>
      </w:rPr>
      <w:fldChar w:fldCharType="end"/>
    </w:r>
  </w:p>
  <w:p w:rsidR="00C40A7C" w:rsidRDefault="00C40A7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A7C" w:rsidRPr="00187D02" w:rsidRDefault="0075253B" w:rsidP="00187D02">
    <w:pPr>
      <w:jc w:val="center"/>
      <w:rPr>
        <w:sz w:val="20"/>
      </w:rPr>
    </w:pPr>
    <w:r w:rsidRPr="00187D02">
      <w:rPr>
        <w:sz w:val="20"/>
      </w:rPr>
      <w:fldChar w:fldCharType="begin"/>
    </w:r>
    <w:r w:rsidR="00187D02" w:rsidRPr="00187D02">
      <w:rPr>
        <w:sz w:val="20"/>
      </w:rPr>
      <w:instrText xml:space="preserve"> page </w:instrText>
    </w:r>
    <w:r w:rsidRPr="00187D02">
      <w:rPr>
        <w:sz w:val="20"/>
      </w:rPr>
      <w:fldChar w:fldCharType="separate"/>
    </w:r>
    <w:r w:rsidR="007F7839">
      <w:rPr>
        <w:noProof/>
        <w:sz w:val="20"/>
      </w:rPr>
      <w:t>8</w:t>
    </w:r>
    <w:r w:rsidRPr="00187D0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CC2" w:rsidRDefault="006F0CC2">
      <w:r>
        <w:separator/>
      </w:r>
    </w:p>
  </w:footnote>
  <w:footnote w:type="continuationSeparator" w:id="0">
    <w:p w:rsidR="006F0CC2" w:rsidRDefault="006F0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94E" w:rsidRPr="004101AC" w:rsidRDefault="0023594E" w:rsidP="00B473AE">
    <w:pPr>
      <w:pBdr>
        <w:bottom w:val="thinThickMediumGap" w:sz="12" w:space="1" w:color="auto"/>
      </w:pBdr>
      <w:jc w:val="center"/>
      <w:rPr>
        <w:iCs/>
        <w:sz w:val="20"/>
      </w:rPr>
    </w:pPr>
    <w:bookmarkStart w:id="1" w:name="OLE_LINK1"/>
    <w:bookmarkStart w:id="2" w:name="OLE_LINK2"/>
    <w:bookmarkStart w:id="3" w:name="_Hlk302678399"/>
    <w:bookmarkStart w:id="4" w:name="OLE_LINK3"/>
    <w:bookmarkStart w:id="5" w:name="OLE_LINK4"/>
    <w:bookmarkStart w:id="6" w:name="_Hlk302678401"/>
    <w:bookmarkStart w:id="7" w:name="OLE_LINK5"/>
    <w:bookmarkStart w:id="8" w:name="OLE_LINK6"/>
    <w:bookmarkStart w:id="9" w:name="OLE_LINK7"/>
    <w:bookmarkStart w:id="10" w:name="OLE_LINK8"/>
    <w:bookmarkStart w:id="11" w:name="OLE_LINK9"/>
    <w:bookmarkStart w:id="12" w:name="_Hlk313407873"/>
    <w:bookmarkStart w:id="13" w:name="OLE_LINK10"/>
    <w:bookmarkStart w:id="14" w:name="OLE_LINK11"/>
    <w:bookmarkStart w:id="15" w:name="_Hlk313407879"/>
    <w:r>
      <w:rPr>
        <w:sz w:val="20"/>
      </w:rPr>
      <w:t>New York Science Journal 201</w:t>
    </w:r>
    <w:r>
      <w:rPr>
        <w:sz w:val="20"/>
        <w:lang w:eastAsia="zh-CN"/>
      </w:rPr>
      <w:t>5</w:t>
    </w:r>
    <w:r w:rsidRPr="004101AC">
      <w:rPr>
        <w:sz w:val="20"/>
      </w:rPr>
      <w:t>;</w:t>
    </w:r>
    <w:r>
      <w:rPr>
        <w:sz w:val="20"/>
      </w:rPr>
      <w:t>8</w:t>
    </w:r>
    <w:r w:rsidRPr="004101AC">
      <w:rPr>
        <w:sz w:val="20"/>
      </w:rPr>
      <w:t>(</w:t>
    </w:r>
    <w:r w:rsidR="00B473AE">
      <w:rPr>
        <w:sz w:val="20"/>
      </w:rPr>
      <w:t>9</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1"/>
    <w:bookmarkEnd w:id="2"/>
    <w:bookmarkEnd w:id="3"/>
    <w:bookmarkEnd w:id="4"/>
    <w:bookmarkEnd w:id="5"/>
    <w:bookmarkEnd w:id="6"/>
    <w:bookmarkEnd w:id="7"/>
    <w:bookmarkEnd w:id="8"/>
    <w:bookmarkEnd w:id="9"/>
  </w:p>
  <w:bookmarkEnd w:id="10"/>
  <w:bookmarkEnd w:id="11"/>
  <w:bookmarkEnd w:id="12"/>
  <w:bookmarkEnd w:id="13"/>
  <w:bookmarkEnd w:id="14"/>
  <w:bookmarkEnd w:id="15"/>
  <w:p w:rsidR="0023594E" w:rsidRPr="00606CD7" w:rsidRDefault="0023594E" w:rsidP="00606C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39" w:rsidRPr="00187D02" w:rsidRDefault="007F7839" w:rsidP="00187D02">
    <w:pPr>
      <w:pBdr>
        <w:bottom w:val="thinThickMediumGap" w:sz="12" w:space="1" w:color="auto"/>
      </w:pBdr>
      <w:tabs>
        <w:tab w:val="left" w:pos="851"/>
        <w:tab w:val="right" w:pos="8364"/>
      </w:tabs>
      <w:adjustRightInd w:val="0"/>
      <w:snapToGrid w:val="0"/>
      <w:jc w:val="both"/>
      <w:rPr>
        <w:iCs/>
        <w:sz w:val="20"/>
        <w:szCs w:val="20"/>
      </w:rPr>
    </w:pPr>
    <w:r w:rsidRPr="00187D02">
      <w:rPr>
        <w:rFonts w:hint="eastAsia"/>
        <w:sz w:val="20"/>
        <w:szCs w:val="20"/>
      </w:rPr>
      <w:tab/>
    </w:r>
    <w:r w:rsidRPr="00187D02">
      <w:rPr>
        <w:sz w:val="20"/>
        <w:szCs w:val="20"/>
      </w:rPr>
      <w:t>New York Science Journal 201</w:t>
    </w:r>
    <w:r w:rsidRPr="00187D02">
      <w:rPr>
        <w:rFonts w:hint="eastAsia"/>
        <w:sz w:val="20"/>
        <w:szCs w:val="20"/>
      </w:rPr>
      <w:t>5</w:t>
    </w:r>
    <w:r w:rsidRPr="00187D02">
      <w:rPr>
        <w:sz w:val="20"/>
        <w:szCs w:val="20"/>
      </w:rPr>
      <w:t>;</w:t>
    </w:r>
    <w:r w:rsidRPr="00187D02">
      <w:rPr>
        <w:rFonts w:hint="eastAsia"/>
        <w:sz w:val="20"/>
        <w:szCs w:val="20"/>
      </w:rPr>
      <w:t>8</w:t>
    </w:r>
    <w:r w:rsidRPr="00187D02">
      <w:rPr>
        <w:sz w:val="20"/>
        <w:szCs w:val="20"/>
      </w:rPr>
      <w:t>(</w:t>
    </w:r>
    <w:r w:rsidRPr="00187D02">
      <w:rPr>
        <w:rFonts w:hint="eastAsia"/>
        <w:sz w:val="20"/>
        <w:szCs w:val="20"/>
      </w:rPr>
      <w:t>9</w:t>
    </w:r>
    <w:r w:rsidRPr="00187D02">
      <w:rPr>
        <w:sz w:val="20"/>
        <w:szCs w:val="20"/>
      </w:rPr>
      <w:t>)</w:t>
    </w:r>
    <w:r w:rsidRPr="00187D02">
      <w:rPr>
        <w:iCs/>
        <w:sz w:val="20"/>
        <w:szCs w:val="20"/>
      </w:rPr>
      <w:t xml:space="preserve">     </w:t>
    </w:r>
    <w:r w:rsidRPr="00187D02">
      <w:rPr>
        <w:rFonts w:hint="eastAsia"/>
        <w:iCs/>
        <w:sz w:val="20"/>
        <w:szCs w:val="20"/>
      </w:rPr>
      <w:tab/>
    </w:r>
    <w:r w:rsidRPr="00187D02">
      <w:rPr>
        <w:iCs/>
        <w:sz w:val="20"/>
        <w:szCs w:val="20"/>
      </w:rPr>
      <w:t xml:space="preserve"> </w:t>
    </w:r>
    <w:r w:rsidRPr="00187D02">
      <w:rPr>
        <w:rFonts w:hint="eastAsia"/>
        <w:iCs/>
        <w:sz w:val="20"/>
        <w:szCs w:val="20"/>
      </w:rPr>
      <w:t xml:space="preserve"> </w:t>
    </w:r>
    <w:r w:rsidRPr="00187D02">
      <w:rPr>
        <w:iCs/>
        <w:sz w:val="20"/>
        <w:szCs w:val="20"/>
      </w:rPr>
      <w:t xml:space="preserve">   </w:t>
    </w:r>
    <w:hyperlink r:id="rId1" w:history="1">
      <w:r w:rsidRPr="00187D02">
        <w:rPr>
          <w:rStyle w:val="Hyperlink"/>
          <w:sz w:val="20"/>
          <w:szCs w:val="20"/>
        </w:rPr>
        <w:t>http://www.sciencepub.net/newyork</w:t>
      </w:r>
    </w:hyperlink>
  </w:p>
  <w:p w:rsidR="007F7839" w:rsidRPr="00187D02" w:rsidRDefault="007F7839" w:rsidP="00187D02">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39" w:rsidRPr="00187D02" w:rsidRDefault="007F7839" w:rsidP="00187D02">
    <w:pPr>
      <w:pBdr>
        <w:bottom w:val="thinThickMediumGap" w:sz="12" w:space="1" w:color="auto"/>
      </w:pBdr>
      <w:tabs>
        <w:tab w:val="left" w:pos="851"/>
        <w:tab w:val="right" w:pos="8364"/>
      </w:tabs>
      <w:adjustRightInd w:val="0"/>
      <w:snapToGrid w:val="0"/>
      <w:jc w:val="both"/>
      <w:rPr>
        <w:iCs/>
        <w:sz w:val="20"/>
        <w:szCs w:val="20"/>
      </w:rPr>
    </w:pPr>
    <w:r w:rsidRPr="00187D02">
      <w:rPr>
        <w:rFonts w:hint="eastAsia"/>
        <w:sz w:val="20"/>
        <w:szCs w:val="20"/>
      </w:rPr>
      <w:tab/>
    </w:r>
    <w:r w:rsidRPr="00187D02">
      <w:rPr>
        <w:sz w:val="20"/>
        <w:szCs w:val="20"/>
      </w:rPr>
      <w:t>New York Science Journal 201</w:t>
    </w:r>
    <w:r w:rsidRPr="00187D02">
      <w:rPr>
        <w:rFonts w:hint="eastAsia"/>
        <w:sz w:val="20"/>
        <w:szCs w:val="20"/>
      </w:rPr>
      <w:t>5</w:t>
    </w:r>
    <w:r w:rsidRPr="00187D02">
      <w:rPr>
        <w:sz w:val="20"/>
        <w:szCs w:val="20"/>
      </w:rPr>
      <w:t>;</w:t>
    </w:r>
    <w:r w:rsidRPr="00187D02">
      <w:rPr>
        <w:rFonts w:hint="eastAsia"/>
        <w:sz w:val="20"/>
        <w:szCs w:val="20"/>
      </w:rPr>
      <w:t>8</w:t>
    </w:r>
    <w:r w:rsidRPr="00187D02">
      <w:rPr>
        <w:sz w:val="20"/>
        <w:szCs w:val="20"/>
      </w:rPr>
      <w:t>(</w:t>
    </w:r>
    <w:r w:rsidRPr="00187D02">
      <w:rPr>
        <w:rFonts w:hint="eastAsia"/>
        <w:sz w:val="20"/>
        <w:szCs w:val="20"/>
      </w:rPr>
      <w:t>9</w:t>
    </w:r>
    <w:r w:rsidRPr="00187D02">
      <w:rPr>
        <w:sz w:val="20"/>
        <w:szCs w:val="20"/>
      </w:rPr>
      <w:t>)</w:t>
    </w:r>
    <w:r w:rsidRPr="00187D02">
      <w:rPr>
        <w:iCs/>
        <w:sz w:val="20"/>
        <w:szCs w:val="20"/>
      </w:rPr>
      <w:t xml:space="preserve">     </w:t>
    </w:r>
    <w:r w:rsidRPr="00187D02">
      <w:rPr>
        <w:rFonts w:hint="eastAsia"/>
        <w:iCs/>
        <w:sz w:val="20"/>
        <w:szCs w:val="20"/>
      </w:rPr>
      <w:tab/>
    </w:r>
    <w:r w:rsidRPr="00187D02">
      <w:rPr>
        <w:iCs/>
        <w:sz w:val="20"/>
        <w:szCs w:val="20"/>
      </w:rPr>
      <w:t xml:space="preserve"> </w:t>
    </w:r>
    <w:r w:rsidRPr="00187D02">
      <w:rPr>
        <w:rFonts w:hint="eastAsia"/>
        <w:iCs/>
        <w:sz w:val="20"/>
        <w:szCs w:val="20"/>
      </w:rPr>
      <w:t xml:space="preserve"> </w:t>
    </w:r>
    <w:r w:rsidRPr="00187D02">
      <w:rPr>
        <w:iCs/>
        <w:sz w:val="20"/>
        <w:szCs w:val="20"/>
      </w:rPr>
      <w:t xml:space="preserve">   </w:t>
    </w:r>
    <w:hyperlink r:id="rId1" w:history="1">
      <w:r w:rsidRPr="00187D02">
        <w:rPr>
          <w:rStyle w:val="Hyperlink"/>
          <w:sz w:val="20"/>
          <w:szCs w:val="20"/>
        </w:rPr>
        <w:t>http://www.sciencepub.net/newyork</w:t>
      </w:r>
    </w:hyperlink>
  </w:p>
  <w:p w:rsidR="007F7839" w:rsidRPr="00187D02" w:rsidRDefault="007F7839" w:rsidP="00187D02">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02" w:rsidRPr="00187D02" w:rsidRDefault="00187D02" w:rsidP="00187D02">
    <w:pPr>
      <w:pBdr>
        <w:bottom w:val="thinThickMediumGap" w:sz="12" w:space="1" w:color="auto"/>
      </w:pBdr>
      <w:tabs>
        <w:tab w:val="left" w:pos="851"/>
        <w:tab w:val="right" w:pos="8364"/>
      </w:tabs>
      <w:adjustRightInd w:val="0"/>
      <w:snapToGrid w:val="0"/>
      <w:jc w:val="both"/>
      <w:rPr>
        <w:iCs/>
        <w:sz w:val="20"/>
        <w:szCs w:val="20"/>
      </w:rPr>
    </w:pPr>
    <w:r w:rsidRPr="00187D02">
      <w:rPr>
        <w:rFonts w:hint="eastAsia"/>
        <w:sz w:val="20"/>
        <w:szCs w:val="20"/>
      </w:rPr>
      <w:tab/>
    </w:r>
    <w:r w:rsidRPr="00187D02">
      <w:rPr>
        <w:sz w:val="20"/>
        <w:szCs w:val="20"/>
      </w:rPr>
      <w:t>New York Science Journal 201</w:t>
    </w:r>
    <w:r w:rsidRPr="00187D02">
      <w:rPr>
        <w:rFonts w:hint="eastAsia"/>
        <w:sz w:val="20"/>
        <w:szCs w:val="20"/>
      </w:rPr>
      <w:t>5</w:t>
    </w:r>
    <w:r w:rsidRPr="00187D02">
      <w:rPr>
        <w:sz w:val="20"/>
        <w:szCs w:val="20"/>
      </w:rPr>
      <w:t>;</w:t>
    </w:r>
    <w:r w:rsidRPr="00187D02">
      <w:rPr>
        <w:rFonts w:hint="eastAsia"/>
        <w:sz w:val="20"/>
        <w:szCs w:val="20"/>
      </w:rPr>
      <w:t>8</w:t>
    </w:r>
    <w:r w:rsidRPr="00187D02">
      <w:rPr>
        <w:sz w:val="20"/>
        <w:szCs w:val="20"/>
      </w:rPr>
      <w:t>(</w:t>
    </w:r>
    <w:r w:rsidRPr="00187D02">
      <w:rPr>
        <w:rFonts w:hint="eastAsia"/>
        <w:sz w:val="20"/>
        <w:szCs w:val="20"/>
      </w:rPr>
      <w:t>9</w:t>
    </w:r>
    <w:r w:rsidRPr="00187D02">
      <w:rPr>
        <w:sz w:val="20"/>
        <w:szCs w:val="20"/>
      </w:rPr>
      <w:t>)</w:t>
    </w:r>
    <w:r w:rsidRPr="00187D02">
      <w:rPr>
        <w:iCs/>
        <w:sz w:val="20"/>
        <w:szCs w:val="20"/>
      </w:rPr>
      <w:t xml:space="preserve">     </w:t>
    </w:r>
    <w:r w:rsidRPr="00187D02">
      <w:rPr>
        <w:rFonts w:hint="eastAsia"/>
        <w:iCs/>
        <w:sz w:val="20"/>
        <w:szCs w:val="20"/>
      </w:rPr>
      <w:tab/>
    </w:r>
    <w:r w:rsidRPr="00187D02">
      <w:rPr>
        <w:iCs/>
        <w:sz w:val="20"/>
        <w:szCs w:val="20"/>
      </w:rPr>
      <w:t xml:space="preserve"> </w:t>
    </w:r>
    <w:r w:rsidRPr="00187D02">
      <w:rPr>
        <w:rFonts w:hint="eastAsia"/>
        <w:iCs/>
        <w:sz w:val="20"/>
        <w:szCs w:val="20"/>
      </w:rPr>
      <w:t xml:space="preserve"> </w:t>
    </w:r>
    <w:r w:rsidRPr="00187D02">
      <w:rPr>
        <w:iCs/>
        <w:sz w:val="20"/>
        <w:szCs w:val="20"/>
      </w:rPr>
      <w:t xml:space="preserve">   </w:t>
    </w:r>
    <w:hyperlink r:id="rId1" w:history="1">
      <w:r w:rsidRPr="00187D02">
        <w:rPr>
          <w:rStyle w:val="Hyperlink"/>
          <w:sz w:val="20"/>
          <w:szCs w:val="20"/>
        </w:rPr>
        <w:t>http://www.sciencepub.net/newyork</w:t>
      </w:r>
    </w:hyperlink>
  </w:p>
  <w:p w:rsidR="00187D02" w:rsidRPr="00187D02" w:rsidRDefault="00187D02" w:rsidP="00187D02">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8F6153"/>
    <w:multiLevelType w:val="hybridMultilevel"/>
    <w:tmpl w:val="D9CCEF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30D4187"/>
    <w:multiLevelType w:val="multilevel"/>
    <w:tmpl w:val="9EAA5AC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021CD9"/>
    <w:multiLevelType w:val="multilevel"/>
    <w:tmpl w:val="B6100CD6"/>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7A3738"/>
    <w:multiLevelType w:val="hybridMultilevel"/>
    <w:tmpl w:val="638443A6"/>
    <w:lvl w:ilvl="0" w:tplc="4328B1B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98248E7"/>
    <w:multiLevelType w:val="hybridMultilevel"/>
    <w:tmpl w:val="481A6894"/>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132D6"/>
    <w:multiLevelType w:val="multilevel"/>
    <w:tmpl w:val="3AA40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5625D06"/>
    <w:multiLevelType w:val="hybridMultilevel"/>
    <w:tmpl w:val="A8BE0EFA"/>
    <w:lvl w:ilvl="0" w:tplc="E9526C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FF149A"/>
    <w:multiLevelType w:val="multilevel"/>
    <w:tmpl w:val="F9FCE9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3979222A"/>
    <w:multiLevelType w:val="hybridMultilevel"/>
    <w:tmpl w:val="7F846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B23548"/>
    <w:multiLevelType w:val="hybridMultilevel"/>
    <w:tmpl w:val="C89CC210"/>
    <w:lvl w:ilvl="0" w:tplc="8E060D28">
      <w:start w:val="1"/>
      <w:numFmt w:val="upperLetter"/>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121E52"/>
    <w:multiLevelType w:val="multilevel"/>
    <w:tmpl w:val="CE3ED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766DFE"/>
    <w:multiLevelType w:val="hybridMultilevel"/>
    <w:tmpl w:val="856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5E1813"/>
    <w:multiLevelType w:val="hybridMultilevel"/>
    <w:tmpl w:val="E0327B32"/>
    <w:lvl w:ilvl="0" w:tplc="9910A70C">
      <w:start w:val="1"/>
      <w:numFmt w:val="decimal"/>
      <w:lvlText w:val="%1-"/>
      <w:lvlJc w:val="left"/>
      <w:pPr>
        <w:ind w:left="720" w:hanging="360"/>
      </w:pPr>
      <w:rPr>
        <w:rFonts w:ascii="Times New Roman" w:eastAsia="Times New Roman" w:hAnsi="Times New Roman" w:cs="Times New Roman"/>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F46A13"/>
    <w:multiLevelType w:val="multilevel"/>
    <w:tmpl w:val="B6100CD6"/>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1C90712"/>
    <w:multiLevelType w:val="hybridMultilevel"/>
    <w:tmpl w:val="7B6AFACC"/>
    <w:lvl w:ilvl="0" w:tplc="5406E2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205E1A"/>
    <w:multiLevelType w:val="hybridMultilevel"/>
    <w:tmpl w:val="44C21454"/>
    <w:lvl w:ilvl="0" w:tplc="52E0B5A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F97294E"/>
    <w:multiLevelType w:val="hybridMultilevel"/>
    <w:tmpl w:val="9EAA5ACE"/>
    <w:lvl w:ilvl="0" w:tplc="95F8C5F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14"/>
  </w:num>
  <w:num w:numId="5">
    <w:abstractNumId w:val="18"/>
  </w:num>
  <w:num w:numId="6">
    <w:abstractNumId w:val="9"/>
  </w:num>
  <w:num w:numId="7">
    <w:abstractNumId w:val="6"/>
  </w:num>
  <w:num w:numId="8">
    <w:abstractNumId w:val="12"/>
  </w:num>
  <w:num w:numId="9">
    <w:abstractNumId w:val="15"/>
  </w:num>
  <w:num w:numId="10">
    <w:abstractNumId w:val="11"/>
  </w:num>
  <w:num w:numId="11">
    <w:abstractNumId w:val="7"/>
  </w:num>
  <w:num w:numId="12">
    <w:abstractNumId w:val="1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0"/>
  </w:num>
  <w:num w:numId="20">
    <w:abstractNumId w:val="3"/>
  </w:num>
  <w:num w:numId="21">
    <w:abstractNumId w:val="2"/>
  </w:num>
  <w:num w:numId="22">
    <w:abstractNumId w:val="1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9459B3"/>
    <w:rsid w:val="00000358"/>
    <w:rsid w:val="000066B6"/>
    <w:rsid w:val="0002419A"/>
    <w:rsid w:val="00064419"/>
    <w:rsid w:val="0007151A"/>
    <w:rsid w:val="00080CE9"/>
    <w:rsid w:val="00090A06"/>
    <w:rsid w:val="000978CC"/>
    <w:rsid w:val="000C533D"/>
    <w:rsid w:val="000F5624"/>
    <w:rsid w:val="00106CE0"/>
    <w:rsid w:val="0011179E"/>
    <w:rsid w:val="001144BB"/>
    <w:rsid w:val="0014006C"/>
    <w:rsid w:val="00177C9A"/>
    <w:rsid w:val="001811AA"/>
    <w:rsid w:val="001817C7"/>
    <w:rsid w:val="00185842"/>
    <w:rsid w:val="00187D02"/>
    <w:rsid w:val="001B41B8"/>
    <w:rsid w:val="001B5FB7"/>
    <w:rsid w:val="001D0094"/>
    <w:rsid w:val="00204116"/>
    <w:rsid w:val="002229C8"/>
    <w:rsid w:val="00227684"/>
    <w:rsid w:val="0023594E"/>
    <w:rsid w:val="00272380"/>
    <w:rsid w:val="002804DE"/>
    <w:rsid w:val="00281669"/>
    <w:rsid w:val="002923F3"/>
    <w:rsid w:val="002F20CD"/>
    <w:rsid w:val="00300673"/>
    <w:rsid w:val="00322FAB"/>
    <w:rsid w:val="00344925"/>
    <w:rsid w:val="00345581"/>
    <w:rsid w:val="00370978"/>
    <w:rsid w:val="00373E66"/>
    <w:rsid w:val="00381BC2"/>
    <w:rsid w:val="00381DD8"/>
    <w:rsid w:val="003834F3"/>
    <w:rsid w:val="003B43EB"/>
    <w:rsid w:val="003C07BC"/>
    <w:rsid w:val="003C4738"/>
    <w:rsid w:val="003C5327"/>
    <w:rsid w:val="003D1FB9"/>
    <w:rsid w:val="003E2298"/>
    <w:rsid w:val="003E52B1"/>
    <w:rsid w:val="00425350"/>
    <w:rsid w:val="00441468"/>
    <w:rsid w:val="00452D55"/>
    <w:rsid w:val="00456753"/>
    <w:rsid w:val="00464A43"/>
    <w:rsid w:val="00471E57"/>
    <w:rsid w:val="0049143E"/>
    <w:rsid w:val="004A2A87"/>
    <w:rsid w:val="004A6C92"/>
    <w:rsid w:val="004B4FDA"/>
    <w:rsid w:val="004D0467"/>
    <w:rsid w:val="00507331"/>
    <w:rsid w:val="0052126B"/>
    <w:rsid w:val="00572258"/>
    <w:rsid w:val="00593132"/>
    <w:rsid w:val="005972BF"/>
    <w:rsid w:val="005B0230"/>
    <w:rsid w:val="005D687A"/>
    <w:rsid w:val="005F5E04"/>
    <w:rsid w:val="00606CD7"/>
    <w:rsid w:val="00630310"/>
    <w:rsid w:val="0065209A"/>
    <w:rsid w:val="00663573"/>
    <w:rsid w:val="006A5FA1"/>
    <w:rsid w:val="006D5C2E"/>
    <w:rsid w:val="006E6ACB"/>
    <w:rsid w:val="006F0CC2"/>
    <w:rsid w:val="006F11CA"/>
    <w:rsid w:val="006F1706"/>
    <w:rsid w:val="006F7347"/>
    <w:rsid w:val="007239E3"/>
    <w:rsid w:val="00737DD9"/>
    <w:rsid w:val="0075253B"/>
    <w:rsid w:val="00757302"/>
    <w:rsid w:val="007726DB"/>
    <w:rsid w:val="00780998"/>
    <w:rsid w:val="007B663C"/>
    <w:rsid w:val="007B6E0C"/>
    <w:rsid w:val="007D746F"/>
    <w:rsid w:val="007F3484"/>
    <w:rsid w:val="007F7839"/>
    <w:rsid w:val="00800F0F"/>
    <w:rsid w:val="00806B91"/>
    <w:rsid w:val="00814FA7"/>
    <w:rsid w:val="00862CF3"/>
    <w:rsid w:val="00864408"/>
    <w:rsid w:val="00870069"/>
    <w:rsid w:val="008A20AC"/>
    <w:rsid w:val="008B6E2D"/>
    <w:rsid w:val="009058F9"/>
    <w:rsid w:val="0091208A"/>
    <w:rsid w:val="00914558"/>
    <w:rsid w:val="00920A61"/>
    <w:rsid w:val="009459B3"/>
    <w:rsid w:val="00950D44"/>
    <w:rsid w:val="00952EB8"/>
    <w:rsid w:val="009655C9"/>
    <w:rsid w:val="0098060A"/>
    <w:rsid w:val="00A03677"/>
    <w:rsid w:val="00A12EBB"/>
    <w:rsid w:val="00A3476D"/>
    <w:rsid w:val="00A4578E"/>
    <w:rsid w:val="00A47C37"/>
    <w:rsid w:val="00A50376"/>
    <w:rsid w:val="00A70491"/>
    <w:rsid w:val="00A93BE6"/>
    <w:rsid w:val="00AD07B8"/>
    <w:rsid w:val="00AE5210"/>
    <w:rsid w:val="00B3167C"/>
    <w:rsid w:val="00B41DCF"/>
    <w:rsid w:val="00B4448D"/>
    <w:rsid w:val="00B473AE"/>
    <w:rsid w:val="00B54CDA"/>
    <w:rsid w:val="00B55532"/>
    <w:rsid w:val="00B60E8D"/>
    <w:rsid w:val="00BB2F19"/>
    <w:rsid w:val="00BD2A8D"/>
    <w:rsid w:val="00BD31C0"/>
    <w:rsid w:val="00BF6579"/>
    <w:rsid w:val="00C25821"/>
    <w:rsid w:val="00C307A8"/>
    <w:rsid w:val="00C40A7C"/>
    <w:rsid w:val="00C51C57"/>
    <w:rsid w:val="00C602EB"/>
    <w:rsid w:val="00C67F85"/>
    <w:rsid w:val="00C74363"/>
    <w:rsid w:val="00CB0FA7"/>
    <w:rsid w:val="00CB60DF"/>
    <w:rsid w:val="00CC6B9E"/>
    <w:rsid w:val="00CE7B2F"/>
    <w:rsid w:val="00D14F07"/>
    <w:rsid w:val="00D3777A"/>
    <w:rsid w:val="00D724FB"/>
    <w:rsid w:val="00D8323D"/>
    <w:rsid w:val="00DA4530"/>
    <w:rsid w:val="00DA5976"/>
    <w:rsid w:val="00DD112D"/>
    <w:rsid w:val="00DD2172"/>
    <w:rsid w:val="00DF7353"/>
    <w:rsid w:val="00E135FA"/>
    <w:rsid w:val="00E409F0"/>
    <w:rsid w:val="00E4459C"/>
    <w:rsid w:val="00E55AEC"/>
    <w:rsid w:val="00E73EAF"/>
    <w:rsid w:val="00E910CC"/>
    <w:rsid w:val="00E95BE3"/>
    <w:rsid w:val="00E97435"/>
    <w:rsid w:val="00ED4441"/>
    <w:rsid w:val="00F10099"/>
    <w:rsid w:val="00F13CC8"/>
    <w:rsid w:val="00F26834"/>
    <w:rsid w:val="00F41BB5"/>
    <w:rsid w:val="00F603E8"/>
    <w:rsid w:val="00F73DEC"/>
    <w:rsid w:val="00F87C7E"/>
    <w:rsid w:val="00FB1951"/>
    <w:rsid w:val="00FB1D19"/>
    <w:rsid w:val="00FB4D6A"/>
    <w:rsid w:val="00FB5B6A"/>
    <w:rsid w:val="00FC4906"/>
    <w:rsid w:val="00FE0F64"/>
    <w:rsid w:val="00FE57E2"/>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E52B1"/>
    <w:pPr>
      <w:keepNext/>
      <w:tabs>
        <w:tab w:val="num" w:pos="0"/>
      </w:tabs>
      <w:outlineLvl w:val="0"/>
    </w:pPr>
    <w:rPr>
      <w:b/>
      <w:bCs/>
      <w:sz w:val="32"/>
    </w:rPr>
  </w:style>
  <w:style w:type="paragraph" w:styleId="Heading2">
    <w:name w:val="heading 2"/>
    <w:basedOn w:val="Normal"/>
    <w:next w:val="Normal"/>
    <w:qFormat/>
    <w:rsid w:val="003E52B1"/>
    <w:pPr>
      <w:keepNext/>
      <w:tabs>
        <w:tab w:val="num" w:pos="0"/>
      </w:tabs>
      <w:jc w:val="both"/>
      <w:outlineLvl w:val="1"/>
    </w:pPr>
    <w:rPr>
      <w:b/>
      <w:sz w:val="28"/>
    </w:rPr>
  </w:style>
  <w:style w:type="paragraph" w:styleId="Heading3">
    <w:name w:val="heading 3"/>
    <w:basedOn w:val="Normal"/>
    <w:next w:val="Normal"/>
    <w:qFormat/>
    <w:rsid w:val="003E52B1"/>
    <w:pPr>
      <w:keepNext/>
      <w:tabs>
        <w:tab w:val="num" w:pos="0"/>
      </w:tabs>
      <w:spacing w:line="360" w:lineRule="auto"/>
      <w:jc w:val="both"/>
      <w:outlineLvl w:val="2"/>
    </w:pPr>
    <w:rPr>
      <w:b/>
      <w:bCs/>
    </w:rPr>
  </w:style>
  <w:style w:type="paragraph" w:styleId="Heading4">
    <w:name w:val="heading 4"/>
    <w:basedOn w:val="Normal"/>
    <w:link w:val="Heading4Char"/>
    <w:qFormat/>
    <w:rsid w:val="00D8323D"/>
    <w:pPr>
      <w:suppressAutoHyphens w:val="0"/>
      <w:spacing w:before="100" w:beforeAutospacing="1" w:after="100" w:afterAutospacing="1"/>
      <w:outlineLvl w:val="3"/>
    </w:pPr>
    <w:rPr>
      <w:b/>
      <w:bCs/>
      <w:lang w:eastAsia="en-US"/>
    </w:rPr>
  </w:style>
  <w:style w:type="paragraph" w:styleId="Heading6">
    <w:name w:val="heading 6"/>
    <w:basedOn w:val="Normal"/>
    <w:next w:val="Normal"/>
    <w:qFormat/>
    <w:rsid w:val="003E52B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E52B1"/>
  </w:style>
  <w:style w:type="character" w:customStyle="1" w:styleId="WW-Absatz-Standardschriftart">
    <w:name w:val="WW-Absatz-Standardschriftart"/>
    <w:rsid w:val="003E52B1"/>
  </w:style>
  <w:style w:type="character" w:customStyle="1" w:styleId="WW-Absatz-Standardschriftart1">
    <w:name w:val="WW-Absatz-Standardschriftart1"/>
    <w:rsid w:val="003E52B1"/>
  </w:style>
  <w:style w:type="character" w:customStyle="1" w:styleId="WW-Absatz-Standardschriftart11">
    <w:name w:val="WW-Absatz-Standardschriftart11"/>
    <w:rsid w:val="003E52B1"/>
  </w:style>
  <w:style w:type="character" w:customStyle="1" w:styleId="WW-Absatz-Standardschriftart111">
    <w:name w:val="WW-Absatz-Standardschriftart111"/>
    <w:rsid w:val="003E52B1"/>
  </w:style>
  <w:style w:type="character" w:customStyle="1" w:styleId="WW-Absatz-Standardschriftart1111">
    <w:name w:val="WW-Absatz-Standardschriftart1111"/>
    <w:rsid w:val="003E52B1"/>
  </w:style>
  <w:style w:type="character" w:customStyle="1" w:styleId="WW-Absatz-Standardschriftart11111">
    <w:name w:val="WW-Absatz-Standardschriftart11111"/>
    <w:rsid w:val="003E52B1"/>
  </w:style>
  <w:style w:type="character" w:customStyle="1" w:styleId="WW-Absatz-Standardschriftart111111">
    <w:name w:val="WW-Absatz-Standardschriftart111111"/>
    <w:rsid w:val="003E52B1"/>
  </w:style>
  <w:style w:type="character" w:customStyle="1" w:styleId="WW-Absatz-Standardschriftart1111111">
    <w:name w:val="WW-Absatz-Standardschriftart1111111"/>
    <w:rsid w:val="003E52B1"/>
  </w:style>
  <w:style w:type="character" w:customStyle="1" w:styleId="WW-Absatz-Standardschriftart11111111">
    <w:name w:val="WW-Absatz-Standardschriftart11111111"/>
    <w:rsid w:val="003E52B1"/>
  </w:style>
  <w:style w:type="character" w:customStyle="1" w:styleId="WW-Absatz-Standardschriftart111111111">
    <w:name w:val="WW-Absatz-Standardschriftart111111111"/>
    <w:rsid w:val="003E52B1"/>
  </w:style>
  <w:style w:type="character" w:customStyle="1" w:styleId="WW-Absatz-Standardschriftart1111111111">
    <w:name w:val="WW-Absatz-Standardschriftart1111111111"/>
    <w:rsid w:val="003E52B1"/>
  </w:style>
  <w:style w:type="character" w:customStyle="1" w:styleId="WW-Absatz-Standardschriftart11111111111">
    <w:name w:val="WW-Absatz-Standardschriftart11111111111"/>
    <w:rsid w:val="003E52B1"/>
  </w:style>
  <w:style w:type="character" w:customStyle="1" w:styleId="WW-Absatz-Standardschriftart111111111111">
    <w:name w:val="WW-Absatz-Standardschriftart111111111111"/>
    <w:rsid w:val="003E52B1"/>
  </w:style>
  <w:style w:type="character" w:customStyle="1" w:styleId="WW-Absatz-Standardschriftart1111111111111">
    <w:name w:val="WW-Absatz-Standardschriftart1111111111111"/>
    <w:rsid w:val="003E52B1"/>
  </w:style>
  <w:style w:type="character" w:customStyle="1" w:styleId="WW-Absatz-Standardschriftart11111111111111">
    <w:name w:val="WW-Absatz-Standardschriftart11111111111111"/>
    <w:rsid w:val="003E52B1"/>
  </w:style>
  <w:style w:type="character" w:customStyle="1" w:styleId="WW-Absatz-Standardschriftart111111111111111">
    <w:name w:val="WW-Absatz-Standardschriftart111111111111111"/>
    <w:rsid w:val="003E52B1"/>
  </w:style>
  <w:style w:type="character" w:customStyle="1" w:styleId="WW-Absatz-Standardschriftart1111111111111111">
    <w:name w:val="WW-Absatz-Standardschriftart1111111111111111"/>
    <w:rsid w:val="003E52B1"/>
  </w:style>
  <w:style w:type="character" w:customStyle="1" w:styleId="WW8Num1z0">
    <w:name w:val="WW8Num1z0"/>
    <w:rsid w:val="003E52B1"/>
    <w:rPr>
      <w:rFonts w:ascii="Symbol" w:eastAsia="Times New Roman" w:hAnsi="Symbol" w:cs="Times New Roman"/>
    </w:rPr>
  </w:style>
  <w:style w:type="character" w:customStyle="1" w:styleId="WW8Num1z1">
    <w:name w:val="WW8Num1z1"/>
    <w:rsid w:val="003E52B1"/>
    <w:rPr>
      <w:rFonts w:ascii="Courier New" w:hAnsi="Courier New" w:cs="Courier New"/>
    </w:rPr>
  </w:style>
  <w:style w:type="character" w:customStyle="1" w:styleId="WW8Num1z2">
    <w:name w:val="WW8Num1z2"/>
    <w:rsid w:val="003E52B1"/>
    <w:rPr>
      <w:rFonts w:ascii="Wingdings" w:hAnsi="Wingdings"/>
    </w:rPr>
  </w:style>
  <w:style w:type="character" w:customStyle="1" w:styleId="WW8Num1z3">
    <w:name w:val="WW8Num1z3"/>
    <w:rsid w:val="003E52B1"/>
    <w:rPr>
      <w:rFonts w:ascii="Symbol" w:hAnsi="Symbol"/>
    </w:rPr>
  </w:style>
  <w:style w:type="character" w:styleId="PageNumber">
    <w:name w:val="page number"/>
    <w:basedOn w:val="DefaultParagraphFont"/>
    <w:rsid w:val="003E52B1"/>
  </w:style>
  <w:style w:type="character" w:styleId="Hyperlink">
    <w:name w:val="Hyperlink"/>
    <w:rsid w:val="003E52B1"/>
    <w:rPr>
      <w:color w:val="0000FF"/>
      <w:u w:val="single"/>
    </w:rPr>
  </w:style>
  <w:style w:type="character" w:styleId="FollowedHyperlink">
    <w:name w:val="FollowedHyperlink"/>
    <w:rsid w:val="003E52B1"/>
    <w:rPr>
      <w:color w:val="800080"/>
      <w:u w:val="single"/>
    </w:rPr>
  </w:style>
  <w:style w:type="character" w:customStyle="1" w:styleId="NumberingSymbols">
    <w:name w:val="Numbering Symbols"/>
    <w:rsid w:val="003E52B1"/>
  </w:style>
  <w:style w:type="paragraph" w:customStyle="1" w:styleId="Heading">
    <w:name w:val="Heading"/>
    <w:basedOn w:val="Normal"/>
    <w:next w:val="BodyText"/>
    <w:rsid w:val="003E52B1"/>
    <w:pPr>
      <w:keepNext/>
      <w:spacing w:before="240" w:after="120"/>
    </w:pPr>
    <w:rPr>
      <w:rFonts w:ascii="Nimbus Sans L" w:eastAsia="DejaVu Sans" w:hAnsi="Nimbus Sans L" w:cs="DejaVu Sans"/>
      <w:sz w:val="28"/>
      <w:szCs w:val="28"/>
    </w:rPr>
  </w:style>
  <w:style w:type="paragraph" w:styleId="BodyText">
    <w:name w:val="Body Text"/>
    <w:basedOn w:val="Normal"/>
    <w:rsid w:val="003E52B1"/>
    <w:pPr>
      <w:spacing w:line="360" w:lineRule="auto"/>
    </w:pPr>
  </w:style>
  <w:style w:type="paragraph" w:styleId="List">
    <w:name w:val="List"/>
    <w:basedOn w:val="BodyText"/>
    <w:rsid w:val="003E52B1"/>
  </w:style>
  <w:style w:type="paragraph" w:styleId="Caption">
    <w:name w:val="caption"/>
    <w:basedOn w:val="Normal"/>
    <w:uiPriority w:val="35"/>
    <w:qFormat/>
    <w:rsid w:val="003E52B1"/>
    <w:pPr>
      <w:suppressLineNumbers/>
      <w:spacing w:before="120" w:after="120"/>
    </w:pPr>
    <w:rPr>
      <w:i/>
      <w:iCs/>
    </w:rPr>
  </w:style>
  <w:style w:type="paragraph" w:customStyle="1" w:styleId="Index">
    <w:name w:val="Index"/>
    <w:basedOn w:val="Normal"/>
    <w:rsid w:val="003E52B1"/>
    <w:pPr>
      <w:suppressLineNumbers/>
    </w:pPr>
  </w:style>
  <w:style w:type="paragraph" w:styleId="Header">
    <w:name w:val="header"/>
    <w:basedOn w:val="Normal"/>
    <w:next w:val="Heading1"/>
    <w:link w:val="HeaderChar"/>
    <w:rsid w:val="003E52B1"/>
    <w:pPr>
      <w:tabs>
        <w:tab w:val="center" w:pos="4320"/>
        <w:tab w:val="right" w:pos="8640"/>
      </w:tabs>
    </w:pPr>
  </w:style>
  <w:style w:type="paragraph" w:styleId="BodyTextIndent3">
    <w:name w:val="Body Text Indent 3"/>
    <w:basedOn w:val="Normal"/>
    <w:rsid w:val="003E52B1"/>
    <w:pPr>
      <w:spacing w:line="360" w:lineRule="auto"/>
      <w:ind w:firstLine="720"/>
      <w:jc w:val="both"/>
    </w:pPr>
    <w:rPr>
      <w:b/>
      <w:bCs/>
    </w:rPr>
  </w:style>
  <w:style w:type="paragraph" w:styleId="BodyTextIndent">
    <w:name w:val="Body Text Indent"/>
    <w:basedOn w:val="Normal"/>
    <w:rsid w:val="003E52B1"/>
    <w:pPr>
      <w:ind w:left="540" w:hanging="720"/>
      <w:jc w:val="both"/>
    </w:pPr>
  </w:style>
  <w:style w:type="paragraph" w:styleId="BodyTextIndent2">
    <w:name w:val="Body Text Indent 2"/>
    <w:basedOn w:val="Normal"/>
    <w:rsid w:val="003E52B1"/>
    <w:pPr>
      <w:spacing w:line="360" w:lineRule="auto"/>
      <w:ind w:firstLine="720"/>
      <w:jc w:val="both"/>
    </w:pPr>
  </w:style>
  <w:style w:type="paragraph" w:styleId="BodyText2">
    <w:name w:val="Body Text 2"/>
    <w:basedOn w:val="Normal"/>
    <w:rsid w:val="003E52B1"/>
    <w:pPr>
      <w:spacing w:line="360" w:lineRule="auto"/>
      <w:jc w:val="both"/>
    </w:pPr>
  </w:style>
  <w:style w:type="paragraph" w:styleId="Footer">
    <w:name w:val="footer"/>
    <w:basedOn w:val="Normal"/>
    <w:link w:val="FooterChar"/>
    <w:rsid w:val="003E52B1"/>
    <w:pPr>
      <w:tabs>
        <w:tab w:val="center" w:pos="4320"/>
        <w:tab w:val="right" w:pos="8640"/>
      </w:tabs>
    </w:pPr>
    <w:rPr>
      <w:sz w:val="32"/>
    </w:rPr>
  </w:style>
  <w:style w:type="paragraph" w:customStyle="1" w:styleId="TableContents">
    <w:name w:val="Table Contents"/>
    <w:basedOn w:val="Normal"/>
    <w:rsid w:val="003E52B1"/>
    <w:pPr>
      <w:suppressLineNumbers/>
    </w:pPr>
  </w:style>
  <w:style w:type="paragraph" w:customStyle="1" w:styleId="TableHeading">
    <w:name w:val="Table Heading"/>
    <w:basedOn w:val="TableContents"/>
    <w:rsid w:val="003E52B1"/>
    <w:pPr>
      <w:jc w:val="center"/>
    </w:pPr>
    <w:rPr>
      <w:b/>
      <w:bCs/>
    </w:rPr>
  </w:style>
  <w:style w:type="paragraph" w:customStyle="1" w:styleId="Framecontents">
    <w:name w:val="Frame contents"/>
    <w:basedOn w:val="BodyText"/>
    <w:rsid w:val="003E52B1"/>
  </w:style>
  <w:style w:type="paragraph" w:customStyle="1" w:styleId="Text">
    <w:name w:val="Text"/>
    <w:basedOn w:val="Normal"/>
    <w:rsid w:val="003E52B1"/>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D8323D"/>
  </w:style>
  <w:style w:type="character" w:customStyle="1" w:styleId="hpsatn">
    <w:name w:val="hps atn"/>
    <w:basedOn w:val="DefaultParagraphFont"/>
    <w:rsid w:val="00D8323D"/>
  </w:style>
  <w:style w:type="character" w:customStyle="1" w:styleId="shorttext">
    <w:name w:val="short_text"/>
    <w:basedOn w:val="DefaultParagraphFont"/>
    <w:rsid w:val="00D8323D"/>
  </w:style>
  <w:style w:type="character" w:customStyle="1" w:styleId="Heading4Char">
    <w:name w:val="Heading 4 Char"/>
    <w:link w:val="Heading4"/>
    <w:locked/>
    <w:rsid w:val="00D8323D"/>
    <w:rPr>
      <w:b/>
      <w:bCs/>
      <w:sz w:val="24"/>
      <w:szCs w:val="24"/>
      <w:lang w:val="en-US" w:eastAsia="en-US" w:bidi="ar-SA"/>
    </w:rPr>
  </w:style>
  <w:style w:type="character" w:customStyle="1" w:styleId="hpsalt-edited">
    <w:name w:val="hps alt-edited"/>
    <w:basedOn w:val="DefaultParagraphFont"/>
    <w:rsid w:val="00D8323D"/>
  </w:style>
  <w:style w:type="character" w:customStyle="1" w:styleId="atn">
    <w:name w:val="atn"/>
    <w:rsid w:val="00FB1951"/>
  </w:style>
  <w:style w:type="table" w:styleId="TableGrid">
    <w:name w:val="Table Grid"/>
    <w:basedOn w:val="TableNormal"/>
    <w:uiPriority w:val="59"/>
    <w:rsid w:val="00FB19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B1951"/>
    <w:pPr>
      <w:suppressAutoHyphens w:val="0"/>
      <w:bidi/>
    </w:pPr>
    <w:rPr>
      <w:rFonts w:ascii="Tahoma" w:eastAsia="Times New Roman" w:hAnsi="Tahoma"/>
      <w:sz w:val="16"/>
      <w:szCs w:val="16"/>
    </w:rPr>
  </w:style>
  <w:style w:type="character" w:customStyle="1" w:styleId="BalloonTextChar">
    <w:name w:val="Balloon Text Char"/>
    <w:link w:val="BalloonText"/>
    <w:rsid w:val="00FB1951"/>
    <w:rPr>
      <w:rFonts w:ascii="Tahoma" w:eastAsia="Times New Roman" w:hAnsi="Tahoma" w:cs="Tahoma"/>
      <w:sz w:val="16"/>
      <w:szCs w:val="16"/>
    </w:rPr>
  </w:style>
  <w:style w:type="paragraph" w:customStyle="1" w:styleId="a">
    <w:name w:val="ایران نوت"/>
    <w:basedOn w:val="FootnoteText"/>
    <w:rsid w:val="00737DD9"/>
    <w:pPr>
      <w:suppressAutoHyphens w:val="0"/>
      <w:ind w:firstLine="284"/>
      <w:jc w:val="both"/>
    </w:pPr>
    <w:rPr>
      <w:rFonts w:cs="B Nazanin"/>
      <w:lang w:eastAsia="en-US"/>
    </w:rPr>
  </w:style>
  <w:style w:type="paragraph" w:styleId="FootnoteText">
    <w:name w:val="footnote text"/>
    <w:basedOn w:val="Normal"/>
    <w:semiHidden/>
    <w:rsid w:val="00737DD9"/>
    <w:rPr>
      <w:sz w:val="20"/>
      <w:szCs w:val="20"/>
    </w:rPr>
  </w:style>
  <w:style w:type="paragraph" w:styleId="ListParagraph">
    <w:name w:val="List Paragraph"/>
    <w:basedOn w:val="Normal"/>
    <w:uiPriority w:val="34"/>
    <w:qFormat/>
    <w:rsid w:val="00572258"/>
    <w:pPr>
      <w:suppressAutoHyphens w:val="0"/>
      <w:spacing w:after="160" w:line="259" w:lineRule="auto"/>
      <w:ind w:left="720"/>
      <w:contextualSpacing/>
    </w:pPr>
    <w:rPr>
      <w:rFonts w:ascii="Calibri" w:eastAsia="Calibri" w:hAnsi="Calibri" w:cs="Arial"/>
      <w:sz w:val="22"/>
      <w:szCs w:val="22"/>
      <w:lang w:eastAsia="en-US"/>
    </w:rPr>
  </w:style>
  <w:style w:type="character" w:styleId="FootnoteReference">
    <w:name w:val="footnote reference"/>
    <w:semiHidden/>
    <w:unhideWhenUsed/>
    <w:rsid w:val="00CC6B9E"/>
    <w:rPr>
      <w:vertAlign w:val="superscript"/>
    </w:rPr>
  </w:style>
  <w:style w:type="paragraph" w:customStyle="1" w:styleId="Default">
    <w:name w:val="Default"/>
    <w:rsid w:val="0007151A"/>
    <w:pPr>
      <w:autoSpaceDE w:val="0"/>
      <w:autoSpaceDN w:val="0"/>
      <w:adjustRightInd w:val="0"/>
    </w:pPr>
    <w:rPr>
      <w:rFonts w:ascii="Verdana" w:eastAsia="Calibri" w:hAnsi="Verdana" w:cs="Verdana"/>
      <w:color w:val="000000"/>
      <w:sz w:val="24"/>
      <w:szCs w:val="24"/>
    </w:rPr>
  </w:style>
  <w:style w:type="character" w:styleId="Emphasis">
    <w:name w:val="Emphasis"/>
    <w:uiPriority w:val="20"/>
    <w:qFormat/>
    <w:rsid w:val="0007151A"/>
    <w:rPr>
      <w:i/>
      <w:iCs/>
    </w:rPr>
  </w:style>
  <w:style w:type="character" w:styleId="Strong">
    <w:name w:val="Strong"/>
    <w:uiPriority w:val="22"/>
    <w:qFormat/>
    <w:rsid w:val="0007151A"/>
    <w:rPr>
      <w:b/>
      <w:bCs/>
    </w:rPr>
  </w:style>
  <w:style w:type="character" w:customStyle="1" w:styleId="citation">
    <w:name w:val="citation"/>
    <w:rsid w:val="0007151A"/>
  </w:style>
  <w:style w:type="character" w:customStyle="1" w:styleId="ref-journal">
    <w:name w:val="ref-journal"/>
    <w:rsid w:val="0007151A"/>
  </w:style>
  <w:style w:type="character" w:customStyle="1" w:styleId="ref-vol">
    <w:name w:val="ref-vol"/>
    <w:rsid w:val="0007151A"/>
  </w:style>
  <w:style w:type="character" w:styleId="HTMLCite">
    <w:name w:val="HTML Cite"/>
    <w:uiPriority w:val="99"/>
    <w:semiHidden/>
    <w:unhideWhenUsed/>
    <w:rsid w:val="0007151A"/>
    <w:rPr>
      <w:i/>
      <w:iCs/>
    </w:rPr>
  </w:style>
  <w:style w:type="character" w:customStyle="1" w:styleId="author">
    <w:name w:val="author"/>
    <w:rsid w:val="0007151A"/>
  </w:style>
  <w:style w:type="character" w:customStyle="1" w:styleId="pubyear">
    <w:name w:val="pubyear"/>
    <w:rsid w:val="0007151A"/>
  </w:style>
  <w:style w:type="character" w:customStyle="1" w:styleId="alt-edited">
    <w:name w:val="alt-edited"/>
    <w:basedOn w:val="DefaultParagraphFont"/>
    <w:rsid w:val="00800F0F"/>
  </w:style>
  <w:style w:type="character" w:customStyle="1" w:styleId="gt-card-ttl-txt">
    <w:name w:val="gt-card-ttl-txt"/>
    <w:basedOn w:val="DefaultParagraphFont"/>
    <w:rsid w:val="000F5624"/>
  </w:style>
  <w:style w:type="character" w:customStyle="1" w:styleId="HeaderChar">
    <w:name w:val="Header Char"/>
    <w:link w:val="Header"/>
    <w:rsid w:val="0023594E"/>
    <w:rPr>
      <w:sz w:val="24"/>
      <w:szCs w:val="24"/>
      <w:lang w:eastAsia="ar-SA"/>
    </w:rPr>
  </w:style>
  <w:style w:type="character" w:customStyle="1" w:styleId="FooterChar">
    <w:name w:val="Footer Char"/>
    <w:link w:val="Footer"/>
    <w:rsid w:val="0023594E"/>
    <w:rPr>
      <w:sz w:val="32"/>
      <w:szCs w:val="24"/>
      <w:lang w:eastAsia="ar-SA"/>
    </w:rPr>
  </w:style>
</w:styles>
</file>

<file path=word/webSettings.xml><?xml version="1.0" encoding="utf-8"?>
<w:webSettings xmlns:r="http://schemas.openxmlformats.org/officeDocument/2006/relationships" xmlns:w="http://schemas.openxmlformats.org/wordprocessingml/2006/main">
  <w:divs>
    <w:div w:id="171458716">
      <w:bodyDiv w:val="1"/>
      <w:marLeft w:val="0"/>
      <w:marRight w:val="0"/>
      <w:marTop w:val="0"/>
      <w:marBottom w:val="0"/>
      <w:divBdr>
        <w:top w:val="none" w:sz="0" w:space="0" w:color="auto"/>
        <w:left w:val="none" w:sz="0" w:space="0" w:color="auto"/>
        <w:bottom w:val="none" w:sz="0" w:space="0" w:color="auto"/>
        <w:right w:val="none" w:sz="0" w:space="0" w:color="auto"/>
      </w:divBdr>
    </w:div>
    <w:div w:id="714622919">
      <w:bodyDiv w:val="1"/>
      <w:marLeft w:val="0"/>
      <w:marRight w:val="0"/>
      <w:marTop w:val="0"/>
      <w:marBottom w:val="0"/>
      <w:divBdr>
        <w:top w:val="none" w:sz="0" w:space="0" w:color="auto"/>
        <w:left w:val="none" w:sz="0" w:space="0" w:color="auto"/>
        <w:bottom w:val="none" w:sz="0" w:space="0" w:color="auto"/>
        <w:right w:val="none" w:sz="0" w:space="0" w:color="auto"/>
      </w:divBdr>
    </w:div>
    <w:div w:id="729185737">
      <w:bodyDiv w:val="1"/>
      <w:marLeft w:val="0"/>
      <w:marRight w:val="0"/>
      <w:marTop w:val="0"/>
      <w:marBottom w:val="0"/>
      <w:divBdr>
        <w:top w:val="none" w:sz="0" w:space="0" w:color="auto"/>
        <w:left w:val="none" w:sz="0" w:space="0" w:color="auto"/>
        <w:bottom w:val="none" w:sz="0" w:space="0" w:color="auto"/>
        <w:right w:val="none" w:sz="0" w:space="0" w:color="auto"/>
      </w:divBdr>
    </w:div>
    <w:div w:id="10270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jpeg"/><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faculty.washington.edu/marzban/within_between.pdf" TargetMode="External"/><Relationship Id="rId5" Type="http://schemas.openxmlformats.org/officeDocument/2006/relationships/footnotes" Target="footnotes.xml"/><Relationship Id="rId15" Type="http://schemas.openxmlformats.org/officeDocument/2006/relationships/hyperlink" Target="http://www.extension.umn.edu/distribution/youthdevelopment/components/0328-07.html" TargetMode="External"/><Relationship Id="rId23" Type="http://schemas.openxmlformats.org/officeDocument/2006/relationships/hyperlink" Target="http://faculty.washington.edu/marzban/within_between_simple.pdf" TargetMode="External"/><Relationship Id="rId28" Type="http://schemas.openxmlformats.org/officeDocument/2006/relationships/fontTable" Target="fontTable.xml"/><Relationship Id="rId10" Type="http://schemas.openxmlformats.org/officeDocument/2006/relationships/hyperlink" Target="http://www.sciencepub.net/newyor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eomf.ou.edu/visualization/gmap/" TargetMode="External"/><Relationship Id="rId22" Type="http://schemas.openxmlformats.org/officeDocument/2006/relationships/hyperlink" Target="http://www.yale.edu/statlab" TargetMode="Externa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themeOverride" Target="../theme/themeOverride1.xml"/><Relationship Id="rId4" Type="http://schemas.openxmlformats.org/officeDocument/2006/relationships/oleObject" Target="file:///M:\statistic\anova.xlsx" TargetMode="External"/></Relationships>
</file>

<file path=word/charts/_rels/chart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themeOverride" Target="../theme/themeOverride2.xml"/><Relationship Id="rId5" Type="http://schemas.openxmlformats.org/officeDocument/2006/relationships/chartUserShapes" Target="../drawings/drawing1.xml"/><Relationship Id="rId4" Type="http://schemas.openxmlformats.org/officeDocument/2006/relationships/oleObject" Target="file:///M:\statistic\anov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a:lstStyle/>
          <a:p>
            <a:pPr>
              <a:defRPr/>
            </a:pPr>
            <a:r>
              <a:rPr lang="en-US" sz="1200">
                <a:solidFill>
                  <a:schemeClr val="accent3">
                    <a:lumMod val="50000"/>
                  </a:schemeClr>
                </a:solidFill>
              </a:rPr>
              <a:t>9 year</a:t>
            </a:r>
            <a:r>
              <a:rPr lang="en-US" sz="1200" baseline="0">
                <a:solidFill>
                  <a:schemeClr val="accent3">
                    <a:lumMod val="50000"/>
                  </a:schemeClr>
                </a:solidFill>
              </a:rPr>
              <a:t> </a:t>
            </a:r>
            <a:r>
              <a:rPr lang="en-US" sz="1200">
                <a:solidFill>
                  <a:schemeClr val="accent3">
                    <a:lumMod val="50000"/>
                  </a:schemeClr>
                </a:solidFill>
              </a:rPr>
              <a:t>Night LST Arith. Mean from 2000 to 2008</a:t>
            </a:r>
          </a:p>
        </c:rich>
      </c:tx>
      <c:layout>
        <c:manualLayout>
          <c:xMode val="edge"/>
          <c:yMode val="edge"/>
          <c:x val="0.10292366579177603"/>
          <c:y val="4.1666666666666664E-2"/>
        </c:manualLayout>
      </c:layout>
    </c:title>
    <c:view3D>
      <c:rAngAx val="1"/>
    </c:view3D>
    <c:plotArea>
      <c:layout/>
      <c:bar3DChart>
        <c:barDir val="col"/>
        <c:grouping val="stacked"/>
        <c:ser>
          <c:idx val="0"/>
          <c:order val="0"/>
          <c:tx>
            <c:strRef>
              <c:f>Sheet1!$P$22</c:f>
              <c:strCache>
                <c:ptCount val="1"/>
                <c:pt idx="0">
                  <c:v>Arith. Mean</c:v>
                </c:pt>
              </c:strCache>
            </c:strRef>
          </c:tx>
          <c:dPt>
            <c:idx val="0"/>
            <c:spPr>
              <a:solidFill>
                <a:schemeClr val="accent3">
                  <a:lumMod val="75000"/>
                </a:schemeClr>
              </a:solidFill>
            </c:spPr>
          </c:dPt>
          <c:dPt>
            <c:idx val="1"/>
            <c:spPr>
              <a:pattFill prst="horzBrick">
                <a:fgClr>
                  <a:srgbClr val="663300"/>
                </a:fgClr>
                <a:bgClr>
                  <a:schemeClr val="bg1"/>
                </a:bgClr>
              </a:pattFill>
            </c:spPr>
          </c:dPt>
          <c:dPt>
            <c:idx val="2"/>
            <c:spPr>
              <a:pattFill prst="wave">
                <a:fgClr>
                  <a:schemeClr val="accent4">
                    <a:lumMod val="75000"/>
                  </a:schemeClr>
                </a:fgClr>
                <a:bgClr>
                  <a:schemeClr val="bg1"/>
                </a:bgClr>
              </a:pattFill>
            </c:spPr>
          </c:dPt>
          <c:dPt>
            <c:idx val="3"/>
            <c:spPr>
              <a:pattFill prst="sphere">
                <a:fgClr>
                  <a:schemeClr val="accent3">
                    <a:lumMod val="50000"/>
                  </a:schemeClr>
                </a:fgClr>
                <a:bgClr>
                  <a:schemeClr val="bg1"/>
                </a:bgClr>
              </a:pattFill>
            </c:spPr>
          </c:dPt>
          <c:dPt>
            <c:idx val="4"/>
            <c:spPr>
              <a:blipFill>
                <a:blip xmlns:r="http://schemas.openxmlformats.org/officeDocument/2006/relationships" r:embed="rId2"/>
                <a:tile tx="0" ty="0" sx="100000" sy="100000" flip="none" algn="tl"/>
              </a:blipFill>
            </c:spPr>
          </c:dPt>
          <c:dPt>
            <c:idx val="5"/>
            <c:spPr>
              <a:blipFill>
                <a:blip xmlns:r="http://schemas.openxmlformats.org/officeDocument/2006/relationships" r:embed="rId3"/>
                <a:tile tx="0" ty="0" sx="100000" sy="100000" flip="none" algn="tl"/>
              </a:blipFill>
            </c:spPr>
          </c:dPt>
          <c:cat>
            <c:strRef>
              <c:f>Sheet1!$M$23:$M$28</c:f>
              <c:strCache>
                <c:ptCount val="6"/>
                <c:pt idx="0">
                  <c:v>Open agriculture</c:v>
                </c:pt>
                <c:pt idx="1">
                  <c:v>Build-up area</c:v>
                </c:pt>
                <c:pt idx="2">
                  <c:v>Recreational  area</c:v>
                </c:pt>
                <c:pt idx="3">
                  <c:v>Greenhouse farming</c:v>
                </c:pt>
                <c:pt idx="4">
                  <c:v>Forest</c:v>
                </c:pt>
                <c:pt idx="5">
                  <c:v>Inland waterway and Offshore area</c:v>
                </c:pt>
              </c:strCache>
            </c:strRef>
          </c:cat>
          <c:val>
            <c:numRef>
              <c:f>Sheet1!$P$23:$P$28</c:f>
              <c:numCache>
                <c:formatCode>0.000</c:formatCode>
                <c:ptCount val="6"/>
                <c:pt idx="0">
                  <c:v>4.7329372496662465</c:v>
                </c:pt>
                <c:pt idx="1">
                  <c:v>7.1492502639915863</c:v>
                </c:pt>
                <c:pt idx="2">
                  <c:v>5.3020551724138185</c:v>
                </c:pt>
                <c:pt idx="3">
                  <c:v>5.3112188928390314</c:v>
                </c:pt>
                <c:pt idx="4">
                  <c:v>4.3628664259928129</c:v>
                </c:pt>
                <c:pt idx="5">
                  <c:v>8.0192170591979828</c:v>
                </c:pt>
              </c:numCache>
            </c:numRef>
          </c:val>
        </c:ser>
        <c:dLbls/>
        <c:shape val="cylinder"/>
        <c:axId val="123676160"/>
        <c:axId val="123677696"/>
        <c:axId val="0"/>
      </c:bar3DChart>
      <c:catAx>
        <c:axId val="123676160"/>
        <c:scaling>
          <c:orientation val="minMax"/>
        </c:scaling>
        <c:axPos val="b"/>
        <c:numFmt formatCode="General" sourceLinked="0"/>
        <c:tickLblPos val="nextTo"/>
        <c:crossAx val="123677696"/>
        <c:crosses val="autoZero"/>
        <c:auto val="1"/>
        <c:lblAlgn val="ctr"/>
        <c:lblOffset val="100"/>
      </c:catAx>
      <c:valAx>
        <c:axId val="123677696"/>
        <c:scaling>
          <c:orientation val="minMax"/>
        </c:scaling>
        <c:axPos val="l"/>
        <c:majorGridlines/>
        <c:title>
          <c:tx>
            <c:rich>
              <a:bodyPr rot="-5400000" vert="horz"/>
              <a:lstStyle/>
              <a:p>
                <a:pPr>
                  <a:defRPr/>
                </a:pPr>
                <a:r>
                  <a:rPr lang="en-US" sz="1000" b="0">
                    <a:latin typeface="+mn-lt"/>
                  </a:rPr>
                  <a:t>Night land surface temperature, </a:t>
                </a:r>
                <a:r>
                  <a:rPr lang="en-US" sz="1000" b="0">
                    <a:latin typeface="Times New Roman"/>
                    <a:cs typeface="Times New Roman"/>
                  </a:rPr>
                  <a:t>◦</a:t>
                </a:r>
                <a:r>
                  <a:rPr lang="en-US" sz="1000" b="0">
                    <a:latin typeface="+mn-lt"/>
                  </a:rPr>
                  <a:t>C</a:t>
                </a:r>
              </a:p>
            </c:rich>
          </c:tx>
          <c:layout>
            <c:manualLayout>
              <c:xMode val="edge"/>
              <c:yMode val="edge"/>
              <c:x val="3.1965004374453196E-2"/>
              <c:y val="0.12385425780110819"/>
            </c:manualLayout>
          </c:layout>
        </c:title>
        <c:numFmt formatCode="0.000" sourceLinked="1"/>
        <c:tickLblPos val="nextTo"/>
        <c:crossAx val="123676160"/>
        <c:crosses val="autoZero"/>
        <c:crossBetween val="between"/>
      </c:valAx>
    </c:plotArea>
    <c:legend>
      <c:legendPos val="r"/>
    </c:legend>
    <c:plotVisOnly val="1"/>
    <c:dispBlanksAs val="gap"/>
  </c:chart>
  <c:spPr>
    <a:solidFill>
      <a:schemeClr val="accent6">
        <a:lumMod val="20000"/>
        <a:lumOff val="80000"/>
      </a:schemeClr>
    </a:solidFill>
  </c:spPr>
  <c:externalData r:id="rId4"/>
</c:chartSpace>
</file>

<file path=word/charts/chart2.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a:lstStyle/>
          <a:p>
            <a:pPr algn="ctr" rtl="0">
              <a:defRPr lang="en-US" sz="1200" b="1" i="0" u="none" strike="noStrike" kern="1200" baseline="0">
                <a:solidFill>
                  <a:schemeClr val="accent3">
                    <a:lumMod val="50000"/>
                  </a:schemeClr>
                </a:solidFill>
                <a:latin typeface="+mn-lt"/>
                <a:ea typeface="+mn-ea"/>
                <a:cs typeface="+mn-cs"/>
              </a:defRPr>
            </a:pPr>
            <a:r>
              <a:rPr lang="en-US" sz="1200" b="1" i="0" u="none" strike="noStrike" kern="1200" baseline="0">
                <a:solidFill>
                  <a:schemeClr val="accent3">
                    <a:lumMod val="50000"/>
                  </a:schemeClr>
                </a:solidFill>
                <a:latin typeface="+mn-lt"/>
                <a:ea typeface="+mn-ea"/>
                <a:cs typeface="+mn-cs"/>
              </a:rPr>
              <a:t>9 year Day LST Arith. Mean from 2000 to 2008</a:t>
            </a:r>
          </a:p>
        </c:rich>
      </c:tx>
      <c:layout>
        <c:manualLayout>
          <c:xMode val="edge"/>
          <c:yMode val="edge"/>
          <c:x val="0.10240966754155732"/>
          <c:y val="2.5477707006369442E-2"/>
        </c:manualLayout>
      </c:layout>
      <c:overlay val="1"/>
    </c:title>
    <c:view3D>
      <c:rAngAx val="1"/>
    </c:view3D>
    <c:plotArea>
      <c:layout>
        <c:manualLayout>
          <c:layoutTarget val="inner"/>
          <c:xMode val="edge"/>
          <c:yMode val="edge"/>
          <c:x val="0.19347462817147856"/>
          <c:y val="0.12357757828042197"/>
          <c:w val="0.48599803149606297"/>
          <c:h val="0.37683501345771275"/>
        </c:manualLayout>
      </c:layout>
      <c:bar3DChart>
        <c:barDir val="col"/>
        <c:grouping val="stacked"/>
        <c:ser>
          <c:idx val="0"/>
          <c:order val="0"/>
          <c:dPt>
            <c:idx val="0"/>
            <c:spPr>
              <a:solidFill>
                <a:schemeClr val="accent3">
                  <a:lumMod val="75000"/>
                </a:schemeClr>
              </a:solidFill>
            </c:spPr>
          </c:dPt>
          <c:dPt>
            <c:idx val="1"/>
            <c:spPr>
              <a:pattFill prst="horzBrick">
                <a:fgClr>
                  <a:srgbClr val="663300"/>
                </a:fgClr>
                <a:bgClr>
                  <a:schemeClr val="bg1"/>
                </a:bgClr>
              </a:pattFill>
            </c:spPr>
          </c:dPt>
          <c:dPt>
            <c:idx val="2"/>
            <c:spPr>
              <a:pattFill prst="zigZag">
                <a:fgClr>
                  <a:schemeClr val="accent4">
                    <a:lumMod val="60000"/>
                    <a:lumOff val="40000"/>
                  </a:schemeClr>
                </a:fgClr>
                <a:bgClr>
                  <a:schemeClr val="bg1"/>
                </a:bgClr>
              </a:pattFill>
            </c:spPr>
          </c:dPt>
          <c:dPt>
            <c:idx val="3"/>
            <c:spPr>
              <a:pattFill prst="sphere">
                <a:fgClr>
                  <a:schemeClr val="accent3">
                    <a:lumMod val="50000"/>
                  </a:schemeClr>
                </a:fgClr>
                <a:bgClr>
                  <a:schemeClr val="bg1"/>
                </a:bgClr>
              </a:pattFill>
            </c:spPr>
          </c:dPt>
          <c:dPt>
            <c:idx val="4"/>
            <c:spPr>
              <a:blipFill>
                <a:blip xmlns:r="http://schemas.openxmlformats.org/officeDocument/2006/relationships" r:embed="rId2"/>
                <a:tile tx="0" ty="0" sx="100000" sy="100000" flip="none" algn="tl"/>
              </a:blipFill>
            </c:spPr>
          </c:dPt>
          <c:dPt>
            <c:idx val="5"/>
            <c:spPr>
              <a:blipFill>
                <a:blip xmlns:r="http://schemas.openxmlformats.org/officeDocument/2006/relationships" r:embed="rId3"/>
                <a:tile tx="0" ty="0" sx="100000" sy="100000" flip="none" algn="tl"/>
              </a:blipFill>
            </c:spPr>
          </c:dPt>
          <c:cat>
            <c:strRef>
              <c:f>Sheet2!$L$24:$L$29</c:f>
              <c:strCache>
                <c:ptCount val="6"/>
                <c:pt idx="0">
                  <c:v>Open agriculture </c:v>
                </c:pt>
                <c:pt idx="1">
                  <c:v>Build-up area</c:v>
                </c:pt>
                <c:pt idx="2">
                  <c:v>Recreational  area</c:v>
                </c:pt>
                <c:pt idx="3">
                  <c:v>Greenhouse farming</c:v>
                </c:pt>
                <c:pt idx="4">
                  <c:v>Forest</c:v>
                </c:pt>
                <c:pt idx="5">
                  <c:v>Inland waterway and Offshore area</c:v>
                </c:pt>
              </c:strCache>
            </c:strRef>
          </c:cat>
          <c:val>
            <c:numRef>
              <c:f>Sheet2!$O$24:$O$29</c:f>
              <c:numCache>
                <c:formatCode>0.000</c:formatCode>
                <c:ptCount val="6"/>
                <c:pt idx="0">
                  <c:v>13.881672942442204</c:v>
                </c:pt>
                <c:pt idx="1">
                  <c:v>17.091046676096219</c:v>
                </c:pt>
                <c:pt idx="2">
                  <c:v>15.385620197585096</c:v>
                </c:pt>
                <c:pt idx="3">
                  <c:v>12.651349292709479</c:v>
                </c:pt>
                <c:pt idx="4">
                  <c:v>13.01313333333335</c:v>
                </c:pt>
                <c:pt idx="5">
                  <c:v>11.689037947621621</c:v>
                </c:pt>
              </c:numCache>
            </c:numRef>
          </c:val>
        </c:ser>
        <c:dLbls/>
        <c:gapWidth val="160"/>
        <c:shape val="cylinder"/>
        <c:axId val="107164416"/>
        <c:axId val="107165952"/>
        <c:axId val="0"/>
      </c:bar3DChart>
      <c:catAx>
        <c:axId val="107164416"/>
        <c:scaling>
          <c:orientation val="minMax"/>
        </c:scaling>
        <c:axPos val="b"/>
        <c:numFmt formatCode="General" sourceLinked="0"/>
        <c:tickLblPos val="nextTo"/>
        <c:crossAx val="107165952"/>
        <c:crosses val="autoZero"/>
        <c:auto val="1"/>
        <c:lblAlgn val="ctr"/>
        <c:lblOffset val="100"/>
      </c:catAx>
      <c:valAx>
        <c:axId val="107165952"/>
        <c:scaling>
          <c:orientation val="minMax"/>
        </c:scaling>
        <c:axPos val="l"/>
        <c:majorGridlines/>
        <c:title>
          <c:tx>
            <c:rich>
              <a:bodyPr rot="-5400000" vert="horz"/>
              <a:lstStyle/>
              <a:p>
                <a:pPr>
                  <a:defRPr/>
                </a:pPr>
                <a:r>
                  <a:rPr lang="en-US" b="0">
                    <a:latin typeface="+mn-lt"/>
                  </a:rPr>
                  <a:t>Day</a:t>
                </a:r>
                <a:r>
                  <a:rPr lang="en-US" b="0" baseline="0">
                    <a:latin typeface="+mn-lt"/>
                  </a:rPr>
                  <a:t> land suface temperature, </a:t>
                </a:r>
                <a:r>
                  <a:rPr lang="en-US" b="0" baseline="0">
                    <a:latin typeface="+mn-lt"/>
                    <a:cs typeface="Times New Roman"/>
                  </a:rPr>
                  <a:t>˚</a:t>
                </a:r>
                <a:r>
                  <a:rPr lang="en-US" b="0" baseline="0">
                    <a:latin typeface="+mn-lt"/>
                  </a:rPr>
                  <a:t>C</a:t>
                </a:r>
                <a:endParaRPr lang="en-US" b="0">
                  <a:latin typeface="+mn-lt"/>
                </a:endParaRPr>
              </a:p>
            </c:rich>
          </c:tx>
          <c:layout>
            <c:manualLayout>
              <c:xMode val="edge"/>
              <c:yMode val="edge"/>
              <c:x val="1.8490157480314965E-2"/>
              <c:y val="0.16604042329103769"/>
            </c:manualLayout>
          </c:layout>
        </c:title>
        <c:numFmt formatCode="0.000" sourceLinked="1"/>
        <c:tickLblPos val="nextTo"/>
        <c:crossAx val="107164416"/>
        <c:crosses val="autoZero"/>
        <c:crossBetween val="between"/>
        <c:majorUnit val="2"/>
      </c:valAx>
    </c:plotArea>
    <c:legend>
      <c:legendPos val="r"/>
    </c:legend>
    <c:plotVisOnly val="1"/>
    <c:dispBlanksAs val="gap"/>
  </c:chart>
  <c:spPr>
    <a:solidFill>
      <a:schemeClr val="accent6">
        <a:lumMod val="20000"/>
        <a:lumOff val="80000"/>
      </a:schemeClr>
    </a:solidFill>
  </c:spPr>
  <c:externalData r:id="rId4"/>
  <c:userShapes r:id="rId5"/>
</c:chartSpace>
</file>

<file path=word/drawings/drawing1.xml><?xml version="1.0" encoding="utf-8"?>
<c:userShapes xmlns:c="http://schemas.openxmlformats.org/drawingml/2006/chart">
  <cdr:relSizeAnchor xmlns:cdr="http://schemas.openxmlformats.org/drawingml/2006/chartDrawing">
    <cdr:from>
      <cdr:x>0.25696</cdr:x>
      <cdr:y>0.16343</cdr:y>
    </cdr:from>
    <cdr:to>
      <cdr:x>0.60943</cdr:x>
      <cdr:y>0.26427</cdr:y>
    </cdr:to>
    <cdr:grpSp>
      <cdr:nvGrpSpPr>
        <cdr:cNvPr id="26" name="Group 25"/>
        <cdr:cNvGrpSpPr/>
      </cdr:nvGrpSpPr>
      <cdr:grpSpPr>
        <a:xfrm xmlns:a="http://schemas.openxmlformats.org/drawingml/2006/main">
          <a:off x="1174173" y="488373"/>
          <a:ext cx="1610591" cy="301337"/>
          <a:chOff x="1174173" y="488373"/>
          <a:chExt cx="1610591" cy="301337"/>
        </a:xfrm>
      </cdr:grpSpPr>
      <cdr:cxnSp macro="">
        <cdr:nvCxnSpPr>
          <cdr:cNvPr id="2" name="Straight Connector 1"/>
          <cdr:cNvCxnSpPr/>
        </cdr:nvCxnSpPr>
        <cdr:spPr>
          <a:xfrm xmlns:a="http://schemas.openxmlformats.org/drawingml/2006/main" flipV="1">
            <a:off x="1174173" y="488374"/>
            <a:ext cx="311727" cy="166254"/>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cxnSp macro="">
        <cdr:nvCxnSpPr>
          <cdr:cNvPr id="6" name="Straight Connector 5"/>
          <cdr:cNvCxnSpPr/>
        </cdr:nvCxnSpPr>
        <cdr:spPr>
          <a:xfrm xmlns:a="http://schemas.openxmlformats.org/drawingml/2006/main">
            <a:off x="1496291" y="488373"/>
            <a:ext cx="332509" cy="103909"/>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cxnSp macro="">
        <cdr:nvCxnSpPr>
          <cdr:cNvPr id="8" name="Straight Connector 7"/>
          <cdr:cNvCxnSpPr/>
        </cdr:nvCxnSpPr>
        <cdr:spPr>
          <a:xfrm xmlns:a="http://schemas.openxmlformats.org/drawingml/2006/main">
            <a:off x="1859973" y="602673"/>
            <a:ext cx="290945" cy="114300"/>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cxnSp macro="">
        <cdr:nvCxnSpPr>
          <cdr:cNvPr id="10" name="Straight Connector 9"/>
          <cdr:cNvCxnSpPr/>
        </cdr:nvCxnSpPr>
        <cdr:spPr>
          <a:xfrm xmlns:a="http://schemas.openxmlformats.org/drawingml/2006/main" flipV="1">
            <a:off x="2150918" y="696191"/>
            <a:ext cx="322118" cy="41564"/>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cxnSp macro="">
        <cdr:nvCxnSpPr>
          <cdr:cNvPr id="15" name="Straight Connector 14"/>
          <cdr:cNvCxnSpPr/>
        </cdr:nvCxnSpPr>
        <cdr:spPr>
          <a:xfrm xmlns:a="http://schemas.openxmlformats.org/drawingml/2006/main">
            <a:off x="2483427" y="706582"/>
            <a:ext cx="301337" cy="83128"/>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7</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22432</CharactersWithSpaces>
  <SharedDoc>false</SharedDoc>
  <HLinks>
    <vt:vector size="78" baseType="variant">
      <vt:variant>
        <vt:i4>655409</vt:i4>
      </vt:variant>
      <vt:variant>
        <vt:i4>46</vt:i4>
      </vt:variant>
      <vt:variant>
        <vt:i4>0</vt:i4>
      </vt:variant>
      <vt:variant>
        <vt:i4>5</vt:i4>
      </vt:variant>
      <vt:variant>
        <vt:lpwstr>http://faculty.washington.edu/marzban/within_between.pdf</vt:lpwstr>
      </vt:variant>
      <vt:variant>
        <vt:lpwstr/>
      </vt:variant>
      <vt:variant>
        <vt:i4>2359336</vt:i4>
      </vt:variant>
      <vt:variant>
        <vt:i4>43</vt:i4>
      </vt:variant>
      <vt:variant>
        <vt:i4>0</vt:i4>
      </vt:variant>
      <vt:variant>
        <vt:i4>5</vt:i4>
      </vt:variant>
      <vt:variant>
        <vt:lpwstr>http://faculty.washington.edu/marzban/within_between_simple.pdf</vt:lpwstr>
      </vt:variant>
      <vt:variant>
        <vt:lpwstr/>
      </vt:variant>
      <vt:variant>
        <vt:i4>3801146</vt:i4>
      </vt:variant>
      <vt:variant>
        <vt:i4>40</vt:i4>
      </vt:variant>
      <vt:variant>
        <vt:i4>0</vt:i4>
      </vt:variant>
      <vt:variant>
        <vt:i4>5</vt:i4>
      </vt:variant>
      <vt:variant>
        <vt:lpwstr>http://www.yale.edu/statlab</vt:lpwstr>
      </vt:variant>
      <vt:variant>
        <vt:lpwstr/>
      </vt:variant>
      <vt:variant>
        <vt:i4>2621464</vt:i4>
      </vt:variant>
      <vt:variant>
        <vt:i4>34</vt:i4>
      </vt:variant>
      <vt:variant>
        <vt:i4>0</vt:i4>
      </vt:variant>
      <vt:variant>
        <vt:i4>5</vt:i4>
      </vt:variant>
      <vt:variant>
        <vt:lpwstr>http://www.extension.umn.edu/distribution/youthdevelopment/components/0328-07.html</vt:lpwstr>
      </vt:variant>
      <vt:variant>
        <vt:lpwstr>heat_capacity</vt:lpwstr>
      </vt:variant>
      <vt:variant>
        <vt:i4>4194315</vt:i4>
      </vt:variant>
      <vt:variant>
        <vt:i4>30</vt:i4>
      </vt:variant>
      <vt:variant>
        <vt:i4>0</vt:i4>
      </vt:variant>
      <vt:variant>
        <vt:i4>5</vt:i4>
      </vt:variant>
      <vt:variant>
        <vt:lpwstr/>
      </vt:variant>
      <vt:variant>
        <vt:lpwstr>_ENREF_1</vt:lpwstr>
      </vt:variant>
      <vt:variant>
        <vt:i4>4521995</vt:i4>
      </vt:variant>
      <vt:variant>
        <vt:i4>24</vt:i4>
      </vt:variant>
      <vt:variant>
        <vt:i4>0</vt:i4>
      </vt:variant>
      <vt:variant>
        <vt:i4>5</vt:i4>
      </vt:variant>
      <vt:variant>
        <vt:lpwstr/>
      </vt:variant>
      <vt:variant>
        <vt:lpwstr>_ENREF_4</vt:lpwstr>
      </vt:variant>
      <vt:variant>
        <vt:i4>4194315</vt:i4>
      </vt:variant>
      <vt:variant>
        <vt:i4>21</vt:i4>
      </vt:variant>
      <vt:variant>
        <vt:i4>0</vt:i4>
      </vt:variant>
      <vt:variant>
        <vt:i4>5</vt:i4>
      </vt:variant>
      <vt:variant>
        <vt:lpwstr/>
      </vt:variant>
      <vt:variant>
        <vt:lpwstr>_ENREF_11</vt:lpwstr>
      </vt:variant>
      <vt:variant>
        <vt:i4>4390923</vt:i4>
      </vt:variant>
      <vt:variant>
        <vt:i4>13</vt:i4>
      </vt:variant>
      <vt:variant>
        <vt:i4>0</vt:i4>
      </vt:variant>
      <vt:variant>
        <vt:i4>5</vt:i4>
      </vt:variant>
      <vt:variant>
        <vt:lpwstr/>
      </vt:variant>
      <vt:variant>
        <vt:lpwstr>_ENREF_2</vt:lpwstr>
      </vt:variant>
      <vt:variant>
        <vt:i4>4194315</vt:i4>
      </vt:variant>
      <vt:variant>
        <vt:i4>7</vt:i4>
      </vt:variant>
      <vt:variant>
        <vt:i4>0</vt:i4>
      </vt:variant>
      <vt:variant>
        <vt:i4>5</vt:i4>
      </vt:variant>
      <vt:variant>
        <vt:lpwstr/>
      </vt:variant>
      <vt:variant>
        <vt:lpwstr>_ENREF_12</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2</cp:revision>
  <cp:lastPrinted>2015-09-18T14:21:00Z</cp:lastPrinted>
  <dcterms:created xsi:type="dcterms:W3CDTF">2015-09-19T03:26:00Z</dcterms:created>
  <dcterms:modified xsi:type="dcterms:W3CDTF">2015-09-19T03:26:00Z</dcterms:modified>
</cp:coreProperties>
</file>