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3C" w:rsidRDefault="00EE606C" w:rsidP="00C71881">
      <w:pPr>
        <w:adjustRightInd w:val="0"/>
        <w:snapToGrid w:val="0"/>
        <w:spacing w:after="0" w:line="240" w:lineRule="auto"/>
        <w:jc w:val="center"/>
        <w:rPr>
          <w:rFonts w:ascii="Times New Roman" w:hAnsi="Times New Roman" w:cs="Times New Roman"/>
          <w:b/>
          <w:sz w:val="20"/>
          <w:szCs w:val="20"/>
          <w:lang w:eastAsia="zh-CN"/>
        </w:rPr>
      </w:pPr>
      <w:r w:rsidRPr="00AC4750">
        <w:rPr>
          <w:rFonts w:ascii="Times New Roman" w:hAnsi="Times New Roman" w:cs="Times New Roman"/>
          <w:b/>
          <w:sz w:val="20"/>
          <w:szCs w:val="20"/>
        </w:rPr>
        <w:t>Attaining Competitiveness through Competition Law: A Universal Perspective in Indian Context</w:t>
      </w:r>
    </w:p>
    <w:p w:rsidR="00AC4750" w:rsidRPr="00AC4750" w:rsidRDefault="00AC4750" w:rsidP="00C71881">
      <w:pPr>
        <w:adjustRightInd w:val="0"/>
        <w:snapToGrid w:val="0"/>
        <w:spacing w:after="0" w:line="240" w:lineRule="auto"/>
        <w:jc w:val="center"/>
        <w:rPr>
          <w:rFonts w:ascii="Times New Roman" w:hAnsi="Times New Roman" w:cs="Times New Roman"/>
          <w:b/>
          <w:sz w:val="20"/>
          <w:szCs w:val="20"/>
          <w:lang w:eastAsia="zh-CN"/>
        </w:rPr>
      </w:pPr>
    </w:p>
    <w:p w:rsidR="00FD3759" w:rsidRPr="00AC4750" w:rsidRDefault="00EE606C" w:rsidP="00C71881">
      <w:pPr>
        <w:adjustRightInd w:val="0"/>
        <w:snapToGrid w:val="0"/>
        <w:spacing w:after="0" w:line="240" w:lineRule="auto"/>
        <w:jc w:val="center"/>
        <w:rPr>
          <w:rFonts w:ascii="Times New Roman" w:hAnsi="Times New Roman" w:cs="Times New Roman"/>
          <w:sz w:val="20"/>
          <w:szCs w:val="20"/>
          <w:lang w:eastAsia="zh-CN"/>
        </w:rPr>
      </w:pPr>
      <w:r w:rsidRPr="00AC4750">
        <w:rPr>
          <w:rFonts w:ascii="Times New Roman" w:hAnsi="Times New Roman" w:cs="Times New Roman"/>
          <w:sz w:val="20"/>
          <w:szCs w:val="20"/>
        </w:rPr>
        <w:t xml:space="preserve">Vijay Kumar </w:t>
      </w:r>
      <w:proofErr w:type="spellStart"/>
      <w:r w:rsidRPr="00AC4750">
        <w:rPr>
          <w:rFonts w:ascii="Times New Roman" w:hAnsi="Times New Roman" w:cs="Times New Roman"/>
          <w:sz w:val="20"/>
          <w:szCs w:val="20"/>
        </w:rPr>
        <w:t>Chaurasia</w:t>
      </w:r>
      <w:proofErr w:type="spellEnd"/>
    </w:p>
    <w:p w:rsidR="00AC4750" w:rsidRPr="00AC4750" w:rsidRDefault="00AC4750" w:rsidP="00C71881">
      <w:pPr>
        <w:adjustRightInd w:val="0"/>
        <w:snapToGrid w:val="0"/>
        <w:spacing w:after="0" w:line="240" w:lineRule="auto"/>
        <w:jc w:val="center"/>
        <w:rPr>
          <w:rFonts w:ascii="Times New Roman" w:hAnsi="Times New Roman" w:cs="Times New Roman"/>
          <w:sz w:val="20"/>
          <w:szCs w:val="20"/>
          <w:lang w:eastAsia="zh-CN"/>
        </w:rPr>
      </w:pPr>
    </w:p>
    <w:p w:rsidR="00EE606C" w:rsidRPr="00AC4750" w:rsidRDefault="00EE606C" w:rsidP="00C71881">
      <w:pPr>
        <w:adjustRightInd w:val="0"/>
        <w:snapToGrid w:val="0"/>
        <w:spacing w:after="0" w:line="240" w:lineRule="auto"/>
        <w:jc w:val="center"/>
        <w:rPr>
          <w:rFonts w:ascii="Times New Roman" w:hAnsi="Times New Roman" w:cs="Times New Roman"/>
          <w:sz w:val="20"/>
          <w:szCs w:val="20"/>
        </w:rPr>
      </w:pPr>
      <w:r w:rsidRPr="00AC4750">
        <w:rPr>
          <w:rFonts w:ascii="Times New Roman" w:hAnsi="Times New Roman" w:cs="Times New Roman"/>
          <w:sz w:val="20"/>
          <w:szCs w:val="20"/>
        </w:rPr>
        <w:t xml:space="preserve">Law Officer, Indian Oil Corporation Ltd, </w:t>
      </w:r>
      <w:proofErr w:type="spellStart"/>
      <w:r w:rsidR="00A67689" w:rsidRPr="00AC4750">
        <w:rPr>
          <w:rFonts w:ascii="Times New Roman" w:hAnsi="Times New Roman" w:cs="Times New Roman"/>
          <w:sz w:val="20"/>
          <w:szCs w:val="20"/>
        </w:rPr>
        <w:t>Odisha</w:t>
      </w:r>
      <w:proofErr w:type="spellEnd"/>
      <w:r w:rsidR="00A67689" w:rsidRPr="00AC4750">
        <w:rPr>
          <w:rFonts w:ascii="Times New Roman" w:hAnsi="Times New Roman" w:cs="Times New Roman"/>
          <w:sz w:val="20"/>
          <w:szCs w:val="20"/>
        </w:rPr>
        <w:t xml:space="preserve">, </w:t>
      </w:r>
      <w:r w:rsidRPr="00AC4750">
        <w:rPr>
          <w:rFonts w:ascii="Times New Roman" w:hAnsi="Times New Roman" w:cs="Times New Roman"/>
          <w:sz w:val="20"/>
          <w:szCs w:val="20"/>
        </w:rPr>
        <w:t>India</w:t>
      </w:r>
    </w:p>
    <w:p w:rsidR="00EE606C" w:rsidRPr="00AC4750" w:rsidRDefault="00EE606C" w:rsidP="00C71881">
      <w:pPr>
        <w:adjustRightInd w:val="0"/>
        <w:snapToGrid w:val="0"/>
        <w:spacing w:after="0" w:line="240" w:lineRule="auto"/>
        <w:jc w:val="center"/>
        <w:rPr>
          <w:rFonts w:ascii="Times New Roman" w:hAnsi="Times New Roman" w:cs="Times New Roman"/>
          <w:sz w:val="20"/>
          <w:szCs w:val="20"/>
        </w:rPr>
      </w:pPr>
      <w:r w:rsidRPr="00AC4750">
        <w:rPr>
          <w:rFonts w:ascii="Times New Roman" w:hAnsi="Times New Roman" w:cs="Times New Roman"/>
          <w:sz w:val="20"/>
          <w:szCs w:val="20"/>
        </w:rPr>
        <w:t xml:space="preserve">E-Mail- </w:t>
      </w:r>
      <w:hyperlink r:id="rId8" w:history="1">
        <w:r w:rsidRPr="00AC4750">
          <w:rPr>
            <w:rStyle w:val="Hyperlink"/>
            <w:rFonts w:ascii="Times New Roman" w:hAnsi="Times New Roman" w:cs="Times New Roman"/>
            <w:sz w:val="20"/>
            <w:szCs w:val="20"/>
          </w:rPr>
          <w:t>vijaykumarchaurasia123@gmail.com</w:t>
        </w:r>
      </w:hyperlink>
    </w:p>
    <w:p w:rsidR="00212AB9" w:rsidRPr="00AC4750" w:rsidRDefault="00212AB9" w:rsidP="00C71881">
      <w:pPr>
        <w:adjustRightInd w:val="0"/>
        <w:snapToGrid w:val="0"/>
        <w:spacing w:after="0" w:line="240" w:lineRule="auto"/>
        <w:jc w:val="center"/>
        <w:rPr>
          <w:rFonts w:ascii="Times New Roman" w:hAnsi="Times New Roman" w:cs="Times New Roman"/>
          <w:b/>
          <w:sz w:val="20"/>
          <w:szCs w:val="20"/>
        </w:rPr>
      </w:pPr>
    </w:p>
    <w:p w:rsidR="00575DFF" w:rsidRPr="00AC4750" w:rsidRDefault="00EE606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b/>
          <w:sz w:val="20"/>
          <w:szCs w:val="20"/>
        </w:rPr>
        <w:t xml:space="preserve">Abstract: </w:t>
      </w:r>
      <w:r w:rsidRPr="00AC4750">
        <w:rPr>
          <w:rFonts w:ascii="Times New Roman" w:hAnsi="Times New Roman" w:cs="Times New Roman"/>
          <w:sz w:val="20"/>
          <w:szCs w:val="20"/>
        </w:rPr>
        <w:t xml:space="preserve">In the era of digitalization, </w:t>
      </w:r>
      <w:r w:rsidR="00575DFF" w:rsidRPr="00AC4750">
        <w:rPr>
          <w:rFonts w:ascii="Times New Roman" w:hAnsi="Times New Roman" w:cs="Times New Roman"/>
          <w:sz w:val="20"/>
          <w:szCs w:val="20"/>
        </w:rPr>
        <w:t xml:space="preserve">competitiveness is must for the survival of economic entities. The survival is the most efficient one. </w:t>
      </w:r>
      <w:proofErr w:type="gramStart"/>
      <w:r w:rsidR="00575DFF" w:rsidRPr="00AC4750">
        <w:rPr>
          <w:rFonts w:ascii="Times New Roman" w:hAnsi="Times New Roman" w:cs="Times New Roman"/>
          <w:sz w:val="20"/>
          <w:szCs w:val="20"/>
        </w:rPr>
        <w:t>Though in U.S. the Competition Law is not a single legislation unlike India.</w:t>
      </w:r>
      <w:proofErr w:type="gramEnd"/>
      <w:r w:rsidR="00575DFF" w:rsidRPr="00AC4750">
        <w:rPr>
          <w:rFonts w:ascii="Times New Roman" w:hAnsi="Times New Roman" w:cs="Times New Roman"/>
          <w:sz w:val="20"/>
          <w:szCs w:val="20"/>
        </w:rPr>
        <w:t xml:space="preserve"> In U.S. there are Antitrust laws like Sherman Act, Clayton Act, Robinson Act to regulate and prohibit antitrust activities whereas in European Countries there is common law known as EC Competition Law and there is common Authority i.e. EC Commission for dealing with the competition issues with other countries and European Countries.</w:t>
      </w:r>
      <w:r w:rsidR="004A0917">
        <w:rPr>
          <w:rFonts w:ascii="Times New Roman" w:hAnsi="Times New Roman" w:cs="Times New Roman" w:hint="eastAsia"/>
          <w:sz w:val="20"/>
          <w:szCs w:val="20"/>
          <w:lang w:eastAsia="zh-CN"/>
        </w:rPr>
        <w:t xml:space="preserve"> </w:t>
      </w:r>
      <w:r w:rsidR="00575DFF" w:rsidRPr="00AC4750">
        <w:rPr>
          <w:rFonts w:ascii="Times New Roman" w:hAnsi="Times New Roman" w:cs="Times New Roman"/>
          <w:sz w:val="20"/>
          <w:szCs w:val="20"/>
        </w:rPr>
        <w:t>As far as India is concerned, before Competition Law there was MRTP Act, 1969. After 1990 when Indian economy was opened for the World, it was very difficult to regulate the market with the provisions of MRTP Act, 1969. In the Year 2002, the Competition Act, 2002 replaced the MRTP Act, 1969 but the Commission actually started functioning from the year 2009.</w:t>
      </w:r>
    </w:p>
    <w:p w:rsidR="00AC4750" w:rsidRDefault="00ED5608" w:rsidP="00C71881">
      <w:pPr>
        <w:adjustRightInd w:val="0"/>
        <w:snapToGrid w:val="0"/>
        <w:spacing w:after="0" w:line="240" w:lineRule="auto"/>
        <w:jc w:val="both"/>
        <w:rPr>
          <w:rFonts w:ascii="Times New Roman" w:hAnsi="Times New Roman" w:cs="Times New Roman"/>
          <w:sz w:val="20"/>
          <w:szCs w:val="20"/>
          <w:lang w:eastAsia="zh-CN"/>
        </w:rPr>
      </w:pPr>
      <w:r w:rsidRPr="00AC4750">
        <w:rPr>
          <w:rFonts w:ascii="Times New Roman" w:hAnsi="Times New Roman" w:cs="Times New Roman"/>
          <w:b/>
          <w:sz w:val="20"/>
          <w:szCs w:val="20"/>
        </w:rPr>
        <w:t>[</w:t>
      </w:r>
      <w:proofErr w:type="spellStart"/>
      <w:r w:rsidRPr="00AC4750">
        <w:rPr>
          <w:rFonts w:ascii="Times New Roman" w:hAnsi="Times New Roman" w:cs="Times New Roman"/>
          <w:sz w:val="20"/>
          <w:szCs w:val="20"/>
        </w:rPr>
        <w:t>Chaurasia</w:t>
      </w:r>
      <w:proofErr w:type="spellEnd"/>
      <w:r w:rsidRPr="00AC4750">
        <w:rPr>
          <w:rFonts w:ascii="Times New Roman" w:hAnsi="Times New Roman" w:cs="Times New Roman"/>
          <w:sz w:val="20"/>
          <w:szCs w:val="20"/>
        </w:rPr>
        <w:t>, Vijay Kumar.</w:t>
      </w:r>
      <w:r w:rsidRPr="00AC4750">
        <w:rPr>
          <w:rFonts w:ascii="Times New Roman" w:hAnsi="Times New Roman" w:cs="Times New Roman"/>
          <w:b/>
          <w:sz w:val="20"/>
          <w:szCs w:val="20"/>
        </w:rPr>
        <w:t xml:space="preserve"> Though the phenomenon of Competition Commission of India is new but the Commission is functioning well &amp; there are some leading decisions of the Commission which are to be really appreciated like DLF Decision given by the Competition Commission of India</w:t>
      </w:r>
      <w:r w:rsidR="00AC4750" w:rsidRPr="00AC4750">
        <w:rPr>
          <w:rFonts w:ascii="Times New Roman" w:eastAsia="Times New Roman" w:hAnsi="Times New Roman" w:cs="Times New Roman"/>
          <w:b/>
          <w:bCs/>
          <w:sz w:val="20"/>
          <w:szCs w:val="20"/>
          <w:lang w:bidi="fa-IR"/>
        </w:rPr>
        <w:t>.</w:t>
      </w:r>
      <w:r w:rsidR="00AC4750" w:rsidRPr="00AC4750">
        <w:rPr>
          <w:rFonts w:ascii="Times New Roman" w:hAnsi="Times New Roman" w:cs="Times New Roman"/>
          <w:bCs/>
          <w:i/>
          <w:sz w:val="20"/>
          <w:szCs w:val="20"/>
        </w:rPr>
        <w:t xml:space="preserve"> N Y </w:t>
      </w:r>
      <w:proofErr w:type="spellStart"/>
      <w:r w:rsidR="00AC4750" w:rsidRPr="00AC4750">
        <w:rPr>
          <w:rFonts w:ascii="Times New Roman" w:hAnsi="Times New Roman" w:cs="Times New Roman"/>
          <w:bCs/>
          <w:i/>
          <w:sz w:val="20"/>
          <w:szCs w:val="20"/>
        </w:rPr>
        <w:t>Sci</w:t>
      </w:r>
      <w:proofErr w:type="spellEnd"/>
      <w:r w:rsidR="00AC4750" w:rsidRPr="00AC4750">
        <w:rPr>
          <w:rFonts w:ascii="Times New Roman" w:hAnsi="Times New Roman" w:cs="Times New Roman"/>
          <w:bCs/>
          <w:i/>
          <w:sz w:val="20"/>
          <w:szCs w:val="20"/>
        </w:rPr>
        <w:t xml:space="preserve"> J</w:t>
      </w:r>
      <w:r w:rsidR="00AC4750" w:rsidRPr="00AC4750">
        <w:rPr>
          <w:rFonts w:ascii="Times New Roman" w:hAnsi="Times New Roman" w:cs="Times New Roman"/>
          <w:bCs/>
          <w:sz w:val="20"/>
          <w:szCs w:val="20"/>
        </w:rPr>
        <w:t xml:space="preserve"> </w:t>
      </w:r>
      <w:r w:rsidR="00AC4750" w:rsidRPr="00AC4750">
        <w:rPr>
          <w:rFonts w:ascii="Times New Roman" w:hAnsi="Times New Roman" w:cs="Times New Roman"/>
          <w:sz w:val="20"/>
          <w:szCs w:val="20"/>
        </w:rPr>
        <w:t>201</w:t>
      </w:r>
      <w:r w:rsidR="00AC4750" w:rsidRPr="00AC4750">
        <w:rPr>
          <w:rFonts w:ascii="Times New Roman" w:hAnsi="Times New Roman" w:cs="Times New Roman" w:hint="eastAsia"/>
          <w:sz w:val="20"/>
          <w:szCs w:val="20"/>
        </w:rPr>
        <w:t>5</w:t>
      </w:r>
      <w:r w:rsidR="00AC4750" w:rsidRPr="00AC4750">
        <w:rPr>
          <w:rFonts w:ascii="Times New Roman" w:hAnsi="Times New Roman" w:cs="Times New Roman"/>
          <w:sz w:val="20"/>
          <w:szCs w:val="20"/>
        </w:rPr>
        <w:t>;</w:t>
      </w:r>
      <w:r w:rsidR="00AC4750" w:rsidRPr="00AC4750">
        <w:rPr>
          <w:rFonts w:ascii="Times New Roman" w:hAnsi="Times New Roman" w:cs="Times New Roman" w:hint="eastAsia"/>
          <w:sz w:val="20"/>
          <w:szCs w:val="20"/>
        </w:rPr>
        <w:t>8</w:t>
      </w:r>
      <w:r w:rsidR="00AC4750" w:rsidRPr="00AC4750">
        <w:rPr>
          <w:rFonts w:ascii="Times New Roman" w:hAnsi="Times New Roman" w:cs="Times New Roman"/>
          <w:sz w:val="20"/>
          <w:szCs w:val="20"/>
        </w:rPr>
        <w:t>(</w:t>
      </w:r>
      <w:r w:rsidR="00AC4750" w:rsidRPr="00AC4750">
        <w:rPr>
          <w:rFonts w:ascii="Times New Roman" w:hAnsi="Times New Roman" w:cs="Times New Roman" w:hint="eastAsia"/>
          <w:sz w:val="20"/>
          <w:szCs w:val="20"/>
        </w:rPr>
        <w:t>10</w:t>
      </w:r>
      <w:r w:rsidR="00AC4750" w:rsidRPr="00AC4750">
        <w:rPr>
          <w:rFonts w:ascii="Times New Roman" w:hAnsi="Times New Roman" w:cs="Times New Roman"/>
          <w:sz w:val="20"/>
          <w:szCs w:val="20"/>
        </w:rPr>
        <w:t>):</w:t>
      </w:r>
      <w:r w:rsidR="005F5300">
        <w:rPr>
          <w:rFonts w:ascii="Times New Roman" w:hAnsi="Times New Roman" w:cs="Times New Roman"/>
          <w:noProof/>
          <w:color w:val="000000"/>
          <w:sz w:val="20"/>
          <w:szCs w:val="20"/>
        </w:rPr>
        <w:t>38</w:t>
      </w:r>
      <w:r w:rsidR="00AC4750" w:rsidRPr="00AC4750">
        <w:rPr>
          <w:rFonts w:ascii="Times New Roman" w:hAnsi="Times New Roman" w:cs="Times New Roman"/>
          <w:color w:val="000000"/>
          <w:sz w:val="20"/>
          <w:szCs w:val="20"/>
        </w:rPr>
        <w:t>-</w:t>
      </w:r>
      <w:r w:rsidR="005F5300">
        <w:rPr>
          <w:rFonts w:ascii="Times New Roman" w:hAnsi="Times New Roman" w:cs="Times New Roman"/>
          <w:noProof/>
          <w:color w:val="000000"/>
          <w:sz w:val="20"/>
          <w:szCs w:val="20"/>
        </w:rPr>
        <w:t>43</w:t>
      </w:r>
      <w:r w:rsidR="00AC4750" w:rsidRPr="00AC4750">
        <w:rPr>
          <w:rFonts w:ascii="Times New Roman" w:hAnsi="Times New Roman" w:cs="Times New Roman"/>
          <w:sz w:val="20"/>
          <w:szCs w:val="20"/>
        </w:rPr>
        <w:t xml:space="preserve">]. (ISSN: 1554-0200). </w:t>
      </w:r>
      <w:hyperlink r:id="rId9" w:history="1">
        <w:r w:rsidR="00AC4750" w:rsidRPr="00AC4750">
          <w:rPr>
            <w:rStyle w:val="Hyperlink"/>
            <w:rFonts w:ascii="Times New Roman" w:hAnsi="Times New Roman" w:cs="Times New Roman"/>
            <w:sz w:val="20"/>
          </w:rPr>
          <w:t>http://www.sciencepub.net/newyork</w:t>
        </w:r>
      </w:hyperlink>
      <w:r w:rsidR="00AC4750" w:rsidRPr="00AC4750">
        <w:rPr>
          <w:rFonts w:ascii="Times New Roman" w:hAnsi="Times New Roman" w:cs="Times New Roman"/>
          <w:sz w:val="20"/>
          <w:szCs w:val="20"/>
        </w:rPr>
        <w:t xml:space="preserve">. </w:t>
      </w:r>
      <w:r w:rsidR="00AC4750">
        <w:rPr>
          <w:rFonts w:ascii="Times New Roman" w:hAnsi="Times New Roman" w:cs="Times New Roman" w:hint="eastAsia"/>
          <w:sz w:val="20"/>
          <w:szCs w:val="20"/>
          <w:lang w:eastAsia="zh-CN"/>
        </w:rPr>
        <w:t>8</w:t>
      </w:r>
    </w:p>
    <w:p w:rsidR="00AC4750" w:rsidRPr="00AC4750" w:rsidRDefault="00AC4750" w:rsidP="00C71881">
      <w:pPr>
        <w:adjustRightInd w:val="0"/>
        <w:snapToGrid w:val="0"/>
        <w:spacing w:after="0" w:line="240" w:lineRule="auto"/>
        <w:jc w:val="both"/>
        <w:rPr>
          <w:rFonts w:ascii="Times New Roman" w:hAnsi="Times New Roman" w:cs="Times New Roman"/>
          <w:sz w:val="20"/>
          <w:szCs w:val="20"/>
          <w:lang w:eastAsia="zh-CN"/>
        </w:rPr>
      </w:pPr>
    </w:p>
    <w:p w:rsidR="00A67689" w:rsidRPr="00AC4750" w:rsidRDefault="00ED5608" w:rsidP="00C71881">
      <w:pPr>
        <w:adjustRightInd w:val="0"/>
        <w:snapToGrid w:val="0"/>
        <w:spacing w:after="0" w:line="240" w:lineRule="auto"/>
        <w:jc w:val="both"/>
        <w:rPr>
          <w:rFonts w:ascii="Times New Roman" w:hAnsi="Times New Roman" w:cs="Times New Roman"/>
          <w:b/>
          <w:sz w:val="20"/>
          <w:szCs w:val="20"/>
        </w:rPr>
      </w:pPr>
      <w:r w:rsidRPr="00AC4750">
        <w:rPr>
          <w:rFonts w:ascii="Times New Roman" w:hAnsi="Times New Roman" w:cs="Times New Roman"/>
          <w:b/>
          <w:sz w:val="20"/>
          <w:szCs w:val="20"/>
        </w:rPr>
        <w:t>Key</w:t>
      </w:r>
      <w:r w:rsidR="00C71881">
        <w:rPr>
          <w:rFonts w:ascii="Times New Roman" w:hAnsi="Times New Roman" w:cs="Times New Roman"/>
          <w:b/>
          <w:sz w:val="20"/>
          <w:szCs w:val="20"/>
        </w:rPr>
        <w:t xml:space="preserve"> </w:t>
      </w:r>
      <w:r w:rsidRPr="00AC4750">
        <w:rPr>
          <w:rFonts w:ascii="Times New Roman" w:hAnsi="Times New Roman" w:cs="Times New Roman"/>
          <w:b/>
          <w:sz w:val="20"/>
          <w:szCs w:val="20"/>
        </w:rPr>
        <w:t xml:space="preserve">Words: </w:t>
      </w:r>
      <w:r w:rsidRPr="00AC4750">
        <w:rPr>
          <w:rFonts w:ascii="Times New Roman" w:hAnsi="Times New Roman" w:cs="Times New Roman"/>
          <w:sz w:val="20"/>
          <w:szCs w:val="20"/>
        </w:rPr>
        <w:t>Competition Law, Competitiveness, Antitrust Law, Efficiency, Dominance</w:t>
      </w:r>
      <w:r w:rsidR="00212AB9" w:rsidRPr="00AC4750">
        <w:rPr>
          <w:rFonts w:ascii="Times New Roman" w:hAnsi="Times New Roman" w:cs="Times New Roman"/>
          <w:sz w:val="20"/>
          <w:szCs w:val="20"/>
        </w:rPr>
        <w:t>, MRTP Commission, EC Competition Law.</w:t>
      </w:r>
    </w:p>
    <w:p w:rsidR="00AC4750" w:rsidRDefault="00AC4750" w:rsidP="00C71881">
      <w:pPr>
        <w:adjustRightInd w:val="0"/>
        <w:snapToGrid w:val="0"/>
        <w:spacing w:after="0" w:line="240" w:lineRule="auto"/>
        <w:jc w:val="both"/>
        <w:rPr>
          <w:rFonts w:ascii="Times New Roman" w:hAnsi="Times New Roman" w:cs="Times New Roman"/>
          <w:b/>
          <w:sz w:val="20"/>
          <w:szCs w:val="20"/>
        </w:rPr>
      </w:pPr>
    </w:p>
    <w:p w:rsidR="00AC4750" w:rsidRPr="00AC4750" w:rsidRDefault="00AC4750" w:rsidP="00C71881">
      <w:pPr>
        <w:adjustRightInd w:val="0"/>
        <w:snapToGrid w:val="0"/>
        <w:spacing w:after="0" w:line="240" w:lineRule="auto"/>
        <w:jc w:val="both"/>
        <w:rPr>
          <w:rFonts w:ascii="Times New Roman" w:hAnsi="Times New Roman" w:cs="Times New Roman"/>
          <w:b/>
          <w:sz w:val="20"/>
          <w:szCs w:val="20"/>
        </w:rPr>
        <w:sectPr w:rsidR="00AC4750" w:rsidRPr="00AC4750" w:rsidSect="005F5300">
          <w:headerReference w:type="default" r:id="rId10"/>
          <w:footerReference w:type="default" r:id="rId11"/>
          <w:endnotePr>
            <w:numFmt w:val="decimal"/>
          </w:endnotePr>
          <w:type w:val="continuous"/>
          <w:pgSz w:w="12242" w:h="15842" w:code="1"/>
          <w:pgMar w:top="1440" w:right="1440" w:bottom="1440" w:left="1440" w:header="720" w:footer="720" w:gutter="0"/>
          <w:pgNumType w:start="38"/>
          <w:cols w:space="708"/>
          <w:docGrid w:linePitch="360"/>
        </w:sectPr>
      </w:pPr>
    </w:p>
    <w:p w:rsidR="004E563C" w:rsidRPr="00AC4750" w:rsidRDefault="00F1633E" w:rsidP="00C71881">
      <w:pPr>
        <w:adjustRightInd w:val="0"/>
        <w:snapToGrid w:val="0"/>
        <w:spacing w:after="0" w:line="240" w:lineRule="auto"/>
        <w:jc w:val="both"/>
        <w:rPr>
          <w:rFonts w:ascii="Times New Roman" w:hAnsi="Times New Roman" w:cs="Times New Roman"/>
          <w:b/>
          <w:sz w:val="20"/>
          <w:szCs w:val="20"/>
        </w:rPr>
      </w:pPr>
      <w:r w:rsidRPr="00AC4750">
        <w:rPr>
          <w:rFonts w:ascii="Times New Roman" w:hAnsi="Times New Roman" w:cs="Times New Roman"/>
          <w:b/>
          <w:sz w:val="20"/>
          <w:szCs w:val="20"/>
        </w:rPr>
        <w:lastRenderedPageBreak/>
        <w:t>LIST OF ABBREVIATIONS</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AJ</w:t>
      </w:r>
      <w:r w:rsidRPr="00AC4750">
        <w:rPr>
          <w:rFonts w:ascii="Times New Roman" w:hAnsi="Times New Roman" w:cs="Times New Roman"/>
          <w:sz w:val="20"/>
          <w:szCs w:val="20"/>
        </w:rPr>
        <w:tab/>
      </w:r>
      <w:r w:rsidRPr="00AC4750">
        <w:rPr>
          <w:rFonts w:ascii="Times New Roman" w:hAnsi="Times New Roman" w:cs="Times New Roman"/>
          <w:sz w:val="20"/>
          <w:szCs w:val="20"/>
        </w:rPr>
        <w:tab/>
        <w:t>American Journal</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Art</w:t>
      </w:r>
      <w:r w:rsidRPr="00AC4750">
        <w:rPr>
          <w:rFonts w:ascii="Times New Roman" w:hAnsi="Times New Roman" w:cs="Times New Roman"/>
          <w:sz w:val="20"/>
          <w:szCs w:val="20"/>
        </w:rPr>
        <w:tab/>
      </w:r>
      <w:r w:rsidRPr="00AC4750">
        <w:rPr>
          <w:rFonts w:ascii="Times New Roman" w:hAnsi="Times New Roman" w:cs="Times New Roman"/>
          <w:sz w:val="20"/>
          <w:szCs w:val="20"/>
        </w:rPr>
        <w:tab/>
        <w:t xml:space="preserve"> Article</w:t>
      </w:r>
    </w:p>
    <w:p w:rsidR="004E563C" w:rsidRPr="00AC4750" w:rsidRDefault="00A67689"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CCI</w:t>
      </w:r>
      <w:r w:rsidRPr="00AC4750">
        <w:rPr>
          <w:rFonts w:ascii="Times New Roman" w:hAnsi="Times New Roman" w:cs="Times New Roman"/>
          <w:sz w:val="20"/>
          <w:szCs w:val="20"/>
        </w:rPr>
        <w:tab/>
      </w:r>
      <w:r w:rsidR="00AC4750">
        <w:rPr>
          <w:rFonts w:ascii="Times New Roman" w:hAnsi="Times New Roman" w:cs="Times New Roman" w:hint="eastAsia"/>
          <w:sz w:val="20"/>
          <w:szCs w:val="20"/>
          <w:lang w:eastAsia="zh-CN"/>
        </w:rPr>
        <w:tab/>
      </w:r>
      <w:r w:rsidR="004E563C" w:rsidRPr="00AC4750">
        <w:rPr>
          <w:rFonts w:ascii="Times New Roman" w:hAnsi="Times New Roman" w:cs="Times New Roman"/>
          <w:sz w:val="20"/>
          <w:szCs w:val="20"/>
        </w:rPr>
        <w:t>Competition Commission of India</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SC</w:t>
      </w:r>
      <w:r w:rsidRPr="00AC4750">
        <w:rPr>
          <w:rFonts w:ascii="Times New Roman" w:hAnsi="Times New Roman" w:cs="Times New Roman"/>
          <w:sz w:val="20"/>
          <w:szCs w:val="20"/>
        </w:rPr>
        <w:tab/>
      </w:r>
      <w:r w:rsidRPr="00AC4750">
        <w:rPr>
          <w:rFonts w:ascii="Times New Roman" w:hAnsi="Times New Roman" w:cs="Times New Roman"/>
          <w:sz w:val="20"/>
          <w:szCs w:val="20"/>
        </w:rPr>
        <w:tab/>
        <w:t>Supreme Court</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proofErr w:type="gramStart"/>
      <w:r w:rsidRPr="00AC4750">
        <w:rPr>
          <w:rFonts w:ascii="Times New Roman" w:hAnsi="Times New Roman" w:cs="Times New Roman"/>
          <w:sz w:val="20"/>
          <w:szCs w:val="20"/>
        </w:rPr>
        <w:t>Doc.</w:t>
      </w:r>
      <w:proofErr w:type="gramEnd"/>
      <w:r w:rsidRPr="00AC4750">
        <w:rPr>
          <w:rFonts w:ascii="Times New Roman" w:hAnsi="Times New Roman" w:cs="Times New Roman"/>
          <w:sz w:val="20"/>
          <w:szCs w:val="20"/>
        </w:rPr>
        <w:tab/>
      </w:r>
      <w:r w:rsidRPr="00AC4750">
        <w:rPr>
          <w:rFonts w:ascii="Times New Roman" w:hAnsi="Times New Roman" w:cs="Times New Roman"/>
          <w:sz w:val="20"/>
          <w:szCs w:val="20"/>
        </w:rPr>
        <w:tab/>
        <w:t>Document</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DOJ</w:t>
      </w:r>
      <w:r w:rsidRPr="00AC4750">
        <w:rPr>
          <w:rFonts w:ascii="Times New Roman" w:hAnsi="Times New Roman" w:cs="Times New Roman"/>
          <w:sz w:val="20"/>
          <w:szCs w:val="20"/>
        </w:rPr>
        <w:tab/>
      </w:r>
      <w:r w:rsidRPr="00AC4750">
        <w:rPr>
          <w:rFonts w:ascii="Times New Roman" w:hAnsi="Times New Roman" w:cs="Times New Roman"/>
          <w:sz w:val="20"/>
          <w:szCs w:val="20"/>
        </w:rPr>
        <w:tab/>
        <w:t>Department of Justice</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EC</w:t>
      </w:r>
      <w:r w:rsidRPr="00AC4750">
        <w:rPr>
          <w:rFonts w:ascii="Times New Roman" w:hAnsi="Times New Roman" w:cs="Times New Roman"/>
          <w:sz w:val="20"/>
          <w:szCs w:val="20"/>
        </w:rPr>
        <w:tab/>
      </w:r>
      <w:r w:rsidRPr="00AC4750">
        <w:rPr>
          <w:rFonts w:ascii="Times New Roman" w:hAnsi="Times New Roman" w:cs="Times New Roman"/>
          <w:sz w:val="20"/>
          <w:szCs w:val="20"/>
        </w:rPr>
        <w:tab/>
        <w:t>European Communities</w:t>
      </w:r>
    </w:p>
    <w:p w:rsidR="004E563C" w:rsidRPr="00AC4750" w:rsidRDefault="00A67689"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ECC</w:t>
      </w:r>
      <w:r w:rsidRPr="00AC4750">
        <w:rPr>
          <w:rFonts w:ascii="Times New Roman" w:hAnsi="Times New Roman" w:cs="Times New Roman"/>
          <w:sz w:val="20"/>
          <w:szCs w:val="20"/>
        </w:rPr>
        <w:tab/>
      </w:r>
      <w:r w:rsidR="00AC4750">
        <w:rPr>
          <w:rFonts w:ascii="Times New Roman" w:hAnsi="Times New Roman" w:cs="Times New Roman" w:hint="eastAsia"/>
          <w:sz w:val="20"/>
          <w:szCs w:val="20"/>
          <w:lang w:eastAsia="zh-CN"/>
        </w:rPr>
        <w:tab/>
      </w:r>
      <w:r w:rsidR="004E563C" w:rsidRPr="00AC4750">
        <w:rPr>
          <w:rFonts w:ascii="Times New Roman" w:hAnsi="Times New Roman" w:cs="Times New Roman"/>
          <w:sz w:val="20"/>
          <w:szCs w:val="20"/>
        </w:rPr>
        <w:t>European Competition</w:t>
      </w:r>
      <w:r w:rsidR="00C71881">
        <w:rPr>
          <w:rFonts w:ascii="Times New Roman" w:hAnsi="Times New Roman" w:cs="Times New Roman"/>
          <w:sz w:val="20"/>
          <w:szCs w:val="20"/>
        </w:rPr>
        <w:t xml:space="preserve"> </w:t>
      </w:r>
      <w:r w:rsidR="004E563C" w:rsidRPr="00AC4750">
        <w:rPr>
          <w:rFonts w:ascii="Times New Roman" w:hAnsi="Times New Roman" w:cs="Times New Roman"/>
          <w:sz w:val="20"/>
          <w:szCs w:val="20"/>
        </w:rPr>
        <w:t>Commission</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ECJ</w:t>
      </w:r>
      <w:r w:rsidRPr="00AC4750">
        <w:rPr>
          <w:rFonts w:ascii="Times New Roman" w:hAnsi="Times New Roman" w:cs="Times New Roman"/>
          <w:sz w:val="20"/>
          <w:szCs w:val="20"/>
        </w:rPr>
        <w:tab/>
      </w:r>
      <w:r w:rsidRPr="00AC4750">
        <w:rPr>
          <w:rFonts w:ascii="Times New Roman" w:hAnsi="Times New Roman" w:cs="Times New Roman"/>
          <w:sz w:val="20"/>
          <w:szCs w:val="20"/>
        </w:rPr>
        <w:tab/>
        <w:t>European Court of Justice</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ECR</w:t>
      </w:r>
      <w:r w:rsidRPr="00AC4750">
        <w:rPr>
          <w:rFonts w:ascii="Times New Roman" w:hAnsi="Times New Roman" w:cs="Times New Roman"/>
          <w:sz w:val="20"/>
          <w:szCs w:val="20"/>
        </w:rPr>
        <w:tab/>
      </w:r>
      <w:r w:rsidRPr="00AC4750">
        <w:rPr>
          <w:rFonts w:ascii="Times New Roman" w:hAnsi="Times New Roman" w:cs="Times New Roman"/>
          <w:sz w:val="20"/>
          <w:szCs w:val="20"/>
        </w:rPr>
        <w:tab/>
        <w:t>European Court Reports</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Ed.</w:t>
      </w:r>
      <w:r w:rsidRPr="00AC4750">
        <w:rPr>
          <w:rFonts w:ascii="Times New Roman" w:hAnsi="Times New Roman" w:cs="Times New Roman"/>
          <w:sz w:val="20"/>
          <w:szCs w:val="20"/>
        </w:rPr>
        <w:tab/>
      </w:r>
      <w:r w:rsidRPr="00AC4750">
        <w:rPr>
          <w:rFonts w:ascii="Times New Roman" w:hAnsi="Times New Roman" w:cs="Times New Roman"/>
          <w:sz w:val="20"/>
          <w:szCs w:val="20"/>
        </w:rPr>
        <w:tab/>
        <w:t>Edition</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proofErr w:type="gramStart"/>
      <w:r w:rsidRPr="00AC4750">
        <w:rPr>
          <w:rFonts w:ascii="Times New Roman" w:hAnsi="Times New Roman" w:cs="Times New Roman"/>
          <w:sz w:val="20"/>
          <w:szCs w:val="20"/>
        </w:rPr>
        <w:t>Eur.</w:t>
      </w:r>
      <w:proofErr w:type="gramEnd"/>
      <w:r w:rsidRPr="00AC4750">
        <w:rPr>
          <w:rFonts w:ascii="Times New Roman" w:hAnsi="Times New Roman" w:cs="Times New Roman"/>
          <w:sz w:val="20"/>
          <w:szCs w:val="20"/>
        </w:rPr>
        <w:tab/>
      </w:r>
      <w:r w:rsidRPr="00AC4750">
        <w:rPr>
          <w:rFonts w:ascii="Times New Roman" w:hAnsi="Times New Roman" w:cs="Times New Roman"/>
          <w:sz w:val="20"/>
          <w:szCs w:val="20"/>
        </w:rPr>
        <w:tab/>
        <w:t>European</w:t>
      </w:r>
    </w:p>
    <w:p w:rsidR="006E53B5" w:rsidRPr="00AC4750" w:rsidRDefault="006E53B5"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ECN</w:t>
      </w:r>
      <w:r w:rsidRPr="00AC4750">
        <w:rPr>
          <w:rFonts w:ascii="Times New Roman" w:hAnsi="Times New Roman" w:cs="Times New Roman"/>
          <w:sz w:val="20"/>
          <w:szCs w:val="20"/>
        </w:rPr>
        <w:tab/>
      </w:r>
      <w:r w:rsidRPr="00AC4750">
        <w:rPr>
          <w:rFonts w:ascii="Times New Roman" w:hAnsi="Times New Roman" w:cs="Times New Roman"/>
          <w:sz w:val="20"/>
          <w:szCs w:val="20"/>
        </w:rPr>
        <w:tab/>
        <w:t>European Competition Network</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FTC</w:t>
      </w:r>
      <w:r w:rsidRPr="00AC4750">
        <w:rPr>
          <w:rFonts w:ascii="Times New Roman" w:hAnsi="Times New Roman" w:cs="Times New Roman"/>
          <w:sz w:val="20"/>
          <w:szCs w:val="20"/>
        </w:rPr>
        <w:tab/>
      </w:r>
      <w:r w:rsidRPr="00AC4750">
        <w:rPr>
          <w:rFonts w:ascii="Times New Roman" w:hAnsi="Times New Roman" w:cs="Times New Roman"/>
          <w:sz w:val="20"/>
          <w:szCs w:val="20"/>
        </w:rPr>
        <w:tab/>
        <w:t>Federal Trade Commission</w:t>
      </w:r>
    </w:p>
    <w:p w:rsidR="004E563C" w:rsidRPr="00AC4750" w:rsidRDefault="00A67689"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ICN</w:t>
      </w:r>
      <w:r w:rsidRPr="00AC4750">
        <w:rPr>
          <w:rFonts w:ascii="Times New Roman" w:hAnsi="Times New Roman" w:cs="Times New Roman"/>
          <w:sz w:val="20"/>
          <w:szCs w:val="20"/>
        </w:rPr>
        <w:tab/>
      </w:r>
      <w:r w:rsidR="00AC4750">
        <w:rPr>
          <w:rFonts w:ascii="Times New Roman" w:hAnsi="Times New Roman" w:cs="Times New Roman" w:hint="eastAsia"/>
          <w:sz w:val="20"/>
          <w:szCs w:val="20"/>
          <w:lang w:eastAsia="zh-CN"/>
        </w:rPr>
        <w:tab/>
      </w:r>
      <w:r w:rsidR="004E563C" w:rsidRPr="00AC4750">
        <w:rPr>
          <w:rFonts w:ascii="Times New Roman" w:hAnsi="Times New Roman" w:cs="Times New Roman"/>
          <w:sz w:val="20"/>
          <w:szCs w:val="20"/>
        </w:rPr>
        <w:t>International Competition</w:t>
      </w:r>
      <w:r w:rsidR="00C71881">
        <w:rPr>
          <w:rFonts w:ascii="Times New Roman" w:hAnsi="Times New Roman" w:cs="Times New Roman"/>
          <w:sz w:val="20"/>
          <w:szCs w:val="20"/>
        </w:rPr>
        <w:t xml:space="preserve"> </w:t>
      </w:r>
      <w:r w:rsidR="004E563C" w:rsidRPr="00AC4750">
        <w:rPr>
          <w:rFonts w:ascii="Times New Roman" w:hAnsi="Times New Roman" w:cs="Times New Roman"/>
          <w:sz w:val="20"/>
          <w:szCs w:val="20"/>
        </w:rPr>
        <w:t>Network</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ILR</w:t>
      </w:r>
      <w:r w:rsidRPr="00AC4750">
        <w:rPr>
          <w:rFonts w:ascii="Times New Roman" w:hAnsi="Times New Roman" w:cs="Times New Roman"/>
          <w:sz w:val="20"/>
          <w:szCs w:val="20"/>
        </w:rPr>
        <w:tab/>
      </w:r>
      <w:r w:rsidRPr="00AC4750">
        <w:rPr>
          <w:rFonts w:ascii="Times New Roman" w:hAnsi="Times New Roman" w:cs="Times New Roman"/>
          <w:sz w:val="20"/>
          <w:szCs w:val="20"/>
        </w:rPr>
        <w:tab/>
        <w:t>International Law Review</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Int’l</w:t>
      </w:r>
      <w:r w:rsidRPr="00AC4750">
        <w:rPr>
          <w:rFonts w:ascii="Times New Roman" w:hAnsi="Times New Roman" w:cs="Times New Roman"/>
          <w:sz w:val="20"/>
          <w:szCs w:val="20"/>
        </w:rPr>
        <w:tab/>
      </w:r>
      <w:r w:rsidRPr="00AC4750">
        <w:rPr>
          <w:rFonts w:ascii="Times New Roman" w:hAnsi="Times New Roman" w:cs="Times New Roman"/>
          <w:sz w:val="20"/>
          <w:szCs w:val="20"/>
        </w:rPr>
        <w:tab/>
        <w:t>International</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J.</w:t>
      </w:r>
      <w:r w:rsidRPr="00AC4750">
        <w:rPr>
          <w:rFonts w:ascii="Times New Roman" w:hAnsi="Times New Roman" w:cs="Times New Roman"/>
          <w:sz w:val="20"/>
          <w:szCs w:val="20"/>
        </w:rPr>
        <w:tab/>
      </w:r>
      <w:r w:rsidRPr="00AC4750">
        <w:rPr>
          <w:rFonts w:ascii="Times New Roman" w:hAnsi="Times New Roman" w:cs="Times New Roman"/>
          <w:sz w:val="20"/>
          <w:szCs w:val="20"/>
        </w:rPr>
        <w:tab/>
        <w:t>Journal</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L.</w:t>
      </w:r>
      <w:r w:rsidRPr="00AC4750">
        <w:rPr>
          <w:rFonts w:ascii="Times New Roman" w:hAnsi="Times New Roman" w:cs="Times New Roman"/>
          <w:sz w:val="20"/>
          <w:szCs w:val="20"/>
        </w:rPr>
        <w:tab/>
      </w:r>
      <w:r w:rsidRPr="00AC4750">
        <w:rPr>
          <w:rFonts w:ascii="Times New Roman" w:hAnsi="Times New Roman" w:cs="Times New Roman"/>
          <w:sz w:val="20"/>
          <w:szCs w:val="20"/>
        </w:rPr>
        <w:tab/>
        <w:t>Law</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MLAT</w:t>
      </w:r>
      <w:r w:rsidRPr="00AC4750">
        <w:rPr>
          <w:rFonts w:ascii="Times New Roman" w:hAnsi="Times New Roman" w:cs="Times New Roman"/>
          <w:sz w:val="20"/>
          <w:szCs w:val="20"/>
        </w:rPr>
        <w:tab/>
      </w:r>
      <w:r w:rsidRPr="00AC4750">
        <w:rPr>
          <w:rFonts w:ascii="Times New Roman" w:hAnsi="Times New Roman" w:cs="Times New Roman"/>
          <w:sz w:val="20"/>
          <w:szCs w:val="20"/>
        </w:rPr>
        <w:tab/>
        <w:t>Mutual Legal Assistance Treaty</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MOU</w:t>
      </w:r>
      <w:r w:rsidRPr="00AC4750">
        <w:rPr>
          <w:rFonts w:ascii="Times New Roman" w:hAnsi="Times New Roman" w:cs="Times New Roman"/>
          <w:sz w:val="20"/>
          <w:szCs w:val="20"/>
        </w:rPr>
        <w:tab/>
      </w:r>
      <w:r w:rsidRPr="00AC4750">
        <w:rPr>
          <w:rFonts w:ascii="Times New Roman" w:hAnsi="Times New Roman" w:cs="Times New Roman"/>
          <w:sz w:val="20"/>
          <w:szCs w:val="20"/>
        </w:rPr>
        <w:tab/>
        <w:t>Memorandum of Understanding</w:t>
      </w:r>
    </w:p>
    <w:p w:rsidR="004E563C" w:rsidRPr="00AC4750" w:rsidRDefault="00A67689"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MRTP</w:t>
      </w:r>
      <w:r w:rsidRPr="00AC4750">
        <w:rPr>
          <w:rFonts w:ascii="Times New Roman" w:hAnsi="Times New Roman" w:cs="Times New Roman"/>
          <w:sz w:val="20"/>
          <w:szCs w:val="20"/>
        </w:rPr>
        <w:tab/>
      </w:r>
      <w:r w:rsidR="00AC4750">
        <w:rPr>
          <w:rFonts w:ascii="Times New Roman" w:hAnsi="Times New Roman" w:cs="Times New Roman" w:hint="eastAsia"/>
          <w:sz w:val="20"/>
          <w:szCs w:val="20"/>
          <w:lang w:eastAsia="zh-CN"/>
        </w:rPr>
        <w:tab/>
      </w:r>
      <w:r w:rsidR="004E563C" w:rsidRPr="00AC4750">
        <w:rPr>
          <w:rFonts w:ascii="Times New Roman" w:hAnsi="Times New Roman" w:cs="Times New Roman"/>
          <w:sz w:val="20"/>
          <w:szCs w:val="20"/>
        </w:rPr>
        <w:t>Monopolies and Restrictive Trade Practices</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NYUJ</w:t>
      </w:r>
      <w:r w:rsidRPr="00AC4750">
        <w:rPr>
          <w:rFonts w:ascii="Times New Roman" w:hAnsi="Times New Roman" w:cs="Times New Roman"/>
          <w:sz w:val="20"/>
          <w:szCs w:val="20"/>
        </w:rPr>
        <w:tab/>
      </w:r>
      <w:r w:rsidRPr="00AC4750">
        <w:rPr>
          <w:rFonts w:ascii="Times New Roman" w:hAnsi="Times New Roman" w:cs="Times New Roman"/>
          <w:sz w:val="20"/>
          <w:szCs w:val="20"/>
        </w:rPr>
        <w:tab/>
        <w:t>New York University Journal</w:t>
      </w:r>
    </w:p>
    <w:p w:rsidR="004E563C" w:rsidRPr="00AC4750" w:rsidRDefault="00A67689"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OECD</w:t>
      </w:r>
      <w:r w:rsidRPr="00AC4750">
        <w:rPr>
          <w:rFonts w:ascii="Times New Roman" w:hAnsi="Times New Roman" w:cs="Times New Roman"/>
          <w:sz w:val="20"/>
          <w:szCs w:val="20"/>
        </w:rPr>
        <w:tab/>
      </w:r>
      <w:r w:rsidR="00AC4750">
        <w:rPr>
          <w:rFonts w:ascii="Times New Roman" w:hAnsi="Times New Roman" w:cs="Times New Roman" w:hint="eastAsia"/>
          <w:sz w:val="20"/>
          <w:szCs w:val="20"/>
          <w:lang w:eastAsia="zh-CN"/>
        </w:rPr>
        <w:tab/>
      </w:r>
      <w:r w:rsidR="004E563C" w:rsidRPr="00AC4750">
        <w:rPr>
          <w:rFonts w:ascii="Times New Roman" w:hAnsi="Times New Roman" w:cs="Times New Roman"/>
          <w:sz w:val="20"/>
          <w:szCs w:val="20"/>
        </w:rPr>
        <w:t>Organization for Economic Co-operation Development</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OFT</w:t>
      </w:r>
      <w:r w:rsidRPr="00AC4750">
        <w:rPr>
          <w:rFonts w:ascii="Times New Roman" w:hAnsi="Times New Roman" w:cs="Times New Roman"/>
          <w:sz w:val="20"/>
          <w:szCs w:val="20"/>
        </w:rPr>
        <w:tab/>
      </w:r>
      <w:r w:rsidRPr="00AC4750">
        <w:rPr>
          <w:rFonts w:ascii="Times New Roman" w:hAnsi="Times New Roman" w:cs="Times New Roman"/>
          <w:sz w:val="20"/>
          <w:szCs w:val="20"/>
        </w:rPr>
        <w:tab/>
        <w:t>Office of Fair Trading</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proofErr w:type="gramStart"/>
      <w:r w:rsidRPr="00AC4750">
        <w:rPr>
          <w:rFonts w:ascii="Times New Roman" w:hAnsi="Times New Roman" w:cs="Times New Roman"/>
          <w:sz w:val="20"/>
          <w:szCs w:val="20"/>
        </w:rPr>
        <w:t>p</w:t>
      </w:r>
      <w:proofErr w:type="gramEnd"/>
      <w:r w:rsidRPr="00AC4750">
        <w:rPr>
          <w:rFonts w:ascii="Times New Roman" w:hAnsi="Times New Roman" w:cs="Times New Roman"/>
          <w:sz w:val="20"/>
          <w:szCs w:val="20"/>
        </w:rPr>
        <w:t>.</w:t>
      </w:r>
      <w:r w:rsidRPr="00AC4750">
        <w:rPr>
          <w:rFonts w:ascii="Times New Roman" w:hAnsi="Times New Roman" w:cs="Times New Roman"/>
          <w:sz w:val="20"/>
          <w:szCs w:val="20"/>
        </w:rPr>
        <w:tab/>
      </w:r>
      <w:r w:rsidRPr="00AC4750">
        <w:rPr>
          <w:rFonts w:ascii="Times New Roman" w:hAnsi="Times New Roman" w:cs="Times New Roman"/>
          <w:sz w:val="20"/>
          <w:szCs w:val="20"/>
        </w:rPr>
        <w:tab/>
        <w:t>page</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Para</w:t>
      </w:r>
      <w:r w:rsidRPr="00AC4750">
        <w:rPr>
          <w:rFonts w:ascii="Times New Roman" w:hAnsi="Times New Roman" w:cs="Times New Roman"/>
          <w:sz w:val="20"/>
          <w:szCs w:val="20"/>
        </w:rPr>
        <w:tab/>
      </w:r>
      <w:r w:rsidRPr="00AC4750">
        <w:rPr>
          <w:rFonts w:ascii="Times New Roman" w:hAnsi="Times New Roman" w:cs="Times New Roman"/>
          <w:sz w:val="20"/>
          <w:szCs w:val="20"/>
        </w:rPr>
        <w:tab/>
        <w:t>paragraph</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proofErr w:type="gramStart"/>
      <w:r w:rsidRPr="00AC4750">
        <w:rPr>
          <w:rFonts w:ascii="Times New Roman" w:hAnsi="Times New Roman" w:cs="Times New Roman"/>
          <w:sz w:val="20"/>
          <w:szCs w:val="20"/>
        </w:rPr>
        <w:t>pp.</w:t>
      </w:r>
      <w:proofErr w:type="gramEnd"/>
      <w:r w:rsidRPr="00AC4750">
        <w:rPr>
          <w:rFonts w:ascii="Times New Roman" w:hAnsi="Times New Roman" w:cs="Times New Roman"/>
          <w:sz w:val="20"/>
          <w:szCs w:val="20"/>
        </w:rPr>
        <w:tab/>
      </w:r>
      <w:r w:rsidRPr="00AC4750">
        <w:rPr>
          <w:rFonts w:ascii="Times New Roman" w:hAnsi="Times New Roman" w:cs="Times New Roman"/>
          <w:sz w:val="20"/>
          <w:szCs w:val="20"/>
        </w:rPr>
        <w:tab/>
      </w:r>
      <w:proofErr w:type="gramStart"/>
      <w:r w:rsidRPr="00AC4750">
        <w:rPr>
          <w:rFonts w:ascii="Times New Roman" w:hAnsi="Times New Roman" w:cs="Times New Roman"/>
          <w:sz w:val="20"/>
          <w:szCs w:val="20"/>
        </w:rPr>
        <w:t>pages</w:t>
      </w:r>
      <w:proofErr w:type="gramEnd"/>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proofErr w:type="gramStart"/>
      <w:r w:rsidRPr="00AC4750">
        <w:rPr>
          <w:rFonts w:ascii="Times New Roman" w:hAnsi="Times New Roman" w:cs="Times New Roman"/>
          <w:sz w:val="20"/>
          <w:szCs w:val="20"/>
        </w:rPr>
        <w:t>Rep.</w:t>
      </w:r>
      <w:proofErr w:type="gramEnd"/>
      <w:r w:rsidRPr="00AC4750">
        <w:rPr>
          <w:rFonts w:ascii="Times New Roman" w:hAnsi="Times New Roman" w:cs="Times New Roman"/>
          <w:sz w:val="20"/>
          <w:szCs w:val="20"/>
        </w:rPr>
        <w:tab/>
      </w:r>
      <w:r w:rsidRPr="00AC4750">
        <w:rPr>
          <w:rFonts w:ascii="Times New Roman" w:hAnsi="Times New Roman" w:cs="Times New Roman"/>
          <w:sz w:val="20"/>
          <w:szCs w:val="20"/>
        </w:rPr>
        <w:tab/>
        <w:t>Reporter</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proofErr w:type="gramStart"/>
      <w:r w:rsidRPr="00AC4750">
        <w:rPr>
          <w:rFonts w:ascii="Times New Roman" w:hAnsi="Times New Roman" w:cs="Times New Roman"/>
          <w:sz w:val="20"/>
          <w:szCs w:val="20"/>
        </w:rPr>
        <w:t>Res.</w:t>
      </w:r>
      <w:proofErr w:type="gramEnd"/>
      <w:r w:rsidRPr="00AC4750">
        <w:rPr>
          <w:rFonts w:ascii="Times New Roman" w:hAnsi="Times New Roman" w:cs="Times New Roman"/>
          <w:sz w:val="20"/>
          <w:szCs w:val="20"/>
        </w:rPr>
        <w:tab/>
      </w:r>
      <w:r w:rsidRPr="00AC4750">
        <w:rPr>
          <w:rFonts w:ascii="Times New Roman" w:hAnsi="Times New Roman" w:cs="Times New Roman"/>
          <w:sz w:val="20"/>
          <w:szCs w:val="20"/>
        </w:rPr>
        <w:tab/>
        <w:t>Resolution</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proofErr w:type="gramStart"/>
      <w:r w:rsidRPr="00AC4750">
        <w:rPr>
          <w:rFonts w:ascii="Times New Roman" w:hAnsi="Times New Roman" w:cs="Times New Roman"/>
          <w:sz w:val="20"/>
          <w:szCs w:val="20"/>
        </w:rPr>
        <w:t>Rev.</w:t>
      </w:r>
      <w:proofErr w:type="gramEnd"/>
      <w:r w:rsidRPr="00AC4750">
        <w:rPr>
          <w:rFonts w:ascii="Times New Roman" w:hAnsi="Times New Roman" w:cs="Times New Roman"/>
          <w:sz w:val="20"/>
          <w:szCs w:val="20"/>
        </w:rPr>
        <w:tab/>
      </w:r>
      <w:r w:rsidRPr="00AC4750">
        <w:rPr>
          <w:rFonts w:ascii="Times New Roman" w:hAnsi="Times New Roman" w:cs="Times New Roman"/>
          <w:sz w:val="20"/>
          <w:szCs w:val="20"/>
        </w:rPr>
        <w:tab/>
        <w:t>Review</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lastRenderedPageBreak/>
        <w:t>TOR</w:t>
      </w:r>
      <w:r w:rsidRPr="00AC4750">
        <w:rPr>
          <w:rFonts w:ascii="Times New Roman" w:hAnsi="Times New Roman" w:cs="Times New Roman"/>
          <w:sz w:val="20"/>
          <w:szCs w:val="20"/>
        </w:rPr>
        <w:tab/>
      </w:r>
      <w:r w:rsidRPr="00AC4750">
        <w:rPr>
          <w:rFonts w:ascii="Times New Roman" w:hAnsi="Times New Roman" w:cs="Times New Roman"/>
          <w:sz w:val="20"/>
          <w:szCs w:val="20"/>
        </w:rPr>
        <w:tab/>
        <w:t>Treaty of Rome</w:t>
      </w:r>
    </w:p>
    <w:p w:rsidR="004E563C" w:rsidRPr="00AC4750" w:rsidRDefault="00A67689"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TRIPS</w:t>
      </w:r>
      <w:r w:rsidRPr="00AC4750">
        <w:rPr>
          <w:rFonts w:ascii="Times New Roman" w:hAnsi="Times New Roman" w:cs="Times New Roman"/>
          <w:sz w:val="20"/>
          <w:szCs w:val="20"/>
        </w:rPr>
        <w:tab/>
      </w:r>
      <w:r w:rsidR="00AC4750">
        <w:rPr>
          <w:rFonts w:ascii="Times New Roman" w:hAnsi="Times New Roman" w:cs="Times New Roman" w:hint="eastAsia"/>
          <w:sz w:val="20"/>
          <w:szCs w:val="20"/>
          <w:lang w:eastAsia="zh-CN"/>
        </w:rPr>
        <w:tab/>
      </w:r>
      <w:r w:rsidR="004E563C" w:rsidRPr="00AC4750">
        <w:rPr>
          <w:rFonts w:ascii="Times New Roman" w:hAnsi="Times New Roman" w:cs="Times New Roman"/>
          <w:sz w:val="20"/>
          <w:szCs w:val="20"/>
        </w:rPr>
        <w:t>Trade Related Aspects of Intellectual Property Rights</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UNCTAD</w:t>
      </w:r>
      <w:r w:rsidRPr="00AC4750">
        <w:rPr>
          <w:rFonts w:ascii="Times New Roman" w:hAnsi="Times New Roman" w:cs="Times New Roman"/>
          <w:sz w:val="20"/>
          <w:szCs w:val="20"/>
        </w:rPr>
        <w:tab/>
        <w:t>United Nations Conference on Trade and Development</w:t>
      </w:r>
    </w:p>
    <w:p w:rsidR="004E563C" w:rsidRPr="00AC4750" w:rsidRDefault="00A67689" w:rsidP="00C71881">
      <w:pPr>
        <w:adjustRightInd w:val="0"/>
        <w:snapToGrid w:val="0"/>
        <w:spacing w:after="0" w:line="240" w:lineRule="auto"/>
        <w:jc w:val="both"/>
        <w:rPr>
          <w:rFonts w:ascii="Times New Roman" w:hAnsi="Times New Roman" w:cs="Times New Roman"/>
          <w:sz w:val="20"/>
          <w:szCs w:val="20"/>
        </w:rPr>
      </w:pPr>
      <w:r w:rsidRPr="00AC4750">
        <w:rPr>
          <w:rFonts w:ascii="Times New Roman" w:hAnsi="Times New Roman" w:cs="Times New Roman"/>
          <w:sz w:val="20"/>
          <w:szCs w:val="20"/>
        </w:rPr>
        <w:t>VCLT</w:t>
      </w:r>
      <w:r w:rsidRPr="00AC4750">
        <w:rPr>
          <w:rFonts w:ascii="Times New Roman" w:hAnsi="Times New Roman" w:cs="Times New Roman"/>
          <w:sz w:val="20"/>
          <w:szCs w:val="20"/>
        </w:rPr>
        <w:tab/>
      </w:r>
      <w:r w:rsidR="00AC4750">
        <w:rPr>
          <w:rFonts w:ascii="Times New Roman" w:hAnsi="Times New Roman" w:cs="Times New Roman" w:hint="eastAsia"/>
          <w:sz w:val="20"/>
          <w:szCs w:val="20"/>
          <w:lang w:eastAsia="zh-CN"/>
        </w:rPr>
        <w:tab/>
      </w:r>
      <w:r w:rsidR="004E563C" w:rsidRPr="00AC4750">
        <w:rPr>
          <w:rFonts w:ascii="Times New Roman" w:hAnsi="Times New Roman" w:cs="Times New Roman"/>
          <w:sz w:val="20"/>
          <w:szCs w:val="20"/>
        </w:rPr>
        <w:t>Vienna Convention on the Law of Treaties</w:t>
      </w:r>
    </w:p>
    <w:p w:rsidR="004E563C" w:rsidRPr="00AC4750" w:rsidRDefault="004E563C" w:rsidP="00C71881">
      <w:pPr>
        <w:adjustRightInd w:val="0"/>
        <w:snapToGrid w:val="0"/>
        <w:spacing w:after="0" w:line="240" w:lineRule="auto"/>
        <w:jc w:val="both"/>
        <w:rPr>
          <w:rFonts w:ascii="Times New Roman" w:hAnsi="Times New Roman" w:cs="Times New Roman"/>
          <w:sz w:val="20"/>
          <w:szCs w:val="20"/>
        </w:rPr>
      </w:pPr>
      <w:proofErr w:type="gramStart"/>
      <w:r w:rsidRPr="00AC4750">
        <w:rPr>
          <w:rFonts w:ascii="Times New Roman" w:hAnsi="Times New Roman" w:cs="Times New Roman"/>
          <w:sz w:val="20"/>
          <w:szCs w:val="20"/>
        </w:rPr>
        <w:t>Vol.</w:t>
      </w:r>
      <w:proofErr w:type="gramEnd"/>
      <w:r w:rsidRPr="00AC4750">
        <w:rPr>
          <w:rFonts w:ascii="Times New Roman" w:hAnsi="Times New Roman" w:cs="Times New Roman"/>
          <w:sz w:val="20"/>
          <w:szCs w:val="20"/>
        </w:rPr>
        <w:tab/>
      </w:r>
      <w:r w:rsidRPr="00AC4750">
        <w:rPr>
          <w:rFonts w:ascii="Times New Roman" w:hAnsi="Times New Roman" w:cs="Times New Roman"/>
          <w:sz w:val="20"/>
          <w:szCs w:val="20"/>
        </w:rPr>
        <w:tab/>
        <w:t>Volume</w:t>
      </w:r>
    </w:p>
    <w:p w:rsidR="004E3694" w:rsidRDefault="004E563C" w:rsidP="00C71881">
      <w:pPr>
        <w:adjustRightInd w:val="0"/>
        <w:snapToGrid w:val="0"/>
        <w:spacing w:after="0" w:line="240" w:lineRule="auto"/>
        <w:jc w:val="both"/>
        <w:rPr>
          <w:rFonts w:ascii="Times New Roman" w:hAnsi="Times New Roman" w:cs="Times New Roman"/>
          <w:sz w:val="20"/>
          <w:szCs w:val="20"/>
          <w:lang w:eastAsia="zh-CN"/>
        </w:rPr>
      </w:pPr>
      <w:r w:rsidRPr="00AC4750">
        <w:rPr>
          <w:rFonts w:ascii="Times New Roman" w:hAnsi="Times New Roman" w:cs="Times New Roman"/>
          <w:sz w:val="20"/>
          <w:szCs w:val="20"/>
        </w:rPr>
        <w:t>WTO</w:t>
      </w:r>
      <w:r w:rsidRPr="00AC4750">
        <w:rPr>
          <w:rFonts w:ascii="Times New Roman" w:hAnsi="Times New Roman" w:cs="Times New Roman"/>
          <w:sz w:val="20"/>
          <w:szCs w:val="20"/>
        </w:rPr>
        <w:tab/>
      </w:r>
      <w:r w:rsidRPr="00AC4750">
        <w:rPr>
          <w:rFonts w:ascii="Times New Roman" w:hAnsi="Times New Roman" w:cs="Times New Roman"/>
          <w:sz w:val="20"/>
          <w:szCs w:val="20"/>
        </w:rPr>
        <w:tab/>
        <w:t>World Trade Organizati</w:t>
      </w:r>
      <w:r w:rsidR="00212AB9" w:rsidRPr="00AC4750">
        <w:rPr>
          <w:rFonts w:ascii="Times New Roman" w:hAnsi="Times New Roman" w:cs="Times New Roman"/>
          <w:sz w:val="20"/>
          <w:szCs w:val="20"/>
        </w:rPr>
        <w:t>on</w:t>
      </w:r>
    </w:p>
    <w:p w:rsidR="00C71881" w:rsidRDefault="00C71881" w:rsidP="00C71881">
      <w:pPr>
        <w:adjustRightInd w:val="0"/>
        <w:snapToGrid w:val="0"/>
        <w:spacing w:after="0" w:line="240" w:lineRule="auto"/>
        <w:ind w:firstLine="425"/>
        <w:jc w:val="both"/>
        <w:rPr>
          <w:rFonts w:ascii="Times New Roman" w:hAnsi="Times New Roman" w:cs="Times New Roman" w:hint="eastAsia"/>
          <w:sz w:val="20"/>
          <w:szCs w:val="20"/>
          <w:lang w:eastAsia="zh-CN"/>
        </w:rPr>
      </w:pPr>
    </w:p>
    <w:p w:rsidR="00C71881" w:rsidRDefault="00C71881" w:rsidP="00C71881">
      <w:pPr>
        <w:adjustRightInd w:val="0"/>
        <w:snapToGrid w:val="0"/>
        <w:spacing w:after="0" w:line="240" w:lineRule="auto"/>
        <w:ind w:firstLine="425"/>
        <w:jc w:val="both"/>
        <w:rPr>
          <w:rFonts w:ascii="Times New Roman" w:hAnsi="Times New Roman" w:cs="Times New Roman"/>
          <w:sz w:val="20"/>
          <w:szCs w:val="20"/>
          <w:lang w:eastAsia="zh-CN"/>
        </w:rPr>
        <w:sectPr w:rsidR="00C71881" w:rsidSect="00C71881">
          <w:headerReference w:type="default" r:id="rId12"/>
          <w:footerReference w:type="default" r:id="rId13"/>
          <w:endnotePr>
            <w:numFmt w:val="decimal"/>
          </w:endnotePr>
          <w:type w:val="continuous"/>
          <w:pgSz w:w="12242" w:h="15842" w:code="1"/>
          <w:pgMar w:top="1440" w:right="1440" w:bottom="1440" w:left="1440" w:header="720" w:footer="720" w:gutter="0"/>
          <w:cols w:space="576"/>
          <w:docGrid w:linePitch="360"/>
        </w:sectPr>
      </w:pPr>
    </w:p>
    <w:p w:rsidR="00212AB9" w:rsidRPr="00AC4750" w:rsidRDefault="00212AB9"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lastRenderedPageBreak/>
        <w:t>Introduction:</w:t>
      </w:r>
    </w:p>
    <w:p w:rsidR="0068549B" w:rsidRPr="00AC4750" w:rsidRDefault="00212AB9" w:rsidP="00C71881">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A</w:t>
      </w:r>
      <w:r w:rsidR="003152FE" w:rsidRPr="00AC4750">
        <w:rPr>
          <w:rFonts w:ascii="Times New Roman" w:hAnsi="Times New Roman" w:cs="Times New Roman"/>
          <w:sz w:val="20"/>
          <w:szCs w:val="20"/>
        </w:rPr>
        <w:t>ttaining competitiveness through competition is the mixed question of law and economics whereas</w:t>
      </w:r>
      <w:r w:rsidR="001D2A97" w:rsidRPr="00AC4750">
        <w:rPr>
          <w:rFonts w:ascii="Times New Roman" w:hAnsi="Times New Roman" w:cs="Times New Roman"/>
          <w:sz w:val="20"/>
          <w:szCs w:val="20"/>
        </w:rPr>
        <w:t xml:space="preserve"> competitiveness through competition is one of the aims and objects of Competition Policy. </w:t>
      </w:r>
      <w:r w:rsidR="00CE6198" w:rsidRPr="00AC4750">
        <w:rPr>
          <w:rFonts w:ascii="Times New Roman" w:hAnsi="Times New Roman" w:cs="Times New Roman"/>
          <w:sz w:val="20"/>
          <w:szCs w:val="20"/>
        </w:rPr>
        <w:t xml:space="preserve">Competition policy throughout the world revolves around the term ‘competition’ of which legislative definition has not been given. </w:t>
      </w:r>
      <w:r w:rsidR="00935794" w:rsidRPr="00AC4750">
        <w:rPr>
          <w:rFonts w:ascii="Times New Roman" w:hAnsi="Times New Roman" w:cs="Times New Roman"/>
          <w:sz w:val="20"/>
          <w:szCs w:val="20"/>
        </w:rPr>
        <w:t>According to writer c</w:t>
      </w:r>
      <w:r w:rsidR="009846B2" w:rsidRPr="00AC4750">
        <w:rPr>
          <w:rFonts w:ascii="Times New Roman" w:hAnsi="Times New Roman" w:cs="Times New Roman"/>
          <w:sz w:val="20"/>
          <w:szCs w:val="20"/>
        </w:rPr>
        <w:t xml:space="preserve">ompetition is an instrument of </w:t>
      </w:r>
      <w:r w:rsidR="009846B2" w:rsidRPr="00AC4750">
        <w:rPr>
          <w:rFonts w:ascii="Times New Roman" w:hAnsi="Times New Roman" w:cs="Times New Roman"/>
          <w:b/>
          <w:i/>
          <w:sz w:val="20"/>
          <w:szCs w:val="20"/>
        </w:rPr>
        <w:t>excellence,</w:t>
      </w:r>
      <w:r w:rsidR="009846B2" w:rsidRPr="00AC4750">
        <w:rPr>
          <w:rFonts w:ascii="Times New Roman" w:hAnsi="Times New Roman" w:cs="Times New Roman"/>
          <w:sz w:val="20"/>
          <w:szCs w:val="20"/>
        </w:rPr>
        <w:t xml:space="preserve"> </w:t>
      </w:r>
      <w:r w:rsidR="009846B2" w:rsidRPr="00AC4750">
        <w:rPr>
          <w:rFonts w:ascii="Times New Roman" w:hAnsi="Times New Roman" w:cs="Times New Roman"/>
          <w:b/>
          <w:i/>
          <w:sz w:val="20"/>
          <w:szCs w:val="20"/>
        </w:rPr>
        <w:t>efficiency</w:t>
      </w:r>
      <w:r w:rsidR="009846B2" w:rsidRPr="00AC4750">
        <w:rPr>
          <w:rFonts w:ascii="Times New Roman" w:hAnsi="Times New Roman" w:cs="Times New Roman"/>
          <w:sz w:val="20"/>
          <w:szCs w:val="20"/>
        </w:rPr>
        <w:t xml:space="preserve"> and </w:t>
      </w:r>
      <w:r w:rsidR="009846B2" w:rsidRPr="00AC4750">
        <w:rPr>
          <w:rFonts w:ascii="Times New Roman" w:hAnsi="Times New Roman" w:cs="Times New Roman"/>
          <w:b/>
          <w:i/>
          <w:sz w:val="20"/>
          <w:szCs w:val="20"/>
        </w:rPr>
        <w:t>satisfaction.</w:t>
      </w:r>
      <w:r w:rsidR="009846B2" w:rsidRPr="00AC4750">
        <w:rPr>
          <w:rFonts w:ascii="Times New Roman" w:hAnsi="Times New Roman" w:cs="Times New Roman"/>
          <w:sz w:val="20"/>
          <w:szCs w:val="20"/>
        </w:rPr>
        <w:t xml:space="preserve"> </w:t>
      </w:r>
      <w:r w:rsidR="00CB40A1" w:rsidRPr="00AC4750">
        <w:rPr>
          <w:rFonts w:ascii="Times New Roman" w:hAnsi="Times New Roman" w:cs="Times New Roman"/>
          <w:sz w:val="20"/>
          <w:szCs w:val="20"/>
        </w:rPr>
        <w:t>The writer states that the actual competitiv</w:t>
      </w:r>
      <w:r w:rsidR="00B10C83" w:rsidRPr="00AC4750">
        <w:rPr>
          <w:rFonts w:ascii="Times New Roman" w:hAnsi="Times New Roman" w:cs="Times New Roman"/>
          <w:sz w:val="20"/>
          <w:szCs w:val="20"/>
        </w:rPr>
        <w:t>eness may be achieved only by</w:t>
      </w:r>
      <w:r w:rsidR="00CB40A1" w:rsidRPr="00AC4750">
        <w:rPr>
          <w:rFonts w:ascii="Times New Roman" w:hAnsi="Times New Roman" w:cs="Times New Roman"/>
          <w:sz w:val="20"/>
          <w:szCs w:val="20"/>
        </w:rPr>
        <w:t xml:space="preserve"> actual enforcement of competition policy</w:t>
      </w:r>
      <w:r w:rsidR="00B10C83" w:rsidRPr="00AC4750">
        <w:rPr>
          <w:rFonts w:ascii="Times New Roman" w:hAnsi="Times New Roman" w:cs="Times New Roman"/>
          <w:sz w:val="20"/>
          <w:szCs w:val="20"/>
        </w:rPr>
        <w:t xml:space="preserve"> after doing economic analysis of market</w:t>
      </w:r>
      <w:r w:rsidR="00CB40A1" w:rsidRPr="00AC4750">
        <w:rPr>
          <w:rFonts w:ascii="Times New Roman" w:hAnsi="Times New Roman" w:cs="Times New Roman"/>
          <w:sz w:val="20"/>
          <w:szCs w:val="20"/>
        </w:rPr>
        <w:t xml:space="preserve">. </w:t>
      </w:r>
      <w:r w:rsidR="009846B2" w:rsidRPr="00AC4750">
        <w:rPr>
          <w:rFonts w:ascii="Times New Roman" w:hAnsi="Times New Roman" w:cs="Times New Roman"/>
          <w:sz w:val="20"/>
          <w:szCs w:val="20"/>
        </w:rPr>
        <w:t xml:space="preserve">In </w:t>
      </w:r>
      <w:r w:rsidR="009846B2" w:rsidRPr="00AC4750">
        <w:rPr>
          <w:rFonts w:ascii="Times New Roman" w:hAnsi="Times New Roman" w:cs="Times New Roman"/>
          <w:b/>
          <w:i/>
          <w:sz w:val="20"/>
          <w:szCs w:val="20"/>
        </w:rPr>
        <w:t>People v. Sheldon</w:t>
      </w:r>
      <w:r w:rsidR="0068549B" w:rsidRPr="00AC4750">
        <w:rPr>
          <w:rStyle w:val="EndnoteReference"/>
          <w:rFonts w:ascii="Times New Roman" w:hAnsi="Times New Roman" w:cs="Times New Roman"/>
          <w:b/>
          <w:i/>
          <w:sz w:val="20"/>
          <w:szCs w:val="20"/>
        </w:rPr>
        <w:endnoteReference w:id="1"/>
      </w:r>
      <w:r w:rsidR="0068549B" w:rsidRPr="00AC4750">
        <w:rPr>
          <w:rFonts w:ascii="Times New Roman" w:hAnsi="Times New Roman" w:cs="Times New Roman"/>
          <w:sz w:val="20"/>
          <w:szCs w:val="20"/>
        </w:rPr>
        <w:t xml:space="preserve"> the court stated that </w:t>
      </w:r>
      <w:r w:rsidR="0068549B" w:rsidRPr="00AC4750">
        <w:rPr>
          <w:rFonts w:ascii="Times New Roman" w:hAnsi="Times New Roman" w:cs="Times New Roman"/>
          <w:b/>
          <w:i/>
          <w:sz w:val="20"/>
          <w:szCs w:val="20"/>
        </w:rPr>
        <w:t>COMPETITION</w:t>
      </w:r>
      <w:r w:rsidR="0068549B" w:rsidRPr="00AC4750">
        <w:rPr>
          <w:rFonts w:ascii="Times New Roman" w:hAnsi="Times New Roman" w:cs="Times New Roman"/>
          <w:sz w:val="20"/>
          <w:szCs w:val="20"/>
        </w:rPr>
        <w:t xml:space="preserve"> is the life of trade. If competition policy is not enforced appropriately, the trade and business would be crumpled. It is not possible to give a statutory</w:t>
      </w:r>
      <w:r w:rsidR="0068549B" w:rsidRPr="00AC4750">
        <w:rPr>
          <w:rStyle w:val="EndnoteReference"/>
          <w:rFonts w:ascii="Times New Roman" w:hAnsi="Times New Roman" w:cs="Times New Roman"/>
          <w:sz w:val="20"/>
          <w:szCs w:val="20"/>
        </w:rPr>
        <w:endnoteReference w:id="2"/>
      </w:r>
      <w:r w:rsidR="0068549B" w:rsidRPr="00AC4750">
        <w:rPr>
          <w:rFonts w:ascii="Times New Roman" w:hAnsi="Times New Roman" w:cs="Times New Roman"/>
          <w:sz w:val="20"/>
          <w:szCs w:val="20"/>
        </w:rPr>
        <w:t>, comprehensive or straight jacket definition of the term ‘competition’ because if a statutory definition of the term ‘competition’ is given, the narrow approach may affect the competition and the definition clause itself may be anticompetitive but inclusive definition may be cited by the legislature.</w:t>
      </w:r>
      <w:r w:rsidR="00C71881">
        <w:rPr>
          <w:rFonts w:ascii="Times New Roman" w:hAnsi="Times New Roman" w:cs="Times New Roman"/>
          <w:sz w:val="20"/>
          <w:szCs w:val="20"/>
        </w:rPr>
        <w:t xml:space="preserve"> </w:t>
      </w:r>
      <w:r w:rsidR="0068549B" w:rsidRPr="00AC4750">
        <w:rPr>
          <w:rFonts w:ascii="Times New Roman" w:hAnsi="Times New Roman" w:cs="Times New Roman"/>
          <w:b/>
          <w:i/>
          <w:sz w:val="20"/>
          <w:szCs w:val="20"/>
        </w:rPr>
        <w:t>Black’s Law Dictionary</w:t>
      </w:r>
      <w:r w:rsidR="0068549B" w:rsidRPr="00AC4750">
        <w:rPr>
          <w:rStyle w:val="EndnoteReference"/>
          <w:rFonts w:ascii="Times New Roman" w:hAnsi="Times New Roman" w:cs="Times New Roman"/>
          <w:b/>
          <w:i/>
          <w:sz w:val="20"/>
          <w:szCs w:val="20"/>
        </w:rPr>
        <w:endnoteReference w:id="3"/>
      </w:r>
      <w:r w:rsidR="0068549B" w:rsidRPr="00AC4750">
        <w:rPr>
          <w:rFonts w:ascii="Times New Roman" w:hAnsi="Times New Roman" w:cs="Times New Roman"/>
          <w:sz w:val="20"/>
          <w:szCs w:val="20"/>
        </w:rPr>
        <w:t xml:space="preserve"> defines competition stating that competition refers to the effort or action of two or more commercial interests to obtain the same business from third parties.</w:t>
      </w:r>
    </w:p>
    <w:p w:rsidR="0068549B" w:rsidRPr="00AC4750" w:rsidRDefault="0068549B"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Competitiveness may be achieved through competition if competition is regulated by competition policy and there is actual enforcement of such policy otherwise in the absence of such enforcement, competition policy would be good for nothing. According to write-up the following points should be discussed in order to attain competitiveness through competition:</w:t>
      </w:r>
    </w:p>
    <w:p w:rsidR="0068549B" w:rsidRPr="00AC4750" w:rsidRDefault="0068549B" w:rsidP="00C71881">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Virtues of competition increase the economic efficiency</w:t>
      </w:r>
    </w:p>
    <w:p w:rsidR="0068549B" w:rsidRPr="00AC4750" w:rsidRDefault="0068549B" w:rsidP="00C71881">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Nexus between economic theory and competition law</w:t>
      </w:r>
    </w:p>
    <w:p w:rsidR="0068549B" w:rsidRPr="00AC4750" w:rsidRDefault="0068549B" w:rsidP="00C71881">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Attaining competitiveness by regulating price practices under competition policy</w:t>
      </w:r>
    </w:p>
    <w:p w:rsidR="0068549B" w:rsidRPr="00AC4750" w:rsidRDefault="0068549B" w:rsidP="00C71881">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Attaining competitiveness through competition advocacy</w:t>
      </w:r>
    </w:p>
    <w:p w:rsidR="0068549B" w:rsidRPr="00AC4750" w:rsidRDefault="0068549B" w:rsidP="00C71881">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Whether Section 32 of the Competition Act, 2002 is sufficient to attain competitiveness?</w:t>
      </w:r>
    </w:p>
    <w:p w:rsidR="0068549B" w:rsidRPr="00AC4750" w:rsidRDefault="0068549B" w:rsidP="00C71881">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Role of international organizations to co</w:t>
      </w:r>
      <w:r w:rsidR="005C5FE4" w:rsidRPr="00AC4750">
        <w:rPr>
          <w:rFonts w:ascii="Times New Roman" w:hAnsi="Times New Roman" w:cs="Times New Roman"/>
          <w:sz w:val="20"/>
          <w:szCs w:val="20"/>
        </w:rPr>
        <w:t>-</w:t>
      </w:r>
      <w:r w:rsidRPr="00AC4750">
        <w:rPr>
          <w:rFonts w:ascii="Times New Roman" w:hAnsi="Times New Roman" w:cs="Times New Roman"/>
          <w:sz w:val="20"/>
          <w:szCs w:val="20"/>
        </w:rPr>
        <w:t>operate and to attain competitiveness</w:t>
      </w:r>
    </w:p>
    <w:p w:rsidR="0068549B" w:rsidRPr="00AC4750" w:rsidRDefault="0068549B" w:rsidP="00C71881">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lastRenderedPageBreak/>
        <w:t>Whether patent monopoly increases competitiveness?</w:t>
      </w:r>
    </w:p>
    <w:p w:rsidR="0068549B" w:rsidRPr="00AC4750" w:rsidRDefault="0068549B" w:rsidP="00C71881">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Attaining competitiveness by applying Rule of reason and per se rule</w:t>
      </w:r>
    </w:p>
    <w:p w:rsidR="0068549B" w:rsidRPr="00AC4750" w:rsidRDefault="0068549B" w:rsidP="00C71881">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Abuse of dominant position eliminates competition</w:t>
      </w:r>
    </w:p>
    <w:p w:rsidR="0068549B" w:rsidRPr="00AC4750" w:rsidRDefault="0068549B"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According to author the scope of competition lies in fair</w:t>
      </w:r>
      <w:r w:rsidRPr="00AC4750">
        <w:rPr>
          <w:rStyle w:val="EndnoteReference"/>
          <w:rFonts w:ascii="Times New Roman" w:hAnsi="Times New Roman" w:cs="Times New Roman"/>
          <w:sz w:val="20"/>
          <w:szCs w:val="20"/>
        </w:rPr>
        <w:endnoteReference w:id="4"/>
      </w:r>
      <w:r w:rsidRPr="00AC4750">
        <w:rPr>
          <w:rFonts w:ascii="Times New Roman" w:hAnsi="Times New Roman" w:cs="Times New Roman"/>
          <w:sz w:val="20"/>
          <w:szCs w:val="20"/>
        </w:rPr>
        <w:t>, horizontal</w:t>
      </w:r>
      <w:r w:rsidRPr="00AC4750">
        <w:rPr>
          <w:rStyle w:val="EndnoteReference"/>
          <w:rFonts w:ascii="Times New Roman" w:hAnsi="Times New Roman" w:cs="Times New Roman"/>
          <w:sz w:val="20"/>
          <w:szCs w:val="20"/>
        </w:rPr>
        <w:endnoteReference w:id="5"/>
      </w:r>
      <w:r w:rsidRPr="00AC4750">
        <w:rPr>
          <w:rFonts w:ascii="Times New Roman" w:hAnsi="Times New Roman" w:cs="Times New Roman"/>
          <w:sz w:val="20"/>
          <w:szCs w:val="20"/>
        </w:rPr>
        <w:t>, perfect</w:t>
      </w:r>
      <w:r w:rsidRPr="00AC4750">
        <w:rPr>
          <w:rStyle w:val="EndnoteReference"/>
          <w:rFonts w:ascii="Times New Roman" w:hAnsi="Times New Roman" w:cs="Times New Roman"/>
          <w:sz w:val="20"/>
          <w:szCs w:val="20"/>
        </w:rPr>
        <w:endnoteReference w:id="6"/>
      </w:r>
      <w:r w:rsidRPr="00AC4750">
        <w:rPr>
          <w:rFonts w:ascii="Times New Roman" w:hAnsi="Times New Roman" w:cs="Times New Roman"/>
          <w:sz w:val="20"/>
          <w:szCs w:val="20"/>
        </w:rPr>
        <w:t xml:space="preserve"> and vertical</w:t>
      </w:r>
      <w:r w:rsidRPr="00AC4750">
        <w:rPr>
          <w:rStyle w:val="EndnoteReference"/>
          <w:rFonts w:ascii="Times New Roman" w:hAnsi="Times New Roman" w:cs="Times New Roman"/>
          <w:sz w:val="20"/>
          <w:szCs w:val="20"/>
        </w:rPr>
        <w:endnoteReference w:id="7"/>
      </w:r>
      <w:r w:rsidRPr="00AC4750">
        <w:rPr>
          <w:rFonts w:ascii="Times New Roman" w:hAnsi="Times New Roman" w:cs="Times New Roman"/>
          <w:sz w:val="20"/>
          <w:szCs w:val="20"/>
        </w:rPr>
        <w:t xml:space="preserve"> competition. The increasing scope of trade and business has also increased the scope of competition. Competition policy is an instrument to promote fair competition and increase the economic efficiency so that trade and business can be given a new dimension.</w:t>
      </w:r>
    </w:p>
    <w:p w:rsidR="0068549B" w:rsidRPr="00AC4750" w:rsidRDefault="0068549B"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t>Virtues of competition increase the economic efficiency</w:t>
      </w:r>
    </w:p>
    <w:p w:rsidR="0068549B" w:rsidRPr="00AC4750" w:rsidRDefault="0068549B"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The virtue or magic of competition which increases economic efficiency depends on the following factors:</w:t>
      </w:r>
    </w:p>
    <w:p w:rsidR="0068549B" w:rsidRPr="00AC4750" w:rsidRDefault="0068549B" w:rsidP="00C71881">
      <w:pPr>
        <w:pStyle w:val="ListParagraph"/>
        <w:numPr>
          <w:ilvl w:val="0"/>
          <w:numId w:val="8"/>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Competition tends to provide purchasers with a range of choices.</w:t>
      </w:r>
      <w:r w:rsidRPr="00AC4750">
        <w:rPr>
          <w:rStyle w:val="EndnoteReference"/>
          <w:rFonts w:ascii="Times New Roman" w:hAnsi="Times New Roman" w:cs="Times New Roman"/>
          <w:sz w:val="20"/>
          <w:szCs w:val="20"/>
        </w:rPr>
        <w:endnoteReference w:id="8"/>
      </w:r>
    </w:p>
    <w:p w:rsidR="0068549B" w:rsidRPr="00AC4750" w:rsidRDefault="0068549B" w:rsidP="00C71881">
      <w:pPr>
        <w:pStyle w:val="ListParagraph"/>
        <w:numPr>
          <w:ilvl w:val="0"/>
          <w:numId w:val="8"/>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Competition can provide incentive for firms to become more efficient.</w:t>
      </w:r>
    </w:p>
    <w:p w:rsidR="0068549B" w:rsidRPr="00AC4750" w:rsidRDefault="0068549B" w:rsidP="00C71881">
      <w:pPr>
        <w:pStyle w:val="ListParagraph"/>
        <w:numPr>
          <w:ilvl w:val="0"/>
          <w:numId w:val="8"/>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Competition is often said to provide an incentive for technological progress. The best way to increase the total receipts is the technological progress.</w:t>
      </w:r>
      <w:r w:rsidRPr="00AC4750">
        <w:rPr>
          <w:rStyle w:val="EndnoteReference"/>
          <w:rFonts w:ascii="Times New Roman" w:hAnsi="Times New Roman" w:cs="Times New Roman"/>
          <w:sz w:val="20"/>
          <w:szCs w:val="20"/>
        </w:rPr>
        <w:endnoteReference w:id="9"/>
      </w:r>
    </w:p>
    <w:p w:rsidR="0068549B" w:rsidRPr="00AC4750" w:rsidRDefault="0068549B" w:rsidP="00C71881">
      <w:pPr>
        <w:pStyle w:val="ListParagraph"/>
        <w:numPr>
          <w:ilvl w:val="0"/>
          <w:numId w:val="8"/>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It can also be argued that competition in economic markets is most consistent with a democratic political system.</w:t>
      </w:r>
    </w:p>
    <w:p w:rsidR="000010B8" w:rsidRPr="00AC4750" w:rsidRDefault="0068549B"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 xml:space="preserve">Competition increases the </w:t>
      </w:r>
      <w:proofErr w:type="spellStart"/>
      <w:r w:rsidRPr="00AC4750">
        <w:rPr>
          <w:rFonts w:ascii="Times New Roman" w:hAnsi="Times New Roman" w:cs="Times New Roman"/>
          <w:sz w:val="20"/>
          <w:szCs w:val="20"/>
        </w:rPr>
        <w:t>allocative</w:t>
      </w:r>
      <w:proofErr w:type="spellEnd"/>
      <w:r w:rsidRPr="00AC4750">
        <w:rPr>
          <w:rFonts w:ascii="Times New Roman" w:hAnsi="Times New Roman" w:cs="Times New Roman"/>
          <w:sz w:val="20"/>
          <w:szCs w:val="20"/>
        </w:rPr>
        <w:t xml:space="preserve"> efficiency, productive efficiency and dynamic efficiency.</w:t>
      </w:r>
      <w:r w:rsidR="00F272F3" w:rsidRPr="00AC4750">
        <w:rPr>
          <w:rFonts w:ascii="Times New Roman" w:hAnsi="Times New Roman" w:cs="Times New Roman"/>
          <w:sz w:val="20"/>
          <w:szCs w:val="20"/>
        </w:rPr>
        <w:t xml:space="preserve"> </w:t>
      </w:r>
      <w:r w:rsidRPr="00AC4750">
        <w:rPr>
          <w:rFonts w:ascii="Times New Roman" w:hAnsi="Times New Roman" w:cs="Times New Roman"/>
          <w:sz w:val="20"/>
          <w:szCs w:val="20"/>
        </w:rPr>
        <w:t xml:space="preserve">As a general rule, the limitation of market power and prevention of abuse of dominant positions enhances the </w:t>
      </w:r>
      <w:proofErr w:type="spellStart"/>
      <w:r w:rsidRPr="00AC4750">
        <w:rPr>
          <w:rFonts w:ascii="Times New Roman" w:hAnsi="Times New Roman" w:cs="Times New Roman"/>
          <w:sz w:val="20"/>
          <w:szCs w:val="20"/>
        </w:rPr>
        <w:t>allocative</w:t>
      </w:r>
      <w:proofErr w:type="spellEnd"/>
      <w:r w:rsidRPr="00AC4750">
        <w:rPr>
          <w:rFonts w:ascii="Times New Roman" w:hAnsi="Times New Roman" w:cs="Times New Roman"/>
          <w:sz w:val="20"/>
          <w:szCs w:val="20"/>
        </w:rPr>
        <w:t xml:space="preserve"> efficiency by reducing deadweight loss and forcing inefficient firms to make way for more efficient ones.</w:t>
      </w:r>
      <w:r w:rsidRPr="00AC4750">
        <w:rPr>
          <w:rStyle w:val="EndnoteReference"/>
          <w:rFonts w:ascii="Times New Roman" w:hAnsi="Times New Roman" w:cs="Times New Roman"/>
          <w:sz w:val="20"/>
          <w:szCs w:val="20"/>
        </w:rPr>
        <w:endnoteReference w:id="10"/>
      </w:r>
      <w:r w:rsidRPr="00AC4750">
        <w:rPr>
          <w:rFonts w:ascii="Times New Roman" w:hAnsi="Times New Roman" w:cs="Times New Roman"/>
          <w:sz w:val="20"/>
          <w:szCs w:val="20"/>
        </w:rPr>
        <w:t xml:space="preserve"> Competition policy also contributes to dynamic efficiency by restricting the ability of dominant firms or group of firms to insulate themselves from competition and thus avoid the need to innovate in order to protect their market shares. Ultimately, effective competition helps to motivate managers to minimize “slack” or “X-inefficiency”</w:t>
      </w:r>
      <w:r w:rsidRPr="00AC4750">
        <w:rPr>
          <w:rStyle w:val="EndnoteReference"/>
          <w:rFonts w:ascii="Times New Roman" w:hAnsi="Times New Roman" w:cs="Times New Roman"/>
          <w:sz w:val="20"/>
          <w:szCs w:val="20"/>
        </w:rPr>
        <w:endnoteReference w:id="11"/>
      </w:r>
      <w:r w:rsidRPr="00AC4750">
        <w:rPr>
          <w:rFonts w:ascii="Times New Roman" w:hAnsi="Times New Roman" w:cs="Times New Roman"/>
          <w:sz w:val="20"/>
          <w:szCs w:val="20"/>
        </w:rPr>
        <w:t xml:space="preserve">. As </w:t>
      </w:r>
      <w:r w:rsidRPr="00AC4750">
        <w:rPr>
          <w:rFonts w:ascii="Times New Roman" w:hAnsi="Times New Roman" w:cs="Times New Roman"/>
          <w:b/>
          <w:i/>
          <w:sz w:val="20"/>
          <w:szCs w:val="20"/>
        </w:rPr>
        <w:t>Hicks</w:t>
      </w:r>
      <w:r w:rsidRPr="00AC4750">
        <w:rPr>
          <w:rStyle w:val="EndnoteReference"/>
          <w:rFonts w:ascii="Times New Roman" w:hAnsi="Times New Roman" w:cs="Times New Roman"/>
          <w:b/>
          <w:i/>
          <w:sz w:val="20"/>
          <w:szCs w:val="20"/>
        </w:rPr>
        <w:endnoteReference w:id="12"/>
      </w:r>
      <w:r w:rsidRPr="00AC4750">
        <w:rPr>
          <w:rFonts w:ascii="Times New Roman" w:hAnsi="Times New Roman" w:cs="Times New Roman"/>
          <w:sz w:val="20"/>
          <w:szCs w:val="20"/>
        </w:rPr>
        <w:t xml:space="preserve"> famously remarked, “The best of all monopoly profits is a quite life.</w:t>
      </w:r>
      <w:r w:rsidR="00441F4A" w:rsidRPr="00441F4A">
        <w:rPr>
          <w:rFonts w:ascii="Times New Roman" w:hAnsi="Times New Roman" w:cs="Times New Roman"/>
          <w:noProof/>
          <w:sz w:val="20"/>
          <w:szCs w:val="20"/>
          <w:lang w:val="en-IN" w:eastAsia="en-IN" w:bidi="ar-SA"/>
        </w:rPr>
        <w:pict>
          <v:oval id="_x0000_s1071" style="position:absolute;left:0;text-align:left;margin-left:354.6pt;margin-top:.15pt;width:118.15pt;height:52.15pt;z-index:251675648;mso-position-horizontal-relative:text;mso-position-vertical-relative:text" fillcolor="#4f81bd [3204]" strokecolor="#f2f2f2 [3041]" strokeweight="3pt">
            <v:shadow on="t" type="perspective" color="#243f60 [1604]" opacity=".5" offset="1pt" offset2="-1pt"/>
            <v:textbox style="mso-next-textbox:#_x0000_s1071">
              <w:txbxContent>
                <w:p w:rsidR="00575DFF" w:rsidRDefault="00575DFF" w:rsidP="00B334AA">
                  <w:r>
                    <w:t>Dynamic Efficiency</w:t>
                  </w:r>
                </w:p>
              </w:txbxContent>
            </v:textbox>
          </v:oval>
        </w:pict>
      </w:r>
      <w:r w:rsidR="00441F4A" w:rsidRPr="00441F4A">
        <w:rPr>
          <w:rFonts w:ascii="Times New Roman" w:hAnsi="Times New Roman" w:cs="Times New Roman"/>
          <w:noProof/>
          <w:sz w:val="20"/>
          <w:szCs w:val="20"/>
          <w:lang w:val="en-IN" w:eastAsia="en-IN"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8" type="#_x0000_t67" style="position:absolute;left:0;text-align:left;margin-left:408.9pt;margin-top:13.25pt;width:9.5pt;height:29.2pt;z-index:251686912;mso-position-horizontal-relative:text;mso-position-vertical-relative:text" fillcolor="#4f81bd [3204]" stroked="f" strokeweight="0">
            <v:fill color2="#365e8f [2372]" focusposition=".5,.5" focussize="" focus="100%" type="gradientRadial"/>
            <v:shadow on="t" type="perspective" color="#243f60 [1604]" offset="1pt" offset2="-3pt"/>
            <v:textbox style="layout-flow:vertical-ideographic"/>
          </v:shape>
        </w:pict>
      </w:r>
      <w:r w:rsidR="00441F4A" w:rsidRPr="00441F4A">
        <w:rPr>
          <w:rFonts w:ascii="Times New Roman" w:hAnsi="Times New Roman" w:cs="Times New Roman"/>
          <w:noProof/>
          <w:sz w:val="20"/>
          <w:szCs w:val="20"/>
          <w:lang w:val="en-IN" w:eastAsia="en-IN" w:bidi="ar-SA"/>
        </w:rPr>
        <w:pict>
          <v:shapetype id="_x0000_t32" coordsize="21600,21600" o:spt="32" o:oned="t" path="m,l21600,21600e" filled="f">
            <v:path arrowok="t" fillok="f" o:connecttype="none"/>
            <o:lock v:ext="edit" shapetype="t"/>
          </v:shapetype>
          <v:shape id="_x0000_s1077" type="#_x0000_t32" style="position:absolute;left:0;text-align:left;margin-left:139.9pt;margin-top:26.2pt;width:.05pt;height:.05pt;z-index:251680768;mso-position-horizontal-relative:text;mso-position-vertical-relative:text" o:connectortype="straight" strokecolor="#f2f2f2 [3041]" strokeweight="3pt">
            <v:shadow type="perspective" color="#3f3151 [1607]" opacity=".5" offset="1pt" offset2="-1pt"/>
          </v:shape>
        </w:pict>
      </w:r>
    </w:p>
    <w:p w:rsidR="00BF3D85" w:rsidRPr="00AC4750" w:rsidRDefault="00BF3D85"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t>Ne</w:t>
      </w:r>
      <w:r w:rsidR="000B7DE6" w:rsidRPr="00AC4750">
        <w:rPr>
          <w:rFonts w:ascii="Times New Roman" w:hAnsi="Times New Roman" w:cs="Times New Roman"/>
          <w:b/>
          <w:sz w:val="20"/>
          <w:szCs w:val="20"/>
        </w:rPr>
        <w:t>xus between economic theory and</w:t>
      </w:r>
      <w:r w:rsidR="00E06611" w:rsidRPr="00AC4750">
        <w:rPr>
          <w:rFonts w:ascii="Times New Roman" w:hAnsi="Times New Roman" w:cs="Times New Roman"/>
          <w:b/>
          <w:sz w:val="20"/>
          <w:szCs w:val="20"/>
        </w:rPr>
        <w:t xml:space="preserve"> </w:t>
      </w:r>
      <w:r w:rsidRPr="00AC4750">
        <w:rPr>
          <w:rFonts w:ascii="Times New Roman" w:hAnsi="Times New Roman" w:cs="Times New Roman"/>
          <w:b/>
          <w:sz w:val="20"/>
          <w:szCs w:val="20"/>
        </w:rPr>
        <w:t>competition law:</w:t>
      </w:r>
    </w:p>
    <w:p w:rsidR="007F32E2" w:rsidRPr="00AC4750" w:rsidRDefault="00BF3D85" w:rsidP="00C71881">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 xml:space="preserve">Economic theory attempts to establish a framework with which to analyze </w:t>
      </w:r>
      <w:r w:rsidRPr="00AC4750">
        <w:rPr>
          <w:rFonts w:ascii="Times New Roman" w:hAnsi="Times New Roman" w:cs="Times New Roman"/>
          <w:b/>
          <w:i/>
          <w:sz w:val="20"/>
          <w:szCs w:val="20"/>
        </w:rPr>
        <w:t>what</w:t>
      </w:r>
      <w:r w:rsidRPr="00AC4750">
        <w:rPr>
          <w:rFonts w:ascii="Times New Roman" w:hAnsi="Times New Roman" w:cs="Times New Roman"/>
          <w:sz w:val="20"/>
          <w:szCs w:val="20"/>
        </w:rPr>
        <w:t xml:space="preserve"> Goods would </w:t>
      </w:r>
      <w:r w:rsidRPr="00AC4750">
        <w:rPr>
          <w:rFonts w:ascii="Times New Roman" w:hAnsi="Times New Roman" w:cs="Times New Roman"/>
          <w:sz w:val="20"/>
          <w:szCs w:val="20"/>
        </w:rPr>
        <w:lastRenderedPageBreak/>
        <w:t xml:space="preserve">be produced, </w:t>
      </w:r>
      <w:r w:rsidRPr="00AC4750">
        <w:rPr>
          <w:rFonts w:ascii="Times New Roman" w:hAnsi="Times New Roman" w:cs="Times New Roman"/>
          <w:b/>
          <w:i/>
          <w:sz w:val="20"/>
          <w:szCs w:val="20"/>
        </w:rPr>
        <w:t>how</w:t>
      </w:r>
      <w:r w:rsidRPr="00AC4750">
        <w:rPr>
          <w:rFonts w:ascii="Times New Roman" w:hAnsi="Times New Roman" w:cs="Times New Roman"/>
          <w:sz w:val="20"/>
          <w:szCs w:val="20"/>
        </w:rPr>
        <w:t xml:space="preserve"> </w:t>
      </w:r>
      <w:r w:rsidRPr="00AC4750">
        <w:rPr>
          <w:rFonts w:ascii="Times New Roman" w:hAnsi="Times New Roman" w:cs="Times New Roman"/>
          <w:b/>
          <w:i/>
          <w:sz w:val="20"/>
          <w:szCs w:val="20"/>
        </w:rPr>
        <w:t>much</w:t>
      </w:r>
      <w:r w:rsidRPr="00AC4750">
        <w:rPr>
          <w:rFonts w:ascii="Times New Roman" w:hAnsi="Times New Roman" w:cs="Times New Roman"/>
          <w:sz w:val="20"/>
          <w:szCs w:val="20"/>
        </w:rPr>
        <w:t xml:space="preserve"> of those goods, and how the goods will be distributed? Here the question of competition policy comes. In order to stand in the market, several measures may be adopted by the manufacturers to produce the goods and supply the same but the competition policy regulates the several measures taken by manufacturers to promote, enhance the competitiveness in the relevant market. Price determination of goods depends on supply and demand but the monopolist may control the price determination by taking artificial measures. For e.g. the monopolist may reduce the manufacture of said goods for short period. In this situation the demand would go up and the consumers are forced to pay high price for the same goods of same standard and same utility and the monopolist has option to increase the</w:t>
      </w:r>
      <w:r w:rsidR="00EC4E04" w:rsidRPr="00AC4750">
        <w:rPr>
          <w:rFonts w:ascii="Times New Roman" w:hAnsi="Times New Roman" w:cs="Times New Roman"/>
          <w:sz w:val="20"/>
          <w:szCs w:val="20"/>
        </w:rPr>
        <w:t xml:space="preserve"> price of said goods</w:t>
      </w:r>
      <w:r w:rsidRPr="00AC4750">
        <w:rPr>
          <w:rFonts w:ascii="Times New Roman" w:hAnsi="Times New Roman" w:cs="Times New Roman"/>
          <w:sz w:val="20"/>
          <w:szCs w:val="20"/>
        </w:rPr>
        <w:t>. Such artificial measure taken by the monopolist would be anticompetitive. However, ab</w:t>
      </w:r>
      <w:r w:rsidR="000B7DE6" w:rsidRPr="00AC4750">
        <w:rPr>
          <w:rFonts w:ascii="Times New Roman" w:hAnsi="Times New Roman" w:cs="Times New Roman"/>
          <w:sz w:val="20"/>
          <w:szCs w:val="20"/>
        </w:rPr>
        <w:t xml:space="preserve">solute monopoly is not </w:t>
      </w:r>
      <w:proofErr w:type="spellStart"/>
      <w:r w:rsidR="000B7DE6" w:rsidRPr="00AC4750">
        <w:rPr>
          <w:rFonts w:ascii="Times New Roman" w:hAnsi="Times New Roman" w:cs="Times New Roman"/>
          <w:sz w:val="20"/>
          <w:szCs w:val="20"/>
        </w:rPr>
        <w:t>possible</w:t>
      </w:r>
      <w:r w:rsidRPr="00AC4750">
        <w:rPr>
          <w:rFonts w:ascii="Times New Roman" w:hAnsi="Times New Roman" w:cs="Times New Roman"/>
          <w:sz w:val="20"/>
          <w:szCs w:val="20"/>
        </w:rPr>
        <w:t>but</w:t>
      </w:r>
      <w:proofErr w:type="spellEnd"/>
      <w:r w:rsidRPr="00AC4750">
        <w:rPr>
          <w:rFonts w:ascii="Times New Roman" w:hAnsi="Times New Roman" w:cs="Times New Roman"/>
          <w:sz w:val="20"/>
          <w:szCs w:val="20"/>
        </w:rPr>
        <w:t xml:space="preserve"> patent monopoly, copyright monopoly may be abused in such a way and therefore, the Competition authority has to look at the market situation that under which circumstances the prices go up and by the application of ‘rule of reason’ or ‘per se rule’, as the case may be, the appropriate action should be taken.</w:t>
      </w:r>
    </w:p>
    <w:p w:rsidR="000010B8" w:rsidRPr="00AC4750" w:rsidRDefault="003A36BE"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t>Attaining competitiveness by regulating price practices under competition policy</w:t>
      </w:r>
    </w:p>
    <w:p w:rsidR="00E06611" w:rsidRPr="00AC4750" w:rsidRDefault="00E06611" w:rsidP="00C71881">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Several price practices like excessive pricing, predatory pricing, price squeeze, rebate prices, price discrimination, refusal to deal &amp; non-price contractual etc are the forms of price practices which affect competition in the market. Competitiveness may be achieved by regulating all these practices.</w:t>
      </w:r>
    </w:p>
    <w:p w:rsidR="0068549B" w:rsidRPr="00AC4750" w:rsidRDefault="0068549B"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t>Attaining competitiveness through competition advocacy</w:t>
      </w:r>
    </w:p>
    <w:p w:rsidR="007E6CA3" w:rsidRPr="00AC4750" w:rsidRDefault="0068549B"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 xml:space="preserve">Competition advocacy is one of the tools to attain the competitiveness and therefore, under </w:t>
      </w:r>
      <w:r w:rsidRPr="00AC4750">
        <w:rPr>
          <w:rFonts w:ascii="Times New Roman" w:hAnsi="Times New Roman" w:cs="Times New Roman"/>
          <w:b/>
          <w:i/>
          <w:sz w:val="20"/>
          <w:szCs w:val="20"/>
        </w:rPr>
        <w:t>Section 49 (3</w:t>
      </w:r>
      <w:r w:rsidRPr="00AC4750">
        <w:rPr>
          <w:rFonts w:ascii="Times New Roman" w:hAnsi="Times New Roman" w:cs="Times New Roman"/>
          <w:sz w:val="20"/>
          <w:szCs w:val="20"/>
        </w:rPr>
        <w:t xml:space="preserve">) of the Competition Act, 2002 there is an obligation to take suitable measures for the promotion of competition advocacy, creating awareness and imparting training about competition issues. This is the beauty of the Competition Act, 2002 but in other jurisdiction there is no such provision regarding competition advocacy in order to attain </w:t>
      </w:r>
      <w:r w:rsidR="005C259F" w:rsidRPr="00AC4750">
        <w:rPr>
          <w:rFonts w:ascii="Times New Roman" w:hAnsi="Times New Roman" w:cs="Times New Roman"/>
          <w:sz w:val="20"/>
          <w:szCs w:val="20"/>
        </w:rPr>
        <w:t>competitiveness.</w:t>
      </w:r>
    </w:p>
    <w:p w:rsidR="0068549B" w:rsidRPr="00AC4750" w:rsidRDefault="0068549B"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t>Whether Section 32 of the Competition Act, 2002 is sufficient to attain competitiveness?</w:t>
      </w:r>
    </w:p>
    <w:p w:rsidR="000C0A82" w:rsidRPr="00AC4750" w:rsidRDefault="0068549B"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Section 32</w:t>
      </w:r>
      <w:r w:rsidRPr="00AC4750">
        <w:rPr>
          <w:rStyle w:val="EndnoteReference"/>
          <w:rFonts w:ascii="Times New Roman" w:hAnsi="Times New Roman" w:cs="Times New Roman"/>
          <w:sz w:val="20"/>
          <w:szCs w:val="20"/>
        </w:rPr>
        <w:endnoteReference w:id="13"/>
      </w:r>
      <w:r w:rsidRPr="00AC4750">
        <w:rPr>
          <w:rFonts w:ascii="Times New Roman" w:hAnsi="Times New Roman" w:cs="Times New Roman"/>
          <w:sz w:val="20"/>
          <w:szCs w:val="20"/>
        </w:rPr>
        <w:t xml:space="preserve"> of the Competition Act, 2002 confers subject-matter jurisdiction on Competition Commission of India but the actual beauty of Section 32 of said Act lies in the extraterritorial enforcement jurisdiction. The better extraterritorial enforcement jurisdiction of Competition Commission of India depends on bilateral agreements with other States. In the absence of any bilateral agreement</w:t>
      </w:r>
      <w:r w:rsidRPr="00AC4750">
        <w:rPr>
          <w:rStyle w:val="EndnoteReference"/>
          <w:rFonts w:ascii="Times New Roman" w:hAnsi="Times New Roman" w:cs="Times New Roman"/>
          <w:sz w:val="20"/>
          <w:szCs w:val="20"/>
        </w:rPr>
        <w:endnoteReference w:id="14"/>
      </w:r>
      <w:r w:rsidRPr="00AC4750">
        <w:rPr>
          <w:rFonts w:ascii="Times New Roman" w:hAnsi="Times New Roman" w:cs="Times New Roman"/>
          <w:sz w:val="20"/>
          <w:szCs w:val="20"/>
        </w:rPr>
        <w:t xml:space="preserve"> regarding competition law, under International law</w:t>
      </w:r>
      <w:r w:rsidRPr="00AC4750">
        <w:rPr>
          <w:rStyle w:val="EndnoteReference"/>
          <w:rFonts w:ascii="Times New Roman" w:hAnsi="Times New Roman" w:cs="Times New Roman"/>
          <w:sz w:val="20"/>
          <w:szCs w:val="20"/>
        </w:rPr>
        <w:endnoteReference w:id="15"/>
      </w:r>
      <w:r w:rsidRPr="00AC4750">
        <w:rPr>
          <w:rFonts w:ascii="Times New Roman" w:hAnsi="Times New Roman" w:cs="Times New Roman"/>
          <w:sz w:val="20"/>
          <w:szCs w:val="20"/>
        </w:rPr>
        <w:t xml:space="preserve"> there would </w:t>
      </w:r>
      <w:r w:rsidRPr="00AC4750">
        <w:rPr>
          <w:rFonts w:ascii="Times New Roman" w:hAnsi="Times New Roman" w:cs="Times New Roman"/>
          <w:sz w:val="20"/>
          <w:szCs w:val="20"/>
        </w:rPr>
        <w:lastRenderedPageBreak/>
        <w:t>not be any obligation on any state to cooperate with Competition Commission of India and the beauty</w:t>
      </w:r>
      <w:r w:rsidRPr="00AC4750">
        <w:rPr>
          <w:rStyle w:val="EndnoteReference"/>
          <w:rFonts w:ascii="Times New Roman" w:hAnsi="Times New Roman" w:cs="Times New Roman"/>
          <w:sz w:val="20"/>
          <w:szCs w:val="20"/>
        </w:rPr>
        <w:endnoteReference w:id="16"/>
      </w:r>
      <w:r w:rsidRPr="00AC4750">
        <w:rPr>
          <w:rFonts w:ascii="Times New Roman" w:hAnsi="Times New Roman" w:cs="Times New Roman"/>
          <w:sz w:val="20"/>
          <w:szCs w:val="20"/>
        </w:rPr>
        <w:t xml:space="preserve"> of Section 32 of the Competition Act, 2002 would be futile. In </w:t>
      </w:r>
      <w:r w:rsidRPr="00AC4750">
        <w:rPr>
          <w:rFonts w:ascii="Times New Roman" w:hAnsi="Times New Roman" w:cs="Times New Roman"/>
          <w:b/>
          <w:i/>
          <w:sz w:val="20"/>
          <w:szCs w:val="20"/>
        </w:rPr>
        <w:t>United States v. Aluminum Co of America</w:t>
      </w:r>
      <w:r w:rsidRPr="00AC4750">
        <w:rPr>
          <w:rStyle w:val="EndnoteReference"/>
          <w:rFonts w:ascii="Times New Roman" w:hAnsi="Times New Roman" w:cs="Times New Roman"/>
          <w:b/>
          <w:i/>
          <w:sz w:val="20"/>
          <w:szCs w:val="20"/>
        </w:rPr>
        <w:endnoteReference w:id="17"/>
      </w:r>
      <w:r w:rsidRPr="00AC4750">
        <w:rPr>
          <w:rFonts w:ascii="Times New Roman" w:hAnsi="Times New Roman" w:cs="Times New Roman"/>
          <w:b/>
          <w:i/>
          <w:sz w:val="20"/>
          <w:szCs w:val="20"/>
        </w:rPr>
        <w:t xml:space="preserve"> </w:t>
      </w:r>
      <w:r w:rsidRPr="00AC4750">
        <w:rPr>
          <w:rFonts w:ascii="Times New Roman" w:hAnsi="Times New Roman" w:cs="Times New Roman"/>
          <w:sz w:val="20"/>
          <w:szCs w:val="20"/>
        </w:rPr>
        <w:t>Justice Hand laid down the principle of ‘</w:t>
      </w:r>
      <w:r w:rsidRPr="00AC4750">
        <w:rPr>
          <w:rFonts w:ascii="Times New Roman" w:hAnsi="Times New Roman" w:cs="Times New Roman"/>
          <w:b/>
          <w:i/>
          <w:sz w:val="20"/>
          <w:szCs w:val="20"/>
        </w:rPr>
        <w:t>effects doctrine’</w:t>
      </w:r>
      <w:r w:rsidRPr="00AC4750">
        <w:rPr>
          <w:rStyle w:val="EndnoteReference"/>
          <w:rFonts w:ascii="Times New Roman" w:hAnsi="Times New Roman" w:cs="Times New Roman"/>
          <w:b/>
          <w:i/>
          <w:sz w:val="20"/>
          <w:szCs w:val="20"/>
        </w:rPr>
        <w:endnoteReference w:id="18"/>
      </w:r>
      <w:r w:rsidRPr="00AC4750">
        <w:rPr>
          <w:rFonts w:ascii="Times New Roman" w:hAnsi="Times New Roman" w:cs="Times New Roman"/>
          <w:b/>
          <w:i/>
          <w:sz w:val="20"/>
          <w:szCs w:val="20"/>
        </w:rPr>
        <w:t>.</w:t>
      </w:r>
      <w:r w:rsidRPr="00AC4750">
        <w:rPr>
          <w:rFonts w:ascii="Times New Roman" w:hAnsi="Times New Roman" w:cs="Times New Roman"/>
          <w:sz w:val="20"/>
          <w:szCs w:val="20"/>
        </w:rPr>
        <w:t xml:space="preserve"> The notion of this doctrine has been incorporated under Section 32 of the Competition Act, 2002 and the actual application and enforcement of such provision </w:t>
      </w:r>
      <w:r w:rsidR="009058E5" w:rsidRPr="00AC4750">
        <w:rPr>
          <w:rFonts w:ascii="Times New Roman" w:hAnsi="Times New Roman" w:cs="Times New Roman"/>
          <w:sz w:val="20"/>
          <w:szCs w:val="20"/>
        </w:rPr>
        <w:t xml:space="preserve">would attain the </w:t>
      </w:r>
      <w:r w:rsidRPr="00AC4750">
        <w:rPr>
          <w:rFonts w:ascii="Times New Roman" w:hAnsi="Times New Roman" w:cs="Times New Roman"/>
          <w:sz w:val="20"/>
          <w:szCs w:val="20"/>
        </w:rPr>
        <w:t>co</w:t>
      </w:r>
      <w:r w:rsidR="009058E5" w:rsidRPr="00AC4750">
        <w:rPr>
          <w:rFonts w:ascii="Times New Roman" w:hAnsi="Times New Roman" w:cs="Times New Roman"/>
          <w:sz w:val="20"/>
          <w:szCs w:val="20"/>
        </w:rPr>
        <w:t>mpetitiveness through competition.</w:t>
      </w:r>
    </w:p>
    <w:p w:rsidR="0068549B" w:rsidRPr="00AC4750" w:rsidRDefault="0068549B"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t xml:space="preserve">Role </w:t>
      </w:r>
      <w:r w:rsidR="00F272F3" w:rsidRPr="00AC4750">
        <w:rPr>
          <w:rFonts w:ascii="Times New Roman" w:hAnsi="Times New Roman" w:cs="Times New Roman"/>
          <w:b/>
          <w:sz w:val="20"/>
          <w:szCs w:val="20"/>
        </w:rPr>
        <w:t xml:space="preserve">of </w:t>
      </w:r>
      <w:r w:rsidRPr="00AC4750">
        <w:rPr>
          <w:rFonts w:ascii="Times New Roman" w:hAnsi="Times New Roman" w:cs="Times New Roman"/>
          <w:b/>
          <w:sz w:val="20"/>
          <w:szCs w:val="20"/>
        </w:rPr>
        <w:t>international organizations to co</w:t>
      </w:r>
      <w:r w:rsidR="00F013FE" w:rsidRPr="00AC4750">
        <w:rPr>
          <w:rFonts w:ascii="Times New Roman" w:hAnsi="Times New Roman" w:cs="Times New Roman"/>
          <w:b/>
          <w:sz w:val="20"/>
          <w:szCs w:val="20"/>
        </w:rPr>
        <w:t>-</w:t>
      </w:r>
      <w:r w:rsidRPr="00AC4750">
        <w:rPr>
          <w:rFonts w:ascii="Times New Roman" w:hAnsi="Times New Roman" w:cs="Times New Roman"/>
          <w:b/>
          <w:sz w:val="20"/>
          <w:szCs w:val="20"/>
        </w:rPr>
        <w:t>operate and to attain competitiveness?</w:t>
      </w:r>
    </w:p>
    <w:p w:rsidR="00930515" w:rsidRPr="00AC4750" w:rsidRDefault="0068549B"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OECD</w:t>
      </w:r>
      <w:r w:rsidRPr="00AC4750">
        <w:rPr>
          <w:rStyle w:val="EndnoteReference"/>
          <w:rFonts w:ascii="Times New Roman" w:hAnsi="Times New Roman" w:cs="Times New Roman"/>
          <w:sz w:val="20"/>
          <w:szCs w:val="20"/>
        </w:rPr>
        <w:endnoteReference w:id="19"/>
      </w:r>
      <w:r w:rsidRPr="00AC4750">
        <w:rPr>
          <w:rFonts w:ascii="Times New Roman" w:hAnsi="Times New Roman" w:cs="Times New Roman"/>
          <w:sz w:val="20"/>
          <w:szCs w:val="20"/>
        </w:rPr>
        <w:t>, UNCTAD</w:t>
      </w:r>
      <w:r w:rsidRPr="00AC4750">
        <w:rPr>
          <w:rStyle w:val="EndnoteReference"/>
          <w:rFonts w:ascii="Times New Roman" w:hAnsi="Times New Roman" w:cs="Times New Roman"/>
          <w:sz w:val="20"/>
          <w:szCs w:val="20"/>
        </w:rPr>
        <w:endnoteReference w:id="20"/>
      </w:r>
      <w:r w:rsidRPr="00AC4750">
        <w:rPr>
          <w:rFonts w:ascii="Times New Roman" w:hAnsi="Times New Roman" w:cs="Times New Roman"/>
          <w:sz w:val="20"/>
          <w:szCs w:val="20"/>
        </w:rPr>
        <w:t xml:space="preserve"> and ICN</w:t>
      </w:r>
      <w:r w:rsidRPr="00AC4750">
        <w:rPr>
          <w:rStyle w:val="EndnoteReference"/>
          <w:rFonts w:ascii="Times New Roman" w:hAnsi="Times New Roman" w:cs="Times New Roman"/>
          <w:sz w:val="20"/>
          <w:szCs w:val="20"/>
        </w:rPr>
        <w:endnoteReference w:id="21"/>
      </w:r>
      <w:r w:rsidRPr="00AC4750">
        <w:rPr>
          <w:rFonts w:ascii="Times New Roman" w:hAnsi="Times New Roman" w:cs="Times New Roman"/>
          <w:sz w:val="20"/>
          <w:szCs w:val="20"/>
        </w:rPr>
        <w:t xml:space="preserve"> are playing important role to cooperate for the enforcement and development of competition law. The Organization for Economic Cooperation and Development (‘the OECD’) is active in matters of competition policy.</w:t>
      </w:r>
      <w:r w:rsidRPr="00AC4750">
        <w:rPr>
          <w:rStyle w:val="EndnoteReference"/>
          <w:rFonts w:ascii="Times New Roman" w:hAnsi="Times New Roman" w:cs="Times New Roman"/>
          <w:sz w:val="20"/>
          <w:szCs w:val="20"/>
        </w:rPr>
        <w:endnoteReference w:id="22"/>
      </w:r>
      <w:r w:rsidRPr="00AC4750">
        <w:rPr>
          <w:rFonts w:ascii="Times New Roman" w:hAnsi="Times New Roman" w:cs="Times New Roman"/>
          <w:sz w:val="20"/>
          <w:szCs w:val="20"/>
        </w:rPr>
        <w:t xml:space="preserve"> In 1995 it published a Revised Recommendation Concerning Cooperation between Member Countries on Restrictive Business Practices Affecting International Trade</w:t>
      </w:r>
      <w:r w:rsidRPr="00AC4750">
        <w:rPr>
          <w:rStyle w:val="EndnoteReference"/>
          <w:rFonts w:ascii="Times New Roman" w:hAnsi="Times New Roman" w:cs="Times New Roman"/>
          <w:b/>
          <w:sz w:val="20"/>
          <w:szCs w:val="20"/>
        </w:rPr>
        <w:endnoteReference w:id="23"/>
      </w:r>
      <w:r w:rsidRPr="00AC4750">
        <w:rPr>
          <w:rFonts w:ascii="Times New Roman" w:hAnsi="Times New Roman" w:cs="Times New Roman"/>
          <w:b/>
          <w:sz w:val="20"/>
          <w:szCs w:val="20"/>
        </w:rPr>
        <w:t xml:space="preserve"> </w:t>
      </w:r>
      <w:r w:rsidRPr="00AC4750">
        <w:rPr>
          <w:rFonts w:ascii="Times New Roman" w:hAnsi="Times New Roman" w:cs="Times New Roman"/>
          <w:sz w:val="20"/>
          <w:szCs w:val="20"/>
        </w:rPr>
        <w:t>which provides further notification, consultation and cooperation in competition law cases involving the legitimate interest of foreign Governments; this Recommendation replaced an earlier one of 1986.</w:t>
      </w:r>
    </w:p>
    <w:p w:rsidR="0068549B" w:rsidRPr="00AC4750" w:rsidRDefault="0068549B"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t>Whether patent monopoly increases competitiveness?</w:t>
      </w:r>
    </w:p>
    <w:p w:rsidR="0068549B" w:rsidRDefault="0068549B" w:rsidP="00C71881">
      <w:pPr>
        <w:adjustRightInd w:val="0"/>
        <w:snapToGrid w:val="0"/>
        <w:spacing w:after="0" w:line="240" w:lineRule="auto"/>
        <w:ind w:firstLine="425"/>
        <w:jc w:val="both"/>
        <w:rPr>
          <w:rFonts w:ascii="Times New Roman" w:hAnsi="Times New Roman" w:cs="Times New Roman" w:hint="eastAsia"/>
          <w:sz w:val="20"/>
          <w:szCs w:val="20"/>
          <w:lang w:eastAsia="zh-CN"/>
        </w:rPr>
      </w:pPr>
      <w:r w:rsidRPr="00AC4750">
        <w:rPr>
          <w:rFonts w:ascii="Times New Roman" w:hAnsi="Times New Roman" w:cs="Times New Roman"/>
          <w:sz w:val="20"/>
          <w:szCs w:val="20"/>
        </w:rPr>
        <w:t>Patent monopoly and competition policy are two ways to attain the same objectives i.e. the economic and scientific development of society.</w:t>
      </w:r>
      <w:r w:rsidRPr="00AC4750">
        <w:rPr>
          <w:rStyle w:val="EndnoteReference"/>
          <w:rFonts w:ascii="Times New Roman" w:hAnsi="Times New Roman" w:cs="Times New Roman"/>
          <w:sz w:val="20"/>
          <w:szCs w:val="20"/>
        </w:rPr>
        <w:endnoteReference w:id="24"/>
      </w:r>
      <w:r w:rsidRPr="00AC4750">
        <w:rPr>
          <w:rFonts w:ascii="Times New Roman" w:hAnsi="Times New Roman" w:cs="Times New Roman"/>
          <w:sz w:val="20"/>
          <w:szCs w:val="20"/>
        </w:rPr>
        <w:t xml:space="preserve"> But patent monopoly affects the competition and decreases the competitiveness when patent monopoly is abused.</w:t>
      </w:r>
      <w:r w:rsidRPr="00AC4750">
        <w:rPr>
          <w:rStyle w:val="EndnoteReference"/>
          <w:rFonts w:ascii="Times New Roman" w:hAnsi="Times New Roman" w:cs="Times New Roman"/>
          <w:sz w:val="20"/>
          <w:szCs w:val="20"/>
        </w:rPr>
        <w:endnoteReference w:id="25"/>
      </w:r>
      <w:r w:rsidRPr="00AC4750">
        <w:rPr>
          <w:rFonts w:ascii="Times New Roman" w:hAnsi="Times New Roman" w:cs="Times New Roman"/>
          <w:sz w:val="20"/>
          <w:szCs w:val="20"/>
        </w:rPr>
        <w:t xml:space="preserve"> However under </w:t>
      </w:r>
      <w:r w:rsidRPr="00AC4750">
        <w:rPr>
          <w:rFonts w:ascii="Times New Roman" w:hAnsi="Times New Roman" w:cs="Times New Roman"/>
          <w:b/>
          <w:i/>
          <w:sz w:val="20"/>
          <w:szCs w:val="20"/>
        </w:rPr>
        <w:t>Section 140</w:t>
      </w:r>
      <w:r w:rsidRPr="00AC4750">
        <w:rPr>
          <w:rStyle w:val="EndnoteReference"/>
          <w:rFonts w:ascii="Times New Roman" w:hAnsi="Times New Roman" w:cs="Times New Roman"/>
          <w:sz w:val="20"/>
          <w:szCs w:val="20"/>
        </w:rPr>
        <w:endnoteReference w:id="26"/>
      </w:r>
      <w:r w:rsidRPr="00AC4750">
        <w:rPr>
          <w:rFonts w:ascii="Times New Roman" w:hAnsi="Times New Roman" w:cs="Times New Roman"/>
          <w:sz w:val="20"/>
          <w:szCs w:val="20"/>
        </w:rPr>
        <w:t xml:space="preserve"> of the Patent Act, 1970 certain restrictive conditions should be avoided but this provision is not sufficient to completely prohibit the abuse of patent monopoly. </w:t>
      </w:r>
      <w:r w:rsidRPr="00AC4750">
        <w:rPr>
          <w:rFonts w:ascii="Times New Roman" w:hAnsi="Times New Roman" w:cs="Times New Roman"/>
          <w:b/>
          <w:i/>
          <w:sz w:val="20"/>
          <w:szCs w:val="20"/>
        </w:rPr>
        <w:t>Section 83(f)</w:t>
      </w:r>
      <w:r w:rsidRPr="00AC4750">
        <w:rPr>
          <w:rFonts w:ascii="Times New Roman" w:hAnsi="Times New Roman" w:cs="Times New Roman"/>
          <w:sz w:val="20"/>
          <w:szCs w:val="20"/>
        </w:rPr>
        <w:t xml:space="preserve"> of the Patent Act, 1970 ensures that the patent right is not abused by the patentee but what amounts abuse of patent monopoly which affects the competition, is a </w:t>
      </w:r>
      <w:proofErr w:type="spellStart"/>
      <w:r w:rsidRPr="00AC4750">
        <w:rPr>
          <w:rFonts w:ascii="Times New Roman" w:hAnsi="Times New Roman" w:cs="Times New Roman"/>
          <w:sz w:val="20"/>
          <w:szCs w:val="20"/>
        </w:rPr>
        <w:t>though</w:t>
      </w:r>
      <w:proofErr w:type="spellEnd"/>
      <w:r w:rsidRPr="00AC4750">
        <w:rPr>
          <w:rFonts w:ascii="Times New Roman" w:hAnsi="Times New Roman" w:cs="Times New Roman"/>
          <w:sz w:val="20"/>
          <w:szCs w:val="20"/>
        </w:rPr>
        <w:t xml:space="preserve"> job before Competition Commission of India to identify. Henceforth, the writer suggests that in case of interface between patent monopoly and competition policy regarding abuse of patent monopoly, competition policy</w:t>
      </w:r>
      <w:r w:rsidRPr="00AC4750">
        <w:rPr>
          <w:rStyle w:val="EndnoteReference"/>
          <w:rFonts w:ascii="Times New Roman" w:hAnsi="Times New Roman" w:cs="Times New Roman"/>
          <w:sz w:val="20"/>
          <w:szCs w:val="20"/>
        </w:rPr>
        <w:endnoteReference w:id="27"/>
      </w:r>
      <w:r w:rsidRPr="00AC4750">
        <w:rPr>
          <w:rFonts w:ascii="Times New Roman" w:hAnsi="Times New Roman" w:cs="Times New Roman"/>
          <w:sz w:val="20"/>
          <w:szCs w:val="20"/>
        </w:rPr>
        <w:t xml:space="preserve"> should be applied. Under following circumstances abuse of patent monopoly decreases competitiveness:</w:t>
      </w:r>
    </w:p>
    <w:p w:rsidR="00C71881" w:rsidRPr="00AC4750" w:rsidRDefault="00C71881" w:rsidP="00C71881">
      <w:pPr>
        <w:adjustRightInd w:val="0"/>
        <w:snapToGrid w:val="0"/>
        <w:spacing w:after="0" w:line="240" w:lineRule="auto"/>
        <w:ind w:firstLine="425"/>
        <w:jc w:val="both"/>
        <w:rPr>
          <w:rFonts w:ascii="Times New Roman" w:hAnsi="Times New Roman" w:cs="Times New Roman" w:hint="eastAsia"/>
          <w:sz w:val="20"/>
          <w:szCs w:val="20"/>
          <w:lang w:eastAsia="zh-CN"/>
        </w:rPr>
      </w:pPr>
    </w:p>
    <w:p w:rsidR="0068549B" w:rsidRPr="00AC4750" w:rsidRDefault="0068549B" w:rsidP="00C71881">
      <w:pPr>
        <w:pStyle w:val="ListParagraph"/>
        <w:numPr>
          <w:ilvl w:val="0"/>
          <w:numId w:val="9"/>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 xml:space="preserve">If patentee imposes unreasonable </w:t>
      </w:r>
      <w:r w:rsidR="00503D5E" w:rsidRPr="00AC4750">
        <w:rPr>
          <w:rFonts w:ascii="Times New Roman" w:hAnsi="Times New Roman" w:cs="Times New Roman"/>
          <w:sz w:val="20"/>
          <w:szCs w:val="20"/>
        </w:rPr>
        <w:t>conditions while granting licens</w:t>
      </w:r>
      <w:r w:rsidRPr="00AC4750">
        <w:rPr>
          <w:rFonts w:ascii="Times New Roman" w:hAnsi="Times New Roman" w:cs="Times New Roman"/>
          <w:sz w:val="20"/>
          <w:szCs w:val="20"/>
        </w:rPr>
        <w:t>e.</w:t>
      </w:r>
    </w:p>
    <w:p w:rsidR="0068549B" w:rsidRPr="00AC4750" w:rsidRDefault="0068549B" w:rsidP="00C71881">
      <w:pPr>
        <w:pStyle w:val="ListParagraph"/>
        <w:numPr>
          <w:ilvl w:val="0"/>
          <w:numId w:val="9"/>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If patentee refuses to give the license without any justifiable reason.</w:t>
      </w:r>
    </w:p>
    <w:p w:rsidR="0068549B" w:rsidRPr="00AC4750" w:rsidRDefault="0068549B" w:rsidP="00C71881">
      <w:pPr>
        <w:pStyle w:val="ListParagraph"/>
        <w:numPr>
          <w:ilvl w:val="0"/>
          <w:numId w:val="9"/>
        </w:numPr>
        <w:adjustRightInd w:val="0"/>
        <w:snapToGrid w:val="0"/>
        <w:spacing w:after="0" w:line="240" w:lineRule="auto"/>
        <w:ind w:left="0" w:firstLine="425"/>
        <w:contextualSpacing w:val="0"/>
        <w:jc w:val="both"/>
        <w:rPr>
          <w:rFonts w:ascii="Times New Roman" w:hAnsi="Times New Roman" w:cs="Times New Roman"/>
          <w:sz w:val="20"/>
          <w:szCs w:val="20"/>
        </w:rPr>
      </w:pPr>
      <w:r w:rsidRPr="00AC4750">
        <w:rPr>
          <w:rFonts w:ascii="Times New Roman" w:hAnsi="Times New Roman" w:cs="Times New Roman"/>
          <w:sz w:val="20"/>
          <w:szCs w:val="20"/>
        </w:rPr>
        <w:t>If patentee charges high prices for the patented product.</w:t>
      </w:r>
      <w:r w:rsidR="00C71881">
        <w:rPr>
          <w:rFonts w:ascii="Times New Roman" w:hAnsi="Times New Roman" w:cs="Times New Roman"/>
          <w:sz w:val="20"/>
          <w:szCs w:val="20"/>
        </w:rPr>
        <w:t xml:space="preserve"> </w:t>
      </w:r>
      <w:r w:rsidR="008557C2" w:rsidRPr="00AC4750">
        <w:rPr>
          <w:rFonts w:ascii="Times New Roman" w:hAnsi="Times New Roman" w:cs="Times New Roman"/>
          <w:sz w:val="20"/>
          <w:szCs w:val="20"/>
        </w:rPr>
        <w:t>(See.</w:t>
      </w:r>
      <w:r w:rsidR="00C71881">
        <w:rPr>
          <w:rFonts w:ascii="Times New Roman" w:hAnsi="Times New Roman" w:cs="Times New Roman" w:hint="eastAsia"/>
          <w:sz w:val="20"/>
          <w:szCs w:val="20"/>
          <w:lang w:eastAsia="zh-CN"/>
        </w:rPr>
        <w:t xml:space="preserve"> </w:t>
      </w:r>
      <w:r w:rsidR="008557C2" w:rsidRPr="00AC4750">
        <w:rPr>
          <w:rFonts w:ascii="Times New Roman" w:hAnsi="Times New Roman" w:cs="Times New Roman"/>
          <w:sz w:val="20"/>
          <w:szCs w:val="20"/>
        </w:rPr>
        <w:t>Fig.1</w:t>
      </w:r>
      <w:r w:rsidR="00930515" w:rsidRPr="00AC4750">
        <w:rPr>
          <w:rFonts w:ascii="Times New Roman" w:hAnsi="Times New Roman" w:cs="Times New Roman"/>
          <w:sz w:val="20"/>
          <w:szCs w:val="20"/>
        </w:rPr>
        <w:t>)</w:t>
      </w:r>
      <w:r w:rsidR="00C71881">
        <w:rPr>
          <w:rFonts w:ascii="Times New Roman" w:hAnsi="Times New Roman" w:cs="Times New Roman" w:hint="eastAsia"/>
          <w:sz w:val="20"/>
          <w:szCs w:val="20"/>
          <w:lang w:eastAsia="zh-CN"/>
        </w:rPr>
        <w:t>.</w:t>
      </w:r>
    </w:p>
    <w:p w:rsidR="0068549B" w:rsidRDefault="0068549B" w:rsidP="00C71881">
      <w:pPr>
        <w:pStyle w:val="ListParagraph"/>
        <w:adjustRightInd w:val="0"/>
        <w:snapToGrid w:val="0"/>
        <w:spacing w:after="0" w:line="240" w:lineRule="auto"/>
        <w:ind w:left="0" w:firstLine="425"/>
        <w:contextualSpacing w:val="0"/>
        <w:jc w:val="both"/>
        <w:rPr>
          <w:rFonts w:ascii="Times New Roman" w:hAnsi="Times New Roman" w:cs="Times New Roman" w:hint="eastAsia"/>
          <w:sz w:val="20"/>
          <w:szCs w:val="20"/>
          <w:lang w:eastAsia="zh-CN"/>
        </w:rPr>
      </w:pPr>
    </w:p>
    <w:p w:rsidR="00C71881" w:rsidRDefault="00C71881" w:rsidP="00C71881">
      <w:pPr>
        <w:adjustRightInd w:val="0"/>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This is</w:t>
      </w:r>
      <w:r w:rsidRPr="00AC4750">
        <w:rPr>
          <w:rFonts w:ascii="Times New Roman" w:hAnsi="Times New Roman" w:cs="Times New Roman"/>
          <w:sz w:val="20"/>
          <w:szCs w:val="20"/>
        </w:rPr>
        <w:t xml:space="preserve"> one of the examples of abuse of patent monopoly and this affects the economic efficiency and </w:t>
      </w:r>
      <w:r w:rsidRPr="00AC4750">
        <w:rPr>
          <w:rFonts w:ascii="Times New Roman" w:hAnsi="Times New Roman" w:cs="Times New Roman"/>
          <w:sz w:val="20"/>
          <w:szCs w:val="20"/>
        </w:rPr>
        <w:lastRenderedPageBreak/>
        <w:t>competition. The patent monopolist may charge unreasonable prices by regulating the quantity of patented products and generates more profit.</w:t>
      </w:r>
    </w:p>
    <w:p w:rsidR="00C71881" w:rsidRPr="00AC4750" w:rsidRDefault="00C71881" w:rsidP="00C71881">
      <w:pPr>
        <w:pStyle w:val="ListParagraph"/>
        <w:adjustRightInd w:val="0"/>
        <w:snapToGrid w:val="0"/>
        <w:spacing w:after="0" w:line="240" w:lineRule="auto"/>
        <w:ind w:left="0" w:firstLine="425"/>
        <w:contextualSpacing w:val="0"/>
        <w:jc w:val="both"/>
        <w:rPr>
          <w:rFonts w:ascii="Times New Roman" w:hAnsi="Times New Roman" w:cs="Times New Roman" w:hint="eastAsia"/>
          <w:sz w:val="20"/>
          <w:szCs w:val="20"/>
          <w:lang w:eastAsia="zh-CN"/>
        </w:rPr>
      </w:pPr>
    </w:p>
    <w:p w:rsidR="00503D5E" w:rsidRPr="00AC4750" w:rsidRDefault="00001F5A" w:rsidP="00C71881">
      <w:pPr>
        <w:pStyle w:val="ListParagraph"/>
        <w:adjustRightInd w:val="0"/>
        <w:snapToGrid w:val="0"/>
        <w:spacing w:after="0" w:line="240" w:lineRule="auto"/>
        <w:ind w:left="0"/>
        <w:contextualSpacing w:val="0"/>
        <w:jc w:val="center"/>
        <w:rPr>
          <w:rFonts w:ascii="Times New Roman" w:hAnsi="Times New Roman" w:cs="Times New Roman"/>
          <w:sz w:val="20"/>
          <w:szCs w:val="20"/>
        </w:rPr>
      </w:pPr>
      <w:r w:rsidRPr="00AC4750">
        <w:rPr>
          <w:rFonts w:ascii="Times New Roman" w:hAnsi="Times New Roman" w:cs="Times New Roman"/>
          <w:noProof/>
          <w:sz w:val="20"/>
          <w:szCs w:val="20"/>
          <w:lang w:eastAsia="zh-CN" w:bidi="ar-SA"/>
        </w:rPr>
        <w:drawing>
          <wp:inline distT="0" distB="0" distL="0" distR="0">
            <wp:extent cx="2139065" cy="2687541"/>
            <wp:effectExtent l="19050" t="0" r="0" b="0"/>
            <wp:docPr id="1" name="Picture 1" descr="C:\Users\vijay\AppData\Local\Microsoft\Windows\Temporary Internet Files\Low\Content.IE5\X3V45VS4\Vijay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jay\AppData\Local\Microsoft\Windows\Temporary Internet Files\Low\Content.IE5\X3V45VS4\Vijay_Image[1].jpg"/>
                    <pic:cNvPicPr>
                      <a:picLocks noChangeAspect="1" noChangeArrowheads="1"/>
                    </pic:cNvPicPr>
                  </pic:nvPicPr>
                  <pic:blipFill>
                    <a:blip r:embed="rId14" cstate="print"/>
                    <a:srcRect/>
                    <a:stretch>
                      <a:fillRect/>
                    </a:stretch>
                  </pic:blipFill>
                  <pic:spPr bwMode="auto">
                    <a:xfrm>
                      <a:off x="0" y="0"/>
                      <a:ext cx="2150902" cy="2702414"/>
                    </a:xfrm>
                    <a:prstGeom prst="rect">
                      <a:avLst/>
                    </a:prstGeom>
                    <a:noFill/>
                    <a:ln w="9525">
                      <a:noFill/>
                      <a:miter lim="800000"/>
                      <a:headEnd/>
                      <a:tailEnd/>
                    </a:ln>
                  </pic:spPr>
                </pic:pic>
              </a:graphicData>
            </a:graphic>
          </wp:inline>
        </w:drawing>
      </w:r>
    </w:p>
    <w:p w:rsidR="00503D5E" w:rsidRDefault="008557C2" w:rsidP="00C71881">
      <w:pPr>
        <w:pStyle w:val="Caption"/>
        <w:adjustRightInd w:val="0"/>
        <w:snapToGrid w:val="0"/>
        <w:spacing w:after="0"/>
        <w:jc w:val="center"/>
        <w:rPr>
          <w:rFonts w:ascii="Times New Roman" w:hAnsi="Times New Roman" w:cs="Times New Roman"/>
          <w:color w:val="auto"/>
          <w:sz w:val="20"/>
          <w:szCs w:val="20"/>
          <w:lang w:eastAsia="zh-CN"/>
        </w:rPr>
      </w:pPr>
      <w:r w:rsidRPr="00AC4750">
        <w:rPr>
          <w:rFonts w:ascii="Times New Roman" w:hAnsi="Times New Roman" w:cs="Times New Roman"/>
          <w:color w:val="auto"/>
          <w:sz w:val="20"/>
          <w:szCs w:val="20"/>
        </w:rPr>
        <w:t>Fig. 1</w:t>
      </w:r>
    </w:p>
    <w:p w:rsidR="00C71881" w:rsidRDefault="00C71881" w:rsidP="00C71881">
      <w:pPr>
        <w:adjustRightInd w:val="0"/>
        <w:snapToGrid w:val="0"/>
        <w:spacing w:after="0" w:line="240" w:lineRule="auto"/>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Figure 1.</w:t>
      </w:r>
      <w:proofErr w:type="gramEnd"/>
      <w:r>
        <w:rPr>
          <w:rFonts w:ascii="Times New Roman" w:hAnsi="Times New Roman" w:cs="Times New Roman" w:hint="eastAsia"/>
          <w:sz w:val="20"/>
          <w:szCs w:val="20"/>
          <w:lang w:eastAsia="zh-CN"/>
        </w:rPr>
        <w:t xml:space="preserve"> </w:t>
      </w:r>
      <w:proofErr w:type="gramStart"/>
      <w:r w:rsidRPr="00AC4750">
        <w:rPr>
          <w:rFonts w:ascii="Times New Roman" w:hAnsi="Times New Roman" w:cs="Times New Roman"/>
          <w:sz w:val="20"/>
          <w:szCs w:val="20"/>
        </w:rPr>
        <w:t>one</w:t>
      </w:r>
      <w:proofErr w:type="gramEnd"/>
      <w:r w:rsidRPr="00AC4750">
        <w:rPr>
          <w:rFonts w:ascii="Times New Roman" w:hAnsi="Times New Roman" w:cs="Times New Roman"/>
          <w:sz w:val="20"/>
          <w:szCs w:val="20"/>
        </w:rPr>
        <w:t xml:space="preserve"> of the examples of abuse of patent monopoly and this affects the economic efficiency and competition. The patent monopolist may charge unreasonable prices by regulating the quantity of patented products and generates more profit.</w:t>
      </w:r>
    </w:p>
    <w:p w:rsidR="00AC4750" w:rsidRPr="00AC4750" w:rsidRDefault="00AC4750" w:rsidP="00C71881">
      <w:pPr>
        <w:adjustRightInd w:val="0"/>
        <w:snapToGrid w:val="0"/>
        <w:spacing w:after="0" w:line="240" w:lineRule="auto"/>
        <w:jc w:val="both"/>
        <w:rPr>
          <w:rFonts w:ascii="Times New Roman" w:hAnsi="Times New Roman" w:cs="Times New Roman"/>
          <w:sz w:val="20"/>
          <w:szCs w:val="20"/>
          <w:lang w:eastAsia="zh-CN"/>
        </w:rPr>
      </w:pPr>
    </w:p>
    <w:p w:rsidR="0068549B" w:rsidRPr="00AC4750" w:rsidRDefault="0068549B"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t>Attaining competitiveness by applying the rule of reason or per se rule:</w:t>
      </w:r>
    </w:p>
    <w:p w:rsidR="00824115" w:rsidRPr="00AC4750" w:rsidRDefault="0068549B"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Competitiveness may be attained only when competition law is interpreted and enforced properly. The rules for determining the impact of anti-competitive conduct on fair markets are the ‘</w:t>
      </w:r>
      <w:r w:rsidRPr="00AC4750">
        <w:rPr>
          <w:rFonts w:ascii="Times New Roman" w:hAnsi="Times New Roman" w:cs="Times New Roman"/>
          <w:b/>
          <w:i/>
          <w:sz w:val="20"/>
          <w:szCs w:val="20"/>
        </w:rPr>
        <w:t>rule of reason’</w:t>
      </w:r>
      <w:r w:rsidRPr="00AC4750">
        <w:rPr>
          <w:rFonts w:ascii="Times New Roman" w:hAnsi="Times New Roman" w:cs="Times New Roman"/>
          <w:sz w:val="20"/>
          <w:szCs w:val="20"/>
        </w:rPr>
        <w:t xml:space="preserve"> and </w:t>
      </w:r>
      <w:r w:rsidRPr="00AC4750">
        <w:rPr>
          <w:rFonts w:ascii="Times New Roman" w:hAnsi="Times New Roman" w:cs="Times New Roman"/>
          <w:b/>
          <w:i/>
          <w:sz w:val="20"/>
          <w:szCs w:val="20"/>
        </w:rPr>
        <w:t>‘per se rule’</w:t>
      </w:r>
      <w:r w:rsidRPr="00AC4750">
        <w:rPr>
          <w:rFonts w:ascii="Times New Roman" w:hAnsi="Times New Roman" w:cs="Times New Roman"/>
          <w:sz w:val="20"/>
          <w:szCs w:val="20"/>
        </w:rPr>
        <w:t>.</w:t>
      </w:r>
      <w:r w:rsidRPr="00AC4750">
        <w:rPr>
          <w:rStyle w:val="EndnoteReference"/>
          <w:rFonts w:ascii="Times New Roman" w:hAnsi="Times New Roman" w:cs="Times New Roman"/>
          <w:sz w:val="20"/>
          <w:szCs w:val="20"/>
        </w:rPr>
        <w:endnoteReference w:id="28"/>
      </w:r>
      <w:r w:rsidRPr="00AC4750">
        <w:rPr>
          <w:rFonts w:ascii="Times New Roman" w:hAnsi="Times New Roman" w:cs="Times New Roman"/>
          <w:sz w:val="20"/>
          <w:szCs w:val="20"/>
        </w:rPr>
        <w:t xml:space="preserve"> The rule of reason</w:t>
      </w:r>
      <w:r w:rsidRPr="00AC4750">
        <w:rPr>
          <w:rStyle w:val="EndnoteReference"/>
          <w:rFonts w:ascii="Times New Roman" w:hAnsi="Times New Roman" w:cs="Times New Roman"/>
          <w:sz w:val="20"/>
          <w:szCs w:val="20"/>
        </w:rPr>
        <w:endnoteReference w:id="29"/>
      </w:r>
      <w:r w:rsidRPr="00AC4750">
        <w:rPr>
          <w:rFonts w:ascii="Times New Roman" w:hAnsi="Times New Roman" w:cs="Times New Roman"/>
          <w:sz w:val="20"/>
          <w:szCs w:val="20"/>
        </w:rPr>
        <w:t xml:space="preserve"> in examining the legality of restraints on trade was explained by the </w:t>
      </w:r>
      <w:r w:rsidRPr="00AC4750">
        <w:rPr>
          <w:rFonts w:ascii="Times New Roman" w:hAnsi="Times New Roman" w:cs="Times New Roman"/>
          <w:b/>
          <w:i/>
          <w:sz w:val="20"/>
          <w:szCs w:val="20"/>
        </w:rPr>
        <w:t>US Supreme Cour</w:t>
      </w:r>
      <w:r w:rsidR="00503D5E" w:rsidRPr="00AC4750">
        <w:rPr>
          <w:rFonts w:ascii="Times New Roman" w:hAnsi="Times New Roman" w:cs="Times New Roman"/>
          <w:b/>
          <w:i/>
          <w:sz w:val="20"/>
          <w:szCs w:val="20"/>
        </w:rPr>
        <w:t xml:space="preserve">t in Board of Trade of City of </w:t>
      </w:r>
      <w:r w:rsidRPr="00AC4750">
        <w:rPr>
          <w:rFonts w:ascii="Times New Roman" w:hAnsi="Times New Roman" w:cs="Times New Roman"/>
          <w:b/>
          <w:i/>
          <w:sz w:val="20"/>
          <w:szCs w:val="20"/>
        </w:rPr>
        <w:t>Chicago v. US</w:t>
      </w:r>
      <w:r w:rsidRPr="00AC4750">
        <w:rPr>
          <w:rStyle w:val="EndnoteReference"/>
          <w:rFonts w:ascii="Times New Roman" w:hAnsi="Times New Roman" w:cs="Times New Roman"/>
          <w:i/>
          <w:sz w:val="20"/>
          <w:szCs w:val="20"/>
        </w:rPr>
        <w:endnoteReference w:id="30"/>
      </w:r>
      <w:r w:rsidRPr="00AC4750">
        <w:rPr>
          <w:rFonts w:ascii="Times New Roman" w:hAnsi="Times New Roman" w:cs="Times New Roman"/>
          <w:i/>
          <w:sz w:val="20"/>
          <w:szCs w:val="20"/>
        </w:rPr>
        <w:t>.</w:t>
      </w:r>
    </w:p>
    <w:p w:rsidR="0068549B" w:rsidRPr="00AC4750" w:rsidRDefault="00824115"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 xml:space="preserve">In </w:t>
      </w:r>
      <w:r w:rsidRPr="00AC4750">
        <w:rPr>
          <w:rFonts w:ascii="Times New Roman" w:hAnsi="Times New Roman" w:cs="Times New Roman"/>
          <w:b/>
          <w:i/>
          <w:sz w:val="20"/>
          <w:szCs w:val="20"/>
        </w:rPr>
        <w:t xml:space="preserve">United States v. </w:t>
      </w:r>
      <w:proofErr w:type="spellStart"/>
      <w:r w:rsidRPr="00AC4750">
        <w:rPr>
          <w:rFonts w:ascii="Times New Roman" w:hAnsi="Times New Roman" w:cs="Times New Roman"/>
          <w:b/>
          <w:i/>
          <w:sz w:val="20"/>
          <w:szCs w:val="20"/>
        </w:rPr>
        <w:t>Socony</w:t>
      </w:r>
      <w:proofErr w:type="spellEnd"/>
      <w:r w:rsidRPr="00AC4750">
        <w:rPr>
          <w:rFonts w:ascii="Times New Roman" w:hAnsi="Times New Roman" w:cs="Times New Roman"/>
          <w:b/>
          <w:i/>
          <w:sz w:val="20"/>
          <w:szCs w:val="20"/>
        </w:rPr>
        <w:t>-Vacuum Oil Co</w:t>
      </w:r>
      <w:r w:rsidRPr="00AC4750">
        <w:rPr>
          <w:rFonts w:ascii="Times New Roman" w:hAnsi="Times New Roman" w:cs="Times New Roman"/>
          <w:sz w:val="20"/>
          <w:szCs w:val="20"/>
        </w:rPr>
        <w:t>.</w:t>
      </w:r>
      <w:r w:rsidRPr="00AC4750">
        <w:rPr>
          <w:rStyle w:val="EndnoteReference"/>
          <w:rFonts w:ascii="Times New Roman" w:hAnsi="Times New Roman" w:cs="Times New Roman"/>
          <w:sz w:val="20"/>
          <w:szCs w:val="20"/>
        </w:rPr>
        <w:endnoteReference w:id="31"/>
      </w:r>
      <w:r w:rsidRPr="00AC4750">
        <w:rPr>
          <w:rFonts w:ascii="Times New Roman" w:hAnsi="Times New Roman" w:cs="Times New Roman"/>
          <w:sz w:val="20"/>
          <w:szCs w:val="20"/>
        </w:rPr>
        <w:t xml:space="preserve"> the defendants were convicted of conspiring to raise gasoline prices by buying up and removing from the market. The US court applied per se rule in this case.</w:t>
      </w:r>
      <w:r w:rsidR="00C71881">
        <w:rPr>
          <w:rFonts w:ascii="Times New Roman" w:hAnsi="Times New Roman" w:cs="Times New Roman"/>
          <w:sz w:val="20"/>
          <w:szCs w:val="20"/>
        </w:rPr>
        <w:t xml:space="preserve"> </w:t>
      </w:r>
      <w:r w:rsidR="0068549B" w:rsidRPr="00AC4750">
        <w:rPr>
          <w:rFonts w:ascii="Times New Roman" w:hAnsi="Times New Roman" w:cs="Times New Roman"/>
          <w:sz w:val="20"/>
          <w:szCs w:val="20"/>
        </w:rPr>
        <w:t xml:space="preserve">In India also the Supreme Court of India applied the ‘rule of reason’ in </w:t>
      </w:r>
      <w:r w:rsidR="0068549B" w:rsidRPr="00AC4750">
        <w:rPr>
          <w:rFonts w:ascii="Times New Roman" w:hAnsi="Times New Roman" w:cs="Times New Roman"/>
          <w:b/>
          <w:i/>
          <w:sz w:val="20"/>
          <w:szCs w:val="20"/>
        </w:rPr>
        <w:t>Tata Engineering and Locomotive Co. Ltd v. Registrar of Restrictive Trade Agreement</w:t>
      </w:r>
      <w:r w:rsidR="0068549B" w:rsidRPr="00AC4750">
        <w:rPr>
          <w:rStyle w:val="EndnoteReference"/>
          <w:rFonts w:ascii="Times New Roman" w:hAnsi="Times New Roman" w:cs="Times New Roman"/>
          <w:sz w:val="20"/>
          <w:szCs w:val="20"/>
        </w:rPr>
        <w:endnoteReference w:id="32"/>
      </w:r>
      <w:r w:rsidR="0068549B" w:rsidRPr="00AC4750">
        <w:rPr>
          <w:rFonts w:ascii="Times New Roman" w:hAnsi="Times New Roman" w:cs="Times New Roman"/>
          <w:sz w:val="20"/>
          <w:szCs w:val="20"/>
        </w:rPr>
        <w:t xml:space="preserve">. In this case the court stated that the decision whether trade practice is restrictive or not has to be arrived at by applying the rule of reason and not on the doctrine that any restriction as to area or price will per se be restrictive trade practice. However, after the judgment of this case by amendment of </w:t>
      </w:r>
      <w:r w:rsidR="0068549B" w:rsidRPr="00AC4750">
        <w:rPr>
          <w:rFonts w:ascii="Times New Roman" w:hAnsi="Times New Roman" w:cs="Times New Roman"/>
          <w:b/>
          <w:i/>
          <w:sz w:val="20"/>
          <w:szCs w:val="20"/>
        </w:rPr>
        <w:t>Section 33(1)</w:t>
      </w:r>
      <w:r w:rsidR="0068549B" w:rsidRPr="00AC4750">
        <w:rPr>
          <w:rFonts w:ascii="Times New Roman" w:hAnsi="Times New Roman" w:cs="Times New Roman"/>
          <w:sz w:val="20"/>
          <w:szCs w:val="20"/>
        </w:rPr>
        <w:t xml:space="preserve"> of MRTP Act in 1984, allocation of an area for the disposal of goods sold became a per se restrictive trade practice. </w:t>
      </w:r>
      <w:r w:rsidR="0068549B" w:rsidRPr="00AC4750">
        <w:rPr>
          <w:rFonts w:ascii="Times New Roman" w:hAnsi="Times New Roman" w:cs="Times New Roman"/>
          <w:b/>
          <w:i/>
          <w:sz w:val="20"/>
          <w:szCs w:val="20"/>
        </w:rPr>
        <w:t>Section 3(3</w:t>
      </w:r>
      <w:proofErr w:type="gramStart"/>
      <w:r w:rsidR="0068549B" w:rsidRPr="00AC4750">
        <w:rPr>
          <w:rFonts w:ascii="Times New Roman" w:hAnsi="Times New Roman" w:cs="Times New Roman"/>
          <w:b/>
          <w:i/>
          <w:sz w:val="20"/>
          <w:szCs w:val="20"/>
        </w:rPr>
        <w:t>)(</w:t>
      </w:r>
      <w:proofErr w:type="gramEnd"/>
      <w:r w:rsidR="0068549B" w:rsidRPr="00AC4750">
        <w:rPr>
          <w:rFonts w:ascii="Times New Roman" w:hAnsi="Times New Roman" w:cs="Times New Roman"/>
          <w:b/>
          <w:i/>
          <w:sz w:val="20"/>
          <w:szCs w:val="20"/>
        </w:rPr>
        <w:t>a</w:t>
      </w:r>
      <w:r w:rsidR="00EC4E04" w:rsidRPr="00AC4750">
        <w:rPr>
          <w:rFonts w:ascii="Times New Roman" w:hAnsi="Times New Roman" w:cs="Times New Roman"/>
          <w:b/>
          <w:i/>
          <w:sz w:val="20"/>
          <w:szCs w:val="20"/>
        </w:rPr>
        <w:t xml:space="preserve"> </w:t>
      </w:r>
      <w:proofErr w:type="spellStart"/>
      <w:r w:rsidR="0068549B" w:rsidRPr="00AC4750">
        <w:rPr>
          <w:rFonts w:ascii="Times New Roman" w:hAnsi="Times New Roman" w:cs="Times New Roman"/>
          <w:b/>
          <w:i/>
          <w:sz w:val="20"/>
          <w:szCs w:val="20"/>
        </w:rPr>
        <w:t>to</w:t>
      </w:r>
      <w:proofErr w:type="spellEnd"/>
      <w:r w:rsidR="0068549B" w:rsidRPr="00AC4750">
        <w:rPr>
          <w:rFonts w:ascii="Times New Roman" w:hAnsi="Times New Roman" w:cs="Times New Roman"/>
          <w:b/>
          <w:i/>
          <w:sz w:val="20"/>
          <w:szCs w:val="20"/>
        </w:rPr>
        <w:t xml:space="preserve"> d)</w:t>
      </w:r>
      <w:r w:rsidR="0068549B" w:rsidRPr="00AC4750">
        <w:rPr>
          <w:rStyle w:val="EndnoteReference"/>
          <w:rFonts w:ascii="Times New Roman" w:hAnsi="Times New Roman" w:cs="Times New Roman"/>
          <w:b/>
          <w:i/>
          <w:sz w:val="20"/>
          <w:szCs w:val="20"/>
        </w:rPr>
        <w:endnoteReference w:id="33"/>
      </w:r>
      <w:r w:rsidR="0068549B" w:rsidRPr="00AC4750">
        <w:rPr>
          <w:rFonts w:ascii="Times New Roman" w:hAnsi="Times New Roman" w:cs="Times New Roman"/>
          <w:sz w:val="20"/>
          <w:szCs w:val="20"/>
        </w:rPr>
        <w:t xml:space="preserve"> of the </w:t>
      </w:r>
      <w:r w:rsidR="0068549B" w:rsidRPr="00AC4750">
        <w:rPr>
          <w:rFonts w:ascii="Times New Roman" w:hAnsi="Times New Roman" w:cs="Times New Roman"/>
          <w:sz w:val="20"/>
          <w:szCs w:val="20"/>
        </w:rPr>
        <w:lastRenderedPageBreak/>
        <w:t xml:space="preserve">Competition Act, 2002 is based on ‘per se rule’. </w:t>
      </w:r>
      <w:r w:rsidR="0068549B" w:rsidRPr="00AC4750">
        <w:rPr>
          <w:rFonts w:ascii="Times New Roman" w:hAnsi="Times New Roman" w:cs="Times New Roman"/>
          <w:b/>
          <w:i/>
          <w:sz w:val="20"/>
          <w:szCs w:val="20"/>
        </w:rPr>
        <w:t>Section 3(4</w:t>
      </w:r>
      <w:proofErr w:type="gramStart"/>
      <w:r w:rsidR="0068549B" w:rsidRPr="00AC4750">
        <w:rPr>
          <w:rFonts w:ascii="Times New Roman" w:hAnsi="Times New Roman" w:cs="Times New Roman"/>
          <w:b/>
          <w:i/>
          <w:sz w:val="20"/>
          <w:szCs w:val="20"/>
        </w:rPr>
        <w:t>)(</w:t>
      </w:r>
      <w:proofErr w:type="gramEnd"/>
      <w:r w:rsidR="0068549B" w:rsidRPr="00AC4750">
        <w:rPr>
          <w:rFonts w:ascii="Times New Roman" w:hAnsi="Times New Roman" w:cs="Times New Roman"/>
          <w:b/>
          <w:i/>
          <w:sz w:val="20"/>
          <w:szCs w:val="20"/>
        </w:rPr>
        <w:t>a-e)</w:t>
      </w:r>
      <w:r w:rsidR="0068549B" w:rsidRPr="00AC4750">
        <w:rPr>
          <w:rFonts w:ascii="Times New Roman" w:hAnsi="Times New Roman" w:cs="Times New Roman"/>
          <w:sz w:val="20"/>
          <w:szCs w:val="20"/>
        </w:rPr>
        <w:t xml:space="preserve"> of the Competition Act, 2002 is based on ‘rule of reason’.</w:t>
      </w:r>
      <w:r w:rsidR="0068549B" w:rsidRPr="00AC4750">
        <w:rPr>
          <w:rStyle w:val="EndnoteReference"/>
          <w:rFonts w:ascii="Times New Roman" w:hAnsi="Times New Roman" w:cs="Times New Roman"/>
          <w:sz w:val="20"/>
          <w:szCs w:val="20"/>
        </w:rPr>
        <w:endnoteReference w:id="34"/>
      </w:r>
    </w:p>
    <w:p w:rsidR="0068549B" w:rsidRPr="00AC4750" w:rsidRDefault="0068549B" w:rsidP="00C71881">
      <w:pPr>
        <w:pStyle w:val="ListParagraph"/>
        <w:numPr>
          <w:ilvl w:val="0"/>
          <w:numId w:val="12"/>
        </w:numPr>
        <w:adjustRightInd w:val="0"/>
        <w:snapToGrid w:val="0"/>
        <w:spacing w:after="0" w:line="240" w:lineRule="auto"/>
        <w:ind w:left="0" w:firstLine="0"/>
        <w:contextualSpacing w:val="0"/>
        <w:jc w:val="both"/>
        <w:rPr>
          <w:rFonts w:ascii="Times New Roman" w:hAnsi="Times New Roman" w:cs="Times New Roman"/>
          <w:b/>
          <w:sz w:val="20"/>
          <w:szCs w:val="20"/>
        </w:rPr>
      </w:pPr>
      <w:r w:rsidRPr="00AC4750">
        <w:rPr>
          <w:rFonts w:ascii="Times New Roman" w:hAnsi="Times New Roman" w:cs="Times New Roman"/>
          <w:b/>
          <w:sz w:val="20"/>
          <w:szCs w:val="20"/>
        </w:rPr>
        <w:t>Abuse of dominant position eliminates competition</w:t>
      </w:r>
    </w:p>
    <w:p w:rsidR="006D678A" w:rsidRPr="00AC4750" w:rsidRDefault="0068549B"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 xml:space="preserve">Competitiveness comes through competition but abuse of dominant position kills competition. Regulatory provisions in this regard are </w:t>
      </w:r>
      <w:r w:rsidRPr="00AC4750">
        <w:rPr>
          <w:rFonts w:ascii="Times New Roman" w:hAnsi="Times New Roman" w:cs="Times New Roman"/>
          <w:b/>
          <w:i/>
          <w:sz w:val="20"/>
          <w:szCs w:val="20"/>
        </w:rPr>
        <w:t>Section 4</w:t>
      </w:r>
      <w:r w:rsidRPr="00AC4750">
        <w:rPr>
          <w:rStyle w:val="EndnoteReference"/>
          <w:rFonts w:ascii="Times New Roman" w:hAnsi="Times New Roman" w:cs="Times New Roman"/>
          <w:b/>
          <w:i/>
          <w:sz w:val="20"/>
          <w:szCs w:val="20"/>
        </w:rPr>
        <w:endnoteReference w:id="35"/>
      </w:r>
      <w:r w:rsidRPr="00AC4750">
        <w:rPr>
          <w:rFonts w:ascii="Times New Roman" w:hAnsi="Times New Roman" w:cs="Times New Roman"/>
          <w:sz w:val="20"/>
          <w:szCs w:val="20"/>
        </w:rPr>
        <w:t xml:space="preserve"> of the Competition Act, 2002 (in India), </w:t>
      </w:r>
      <w:r w:rsidRPr="00AC4750">
        <w:rPr>
          <w:rFonts w:ascii="Times New Roman" w:hAnsi="Times New Roman" w:cs="Times New Roman"/>
          <w:b/>
          <w:i/>
          <w:sz w:val="20"/>
          <w:szCs w:val="20"/>
        </w:rPr>
        <w:t>Article 82</w:t>
      </w:r>
      <w:r w:rsidRPr="00AC4750">
        <w:rPr>
          <w:rStyle w:val="EndnoteReference"/>
          <w:rFonts w:ascii="Times New Roman" w:hAnsi="Times New Roman" w:cs="Times New Roman"/>
          <w:sz w:val="20"/>
          <w:szCs w:val="20"/>
        </w:rPr>
        <w:endnoteReference w:id="36"/>
      </w:r>
      <w:r w:rsidRPr="00AC4750">
        <w:rPr>
          <w:rFonts w:ascii="Times New Roman" w:hAnsi="Times New Roman" w:cs="Times New Roman"/>
          <w:sz w:val="20"/>
          <w:szCs w:val="20"/>
        </w:rPr>
        <w:t xml:space="preserve"> (in European Communities) of the Treaty of Rome, 1957 and </w:t>
      </w:r>
      <w:r w:rsidRPr="00AC4750">
        <w:rPr>
          <w:rFonts w:ascii="Times New Roman" w:hAnsi="Times New Roman" w:cs="Times New Roman"/>
          <w:b/>
          <w:i/>
          <w:sz w:val="20"/>
          <w:szCs w:val="20"/>
        </w:rPr>
        <w:t>Section 2</w:t>
      </w:r>
      <w:r w:rsidRPr="00AC4750">
        <w:rPr>
          <w:rFonts w:ascii="Times New Roman" w:hAnsi="Times New Roman" w:cs="Times New Roman"/>
          <w:sz w:val="20"/>
          <w:szCs w:val="20"/>
        </w:rPr>
        <w:t xml:space="preserve"> of the Sherman Act, 1890 (in US).</w:t>
      </w:r>
      <w:r w:rsidR="00C71881">
        <w:rPr>
          <w:rFonts w:ascii="Times New Roman" w:hAnsi="Times New Roman" w:cs="Times New Roman"/>
          <w:sz w:val="20"/>
          <w:szCs w:val="20"/>
        </w:rPr>
        <w:t xml:space="preserve"> </w:t>
      </w:r>
      <w:r w:rsidRPr="00AC4750">
        <w:rPr>
          <w:rFonts w:ascii="Times New Roman" w:hAnsi="Times New Roman" w:cs="Times New Roman"/>
          <w:sz w:val="20"/>
          <w:szCs w:val="20"/>
        </w:rPr>
        <w:t xml:space="preserve">In </w:t>
      </w:r>
      <w:r w:rsidRPr="00AC4750">
        <w:rPr>
          <w:rFonts w:ascii="Times New Roman" w:hAnsi="Times New Roman" w:cs="Times New Roman"/>
          <w:b/>
          <w:i/>
          <w:sz w:val="20"/>
          <w:szCs w:val="20"/>
        </w:rPr>
        <w:t>United Brands</w:t>
      </w:r>
      <w:r w:rsidRPr="00AC4750">
        <w:rPr>
          <w:rStyle w:val="EndnoteReference"/>
          <w:rFonts w:ascii="Times New Roman" w:hAnsi="Times New Roman" w:cs="Times New Roman"/>
          <w:sz w:val="20"/>
          <w:szCs w:val="20"/>
        </w:rPr>
        <w:endnoteReference w:id="37"/>
      </w:r>
      <w:r w:rsidRPr="00AC4750">
        <w:rPr>
          <w:rFonts w:ascii="Times New Roman" w:hAnsi="Times New Roman" w:cs="Times New Roman"/>
          <w:sz w:val="20"/>
          <w:szCs w:val="20"/>
        </w:rPr>
        <w:t xml:space="preserve"> and </w:t>
      </w:r>
      <w:r w:rsidRPr="00AC4750">
        <w:rPr>
          <w:rFonts w:ascii="Times New Roman" w:hAnsi="Times New Roman" w:cs="Times New Roman"/>
          <w:b/>
          <w:i/>
          <w:sz w:val="20"/>
          <w:szCs w:val="20"/>
        </w:rPr>
        <w:t>Hoffmann- La</w:t>
      </w:r>
      <w:r w:rsidRPr="00AC4750">
        <w:rPr>
          <w:rFonts w:ascii="Times New Roman" w:hAnsi="Times New Roman" w:cs="Times New Roman"/>
          <w:sz w:val="20"/>
          <w:szCs w:val="20"/>
        </w:rPr>
        <w:t xml:space="preserve"> </w:t>
      </w:r>
      <w:r w:rsidRPr="00AC4750">
        <w:rPr>
          <w:rFonts w:ascii="Times New Roman" w:hAnsi="Times New Roman" w:cs="Times New Roman"/>
          <w:b/>
          <w:i/>
          <w:sz w:val="20"/>
          <w:szCs w:val="20"/>
        </w:rPr>
        <w:t>Roche</w:t>
      </w:r>
      <w:r w:rsidRPr="00AC4750">
        <w:rPr>
          <w:rStyle w:val="EndnoteReference"/>
          <w:rFonts w:ascii="Times New Roman" w:hAnsi="Times New Roman" w:cs="Times New Roman"/>
          <w:sz w:val="20"/>
          <w:szCs w:val="20"/>
        </w:rPr>
        <w:endnoteReference w:id="38"/>
      </w:r>
      <w:r w:rsidRPr="00AC4750">
        <w:rPr>
          <w:rFonts w:ascii="Times New Roman" w:hAnsi="Times New Roman" w:cs="Times New Roman"/>
          <w:sz w:val="20"/>
          <w:szCs w:val="20"/>
        </w:rPr>
        <w:t>, the European Court of Justice (ECJ) gave a definition of dominance that still stands today: a dominant position is a position of economic strength that enables a firm to prevent effective competition on the relevant market; a firm with a dominant position has the power “to behave to an appreciable extent independently of its competitors, its costumers and ultimately of its consumers.”</w:t>
      </w:r>
      <w:r w:rsidRPr="00AC4750">
        <w:rPr>
          <w:rStyle w:val="EndnoteReference"/>
          <w:rFonts w:ascii="Times New Roman" w:hAnsi="Times New Roman" w:cs="Times New Roman"/>
          <w:sz w:val="20"/>
          <w:szCs w:val="20"/>
        </w:rPr>
        <w:endnoteReference w:id="39"/>
      </w:r>
      <w:r w:rsidR="00C71881">
        <w:rPr>
          <w:rFonts w:ascii="Times New Roman" w:hAnsi="Times New Roman" w:cs="Times New Roman"/>
          <w:sz w:val="20"/>
          <w:szCs w:val="20"/>
        </w:rPr>
        <w:t xml:space="preserve"> </w:t>
      </w:r>
      <w:r w:rsidR="00640391" w:rsidRPr="00AC4750">
        <w:rPr>
          <w:rFonts w:ascii="Times New Roman" w:hAnsi="Times New Roman" w:cs="Times New Roman"/>
          <w:sz w:val="20"/>
          <w:szCs w:val="20"/>
        </w:rPr>
        <w:t>Hence, competitiveness through competition may be achieved when abuse of dominant position is regulated.</w:t>
      </w:r>
    </w:p>
    <w:p w:rsidR="000010B8" w:rsidRPr="00AC4750" w:rsidRDefault="000010B8" w:rsidP="00C71881">
      <w:pPr>
        <w:adjustRightInd w:val="0"/>
        <w:snapToGrid w:val="0"/>
        <w:spacing w:after="0" w:line="240" w:lineRule="auto"/>
        <w:jc w:val="both"/>
        <w:rPr>
          <w:rFonts w:ascii="Times New Roman" w:hAnsi="Times New Roman" w:cs="Times New Roman"/>
          <w:sz w:val="20"/>
          <w:szCs w:val="20"/>
        </w:rPr>
      </w:pPr>
    </w:p>
    <w:p w:rsidR="00D47654" w:rsidRPr="00AC4750" w:rsidRDefault="00AC4750" w:rsidP="00C71881">
      <w:pPr>
        <w:adjustRightInd w:val="0"/>
        <w:snapToGrid w:val="0"/>
        <w:spacing w:after="0" w:line="240" w:lineRule="auto"/>
        <w:jc w:val="both"/>
        <w:rPr>
          <w:rFonts w:ascii="Times New Roman" w:hAnsi="Times New Roman" w:cs="Times New Roman"/>
          <w:b/>
          <w:sz w:val="20"/>
          <w:szCs w:val="20"/>
        </w:rPr>
      </w:pPr>
      <w:r w:rsidRPr="00AC4750">
        <w:rPr>
          <w:rFonts w:ascii="Times New Roman" w:hAnsi="Times New Roman" w:cs="Times New Roman"/>
          <w:b/>
          <w:sz w:val="20"/>
          <w:szCs w:val="20"/>
        </w:rPr>
        <w:t xml:space="preserve">Conclusion </w:t>
      </w:r>
      <w:proofErr w:type="gramStart"/>
      <w:r w:rsidRPr="00AC4750">
        <w:rPr>
          <w:rFonts w:ascii="Times New Roman" w:hAnsi="Times New Roman" w:cs="Times New Roman"/>
          <w:b/>
          <w:sz w:val="20"/>
          <w:szCs w:val="20"/>
        </w:rPr>
        <w:t>And</w:t>
      </w:r>
      <w:proofErr w:type="gramEnd"/>
      <w:r w:rsidRPr="00AC4750">
        <w:rPr>
          <w:rFonts w:ascii="Times New Roman" w:hAnsi="Times New Roman" w:cs="Times New Roman"/>
          <w:b/>
          <w:sz w:val="20"/>
          <w:szCs w:val="20"/>
        </w:rPr>
        <w:t xml:space="preserve"> Suggestion</w:t>
      </w:r>
    </w:p>
    <w:p w:rsidR="00AA5109" w:rsidRPr="00AC4750" w:rsidRDefault="000010B8"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T</w:t>
      </w:r>
      <w:r w:rsidR="009058E5" w:rsidRPr="00AC4750">
        <w:rPr>
          <w:rFonts w:ascii="Times New Roman" w:hAnsi="Times New Roman" w:cs="Times New Roman"/>
          <w:sz w:val="20"/>
          <w:szCs w:val="20"/>
        </w:rPr>
        <w:t xml:space="preserve">he writer concludes that </w:t>
      </w:r>
      <w:r w:rsidR="00AA5109" w:rsidRPr="00AC4750">
        <w:rPr>
          <w:rFonts w:ascii="Times New Roman" w:hAnsi="Times New Roman" w:cs="Times New Roman"/>
          <w:sz w:val="20"/>
          <w:szCs w:val="20"/>
        </w:rPr>
        <w:t>attaining competitiveness through competition is the result of competition policy with the better understanding of economics. In the absence of or improper understanding of economics, competition policy cannot achieve its goal mentioned in the Preamble of The Competition Act, 2002.</w:t>
      </w:r>
    </w:p>
    <w:p w:rsidR="00E06611" w:rsidRPr="00AC4750" w:rsidRDefault="00560C4A" w:rsidP="00C71881">
      <w:pPr>
        <w:adjustRightInd w:val="0"/>
        <w:snapToGrid w:val="0"/>
        <w:spacing w:after="0" w:line="240" w:lineRule="auto"/>
        <w:ind w:firstLine="425"/>
        <w:jc w:val="both"/>
        <w:rPr>
          <w:rFonts w:ascii="Times New Roman" w:hAnsi="Times New Roman" w:cs="Times New Roman"/>
          <w:sz w:val="20"/>
          <w:szCs w:val="20"/>
        </w:rPr>
      </w:pPr>
      <w:r w:rsidRPr="00AC4750">
        <w:rPr>
          <w:rFonts w:ascii="Times New Roman" w:hAnsi="Times New Roman" w:cs="Times New Roman"/>
          <w:sz w:val="20"/>
          <w:szCs w:val="20"/>
        </w:rPr>
        <w:t xml:space="preserve">The writer’s views are suggestive rather than comprehensive and conclusive. </w:t>
      </w:r>
      <w:r w:rsidR="00AA5109" w:rsidRPr="00AC4750">
        <w:rPr>
          <w:rFonts w:ascii="Times New Roman" w:hAnsi="Times New Roman" w:cs="Times New Roman"/>
          <w:sz w:val="20"/>
          <w:szCs w:val="20"/>
        </w:rPr>
        <w:t>The writer suggests that with the deeper understanding of economics</w:t>
      </w:r>
      <w:r w:rsidRPr="00AC4750">
        <w:rPr>
          <w:rFonts w:ascii="Times New Roman" w:hAnsi="Times New Roman" w:cs="Times New Roman"/>
          <w:sz w:val="20"/>
          <w:szCs w:val="20"/>
        </w:rPr>
        <w:t xml:space="preserve"> to increase economic efficiency in trade</w:t>
      </w:r>
      <w:r w:rsidR="00AA5109" w:rsidRPr="00AC4750">
        <w:rPr>
          <w:rFonts w:ascii="Times New Roman" w:hAnsi="Times New Roman" w:cs="Times New Roman"/>
          <w:sz w:val="20"/>
          <w:szCs w:val="20"/>
        </w:rPr>
        <w:t xml:space="preserve">, the Competition Commission of India should also emphasize </w:t>
      </w:r>
      <w:r w:rsidR="004262AF" w:rsidRPr="00AC4750">
        <w:rPr>
          <w:rFonts w:ascii="Times New Roman" w:hAnsi="Times New Roman" w:cs="Times New Roman"/>
          <w:sz w:val="20"/>
          <w:szCs w:val="20"/>
        </w:rPr>
        <w:t xml:space="preserve">on the enforcement part and particularly on extraterritorial enforcement jurisdiction of Competition law. The writer strongly suggests that India (like US, EU and Canada) should also enter into </w:t>
      </w:r>
      <w:r w:rsidR="004262AF" w:rsidRPr="00AC4750">
        <w:rPr>
          <w:rFonts w:ascii="Times New Roman" w:hAnsi="Times New Roman" w:cs="Times New Roman"/>
          <w:b/>
          <w:i/>
          <w:sz w:val="20"/>
          <w:szCs w:val="20"/>
        </w:rPr>
        <w:t>bilateral agreements and mutual legal assistance treaties</w:t>
      </w:r>
      <w:r w:rsidR="004262AF" w:rsidRPr="00AC4750">
        <w:rPr>
          <w:rFonts w:ascii="Times New Roman" w:hAnsi="Times New Roman" w:cs="Times New Roman"/>
          <w:sz w:val="20"/>
          <w:szCs w:val="20"/>
        </w:rPr>
        <w:t xml:space="preserve"> for the better implementation and enforcement of Indian competition law outside the country</w:t>
      </w:r>
      <w:r w:rsidR="003A107B" w:rsidRPr="00AC4750">
        <w:rPr>
          <w:rFonts w:ascii="Times New Roman" w:hAnsi="Times New Roman" w:cs="Times New Roman"/>
          <w:sz w:val="20"/>
          <w:szCs w:val="20"/>
        </w:rPr>
        <w:t xml:space="preserve"> in order to attain competitiveness through competition. But only this step is not sufficient</w:t>
      </w:r>
      <w:r w:rsidRPr="00AC4750">
        <w:rPr>
          <w:rFonts w:ascii="Times New Roman" w:hAnsi="Times New Roman" w:cs="Times New Roman"/>
          <w:sz w:val="20"/>
          <w:szCs w:val="20"/>
        </w:rPr>
        <w:t>, hence,</w:t>
      </w:r>
      <w:r w:rsidR="003A107B" w:rsidRPr="00AC4750">
        <w:rPr>
          <w:rFonts w:ascii="Times New Roman" w:hAnsi="Times New Roman" w:cs="Times New Roman"/>
          <w:sz w:val="20"/>
          <w:szCs w:val="20"/>
        </w:rPr>
        <w:t xml:space="preserve"> </w:t>
      </w:r>
      <w:r w:rsidR="008E77C0" w:rsidRPr="00AC4750">
        <w:rPr>
          <w:rFonts w:ascii="Times New Roman" w:hAnsi="Times New Roman" w:cs="Times New Roman"/>
          <w:sz w:val="20"/>
          <w:szCs w:val="20"/>
        </w:rPr>
        <w:t xml:space="preserve">Competition Commission of India should also use its weapon given under </w:t>
      </w:r>
      <w:r w:rsidR="00D1624F" w:rsidRPr="00AC4750">
        <w:rPr>
          <w:rFonts w:ascii="Times New Roman" w:hAnsi="Times New Roman" w:cs="Times New Roman"/>
          <w:sz w:val="20"/>
          <w:szCs w:val="20"/>
        </w:rPr>
        <w:t xml:space="preserve">the </w:t>
      </w:r>
      <w:r w:rsidR="00D1624F" w:rsidRPr="00AC4750">
        <w:rPr>
          <w:rFonts w:ascii="Times New Roman" w:hAnsi="Times New Roman" w:cs="Times New Roman"/>
          <w:b/>
          <w:i/>
          <w:sz w:val="20"/>
          <w:szCs w:val="20"/>
        </w:rPr>
        <w:t>proviso</w:t>
      </w:r>
      <w:r w:rsidR="00D1624F" w:rsidRPr="00AC4750">
        <w:rPr>
          <w:rFonts w:ascii="Times New Roman" w:hAnsi="Times New Roman" w:cs="Times New Roman"/>
          <w:sz w:val="20"/>
          <w:szCs w:val="20"/>
        </w:rPr>
        <w:t xml:space="preserve"> of </w:t>
      </w:r>
      <w:r w:rsidR="008E77C0" w:rsidRPr="00AC4750">
        <w:rPr>
          <w:rFonts w:ascii="Times New Roman" w:hAnsi="Times New Roman" w:cs="Times New Roman"/>
          <w:b/>
          <w:i/>
          <w:sz w:val="20"/>
          <w:szCs w:val="20"/>
        </w:rPr>
        <w:t>Section 18</w:t>
      </w:r>
      <w:r w:rsidR="008E77C0" w:rsidRPr="00AC4750">
        <w:rPr>
          <w:rFonts w:ascii="Times New Roman" w:hAnsi="Times New Roman" w:cs="Times New Roman"/>
          <w:sz w:val="20"/>
          <w:szCs w:val="20"/>
        </w:rPr>
        <w:t xml:space="preserve"> </w:t>
      </w:r>
      <w:r w:rsidR="00D1624F" w:rsidRPr="00AC4750">
        <w:rPr>
          <w:rFonts w:ascii="Times New Roman" w:hAnsi="Times New Roman" w:cs="Times New Roman"/>
          <w:sz w:val="20"/>
          <w:szCs w:val="20"/>
        </w:rPr>
        <w:t>of Competition Act, 2002.</w:t>
      </w:r>
    </w:p>
    <w:p w:rsidR="00AC4750" w:rsidRDefault="00AC4750" w:rsidP="00C71881">
      <w:pPr>
        <w:adjustRightInd w:val="0"/>
        <w:snapToGrid w:val="0"/>
        <w:spacing w:after="0" w:line="240" w:lineRule="auto"/>
        <w:ind w:firstLine="425"/>
        <w:jc w:val="both"/>
        <w:rPr>
          <w:rFonts w:ascii="Times New Roman" w:hAnsi="Times New Roman" w:cs="Times New Roman"/>
          <w:sz w:val="20"/>
          <w:szCs w:val="20"/>
          <w:lang w:eastAsia="zh-CN"/>
        </w:rPr>
      </w:pPr>
    </w:p>
    <w:sectPr w:rsidR="00AC4750" w:rsidSect="00C71881">
      <w:endnotePr>
        <w:numFmt w:val="decimal"/>
      </w:endnotePr>
      <w:type w:val="continuous"/>
      <w:pgSz w:w="12242" w:h="15842"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057" w:rsidRDefault="00083057" w:rsidP="009846B2">
      <w:pPr>
        <w:spacing w:after="0" w:line="240" w:lineRule="auto"/>
      </w:pPr>
      <w:r>
        <w:separator/>
      </w:r>
    </w:p>
  </w:endnote>
  <w:endnote w:type="continuationSeparator" w:id="0">
    <w:p w:rsidR="00083057" w:rsidRDefault="00083057" w:rsidP="009846B2">
      <w:pPr>
        <w:spacing w:after="0" w:line="240" w:lineRule="auto"/>
      </w:pPr>
      <w:r>
        <w:continuationSeparator/>
      </w:r>
    </w:p>
  </w:endnote>
  <w:endnote w:id="1">
    <w:p w:rsidR="00575DFF" w:rsidRPr="00AC4750" w:rsidRDefault="00AC4750" w:rsidP="00AC4750">
      <w:pPr>
        <w:pStyle w:val="EndnoteText"/>
        <w:snapToGrid w:val="0"/>
        <w:ind w:left="425" w:hanging="425"/>
        <w:jc w:val="both"/>
        <w:rPr>
          <w:rFonts w:ascii="Times New Roman" w:hAnsi="Times New Roman" w:cs="Times New Roman"/>
          <w:b/>
          <w:szCs w:val="28"/>
        </w:rPr>
      </w:pPr>
      <w:r w:rsidRPr="00AC4750">
        <w:rPr>
          <w:rFonts w:ascii="Times New Roman" w:hAnsi="Times New Roman" w:cs="Times New Roman"/>
          <w:b/>
          <w:szCs w:val="28"/>
        </w:rPr>
        <w:t>End Notes</w:t>
      </w:r>
    </w:p>
    <w:p w:rsidR="00E77C32" w:rsidRPr="00AC4750" w:rsidRDefault="00575DFF" w:rsidP="00AC4750">
      <w:pPr>
        <w:pStyle w:val="EndnoteText"/>
        <w:snapToGrid w:val="0"/>
        <w:ind w:left="425" w:hangingChars="177" w:hanging="425"/>
        <w:jc w:val="both"/>
        <w:rPr>
          <w:rFonts w:ascii="Times New Roman" w:hAnsi="Times New Roman" w:cs="Times New Roman"/>
        </w:rPr>
      </w:pPr>
      <w:r w:rsidRPr="00994218">
        <w:rPr>
          <w:rStyle w:val="EndnoteReference"/>
          <w:rFonts w:ascii="Times New Roman" w:hAnsi="Times New Roman" w:cs="Times New Roman"/>
          <w:sz w:val="24"/>
          <w:szCs w:val="24"/>
        </w:rPr>
        <w:endnoteRef/>
      </w:r>
      <w:r w:rsidRPr="00994218">
        <w:rPr>
          <w:rFonts w:ascii="Times New Roman" w:hAnsi="Times New Roman" w:cs="Times New Roman"/>
          <w:sz w:val="24"/>
          <w:szCs w:val="24"/>
        </w:rPr>
        <w:t xml:space="preserve"> </w:t>
      </w:r>
      <w:r w:rsidRPr="00AC4750">
        <w:rPr>
          <w:rFonts w:ascii="Times New Roman" w:hAnsi="Times New Roman" w:cs="Times New Roman"/>
          <w:b/>
          <w:i/>
        </w:rPr>
        <w:t>People v Sheldon</w:t>
      </w:r>
      <w:r w:rsidRPr="00AC4750">
        <w:rPr>
          <w:rFonts w:ascii="Times New Roman" w:hAnsi="Times New Roman" w:cs="Times New Roman"/>
        </w:rPr>
        <w:t xml:space="preserve"> 139 NY 251. In this case the court has acted upon and adopted this maxim in passing upon the validity of agreements, the design of which was to prevent competition in trade, and have held such agreements to be invalid because it affected the competition.</w:t>
      </w:r>
    </w:p>
  </w:endnote>
  <w:endnote w:id="2">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There is no statutory definition of the term ‘competition’ under Sherman Act, 1890, Clayton Act, 1914, The Treaty of Rome, 1957, The Competition Act, 1998 (UK), The Competition Act, 2002 (India).</w:t>
      </w:r>
    </w:p>
  </w:endnote>
  <w:endnote w:id="3">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Bryan A. Garner, “BLACK’S LAW DICTIONARY”, Seventh Edition, 1999, West Group St. Paul, Minn., p.278.</w:t>
      </w:r>
    </w:p>
  </w:endnote>
  <w:endnote w:id="4">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Fair competition denotes open, equitable, and just competition between business competitors. For further clarification see; Bryan A. Garner, “BLACK’S LAW DICTIONARY”, Seventh Edition, 1999, West Group St. Paul, Minn., p.278. </w:t>
      </w:r>
    </w:p>
  </w:endnote>
  <w:endnote w:id="5">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Horizontal competition refers to the competition between a seller and its competitors. The Sherman Act, 1890 prohibits the unreasonable restraints on horizontal competition, such price-fixing agreements between competitors. In India under Section 3 of the Competition Act, 2002, such anti-competitive practice has been prohibited.</w:t>
      </w:r>
      <w:r w:rsidR="00C71881">
        <w:rPr>
          <w:rFonts w:ascii="Times New Roman" w:hAnsi="Times New Roman" w:cs="Times New Roman"/>
        </w:rPr>
        <w:t xml:space="preserve"> </w:t>
      </w:r>
    </w:p>
  </w:endnote>
  <w:endnote w:id="6">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Perfect </w:t>
      </w:r>
      <w:proofErr w:type="gramStart"/>
      <w:r w:rsidRPr="00AC4750">
        <w:rPr>
          <w:rFonts w:ascii="Times New Roman" w:hAnsi="Times New Roman" w:cs="Times New Roman"/>
        </w:rPr>
        <w:t>competition refers to a completely efficient market situation characterized by numerous buyers and sellers, homogenous product, perfect information for all parties, and complete</w:t>
      </w:r>
      <w:proofErr w:type="gramEnd"/>
      <w:r w:rsidRPr="00AC4750">
        <w:rPr>
          <w:rFonts w:ascii="Times New Roman" w:hAnsi="Times New Roman" w:cs="Times New Roman"/>
        </w:rPr>
        <w:t xml:space="preserve"> freedom to move in and out of the market.</w:t>
      </w:r>
    </w:p>
  </w:endnote>
  <w:endnote w:id="7">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Vertical competition refers to the competition between participants at different levels of distribution, such as manufacturer and distributer.</w:t>
      </w:r>
    </w:p>
  </w:endnote>
  <w:endnote w:id="8">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Thomas D. Morgan, Jeffrey L. Harrison and Paul R. </w:t>
      </w:r>
      <w:proofErr w:type="spellStart"/>
      <w:r w:rsidRPr="00AC4750">
        <w:rPr>
          <w:rFonts w:ascii="Times New Roman" w:hAnsi="Times New Roman" w:cs="Times New Roman"/>
        </w:rPr>
        <w:t>Verkuil</w:t>
      </w:r>
      <w:proofErr w:type="spellEnd"/>
      <w:r w:rsidRPr="00AC4750">
        <w:rPr>
          <w:rFonts w:ascii="Times New Roman" w:hAnsi="Times New Roman" w:cs="Times New Roman"/>
        </w:rPr>
        <w:t>, “ECONOMIC REGULATION OF BUSINESS: CASES AND MATERIALS”, Second Edition, West Publishing Co. St. Paul, Minn., 1985, p.14.</w:t>
      </w:r>
    </w:p>
  </w:endnote>
  <w:endnote w:id="9">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Some argue that a monopolist has an incentive to innovate in order to keep or justify</w:t>
      </w:r>
      <w:r w:rsidR="00C71881">
        <w:rPr>
          <w:rFonts w:ascii="Times New Roman" w:hAnsi="Times New Roman" w:cs="Times New Roman"/>
        </w:rPr>
        <w:t xml:space="preserve"> </w:t>
      </w:r>
      <w:r w:rsidRPr="00AC4750">
        <w:rPr>
          <w:rFonts w:ascii="Times New Roman" w:hAnsi="Times New Roman" w:cs="Times New Roman"/>
        </w:rPr>
        <w:t xml:space="preserve">its monopoly. The monopolist may also have an incentive to innovate because it is less worried about a competitor’s stealing its invention. </w:t>
      </w:r>
      <w:proofErr w:type="gramStart"/>
      <w:r w:rsidRPr="00AC4750">
        <w:rPr>
          <w:rFonts w:ascii="Times New Roman" w:hAnsi="Times New Roman" w:cs="Times New Roman"/>
        </w:rPr>
        <w:t>For better understanding see; F.M. Scherer, Industrial Market Structure and Economic Performance 346-78 (1970); Posner, Natural Monopoly and its Regulation, 21 Stan.</w:t>
      </w:r>
      <w:proofErr w:type="gramEnd"/>
      <w:r w:rsidRPr="00AC4750">
        <w:rPr>
          <w:rFonts w:ascii="Times New Roman" w:hAnsi="Times New Roman" w:cs="Times New Roman"/>
        </w:rPr>
        <w:t xml:space="preserve"> L. Rev. 577-84 (1969); </w:t>
      </w:r>
      <w:proofErr w:type="spellStart"/>
      <w:r w:rsidRPr="00AC4750">
        <w:rPr>
          <w:rFonts w:ascii="Times New Roman" w:hAnsi="Times New Roman" w:cs="Times New Roman"/>
        </w:rPr>
        <w:t>Demsetz</w:t>
      </w:r>
      <w:proofErr w:type="spellEnd"/>
      <w:r w:rsidRPr="00AC4750">
        <w:rPr>
          <w:rFonts w:ascii="Times New Roman" w:hAnsi="Times New Roman" w:cs="Times New Roman"/>
        </w:rPr>
        <w:t>, Information and Efficiency: Another Viewpoint, 12 J. Law &amp; Econ.1 (1969).</w:t>
      </w:r>
    </w:p>
  </w:endnote>
  <w:endnote w:id="10">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Abel M. </w:t>
      </w:r>
      <w:proofErr w:type="spellStart"/>
      <w:r w:rsidRPr="00AC4750">
        <w:rPr>
          <w:rFonts w:ascii="Times New Roman" w:hAnsi="Times New Roman" w:cs="Times New Roman"/>
        </w:rPr>
        <w:t>Mateus</w:t>
      </w:r>
      <w:proofErr w:type="spellEnd"/>
      <w:r w:rsidRPr="00AC4750">
        <w:rPr>
          <w:rFonts w:ascii="Times New Roman" w:hAnsi="Times New Roman" w:cs="Times New Roman"/>
        </w:rPr>
        <w:t xml:space="preserve"> &amp; Teresa </w:t>
      </w:r>
      <w:proofErr w:type="spellStart"/>
      <w:r w:rsidRPr="00AC4750">
        <w:rPr>
          <w:rFonts w:ascii="Times New Roman" w:hAnsi="Times New Roman" w:cs="Times New Roman"/>
        </w:rPr>
        <w:t>Moreira</w:t>
      </w:r>
      <w:proofErr w:type="spellEnd"/>
      <w:r w:rsidRPr="00AC4750">
        <w:rPr>
          <w:rFonts w:ascii="Times New Roman" w:hAnsi="Times New Roman" w:cs="Times New Roman"/>
        </w:rPr>
        <w:t xml:space="preserve">, “COMPETITION LAW AND ECONOMICS: ADVANCES IN COMPETITION POLICY AND ANTITRUST ENFORCEMENT”, </w:t>
      </w:r>
      <w:proofErr w:type="spellStart"/>
      <w:r w:rsidRPr="00AC4750">
        <w:rPr>
          <w:rFonts w:ascii="Times New Roman" w:hAnsi="Times New Roman" w:cs="Times New Roman"/>
        </w:rPr>
        <w:t>Kluwer</w:t>
      </w:r>
      <w:proofErr w:type="spellEnd"/>
      <w:r w:rsidRPr="00AC4750">
        <w:rPr>
          <w:rFonts w:ascii="Times New Roman" w:hAnsi="Times New Roman" w:cs="Times New Roman"/>
        </w:rPr>
        <w:t xml:space="preserve"> Law International, 2007, p.179.</w:t>
      </w:r>
    </w:p>
  </w:endnote>
  <w:endnote w:id="11">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J. </w:t>
      </w:r>
      <w:proofErr w:type="spellStart"/>
      <w:r w:rsidRPr="00AC4750">
        <w:rPr>
          <w:rFonts w:ascii="Times New Roman" w:hAnsi="Times New Roman" w:cs="Times New Roman"/>
        </w:rPr>
        <w:t>Haskel</w:t>
      </w:r>
      <w:proofErr w:type="spellEnd"/>
      <w:r w:rsidRPr="00AC4750">
        <w:rPr>
          <w:rFonts w:ascii="Times New Roman" w:hAnsi="Times New Roman" w:cs="Times New Roman"/>
        </w:rPr>
        <w:t>, “COMPETITION AND X-INEFFICIENCY: A SURVEY”, Paper prepared for the Office of Fair Trading, London, 1996.</w:t>
      </w:r>
    </w:p>
  </w:endnote>
  <w:endnote w:id="12">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J. Hicks, “ANNUAL SURVEY OF ECONOMIC THEORY: THE THEORY OF MONOPOLY, ECONOMETRICA”, 3 (January, 1935): 1-20.</w:t>
      </w:r>
    </w:p>
  </w:endnote>
  <w:endnote w:id="13">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Section 32 of the Competition Act, 2002 makes provision regarding acts taking place outside India but having an effect on Competition in India.</w:t>
      </w:r>
    </w:p>
  </w:endnote>
  <w:endnote w:id="14">
    <w:p w:rsidR="00E77C32" w:rsidRPr="00AC4750" w:rsidRDefault="00575DFF" w:rsidP="00AC4750">
      <w:pPr>
        <w:pStyle w:val="Style1"/>
        <w:widowControl/>
        <w:snapToGrid w:val="0"/>
        <w:spacing w:line="240" w:lineRule="auto"/>
        <w:ind w:left="354" w:hangingChars="177" w:hanging="354"/>
        <w:jc w:val="both"/>
        <w:rPr>
          <w:sz w:val="20"/>
          <w:szCs w:val="20"/>
        </w:rPr>
      </w:pPr>
      <w:r w:rsidRPr="00AC4750">
        <w:rPr>
          <w:rStyle w:val="EndnoteReference"/>
          <w:sz w:val="20"/>
          <w:szCs w:val="20"/>
        </w:rPr>
        <w:endnoteRef/>
      </w:r>
      <w:r w:rsidRPr="00AC4750">
        <w:rPr>
          <w:sz w:val="20"/>
          <w:szCs w:val="20"/>
        </w:rPr>
        <w:t xml:space="preserve"> The author </w:t>
      </w:r>
      <w:proofErr w:type="spellStart"/>
      <w:r w:rsidRPr="00AC4750">
        <w:rPr>
          <w:sz w:val="20"/>
          <w:szCs w:val="20"/>
        </w:rPr>
        <w:t>favours</w:t>
      </w:r>
      <w:proofErr w:type="spellEnd"/>
      <w:r w:rsidRPr="00AC4750">
        <w:rPr>
          <w:sz w:val="20"/>
          <w:szCs w:val="20"/>
        </w:rPr>
        <w:t xml:space="preserve"> bilateral agreement in place of multilateral agreement for the enforcement of Competition law outside the territory. Between US and other States the bilateral agreements are mentioned below: </w:t>
      </w:r>
      <w:r w:rsidRPr="00AC4750">
        <w:rPr>
          <w:rStyle w:val="FontStyle12"/>
        </w:rPr>
        <w:t>Agreement with Germany – 1976 (USA/L/III/1); Agreement with Australia-1982(USA/L/III/2); Consumer Sentinel Network Confidentiality Agreement(USA</w:t>
      </w:r>
      <w:r w:rsidRPr="00AC4750">
        <w:rPr>
          <w:rStyle w:val="FontStyle17"/>
        </w:rPr>
        <w:t>/L/III</w:t>
      </w:r>
      <w:r w:rsidRPr="00AC4750">
        <w:rPr>
          <w:rStyle w:val="FontStyle12"/>
        </w:rPr>
        <w:t>/2A); Agreement Between the Federal Trade Commission of the United States of America and the Australian Competition &amp; Consumer Commission on the Mutual Enforcement Assistance in Consumer Protection Matters (USA/L/III/2B); Agreement Between the Government of the United States of America and the Government of Australia on Mutual Antitrust Enforcement Assistance (USA/L/IH/2C); Agreement with Canada – 1995 (USA/L/III/3) US - Canadian Task Force on Cross - Border Deceptive</w:t>
      </w:r>
      <w:r w:rsidR="00C71881">
        <w:rPr>
          <w:rStyle w:val="FontStyle12"/>
        </w:rPr>
        <w:t xml:space="preserve"> </w:t>
      </w:r>
      <w:r w:rsidRPr="00AC4750">
        <w:rPr>
          <w:rStyle w:val="FontStyle12"/>
        </w:rPr>
        <w:t>Marketing Practices (USA</w:t>
      </w:r>
      <w:r w:rsidRPr="00AC4750">
        <w:rPr>
          <w:rStyle w:val="FontStyle17"/>
        </w:rPr>
        <w:t>/L/III</w:t>
      </w:r>
      <w:r w:rsidRPr="00AC4750">
        <w:rPr>
          <w:rStyle w:val="FontStyle12"/>
        </w:rPr>
        <w:t>/3A)</w:t>
      </w:r>
    </w:p>
  </w:endnote>
  <w:endnote w:id="15">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Under International law there would be international obligation only when there is any treaty or agreement otherwise under Vienna Convention, 1969 there would not be any obligation on any state therefore, for the writer emphases on the formation of bilateral agreement between India and other states for the enforcement of competition law outside its jurisdiction. </w:t>
      </w:r>
    </w:p>
  </w:endnote>
  <w:endnote w:id="16">
    <w:p w:rsidR="00575DFF"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The author refers the insertion of Section 32 under the Competition Act, 2002 as beauty of the said Act because under MRTP Act, 1969 there was no such provision giving extraterritorial jurisdiction to MRTP Commission</w:t>
      </w:r>
      <w:r w:rsidR="00C71881">
        <w:rPr>
          <w:rFonts w:ascii="Times New Roman" w:hAnsi="Times New Roman" w:cs="Times New Roman"/>
        </w:rPr>
        <w:t xml:space="preserve"> </w:t>
      </w:r>
      <w:r w:rsidRPr="00AC4750">
        <w:rPr>
          <w:rFonts w:ascii="Times New Roman" w:hAnsi="Times New Roman" w:cs="Times New Roman"/>
        </w:rPr>
        <w:t>but this beauty would be futile if actually Competition Commission of India cannot exercise extraterritorial jurisdiction.</w:t>
      </w:r>
    </w:p>
  </w:endnote>
  <w:endnote w:id="17">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w:t>
      </w:r>
      <w:r w:rsidRPr="00AC4750">
        <w:rPr>
          <w:rFonts w:ascii="Times New Roman" w:hAnsi="Times New Roman" w:cs="Times New Roman"/>
          <w:b/>
          <w:i/>
        </w:rPr>
        <w:t>United States v. Aluminum Co of America</w:t>
      </w:r>
      <w:r w:rsidRPr="00AC4750">
        <w:rPr>
          <w:rFonts w:ascii="Times New Roman" w:hAnsi="Times New Roman" w:cs="Times New Roman"/>
        </w:rPr>
        <w:t>, 148 F.2d 416 (2d Cir. 1945)</w:t>
      </w:r>
    </w:p>
  </w:endnote>
  <w:endnote w:id="18">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Effects doctrine applies when any action taken outside the country has </w:t>
      </w:r>
      <w:r w:rsidRPr="00AC4750">
        <w:rPr>
          <w:rFonts w:ascii="Times New Roman" w:hAnsi="Times New Roman" w:cs="Times New Roman"/>
          <w:bCs/>
        </w:rPr>
        <w:t>‘direct, substantial, and reasonably foreseeable’ effects within the Country.</w:t>
      </w:r>
    </w:p>
  </w:endnote>
  <w:endnote w:id="19">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OEC</w:t>
      </w:r>
      <w:r w:rsidR="00C71881">
        <w:rPr>
          <w:rFonts w:ascii="Times New Roman" w:hAnsi="Times New Roman" w:cs="Times New Roman" w:hint="eastAsia"/>
          <w:lang w:eastAsia="zh-CN"/>
        </w:rPr>
        <w:t xml:space="preserve"> </w:t>
      </w:r>
      <w:proofErr w:type="spellStart"/>
      <w:r w:rsidRPr="00AC4750">
        <w:rPr>
          <w:rFonts w:ascii="Times New Roman" w:hAnsi="Times New Roman" w:cs="Times New Roman"/>
        </w:rPr>
        <w:t>Doriginated</w:t>
      </w:r>
      <w:proofErr w:type="spellEnd"/>
      <w:r w:rsidRPr="00AC4750">
        <w:rPr>
          <w:rFonts w:ascii="Times New Roman" w:hAnsi="Times New Roman" w:cs="Times New Roman"/>
        </w:rPr>
        <w:t xml:space="preserve"> in 1948 as the </w:t>
      </w:r>
      <w:r w:rsidRPr="00AC4750">
        <w:rPr>
          <w:rFonts w:ascii="Times New Roman" w:hAnsi="Times New Roman" w:cs="Times New Roman"/>
          <w:bCs/>
        </w:rPr>
        <w:t>Organization for European Economic Co-operation</w:t>
      </w:r>
      <w:r w:rsidRPr="00AC4750">
        <w:rPr>
          <w:rFonts w:ascii="Times New Roman" w:hAnsi="Times New Roman" w:cs="Times New Roman"/>
        </w:rPr>
        <w:t xml:space="preserve"> (</w:t>
      </w:r>
      <w:r w:rsidRPr="00AC4750">
        <w:rPr>
          <w:rFonts w:ascii="Times New Roman" w:hAnsi="Times New Roman" w:cs="Times New Roman"/>
          <w:bCs/>
        </w:rPr>
        <w:t>OEEC</w:t>
      </w:r>
      <w:r w:rsidRPr="00AC4750">
        <w:rPr>
          <w:rFonts w:ascii="Times New Roman" w:hAnsi="Times New Roman" w:cs="Times New Roman"/>
        </w:rPr>
        <w:t xml:space="preserve">), led by </w:t>
      </w:r>
      <w:hyperlink r:id="rId1" w:tooltip="Robert Marjolin" w:history="1">
        <w:r w:rsidRPr="00AC4750">
          <w:rPr>
            <w:rStyle w:val="Hyperlink"/>
            <w:rFonts w:ascii="Times New Roman" w:hAnsi="Times New Roman" w:cs="Times New Roman"/>
            <w:color w:val="auto"/>
            <w:u w:val="none"/>
          </w:rPr>
          <w:t xml:space="preserve">Robert </w:t>
        </w:r>
        <w:proofErr w:type="spellStart"/>
        <w:r w:rsidRPr="00AC4750">
          <w:rPr>
            <w:rStyle w:val="Hyperlink"/>
            <w:rFonts w:ascii="Times New Roman" w:hAnsi="Times New Roman" w:cs="Times New Roman"/>
            <w:color w:val="auto"/>
            <w:u w:val="none"/>
          </w:rPr>
          <w:t>Marjolin</w:t>
        </w:r>
        <w:proofErr w:type="spellEnd"/>
      </w:hyperlink>
      <w:r w:rsidRPr="00AC4750">
        <w:rPr>
          <w:rFonts w:ascii="Times New Roman" w:hAnsi="Times New Roman" w:cs="Times New Roman"/>
        </w:rPr>
        <w:t xml:space="preserve"> of France, to help administer the </w:t>
      </w:r>
      <w:hyperlink r:id="rId2" w:tooltip="Marshall Plan" w:history="1">
        <w:r w:rsidRPr="00AC4750">
          <w:rPr>
            <w:rStyle w:val="Hyperlink"/>
            <w:rFonts w:ascii="Times New Roman" w:hAnsi="Times New Roman" w:cs="Times New Roman"/>
            <w:color w:val="auto"/>
            <w:u w:val="none"/>
          </w:rPr>
          <w:t>Marshall Plan</w:t>
        </w:r>
      </w:hyperlink>
      <w:r w:rsidRPr="00AC4750">
        <w:rPr>
          <w:rFonts w:ascii="Times New Roman" w:hAnsi="Times New Roman" w:cs="Times New Roman"/>
        </w:rPr>
        <w:t xml:space="preserve"> for the reconstruction of </w:t>
      </w:r>
      <w:hyperlink r:id="rId3" w:tooltip="Europe" w:history="1">
        <w:r w:rsidRPr="00AC4750">
          <w:rPr>
            <w:rStyle w:val="Hyperlink"/>
            <w:rFonts w:ascii="Times New Roman" w:hAnsi="Times New Roman" w:cs="Times New Roman"/>
            <w:color w:val="auto"/>
            <w:u w:val="none"/>
          </w:rPr>
          <w:t>Europe</w:t>
        </w:r>
      </w:hyperlink>
      <w:r w:rsidRPr="00AC4750">
        <w:rPr>
          <w:rFonts w:ascii="Times New Roman" w:hAnsi="Times New Roman" w:cs="Times New Roman"/>
        </w:rPr>
        <w:t xml:space="preserve"> after </w:t>
      </w:r>
      <w:hyperlink r:id="rId4" w:tooltip="World War II" w:history="1">
        <w:r w:rsidRPr="00AC4750">
          <w:rPr>
            <w:rStyle w:val="Hyperlink"/>
            <w:rFonts w:ascii="Times New Roman" w:hAnsi="Times New Roman" w:cs="Times New Roman"/>
            <w:color w:val="auto"/>
            <w:u w:val="none"/>
          </w:rPr>
          <w:t>World War II</w:t>
        </w:r>
      </w:hyperlink>
      <w:r w:rsidRPr="00AC4750">
        <w:rPr>
          <w:rFonts w:ascii="Times New Roman" w:hAnsi="Times New Roman" w:cs="Times New Roman"/>
        </w:rPr>
        <w:t xml:space="preserve">. </w:t>
      </w:r>
    </w:p>
  </w:endnote>
  <w:endnote w:id="20">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The United Nations Conference on Trade and Development was established in 1964 in order to provide a forum where the developing countries could discuss the problems relating to their economic development.</w:t>
      </w:r>
    </w:p>
  </w:endnote>
  <w:endnote w:id="21">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International Competition Network has been established in 2002 to the competition policy of different jurisdictions. </w:t>
      </w:r>
    </w:p>
  </w:endnote>
  <w:endnote w:id="22">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proofErr w:type="gramStart"/>
      <w:r w:rsidRPr="00AC4750">
        <w:rPr>
          <w:rFonts w:ascii="Times New Roman" w:hAnsi="Times New Roman" w:cs="Times New Roman"/>
        </w:rPr>
        <w:t>See; Richard</w:t>
      </w:r>
      <w:r w:rsidR="00C71881">
        <w:rPr>
          <w:rFonts w:ascii="Times New Roman" w:hAnsi="Times New Roman" w:cs="Times New Roman"/>
        </w:rPr>
        <w:t xml:space="preserve"> </w:t>
      </w:r>
      <w:r w:rsidRPr="00AC4750">
        <w:rPr>
          <w:rFonts w:ascii="Times New Roman" w:hAnsi="Times New Roman" w:cs="Times New Roman"/>
        </w:rPr>
        <w:t>Whish, “COMPETITION LAW”, Fifth edition, Oxford University Press, 2003, p. 447.</w:t>
      </w:r>
      <w:proofErr w:type="gramEnd"/>
    </w:p>
  </w:endnote>
  <w:endnote w:id="23">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See; OECD document </w:t>
      </w:r>
      <w:proofErr w:type="gramStart"/>
      <w:r w:rsidRPr="00AC4750">
        <w:rPr>
          <w:rFonts w:ascii="Times New Roman" w:hAnsi="Times New Roman" w:cs="Times New Roman"/>
        </w:rPr>
        <w:t>C(</w:t>
      </w:r>
      <w:proofErr w:type="gramEnd"/>
      <w:r w:rsidRPr="00AC4750">
        <w:rPr>
          <w:rFonts w:ascii="Times New Roman" w:hAnsi="Times New Roman" w:cs="Times New Roman"/>
        </w:rPr>
        <w:t>95) 130 (final), 27 July 1995.</w:t>
      </w:r>
    </w:p>
  </w:endnote>
  <w:endnote w:id="24">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See Article 1 Section 8 Clause 8 of US Constitution which states that the object of copyright and patent monopoly is to promote the Progress of Science and useful Arts, by securing for limited Times to Authors and Inventors the exclusive Right to their respective Writings and Discoveries. The object of the competition policy is also same by increasing and promoting fair competition.</w:t>
      </w:r>
    </w:p>
  </w:endnote>
  <w:endnote w:id="25">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According to Section 3(5) of the Competition Act, 2002, the appropriate action to restraint the infringement and reasonable conditions may be imposed by the patentee but patent monopoly cannot be abused otherwise Section 4 of the Competition Act, 2002 would be applicable.</w:t>
      </w:r>
    </w:p>
  </w:endnote>
  <w:endnote w:id="26">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w:t>
      </w:r>
      <w:proofErr w:type="gramStart"/>
      <w:r w:rsidRPr="00AC4750">
        <w:rPr>
          <w:rFonts w:ascii="Times New Roman" w:hAnsi="Times New Roman" w:cs="Times New Roman"/>
        </w:rPr>
        <w:t>Section 140 of the Patent Act, 1970 talks about avoidance of certain restrictive conditions.</w:t>
      </w:r>
      <w:proofErr w:type="gramEnd"/>
    </w:p>
  </w:endnote>
  <w:endnote w:id="27">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The abuse of patent monopoly should be regulated under Competition Act, 2002.</w:t>
      </w:r>
    </w:p>
  </w:endnote>
  <w:endnote w:id="28">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T. </w:t>
      </w:r>
      <w:proofErr w:type="spellStart"/>
      <w:r w:rsidRPr="00AC4750">
        <w:rPr>
          <w:rFonts w:ascii="Times New Roman" w:hAnsi="Times New Roman" w:cs="Times New Roman"/>
        </w:rPr>
        <w:t>Ramappa</w:t>
      </w:r>
      <w:proofErr w:type="spellEnd"/>
      <w:r w:rsidRPr="00AC4750">
        <w:rPr>
          <w:rFonts w:ascii="Times New Roman" w:hAnsi="Times New Roman" w:cs="Times New Roman"/>
        </w:rPr>
        <w:t xml:space="preserve">, “COMPETITION LAW IN INDIA: POLICY, ISSUES AND DEVELOPMENTS”, Oxford University Press, 2006 (First </w:t>
      </w:r>
      <w:proofErr w:type="spellStart"/>
      <w:r w:rsidRPr="00AC4750">
        <w:rPr>
          <w:rFonts w:ascii="Times New Roman" w:hAnsi="Times New Roman" w:cs="Times New Roman"/>
        </w:rPr>
        <w:t>edn</w:t>
      </w:r>
      <w:proofErr w:type="spellEnd"/>
      <w:r w:rsidRPr="00AC4750">
        <w:rPr>
          <w:rFonts w:ascii="Times New Roman" w:hAnsi="Times New Roman" w:cs="Times New Roman"/>
        </w:rPr>
        <w:t>.), p. 75.</w:t>
      </w:r>
    </w:p>
  </w:endnote>
  <w:endnote w:id="29">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If rule of reason is applied, the complainant has to </w:t>
      </w:r>
      <w:proofErr w:type="gramStart"/>
      <w:r w:rsidRPr="00AC4750">
        <w:rPr>
          <w:rFonts w:ascii="Times New Roman" w:hAnsi="Times New Roman" w:cs="Times New Roman"/>
        </w:rPr>
        <w:t>proves</w:t>
      </w:r>
      <w:proofErr w:type="gramEnd"/>
      <w:r w:rsidRPr="00AC4750">
        <w:rPr>
          <w:rFonts w:ascii="Times New Roman" w:hAnsi="Times New Roman" w:cs="Times New Roman"/>
        </w:rPr>
        <w:t xml:space="preserve"> that there is ‘appreciable adverse effect on competition” in the relevant market.</w:t>
      </w:r>
    </w:p>
  </w:endnote>
  <w:endnote w:id="30">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w:t>
      </w:r>
      <w:r w:rsidRPr="00AC4750">
        <w:rPr>
          <w:rFonts w:ascii="Times New Roman" w:hAnsi="Times New Roman" w:cs="Times New Roman"/>
          <w:b/>
          <w:i/>
        </w:rPr>
        <w:t>US Supreme Court in Board of Trade of City of</w:t>
      </w:r>
      <w:r w:rsidR="00C71881">
        <w:rPr>
          <w:rFonts w:ascii="Times New Roman" w:hAnsi="Times New Roman" w:cs="Times New Roman"/>
          <w:b/>
          <w:i/>
        </w:rPr>
        <w:t xml:space="preserve"> </w:t>
      </w:r>
      <w:r w:rsidRPr="00AC4750">
        <w:rPr>
          <w:rFonts w:ascii="Times New Roman" w:hAnsi="Times New Roman" w:cs="Times New Roman"/>
          <w:b/>
          <w:i/>
        </w:rPr>
        <w:t>Chicago v. US</w:t>
      </w:r>
      <w:r w:rsidRPr="00AC4750">
        <w:rPr>
          <w:rFonts w:ascii="Times New Roman" w:hAnsi="Times New Roman" w:cs="Times New Roman"/>
          <w:i/>
        </w:rPr>
        <w:t xml:space="preserve"> </w:t>
      </w:r>
      <w:r w:rsidRPr="00AC4750">
        <w:rPr>
          <w:rFonts w:ascii="Times New Roman" w:hAnsi="Times New Roman" w:cs="Times New Roman"/>
        </w:rPr>
        <w:t>246 US 231 (1918)</w:t>
      </w:r>
    </w:p>
  </w:endnote>
  <w:endnote w:id="31">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w:t>
      </w:r>
      <w:proofErr w:type="gramStart"/>
      <w:r w:rsidRPr="00AC4750">
        <w:rPr>
          <w:rFonts w:ascii="Times New Roman" w:hAnsi="Times New Roman" w:cs="Times New Roman"/>
          <w:b/>
          <w:i/>
        </w:rPr>
        <w:t xml:space="preserve">United States v. </w:t>
      </w:r>
      <w:proofErr w:type="spellStart"/>
      <w:r w:rsidRPr="00AC4750">
        <w:rPr>
          <w:rFonts w:ascii="Times New Roman" w:hAnsi="Times New Roman" w:cs="Times New Roman"/>
          <w:b/>
          <w:i/>
        </w:rPr>
        <w:t>Socony</w:t>
      </w:r>
      <w:proofErr w:type="spellEnd"/>
      <w:r w:rsidRPr="00AC4750">
        <w:rPr>
          <w:rFonts w:ascii="Times New Roman" w:hAnsi="Times New Roman" w:cs="Times New Roman"/>
          <w:b/>
          <w:i/>
        </w:rPr>
        <w:t>-Vacuum Oil</w:t>
      </w:r>
      <w:r w:rsidRPr="00AC4750">
        <w:rPr>
          <w:rFonts w:ascii="Times New Roman" w:hAnsi="Times New Roman" w:cs="Times New Roman"/>
        </w:rPr>
        <w:t xml:space="preserve"> Co 310 U.S. 150 (1940).</w:t>
      </w:r>
      <w:proofErr w:type="gramEnd"/>
    </w:p>
  </w:endnote>
  <w:endnote w:id="32">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b/>
          <w:i/>
        </w:rPr>
        <w:t>Tata Engineering and Locomotive Co. Ltd v. Registrar of Restrictive Trade Agreement</w:t>
      </w:r>
      <w:r w:rsidRPr="00AC4750">
        <w:rPr>
          <w:rFonts w:ascii="Times New Roman" w:hAnsi="Times New Roman" w:cs="Times New Roman"/>
        </w:rPr>
        <w:t xml:space="preserve"> (1977) 47 Comp </w:t>
      </w:r>
      <w:proofErr w:type="spellStart"/>
      <w:proofErr w:type="gramStart"/>
      <w:r w:rsidRPr="00AC4750">
        <w:rPr>
          <w:rFonts w:ascii="Times New Roman" w:hAnsi="Times New Roman" w:cs="Times New Roman"/>
        </w:rPr>
        <w:t>Cas</w:t>
      </w:r>
      <w:proofErr w:type="spellEnd"/>
      <w:proofErr w:type="gramEnd"/>
      <w:r w:rsidRPr="00AC4750">
        <w:rPr>
          <w:rFonts w:ascii="Times New Roman" w:hAnsi="Times New Roman" w:cs="Times New Roman"/>
        </w:rPr>
        <w:t xml:space="preserve"> 520 Supreme Court.</w:t>
      </w:r>
    </w:p>
  </w:endnote>
  <w:endnote w:id="33">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If any anticompetitive agreement is alleged to have been committed under Section 3(3</w:t>
      </w:r>
      <w:proofErr w:type="gramStart"/>
      <w:r w:rsidRPr="00AC4750">
        <w:rPr>
          <w:rFonts w:ascii="Times New Roman" w:hAnsi="Times New Roman" w:cs="Times New Roman"/>
        </w:rPr>
        <w:t>)(</w:t>
      </w:r>
      <w:proofErr w:type="gramEnd"/>
      <w:r w:rsidRPr="00AC4750">
        <w:rPr>
          <w:rFonts w:ascii="Times New Roman" w:hAnsi="Times New Roman" w:cs="Times New Roman"/>
        </w:rPr>
        <w:t xml:space="preserve">a-d) of the Competition Act, 2002, there would be presumption to have an appreciable adverse effect on competition and therefore, ‘per se’ rule would be applicable. Following are other cases where the US Supreme Court has applied the ‘per se rule’: </w:t>
      </w:r>
      <w:r w:rsidRPr="00AC4750">
        <w:rPr>
          <w:rFonts w:ascii="Times New Roman" w:hAnsi="Times New Roman" w:cs="Times New Roman"/>
          <w:b/>
          <w:i/>
        </w:rPr>
        <w:t xml:space="preserve">United States v. </w:t>
      </w:r>
      <w:proofErr w:type="spellStart"/>
      <w:r w:rsidRPr="00AC4750">
        <w:rPr>
          <w:rFonts w:ascii="Times New Roman" w:hAnsi="Times New Roman" w:cs="Times New Roman"/>
          <w:b/>
          <w:i/>
        </w:rPr>
        <w:t>Socony</w:t>
      </w:r>
      <w:proofErr w:type="spellEnd"/>
      <w:r w:rsidRPr="00AC4750">
        <w:rPr>
          <w:rFonts w:ascii="Times New Roman" w:hAnsi="Times New Roman" w:cs="Times New Roman"/>
          <w:b/>
          <w:i/>
        </w:rPr>
        <w:t>-Vacuum Oil Co.,</w:t>
      </w:r>
      <w:r w:rsidRPr="00AC4750">
        <w:rPr>
          <w:rFonts w:ascii="Times New Roman" w:hAnsi="Times New Roman" w:cs="Times New Roman"/>
        </w:rPr>
        <w:t xml:space="preserve"> 310 US 150, 210; division of markets (</w:t>
      </w:r>
      <w:r w:rsidRPr="00AC4750">
        <w:rPr>
          <w:rFonts w:ascii="Times New Roman" w:hAnsi="Times New Roman" w:cs="Times New Roman"/>
          <w:b/>
          <w:i/>
        </w:rPr>
        <w:t xml:space="preserve">United States v. </w:t>
      </w:r>
      <w:proofErr w:type="spellStart"/>
      <w:r w:rsidRPr="00AC4750">
        <w:rPr>
          <w:rFonts w:ascii="Times New Roman" w:hAnsi="Times New Roman" w:cs="Times New Roman"/>
          <w:b/>
          <w:i/>
        </w:rPr>
        <w:t>Addyston</w:t>
      </w:r>
      <w:proofErr w:type="spellEnd"/>
      <w:r w:rsidRPr="00AC4750">
        <w:rPr>
          <w:rFonts w:ascii="Times New Roman" w:hAnsi="Times New Roman" w:cs="Times New Roman"/>
          <w:b/>
          <w:i/>
        </w:rPr>
        <w:t xml:space="preserve"> Pipe &amp; Steel Co.,</w:t>
      </w:r>
      <w:r w:rsidRPr="00AC4750">
        <w:rPr>
          <w:rFonts w:ascii="Times New Roman" w:hAnsi="Times New Roman" w:cs="Times New Roman"/>
        </w:rPr>
        <w:t xml:space="preserve"> 85 F. 271); group boycotts (</w:t>
      </w:r>
      <w:r w:rsidRPr="00AC4750">
        <w:rPr>
          <w:rFonts w:ascii="Times New Roman" w:hAnsi="Times New Roman" w:cs="Times New Roman"/>
          <w:b/>
          <w:i/>
        </w:rPr>
        <w:t>Fashion Originators’ Guild v. Federal Trade Commission,</w:t>
      </w:r>
      <w:r w:rsidRPr="00AC4750">
        <w:rPr>
          <w:rFonts w:ascii="Times New Roman" w:hAnsi="Times New Roman" w:cs="Times New Roman"/>
        </w:rPr>
        <w:t xml:space="preserve"> 312 US 457); and tying arrangements (</w:t>
      </w:r>
      <w:r w:rsidRPr="00AC4750">
        <w:rPr>
          <w:rFonts w:ascii="Times New Roman" w:hAnsi="Times New Roman" w:cs="Times New Roman"/>
          <w:b/>
          <w:i/>
        </w:rPr>
        <w:t>International Salt Co. v. United States</w:t>
      </w:r>
      <w:r w:rsidRPr="00AC4750">
        <w:rPr>
          <w:rFonts w:ascii="Times New Roman" w:hAnsi="Times New Roman" w:cs="Times New Roman"/>
        </w:rPr>
        <w:t xml:space="preserve">, 332 US 392). </w:t>
      </w:r>
    </w:p>
  </w:endnote>
  <w:endnote w:id="34">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Section 3(4)(a-e) of the Competition Act, 2002 is based on rule reason because the complainant has to prove that anticompetitive agreement causes or is likely to cause an appreciable adverse effect on competition in the relevant market in India.</w:t>
      </w:r>
    </w:p>
  </w:endnote>
  <w:endnote w:id="35">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Section 4 of the Competition Act, 2002 imposes an obligation on an enterprise not to abuse the dominant position.</w:t>
      </w:r>
    </w:p>
  </w:endnote>
  <w:endnote w:id="36">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Article 82 of the EC Competition Law also prohibits the abuse of dominant position and mentions four examples of abuses </w:t>
      </w:r>
      <w:proofErr w:type="spellStart"/>
      <w:r w:rsidRPr="00AC4750">
        <w:rPr>
          <w:rFonts w:ascii="Times New Roman" w:hAnsi="Times New Roman" w:cs="Times New Roman"/>
        </w:rPr>
        <w:t>i</w:t>
      </w:r>
      <w:proofErr w:type="spellEnd"/>
      <w:r w:rsidRPr="00AC4750">
        <w:rPr>
          <w:rFonts w:ascii="Times New Roman" w:hAnsi="Times New Roman" w:cs="Times New Roman"/>
        </w:rPr>
        <w:t>) directly or indirectly imposing unfair prices or other unfair trading conditions; ii) limiting production or development to the prejudice of consumers; iii) unequal treatment of trading parties, thereby placing some at a competitive disadvantage; and iv) making use of tying contracts, hence, forcing unnecessary supplementary obligations on consumers.</w:t>
      </w:r>
    </w:p>
  </w:endnote>
  <w:endnote w:id="37">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w:t>
      </w:r>
      <w:proofErr w:type="gramStart"/>
      <w:r w:rsidRPr="00AC4750">
        <w:rPr>
          <w:rFonts w:ascii="Times New Roman" w:hAnsi="Times New Roman" w:cs="Times New Roman"/>
        </w:rPr>
        <w:t xml:space="preserve">Case 27/76, </w:t>
      </w:r>
      <w:r w:rsidRPr="00AC4750">
        <w:rPr>
          <w:rFonts w:ascii="Times New Roman" w:hAnsi="Times New Roman" w:cs="Times New Roman"/>
          <w:b/>
          <w:i/>
        </w:rPr>
        <w:t>United Brands Co and United Brands Continental BV v. Commission</w:t>
      </w:r>
      <w:r w:rsidRPr="00AC4750">
        <w:rPr>
          <w:rFonts w:ascii="Times New Roman" w:hAnsi="Times New Roman" w:cs="Times New Roman"/>
        </w:rPr>
        <w:t xml:space="preserve"> [1978] ECR 207, [1978] 1 CMLR 429, </w:t>
      </w:r>
      <w:proofErr w:type="spellStart"/>
      <w:r w:rsidRPr="00AC4750">
        <w:rPr>
          <w:rFonts w:ascii="Times New Roman" w:hAnsi="Times New Roman" w:cs="Times New Roman"/>
        </w:rPr>
        <w:t>para</w:t>
      </w:r>
      <w:proofErr w:type="spellEnd"/>
      <w:r w:rsidRPr="00AC4750">
        <w:rPr>
          <w:rFonts w:ascii="Times New Roman" w:hAnsi="Times New Roman" w:cs="Times New Roman"/>
        </w:rPr>
        <w:t>.</w:t>
      </w:r>
      <w:proofErr w:type="gramEnd"/>
      <w:r w:rsidRPr="00AC4750">
        <w:rPr>
          <w:rFonts w:ascii="Times New Roman" w:hAnsi="Times New Roman" w:cs="Times New Roman"/>
        </w:rPr>
        <w:t xml:space="preserve"> 65. </w:t>
      </w:r>
    </w:p>
  </w:endnote>
  <w:endnote w:id="38">
    <w:p w:rsidR="00E77C32"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Case 85/76, </w:t>
      </w:r>
      <w:r w:rsidRPr="00AC4750">
        <w:rPr>
          <w:rFonts w:ascii="Times New Roman" w:hAnsi="Times New Roman" w:cs="Times New Roman"/>
          <w:b/>
          <w:i/>
        </w:rPr>
        <w:t>Hoffmann- La Roche &amp; Co AG v. Commission</w:t>
      </w:r>
      <w:r w:rsidRPr="00AC4750">
        <w:rPr>
          <w:rFonts w:ascii="Times New Roman" w:hAnsi="Times New Roman" w:cs="Times New Roman"/>
        </w:rPr>
        <w:t xml:space="preserve"> [1979] ECR 461, [1979] 3 CMLR 211</w:t>
      </w:r>
    </w:p>
  </w:endnote>
  <w:endnote w:id="39">
    <w:p w:rsidR="00575DFF" w:rsidRPr="00AC4750" w:rsidRDefault="00575DFF" w:rsidP="00AC4750">
      <w:pPr>
        <w:pStyle w:val="EndnoteText"/>
        <w:snapToGrid w:val="0"/>
        <w:ind w:left="354" w:hangingChars="177" w:hanging="354"/>
        <w:jc w:val="both"/>
        <w:rPr>
          <w:rFonts w:ascii="Times New Roman" w:hAnsi="Times New Roman" w:cs="Times New Roman"/>
        </w:rPr>
      </w:pPr>
      <w:r w:rsidRPr="00AC4750">
        <w:rPr>
          <w:rStyle w:val="EndnoteReference"/>
          <w:rFonts w:ascii="Times New Roman" w:hAnsi="Times New Roman" w:cs="Times New Roman"/>
        </w:rPr>
        <w:endnoteRef/>
      </w:r>
      <w:r w:rsidRPr="00AC4750">
        <w:rPr>
          <w:rFonts w:ascii="Times New Roman" w:hAnsi="Times New Roman" w:cs="Times New Roman"/>
        </w:rPr>
        <w:t xml:space="preserve"> In economic terms, one would, hence, say that a dominant position is one in which the firm has a “reasonably large degree of market power.</w:t>
      </w:r>
    </w:p>
    <w:p w:rsidR="00E06611" w:rsidRDefault="00E06611" w:rsidP="00AC4750">
      <w:pPr>
        <w:pStyle w:val="EndnoteText"/>
        <w:ind w:left="425" w:hanging="425"/>
        <w:jc w:val="both"/>
        <w:rPr>
          <w:rFonts w:ascii="Times New Roman" w:hAnsi="Times New Roman" w:cs="Times New Roman"/>
        </w:rPr>
      </w:pPr>
    </w:p>
    <w:p w:rsidR="00AC4750" w:rsidRDefault="00AC4750" w:rsidP="00AC4750">
      <w:pPr>
        <w:snapToGrid w:val="0"/>
        <w:spacing w:after="0" w:line="240" w:lineRule="auto"/>
        <w:ind w:firstLine="425"/>
        <w:jc w:val="both"/>
        <w:rPr>
          <w:rFonts w:ascii="Times New Roman" w:hAnsi="Times New Roman" w:cs="Times New Roman"/>
          <w:sz w:val="20"/>
          <w:szCs w:val="20"/>
          <w:lang w:eastAsia="zh-CN"/>
        </w:rPr>
      </w:pPr>
    </w:p>
    <w:p w:rsidR="00AC4750" w:rsidRPr="00AC4750" w:rsidRDefault="00AC4750" w:rsidP="00AC4750">
      <w:pPr>
        <w:snapToGrid w:val="0"/>
        <w:spacing w:after="0" w:line="240" w:lineRule="auto"/>
        <w:ind w:firstLine="425"/>
        <w:jc w:val="both"/>
        <w:rPr>
          <w:rFonts w:ascii="Times New Roman" w:hAnsi="Times New Roman" w:cs="Times New Roman"/>
          <w:sz w:val="20"/>
          <w:szCs w:val="20"/>
        </w:rPr>
      </w:pPr>
    </w:p>
    <w:p w:rsidR="00AC4750" w:rsidRDefault="00AC4750" w:rsidP="00AC4750">
      <w:pPr>
        <w:snapToGrid w:val="0"/>
        <w:spacing w:after="0" w:line="240" w:lineRule="auto"/>
        <w:jc w:val="both"/>
        <w:rPr>
          <w:rFonts w:ascii="Times New Roman" w:hAnsi="Times New Roman" w:cs="Times New Roman"/>
          <w:sz w:val="20"/>
          <w:szCs w:val="20"/>
          <w:lang w:eastAsia="zh-CN"/>
        </w:rPr>
      </w:pPr>
      <w:r w:rsidRPr="00AC4750">
        <w:rPr>
          <w:rFonts w:ascii="Times New Roman" w:hAnsi="Times New Roman" w:cs="Times New Roman"/>
          <w:sz w:val="20"/>
          <w:szCs w:val="20"/>
        </w:rPr>
        <w:t>10/11/2015</w:t>
      </w:r>
    </w:p>
    <w:p w:rsidR="00E06611" w:rsidRDefault="00E06611" w:rsidP="00C71881">
      <w:pPr>
        <w:pStyle w:val="EndnoteText"/>
        <w:jc w:val="both"/>
        <w:rPr>
          <w:rFonts w:ascii="Times New Roman" w:hAnsi="Times New Roman" w:cs="Times New Roman" w:hint="eastAsia"/>
          <w:lang w:eastAsia="zh-CN"/>
        </w:rPr>
      </w:pPr>
    </w:p>
    <w:p w:rsidR="00E06611" w:rsidRPr="000B7DE6" w:rsidRDefault="00E06611" w:rsidP="00AC4750">
      <w:pPr>
        <w:pStyle w:val="EndnoteText"/>
        <w:ind w:left="425" w:hanging="425"/>
        <w:jc w:val="both"/>
        <w:rPr>
          <w:rFonts w:ascii="Times New Roman" w:hAnsi="Times New Roman" w:cs="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50" w:rsidRPr="00AC4750" w:rsidRDefault="00441F4A" w:rsidP="00AC4750">
    <w:pPr>
      <w:spacing w:after="0" w:line="240" w:lineRule="auto"/>
      <w:jc w:val="center"/>
      <w:rPr>
        <w:rFonts w:ascii="Times New Roman" w:hAnsi="Times New Roman" w:cs="Times New Roman"/>
        <w:sz w:val="20"/>
      </w:rPr>
    </w:pPr>
    <w:r w:rsidRPr="00AC4750">
      <w:rPr>
        <w:rFonts w:ascii="Times New Roman" w:hAnsi="Times New Roman" w:cs="Times New Roman"/>
        <w:sz w:val="20"/>
      </w:rPr>
      <w:fldChar w:fldCharType="begin"/>
    </w:r>
    <w:r w:rsidR="00AC4750" w:rsidRPr="00AC4750">
      <w:rPr>
        <w:rFonts w:ascii="Times New Roman" w:hAnsi="Times New Roman" w:cs="Times New Roman"/>
        <w:sz w:val="20"/>
      </w:rPr>
      <w:instrText xml:space="preserve"> page </w:instrText>
    </w:r>
    <w:r w:rsidRPr="00AC4750">
      <w:rPr>
        <w:rFonts w:ascii="Times New Roman" w:hAnsi="Times New Roman" w:cs="Times New Roman"/>
        <w:sz w:val="20"/>
      </w:rPr>
      <w:fldChar w:fldCharType="separate"/>
    </w:r>
    <w:r w:rsidR="00C71881">
      <w:rPr>
        <w:rFonts w:ascii="Times New Roman" w:hAnsi="Times New Roman" w:cs="Times New Roman"/>
        <w:noProof/>
        <w:sz w:val="20"/>
      </w:rPr>
      <w:t>38</w:t>
    </w:r>
    <w:r w:rsidRPr="00AC475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FF" w:rsidRPr="00AC4750" w:rsidRDefault="00441F4A" w:rsidP="00AC4750">
    <w:pPr>
      <w:spacing w:after="0" w:line="240" w:lineRule="auto"/>
      <w:jc w:val="center"/>
      <w:rPr>
        <w:rFonts w:ascii="Times New Roman" w:hAnsi="Times New Roman" w:cs="Times New Roman"/>
        <w:sz w:val="20"/>
      </w:rPr>
    </w:pPr>
    <w:r w:rsidRPr="00AC4750">
      <w:rPr>
        <w:rFonts w:ascii="Times New Roman" w:hAnsi="Times New Roman" w:cs="Times New Roman"/>
        <w:sz w:val="20"/>
      </w:rPr>
      <w:fldChar w:fldCharType="begin"/>
    </w:r>
    <w:r w:rsidR="00AC4750" w:rsidRPr="00AC4750">
      <w:rPr>
        <w:rFonts w:ascii="Times New Roman" w:hAnsi="Times New Roman" w:cs="Times New Roman"/>
        <w:sz w:val="20"/>
      </w:rPr>
      <w:instrText xml:space="preserve"> page </w:instrText>
    </w:r>
    <w:r w:rsidRPr="00AC4750">
      <w:rPr>
        <w:rFonts w:ascii="Times New Roman" w:hAnsi="Times New Roman" w:cs="Times New Roman"/>
        <w:sz w:val="20"/>
      </w:rPr>
      <w:fldChar w:fldCharType="separate"/>
    </w:r>
    <w:r w:rsidR="00C71881">
      <w:rPr>
        <w:rFonts w:ascii="Times New Roman" w:hAnsi="Times New Roman" w:cs="Times New Roman"/>
        <w:noProof/>
        <w:sz w:val="20"/>
      </w:rPr>
      <w:t>43</w:t>
    </w:r>
    <w:r w:rsidRPr="00AC475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057" w:rsidRDefault="00083057" w:rsidP="009846B2">
      <w:pPr>
        <w:spacing w:after="0" w:line="240" w:lineRule="auto"/>
      </w:pPr>
      <w:r>
        <w:separator/>
      </w:r>
    </w:p>
  </w:footnote>
  <w:footnote w:type="continuationSeparator" w:id="0">
    <w:p w:rsidR="00083057" w:rsidRDefault="00083057" w:rsidP="009846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50" w:rsidRPr="00AC4750" w:rsidRDefault="00AC4750" w:rsidP="00AC47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C4750">
      <w:rPr>
        <w:rFonts w:ascii="Times New Roman" w:hAnsi="Times New Roman" w:cs="Times New Roman" w:hint="eastAsia"/>
        <w:sz w:val="20"/>
        <w:szCs w:val="20"/>
      </w:rPr>
      <w:tab/>
    </w:r>
    <w:r w:rsidRPr="00AC4750">
      <w:rPr>
        <w:rFonts w:ascii="Times New Roman" w:hAnsi="Times New Roman" w:cs="Times New Roman"/>
        <w:sz w:val="20"/>
        <w:szCs w:val="20"/>
      </w:rPr>
      <w:t>New York Science Journal 201</w:t>
    </w:r>
    <w:r w:rsidRPr="00AC4750">
      <w:rPr>
        <w:rFonts w:ascii="Times New Roman" w:hAnsi="Times New Roman" w:cs="Times New Roman" w:hint="eastAsia"/>
        <w:sz w:val="20"/>
        <w:szCs w:val="20"/>
      </w:rPr>
      <w:t>5</w:t>
    </w:r>
    <w:proofErr w:type="gramStart"/>
    <w:r w:rsidRPr="00AC4750">
      <w:rPr>
        <w:rFonts w:ascii="Times New Roman" w:hAnsi="Times New Roman" w:cs="Times New Roman"/>
        <w:sz w:val="20"/>
        <w:szCs w:val="20"/>
      </w:rPr>
      <w:t>;</w:t>
    </w:r>
    <w:r w:rsidRPr="00AC4750">
      <w:rPr>
        <w:rFonts w:ascii="Times New Roman" w:hAnsi="Times New Roman" w:cs="Times New Roman" w:hint="eastAsia"/>
        <w:sz w:val="20"/>
        <w:szCs w:val="20"/>
      </w:rPr>
      <w:t>8</w:t>
    </w:r>
    <w:proofErr w:type="gramEnd"/>
    <w:r w:rsidRPr="00AC4750">
      <w:rPr>
        <w:rFonts w:ascii="Times New Roman" w:hAnsi="Times New Roman" w:cs="Times New Roman"/>
        <w:sz w:val="20"/>
        <w:szCs w:val="20"/>
      </w:rPr>
      <w:t>(</w:t>
    </w:r>
    <w:r w:rsidRPr="00AC4750">
      <w:rPr>
        <w:rFonts w:ascii="Times New Roman" w:hAnsi="Times New Roman" w:cs="Times New Roman" w:hint="eastAsia"/>
        <w:sz w:val="20"/>
        <w:szCs w:val="20"/>
      </w:rPr>
      <w:t>10</w:t>
    </w:r>
    <w:r w:rsidRPr="00AC4750">
      <w:rPr>
        <w:rFonts w:ascii="Times New Roman" w:hAnsi="Times New Roman" w:cs="Times New Roman"/>
        <w:sz w:val="20"/>
        <w:szCs w:val="20"/>
      </w:rPr>
      <w:t>)</w:t>
    </w:r>
    <w:r w:rsidRPr="00AC4750">
      <w:rPr>
        <w:rFonts w:ascii="Times New Roman" w:hAnsi="Times New Roman" w:cs="Times New Roman"/>
        <w:iCs/>
        <w:sz w:val="20"/>
        <w:szCs w:val="20"/>
      </w:rPr>
      <w:t xml:space="preserve">     </w:t>
    </w:r>
    <w:r w:rsidRPr="00AC4750">
      <w:rPr>
        <w:rFonts w:ascii="Times New Roman" w:hAnsi="Times New Roman" w:cs="Times New Roman" w:hint="eastAsia"/>
        <w:iCs/>
        <w:sz w:val="20"/>
        <w:szCs w:val="20"/>
      </w:rPr>
      <w:tab/>
    </w:r>
    <w:r w:rsidRPr="00AC4750">
      <w:rPr>
        <w:rFonts w:ascii="Times New Roman" w:hAnsi="Times New Roman" w:cs="Times New Roman"/>
        <w:iCs/>
        <w:sz w:val="20"/>
        <w:szCs w:val="20"/>
      </w:rPr>
      <w:t xml:space="preserve"> </w:t>
    </w:r>
    <w:r w:rsidRPr="00AC4750">
      <w:rPr>
        <w:rFonts w:ascii="Times New Roman" w:hAnsi="Times New Roman" w:cs="Times New Roman" w:hint="eastAsia"/>
        <w:iCs/>
        <w:sz w:val="20"/>
        <w:szCs w:val="20"/>
      </w:rPr>
      <w:t xml:space="preserve"> </w:t>
    </w:r>
    <w:r w:rsidRPr="00AC4750">
      <w:rPr>
        <w:rFonts w:ascii="Times New Roman" w:hAnsi="Times New Roman" w:cs="Times New Roman"/>
        <w:iCs/>
        <w:sz w:val="20"/>
        <w:szCs w:val="20"/>
      </w:rPr>
      <w:t xml:space="preserve">   </w:t>
    </w:r>
    <w:hyperlink r:id="rId1" w:history="1">
      <w:r w:rsidRPr="00AC4750">
        <w:rPr>
          <w:rStyle w:val="Hyperlink"/>
          <w:rFonts w:ascii="Times New Roman" w:hAnsi="Times New Roman" w:cs="Times New Roman"/>
          <w:sz w:val="20"/>
        </w:rPr>
        <w:t>http://www.sciencepub.net/newyork</w:t>
      </w:r>
    </w:hyperlink>
  </w:p>
  <w:p w:rsidR="00AC4750" w:rsidRPr="00AC4750" w:rsidRDefault="00AC4750" w:rsidP="00AC475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50" w:rsidRPr="00AC4750" w:rsidRDefault="00AC4750" w:rsidP="00AC47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C4750">
      <w:rPr>
        <w:rFonts w:ascii="Times New Roman" w:hAnsi="Times New Roman" w:cs="Times New Roman" w:hint="eastAsia"/>
        <w:sz w:val="20"/>
        <w:szCs w:val="20"/>
      </w:rPr>
      <w:tab/>
    </w:r>
    <w:r w:rsidRPr="00AC4750">
      <w:rPr>
        <w:rFonts w:ascii="Times New Roman" w:hAnsi="Times New Roman" w:cs="Times New Roman"/>
        <w:sz w:val="20"/>
        <w:szCs w:val="20"/>
      </w:rPr>
      <w:t>New York Science Journal 201</w:t>
    </w:r>
    <w:r w:rsidRPr="00AC4750">
      <w:rPr>
        <w:rFonts w:ascii="Times New Roman" w:hAnsi="Times New Roman" w:cs="Times New Roman" w:hint="eastAsia"/>
        <w:sz w:val="20"/>
        <w:szCs w:val="20"/>
      </w:rPr>
      <w:t>5</w:t>
    </w:r>
    <w:proofErr w:type="gramStart"/>
    <w:r w:rsidRPr="00AC4750">
      <w:rPr>
        <w:rFonts w:ascii="Times New Roman" w:hAnsi="Times New Roman" w:cs="Times New Roman"/>
        <w:sz w:val="20"/>
        <w:szCs w:val="20"/>
      </w:rPr>
      <w:t>;</w:t>
    </w:r>
    <w:r w:rsidRPr="00AC4750">
      <w:rPr>
        <w:rFonts w:ascii="Times New Roman" w:hAnsi="Times New Roman" w:cs="Times New Roman" w:hint="eastAsia"/>
        <w:sz w:val="20"/>
        <w:szCs w:val="20"/>
      </w:rPr>
      <w:t>8</w:t>
    </w:r>
    <w:proofErr w:type="gramEnd"/>
    <w:r w:rsidRPr="00AC4750">
      <w:rPr>
        <w:rFonts w:ascii="Times New Roman" w:hAnsi="Times New Roman" w:cs="Times New Roman"/>
        <w:sz w:val="20"/>
        <w:szCs w:val="20"/>
      </w:rPr>
      <w:t>(</w:t>
    </w:r>
    <w:r w:rsidRPr="00AC4750">
      <w:rPr>
        <w:rFonts w:ascii="Times New Roman" w:hAnsi="Times New Roman" w:cs="Times New Roman" w:hint="eastAsia"/>
        <w:sz w:val="20"/>
        <w:szCs w:val="20"/>
      </w:rPr>
      <w:t>10</w:t>
    </w:r>
    <w:r w:rsidRPr="00AC4750">
      <w:rPr>
        <w:rFonts w:ascii="Times New Roman" w:hAnsi="Times New Roman" w:cs="Times New Roman"/>
        <w:sz w:val="20"/>
        <w:szCs w:val="20"/>
      </w:rPr>
      <w:t>)</w:t>
    </w:r>
    <w:r w:rsidRPr="00AC4750">
      <w:rPr>
        <w:rFonts w:ascii="Times New Roman" w:hAnsi="Times New Roman" w:cs="Times New Roman"/>
        <w:iCs/>
        <w:sz w:val="20"/>
        <w:szCs w:val="20"/>
      </w:rPr>
      <w:t xml:space="preserve">     </w:t>
    </w:r>
    <w:r w:rsidRPr="00AC4750">
      <w:rPr>
        <w:rFonts w:ascii="Times New Roman" w:hAnsi="Times New Roman" w:cs="Times New Roman" w:hint="eastAsia"/>
        <w:iCs/>
        <w:sz w:val="20"/>
        <w:szCs w:val="20"/>
      </w:rPr>
      <w:tab/>
    </w:r>
    <w:r w:rsidRPr="00AC4750">
      <w:rPr>
        <w:rFonts w:ascii="Times New Roman" w:hAnsi="Times New Roman" w:cs="Times New Roman"/>
        <w:iCs/>
        <w:sz w:val="20"/>
        <w:szCs w:val="20"/>
      </w:rPr>
      <w:t xml:space="preserve"> </w:t>
    </w:r>
    <w:r w:rsidRPr="00AC4750">
      <w:rPr>
        <w:rFonts w:ascii="Times New Roman" w:hAnsi="Times New Roman" w:cs="Times New Roman" w:hint="eastAsia"/>
        <w:iCs/>
        <w:sz w:val="20"/>
        <w:szCs w:val="20"/>
      </w:rPr>
      <w:t xml:space="preserve"> </w:t>
    </w:r>
    <w:r w:rsidRPr="00AC4750">
      <w:rPr>
        <w:rFonts w:ascii="Times New Roman" w:hAnsi="Times New Roman" w:cs="Times New Roman"/>
        <w:iCs/>
        <w:sz w:val="20"/>
        <w:szCs w:val="20"/>
      </w:rPr>
      <w:t xml:space="preserve">   </w:t>
    </w:r>
    <w:hyperlink r:id="rId1" w:history="1">
      <w:r w:rsidRPr="00AC4750">
        <w:rPr>
          <w:rStyle w:val="Hyperlink"/>
          <w:rFonts w:ascii="Times New Roman" w:hAnsi="Times New Roman" w:cs="Times New Roman"/>
          <w:sz w:val="20"/>
        </w:rPr>
        <w:t>http://www.sciencepub.net/newyork</w:t>
      </w:r>
    </w:hyperlink>
  </w:p>
  <w:p w:rsidR="00AC4750" w:rsidRPr="00AC4750" w:rsidRDefault="00AC4750" w:rsidP="00AC475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19F"/>
    <w:multiLevelType w:val="hybridMultilevel"/>
    <w:tmpl w:val="F5D0C6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C6764EF"/>
    <w:multiLevelType w:val="hybridMultilevel"/>
    <w:tmpl w:val="CA942C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D6C4A4D"/>
    <w:multiLevelType w:val="hybridMultilevel"/>
    <w:tmpl w:val="3B3018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EA1D0F"/>
    <w:multiLevelType w:val="hybridMultilevel"/>
    <w:tmpl w:val="210E5C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CED1675"/>
    <w:multiLevelType w:val="hybridMultilevel"/>
    <w:tmpl w:val="5CDA9426"/>
    <w:lvl w:ilvl="0" w:tplc="40090009">
      <w:start w:val="1"/>
      <w:numFmt w:val="bullet"/>
      <w:lvlText w:val=""/>
      <w:lvlJc w:val="left"/>
      <w:pPr>
        <w:ind w:left="644" w:hanging="360"/>
      </w:pPr>
      <w:rPr>
        <w:rFonts w:ascii="Wingdings" w:hAnsi="Wingding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44385DA4"/>
    <w:multiLevelType w:val="hybridMultilevel"/>
    <w:tmpl w:val="13061340"/>
    <w:lvl w:ilvl="0" w:tplc="FEC6AC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97716AE"/>
    <w:multiLevelType w:val="hybridMultilevel"/>
    <w:tmpl w:val="F5D0C6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BEA1CB1"/>
    <w:multiLevelType w:val="hybridMultilevel"/>
    <w:tmpl w:val="D65AE5BE"/>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8">
    <w:nsid w:val="4DA03D1C"/>
    <w:multiLevelType w:val="hybridMultilevel"/>
    <w:tmpl w:val="99140764"/>
    <w:lvl w:ilvl="0" w:tplc="039CE9F6">
      <w:start w:val="1"/>
      <w:numFmt w:val="bullet"/>
      <w:lvlText w:val=""/>
      <w:lvlJc w:val="left"/>
      <w:pPr>
        <w:ind w:left="360" w:hanging="360"/>
      </w:pPr>
      <w:rPr>
        <w:rFonts w:ascii="Wingdings" w:hAnsi="Wingdings" w:hint="default"/>
        <w:b/>
        <w:sz w:val="28"/>
        <w:szCs w:val="2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53C21234"/>
    <w:multiLevelType w:val="hybridMultilevel"/>
    <w:tmpl w:val="2424DD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BA2DED"/>
    <w:multiLevelType w:val="hybridMultilevel"/>
    <w:tmpl w:val="E43ED4F8"/>
    <w:lvl w:ilvl="0" w:tplc="CE3C4950">
      <w:start w:val="1"/>
      <w:numFmt w:val="bullet"/>
      <w:lvlText w:val=""/>
      <w:lvlJc w:val="left"/>
      <w:pPr>
        <w:ind w:left="360" w:hanging="360"/>
      </w:pPr>
      <w:rPr>
        <w:rFonts w:ascii="Wingdings" w:hAnsi="Wingding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7CA55F8"/>
    <w:multiLevelType w:val="hybridMultilevel"/>
    <w:tmpl w:val="A4C23650"/>
    <w:lvl w:ilvl="0" w:tplc="23E458BA">
      <w:start w:val="1"/>
      <w:numFmt w:val="bullet"/>
      <w:lvlText w:val=""/>
      <w:lvlJc w:val="left"/>
      <w:pPr>
        <w:ind w:left="360" w:hanging="360"/>
      </w:pPr>
      <w:rPr>
        <w:rFonts w:ascii="Wingdings" w:hAnsi="Wingding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E17DE8"/>
    <w:multiLevelType w:val="hybridMultilevel"/>
    <w:tmpl w:val="D3806A0A"/>
    <w:lvl w:ilvl="0" w:tplc="8E6C6B0E">
      <w:start w:val="1"/>
      <w:numFmt w:val="decimal"/>
      <w:lvlText w:val="%1."/>
      <w:lvlJc w:val="left"/>
      <w:pPr>
        <w:ind w:left="360" w:hanging="360"/>
      </w:pPr>
      <w:rPr>
        <w:rFonts w:ascii="Times New Roman" w:eastAsiaTheme="minorEastAsia" w:hAnsi="Times New Roman" w:cs="Times New Roman"/>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 w:numId="2">
    <w:abstractNumId w:val="10"/>
  </w:num>
  <w:num w:numId="3">
    <w:abstractNumId w:val="5"/>
  </w:num>
  <w:num w:numId="4">
    <w:abstractNumId w:val="1"/>
  </w:num>
  <w:num w:numId="5">
    <w:abstractNumId w:val="12"/>
  </w:num>
  <w:num w:numId="6">
    <w:abstractNumId w:val="6"/>
  </w:num>
  <w:num w:numId="7">
    <w:abstractNumId w:val="11"/>
  </w:num>
  <w:num w:numId="8">
    <w:abstractNumId w:val="7"/>
  </w:num>
  <w:num w:numId="9">
    <w:abstractNumId w:val="4"/>
  </w:num>
  <w:num w:numId="10">
    <w:abstractNumId w:val="8"/>
  </w:num>
  <w:num w:numId="11">
    <w:abstractNumId w:val="3"/>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numFmt w:val="decimal"/>
    <w:endnote w:id="-1"/>
    <w:endnote w:id="0"/>
  </w:endnotePr>
  <w:compat>
    <w:useFELayout/>
  </w:compat>
  <w:rsids>
    <w:rsidRoot w:val="00EC697C"/>
    <w:rsid w:val="000010B8"/>
    <w:rsid w:val="00001F5A"/>
    <w:rsid w:val="0001628D"/>
    <w:rsid w:val="00023ADC"/>
    <w:rsid w:val="000241C6"/>
    <w:rsid w:val="00060A1E"/>
    <w:rsid w:val="00073B36"/>
    <w:rsid w:val="00083057"/>
    <w:rsid w:val="000A667B"/>
    <w:rsid w:val="000B444C"/>
    <w:rsid w:val="000B7DE6"/>
    <w:rsid w:val="000C0A82"/>
    <w:rsid w:val="000D10BA"/>
    <w:rsid w:val="000D38BA"/>
    <w:rsid w:val="000E1C12"/>
    <w:rsid w:val="000F33DF"/>
    <w:rsid w:val="000F4509"/>
    <w:rsid w:val="00121D77"/>
    <w:rsid w:val="001261BD"/>
    <w:rsid w:val="00130622"/>
    <w:rsid w:val="0014352B"/>
    <w:rsid w:val="00175A53"/>
    <w:rsid w:val="001C415C"/>
    <w:rsid w:val="001D2A97"/>
    <w:rsid w:val="00212AB9"/>
    <w:rsid w:val="00224ED1"/>
    <w:rsid w:val="002329F6"/>
    <w:rsid w:val="0023693A"/>
    <w:rsid w:val="00246717"/>
    <w:rsid w:val="00281B12"/>
    <w:rsid w:val="002A4A67"/>
    <w:rsid w:val="002B72C7"/>
    <w:rsid w:val="002F062B"/>
    <w:rsid w:val="002F32D3"/>
    <w:rsid w:val="00304253"/>
    <w:rsid w:val="003152FE"/>
    <w:rsid w:val="00331C6A"/>
    <w:rsid w:val="003503EC"/>
    <w:rsid w:val="003866DC"/>
    <w:rsid w:val="003A107B"/>
    <w:rsid w:val="003A36BE"/>
    <w:rsid w:val="003A6C79"/>
    <w:rsid w:val="003D31B3"/>
    <w:rsid w:val="003F6440"/>
    <w:rsid w:val="00416AA6"/>
    <w:rsid w:val="004262AF"/>
    <w:rsid w:val="00432CAF"/>
    <w:rsid w:val="00441F4A"/>
    <w:rsid w:val="004455D2"/>
    <w:rsid w:val="00493119"/>
    <w:rsid w:val="004976E4"/>
    <w:rsid w:val="004A0917"/>
    <w:rsid w:val="004E3694"/>
    <w:rsid w:val="004E563C"/>
    <w:rsid w:val="004E5A80"/>
    <w:rsid w:val="004E6551"/>
    <w:rsid w:val="00503D5E"/>
    <w:rsid w:val="005064EA"/>
    <w:rsid w:val="00514617"/>
    <w:rsid w:val="00517364"/>
    <w:rsid w:val="00537AE7"/>
    <w:rsid w:val="00560C4A"/>
    <w:rsid w:val="00575DFF"/>
    <w:rsid w:val="00583C55"/>
    <w:rsid w:val="0058762C"/>
    <w:rsid w:val="005B5F4A"/>
    <w:rsid w:val="005C259F"/>
    <w:rsid w:val="005C5FE4"/>
    <w:rsid w:val="005D6C62"/>
    <w:rsid w:val="005E60B0"/>
    <w:rsid w:val="005E6FDB"/>
    <w:rsid w:val="005F5300"/>
    <w:rsid w:val="00622C0B"/>
    <w:rsid w:val="006328DA"/>
    <w:rsid w:val="00635EB0"/>
    <w:rsid w:val="00640391"/>
    <w:rsid w:val="006419EA"/>
    <w:rsid w:val="006476EF"/>
    <w:rsid w:val="00654268"/>
    <w:rsid w:val="0068549B"/>
    <w:rsid w:val="00694A7B"/>
    <w:rsid w:val="006D5FDB"/>
    <w:rsid w:val="006D678A"/>
    <w:rsid w:val="006D7613"/>
    <w:rsid w:val="006E53B5"/>
    <w:rsid w:val="00701B41"/>
    <w:rsid w:val="00714455"/>
    <w:rsid w:val="00732413"/>
    <w:rsid w:val="00747473"/>
    <w:rsid w:val="0075727C"/>
    <w:rsid w:val="00797A80"/>
    <w:rsid w:val="007A4CC5"/>
    <w:rsid w:val="007B3F72"/>
    <w:rsid w:val="007C7329"/>
    <w:rsid w:val="007E6CA3"/>
    <w:rsid w:val="007F32E2"/>
    <w:rsid w:val="007F38C9"/>
    <w:rsid w:val="00820D08"/>
    <w:rsid w:val="00824115"/>
    <w:rsid w:val="00832B8F"/>
    <w:rsid w:val="00837E31"/>
    <w:rsid w:val="00841DB4"/>
    <w:rsid w:val="008475AD"/>
    <w:rsid w:val="008557C2"/>
    <w:rsid w:val="00856768"/>
    <w:rsid w:val="00874BBD"/>
    <w:rsid w:val="0089221C"/>
    <w:rsid w:val="008A71A9"/>
    <w:rsid w:val="008D30B6"/>
    <w:rsid w:val="008E77C0"/>
    <w:rsid w:val="009058E5"/>
    <w:rsid w:val="00922C63"/>
    <w:rsid w:val="0092714C"/>
    <w:rsid w:val="00930243"/>
    <w:rsid w:val="00930515"/>
    <w:rsid w:val="009352F1"/>
    <w:rsid w:val="00935794"/>
    <w:rsid w:val="00947E8D"/>
    <w:rsid w:val="0095304C"/>
    <w:rsid w:val="00965ADE"/>
    <w:rsid w:val="009777F7"/>
    <w:rsid w:val="009846B2"/>
    <w:rsid w:val="00994218"/>
    <w:rsid w:val="00994B1A"/>
    <w:rsid w:val="009A30F7"/>
    <w:rsid w:val="009C66D7"/>
    <w:rsid w:val="009F2624"/>
    <w:rsid w:val="00A0589B"/>
    <w:rsid w:val="00A67689"/>
    <w:rsid w:val="00AA5109"/>
    <w:rsid w:val="00AC16EA"/>
    <w:rsid w:val="00AC4750"/>
    <w:rsid w:val="00AC78D5"/>
    <w:rsid w:val="00AC7C9E"/>
    <w:rsid w:val="00B10C83"/>
    <w:rsid w:val="00B25404"/>
    <w:rsid w:val="00B334AA"/>
    <w:rsid w:val="00B42BC7"/>
    <w:rsid w:val="00B639F3"/>
    <w:rsid w:val="00BA1ED1"/>
    <w:rsid w:val="00BF0A69"/>
    <w:rsid w:val="00BF3D85"/>
    <w:rsid w:val="00C06E67"/>
    <w:rsid w:val="00C164A4"/>
    <w:rsid w:val="00C45C85"/>
    <w:rsid w:val="00C57DE0"/>
    <w:rsid w:val="00C64CFA"/>
    <w:rsid w:val="00C71881"/>
    <w:rsid w:val="00CB36CD"/>
    <w:rsid w:val="00CB40A1"/>
    <w:rsid w:val="00CB6EC8"/>
    <w:rsid w:val="00CD0C51"/>
    <w:rsid w:val="00CE6198"/>
    <w:rsid w:val="00D14AEF"/>
    <w:rsid w:val="00D15464"/>
    <w:rsid w:val="00D1624F"/>
    <w:rsid w:val="00D36AD7"/>
    <w:rsid w:val="00D47654"/>
    <w:rsid w:val="00D54D87"/>
    <w:rsid w:val="00D95276"/>
    <w:rsid w:val="00DA00FA"/>
    <w:rsid w:val="00DD1965"/>
    <w:rsid w:val="00DF2EF6"/>
    <w:rsid w:val="00E06611"/>
    <w:rsid w:val="00E10030"/>
    <w:rsid w:val="00E31880"/>
    <w:rsid w:val="00E42965"/>
    <w:rsid w:val="00E45E3A"/>
    <w:rsid w:val="00E7203D"/>
    <w:rsid w:val="00E750DD"/>
    <w:rsid w:val="00E77C32"/>
    <w:rsid w:val="00E840A9"/>
    <w:rsid w:val="00EC4E04"/>
    <w:rsid w:val="00EC697C"/>
    <w:rsid w:val="00ED5608"/>
    <w:rsid w:val="00ED6020"/>
    <w:rsid w:val="00EE606C"/>
    <w:rsid w:val="00F013FE"/>
    <w:rsid w:val="00F1633E"/>
    <w:rsid w:val="00F17B90"/>
    <w:rsid w:val="00F272F3"/>
    <w:rsid w:val="00F46AD6"/>
    <w:rsid w:val="00F52107"/>
    <w:rsid w:val="00FC4989"/>
    <w:rsid w:val="00FD3759"/>
    <w:rsid w:val="00FD5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030"/>
  </w:style>
  <w:style w:type="paragraph" w:styleId="Heading1">
    <w:name w:val="heading 1"/>
    <w:basedOn w:val="Normal"/>
    <w:next w:val="Normal"/>
    <w:link w:val="Heading1Char"/>
    <w:uiPriority w:val="9"/>
    <w:qFormat/>
    <w:rsid w:val="00E100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00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00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00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003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00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00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00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100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46B2"/>
    <w:pPr>
      <w:spacing w:after="0" w:line="240" w:lineRule="auto"/>
    </w:pPr>
    <w:rPr>
      <w:sz w:val="20"/>
      <w:szCs w:val="20"/>
    </w:rPr>
  </w:style>
  <w:style w:type="character" w:customStyle="1" w:styleId="FootnoteTextChar">
    <w:name w:val="Footnote Text Char"/>
    <w:basedOn w:val="DefaultParagraphFont"/>
    <w:link w:val="FootnoteText"/>
    <w:uiPriority w:val="99"/>
    <w:rsid w:val="009846B2"/>
    <w:rPr>
      <w:sz w:val="20"/>
      <w:szCs w:val="20"/>
    </w:rPr>
  </w:style>
  <w:style w:type="character" w:styleId="FootnoteReference">
    <w:name w:val="footnote reference"/>
    <w:basedOn w:val="DefaultParagraphFont"/>
    <w:uiPriority w:val="99"/>
    <w:semiHidden/>
    <w:unhideWhenUsed/>
    <w:rsid w:val="009846B2"/>
    <w:rPr>
      <w:vertAlign w:val="superscript"/>
    </w:rPr>
  </w:style>
  <w:style w:type="paragraph" w:styleId="ListParagraph">
    <w:name w:val="List Paragraph"/>
    <w:basedOn w:val="Normal"/>
    <w:uiPriority w:val="34"/>
    <w:qFormat/>
    <w:rsid w:val="00E10030"/>
    <w:pPr>
      <w:ind w:left="720"/>
      <w:contextualSpacing/>
    </w:pPr>
  </w:style>
  <w:style w:type="paragraph" w:customStyle="1" w:styleId="Style1">
    <w:name w:val="Style1"/>
    <w:basedOn w:val="Normal"/>
    <w:uiPriority w:val="99"/>
    <w:rsid w:val="00E10030"/>
    <w:pPr>
      <w:widowControl w:val="0"/>
      <w:autoSpaceDE w:val="0"/>
      <w:autoSpaceDN w:val="0"/>
      <w:adjustRightInd w:val="0"/>
      <w:spacing w:after="0" w:line="214" w:lineRule="exact"/>
    </w:pPr>
    <w:rPr>
      <w:rFonts w:ascii="Times New Roman" w:hAnsi="Times New Roman" w:cs="Times New Roman"/>
      <w:sz w:val="24"/>
      <w:szCs w:val="24"/>
    </w:rPr>
  </w:style>
  <w:style w:type="character" w:customStyle="1" w:styleId="FontStyle12">
    <w:name w:val="Font Style12"/>
    <w:basedOn w:val="DefaultParagraphFont"/>
    <w:uiPriority w:val="99"/>
    <w:rsid w:val="00E10030"/>
    <w:rPr>
      <w:rFonts w:ascii="Times New Roman" w:hAnsi="Times New Roman" w:cs="Times New Roman"/>
      <w:sz w:val="20"/>
      <w:szCs w:val="20"/>
    </w:rPr>
  </w:style>
  <w:style w:type="character" w:customStyle="1" w:styleId="FontStyle17">
    <w:name w:val="Font Style17"/>
    <w:basedOn w:val="DefaultParagraphFont"/>
    <w:uiPriority w:val="99"/>
    <w:rsid w:val="00E10030"/>
    <w:rPr>
      <w:rFonts w:ascii="Times New Roman" w:hAnsi="Times New Roman" w:cs="Times New Roman"/>
      <w:sz w:val="20"/>
      <w:szCs w:val="20"/>
    </w:rPr>
  </w:style>
  <w:style w:type="character" w:customStyle="1" w:styleId="Heading1Char">
    <w:name w:val="Heading 1 Char"/>
    <w:basedOn w:val="DefaultParagraphFont"/>
    <w:link w:val="Heading1"/>
    <w:uiPriority w:val="9"/>
    <w:rsid w:val="00E100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00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00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00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100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100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100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1003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1003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E10030"/>
    <w:pPr>
      <w:spacing w:line="240" w:lineRule="auto"/>
    </w:pPr>
    <w:rPr>
      <w:b/>
      <w:bCs/>
      <w:color w:val="4F81BD" w:themeColor="accent1"/>
      <w:sz w:val="18"/>
      <w:szCs w:val="18"/>
    </w:rPr>
  </w:style>
  <w:style w:type="paragraph" w:styleId="Title">
    <w:name w:val="Title"/>
    <w:basedOn w:val="Normal"/>
    <w:next w:val="Normal"/>
    <w:link w:val="TitleChar"/>
    <w:uiPriority w:val="10"/>
    <w:qFormat/>
    <w:rsid w:val="00E100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003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00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003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10030"/>
    <w:rPr>
      <w:b/>
      <w:bCs/>
    </w:rPr>
  </w:style>
  <w:style w:type="character" w:styleId="Emphasis">
    <w:name w:val="Emphasis"/>
    <w:basedOn w:val="DefaultParagraphFont"/>
    <w:uiPriority w:val="20"/>
    <w:qFormat/>
    <w:rsid w:val="00E10030"/>
    <w:rPr>
      <w:i/>
      <w:iCs/>
    </w:rPr>
  </w:style>
  <w:style w:type="paragraph" w:styleId="NoSpacing">
    <w:name w:val="No Spacing"/>
    <w:link w:val="NoSpacingChar"/>
    <w:uiPriority w:val="1"/>
    <w:qFormat/>
    <w:rsid w:val="00E10030"/>
    <w:pPr>
      <w:spacing w:after="0" w:line="240" w:lineRule="auto"/>
    </w:pPr>
  </w:style>
  <w:style w:type="character" w:customStyle="1" w:styleId="NoSpacingChar">
    <w:name w:val="No Spacing Char"/>
    <w:basedOn w:val="DefaultParagraphFont"/>
    <w:link w:val="NoSpacing"/>
    <w:uiPriority w:val="1"/>
    <w:rsid w:val="00E10030"/>
  </w:style>
  <w:style w:type="paragraph" w:styleId="Quote">
    <w:name w:val="Quote"/>
    <w:basedOn w:val="Normal"/>
    <w:next w:val="Normal"/>
    <w:link w:val="QuoteChar"/>
    <w:uiPriority w:val="29"/>
    <w:qFormat/>
    <w:rsid w:val="00E10030"/>
    <w:rPr>
      <w:i/>
      <w:iCs/>
      <w:color w:val="000000" w:themeColor="text1"/>
    </w:rPr>
  </w:style>
  <w:style w:type="character" w:customStyle="1" w:styleId="QuoteChar">
    <w:name w:val="Quote Char"/>
    <w:basedOn w:val="DefaultParagraphFont"/>
    <w:link w:val="Quote"/>
    <w:uiPriority w:val="29"/>
    <w:rsid w:val="00E10030"/>
    <w:rPr>
      <w:i/>
      <w:iCs/>
      <w:color w:val="000000" w:themeColor="text1"/>
    </w:rPr>
  </w:style>
  <w:style w:type="paragraph" w:styleId="IntenseQuote">
    <w:name w:val="Intense Quote"/>
    <w:basedOn w:val="Normal"/>
    <w:next w:val="Normal"/>
    <w:link w:val="IntenseQuoteChar"/>
    <w:uiPriority w:val="30"/>
    <w:qFormat/>
    <w:rsid w:val="00E100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0030"/>
    <w:rPr>
      <w:b/>
      <w:bCs/>
      <w:i/>
      <w:iCs/>
      <w:color w:val="4F81BD" w:themeColor="accent1"/>
    </w:rPr>
  </w:style>
  <w:style w:type="character" w:styleId="SubtleEmphasis">
    <w:name w:val="Subtle Emphasis"/>
    <w:basedOn w:val="DefaultParagraphFont"/>
    <w:uiPriority w:val="19"/>
    <w:qFormat/>
    <w:rsid w:val="00E10030"/>
    <w:rPr>
      <w:i/>
      <w:iCs/>
      <w:color w:val="808080" w:themeColor="text1" w:themeTint="7F"/>
    </w:rPr>
  </w:style>
  <w:style w:type="character" w:styleId="IntenseEmphasis">
    <w:name w:val="Intense Emphasis"/>
    <w:basedOn w:val="DefaultParagraphFont"/>
    <w:uiPriority w:val="21"/>
    <w:qFormat/>
    <w:rsid w:val="00E10030"/>
    <w:rPr>
      <w:b/>
      <w:bCs/>
      <w:i/>
      <w:iCs/>
      <w:color w:val="4F81BD" w:themeColor="accent1"/>
    </w:rPr>
  </w:style>
  <w:style w:type="character" w:styleId="SubtleReference">
    <w:name w:val="Subtle Reference"/>
    <w:basedOn w:val="DefaultParagraphFont"/>
    <w:uiPriority w:val="31"/>
    <w:qFormat/>
    <w:rsid w:val="00E10030"/>
    <w:rPr>
      <w:smallCaps/>
      <w:color w:val="C0504D" w:themeColor="accent2"/>
      <w:u w:val="single"/>
    </w:rPr>
  </w:style>
  <w:style w:type="character" w:styleId="IntenseReference">
    <w:name w:val="Intense Reference"/>
    <w:basedOn w:val="DefaultParagraphFont"/>
    <w:uiPriority w:val="32"/>
    <w:qFormat/>
    <w:rsid w:val="00E10030"/>
    <w:rPr>
      <w:b/>
      <w:bCs/>
      <w:smallCaps/>
      <w:color w:val="C0504D" w:themeColor="accent2"/>
      <w:spacing w:val="5"/>
      <w:u w:val="single"/>
    </w:rPr>
  </w:style>
  <w:style w:type="character" w:styleId="BookTitle">
    <w:name w:val="Book Title"/>
    <w:basedOn w:val="DefaultParagraphFont"/>
    <w:uiPriority w:val="33"/>
    <w:qFormat/>
    <w:rsid w:val="00E10030"/>
    <w:rPr>
      <w:b/>
      <w:bCs/>
      <w:smallCaps/>
      <w:spacing w:val="5"/>
    </w:rPr>
  </w:style>
  <w:style w:type="paragraph" w:styleId="TOCHeading">
    <w:name w:val="TOC Heading"/>
    <w:basedOn w:val="Heading1"/>
    <w:next w:val="Normal"/>
    <w:uiPriority w:val="39"/>
    <w:semiHidden/>
    <w:unhideWhenUsed/>
    <w:qFormat/>
    <w:rsid w:val="00E10030"/>
    <w:pPr>
      <w:outlineLvl w:val="9"/>
    </w:pPr>
  </w:style>
  <w:style w:type="character" w:styleId="Hyperlink">
    <w:name w:val="Hyperlink"/>
    <w:basedOn w:val="DefaultParagraphFont"/>
    <w:uiPriority w:val="99"/>
    <w:rsid w:val="00D95276"/>
    <w:rPr>
      <w:color w:val="0000FF"/>
      <w:u w:val="single"/>
    </w:rPr>
  </w:style>
  <w:style w:type="table" w:styleId="TableGrid">
    <w:name w:val="Table Grid"/>
    <w:basedOn w:val="TableNormal"/>
    <w:uiPriority w:val="59"/>
    <w:rsid w:val="00B42B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1">
    <w:name w:val="Medium Shading 11"/>
    <w:basedOn w:val="TableNormal"/>
    <w:uiPriority w:val="63"/>
    <w:rsid w:val="00B42BC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B42B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2BC7"/>
    <w:rPr>
      <w:sz w:val="20"/>
      <w:szCs w:val="20"/>
    </w:rPr>
  </w:style>
  <w:style w:type="character" w:styleId="EndnoteReference">
    <w:name w:val="endnote reference"/>
    <w:basedOn w:val="DefaultParagraphFont"/>
    <w:uiPriority w:val="99"/>
    <w:semiHidden/>
    <w:unhideWhenUsed/>
    <w:rsid w:val="00B42BC7"/>
    <w:rPr>
      <w:vertAlign w:val="superscript"/>
    </w:rPr>
  </w:style>
  <w:style w:type="paragraph" w:styleId="BalloonText">
    <w:name w:val="Balloon Text"/>
    <w:basedOn w:val="Normal"/>
    <w:link w:val="BalloonTextChar"/>
    <w:uiPriority w:val="99"/>
    <w:semiHidden/>
    <w:unhideWhenUsed/>
    <w:rsid w:val="00DD1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965"/>
    <w:rPr>
      <w:rFonts w:ascii="Tahoma" w:hAnsi="Tahoma" w:cs="Tahoma"/>
      <w:sz w:val="16"/>
      <w:szCs w:val="16"/>
    </w:rPr>
  </w:style>
  <w:style w:type="paragraph" w:styleId="Header">
    <w:name w:val="header"/>
    <w:basedOn w:val="Normal"/>
    <w:link w:val="HeaderChar"/>
    <w:uiPriority w:val="99"/>
    <w:unhideWhenUsed/>
    <w:rsid w:val="005B5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F4A"/>
  </w:style>
  <w:style w:type="paragraph" w:styleId="Footer">
    <w:name w:val="footer"/>
    <w:basedOn w:val="Normal"/>
    <w:link w:val="FooterChar"/>
    <w:uiPriority w:val="99"/>
    <w:unhideWhenUsed/>
    <w:rsid w:val="005B5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F4A"/>
  </w:style>
  <w:style w:type="table" w:customStyle="1" w:styleId="MediumShading21">
    <w:name w:val="Medium Shading 21"/>
    <w:basedOn w:val="TableNormal"/>
    <w:uiPriority w:val="64"/>
    <w:rsid w:val="00AC16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Grid1">
    <w:name w:val="Colorful Grid1"/>
    <w:basedOn w:val="TableNormal"/>
    <w:uiPriority w:val="73"/>
    <w:rsid w:val="003A36B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1">
    <w:name w:val="Medium Grid 11"/>
    <w:basedOn w:val="TableNormal"/>
    <w:uiPriority w:val="67"/>
    <w:rsid w:val="003A36B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uiPriority w:val="99"/>
    <w:semiHidden/>
    <w:unhideWhenUsed/>
    <w:rsid w:val="00AC4750"/>
    <w:pPr>
      <w:ind w:leftChars="2500" w:left="100"/>
    </w:pPr>
  </w:style>
  <w:style w:type="character" w:customStyle="1" w:styleId="DateChar">
    <w:name w:val="Date Char"/>
    <w:basedOn w:val="DefaultParagraphFont"/>
    <w:link w:val="Date"/>
    <w:uiPriority w:val="99"/>
    <w:semiHidden/>
    <w:rsid w:val="00AC47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kumarchaurasia12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jpeg"/></Relationships>
</file>

<file path=word/_rels/endnotes.xml.rels><?xml version="1.0" encoding="UTF-8" standalone="yes"?>
<Relationships xmlns="http://schemas.openxmlformats.org/package/2006/relationships"><Relationship Id="rId3" Type="http://schemas.openxmlformats.org/officeDocument/2006/relationships/hyperlink" Target="http://en.wikipedia.org/wiki/Europe" TargetMode="External"/><Relationship Id="rId2" Type="http://schemas.openxmlformats.org/officeDocument/2006/relationships/hyperlink" Target="http://en.wikipedia.org/wiki/Marshall_Plan" TargetMode="External"/><Relationship Id="rId1" Type="http://schemas.openxmlformats.org/officeDocument/2006/relationships/hyperlink" Target="http://en.wikipedia.org/wiki/Robert_Marjolin" TargetMode="External"/><Relationship Id="rId4" Type="http://schemas.openxmlformats.org/officeDocument/2006/relationships/hyperlink" Target="http://en.wikipedia.org/wiki/World_War_I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18B6-48A0-4783-925A-07E9768C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Chaurasia</dc:creator>
  <cp:lastModifiedBy>Administrator</cp:lastModifiedBy>
  <cp:revision>5</cp:revision>
  <cp:lastPrinted>2015-10-13T00:44:00Z</cp:lastPrinted>
  <dcterms:created xsi:type="dcterms:W3CDTF">2015-10-13T10:56:00Z</dcterms:created>
  <dcterms:modified xsi:type="dcterms:W3CDTF">2015-10-13T01:28:00Z</dcterms:modified>
</cp:coreProperties>
</file>