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C1" w:rsidRPr="00792884" w:rsidRDefault="00C764E2" w:rsidP="00E0260F">
      <w:pPr>
        <w:pStyle w:val="NormalWeb"/>
        <w:shd w:val="clear" w:color="auto" w:fill="F8FCFF"/>
        <w:spacing w:before="0" w:beforeAutospacing="0" w:after="0" w:afterAutospacing="0"/>
        <w:jc w:val="center"/>
        <w:rPr>
          <w:b/>
          <w:bCs/>
          <w:sz w:val="20"/>
          <w:szCs w:val="20"/>
        </w:rPr>
      </w:pPr>
      <w:proofErr w:type="spellStart"/>
      <w:r>
        <w:rPr>
          <w:b/>
          <w:bCs/>
          <w:sz w:val="20"/>
          <w:szCs w:val="20"/>
        </w:rPr>
        <w:t>Thromboxane</w:t>
      </w:r>
      <w:proofErr w:type="spellEnd"/>
      <w:r>
        <w:rPr>
          <w:b/>
          <w:bCs/>
          <w:sz w:val="20"/>
          <w:szCs w:val="20"/>
        </w:rPr>
        <w:t xml:space="preserve"> (TX),</w:t>
      </w:r>
      <w:r w:rsidR="00F2444D" w:rsidRPr="00792884">
        <w:rPr>
          <w:b/>
          <w:bCs/>
          <w:sz w:val="20"/>
          <w:szCs w:val="20"/>
        </w:rPr>
        <w:t xml:space="preserve"> </w:t>
      </w:r>
      <w:r w:rsidR="00F2444D" w:rsidRPr="00792884">
        <w:rPr>
          <w:b/>
          <w:sz w:val="20"/>
          <w:szCs w:val="20"/>
        </w:rPr>
        <w:t>Prostaglandins (PG)</w:t>
      </w:r>
      <w:r>
        <w:rPr>
          <w:b/>
          <w:sz w:val="20"/>
          <w:szCs w:val="20"/>
        </w:rPr>
        <w:t xml:space="preserve"> and</w:t>
      </w:r>
      <w:r w:rsidRPr="00C764E2">
        <w:rPr>
          <w:b/>
          <w:sz w:val="20"/>
          <w:szCs w:val="20"/>
        </w:rPr>
        <w:t xml:space="preserve"> </w:t>
      </w:r>
      <w:proofErr w:type="spellStart"/>
      <w:r w:rsidRPr="00C764E2">
        <w:rPr>
          <w:b/>
          <w:sz w:val="20"/>
          <w:szCs w:val="20"/>
        </w:rPr>
        <w:t>Atorvastatin</w:t>
      </w:r>
      <w:proofErr w:type="spellEnd"/>
      <w:r w:rsidRPr="00C764E2">
        <w:rPr>
          <w:b/>
          <w:sz w:val="20"/>
          <w:szCs w:val="20"/>
        </w:rPr>
        <w:t xml:space="preserve"> (</w:t>
      </w:r>
      <w:proofErr w:type="spellStart"/>
      <w:r w:rsidRPr="00C764E2">
        <w:rPr>
          <w:b/>
          <w:sz w:val="20"/>
          <w:szCs w:val="20"/>
        </w:rPr>
        <w:t>Liptor</w:t>
      </w:r>
      <w:proofErr w:type="spellEnd"/>
      <w:r w:rsidRPr="00C764E2">
        <w:rPr>
          <w:b/>
          <w:sz w:val="20"/>
          <w:szCs w:val="20"/>
        </w:rPr>
        <w:t>)</w:t>
      </w:r>
      <w:r w:rsidR="00E0260F">
        <w:rPr>
          <w:b/>
          <w:sz w:val="20"/>
          <w:szCs w:val="20"/>
        </w:rPr>
        <w:t xml:space="preserve"> Literatures </w:t>
      </w:r>
    </w:p>
    <w:p w:rsidR="00D010C1" w:rsidRPr="00E0260F" w:rsidRDefault="00D010C1" w:rsidP="008912F4">
      <w:pPr>
        <w:pStyle w:val="NormalWeb"/>
        <w:shd w:val="clear" w:color="auto" w:fill="F8FCFF"/>
        <w:spacing w:before="0" w:beforeAutospacing="0" w:after="0" w:afterAutospacing="0"/>
        <w:jc w:val="both"/>
        <w:rPr>
          <w:b/>
          <w:bCs/>
          <w:sz w:val="20"/>
          <w:szCs w:val="20"/>
        </w:rPr>
      </w:pPr>
    </w:p>
    <w:p w:rsidR="00E0260F" w:rsidRPr="00E0260F" w:rsidRDefault="00E0260F" w:rsidP="00E0260F">
      <w:pPr>
        <w:jc w:val="center"/>
        <w:rPr>
          <w:rStyle w:val="Emphasis"/>
          <w:i w:val="0"/>
          <w:iCs w:val="0"/>
          <w:sz w:val="20"/>
          <w:szCs w:val="20"/>
        </w:rPr>
      </w:pPr>
      <w:r w:rsidRPr="00E0260F">
        <w:rPr>
          <w:rStyle w:val="Emphasis"/>
          <w:i w:val="0"/>
          <w:sz w:val="20"/>
          <w:szCs w:val="20"/>
        </w:rPr>
        <w:t xml:space="preserve">Ma </w:t>
      </w:r>
      <w:proofErr w:type="spellStart"/>
      <w:r w:rsidRPr="00E0260F">
        <w:rPr>
          <w:rStyle w:val="Emphasis"/>
          <w:i w:val="0"/>
          <w:sz w:val="20"/>
          <w:szCs w:val="20"/>
        </w:rPr>
        <w:t>Hongbao</w:t>
      </w:r>
      <w:proofErr w:type="spellEnd"/>
      <w:r w:rsidRPr="00E0260F">
        <w:rPr>
          <w:rStyle w:val="Emphasis"/>
          <w:i w:val="0"/>
          <w:sz w:val="20"/>
          <w:szCs w:val="20"/>
        </w:rPr>
        <w:t xml:space="preserve"> </w:t>
      </w:r>
      <w:r w:rsidRPr="00E0260F">
        <w:rPr>
          <w:rStyle w:val="Emphasis"/>
          <w:i w:val="0"/>
          <w:sz w:val="20"/>
          <w:szCs w:val="20"/>
          <w:vertAlign w:val="superscript"/>
        </w:rPr>
        <w:t>1</w:t>
      </w:r>
      <w:r w:rsidRPr="00E0260F">
        <w:rPr>
          <w:rStyle w:val="Emphasis"/>
          <w:i w:val="0"/>
          <w:sz w:val="20"/>
          <w:szCs w:val="20"/>
        </w:rPr>
        <w:t xml:space="preserve">, Margaret Young </w:t>
      </w:r>
      <w:r w:rsidRPr="00E0260F">
        <w:rPr>
          <w:rStyle w:val="Emphasis"/>
          <w:i w:val="0"/>
          <w:sz w:val="20"/>
          <w:szCs w:val="20"/>
          <w:vertAlign w:val="superscript"/>
        </w:rPr>
        <w:t>2</w:t>
      </w:r>
      <w:r w:rsidRPr="00E0260F">
        <w:rPr>
          <w:rStyle w:val="Emphasis"/>
          <w:i w:val="0"/>
          <w:sz w:val="20"/>
          <w:szCs w:val="20"/>
        </w:rPr>
        <w:t xml:space="preserve">, Yang Yan </w:t>
      </w:r>
      <w:r w:rsidRPr="00E0260F">
        <w:rPr>
          <w:rStyle w:val="Emphasis"/>
          <w:i w:val="0"/>
          <w:sz w:val="20"/>
          <w:szCs w:val="20"/>
          <w:vertAlign w:val="superscript"/>
        </w:rPr>
        <w:t>1</w:t>
      </w:r>
    </w:p>
    <w:p w:rsidR="00E0260F" w:rsidRPr="00E0260F" w:rsidRDefault="00E0260F" w:rsidP="00E0260F">
      <w:pPr>
        <w:ind w:firstLine="360"/>
        <w:jc w:val="center"/>
        <w:rPr>
          <w:rStyle w:val="Emphasis"/>
          <w:i w:val="0"/>
          <w:iCs w:val="0"/>
          <w:sz w:val="20"/>
          <w:szCs w:val="20"/>
        </w:rPr>
      </w:pPr>
    </w:p>
    <w:p w:rsidR="00E0260F" w:rsidRPr="00090FF6" w:rsidRDefault="00E0260F" w:rsidP="00E0260F">
      <w:pPr>
        <w:jc w:val="center"/>
        <w:rPr>
          <w:sz w:val="20"/>
          <w:szCs w:val="20"/>
        </w:rPr>
      </w:pPr>
      <w:r w:rsidRPr="00E0260F">
        <w:rPr>
          <w:rStyle w:val="Emphasis"/>
          <w:i w:val="0"/>
          <w:sz w:val="20"/>
          <w:szCs w:val="20"/>
          <w:vertAlign w:val="superscript"/>
        </w:rPr>
        <w:t xml:space="preserve">1 </w:t>
      </w:r>
      <w:proofErr w:type="spellStart"/>
      <w:r w:rsidRPr="00E0260F">
        <w:rPr>
          <w:rStyle w:val="Emphasis"/>
          <w:i w:val="0"/>
          <w:sz w:val="20"/>
          <w:szCs w:val="20"/>
        </w:rPr>
        <w:t>Brookdale</w:t>
      </w:r>
      <w:proofErr w:type="spellEnd"/>
      <w:r w:rsidRPr="00E0260F">
        <w:rPr>
          <w:rStyle w:val="Emphasis"/>
          <w:i w:val="0"/>
          <w:sz w:val="20"/>
          <w:szCs w:val="20"/>
        </w:rPr>
        <w:t xml:space="preserve"> Hospital, Brooklyn, New York 11212, USA; </w:t>
      </w:r>
      <w:r w:rsidRPr="00E0260F">
        <w:rPr>
          <w:rStyle w:val="Emphasis"/>
          <w:i w:val="0"/>
          <w:sz w:val="20"/>
          <w:szCs w:val="20"/>
          <w:vertAlign w:val="superscript"/>
        </w:rPr>
        <w:t xml:space="preserve">2 </w:t>
      </w:r>
      <w:r w:rsidRPr="00090FF6">
        <w:rPr>
          <w:sz w:val="20"/>
          <w:szCs w:val="20"/>
        </w:rPr>
        <w:t>Cambridge, MA 02138, USA</w:t>
      </w:r>
    </w:p>
    <w:p w:rsidR="00E0260F" w:rsidRPr="00090FF6" w:rsidRDefault="00E24596" w:rsidP="00E0260F">
      <w:pPr>
        <w:jc w:val="center"/>
        <w:rPr>
          <w:rStyle w:val="Emphasis"/>
          <w:i w:val="0"/>
          <w:iCs w:val="0"/>
          <w:sz w:val="20"/>
          <w:szCs w:val="20"/>
        </w:rPr>
      </w:pPr>
      <w:hyperlink r:id="rId7" w:history="1">
        <w:r w:rsidR="00E0260F" w:rsidRPr="00090FF6">
          <w:rPr>
            <w:rStyle w:val="Hyperlink"/>
            <w:sz w:val="20"/>
            <w:szCs w:val="20"/>
          </w:rPr>
          <w:t>ma8080@gmail.com</w:t>
        </w:r>
      </w:hyperlink>
    </w:p>
    <w:p w:rsidR="00E0260F" w:rsidRPr="00792884" w:rsidRDefault="00E0260F" w:rsidP="008912F4">
      <w:pPr>
        <w:pStyle w:val="NormalWeb"/>
        <w:shd w:val="clear" w:color="auto" w:fill="F8FCFF"/>
        <w:spacing w:before="0" w:beforeAutospacing="0" w:after="0" w:afterAutospacing="0"/>
        <w:jc w:val="both"/>
        <w:rPr>
          <w:b/>
          <w:bCs/>
          <w:sz w:val="20"/>
          <w:szCs w:val="20"/>
        </w:rPr>
      </w:pPr>
    </w:p>
    <w:p w:rsidR="00E0260F" w:rsidRDefault="00F2444D" w:rsidP="00F2444D">
      <w:pPr>
        <w:pStyle w:val="NormalWeb"/>
        <w:shd w:val="clear" w:color="auto" w:fill="F8FCFF"/>
        <w:spacing w:before="0" w:beforeAutospacing="0" w:after="0" w:afterAutospacing="0"/>
        <w:jc w:val="both"/>
        <w:rPr>
          <w:sz w:val="20"/>
          <w:szCs w:val="20"/>
        </w:rPr>
      </w:pPr>
      <w:r w:rsidRPr="00792884">
        <w:rPr>
          <w:b/>
          <w:bCs/>
          <w:sz w:val="20"/>
          <w:szCs w:val="20"/>
        </w:rPr>
        <w:t xml:space="preserve">Abstract: </w:t>
      </w:r>
      <w:proofErr w:type="spellStart"/>
      <w:r w:rsidRPr="00792884">
        <w:rPr>
          <w:sz w:val="20"/>
          <w:szCs w:val="20"/>
        </w:rPr>
        <w:t>Thromboxane</w:t>
      </w:r>
      <w:proofErr w:type="spellEnd"/>
      <w:r w:rsidRPr="00792884">
        <w:rPr>
          <w:sz w:val="20"/>
          <w:szCs w:val="20"/>
        </w:rPr>
        <w:t xml:space="preserve"> (TX) is a vasoconstrictor, potent hypertensive agent, and facilitates the clumping of platelets, which</w:t>
      </w:r>
      <w:r w:rsidRPr="00792884">
        <w:rPr>
          <w:b/>
          <w:bCs/>
          <w:sz w:val="20"/>
          <w:szCs w:val="20"/>
        </w:rPr>
        <w:t xml:space="preserve"> </w:t>
      </w:r>
      <w:r w:rsidRPr="00792884">
        <w:rPr>
          <w:sz w:val="20"/>
          <w:szCs w:val="20"/>
        </w:rPr>
        <w:t xml:space="preserve">is produced in platelets by TX </w:t>
      </w:r>
      <w:proofErr w:type="spellStart"/>
      <w:r w:rsidRPr="00792884">
        <w:rPr>
          <w:sz w:val="20"/>
          <w:szCs w:val="20"/>
        </w:rPr>
        <w:t>synthetase</w:t>
      </w:r>
      <w:proofErr w:type="spellEnd"/>
      <w:r w:rsidRPr="00792884">
        <w:rPr>
          <w:sz w:val="20"/>
          <w:szCs w:val="20"/>
        </w:rPr>
        <w:t xml:space="preserve"> from the </w:t>
      </w:r>
      <w:proofErr w:type="spellStart"/>
      <w:r w:rsidRPr="00792884">
        <w:rPr>
          <w:sz w:val="20"/>
          <w:szCs w:val="20"/>
        </w:rPr>
        <w:t>endoperoxides</w:t>
      </w:r>
      <w:proofErr w:type="spellEnd"/>
      <w:r w:rsidRPr="00792884">
        <w:rPr>
          <w:sz w:val="20"/>
          <w:szCs w:val="20"/>
        </w:rPr>
        <w:t xml:space="preserve"> by the </w:t>
      </w:r>
      <w:proofErr w:type="spellStart"/>
      <w:r w:rsidRPr="00792884">
        <w:rPr>
          <w:sz w:val="20"/>
          <w:szCs w:val="20"/>
        </w:rPr>
        <w:t>cyclooxygenase</w:t>
      </w:r>
      <w:proofErr w:type="spellEnd"/>
      <w:r w:rsidRPr="00792884">
        <w:rPr>
          <w:sz w:val="20"/>
          <w:szCs w:val="20"/>
        </w:rPr>
        <w:t xml:space="preserve"> (COX) enzyme. </w:t>
      </w:r>
      <w:proofErr w:type="spellStart"/>
      <w:r w:rsidR="00C764E2">
        <w:rPr>
          <w:bCs/>
          <w:sz w:val="20"/>
          <w:szCs w:val="20"/>
        </w:rPr>
        <w:t>A</w:t>
      </w:r>
      <w:r w:rsidRPr="00792884">
        <w:rPr>
          <w:bCs/>
          <w:sz w:val="20"/>
          <w:szCs w:val="20"/>
        </w:rPr>
        <w:t>torvastatin</w:t>
      </w:r>
      <w:proofErr w:type="spellEnd"/>
      <w:r w:rsidR="00C764E2">
        <w:rPr>
          <w:bCs/>
          <w:sz w:val="20"/>
          <w:szCs w:val="20"/>
        </w:rPr>
        <w:t xml:space="preserve"> (Lipitor</w:t>
      </w:r>
      <w:r w:rsidRPr="00792884">
        <w:rPr>
          <w:bCs/>
          <w:sz w:val="20"/>
          <w:szCs w:val="20"/>
        </w:rPr>
        <w:t xml:space="preserve">) belongs to a group of drugs called HMG </w:t>
      </w:r>
      <w:proofErr w:type="spellStart"/>
      <w:r w:rsidRPr="00792884">
        <w:rPr>
          <w:bCs/>
          <w:sz w:val="20"/>
          <w:szCs w:val="20"/>
        </w:rPr>
        <w:t>CoA</w:t>
      </w:r>
      <w:proofErr w:type="spellEnd"/>
      <w:r w:rsidRPr="00792884">
        <w:rPr>
          <w:bCs/>
          <w:sz w:val="20"/>
          <w:szCs w:val="20"/>
        </w:rPr>
        <w:t xml:space="preserve"> </w:t>
      </w:r>
      <w:proofErr w:type="spellStart"/>
      <w:r w:rsidRPr="00792884">
        <w:rPr>
          <w:bCs/>
          <w:sz w:val="20"/>
          <w:szCs w:val="20"/>
        </w:rPr>
        <w:t>reductase</w:t>
      </w:r>
      <w:proofErr w:type="spellEnd"/>
      <w:r w:rsidRPr="00792884">
        <w:rPr>
          <w:bCs/>
          <w:sz w:val="20"/>
          <w:szCs w:val="20"/>
        </w:rPr>
        <w:t xml:space="preserve"> inhibitors (</w:t>
      </w:r>
      <w:proofErr w:type="spellStart"/>
      <w:r w:rsidRPr="00792884">
        <w:rPr>
          <w:bCs/>
          <w:sz w:val="20"/>
          <w:szCs w:val="20"/>
        </w:rPr>
        <w:t>statins</w:t>
      </w:r>
      <w:proofErr w:type="spellEnd"/>
      <w:r w:rsidRPr="00792884">
        <w:rPr>
          <w:bCs/>
          <w:sz w:val="20"/>
          <w:szCs w:val="20"/>
        </w:rPr>
        <w:t xml:space="preserve">), which reduces levels of bad cholesterol (low-density lipoprotein) and triglycerides in the blood, while increasing levels of good cholesterol (high-density lipoprotein). Lipitor </w:t>
      </w:r>
      <w:r w:rsidRPr="00792884">
        <w:rPr>
          <w:sz w:val="20"/>
          <w:szCs w:val="20"/>
        </w:rPr>
        <w:t xml:space="preserve">acts by inhibiting the ability of the COX enzyme to synthesize the precursors of </w:t>
      </w:r>
      <w:r w:rsidR="00750361">
        <w:rPr>
          <w:sz w:val="20"/>
          <w:szCs w:val="20"/>
        </w:rPr>
        <w:t>TX</w:t>
      </w:r>
      <w:r w:rsidRPr="00792884">
        <w:rPr>
          <w:sz w:val="20"/>
          <w:szCs w:val="20"/>
        </w:rPr>
        <w:t xml:space="preserve"> within platelets that could be influenced by the obstruction damage of the kidney. Prostaglandins (PG) are a group of physiologically active lipid compounds having diverse hormone-like effects in animals. Prostaglandins have been found in almost every tissue in humans and other animals. They are derived </w:t>
      </w:r>
      <w:proofErr w:type="spellStart"/>
      <w:r w:rsidRPr="00792884">
        <w:rPr>
          <w:sz w:val="20"/>
          <w:szCs w:val="20"/>
        </w:rPr>
        <w:t>enzymatically</w:t>
      </w:r>
      <w:proofErr w:type="spellEnd"/>
      <w:r w:rsidRPr="00792884">
        <w:rPr>
          <w:sz w:val="20"/>
          <w:szCs w:val="20"/>
        </w:rPr>
        <w:t xml:space="preserve"> from fatty acids. Every prostaglandin contains 20 carbon atoms, including a 5-carbon ring. They are a subclass of </w:t>
      </w:r>
      <w:proofErr w:type="spellStart"/>
      <w:r w:rsidRPr="00792884">
        <w:rPr>
          <w:sz w:val="20"/>
          <w:szCs w:val="20"/>
        </w:rPr>
        <w:t>eicosanoids</w:t>
      </w:r>
      <w:proofErr w:type="spellEnd"/>
      <w:r w:rsidRPr="00792884">
        <w:rPr>
          <w:sz w:val="20"/>
          <w:szCs w:val="20"/>
        </w:rPr>
        <w:t xml:space="preserve"> and form the </w:t>
      </w:r>
      <w:proofErr w:type="spellStart"/>
      <w:r w:rsidRPr="00792884">
        <w:rPr>
          <w:sz w:val="20"/>
          <w:szCs w:val="20"/>
        </w:rPr>
        <w:t>prostanoid</w:t>
      </w:r>
      <w:proofErr w:type="spellEnd"/>
      <w:r w:rsidRPr="00792884">
        <w:rPr>
          <w:sz w:val="20"/>
          <w:szCs w:val="20"/>
        </w:rPr>
        <w:t xml:space="preserve"> class of fatty acid derivatives. </w:t>
      </w:r>
    </w:p>
    <w:p w:rsidR="00F2444D" w:rsidRPr="00792884" w:rsidRDefault="00E0260F" w:rsidP="00F2444D">
      <w:pPr>
        <w:pStyle w:val="NormalWeb"/>
        <w:shd w:val="clear" w:color="auto" w:fill="F8FCFF"/>
        <w:spacing w:before="0" w:beforeAutospacing="0" w:after="0" w:afterAutospacing="0"/>
        <w:jc w:val="both"/>
        <w:rPr>
          <w:sz w:val="20"/>
          <w:szCs w:val="20"/>
        </w:rPr>
      </w:pPr>
      <w:r w:rsidRPr="00E0260F">
        <w:rPr>
          <w:rStyle w:val="Emphasis"/>
          <w:i w:val="0"/>
          <w:sz w:val="20"/>
          <w:szCs w:val="20"/>
        </w:rPr>
        <w:t xml:space="preserve">[Ma H, Young M, Yang Y. </w:t>
      </w:r>
      <w:proofErr w:type="spellStart"/>
      <w:r w:rsidRPr="00792884">
        <w:rPr>
          <w:b/>
          <w:bCs/>
          <w:sz w:val="20"/>
          <w:szCs w:val="20"/>
        </w:rPr>
        <w:t>Thromboxane</w:t>
      </w:r>
      <w:proofErr w:type="spellEnd"/>
      <w:r w:rsidRPr="00792884">
        <w:rPr>
          <w:b/>
          <w:bCs/>
          <w:sz w:val="20"/>
          <w:szCs w:val="20"/>
        </w:rPr>
        <w:t xml:space="preserve"> (TX)</w:t>
      </w:r>
      <w:r w:rsidR="00C764E2">
        <w:rPr>
          <w:b/>
          <w:bCs/>
          <w:sz w:val="20"/>
          <w:szCs w:val="20"/>
        </w:rPr>
        <w:t>,</w:t>
      </w:r>
      <w:r w:rsidRPr="00792884">
        <w:rPr>
          <w:b/>
          <w:bCs/>
          <w:sz w:val="20"/>
          <w:szCs w:val="20"/>
        </w:rPr>
        <w:t xml:space="preserve"> </w:t>
      </w:r>
      <w:r w:rsidRPr="00792884">
        <w:rPr>
          <w:b/>
          <w:sz w:val="20"/>
          <w:szCs w:val="20"/>
        </w:rPr>
        <w:t>Prostaglandins (PG)</w:t>
      </w:r>
      <w:r w:rsidR="00C764E2">
        <w:rPr>
          <w:b/>
          <w:sz w:val="20"/>
          <w:szCs w:val="20"/>
        </w:rPr>
        <w:t xml:space="preserve"> </w:t>
      </w:r>
      <w:r w:rsidR="00ED7500">
        <w:rPr>
          <w:b/>
          <w:sz w:val="20"/>
          <w:szCs w:val="20"/>
        </w:rPr>
        <w:t xml:space="preserve">and </w:t>
      </w:r>
      <w:r w:rsidR="00C764E2" w:rsidRPr="00C764E2">
        <w:rPr>
          <w:b/>
          <w:sz w:val="20"/>
          <w:szCs w:val="20"/>
        </w:rPr>
        <w:t>Atorvastatin (</w:t>
      </w:r>
      <w:proofErr w:type="spellStart"/>
      <w:r w:rsidR="00C764E2" w:rsidRPr="00C764E2">
        <w:rPr>
          <w:b/>
          <w:sz w:val="20"/>
          <w:szCs w:val="20"/>
        </w:rPr>
        <w:t>Liptor</w:t>
      </w:r>
      <w:proofErr w:type="spellEnd"/>
      <w:r w:rsidR="00C764E2" w:rsidRPr="00C764E2">
        <w:rPr>
          <w:b/>
          <w:sz w:val="20"/>
          <w:szCs w:val="20"/>
        </w:rPr>
        <w:t>)</w:t>
      </w:r>
      <w:r w:rsidR="00C764E2">
        <w:rPr>
          <w:b/>
          <w:sz w:val="20"/>
          <w:szCs w:val="20"/>
        </w:rPr>
        <w:t xml:space="preserve"> Literatures</w:t>
      </w:r>
      <w:r>
        <w:rPr>
          <w:b/>
          <w:sz w:val="20"/>
          <w:szCs w:val="20"/>
        </w:rPr>
        <w:t xml:space="preserve">. </w:t>
      </w:r>
      <w:r w:rsidRPr="007B1036">
        <w:rPr>
          <w:bCs/>
          <w:i/>
          <w:sz w:val="20"/>
          <w:szCs w:val="20"/>
        </w:rPr>
        <w:t xml:space="preserve">N Y </w:t>
      </w:r>
      <w:proofErr w:type="spellStart"/>
      <w:r w:rsidRPr="007B1036">
        <w:rPr>
          <w:bCs/>
          <w:i/>
          <w:sz w:val="20"/>
          <w:szCs w:val="20"/>
        </w:rPr>
        <w:t>Sci</w:t>
      </w:r>
      <w:proofErr w:type="spellEnd"/>
      <w:r w:rsidRPr="007B1036">
        <w:rPr>
          <w:bCs/>
          <w:i/>
          <w:sz w:val="20"/>
          <w:szCs w:val="20"/>
        </w:rPr>
        <w:t xml:space="preserve"> J</w:t>
      </w:r>
      <w:r w:rsidRPr="007B1036">
        <w:rPr>
          <w:bCs/>
          <w:sz w:val="20"/>
          <w:szCs w:val="20"/>
        </w:rPr>
        <w:t xml:space="preserve"> </w:t>
      </w:r>
      <w:r w:rsidRPr="007B1036">
        <w:rPr>
          <w:sz w:val="20"/>
          <w:szCs w:val="20"/>
        </w:rPr>
        <w:t>201</w:t>
      </w:r>
      <w:r w:rsidRPr="007B1036">
        <w:rPr>
          <w:rFonts w:hint="eastAsia"/>
          <w:sz w:val="20"/>
          <w:szCs w:val="20"/>
        </w:rPr>
        <w:t>5</w:t>
      </w:r>
      <w:r w:rsidRPr="007B1036">
        <w:rPr>
          <w:sz w:val="20"/>
          <w:szCs w:val="20"/>
        </w:rPr>
        <w:t>;</w:t>
      </w:r>
      <w:r w:rsidRPr="007B1036">
        <w:rPr>
          <w:rFonts w:hint="eastAsia"/>
          <w:sz w:val="20"/>
          <w:szCs w:val="20"/>
        </w:rPr>
        <w:t>8</w:t>
      </w:r>
      <w:r w:rsidRPr="007B1036">
        <w:rPr>
          <w:sz w:val="20"/>
          <w:szCs w:val="20"/>
        </w:rPr>
        <w:t>(</w:t>
      </w:r>
      <w:r w:rsidRPr="007B1036">
        <w:rPr>
          <w:rFonts w:hint="eastAsia"/>
          <w:sz w:val="20"/>
          <w:szCs w:val="20"/>
        </w:rPr>
        <w:t>10</w:t>
      </w:r>
      <w:r w:rsidRPr="007B1036">
        <w:rPr>
          <w:sz w:val="20"/>
          <w:szCs w:val="20"/>
        </w:rPr>
        <w:t>):</w:t>
      </w:r>
      <w:r w:rsidR="00C764E2">
        <w:rPr>
          <w:sz w:val="20"/>
          <w:szCs w:val="20"/>
          <w:lang w:eastAsia="zh-CN"/>
        </w:rPr>
        <w:t>93</w:t>
      </w:r>
      <w:r w:rsidRPr="007B1036">
        <w:rPr>
          <w:sz w:val="20"/>
          <w:szCs w:val="20"/>
        </w:rPr>
        <w:t>-</w:t>
      </w:r>
      <w:r w:rsidR="00C764E2">
        <w:rPr>
          <w:sz w:val="20"/>
          <w:szCs w:val="20"/>
        </w:rPr>
        <w:t>100</w:t>
      </w:r>
      <w:r w:rsidRPr="007B1036">
        <w:rPr>
          <w:sz w:val="20"/>
          <w:szCs w:val="20"/>
        </w:rPr>
        <w:t xml:space="preserve">]. (ISSN: 1554-0200). </w:t>
      </w:r>
      <w:hyperlink r:id="rId8" w:history="1">
        <w:r w:rsidRPr="007B1036">
          <w:rPr>
            <w:rStyle w:val="Hyperlink"/>
            <w:sz w:val="20"/>
            <w:szCs w:val="20"/>
          </w:rPr>
          <w:t>http://www.sciencepub.net/newyork</w:t>
        </w:r>
      </w:hyperlink>
      <w:r w:rsidRPr="007B1036">
        <w:rPr>
          <w:sz w:val="20"/>
          <w:szCs w:val="20"/>
        </w:rPr>
        <w:t xml:space="preserve">. </w:t>
      </w:r>
      <w:r>
        <w:rPr>
          <w:rFonts w:hint="eastAsia"/>
          <w:sz w:val="20"/>
          <w:szCs w:val="20"/>
          <w:lang w:eastAsia="zh-CN"/>
        </w:rPr>
        <w:t>1</w:t>
      </w:r>
      <w:r>
        <w:rPr>
          <w:sz w:val="20"/>
          <w:szCs w:val="20"/>
          <w:lang w:eastAsia="zh-CN"/>
        </w:rPr>
        <w:t>8</w:t>
      </w:r>
    </w:p>
    <w:p w:rsidR="00F2444D" w:rsidRPr="00792884" w:rsidRDefault="00F2444D" w:rsidP="00F2444D">
      <w:pPr>
        <w:pStyle w:val="NormalWeb"/>
        <w:shd w:val="clear" w:color="auto" w:fill="F8FCFF"/>
        <w:spacing w:before="0" w:beforeAutospacing="0" w:after="0" w:afterAutospacing="0"/>
        <w:jc w:val="both"/>
        <w:rPr>
          <w:sz w:val="20"/>
          <w:szCs w:val="20"/>
        </w:rPr>
      </w:pPr>
    </w:p>
    <w:p w:rsidR="00F2444D" w:rsidRPr="00792884" w:rsidRDefault="00F2444D" w:rsidP="00F2444D">
      <w:pPr>
        <w:pStyle w:val="NormalWeb"/>
        <w:shd w:val="clear" w:color="auto" w:fill="F8FCFF"/>
        <w:spacing w:before="0" w:beforeAutospacing="0" w:after="0" w:afterAutospacing="0"/>
        <w:jc w:val="both"/>
        <w:rPr>
          <w:b/>
          <w:bCs/>
          <w:sz w:val="20"/>
          <w:szCs w:val="20"/>
        </w:rPr>
      </w:pPr>
      <w:r w:rsidRPr="00792884">
        <w:rPr>
          <w:b/>
          <w:bCs/>
          <w:sz w:val="20"/>
          <w:szCs w:val="20"/>
        </w:rPr>
        <w:t xml:space="preserve">Keywords: </w:t>
      </w:r>
      <w:proofErr w:type="spellStart"/>
      <w:r w:rsidRPr="00792884">
        <w:rPr>
          <w:sz w:val="20"/>
          <w:szCs w:val="20"/>
        </w:rPr>
        <w:t>thromboxane</w:t>
      </w:r>
      <w:proofErr w:type="spellEnd"/>
      <w:r w:rsidR="00750361">
        <w:rPr>
          <w:sz w:val="20"/>
          <w:szCs w:val="20"/>
        </w:rPr>
        <w:t xml:space="preserve"> (TX)</w:t>
      </w:r>
      <w:r w:rsidRPr="00792884">
        <w:rPr>
          <w:sz w:val="20"/>
          <w:szCs w:val="20"/>
        </w:rPr>
        <w:t>; p</w:t>
      </w:r>
      <w:r w:rsidRPr="00792884">
        <w:rPr>
          <w:noProof/>
          <w:sz w:val="20"/>
          <w:szCs w:val="20"/>
        </w:rPr>
        <w:t>rostaglandin;</w:t>
      </w:r>
      <w:r w:rsidRPr="00792884">
        <w:rPr>
          <w:sz w:val="20"/>
          <w:szCs w:val="20"/>
        </w:rPr>
        <w:t xml:space="preserve"> partial </w:t>
      </w:r>
      <w:proofErr w:type="spellStart"/>
      <w:r w:rsidRPr="00792884">
        <w:rPr>
          <w:sz w:val="20"/>
          <w:szCs w:val="20"/>
        </w:rPr>
        <w:t>ureteral</w:t>
      </w:r>
      <w:proofErr w:type="spellEnd"/>
      <w:r w:rsidRPr="00792884">
        <w:rPr>
          <w:sz w:val="20"/>
          <w:szCs w:val="20"/>
        </w:rPr>
        <w:t xml:space="preserve"> obstruction (PUO); </w:t>
      </w:r>
      <w:proofErr w:type="spellStart"/>
      <w:r w:rsidRPr="00792884">
        <w:rPr>
          <w:sz w:val="20"/>
          <w:szCs w:val="20"/>
        </w:rPr>
        <w:t>atorvastatin</w:t>
      </w:r>
      <w:proofErr w:type="spellEnd"/>
      <w:r w:rsidRPr="00792884">
        <w:rPr>
          <w:sz w:val="20"/>
          <w:szCs w:val="20"/>
        </w:rPr>
        <w:t xml:space="preserve"> (Lipitor); </w:t>
      </w:r>
      <w:proofErr w:type="spellStart"/>
      <w:r w:rsidRPr="00792884">
        <w:rPr>
          <w:sz w:val="20"/>
          <w:szCs w:val="20"/>
        </w:rPr>
        <w:t>cyclooxygenase</w:t>
      </w:r>
      <w:proofErr w:type="spellEnd"/>
      <w:r w:rsidRPr="00792884">
        <w:rPr>
          <w:sz w:val="20"/>
          <w:szCs w:val="20"/>
        </w:rPr>
        <w:t xml:space="preserve"> (COX); platelet; vasoconstriction</w:t>
      </w:r>
    </w:p>
    <w:p w:rsidR="00D010C1" w:rsidRPr="00792884" w:rsidRDefault="00D010C1" w:rsidP="008912F4">
      <w:pPr>
        <w:pStyle w:val="NormalWeb"/>
        <w:shd w:val="clear" w:color="auto" w:fill="F8FCFF"/>
        <w:spacing w:before="0" w:beforeAutospacing="0" w:after="0" w:afterAutospacing="0"/>
        <w:jc w:val="both"/>
        <w:rPr>
          <w:b/>
          <w:bCs/>
          <w:sz w:val="20"/>
          <w:szCs w:val="20"/>
        </w:rPr>
      </w:pPr>
    </w:p>
    <w:p w:rsidR="00E0260F" w:rsidRDefault="00E0260F" w:rsidP="008912F4">
      <w:pPr>
        <w:pStyle w:val="NormalWeb"/>
        <w:shd w:val="clear" w:color="auto" w:fill="F8FCFF"/>
        <w:spacing w:before="0" w:beforeAutospacing="0" w:after="0" w:afterAutospacing="0"/>
        <w:ind w:firstLine="720"/>
        <w:jc w:val="both"/>
        <w:rPr>
          <w:bCs/>
          <w:sz w:val="20"/>
          <w:szCs w:val="20"/>
        </w:rPr>
        <w:sectPr w:rsidR="00E0260F" w:rsidSect="00C764E2">
          <w:headerReference w:type="even" r:id="rId9"/>
          <w:headerReference w:type="default" r:id="rId10"/>
          <w:footerReference w:type="default" r:id="rId11"/>
          <w:pgSz w:w="12240" w:h="15840" w:code="1"/>
          <w:pgMar w:top="1440" w:right="1440" w:bottom="1440" w:left="1440" w:header="720" w:footer="720" w:gutter="0"/>
          <w:pgNumType w:start="93"/>
          <w:cols w:space="720"/>
        </w:sectPr>
      </w:pPr>
    </w:p>
    <w:p w:rsidR="00C764E2" w:rsidRDefault="00C764E2" w:rsidP="008912F4">
      <w:pPr>
        <w:pStyle w:val="NormalWeb"/>
        <w:shd w:val="clear" w:color="auto" w:fill="F8FCFF"/>
        <w:spacing w:before="0" w:beforeAutospacing="0" w:after="0" w:afterAutospacing="0"/>
        <w:ind w:firstLine="720"/>
        <w:jc w:val="both"/>
        <w:rPr>
          <w:bCs/>
          <w:sz w:val="20"/>
          <w:szCs w:val="20"/>
        </w:rPr>
      </w:pPr>
      <w:r>
        <w:rPr>
          <w:bCs/>
          <w:sz w:val="20"/>
          <w:szCs w:val="20"/>
        </w:rPr>
        <w:lastRenderedPageBreak/>
        <w:t xml:space="preserve">This paper is a literature review collection from Internet and other articles, just offer a description of </w:t>
      </w:r>
      <w:proofErr w:type="spellStart"/>
      <w:r>
        <w:rPr>
          <w:bCs/>
          <w:sz w:val="20"/>
          <w:szCs w:val="20"/>
        </w:rPr>
        <w:t>t</w:t>
      </w:r>
      <w:r w:rsidRPr="00792884">
        <w:rPr>
          <w:bCs/>
          <w:sz w:val="20"/>
          <w:szCs w:val="20"/>
        </w:rPr>
        <w:t>hromboxane</w:t>
      </w:r>
      <w:proofErr w:type="spellEnd"/>
      <w:r w:rsidRPr="00792884">
        <w:rPr>
          <w:bCs/>
          <w:sz w:val="20"/>
          <w:szCs w:val="20"/>
        </w:rPr>
        <w:t xml:space="preserve"> (TX)</w:t>
      </w:r>
      <w:r>
        <w:rPr>
          <w:bCs/>
          <w:sz w:val="20"/>
          <w:szCs w:val="20"/>
        </w:rPr>
        <w:t xml:space="preserve">, </w:t>
      </w:r>
      <w:r>
        <w:rPr>
          <w:sz w:val="20"/>
          <w:szCs w:val="20"/>
        </w:rPr>
        <w:t>p</w:t>
      </w:r>
      <w:r w:rsidRPr="00792884">
        <w:rPr>
          <w:sz w:val="20"/>
          <w:szCs w:val="20"/>
        </w:rPr>
        <w:t>rostaglandin</w:t>
      </w:r>
      <w:r>
        <w:rPr>
          <w:sz w:val="20"/>
          <w:szCs w:val="20"/>
        </w:rPr>
        <w:t xml:space="preserve"> (PG) and </w:t>
      </w:r>
      <w:proofErr w:type="spellStart"/>
      <w:r>
        <w:rPr>
          <w:sz w:val="20"/>
          <w:szCs w:val="20"/>
        </w:rPr>
        <w:t>a</w:t>
      </w:r>
      <w:r w:rsidRPr="00C764E2">
        <w:rPr>
          <w:sz w:val="20"/>
          <w:szCs w:val="20"/>
        </w:rPr>
        <w:t>torvastatin</w:t>
      </w:r>
      <w:proofErr w:type="spellEnd"/>
      <w:r w:rsidRPr="00C764E2">
        <w:rPr>
          <w:sz w:val="20"/>
          <w:szCs w:val="20"/>
        </w:rPr>
        <w:t xml:space="preserve"> (</w:t>
      </w:r>
      <w:proofErr w:type="spellStart"/>
      <w:r w:rsidRPr="00C764E2">
        <w:rPr>
          <w:sz w:val="20"/>
          <w:szCs w:val="20"/>
        </w:rPr>
        <w:t>Liptor</w:t>
      </w:r>
      <w:proofErr w:type="spellEnd"/>
      <w:r w:rsidRPr="00C764E2">
        <w:rPr>
          <w:sz w:val="20"/>
          <w:szCs w:val="20"/>
        </w:rPr>
        <w:t>)</w:t>
      </w:r>
      <w:r>
        <w:rPr>
          <w:bCs/>
          <w:sz w:val="20"/>
          <w:szCs w:val="20"/>
        </w:rPr>
        <w:t xml:space="preserve">. </w:t>
      </w:r>
    </w:p>
    <w:p w:rsidR="008A1751" w:rsidRPr="00792884" w:rsidRDefault="008D77BD" w:rsidP="008912F4">
      <w:pPr>
        <w:pStyle w:val="NormalWeb"/>
        <w:shd w:val="clear" w:color="auto" w:fill="F8FCFF"/>
        <w:spacing w:before="0" w:beforeAutospacing="0" w:after="0" w:afterAutospacing="0"/>
        <w:ind w:firstLine="720"/>
        <w:jc w:val="both"/>
        <w:rPr>
          <w:sz w:val="20"/>
          <w:szCs w:val="20"/>
        </w:rPr>
      </w:pPr>
      <w:r w:rsidRPr="00792884">
        <w:rPr>
          <w:bCs/>
          <w:sz w:val="20"/>
          <w:szCs w:val="20"/>
        </w:rPr>
        <w:t xml:space="preserve">TX </w:t>
      </w:r>
      <w:r w:rsidRPr="00792884">
        <w:rPr>
          <w:sz w:val="20"/>
          <w:szCs w:val="20"/>
        </w:rPr>
        <w:t xml:space="preserve">is a vasoconstrictor, potent hypertensive agent, and facilitates the clumping of platelets, which </w:t>
      </w:r>
      <w:r w:rsidR="008A1751" w:rsidRPr="00792884">
        <w:rPr>
          <w:sz w:val="20"/>
          <w:szCs w:val="20"/>
        </w:rPr>
        <w:t xml:space="preserve">is produced in platelets by </w:t>
      </w:r>
      <w:r w:rsidR="00750361">
        <w:rPr>
          <w:sz w:val="20"/>
          <w:szCs w:val="20"/>
        </w:rPr>
        <w:t>TX</w:t>
      </w:r>
      <w:r w:rsidR="008A1751" w:rsidRPr="00792884">
        <w:rPr>
          <w:sz w:val="20"/>
          <w:szCs w:val="20"/>
        </w:rPr>
        <w:t xml:space="preserve"> </w:t>
      </w:r>
      <w:proofErr w:type="spellStart"/>
      <w:r w:rsidR="008A1751" w:rsidRPr="00792884">
        <w:rPr>
          <w:sz w:val="20"/>
          <w:szCs w:val="20"/>
        </w:rPr>
        <w:t>synthetase</w:t>
      </w:r>
      <w:proofErr w:type="spellEnd"/>
      <w:r w:rsidR="008A1751" w:rsidRPr="00792884">
        <w:rPr>
          <w:sz w:val="20"/>
          <w:szCs w:val="20"/>
        </w:rPr>
        <w:t xml:space="preserve"> </w:t>
      </w:r>
      <w:r w:rsidRPr="00792884">
        <w:rPr>
          <w:sz w:val="20"/>
          <w:szCs w:val="20"/>
        </w:rPr>
        <w:t>with</w:t>
      </w:r>
      <w:r w:rsidR="008A1751" w:rsidRPr="00792884">
        <w:rPr>
          <w:sz w:val="20"/>
          <w:szCs w:val="20"/>
        </w:rPr>
        <w:t xml:space="preserve"> the </w:t>
      </w:r>
      <w:proofErr w:type="spellStart"/>
      <w:r w:rsidR="008A1751" w:rsidRPr="00792884">
        <w:rPr>
          <w:sz w:val="20"/>
          <w:szCs w:val="20"/>
        </w:rPr>
        <w:t>endoperoxides</w:t>
      </w:r>
      <w:proofErr w:type="spellEnd"/>
      <w:r w:rsidR="008A1751" w:rsidRPr="00792884">
        <w:rPr>
          <w:sz w:val="20"/>
          <w:szCs w:val="20"/>
        </w:rPr>
        <w:t xml:space="preserve"> by the </w:t>
      </w:r>
      <w:proofErr w:type="spellStart"/>
      <w:r w:rsidR="008A1751" w:rsidRPr="00792884">
        <w:rPr>
          <w:sz w:val="20"/>
          <w:szCs w:val="20"/>
        </w:rPr>
        <w:t>cyclooxygenase</w:t>
      </w:r>
      <w:proofErr w:type="spellEnd"/>
      <w:r w:rsidR="008A1751" w:rsidRPr="00792884">
        <w:rPr>
          <w:sz w:val="20"/>
          <w:szCs w:val="20"/>
        </w:rPr>
        <w:t xml:space="preserve"> (COX) enzyme</w:t>
      </w:r>
      <w:r w:rsidRPr="00792884">
        <w:rPr>
          <w:sz w:val="20"/>
          <w:szCs w:val="20"/>
        </w:rPr>
        <w:t xml:space="preserve"> from </w:t>
      </w:r>
      <w:proofErr w:type="spellStart"/>
      <w:r w:rsidRPr="00792884">
        <w:rPr>
          <w:sz w:val="20"/>
          <w:szCs w:val="20"/>
        </w:rPr>
        <w:t>arachidonic</w:t>
      </w:r>
      <w:proofErr w:type="spellEnd"/>
      <w:r w:rsidRPr="00792884">
        <w:rPr>
          <w:sz w:val="20"/>
          <w:szCs w:val="20"/>
        </w:rPr>
        <w:t xml:space="preserve"> acid</w:t>
      </w:r>
      <w:r w:rsidR="008A1751" w:rsidRPr="00792884">
        <w:rPr>
          <w:sz w:val="20"/>
          <w:szCs w:val="20"/>
        </w:rPr>
        <w:t>. T</w:t>
      </w:r>
      <w:r w:rsidRPr="00792884">
        <w:rPr>
          <w:sz w:val="20"/>
          <w:szCs w:val="20"/>
        </w:rPr>
        <w:t>X</w:t>
      </w:r>
      <w:r w:rsidR="008A1751" w:rsidRPr="00792884">
        <w:rPr>
          <w:sz w:val="20"/>
          <w:szCs w:val="20"/>
        </w:rPr>
        <w:t xml:space="preserve"> is in homeostatic balance in the circulatory system with prostacyclin, a related compound. </w:t>
      </w:r>
      <w:r w:rsidR="001E24B9" w:rsidRPr="00792884">
        <w:rPr>
          <w:sz w:val="20"/>
          <w:szCs w:val="20"/>
        </w:rPr>
        <w:t>A</w:t>
      </w:r>
      <w:r w:rsidR="008A1751" w:rsidRPr="00792884">
        <w:rPr>
          <w:sz w:val="20"/>
          <w:szCs w:val="20"/>
        </w:rPr>
        <w:t>spirin acts by inhibiting the ability of the COX enzyme to synthesi</w:t>
      </w:r>
      <w:r w:rsidRPr="00792884">
        <w:rPr>
          <w:sz w:val="20"/>
          <w:szCs w:val="20"/>
        </w:rPr>
        <w:t>ze the precursors of TX</w:t>
      </w:r>
      <w:r w:rsidR="008A1751" w:rsidRPr="00792884">
        <w:rPr>
          <w:sz w:val="20"/>
          <w:szCs w:val="20"/>
        </w:rPr>
        <w:t xml:space="preserve"> within platelets.</w:t>
      </w:r>
    </w:p>
    <w:p w:rsidR="00191F29" w:rsidRPr="00792884" w:rsidRDefault="00191F29" w:rsidP="00191F29">
      <w:pPr>
        <w:ind w:firstLine="720"/>
        <w:jc w:val="both"/>
        <w:rPr>
          <w:sz w:val="20"/>
          <w:szCs w:val="20"/>
        </w:rPr>
      </w:pPr>
      <w:r w:rsidRPr="00792884">
        <w:rPr>
          <w:sz w:val="20"/>
          <w:szCs w:val="20"/>
        </w:rPr>
        <w:t xml:space="preserve">TX is a member of the family of lipids known as </w:t>
      </w:r>
      <w:proofErr w:type="spellStart"/>
      <w:r w:rsidRPr="00792884">
        <w:rPr>
          <w:sz w:val="20"/>
          <w:szCs w:val="20"/>
        </w:rPr>
        <w:t>eicosanoids</w:t>
      </w:r>
      <w:proofErr w:type="spellEnd"/>
      <w:r w:rsidRPr="00792884">
        <w:rPr>
          <w:sz w:val="20"/>
          <w:szCs w:val="20"/>
        </w:rPr>
        <w:t xml:space="preserve">. The two major </w:t>
      </w:r>
      <w:proofErr w:type="spellStart"/>
      <w:r w:rsidR="007D6D21" w:rsidRPr="00792884">
        <w:rPr>
          <w:sz w:val="20"/>
          <w:szCs w:val="20"/>
        </w:rPr>
        <w:t>TX</w:t>
      </w:r>
      <w:r w:rsidRPr="00792884">
        <w:rPr>
          <w:sz w:val="20"/>
          <w:szCs w:val="20"/>
        </w:rPr>
        <w:t>s</w:t>
      </w:r>
      <w:proofErr w:type="spellEnd"/>
      <w:r w:rsidRPr="00792884">
        <w:rPr>
          <w:sz w:val="20"/>
          <w:szCs w:val="20"/>
        </w:rPr>
        <w:t xml:space="preserve"> are </w:t>
      </w:r>
      <w:proofErr w:type="spellStart"/>
      <w:r w:rsidRPr="00792884">
        <w:rPr>
          <w:sz w:val="20"/>
          <w:szCs w:val="20"/>
        </w:rPr>
        <w:t>thromboxane</w:t>
      </w:r>
      <w:proofErr w:type="spellEnd"/>
      <w:r w:rsidRPr="00792884">
        <w:rPr>
          <w:sz w:val="20"/>
          <w:szCs w:val="20"/>
        </w:rPr>
        <w:t xml:space="preserve"> A2 (TXA2) and </w:t>
      </w:r>
      <w:proofErr w:type="spellStart"/>
      <w:r w:rsidRPr="00792884">
        <w:rPr>
          <w:sz w:val="20"/>
          <w:szCs w:val="20"/>
        </w:rPr>
        <w:t>thromboxane</w:t>
      </w:r>
      <w:proofErr w:type="spellEnd"/>
      <w:r w:rsidRPr="00792884">
        <w:rPr>
          <w:sz w:val="20"/>
          <w:szCs w:val="20"/>
        </w:rPr>
        <w:t xml:space="preserve"> B2 (TXB2). The distinguishing feature of </w:t>
      </w:r>
      <w:proofErr w:type="spellStart"/>
      <w:r w:rsidR="00D819E9" w:rsidRPr="00792884">
        <w:rPr>
          <w:sz w:val="20"/>
          <w:szCs w:val="20"/>
        </w:rPr>
        <w:t>TX</w:t>
      </w:r>
      <w:r w:rsidRPr="00792884">
        <w:rPr>
          <w:sz w:val="20"/>
          <w:szCs w:val="20"/>
        </w:rPr>
        <w:t>s</w:t>
      </w:r>
      <w:proofErr w:type="spellEnd"/>
      <w:r w:rsidRPr="00792884">
        <w:rPr>
          <w:sz w:val="20"/>
          <w:szCs w:val="20"/>
        </w:rPr>
        <w:t xml:space="preserve"> is a 6-membered ether-containing ring. </w:t>
      </w:r>
      <w:r w:rsidR="00D819E9" w:rsidRPr="00792884">
        <w:rPr>
          <w:sz w:val="20"/>
          <w:szCs w:val="20"/>
        </w:rPr>
        <w:t>TX</w:t>
      </w:r>
      <w:r w:rsidRPr="00792884">
        <w:rPr>
          <w:sz w:val="20"/>
          <w:szCs w:val="20"/>
        </w:rPr>
        <w:t xml:space="preserve"> is named for its role in clot formation (thrombosis). </w:t>
      </w:r>
      <w:r w:rsidR="00750361">
        <w:rPr>
          <w:sz w:val="20"/>
          <w:szCs w:val="20"/>
        </w:rPr>
        <w:t>TX</w:t>
      </w:r>
      <w:r w:rsidRPr="00792884">
        <w:rPr>
          <w:sz w:val="20"/>
          <w:szCs w:val="20"/>
        </w:rPr>
        <w:t xml:space="preserve"> is a substance made by platelets that causes blood clotting and constriction of blood vessels. It also encourages platelet aggregation. TXA2 is active but is very unstable and has a half-life of only 30 seconds before it undergoes hydrolysis to form TXB2 which is inactive.</w:t>
      </w:r>
    </w:p>
    <w:p w:rsidR="00CC6222" w:rsidRPr="00792884" w:rsidRDefault="00CC6222" w:rsidP="008912F4">
      <w:pPr>
        <w:pStyle w:val="NormalWeb"/>
        <w:shd w:val="clear" w:color="auto" w:fill="F8FCFF"/>
        <w:spacing w:before="0" w:beforeAutospacing="0" w:after="0" w:afterAutospacing="0"/>
        <w:ind w:firstLine="720"/>
        <w:jc w:val="both"/>
        <w:rPr>
          <w:sz w:val="20"/>
          <w:szCs w:val="20"/>
        </w:rPr>
      </w:pPr>
      <w:r w:rsidRPr="00792884">
        <w:rPr>
          <w:sz w:val="20"/>
          <w:szCs w:val="20"/>
        </w:rPr>
        <w:t xml:space="preserve">TXA2 has </w:t>
      </w:r>
      <w:proofErr w:type="spellStart"/>
      <w:r w:rsidRPr="00792884">
        <w:rPr>
          <w:sz w:val="20"/>
          <w:szCs w:val="20"/>
        </w:rPr>
        <w:t>prothrombotic</w:t>
      </w:r>
      <w:proofErr w:type="spellEnd"/>
      <w:r w:rsidRPr="00792884">
        <w:rPr>
          <w:sz w:val="20"/>
          <w:szCs w:val="20"/>
        </w:rPr>
        <w:t xml:space="preserve"> </w:t>
      </w:r>
      <w:r w:rsidR="006D4E93" w:rsidRPr="00792884">
        <w:rPr>
          <w:sz w:val="20"/>
          <w:szCs w:val="20"/>
        </w:rPr>
        <w:t>properties by stimulating activ</w:t>
      </w:r>
      <w:r w:rsidRPr="00792884">
        <w:rPr>
          <w:sz w:val="20"/>
          <w:szCs w:val="20"/>
        </w:rPr>
        <w:t xml:space="preserve">ation of new platelets as well as increased platelet aggregation. The latter is achieved by mediating expression of the glycoprotein complex GP </w:t>
      </w:r>
      <w:proofErr w:type="spellStart"/>
      <w:r w:rsidRPr="00792884">
        <w:rPr>
          <w:sz w:val="20"/>
          <w:szCs w:val="20"/>
        </w:rPr>
        <w:t>IIb/IIIa</w:t>
      </w:r>
      <w:proofErr w:type="spellEnd"/>
      <w:r w:rsidRPr="00792884">
        <w:rPr>
          <w:sz w:val="20"/>
          <w:szCs w:val="20"/>
        </w:rPr>
        <w:t xml:space="preserve"> in the cell membrane of platelets. Circulating fibrinogen binds these receptors on adjacent platelets, further strengthening the </w:t>
      </w:r>
      <w:r w:rsidRPr="00792884">
        <w:rPr>
          <w:sz w:val="20"/>
          <w:szCs w:val="20"/>
        </w:rPr>
        <w:lastRenderedPageBreak/>
        <w:t xml:space="preserve">thrombosis. </w:t>
      </w:r>
      <w:r w:rsidR="001609F5" w:rsidRPr="00792884">
        <w:rPr>
          <w:sz w:val="20"/>
          <w:szCs w:val="20"/>
        </w:rPr>
        <w:t>T</w:t>
      </w:r>
      <w:r w:rsidRPr="00792884">
        <w:rPr>
          <w:sz w:val="20"/>
          <w:szCs w:val="20"/>
        </w:rPr>
        <w:t xml:space="preserve">he vasoconstriction caused by </w:t>
      </w:r>
      <w:r w:rsidR="001609F5" w:rsidRPr="00792884">
        <w:rPr>
          <w:sz w:val="20"/>
          <w:szCs w:val="20"/>
        </w:rPr>
        <w:t>TX</w:t>
      </w:r>
      <w:r w:rsidRPr="00792884">
        <w:rPr>
          <w:sz w:val="20"/>
          <w:szCs w:val="20"/>
        </w:rPr>
        <w:t xml:space="preserve"> plays a role in </w:t>
      </w:r>
      <w:proofErr w:type="spellStart"/>
      <w:r w:rsidRPr="00792884">
        <w:rPr>
          <w:sz w:val="20"/>
          <w:szCs w:val="20"/>
        </w:rPr>
        <w:t>Prinzmetal</w:t>
      </w:r>
      <w:proofErr w:type="spellEnd"/>
      <w:r w:rsidRPr="00792884">
        <w:rPr>
          <w:sz w:val="20"/>
          <w:szCs w:val="20"/>
        </w:rPr>
        <w:t xml:space="preserve"> angina.</w:t>
      </w:r>
    </w:p>
    <w:p w:rsidR="00CC6222" w:rsidRPr="00792884" w:rsidRDefault="00CC6222" w:rsidP="001609F5">
      <w:pPr>
        <w:pStyle w:val="NormalWeb"/>
        <w:shd w:val="clear" w:color="auto" w:fill="F8FCFF"/>
        <w:spacing w:before="0" w:beforeAutospacing="0" w:after="0" w:afterAutospacing="0"/>
        <w:ind w:firstLine="720"/>
        <w:jc w:val="both"/>
        <w:rPr>
          <w:color w:val="000000" w:themeColor="text1"/>
          <w:sz w:val="20"/>
          <w:szCs w:val="20"/>
        </w:rPr>
      </w:pPr>
      <w:r w:rsidRPr="00792884">
        <w:rPr>
          <w:sz w:val="20"/>
          <w:szCs w:val="20"/>
        </w:rPr>
        <w:t xml:space="preserve">TXA2 is unstable and its measurement deduced by TXB2 detection. </w:t>
      </w:r>
      <w:r w:rsidRPr="00792884">
        <w:rPr>
          <w:color w:val="000000" w:themeColor="text1"/>
          <w:sz w:val="20"/>
          <w:szCs w:val="20"/>
        </w:rPr>
        <w:t xml:space="preserve">Briefly, </w:t>
      </w:r>
      <w:r w:rsidR="00191F29" w:rsidRPr="00792884">
        <w:rPr>
          <w:color w:val="000000" w:themeColor="text1"/>
          <w:sz w:val="20"/>
          <w:szCs w:val="20"/>
        </w:rPr>
        <w:t xml:space="preserve">for the detection </w:t>
      </w:r>
      <w:r w:rsidRPr="00792884">
        <w:rPr>
          <w:color w:val="000000" w:themeColor="text1"/>
          <w:sz w:val="20"/>
          <w:szCs w:val="20"/>
        </w:rPr>
        <w:t xml:space="preserve">the tissues are weighed and homogenized in 100 </w:t>
      </w:r>
      <w:proofErr w:type="spellStart"/>
      <w:r w:rsidRPr="00792884">
        <w:rPr>
          <w:color w:val="000000" w:themeColor="text1"/>
          <w:sz w:val="20"/>
          <w:szCs w:val="20"/>
        </w:rPr>
        <w:t>mM</w:t>
      </w:r>
      <w:proofErr w:type="spellEnd"/>
      <w:r w:rsidRPr="00792884">
        <w:rPr>
          <w:color w:val="000000" w:themeColor="text1"/>
          <w:sz w:val="20"/>
          <w:szCs w:val="20"/>
        </w:rPr>
        <w:t xml:space="preserve"> </w:t>
      </w:r>
      <w:proofErr w:type="spellStart"/>
      <w:r w:rsidRPr="00792884">
        <w:rPr>
          <w:color w:val="000000" w:themeColor="text1"/>
          <w:sz w:val="20"/>
          <w:szCs w:val="20"/>
        </w:rPr>
        <w:t>KPhos</w:t>
      </w:r>
      <w:proofErr w:type="spellEnd"/>
      <w:r w:rsidRPr="00792884">
        <w:rPr>
          <w:color w:val="000000" w:themeColor="text1"/>
          <w:sz w:val="20"/>
          <w:szCs w:val="20"/>
        </w:rPr>
        <w:t xml:space="preserve"> buffer (pH 7.4).  The homogenates are spun at 2000 rpm for 15 minutes and the supernatant transferred to a clean tube.  The supernatants are assayed using the T</w:t>
      </w:r>
      <w:r w:rsidR="001609F5" w:rsidRPr="00792884">
        <w:rPr>
          <w:color w:val="000000" w:themeColor="text1"/>
          <w:sz w:val="20"/>
          <w:szCs w:val="20"/>
        </w:rPr>
        <w:t>X</w:t>
      </w:r>
      <w:r w:rsidRPr="00792884">
        <w:rPr>
          <w:color w:val="000000" w:themeColor="text1"/>
          <w:sz w:val="20"/>
          <w:szCs w:val="20"/>
        </w:rPr>
        <w:t xml:space="preserve">B2 EIA kit following the </w:t>
      </w:r>
      <w:r w:rsidR="001609F5" w:rsidRPr="00792884">
        <w:rPr>
          <w:bCs/>
          <w:sz w:val="20"/>
          <w:szCs w:val="20"/>
        </w:rPr>
        <w:t xml:space="preserve">enzyme immunoassay (EIA) method </w:t>
      </w:r>
      <w:r w:rsidR="00191F29" w:rsidRPr="00792884">
        <w:rPr>
          <w:bCs/>
          <w:sz w:val="20"/>
          <w:szCs w:val="20"/>
        </w:rPr>
        <w:t xml:space="preserve">using the </w:t>
      </w:r>
      <w:r w:rsidR="001609F5" w:rsidRPr="00792884">
        <w:rPr>
          <w:bCs/>
          <w:sz w:val="20"/>
          <w:szCs w:val="20"/>
        </w:rPr>
        <w:t>kits from Cayman Chemical Company (</w:t>
      </w:r>
      <w:r w:rsidR="001609F5" w:rsidRPr="00792884">
        <w:rPr>
          <w:sz w:val="20"/>
          <w:szCs w:val="20"/>
        </w:rPr>
        <w:t>Ann Arbor, Michigan 48108, USA</w:t>
      </w:r>
      <w:r w:rsidR="001609F5" w:rsidRPr="00792884">
        <w:rPr>
          <w:bCs/>
          <w:sz w:val="20"/>
          <w:szCs w:val="20"/>
        </w:rPr>
        <w:t>).</w:t>
      </w:r>
      <w:r w:rsidRPr="00792884">
        <w:rPr>
          <w:color w:val="000000" w:themeColor="text1"/>
          <w:sz w:val="20"/>
          <w:szCs w:val="20"/>
        </w:rPr>
        <w:t xml:space="preserve"> Protein concentrations of the supernatants were performed using the Cayman Protein Determination kit (based on the Bradford method). T</w:t>
      </w:r>
      <w:r w:rsidR="00191F29" w:rsidRPr="00792884">
        <w:rPr>
          <w:color w:val="000000" w:themeColor="text1"/>
          <w:sz w:val="20"/>
          <w:szCs w:val="20"/>
        </w:rPr>
        <w:t>X</w:t>
      </w:r>
      <w:r w:rsidRPr="00792884">
        <w:rPr>
          <w:color w:val="000000" w:themeColor="text1"/>
          <w:sz w:val="20"/>
          <w:szCs w:val="20"/>
        </w:rPr>
        <w:t>A2 is linear related to T</w:t>
      </w:r>
      <w:r w:rsidR="005B61C7" w:rsidRPr="00792884">
        <w:rPr>
          <w:color w:val="000000" w:themeColor="text1"/>
          <w:sz w:val="20"/>
          <w:szCs w:val="20"/>
        </w:rPr>
        <w:t>X</w:t>
      </w:r>
      <w:r w:rsidRPr="00792884">
        <w:rPr>
          <w:color w:val="000000" w:themeColor="text1"/>
          <w:sz w:val="20"/>
          <w:szCs w:val="20"/>
        </w:rPr>
        <w:t xml:space="preserve">B2. </w:t>
      </w:r>
    </w:p>
    <w:p w:rsidR="0009599B" w:rsidRPr="00792884" w:rsidRDefault="00750361" w:rsidP="008912F4">
      <w:pPr>
        <w:ind w:firstLine="720"/>
        <w:jc w:val="both"/>
        <w:rPr>
          <w:sz w:val="20"/>
          <w:szCs w:val="20"/>
        </w:rPr>
      </w:pPr>
      <w:r>
        <w:rPr>
          <w:sz w:val="20"/>
          <w:szCs w:val="20"/>
        </w:rPr>
        <w:t>TX</w:t>
      </w:r>
      <w:r w:rsidR="00D27359" w:rsidRPr="00792884">
        <w:rPr>
          <w:sz w:val="20"/>
          <w:szCs w:val="20"/>
        </w:rPr>
        <w:t xml:space="preserve"> acts by binding to any of the </w:t>
      </w:r>
      <w:r>
        <w:rPr>
          <w:sz w:val="20"/>
          <w:szCs w:val="20"/>
        </w:rPr>
        <w:t>TX</w:t>
      </w:r>
      <w:r w:rsidR="00D27359" w:rsidRPr="00792884">
        <w:rPr>
          <w:sz w:val="20"/>
          <w:szCs w:val="20"/>
        </w:rPr>
        <w:t xml:space="preserve"> receptors, G-protein-coupled receptors</w:t>
      </w:r>
      <w:r w:rsidR="004041CC" w:rsidRPr="00792884">
        <w:rPr>
          <w:sz w:val="20"/>
          <w:szCs w:val="20"/>
        </w:rPr>
        <w:t xml:space="preserve"> coupled to the G protein </w:t>
      </w:r>
      <w:proofErr w:type="spellStart"/>
      <w:r w:rsidR="004041CC" w:rsidRPr="00792884">
        <w:rPr>
          <w:sz w:val="20"/>
          <w:szCs w:val="20"/>
        </w:rPr>
        <w:t>Gq</w:t>
      </w:r>
      <w:proofErr w:type="spellEnd"/>
      <w:r w:rsidR="004041CC" w:rsidRPr="00792884">
        <w:rPr>
          <w:sz w:val="20"/>
          <w:szCs w:val="20"/>
        </w:rPr>
        <w:t xml:space="preserve">. </w:t>
      </w:r>
      <w:r>
        <w:rPr>
          <w:sz w:val="20"/>
          <w:szCs w:val="20"/>
        </w:rPr>
        <w:t>TX</w:t>
      </w:r>
      <w:r w:rsidR="00D27359" w:rsidRPr="00792884">
        <w:rPr>
          <w:sz w:val="20"/>
          <w:szCs w:val="20"/>
        </w:rPr>
        <w:t xml:space="preserve"> is a vasoconstrictor and a potent hypertensive agent, and it facilitates platelet aggregation.</w:t>
      </w:r>
      <w:r w:rsidR="004041CC" w:rsidRPr="00792884">
        <w:rPr>
          <w:sz w:val="20"/>
          <w:szCs w:val="20"/>
        </w:rPr>
        <w:t xml:space="preserve"> </w:t>
      </w:r>
      <w:r w:rsidR="00D27359" w:rsidRPr="00792884">
        <w:rPr>
          <w:sz w:val="20"/>
          <w:szCs w:val="20"/>
        </w:rPr>
        <w:t xml:space="preserve">It is in homeostatic balance in the circulatory system with prostacyclin, a related compound. The mechanism of secretion of </w:t>
      </w:r>
      <w:proofErr w:type="spellStart"/>
      <w:r>
        <w:rPr>
          <w:sz w:val="20"/>
          <w:szCs w:val="20"/>
        </w:rPr>
        <w:t>TX</w:t>
      </w:r>
      <w:r w:rsidR="00D27359" w:rsidRPr="00792884">
        <w:rPr>
          <w:sz w:val="20"/>
          <w:szCs w:val="20"/>
        </w:rPr>
        <w:t>s</w:t>
      </w:r>
      <w:proofErr w:type="spellEnd"/>
      <w:r w:rsidR="00D27359" w:rsidRPr="00792884">
        <w:rPr>
          <w:sz w:val="20"/>
          <w:szCs w:val="20"/>
        </w:rPr>
        <w:t xml:space="preserve"> from platelets is still unclear. They act in the formation of blood clots and reduce blood flow to the site of a clot.</w:t>
      </w:r>
      <w:r w:rsidR="003D04C2" w:rsidRPr="00792884">
        <w:rPr>
          <w:sz w:val="20"/>
          <w:szCs w:val="20"/>
        </w:rPr>
        <w:t xml:space="preserve"> TXA2</w:t>
      </w:r>
      <w:r w:rsidR="00D27359" w:rsidRPr="00792884">
        <w:rPr>
          <w:sz w:val="20"/>
          <w:szCs w:val="20"/>
        </w:rPr>
        <w:t xml:space="preserve">, produced by activated platelets, has </w:t>
      </w:r>
      <w:proofErr w:type="spellStart"/>
      <w:r w:rsidR="00D27359" w:rsidRPr="00792884">
        <w:rPr>
          <w:sz w:val="20"/>
          <w:szCs w:val="20"/>
        </w:rPr>
        <w:t>prothrombotic</w:t>
      </w:r>
      <w:proofErr w:type="spellEnd"/>
      <w:r w:rsidR="00D27359" w:rsidRPr="00792884">
        <w:rPr>
          <w:sz w:val="20"/>
          <w:szCs w:val="20"/>
        </w:rPr>
        <w:t xml:space="preserve"> properties, stimulating activation of new platelets as well as increasing platelet aggregation.</w:t>
      </w:r>
    </w:p>
    <w:p w:rsidR="0009599B" w:rsidRPr="00792884" w:rsidRDefault="00D27359" w:rsidP="008912F4">
      <w:pPr>
        <w:ind w:firstLine="720"/>
        <w:jc w:val="both"/>
        <w:rPr>
          <w:sz w:val="20"/>
          <w:szCs w:val="20"/>
        </w:rPr>
      </w:pPr>
      <w:r w:rsidRPr="00792884">
        <w:rPr>
          <w:sz w:val="20"/>
          <w:szCs w:val="20"/>
        </w:rPr>
        <w:t xml:space="preserve">Platelet aggregation is achieved by mediating expression of the glycoprotein complex GP </w:t>
      </w:r>
      <w:proofErr w:type="spellStart"/>
      <w:r w:rsidRPr="00792884">
        <w:rPr>
          <w:sz w:val="20"/>
          <w:szCs w:val="20"/>
        </w:rPr>
        <w:t>IIb/IIIa</w:t>
      </w:r>
      <w:proofErr w:type="spellEnd"/>
      <w:r w:rsidRPr="00792884">
        <w:rPr>
          <w:sz w:val="20"/>
          <w:szCs w:val="20"/>
        </w:rPr>
        <w:t xml:space="preserve"> in the cell membrane of platelets. Circulating fibrinogen binds these receptors on adjacent platelets, further strengthening the clot.</w:t>
      </w:r>
      <w:r w:rsidR="00E74F27" w:rsidRPr="00792884">
        <w:rPr>
          <w:sz w:val="20"/>
          <w:szCs w:val="20"/>
        </w:rPr>
        <w:t xml:space="preserve"> </w:t>
      </w:r>
      <w:r w:rsidRPr="00792884">
        <w:rPr>
          <w:sz w:val="20"/>
          <w:szCs w:val="20"/>
        </w:rPr>
        <w:t xml:space="preserve">It is believed that the </w:t>
      </w:r>
      <w:r w:rsidRPr="00792884">
        <w:rPr>
          <w:sz w:val="20"/>
          <w:szCs w:val="20"/>
        </w:rPr>
        <w:lastRenderedPageBreak/>
        <w:t xml:space="preserve">vasoconstriction caused by </w:t>
      </w:r>
      <w:proofErr w:type="spellStart"/>
      <w:r w:rsidR="00750361">
        <w:rPr>
          <w:sz w:val="20"/>
          <w:szCs w:val="20"/>
        </w:rPr>
        <w:t>TX</w:t>
      </w:r>
      <w:r w:rsidRPr="00792884">
        <w:rPr>
          <w:sz w:val="20"/>
          <w:szCs w:val="20"/>
        </w:rPr>
        <w:t>s</w:t>
      </w:r>
      <w:proofErr w:type="spellEnd"/>
      <w:r w:rsidRPr="00792884">
        <w:rPr>
          <w:sz w:val="20"/>
          <w:szCs w:val="20"/>
        </w:rPr>
        <w:t xml:space="preserve"> plays a role in </w:t>
      </w:r>
      <w:proofErr w:type="spellStart"/>
      <w:r w:rsidRPr="00792884">
        <w:rPr>
          <w:sz w:val="20"/>
          <w:szCs w:val="20"/>
        </w:rPr>
        <w:t>Prinzmetal's</w:t>
      </w:r>
      <w:proofErr w:type="spellEnd"/>
      <w:r w:rsidRPr="00792884">
        <w:rPr>
          <w:sz w:val="20"/>
          <w:szCs w:val="20"/>
        </w:rPr>
        <w:t xml:space="preserve"> angina. Omega-3 fatty acids are metabolize</w:t>
      </w:r>
      <w:r w:rsidR="007530C7" w:rsidRPr="00792884">
        <w:rPr>
          <w:sz w:val="20"/>
          <w:szCs w:val="20"/>
        </w:rPr>
        <w:t>d to produce higher levels of TX</w:t>
      </w:r>
      <w:r w:rsidRPr="00792884">
        <w:rPr>
          <w:sz w:val="20"/>
          <w:szCs w:val="20"/>
        </w:rPr>
        <w:t>A,</w:t>
      </w:r>
      <w:r w:rsidR="004041CC" w:rsidRPr="00792884">
        <w:rPr>
          <w:sz w:val="20"/>
          <w:szCs w:val="20"/>
        </w:rPr>
        <w:t xml:space="preserve"> </w:t>
      </w:r>
      <w:r w:rsidRPr="00792884">
        <w:rPr>
          <w:sz w:val="20"/>
          <w:szCs w:val="20"/>
        </w:rPr>
        <w:t>which i</w:t>
      </w:r>
      <w:r w:rsidR="00477D16" w:rsidRPr="00792884">
        <w:rPr>
          <w:sz w:val="20"/>
          <w:szCs w:val="20"/>
        </w:rPr>
        <w:t>s relatively less potent than TX</w:t>
      </w:r>
      <w:r w:rsidRPr="00792884">
        <w:rPr>
          <w:sz w:val="20"/>
          <w:szCs w:val="20"/>
        </w:rPr>
        <w:t>A2 and PGI3; therefore, there is a balance shift toward inhibition of vasoconstriction and platelet aggregation. It is believed that this shift in balance lowers the incidence of m</w:t>
      </w:r>
      <w:r w:rsidR="0009599B" w:rsidRPr="00792884">
        <w:rPr>
          <w:sz w:val="20"/>
          <w:szCs w:val="20"/>
        </w:rPr>
        <w:t>yocardial infarction</w:t>
      </w:r>
      <w:r w:rsidRPr="00792884">
        <w:rPr>
          <w:sz w:val="20"/>
          <w:szCs w:val="20"/>
        </w:rPr>
        <w:t xml:space="preserve"> and stroke. Vasoconstriction and, perhaps, various </w:t>
      </w:r>
      <w:proofErr w:type="spellStart"/>
      <w:r w:rsidRPr="00792884">
        <w:rPr>
          <w:sz w:val="20"/>
          <w:szCs w:val="20"/>
        </w:rPr>
        <w:t>proin</w:t>
      </w:r>
      <w:r w:rsidR="00F72557" w:rsidRPr="00792884">
        <w:rPr>
          <w:sz w:val="20"/>
          <w:szCs w:val="20"/>
        </w:rPr>
        <w:t>flammatory</w:t>
      </w:r>
      <w:proofErr w:type="spellEnd"/>
      <w:r w:rsidR="00F72557" w:rsidRPr="00792884">
        <w:rPr>
          <w:sz w:val="20"/>
          <w:szCs w:val="20"/>
        </w:rPr>
        <w:t xml:space="preserve"> effects exerted by TX</w:t>
      </w:r>
      <w:r w:rsidRPr="00792884">
        <w:rPr>
          <w:sz w:val="20"/>
          <w:szCs w:val="20"/>
        </w:rPr>
        <w:t>A on tissue microvasculatur</w:t>
      </w:r>
      <w:r w:rsidR="00477D16" w:rsidRPr="00792884">
        <w:rPr>
          <w:sz w:val="20"/>
          <w:szCs w:val="20"/>
        </w:rPr>
        <w:t>e, is probable reason why the TX</w:t>
      </w:r>
      <w:r w:rsidRPr="00792884">
        <w:rPr>
          <w:sz w:val="20"/>
          <w:szCs w:val="20"/>
        </w:rPr>
        <w:t>A is pathogenic in various diseases, such as ischemia-reperfusion injury, hepatic inflammatory processes, acute hepatotoxicity</w:t>
      </w:r>
      <w:r w:rsidR="004041CC" w:rsidRPr="00792884">
        <w:rPr>
          <w:sz w:val="20"/>
          <w:szCs w:val="20"/>
        </w:rPr>
        <w:t>,</w:t>
      </w:r>
      <w:r w:rsidR="00F72557" w:rsidRPr="00792884">
        <w:rPr>
          <w:sz w:val="20"/>
          <w:szCs w:val="20"/>
        </w:rPr>
        <w:t xml:space="preserve"> etc. TX</w:t>
      </w:r>
      <w:r w:rsidRPr="00792884">
        <w:rPr>
          <w:sz w:val="20"/>
          <w:szCs w:val="20"/>
        </w:rPr>
        <w:t xml:space="preserve">B2, a </w:t>
      </w:r>
      <w:r w:rsidR="00155653" w:rsidRPr="00792884">
        <w:rPr>
          <w:sz w:val="20"/>
          <w:szCs w:val="20"/>
        </w:rPr>
        <w:t>stable degradation product of TX</w:t>
      </w:r>
      <w:r w:rsidRPr="00792884">
        <w:rPr>
          <w:sz w:val="20"/>
          <w:szCs w:val="20"/>
        </w:rPr>
        <w:t xml:space="preserve">A2, plays a role in acute </w:t>
      </w:r>
      <w:proofErr w:type="spellStart"/>
      <w:r w:rsidRPr="00792884">
        <w:rPr>
          <w:sz w:val="20"/>
          <w:szCs w:val="20"/>
        </w:rPr>
        <w:t>hepatoxicity</w:t>
      </w:r>
      <w:proofErr w:type="spellEnd"/>
      <w:r w:rsidRPr="00792884">
        <w:rPr>
          <w:sz w:val="20"/>
          <w:szCs w:val="20"/>
        </w:rPr>
        <w:t xml:space="preserve"> induced by acetaminophen.</w:t>
      </w:r>
    </w:p>
    <w:p w:rsidR="0009599B" w:rsidRPr="00792884" w:rsidRDefault="00750361" w:rsidP="008912F4">
      <w:pPr>
        <w:ind w:firstLine="720"/>
        <w:jc w:val="both"/>
        <w:rPr>
          <w:sz w:val="20"/>
          <w:szCs w:val="20"/>
        </w:rPr>
      </w:pPr>
      <w:r>
        <w:rPr>
          <w:sz w:val="20"/>
          <w:szCs w:val="20"/>
        </w:rPr>
        <w:t>TX</w:t>
      </w:r>
      <w:r w:rsidR="00D27359" w:rsidRPr="00792884">
        <w:rPr>
          <w:sz w:val="20"/>
          <w:szCs w:val="20"/>
        </w:rPr>
        <w:t xml:space="preserve"> inhibitors are broadly classified as either those that inhibit the synthesis of </w:t>
      </w:r>
      <w:r>
        <w:rPr>
          <w:sz w:val="20"/>
          <w:szCs w:val="20"/>
        </w:rPr>
        <w:t>TX</w:t>
      </w:r>
      <w:r w:rsidR="00D27359" w:rsidRPr="00792884">
        <w:rPr>
          <w:sz w:val="20"/>
          <w:szCs w:val="20"/>
        </w:rPr>
        <w:t>, or those that inhibit the target effect of it.</w:t>
      </w:r>
      <w:r w:rsidR="0009599B" w:rsidRPr="00792884">
        <w:rPr>
          <w:sz w:val="20"/>
          <w:szCs w:val="20"/>
        </w:rPr>
        <w:t xml:space="preserve"> </w:t>
      </w:r>
      <w:r w:rsidR="00D27359" w:rsidRPr="00792884">
        <w:rPr>
          <w:sz w:val="20"/>
          <w:szCs w:val="20"/>
        </w:rPr>
        <w:t xml:space="preserve">The widely used drug aspirin acts by inhibiting the ability of the COX enzyme to synthesize the precursors of </w:t>
      </w:r>
      <w:r>
        <w:rPr>
          <w:sz w:val="20"/>
          <w:szCs w:val="20"/>
        </w:rPr>
        <w:t>TX</w:t>
      </w:r>
      <w:r w:rsidR="00D27359" w:rsidRPr="00792884">
        <w:rPr>
          <w:sz w:val="20"/>
          <w:szCs w:val="20"/>
        </w:rPr>
        <w:t xml:space="preserve"> within platelets. Low-dose, long-term aspirin use irreversibly blocks the formation of </w:t>
      </w:r>
      <w:r>
        <w:rPr>
          <w:sz w:val="20"/>
          <w:szCs w:val="20"/>
        </w:rPr>
        <w:t>TX</w:t>
      </w:r>
      <w:r w:rsidR="00D27359" w:rsidRPr="00792884">
        <w:rPr>
          <w:sz w:val="20"/>
          <w:szCs w:val="20"/>
        </w:rPr>
        <w:t xml:space="preserve"> A2 in platelets, producing an inhibitory effect on platelet aggregation. This anticoagulant property makes aspirin useful for reducing the incidence of heart attacks. 40 mg of aspirin a day is able to inhibit a large proportion of maximum </w:t>
      </w:r>
      <w:r>
        <w:rPr>
          <w:sz w:val="20"/>
          <w:szCs w:val="20"/>
        </w:rPr>
        <w:t>TX</w:t>
      </w:r>
      <w:r w:rsidR="00D27359" w:rsidRPr="00792884">
        <w:rPr>
          <w:sz w:val="20"/>
          <w:szCs w:val="20"/>
        </w:rPr>
        <w:t xml:space="preserve">A2 release provoked acutely, with the </w:t>
      </w:r>
      <w:r w:rsidR="00C764E2">
        <w:rPr>
          <w:sz w:val="20"/>
          <w:szCs w:val="20"/>
        </w:rPr>
        <w:t>PG</w:t>
      </w:r>
      <w:r w:rsidR="00D27359" w:rsidRPr="00792884">
        <w:rPr>
          <w:sz w:val="20"/>
          <w:szCs w:val="20"/>
        </w:rPr>
        <w:t xml:space="preserve"> I2 synthesis being little affected; however, higher doses of aspirin are required to attain further inhibition.</w:t>
      </w:r>
      <w:r w:rsidR="00534AEA" w:rsidRPr="00792884">
        <w:rPr>
          <w:sz w:val="20"/>
          <w:szCs w:val="20"/>
        </w:rPr>
        <w:t xml:space="preserve"> </w:t>
      </w:r>
      <w:r>
        <w:rPr>
          <w:sz w:val="20"/>
          <w:szCs w:val="20"/>
        </w:rPr>
        <w:t>TX</w:t>
      </w:r>
      <w:r w:rsidR="00D27359" w:rsidRPr="00792884">
        <w:rPr>
          <w:sz w:val="20"/>
          <w:szCs w:val="20"/>
        </w:rPr>
        <w:t xml:space="preserve"> </w:t>
      </w:r>
      <w:proofErr w:type="spellStart"/>
      <w:r w:rsidR="00D27359" w:rsidRPr="00792884">
        <w:rPr>
          <w:sz w:val="20"/>
          <w:szCs w:val="20"/>
        </w:rPr>
        <w:t>synthase</w:t>
      </w:r>
      <w:proofErr w:type="spellEnd"/>
      <w:r w:rsidR="00D27359" w:rsidRPr="00792884">
        <w:rPr>
          <w:sz w:val="20"/>
          <w:szCs w:val="20"/>
        </w:rPr>
        <w:t xml:space="preserve"> inhibitors inhibit the final enzyme (</w:t>
      </w:r>
      <w:r>
        <w:rPr>
          <w:sz w:val="20"/>
          <w:szCs w:val="20"/>
        </w:rPr>
        <w:t>TX</w:t>
      </w:r>
      <w:r w:rsidR="00D27359" w:rsidRPr="00792884">
        <w:rPr>
          <w:sz w:val="20"/>
          <w:szCs w:val="20"/>
        </w:rPr>
        <w:t xml:space="preserve"> </w:t>
      </w:r>
      <w:proofErr w:type="spellStart"/>
      <w:r w:rsidR="00D27359" w:rsidRPr="00792884">
        <w:rPr>
          <w:sz w:val="20"/>
          <w:szCs w:val="20"/>
        </w:rPr>
        <w:t>synthase</w:t>
      </w:r>
      <w:proofErr w:type="spellEnd"/>
      <w:r w:rsidR="00D27359" w:rsidRPr="00792884">
        <w:rPr>
          <w:sz w:val="20"/>
          <w:szCs w:val="20"/>
        </w:rPr>
        <w:t xml:space="preserve">) in the synthesis of </w:t>
      </w:r>
      <w:r>
        <w:rPr>
          <w:sz w:val="20"/>
          <w:szCs w:val="20"/>
        </w:rPr>
        <w:t>TX</w:t>
      </w:r>
      <w:r w:rsidR="00D27359" w:rsidRPr="00792884">
        <w:rPr>
          <w:sz w:val="20"/>
          <w:szCs w:val="20"/>
        </w:rPr>
        <w:t xml:space="preserve">. </w:t>
      </w:r>
      <w:proofErr w:type="spellStart"/>
      <w:r w:rsidR="00D27359" w:rsidRPr="00792884">
        <w:rPr>
          <w:sz w:val="20"/>
          <w:szCs w:val="20"/>
        </w:rPr>
        <w:t>Ifetroban</w:t>
      </w:r>
      <w:proofErr w:type="spellEnd"/>
      <w:r w:rsidR="00D27359" w:rsidRPr="00792884">
        <w:rPr>
          <w:sz w:val="20"/>
          <w:szCs w:val="20"/>
        </w:rPr>
        <w:t xml:space="preserve"> is a potent and selective </w:t>
      </w:r>
      <w:r>
        <w:rPr>
          <w:sz w:val="20"/>
          <w:szCs w:val="20"/>
        </w:rPr>
        <w:t>TX</w:t>
      </w:r>
      <w:r w:rsidR="00D27359" w:rsidRPr="00792884">
        <w:rPr>
          <w:sz w:val="20"/>
          <w:szCs w:val="20"/>
        </w:rPr>
        <w:t xml:space="preserve"> receptor antagonist. </w:t>
      </w:r>
      <w:proofErr w:type="spellStart"/>
      <w:r w:rsidR="00D27359" w:rsidRPr="00792884">
        <w:rPr>
          <w:sz w:val="20"/>
          <w:szCs w:val="20"/>
        </w:rPr>
        <w:t>Dipyridamole</w:t>
      </w:r>
      <w:proofErr w:type="spellEnd"/>
      <w:r w:rsidR="00D27359" w:rsidRPr="00792884">
        <w:rPr>
          <w:sz w:val="20"/>
          <w:szCs w:val="20"/>
        </w:rPr>
        <w:t xml:space="preserve"> antagonizes this receptor too, but has various other mechanisms of antiplatelet activity as well.</w:t>
      </w:r>
    </w:p>
    <w:p w:rsidR="00A74DC9" w:rsidRPr="00792884" w:rsidRDefault="00D27359" w:rsidP="008912F4">
      <w:pPr>
        <w:ind w:firstLine="720"/>
        <w:jc w:val="both"/>
        <w:rPr>
          <w:sz w:val="20"/>
          <w:szCs w:val="20"/>
        </w:rPr>
      </w:pPr>
      <w:r w:rsidRPr="00792884">
        <w:rPr>
          <w:sz w:val="20"/>
          <w:szCs w:val="20"/>
        </w:rPr>
        <w:t xml:space="preserve">High-dose naproxen can induce near-complete suppression of platelet </w:t>
      </w:r>
      <w:r w:rsidR="00750361">
        <w:rPr>
          <w:sz w:val="20"/>
          <w:szCs w:val="20"/>
        </w:rPr>
        <w:t>TX</w:t>
      </w:r>
      <w:r w:rsidRPr="00792884">
        <w:rPr>
          <w:sz w:val="20"/>
          <w:szCs w:val="20"/>
        </w:rPr>
        <w:t xml:space="preserve"> throughout the dosing interval and appears not to increase cardiovascular disease (CVD) risk, whereas other high-dose NSAID (non-steroidal-anti-inflammatory) regimens have only transient effects on platelet COX-1 and have been found to be associated "with a small but definite vascular hazard".</w:t>
      </w:r>
      <w:r w:rsidR="00534AEA" w:rsidRPr="00792884">
        <w:rPr>
          <w:sz w:val="20"/>
          <w:szCs w:val="20"/>
        </w:rPr>
        <w:t xml:space="preserve"> </w:t>
      </w:r>
      <w:r w:rsidRPr="00792884">
        <w:rPr>
          <w:sz w:val="20"/>
          <w:szCs w:val="20"/>
        </w:rPr>
        <w:t xml:space="preserve">The inhibitors of the target effects of </w:t>
      </w:r>
      <w:r w:rsidR="00750361">
        <w:rPr>
          <w:sz w:val="20"/>
          <w:szCs w:val="20"/>
        </w:rPr>
        <w:t>TX</w:t>
      </w:r>
      <w:r w:rsidRPr="00792884">
        <w:rPr>
          <w:sz w:val="20"/>
          <w:szCs w:val="20"/>
        </w:rPr>
        <w:t xml:space="preserve"> are the </w:t>
      </w:r>
      <w:r w:rsidR="00750361">
        <w:rPr>
          <w:sz w:val="20"/>
          <w:szCs w:val="20"/>
        </w:rPr>
        <w:t>TX</w:t>
      </w:r>
      <w:r w:rsidRPr="00792884">
        <w:rPr>
          <w:sz w:val="20"/>
          <w:szCs w:val="20"/>
        </w:rPr>
        <w:t xml:space="preserve"> receptor antagonist, including </w:t>
      </w:r>
      <w:proofErr w:type="spellStart"/>
      <w:r w:rsidRPr="00792884">
        <w:rPr>
          <w:sz w:val="20"/>
          <w:szCs w:val="20"/>
        </w:rPr>
        <w:t>terutroban</w:t>
      </w:r>
      <w:proofErr w:type="spellEnd"/>
      <w:r w:rsidRPr="00792884">
        <w:rPr>
          <w:sz w:val="20"/>
          <w:szCs w:val="20"/>
        </w:rPr>
        <w:t>.</w:t>
      </w:r>
      <w:r w:rsidR="0009599B" w:rsidRPr="00792884">
        <w:rPr>
          <w:sz w:val="20"/>
          <w:szCs w:val="20"/>
        </w:rPr>
        <w:t xml:space="preserve"> </w:t>
      </w:r>
      <w:proofErr w:type="spellStart"/>
      <w:r w:rsidRPr="00792884">
        <w:rPr>
          <w:sz w:val="20"/>
          <w:szCs w:val="20"/>
        </w:rPr>
        <w:t>Picotamide</w:t>
      </w:r>
      <w:proofErr w:type="spellEnd"/>
      <w:r w:rsidRPr="00792884">
        <w:rPr>
          <w:sz w:val="20"/>
          <w:szCs w:val="20"/>
        </w:rPr>
        <w:t xml:space="preserve"> has activity both as a </w:t>
      </w:r>
      <w:r w:rsidR="00750361">
        <w:rPr>
          <w:sz w:val="20"/>
          <w:szCs w:val="20"/>
        </w:rPr>
        <w:t>TX</w:t>
      </w:r>
      <w:r w:rsidRPr="00792884">
        <w:rPr>
          <w:sz w:val="20"/>
          <w:szCs w:val="20"/>
        </w:rPr>
        <w:t xml:space="preserve"> </w:t>
      </w:r>
      <w:proofErr w:type="spellStart"/>
      <w:r w:rsidRPr="00792884">
        <w:rPr>
          <w:sz w:val="20"/>
          <w:szCs w:val="20"/>
        </w:rPr>
        <w:t>synthase</w:t>
      </w:r>
      <w:proofErr w:type="spellEnd"/>
      <w:r w:rsidRPr="00792884">
        <w:rPr>
          <w:sz w:val="20"/>
          <w:szCs w:val="20"/>
        </w:rPr>
        <w:t xml:space="preserve"> inhibitor and as a </w:t>
      </w:r>
      <w:r w:rsidR="00750361">
        <w:rPr>
          <w:sz w:val="20"/>
          <w:szCs w:val="20"/>
        </w:rPr>
        <w:t>TX</w:t>
      </w:r>
      <w:r w:rsidR="00534AEA" w:rsidRPr="00792884">
        <w:rPr>
          <w:sz w:val="20"/>
          <w:szCs w:val="20"/>
        </w:rPr>
        <w:t xml:space="preserve"> receptor antagonist.</w:t>
      </w:r>
    </w:p>
    <w:p w:rsidR="002773E0" w:rsidRPr="00792884" w:rsidRDefault="002773E0" w:rsidP="008912F4">
      <w:pPr>
        <w:ind w:firstLine="720"/>
        <w:jc w:val="both"/>
        <w:rPr>
          <w:sz w:val="20"/>
          <w:szCs w:val="20"/>
        </w:rPr>
      </w:pPr>
      <w:r w:rsidRPr="00792884">
        <w:rPr>
          <w:sz w:val="20"/>
          <w:szCs w:val="20"/>
        </w:rPr>
        <w:t xml:space="preserve">The PG are a group of physiologically active lipid compounds having diverse hormone-like effects in animals. </w:t>
      </w:r>
      <w:r w:rsidR="00C764E2">
        <w:rPr>
          <w:sz w:val="20"/>
          <w:szCs w:val="20"/>
        </w:rPr>
        <w:t>PG</w:t>
      </w:r>
      <w:r w:rsidRPr="00792884">
        <w:rPr>
          <w:sz w:val="20"/>
          <w:szCs w:val="20"/>
        </w:rPr>
        <w:t xml:space="preserve">s have been found in almost every tissue in humans and other animals. They are derived enzymatically from fatty acids. Every </w:t>
      </w:r>
      <w:r w:rsidR="00C764E2">
        <w:rPr>
          <w:sz w:val="20"/>
          <w:szCs w:val="20"/>
        </w:rPr>
        <w:t>PG</w:t>
      </w:r>
      <w:r w:rsidRPr="00792884">
        <w:rPr>
          <w:sz w:val="20"/>
          <w:szCs w:val="20"/>
        </w:rPr>
        <w:t xml:space="preserve"> contains 20 carbon atoms, including a 5-carbon ring. They are a subclass of eicosanoids and form the </w:t>
      </w:r>
      <w:proofErr w:type="spellStart"/>
      <w:r w:rsidRPr="00792884">
        <w:rPr>
          <w:sz w:val="20"/>
          <w:szCs w:val="20"/>
        </w:rPr>
        <w:t>prostanoid</w:t>
      </w:r>
      <w:proofErr w:type="spellEnd"/>
      <w:r w:rsidRPr="00792884">
        <w:rPr>
          <w:sz w:val="20"/>
          <w:szCs w:val="20"/>
        </w:rPr>
        <w:t xml:space="preserve"> class of fatty acid derivatives.</w:t>
      </w:r>
    </w:p>
    <w:p w:rsidR="002773E0" w:rsidRPr="00792884" w:rsidRDefault="002773E0" w:rsidP="008912F4">
      <w:pPr>
        <w:ind w:firstLine="720"/>
        <w:jc w:val="both"/>
        <w:rPr>
          <w:sz w:val="20"/>
          <w:szCs w:val="20"/>
        </w:rPr>
      </w:pPr>
      <w:r w:rsidRPr="00792884">
        <w:rPr>
          <w:sz w:val="20"/>
          <w:szCs w:val="20"/>
        </w:rPr>
        <w:lastRenderedPageBreak/>
        <w:t xml:space="preserve">The structural differences between </w:t>
      </w:r>
      <w:r w:rsidR="00C764E2">
        <w:rPr>
          <w:sz w:val="20"/>
          <w:szCs w:val="20"/>
        </w:rPr>
        <w:t>PG</w:t>
      </w:r>
      <w:r w:rsidRPr="00792884">
        <w:rPr>
          <w:sz w:val="20"/>
          <w:szCs w:val="20"/>
        </w:rPr>
        <w:t xml:space="preserve">s account for their different biological activities. A given </w:t>
      </w:r>
      <w:r w:rsidR="00C764E2">
        <w:rPr>
          <w:sz w:val="20"/>
          <w:szCs w:val="20"/>
        </w:rPr>
        <w:t>PG</w:t>
      </w:r>
      <w:r w:rsidRPr="00792884">
        <w:rPr>
          <w:sz w:val="20"/>
          <w:szCs w:val="20"/>
        </w:rPr>
        <w:t xml:space="preserve"> may have different and even opposite effects in different tissues. The ability of the same </w:t>
      </w:r>
      <w:r w:rsidR="00C764E2">
        <w:rPr>
          <w:sz w:val="20"/>
          <w:szCs w:val="20"/>
        </w:rPr>
        <w:t>PG</w:t>
      </w:r>
      <w:r w:rsidRPr="00792884">
        <w:rPr>
          <w:sz w:val="20"/>
          <w:szCs w:val="20"/>
        </w:rPr>
        <w:t xml:space="preserve"> to stimulate a reaction in one tissue and inhibit the same reaction in another tissue is determined by the type of receptor to which the </w:t>
      </w:r>
      <w:r w:rsidR="00C764E2">
        <w:rPr>
          <w:sz w:val="20"/>
          <w:szCs w:val="20"/>
        </w:rPr>
        <w:t>PG</w:t>
      </w:r>
      <w:r w:rsidRPr="00792884">
        <w:rPr>
          <w:sz w:val="20"/>
          <w:szCs w:val="20"/>
        </w:rPr>
        <w:t xml:space="preserve"> binds. They act as </w:t>
      </w:r>
      <w:proofErr w:type="spellStart"/>
      <w:r w:rsidRPr="00792884">
        <w:rPr>
          <w:sz w:val="20"/>
          <w:szCs w:val="20"/>
        </w:rPr>
        <w:t>autocrine</w:t>
      </w:r>
      <w:proofErr w:type="spellEnd"/>
      <w:r w:rsidRPr="00792884">
        <w:rPr>
          <w:sz w:val="20"/>
          <w:szCs w:val="20"/>
        </w:rPr>
        <w:t xml:space="preserve"> or </w:t>
      </w:r>
      <w:proofErr w:type="spellStart"/>
      <w:r w:rsidRPr="00792884">
        <w:rPr>
          <w:sz w:val="20"/>
          <w:szCs w:val="20"/>
        </w:rPr>
        <w:t>paracrine</w:t>
      </w:r>
      <w:proofErr w:type="spellEnd"/>
      <w:r w:rsidRPr="00792884">
        <w:rPr>
          <w:sz w:val="20"/>
          <w:szCs w:val="20"/>
        </w:rPr>
        <w:t xml:space="preserve"> factors with their target cells present in the immediate vicinity of the site of their secretion. </w:t>
      </w:r>
      <w:r w:rsidR="00C764E2">
        <w:rPr>
          <w:sz w:val="20"/>
          <w:szCs w:val="20"/>
        </w:rPr>
        <w:t>PG</w:t>
      </w:r>
      <w:r w:rsidRPr="00792884">
        <w:rPr>
          <w:sz w:val="20"/>
          <w:szCs w:val="20"/>
        </w:rPr>
        <w:t>s differ from endocrine hormones in that they are not produced at a specific site but in many places throughout the human body.</w:t>
      </w:r>
    </w:p>
    <w:p w:rsidR="002773E0" w:rsidRPr="00792884" w:rsidRDefault="00C764E2" w:rsidP="008912F4">
      <w:pPr>
        <w:ind w:firstLine="720"/>
        <w:jc w:val="both"/>
        <w:rPr>
          <w:sz w:val="20"/>
          <w:szCs w:val="20"/>
        </w:rPr>
      </w:pPr>
      <w:r>
        <w:rPr>
          <w:sz w:val="20"/>
          <w:szCs w:val="20"/>
        </w:rPr>
        <w:t>PG</w:t>
      </w:r>
      <w:r w:rsidR="002773E0" w:rsidRPr="00792884">
        <w:rPr>
          <w:sz w:val="20"/>
          <w:szCs w:val="20"/>
        </w:rPr>
        <w:t xml:space="preserve">s have two derivatives: </w:t>
      </w:r>
      <w:proofErr w:type="spellStart"/>
      <w:r w:rsidR="002773E0" w:rsidRPr="00792884">
        <w:rPr>
          <w:sz w:val="20"/>
          <w:szCs w:val="20"/>
        </w:rPr>
        <w:t>prostacyclins</w:t>
      </w:r>
      <w:proofErr w:type="spellEnd"/>
      <w:r w:rsidR="002773E0" w:rsidRPr="00792884">
        <w:rPr>
          <w:sz w:val="20"/>
          <w:szCs w:val="20"/>
        </w:rPr>
        <w:t xml:space="preserve"> and </w:t>
      </w:r>
      <w:proofErr w:type="spellStart"/>
      <w:r w:rsidR="00750361">
        <w:rPr>
          <w:sz w:val="20"/>
          <w:szCs w:val="20"/>
        </w:rPr>
        <w:t>TX</w:t>
      </w:r>
      <w:r w:rsidR="002773E0" w:rsidRPr="00792884">
        <w:rPr>
          <w:sz w:val="20"/>
          <w:szCs w:val="20"/>
        </w:rPr>
        <w:t>s</w:t>
      </w:r>
      <w:proofErr w:type="spellEnd"/>
      <w:r w:rsidR="002773E0" w:rsidRPr="00792884">
        <w:rPr>
          <w:sz w:val="20"/>
          <w:szCs w:val="20"/>
        </w:rPr>
        <w:t xml:space="preserve">. </w:t>
      </w:r>
      <w:proofErr w:type="spellStart"/>
      <w:r w:rsidR="002773E0" w:rsidRPr="00792884">
        <w:rPr>
          <w:sz w:val="20"/>
          <w:szCs w:val="20"/>
        </w:rPr>
        <w:t>Prostacyclins</w:t>
      </w:r>
      <w:proofErr w:type="spellEnd"/>
      <w:r w:rsidR="002773E0" w:rsidRPr="00792884">
        <w:rPr>
          <w:sz w:val="20"/>
          <w:szCs w:val="20"/>
        </w:rPr>
        <w:t xml:space="preserve"> are powerful locally acting vasodilators and inhibit the aggregation of blood platelets. Through their role in </w:t>
      </w:r>
      <w:proofErr w:type="spellStart"/>
      <w:r w:rsidR="002773E0" w:rsidRPr="00792884">
        <w:rPr>
          <w:sz w:val="20"/>
          <w:szCs w:val="20"/>
        </w:rPr>
        <w:t>vasodilation</w:t>
      </w:r>
      <w:proofErr w:type="spellEnd"/>
      <w:r w:rsidR="002773E0" w:rsidRPr="00792884">
        <w:rPr>
          <w:sz w:val="20"/>
          <w:szCs w:val="20"/>
        </w:rPr>
        <w:t xml:space="preserve">, </w:t>
      </w:r>
      <w:proofErr w:type="spellStart"/>
      <w:r w:rsidR="002773E0" w:rsidRPr="00792884">
        <w:rPr>
          <w:sz w:val="20"/>
          <w:szCs w:val="20"/>
        </w:rPr>
        <w:t>prostacyclins</w:t>
      </w:r>
      <w:proofErr w:type="spellEnd"/>
      <w:r w:rsidR="002773E0" w:rsidRPr="00792884">
        <w:rPr>
          <w:sz w:val="20"/>
          <w:szCs w:val="20"/>
        </w:rPr>
        <w:t xml:space="preserve"> are also involved in inflammation. They are synthesized in the walls of blood vessels and serve the physiological function of preventing needless clot formation, as well as regulating the contraction of smooth muscle tissue. Conversely, </w:t>
      </w:r>
      <w:proofErr w:type="spellStart"/>
      <w:r w:rsidR="00750361">
        <w:rPr>
          <w:sz w:val="20"/>
          <w:szCs w:val="20"/>
        </w:rPr>
        <w:t>TX</w:t>
      </w:r>
      <w:r w:rsidR="002773E0" w:rsidRPr="00792884">
        <w:rPr>
          <w:sz w:val="20"/>
          <w:szCs w:val="20"/>
        </w:rPr>
        <w:t>s</w:t>
      </w:r>
      <w:proofErr w:type="spellEnd"/>
      <w:r w:rsidR="002773E0" w:rsidRPr="00792884">
        <w:rPr>
          <w:sz w:val="20"/>
          <w:szCs w:val="20"/>
        </w:rPr>
        <w:t xml:space="preserve"> (produced by platelet cells) are vasoconstrictors and facilitate platelet aggregation. Their name comes from their role in clot formation (thrombosis).</w:t>
      </w:r>
    </w:p>
    <w:p w:rsidR="002773E0" w:rsidRPr="00792884" w:rsidRDefault="002773E0" w:rsidP="008912F4">
      <w:pPr>
        <w:ind w:firstLine="720"/>
        <w:jc w:val="both"/>
        <w:rPr>
          <w:sz w:val="20"/>
          <w:szCs w:val="20"/>
        </w:rPr>
      </w:pPr>
      <w:r w:rsidRPr="00792884">
        <w:rPr>
          <w:sz w:val="20"/>
          <w:szCs w:val="20"/>
        </w:rPr>
        <w:t xml:space="preserve">Specific </w:t>
      </w:r>
      <w:r w:rsidR="00C764E2">
        <w:rPr>
          <w:sz w:val="20"/>
          <w:szCs w:val="20"/>
        </w:rPr>
        <w:t>PG</w:t>
      </w:r>
      <w:r w:rsidRPr="00792884">
        <w:rPr>
          <w:sz w:val="20"/>
          <w:szCs w:val="20"/>
        </w:rPr>
        <w:t xml:space="preserve">s are named with a letter (which indicates the type of ring structure) followed by a number (which indicates the number of double bonds in the hydrocarbon structure). For example, </w:t>
      </w:r>
      <w:r w:rsidR="00C764E2">
        <w:rPr>
          <w:sz w:val="20"/>
          <w:szCs w:val="20"/>
        </w:rPr>
        <w:t>PG</w:t>
      </w:r>
      <w:r w:rsidRPr="00792884">
        <w:rPr>
          <w:sz w:val="20"/>
          <w:szCs w:val="20"/>
        </w:rPr>
        <w:t xml:space="preserve"> E1 is abbreviated PGE1 or PGE1, and </w:t>
      </w:r>
      <w:r w:rsidR="00C764E2">
        <w:rPr>
          <w:sz w:val="20"/>
          <w:szCs w:val="20"/>
        </w:rPr>
        <w:t>PG</w:t>
      </w:r>
      <w:r w:rsidRPr="00792884">
        <w:rPr>
          <w:sz w:val="20"/>
          <w:szCs w:val="20"/>
        </w:rPr>
        <w:t xml:space="preserve"> I2 is abbreviated PGI2 or PGI2. The number is traditionally subscripted when the context allows, but as with many similar subscript-containing nomenclatures, the subscript is simply forgone in many database fields that can store only plain text, and readers are used to seeing and writing it without subscript.</w:t>
      </w:r>
    </w:p>
    <w:p w:rsidR="002773E0" w:rsidRPr="00792884" w:rsidRDefault="002773E0" w:rsidP="008912F4">
      <w:pPr>
        <w:ind w:firstLine="720"/>
        <w:jc w:val="both"/>
        <w:rPr>
          <w:sz w:val="20"/>
          <w:szCs w:val="20"/>
        </w:rPr>
      </w:pPr>
      <w:r w:rsidRPr="00792884">
        <w:rPr>
          <w:sz w:val="20"/>
          <w:szCs w:val="20"/>
        </w:rPr>
        <w:t xml:space="preserve">The name </w:t>
      </w:r>
      <w:r w:rsidR="00C764E2">
        <w:rPr>
          <w:sz w:val="20"/>
          <w:szCs w:val="20"/>
        </w:rPr>
        <w:t>PG</w:t>
      </w:r>
      <w:r w:rsidRPr="00792884">
        <w:rPr>
          <w:sz w:val="20"/>
          <w:szCs w:val="20"/>
        </w:rPr>
        <w:t xml:space="preserve"> derives from the prostate gland. When </w:t>
      </w:r>
      <w:r w:rsidR="00C764E2">
        <w:rPr>
          <w:sz w:val="20"/>
          <w:szCs w:val="20"/>
        </w:rPr>
        <w:t>PG</w:t>
      </w:r>
      <w:r w:rsidRPr="00792884">
        <w:rPr>
          <w:sz w:val="20"/>
          <w:szCs w:val="20"/>
        </w:rPr>
        <w:t xml:space="preserve"> was first isolated from seminal fluid in 1935 by the Swedis</w:t>
      </w:r>
      <w:r w:rsidR="002E42E0" w:rsidRPr="00792884">
        <w:rPr>
          <w:sz w:val="20"/>
          <w:szCs w:val="20"/>
        </w:rPr>
        <w:t>h physiologist Ulf von Euler,</w:t>
      </w:r>
      <w:r w:rsidRPr="00792884">
        <w:rPr>
          <w:sz w:val="20"/>
          <w:szCs w:val="20"/>
        </w:rPr>
        <w:t xml:space="preserve"> and independently by M.W. </w:t>
      </w:r>
      <w:proofErr w:type="spellStart"/>
      <w:r w:rsidRPr="00792884">
        <w:rPr>
          <w:sz w:val="20"/>
          <w:szCs w:val="20"/>
        </w:rPr>
        <w:t>Goldblatt</w:t>
      </w:r>
      <w:proofErr w:type="spellEnd"/>
      <w:r w:rsidRPr="00792884">
        <w:rPr>
          <w:sz w:val="20"/>
          <w:szCs w:val="20"/>
        </w:rPr>
        <w:t xml:space="preserve">, it was believed to be part of the prostatic secretions. (In fact, </w:t>
      </w:r>
      <w:r w:rsidR="00C764E2">
        <w:rPr>
          <w:sz w:val="20"/>
          <w:szCs w:val="20"/>
        </w:rPr>
        <w:t>PG</w:t>
      </w:r>
      <w:r w:rsidRPr="00792884">
        <w:rPr>
          <w:sz w:val="20"/>
          <w:szCs w:val="20"/>
        </w:rPr>
        <w:t xml:space="preserve">s are produced by the seminal vesicles). It was later shown that many other tissues secrete </w:t>
      </w:r>
      <w:r w:rsidR="00C764E2">
        <w:rPr>
          <w:sz w:val="20"/>
          <w:szCs w:val="20"/>
        </w:rPr>
        <w:t>PG</w:t>
      </w:r>
      <w:r w:rsidRPr="00792884">
        <w:rPr>
          <w:sz w:val="20"/>
          <w:szCs w:val="20"/>
        </w:rPr>
        <w:t xml:space="preserve">s for various functions. The first total syntheses of </w:t>
      </w:r>
      <w:r w:rsidR="00C764E2">
        <w:rPr>
          <w:sz w:val="20"/>
          <w:szCs w:val="20"/>
        </w:rPr>
        <w:t>PG</w:t>
      </w:r>
      <w:r w:rsidRPr="00792884">
        <w:rPr>
          <w:sz w:val="20"/>
          <w:szCs w:val="20"/>
        </w:rPr>
        <w:t xml:space="preserve"> F2α and </w:t>
      </w:r>
      <w:r w:rsidR="00C764E2">
        <w:rPr>
          <w:sz w:val="20"/>
          <w:szCs w:val="20"/>
        </w:rPr>
        <w:t>PG</w:t>
      </w:r>
      <w:r w:rsidRPr="00792884">
        <w:rPr>
          <w:sz w:val="20"/>
          <w:szCs w:val="20"/>
        </w:rPr>
        <w:t xml:space="preserve"> E2 were reported by E. J. Corey in 1969, an achievement for which he was awarded the Japan Prize in 1989.</w:t>
      </w:r>
    </w:p>
    <w:p w:rsidR="002773E0" w:rsidRPr="00792884" w:rsidRDefault="002773E0" w:rsidP="008912F4">
      <w:pPr>
        <w:ind w:firstLine="720"/>
        <w:jc w:val="both"/>
        <w:rPr>
          <w:sz w:val="20"/>
          <w:szCs w:val="20"/>
        </w:rPr>
      </w:pPr>
      <w:r w:rsidRPr="00792884">
        <w:rPr>
          <w:sz w:val="20"/>
          <w:szCs w:val="20"/>
        </w:rPr>
        <w:t xml:space="preserve">In 1971, it was determined that aspirin-like drugs could inhibit the synthesis of </w:t>
      </w:r>
      <w:r w:rsidR="00C764E2">
        <w:rPr>
          <w:sz w:val="20"/>
          <w:szCs w:val="20"/>
        </w:rPr>
        <w:t>PG</w:t>
      </w:r>
      <w:r w:rsidRPr="00792884">
        <w:rPr>
          <w:sz w:val="20"/>
          <w:szCs w:val="20"/>
        </w:rPr>
        <w:t xml:space="preserve">s. The biochemists </w:t>
      </w:r>
      <w:proofErr w:type="spellStart"/>
      <w:r w:rsidRPr="00792884">
        <w:rPr>
          <w:sz w:val="20"/>
          <w:szCs w:val="20"/>
        </w:rPr>
        <w:t>Sune</w:t>
      </w:r>
      <w:proofErr w:type="spellEnd"/>
      <w:r w:rsidRPr="00792884">
        <w:rPr>
          <w:sz w:val="20"/>
          <w:szCs w:val="20"/>
        </w:rPr>
        <w:t xml:space="preserve"> K. </w:t>
      </w:r>
      <w:proofErr w:type="spellStart"/>
      <w:r w:rsidRPr="00792884">
        <w:rPr>
          <w:sz w:val="20"/>
          <w:szCs w:val="20"/>
        </w:rPr>
        <w:t>Bergström</w:t>
      </w:r>
      <w:proofErr w:type="spellEnd"/>
      <w:r w:rsidRPr="00792884">
        <w:rPr>
          <w:sz w:val="20"/>
          <w:szCs w:val="20"/>
        </w:rPr>
        <w:t xml:space="preserve">, </w:t>
      </w:r>
      <w:proofErr w:type="spellStart"/>
      <w:r w:rsidRPr="00792884">
        <w:rPr>
          <w:sz w:val="20"/>
          <w:szCs w:val="20"/>
        </w:rPr>
        <w:t>Bengt</w:t>
      </w:r>
      <w:proofErr w:type="spellEnd"/>
      <w:r w:rsidRPr="00792884">
        <w:rPr>
          <w:sz w:val="20"/>
          <w:szCs w:val="20"/>
        </w:rPr>
        <w:t xml:space="preserve"> I. Samuelsson and John R. Vane jointly received the 1982 Nobel Prize in Physiology or Medicine for their research on </w:t>
      </w:r>
      <w:r w:rsidR="00C764E2">
        <w:rPr>
          <w:sz w:val="20"/>
          <w:szCs w:val="20"/>
        </w:rPr>
        <w:t>PG</w:t>
      </w:r>
      <w:r w:rsidRPr="00792884">
        <w:rPr>
          <w:sz w:val="20"/>
          <w:szCs w:val="20"/>
        </w:rPr>
        <w:t>s.</w:t>
      </w:r>
    </w:p>
    <w:p w:rsidR="002773E0" w:rsidRPr="00792884" w:rsidRDefault="002773E0" w:rsidP="008912F4">
      <w:pPr>
        <w:ind w:firstLine="720"/>
        <w:jc w:val="both"/>
        <w:rPr>
          <w:sz w:val="20"/>
          <w:szCs w:val="20"/>
        </w:rPr>
      </w:pPr>
      <w:r w:rsidRPr="00792884">
        <w:rPr>
          <w:sz w:val="20"/>
          <w:szCs w:val="20"/>
        </w:rPr>
        <w:t xml:space="preserve">Biosynthesis of </w:t>
      </w:r>
      <w:proofErr w:type="spellStart"/>
      <w:r w:rsidRPr="00792884">
        <w:rPr>
          <w:sz w:val="20"/>
          <w:szCs w:val="20"/>
        </w:rPr>
        <w:t>eicosanoids</w:t>
      </w:r>
      <w:proofErr w:type="spellEnd"/>
      <w:r w:rsidR="00155653" w:rsidRPr="00792884">
        <w:rPr>
          <w:sz w:val="20"/>
          <w:szCs w:val="20"/>
        </w:rPr>
        <w:t xml:space="preserve"> </w:t>
      </w:r>
      <w:r w:rsidR="00C764E2">
        <w:rPr>
          <w:sz w:val="20"/>
          <w:szCs w:val="20"/>
        </w:rPr>
        <w:t>PG</w:t>
      </w:r>
      <w:r w:rsidRPr="00792884">
        <w:rPr>
          <w:sz w:val="20"/>
          <w:szCs w:val="20"/>
        </w:rPr>
        <w:t xml:space="preserve">s are found in most tissues and organs. They are produced by almost all nucleated cells. They are </w:t>
      </w:r>
      <w:proofErr w:type="spellStart"/>
      <w:r w:rsidRPr="00792884">
        <w:rPr>
          <w:sz w:val="20"/>
          <w:szCs w:val="20"/>
        </w:rPr>
        <w:t>autocrine</w:t>
      </w:r>
      <w:proofErr w:type="spellEnd"/>
      <w:r w:rsidRPr="00792884">
        <w:rPr>
          <w:sz w:val="20"/>
          <w:szCs w:val="20"/>
        </w:rPr>
        <w:t xml:space="preserve"> and </w:t>
      </w:r>
      <w:proofErr w:type="spellStart"/>
      <w:r w:rsidRPr="00792884">
        <w:rPr>
          <w:sz w:val="20"/>
          <w:szCs w:val="20"/>
        </w:rPr>
        <w:t>paracrine</w:t>
      </w:r>
      <w:proofErr w:type="spellEnd"/>
      <w:r w:rsidRPr="00792884">
        <w:rPr>
          <w:sz w:val="20"/>
          <w:szCs w:val="20"/>
        </w:rPr>
        <w:t xml:space="preserve"> lipid mediators that act upon platelets, endothelium, </w:t>
      </w:r>
      <w:r w:rsidRPr="00792884">
        <w:rPr>
          <w:sz w:val="20"/>
          <w:szCs w:val="20"/>
        </w:rPr>
        <w:lastRenderedPageBreak/>
        <w:t>uterine and mast cells. They are synthesized in the cell from the essential fatty acids (EFAs).</w:t>
      </w:r>
    </w:p>
    <w:p w:rsidR="002773E0" w:rsidRPr="00792884" w:rsidRDefault="002773E0" w:rsidP="008912F4">
      <w:pPr>
        <w:ind w:firstLine="720"/>
        <w:jc w:val="both"/>
        <w:rPr>
          <w:sz w:val="20"/>
          <w:szCs w:val="20"/>
        </w:rPr>
      </w:pPr>
      <w:r w:rsidRPr="00792884">
        <w:rPr>
          <w:sz w:val="20"/>
          <w:szCs w:val="20"/>
        </w:rPr>
        <w:t xml:space="preserve">An intermediate </w:t>
      </w:r>
      <w:proofErr w:type="spellStart"/>
      <w:r w:rsidRPr="00792884">
        <w:rPr>
          <w:sz w:val="20"/>
          <w:szCs w:val="20"/>
        </w:rPr>
        <w:t>arachidonic</w:t>
      </w:r>
      <w:proofErr w:type="spellEnd"/>
      <w:r w:rsidRPr="00792884">
        <w:rPr>
          <w:sz w:val="20"/>
          <w:szCs w:val="20"/>
        </w:rPr>
        <w:t xml:space="preserve"> acid is created from </w:t>
      </w:r>
      <w:proofErr w:type="spellStart"/>
      <w:r w:rsidRPr="00792884">
        <w:rPr>
          <w:sz w:val="20"/>
          <w:szCs w:val="20"/>
        </w:rPr>
        <w:t>diacylglycerol</w:t>
      </w:r>
      <w:proofErr w:type="spellEnd"/>
      <w:r w:rsidRPr="00792884">
        <w:rPr>
          <w:sz w:val="20"/>
          <w:szCs w:val="20"/>
        </w:rPr>
        <w:t xml:space="preserve"> via phospholipase-A2, then brought to either the cyclooxygenase pathway or the </w:t>
      </w:r>
      <w:proofErr w:type="spellStart"/>
      <w:r w:rsidRPr="00792884">
        <w:rPr>
          <w:sz w:val="20"/>
          <w:szCs w:val="20"/>
        </w:rPr>
        <w:t>lipoxygenase</w:t>
      </w:r>
      <w:proofErr w:type="spellEnd"/>
      <w:r w:rsidRPr="00792884">
        <w:rPr>
          <w:sz w:val="20"/>
          <w:szCs w:val="20"/>
        </w:rPr>
        <w:t xml:space="preserve"> pathway to form either </w:t>
      </w:r>
      <w:r w:rsidR="00C764E2">
        <w:rPr>
          <w:sz w:val="20"/>
          <w:szCs w:val="20"/>
        </w:rPr>
        <w:t>PG</w:t>
      </w:r>
      <w:r w:rsidRPr="00792884">
        <w:rPr>
          <w:sz w:val="20"/>
          <w:szCs w:val="20"/>
        </w:rPr>
        <w:t xml:space="preserve"> and </w:t>
      </w:r>
      <w:r w:rsidR="00750361">
        <w:rPr>
          <w:sz w:val="20"/>
          <w:szCs w:val="20"/>
        </w:rPr>
        <w:t>TX</w:t>
      </w:r>
      <w:r w:rsidRPr="00792884">
        <w:rPr>
          <w:sz w:val="20"/>
          <w:szCs w:val="20"/>
        </w:rPr>
        <w:t xml:space="preserve"> or </w:t>
      </w:r>
      <w:proofErr w:type="spellStart"/>
      <w:r w:rsidRPr="00792884">
        <w:rPr>
          <w:sz w:val="20"/>
          <w:szCs w:val="20"/>
        </w:rPr>
        <w:t>leukotriene</w:t>
      </w:r>
      <w:proofErr w:type="spellEnd"/>
      <w:r w:rsidRPr="00792884">
        <w:rPr>
          <w:sz w:val="20"/>
          <w:szCs w:val="20"/>
        </w:rPr>
        <w:t xml:space="preserve"> respectively. The </w:t>
      </w:r>
      <w:proofErr w:type="spellStart"/>
      <w:r w:rsidRPr="00792884">
        <w:rPr>
          <w:sz w:val="20"/>
          <w:szCs w:val="20"/>
        </w:rPr>
        <w:t>cyclooxygenase</w:t>
      </w:r>
      <w:proofErr w:type="spellEnd"/>
      <w:r w:rsidRPr="00792884">
        <w:rPr>
          <w:sz w:val="20"/>
          <w:szCs w:val="20"/>
        </w:rPr>
        <w:t xml:space="preserve"> pathway produces </w:t>
      </w:r>
      <w:r w:rsidR="00750361">
        <w:rPr>
          <w:sz w:val="20"/>
          <w:szCs w:val="20"/>
        </w:rPr>
        <w:t>TX</w:t>
      </w:r>
      <w:r w:rsidRPr="00792884">
        <w:rPr>
          <w:sz w:val="20"/>
          <w:szCs w:val="20"/>
        </w:rPr>
        <w:t xml:space="preserve">, </w:t>
      </w:r>
      <w:proofErr w:type="spellStart"/>
      <w:r w:rsidRPr="00792884">
        <w:rPr>
          <w:sz w:val="20"/>
          <w:szCs w:val="20"/>
        </w:rPr>
        <w:t>prostacyclin</w:t>
      </w:r>
      <w:proofErr w:type="spellEnd"/>
      <w:r w:rsidRPr="00792884">
        <w:rPr>
          <w:sz w:val="20"/>
          <w:szCs w:val="20"/>
        </w:rPr>
        <w:t xml:space="preserve"> and </w:t>
      </w:r>
      <w:r w:rsidR="00C764E2">
        <w:rPr>
          <w:sz w:val="20"/>
          <w:szCs w:val="20"/>
        </w:rPr>
        <w:t>PG</w:t>
      </w:r>
      <w:r w:rsidRPr="00792884">
        <w:rPr>
          <w:sz w:val="20"/>
          <w:szCs w:val="20"/>
        </w:rPr>
        <w:t xml:space="preserve"> D, E and F. Alternatively, the </w:t>
      </w:r>
      <w:proofErr w:type="spellStart"/>
      <w:r w:rsidRPr="00792884">
        <w:rPr>
          <w:sz w:val="20"/>
          <w:szCs w:val="20"/>
        </w:rPr>
        <w:t>lipoxygenase</w:t>
      </w:r>
      <w:proofErr w:type="spellEnd"/>
      <w:r w:rsidRPr="00792884">
        <w:rPr>
          <w:sz w:val="20"/>
          <w:szCs w:val="20"/>
        </w:rPr>
        <w:t xml:space="preserve"> enzyme pathway is active in leukocytes and in macrophages and synthesizes </w:t>
      </w:r>
      <w:proofErr w:type="spellStart"/>
      <w:r w:rsidRPr="00792884">
        <w:rPr>
          <w:sz w:val="20"/>
          <w:szCs w:val="20"/>
        </w:rPr>
        <w:t>leukotrienes</w:t>
      </w:r>
      <w:proofErr w:type="spellEnd"/>
      <w:r w:rsidRPr="00792884">
        <w:rPr>
          <w:sz w:val="20"/>
          <w:szCs w:val="20"/>
        </w:rPr>
        <w:t>.</w:t>
      </w:r>
    </w:p>
    <w:p w:rsidR="002773E0" w:rsidRPr="00792884" w:rsidRDefault="00C764E2" w:rsidP="008912F4">
      <w:pPr>
        <w:ind w:firstLine="720"/>
        <w:jc w:val="both"/>
        <w:rPr>
          <w:sz w:val="20"/>
          <w:szCs w:val="20"/>
        </w:rPr>
      </w:pPr>
      <w:r>
        <w:rPr>
          <w:sz w:val="20"/>
          <w:szCs w:val="20"/>
        </w:rPr>
        <w:t>PG</w:t>
      </w:r>
      <w:r w:rsidR="002773E0" w:rsidRPr="00792884">
        <w:rPr>
          <w:sz w:val="20"/>
          <w:szCs w:val="20"/>
        </w:rPr>
        <w:t xml:space="preserve">s were originally believed to leave the cells via passive diffusion because of their high </w:t>
      </w:r>
      <w:proofErr w:type="spellStart"/>
      <w:r w:rsidR="002773E0" w:rsidRPr="00792884">
        <w:rPr>
          <w:sz w:val="20"/>
          <w:szCs w:val="20"/>
        </w:rPr>
        <w:t>lipophilicity</w:t>
      </w:r>
      <w:proofErr w:type="spellEnd"/>
      <w:r w:rsidR="002773E0" w:rsidRPr="00792884">
        <w:rPr>
          <w:sz w:val="20"/>
          <w:szCs w:val="20"/>
        </w:rPr>
        <w:t xml:space="preserve">. The discovery of the </w:t>
      </w:r>
      <w:r>
        <w:rPr>
          <w:sz w:val="20"/>
          <w:szCs w:val="20"/>
        </w:rPr>
        <w:t>PG</w:t>
      </w:r>
      <w:r w:rsidR="002773E0" w:rsidRPr="00792884">
        <w:rPr>
          <w:sz w:val="20"/>
          <w:szCs w:val="20"/>
        </w:rPr>
        <w:t xml:space="preserve"> transporter (PGT, SLCO2A1), which mediates the cellular uptake of </w:t>
      </w:r>
      <w:r>
        <w:rPr>
          <w:sz w:val="20"/>
          <w:szCs w:val="20"/>
        </w:rPr>
        <w:t>PG</w:t>
      </w:r>
      <w:r w:rsidR="002773E0" w:rsidRPr="00792884">
        <w:rPr>
          <w:sz w:val="20"/>
          <w:szCs w:val="20"/>
        </w:rPr>
        <w:t xml:space="preserve">, demonstrated that diffusion alone cannot explain the penetration of </w:t>
      </w:r>
      <w:r>
        <w:rPr>
          <w:sz w:val="20"/>
          <w:szCs w:val="20"/>
        </w:rPr>
        <w:t>PG</w:t>
      </w:r>
      <w:r w:rsidR="002773E0" w:rsidRPr="00792884">
        <w:rPr>
          <w:sz w:val="20"/>
          <w:szCs w:val="20"/>
        </w:rPr>
        <w:t xml:space="preserve"> through the cellular membrane. The release of </w:t>
      </w:r>
      <w:r>
        <w:rPr>
          <w:sz w:val="20"/>
          <w:szCs w:val="20"/>
        </w:rPr>
        <w:t>PG</w:t>
      </w:r>
      <w:r w:rsidR="002773E0" w:rsidRPr="00792884">
        <w:rPr>
          <w:sz w:val="20"/>
          <w:szCs w:val="20"/>
        </w:rPr>
        <w:t xml:space="preserve"> has now also been shown to be mediated by a specific transporter, namely the multidrug resistance protein 4 (MRP4, ABCC4), a member of the ATP-binding cassette transporter superfamily. Whether MRP4 is the only transporter releasing </w:t>
      </w:r>
      <w:r>
        <w:rPr>
          <w:sz w:val="20"/>
          <w:szCs w:val="20"/>
        </w:rPr>
        <w:t>PG</w:t>
      </w:r>
      <w:r w:rsidR="002773E0" w:rsidRPr="00792884">
        <w:rPr>
          <w:sz w:val="20"/>
          <w:szCs w:val="20"/>
        </w:rPr>
        <w:t>s from the cells is still unclear.</w:t>
      </w:r>
    </w:p>
    <w:p w:rsidR="002773E0" w:rsidRPr="00792884" w:rsidRDefault="00C764E2" w:rsidP="008912F4">
      <w:pPr>
        <w:ind w:firstLine="720"/>
        <w:jc w:val="both"/>
        <w:rPr>
          <w:sz w:val="20"/>
          <w:szCs w:val="20"/>
        </w:rPr>
      </w:pPr>
      <w:r>
        <w:rPr>
          <w:sz w:val="20"/>
          <w:szCs w:val="20"/>
        </w:rPr>
        <w:t>PG</w:t>
      </w:r>
      <w:r w:rsidR="002773E0" w:rsidRPr="00792884">
        <w:rPr>
          <w:sz w:val="20"/>
          <w:szCs w:val="20"/>
        </w:rPr>
        <w:t xml:space="preserve">s are produced following the sequential oxidation of </w:t>
      </w:r>
      <w:proofErr w:type="spellStart"/>
      <w:r w:rsidR="002773E0" w:rsidRPr="00792884">
        <w:rPr>
          <w:sz w:val="20"/>
          <w:szCs w:val="20"/>
        </w:rPr>
        <w:t>arachidonic</w:t>
      </w:r>
      <w:proofErr w:type="spellEnd"/>
      <w:r w:rsidR="002773E0" w:rsidRPr="00792884">
        <w:rPr>
          <w:sz w:val="20"/>
          <w:szCs w:val="20"/>
        </w:rPr>
        <w:t xml:space="preserve"> acid, DGLA or EPA by cyclooxygenases (COX-1 and COX-2) and terminal </w:t>
      </w:r>
      <w:r>
        <w:rPr>
          <w:sz w:val="20"/>
          <w:szCs w:val="20"/>
        </w:rPr>
        <w:t>PG</w:t>
      </w:r>
      <w:r w:rsidR="002773E0" w:rsidRPr="00792884">
        <w:rPr>
          <w:sz w:val="20"/>
          <w:szCs w:val="20"/>
        </w:rPr>
        <w:t xml:space="preserve"> </w:t>
      </w:r>
      <w:proofErr w:type="spellStart"/>
      <w:r w:rsidR="002773E0" w:rsidRPr="00792884">
        <w:rPr>
          <w:sz w:val="20"/>
          <w:szCs w:val="20"/>
        </w:rPr>
        <w:t>synthases</w:t>
      </w:r>
      <w:proofErr w:type="spellEnd"/>
      <w:r w:rsidR="002773E0" w:rsidRPr="00792884">
        <w:rPr>
          <w:sz w:val="20"/>
          <w:szCs w:val="20"/>
        </w:rPr>
        <w:t xml:space="preserve">. The classic dogma is as follows: COX-1 is responsible for the baseline levels of </w:t>
      </w:r>
      <w:r>
        <w:rPr>
          <w:sz w:val="20"/>
          <w:szCs w:val="20"/>
        </w:rPr>
        <w:t>PG</w:t>
      </w:r>
      <w:r w:rsidR="002773E0" w:rsidRPr="00792884">
        <w:rPr>
          <w:sz w:val="20"/>
          <w:szCs w:val="20"/>
        </w:rPr>
        <w:t xml:space="preserve">s, COX-2 produces </w:t>
      </w:r>
      <w:r>
        <w:rPr>
          <w:sz w:val="20"/>
          <w:szCs w:val="20"/>
        </w:rPr>
        <w:t>PG</w:t>
      </w:r>
      <w:r w:rsidR="002773E0" w:rsidRPr="00792884">
        <w:rPr>
          <w:sz w:val="20"/>
          <w:szCs w:val="20"/>
        </w:rPr>
        <w:t xml:space="preserve">s through stimulation. However, while COX-1 and COX-2 are both located in the blood vessels, stomach and the kidneys, </w:t>
      </w:r>
      <w:r>
        <w:rPr>
          <w:sz w:val="20"/>
          <w:szCs w:val="20"/>
        </w:rPr>
        <w:t>PG</w:t>
      </w:r>
      <w:r w:rsidR="002773E0" w:rsidRPr="00792884">
        <w:rPr>
          <w:sz w:val="20"/>
          <w:szCs w:val="20"/>
        </w:rPr>
        <w:t xml:space="preserve"> levels are increased by COX-2 in scenarios of inflammation and growth.</w:t>
      </w:r>
    </w:p>
    <w:p w:rsidR="002773E0" w:rsidRPr="00792884" w:rsidRDefault="00C764E2" w:rsidP="008912F4">
      <w:pPr>
        <w:ind w:firstLine="720"/>
        <w:jc w:val="both"/>
        <w:rPr>
          <w:sz w:val="20"/>
          <w:szCs w:val="20"/>
        </w:rPr>
      </w:pPr>
      <w:r>
        <w:rPr>
          <w:sz w:val="20"/>
          <w:szCs w:val="20"/>
        </w:rPr>
        <w:t>PG</w:t>
      </w:r>
      <w:r w:rsidR="002773E0" w:rsidRPr="00792884">
        <w:rPr>
          <w:sz w:val="20"/>
          <w:szCs w:val="20"/>
        </w:rPr>
        <w:t xml:space="preserve"> E2 (PGE2) is generated from the action of </w:t>
      </w:r>
      <w:r>
        <w:rPr>
          <w:sz w:val="20"/>
          <w:szCs w:val="20"/>
        </w:rPr>
        <w:t>PG</w:t>
      </w:r>
      <w:r w:rsidR="002773E0" w:rsidRPr="00792884">
        <w:rPr>
          <w:sz w:val="20"/>
          <w:szCs w:val="20"/>
        </w:rPr>
        <w:t xml:space="preserve"> E </w:t>
      </w:r>
      <w:proofErr w:type="spellStart"/>
      <w:r w:rsidR="002773E0" w:rsidRPr="00792884">
        <w:rPr>
          <w:sz w:val="20"/>
          <w:szCs w:val="20"/>
        </w:rPr>
        <w:t>synthases</w:t>
      </w:r>
      <w:proofErr w:type="spellEnd"/>
      <w:r w:rsidR="002773E0" w:rsidRPr="00792884">
        <w:rPr>
          <w:sz w:val="20"/>
          <w:szCs w:val="20"/>
        </w:rPr>
        <w:t xml:space="preserve"> on </w:t>
      </w:r>
      <w:r>
        <w:rPr>
          <w:sz w:val="20"/>
          <w:szCs w:val="20"/>
        </w:rPr>
        <w:t>PG</w:t>
      </w:r>
      <w:r w:rsidR="002773E0" w:rsidRPr="00792884">
        <w:rPr>
          <w:sz w:val="20"/>
          <w:szCs w:val="20"/>
        </w:rPr>
        <w:t xml:space="preserve"> H2 (</w:t>
      </w:r>
      <w:r>
        <w:rPr>
          <w:sz w:val="20"/>
          <w:szCs w:val="20"/>
        </w:rPr>
        <w:t>PG</w:t>
      </w:r>
      <w:r w:rsidR="002773E0" w:rsidRPr="00792884">
        <w:rPr>
          <w:sz w:val="20"/>
          <w:szCs w:val="20"/>
        </w:rPr>
        <w:t xml:space="preserve"> H2, PGH2). Several </w:t>
      </w:r>
      <w:r>
        <w:rPr>
          <w:sz w:val="20"/>
          <w:szCs w:val="20"/>
        </w:rPr>
        <w:t>PG</w:t>
      </w:r>
      <w:r w:rsidR="002773E0" w:rsidRPr="00792884">
        <w:rPr>
          <w:sz w:val="20"/>
          <w:szCs w:val="20"/>
        </w:rPr>
        <w:t xml:space="preserve"> E </w:t>
      </w:r>
      <w:proofErr w:type="spellStart"/>
      <w:r w:rsidR="002773E0" w:rsidRPr="00792884">
        <w:rPr>
          <w:sz w:val="20"/>
          <w:szCs w:val="20"/>
        </w:rPr>
        <w:t>synthases</w:t>
      </w:r>
      <w:proofErr w:type="spellEnd"/>
      <w:r w:rsidR="002773E0" w:rsidRPr="00792884">
        <w:rPr>
          <w:sz w:val="20"/>
          <w:szCs w:val="20"/>
        </w:rPr>
        <w:t xml:space="preserve"> have been identified. To date, </w:t>
      </w:r>
      <w:proofErr w:type="spellStart"/>
      <w:r w:rsidR="002773E0" w:rsidRPr="00792884">
        <w:rPr>
          <w:sz w:val="20"/>
          <w:szCs w:val="20"/>
        </w:rPr>
        <w:t>microsomal</w:t>
      </w:r>
      <w:proofErr w:type="spellEnd"/>
      <w:r w:rsidR="002773E0" w:rsidRPr="00792884">
        <w:rPr>
          <w:sz w:val="20"/>
          <w:szCs w:val="20"/>
        </w:rPr>
        <w:t xml:space="preserve"> </w:t>
      </w:r>
      <w:r>
        <w:rPr>
          <w:sz w:val="20"/>
          <w:szCs w:val="20"/>
        </w:rPr>
        <w:t>PG</w:t>
      </w:r>
      <w:r w:rsidR="002773E0" w:rsidRPr="00792884">
        <w:rPr>
          <w:sz w:val="20"/>
          <w:szCs w:val="20"/>
        </w:rPr>
        <w:t xml:space="preserve"> E synthase-1 emerges as a key enzyme in the formation of PGE2.</w:t>
      </w:r>
    </w:p>
    <w:p w:rsidR="002773E0" w:rsidRPr="00792884" w:rsidRDefault="002773E0" w:rsidP="008912F4">
      <w:pPr>
        <w:ind w:firstLine="720"/>
        <w:jc w:val="both"/>
        <w:rPr>
          <w:sz w:val="20"/>
          <w:szCs w:val="20"/>
        </w:rPr>
      </w:pPr>
      <w:r w:rsidRPr="00792884">
        <w:rPr>
          <w:sz w:val="20"/>
          <w:szCs w:val="20"/>
        </w:rPr>
        <w:t xml:space="preserve">Terminal </w:t>
      </w:r>
      <w:r w:rsidR="00C764E2">
        <w:rPr>
          <w:sz w:val="20"/>
          <w:szCs w:val="20"/>
        </w:rPr>
        <w:t>PG</w:t>
      </w:r>
      <w:r w:rsidRPr="00792884">
        <w:rPr>
          <w:sz w:val="20"/>
          <w:szCs w:val="20"/>
        </w:rPr>
        <w:t xml:space="preserve"> </w:t>
      </w:r>
      <w:proofErr w:type="spellStart"/>
      <w:r w:rsidRPr="00792884">
        <w:rPr>
          <w:sz w:val="20"/>
          <w:szCs w:val="20"/>
        </w:rPr>
        <w:t>synthases</w:t>
      </w:r>
      <w:proofErr w:type="spellEnd"/>
      <w:r w:rsidRPr="00792884">
        <w:rPr>
          <w:sz w:val="20"/>
          <w:szCs w:val="20"/>
        </w:rPr>
        <w:t xml:space="preserve"> have been identified that are responsible for the formation of other </w:t>
      </w:r>
      <w:r w:rsidR="00C764E2">
        <w:rPr>
          <w:sz w:val="20"/>
          <w:szCs w:val="20"/>
        </w:rPr>
        <w:t>PG</w:t>
      </w:r>
      <w:r w:rsidRPr="00792884">
        <w:rPr>
          <w:sz w:val="20"/>
          <w:szCs w:val="20"/>
        </w:rPr>
        <w:t xml:space="preserve">s. For example, hematopoietic and </w:t>
      </w:r>
      <w:proofErr w:type="spellStart"/>
      <w:r w:rsidRPr="00792884">
        <w:rPr>
          <w:sz w:val="20"/>
          <w:szCs w:val="20"/>
        </w:rPr>
        <w:t>lipocalin</w:t>
      </w:r>
      <w:proofErr w:type="spellEnd"/>
      <w:r w:rsidRPr="00792884">
        <w:rPr>
          <w:sz w:val="20"/>
          <w:szCs w:val="20"/>
        </w:rPr>
        <w:t xml:space="preserve"> </w:t>
      </w:r>
      <w:r w:rsidR="00C764E2">
        <w:rPr>
          <w:sz w:val="20"/>
          <w:szCs w:val="20"/>
        </w:rPr>
        <w:t>PG</w:t>
      </w:r>
      <w:r w:rsidRPr="00792884">
        <w:rPr>
          <w:sz w:val="20"/>
          <w:szCs w:val="20"/>
        </w:rPr>
        <w:t xml:space="preserve"> D </w:t>
      </w:r>
      <w:proofErr w:type="spellStart"/>
      <w:r w:rsidRPr="00792884">
        <w:rPr>
          <w:sz w:val="20"/>
          <w:szCs w:val="20"/>
        </w:rPr>
        <w:t>synthases</w:t>
      </w:r>
      <w:proofErr w:type="spellEnd"/>
      <w:r w:rsidRPr="00792884">
        <w:rPr>
          <w:sz w:val="20"/>
          <w:szCs w:val="20"/>
        </w:rPr>
        <w:t xml:space="preserve"> (</w:t>
      </w:r>
      <w:proofErr w:type="spellStart"/>
      <w:r w:rsidRPr="00792884">
        <w:rPr>
          <w:sz w:val="20"/>
          <w:szCs w:val="20"/>
        </w:rPr>
        <w:t>hPGDS</w:t>
      </w:r>
      <w:proofErr w:type="spellEnd"/>
      <w:r w:rsidRPr="00792884">
        <w:rPr>
          <w:sz w:val="20"/>
          <w:szCs w:val="20"/>
        </w:rPr>
        <w:t xml:space="preserve"> and </w:t>
      </w:r>
      <w:proofErr w:type="spellStart"/>
      <w:r w:rsidRPr="00792884">
        <w:rPr>
          <w:sz w:val="20"/>
          <w:szCs w:val="20"/>
        </w:rPr>
        <w:t>lPGDS</w:t>
      </w:r>
      <w:proofErr w:type="spellEnd"/>
      <w:r w:rsidRPr="00792884">
        <w:rPr>
          <w:sz w:val="20"/>
          <w:szCs w:val="20"/>
        </w:rPr>
        <w:t xml:space="preserve">) are responsible for the formation of PGD2 from PGH2. Similarly, prostacyclin (PGI2) synthase (PGIS) converts PGH2 into </w:t>
      </w:r>
      <w:r w:rsidR="00155653" w:rsidRPr="00792884">
        <w:rPr>
          <w:sz w:val="20"/>
          <w:szCs w:val="20"/>
        </w:rPr>
        <w:t xml:space="preserve">PGI2. A </w:t>
      </w:r>
      <w:r w:rsidR="00750361">
        <w:rPr>
          <w:sz w:val="20"/>
          <w:szCs w:val="20"/>
        </w:rPr>
        <w:t>TX</w:t>
      </w:r>
      <w:r w:rsidR="00155653" w:rsidRPr="00792884">
        <w:rPr>
          <w:sz w:val="20"/>
          <w:szCs w:val="20"/>
        </w:rPr>
        <w:t xml:space="preserve"> </w:t>
      </w:r>
      <w:proofErr w:type="spellStart"/>
      <w:r w:rsidR="00155653" w:rsidRPr="00792884">
        <w:rPr>
          <w:sz w:val="20"/>
          <w:szCs w:val="20"/>
        </w:rPr>
        <w:t>synthase</w:t>
      </w:r>
      <w:proofErr w:type="spellEnd"/>
      <w:r w:rsidR="00155653" w:rsidRPr="00792884">
        <w:rPr>
          <w:sz w:val="20"/>
          <w:szCs w:val="20"/>
        </w:rPr>
        <w:t xml:space="preserve"> (TX</w:t>
      </w:r>
      <w:r w:rsidRPr="00792884">
        <w:rPr>
          <w:sz w:val="20"/>
          <w:szCs w:val="20"/>
        </w:rPr>
        <w:t xml:space="preserve">AS) has also been identified. </w:t>
      </w:r>
      <w:r w:rsidR="00C764E2">
        <w:rPr>
          <w:sz w:val="20"/>
          <w:szCs w:val="20"/>
        </w:rPr>
        <w:t>PG</w:t>
      </w:r>
      <w:r w:rsidRPr="00792884">
        <w:rPr>
          <w:sz w:val="20"/>
          <w:szCs w:val="20"/>
        </w:rPr>
        <w:t xml:space="preserve">-F </w:t>
      </w:r>
      <w:proofErr w:type="spellStart"/>
      <w:r w:rsidRPr="00792884">
        <w:rPr>
          <w:sz w:val="20"/>
          <w:szCs w:val="20"/>
        </w:rPr>
        <w:t>synthase</w:t>
      </w:r>
      <w:proofErr w:type="spellEnd"/>
      <w:r w:rsidRPr="00792884">
        <w:rPr>
          <w:sz w:val="20"/>
          <w:szCs w:val="20"/>
        </w:rPr>
        <w:t xml:space="preserve"> (PGFS) catalyzes the formation of 9α,11β-PGF2α,β from PGD2 and PGF2α from PGH2 in the presence of NADPH. This enzyme has recently been crys</w:t>
      </w:r>
      <w:r w:rsidR="002E42E0" w:rsidRPr="00792884">
        <w:rPr>
          <w:sz w:val="20"/>
          <w:szCs w:val="20"/>
        </w:rPr>
        <w:t xml:space="preserve">tallized in complex with PGD2 and </w:t>
      </w:r>
      <w:proofErr w:type="spellStart"/>
      <w:r w:rsidR="002E42E0" w:rsidRPr="00792884">
        <w:rPr>
          <w:sz w:val="20"/>
          <w:szCs w:val="20"/>
        </w:rPr>
        <w:t>bimatoprost</w:t>
      </w:r>
      <w:proofErr w:type="spellEnd"/>
      <w:r w:rsidRPr="00792884">
        <w:rPr>
          <w:sz w:val="20"/>
          <w:szCs w:val="20"/>
        </w:rPr>
        <w:t xml:space="preserve"> (a synthetic analogue of PGF2α).</w:t>
      </w:r>
    </w:p>
    <w:p w:rsidR="002773E0" w:rsidRPr="00792884" w:rsidRDefault="002773E0" w:rsidP="008912F4">
      <w:pPr>
        <w:ind w:firstLine="720"/>
        <w:jc w:val="both"/>
        <w:rPr>
          <w:sz w:val="20"/>
          <w:szCs w:val="20"/>
        </w:rPr>
      </w:pPr>
      <w:r w:rsidRPr="00792884">
        <w:rPr>
          <w:sz w:val="20"/>
          <w:szCs w:val="20"/>
        </w:rPr>
        <w:t xml:space="preserve">There are currently ten known </w:t>
      </w:r>
      <w:r w:rsidR="00C764E2">
        <w:rPr>
          <w:sz w:val="20"/>
          <w:szCs w:val="20"/>
        </w:rPr>
        <w:t>PG</w:t>
      </w:r>
      <w:r w:rsidRPr="00792884">
        <w:rPr>
          <w:sz w:val="20"/>
          <w:szCs w:val="20"/>
        </w:rPr>
        <w:t xml:space="preserve"> receptors on various cell types. </w:t>
      </w:r>
      <w:r w:rsidR="00C764E2">
        <w:rPr>
          <w:sz w:val="20"/>
          <w:szCs w:val="20"/>
        </w:rPr>
        <w:t>PG</w:t>
      </w:r>
      <w:r w:rsidRPr="00792884">
        <w:rPr>
          <w:sz w:val="20"/>
          <w:szCs w:val="20"/>
        </w:rPr>
        <w:t xml:space="preserve">s </w:t>
      </w:r>
      <w:proofErr w:type="spellStart"/>
      <w:r w:rsidRPr="00792884">
        <w:rPr>
          <w:sz w:val="20"/>
          <w:szCs w:val="20"/>
        </w:rPr>
        <w:t>ligate</w:t>
      </w:r>
      <w:proofErr w:type="spellEnd"/>
      <w:r w:rsidRPr="00792884">
        <w:rPr>
          <w:sz w:val="20"/>
          <w:szCs w:val="20"/>
        </w:rPr>
        <w:t xml:space="preserve"> a sub-family of cell surface seven-</w:t>
      </w:r>
      <w:proofErr w:type="spellStart"/>
      <w:r w:rsidRPr="00792884">
        <w:rPr>
          <w:sz w:val="20"/>
          <w:szCs w:val="20"/>
        </w:rPr>
        <w:t>transmembrane</w:t>
      </w:r>
      <w:proofErr w:type="spellEnd"/>
      <w:r w:rsidRPr="00792884">
        <w:rPr>
          <w:sz w:val="20"/>
          <w:szCs w:val="20"/>
        </w:rPr>
        <w:t xml:space="preserve"> receptors, G-protein-coupled receptors. These receptors are termed DP1-2, EP1-4, FP, IP1-2, and TP, corresponding to the </w:t>
      </w:r>
      <w:r w:rsidRPr="00792884">
        <w:rPr>
          <w:sz w:val="20"/>
          <w:szCs w:val="20"/>
        </w:rPr>
        <w:lastRenderedPageBreak/>
        <w:t xml:space="preserve">receptor that </w:t>
      </w:r>
      <w:proofErr w:type="spellStart"/>
      <w:r w:rsidRPr="00792884">
        <w:rPr>
          <w:sz w:val="20"/>
          <w:szCs w:val="20"/>
        </w:rPr>
        <w:t>ligates</w:t>
      </w:r>
      <w:proofErr w:type="spellEnd"/>
      <w:r w:rsidRPr="00792884">
        <w:rPr>
          <w:sz w:val="20"/>
          <w:szCs w:val="20"/>
        </w:rPr>
        <w:t xml:space="preserve"> the corresponding </w:t>
      </w:r>
      <w:r w:rsidR="00C764E2">
        <w:rPr>
          <w:sz w:val="20"/>
          <w:szCs w:val="20"/>
        </w:rPr>
        <w:t>PG</w:t>
      </w:r>
      <w:r w:rsidRPr="00792884">
        <w:rPr>
          <w:sz w:val="20"/>
          <w:szCs w:val="20"/>
        </w:rPr>
        <w:t xml:space="preserve"> (e.g., DP1-2 receptors bind to PGD2).</w:t>
      </w:r>
    </w:p>
    <w:p w:rsidR="002773E0" w:rsidRPr="00792884" w:rsidRDefault="002773E0" w:rsidP="008912F4">
      <w:pPr>
        <w:ind w:firstLine="720"/>
        <w:jc w:val="both"/>
        <w:rPr>
          <w:sz w:val="20"/>
          <w:szCs w:val="20"/>
        </w:rPr>
      </w:pPr>
      <w:r w:rsidRPr="00792884">
        <w:rPr>
          <w:sz w:val="20"/>
          <w:szCs w:val="20"/>
        </w:rPr>
        <w:t xml:space="preserve">The diversity of receptors means that </w:t>
      </w:r>
      <w:r w:rsidR="00C764E2">
        <w:rPr>
          <w:sz w:val="20"/>
          <w:szCs w:val="20"/>
        </w:rPr>
        <w:t>PG</w:t>
      </w:r>
      <w:r w:rsidRPr="00792884">
        <w:rPr>
          <w:sz w:val="20"/>
          <w:szCs w:val="20"/>
        </w:rPr>
        <w:t>s act on an array of cells and have a wide variety of effects such as:</w:t>
      </w:r>
    </w:p>
    <w:p w:rsidR="002773E0" w:rsidRPr="00792884" w:rsidRDefault="002773E0" w:rsidP="008912F4">
      <w:pPr>
        <w:numPr>
          <w:ilvl w:val="0"/>
          <w:numId w:val="1"/>
        </w:numPr>
        <w:ind w:left="540"/>
        <w:jc w:val="both"/>
        <w:rPr>
          <w:sz w:val="20"/>
          <w:szCs w:val="20"/>
        </w:rPr>
      </w:pPr>
      <w:r w:rsidRPr="00792884">
        <w:rPr>
          <w:sz w:val="20"/>
          <w:szCs w:val="20"/>
        </w:rPr>
        <w:t>cause constriction or dilation in vascular smooth muscle cells</w:t>
      </w:r>
    </w:p>
    <w:p w:rsidR="002773E0" w:rsidRPr="00792884" w:rsidRDefault="002773E0" w:rsidP="008912F4">
      <w:pPr>
        <w:numPr>
          <w:ilvl w:val="0"/>
          <w:numId w:val="1"/>
        </w:numPr>
        <w:ind w:left="540"/>
        <w:jc w:val="both"/>
        <w:rPr>
          <w:sz w:val="20"/>
          <w:szCs w:val="20"/>
        </w:rPr>
      </w:pPr>
      <w:r w:rsidRPr="00792884">
        <w:rPr>
          <w:sz w:val="20"/>
          <w:szCs w:val="20"/>
        </w:rPr>
        <w:t>cause aggregation or disaggregation of platelets</w:t>
      </w:r>
    </w:p>
    <w:p w:rsidR="002773E0" w:rsidRPr="00792884" w:rsidRDefault="002773E0" w:rsidP="008912F4">
      <w:pPr>
        <w:numPr>
          <w:ilvl w:val="0"/>
          <w:numId w:val="1"/>
        </w:numPr>
        <w:ind w:left="540"/>
        <w:jc w:val="both"/>
        <w:rPr>
          <w:sz w:val="20"/>
          <w:szCs w:val="20"/>
        </w:rPr>
      </w:pPr>
      <w:r w:rsidRPr="00792884">
        <w:rPr>
          <w:sz w:val="20"/>
          <w:szCs w:val="20"/>
        </w:rPr>
        <w:t>sensitize spinal neurons to pain</w:t>
      </w:r>
    </w:p>
    <w:p w:rsidR="002773E0" w:rsidRPr="00792884" w:rsidRDefault="002773E0" w:rsidP="008912F4">
      <w:pPr>
        <w:numPr>
          <w:ilvl w:val="0"/>
          <w:numId w:val="1"/>
        </w:numPr>
        <w:ind w:left="540"/>
        <w:jc w:val="both"/>
        <w:rPr>
          <w:sz w:val="20"/>
          <w:szCs w:val="20"/>
        </w:rPr>
      </w:pPr>
      <w:r w:rsidRPr="00792884">
        <w:rPr>
          <w:sz w:val="20"/>
          <w:szCs w:val="20"/>
        </w:rPr>
        <w:t>induce labor</w:t>
      </w:r>
    </w:p>
    <w:p w:rsidR="002773E0" w:rsidRPr="00792884" w:rsidRDefault="002773E0" w:rsidP="008912F4">
      <w:pPr>
        <w:numPr>
          <w:ilvl w:val="0"/>
          <w:numId w:val="1"/>
        </w:numPr>
        <w:ind w:left="540"/>
        <w:jc w:val="both"/>
        <w:rPr>
          <w:sz w:val="20"/>
          <w:szCs w:val="20"/>
        </w:rPr>
      </w:pPr>
      <w:r w:rsidRPr="00792884">
        <w:rPr>
          <w:sz w:val="20"/>
          <w:szCs w:val="20"/>
        </w:rPr>
        <w:t>decrease intraocular pressure</w:t>
      </w:r>
    </w:p>
    <w:p w:rsidR="002773E0" w:rsidRPr="00792884" w:rsidRDefault="002773E0" w:rsidP="008912F4">
      <w:pPr>
        <w:numPr>
          <w:ilvl w:val="0"/>
          <w:numId w:val="1"/>
        </w:numPr>
        <w:ind w:left="540"/>
        <w:jc w:val="both"/>
        <w:rPr>
          <w:sz w:val="20"/>
          <w:szCs w:val="20"/>
        </w:rPr>
      </w:pPr>
      <w:r w:rsidRPr="00792884">
        <w:rPr>
          <w:sz w:val="20"/>
          <w:szCs w:val="20"/>
        </w:rPr>
        <w:t>regulate inflammation</w:t>
      </w:r>
    </w:p>
    <w:p w:rsidR="002773E0" w:rsidRPr="00792884" w:rsidRDefault="002773E0" w:rsidP="008912F4">
      <w:pPr>
        <w:numPr>
          <w:ilvl w:val="0"/>
          <w:numId w:val="1"/>
        </w:numPr>
        <w:ind w:left="540"/>
        <w:jc w:val="both"/>
        <w:rPr>
          <w:sz w:val="20"/>
          <w:szCs w:val="20"/>
        </w:rPr>
      </w:pPr>
      <w:r w:rsidRPr="00792884">
        <w:rPr>
          <w:sz w:val="20"/>
          <w:szCs w:val="20"/>
        </w:rPr>
        <w:t>regulate calcium movement</w:t>
      </w:r>
    </w:p>
    <w:p w:rsidR="002773E0" w:rsidRPr="00792884" w:rsidRDefault="002773E0" w:rsidP="008912F4">
      <w:pPr>
        <w:numPr>
          <w:ilvl w:val="0"/>
          <w:numId w:val="1"/>
        </w:numPr>
        <w:ind w:left="540"/>
        <w:jc w:val="both"/>
        <w:rPr>
          <w:sz w:val="20"/>
          <w:szCs w:val="20"/>
        </w:rPr>
      </w:pPr>
      <w:r w:rsidRPr="00792884">
        <w:rPr>
          <w:sz w:val="20"/>
          <w:szCs w:val="20"/>
        </w:rPr>
        <w:t>regulate hormones</w:t>
      </w:r>
    </w:p>
    <w:p w:rsidR="002773E0" w:rsidRPr="00792884" w:rsidRDefault="002773E0" w:rsidP="008912F4">
      <w:pPr>
        <w:numPr>
          <w:ilvl w:val="0"/>
          <w:numId w:val="1"/>
        </w:numPr>
        <w:ind w:left="540"/>
        <w:jc w:val="both"/>
        <w:rPr>
          <w:sz w:val="20"/>
          <w:szCs w:val="20"/>
        </w:rPr>
      </w:pPr>
      <w:r w:rsidRPr="00792884">
        <w:rPr>
          <w:sz w:val="20"/>
          <w:szCs w:val="20"/>
        </w:rPr>
        <w:t>control cell growth</w:t>
      </w:r>
    </w:p>
    <w:p w:rsidR="002773E0" w:rsidRPr="00792884" w:rsidRDefault="002773E0" w:rsidP="008912F4">
      <w:pPr>
        <w:numPr>
          <w:ilvl w:val="0"/>
          <w:numId w:val="1"/>
        </w:numPr>
        <w:ind w:left="540"/>
        <w:jc w:val="both"/>
        <w:rPr>
          <w:sz w:val="20"/>
          <w:szCs w:val="20"/>
        </w:rPr>
      </w:pPr>
      <w:r w:rsidRPr="00792884">
        <w:rPr>
          <w:sz w:val="20"/>
          <w:szCs w:val="20"/>
        </w:rPr>
        <w:t>acts on thermoregulatory center of hypothalamus to produce fever</w:t>
      </w:r>
    </w:p>
    <w:p w:rsidR="002773E0" w:rsidRPr="00792884" w:rsidRDefault="002773E0" w:rsidP="008912F4">
      <w:pPr>
        <w:numPr>
          <w:ilvl w:val="0"/>
          <w:numId w:val="1"/>
        </w:numPr>
        <w:ind w:left="540"/>
        <w:jc w:val="both"/>
        <w:rPr>
          <w:sz w:val="20"/>
          <w:szCs w:val="20"/>
        </w:rPr>
      </w:pPr>
      <w:r w:rsidRPr="00792884">
        <w:rPr>
          <w:sz w:val="20"/>
          <w:szCs w:val="20"/>
        </w:rPr>
        <w:t xml:space="preserve">acts on </w:t>
      </w:r>
      <w:proofErr w:type="spellStart"/>
      <w:r w:rsidRPr="00792884">
        <w:rPr>
          <w:sz w:val="20"/>
          <w:szCs w:val="20"/>
        </w:rPr>
        <w:t>mesangial</w:t>
      </w:r>
      <w:proofErr w:type="spellEnd"/>
      <w:r w:rsidRPr="00792884">
        <w:rPr>
          <w:sz w:val="20"/>
          <w:szCs w:val="20"/>
        </w:rPr>
        <w:t xml:space="preserve"> cells (</w:t>
      </w:r>
      <w:proofErr w:type="spellStart"/>
      <w:r w:rsidRPr="00792884">
        <w:rPr>
          <w:sz w:val="20"/>
          <w:szCs w:val="20"/>
        </w:rPr>
        <w:t>specialised</w:t>
      </w:r>
      <w:proofErr w:type="spellEnd"/>
      <w:r w:rsidRPr="00792884">
        <w:rPr>
          <w:sz w:val="20"/>
          <w:szCs w:val="20"/>
        </w:rPr>
        <w:t xml:space="preserve"> smooth muscle cells) in the glomerulus of the kidney to increase glomerular filtration rate</w:t>
      </w:r>
    </w:p>
    <w:p w:rsidR="002773E0" w:rsidRPr="00792884" w:rsidRDefault="002773E0" w:rsidP="008912F4">
      <w:pPr>
        <w:numPr>
          <w:ilvl w:val="0"/>
          <w:numId w:val="1"/>
        </w:numPr>
        <w:ind w:left="540"/>
        <w:jc w:val="both"/>
        <w:rPr>
          <w:sz w:val="20"/>
          <w:szCs w:val="20"/>
        </w:rPr>
      </w:pPr>
      <w:r w:rsidRPr="00792884">
        <w:rPr>
          <w:sz w:val="20"/>
          <w:szCs w:val="20"/>
        </w:rPr>
        <w:t>acts on parietal cells in the stomach wall to inhibit acid secretion</w:t>
      </w:r>
    </w:p>
    <w:p w:rsidR="002773E0" w:rsidRPr="00792884" w:rsidRDefault="002773E0" w:rsidP="008912F4">
      <w:pPr>
        <w:numPr>
          <w:ilvl w:val="0"/>
          <w:numId w:val="1"/>
        </w:numPr>
        <w:ind w:left="540"/>
        <w:jc w:val="both"/>
        <w:rPr>
          <w:sz w:val="20"/>
          <w:szCs w:val="20"/>
        </w:rPr>
      </w:pPr>
      <w:r w:rsidRPr="00792884">
        <w:rPr>
          <w:sz w:val="20"/>
          <w:szCs w:val="20"/>
        </w:rPr>
        <w:t>brain masculinization (in rats)</w:t>
      </w:r>
    </w:p>
    <w:p w:rsidR="002773E0" w:rsidRPr="00792884" w:rsidRDefault="00C764E2" w:rsidP="008912F4">
      <w:pPr>
        <w:ind w:firstLine="720"/>
        <w:jc w:val="both"/>
        <w:rPr>
          <w:sz w:val="20"/>
          <w:szCs w:val="20"/>
        </w:rPr>
      </w:pPr>
      <w:r>
        <w:rPr>
          <w:sz w:val="20"/>
          <w:szCs w:val="20"/>
        </w:rPr>
        <w:t>PG</w:t>
      </w:r>
      <w:r w:rsidR="002773E0" w:rsidRPr="00792884">
        <w:rPr>
          <w:sz w:val="20"/>
          <w:szCs w:val="20"/>
        </w:rPr>
        <w:t xml:space="preserve">s are potent but have a short half-life before being inactivated and excreted. Therefore, they send only paracrine (locally active) or </w:t>
      </w:r>
      <w:proofErr w:type="spellStart"/>
      <w:r w:rsidR="002773E0" w:rsidRPr="00792884">
        <w:rPr>
          <w:sz w:val="20"/>
          <w:szCs w:val="20"/>
        </w:rPr>
        <w:t>autocrine</w:t>
      </w:r>
      <w:proofErr w:type="spellEnd"/>
      <w:r w:rsidR="002773E0" w:rsidRPr="00792884">
        <w:rPr>
          <w:sz w:val="20"/>
          <w:szCs w:val="20"/>
        </w:rPr>
        <w:t xml:space="preserve"> (acting on the same cell from which it is synthesized) signals.</w:t>
      </w:r>
    </w:p>
    <w:p w:rsidR="002773E0" w:rsidRPr="00792884" w:rsidRDefault="002773E0" w:rsidP="008912F4">
      <w:pPr>
        <w:ind w:firstLine="720"/>
        <w:jc w:val="both"/>
        <w:rPr>
          <w:sz w:val="20"/>
          <w:szCs w:val="20"/>
        </w:rPr>
      </w:pPr>
      <w:r w:rsidRPr="00792884">
        <w:rPr>
          <w:sz w:val="20"/>
          <w:szCs w:val="20"/>
        </w:rPr>
        <w:t xml:space="preserve">The following is a comparison of different types of </w:t>
      </w:r>
      <w:r w:rsidR="00C764E2">
        <w:rPr>
          <w:sz w:val="20"/>
          <w:szCs w:val="20"/>
        </w:rPr>
        <w:t>PG</w:t>
      </w:r>
      <w:r w:rsidRPr="00792884">
        <w:rPr>
          <w:sz w:val="20"/>
          <w:szCs w:val="20"/>
        </w:rPr>
        <w:t xml:space="preserve">, </w:t>
      </w:r>
      <w:proofErr w:type="spellStart"/>
      <w:r w:rsidRPr="00792884">
        <w:rPr>
          <w:sz w:val="20"/>
          <w:szCs w:val="20"/>
        </w:rPr>
        <w:t>prostacyclin</w:t>
      </w:r>
      <w:proofErr w:type="spellEnd"/>
      <w:r w:rsidRPr="00792884">
        <w:rPr>
          <w:sz w:val="20"/>
          <w:szCs w:val="20"/>
        </w:rPr>
        <w:t xml:space="preserve"> I2 (PGI2), </w:t>
      </w:r>
      <w:r w:rsidR="00C764E2">
        <w:rPr>
          <w:sz w:val="20"/>
          <w:szCs w:val="20"/>
        </w:rPr>
        <w:t>PG</w:t>
      </w:r>
      <w:r w:rsidRPr="00792884">
        <w:rPr>
          <w:sz w:val="20"/>
          <w:szCs w:val="20"/>
        </w:rPr>
        <w:t xml:space="preserve"> E2 (PGE2), and </w:t>
      </w:r>
      <w:r w:rsidR="00C764E2">
        <w:rPr>
          <w:sz w:val="20"/>
          <w:szCs w:val="20"/>
        </w:rPr>
        <w:t>PG</w:t>
      </w:r>
      <w:r w:rsidRPr="00792884">
        <w:rPr>
          <w:sz w:val="20"/>
          <w:szCs w:val="20"/>
        </w:rPr>
        <w:t xml:space="preserve"> F2α (PGF2α).</w:t>
      </w:r>
    </w:p>
    <w:p w:rsidR="002773E0" w:rsidRPr="00792884" w:rsidRDefault="002773E0" w:rsidP="008912F4">
      <w:pPr>
        <w:ind w:firstLine="720"/>
        <w:jc w:val="both"/>
        <w:rPr>
          <w:sz w:val="20"/>
          <w:szCs w:val="20"/>
        </w:rPr>
      </w:pPr>
      <w:r w:rsidRPr="00792884">
        <w:rPr>
          <w:sz w:val="20"/>
          <w:szCs w:val="20"/>
        </w:rPr>
        <w:t>Atorvastatin, marketed under the trade name Lipitor among others, is a member of the drug class known as statins, which are used primarily for lowering blood cholesterol and for prevention of events associated with cardiovascular disease. Like all statins, atorvastatin works by inhibiting HMG-</w:t>
      </w:r>
      <w:proofErr w:type="spellStart"/>
      <w:r w:rsidRPr="00792884">
        <w:rPr>
          <w:sz w:val="20"/>
          <w:szCs w:val="20"/>
        </w:rPr>
        <w:t>CoA</w:t>
      </w:r>
      <w:proofErr w:type="spellEnd"/>
      <w:r w:rsidRPr="00792884">
        <w:rPr>
          <w:sz w:val="20"/>
          <w:szCs w:val="20"/>
        </w:rPr>
        <w:t xml:space="preserve"> </w:t>
      </w:r>
      <w:proofErr w:type="spellStart"/>
      <w:r w:rsidRPr="00792884">
        <w:rPr>
          <w:sz w:val="20"/>
          <w:szCs w:val="20"/>
        </w:rPr>
        <w:t>reductase</w:t>
      </w:r>
      <w:proofErr w:type="spellEnd"/>
      <w:r w:rsidRPr="00792884">
        <w:rPr>
          <w:sz w:val="20"/>
          <w:szCs w:val="20"/>
        </w:rPr>
        <w:t>, an enzyme found in liver tissue that plays a key role in production of cholesterol in the body.</w:t>
      </w:r>
    </w:p>
    <w:p w:rsidR="002773E0" w:rsidRPr="00792884" w:rsidRDefault="002773E0" w:rsidP="008912F4">
      <w:pPr>
        <w:ind w:firstLine="720"/>
        <w:jc w:val="both"/>
        <w:rPr>
          <w:sz w:val="20"/>
          <w:szCs w:val="20"/>
        </w:rPr>
      </w:pPr>
      <w:r w:rsidRPr="00792884">
        <w:rPr>
          <w:sz w:val="20"/>
          <w:szCs w:val="20"/>
        </w:rPr>
        <w:t>Atorvastatin was discovered by Bruce Roth and coworkers at Parke-Davis, since acquired by Warner-L</w:t>
      </w:r>
      <w:r w:rsidR="002E42E0" w:rsidRPr="00792884">
        <w:rPr>
          <w:sz w:val="20"/>
          <w:szCs w:val="20"/>
        </w:rPr>
        <w:t>ambert and then Pfizer.</w:t>
      </w:r>
      <w:r w:rsidRPr="00792884">
        <w:rPr>
          <w:sz w:val="20"/>
          <w:szCs w:val="20"/>
        </w:rPr>
        <w:t xml:space="preserve"> Although atorvastatin was the fifth drug in the class of statins to be developed, clinical trials showed that atorvastatin caused a more dramatic reduction in LDL-C than the other statin drugs. From 1996 to 2012 under the trade name Lipitor, atorvastatin became the world's best-selling drug of all time, with more than US$125 billion in sales ove</w:t>
      </w:r>
      <w:r w:rsidR="0063509F" w:rsidRPr="00792884">
        <w:rPr>
          <w:sz w:val="20"/>
          <w:szCs w:val="20"/>
        </w:rPr>
        <w:t>r approximately 14.5 years.</w:t>
      </w:r>
    </w:p>
    <w:p w:rsidR="002773E0" w:rsidRPr="00792884" w:rsidRDefault="002773E0" w:rsidP="008912F4">
      <w:pPr>
        <w:ind w:firstLine="720"/>
        <w:jc w:val="both"/>
        <w:rPr>
          <w:sz w:val="20"/>
          <w:szCs w:val="20"/>
        </w:rPr>
      </w:pPr>
      <w:r w:rsidRPr="00792884">
        <w:rPr>
          <w:sz w:val="20"/>
          <w:szCs w:val="20"/>
        </w:rPr>
        <w:t>Pfizer's patent on atorvasta</w:t>
      </w:r>
      <w:r w:rsidR="0063509F" w:rsidRPr="00792884">
        <w:rPr>
          <w:sz w:val="20"/>
          <w:szCs w:val="20"/>
        </w:rPr>
        <w:t>tin expired in November 2011.</w:t>
      </w:r>
    </w:p>
    <w:p w:rsidR="002773E0" w:rsidRPr="00792884" w:rsidRDefault="002773E0" w:rsidP="008912F4">
      <w:pPr>
        <w:ind w:firstLine="720"/>
        <w:jc w:val="both"/>
        <w:rPr>
          <w:sz w:val="20"/>
          <w:szCs w:val="20"/>
        </w:rPr>
      </w:pPr>
      <w:r w:rsidRPr="00792884">
        <w:rPr>
          <w:sz w:val="20"/>
          <w:szCs w:val="20"/>
        </w:rPr>
        <w:t>The primary uses of atorvastatin is for the treatment of dyslipidemia and the preventi</w:t>
      </w:r>
      <w:r w:rsidR="0063509F" w:rsidRPr="00792884">
        <w:rPr>
          <w:sz w:val="20"/>
          <w:szCs w:val="20"/>
        </w:rPr>
        <w:t>on of cardiovascular disease:</w:t>
      </w:r>
    </w:p>
    <w:p w:rsidR="002773E0" w:rsidRPr="00792884" w:rsidRDefault="002773E0" w:rsidP="008912F4">
      <w:pPr>
        <w:numPr>
          <w:ilvl w:val="0"/>
          <w:numId w:val="2"/>
        </w:numPr>
        <w:ind w:left="540"/>
        <w:jc w:val="both"/>
        <w:rPr>
          <w:sz w:val="20"/>
          <w:szCs w:val="20"/>
        </w:rPr>
      </w:pPr>
      <w:r w:rsidRPr="00792884">
        <w:rPr>
          <w:sz w:val="20"/>
          <w:szCs w:val="20"/>
        </w:rPr>
        <w:lastRenderedPageBreak/>
        <w:t xml:space="preserve">Hypercholesterolemia (heterozygous familial and </w:t>
      </w:r>
      <w:proofErr w:type="spellStart"/>
      <w:r w:rsidRPr="00792884">
        <w:rPr>
          <w:sz w:val="20"/>
          <w:szCs w:val="20"/>
        </w:rPr>
        <w:t>nonfamilial</w:t>
      </w:r>
      <w:proofErr w:type="spellEnd"/>
      <w:r w:rsidRPr="00792884">
        <w:rPr>
          <w:sz w:val="20"/>
          <w:szCs w:val="20"/>
        </w:rPr>
        <w:t xml:space="preserve">) and mixed </w:t>
      </w:r>
      <w:proofErr w:type="spellStart"/>
      <w:r w:rsidRPr="00792884">
        <w:rPr>
          <w:sz w:val="20"/>
          <w:szCs w:val="20"/>
        </w:rPr>
        <w:t>dyslipidemia</w:t>
      </w:r>
      <w:proofErr w:type="spellEnd"/>
      <w:r w:rsidRPr="00792884">
        <w:rPr>
          <w:sz w:val="20"/>
          <w:szCs w:val="20"/>
        </w:rPr>
        <w:t xml:space="preserve"> (Fredrickson types </w:t>
      </w:r>
      <w:proofErr w:type="spellStart"/>
      <w:r w:rsidRPr="00792884">
        <w:rPr>
          <w:sz w:val="20"/>
          <w:szCs w:val="20"/>
        </w:rPr>
        <w:t>IIa</w:t>
      </w:r>
      <w:proofErr w:type="spellEnd"/>
      <w:r w:rsidRPr="00792884">
        <w:rPr>
          <w:sz w:val="20"/>
          <w:szCs w:val="20"/>
        </w:rPr>
        <w:t xml:space="preserve"> and </w:t>
      </w:r>
      <w:proofErr w:type="spellStart"/>
      <w:r w:rsidRPr="00792884">
        <w:rPr>
          <w:sz w:val="20"/>
          <w:szCs w:val="20"/>
        </w:rPr>
        <w:t>IIb</w:t>
      </w:r>
      <w:proofErr w:type="spellEnd"/>
      <w:r w:rsidRPr="00792884">
        <w:rPr>
          <w:sz w:val="20"/>
          <w:szCs w:val="20"/>
        </w:rPr>
        <w:t>) to redu</w:t>
      </w:r>
      <w:r w:rsidR="0063509F" w:rsidRPr="00792884">
        <w:rPr>
          <w:sz w:val="20"/>
          <w:szCs w:val="20"/>
        </w:rPr>
        <w:t xml:space="preserve">ce total cholesterol, LDL-C, </w:t>
      </w:r>
      <w:proofErr w:type="spellStart"/>
      <w:r w:rsidR="0063509F" w:rsidRPr="00792884">
        <w:rPr>
          <w:sz w:val="20"/>
          <w:szCs w:val="20"/>
        </w:rPr>
        <w:t>apo</w:t>
      </w:r>
      <w:proofErr w:type="spellEnd"/>
      <w:r w:rsidR="0063509F" w:rsidRPr="00792884">
        <w:rPr>
          <w:sz w:val="20"/>
          <w:szCs w:val="20"/>
        </w:rPr>
        <w:t>-B,</w:t>
      </w:r>
      <w:r w:rsidRPr="00792884">
        <w:rPr>
          <w:sz w:val="20"/>
          <w:szCs w:val="20"/>
        </w:rPr>
        <w:t xml:space="preserve"> triglycerides</w:t>
      </w:r>
      <w:r w:rsidR="0063509F" w:rsidRPr="00792884">
        <w:rPr>
          <w:sz w:val="20"/>
          <w:szCs w:val="20"/>
        </w:rPr>
        <w:t xml:space="preserve"> levels, and CRP</w:t>
      </w:r>
      <w:r w:rsidRPr="00792884">
        <w:rPr>
          <w:sz w:val="20"/>
          <w:szCs w:val="20"/>
        </w:rPr>
        <w:t xml:space="preserve"> as well as increase HDL levels.</w:t>
      </w:r>
    </w:p>
    <w:p w:rsidR="002773E0" w:rsidRPr="00792884" w:rsidRDefault="002773E0" w:rsidP="008912F4">
      <w:pPr>
        <w:numPr>
          <w:ilvl w:val="0"/>
          <w:numId w:val="2"/>
        </w:numPr>
        <w:ind w:left="540"/>
        <w:jc w:val="both"/>
        <w:rPr>
          <w:sz w:val="20"/>
          <w:szCs w:val="20"/>
        </w:rPr>
      </w:pPr>
      <w:r w:rsidRPr="00792884">
        <w:rPr>
          <w:sz w:val="20"/>
          <w:szCs w:val="20"/>
        </w:rPr>
        <w:t>Heterozygous familial hypercholesterolemia in pediatric patients</w:t>
      </w:r>
    </w:p>
    <w:p w:rsidR="002773E0" w:rsidRPr="00792884" w:rsidRDefault="002773E0" w:rsidP="008912F4">
      <w:pPr>
        <w:numPr>
          <w:ilvl w:val="0"/>
          <w:numId w:val="2"/>
        </w:numPr>
        <w:ind w:left="540"/>
        <w:jc w:val="both"/>
        <w:rPr>
          <w:sz w:val="20"/>
          <w:szCs w:val="20"/>
        </w:rPr>
      </w:pPr>
      <w:r w:rsidRPr="00792884">
        <w:rPr>
          <w:sz w:val="20"/>
          <w:szCs w:val="20"/>
        </w:rPr>
        <w:t>Homozygous fam</w:t>
      </w:r>
      <w:r w:rsidR="0063509F" w:rsidRPr="00792884">
        <w:rPr>
          <w:sz w:val="20"/>
          <w:szCs w:val="20"/>
        </w:rPr>
        <w:t>ilial hypercholesterolemia</w:t>
      </w:r>
    </w:p>
    <w:p w:rsidR="002773E0" w:rsidRPr="00792884" w:rsidRDefault="002773E0" w:rsidP="008912F4">
      <w:pPr>
        <w:numPr>
          <w:ilvl w:val="0"/>
          <w:numId w:val="2"/>
        </w:numPr>
        <w:ind w:left="540"/>
        <w:jc w:val="both"/>
        <w:rPr>
          <w:sz w:val="20"/>
          <w:szCs w:val="20"/>
        </w:rPr>
      </w:pPr>
      <w:r w:rsidRPr="00792884">
        <w:rPr>
          <w:sz w:val="20"/>
          <w:szCs w:val="20"/>
        </w:rPr>
        <w:t>Hypertriglyceridemia (Fredrickson Type IV)</w:t>
      </w:r>
    </w:p>
    <w:p w:rsidR="002773E0" w:rsidRPr="00792884" w:rsidRDefault="002773E0" w:rsidP="008912F4">
      <w:pPr>
        <w:numPr>
          <w:ilvl w:val="0"/>
          <w:numId w:val="2"/>
        </w:numPr>
        <w:ind w:left="540"/>
        <w:jc w:val="both"/>
        <w:rPr>
          <w:sz w:val="20"/>
          <w:szCs w:val="20"/>
        </w:rPr>
      </w:pPr>
      <w:r w:rsidRPr="00792884">
        <w:rPr>
          <w:sz w:val="20"/>
          <w:szCs w:val="20"/>
        </w:rPr>
        <w:t xml:space="preserve">Primary </w:t>
      </w:r>
      <w:proofErr w:type="spellStart"/>
      <w:r w:rsidRPr="00792884">
        <w:rPr>
          <w:sz w:val="20"/>
          <w:szCs w:val="20"/>
        </w:rPr>
        <w:t>dysbetalipoproteinemia</w:t>
      </w:r>
      <w:proofErr w:type="spellEnd"/>
      <w:r w:rsidRPr="00792884">
        <w:rPr>
          <w:sz w:val="20"/>
          <w:szCs w:val="20"/>
        </w:rPr>
        <w:t xml:space="preserve"> (Fredrickson Type III)</w:t>
      </w:r>
    </w:p>
    <w:p w:rsidR="002773E0" w:rsidRPr="00792884" w:rsidRDefault="0063509F" w:rsidP="008912F4">
      <w:pPr>
        <w:numPr>
          <w:ilvl w:val="0"/>
          <w:numId w:val="2"/>
        </w:numPr>
        <w:ind w:left="540"/>
        <w:jc w:val="both"/>
        <w:rPr>
          <w:sz w:val="20"/>
          <w:szCs w:val="20"/>
        </w:rPr>
      </w:pPr>
      <w:r w:rsidRPr="00792884">
        <w:rPr>
          <w:sz w:val="20"/>
          <w:szCs w:val="20"/>
        </w:rPr>
        <w:t>Combined hyperlipidemia</w:t>
      </w:r>
    </w:p>
    <w:p w:rsidR="002773E0" w:rsidRPr="00792884" w:rsidRDefault="002773E0" w:rsidP="008912F4">
      <w:pPr>
        <w:numPr>
          <w:ilvl w:val="0"/>
          <w:numId w:val="2"/>
        </w:numPr>
        <w:ind w:left="540"/>
        <w:jc w:val="both"/>
        <w:rPr>
          <w:sz w:val="20"/>
          <w:szCs w:val="20"/>
        </w:rPr>
      </w:pPr>
      <w:r w:rsidRPr="00792884">
        <w:rPr>
          <w:sz w:val="20"/>
          <w:szCs w:val="20"/>
        </w:rPr>
        <w:t>Primary prevention of heart attack, stroke, and need for revascularization procedures in patients who have risk factors such as age, smoking, high blood pressure, low HDL-C, and a family history of early heart disease, but have not yet developed clinically evi</w:t>
      </w:r>
      <w:r w:rsidR="0063509F" w:rsidRPr="00792884">
        <w:rPr>
          <w:sz w:val="20"/>
          <w:szCs w:val="20"/>
        </w:rPr>
        <w:t>dent coronary heart disease.</w:t>
      </w:r>
    </w:p>
    <w:p w:rsidR="002773E0" w:rsidRPr="00792884" w:rsidRDefault="002773E0" w:rsidP="008912F4">
      <w:pPr>
        <w:numPr>
          <w:ilvl w:val="0"/>
          <w:numId w:val="2"/>
        </w:numPr>
        <w:ind w:left="540"/>
        <w:jc w:val="both"/>
        <w:rPr>
          <w:sz w:val="20"/>
          <w:szCs w:val="20"/>
        </w:rPr>
      </w:pPr>
      <w:r w:rsidRPr="00792884">
        <w:rPr>
          <w:sz w:val="20"/>
          <w:szCs w:val="20"/>
        </w:rPr>
        <w:t>Secondary prevention of myocardial infarction, stroke, unstable</w:t>
      </w:r>
      <w:r w:rsidR="0063509F" w:rsidRPr="00792884">
        <w:rPr>
          <w:sz w:val="20"/>
          <w:szCs w:val="20"/>
        </w:rPr>
        <w:t xml:space="preserve"> angina,</w:t>
      </w:r>
      <w:r w:rsidRPr="00792884">
        <w:rPr>
          <w:sz w:val="20"/>
          <w:szCs w:val="20"/>
        </w:rPr>
        <w:t xml:space="preserve"> and revascularization in people with established</w:t>
      </w:r>
      <w:r w:rsidR="0063509F" w:rsidRPr="00792884">
        <w:rPr>
          <w:sz w:val="20"/>
          <w:szCs w:val="20"/>
        </w:rPr>
        <w:t xml:space="preserve"> coronary heart disease.</w:t>
      </w:r>
    </w:p>
    <w:p w:rsidR="002773E0" w:rsidRPr="00792884" w:rsidRDefault="002773E0" w:rsidP="008912F4">
      <w:pPr>
        <w:numPr>
          <w:ilvl w:val="0"/>
          <w:numId w:val="2"/>
        </w:numPr>
        <w:ind w:left="540"/>
        <w:jc w:val="both"/>
        <w:rPr>
          <w:sz w:val="20"/>
          <w:szCs w:val="20"/>
        </w:rPr>
      </w:pPr>
      <w:r w:rsidRPr="00792884">
        <w:rPr>
          <w:sz w:val="20"/>
          <w:szCs w:val="20"/>
        </w:rPr>
        <w:t>Myocardial infarction and stroke prophylaxis in patients w</w:t>
      </w:r>
      <w:r w:rsidR="0063509F" w:rsidRPr="00792884">
        <w:rPr>
          <w:sz w:val="20"/>
          <w:szCs w:val="20"/>
        </w:rPr>
        <w:t>ith type II diabetes.</w:t>
      </w:r>
    </w:p>
    <w:p w:rsidR="002773E0" w:rsidRPr="00792884" w:rsidRDefault="002773E0" w:rsidP="008912F4">
      <w:pPr>
        <w:numPr>
          <w:ilvl w:val="0"/>
          <w:numId w:val="2"/>
        </w:numPr>
        <w:ind w:left="540"/>
        <w:jc w:val="both"/>
        <w:rPr>
          <w:sz w:val="20"/>
          <w:szCs w:val="20"/>
        </w:rPr>
      </w:pPr>
      <w:r w:rsidRPr="00792884">
        <w:rPr>
          <w:sz w:val="20"/>
          <w:szCs w:val="20"/>
        </w:rPr>
        <w:t>There have been recent studies suggesting that high-dose statin therapy plays a plaque-stabilizing role in patients suffering from acute coronary syndrome and thrombotic stroke.</w:t>
      </w:r>
    </w:p>
    <w:p w:rsidR="002773E0" w:rsidRPr="00792884" w:rsidRDefault="002773E0" w:rsidP="008912F4">
      <w:pPr>
        <w:ind w:firstLine="720"/>
        <w:jc w:val="both"/>
        <w:rPr>
          <w:sz w:val="20"/>
          <w:szCs w:val="20"/>
        </w:rPr>
      </w:pPr>
      <w:r w:rsidRPr="00792884">
        <w:rPr>
          <w:sz w:val="20"/>
          <w:szCs w:val="20"/>
        </w:rPr>
        <w:t xml:space="preserve">Atorvastatin may be used in combination with bile acid </w:t>
      </w:r>
      <w:proofErr w:type="spellStart"/>
      <w:r w:rsidRPr="00792884">
        <w:rPr>
          <w:sz w:val="20"/>
          <w:szCs w:val="20"/>
        </w:rPr>
        <w:t>sequestrants</w:t>
      </w:r>
      <w:proofErr w:type="spellEnd"/>
      <w:r w:rsidRPr="00792884">
        <w:rPr>
          <w:sz w:val="20"/>
          <w:szCs w:val="20"/>
        </w:rPr>
        <w:t xml:space="preserve"> and </w:t>
      </w:r>
      <w:proofErr w:type="spellStart"/>
      <w:r w:rsidRPr="00792884">
        <w:rPr>
          <w:sz w:val="20"/>
          <w:szCs w:val="20"/>
        </w:rPr>
        <w:t>ezetimibe</w:t>
      </w:r>
      <w:proofErr w:type="spellEnd"/>
      <w:r w:rsidRPr="00792884">
        <w:rPr>
          <w:sz w:val="20"/>
          <w:szCs w:val="20"/>
        </w:rPr>
        <w:t xml:space="preserve"> to increase the reduction i</w:t>
      </w:r>
      <w:r w:rsidR="0063509F" w:rsidRPr="00792884">
        <w:rPr>
          <w:sz w:val="20"/>
          <w:szCs w:val="20"/>
        </w:rPr>
        <w:t>n cholesterol levels. However, i</w:t>
      </w:r>
      <w:r w:rsidRPr="00792884">
        <w:rPr>
          <w:sz w:val="20"/>
          <w:szCs w:val="20"/>
        </w:rPr>
        <w:t>t is not recommended to combine statin drug treatment with certain other cholesterol-lowering drugs, particularly fibrates, because this may increase the risk of myopa</w:t>
      </w:r>
      <w:r w:rsidR="0063509F" w:rsidRPr="00792884">
        <w:rPr>
          <w:sz w:val="20"/>
          <w:szCs w:val="20"/>
        </w:rPr>
        <w:t>thy-related adverse effects.</w:t>
      </w:r>
    </w:p>
    <w:p w:rsidR="002773E0" w:rsidRPr="00792884" w:rsidRDefault="002773E0" w:rsidP="008912F4">
      <w:pPr>
        <w:ind w:firstLine="720"/>
        <w:jc w:val="both"/>
        <w:rPr>
          <w:sz w:val="20"/>
          <w:szCs w:val="20"/>
        </w:rPr>
      </w:pPr>
      <w:r w:rsidRPr="00792884">
        <w:rPr>
          <w:sz w:val="20"/>
          <w:szCs w:val="20"/>
        </w:rPr>
        <w:t>While many statin medications should be administered at bedtime for optimal effect, atorvastatin can be dosed at any time of day, as long as it is continually dosed once</w:t>
      </w:r>
      <w:r w:rsidR="0063509F" w:rsidRPr="00792884">
        <w:rPr>
          <w:sz w:val="20"/>
          <w:szCs w:val="20"/>
        </w:rPr>
        <w:t xml:space="preserve"> daily at the same time.</w:t>
      </w:r>
    </w:p>
    <w:p w:rsidR="002773E0" w:rsidRPr="00792884" w:rsidRDefault="002773E0" w:rsidP="008912F4">
      <w:pPr>
        <w:ind w:firstLine="720"/>
        <w:jc w:val="both"/>
        <w:rPr>
          <w:sz w:val="20"/>
          <w:szCs w:val="20"/>
        </w:rPr>
      </w:pPr>
      <w:r w:rsidRPr="00792884">
        <w:rPr>
          <w:sz w:val="20"/>
          <w:szCs w:val="20"/>
        </w:rPr>
        <w:t xml:space="preserve">Geriatric: Plasma concentrations of atorvastatin in healthy elderly subjects are higher than those in young adults, and clinical data suggests a greater degree of LDL-lowering at any dose for patients in the population </w:t>
      </w:r>
      <w:r w:rsidR="0063509F" w:rsidRPr="00792884">
        <w:rPr>
          <w:sz w:val="20"/>
          <w:szCs w:val="20"/>
        </w:rPr>
        <w:t>as compared to young adults.</w:t>
      </w:r>
    </w:p>
    <w:p w:rsidR="002773E0" w:rsidRPr="00792884" w:rsidRDefault="002773E0" w:rsidP="008912F4">
      <w:pPr>
        <w:ind w:firstLine="720"/>
        <w:jc w:val="both"/>
        <w:rPr>
          <w:sz w:val="20"/>
          <w:szCs w:val="20"/>
        </w:rPr>
      </w:pPr>
      <w:r w:rsidRPr="00792884">
        <w:rPr>
          <w:sz w:val="20"/>
          <w:szCs w:val="20"/>
        </w:rPr>
        <w:t>Pediatric: Pharmacokinetic data is not availa</w:t>
      </w:r>
      <w:r w:rsidR="0063509F" w:rsidRPr="00792884">
        <w:rPr>
          <w:sz w:val="20"/>
          <w:szCs w:val="20"/>
        </w:rPr>
        <w:t>ble for this population.</w:t>
      </w:r>
    </w:p>
    <w:p w:rsidR="002773E0" w:rsidRPr="00792884" w:rsidRDefault="002773E0" w:rsidP="008912F4">
      <w:pPr>
        <w:ind w:firstLine="720"/>
        <w:jc w:val="both"/>
        <w:rPr>
          <w:sz w:val="20"/>
          <w:szCs w:val="20"/>
        </w:rPr>
      </w:pPr>
      <w:r w:rsidRPr="00792884">
        <w:rPr>
          <w:sz w:val="20"/>
          <w:szCs w:val="20"/>
        </w:rPr>
        <w:t>Gender: Plasma concentrations are generally higher in women than in men, but there is no clinically significant difference in the extent of LDL redu</w:t>
      </w:r>
      <w:r w:rsidR="0063509F" w:rsidRPr="00792884">
        <w:rPr>
          <w:sz w:val="20"/>
          <w:szCs w:val="20"/>
        </w:rPr>
        <w:t>ction between men and women.</w:t>
      </w:r>
    </w:p>
    <w:p w:rsidR="002773E0" w:rsidRPr="00792884" w:rsidRDefault="002773E0" w:rsidP="008912F4">
      <w:pPr>
        <w:ind w:firstLine="720"/>
        <w:jc w:val="both"/>
        <w:rPr>
          <w:sz w:val="20"/>
          <w:szCs w:val="20"/>
        </w:rPr>
      </w:pPr>
      <w:r w:rsidRPr="00792884">
        <w:rPr>
          <w:sz w:val="20"/>
          <w:szCs w:val="20"/>
        </w:rPr>
        <w:t>Renal impairment: Renal disease has no influence on plasma concentrations of atorvastatin and dosing need not be</w:t>
      </w:r>
      <w:r w:rsidR="0063509F" w:rsidRPr="00792884">
        <w:rPr>
          <w:sz w:val="20"/>
          <w:szCs w:val="20"/>
        </w:rPr>
        <w:t xml:space="preserve"> adjusted in these patients.</w:t>
      </w:r>
    </w:p>
    <w:p w:rsidR="002773E0" w:rsidRPr="00792884" w:rsidRDefault="002773E0" w:rsidP="008912F4">
      <w:pPr>
        <w:ind w:firstLine="720"/>
        <w:jc w:val="both"/>
        <w:rPr>
          <w:sz w:val="20"/>
          <w:szCs w:val="20"/>
        </w:rPr>
      </w:pPr>
      <w:r w:rsidRPr="00792884">
        <w:rPr>
          <w:sz w:val="20"/>
          <w:szCs w:val="20"/>
        </w:rPr>
        <w:lastRenderedPageBreak/>
        <w:t>Hemodialysis will not significantly alter drug levels or change clin</w:t>
      </w:r>
      <w:r w:rsidR="0063509F" w:rsidRPr="00792884">
        <w:rPr>
          <w:sz w:val="20"/>
          <w:szCs w:val="20"/>
        </w:rPr>
        <w:t>ical effect of atorvastatin.</w:t>
      </w:r>
    </w:p>
    <w:p w:rsidR="002773E0" w:rsidRPr="00792884" w:rsidRDefault="002773E0" w:rsidP="008912F4">
      <w:pPr>
        <w:ind w:firstLine="720"/>
        <w:jc w:val="both"/>
        <w:rPr>
          <w:sz w:val="20"/>
          <w:szCs w:val="20"/>
        </w:rPr>
      </w:pPr>
      <w:r w:rsidRPr="00792884">
        <w:rPr>
          <w:sz w:val="20"/>
          <w:szCs w:val="20"/>
        </w:rPr>
        <w:t xml:space="preserve">In patients with chronic alcoholic liver disease, levels of atorvastatin may be significantly increased depending upon </w:t>
      </w:r>
      <w:r w:rsidR="0063509F" w:rsidRPr="00792884">
        <w:rPr>
          <w:sz w:val="20"/>
          <w:szCs w:val="20"/>
        </w:rPr>
        <w:t>the extent of liver disease.</w:t>
      </w:r>
    </w:p>
    <w:p w:rsidR="002773E0" w:rsidRPr="00792884" w:rsidRDefault="002773E0" w:rsidP="008912F4">
      <w:pPr>
        <w:ind w:firstLine="720"/>
        <w:jc w:val="both"/>
        <w:rPr>
          <w:sz w:val="20"/>
          <w:szCs w:val="20"/>
        </w:rPr>
      </w:pPr>
      <w:r w:rsidRPr="00792884">
        <w:rPr>
          <w:sz w:val="20"/>
          <w:szCs w:val="20"/>
        </w:rPr>
        <w:t xml:space="preserve">Markedly elevated CPK levels or if a myopathy is suspected or diagnosed after dosing of atorvastatin has begun. Very rarely, </w:t>
      </w:r>
      <w:proofErr w:type="spellStart"/>
      <w:r w:rsidRPr="00792884">
        <w:rPr>
          <w:sz w:val="20"/>
          <w:szCs w:val="20"/>
        </w:rPr>
        <w:t>atorvastat</w:t>
      </w:r>
      <w:r w:rsidR="0063509F" w:rsidRPr="00792884">
        <w:rPr>
          <w:sz w:val="20"/>
          <w:szCs w:val="20"/>
        </w:rPr>
        <w:t>in</w:t>
      </w:r>
      <w:proofErr w:type="spellEnd"/>
      <w:r w:rsidR="0063509F" w:rsidRPr="00792884">
        <w:rPr>
          <w:sz w:val="20"/>
          <w:szCs w:val="20"/>
        </w:rPr>
        <w:t xml:space="preserve"> may cause </w:t>
      </w:r>
      <w:proofErr w:type="spellStart"/>
      <w:r w:rsidR="0063509F" w:rsidRPr="00792884">
        <w:rPr>
          <w:sz w:val="20"/>
          <w:szCs w:val="20"/>
        </w:rPr>
        <w:t>rhabdomyolysis</w:t>
      </w:r>
      <w:proofErr w:type="spellEnd"/>
      <w:r w:rsidR="0063509F" w:rsidRPr="00792884">
        <w:rPr>
          <w:sz w:val="20"/>
          <w:szCs w:val="20"/>
        </w:rPr>
        <w:t>,</w:t>
      </w:r>
      <w:r w:rsidRPr="00792884">
        <w:rPr>
          <w:sz w:val="20"/>
          <w:szCs w:val="20"/>
        </w:rPr>
        <w:t xml:space="preserve"> and it may be very serious leading to acute renal failure due to </w:t>
      </w:r>
      <w:proofErr w:type="spellStart"/>
      <w:r w:rsidRPr="00792884">
        <w:rPr>
          <w:sz w:val="20"/>
          <w:szCs w:val="20"/>
        </w:rPr>
        <w:t>myoglobinuria</w:t>
      </w:r>
      <w:proofErr w:type="spellEnd"/>
      <w:r w:rsidRPr="00792884">
        <w:rPr>
          <w:sz w:val="20"/>
          <w:szCs w:val="20"/>
        </w:rPr>
        <w:t xml:space="preserve">. If </w:t>
      </w:r>
      <w:proofErr w:type="spellStart"/>
      <w:r w:rsidRPr="00792884">
        <w:rPr>
          <w:sz w:val="20"/>
          <w:szCs w:val="20"/>
        </w:rPr>
        <w:t>rhabdomyolysis</w:t>
      </w:r>
      <w:proofErr w:type="spellEnd"/>
      <w:r w:rsidRPr="00792884">
        <w:rPr>
          <w:sz w:val="20"/>
          <w:szCs w:val="20"/>
        </w:rPr>
        <w:t xml:space="preserve"> is suspected or diagnosed, atorvastatin therapy should </w:t>
      </w:r>
      <w:r w:rsidR="0063509F" w:rsidRPr="00792884">
        <w:rPr>
          <w:sz w:val="20"/>
          <w:szCs w:val="20"/>
        </w:rPr>
        <w:t>be discontinued immediately.</w:t>
      </w:r>
      <w:r w:rsidRPr="00792884">
        <w:rPr>
          <w:sz w:val="20"/>
          <w:szCs w:val="20"/>
        </w:rPr>
        <w:t xml:space="preserve"> The likelihood of developing a myopathy is increased by the co-administration of cyclosporine, </w:t>
      </w:r>
      <w:proofErr w:type="spellStart"/>
      <w:r w:rsidRPr="00792884">
        <w:rPr>
          <w:sz w:val="20"/>
          <w:szCs w:val="20"/>
        </w:rPr>
        <w:t>fibric</w:t>
      </w:r>
      <w:proofErr w:type="spellEnd"/>
      <w:r w:rsidRPr="00792884">
        <w:rPr>
          <w:sz w:val="20"/>
          <w:szCs w:val="20"/>
        </w:rPr>
        <w:t xml:space="preserve"> acid derivatives, erythromycin, ni</w:t>
      </w:r>
      <w:r w:rsidR="0063509F" w:rsidRPr="00792884">
        <w:rPr>
          <w:sz w:val="20"/>
          <w:szCs w:val="20"/>
        </w:rPr>
        <w:t>acin, and azole antifungals.</w:t>
      </w:r>
    </w:p>
    <w:p w:rsidR="002773E0" w:rsidRPr="00792884" w:rsidRDefault="002773E0" w:rsidP="008912F4">
      <w:pPr>
        <w:ind w:firstLine="720"/>
        <w:jc w:val="both"/>
        <w:rPr>
          <w:sz w:val="20"/>
          <w:szCs w:val="20"/>
        </w:rPr>
      </w:pPr>
      <w:r w:rsidRPr="00792884">
        <w:rPr>
          <w:sz w:val="20"/>
          <w:szCs w:val="20"/>
        </w:rPr>
        <w:t>Myopathy with elevati</w:t>
      </w:r>
      <w:r w:rsidR="0063509F" w:rsidRPr="00792884">
        <w:rPr>
          <w:sz w:val="20"/>
          <w:szCs w:val="20"/>
        </w:rPr>
        <w:t xml:space="preserve">on of </w:t>
      </w:r>
      <w:proofErr w:type="spellStart"/>
      <w:r w:rsidR="0063509F" w:rsidRPr="00792884">
        <w:rPr>
          <w:sz w:val="20"/>
          <w:szCs w:val="20"/>
        </w:rPr>
        <w:t>creatinine</w:t>
      </w:r>
      <w:proofErr w:type="spellEnd"/>
      <w:r w:rsidR="0063509F" w:rsidRPr="00792884">
        <w:rPr>
          <w:sz w:val="20"/>
          <w:szCs w:val="20"/>
        </w:rPr>
        <w:t xml:space="preserve"> </w:t>
      </w:r>
      <w:proofErr w:type="spellStart"/>
      <w:r w:rsidR="0063509F" w:rsidRPr="00792884">
        <w:rPr>
          <w:sz w:val="20"/>
          <w:szCs w:val="20"/>
        </w:rPr>
        <w:t>kinase</w:t>
      </w:r>
      <w:proofErr w:type="spellEnd"/>
      <w:r w:rsidR="0063509F" w:rsidRPr="00792884">
        <w:rPr>
          <w:sz w:val="20"/>
          <w:szCs w:val="20"/>
        </w:rPr>
        <w:t xml:space="preserve"> (CK)</w:t>
      </w:r>
      <w:r w:rsidRPr="00792884">
        <w:rPr>
          <w:sz w:val="20"/>
          <w:szCs w:val="20"/>
        </w:rPr>
        <w:t xml:space="preserve"> and </w:t>
      </w:r>
      <w:proofErr w:type="spellStart"/>
      <w:r w:rsidRPr="00792884">
        <w:rPr>
          <w:sz w:val="20"/>
          <w:szCs w:val="20"/>
        </w:rPr>
        <w:t>rhabdomyolysis</w:t>
      </w:r>
      <w:proofErr w:type="spellEnd"/>
      <w:r w:rsidRPr="00792884">
        <w:rPr>
          <w:sz w:val="20"/>
          <w:szCs w:val="20"/>
        </w:rPr>
        <w:t xml:space="preserve"> are the most serious side effects, occurring rarely at a rate of &lt;1% of patie</w:t>
      </w:r>
      <w:r w:rsidR="0063509F" w:rsidRPr="00792884">
        <w:rPr>
          <w:sz w:val="20"/>
          <w:szCs w:val="20"/>
        </w:rPr>
        <w:t>nts taking atorvastatin.</w:t>
      </w:r>
      <w:r w:rsidRPr="00792884">
        <w:rPr>
          <w:sz w:val="20"/>
          <w:szCs w:val="20"/>
        </w:rPr>
        <w:t xml:space="preserve"> As mentioned previously, atorvastatin should be discontinued immediately if this occurs.</w:t>
      </w:r>
    </w:p>
    <w:p w:rsidR="002773E0" w:rsidRPr="00792884" w:rsidRDefault="002773E0" w:rsidP="008912F4">
      <w:pPr>
        <w:ind w:firstLine="720"/>
        <w:jc w:val="both"/>
        <w:rPr>
          <w:sz w:val="20"/>
          <w:szCs w:val="20"/>
        </w:rPr>
      </w:pPr>
      <w:r w:rsidRPr="00792884">
        <w:rPr>
          <w:sz w:val="20"/>
          <w:szCs w:val="20"/>
        </w:rPr>
        <w:t>Liver enzyme abnormalities occurred in 0.7% of patients who received atorvastatin in clinical trials. It is recommended that hepatic function be assessed with laboratory tests before beginning atorvastatin treatment and repeated as clinically indicated thereafter. If evidence of serious liver injury occurs while a patient is taking atorvastatin, it should be discontinued and not restarted until the etiology of the patient's liver dysfunction is defined. If no other cause is found, atorvastatin should be dis</w:t>
      </w:r>
      <w:r w:rsidR="0063509F" w:rsidRPr="00792884">
        <w:rPr>
          <w:sz w:val="20"/>
          <w:szCs w:val="20"/>
        </w:rPr>
        <w:t>continued permanently.</w:t>
      </w:r>
    </w:p>
    <w:p w:rsidR="002773E0" w:rsidRPr="00792884" w:rsidRDefault="002773E0" w:rsidP="008912F4">
      <w:pPr>
        <w:ind w:firstLine="720"/>
        <w:jc w:val="both"/>
        <w:rPr>
          <w:sz w:val="20"/>
          <w:szCs w:val="20"/>
        </w:rPr>
      </w:pPr>
      <w:r w:rsidRPr="00792884">
        <w:rPr>
          <w:sz w:val="20"/>
          <w:szCs w:val="20"/>
        </w:rPr>
        <w:t xml:space="preserve">Interactions with </w:t>
      </w:r>
      <w:proofErr w:type="spellStart"/>
      <w:r w:rsidRPr="00792884">
        <w:rPr>
          <w:sz w:val="20"/>
          <w:szCs w:val="20"/>
        </w:rPr>
        <w:t>clofibrate</w:t>
      </w:r>
      <w:proofErr w:type="spellEnd"/>
      <w:r w:rsidRPr="00792884">
        <w:rPr>
          <w:sz w:val="20"/>
          <w:szCs w:val="20"/>
        </w:rPr>
        <w:t xml:space="preserve">, </w:t>
      </w:r>
      <w:proofErr w:type="spellStart"/>
      <w:r w:rsidRPr="00792884">
        <w:rPr>
          <w:sz w:val="20"/>
          <w:szCs w:val="20"/>
        </w:rPr>
        <w:t>fenofibrate</w:t>
      </w:r>
      <w:proofErr w:type="spellEnd"/>
      <w:r w:rsidRPr="00792884">
        <w:rPr>
          <w:sz w:val="20"/>
          <w:szCs w:val="20"/>
        </w:rPr>
        <w:t xml:space="preserve">, </w:t>
      </w:r>
      <w:proofErr w:type="spellStart"/>
      <w:r w:rsidRPr="00792884">
        <w:rPr>
          <w:sz w:val="20"/>
          <w:szCs w:val="20"/>
        </w:rPr>
        <w:t>gemfibrozil</w:t>
      </w:r>
      <w:proofErr w:type="spellEnd"/>
      <w:r w:rsidRPr="00792884">
        <w:rPr>
          <w:sz w:val="20"/>
          <w:szCs w:val="20"/>
        </w:rPr>
        <w:t xml:space="preserve">, which are fibrates used in accessory therapy in many forms of hypercholesterolemia, usually in combination with statins, increase the risk of </w:t>
      </w:r>
      <w:proofErr w:type="spellStart"/>
      <w:r w:rsidRPr="00792884">
        <w:rPr>
          <w:sz w:val="20"/>
          <w:szCs w:val="20"/>
        </w:rPr>
        <w:t>myopathy</w:t>
      </w:r>
      <w:proofErr w:type="spellEnd"/>
      <w:r w:rsidR="0063509F" w:rsidRPr="00792884">
        <w:rPr>
          <w:sz w:val="20"/>
          <w:szCs w:val="20"/>
        </w:rPr>
        <w:t xml:space="preserve"> and </w:t>
      </w:r>
      <w:proofErr w:type="spellStart"/>
      <w:r w:rsidR="0063509F" w:rsidRPr="00792884">
        <w:rPr>
          <w:sz w:val="20"/>
          <w:szCs w:val="20"/>
        </w:rPr>
        <w:t>rhabdomyolysis</w:t>
      </w:r>
      <w:proofErr w:type="spellEnd"/>
      <w:r w:rsidR="0063509F" w:rsidRPr="00792884">
        <w:rPr>
          <w:sz w:val="20"/>
          <w:szCs w:val="20"/>
        </w:rPr>
        <w:t>.</w:t>
      </w:r>
    </w:p>
    <w:p w:rsidR="002773E0" w:rsidRPr="00792884" w:rsidRDefault="002773E0" w:rsidP="008912F4">
      <w:pPr>
        <w:ind w:firstLine="720"/>
        <w:jc w:val="both"/>
        <w:rPr>
          <w:sz w:val="20"/>
          <w:szCs w:val="20"/>
        </w:rPr>
      </w:pPr>
      <w:r w:rsidRPr="00792884">
        <w:rPr>
          <w:sz w:val="20"/>
          <w:szCs w:val="20"/>
        </w:rPr>
        <w:t>Co-administration of atorvastatin with one of CYP3A4 inhi</w:t>
      </w:r>
      <w:r w:rsidR="0063509F" w:rsidRPr="00792884">
        <w:rPr>
          <w:sz w:val="20"/>
          <w:szCs w:val="20"/>
        </w:rPr>
        <w:t xml:space="preserve">bitors such as </w:t>
      </w:r>
      <w:proofErr w:type="spellStart"/>
      <w:r w:rsidR="0063509F" w:rsidRPr="00792884">
        <w:rPr>
          <w:sz w:val="20"/>
          <w:szCs w:val="20"/>
        </w:rPr>
        <w:t>itraconazole</w:t>
      </w:r>
      <w:proofErr w:type="spellEnd"/>
      <w:r w:rsidR="0063509F" w:rsidRPr="00792884">
        <w:rPr>
          <w:sz w:val="20"/>
          <w:szCs w:val="20"/>
        </w:rPr>
        <w:t>,</w:t>
      </w:r>
      <w:r w:rsidRPr="00792884">
        <w:rPr>
          <w:sz w:val="20"/>
          <w:szCs w:val="20"/>
        </w:rPr>
        <w:t xml:space="preserve"> </w:t>
      </w:r>
      <w:proofErr w:type="spellStart"/>
      <w:r w:rsidRPr="00792884">
        <w:rPr>
          <w:sz w:val="20"/>
          <w:szCs w:val="20"/>
        </w:rPr>
        <w:t>telithromycin</w:t>
      </w:r>
      <w:proofErr w:type="spellEnd"/>
      <w:r w:rsidRPr="00792884">
        <w:rPr>
          <w:sz w:val="20"/>
          <w:szCs w:val="20"/>
        </w:rPr>
        <w:t xml:space="preserve">, and </w:t>
      </w:r>
      <w:proofErr w:type="spellStart"/>
      <w:r w:rsidRPr="00792884">
        <w:rPr>
          <w:sz w:val="20"/>
          <w:szCs w:val="20"/>
        </w:rPr>
        <w:t>voriconazole</w:t>
      </w:r>
      <w:proofErr w:type="spellEnd"/>
      <w:r w:rsidRPr="00792884">
        <w:rPr>
          <w:sz w:val="20"/>
          <w:szCs w:val="20"/>
        </w:rPr>
        <w:t xml:space="preserve">, may increase serum concentrations of atorvastatin, which may lead to adverse reactions. This is less likely to happen with other CYP3A4 inhibitors such as </w:t>
      </w:r>
      <w:proofErr w:type="spellStart"/>
      <w:r w:rsidRPr="00792884">
        <w:rPr>
          <w:sz w:val="20"/>
          <w:szCs w:val="20"/>
        </w:rPr>
        <w:t>diltiazem</w:t>
      </w:r>
      <w:proofErr w:type="spellEnd"/>
      <w:r w:rsidRPr="00792884">
        <w:rPr>
          <w:sz w:val="20"/>
          <w:szCs w:val="20"/>
        </w:rPr>
        <w:t xml:space="preserve">, erythromycin, </w:t>
      </w:r>
      <w:proofErr w:type="spellStart"/>
      <w:r w:rsidRPr="00792884">
        <w:rPr>
          <w:sz w:val="20"/>
          <w:szCs w:val="20"/>
        </w:rPr>
        <w:t>fluconazole</w:t>
      </w:r>
      <w:proofErr w:type="spellEnd"/>
      <w:r w:rsidRPr="00792884">
        <w:rPr>
          <w:sz w:val="20"/>
          <w:szCs w:val="20"/>
        </w:rPr>
        <w:t xml:space="preserve">, </w:t>
      </w:r>
      <w:proofErr w:type="spellStart"/>
      <w:r w:rsidRPr="00792884">
        <w:rPr>
          <w:sz w:val="20"/>
          <w:szCs w:val="20"/>
        </w:rPr>
        <w:t>ketoconazole</w:t>
      </w:r>
      <w:proofErr w:type="spellEnd"/>
      <w:r w:rsidRPr="00792884">
        <w:rPr>
          <w:sz w:val="20"/>
          <w:szCs w:val="20"/>
        </w:rPr>
        <w:t>, clarithromycin, cyclosporine, protease inhibitors, or verapamil, and only rarely with other CYP3A4 inhibitors, such a</w:t>
      </w:r>
      <w:r w:rsidR="0063509F" w:rsidRPr="00792884">
        <w:rPr>
          <w:sz w:val="20"/>
          <w:szCs w:val="20"/>
        </w:rPr>
        <w:t xml:space="preserve">s </w:t>
      </w:r>
      <w:proofErr w:type="spellStart"/>
      <w:r w:rsidR="0063509F" w:rsidRPr="00792884">
        <w:rPr>
          <w:sz w:val="20"/>
          <w:szCs w:val="20"/>
        </w:rPr>
        <w:t>amiodarone</w:t>
      </w:r>
      <w:proofErr w:type="spellEnd"/>
      <w:r w:rsidR="0063509F" w:rsidRPr="00792884">
        <w:rPr>
          <w:sz w:val="20"/>
          <w:szCs w:val="20"/>
        </w:rPr>
        <w:t xml:space="preserve"> and </w:t>
      </w:r>
      <w:proofErr w:type="spellStart"/>
      <w:r w:rsidR="0063509F" w:rsidRPr="00792884">
        <w:rPr>
          <w:sz w:val="20"/>
          <w:szCs w:val="20"/>
        </w:rPr>
        <w:t>aprepitant</w:t>
      </w:r>
      <w:proofErr w:type="spellEnd"/>
      <w:r w:rsidR="0063509F" w:rsidRPr="00792884">
        <w:rPr>
          <w:sz w:val="20"/>
          <w:szCs w:val="20"/>
        </w:rPr>
        <w:t>.</w:t>
      </w:r>
      <w:r w:rsidRPr="00792884">
        <w:rPr>
          <w:sz w:val="20"/>
          <w:szCs w:val="20"/>
        </w:rPr>
        <w:t xml:space="preserve"> Often, </w:t>
      </w:r>
      <w:proofErr w:type="spellStart"/>
      <w:r w:rsidRPr="00792884">
        <w:rPr>
          <w:sz w:val="20"/>
          <w:szCs w:val="20"/>
        </w:rPr>
        <w:t>bosentan</w:t>
      </w:r>
      <w:proofErr w:type="spellEnd"/>
      <w:r w:rsidRPr="00792884">
        <w:rPr>
          <w:sz w:val="20"/>
          <w:szCs w:val="20"/>
        </w:rPr>
        <w:t xml:space="preserve">, </w:t>
      </w:r>
      <w:proofErr w:type="spellStart"/>
      <w:r w:rsidRPr="00792884">
        <w:rPr>
          <w:sz w:val="20"/>
          <w:szCs w:val="20"/>
        </w:rPr>
        <w:t>fosphenytoin</w:t>
      </w:r>
      <w:proofErr w:type="spellEnd"/>
      <w:r w:rsidRPr="00792884">
        <w:rPr>
          <w:sz w:val="20"/>
          <w:szCs w:val="20"/>
        </w:rPr>
        <w:t xml:space="preserve">, and </w:t>
      </w:r>
      <w:proofErr w:type="spellStart"/>
      <w:r w:rsidRPr="00792884">
        <w:rPr>
          <w:sz w:val="20"/>
          <w:szCs w:val="20"/>
        </w:rPr>
        <w:t>phenytoin</w:t>
      </w:r>
      <w:proofErr w:type="spellEnd"/>
      <w:r w:rsidRPr="00792884">
        <w:rPr>
          <w:sz w:val="20"/>
          <w:szCs w:val="20"/>
        </w:rPr>
        <w:t xml:space="preserve">, which are CYP3A4 inducers, can decrease the plasma concentrations of atorvastatin. Only rarely, though, barbiturates, </w:t>
      </w:r>
      <w:proofErr w:type="spellStart"/>
      <w:r w:rsidRPr="00792884">
        <w:rPr>
          <w:sz w:val="20"/>
          <w:szCs w:val="20"/>
        </w:rPr>
        <w:t>carbamazepine</w:t>
      </w:r>
      <w:proofErr w:type="spellEnd"/>
      <w:r w:rsidRPr="00792884">
        <w:rPr>
          <w:sz w:val="20"/>
          <w:szCs w:val="20"/>
        </w:rPr>
        <w:t xml:space="preserve">, </w:t>
      </w:r>
      <w:proofErr w:type="spellStart"/>
      <w:r w:rsidRPr="00792884">
        <w:rPr>
          <w:sz w:val="20"/>
          <w:szCs w:val="20"/>
        </w:rPr>
        <w:t>efavirenz</w:t>
      </w:r>
      <w:proofErr w:type="spellEnd"/>
      <w:r w:rsidRPr="00792884">
        <w:rPr>
          <w:sz w:val="20"/>
          <w:szCs w:val="20"/>
        </w:rPr>
        <w:t xml:space="preserve">, </w:t>
      </w:r>
      <w:proofErr w:type="spellStart"/>
      <w:r w:rsidRPr="00792884">
        <w:rPr>
          <w:sz w:val="20"/>
          <w:szCs w:val="20"/>
        </w:rPr>
        <w:t>nevirapine</w:t>
      </w:r>
      <w:proofErr w:type="spellEnd"/>
      <w:r w:rsidRPr="00792884">
        <w:rPr>
          <w:sz w:val="20"/>
          <w:szCs w:val="20"/>
        </w:rPr>
        <w:t xml:space="preserve">, </w:t>
      </w:r>
      <w:proofErr w:type="spellStart"/>
      <w:r w:rsidRPr="00792884">
        <w:rPr>
          <w:sz w:val="20"/>
          <w:szCs w:val="20"/>
        </w:rPr>
        <w:t>oxcarbazepine</w:t>
      </w:r>
      <w:proofErr w:type="spellEnd"/>
      <w:r w:rsidRPr="00792884">
        <w:rPr>
          <w:sz w:val="20"/>
          <w:szCs w:val="20"/>
        </w:rPr>
        <w:t xml:space="preserve">, </w:t>
      </w:r>
      <w:proofErr w:type="spellStart"/>
      <w:r w:rsidRPr="00792884">
        <w:rPr>
          <w:sz w:val="20"/>
          <w:szCs w:val="20"/>
        </w:rPr>
        <w:t>rifampin</w:t>
      </w:r>
      <w:proofErr w:type="spellEnd"/>
      <w:r w:rsidRPr="00792884">
        <w:rPr>
          <w:sz w:val="20"/>
          <w:szCs w:val="20"/>
        </w:rPr>
        <w:t xml:space="preserve">, and </w:t>
      </w:r>
      <w:proofErr w:type="spellStart"/>
      <w:r w:rsidRPr="00792884">
        <w:rPr>
          <w:sz w:val="20"/>
          <w:szCs w:val="20"/>
        </w:rPr>
        <w:t>rifamycin</w:t>
      </w:r>
      <w:proofErr w:type="spellEnd"/>
      <w:r w:rsidRPr="00792884">
        <w:rPr>
          <w:sz w:val="20"/>
          <w:szCs w:val="20"/>
        </w:rPr>
        <w:t xml:space="preserve">, which are also CYP3A4 inducers, can decrease the plasma concentrations of atorvastatin. Oral contraceptives increased AUC values for </w:t>
      </w:r>
      <w:proofErr w:type="spellStart"/>
      <w:r w:rsidRPr="00792884">
        <w:rPr>
          <w:sz w:val="20"/>
          <w:szCs w:val="20"/>
        </w:rPr>
        <w:t>norethindrone</w:t>
      </w:r>
      <w:proofErr w:type="spellEnd"/>
      <w:r w:rsidRPr="00792884">
        <w:rPr>
          <w:sz w:val="20"/>
          <w:szCs w:val="20"/>
        </w:rPr>
        <w:t xml:space="preserve"> and </w:t>
      </w:r>
      <w:proofErr w:type="spellStart"/>
      <w:r w:rsidRPr="00792884">
        <w:rPr>
          <w:sz w:val="20"/>
          <w:szCs w:val="20"/>
        </w:rPr>
        <w:t>ethinyl</w:t>
      </w:r>
      <w:proofErr w:type="spellEnd"/>
      <w:r w:rsidRPr="00792884">
        <w:rPr>
          <w:sz w:val="20"/>
          <w:szCs w:val="20"/>
        </w:rPr>
        <w:t xml:space="preserve"> </w:t>
      </w:r>
      <w:proofErr w:type="spellStart"/>
      <w:r w:rsidRPr="00792884">
        <w:rPr>
          <w:sz w:val="20"/>
          <w:szCs w:val="20"/>
        </w:rPr>
        <w:lastRenderedPageBreak/>
        <w:t>estradiol</w:t>
      </w:r>
      <w:proofErr w:type="spellEnd"/>
      <w:r w:rsidRPr="00792884">
        <w:rPr>
          <w:sz w:val="20"/>
          <w:szCs w:val="20"/>
        </w:rPr>
        <w:t xml:space="preserve">; these increases should be considered when selecting an oral contraceptive for </w:t>
      </w:r>
      <w:r w:rsidR="0063509F" w:rsidRPr="00792884">
        <w:rPr>
          <w:sz w:val="20"/>
          <w:szCs w:val="20"/>
        </w:rPr>
        <w:t>a woman taking atorvastatin.</w:t>
      </w:r>
    </w:p>
    <w:p w:rsidR="002773E0" w:rsidRPr="00792884" w:rsidRDefault="002773E0" w:rsidP="008912F4">
      <w:pPr>
        <w:ind w:firstLine="720"/>
        <w:jc w:val="both"/>
        <w:rPr>
          <w:sz w:val="20"/>
          <w:szCs w:val="20"/>
        </w:rPr>
      </w:pPr>
      <w:r w:rsidRPr="00792884">
        <w:rPr>
          <w:sz w:val="20"/>
          <w:szCs w:val="20"/>
        </w:rPr>
        <w:t xml:space="preserve">Antacids can rarely decrease the plasma concentrations of statin drugs, but do not affect </w:t>
      </w:r>
      <w:r w:rsidR="0063509F" w:rsidRPr="00792884">
        <w:rPr>
          <w:sz w:val="20"/>
          <w:szCs w:val="20"/>
        </w:rPr>
        <w:t>the LDL-C-lowering efficacy.</w:t>
      </w:r>
    </w:p>
    <w:p w:rsidR="002773E0" w:rsidRPr="00792884" w:rsidRDefault="002773E0" w:rsidP="008912F4">
      <w:pPr>
        <w:ind w:firstLine="720"/>
        <w:jc w:val="both"/>
        <w:rPr>
          <w:sz w:val="20"/>
          <w:szCs w:val="20"/>
        </w:rPr>
      </w:pPr>
      <w:r w:rsidRPr="00792884">
        <w:rPr>
          <w:sz w:val="20"/>
          <w:szCs w:val="20"/>
        </w:rPr>
        <w:t>Niacin also is proved to increase the risk of</w:t>
      </w:r>
      <w:r w:rsidR="0063509F" w:rsidRPr="00792884">
        <w:rPr>
          <w:sz w:val="20"/>
          <w:szCs w:val="20"/>
        </w:rPr>
        <w:t xml:space="preserve"> </w:t>
      </w:r>
      <w:proofErr w:type="spellStart"/>
      <w:r w:rsidR="0063509F" w:rsidRPr="00792884">
        <w:rPr>
          <w:sz w:val="20"/>
          <w:szCs w:val="20"/>
        </w:rPr>
        <w:t>myopathy</w:t>
      </w:r>
      <w:proofErr w:type="spellEnd"/>
      <w:r w:rsidR="0063509F" w:rsidRPr="00792884">
        <w:rPr>
          <w:sz w:val="20"/>
          <w:szCs w:val="20"/>
        </w:rPr>
        <w:t xml:space="preserve"> or </w:t>
      </w:r>
      <w:proofErr w:type="spellStart"/>
      <w:r w:rsidR="0063509F" w:rsidRPr="00792884">
        <w:rPr>
          <w:sz w:val="20"/>
          <w:szCs w:val="20"/>
        </w:rPr>
        <w:t>rhabdomyolysis</w:t>
      </w:r>
      <w:proofErr w:type="spellEnd"/>
      <w:r w:rsidR="0063509F" w:rsidRPr="00792884">
        <w:rPr>
          <w:sz w:val="20"/>
          <w:szCs w:val="20"/>
        </w:rPr>
        <w:t>.</w:t>
      </w:r>
    </w:p>
    <w:p w:rsidR="002773E0" w:rsidRPr="00792884" w:rsidRDefault="002773E0" w:rsidP="008912F4">
      <w:pPr>
        <w:ind w:firstLine="720"/>
        <w:jc w:val="both"/>
        <w:rPr>
          <w:sz w:val="20"/>
          <w:szCs w:val="20"/>
        </w:rPr>
      </w:pPr>
      <w:r w:rsidRPr="00792884">
        <w:rPr>
          <w:sz w:val="20"/>
          <w:szCs w:val="20"/>
        </w:rPr>
        <w:t>Statins may also alter the concentrations of other drugs, such as warfarin or digoxin, leading to alterations in effect or a requirem</w:t>
      </w:r>
      <w:r w:rsidR="0063509F" w:rsidRPr="00792884">
        <w:rPr>
          <w:sz w:val="20"/>
          <w:szCs w:val="20"/>
        </w:rPr>
        <w:t>ent for clinical monitoring.</w:t>
      </w:r>
    </w:p>
    <w:p w:rsidR="002773E0" w:rsidRPr="00792884" w:rsidRDefault="002773E0" w:rsidP="008912F4">
      <w:pPr>
        <w:ind w:firstLine="720"/>
        <w:jc w:val="both"/>
        <w:rPr>
          <w:sz w:val="20"/>
          <w:szCs w:val="20"/>
        </w:rPr>
      </w:pPr>
      <w:r w:rsidRPr="00792884">
        <w:rPr>
          <w:sz w:val="20"/>
          <w:szCs w:val="20"/>
        </w:rPr>
        <w:t>Vitamin D supplementation lowers atorvastatin and active metabolite concentrations, yet synergistically reduces LDL and total</w:t>
      </w:r>
      <w:r w:rsidR="0063509F" w:rsidRPr="00792884">
        <w:rPr>
          <w:sz w:val="20"/>
          <w:szCs w:val="20"/>
        </w:rPr>
        <w:t xml:space="preserve"> cholesterol concentrations.</w:t>
      </w:r>
      <w:r w:rsidRPr="00792884">
        <w:rPr>
          <w:sz w:val="20"/>
          <w:szCs w:val="20"/>
        </w:rPr>
        <w:t xml:space="preserve"> Grapefruit juice components are known inhibitors of intestinal CYP3A4.</w:t>
      </w:r>
    </w:p>
    <w:p w:rsidR="002773E0" w:rsidRPr="00792884" w:rsidRDefault="002773E0" w:rsidP="008912F4">
      <w:pPr>
        <w:ind w:firstLine="720"/>
        <w:jc w:val="both"/>
        <w:rPr>
          <w:sz w:val="20"/>
          <w:szCs w:val="20"/>
        </w:rPr>
      </w:pPr>
      <w:r w:rsidRPr="00792884">
        <w:rPr>
          <w:sz w:val="20"/>
          <w:szCs w:val="20"/>
        </w:rPr>
        <w:t xml:space="preserve">Co-administration of grapefruit juice with atorvastatin may cause an increase in </w:t>
      </w:r>
      <w:proofErr w:type="spellStart"/>
      <w:r w:rsidRPr="00792884">
        <w:rPr>
          <w:sz w:val="20"/>
          <w:szCs w:val="20"/>
        </w:rPr>
        <w:t>Cmax</w:t>
      </w:r>
      <w:proofErr w:type="spellEnd"/>
      <w:r w:rsidRPr="00792884">
        <w:rPr>
          <w:sz w:val="20"/>
          <w:szCs w:val="20"/>
        </w:rPr>
        <w:t xml:space="preserve"> and AUC, which can lead to adverse rea</w:t>
      </w:r>
      <w:r w:rsidR="0063509F" w:rsidRPr="00792884">
        <w:rPr>
          <w:sz w:val="20"/>
          <w:szCs w:val="20"/>
        </w:rPr>
        <w:t>ctions or overdose toxicity.</w:t>
      </w:r>
    </w:p>
    <w:p w:rsidR="002773E0" w:rsidRPr="00792884" w:rsidRDefault="002773E0" w:rsidP="008912F4">
      <w:pPr>
        <w:ind w:firstLine="720"/>
        <w:jc w:val="both"/>
        <w:rPr>
          <w:sz w:val="20"/>
          <w:szCs w:val="20"/>
        </w:rPr>
      </w:pPr>
      <w:r w:rsidRPr="00792884">
        <w:rPr>
          <w:sz w:val="20"/>
          <w:szCs w:val="20"/>
        </w:rPr>
        <w:t>A few cases of myopathy have been reported when atorvastat</w:t>
      </w:r>
      <w:r w:rsidR="0063509F" w:rsidRPr="00792884">
        <w:rPr>
          <w:sz w:val="20"/>
          <w:szCs w:val="20"/>
        </w:rPr>
        <w:t>in is given with colchicine.</w:t>
      </w:r>
    </w:p>
    <w:p w:rsidR="002773E0" w:rsidRPr="00792884" w:rsidRDefault="002773E0" w:rsidP="008912F4">
      <w:pPr>
        <w:ind w:firstLine="720"/>
        <w:jc w:val="both"/>
        <w:rPr>
          <w:sz w:val="20"/>
          <w:szCs w:val="20"/>
        </w:rPr>
      </w:pPr>
      <w:r w:rsidRPr="00792884">
        <w:rPr>
          <w:sz w:val="20"/>
          <w:szCs w:val="20"/>
        </w:rPr>
        <w:t>As with other statins, atorvastatin is a competitive inhibitor of HMG-</w:t>
      </w:r>
      <w:proofErr w:type="spellStart"/>
      <w:r w:rsidRPr="00792884">
        <w:rPr>
          <w:sz w:val="20"/>
          <w:szCs w:val="20"/>
        </w:rPr>
        <w:t>CoA</w:t>
      </w:r>
      <w:proofErr w:type="spellEnd"/>
      <w:r w:rsidRPr="00792884">
        <w:rPr>
          <w:sz w:val="20"/>
          <w:szCs w:val="20"/>
        </w:rPr>
        <w:t xml:space="preserve"> </w:t>
      </w:r>
      <w:proofErr w:type="spellStart"/>
      <w:r w:rsidRPr="00792884">
        <w:rPr>
          <w:sz w:val="20"/>
          <w:szCs w:val="20"/>
        </w:rPr>
        <w:t>reductase</w:t>
      </w:r>
      <w:proofErr w:type="spellEnd"/>
      <w:r w:rsidRPr="00792884">
        <w:rPr>
          <w:sz w:val="20"/>
          <w:szCs w:val="20"/>
        </w:rPr>
        <w:t>. Unlike most others, however, it is a completely synthetic compound. HMG-</w:t>
      </w:r>
      <w:proofErr w:type="spellStart"/>
      <w:r w:rsidRPr="00792884">
        <w:rPr>
          <w:sz w:val="20"/>
          <w:szCs w:val="20"/>
        </w:rPr>
        <w:t>CoA</w:t>
      </w:r>
      <w:proofErr w:type="spellEnd"/>
      <w:r w:rsidRPr="00792884">
        <w:rPr>
          <w:sz w:val="20"/>
          <w:szCs w:val="20"/>
        </w:rPr>
        <w:t xml:space="preserve"> </w:t>
      </w:r>
      <w:proofErr w:type="spellStart"/>
      <w:r w:rsidRPr="00792884">
        <w:rPr>
          <w:sz w:val="20"/>
          <w:szCs w:val="20"/>
        </w:rPr>
        <w:t>reductase</w:t>
      </w:r>
      <w:proofErr w:type="spellEnd"/>
      <w:r w:rsidRPr="00792884">
        <w:rPr>
          <w:sz w:val="20"/>
          <w:szCs w:val="20"/>
        </w:rPr>
        <w:t xml:space="preserve"> catalyzes the reduction of 3-hydroxy-3-methylglutaryl-coenzyme A (HMG-</w:t>
      </w:r>
      <w:proofErr w:type="spellStart"/>
      <w:r w:rsidRPr="00792884">
        <w:rPr>
          <w:sz w:val="20"/>
          <w:szCs w:val="20"/>
        </w:rPr>
        <w:t>CoA</w:t>
      </w:r>
      <w:proofErr w:type="spellEnd"/>
      <w:r w:rsidRPr="00792884">
        <w:rPr>
          <w:sz w:val="20"/>
          <w:szCs w:val="20"/>
        </w:rPr>
        <w:t xml:space="preserve">) to </w:t>
      </w:r>
      <w:proofErr w:type="spellStart"/>
      <w:r w:rsidRPr="00792884">
        <w:rPr>
          <w:sz w:val="20"/>
          <w:szCs w:val="20"/>
        </w:rPr>
        <w:t>mevalonate</w:t>
      </w:r>
      <w:proofErr w:type="spellEnd"/>
      <w:r w:rsidRPr="00792884">
        <w:rPr>
          <w:sz w:val="20"/>
          <w:szCs w:val="20"/>
        </w:rPr>
        <w:t>, which is the rate-limiting step in hepatic cholesterol biosynthesis. Inhibition of the enzyme decreases de novo cholesterol synthesis, increasing expression of low-density lipoprotein receptors (LDL receptors) on hepatocytes. This increases LDL uptake by the hepatocytes, decreasing the amount of LDL-cholesterol in the blood. Like other statins, atorvastatin also reduces blood levels of triglycerides and slightly increases levels of HDL-cholesterol.</w:t>
      </w:r>
    </w:p>
    <w:p w:rsidR="002773E0" w:rsidRPr="00792884" w:rsidRDefault="002773E0" w:rsidP="008912F4">
      <w:pPr>
        <w:ind w:firstLine="720"/>
        <w:jc w:val="both"/>
        <w:rPr>
          <w:sz w:val="20"/>
          <w:szCs w:val="20"/>
        </w:rPr>
      </w:pPr>
      <w:r w:rsidRPr="00792884">
        <w:rPr>
          <w:sz w:val="20"/>
          <w:szCs w:val="20"/>
        </w:rPr>
        <w:t>Recent studies have shown that in patients suffering from acute coronary syndrome, high-dose statin treatment may play a plaque-stabilizing role. At high doses, statins have anti-inflammatory effects, incite reduction of the necrotic plaque core, and improve endothelial function, leading to plaque stabilization and, sometimes, plaque regression. However, there is an increased risk of statin-associated adverse effects with such</w:t>
      </w:r>
      <w:r w:rsidR="0063509F" w:rsidRPr="00792884">
        <w:rPr>
          <w:sz w:val="20"/>
          <w:szCs w:val="20"/>
        </w:rPr>
        <w:t xml:space="preserve"> high-dose statin treatment.</w:t>
      </w:r>
      <w:r w:rsidRPr="00792884">
        <w:rPr>
          <w:sz w:val="20"/>
          <w:szCs w:val="20"/>
        </w:rPr>
        <w:t xml:space="preserve"> There is a similar thought process and risks associated with using high-dose statins to prevent recurren</w:t>
      </w:r>
      <w:r w:rsidR="0063509F" w:rsidRPr="00792884">
        <w:rPr>
          <w:sz w:val="20"/>
          <w:szCs w:val="20"/>
        </w:rPr>
        <w:t>ce of thrombotic stroke.</w:t>
      </w:r>
    </w:p>
    <w:p w:rsidR="002773E0" w:rsidRPr="00792884" w:rsidRDefault="002773E0" w:rsidP="008912F4">
      <w:pPr>
        <w:ind w:firstLine="720"/>
        <w:jc w:val="both"/>
        <w:rPr>
          <w:sz w:val="20"/>
          <w:szCs w:val="20"/>
        </w:rPr>
      </w:pPr>
      <w:r w:rsidRPr="00792884">
        <w:rPr>
          <w:sz w:val="20"/>
          <w:szCs w:val="20"/>
        </w:rPr>
        <w:t>The liver is the primary site of action of atorvastatin, as this is the principal site of both cholesterol synthesis and LDL clearance. It is the dosage of atorvastatin, rather than systemic drug concentration, which correlates with e</w:t>
      </w:r>
      <w:r w:rsidR="0063509F" w:rsidRPr="00792884">
        <w:rPr>
          <w:sz w:val="20"/>
          <w:szCs w:val="20"/>
        </w:rPr>
        <w:t>xtent of LDL-C reduction.</w:t>
      </w:r>
    </w:p>
    <w:p w:rsidR="002773E0" w:rsidRPr="00792884" w:rsidRDefault="002773E0" w:rsidP="008912F4">
      <w:pPr>
        <w:ind w:firstLine="720"/>
        <w:jc w:val="both"/>
        <w:rPr>
          <w:sz w:val="20"/>
          <w:szCs w:val="20"/>
        </w:rPr>
      </w:pPr>
      <w:r w:rsidRPr="00792884">
        <w:rPr>
          <w:sz w:val="20"/>
          <w:szCs w:val="20"/>
        </w:rPr>
        <w:lastRenderedPageBreak/>
        <w:t>Absorption[edit]Atorvastatin undergoes rapid absorption when taken orally, with an approximate time to maximum plasma concentration (</w:t>
      </w:r>
      <w:proofErr w:type="spellStart"/>
      <w:r w:rsidRPr="00792884">
        <w:rPr>
          <w:sz w:val="20"/>
          <w:szCs w:val="20"/>
        </w:rPr>
        <w:t>Tmax</w:t>
      </w:r>
      <w:proofErr w:type="spellEnd"/>
      <w:r w:rsidRPr="00792884">
        <w:rPr>
          <w:sz w:val="20"/>
          <w:szCs w:val="20"/>
        </w:rPr>
        <w:t>) of 1–2 h. The absolute bioavailability of the drug is about 14%, but the systemic availability for HMG-</w:t>
      </w:r>
      <w:proofErr w:type="spellStart"/>
      <w:r w:rsidRPr="00792884">
        <w:rPr>
          <w:sz w:val="20"/>
          <w:szCs w:val="20"/>
        </w:rPr>
        <w:t>CoA</w:t>
      </w:r>
      <w:proofErr w:type="spellEnd"/>
      <w:r w:rsidRPr="00792884">
        <w:rPr>
          <w:sz w:val="20"/>
          <w:szCs w:val="20"/>
        </w:rPr>
        <w:t xml:space="preserve"> </w:t>
      </w:r>
      <w:proofErr w:type="spellStart"/>
      <w:r w:rsidRPr="00792884">
        <w:rPr>
          <w:sz w:val="20"/>
          <w:szCs w:val="20"/>
        </w:rPr>
        <w:t>reductase</w:t>
      </w:r>
      <w:proofErr w:type="spellEnd"/>
      <w:r w:rsidRPr="00792884">
        <w:rPr>
          <w:sz w:val="20"/>
          <w:szCs w:val="20"/>
        </w:rPr>
        <w:t xml:space="preserve"> activity is approximately 30%. Atorvastatin undergoes high intestinal clearance and first-pass metabolism, which is the main cause for the low systemic availability. Administration of atorvastatin with food produces a 25% reduction in </w:t>
      </w:r>
      <w:proofErr w:type="spellStart"/>
      <w:r w:rsidRPr="00792884">
        <w:rPr>
          <w:sz w:val="20"/>
          <w:szCs w:val="20"/>
        </w:rPr>
        <w:t>Cmax</w:t>
      </w:r>
      <w:proofErr w:type="spellEnd"/>
      <w:r w:rsidRPr="00792884">
        <w:rPr>
          <w:sz w:val="20"/>
          <w:szCs w:val="20"/>
        </w:rPr>
        <w:t xml:space="preserve"> (rate of absorption) and a 9% reduction in AUC (extent of absorption), although food does not affect the plasma LDL-C-lowering efficacy of atorvastatin. Evening dose administration is known to reduce the </w:t>
      </w:r>
      <w:proofErr w:type="spellStart"/>
      <w:r w:rsidRPr="00792884">
        <w:rPr>
          <w:sz w:val="20"/>
          <w:szCs w:val="20"/>
        </w:rPr>
        <w:t>Cmax</w:t>
      </w:r>
      <w:proofErr w:type="spellEnd"/>
      <w:r w:rsidRPr="00792884">
        <w:rPr>
          <w:sz w:val="20"/>
          <w:szCs w:val="20"/>
        </w:rPr>
        <w:t xml:space="preserve"> and AUC by 30% each. However, time of administration does not affect the plasma LDL-C-lowering efficacy of atorvastatin.</w:t>
      </w:r>
    </w:p>
    <w:p w:rsidR="002773E0" w:rsidRPr="00792884" w:rsidRDefault="002773E0" w:rsidP="008912F4">
      <w:pPr>
        <w:ind w:firstLine="720"/>
        <w:jc w:val="both"/>
        <w:rPr>
          <w:sz w:val="20"/>
          <w:szCs w:val="20"/>
        </w:rPr>
      </w:pPr>
      <w:r w:rsidRPr="00792884">
        <w:rPr>
          <w:sz w:val="20"/>
          <w:szCs w:val="20"/>
        </w:rPr>
        <w:t xml:space="preserve">The mean volume of distribution of atorvastatin is approximately 381 L. It is highly protein bound (≥98%), and studies have shown it is likely secreted into human </w:t>
      </w:r>
      <w:proofErr w:type="spellStart"/>
      <w:r w:rsidRPr="00792884">
        <w:rPr>
          <w:sz w:val="20"/>
          <w:szCs w:val="20"/>
        </w:rPr>
        <w:t>breastmilk</w:t>
      </w:r>
      <w:proofErr w:type="spellEnd"/>
      <w:r w:rsidRPr="00792884">
        <w:rPr>
          <w:sz w:val="20"/>
          <w:szCs w:val="20"/>
        </w:rPr>
        <w:t>.</w:t>
      </w:r>
    </w:p>
    <w:p w:rsidR="002773E0" w:rsidRPr="00792884" w:rsidRDefault="002773E0" w:rsidP="008912F4">
      <w:pPr>
        <w:ind w:firstLine="720"/>
        <w:jc w:val="both"/>
        <w:rPr>
          <w:sz w:val="20"/>
          <w:szCs w:val="20"/>
        </w:rPr>
      </w:pPr>
      <w:r w:rsidRPr="00792884">
        <w:rPr>
          <w:sz w:val="20"/>
          <w:szCs w:val="20"/>
        </w:rPr>
        <w:t xml:space="preserve">Atorvastatin metabolism is primarily through cytochrome P450 3A4 hydroxylation to form active </w:t>
      </w:r>
      <w:proofErr w:type="spellStart"/>
      <w:r w:rsidRPr="00792884">
        <w:rPr>
          <w:sz w:val="20"/>
          <w:szCs w:val="20"/>
        </w:rPr>
        <w:t>ortho</w:t>
      </w:r>
      <w:proofErr w:type="spellEnd"/>
      <w:r w:rsidRPr="00792884">
        <w:rPr>
          <w:sz w:val="20"/>
          <w:szCs w:val="20"/>
        </w:rPr>
        <w:t xml:space="preserve">- and </w:t>
      </w:r>
      <w:proofErr w:type="spellStart"/>
      <w:r w:rsidRPr="00792884">
        <w:rPr>
          <w:sz w:val="20"/>
          <w:szCs w:val="20"/>
        </w:rPr>
        <w:t>parahydroxylated</w:t>
      </w:r>
      <w:proofErr w:type="spellEnd"/>
      <w:r w:rsidRPr="00792884">
        <w:rPr>
          <w:sz w:val="20"/>
          <w:szCs w:val="20"/>
        </w:rPr>
        <w:t xml:space="preserve"> metabolites, as well as various beta-oxidation metabolites. The </w:t>
      </w:r>
      <w:proofErr w:type="spellStart"/>
      <w:r w:rsidRPr="00792884">
        <w:rPr>
          <w:sz w:val="20"/>
          <w:szCs w:val="20"/>
        </w:rPr>
        <w:t>ortho</w:t>
      </w:r>
      <w:proofErr w:type="spellEnd"/>
      <w:r w:rsidRPr="00792884">
        <w:rPr>
          <w:sz w:val="20"/>
          <w:szCs w:val="20"/>
        </w:rPr>
        <w:t xml:space="preserve">- and </w:t>
      </w:r>
      <w:proofErr w:type="spellStart"/>
      <w:r w:rsidRPr="00792884">
        <w:rPr>
          <w:sz w:val="20"/>
          <w:szCs w:val="20"/>
        </w:rPr>
        <w:t>parahydroxylated</w:t>
      </w:r>
      <w:proofErr w:type="spellEnd"/>
      <w:r w:rsidRPr="00792884">
        <w:rPr>
          <w:sz w:val="20"/>
          <w:szCs w:val="20"/>
        </w:rPr>
        <w:t xml:space="preserve"> metabolites are responsible for 70% of systemic HMG-</w:t>
      </w:r>
      <w:proofErr w:type="spellStart"/>
      <w:r w:rsidRPr="00792884">
        <w:rPr>
          <w:sz w:val="20"/>
          <w:szCs w:val="20"/>
        </w:rPr>
        <w:t>CoA</w:t>
      </w:r>
      <w:proofErr w:type="spellEnd"/>
      <w:r w:rsidRPr="00792884">
        <w:rPr>
          <w:sz w:val="20"/>
          <w:szCs w:val="20"/>
        </w:rPr>
        <w:t xml:space="preserve"> </w:t>
      </w:r>
      <w:proofErr w:type="spellStart"/>
      <w:r w:rsidRPr="00792884">
        <w:rPr>
          <w:sz w:val="20"/>
          <w:szCs w:val="20"/>
        </w:rPr>
        <w:t>reductase</w:t>
      </w:r>
      <w:proofErr w:type="spellEnd"/>
      <w:r w:rsidRPr="00792884">
        <w:rPr>
          <w:sz w:val="20"/>
          <w:szCs w:val="20"/>
        </w:rPr>
        <w:t xml:space="preserve"> activity. The </w:t>
      </w:r>
      <w:proofErr w:type="spellStart"/>
      <w:r w:rsidRPr="00792884">
        <w:rPr>
          <w:sz w:val="20"/>
          <w:szCs w:val="20"/>
        </w:rPr>
        <w:t>ortho-hydroxy</w:t>
      </w:r>
      <w:proofErr w:type="spellEnd"/>
      <w:r w:rsidRPr="00792884">
        <w:rPr>
          <w:sz w:val="20"/>
          <w:szCs w:val="20"/>
        </w:rPr>
        <w:t xml:space="preserve"> metabolite undergoes further metabolism via </w:t>
      </w:r>
      <w:proofErr w:type="spellStart"/>
      <w:r w:rsidRPr="00792884">
        <w:rPr>
          <w:sz w:val="20"/>
          <w:szCs w:val="20"/>
        </w:rPr>
        <w:t>glucuronidation</w:t>
      </w:r>
      <w:proofErr w:type="spellEnd"/>
      <w:r w:rsidRPr="00792884">
        <w:rPr>
          <w:sz w:val="20"/>
          <w:szCs w:val="20"/>
        </w:rPr>
        <w:t xml:space="preserve">. As a substrate for the CYP3A4 </w:t>
      </w:r>
      <w:proofErr w:type="spellStart"/>
      <w:r w:rsidRPr="00792884">
        <w:rPr>
          <w:sz w:val="20"/>
          <w:szCs w:val="20"/>
        </w:rPr>
        <w:t>isozyme</w:t>
      </w:r>
      <w:proofErr w:type="spellEnd"/>
      <w:r w:rsidRPr="00792884">
        <w:rPr>
          <w:sz w:val="20"/>
          <w:szCs w:val="20"/>
        </w:rPr>
        <w:t xml:space="preserve">, it has shown susceptibility to inhibitors and inducers of CYP3A4 to produce increased or decreased plasma concentrations, respectively. This interaction was tested in vitro with concurrent administration of erythromycin, a known CYP3A4 </w:t>
      </w:r>
      <w:proofErr w:type="spellStart"/>
      <w:r w:rsidRPr="00792884">
        <w:rPr>
          <w:sz w:val="20"/>
          <w:szCs w:val="20"/>
        </w:rPr>
        <w:t>isozyme</w:t>
      </w:r>
      <w:proofErr w:type="spellEnd"/>
      <w:r w:rsidRPr="00792884">
        <w:rPr>
          <w:sz w:val="20"/>
          <w:szCs w:val="20"/>
        </w:rPr>
        <w:t xml:space="preserve"> inhibitor, which resulted in increased plasma concentrations of atorvastatin. It is also an inhibitor of cytochrome 3A4.</w:t>
      </w:r>
    </w:p>
    <w:p w:rsidR="002773E0" w:rsidRPr="00792884" w:rsidRDefault="002773E0" w:rsidP="008912F4">
      <w:pPr>
        <w:ind w:firstLine="720"/>
        <w:jc w:val="both"/>
        <w:rPr>
          <w:sz w:val="20"/>
          <w:szCs w:val="20"/>
        </w:rPr>
      </w:pPr>
      <w:r w:rsidRPr="00792884">
        <w:rPr>
          <w:sz w:val="20"/>
          <w:szCs w:val="20"/>
        </w:rPr>
        <w:t xml:space="preserve">Atorvastatin is primarily eliminated via hepatic biliary excretion, with less than 2% recovered in the urine. Bile elimination follows hepatic and/or </w:t>
      </w:r>
      <w:proofErr w:type="spellStart"/>
      <w:r w:rsidRPr="00792884">
        <w:rPr>
          <w:sz w:val="20"/>
          <w:szCs w:val="20"/>
        </w:rPr>
        <w:t>extrahepatic</w:t>
      </w:r>
      <w:proofErr w:type="spellEnd"/>
      <w:r w:rsidRPr="00792884">
        <w:rPr>
          <w:sz w:val="20"/>
          <w:szCs w:val="20"/>
        </w:rPr>
        <w:t xml:space="preserve"> metabolism. There does not appear to be any </w:t>
      </w:r>
      <w:proofErr w:type="spellStart"/>
      <w:r w:rsidRPr="00792884">
        <w:rPr>
          <w:sz w:val="20"/>
          <w:szCs w:val="20"/>
        </w:rPr>
        <w:t>entero</w:t>
      </w:r>
      <w:proofErr w:type="spellEnd"/>
      <w:r w:rsidRPr="00792884">
        <w:rPr>
          <w:sz w:val="20"/>
          <w:szCs w:val="20"/>
        </w:rPr>
        <w:t>-hepatic recirculation. Atorvastatin has an approximate elimination half-life of 14 h. Noteworthy, the HMG-</w:t>
      </w:r>
      <w:proofErr w:type="spellStart"/>
      <w:r w:rsidRPr="00792884">
        <w:rPr>
          <w:sz w:val="20"/>
          <w:szCs w:val="20"/>
        </w:rPr>
        <w:t>CoA</w:t>
      </w:r>
      <w:proofErr w:type="spellEnd"/>
      <w:r w:rsidRPr="00792884">
        <w:rPr>
          <w:sz w:val="20"/>
          <w:szCs w:val="20"/>
        </w:rPr>
        <w:t xml:space="preserve"> </w:t>
      </w:r>
      <w:proofErr w:type="spellStart"/>
      <w:r w:rsidRPr="00792884">
        <w:rPr>
          <w:sz w:val="20"/>
          <w:szCs w:val="20"/>
        </w:rPr>
        <w:t>reductase</w:t>
      </w:r>
      <w:proofErr w:type="spellEnd"/>
      <w:r w:rsidRPr="00792884">
        <w:rPr>
          <w:sz w:val="20"/>
          <w:szCs w:val="20"/>
        </w:rPr>
        <w:t xml:space="preserve"> inhibitory activity appears to have a half-life of 20–30 h, which is thought to be due to the active metabolites. Atorvastatin is also a substrate of the intestinal P-glycoprotein efflux transporter, which pumps the drug back into the intestinal l</w:t>
      </w:r>
      <w:r w:rsidR="0063509F" w:rsidRPr="00792884">
        <w:rPr>
          <w:sz w:val="20"/>
          <w:szCs w:val="20"/>
        </w:rPr>
        <w:t>umen during drug absorption.</w:t>
      </w:r>
    </w:p>
    <w:p w:rsidR="002773E0" w:rsidRPr="00792884" w:rsidRDefault="002773E0" w:rsidP="008912F4">
      <w:pPr>
        <w:ind w:firstLine="720"/>
        <w:jc w:val="both"/>
        <w:rPr>
          <w:sz w:val="20"/>
          <w:szCs w:val="20"/>
        </w:rPr>
      </w:pPr>
      <w:r w:rsidRPr="00792884">
        <w:rPr>
          <w:sz w:val="20"/>
          <w:szCs w:val="20"/>
        </w:rPr>
        <w:t xml:space="preserve">In hepatic insufficiency, plasma drug concentrations are significantly affected by concurrent liver disease. Patients with A-stage liver disease show a four-fold increase in both </w:t>
      </w:r>
      <w:proofErr w:type="spellStart"/>
      <w:r w:rsidRPr="00792884">
        <w:rPr>
          <w:sz w:val="20"/>
          <w:szCs w:val="20"/>
        </w:rPr>
        <w:t>Cmax</w:t>
      </w:r>
      <w:proofErr w:type="spellEnd"/>
      <w:r w:rsidRPr="00792884">
        <w:rPr>
          <w:sz w:val="20"/>
          <w:szCs w:val="20"/>
        </w:rPr>
        <w:t xml:space="preserve"> and AUC. Patients with B-stage liver disease show a 16-fold increase in </w:t>
      </w:r>
      <w:proofErr w:type="spellStart"/>
      <w:r w:rsidRPr="00792884">
        <w:rPr>
          <w:sz w:val="20"/>
          <w:szCs w:val="20"/>
        </w:rPr>
        <w:t>Cmax</w:t>
      </w:r>
      <w:proofErr w:type="spellEnd"/>
      <w:r w:rsidRPr="00792884">
        <w:rPr>
          <w:sz w:val="20"/>
          <w:szCs w:val="20"/>
        </w:rPr>
        <w:t xml:space="preserve"> and an 11-fold increase in AUC.</w:t>
      </w:r>
    </w:p>
    <w:p w:rsidR="002773E0" w:rsidRPr="00792884" w:rsidRDefault="002773E0" w:rsidP="008912F4">
      <w:pPr>
        <w:ind w:firstLine="720"/>
        <w:jc w:val="both"/>
        <w:rPr>
          <w:sz w:val="20"/>
          <w:szCs w:val="20"/>
        </w:rPr>
      </w:pPr>
      <w:r w:rsidRPr="00792884">
        <w:rPr>
          <w:sz w:val="20"/>
          <w:szCs w:val="20"/>
        </w:rPr>
        <w:lastRenderedPageBreak/>
        <w:t xml:space="preserve">Geriatric patients (&gt;65 years old) exhibit altered pharmacokinetics of atorvastatin compared to young adults, with mean AUC and </w:t>
      </w:r>
      <w:proofErr w:type="spellStart"/>
      <w:r w:rsidRPr="00792884">
        <w:rPr>
          <w:sz w:val="20"/>
          <w:szCs w:val="20"/>
        </w:rPr>
        <w:t>Cmax</w:t>
      </w:r>
      <w:proofErr w:type="spellEnd"/>
      <w:r w:rsidRPr="00792884">
        <w:rPr>
          <w:sz w:val="20"/>
          <w:szCs w:val="20"/>
        </w:rPr>
        <w:t xml:space="preserve"> values that are 40% and 30% higher, respectively. Additionally, healthy elderly patients show a greater </w:t>
      </w:r>
      <w:proofErr w:type="spellStart"/>
      <w:r w:rsidRPr="00792884">
        <w:rPr>
          <w:sz w:val="20"/>
          <w:szCs w:val="20"/>
        </w:rPr>
        <w:t>pharmacodynamic</w:t>
      </w:r>
      <w:proofErr w:type="spellEnd"/>
      <w:r w:rsidRPr="00792884">
        <w:rPr>
          <w:sz w:val="20"/>
          <w:szCs w:val="20"/>
        </w:rPr>
        <w:t xml:space="preserve"> response to </w:t>
      </w:r>
      <w:proofErr w:type="spellStart"/>
      <w:r w:rsidRPr="00792884">
        <w:rPr>
          <w:sz w:val="20"/>
          <w:szCs w:val="20"/>
        </w:rPr>
        <w:t>atorvastatin</w:t>
      </w:r>
      <w:proofErr w:type="spellEnd"/>
      <w:r w:rsidRPr="00792884">
        <w:rPr>
          <w:sz w:val="20"/>
          <w:szCs w:val="20"/>
        </w:rPr>
        <w:t xml:space="preserve"> at any dose; therefore, this population may</w:t>
      </w:r>
      <w:r w:rsidR="0063509F" w:rsidRPr="00792884">
        <w:rPr>
          <w:sz w:val="20"/>
          <w:szCs w:val="20"/>
        </w:rPr>
        <w:t xml:space="preserve"> have lower effective doses.</w:t>
      </w:r>
    </w:p>
    <w:p w:rsidR="002773E0" w:rsidRPr="00792884" w:rsidRDefault="002773E0" w:rsidP="008912F4">
      <w:pPr>
        <w:ind w:firstLine="720"/>
        <w:jc w:val="both"/>
        <w:rPr>
          <w:sz w:val="20"/>
          <w:szCs w:val="20"/>
        </w:rPr>
      </w:pPr>
      <w:r w:rsidRPr="00792884">
        <w:rPr>
          <w:sz w:val="20"/>
          <w:szCs w:val="20"/>
        </w:rPr>
        <w:t xml:space="preserve">Several genetic polymorphisms have been found to be associated with a higher incidence of undesirable side effects of atorvastatin. This phenomenon is suspected to be related to increased plasma levels of pharmacologically active metabolites, such as </w:t>
      </w:r>
      <w:proofErr w:type="spellStart"/>
      <w:r w:rsidRPr="00792884">
        <w:rPr>
          <w:sz w:val="20"/>
          <w:szCs w:val="20"/>
        </w:rPr>
        <w:t>atorvastatin</w:t>
      </w:r>
      <w:proofErr w:type="spellEnd"/>
      <w:r w:rsidRPr="00792884">
        <w:rPr>
          <w:sz w:val="20"/>
          <w:szCs w:val="20"/>
        </w:rPr>
        <w:t xml:space="preserve"> </w:t>
      </w:r>
      <w:proofErr w:type="spellStart"/>
      <w:r w:rsidRPr="00792884">
        <w:rPr>
          <w:sz w:val="20"/>
          <w:szCs w:val="20"/>
        </w:rPr>
        <w:t>lactone</w:t>
      </w:r>
      <w:proofErr w:type="spellEnd"/>
      <w:r w:rsidRPr="00792884">
        <w:rPr>
          <w:sz w:val="20"/>
          <w:szCs w:val="20"/>
        </w:rPr>
        <w:t xml:space="preserve"> and p-</w:t>
      </w:r>
      <w:proofErr w:type="spellStart"/>
      <w:r w:rsidRPr="00792884">
        <w:rPr>
          <w:sz w:val="20"/>
          <w:szCs w:val="20"/>
        </w:rPr>
        <w:t>hydroxyatorvastatin</w:t>
      </w:r>
      <w:proofErr w:type="spellEnd"/>
      <w:r w:rsidRPr="00792884">
        <w:rPr>
          <w:sz w:val="20"/>
          <w:szCs w:val="20"/>
        </w:rPr>
        <w:t>. Atorvastatin and its active metabolites may be monitored in potentially susceptible patients using specific chromatograp</w:t>
      </w:r>
      <w:r w:rsidR="0063509F" w:rsidRPr="00792884">
        <w:rPr>
          <w:sz w:val="20"/>
          <w:szCs w:val="20"/>
        </w:rPr>
        <w:t>hic techniques.</w:t>
      </w:r>
    </w:p>
    <w:p w:rsidR="002773E0" w:rsidRPr="00792884" w:rsidRDefault="002773E0" w:rsidP="008912F4">
      <w:pPr>
        <w:ind w:firstLine="720"/>
        <w:jc w:val="both"/>
        <w:rPr>
          <w:sz w:val="20"/>
          <w:szCs w:val="20"/>
        </w:rPr>
      </w:pPr>
      <w:proofErr w:type="spellStart"/>
      <w:r w:rsidRPr="00792884">
        <w:rPr>
          <w:sz w:val="20"/>
          <w:szCs w:val="20"/>
        </w:rPr>
        <w:t>Atorvastatin</w:t>
      </w:r>
      <w:proofErr w:type="spellEnd"/>
      <w:r w:rsidRPr="00792884">
        <w:rPr>
          <w:sz w:val="20"/>
          <w:szCs w:val="20"/>
        </w:rPr>
        <w:t xml:space="preserve"> synthesis in commercial production chemistry. The key step of establishing this drug's </w:t>
      </w:r>
      <w:proofErr w:type="spellStart"/>
      <w:r w:rsidRPr="00792884">
        <w:rPr>
          <w:sz w:val="20"/>
          <w:szCs w:val="20"/>
        </w:rPr>
        <w:t>stereocenters</w:t>
      </w:r>
      <w:proofErr w:type="spellEnd"/>
      <w:r w:rsidRPr="00792884">
        <w:rPr>
          <w:sz w:val="20"/>
          <w:szCs w:val="20"/>
        </w:rPr>
        <w:t xml:space="preserve">, through initial use of an inexpensive natural product. </w:t>
      </w:r>
    </w:p>
    <w:p w:rsidR="002773E0" w:rsidRPr="00792884" w:rsidRDefault="002773E0" w:rsidP="008912F4">
      <w:pPr>
        <w:ind w:firstLine="720"/>
        <w:jc w:val="both"/>
        <w:rPr>
          <w:sz w:val="20"/>
          <w:szCs w:val="20"/>
        </w:rPr>
      </w:pPr>
      <w:proofErr w:type="spellStart"/>
      <w:r w:rsidRPr="00792884">
        <w:rPr>
          <w:sz w:val="20"/>
          <w:szCs w:val="20"/>
        </w:rPr>
        <w:t>Atorvastatin</w:t>
      </w:r>
      <w:proofErr w:type="spellEnd"/>
      <w:r w:rsidRPr="00792884">
        <w:rPr>
          <w:sz w:val="20"/>
          <w:szCs w:val="20"/>
        </w:rPr>
        <w:t xml:space="preserve"> synthesis during discovery chemistry. The key step of establishing </w:t>
      </w:r>
      <w:proofErr w:type="spellStart"/>
      <w:r w:rsidRPr="00792884">
        <w:rPr>
          <w:sz w:val="20"/>
          <w:szCs w:val="20"/>
        </w:rPr>
        <w:t>stereocenters</w:t>
      </w:r>
      <w:proofErr w:type="spellEnd"/>
      <w:r w:rsidRPr="00792884">
        <w:rPr>
          <w:sz w:val="20"/>
          <w:szCs w:val="20"/>
        </w:rPr>
        <w:t>, using of a chiral ester auxiliary approach.</w:t>
      </w:r>
      <w:r w:rsidR="0063509F" w:rsidRPr="00792884">
        <w:rPr>
          <w:sz w:val="20"/>
          <w:szCs w:val="20"/>
        </w:rPr>
        <w:t xml:space="preserve"> </w:t>
      </w:r>
      <w:r w:rsidRPr="00792884">
        <w:rPr>
          <w:sz w:val="20"/>
          <w:szCs w:val="20"/>
        </w:rPr>
        <w:t xml:space="preserve">The first synthesis of atorvastatin at Parke-Davis that occurred during drug discovery was racemic followed by chiral chromatographic separation of the enantiomers. An early </w:t>
      </w:r>
      <w:proofErr w:type="spellStart"/>
      <w:r w:rsidRPr="00792884">
        <w:rPr>
          <w:sz w:val="20"/>
          <w:szCs w:val="20"/>
        </w:rPr>
        <w:t>enantioselective</w:t>
      </w:r>
      <w:proofErr w:type="spellEnd"/>
      <w:r w:rsidRPr="00792884">
        <w:rPr>
          <w:sz w:val="20"/>
          <w:szCs w:val="20"/>
        </w:rPr>
        <w:t xml:space="preserve"> route to </w:t>
      </w:r>
      <w:proofErr w:type="spellStart"/>
      <w:r w:rsidRPr="00792884">
        <w:rPr>
          <w:sz w:val="20"/>
          <w:szCs w:val="20"/>
        </w:rPr>
        <w:t>atorvastatin</w:t>
      </w:r>
      <w:proofErr w:type="spellEnd"/>
      <w:r w:rsidRPr="00792884">
        <w:rPr>
          <w:sz w:val="20"/>
          <w:szCs w:val="20"/>
        </w:rPr>
        <w:t xml:space="preserve"> made use of an ester chiral auxiliary to set the stereochemistry of the first of the two alcohol functional groups via a </w:t>
      </w:r>
      <w:proofErr w:type="spellStart"/>
      <w:r w:rsidRPr="00792884">
        <w:rPr>
          <w:sz w:val="20"/>
          <w:szCs w:val="20"/>
        </w:rPr>
        <w:t>diastereoselective</w:t>
      </w:r>
      <w:proofErr w:type="spellEnd"/>
      <w:r w:rsidRPr="00792884">
        <w:rPr>
          <w:sz w:val="20"/>
          <w:szCs w:val="20"/>
        </w:rPr>
        <w:t xml:space="preserve"> </w:t>
      </w:r>
      <w:proofErr w:type="spellStart"/>
      <w:r w:rsidRPr="00792884">
        <w:rPr>
          <w:sz w:val="20"/>
          <w:szCs w:val="20"/>
        </w:rPr>
        <w:t>aldol</w:t>
      </w:r>
      <w:proofErr w:type="spellEnd"/>
      <w:r w:rsidRPr="00792884">
        <w:rPr>
          <w:sz w:val="20"/>
          <w:szCs w:val="20"/>
        </w:rPr>
        <w:t xml:space="preserve"> reaction. Once the compound entered pre-clinical development, process chemistry developed a cost-effective and scalable synthesis.[3] In atorvastatin's case, a key element of the overall synthesis was ensuring </w:t>
      </w:r>
      <w:proofErr w:type="spellStart"/>
      <w:r w:rsidRPr="00792884">
        <w:rPr>
          <w:sz w:val="20"/>
          <w:szCs w:val="20"/>
        </w:rPr>
        <w:t>stereochemical</w:t>
      </w:r>
      <w:proofErr w:type="spellEnd"/>
      <w:r w:rsidRPr="00792884">
        <w:rPr>
          <w:sz w:val="20"/>
          <w:szCs w:val="20"/>
        </w:rPr>
        <w:t xml:space="preserve"> purity in the final drug substance, and hence establishing the first </w:t>
      </w:r>
      <w:proofErr w:type="spellStart"/>
      <w:r w:rsidRPr="00792884">
        <w:rPr>
          <w:sz w:val="20"/>
          <w:szCs w:val="20"/>
        </w:rPr>
        <w:t>stereocenter</w:t>
      </w:r>
      <w:proofErr w:type="spellEnd"/>
      <w:r w:rsidRPr="00792884">
        <w:rPr>
          <w:sz w:val="20"/>
          <w:szCs w:val="20"/>
        </w:rPr>
        <w:t xml:space="preserve"> became a key aspect of the overall design.</w:t>
      </w:r>
    </w:p>
    <w:p w:rsidR="002773E0" w:rsidRPr="00792884" w:rsidRDefault="002773E0" w:rsidP="008912F4">
      <w:pPr>
        <w:ind w:firstLine="720"/>
        <w:jc w:val="both"/>
        <w:rPr>
          <w:sz w:val="20"/>
          <w:szCs w:val="20"/>
        </w:rPr>
      </w:pPr>
      <w:r w:rsidRPr="00792884">
        <w:rPr>
          <w:sz w:val="20"/>
          <w:szCs w:val="20"/>
        </w:rPr>
        <w:t>Pack and tablet of Lipitor 40mg</w:t>
      </w:r>
      <w:r w:rsidR="0063509F" w:rsidRPr="00792884">
        <w:rPr>
          <w:sz w:val="20"/>
          <w:szCs w:val="20"/>
        </w:rPr>
        <w:t xml:space="preserve"> </w:t>
      </w:r>
      <w:proofErr w:type="spellStart"/>
      <w:r w:rsidR="00355382">
        <w:rPr>
          <w:sz w:val="20"/>
          <w:szCs w:val="20"/>
        </w:rPr>
        <w:t>a</w:t>
      </w:r>
      <w:r w:rsidRPr="00792884">
        <w:rPr>
          <w:sz w:val="20"/>
          <w:szCs w:val="20"/>
        </w:rPr>
        <w:t>torvastatin</w:t>
      </w:r>
      <w:proofErr w:type="spellEnd"/>
      <w:r w:rsidRPr="00792884">
        <w:rPr>
          <w:sz w:val="20"/>
          <w:szCs w:val="20"/>
        </w:rPr>
        <w:t xml:space="preserve"> calcium tablets are marketed by Pfizer under the trade name Li</w:t>
      </w:r>
      <w:r w:rsidR="0063509F" w:rsidRPr="00792884">
        <w:rPr>
          <w:sz w:val="20"/>
          <w:szCs w:val="20"/>
        </w:rPr>
        <w:t>pitor</w:t>
      </w:r>
      <w:r w:rsidRPr="00792884">
        <w:rPr>
          <w:sz w:val="20"/>
          <w:szCs w:val="20"/>
        </w:rPr>
        <w:t xml:space="preserve"> for oral administration. Tablets are white, elliptical, and film-coated. Pfizer also packages the drug in combination with other drugs, such as with </w:t>
      </w:r>
      <w:proofErr w:type="spellStart"/>
      <w:r w:rsidRPr="00792884">
        <w:rPr>
          <w:sz w:val="20"/>
          <w:szCs w:val="20"/>
        </w:rPr>
        <w:t>Caduet</w:t>
      </w:r>
      <w:proofErr w:type="spellEnd"/>
      <w:r w:rsidRPr="00792884">
        <w:rPr>
          <w:sz w:val="20"/>
          <w:szCs w:val="20"/>
        </w:rPr>
        <w:t>. Pfizer recommends that patients do not break tablets in half to take half-doses, even when this is recommended by their doctors.</w:t>
      </w:r>
    </w:p>
    <w:p w:rsidR="002773E0" w:rsidRPr="00792884" w:rsidRDefault="002773E0" w:rsidP="008912F4">
      <w:pPr>
        <w:ind w:firstLine="720"/>
        <w:jc w:val="both"/>
        <w:rPr>
          <w:sz w:val="20"/>
          <w:szCs w:val="20"/>
        </w:rPr>
      </w:pPr>
      <w:r w:rsidRPr="00792884">
        <w:rPr>
          <w:sz w:val="20"/>
          <w:szCs w:val="20"/>
        </w:rPr>
        <w:t>Pfizer's U.S. patent on Lipitor</w:t>
      </w:r>
      <w:r w:rsidR="0063509F" w:rsidRPr="00792884">
        <w:rPr>
          <w:sz w:val="20"/>
          <w:szCs w:val="20"/>
        </w:rPr>
        <w:t xml:space="preserve"> expired on 30 November 2011.</w:t>
      </w:r>
      <w:r w:rsidRPr="00792884">
        <w:rPr>
          <w:sz w:val="20"/>
          <w:szCs w:val="20"/>
        </w:rPr>
        <w:t xml:space="preserve"> Initially, generic atorvastatin was manufactured only by Watson Pharmaceuticals and India's Ranbaxy Laboratories. Prices for the generic version did not drop to the level of other generics—$10 or less for a month's supply—until other manufacturers began to </w:t>
      </w:r>
      <w:r w:rsidR="0063509F" w:rsidRPr="00792884">
        <w:rPr>
          <w:sz w:val="20"/>
          <w:szCs w:val="20"/>
        </w:rPr>
        <w:t>supply the drug in May 2012.</w:t>
      </w:r>
    </w:p>
    <w:p w:rsidR="002773E0" w:rsidRPr="00792884" w:rsidRDefault="002773E0" w:rsidP="008912F4">
      <w:pPr>
        <w:ind w:firstLine="720"/>
        <w:jc w:val="both"/>
        <w:rPr>
          <w:sz w:val="20"/>
          <w:szCs w:val="20"/>
        </w:rPr>
      </w:pPr>
      <w:r w:rsidRPr="00792884">
        <w:rPr>
          <w:sz w:val="20"/>
          <w:szCs w:val="20"/>
        </w:rPr>
        <w:t xml:space="preserve">In other countries, atorvastatin calcium is made in tablet form by generic drug makers under </w:t>
      </w:r>
      <w:r w:rsidRPr="00792884">
        <w:rPr>
          <w:sz w:val="20"/>
          <w:szCs w:val="20"/>
        </w:rPr>
        <w:lastRenderedPageBreak/>
        <w:t xml:space="preserve">various brand names including Stator, </w:t>
      </w:r>
      <w:proofErr w:type="spellStart"/>
      <w:r w:rsidRPr="00792884">
        <w:rPr>
          <w:sz w:val="20"/>
          <w:szCs w:val="20"/>
        </w:rPr>
        <w:t>Atorvastatin</w:t>
      </w:r>
      <w:proofErr w:type="spellEnd"/>
      <w:r w:rsidRPr="00792884">
        <w:rPr>
          <w:sz w:val="20"/>
          <w:szCs w:val="20"/>
        </w:rPr>
        <w:t xml:space="preserve"> </w:t>
      </w:r>
      <w:proofErr w:type="spellStart"/>
      <w:r w:rsidRPr="00792884">
        <w:rPr>
          <w:sz w:val="20"/>
          <w:szCs w:val="20"/>
        </w:rPr>
        <w:t>Teva</w:t>
      </w:r>
      <w:proofErr w:type="spellEnd"/>
      <w:r w:rsidRPr="00792884">
        <w:rPr>
          <w:sz w:val="20"/>
          <w:szCs w:val="20"/>
        </w:rPr>
        <w:t xml:space="preserve">, </w:t>
      </w:r>
      <w:proofErr w:type="spellStart"/>
      <w:r w:rsidRPr="00792884">
        <w:rPr>
          <w:sz w:val="20"/>
          <w:szCs w:val="20"/>
        </w:rPr>
        <w:t>Litorva</w:t>
      </w:r>
      <w:proofErr w:type="spellEnd"/>
      <w:r w:rsidRPr="00792884">
        <w:rPr>
          <w:sz w:val="20"/>
          <w:szCs w:val="20"/>
        </w:rPr>
        <w:t xml:space="preserve">, </w:t>
      </w:r>
      <w:proofErr w:type="spellStart"/>
      <w:r w:rsidRPr="00792884">
        <w:rPr>
          <w:sz w:val="20"/>
          <w:szCs w:val="20"/>
        </w:rPr>
        <w:t>Torid</w:t>
      </w:r>
      <w:proofErr w:type="spellEnd"/>
      <w:r w:rsidRPr="00792884">
        <w:rPr>
          <w:sz w:val="20"/>
          <w:szCs w:val="20"/>
        </w:rPr>
        <w:t xml:space="preserve">, </w:t>
      </w:r>
      <w:proofErr w:type="spellStart"/>
      <w:r w:rsidRPr="00792884">
        <w:rPr>
          <w:sz w:val="20"/>
          <w:szCs w:val="20"/>
        </w:rPr>
        <w:t>Atoris</w:t>
      </w:r>
      <w:proofErr w:type="spellEnd"/>
      <w:r w:rsidRPr="00792884">
        <w:rPr>
          <w:sz w:val="20"/>
          <w:szCs w:val="20"/>
        </w:rPr>
        <w:t xml:space="preserve">, </w:t>
      </w:r>
      <w:proofErr w:type="spellStart"/>
      <w:r w:rsidRPr="00792884">
        <w:rPr>
          <w:sz w:val="20"/>
          <w:szCs w:val="20"/>
        </w:rPr>
        <w:t>Atorlip</w:t>
      </w:r>
      <w:proofErr w:type="spellEnd"/>
      <w:r w:rsidRPr="00792884">
        <w:rPr>
          <w:sz w:val="20"/>
          <w:szCs w:val="20"/>
        </w:rPr>
        <w:t xml:space="preserve">, </w:t>
      </w:r>
      <w:proofErr w:type="spellStart"/>
      <w:r w:rsidRPr="00792884">
        <w:rPr>
          <w:sz w:val="20"/>
          <w:szCs w:val="20"/>
        </w:rPr>
        <w:t>Mactor</w:t>
      </w:r>
      <w:proofErr w:type="spellEnd"/>
      <w:r w:rsidRPr="00792884">
        <w:rPr>
          <w:sz w:val="20"/>
          <w:szCs w:val="20"/>
        </w:rPr>
        <w:t xml:space="preserve">, </w:t>
      </w:r>
      <w:proofErr w:type="spellStart"/>
      <w:r w:rsidRPr="00792884">
        <w:rPr>
          <w:sz w:val="20"/>
          <w:szCs w:val="20"/>
        </w:rPr>
        <w:t>Lipvas</w:t>
      </w:r>
      <w:proofErr w:type="spellEnd"/>
      <w:r w:rsidRPr="00792884">
        <w:rPr>
          <w:sz w:val="20"/>
          <w:szCs w:val="20"/>
        </w:rPr>
        <w:t xml:space="preserve">, </w:t>
      </w:r>
      <w:proofErr w:type="spellStart"/>
      <w:r w:rsidRPr="00792884">
        <w:rPr>
          <w:sz w:val="20"/>
          <w:szCs w:val="20"/>
        </w:rPr>
        <w:t>Sortis</w:t>
      </w:r>
      <w:proofErr w:type="spellEnd"/>
      <w:r w:rsidRPr="00792884">
        <w:rPr>
          <w:sz w:val="20"/>
          <w:szCs w:val="20"/>
        </w:rPr>
        <w:t xml:space="preserve">, </w:t>
      </w:r>
      <w:proofErr w:type="spellStart"/>
      <w:r w:rsidRPr="00792884">
        <w:rPr>
          <w:sz w:val="20"/>
          <w:szCs w:val="20"/>
        </w:rPr>
        <w:t>Torvast</w:t>
      </w:r>
      <w:proofErr w:type="spellEnd"/>
      <w:r w:rsidRPr="00792884">
        <w:rPr>
          <w:sz w:val="20"/>
          <w:szCs w:val="20"/>
        </w:rPr>
        <w:t xml:space="preserve">, </w:t>
      </w:r>
      <w:proofErr w:type="spellStart"/>
      <w:r w:rsidRPr="00792884">
        <w:rPr>
          <w:sz w:val="20"/>
          <w:szCs w:val="20"/>
        </w:rPr>
        <w:t>Torvacard</w:t>
      </w:r>
      <w:proofErr w:type="spellEnd"/>
      <w:r w:rsidRPr="00792884">
        <w:rPr>
          <w:sz w:val="20"/>
          <w:szCs w:val="20"/>
        </w:rPr>
        <w:t xml:space="preserve">, </w:t>
      </w:r>
      <w:proofErr w:type="spellStart"/>
      <w:r w:rsidRPr="00792884">
        <w:rPr>
          <w:sz w:val="20"/>
          <w:szCs w:val="20"/>
        </w:rPr>
        <w:t>Totalip</w:t>
      </w:r>
      <w:proofErr w:type="spellEnd"/>
      <w:r w:rsidRPr="00792884">
        <w:rPr>
          <w:sz w:val="20"/>
          <w:szCs w:val="20"/>
        </w:rPr>
        <w:t xml:space="preserve">, and Tulip. Pfizer also makes its own generic version under the name </w:t>
      </w:r>
      <w:proofErr w:type="spellStart"/>
      <w:r w:rsidRPr="00792884">
        <w:rPr>
          <w:sz w:val="20"/>
          <w:szCs w:val="20"/>
        </w:rPr>
        <w:t>Zarator</w:t>
      </w:r>
      <w:proofErr w:type="spellEnd"/>
      <w:r w:rsidRPr="00792884">
        <w:rPr>
          <w:sz w:val="20"/>
          <w:szCs w:val="20"/>
        </w:rPr>
        <w:t xml:space="preserve">, which is the sole </w:t>
      </w:r>
      <w:proofErr w:type="spellStart"/>
      <w:r w:rsidRPr="00792884">
        <w:rPr>
          <w:sz w:val="20"/>
          <w:szCs w:val="20"/>
        </w:rPr>
        <w:t>Pharmac-subsidised</w:t>
      </w:r>
      <w:proofErr w:type="spellEnd"/>
      <w:r w:rsidRPr="00792884">
        <w:rPr>
          <w:sz w:val="20"/>
          <w:szCs w:val="20"/>
        </w:rPr>
        <w:t xml:space="preserve"> brand of </w:t>
      </w:r>
      <w:proofErr w:type="spellStart"/>
      <w:r w:rsidR="0063509F" w:rsidRPr="00792884">
        <w:rPr>
          <w:sz w:val="20"/>
          <w:szCs w:val="20"/>
        </w:rPr>
        <w:t>atorvastatin</w:t>
      </w:r>
      <w:proofErr w:type="spellEnd"/>
      <w:r w:rsidR="0063509F" w:rsidRPr="00792884">
        <w:rPr>
          <w:sz w:val="20"/>
          <w:szCs w:val="20"/>
        </w:rPr>
        <w:t xml:space="preserve"> in New Zealand.</w:t>
      </w:r>
    </w:p>
    <w:p w:rsidR="002773E0" w:rsidRPr="00792884" w:rsidRDefault="002773E0" w:rsidP="008912F4">
      <w:pPr>
        <w:ind w:firstLine="720"/>
        <w:jc w:val="both"/>
        <w:rPr>
          <w:sz w:val="20"/>
          <w:szCs w:val="20"/>
        </w:rPr>
      </w:pPr>
      <w:r w:rsidRPr="00792884">
        <w:rPr>
          <w:sz w:val="20"/>
          <w:szCs w:val="20"/>
        </w:rPr>
        <w:t xml:space="preserve">On 9 November 2012, Indian </w:t>
      </w:r>
      <w:proofErr w:type="spellStart"/>
      <w:r w:rsidRPr="00792884">
        <w:rPr>
          <w:sz w:val="20"/>
          <w:szCs w:val="20"/>
        </w:rPr>
        <w:t>drugmaker</w:t>
      </w:r>
      <w:proofErr w:type="spellEnd"/>
      <w:r w:rsidRPr="00792884">
        <w:rPr>
          <w:sz w:val="20"/>
          <w:szCs w:val="20"/>
        </w:rPr>
        <w:t xml:space="preserve"> Ranbaxy Laboratories Ltd. voluntarily recalled 10-, 20- and 40-mg doses of its generic version of atorvastatin in the United States. The lots of atorvastatin, packaged in bottles of 90 and 500 tablets, were recalled due to possible contamination with very small glass particles similar to the size of a grain of sand (less than 1 mm in size). The FDA received no reports of injury from the contamination.</w:t>
      </w:r>
    </w:p>
    <w:p w:rsidR="00A74DC9" w:rsidRDefault="0009599B" w:rsidP="00C764E2">
      <w:pPr>
        <w:ind w:firstLine="720"/>
        <w:jc w:val="both"/>
        <w:rPr>
          <w:sz w:val="20"/>
          <w:szCs w:val="20"/>
        </w:rPr>
      </w:pPr>
      <w:r w:rsidRPr="00792884">
        <w:rPr>
          <w:sz w:val="20"/>
          <w:szCs w:val="20"/>
        </w:rPr>
        <w:t>Thromboxane A2 and B2</w:t>
      </w:r>
      <w:r w:rsidR="00E70861" w:rsidRPr="00792884">
        <w:rPr>
          <w:sz w:val="20"/>
          <w:szCs w:val="20"/>
        </w:rPr>
        <w:t xml:space="preserve"> structure</w:t>
      </w:r>
      <w:r w:rsidRPr="00792884">
        <w:rPr>
          <w:sz w:val="20"/>
          <w:szCs w:val="20"/>
        </w:rPr>
        <w:t xml:space="preserve"> and thromboxane sy</w:t>
      </w:r>
      <w:r w:rsidR="00C764E2">
        <w:rPr>
          <w:sz w:val="20"/>
          <w:szCs w:val="20"/>
        </w:rPr>
        <w:t>nthesis are shown in Figures 1-6</w:t>
      </w:r>
      <w:r w:rsidRPr="00792884">
        <w:rPr>
          <w:sz w:val="20"/>
          <w:szCs w:val="20"/>
        </w:rPr>
        <w:t xml:space="preserve">. </w:t>
      </w:r>
    </w:p>
    <w:p w:rsidR="00355382" w:rsidRPr="00792884" w:rsidRDefault="00355382" w:rsidP="00C764E2">
      <w:pPr>
        <w:ind w:firstLine="720"/>
        <w:jc w:val="both"/>
        <w:rPr>
          <w:sz w:val="20"/>
          <w:szCs w:val="20"/>
        </w:rPr>
      </w:pPr>
    </w:p>
    <w:p w:rsidR="001560F4" w:rsidRPr="00792884" w:rsidRDefault="003B1054" w:rsidP="008912F4">
      <w:pPr>
        <w:jc w:val="both"/>
        <w:rPr>
          <w:sz w:val="20"/>
          <w:szCs w:val="20"/>
        </w:rPr>
      </w:pPr>
      <w:r w:rsidRPr="00792884">
        <w:rPr>
          <w:noProof/>
          <w:color w:val="0000FF"/>
          <w:sz w:val="20"/>
          <w:szCs w:val="20"/>
          <w:lang w:eastAsia="zh-CN"/>
        </w:rPr>
        <w:drawing>
          <wp:inline distT="0" distB="0" distL="0" distR="0">
            <wp:extent cx="2928691" cy="1144988"/>
            <wp:effectExtent l="19050" t="0" r="5009" b="0"/>
            <wp:docPr id="1" name="Picture 1" descr="File:Thromboxane A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hromboxane A2.png">
                      <a:hlinkClick r:id="rId12"/>
                    </pic:cNvPr>
                    <pic:cNvPicPr>
                      <a:picLocks noChangeAspect="1" noChangeArrowheads="1"/>
                    </pic:cNvPicPr>
                  </pic:nvPicPr>
                  <pic:blipFill>
                    <a:blip r:embed="rId13" cstate="print"/>
                    <a:srcRect/>
                    <a:stretch>
                      <a:fillRect/>
                    </a:stretch>
                  </pic:blipFill>
                  <pic:spPr bwMode="auto">
                    <a:xfrm>
                      <a:off x="0" y="0"/>
                      <a:ext cx="2933803" cy="1146986"/>
                    </a:xfrm>
                    <a:prstGeom prst="rect">
                      <a:avLst/>
                    </a:prstGeom>
                    <a:noFill/>
                    <a:ln w="9525">
                      <a:noFill/>
                      <a:miter lim="800000"/>
                      <a:headEnd/>
                      <a:tailEnd/>
                    </a:ln>
                  </pic:spPr>
                </pic:pic>
              </a:graphicData>
            </a:graphic>
          </wp:inline>
        </w:drawing>
      </w:r>
    </w:p>
    <w:p w:rsidR="001560F4" w:rsidRPr="00792884" w:rsidRDefault="00E70861" w:rsidP="008912F4">
      <w:pPr>
        <w:jc w:val="both"/>
        <w:rPr>
          <w:sz w:val="20"/>
          <w:szCs w:val="20"/>
        </w:rPr>
      </w:pPr>
      <w:r w:rsidRPr="00792884">
        <w:rPr>
          <w:sz w:val="20"/>
          <w:szCs w:val="20"/>
        </w:rPr>
        <w:t xml:space="preserve">Figure 1. </w:t>
      </w:r>
      <w:r w:rsidR="001560F4" w:rsidRPr="00792884">
        <w:rPr>
          <w:sz w:val="20"/>
          <w:szCs w:val="20"/>
        </w:rPr>
        <w:t>Thromboxane A2</w:t>
      </w:r>
      <w:r w:rsidRPr="00792884">
        <w:rPr>
          <w:sz w:val="20"/>
          <w:szCs w:val="20"/>
        </w:rPr>
        <w:t xml:space="preserve"> structure</w:t>
      </w:r>
      <w:r w:rsidR="001560F4" w:rsidRPr="00792884">
        <w:rPr>
          <w:sz w:val="20"/>
          <w:szCs w:val="20"/>
        </w:rPr>
        <w:t xml:space="preserve">. </w:t>
      </w:r>
    </w:p>
    <w:p w:rsidR="001560F4" w:rsidRPr="00792884" w:rsidRDefault="003B1054" w:rsidP="008912F4">
      <w:pPr>
        <w:jc w:val="both"/>
        <w:rPr>
          <w:sz w:val="20"/>
          <w:szCs w:val="20"/>
        </w:rPr>
      </w:pPr>
      <w:r w:rsidRPr="00792884">
        <w:rPr>
          <w:noProof/>
          <w:color w:val="0000FF"/>
          <w:sz w:val="20"/>
          <w:szCs w:val="20"/>
          <w:lang w:eastAsia="zh-CN"/>
        </w:rPr>
        <w:drawing>
          <wp:inline distT="0" distB="0" distL="0" distR="0">
            <wp:extent cx="2805641" cy="1637969"/>
            <wp:effectExtent l="0" t="0" r="0" b="0"/>
            <wp:docPr id="2" name="Picture 2" descr="File:Thromboxane B2.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Thromboxane B2.svg">
                      <a:hlinkClick r:id="rId14"/>
                    </pic:cNvPr>
                    <pic:cNvPicPr>
                      <a:picLocks noChangeAspect="1" noChangeArrowheads="1"/>
                    </pic:cNvPicPr>
                  </pic:nvPicPr>
                  <pic:blipFill>
                    <a:blip r:embed="rId15" cstate="print"/>
                    <a:srcRect/>
                    <a:stretch>
                      <a:fillRect/>
                    </a:stretch>
                  </pic:blipFill>
                  <pic:spPr bwMode="auto">
                    <a:xfrm>
                      <a:off x="0" y="0"/>
                      <a:ext cx="2820681" cy="1646750"/>
                    </a:xfrm>
                    <a:prstGeom prst="rect">
                      <a:avLst/>
                    </a:prstGeom>
                    <a:noFill/>
                    <a:ln w="9525">
                      <a:noFill/>
                      <a:miter lim="800000"/>
                      <a:headEnd/>
                      <a:tailEnd/>
                    </a:ln>
                  </pic:spPr>
                </pic:pic>
              </a:graphicData>
            </a:graphic>
          </wp:inline>
        </w:drawing>
      </w:r>
    </w:p>
    <w:p w:rsidR="00A74DC9" w:rsidRPr="00792884" w:rsidRDefault="00E70861" w:rsidP="008912F4">
      <w:pPr>
        <w:jc w:val="both"/>
        <w:rPr>
          <w:sz w:val="20"/>
          <w:szCs w:val="20"/>
        </w:rPr>
      </w:pPr>
      <w:r w:rsidRPr="00792884">
        <w:rPr>
          <w:sz w:val="20"/>
          <w:szCs w:val="20"/>
        </w:rPr>
        <w:t xml:space="preserve">Figure 2. </w:t>
      </w:r>
      <w:r w:rsidR="001560F4" w:rsidRPr="00792884">
        <w:rPr>
          <w:sz w:val="20"/>
          <w:szCs w:val="20"/>
        </w:rPr>
        <w:t>Thromboxane B2</w:t>
      </w:r>
      <w:r w:rsidRPr="00792884">
        <w:rPr>
          <w:sz w:val="20"/>
          <w:szCs w:val="20"/>
        </w:rPr>
        <w:t xml:space="preserve"> structure</w:t>
      </w:r>
      <w:r w:rsidR="001560F4" w:rsidRPr="00792884">
        <w:rPr>
          <w:sz w:val="20"/>
          <w:szCs w:val="20"/>
        </w:rPr>
        <w:t>.</w:t>
      </w:r>
    </w:p>
    <w:p w:rsidR="00A74DC9" w:rsidRPr="00792884" w:rsidRDefault="00A74DC9" w:rsidP="008912F4">
      <w:pPr>
        <w:jc w:val="both"/>
        <w:rPr>
          <w:noProof/>
          <w:sz w:val="20"/>
          <w:szCs w:val="20"/>
        </w:rPr>
      </w:pPr>
    </w:p>
    <w:p w:rsidR="00E74F27" w:rsidRPr="00792884" w:rsidRDefault="003B1054" w:rsidP="008912F4">
      <w:pPr>
        <w:pStyle w:val="NormalWeb"/>
        <w:spacing w:before="0" w:beforeAutospacing="0" w:after="0" w:afterAutospacing="0"/>
        <w:jc w:val="both"/>
        <w:rPr>
          <w:sz w:val="20"/>
          <w:szCs w:val="20"/>
        </w:rPr>
      </w:pPr>
      <w:r w:rsidRPr="00792884">
        <w:rPr>
          <w:noProof/>
          <w:sz w:val="20"/>
          <w:szCs w:val="20"/>
          <w:lang w:eastAsia="zh-CN"/>
        </w:rPr>
        <w:drawing>
          <wp:inline distT="0" distB="0" distL="0" distR="0">
            <wp:extent cx="2762665" cy="1932167"/>
            <wp:effectExtent l="19050" t="0" r="0" b="0"/>
            <wp:docPr id="3" name="Picture 3" descr="MFCD0003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FCD00036822"/>
                    <pic:cNvPicPr>
                      <a:picLocks noChangeAspect="1" noChangeArrowheads="1"/>
                    </pic:cNvPicPr>
                  </pic:nvPicPr>
                  <pic:blipFill>
                    <a:blip r:embed="rId16" cstate="print"/>
                    <a:srcRect/>
                    <a:stretch>
                      <a:fillRect/>
                    </a:stretch>
                  </pic:blipFill>
                  <pic:spPr bwMode="auto">
                    <a:xfrm>
                      <a:off x="0" y="0"/>
                      <a:ext cx="2767673" cy="1935670"/>
                    </a:xfrm>
                    <a:prstGeom prst="rect">
                      <a:avLst/>
                    </a:prstGeom>
                    <a:noFill/>
                    <a:ln w="9525">
                      <a:noFill/>
                      <a:miter lim="800000"/>
                      <a:headEnd/>
                      <a:tailEnd/>
                    </a:ln>
                  </pic:spPr>
                </pic:pic>
              </a:graphicData>
            </a:graphic>
          </wp:inline>
        </w:drawing>
      </w:r>
    </w:p>
    <w:p w:rsidR="00E74F27" w:rsidRPr="00792884" w:rsidRDefault="00E0260F" w:rsidP="008912F4">
      <w:pPr>
        <w:pStyle w:val="NormalWeb"/>
        <w:shd w:val="clear" w:color="auto" w:fill="F8FCFF"/>
        <w:spacing w:before="0" w:beforeAutospacing="0" w:after="0" w:afterAutospacing="0"/>
        <w:jc w:val="both"/>
        <w:rPr>
          <w:sz w:val="20"/>
          <w:szCs w:val="20"/>
        </w:rPr>
      </w:pPr>
      <w:r>
        <w:rPr>
          <w:sz w:val="20"/>
          <w:szCs w:val="20"/>
        </w:rPr>
        <w:t>Figure 3</w:t>
      </w:r>
      <w:r w:rsidR="00E74F27" w:rsidRPr="00792884">
        <w:rPr>
          <w:sz w:val="20"/>
          <w:szCs w:val="20"/>
        </w:rPr>
        <w:t>. Structure of Thromboxane B2</w:t>
      </w:r>
    </w:p>
    <w:p w:rsidR="00E74F27" w:rsidRPr="00792884" w:rsidRDefault="00E74F27" w:rsidP="008912F4">
      <w:pPr>
        <w:jc w:val="both"/>
        <w:rPr>
          <w:noProof/>
          <w:sz w:val="20"/>
          <w:szCs w:val="20"/>
        </w:rPr>
      </w:pPr>
    </w:p>
    <w:p w:rsidR="00E74F27" w:rsidRPr="00792884" w:rsidRDefault="00E74F27" w:rsidP="008912F4">
      <w:pPr>
        <w:jc w:val="both"/>
        <w:rPr>
          <w:noProof/>
          <w:sz w:val="20"/>
          <w:szCs w:val="20"/>
        </w:rPr>
      </w:pPr>
    </w:p>
    <w:p w:rsidR="00A92C80" w:rsidRPr="00792884" w:rsidRDefault="003B1054" w:rsidP="008912F4">
      <w:pPr>
        <w:jc w:val="both"/>
        <w:rPr>
          <w:sz w:val="20"/>
          <w:szCs w:val="20"/>
        </w:rPr>
      </w:pPr>
      <w:r w:rsidRPr="00792884">
        <w:rPr>
          <w:noProof/>
          <w:color w:val="0000FF"/>
          <w:sz w:val="20"/>
          <w:szCs w:val="20"/>
          <w:lang w:eastAsia="zh-CN"/>
        </w:rPr>
        <w:lastRenderedPageBreak/>
        <w:drawing>
          <wp:inline distT="0" distB="0" distL="0" distR="0">
            <wp:extent cx="2443100" cy="2083242"/>
            <wp:effectExtent l="19050" t="0" r="0" b="0"/>
            <wp:docPr id="4" name="Picture 4" descr="File:Thromboxane synthesi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Thromboxane synthesis.png">
                      <a:hlinkClick r:id="rId17"/>
                    </pic:cNvPr>
                    <pic:cNvPicPr>
                      <a:picLocks noChangeAspect="1" noChangeArrowheads="1"/>
                    </pic:cNvPicPr>
                  </pic:nvPicPr>
                  <pic:blipFill>
                    <a:blip r:embed="rId18" cstate="print"/>
                    <a:srcRect/>
                    <a:stretch>
                      <a:fillRect/>
                    </a:stretch>
                  </pic:blipFill>
                  <pic:spPr bwMode="auto">
                    <a:xfrm>
                      <a:off x="0" y="0"/>
                      <a:ext cx="2446796" cy="2086394"/>
                    </a:xfrm>
                    <a:prstGeom prst="rect">
                      <a:avLst/>
                    </a:prstGeom>
                    <a:noFill/>
                    <a:ln w="9525">
                      <a:noFill/>
                      <a:miter lim="800000"/>
                      <a:headEnd/>
                      <a:tailEnd/>
                    </a:ln>
                  </pic:spPr>
                </pic:pic>
              </a:graphicData>
            </a:graphic>
          </wp:inline>
        </w:drawing>
      </w:r>
    </w:p>
    <w:p w:rsidR="00A92C80" w:rsidRPr="00792884" w:rsidRDefault="00E0260F" w:rsidP="008912F4">
      <w:pPr>
        <w:jc w:val="both"/>
        <w:rPr>
          <w:sz w:val="20"/>
          <w:szCs w:val="20"/>
        </w:rPr>
      </w:pPr>
      <w:r>
        <w:rPr>
          <w:sz w:val="20"/>
          <w:szCs w:val="20"/>
        </w:rPr>
        <w:t>Figure 4</w:t>
      </w:r>
      <w:r w:rsidR="00A92C80" w:rsidRPr="00792884">
        <w:rPr>
          <w:sz w:val="20"/>
          <w:szCs w:val="20"/>
        </w:rPr>
        <w:t>. Thromboxane synthesis</w:t>
      </w:r>
    </w:p>
    <w:p w:rsidR="00E74F27" w:rsidRPr="00792884" w:rsidRDefault="00E74F27" w:rsidP="008912F4">
      <w:pPr>
        <w:pStyle w:val="NormalWeb"/>
        <w:shd w:val="clear" w:color="auto" w:fill="F8FCFF"/>
        <w:spacing w:before="0" w:beforeAutospacing="0" w:after="0" w:afterAutospacing="0"/>
        <w:jc w:val="both"/>
        <w:rPr>
          <w:sz w:val="20"/>
          <w:szCs w:val="20"/>
        </w:rPr>
      </w:pPr>
    </w:p>
    <w:p w:rsidR="00E74F27" w:rsidRPr="00792884" w:rsidRDefault="003B1054" w:rsidP="008912F4">
      <w:pPr>
        <w:shd w:val="clear" w:color="auto" w:fill="F8FCFF"/>
        <w:jc w:val="both"/>
        <w:rPr>
          <w:sz w:val="20"/>
          <w:szCs w:val="20"/>
        </w:rPr>
      </w:pPr>
      <w:r w:rsidRPr="00792884">
        <w:rPr>
          <w:noProof/>
          <w:color w:val="0000FF"/>
          <w:sz w:val="20"/>
          <w:szCs w:val="20"/>
          <w:lang w:eastAsia="zh-CN"/>
        </w:rPr>
        <w:drawing>
          <wp:inline distT="0" distB="0" distL="0" distR="0">
            <wp:extent cx="2835468" cy="2415206"/>
            <wp:effectExtent l="19050" t="0" r="2982" b="0"/>
            <wp:docPr id="5" name="Picture 5" descr="Enzymes and substrates associated with thromoboxane and prostacyclin synthesis.">
              <a:hlinkClick xmlns:a="http://schemas.openxmlformats.org/drawingml/2006/main" r:id="rId19" tooltip="Enzymes and substrates associated with thromoboxane and prostacyclin synthesi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zymes and substrates associated with thromoboxane and prostacyclin synthesis."/>
                    <pic:cNvPicPr>
                      <a:picLocks noChangeAspect="1" noChangeArrowheads="1"/>
                    </pic:cNvPicPr>
                  </pic:nvPicPr>
                  <pic:blipFill>
                    <a:blip r:embed="rId20" cstate="print"/>
                    <a:srcRect/>
                    <a:stretch>
                      <a:fillRect/>
                    </a:stretch>
                  </pic:blipFill>
                  <pic:spPr bwMode="auto">
                    <a:xfrm>
                      <a:off x="0" y="0"/>
                      <a:ext cx="2835541" cy="2415268"/>
                    </a:xfrm>
                    <a:prstGeom prst="rect">
                      <a:avLst/>
                    </a:prstGeom>
                    <a:noFill/>
                    <a:ln w="9525">
                      <a:noFill/>
                      <a:miter lim="800000"/>
                      <a:headEnd/>
                      <a:tailEnd/>
                    </a:ln>
                  </pic:spPr>
                </pic:pic>
              </a:graphicData>
            </a:graphic>
          </wp:inline>
        </w:drawing>
      </w:r>
    </w:p>
    <w:p w:rsidR="00E74F27" w:rsidRPr="00792884" w:rsidRDefault="00E74F27" w:rsidP="008912F4">
      <w:pPr>
        <w:shd w:val="clear" w:color="auto" w:fill="F8FCFF"/>
        <w:jc w:val="both"/>
        <w:rPr>
          <w:sz w:val="20"/>
          <w:szCs w:val="20"/>
        </w:rPr>
      </w:pPr>
    </w:p>
    <w:p w:rsidR="00E74F27" w:rsidRPr="00792884" w:rsidRDefault="00E74F27" w:rsidP="008912F4">
      <w:pPr>
        <w:jc w:val="both"/>
        <w:rPr>
          <w:sz w:val="20"/>
          <w:szCs w:val="20"/>
        </w:rPr>
      </w:pPr>
      <w:r w:rsidRPr="00792884">
        <w:rPr>
          <w:sz w:val="20"/>
          <w:szCs w:val="20"/>
        </w:rPr>
        <w:t xml:space="preserve">Figure </w:t>
      </w:r>
      <w:r w:rsidR="00E0260F">
        <w:rPr>
          <w:sz w:val="20"/>
          <w:szCs w:val="20"/>
        </w:rPr>
        <w:t>5</w:t>
      </w:r>
      <w:r w:rsidRPr="00792884">
        <w:rPr>
          <w:sz w:val="20"/>
          <w:szCs w:val="20"/>
        </w:rPr>
        <w:t xml:space="preserve">. Enzymes and substrates associated with </w:t>
      </w:r>
      <w:proofErr w:type="spellStart"/>
      <w:r w:rsidRPr="00792884">
        <w:rPr>
          <w:sz w:val="20"/>
          <w:szCs w:val="20"/>
        </w:rPr>
        <w:t>thromoboxane</w:t>
      </w:r>
      <w:proofErr w:type="spellEnd"/>
      <w:r w:rsidRPr="00792884">
        <w:rPr>
          <w:sz w:val="20"/>
          <w:szCs w:val="20"/>
        </w:rPr>
        <w:t xml:space="preserve"> and </w:t>
      </w:r>
      <w:proofErr w:type="spellStart"/>
      <w:r w:rsidRPr="00792884">
        <w:rPr>
          <w:sz w:val="20"/>
          <w:szCs w:val="20"/>
        </w:rPr>
        <w:t>prostacyclin</w:t>
      </w:r>
      <w:proofErr w:type="spellEnd"/>
      <w:r w:rsidRPr="00792884">
        <w:rPr>
          <w:sz w:val="20"/>
          <w:szCs w:val="20"/>
        </w:rPr>
        <w:t xml:space="preserve"> synthesis.</w:t>
      </w:r>
    </w:p>
    <w:p w:rsidR="00E74F27" w:rsidRPr="00792884" w:rsidRDefault="00E74F27" w:rsidP="008912F4">
      <w:pPr>
        <w:jc w:val="both"/>
        <w:rPr>
          <w:sz w:val="20"/>
          <w:szCs w:val="20"/>
        </w:rPr>
      </w:pPr>
    </w:p>
    <w:p w:rsidR="007631EE" w:rsidRPr="00792884" w:rsidRDefault="003B1054" w:rsidP="008912F4">
      <w:pPr>
        <w:jc w:val="both"/>
        <w:rPr>
          <w:sz w:val="20"/>
          <w:szCs w:val="20"/>
        </w:rPr>
      </w:pPr>
      <w:r w:rsidRPr="00792884">
        <w:rPr>
          <w:noProof/>
          <w:color w:val="0000FF"/>
          <w:sz w:val="20"/>
          <w:szCs w:val="20"/>
          <w:lang w:eastAsia="zh-CN"/>
        </w:rPr>
        <w:drawing>
          <wp:inline distT="0" distB="0" distL="0" distR="0">
            <wp:extent cx="2687541" cy="2392786"/>
            <wp:effectExtent l="0" t="0" r="0" b="0"/>
            <wp:docPr id="6" name="Picture 6" descr="File:Eicosanoid synthesis.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Eicosanoid synthesis.svg">
                      <a:hlinkClick r:id="rId21"/>
                    </pic:cNvPr>
                    <pic:cNvPicPr>
                      <a:picLocks noChangeAspect="1" noChangeArrowheads="1"/>
                    </pic:cNvPicPr>
                  </pic:nvPicPr>
                  <pic:blipFill>
                    <a:blip r:embed="rId22" cstate="print"/>
                    <a:srcRect/>
                    <a:stretch>
                      <a:fillRect/>
                    </a:stretch>
                  </pic:blipFill>
                  <pic:spPr bwMode="auto">
                    <a:xfrm>
                      <a:off x="0" y="0"/>
                      <a:ext cx="2687638" cy="2392872"/>
                    </a:xfrm>
                    <a:prstGeom prst="rect">
                      <a:avLst/>
                    </a:prstGeom>
                    <a:noFill/>
                    <a:ln w="9525">
                      <a:noFill/>
                      <a:miter lim="800000"/>
                      <a:headEnd/>
                      <a:tailEnd/>
                    </a:ln>
                  </pic:spPr>
                </pic:pic>
              </a:graphicData>
            </a:graphic>
          </wp:inline>
        </w:drawing>
      </w:r>
    </w:p>
    <w:p w:rsidR="00A92C80" w:rsidRPr="00792884" w:rsidRDefault="007631EE" w:rsidP="008912F4">
      <w:pPr>
        <w:jc w:val="both"/>
        <w:rPr>
          <w:sz w:val="20"/>
          <w:szCs w:val="20"/>
        </w:rPr>
      </w:pPr>
      <w:r w:rsidRPr="00792884">
        <w:rPr>
          <w:sz w:val="20"/>
          <w:szCs w:val="20"/>
        </w:rPr>
        <w:t>Figure</w:t>
      </w:r>
      <w:r w:rsidR="00E0260F">
        <w:rPr>
          <w:sz w:val="20"/>
          <w:szCs w:val="20"/>
        </w:rPr>
        <w:t xml:space="preserve"> 6</w:t>
      </w:r>
      <w:r w:rsidRPr="00792884">
        <w:rPr>
          <w:sz w:val="20"/>
          <w:szCs w:val="20"/>
        </w:rPr>
        <w:t xml:space="preserve">. Eicosanoid synthesis </w:t>
      </w:r>
    </w:p>
    <w:p w:rsidR="00E70861" w:rsidRDefault="00E70861" w:rsidP="008912F4">
      <w:pPr>
        <w:jc w:val="both"/>
        <w:rPr>
          <w:sz w:val="20"/>
          <w:szCs w:val="20"/>
        </w:rPr>
      </w:pPr>
    </w:p>
    <w:p w:rsidR="00355382" w:rsidRPr="00792884" w:rsidRDefault="00355382" w:rsidP="008912F4">
      <w:pPr>
        <w:jc w:val="both"/>
        <w:rPr>
          <w:sz w:val="20"/>
          <w:szCs w:val="20"/>
        </w:rPr>
      </w:pPr>
    </w:p>
    <w:p w:rsidR="002773E0" w:rsidRPr="00792884" w:rsidRDefault="002773E0" w:rsidP="008912F4">
      <w:pPr>
        <w:pStyle w:val="NormalWeb"/>
        <w:shd w:val="clear" w:color="auto" w:fill="F8FCFF"/>
        <w:spacing w:before="0" w:beforeAutospacing="0" w:after="0" w:afterAutospacing="0"/>
        <w:jc w:val="both"/>
        <w:rPr>
          <w:b/>
          <w:sz w:val="20"/>
          <w:szCs w:val="20"/>
        </w:rPr>
      </w:pPr>
      <w:r w:rsidRPr="00792884">
        <w:rPr>
          <w:b/>
          <w:sz w:val="20"/>
          <w:szCs w:val="20"/>
        </w:rPr>
        <w:lastRenderedPageBreak/>
        <w:t xml:space="preserve">Thromboxane B2: </w:t>
      </w:r>
    </w:p>
    <w:p w:rsidR="002773E0" w:rsidRPr="00792884" w:rsidRDefault="002773E0" w:rsidP="00E0260F">
      <w:pPr>
        <w:rPr>
          <w:color w:val="000000"/>
          <w:sz w:val="20"/>
          <w:szCs w:val="20"/>
        </w:rPr>
      </w:pPr>
      <w:r w:rsidRPr="00792884">
        <w:rPr>
          <w:sz w:val="20"/>
          <w:szCs w:val="20"/>
        </w:rPr>
        <w:t>Synonym: (5Z,9α,11RS,13E,15S)-9,11,15-Trihydroxythromboxa-5,13-dien-1-oic acid</w:t>
      </w:r>
    </w:p>
    <w:p w:rsidR="002773E0" w:rsidRPr="00792884" w:rsidRDefault="002773E0" w:rsidP="00E0260F">
      <w:pPr>
        <w:rPr>
          <w:color w:val="000000"/>
          <w:sz w:val="20"/>
          <w:szCs w:val="20"/>
          <w:vertAlign w:val="subscript"/>
        </w:rPr>
      </w:pPr>
      <w:proofErr w:type="spellStart"/>
      <w:r w:rsidRPr="00792884">
        <w:rPr>
          <w:sz w:val="20"/>
          <w:szCs w:val="20"/>
        </w:rPr>
        <w:t>Abbrievation</w:t>
      </w:r>
      <w:proofErr w:type="spellEnd"/>
      <w:r w:rsidRPr="00792884">
        <w:rPr>
          <w:sz w:val="20"/>
          <w:szCs w:val="20"/>
        </w:rPr>
        <w:t xml:space="preserve">: </w:t>
      </w:r>
      <w:r w:rsidRPr="00792884">
        <w:rPr>
          <w:color w:val="000000"/>
          <w:sz w:val="20"/>
          <w:szCs w:val="20"/>
        </w:rPr>
        <w:t>TXB</w:t>
      </w:r>
      <w:r w:rsidRPr="00792884">
        <w:rPr>
          <w:color w:val="000000"/>
          <w:sz w:val="20"/>
          <w:szCs w:val="20"/>
          <w:vertAlign w:val="subscript"/>
        </w:rPr>
        <w:t>2</w:t>
      </w:r>
    </w:p>
    <w:p w:rsidR="002773E0" w:rsidRPr="00792884" w:rsidRDefault="002773E0" w:rsidP="00E0260F">
      <w:pPr>
        <w:rPr>
          <w:color w:val="000000"/>
          <w:sz w:val="20"/>
          <w:szCs w:val="20"/>
        </w:rPr>
      </w:pPr>
      <w:r w:rsidRPr="00792884">
        <w:rPr>
          <w:color w:val="000000"/>
          <w:sz w:val="20"/>
          <w:szCs w:val="20"/>
        </w:rPr>
        <w:t>Molecular Formula: C</w:t>
      </w:r>
      <w:r w:rsidRPr="00792884">
        <w:rPr>
          <w:color w:val="000000"/>
          <w:sz w:val="20"/>
          <w:szCs w:val="20"/>
          <w:vertAlign w:val="subscript"/>
        </w:rPr>
        <w:t>20</w:t>
      </w:r>
      <w:r w:rsidRPr="00792884">
        <w:rPr>
          <w:color w:val="000000"/>
          <w:sz w:val="20"/>
          <w:szCs w:val="20"/>
        </w:rPr>
        <w:t>H</w:t>
      </w:r>
      <w:r w:rsidRPr="00792884">
        <w:rPr>
          <w:color w:val="000000"/>
          <w:sz w:val="20"/>
          <w:szCs w:val="20"/>
          <w:vertAlign w:val="subscript"/>
        </w:rPr>
        <w:t>34</w:t>
      </w:r>
      <w:r w:rsidRPr="00792884">
        <w:rPr>
          <w:color w:val="000000"/>
          <w:sz w:val="20"/>
          <w:szCs w:val="20"/>
        </w:rPr>
        <w:t>O</w:t>
      </w:r>
      <w:r w:rsidRPr="00792884">
        <w:rPr>
          <w:color w:val="000000"/>
          <w:sz w:val="20"/>
          <w:szCs w:val="20"/>
          <w:vertAlign w:val="subscript"/>
        </w:rPr>
        <w:t>6</w:t>
      </w:r>
    </w:p>
    <w:p w:rsidR="002773E0" w:rsidRPr="00792884" w:rsidRDefault="002773E0" w:rsidP="00E0260F">
      <w:pPr>
        <w:rPr>
          <w:color w:val="000000"/>
          <w:sz w:val="20"/>
          <w:szCs w:val="20"/>
        </w:rPr>
      </w:pPr>
      <w:r w:rsidRPr="00792884">
        <w:rPr>
          <w:sz w:val="20"/>
          <w:szCs w:val="20"/>
        </w:rPr>
        <w:t xml:space="preserve">Molecular weight: 370.48. </w:t>
      </w:r>
    </w:p>
    <w:p w:rsidR="002773E0" w:rsidRPr="00792884" w:rsidRDefault="002773E0" w:rsidP="00E0260F">
      <w:pPr>
        <w:rPr>
          <w:sz w:val="20"/>
          <w:szCs w:val="20"/>
        </w:rPr>
      </w:pPr>
    </w:p>
    <w:p w:rsidR="002773E0" w:rsidRPr="00792884" w:rsidRDefault="002773E0" w:rsidP="00E0260F">
      <w:pPr>
        <w:rPr>
          <w:sz w:val="20"/>
          <w:szCs w:val="20"/>
        </w:rPr>
      </w:pPr>
      <w:r w:rsidRPr="00792884">
        <w:rPr>
          <w:b/>
          <w:bCs/>
          <w:sz w:val="20"/>
          <w:szCs w:val="20"/>
        </w:rPr>
        <w:t>Prostaglandin E</w:t>
      </w:r>
      <w:r w:rsidRPr="00792884">
        <w:rPr>
          <w:b/>
          <w:bCs/>
          <w:sz w:val="20"/>
          <w:szCs w:val="20"/>
          <w:vertAlign w:val="subscript"/>
        </w:rPr>
        <w:t>2</w:t>
      </w:r>
      <w:r w:rsidRPr="00792884">
        <w:rPr>
          <w:sz w:val="20"/>
          <w:szCs w:val="20"/>
        </w:rPr>
        <w:t xml:space="preserve">: </w:t>
      </w:r>
    </w:p>
    <w:p w:rsidR="002773E0" w:rsidRPr="00792884" w:rsidRDefault="00062ED9" w:rsidP="00E0260F">
      <w:pPr>
        <w:rPr>
          <w:color w:val="000000"/>
          <w:sz w:val="20"/>
          <w:szCs w:val="20"/>
        </w:rPr>
      </w:pPr>
      <w:r w:rsidRPr="00792884">
        <w:rPr>
          <w:color w:val="000000"/>
          <w:sz w:val="20"/>
          <w:szCs w:val="20"/>
        </w:rPr>
        <w:t>Synonym:</w:t>
      </w:r>
      <w:r w:rsidR="00750361">
        <w:rPr>
          <w:color w:val="000000"/>
          <w:sz w:val="20"/>
          <w:szCs w:val="20"/>
        </w:rPr>
        <w:t xml:space="preserve"> </w:t>
      </w:r>
      <w:r w:rsidR="002773E0" w:rsidRPr="00792884">
        <w:rPr>
          <w:color w:val="000000"/>
          <w:sz w:val="20"/>
          <w:szCs w:val="20"/>
        </w:rPr>
        <w:t>(5Z,11α,13E,15S)-11,15-Dihydroxy-9-oxoprosta-5,13-dienoic acid</w:t>
      </w:r>
    </w:p>
    <w:p w:rsidR="002773E0" w:rsidRPr="00792884" w:rsidRDefault="002773E0" w:rsidP="00E0260F">
      <w:pPr>
        <w:rPr>
          <w:color w:val="000000"/>
          <w:sz w:val="20"/>
          <w:szCs w:val="20"/>
        </w:rPr>
      </w:pPr>
      <w:proofErr w:type="spellStart"/>
      <w:r w:rsidRPr="00792884">
        <w:rPr>
          <w:sz w:val="20"/>
          <w:szCs w:val="20"/>
        </w:rPr>
        <w:t>Abbrievation</w:t>
      </w:r>
      <w:proofErr w:type="spellEnd"/>
      <w:r w:rsidRPr="00792884">
        <w:rPr>
          <w:sz w:val="20"/>
          <w:szCs w:val="20"/>
        </w:rPr>
        <w:t xml:space="preserve">: </w:t>
      </w:r>
      <w:r w:rsidRPr="00792884">
        <w:rPr>
          <w:color w:val="000000"/>
          <w:sz w:val="20"/>
          <w:szCs w:val="20"/>
        </w:rPr>
        <w:t>PGE</w:t>
      </w:r>
      <w:r w:rsidRPr="00792884">
        <w:rPr>
          <w:color w:val="000000"/>
          <w:sz w:val="20"/>
          <w:szCs w:val="20"/>
          <w:vertAlign w:val="subscript"/>
        </w:rPr>
        <w:t>2</w:t>
      </w:r>
    </w:p>
    <w:p w:rsidR="002773E0" w:rsidRPr="00792884" w:rsidRDefault="002773E0" w:rsidP="00E0260F">
      <w:pPr>
        <w:rPr>
          <w:color w:val="000000"/>
          <w:sz w:val="20"/>
          <w:szCs w:val="20"/>
        </w:rPr>
      </w:pPr>
      <w:r w:rsidRPr="00792884">
        <w:rPr>
          <w:color w:val="000000"/>
          <w:sz w:val="20"/>
          <w:szCs w:val="20"/>
        </w:rPr>
        <w:t>Molecular Formula: C</w:t>
      </w:r>
      <w:r w:rsidRPr="00792884">
        <w:rPr>
          <w:color w:val="000000"/>
          <w:sz w:val="20"/>
          <w:szCs w:val="20"/>
          <w:vertAlign w:val="subscript"/>
        </w:rPr>
        <w:t>20</w:t>
      </w:r>
      <w:r w:rsidRPr="00792884">
        <w:rPr>
          <w:color w:val="000000"/>
          <w:sz w:val="20"/>
          <w:szCs w:val="20"/>
        </w:rPr>
        <w:t>H</w:t>
      </w:r>
      <w:r w:rsidRPr="00792884">
        <w:rPr>
          <w:color w:val="000000"/>
          <w:sz w:val="20"/>
          <w:szCs w:val="20"/>
          <w:vertAlign w:val="subscript"/>
        </w:rPr>
        <w:t>32</w:t>
      </w:r>
      <w:r w:rsidRPr="00792884">
        <w:rPr>
          <w:color w:val="000000"/>
          <w:sz w:val="20"/>
          <w:szCs w:val="20"/>
        </w:rPr>
        <w:t>O</w:t>
      </w:r>
      <w:r w:rsidRPr="00792884">
        <w:rPr>
          <w:color w:val="000000"/>
          <w:sz w:val="20"/>
          <w:szCs w:val="20"/>
          <w:vertAlign w:val="subscript"/>
        </w:rPr>
        <w:t>5</w:t>
      </w:r>
    </w:p>
    <w:p w:rsidR="002773E0" w:rsidRPr="00792884" w:rsidRDefault="002773E0" w:rsidP="00E0260F">
      <w:pPr>
        <w:rPr>
          <w:color w:val="000000"/>
          <w:sz w:val="20"/>
          <w:szCs w:val="20"/>
        </w:rPr>
      </w:pPr>
      <w:r w:rsidRPr="00792884">
        <w:rPr>
          <w:color w:val="000000"/>
          <w:sz w:val="20"/>
          <w:szCs w:val="20"/>
        </w:rPr>
        <w:t>Molecular Weight: 352.47</w:t>
      </w:r>
    </w:p>
    <w:p w:rsidR="00E70861" w:rsidRDefault="00E70861" w:rsidP="008912F4">
      <w:pPr>
        <w:jc w:val="both"/>
        <w:rPr>
          <w:sz w:val="20"/>
          <w:szCs w:val="20"/>
        </w:rPr>
      </w:pPr>
    </w:p>
    <w:p w:rsidR="00C46F3B" w:rsidRPr="00792884" w:rsidRDefault="00C46F3B" w:rsidP="00C46F3B">
      <w:pPr>
        <w:pStyle w:val="NormalWeb"/>
        <w:shd w:val="clear" w:color="auto" w:fill="F8FCFF"/>
        <w:spacing w:before="0" w:beforeAutospacing="0" w:after="0" w:afterAutospacing="0"/>
        <w:ind w:firstLine="720"/>
        <w:jc w:val="both"/>
        <w:rPr>
          <w:b/>
          <w:bCs/>
          <w:sz w:val="20"/>
          <w:szCs w:val="20"/>
        </w:rPr>
      </w:pPr>
      <w:r w:rsidRPr="00792884">
        <w:rPr>
          <w:color w:val="000000"/>
          <w:sz w:val="20"/>
          <w:szCs w:val="20"/>
        </w:rPr>
        <w:t xml:space="preserve">TXA2 is produced from </w:t>
      </w:r>
      <w:proofErr w:type="spellStart"/>
      <w:r w:rsidRPr="00792884">
        <w:rPr>
          <w:color w:val="000000"/>
          <w:sz w:val="20"/>
          <w:szCs w:val="20"/>
        </w:rPr>
        <w:t>arachidonic</w:t>
      </w:r>
      <w:proofErr w:type="spellEnd"/>
      <w:r w:rsidRPr="00792884">
        <w:rPr>
          <w:color w:val="000000"/>
          <w:sz w:val="20"/>
          <w:szCs w:val="20"/>
        </w:rPr>
        <w:t xml:space="preserve"> acid by many cells and causes irreversible platelet aggregation and vascular and bronchial smooth muscle contraction. TXA2, like most lipid mediators, is not a circulating hormone. It is formed in response to local stimuli and exerts its effects within a short distance of its biosynthesis. TXA2 is rapidly hydrolyzed non-</w:t>
      </w:r>
      <w:proofErr w:type="spellStart"/>
      <w:r w:rsidRPr="00792884">
        <w:rPr>
          <w:color w:val="000000"/>
          <w:sz w:val="20"/>
          <w:szCs w:val="20"/>
        </w:rPr>
        <w:t>enzymatically</w:t>
      </w:r>
      <w:proofErr w:type="spellEnd"/>
      <w:r w:rsidRPr="00792884">
        <w:rPr>
          <w:color w:val="000000"/>
          <w:sz w:val="20"/>
          <w:szCs w:val="20"/>
        </w:rPr>
        <w:t xml:space="preserve"> to form TXB2, which is then quickly metabolized (t1/2 = 5-7 minutes) to urinary metabolites for clearance by the kidneys. Because of the transient nature of this compound it is difficult to accurately measure circulating levels in whole-animal experimental models. In fact, it has been shown that plasma and urine levels of TXB2 are primarily due to ex vivo platelet activation and intra-renal production, respectively. There is neither commercial TXA2 antibody nor regular way for a laboratory to quantify TXA2 in samples. Therefore, measurement of TXB2 is the normal way to predict TXA2 level. For the detection of TXA2, it can use the </w:t>
      </w:r>
      <w:r w:rsidRPr="00792884">
        <w:rPr>
          <w:bCs/>
          <w:color w:val="000000"/>
          <w:sz w:val="20"/>
          <w:szCs w:val="20"/>
        </w:rPr>
        <w:t xml:space="preserve">TXB2 Enzyme Immunoassay (EIA) Kit from Cayman Chemical (Catalogue number </w:t>
      </w:r>
      <w:r w:rsidRPr="00792884">
        <w:rPr>
          <w:color w:val="000000"/>
          <w:sz w:val="20"/>
          <w:szCs w:val="20"/>
        </w:rPr>
        <w:t xml:space="preserve">519031, US$242/96 wells, Cayman Chemical, </w:t>
      </w:r>
      <w:r w:rsidRPr="00792884">
        <w:rPr>
          <w:sz w:val="20"/>
          <w:szCs w:val="20"/>
        </w:rPr>
        <w:t>Ann Arbor, Michigan, USA).</w:t>
      </w:r>
      <w:r w:rsidRPr="00792884">
        <w:rPr>
          <w:color w:val="000000"/>
          <w:sz w:val="20"/>
          <w:szCs w:val="20"/>
        </w:rPr>
        <w:t xml:space="preserve"> The protocol of the measurement is followed by the company’s introduction (</w:t>
      </w:r>
      <w:r w:rsidRPr="00792884">
        <w:rPr>
          <w:sz w:val="20"/>
          <w:szCs w:val="20"/>
        </w:rPr>
        <w:t xml:space="preserve">Cayman Chemical TXB2, 2006). </w:t>
      </w:r>
      <w:r w:rsidRPr="00792884">
        <w:rPr>
          <w:color w:val="000000"/>
          <w:sz w:val="20"/>
          <w:szCs w:val="20"/>
        </w:rPr>
        <w:t xml:space="preserve">Also, measurement of TXB2 metabolites such as 11-dehydro TXB2 and 2,3-dinor TXB2 (Catalog No. 519051, Cayman Chemical, </w:t>
      </w:r>
      <w:r w:rsidRPr="00792884">
        <w:rPr>
          <w:sz w:val="20"/>
          <w:szCs w:val="20"/>
        </w:rPr>
        <w:t>Ann Arbor, Michigan, USA</w:t>
      </w:r>
      <w:r w:rsidRPr="00792884">
        <w:rPr>
          <w:color w:val="000000"/>
          <w:sz w:val="20"/>
          <w:szCs w:val="20"/>
        </w:rPr>
        <w:t xml:space="preserve">) in urine and plasma may give better estimates of in vivo TXA2 production. TXB2 measurement is better suited towards samples that are not expected to undergo extensive metabolism such as </w:t>
      </w:r>
      <w:proofErr w:type="spellStart"/>
      <w:r w:rsidRPr="00792884">
        <w:rPr>
          <w:color w:val="000000"/>
          <w:sz w:val="20"/>
          <w:szCs w:val="20"/>
        </w:rPr>
        <w:t>perfusates</w:t>
      </w:r>
      <w:proofErr w:type="spellEnd"/>
      <w:r w:rsidRPr="00792884">
        <w:rPr>
          <w:color w:val="000000"/>
          <w:sz w:val="20"/>
          <w:szCs w:val="20"/>
        </w:rPr>
        <w:t xml:space="preserve">, </w:t>
      </w:r>
      <w:proofErr w:type="spellStart"/>
      <w:r w:rsidRPr="00792884">
        <w:rPr>
          <w:color w:val="000000"/>
          <w:sz w:val="20"/>
          <w:szCs w:val="20"/>
        </w:rPr>
        <w:t>lavage</w:t>
      </w:r>
      <w:proofErr w:type="spellEnd"/>
      <w:r w:rsidRPr="00792884">
        <w:rPr>
          <w:color w:val="000000"/>
          <w:sz w:val="20"/>
          <w:szCs w:val="20"/>
        </w:rPr>
        <w:t xml:space="preserve"> samples, tissue/cell culture, etc. </w:t>
      </w:r>
    </w:p>
    <w:p w:rsidR="00C46F3B" w:rsidRPr="00792884" w:rsidRDefault="00C46F3B" w:rsidP="00C46F3B">
      <w:pPr>
        <w:ind w:firstLine="720"/>
        <w:jc w:val="both"/>
        <w:rPr>
          <w:sz w:val="20"/>
          <w:szCs w:val="20"/>
        </w:rPr>
      </w:pPr>
      <w:r w:rsidRPr="00792884">
        <w:rPr>
          <w:sz w:val="20"/>
          <w:szCs w:val="20"/>
        </w:rPr>
        <w:t xml:space="preserve">Partial </w:t>
      </w:r>
      <w:proofErr w:type="spellStart"/>
      <w:r w:rsidRPr="00792884">
        <w:rPr>
          <w:sz w:val="20"/>
          <w:szCs w:val="20"/>
        </w:rPr>
        <w:t>ureteral</w:t>
      </w:r>
      <w:proofErr w:type="spellEnd"/>
      <w:r w:rsidRPr="00792884">
        <w:rPr>
          <w:sz w:val="20"/>
          <w:szCs w:val="20"/>
        </w:rPr>
        <w:t xml:space="preserve"> obstruction (PUO) produces a well documented </w:t>
      </w:r>
      <w:proofErr w:type="spellStart"/>
      <w:r w:rsidRPr="00792884">
        <w:rPr>
          <w:sz w:val="20"/>
          <w:szCs w:val="20"/>
        </w:rPr>
        <w:t>triphasic</w:t>
      </w:r>
      <w:proofErr w:type="spellEnd"/>
      <w:r w:rsidRPr="00792884">
        <w:rPr>
          <w:sz w:val="20"/>
          <w:szCs w:val="20"/>
        </w:rPr>
        <w:t xml:space="preserve"> response in the renal </w:t>
      </w:r>
      <w:proofErr w:type="spellStart"/>
      <w:r w:rsidRPr="00792884">
        <w:rPr>
          <w:sz w:val="20"/>
          <w:szCs w:val="20"/>
        </w:rPr>
        <w:t>hemodynamics</w:t>
      </w:r>
      <w:proofErr w:type="spellEnd"/>
      <w:r w:rsidRPr="00792884">
        <w:rPr>
          <w:sz w:val="20"/>
          <w:szCs w:val="20"/>
        </w:rPr>
        <w:t xml:space="preserve">. This response is characterized by an early increase in renal blood flow, following by a decrease to approach the baseline level, and later progressive profound renal ischemia. </w:t>
      </w:r>
    </w:p>
    <w:p w:rsidR="00E0260F" w:rsidRDefault="00E0260F" w:rsidP="008912F4">
      <w:pPr>
        <w:jc w:val="both"/>
        <w:rPr>
          <w:sz w:val="20"/>
          <w:szCs w:val="20"/>
        </w:rPr>
      </w:pPr>
    </w:p>
    <w:p w:rsidR="00355382" w:rsidRDefault="00355382" w:rsidP="008912F4">
      <w:pPr>
        <w:jc w:val="both"/>
        <w:rPr>
          <w:sz w:val="20"/>
          <w:szCs w:val="20"/>
        </w:rPr>
      </w:pPr>
    </w:p>
    <w:p w:rsidR="00355382" w:rsidRPr="00792884" w:rsidRDefault="00355382" w:rsidP="008912F4">
      <w:pPr>
        <w:jc w:val="both"/>
        <w:rPr>
          <w:sz w:val="20"/>
          <w:szCs w:val="20"/>
        </w:rPr>
      </w:pPr>
    </w:p>
    <w:p w:rsidR="00CC6222" w:rsidRPr="00792884" w:rsidRDefault="00CC6222" w:rsidP="008912F4">
      <w:pPr>
        <w:pStyle w:val="abbreviations"/>
        <w:spacing w:before="0" w:beforeAutospacing="0" w:after="0" w:afterAutospacing="0"/>
        <w:jc w:val="both"/>
        <w:rPr>
          <w:b/>
          <w:sz w:val="20"/>
          <w:szCs w:val="20"/>
        </w:rPr>
      </w:pPr>
      <w:r w:rsidRPr="00792884">
        <w:rPr>
          <w:b/>
          <w:sz w:val="20"/>
          <w:szCs w:val="20"/>
        </w:rPr>
        <w:lastRenderedPageBreak/>
        <w:t>References</w:t>
      </w:r>
    </w:p>
    <w:p w:rsidR="00E0260F" w:rsidRPr="00792884" w:rsidRDefault="00E0260F" w:rsidP="00E0260F">
      <w:pPr>
        <w:pStyle w:val="abbreviations"/>
        <w:numPr>
          <w:ilvl w:val="0"/>
          <w:numId w:val="5"/>
        </w:numPr>
        <w:spacing w:before="0" w:beforeAutospacing="0" w:after="0" w:afterAutospacing="0"/>
        <w:ind w:left="567" w:hanging="567"/>
        <w:jc w:val="both"/>
        <w:rPr>
          <w:sz w:val="20"/>
          <w:szCs w:val="20"/>
        </w:rPr>
      </w:pPr>
      <w:r w:rsidRPr="00792884">
        <w:rPr>
          <w:rStyle w:val="Strong"/>
          <w:b w:val="0"/>
          <w:sz w:val="20"/>
          <w:szCs w:val="20"/>
        </w:rPr>
        <w:t xml:space="preserve">Atsushi </w:t>
      </w:r>
      <w:proofErr w:type="spellStart"/>
      <w:r w:rsidRPr="00792884">
        <w:rPr>
          <w:rStyle w:val="Strong"/>
          <w:b w:val="0"/>
          <w:sz w:val="20"/>
          <w:szCs w:val="20"/>
        </w:rPr>
        <w:t>Jinno-Oue</w:t>
      </w:r>
      <w:proofErr w:type="spellEnd"/>
      <w:r w:rsidRPr="00792884">
        <w:rPr>
          <w:rStyle w:val="Strong"/>
          <w:b w:val="0"/>
          <w:sz w:val="20"/>
          <w:szCs w:val="20"/>
        </w:rPr>
        <w:t xml:space="preserve">, Susan G. Wilt, Charlotte Hanson, Natalie V. </w:t>
      </w:r>
      <w:proofErr w:type="spellStart"/>
      <w:r w:rsidRPr="00792884">
        <w:rPr>
          <w:rStyle w:val="Strong"/>
          <w:b w:val="0"/>
          <w:sz w:val="20"/>
          <w:szCs w:val="20"/>
        </w:rPr>
        <w:t>Dugger</w:t>
      </w:r>
      <w:proofErr w:type="spellEnd"/>
      <w:r w:rsidRPr="00792884">
        <w:rPr>
          <w:rStyle w:val="Strong"/>
          <w:b w:val="0"/>
          <w:sz w:val="20"/>
          <w:szCs w:val="20"/>
        </w:rPr>
        <w:t xml:space="preserve">, Paul M. Hoffman, Michiaki Masuda, Sandra K. </w:t>
      </w:r>
      <w:proofErr w:type="spellStart"/>
      <w:r w:rsidRPr="00792884">
        <w:rPr>
          <w:rStyle w:val="Strong"/>
          <w:b w:val="0"/>
          <w:sz w:val="20"/>
          <w:szCs w:val="20"/>
        </w:rPr>
        <w:t>Ruscetti</w:t>
      </w:r>
      <w:proofErr w:type="spellEnd"/>
      <w:r w:rsidRPr="00792884">
        <w:rPr>
          <w:rStyle w:val="Strong"/>
          <w:b w:val="0"/>
          <w:sz w:val="20"/>
          <w:szCs w:val="20"/>
        </w:rPr>
        <w:t xml:space="preserve">. </w:t>
      </w:r>
      <w:r w:rsidRPr="00792884">
        <w:rPr>
          <w:sz w:val="20"/>
          <w:szCs w:val="20"/>
        </w:rPr>
        <w:t>Journal of Virology, 2003;77(9):5145-5151.</w:t>
      </w:r>
    </w:p>
    <w:p w:rsidR="00E0260F" w:rsidRPr="00E0260F" w:rsidRDefault="00E0260F" w:rsidP="00E0260F">
      <w:pPr>
        <w:pStyle w:val="ListParagraph"/>
        <w:numPr>
          <w:ilvl w:val="0"/>
          <w:numId w:val="5"/>
        </w:numPr>
        <w:ind w:left="567" w:hanging="567"/>
        <w:jc w:val="both"/>
        <w:rPr>
          <w:sz w:val="20"/>
          <w:szCs w:val="20"/>
        </w:rPr>
      </w:pPr>
      <w:proofErr w:type="spellStart"/>
      <w:r w:rsidRPr="00E0260F">
        <w:rPr>
          <w:sz w:val="20"/>
          <w:szCs w:val="20"/>
        </w:rPr>
        <w:t>Cavar</w:t>
      </w:r>
      <w:proofErr w:type="spellEnd"/>
      <w:r w:rsidRPr="00E0260F">
        <w:rPr>
          <w:sz w:val="20"/>
          <w:szCs w:val="20"/>
        </w:rPr>
        <w:t xml:space="preserve"> I (2011). "Anti-</w:t>
      </w:r>
      <w:proofErr w:type="spellStart"/>
      <w:r w:rsidRPr="00E0260F">
        <w:rPr>
          <w:sz w:val="20"/>
          <w:szCs w:val="20"/>
        </w:rPr>
        <w:t>thromboxane</w:t>
      </w:r>
      <w:proofErr w:type="spellEnd"/>
      <w:r w:rsidRPr="00E0260F">
        <w:rPr>
          <w:sz w:val="20"/>
          <w:szCs w:val="20"/>
        </w:rPr>
        <w:t xml:space="preserve"> B2 antibodies protect against acetaminophen-induced liver injury in mice". Journal of </w:t>
      </w:r>
      <w:proofErr w:type="spellStart"/>
      <w:r w:rsidRPr="00E0260F">
        <w:rPr>
          <w:sz w:val="20"/>
          <w:szCs w:val="20"/>
        </w:rPr>
        <w:t>Xenobiotics</w:t>
      </w:r>
      <w:proofErr w:type="spellEnd"/>
      <w:r w:rsidRPr="00E0260F">
        <w:rPr>
          <w:sz w:val="20"/>
          <w:szCs w:val="20"/>
        </w:rPr>
        <w:t xml:space="preserve"> 1 (1): 38–44. doi:10.4081/xeno.2011.e8.</w:t>
      </w:r>
    </w:p>
    <w:p w:rsidR="00E0260F" w:rsidRPr="00E0260F" w:rsidRDefault="00E0260F" w:rsidP="00E0260F">
      <w:pPr>
        <w:pStyle w:val="ListParagraph"/>
        <w:numPr>
          <w:ilvl w:val="0"/>
          <w:numId w:val="5"/>
        </w:numPr>
        <w:ind w:left="567" w:hanging="567"/>
        <w:jc w:val="both"/>
        <w:rPr>
          <w:sz w:val="20"/>
          <w:szCs w:val="20"/>
        </w:rPr>
      </w:pPr>
      <w:proofErr w:type="spellStart"/>
      <w:r w:rsidRPr="00E0260F">
        <w:rPr>
          <w:sz w:val="20"/>
          <w:szCs w:val="20"/>
        </w:rPr>
        <w:t>Coxib</w:t>
      </w:r>
      <w:proofErr w:type="spellEnd"/>
      <w:r w:rsidRPr="00E0260F">
        <w:rPr>
          <w:sz w:val="20"/>
          <w:szCs w:val="20"/>
        </w:rPr>
        <w:t xml:space="preserve"> and traditional NSAID </w:t>
      </w:r>
      <w:proofErr w:type="spellStart"/>
      <w:r w:rsidRPr="00E0260F">
        <w:rPr>
          <w:sz w:val="20"/>
          <w:szCs w:val="20"/>
        </w:rPr>
        <w:t>Trialists</w:t>
      </w:r>
      <w:proofErr w:type="spellEnd"/>
      <w:r w:rsidRPr="00E0260F">
        <w:rPr>
          <w:sz w:val="20"/>
          <w:szCs w:val="20"/>
        </w:rPr>
        <w:t xml:space="preserve">' (CNT) Collaboration (30 May 2013). "Vascular and upper gastrointestinal effects of non-steroidal anti-inflammatory drugs: meta-analyses of individual participant data from </w:t>
      </w:r>
      <w:proofErr w:type="spellStart"/>
      <w:r w:rsidRPr="00E0260F">
        <w:rPr>
          <w:sz w:val="20"/>
          <w:szCs w:val="20"/>
        </w:rPr>
        <w:t>randomised</w:t>
      </w:r>
      <w:proofErr w:type="spellEnd"/>
      <w:r w:rsidRPr="00E0260F">
        <w:rPr>
          <w:sz w:val="20"/>
          <w:szCs w:val="20"/>
        </w:rPr>
        <w:t xml:space="preserve"> trials". Lancet, Early On-line Publication 382 (9894): 769–79. doi:10.1016/S0140-6736(13)60900-9. PMC 3778977. PMID 23726390.</w:t>
      </w:r>
    </w:p>
    <w:p w:rsidR="00E0260F" w:rsidRPr="00E0260F" w:rsidRDefault="00E0260F" w:rsidP="00E0260F">
      <w:pPr>
        <w:pStyle w:val="ListParagraph"/>
        <w:numPr>
          <w:ilvl w:val="0"/>
          <w:numId w:val="5"/>
        </w:numPr>
        <w:ind w:left="567" w:hanging="567"/>
        <w:jc w:val="both"/>
        <w:rPr>
          <w:sz w:val="20"/>
          <w:szCs w:val="20"/>
        </w:rPr>
      </w:pPr>
      <w:proofErr w:type="spellStart"/>
      <w:r w:rsidRPr="00E0260F">
        <w:rPr>
          <w:sz w:val="20"/>
          <w:szCs w:val="20"/>
        </w:rPr>
        <w:t>Dockens</w:t>
      </w:r>
      <w:proofErr w:type="spellEnd"/>
      <w:r w:rsidRPr="00E0260F">
        <w:rPr>
          <w:sz w:val="20"/>
          <w:szCs w:val="20"/>
        </w:rPr>
        <w:t xml:space="preserve">, RC; </w:t>
      </w:r>
      <w:proofErr w:type="spellStart"/>
      <w:r w:rsidRPr="00E0260F">
        <w:rPr>
          <w:sz w:val="20"/>
          <w:szCs w:val="20"/>
        </w:rPr>
        <w:t>Santone</w:t>
      </w:r>
      <w:proofErr w:type="spellEnd"/>
      <w:r w:rsidRPr="00E0260F">
        <w:rPr>
          <w:sz w:val="20"/>
          <w:szCs w:val="20"/>
        </w:rPr>
        <w:t xml:space="preserve">, KS; </w:t>
      </w:r>
      <w:proofErr w:type="spellStart"/>
      <w:r w:rsidRPr="00E0260F">
        <w:rPr>
          <w:sz w:val="20"/>
          <w:szCs w:val="20"/>
        </w:rPr>
        <w:t>Mitroka</w:t>
      </w:r>
      <w:proofErr w:type="spellEnd"/>
      <w:r w:rsidRPr="00E0260F">
        <w:rPr>
          <w:sz w:val="20"/>
          <w:szCs w:val="20"/>
        </w:rPr>
        <w:t xml:space="preserve">, JG; Morrison, RA; </w:t>
      </w:r>
      <w:proofErr w:type="spellStart"/>
      <w:r w:rsidRPr="00E0260F">
        <w:rPr>
          <w:sz w:val="20"/>
          <w:szCs w:val="20"/>
        </w:rPr>
        <w:t>Jemal</w:t>
      </w:r>
      <w:proofErr w:type="spellEnd"/>
      <w:r w:rsidRPr="00E0260F">
        <w:rPr>
          <w:sz w:val="20"/>
          <w:szCs w:val="20"/>
        </w:rPr>
        <w:t xml:space="preserve">, M; Greene, DS; </w:t>
      </w:r>
      <w:proofErr w:type="spellStart"/>
      <w:r w:rsidRPr="00E0260F">
        <w:rPr>
          <w:sz w:val="20"/>
          <w:szCs w:val="20"/>
        </w:rPr>
        <w:t>Barbhaiya</w:t>
      </w:r>
      <w:proofErr w:type="spellEnd"/>
      <w:r w:rsidRPr="00E0260F">
        <w:rPr>
          <w:sz w:val="20"/>
          <w:szCs w:val="20"/>
        </w:rPr>
        <w:t xml:space="preserve">, RH (Aug 2000). "Disposition of </w:t>
      </w:r>
      <w:proofErr w:type="spellStart"/>
      <w:r w:rsidRPr="00E0260F">
        <w:rPr>
          <w:sz w:val="20"/>
          <w:szCs w:val="20"/>
        </w:rPr>
        <w:t>radiolabeled</w:t>
      </w:r>
      <w:proofErr w:type="spellEnd"/>
      <w:r w:rsidRPr="00E0260F">
        <w:rPr>
          <w:sz w:val="20"/>
          <w:szCs w:val="20"/>
        </w:rPr>
        <w:t xml:space="preserve"> </w:t>
      </w:r>
      <w:proofErr w:type="spellStart"/>
      <w:r w:rsidRPr="00E0260F">
        <w:rPr>
          <w:sz w:val="20"/>
          <w:szCs w:val="20"/>
        </w:rPr>
        <w:t>ifetroban</w:t>
      </w:r>
      <w:proofErr w:type="spellEnd"/>
      <w:r w:rsidRPr="00E0260F">
        <w:rPr>
          <w:sz w:val="20"/>
          <w:szCs w:val="20"/>
        </w:rPr>
        <w:t xml:space="preserve"> in rats, dogs, monkeys, and humans.". Drug metabolism and disposition: the biological fate of chemicals 28 (8): 973–80. PMID 10901709.</w:t>
      </w:r>
    </w:p>
    <w:p w:rsidR="00E0260F" w:rsidRPr="00792884" w:rsidRDefault="00E0260F" w:rsidP="00E0260F">
      <w:pPr>
        <w:pStyle w:val="abbreviations"/>
        <w:numPr>
          <w:ilvl w:val="0"/>
          <w:numId w:val="5"/>
        </w:numPr>
        <w:spacing w:before="0" w:beforeAutospacing="0" w:after="0" w:afterAutospacing="0"/>
        <w:ind w:left="567" w:hanging="567"/>
        <w:jc w:val="both"/>
        <w:rPr>
          <w:sz w:val="20"/>
          <w:szCs w:val="20"/>
        </w:rPr>
      </w:pPr>
      <w:proofErr w:type="spellStart"/>
      <w:r w:rsidRPr="00792884">
        <w:rPr>
          <w:bCs/>
          <w:sz w:val="20"/>
          <w:szCs w:val="20"/>
        </w:rPr>
        <w:t>Galea</w:t>
      </w:r>
      <w:proofErr w:type="spellEnd"/>
      <w:r w:rsidRPr="00792884">
        <w:rPr>
          <w:bCs/>
          <w:sz w:val="20"/>
          <w:szCs w:val="20"/>
        </w:rPr>
        <w:t>, E., D. L. Feinstein, and D. L. Reis.</w:t>
      </w:r>
      <w:r w:rsidRPr="00792884">
        <w:rPr>
          <w:sz w:val="20"/>
          <w:szCs w:val="20"/>
        </w:rPr>
        <w:t xml:space="preserve"> Induction of calcium-independent nitric oxide synthase activity in primary rat glial cultures. Proc. Natl. Acad. Sci. USA 1992;</w:t>
      </w:r>
      <w:r w:rsidRPr="00792884">
        <w:rPr>
          <w:bCs/>
          <w:sz w:val="20"/>
          <w:szCs w:val="20"/>
        </w:rPr>
        <w:t>89:</w:t>
      </w:r>
      <w:r w:rsidRPr="00792884">
        <w:rPr>
          <w:sz w:val="20"/>
          <w:szCs w:val="20"/>
        </w:rPr>
        <w:t>10945-10949.</w:t>
      </w:r>
    </w:p>
    <w:p w:rsidR="00E0260F" w:rsidRPr="00E0260F" w:rsidRDefault="00E24596" w:rsidP="00E0260F">
      <w:pPr>
        <w:pStyle w:val="ListParagraph"/>
        <w:numPr>
          <w:ilvl w:val="0"/>
          <w:numId w:val="5"/>
        </w:numPr>
        <w:ind w:left="567" w:hanging="567"/>
        <w:jc w:val="both"/>
        <w:rPr>
          <w:sz w:val="20"/>
          <w:szCs w:val="20"/>
        </w:rPr>
      </w:pPr>
      <w:hyperlink r:id="rId23" w:history="1">
        <w:r w:rsidR="00E0260F" w:rsidRPr="00E0260F">
          <w:rPr>
            <w:rStyle w:val="Hyperlink"/>
            <w:sz w:val="20"/>
            <w:szCs w:val="20"/>
          </w:rPr>
          <w:t>http://www.medicinenet.com/script/main/art.asp?articlekey=32482</w:t>
        </w:r>
      </w:hyperlink>
      <w:r w:rsidR="00E0260F" w:rsidRPr="00E0260F">
        <w:rPr>
          <w:sz w:val="20"/>
          <w:szCs w:val="20"/>
        </w:rPr>
        <w:t xml:space="preserve">. </w:t>
      </w:r>
    </w:p>
    <w:p w:rsidR="00E0260F" w:rsidRPr="00E0260F" w:rsidRDefault="00E24596" w:rsidP="00E0260F">
      <w:pPr>
        <w:pStyle w:val="ListParagraph"/>
        <w:numPr>
          <w:ilvl w:val="0"/>
          <w:numId w:val="5"/>
        </w:numPr>
        <w:ind w:left="567" w:hanging="567"/>
        <w:jc w:val="both"/>
        <w:rPr>
          <w:sz w:val="20"/>
          <w:szCs w:val="20"/>
        </w:rPr>
      </w:pPr>
      <w:hyperlink r:id="rId24" w:history="1">
        <w:r w:rsidR="00E0260F" w:rsidRPr="00E0260F">
          <w:rPr>
            <w:rStyle w:val="Hyperlink"/>
            <w:sz w:val="20"/>
            <w:szCs w:val="20"/>
          </w:rPr>
          <w:t>http://www.medicinenet.com/script/main/art.asp?articlekey=32482</w:t>
        </w:r>
      </w:hyperlink>
      <w:r w:rsidR="00E0260F" w:rsidRPr="00E0260F">
        <w:rPr>
          <w:sz w:val="20"/>
          <w:szCs w:val="20"/>
        </w:rPr>
        <w:t xml:space="preserve">. </w:t>
      </w:r>
    </w:p>
    <w:p w:rsidR="00E0260F" w:rsidRPr="00E0260F" w:rsidRDefault="00E0260F" w:rsidP="00E0260F">
      <w:pPr>
        <w:pStyle w:val="ListParagraph"/>
        <w:numPr>
          <w:ilvl w:val="0"/>
          <w:numId w:val="5"/>
        </w:numPr>
        <w:ind w:left="567" w:hanging="567"/>
        <w:jc w:val="both"/>
        <w:rPr>
          <w:sz w:val="20"/>
          <w:szCs w:val="20"/>
        </w:rPr>
      </w:pPr>
      <w:r w:rsidRPr="00E0260F">
        <w:rPr>
          <w:sz w:val="20"/>
          <w:szCs w:val="20"/>
        </w:rPr>
        <w:t xml:space="preserve">Ito Y (2003). "Effects of selective </w:t>
      </w:r>
      <w:proofErr w:type="spellStart"/>
      <w:r w:rsidRPr="00E0260F">
        <w:rPr>
          <w:sz w:val="20"/>
          <w:szCs w:val="20"/>
        </w:rPr>
        <w:t>cyclooxygenase</w:t>
      </w:r>
      <w:proofErr w:type="spellEnd"/>
      <w:r w:rsidRPr="00E0260F">
        <w:rPr>
          <w:sz w:val="20"/>
          <w:szCs w:val="20"/>
        </w:rPr>
        <w:t xml:space="preserve"> inhibitors on ischemia/reperfusion-induced hepatic microcirculatory dysfunction in mice". </w:t>
      </w:r>
      <w:proofErr w:type="spellStart"/>
      <w:r w:rsidRPr="00E0260F">
        <w:rPr>
          <w:sz w:val="20"/>
          <w:szCs w:val="20"/>
        </w:rPr>
        <w:t>Eur</w:t>
      </w:r>
      <w:proofErr w:type="spellEnd"/>
      <w:r w:rsidRPr="00E0260F">
        <w:rPr>
          <w:sz w:val="20"/>
          <w:szCs w:val="20"/>
        </w:rPr>
        <w:t xml:space="preserve"> </w:t>
      </w:r>
      <w:proofErr w:type="spellStart"/>
      <w:r w:rsidRPr="00E0260F">
        <w:rPr>
          <w:sz w:val="20"/>
          <w:szCs w:val="20"/>
        </w:rPr>
        <w:t>Surg</w:t>
      </w:r>
      <w:proofErr w:type="spellEnd"/>
      <w:r w:rsidRPr="00E0260F">
        <w:rPr>
          <w:sz w:val="20"/>
          <w:szCs w:val="20"/>
        </w:rPr>
        <w:t xml:space="preserve"> Res 35 (5): 408–16. doi:10.1159/000072174. PMID 12928598.</w:t>
      </w:r>
    </w:p>
    <w:p w:rsidR="00E0260F" w:rsidRPr="00E0260F" w:rsidRDefault="00E0260F" w:rsidP="00E0260F">
      <w:pPr>
        <w:pStyle w:val="ListParagraph"/>
        <w:numPr>
          <w:ilvl w:val="0"/>
          <w:numId w:val="5"/>
        </w:numPr>
        <w:ind w:left="567" w:hanging="567"/>
        <w:jc w:val="both"/>
        <w:rPr>
          <w:sz w:val="20"/>
          <w:szCs w:val="20"/>
        </w:rPr>
      </w:pPr>
      <w:proofErr w:type="spellStart"/>
      <w:r w:rsidRPr="00E0260F">
        <w:rPr>
          <w:sz w:val="20"/>
          <w:szCs w:val="20"/>
        </w:rPr>
        <w:t>Katagiri</w:t>
      </w:r>
      <w:proofErr w:type="spellEnd"/>
      <w:r w:rsidRPr="00E0260F">
        <w:rPr>
          <w:sz w:val="20"/>
          <w:szCs w:val="20"/>
        </w:rPr>
        <w:t xml:space="preserve"> H (2004). "Role of </w:t>
      </w:r>
      <w:proofErr w:type="spellStart"/>
      <w:r w:rsidRPr="00E0260F">
        <w:rPr>
          <w:sz w:val="20"/>
          <w:szCs w:val="20"/>
        </w:rPr>
        <w:t>thromboxane</w:t>
      </w:r>
      <w:proofErr w:type="spellEnd"/>
      <w:r w:rsidRPr="00E0260F">
        <w:rPr>
          <w:sz w:val="20"/>
          <w:szCs w:val="20"/>
        </w:rPr>
        <w:t xml:space="preserve"> derived from COX-1 and -2 in hepatic microcirculatory dysfunction during </w:t>
      </w:r>
      <w:proofErr w:type="spellStart"/>
      <w:r w:rsidRPr="00E0260F">
        <w:rPr>
          <w:sz w:val="20"/>
          <w:szCs w:val="20"/>
        </w:rPr>
        <w:t>endotoxemia</w:t>
      </w:r>
      <w:proofErr w:type="spellEnd"/>
      <w:r w:rsidRPr="00E0260F">
        <w:rPr>
          <w:sz w:val="20"/>
          <w:szCs w:val="20"/>
        </w:rPr>
        <w:t xml:space="preserve"> in mice". </w:t>
      </w:r>
      <w:proofErr w:type="spellStart"/>
      <w:r w:rsidRPr="00E0260F">
        <w:rPr>
          <w:sz w:val="20"/>
          <w:szCs w:val="20"/>
        </w:rPr>
        <w:t>Hepatology</w:t>
      </w:r>
      <w:proofErr w:type="spellEnd"/>
      <w:r w:rsidRPr="00E0260F">
        <w:rPr>
          <w:sz w:val="20"/>
          <w:szCs w:val="20"/>
        </w:rPr>
        <w:t xml:space="preserve"> 39 (1): 139–150. doi:10.1002/hep.20000. PMID 14752832.</w:t>
      </w:r>
    </w:p>
    <w:p w:rsidR="00E0260F" w:rsidRPr="00090FF6" w:rsidRDefault="00E0260F" w:rsidP="00E0260F">
      <w:pPr>
        <w:numPr>
          <w:ilvl w:val="0"/>
          <w:numId w:val="5"/>
        </w:numPr>
        <w:ind w:left="567" w:hanging="567"/>
        <w:jc w:val="both"/>
        <w:rPr>
          <w:b/>
          <w:sz w:val="20"/>
          <w:szCs w:val="20"/>
        </w:rPr>
      </w:pPr>
      <w:r w:rsidRPr="00090FF6">
        <w:rPr>
          <w:sz w:val="20"/>
          <w:szCs w:val="20"/>
        </w:rPr>
        <w:t>Ma H</w:t>
      </w:r>
      <w:r w:rsidRPr="00090FF6">
        <w:rPr>
          <w:rStyle w:val="Emphasis"/>
          <w:sz w:val="20"/>
          <w:szCs w:val="20"/>
        </w:rPr>
        <w:t>, Chen G</w:t>
      </w:r>
      <w:r w:rsidRPr="00090FF6">
        <w:rPr>
          <w:sz w:val="20"/>
          <w:szCs w:val="20"/>
        </w:rPr>
        <w:t>. Stem cell. The Journal of American Science 2005;1(2):90-92.</w:t>
      </w:r>
    </w:p>
    <w:p w:rsidR="00E0260F" w:rsidRPr="00090FF6" w:rsidRDefault="00E0260F" w:rsidP="00E0260F">
      <w:pPr>
        <w:numPr>
          <w:ilvl w:val="0"/>
          <w:numId w:val="5"/>
        </w:numPr>
        <w:ind w:left="567" w:hanging="567"/>
        <w:jc w:val="both"/>
        <w:rPr>
          <w:rStyle w:val="Emphasis"/>
          <w:i w:val="0"/>
          <w:iCs w:val="0"/>
          <w:sz w:val="20"/>
          <w:szCs w:val="20"/>
        </w:rPr>
      </w:pPr>
      <w:r w:rsidRPr="00090FF6">
        <w:rPr>
          <w:sz w:val="20"/>
          <w:szCs w:val="20"/>
        </w:rPr>
        <w:lastRenderedPageBreak/>
        <w:t xml:space="preserve">Ma H, </w:t>
      </w:r>
      <w:proofErr w:type="spellStart"/>
      <w:r w:rsidRPr="00090FF6">
        <w:rPr>
          <w:snapToGrid w:val="0"/>
          <w:sz w:val="20"/>
          <w:szCs w:val="20"/>
        </w:rPr>
        <w:t>Cherng</w:t>
      </w:r>
      <w:proofErr w:type="spellEnd"/>
      <w:r w:rsidRPr="00090FF6">
        <w:rPr>
          <w:snapToGrid w:val="0"/>
          <w:sz w:val="20"/>
          <w:szCs w:val="20"/>
        </w:rPr>
        <w:t xml:space="preserve"> S. </w:t>
      </w:r>
      <w:r w:rsidRPr="00090FF6">
        <w:rPr>
          <w:rStyle w:val="Emphasis"/>
          <w:sz w:val="20"/>
          <w:szCs w:val="20"/>
        </w:rPr>
        <w:t xml:space="preserve">Eternal Life and Stem Cell. </w:t>
      </w:r>
      <w:r w:rsidRPr="00090FF6">
        <w:rPr>
          <w:sz w:val="20"/>
          <w:szCs w:val="20"/>
        </w:rPr>
        <w:t xml:space="preserve">Nature and Science. 2007;5(1):81-96. </w:t>
      </w:r>
    </w:p>
    <w:p w:rsidR="00E0260F" w:rsidRPr="00090FF6" w:rsidRDefault="00E0260F" w:rsidP="00E0260F">
      <w:pPr>
        <w:numPr>
          <w:ilvl w:val="0"/>
          <w:numId w:val="5"/>
        </w:numPr>
        <w:autoSpaceDE w:val="0"/>
        <w:autoSpaceDN w:val="0"/>
        <w:adjustRightInd w:val="0"/>
        <w:ind w:left="567" w:hanging="567"/>
        <w:jc w:val="both"/>
        <w:rPr>
          <w:sz w:val="20"/>
          <w:szCs w:val="20"/>
        </w:rPr>
      </w:pPr>
      <w:r w:rsidRPr="00090FF6">
        <w:rPr>
          <w:sz w:val="20"/>
          <w:szCs w:val="20"/>
        </w:rPr>
        <w:t xml:space="preserve">Ma H, </w:t>
      </w:r>
      <w:proofErr w:type="spellStart"/>
      <w:r w:rsidRPr="00090FF6">
        <w:rPr>
          <w:sz w:val="20"/>
          <w:szCs w:val="20"/>
        </w:rPr>
        <w:t>Cherng</w:t>
      </w:r>
      <w:proofErr w:type="spellEnd"/>
      <w:r w:rsidRPr="00090FF6">
        <w:rPr>
          <w:sz w:val="20"/>
          <w:szCs w:val="20"/>
        </w:rPr>
        <w:t xml:space="preserve"> S. Nature of Life. Life Science Journal 2005;2(1):7 - 15.</w:t>
      </w:r>
    </w:p>
    <w:p w:rsidR="00E0260F" w:rsidRPr="00090FF6" w:rsidRDefault="00E0260F" w:rsidP="00E0260F">
      <w:pPr>
        <w:pStyle w:val="Heading19"/>
        <w:numPr>
          <w:ilvl w:val="0"/>
          <w:numId w:val="5"/>
        </w:numPr>
        <w:spacing w:line="240" w:lineRule="auto"/>
        <w:ind w:left="567" w:hanging="567"/>
        <w:jc w:val="both"/>
        <w:rPr>
          <w:color w:val="000000"/>
          <w:sz w:val="20"/>
          <w:szCs w:val="20"/>
        </w:rPr>
      </w:pPr>
      <w:r w:rsidRPr="00090FF6">
        <w:rPr>
          <w:color w:val="000000"/>
          <w:sz w:val="20"/>
          <w:szCs w:val="20"/>
        </w:rPr>
        <w:t xml:space="preserve">Ma H, Yang Y. </w:t>
      </w:r>
      <w:proofErr w:type="spellStart"/>
      <w:r w:rsidRPr="00090FF6">
        <w:rPr>
          <w:color w:val="000000"/>
          <w:sz w:val="20"/>
          <w:szCs w:val="20"/>
        </w:rPr>
        <w:t>Turritopsis</w:t>
      </w:r>
      <w:proofErr w:type="spellEnd"/>
      <w:r w:rsidRPr="00090FF6">
        <w:rPr>
          <w:color w:val="000000"/>
          <w:sz w:val="20"/>
          <w:szCs w:val="20"/>
        </w:rPr>
        <w:t xml:space="preserve"> </w:t>
      </w:r>
      <w:proofErr w:type="spellStart"/>
      <w:r w:rsidRPr="00090FF6">
        <w:rPr>
          <w:color w:val="000000"/>
          <w:sz w:val="20"/>
          <w:szCs w:val="20"/>
        </w:rPr>
        <w:t>nutricula</w:t>
      </w:r>
      <w:proofErr w:type="spellEnd"/>
      <w:r w:rsidRPr="00090FF6">
        <w:rPr>
          <w:color w:val="000000"/>
          <w:sz w:val="20"/>
          <w:szCs w:val="20"/>
        </w:rPr>
        <w:t xml:space="preserve">. Nature and Science 2010;8(2):15-20. </w:t>
      </w:r>
      <w:hyperlink r:id="rId25" w:history="1">
        <w:r w:rsidRPr="00090FF6">
          <w:rPr>
            <w:rStyle w:val="Hyperlink"/>
            <w:sz w:val="20"/>
            <w:szCs w:val="20"/>
          </w:rPr>
          <w:t>http://www.sciencepub.net/nature/ns0802/03_1279_hongbao_turritopsis_ns0802_15_20.pdf</w:t>
        </w:r>
      </w:hyperlink>
      <w:r w:rsidRPr="00090FF6">
        <w:rPr>
          <w:color w:val="000000"/>
          <w:sz w:val="20"/>
          <w:szCs w:val="20"/>
        </w:rPr>
        <w:t xml:space="preserve">. </w:t>
      </w:r>
    </w:p>
    <w:p w:rsidR="00E0260F" w:rsidRPr="00090FF6" w:rsidRDefault="00E0260F" w:rsidP="00E0260F">
      <w:pPr>
        <w:numPr>
          <w:ilvl w:val="0"/>
          <w:numId w:val="5"/>
        </w:numPr>
        <w:autoSpaceDE w:val="0"/>
        <w:autoSpaceDN w:val="0"/>
        <w:adjustRightInd w:val="0"/>
        <w:ind w:left="567" w:hanging="567"/>
        <w:jc w:val="both"/>
        <w:rPr>
          <w:color w:val="000000"/>
          <w:sz w:val="20"/>
          <w:szCs w:val="20"/>
        </w:rPr>
      </w:pPr>
      <w:r w:rsidRPr="00090FF6">
        <w:rPr>
          <w:sz w:val="20"/>
          <w:szCs w:val="20"/>
        </w:rPr>
        <w:t>Ma H. The Nature of Time and Space. Nature and science 2003;1(1):1-11.Nature and science 2007;5(1):81-96.</w:t>
      </w:r>
    </w:p>
    <w:p w:rsidR="00E0260F" w:rsidRPr="00792884" w:rsidRDefault="00E0260F" w:rsidP="00E0260F">
      <w:pPr>
        <w:pStyle w:val="abbreviations"/>
        <w:numPr>
          <w:ilvl w:val="0"/>
          <w:numId w:val="5"/>
        </w:numPr>
        <w:spacing w:before="0" w:beforeAutospacing="0" w:after="0" w:afterAutospacing="0"/>
        <w:ind w:left="567" w:hanging="567"/>
        <w:jc w:val="both"/>
        <w:rPr>
          <w:sz w:val="20"/>
          <w:szCs w:val="20"/>
        </w:rPr>
      </w:pPr>
      <w:r w:rsidRPr="00792884">
        <w:rPr>
          <w:rStyle w:val="Strong"/>
          <w:b w:val="0"/>
          <w:sz w:val="20"/>
          <w:szCs w:val="20"/>
        </w:rPr>
        <w:t xml:space="preserve">Manish M. </w:t>
      </w:r>
      <w:proofErr w:type="spellStart"/>
      <w:r w:rsidRPr="00792884">
        <w:rPr>
          <w:rStyle w:val="Strong"/>
          <w:b w:val="0"/>
          <w:sz w:val="20"/>
          <w:szCs w:val="20"/>
        </w:rPr>
        <w:t>Tiwari</w:t>
      </w:r>
      <w:proofErr w:type="spellEnd"/>
      <w:r w:rsidRPr="00792884">
        <w:rPr>
          <w:rStyle w:val="Strong"/>
          <w:b w:val="0"/>
          <w:sz w:val="20"/>
          <w:szCs w:val="20"/>
        </w:rPr>
        <w:t xml:space="preserve">, Kurt J. Messer and Philip R. </w:t>
      </w:r>
      <w:proofErr w:type="spellStart"/>
      <w:r w:rsidRPr="00792884">
        <w:rPr>
          <w:rStyle w:val="Strong"/>
          <w:b w:val="0"/>
          <w:sz w:val="20"/>
          <w:szCs w:val="20"/>
        </w:rPr>
        <w:t>Mayeux</w:t>
      </w:r>
      <w:proofErr w:type="spellEnd"/>
      <w:r w:rsidRPr="00792884">
        <w:rPr>
          <w:rStyle w:val="Strong"/>
          <w:b w:val="0"/>
          <w:sz w:val="20"/>
          <w:szCs w:val="20"/>
        </w:rPr>
        <w:t>.</w:t>
      </w:r>
      <w:r w:rsidRPr="00792884">
        <w:rPr>
          <w:rStyle w:val="Strong"/>
          <w:sz w:val="20"/>
          <w:szCs w:val="20"/>
        </w:rPr>
        <w:t xml:space="preserve"> </w:t>
      </w:r>
      <w:r w:rsidRPr="00792884">
        <w:rPr>
          <w:sz w:val="20"/>
          <w:szCs w:val="20"/>
        </w:rPr>
        <w:t xml:space="preserve">Inducible Nitric Oxide Synthase and Apoptosis in Murine Proximal Tubule Epithelial Cells. Toxicological Sciences 2006;91(2):493-500. </w:t>
      </w:r>
    </w:p>
    <w:p w:rsidR="00E0260F" w:rsidRPr="00E0260F" w:rsidRDefault="00E24596" w:rsidP="00E0260F">
      <w:pPr>
        <w:pStyle w:val="ListParagraph"/>
        <w:numPr>
          <w:ilvl w:val="0"/>
          <w:numId w:val="5"/>
        </w:numPr>
        <w:autoSpaceDE w:val="0"/>
        <w:autoSpaceDN w:val="0"/>
        <w:adjustRightInd w:val="0"/>
        <w:ind w:left="567" w:hanging="567"/>
        <w:rPr>
          <w:color w:val="000000"/>
          <w:sz w:val="20"/>
          <w:szCs w:val="20"/>
        </w:rPr>
      </w:pPr>
      <w:hyperlink r:id="rId26" w:history="1">
        <w:r w:rsidR="00E0260F" w:rsidRPr="00E0260F">
          <w:rPr>
            <w:rStyle w:val="Hyperlink3"/>
            <w:color w:val="000000"/>
            <w:sz w:val="20"/>
            <w:szCs w:val="20"/>
            <w:shd w:val="clear" w:color="auto" w:fill="FFFFFF"/>
          </w:rPr>
          <w:t>National Center for Biotechnology Information</w:t>
        </w:r>
      </w:hyperlink>
      <w:r w:rsidR="00E0260F" w:rsidRPr="00E0260F">
        <w:rPr>
          <w:rStyle w:val="url"/>
          <w:color w:val="000000"/>
          <w:sz w:val="20"/>
          <w:szCs w:val="20"/>
        </w:rPr>
        <w:t xml:space="preserve">, </w:t>
      </w:r>
      <w:hyperlink r:id="rId27" w:history="1">
        <w:r w:rsidR="00E0260F" w:rsidRPr="00E0260F">
          <w:rPr>
            <w:rStyle w:val="Hyperlink4"/>
            <w:color w:val="000000"/>
            <w:sz w:val="20"/>
            <w:szCs w:val="20"/>
          </w:rPr>
          <w:t>U.S. National Library of Medicine</w:t>
        </w:r>
      </w:hyperlink>
      <w:r w:rsidR="00E0260F" w:rsidRPr="00E0260F">
        <w:rPr>
          <w:rStyle w:val="orgurl"/>
          <w:b/>
          <w:bCs/>
          <w:color w:val="000000"/>
          <w:sz w:val="20"/>
          <w:szCs w:val="20"/>
        </w:rPr>
        <w:t xml:space="preserve">. </w:t>
      </w:r>
      <w:hyperlink r:id="rId28" w:history="1">
        <w:r w:rsidR="00E0260F" w:rsidRPr="00E0260F">
          <w:rPr>
            <w:rStyle w:val="Hyperlink"/>
            <w:sz w:val="20"/>
            <w:szCs w:val="20"/>
          </w:rPr>
          <w:t>http://www.ncbi.nlm.nih.gov/pubmed</w:t>
        </w:r>
      </w:hyperlink>
      <w:r w:rsidR="00E0260F" w:rsidRPr="00E0260F">
        <w:rPr>
          <w:color w:val="000000"/>
          <w:sz w:val="20"/>
          <w:szCs w:val="20"/>
        </w:rPr>
        <w:t>. 2015.</w:t>
      </w:r>
    </w:p>
    <w:p w:rsidR="00E0260F" w:rsidRPr="00E0260F" w:rsidRDefault="00E0260F" w:rsidP="00E0260F">
      <w:pPr>
        <w:pStyle w:val="ListParagraph"/>
        <w:numPr>
          <w:ilvl w:val="0"/>
          <w:numId w:val="5"/>
        </w:numPr>
        <w:ind w:left="567" w:hanging="567"/>
        <w:jc w:val="both"/>
        <w:rPr>
          <w:sz w:val="20"/>
          <w:szCs w:val="20"/>
        </w:rPr>
      </w:pPr>
      <w:proofErr w:type="spellStart"/>
      <w:r w:rsidRPr="00E0260F">
        <w:rPr>
          <w:sz w:val="20"/>
          <w:szCs w:val="20"/>
        </w:rPr>
        <w:t>Ratti</w:t>
      </w:r>
      <w:proofErr w:type="spellEnd"/>
      <w:r w:rsidRPr="00E0260F">
        <w:rPr>
          <w:sz w:val="20"/>
          <w:szCs w:val="20"/>
        </w:rPr>
        <w:t xml:space="preserve">, S; </w:t>
      </w:r>
      <w:proofErr w:type="spellStart"/>
      <w:r w:rsidRPr="00E0260F">
        <w:rPr>
          <w:sz w:val="20"/>
          <w:szCs w:val="20"/>
        </w:rPr>
        <w:t>Quarato</w:t>
      </w:r>
      <w:proofErr w:type="spellEnd"/>
      <w:r w:rsidRPr="00E0260F">
        <w:rPr>
          <w:sz w:val="20"/>
          <w:szCs w:val="20"/>
        </w:rPr>
        <w:t xml:space="preserve">, P; </w:t>
      </w:r>
      <w:proofErr w:type="spellStart"/>
      <w:r w:rsidRPr="00E0260F">
        <w:rPr>
          <w:sz w:val="20"/>
          <w:szCs w:val="20"/>
        </w:rPr>
        <w:t>Casagrande</w:t>
      </w:r>
      <w:proofErr w:type="spellEnd"/>
      <w:r w:rsidRPr="00E0260F">
        <w:rPr>
          <w:sz w:val="20"/>
          <w:szCs w:val="20"/>
        </w:rPr>
        <w:t xml:space="preserve">, C; </w:t>
      </w:r>
      <w:proofErr w:type="spellStart"/>
      <w:r w:rsidRPr="00E0260F">
        <w:rPr>
          <w:sz w:val="20"/>
          <w:szCs w:val="20"/>
        </w:rPr>
        <w:t>Fumagalli</w:t>
      </w:r>
      <w:proofErr w:type="spellEnd"/>
      <w:r w:rsidRPr="00E0260F">
        <w:rPr>
          <w:sz w:val="20"/>
          <w:szCs w:val="20"/>
        </w:rPr>
        <w:t xml:space="preserve">, R; </w:t>
      </w:r>
      <w:proofErr w:type="spellStart"/>
      <w:r w:rsidRPr="00E0260F">
        <w:rPr>
          <w:sz w:val="20"/>
          <w:szCs w:val="20"/>
        </w:rPr>
        <w:t>Corsini</w:t>
      </w:r>
      <w:proofErr w:type="spellEnd"/>
      <w:r w:rsidRPr="00E0260F">
        <w:rPr>
          <w:sz w:val="20"/>
          <w:szCs w:val="20"/>
        </w:rPr>
        <w:t>, A (1998). "</w:t>
      </w:r>
      <w:proofErr w:type="spellStart"/>
      <w:r w:rsidRPr="00E0260F">
        <w:rPr>
          <w:sz w:val="20"/>
          <w:szCs w:val="20"/>
        </w:rPr>
        <w:t>Picotamide</w:t>
      </w:r>
      <w:proofErr w:type="spellEnd"/>
      <w:r w:rsidRPr="00E0260F">
        <w:rPr>
          <w:sz w:val="20"/>
          <w:szCs w:val="20"/>
        </w:rPr>
        <w:t xml:space="preserve">, an </w:t>
      </w:r>
      <w:proofErr w:type="spellStart"/>
      <w:r w:rsidRPr="00E0260F">
        <w:rPr>
          <w:sz w:val="20"/>
          <w:szCs w:val="20"/>
        </w:rPr>
        <w:t>antithromboxane</w:t>
      </w:r>
      <w:proofErr w:type="spellEnd"/>
      <w:r w:rsidRPr="00E0260F">
        <w:rPr>
          <w:sz w:val="20"/>
          <w:szCs w:val="20"/>
        </w:rPr>
        <w:t xml:space="preserve"> agent, inhibits the migration and proliferation of arterial </w:t>
      </w:r>
      <w:proofErr w:type="spellStart"/>
      <w:r w:rsidRPr="00E0260F">
        <w:rPr>
          <w:sz w:val="20"/>
          <w:szCs w:val="20"/>
        </w:rPr>
        <w:t>myocytes</w:t>
      </w:r>
      <w:proofErr w:type="spellEnd"/>
      <w:r w:rsidRPr="00E0260F">
        <w:rPr>
          <w:sz w:val="20"/>
          <w:szCs w:val="20"/>
        </w:rPr>
        <w:t>". European Journal of Pharmacology 355 (1): 77–83.</w:t>
      </w:r>
    </w:p>
    <w:p w:rsidR="00E0260F" w:rsidRPr="00E0260F" w:rsidRDefault="00E0260F" w:rsidP="00E0260F">
      <w:pPr>
        <w:pStyle w:val="ListParagraph"/>
        <w:numPr>
          <w:ilvl w:val="0"/>
          <w:numId w:val="5"/>
        </w:numPr>
        <w:ind w:left="567" w:hanging="567"/>
        <w:jc w:val="both"/>
        <w:rPr>
          <w:sz w:val="20"/>
          <w:szCs w:val="20"/>
        </w:rPr>
      </w:pPr>
      <w:proofErr w:type="spellStart"/>
      <w:r w:rsidRPr="00E0260F">
        <w:rPr>
          <w:sz w:val="20"/>
          <w:szCs w:val="20"/>
        </w:rPr>
        <w:t>Tohgi</w:t>
      </w:r>
      <w:proofErr w:type="spellEnd"/>
      <w:r w:rsidRPr="00E0260F">
        <w:rPr>
          <w:sz w:val="20"/>
          <w:szCs w:val="20"/>
        </w:rPr>
        <w:t xml:space="preserve">, H; S Konno; K Tamura; B Kimura; K Kawano (1992). "Effects of low-to-high doses of aspirin on platelet </w:t>
      </w:r>
      <w:proofErr w:type="spellStart"/>
      <w:r w:rsidRPr="00E0260F">
        <w:rPr>
          <w:sz w:val="20"/>
          <w:szCs w:val="20"/>
        </w:rPr>
        <w:t>aggregability</w:t>
      </w:r>
      <w:proofErr w:type="spellEnd"/>
      <w:r w:rsidRPr="00E0260F">
        <w:rPr>
          <w:sz w:val="20"/>
          <w:szCs w:val="20"/>
        </w:rPr>
        <w:t xml:space="preserve"> and metabolites of </w:t>
      </w:r>
      <w:proofErr w:type="spellStart"/>
      <w:r w:rsidRPr="00E0260F">
        <w:rPr>
          <w:sz w:val="20"/>
          <w:szCs w:val="20"/>
        </w:rPr>
        <w:t>thromboxane</w:t>
      </w:r>
      <w:proofErr w:type="spellEnd"/>
      <w:r w:rsidRPr="00E0260F">
        <w:rPr>
          <w:sz w:val="20"/>
          <w:szCs w:val="20"/>
        </w:rPr>
        <w:t xml:space="preserve"> A2 and </w:t>
      </w:r>
      <w:proofErr w:type="spellStart"/>
      <w:r w:rsidRPr="00E0260F">
        <w:rPr>
          <w:sz w:val="20"/>
          <w:szCs w:val="20"/>
        </w:rPr>
        <w:t>prostacyclin</w:t>
      </w:r>
      <w:proofErr w:type="spellEnd"/>
      <w:r w:rsidRPr="00E0260F">
        <w:rPr>
          <w:sz w:val="20"/>
          <w:szCs w:val="20"/>
        </w:rPr>
        <w:t>". Stroke 23 (10): 1400–1403. doi:10.1161/01.STR.23.10.1400. PMID 1412574.</w:t>
      </w:r>
    </w:p>
    <w:p w:rsidR="00E0260F" w:rsidRPr="00E0260F" w:rsidRDefault="00E0260F" w:rsidP="00E0260F">
      <w:pPr>
        <w:pStyle w:val="ListParagraph"/>
        <w:numPr>
          <w:ilvl w:val="0"/>
          <w:numId w:val="5"/>
        </w:numPr>
        <w:autoSpaceDE w:val="0"/>
        <w:autoSpaceDN w:val="0"/>
        <w:adjustRightInd w:val="0"/>
        <w:ind w:left="567" w:hanging="567"/>
        <w:rPr>
          <w:sz w:val="20"/>
          <w:szCs w:val="20"/>
        </w:rPr>
      </w:pPr>
      <w:r w:rsidRPr="00E0260F">
        <w:rPr>
          <w:color w:val="000000"/>
          <w:sz w:val="20"/>
          <w:szCs w:val="20"/>
        </w:rPr>
        <w:t xml:space="preserve">Wikipedia. The free encyclopedia. </w:t>
      </w:r>
      <w:hyperlink r:id="rId29" w:history="1">
        <w:r w:rsidRPr="00E0260F">
          <w:rPr>
            <w:rStyle w:val="Hyperlink"/>
            <w:sz w:val="20"/>
            <w:szCs w:val="20"/>
          </w:rPr>
          <w:t>http://en.wikipedia.org</w:t>
        </w:r>
      </w:hyperlink>
      <w:r w:rsidRPr="00E0260F">
        <w:rPr>
          <w:sz w:val="20"/>
          <w:szCs w:val="20"/>
        </w:rPr>
        <w:t>. 2015.</w:t>
      </w:r>
    </w:p>
    <w:p w:rsidR="00E0260F" w:rsidRPr="00792884" w:rsidRDefault="00E0260F" w:rsidP="00E0260F">
      <w:pPr>
        <w:pStyle w:val="NormalWeb"/>
        <w:numPr>
          <w:ilvl w:val="0"/>
          <w:numId w:val="5"/>
        </w:numPr>
        <w:spacing w:before="0" w:beforeAutospacing="0" w:after="0" w:afterAutospacing="0"/>
        <w:ind w:left="567" w:hanging="567"/>
        <w:jc w:val="both"/>
        <w:rPr>
          <w:sz w:val="20"/>
          <w:szCs w:val="20"/>
        </w:rPr>
      </w:pPr>
      <w:proofErr w:type="spellStart"/>
      <w:r w:rsidRPr="00792884">
        <w:rPr>
          <w:sz w:val="20"/>
          <w:szCs w:val="20"/>
        </w:rPr>
        <w:t>Yaping</w:t>
      </w:r>
      <w:proofErr w:type="spellEnd"/>
      <w:r w:rsidRPr="00792884">
        <w:rPr>
          <w:sz w:val="20"/>
          <w:szCs w:val="20"/>
        </w:rPr>
        <w:t xml:space="preserve"> E, Samantha C Golden, Alan R </w:t>
      </w:r>
      <w:proofErr w:type="spellStart"/>
      <w:r w:rsidRPr="00792884">
        <w:rPr>
          <w:sz w:val="20"/>
          <w:szCs w:val="20"/>
        </w:rPr>
        <w:t>Shalita</w:t>
      </w:r>
      <w:proofErr w:type="spellEnd"/>
      <w:r w:rsidRPr="00792884">
        <w:rPr>
          <w:sz w:val="20"/>
          <w:szCs w:val="20"/>
        </w:rPr>
        <w:t xml:space="preserve">, Wei-Li S Lee, Daniel H </w:t>
      </w:r>
      <w:proofErr w:type="spellStart"/>
      <w:r w:rsidRPr="00792884">
        <w:rPr>
          <w:sz w:val="20"/>
          <w:szCs w:val="20"/>
        </w:rPr>
        <w:t>Maes</w:t>
      </w:r>
      <w:proofErr w:type="spellEnd"/>
      <w:r w:rsidRPr="00792884">
        <w:rPr>
          <w:sz w:val="20"/>
          <w:szCs w:val="20"/>
        </w:rPr>
        <w:t xml:space="preserve">, Mary S Matsui. Neuropeptide (Calcitonin Gene-Related Peptide) Induction of Nitric Oxide in Human Keratinocytes </w:t>
      </w:r>
      <w:r w:rsidRPr="00792884">
        <w:rPr>
          <w:i/>
          <w:iCs/>
          <w:sz w:val="20"/>
          <w:szCs w:val="20"/>
        </w:rPr>
        <w:t xml:space="preserve">in vitro. </w:t>
      </w:r>
      <w:r w:rsidRPr="00792884">
        <w:rPr>
          <w:sz w:val="20"/>
          <w:szCs w:val="20"/>
        </w:rPr>
        <w:t xml:space="preserve">Journal of Investigative Dermatology advance online publication, 18 May 2006. </w:t>
      </w:r>
      <w:hyperlink r:id="rId30" w:history="1">
        <w:r w:rsidRPr="00792884">
          <w:rPr>
            <w:rStyle w:val="Hyperlink"/>
            <w:sz w:val="20"/>
            <w:szCs w:val="20"/>
          </w:rPr>
          <w:t>http://www.nature.com/jid/journal/vaop/ncurrent/abs/5700349a.html</w:t>
        </w:r>
      </w:hyperlink>
      <w:r w:rsidRPr="00792884">
        <w:rPr>
          <w:sz w:val="20"/>
          <w:szCs w:val="20"/>
        </w:rPr>
        <w:t xml:space="preserve">. </w:t>
      </w:r>
    </w:p>
    <w:p w:rsidR="00E0260F" w:rsidRDefault="00E0260F" w:rsidP="00E0260F">
      <w:pPr>
        <w:pStyle w:val="ListParagraph"/>
        <w:numPr>
          <w:ilvl w:val="0"/>
          <w:numId w:val="5"/>
        </w:numPr>
        <w:ind w:left="567" w:hanging="567"/>
        <w:jc w:val="both"/>
        <w:rPr>
          <w:sz w:val="20"/>
          <w:szCs w:val="20"/>
        </w:rPr>
      </w:pPr>
      <w:r w:rsidRPr="00E0260F">
        <w:rPr>
          <w:sz w:val="20"/>
          <w:szCs w:val="20"/>
        </w:rPr>
        <w:t xml:space="preserve">Yokoyama Y (2005). "Role of </w:t>
      </w:r>
      <w:proofErr w:type="spellStart"/>
      <w:r w:rsidRPr="00E0260F">
        <w:rPr>
          <w:sz w:val="20"/>
          <w:szCs w:val="20"/>
        </w:rPr>
        <w:t>thromboxane</w:t>
      </w:r>
      <w:proofErr w:type="spellEnd"/>
      <w:r w:rsidRPr="00E0260F">
        <w:rPr>
          <w:sz w:val="20"/>
          <w:szCs w:val="20"/>
        </w:rPr>
        <w:t xml:space="preserve"> in producing hepatic injury during a hepatic stress disorder.". Arch Surg. 140 (8): 801–7. doi:10.1001/archsurg.140.8.801. PMID 16103291.</w:t>
      </w:r>
    </w:p>
    <w:p w:rsidR="00E0260F" w:rsidRDefault="00E0260F" w:rsidP="00E0260F">
      <w:pPr>
        <w:jc w:val="both"/>
        <w:rPr>
          <w:sz w:val="20"/>
          <w:szCs w:val="20"/>
        </w:rPr>
        <w:sectPr w:rsidR="00E0260F" w:rsidSect="00E0260F">
          <w:type w:val="continuous"/>
          <w:pgSz w:w="12240" w:h="15840" w:code="1"/>
          <w:pgMar w:top="1440" w:right="1440" w:bottom="1440" w:left="1440" w:header="720" w:footer="720" w:gutter="0"/>
          <w:cols w:num="2" w:space="600"/>
        </w:sectPr>
      </w:pPr>
    </w:p>
    <w:p w:rsidR="00E0260F" w:rsidRDefault="00E0260F" w:rsidP="00E0260F">
      <w:pPr>
        <w:jc w:val="both"/>
        <w:rPr>
          <w:sz w:val="20"/>
          <w:szCs w:val="20"/>
        </w:rPr>
      </w:pPr>
    </w:p>
    <w:p w:rsidR="00E0260F" w:rsidRPr="00E0260F" w:rsidRDefault="00E0260F" w:rsidP="00E0260F">
      <w:pPr>
        <w:jc w:val="both"/>
        <w:rPr>
          <w:sz w:val="20"/>
          <w:szCs w:val="20"/>
        </w:rPr>
      </w:pPr>
      <w:r>
        <w:rPr>
          <w:sz w:val="20"/>
          <w:szCs w:val="20"/>
        </w:rPr>
        <w:t>9/18/2015</w:t>
      </w:r>
    </w:p>
    <w:sectPr w:rsidR="00E0260F" w:rsidRPr="00E0260F" w:rsidSect="00E0260F">
      <w:type w:val="continuous"/>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21" w:rsidRDefault="007D6D21">
      <w:r>
        <w:separator/>
      </w:r>
    </w:p>
  </w:endnote>
  <w:endnote w:type="continuationSeparator" w:id="0">
    <w:p w:rsidR="007D6D21" w:rsidRDefault="007D6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29185"/>
      <w:docPartObj>
        <w:docPartGallery w:val="Page Numbers (Bottom of Page)"/>
        <w:docPartUnique/>
      </w:docPartObj>
    </w:sdtPr>
    <w:sdtEndPr>
      <w:rPr>
        <w:rFonts w:ascii="Times New Roman" w:hAnsi="Times New Roman"/>
        <w:sz w:val="20"/>
      </w:rPr>
    </w:sdtEndPr>
    <w:sdtContent>
      <w:p w:rsidR="00792884" w:rsidRPr="00792884" w:rsidRDefault="00E24596">
        <w:pPr>
          <w:pStyle w:val="Footer"/>
          <w:jc w:val="center"/>
          <w:rPr>
            <w:rFonts w:ascii="Times New Roman" w:hAnsi="Times New Roman"/>
            <w:sz w:val="20"/>
          </w:rPr>
        </w:pPr>
        <w:r w:rsidRPr="00792884">
          <w:rPr>
            <w:rFonts w:ascii="Times New Roman" w:hAnsi="Times New Roman"/>
            <w:sz w:val="20"/>
          </w:rPr>
          <w:fldChar w:fldCharType="begin"/>
        </w:r>
        <w:r w:rsidR="00792884" w:rsidRPr="00792884">
          <w:rPr>
            <w:rFonts w:ascii="Times New Roman" w:hAnsi="Times New Roman"/>
            <w:sz w:val="20"/>
          </w:rPr>
          <w:instrText xml:space="preserve"> PAGE   \* MERGEFORMAT </w:instrText>
        </w:r>
        <w:r w:rsidRPr="00792884">
          <w:rPr>
            <w:rFonts w:ascii="Times New Roman" w:hAnsi="Times New Roman"/>
            <w:sz w:val="20"/>
          </w:rPr>
          <w:fldChar w:fldCharType="separate"/>
        </w:r>
        <w:r w:rsidR="00ED7500" w:rsidRPr="00ED7500">
          <w:rPr>
            <w:rFonts w:ascii="Times New Roman" w:hAnsi="Times New Roman"/>
            <w:noProof/>
            <w:sz w:val="20"/>
            <w:lang w:val="zh-CN"/>
          </w:rPr>
          <w:t>93</w:t>
        </w:r>
        <w:r w:rsidRPr="00792884">
          <w:rPr>
            <w:rFonts w:ascii="Times New Roman" w:hAnsi="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21" w:rsidRDefault="007D6D21">
      <w:r>
        <w:separator/>
      </w:r>
    </w:p>
  </w:footnote>
  <w:footnote w:type="continuationSeparator" w:id="0">
    <w:p w:rsidR="007D6D21" w:rsidRDefault="007D6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21" w:rsidRDefault="00E24596" w:rsidP="003E59BC">
    <w:pPr>
      <w:pStyle w:val="Header"/>
      <w:framePr w:wrap="around" w:vAnchor="text" w:hAnchor="margin" w:xAlign="right" w:y="1"/>
      <w:rPr>
        <w:rStyle w:val="PageNumber"/>
      </w:rPr>
    </w:pPr>
    <w:r>
      <w:rPr>
        <w:rStyle w:val="PageNumber"/>
      </w:rPr>
      <w:fldChar w:fldCharType="begin"/>
    </w:r>
    <w:r w:rsidR="007D6D21">
      <w:rPr>
        <w:rStyle w:val="PageNumber"/>
      </w:rPr>
      <w:instrText xml:space="preserve">PAGE  </w:instrText>
    </w:r>
    <w:r>
      <w:rPr>
        <w:rStyle w:val="PageNumber"/>
      </w:rPr>
      <w:fldChar w:fldCharType="end"/>
    </w:r>
  </w:p>
  <w:p w:rsidR="007D6D21" w:rsidRDefault="007D6D21" w:rsidP="003E59B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2" w:rsidRPr="00413887" w:rsidRDefault="00C764E2" w:rsidP="00C764E2">
    <w:pPr>
      <w:pBdr>
        <w:bottom w:val="thinThickMediumGap" w:sz="12" w:space="1" w:color="auto"/>
      </w:pBdr>
      <w:tabs>
        <w:tab w:val="left" w:pos="851"/>
        <w:tab w:val="right" w:pos="8364"/>
      </w:tabs>
      <w:adjustRightInd w:val="0"/>
      <w:snapToGrid w:val="0"/>
      <w:jc w:val="both"/>
      <w:rPr>
        <w:iCs/>
        <w:sz w:val="20"/>
        <w:szCs w:val="20"/>
      </w:rPr>
    </w:pPr>
    <w:r w:rsidRPr="00413887">
      <w:rPr>
        <w:rFonts w:hint="eastAsia"/>
        <w:sz w:val="20"/>
        <w:szCs w:val="20"/>
      </w:rPr>
      <w:tab/>
    </w:r>
    <w:r w:rsidRPr="00413887">
      <w:rPr>
        <w:sz w:val="20"/>
        <w:szCs w:val="20"/>
      </w:rPr>
      <w:t>New York Science Journal 201</w:t>
    </w:r>
    <w:r w:rsidRPr="00413887">
      <w:rPr>
        <w:rFonts w:hint="eastAsia"/>
        <w:sz w:val="20"/>
        <w:szCs w:val="20"/>
      </w:rPr>
      <w:t>5</w:t>
    </w:r>
    <w:r w:rsidRPr="00413887">
      <w:rPr>
        <w:sz w:val="20"/>
        <w:szCs w:val="20"/>
      </w:rPr>
      <w:t>;</w:t>
    </w:r>
    <w:r w:rsidRPr="00413887">
      <w:rPr>
        <w:rFonts w:hint="eastAsia"/>
        <w:sz w:val="20"/>
        <w:szCs w:val="20"/>
      </w:rPr>
      <w:t>8</w:t>
    </w:r>
    <w:r w:rsidRPr="00413887">
      <w:rPr>
        <w:sz w:val="20"/>
        <w:szCs w:val="20"/>
      </w:rPr>
      <w:t>(</w:t>
    </w:r>
    <w:r w:rsidRPr="00413887">
      <w:rPr>
        <w:rFonts w:hint="eastAsia"/>
        <w:sz w:val="20"/>
        <w:szCs w:val="20"/>
      </w:rPr>
      <w:t>10</w:t>
    </w:r>
    <w:r w:rsidRPr="00413887">
      <w:rPr>
        <w:sz w:val="20"/>
        <w:szCs w:val="20"/>
      </w:rPr>
      <w:t>)</w:t>
    </w:r>
    <w:r w:rsidRPr="00413887">
      <w:rPr>
        <w:iCs/>
        <w:sz w:val="20"/>
        <w:szCs w:val="20"/>
      </w:rPr>
      <w:t xml:space="preserve">     </w:t>
    </w:r>
    <w:r w:rsidRPr="00413887">
      <w:rPr>
        <w:rFonts w:hint="eastAsia"/>
        <w:iCs/>
        <w:sz w:val="20"/>
        <w:szCs w:val="20"/>
      </w:rPr>
      <w:tab/>
    </w:r>
    <w:r w:rsidRPr="00413887">
      <w:rPr>
        <w:iCs/>
        <w:sz w:val="20"/>
        <w:szCs w:val="20"/>
      </w:rPr>
      <w:t xml:space="preserve"> </w:t>
    </w:r>
    <w:r w:rsidRPr="00413887">
      <w:rPr>
        <w:rFonts w:hint="eastAsia"/>
        <w:iCs/>
        <w:sz w:val="20"/>
        <w:szCs w:val="20"/>
      </w:rPr>
      <w:t xml:space="preserve"> </w:t>
    </w:r>
    <w:r w:rsidRPr="00413887">
      <w:rPr>
        <w:iCs/>
        <w:sz w:val="20"/>
        <w:szCs w:val="20"/>
      </w:rPr>
      <w:t xml:space="preserve">   </w:t>
    </w:r>
    <w:hyperlink r:id="rId1" w:history="1">
      <w:r w:rsidRPr="00413887">
        <w:rPr>
          <w:rStyle w:val="Hyperlink"/>
          <w:sz w:val="20"/>
          <w:szCs w:val="20"/>
        </w:rPr>
        <w:t>http://www.sciencepub.net/newyork</w:t>
      </w:r>
    </w:hyperlink>
  </w:p>
  <w:p w:rsidR="00C764E2" w:rsidRPr="00413887" w:rsidRDefault="00C764E2" w:rsidP="00C764E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3B8522A"/>
    <w:multiLevelType w:val="hybridMultilevel"/>
    <w:tmpl w:val="AEE64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BF53EE"/>
    <w:multiLevelType w:val="multilevel"/>
    <w:tmpl w:val="44BC6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C87B1E"/>
    <w:multiLevelType w:val="hybridMultilevel"/>
    <w:tmpl w:val="FBF81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5DC7A3C"/>
    <w:multiLevelType w:val="hybridMultilevel"/>
    <w:tmpl w:val="23888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ENInstantFormat&gt;"/>
    <w:docVar w:name="EN.Libraries" w:val="&lt;ENLibraries&gt;&lt;Libraries&gt;&lt;item&gt;lipitor uuo.enl&lt;/item&gt;&lt;/Libraries&gt;&lt;/ENLibraries&gt;"/>
  </w:docVars>
  <w:rsids>
    <w:rsidRoot w:val="001E6BE6"/>
    <w:rsid w:val="000001E1"/>
    <w:rsid w:val="00006135"/>
    <w:rsid w:val="00035594"/>
    <w:rsid w:val="000447C6"/>
    <w:rsid w:val="00045C33"/>
    <w:rsid w:val="00062ED9"/>
    <w:rsid w:val="00071A6A"/>
    <w:rsid w:val="0009599B"/>
    <w:rsid w:val="000A0CE7"/>
    <w:rsid w:val="000B7B5D"/>
    <w:rsid w:val="000E1BC5"/>
    <w:rsid w:val="000F65CE"/>
    <w:rsid w:val="00151154"/>
    <w:rsid w:val="00155653"/>
    <w:rsid w:val="001560F4"/>
    <w:rsid w:val="001609F5"/>
    <w:rsid w:val="00191F29"/>
    <w:rsid w:val="001E182D"/>
    <w:rsid w:val="001E24B9"/>
    <w:rsid w:val="001E6BE6"/>
    <w:rsid w:val="001F5E3D"/>
    <w:rsid w:val="00245456"/>
    <w:rsid w:val="00275E6D"/>
    <w:rsid w:val="002773E0"/>
    <w:rsid w:val="00281295"/>
    <w:rsid w:val="002D733E"/>
    <w:rsid w:val="002E42E0"/>
    <w:rsid w:val="00314D0F"/>
    <w:rsid w:val="0032737F"/>
    <w:rsid w:val="00355382"/>
    <w:rsid w:val="00361BCF"/>
    <w:rsid w:val="003B1054"/>
    <w:rsid w:val="003D04C2"/>
    <w:rsid w:val="003E59BC"/>
    <w:rsid w:val="004041CC"/>
    <w:rsid w:val="0040612D"/>
    <w:rsid w:val="004147E8"/>
    <w:rsid w:val="00423B4B"/>
    <w:rsid w:val="00442716"/>
    <w:rsid w:val="00470CD9"/>
    <w:rsid w:val="00477D16"/>
    <w:rsid w:val="0048269A"/>
    <w:rsid w:val="004A6C2E"/>
    <w:rsid w:val="004B40BE"/>
    <w:rsid w:val="004E3732"/>
    <w:rsid w:val="00520ABE"/>
    <w:rsid w:val="005230BE"/>
    <w:rsid w:val="005279E3"/>
    <w:rsid w:val="00534AEA"/>
    <w:rsid w:val="00595E31"/>
    <w:rsid w:val="005B61C7"/>
    <w:rsid w:val="006311B5"/>
    <w:rsid w:val="0063509F"/>
    <w:rsid w:val="00672835"/>
    <w:rsid w:val="00675B57"/>
    <w:rsid w:val="0069788A"/>
    <w:rsid w:val="006D1174"/>
    <w:rsid w:val="006D4E93"/>
    <w:rsid w:val="00721E64"/>
    <w:rsid w:val="00745ACE"/>
    <w:rsid w:val="00746189"/>
    <w:rsid w:val="00750361"/>
    <w:rsid w:val="007530C7"/>
    <w:rsid w:val="007631EE"/>
    <w:rsid w:val="00764393"/>
    <w:rsid w:val="007651D4"/>
    <w:rsid w:val="00792884"/>
    <w:rsid w:val="007B70B4"/>
    <w:rsid w:val="007D6D21"/>
    <w:rsid w:val="007E3693"/>
    <w:rsid w:val="008110AD"/>
    <w:rsid w:val="0086428B"/>
    <w:rsid w:val="00872175"/>
    <w:rsid w:val="008912F4"/>
    <w:rsid w:val="008A1751"/>
    <w:rsid w:val="008D25A2"/>
    <w:rsid w:val="008D77BD"/>
    <w:rsid w:val="008F4D64"/>
    <w:rsid w:val="00904E2F"/>
    <w:rsid w:val="0091644B"/>
    <w:rsid w:val="00937CAC"/>
    <w:rsid w:val="00973021"/>
    <w:rsid w:val="009A4991"/>
    <w:rsid w:val="00A01DE8"/>
    <w:rsid w:val="00A129D8"/>
    <w:rsid w:val="00A41DE7"/>
    <w:rsid w:val="00A43167"/>
    <w:rsid w:val="00A72FA3"/>
    <w:rsid w:val="00A744F3"/>
    <w:rsid w:val="00A74DC9"/>
    <w:rsid w:val="00A92C80"/>
    <w:rsid w:val="00AD5D25"/>
    <w:rsid w:val="00B1482F"/>
    <w:rsid w:val="00B21FBA"/>
    <w:rsid w:val="00B22DF6"/>
    <w:rsid w:val="00B4365D"/>
    <w:rsid w:val="00B91585"/>
    <w:rsid w:val="00BC0813"/>
    <w:rsid w:val="00BC419D"/>
    <w:rsid w:val="00BC42CE"/>
    <w:rsid w:val="00BD4609"/>
    <w:rsid w:val="00C158E3"/>
    <w:rsid w:val="00C246A9"/>
    <w:rsid w:val="00C367E2"/>
    <w:rsid w:val="00C42146"/>
    <w:rsid w:val="00C43CF7"/>
    <w:rsid w:val="00C46F3B"/>
    <w:rsid w:val="00C764E2"/>
    <w:rsid w:val="00C87ED3"/>
    <w:rsid w:val="00C926C1"/>
    <w:rsid w:val="00CB576E"/>
    <w:rsid w:val="00CC6222"/>
    <w:rsid w:val="00CD00EA"/>
    <w:rsid w:val="00CD27C5"/>
    <w:rsid w:val="00D010C1"/>
    <w:rsid w:val="00D202B7"/>
    <w:rsid w:val="00D249D2"/>
    <w:rsid w:val="00D27359"/>
    <w:rsid w:val="00D34919"/>
    <w:rsid w:val="00D503E5"/>
    <w:rsid w:val="00D52920"/>
    <w:rsid w:val="00D601C4"/>
    <w:rsid w:val="00D76FB8"/>
    <w:rsid w:val="00D819E9"/>
    <w:rsid w:val="00DB44D9"/>
    <w:rsid w:val="00DC196E"/>
    <w:rsid w:val="00DE26CB"/>
    <w:rsid w:val="00E00D5E"/>
    <w:rsid w:val="00E0260F"/>
    <w:rsid w:val="00E041FC"/>
    <w:rsid w:val="00E074AE"/>
    <w:rsid w:val="00E14E6D"/>
    <w:rsid w:val="00E16420"/>
    <w:rsid w:val="00E23D9F"/>
    <w:rsid w:val="00E24596"/>
    <w:rsid w:val="00E528FA"/>
    <w:rsid w:val="00E70861"/>
    <w:rsid w:val="00E74D0E"/>
    <w:rsid w:val="00E74F27"/>
    <w:rsid w:val="00EA0E19"/>
    <w:rsid w:val="00EA14E1"/>
    <w:rsid w:val="00EC079E"/>
    <w:rsid w:val="00ED71CF"/>
    <w:rsid w:val="00ED7500"/>
    <w:rsid w:val="00F11F82"/>
    <w:rsid w:val="00F2444D"/>
    <w:rsid w:val="00F6077A"/>
    <w:rsid w:val="00F71735"/>
    <w:rsid w:val="00F72557"/>
    <w:rsid w:val="00F805DC"/>
    <w:rsid w:val="00FF4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E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2835"/>
    <w:pPr>
      <w:overflowPunct w:val="0"/>
      <w:autoSpaceDE w:val="0"/>
      <w:autoSpaceDN w:val="0"/>
      <w:adjustRightInd w:val="0"/>
      <w:spacing w:line="480" w:lineRule="auto"/>
      <w:jc w:val="center"/>
      <w:textAlignment w:val="baseline"/>
    </w:pPr>
    <w:rPr>
      <w:rFonts w:ascii="Arial" w:hAnsi="Arial"/>
      <w:b/>
      <w:sz w:val="28"/>
      <w:szCs w:val="20"/>
    </w:rPr>
  </w:style>
  <w:style w:type="paragraph" w:styleId="Footer">
    <w:name w:val="footer"/>
    <w:basedOn w:val="Normal"/>
    <w:link w:val="FooterChar"/>
    <w:uiPriority w:val="99"/>
    <w:rsid w:val="00672835"/>
    <w:pPr>
      <w:widowControl w:val="0"/>
      <w:tabs>
        <w:tab w:val="center" w:pos="4320"/>
        <w:tab w:val="right" w:pos="8640"/>
      </w:tabs>
      <w:overflowPunct w:val="0"/>
      <w:autoSpaceDE w:val="0"/>
      <w:autoSpaceDN w:val="0"/>
      <w:adjustRightInd w:val="0"/>
      <w:textAlignment w:val="baseline"/>
    </w:pPr>
    <w:rPr>
      <w:rFonts w:ascii="Arial" w:hAnsi="Arial"/>
      <w:kern w:val="2"/>
      <w:szCs w:val="20"/>
    </w:rPr>
  </w:style>
  <w:style w:type="paragraph" w:styleId="Header">
    <w:name w:val="header"/>
    <w:basedOn w:val="Normal"/>
    <w:link w:val="HeaderChar"/>
    <w:uiPriority w:val="99"/>
    <w:rsid w:val="00360B5B"/>
    <w:pPr>
      <w:tabs>
        <w:tab w:val="center" w:pos="4320"/>
        <w:tab w:val="right" w:pos="8640"/>
      </w:tabs>
    </w:pPr>
  </w:style>
  <w:style w:type="character" w:styleId="PageNumber">
    <w:name w:val="page number"/>
    <w:basedOn w:val="DefaultParagraphFont"/>
    <w:rsid w:val="00360B5B"/>
  </w:style>
  <w:style w:type="character" w:styleId="Hyperlink">
    <w:name w:val="Hyperlink"/>
    <w:unhideWhenUsed/>
    <w:rsid w:val="003D04C2"/>
    <w:rPr>
      <w:color w:val="0000FF"/>
      <w:u w:val="single"/>
    </w:rPr>
  </w:style>
  <w:style w:type="character" w:customStyle="1" w:styleId="mw-filepage-other-resolutions">
    <w:name w:val="mw-filepage-other-resolutions"/>
    <w:rsid w:val="001560F4"/>
  </w:style>
  <w:style w:type="paragraph" w:customStyle="1" w:styleId="abbreviations">
    <w:name w:val="abbreviations"/>
    <w:basedOn w:val="Normal"/>
    <w:rsid w:val="00CC6222"/>
    <w:pPr>
      <w:spacing w:before="100" w:beforeAutospacing="1" w:after="100" w:afterAutospacing="1"/>
    </w:pPr>
  </w:style>
  <w:style w:type="paragraph" w:styleId="NormalWeb">
    <w:name w:val="Normal (Web)"/>
    <w:basedOn w:val="Normal"/>
    <w:uiPriority w:val="99"/>
    <w:rsid w:val="00CC6222"/>
    <w:pPr>
      <w:spacing w:before="100" w:beforeAutospacing="1" w:after="100" w:afterAutospacing="1"/>
    </w:pPr>
  </w:style>
  <w:style w:type="character" w:styleId="Strong">
    <w:name w:val="Strong"/>
    <w:uiPriority w:val="22"/>
    <w:qFormat/>
    <w:rsid w:val="00CC6222"/>
    <w:rPr>
      <w:b/>
      <w:bCs/>
    </w:rPr>
  </w:style>
  <w:style w:type="paragraph" w:styleId="HTMLPreformatted">
    <w:name w:val="HTML Preformatted"/>
    <w:basedOn w:val="Normal"/>
    <w:link w:val="HTMLPreformattedChar"/>
    <w:rsid w:val="00CC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CC6222"/>
    <w:rPr>
      <w:rFonts w:ascii="Courier New" w:hAnsi="Courier New" w:cs="Courier New"/>
    </w:rPr>
  </w:style>
  <w:style w:type="paragraph" w:customStyle="1" w:styleId="norm">
    <w:name w:val="norm"/>
    <w:basedOn w:val="Normal"/>
    <w:rsid w:val="005279E3"/>
    <w:pPr>
      <w:spacing w:before="100" w:beforeAutospacing="1" w:after="100" w:afterAutospacing="1"/>
    </w:pPr>
    <w:rPr>
      <w:rFonts w:eastAsia="SimSun"/>
    </w:rPr>
  </w:style>
  <w:style w:type="character" w:customStyle="1" w:styleId="apple-converted-space">
    <w:name w:val="apple-converted-space"/>
    <w:rsid w:val="000B7B5D"/>
  </w:style>
  <w:style w:type="paragraph" w:customStyle="1" w:styleId="bmc">
    <w:name w:val="_bmc"/>
    <w:basedOn w:val="Normal"/>
    <w:rsid w:val="00A744F3"/>
    <w:pPr>
      <w:spacing w:before="100" w:beforeAutospacing="1" w:after="100" w:afterAutospacing="1"/>
    </w:pPr>
  </w:style>
  <w:style w:type="paragraph" w:styleId="BalloonText">
    <w:name w:val="Balloon Text"/>
    <w:basedOn w:val="Normal"/>
    <w:link w:val="BalloonTextChar"/>
    <w:uiPriority w:val="99"/>
    <w:semiHidden/>
    <w:unhideWhenUsed/>
    <w:rsid w:val="00D010C1"/>
    <w:rPr>
      <w:rFonts w:ascii="Tahoma" w:hAnsi="Tahoma" w:cs="Tahoma"/>
      <w:sz w:val="16"/>
      <w:szCs w:val="16"/>
    </w:rPr>
  </w:style>
  <w:style w:type="character" w:customStyle="1" w:styleId="BalloonTextChar">
    <w:name w:val="Balloon Text Char"/>
    <w:basedOn w:val="DefaultParagraphFont"/>
    <w:link w:val="BalloonText"/>
    <w:uiPriority w:val="99"/>
    <w:semiHidden/>
    <w:rsid w:val="00D010C1"/>
    <w:rPr>
      <w:rFonts w:ascii="Tahoma" w:hAnsi="Tahoma" w:cs="Tahoma"/>
      <w:sz w:val="16"/>
      <w:szCs w:val="16"/>
    </w:rPr>
  </w:style>
  <w:style w:type="character" w:customStyle="1" w:styleId="FooterChar">
    <w:name w:val="Footer Char"/>
    <w:basedOn w:val="DefaultParagraphFont"/>
    <w:link w:val="Footer"/>
    <w:uiPriority w:val="99"/>
    <w:rsid w:val="00792884"/>
    <w:rPr>
      <w:rFonts w:ascii="Arial" w:hAnsi="Arial"/>
      <w:kern w:val="2"/>
      <w:sz w:val="24"/>
    </w:rPr>
  </w:style>
  <w:style w:type="character" w:styleId="Emphasis">
    <w:name w:val="Emphasis"/>
    <w:basedOn w:val="DefaultParagraphFont"/>
    <w:uiPriority w:val="20"/>
    <w:qFormat/>
    <w:rsid w:val="00E0260F"/>
    <w:rPr>
      <w:rFonts w:cs="Times New Roman"/>
      <w:i/>
      <w:iCs/>
    </w:rPr>
  </w:style>
  <w:style w:type="character" w:customStyle="1" w:styleId="url">
    <w:name w:val="url"/>
    <w:basedOn w:val="DefaultParagraphFont"/>
    <w:uiPriority w:val="99"/>
    <w:rsid w:val="00E0260F"/>
    <w:rPr>
      <w:rFonts w:cs="Times New Roman"/>
      <w:color w:val="14376C"/>
      <w:sz w:val="31"/>
      <w:szCs w:val="31"/>
      <w:shd w:val="clear" w:color="auto" w:fill="FFFFFF"/>
    </w:rPr>
  </w:style>
  <w:style w:type="character" w:customStyle="1" w:styleId="Hyperlink3">
    <w:name w:val="Hyperlink3"/>
    <w:basedOn w:val="DefaultParagraphFont"/>
    <w:uiPriority w:val="99"/>
    <w:rsid w:val="00E0260F"/>
    <w:rPr>
      <w:rFonts w:cs="Times New Roman"/>
      <w:color w:val="14376C"/>
      <w:u w:val="none"/>
      <w:effect w:val="none"/>
    </w:rPr>
  </w:style>
  <w:style w:type="character" w:customStyle="1" w:styleId="orgurl">
    <w:name w:val="org url"/>
    <w:basedOn w:val="DefaultParagraphFont"/>
    <w:uiPriority w:val="99"/>
    <w:rsid w:val="00E0260F"/>
    <w:rPr>
      <w:rFonts w:cs="Times New Roman"/>
      <w:color w:val="14376C"/>
      <w:sz w:val="31"/>
      <w:szCs w:val="31"/>
      <w:shd w:val="clear" w:color="auto" w:fill="FFFFFF"/>
    </w:rPr>
  </w:style>
  <w:style w:type="character" w:customStyle="1" w:styleId="Hyperlink4">
    <w:name w:val="Hyperlink4"/>
    <w:basedOn w:val="DefaultParagraphFont"/>
    <w:uiPriority w:val="99"/>
    <w:rsid w:val="00E0260F"/>
    <w:rPr>
      <w:rFonts w:cs="Times New Roman"/>
      <w:b/>
      <w:bCs/>
      <w:color w:val="14376C"/>
      <w:u w:val="none"/>
      <w:effect w:val="none"/>
    </w:rPr>
  </w:style>
  <w:style w:type="paragraph" w:customStyle="1" w:styleId="Heading19">
    <w:name w:val="Heading 19"/>
    <w:basedOn w:val="Normal"/>
    <w:rsid w:val="00E0260F"/>
    <w:pPr>
      <w:spacing w:line="336" w:lineRule="atLeast"/>
      <w:outlineLvl w:val="1"/>
    </w:pPr>
    <w:rPr>
      <w:color w:val="FFFFFF"/>
      <w:kern w:val="36"/>
      <w:sz w:val="27"/>
      <w:szCs w:val="27"/>
    </w:rPr>
  </w:style>
  <w:style w:type="paragraph" w:styleId="ListParagraph">
    <w:name w:val="List Paragraph"/>
    <w:basedOn w:val="Normal"/>
    <w:uiPriority w:val="34"/>
    <w:qFormat/>
    <w:rsid w:val="00E0260F"/>
    <w:pPr>
      <w:ind w:left="720"/>
      <w:contextualSpacing/>
    </w:pPr>
  </w:style>
  <w:style w:type="character" w:customStyle="1" w:styleId="HeaderChar">
    <w:name w:val="Header Char"/>
    <w:basedOn w:val="DefaultParagraphFont"/>
    <w:link w:val="Header"/>
    <w:uiPriority w:val="99"/>
    <w:rsid w:val="00C764E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904100">
      <w:bodyDiv w:val="1"/>
      <w:marLeft w:val="0"/>
      <w:marRight w:val="0"/>
      <w:marTop w:val="0"/>
      <w:marBottom w:val="0"/>
      <w:divBdr>
        <w:top w:val="none" w:sz="0" w:space="0" w:color="auto"/>
        <w:left w:val="none" w:sz="0" w:space="0" w:color="auto"/>
        <w:bottom w:val="none" w:sz="0" w:space="0" w:color="auto"/>
        <w:right w:val="none" w:sz="0" w:space="0" w:color="auto"/>
      </w:divBdr>
      <w:divsChild>
        <w:div w:id="2129615775">
          <w:marLeft w:val="0"/>
          <w:marRight w:val="0"/>
          <w:marTop w:val="0"/>
          <w:marBottom w:val="0"/>
          <w:divBdr>
            <w:top w:val="none" w:sz="0" w:space="0" w:color="auto"/>
            <w:left w:val="none" w:sz="0" w:space="0" w:color="auto"/>
            <w:bottom w:val="none" w:sz="0" w:space="0" w:color="auto"/>
            <w:right w:val="none" w:sz="0" w:space="0" w:color="auto"/>
          </w:divBdr>
          <w:divsChild>
            <w:div w:id="1062559093">
              <w:marLeft w:val="0"/>
              <w:marRight w:val="0"/>
              <w:marTop w:val="0"/>
              <w:marBottom w:val="0"/>
              <w:divBdr>
                <w:top w:val="none" w:sz="0" w:space="0" w:color="auto"/>
                <w:left w:val="none" w:sz="0" w:space="0" w:color="auto"/>
                <w:bottom w:val="none" w:sz="0" w:space="0" w:color="auto"/>
                <w:right w:val="none" w:sz="0" w:space="0" w:color="auto"/>
              </w:divBdr>
              <w:divsChild>
                <w:div w:id="835457407">
                  <w:marLeft w:val="0"/>
                  <w:marRight w:val="0"/>
                  <w:marTop w:val="0"/>
                  <w:marBottom w:val="0"/>
                  <w:divBdr>
                    <w:top w:val="none" w:sz="0" w:space="0" w:color="auto"/>
                    <w:left w:val="none" w:sz="0" w:space="0" w:color="auto"/>
                    <w:bottom w:val="none" w:sz="0" w:space="0" w:color="auto"/>
                    <w:right w:val="none" w:sz="0" w:space="0" w:color="auto"/>
                  </w:divBdr>
                  <w:divsChild>
                    <w:div w:id="9242693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2170102">
      <w:bodyDiv w:val="1"/>
      <w:marLeft w:val="0"/>
      <w:marRight w:val="0"/>
      <w:marTop w:val="0"/>
      <w:marBottom w:val="0"/>
      <w:divBdr>
        <w:top w:val="none" w:sz="0" w:space="0" w:color="auto"/>
        <w:left w:val="none" w:sz="0" w:space="0" w:color="auto"/>
        <w:bottom w:val="none" w:sz="0" w:space="0" w:color="auto"/>
        <w:right w:val="none" w:sz="0" w:space="0" w:color="auto"/>
      </w:divBdr>
      <w:divsChild>
        <w:div w:id="153188765">
          <w:marLeft w:val="0"/>
          <w:marRight w:val="0"/>
          <w:marTop w:val="0"/>
          <w:marBottom w:val="0"/>
          <w:divBdr>
            <w:top w:val="none" w:sz="0" w:space="0" w:color="auto"/>
            <w:left w:val="none" w:sz="0" w:space="0" w:color="auto"/>
            <w:bottom w:val="none" w:sz="0" w:space="0" w:color="auto"/>
            <w:right w:val="none" w:sz="0" w:space="0" w:color="auto"/>
          </w:divBdr>
          <w:divsChild>
            <w:div w:id="592248915">
              <w:marLeft w:val="0"/>
              <w:marRight w:val="0"/>
              <w:marTop w:val="0"/>
              <w:marBottom w:val="0"/>
              <w:divBdr>
                <w:top w:val="none" w:sz="0" w:space="0" w:color="auto"/>
                <w:left w:val="none" w:sz="0" w:space="0" w:color="auto"/>
                <w:bottom w:val="none" w:sz="0" w:space="0" w:color="auto"/>
                <w:right w:val="none" w:sz="0" w:space="0" w:color="auto"/>
              </w:divBdr>
              <w:divsChild>
                <w:div w:id="648510674">
                  <w:marLeft w:val="0"/>
                  <w:marRight w:val="0"/>
                  <w:marTop w:val="0"/>
                  <w:marBottom w:val="0"/>
                  <w:divBdr>
                    <w:top w:val="none" w:sz="0" w:space="0" w:color="auto"/>
                    <w:left w:val="none" w:sz="0" w:space="0" w:color="auto"/>
                    <w:bottom w:val="none" w:sz="0" w:space="0" w:color="auto"/>
                    <w:right w:val="none" w:sz="0" w:space="0" w:color="auto"/>
                  </w:divBdr>
                  <w:divsChild>
                    <w:div w:id="927344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86731546">
      <w:bodyDiv w:val="1"/>
      <w:marLeft w:val="0"/>
      <w:marRight w:val="0"/>
      <w:marTop w:val="0"/>
      <w:marBottom w:val="0"/>
      <w:divBdr>
        <w:top w:val="none" w:sz="0" w:space="0" w:color="auto"/>
        <w:left w:val="none" w:sz="0" w:space="0" w:color="auto"/>
        <w:bottom w:val="none" w:sz="0" w:space="0" w:color="auto"/>
        <w:right w:val="none" w:sz="0" w:space="0" w:color="auto"/>
      </w:divBdr>
      <w:divsChild>
        <w:div w:id="348679156">
          <w:marLeft w:val="0"/>
          <w:marRight w:val="0"/>
          <w:marTop w:val="0"/>
          <w:marBottom w:val="0"/>
          <w:divBdr>
            <w:top w:val="none" w:sz="0" w:space="0" w:color="auto"/>
            <w:left w:val="none" w:sz="0" w:space="0" w:color="auto"/>
            <w:bottom w:val="none" w:sz="0" w:space="0" w:color="auto"/>
            <w:right w:val="none" w:sz="0" w:space="0" w:color="auto"/>
          </w:divBdr>
          <w:divsChild>
            <w:div w:id="589510343">
              <w:marLeft w:val="0"/>
              <w:marRight w:val="0"/>
              <w:marTop w:val="0"/>
              <w:marBottom w:val="0"/>
              <w:divBdr>
                <w:top w:val="none" w:sz="0" w:space="0" w:color="auto"/>
                <w:left w:val="none" w:sz="0" w:space="0" w:color="auto"/>
                <w:bottom w:val="none" w:sz="0" w:space="0" w:color="auto"/>
                <w:right w:val="none" w:sz="0" w:space="0" w:color="auto"/>
              </w:divBdr>
              <w:divsChild>
                <w:div w:id="297958303">
                  <w:marLeft w:val="0"/>
                  <w:marRight w:val="0"/>
                  <w:marTop w:val="0"/>
                  <w:marBottom w:val="0"/>
                  <w:divBdr>
                    <w:top w:val="none" w:sz="0" w:space="0" w:color="auto"/>
                    <w:left w:val="none" w:sz="0" w:space="0" w:color="auto"/>
                    <w:bottom w:val="none" w:sz="0" w:space="0" w:color="auto"/>
                    <w:right w:val="none" w:sz="0" w:space="0" w:color="auto"/>
                  </w:divBdr>
                  <w:divsChild>
                    <w:div w:id="1893493612">
                      <w:marLeft w:val="0"/>
                      <w:marRight w:val="0"/>
                      <w:marTop w:val="0"/>
                      <w:marBottom w:val="0"/>
                      <w:divBdr>
                        <w:top w:val="none" w:sz="0" w:space="0" w:color="auto"/>
                        <w:left w:val="none" w:sz="0" w:space="0" w:color="auto"/>
                        <w:bottom w:val="none" w:sz="0" w:space="0" w:color="auto"/>
                        <w:right w:val="none" w:sz="0" w:space="0" w:color="auto"/>
                      </w:divBdr>
                      <w:divsChild>
                        <w:div w:id="1855026387">
                          <w:marLeft w:val="0"/>
                          <w:marRight w:val="0"/>
                          <w:marTop w:val="0"/>
                          <w:marBottom w:val="0"/>
                          <w:divBdr>
                            <w:top w:val="none" w:sz="0" w:space="0" w:color="auto"/>
                            <w:left w:val="none" w:sz="0" w:space="0" w:color="auto"/>
                            <w:bottom w:val="none" w:sz="0" w:space="0" w:color="auto"/>
                            <w:right w:val="none" w:sz="0" w:space="0" w:color="auto"/>
                          </w:divBdr>
                        </w:div>
                      </w:divsChild>
                    </w:div>
                    <w:div w:id="10223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0713">
      <w:bodyDiv w:val="1"/>
      <w:marLeft w:val="0"/>
      <w:marRight w:val="0"/>
      <w:marTop w:val="0"/>
      <w:marBottom w:val="0"/>
      <w:divBdr>
        <w:top w:val="none" w:sz="0" w:space="0" w:color="auto"/>
        <w:left w:val="none" w:sz="0" w:space="0" w:color="auto"/>
        <w:bottom w:val="none" w:sz="0" w:space="0" w:color="auto"/>
        <w:right w:val="none" w:sz="0" w:space="0" w:color="auto"/>
      </w:divBdr>
      <w:divsChild>
        <w:div w:id="1835952491">
          <w:marLeft w:val="0"/>
          <w:marRight w:val="0"/>
          <w:marTop w:val="0"/>
          <w:marBottom w:val="0"/>
          <w:divBdr>
            <w:top w:val="none" w:sz="0" w:space="0" w:color="auto"/>
            <w:left w:val="none" w:sz="0" w:space="0" w:color="auto"/>
            <w:bottom w:val="none" w:sz="0" w:space="0" w:color="auto"/>
            <w:right w:val="none" w:sz="0" w:space="0" w:color="auto"/>
          </w:divBdr>
          <w:divsChild>
            <w:div w:id="78332028">
              <w:marLeft w:val="0"/>
              <w:marRight w:val="0"/>
              <w:marTop w:val="0"/>
              <w:marBottom w:val="0"/>
              <w:divBdr>
                <w:top w:val="none" w:sz="0" w:space="0" w:color="auto"/>
                <w:left w:val="none" w:sz="0" w:space="0" w:color="auto"/>
                <w:bottom w:val="none" w:sz="0" w:space="0" w:color="auto"/>
                <w:right w:val="none" w:sz="0" w:space="0" w:color="auto"/>
              </w:divBdr>
              <w:divsChild>
                <w:div w:id="1988969253">
                  <w:marLeft w:val="0"/>
                  <w:marRight w:val="0"/>
                  <w:marTop w:val="0"/>
                  <w:marBottom w:val="0"/>
                  <w:divBdr>
                    <w:top w:val="none" w:sz="0" w:space="0" w:color="auto"/>
                    <w:left w:val="none" w:sz="0" w:space="0" w:color="auto"/>
                    <w:bottom w:val="none" w:sz="0" w:space="0" w:color="auto"/>
                    <w:right w:val="none" w:sz="0" w:space="0" w:color="auto"/>
                  </w:divBdr>
                  <w:divsChild>
                    <w:div w:id="1270621300">
                      <w:marLeft w:val="0"/>
                      <w:marRight w:val="0"/>
                      <w:marTop w:val="0"/>
                      <w:marBottom w:val="0"/>
                      <w:divBdr>
                        <w:top w:val="none" w:sz="0" w:space="0" w:color="auto"/>
                        <w:left w:val="none" w:sz="0" w:space="0" w:color="auto"/>
                        <w:bottom w:val="none" w:sz="0" w:space="0" w:color="auto"/>
                        <w:right w:val="none" w:sz="0" w:space="0" w:color="auto"/>
                      </w:divBdr>
                      <w:divsChild>
                        <w:div w:id="10869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402746">
      <w:bodyDiv w:val="1"/>
      <w:marLeft w:val="0"/>
      <w:marRight w:val="0"/>
      <w:marTop w:val="0"/>
      <w:marBottom w:val="0"/>
      <w:divBdr>
        <w:top w:val="none" w:sz="0" w:space="0" w:color="auto"/>
        <w:left w:val="none" w:sz="0" w:space="0" w:color="auto"/>
        <w:bottom w:val="none" w:sz="0" w:space="0" w:color="auto"/>
        <w:right w:val="none" w:sz="0" w:space="0" w:color="auto"/>
      </w:divBdr>
      <w:divsChild>
        <w:div w:id="716861010">
          <w:marLeft w:val="0"/>
          <w:marRight w:val="0"/>
          <w:marTop w:val="0"/>
          <w:marBottom w:val="0"/>
          <w:divBdr>
            <w:top w:val="none" w:sz="0" w:space="0" w:color="auto"/>
            <w:left w:val="none" w:sz="0" w:space="0" w:color="auto"/>
            <w:bottom w:val="none" w:sz="0" w:space="0" w:color="auto"/>
            <w:right w:val="none" w:sz="0" w:space="0" w:color="auto"/>
          </w:divBdr>
          <w:divsChild>
            <w:div w:id="301544656">
              <w:marLeft w:val="0"/>
              <w:marRight w:val="0"/>
              <w:marTop w:val="0"/>
              <w:marBottom w:val="0"/>
              <w:divBdr>
                <w:top w:val="none" w:sz="0" w:space="0" w:color="auto"/>
                <w:left w:val="none" w:sz="0" w:space="0" w:color="auto"/>
                <w:bottom w:val="none" w:sz="0" w:space="0" w:color="auto"/>
                <w:right w:val="none" w:sz="0" w:space="0" w:color="auto"/>
              </w:divBdr>
              <w:divsChild>
                <w:div w:id="1744446043">
                  <w:marLeft w:val="0"/>
                  <w:marRight w:val="0"/>
                  <w:marTop w:val="0"/>
                  <w:marBottom w:val="0"/>
                  <w:divBdr>
                    <w:top w:val="none" w:sz="0" w:space="0" w:color="auto"/>
                    <w:left w:val="none" w:sz="0" w:space="0" w:color="auto"/>
                    <w:bottom w:val="none" w:sz="0" w:space="0" w:color="auto"/>
                    <w:right w:val="none" w:sz="0" w:space="0" w:color="auto"/>
                  </w:divBdr>
                  <w:divsChild>
                    <w:div w:id="769424085">
                      <w:marLeft w:val="0"/>
                      <w:marRight w:val="0"/>
                      <w:marTop w:val="0"/>
                      <w:marBottom w:val="0"/>
                      <w:divBdr>
                        <w:top w:val="none" w:sz="0" w:space="0" w:color="auto"/>
                        <w:left w:val="none" w:sz="0" w:space="0" w:color="auto"/>
                        <w:bottom w:val="none" w:sz="0" w:space="0" w:color="auto"/>
                        <w:right w:val="none" w:sz="0" w:space="0" w:color="auto"/>
                      </w:divBdr>
                      <w:divsChild>
                        <w:div w:id="4665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53033">
      <w:bodyDiv w:val="1"/>
      <w:marLeft w:val="0"/>
      <w:marRight w:val="0"/>
      <w:marTop w:val="0"/>
      <w:marBottom w:val="0"/>
      <w:divBdr>
        <w:top w:val="none" w:sz="0" w:space="0" w:color="auto"/>
        <w:left w:val="none" w:sz="0" w:space="0" w:color="auto"/>
        <w:bottom w:val="none" w:sz="0" w:space="0" w:color="auto"/>
        <w:right w:val="none" w:sz="0" w:space="0" w:color="auto"/>
      </w:divBdr>
      <w:divsChild>
        <w:div w:id="1099444366">
          <w:marLeft w:val="0"/>
          <w:marRight w:val="0"/>
          <w:marTop w:val="0"/>
          <w:marBottom w:val="0"/>
          <w:divBdr>
            <w:top w:val="none" w:sz="0" w:space="0" w:color="auto"/>
            <w:left w:val="none" w:sz="0" w:space="0" w:color="auto"/>
            <w:bottom w:val="none" w:sz="0" w:space="0" w:color="auto"/>
            <w:right w:val="none" w:sz="0" w:space="0" w:color="auto"/>
          </w:divBdr>
          <w:divsChild>
            <w:div w:id="122502350">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627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www.ncbi.nlm.nih.gov" TargetMode="External"/><Relationship Id="rId3" Type="http://schemas.openxmlformats.org/officeDocument/2006/relationships/settings" Target="settings.xml"/><Relationship Id="rId21" Type="http://schemas.openxmlformats.org/officeDocument/2006/relationships/hyperlink" Target="https://upload.wikimedia.org/wikipedia/commons/4/40/Eicosanoid_synthesis.svg" TargetMode="External"/><Relationship Id="rId34" Type="http://schemas.microsoft.com/office/2007/relationships/stylesWithEffects" Target="stylesWithEffects.xml"/><Relationship Id="rId7" Type="http://schemas.openxmlformats.org/officeDocument/2006/relationships/hyperlink" Target="mailto:ma8080@gmail.com" TargetMode="External"/><Relationship Id="rId12" Type="http://schemas.openxmlformats.org/officeDocument/2006/relationships/hyperlink" Target="https://upload.wikimedia.org/wikipedia/commons/f/f5/Thromboxane_A2.png" TargetMode="External"/><Relationship Id="rId17" Type="http://schemas.openxmlformats.org/officeDocument/2006/relationships/hyperlink" Target="https://upload.wikimedia.org/wikipedia/commons/6/6c/Thromboxane_synthesis.png" TargetMode="External"/><Relationship Id="rId25" Type="http://schemas.openxmlformats.org/officeDocument/2006/relationships/hyperlink" Target="http://www.sciencepub.net/nature/ns0802/03_1279_hongbao_turritopsis_ns0802_15_20.pdf"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en.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medicinenet.com/script/main/art.asp?articlekey=3248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medicinenet.com/script/main/art.asp?articlekey=32482" TargetMode="External"/><Relationship Id="rId28" Type="http://schemas.openxmlformats.org/officeDocument/2006/relationships/hyperlink" Target="http://www.ncbi.nlm.nih.gov/pubmed" TargetMode="External"/><Relationship Id="rId10" Type="http://schemas.openxmlformats.org/officeDocument/2006/relationships/header" Target="header2.xml"/><Relationship Id="rId19" Type="http://schemas.openxmlformats.org/officeDocument/2006/relationships/hyperlink" Target="http://en.wikipedia.org/wiki/Image:Thromboxane_synthesis.p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upload.wikimedia.org/wikipedia/commons/0/0b/Thromboxane_B2.svg" TargetMode="External"/><Relationship Id="rId22" Type="http://schemas.openxmlformats.org/officeDocument/2006/relationships/image" Target="media/image6.png"/><Relationship Id="rId27" Type="http://schemas.openxmlformats.org/officeDocument/2006/relationships/hyperlink" Target="http://www.nlm.nih.gov/" TargetMode="External"/><Relationship Id="rId30" Type="http://schemas.openxmlformats.org/officeDocument/2006/relationships/hyperlink" Target="http://www.nature.com/jid/journal/vaop/ncurrent/abs/5700349a.htm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5001</Words>
  <Characters>30124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INTRODUCTION</vt:lpstr>
    </vt:vector>
  </TitlesOfParts>
  <Company>Brookdale Hospital Medical Centre</Company>
  <LinksUpToDate>false</LinksUpToDate>
  <CharactersWithSpaces>35055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John P Fitzgerald</dc:creator>
  <cp:lastModifiedBy>Administrator</cp:lastModifiedBy>
  <cp:revision>7</cp:revision>
  <cp:lastPrinted>2015-10-25T22:22:00Z</cp:lastPrinted>
  <dcterms:created xsi:type="dcterms:W3CDTF">2015-10-25T04:20:00Z</dcterms:created>
  <dcterms:modified xsi:type="dcterms:W3CDTF">2015-10-25T22:23:00Z</dcterms:modified>
</cp:coreProperties>
</file>