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DA2" w:rsidRPr="00047172" w:rsidRDefault="0072664E" w:rsidP="00D868B6">
      <w:pPr>
        <w:snapToGrid w:val="0"/>
        <w:jc w:val="center"/>
        <w:rPr>
          <w:rFonts w:eastAsia="Gulim"/>
          <w:sz w:val="20"/>
          <w:szCs w:val="20"/>
          <w:lang w:eastAsia="ko-KR"/>
        </w:rPr>
      </w:pPr>
      <w:r w:rsidRPr="00047172">
        <w:rPr>
          <w:b/>
          <w:bCs/>
          <w:color w:val="000000"/>
          <w:sz w:val="20"/>
          <w:szCs w:val="20"/>
          <w:lang w:bidi="th-TH"/>
        </w:rPr>
        <w:t xml:space="preserve">The Risk Level of Viet Nam </w:t>
      </w:r>
      <w:r w:rsidR="00530CAF" w:rsidRPr="00047172">
        <w:rPr>
          <w:b/>
          <w:bCs/>
          <w:color w:val="000000"/>
          <w:sz w:val="20"/>
          <w:szCs w:val="20"/>
          <w:lang w:val="en-US" w:bidi="th-TH"/>
        </w:rPr>
        <w:t>Hotel and Entertainment</w:t>
      </w:r>
      <w:r w:rsidRPr="00047172">
        <w:rPr>
          <w:b/>
          <w:bCs/>
          <w:color w:val="000000"/>
          <w:sz w:val="20"/>
          <w:szCs w:val="20"/>
          <w:lang w:bidi="th-TH"/>
        </w:rPr>
        <w:t xml:space="preserve"> Industry Under Financial Leverage During and After The Global Crisis 2009-2011</w:t>
      </w:r>
    </w:p>
    <w:p w:rsidR="00F83DA2" w:rsidRPr="00047172" w:rsidRDefault="00F83DA2" w:rsidP="00D868B6">
      <w:pPr>
        <w:snapToGrid w:val="0"/>
        <w:jc w:val="center"/>
        <w:textAlignment w:val="baseline"/>
        <w:rPr>
          <w:rFonts w:eastAsia="Gulim"/>
          <w:sz w:val="20"/>
          <w:szCs w:val="20"/>
        </w:rPr>
      </w:pPr>
    </w:p>
    <w:p w:rsidR="00F83DA2" w:rsidRPr="00047172" w:rsidRDefault="0072664E" w:rsidP="00D868B6">
      <w:pPr>
        <w:snapToGrid w:val="0"/>
        <w:jc w:val="center"/>
        <w:textAlignment w:val="baseline"/>
        <w:rPr>
          <w:rFonts w:eastAsiaTheme="minorEastAsia"/>
          <w:sz w:val="20"/>
          <w:szCs w:val="20"/>
          <w:lang w:val="en-US" w:eastAsia="zh-CN"/>
        </w:rPr>
      </w:pPr>
      <w:proofErr w:type="spellStart"/>
      <w:r w:rsidRPr="00047172">
        <w:rPr>
          <w:rFonts w:eastAsia="Gulim"/>
          <w:sz w:val="20"/>
          <w:szCs w:val="20"/>
          <w:lang w:val="en-US"/>
        </w:rPr>
        <w:t>Dinh</w:t>
      </w:r>
      <w:proofErr w:type="spellEnd"/>
      <w:r w:rsidRPr="00047172">
        <w:rPr>
          <w:rFonts w:eastAsia="Gulim"/>
          <w:sz w:val="20"/>
          <w:szCs w:val="20"/>
          <w:lang w:val="en-US"/>
        </w:rPr>
        <w:t xml:space="preserve"> Tran Ngoc </w:t>
      </w:r>
      <w:proofErr w:type="spellStart"/>
      <w:r w:rsidRPr="00047172">
        <w:rPr>
          <w:rFonts w:eastAsia="Gulim"/>
          <w:sz w:val="20"/>
          <w:szCs w:val="20"/>
          <w:lang w:val="en-US"/>
        </w:rPr>
        <w:t>Huy</w:t>
      </w:r>
      <w:proofErr w:type="spellEnd"/>
    </w:p>
    <w:p w:rsidR="00D868B6" w:rsidRPr="00047172" w:rsidRDefault="00D868B6" w:rsidP="00D868B6">
      <w:pPr>
        <w:snapToGrid w:val="0"/>
        <w:jc w:val="center"/>
        <w:textAlignment w:val="baseline"/>
        <w:rPr>
          <w:rFonts w:eastAsiaTheme="minorEastAsia"/>
          <w:sz w:val="20"/>
          <w:szCs w:val="20"/>
          <w:lang w:val="en-US" w:eastAsia="zh-CN"/>
        </w:rPr>
      </w:pPr>
    </w:p>
    <w:p w:rsidR="00F83DA2" w:rsidRPr="00047172" w:rsidRDefault="0072664E" w:rsidP="00D868B6">
      <w:pPr>
        <w:snapToGrid w:val="0"/>
        <w:jc w:val="center"/>
        <w:textAlignment w:val="baseline"/>
        <w:rPr>
          <w:rFonts w:eastAsia="Gulim"/>
          <w:sz w:val="20"/>
          <w:szCs w:val="20"/>
          <w:lang w:val="en-US"/>
        </w:rPr>
      </w:pPr>
      <w:r w:rsidRPr="00047172">
        <w:rPr>
          <w:rFonts w:eastAsia="Gulim"/>
          <w:sz w:val="20"/>
          <w:szCs w:val="20"/>
          <w:lang w:val="en-US"/>
        </w:rPr>
        <w:t>Banking University HCMC Viet Nam – GSIM, International University of Japan, Japan</w:t>
      </w:r>
    </w:p>
    <w:p w:rsidR="00F83DA2" w:rsidRPr="00047172" w:rsidRDefault="00F83DA2" w:rsidP="00D868B6">
      <w:pPr>
        <w:snapToGrid w:val="0"/>
        <w:jc w:val="center"/>
        <w:textAlignment w:val="baseline"/>
        <w:rPr>
          <w:rFonts w:eastAsiaTheme="minorEastAsia"/>
          <w:sz w:val="20"/>
          <w:szCs w:val="20"/>
          <w:lang w:val="en-US" w:eastAsia="zh-CN"/>
        </w:rPr>
      </w:pPr>
      <w:r w:rsidRPr="00047172">
        <w:rPr>
          <w:rFonts w:eastAsia="Gulim"/>
          <w:sz w:val="20"/>
          <w:szCs w:val="20"/>
        </w:rPr>
        <w:t xml:space="preserve">Email: </w:t>
      </w:r>
      <w:r w:rsidR="005A31E6" w:rsidRPr="00047172">
        <w:rPr>
          <w:rFonts w:eastAsia="Gulim"/>
          <w:sz w:val="20"/>
          <w:szCs w:val="20"/>
          <w:lang w:val="en-US"/>
        </w:rPr>
        <w:fldChar w:fldCharType="begin"/>
      </w:r>
      <w:r w:rsidR="00047172" w:rsidRPr="00047172">
        <w:rPr>
          <w:rFonts w:eastAsia="Gulim"/>
          <w:sz w:val="20"/>
          <w:szCs w:val="20"/>
          <w:lang w:val="en-US"/>
        </w:rPr>
        <w:instrText xml:space="preserve"> HYPERLINK "mailto:dtnhuy2010</w:instrText>
      </w:r>
      <w:r w:rsidR="00047172" w:rsidRPr="00047172">
        <w:rPr>
          <w:rFonts w:eastAsia="Gulim"/>
          <w:sz w:val="20"/>
          <w:szCs w:val="20"/>
        </w:rPr>
        <w:instrText>@</w:instrText>
      </w:r>
      <w:r w:rsidR="00047172" w:rsidRPr="00047172">
        <w:rPr>
          <w:rFonts w:eastAsia="Gulim"/>
          <w:sz w:val="20"/>
          <w:szCs w:val="20"/>
          <w:lang w:val="en-US"/>
        </w:rPr>
        <w:instrText xml:space="preserve">gmail.com" </w:instrText>
      </w:r>
      <w:r w:rsidR="005A31E6" w:rsidRPr="00047172">
        <w:rPr>
          <w:rFonts w:eastAsia="Gulim"/>
          <w:sz w:val="20"/>
          <w:szCs w:val="20"/>
          <w:lang w:val="en-US"/>
        </w:rPr>
        <w:fldChar w:fldCharType="separate"/>
      </w:r>
      <w:r w:rsidR="00047172" w:rsidRPr="00047172">
        <w:rPr>
          <w:rStyle w:val="Hyperlink"/>
          <w:rFonts w:eastAsia="Gulim"/>
          <w:sz w:val="20"/>
          <w:szCs w:val="20"/>
          <w:lang w:val="en-US"/>
        </w:rPr>
        <w:t>dtnhuy2010</w:t>
      </w:r>
      <w:r w:rsidR="00047172" w:rsidRPr="00047172">
        <w:rPr>
          <w:rStyle w:val="Hyperlink"/>
          <w:rFonts w:eastAsia="Gulim"/>
          <w:sz w:val="20"/>
          <w:szCs w:val="20"/>
        </w:rPr>
        <w:t>@</w:t>
      </w:r>
      <w:r w:rsidR="00047172" w:rsidRPr="00047172">
        <w:rPr>
          <w:rStyle w:val="Hyperlink"/>
          <w:rFonts w:eastAsia="Gulim"/>
          <w:sz w:val="20"/>
          <w:szCs w:val="20"/>
          <w:lang w:val="en-US"/>
        </w:rPr>
        <w:t>gmail.com</w:t>
      </w:r>
      <w:r w:rsidR="005A31E6" w:rsidRPr="00047172">
        <w:rPr>
          <w:rFonts w:eastAsia="Gulim"/>
          <w:sz w:val="20"/>
          <w:szCs w:val="20"/>
          <w:lang w:val="en-US"/>
        </w:rPr>
        <w:fldChar w:fldCharType="end"/>
      </w:r>
      <w:r w:rsidR="00047172" w:rsidRPr="00047172">
        <w:rPr>
          <w:rFonts w:eastAsiaTheme="minorEastAsia" w:hint="eastAsia"/>
          <w:sz w:val="20"/>
          <w:szCs w:val="20"/>
          <w:lang w:val="en-US" w:eastAsia="zh-CN"/>
        </w:rPr>
        <w:t xml:space="preserve"> </w:t>
      </w:r>
    </w:p>
    <w:p w:rsidR="004C3585" w:rsidRPr="00047172" w:rsidRDefault="004C3585" w:rsidP="00D868B6">
      <w:pPr>
        <w:snapToGrid w:val="0"/>
        <w:jc w:val="center"/>
        <w:textAlignment w:val="baseline"/>
        <w:rPr>
          <w:b/>
          <w:bCs/>
          <w:sz w:val="20"/>
          <w:szCs w:val="20"/>
          <w:shd w:val="clear" w:color="auto" w:fill="FFFFFF"/>
          <w:lang w:eastAsia="ko-KR"/>
        </w:rPr>
      </w:pPr>
    </w:p>
    <w:p w:rsidR="00F83DA2" w:rsidRPr="00047172" w:rsidRDefault="00D868B6" w:rsidP="00047172">
      <w:pPr>
        <w:snapToGrid w:val="0"/>
        <w:jc w:val="both"/>
        <w:textAlignment w:val="baseline"/>
        <w:rPr>
          <w:rFonts w:eastAsia="Gulim"/>
          <w:sz w:val="20"/>
          <w:szCs w:val="20"/>
        </w:rPr>
      </w:pPr>
      <w:r w:rsidRPr="00047172">
        <w:rPr>
          <w:b/>
          <w:bCs/>
          <w:sz w:val="20"/>
          <w:szCs w:val="20"/>
          <w:shd w:val="clear" w:color="auto" w:fill="FFFFFF"/>
        </w:rPr>
        <w:t>Abstract</w:t>
      </w:r>
      <w:r w:rsidRPr="00047172">
        <w:rPr>
          <w:rFonts w:eastAsiaTheme="minorEastAsia" w:hint="eastAsia"/>
          <w:b/>
          <w:bCs/>
          <w:sz w:val="20"/>
          <w:szCs w:val="20"/>
          <w:shd w:val="clear" w:color="auto" w:fill="FFFFFF"/>
          <w:lang w:eastAsia="zh-CN"/>
        </w:rPr>
        <w:t xml:space="preserve">: </w:t>
      </w:r>
      <w:r w:rsidR="0072664E" w:rsidRPr="00047172">
        <w:rPr>
          <w:iCs/>
          <w:color w:val="000000"/>
          <w:sz w:val="20"/>
          <w:szCs w:val="20"/>
          <w:lang w:bidi="th-TH"/>
        </w:rPr>
        <w:t>This paper</w:t>
      </w:r>
      <w:r w:rsidR="001211D0" w:rsidRPr="00047172">
        <w:rPr>
          <w:iCs/>
          <w:color w:val="000000"/>
          <w:sz w:val="20"/>
          <w:szCs w:val="20"/>
          <w:lang w:val="en-US" w:bidi="th-TH"/>
        </w:rPr>
        <w:t>work</w:t>
      </w:r>
      <w:r w:rsidR="0072664E" w:rsidRPr="00047172">
        <w:rPr>
          <w:iCs/>
          <w:color w:val="000000"/>
          <w:sz w:val="20"/>
          <w:szCs w:val="20"/>
          <w:lang w:bidi="th-TH"/>
        </w:rPr>
        <w:t xml:space="preserve"> evaluates the impacts of external financing on market risk for the listed firms in the Viet nam </w:t>
      </w:r>
      <w:r w:rsidR="0072664E" w:rsidRPr="00047172">
        <w:rPr>
          <w:iCs/>
          <w:sz w:val="20"/>
          <w:szCs w:val="20"/>
        </w:rPr>
        <w:t>tourism industry</w:t>
      </w:r>
      <w:r w:rsidR="0072664E" w:rsidRPr="00047172">
        <w:rPr>
          <w:iCs/>
          <w:color w:val="000000"/>
          <w:sz w:val="20"/>
          <w:szCs w:val="20"/>
          <w:lang w:bidi="th-TH"/>
        </w:rPr>
        <w:t>, esp. during and after the financial crisis 2007-2009.</w:t>
      </w:r>
      <w:r w:rsidR="00047172" w:rsidRPr="00047172">
        <w:rPr>
          <w:rFonts w:eastAsiaTheme="minorEastAsia" w:hint="eastAsia"/>
          <w:iCs/>
          <w:color w:val="000000"/>
          <w:sz w:val="20"/>
          <w:szCs w:val="20"/>
          <w:lang w:eastAsia="zh-CN" w:bidi="th-TH"/>
        </w:rPr>
        <w:t xml:space="preserve"> </w:t>
      </w:r>
      <w:r w:rsidR="0072664E" w:rsidRPr="00047172">
        <w:rPr>
          <w:iCs/>
          <w:color w:val="000000"/>
          <w:sz w:val="20"/>
          <w:szCs w:val="20"/>
          <w:lang w:bidi="th-TH"/>
        </w:rPr>
        <w:t>First of all, by using quantitative and analytical methods to estimate asset and equity beta of total 1</w:t>
      </w:r>
      <w:r w:rsidR="001211D0" w:rsidRPr="00047172">
        <w:rPr>
          <w:iCs/>
          <w:color w:val="000000"/>
          <w:sz w:val="20"/>
          <w:szCs w:val="20"/>
          <w:lang w:val="en-US" w:bidi="th-TH"/>
        </w:rPr>
        <w:t>2</w:t>
      </w:r>
      <w:r w:rsidR="0072664E" w:rsidRPr="00047172">
        <w:rPr>
          <w:iCs/>
          <w:color w:val="000000"/>
          <w:sz w:val="20"/>
          <w:szCs w:val="20"/>
          <w:lang w:bidi="th-TH"/>
        </w:rPr>
        <w:t xml:space="preserve"> listed companies in Viet Nam </w:t>
      </w:r>
      <w:r w:rsidR="001211D0" w:rsidRPr="00047172">
        <w:rPr>
          <w:iCs/>
          <w:sz w:val="20"/>
          <w:szCs w:val="20"/>
          <w:lang w:val="en-US"/>
        </w:rPr>
        <w:t>hotel and entertainment</w:t>
      </w:r>
      <w:r w:rsidR="0072664E" w:rsidRPr="00047172">
        <w:rPr>
          <w:iCs/>
          <w:color w:val="000000"/>
          <w:sz w:val="20"/>
          <w:szCs w:val="20"/>
          <w:lang w:bidi="th-TH"/>
        </w:rPr>
        <w:t xml:space="preserve"> industry with a proper traditional model, we found out that the beta values, in general, for many institutions are acceptable.</w:t>
      </w:r>
      <w:r w:rsidR="00047172" w:rsidRPr="00047172">
        <w:rPr>
          <w:rFonts w:eastAsiaTheme="minorEastAsia" w:hint="eastAsia"/>
          <w:iCs/>
          <w:color w:val="000000"/>
          <w:sz w:val="20"/>
          <w:szCs w:val="20"/>
          <w:lang w:eastAsia="zh-CN" w:bidi="th-TH"/>
        </w:rPr>
        <w:t xml:space="preserve"> </w:t>
      </w:r>
      <w:r w:rsidR="0072664E" w:rsidRPr="00047172">
        <w:rPr>
          <w:iCs/>
          <w:color w:val="000000"/>
          <w:sz w:val="20"/>
          <w:szCs w:val="20"/>
          <w:lang w:bidi="th-TH"/>
        </w:rPr>
        <w:t xml:space="preserve">Second, under 3 different scenarios of changing leverage (in 2011 financial reports, 30% up and 20% down), we recognized that the risk level, measured by equity and asset beta mean, decreases when leverage increases to 30% and </w:t>
      </w:r>
      <w:r w:rsidR="009B0AE1" w:rsidRPr="00047172">
        <w:rPr>
          <w:iCs/>
          <w:color w:val="000000"/>
          <w:sz w:val="20"/>
          <w:szCs w:val="20"/>
          <w:lang w:val="en-US" w:bidi="th-TH"/>
        </w:rPr>
        <w:t>in</w:t>
      </w:r>
      <w:r w:rsidR="0072664E" w:rsidRPr="00047172">
        <w:rPr>
          <w:iCs/>
          <w:color w:val="000000"/>
          <w:sz w:val="20"/>
          <w:szCs w:val="20"/>
          <w:lang w:bidi="th-TH"/>
        </w:rPr>
        <w:t>creases more if leverage decreases down to 20%.</w:t>
      </w:r>
      <w:r w:rsidR="00047172" w:rsidRPr="00047172">
        <w:rPr>
          <w:rFonts w:eastAsiaTheme="minorEastAsia" w:hint="eastAsia"/>
          <w:iCs/>
          <w:color w:val="000000"/>
          <w:sz w:val="20"/>
          <w:szCs w:val="20"/>
          <w:lang w:eastAsia="zh-CN" w:bidi="th-TH"/>
        </w:rPr>
        <w:t xml:space="preserve"> </w:t>
      </w:r>
      <w:r w:rsidR="0072664E" w:rsidRPr="00047172">
        <w:rPr>
          <w:iCs/>
          <w:color w:val="000000"/>
          <w:sz w:val="20"/>
          <w:szCs w:val="20"/>
          <w:lang w:bidi="th-TH"/>
        </w:rPr>
        <w:t>Third, by changing leverage in 3 scenarios, we recognized the dispersion of risk level, meas</w:t>
      </w:r>
      <w:r w:rsidR="00291B58" w:rsidRPr="00047172">
        <w:rPr>
          <w:iCs/>
          <w:color w:val="000000"/>
          <w:sz w:val="20"/>
          <w:szCs w:val="20"/>
          <w:lang w:bidi="th-TH"/>
        </w:rPr>
        <w:t>ured by equity beta var</w:t>
      </w:r>
      <w:r w:rsidR="0072664E" w:rsidRPr="00047172">
        <w:rPr>
          <w:iCs/>
          <w:color w:val="000000"/>
          <w:sz w:val="20"/>
          <w:szCs w:val="20"/>
          <w:lang w:bidi="th-TH"/>
        </w:rPr>
        <w:t xml:space="preserve">, increases </w:t>
      </w:r>
      <w:r w:rsidR="00B04B67" w:rsidRPr="00047172">
        <w:rPr>
          <w:iCs/>
          <w:color w:val="000000"/>
          <w:sz w:val="20"/>
          <w:szCs w:val="20"/>
          <w:lang w:val="en-US" w:bidi="th-TH"/>
        </w:rPr>
        <w:t xml:space="preserve">from 0,412 to 0,45 </w:t>
      </w:r>
      <w:r w:rsidR="0072664E" w:rsidRPr="00047172">
        <w:rPr>
          <w:iCs/>
          <w:color w:val="000000"/>
          <w:sz w:val="20"/>
          <w:szCs w:val="20"/>
          <w:lang w:bidi="th-TH"/>
        </w:rPr>
        <w:t xml:space="preserve">if the leverage increases to 30% whereas </w:t>
      </w:r>
      <w:r w:rsidR="00B04B67" w:rsidRPr="00047172">
        <w:rPr>
          <w:iCs/>
          <w:color w:val="000000"/>
          <w:sz w:val="20"/>
          <w:szCs w:val="20"/>
          <w:lang w:val="en-US" w:bidi="th-TH"/>
        </w:rPr>
        <w:t>in</w:t>
      </w:r>
      <w:r w:rsidR="0072664E" w:rsidRPr="00047172">
        <w:rPr>
          <w:iCs/>
          <w:color w:val="000000"/>
          <w:sz w:val="20"/>
          <w:szCs w:val="20"/>
          <w:lang w:bidi="th-TH"/>
        </w:rPr>
        <w:t xml:space="preserve">creases </w:t>
      </w:r>
      <w:r w:rsidR="00B04B67" w:rsidRPr="00047172">
        <w:rPr>
          <w:iCs/>
          <w:color w:val="000000"/>
          <w:sz w:val="20"/>
          <w:szCs w:val="20"/>
          <w:lang w:val="en-US" w:bidi="th-TH"/>
        </w:rPr>
        <w:t xml:space="preserve">more </w:t>
      </w:r>
      <w:r w:rsidR="0072664E" w:rsidRPr="00047172">
        <w:rPr>
          <w:iCs/>
          <w:color w:val="000000"/>
          <w:sz w:val="20"/>
          <w:szCs w:val="20"/>
          <w:lang w:bidi="th-TH"/>
        </w:rPr>
        <w:t>to 0,</w:t>
      </w:r>
      <w:r w:rsidR="00B04B67" w:rsidRPr="00047172">
        <w:rPr>
          <w:iCs/>
          <w:color w:val="000000"/>
          <w:sz w:val="20"/>
          <w:szCs w:val="20"/>
          <w:lang w:val="en-US" w:bidi="th-TH"/>
        </w:rPr>
        <w:t>46</w:t>
      </w:r>
      <w:r w:rsidR="0072664E" w:rsidRPr="00047172">
        <w:rPr>
          <w:iCs/>
          <w:color w:val="000000"/>
          <w:sz w:val="20"/>
          <w:szCs w:val="20"/>
          <w:lang w:bidi="th-TH"/>
        </w:rPr>
        <w:t xml:space="preserve"> if leverage decreases to 20%. But the dispersion measured by asste beta var decreases to 0,</w:t>
      </w:r>
      <w:r w:rsidR="00B04B67" w:rsidRPr="00047172">
        <w:rPr>
          <w:iCs/>
          <w:color w:val="000000"/>
          <w:sz w:val="20"/>
          <w:szCs w:val="20"/>
          <w:lang w:val="en-US" w:bidi="th-TH"/>
        </w:rPr>
        <w:t>211</w:t>
      </w:r>
      <w:r w:rsidR="0072664E" w:rsidRPr="00047172">
        <w:rPr>
          <w:iCs/>
          <w:color w:val="000000"/>
          <w:sz w:val="20"/>
          <w:szCs w:val="20"/>
          <w:lang w:bidi="th-TH"/>
        </w:rPr>
        <w:t xml:space="preserve"> (leverage up 30%), showing leverage efficiency.</w:t>
      </w:r>
      <w:r w:rsidR="00047172" w:rsidRPr="00047172">
        <w:rPr>
          <w:rFonts w:eastAsiaTheme="minorEastAsia" w:hint="eastAsia"/>
          <w:iCs/>
          <w:color w:val="000000"/>
          <w:sz w:val="20"/>
          <w:szCs w:val="20"/>
          <w:lang w:eastAsia="zh-CN" w:bidi="th-TH"/>
        </w:rPr>
        <w:t xml:space="preserve"> </w:t>
      </w:r>
      <w:r w:rsidR="0072664E" w:rsidRPr="00047172">
        <w:rPr>
          <w:iCs/>
          <w:color w:val="000000"/>
          <w:sz w:val="20"/>
          <w:szCs w:val="20"/>
          <w:lang w:bidi="th-TH"/>
        </w:rPr>
        <w:t>Finally, this paper provides some outcomes that could provide companies and government more evidence in establishing their policies in governance.</w:t>
      </w:r>
    </w:p>
    <w:p w:rsidR="00D868B6" w:rsidRPr="00047172" w:rsidRDefault="00D868B6" w:rsidP="00D868B6">
      <w:pPr>
        <w:snapToGrid w:val="0"/>
        <w:jc w:val="both"/>
        <w:rPr>
          <w:sz w:val="20"/>
          <w:szCs w:val="20"/>
        </w:rPr>
      </w:pPr>
      <w:r w:rsidRPr="00047172">
        <w:rPr>
          <w:bCs/>
          <w:sz w:val="20"/>
          <w:szCs w:val="20"/>
        </w:rPr>
        <w:t>[</w:t>
      </w:r>
      <w:proofErr w:type="spellStart"/>
      <w:r w:rsidRPr="00047172">
        <w:rPr>
          <w:rFonts w:eastAsia="Gulim"/>
          <w:sz w:val="20"/>
          <w:szCs w:val="20"/>
          <w:lang w:val="en-US"/>
        </w:rPr>
        <w:t>Dinh</w:t>
      </w:r>
      <w:proofErr w:type="spellEnd"/>
      <w:r w:rsidRPr="00047172">
        <w:rPr>
          <w:rFonts w:eastAsia="Gulim"/>
          <w:sz w:val="20"/>
          <w:szCs w:val="20"/>
          <w:lang w:val="en-US"/>
        </w:rPr>
        <w:t xml:space="preserve"> Tran Ngoc </w:t>
      </w:r>
      <w:proofErr w:type="spellStart"/>
      <w:r w:rsidRPr="00047172">
        <w:rPr>
          <w:rFonts w:eastAsia="Gulim"/>
          <w:sz w:val="20"/>
          <w:szCs w:val="20"/>
          <w:lang w:val="en-US"/>
        </w:rPr>
        <w:t>Huy</w:t>
      </w:r>
      <w:proofErr w:type="spellEnd"/>
      <w:r w:rsidRPr="00047172">
        <w:rPr>
          <w:sz w:val="20"/>
          <w:szCs w:val="20"/>
        </w:rPr>
        <w:t>.</w:t>
      </w:r>
      <w:r w:rsidRPr="00047172">
        <w:rPr>
          <w:rFonts w:eastAsiaTheme="minorEastAsia" w:hint="eastAsia"/>
          <w:b/>
          <w:bCs/>
          <w:sz w:val="20"/>
          <w:szCs w:val="20"/>
          <w:lang w:bidi="fa-IR"/>
        </w:rPr>
        <w:t xml:space="preserve"> </w:t>
      </w:r>
      <w:r w:rsidRPr="00047172">
        <w:rPr>
          <w:b/>
          <w:bCs/>
          <w:color w:val="000000"/>
          <w:sz w:val="20"/>
          <w:szCs w:val="20"/>
          <w:lang w:bidi="th-TH"/>
        </w:rPr>
        <w:t xml:space="preserve">The Risk Level of Viet Nam </w:t>
      </w:r>
      <w:r w:rsidRPr="00047172">
        <w:rPr>
          <w:b/>
          <w:bCs/>
          <w:color w:val="000000"/>
          <w:sz w:val="20"/>
          <w:szCs w:val="20"/>
          <w:lang w:val="en-US" w:bidi="th-TH"/>
        </w:rPr>
        <w:t>Hotel and Entertainment</w:t>
      </w:r>
      <w:r w:rsidRPr="00047172">
        <w:rPr>
          <w:b/>
          <w:bCs/>
          <w:color w:val="000000"/>
          <w:sz w:val="20"/>
          <w:szCs w:val="20"/>
          <w:lang w:bidi="th-TH"/>
        </w:rPr>
        <w:t xml:space="preserve"> Industry Under Financial Leverage During and After The Global Crisis 2009-2011</w:t>
      </w:r>
      <w:r w:rsidRPr="00047172">
        <w:rPr>
          <w:rFonts w:eastAsia="Times New Roman"/>
          <w:b/>
          <w:bCs/>
          <w:sz w:val="20"/>
          <w:szCs w:val="20"/>
          <w:lang w:bidi="fa-IR"/>
        </w:rPr>
        <w:t>.</w:t>
      </w:r>
      <w:r w:rsidRPr="00047172">
        <w:rPr>
          <w:bCs/>
          <w:i/>
          <w:sz w:val="20"/>
          <w:szCs w:val="20"/>
        </w:rPr>
        <w:t xml:space="preserve"> N Y Sci J</w:t>
      </w:r>
      <w:r w:rsidRPr="00047172">
        <w:rPr>
          <w:bCs/>
          <w:sz w:val="20"/>
          <w:szCs w:val="20"/>
        </w:rPr>
        <w:t xml:space="preserve"> </w:t>
      </w:r>
      <w:r w:rsidRPr="00047172">
        <w:rPr>
          <w:sz w:val="20"/>
          <w:szCs w:val="20"/>
        </w:rPr>
        <w:t>201</w:t>
      </w:r>
      <w:r w:rsidRPr="00047172">
        <w:rPr>
          <w:rFonts w:hint="eastAsia"/>
          <w:sz w:val="20"/>
          <w:szCs w:val="20"/>
        </w:rPr>
        <w:t>5</w:t>
      </w:r>
      <w:r w:rsidRPr="00047172">
        <w:rPr>
          <w:sz w:val="20"/>
          <w:szCs w:val="20"/>
        </w:rPr>
        <w:t>;</w:t>
      </w:r>
      <w:r w:rsidRPr="00047172">
        <w:rPr>
          <w:rFonts w:hint="eastAsia"/>
          <w:sz w:val="20"/>
          <w:szCs w:val="20"/>
        </w:rPr>
        <w:t>8</w:t>
      </w:r>
      <w:r w:rsidRPr="00047172">
        <w:rPr>
          <w:sz w:val="20"/>
          <w:szCs w:val="20"/>
        </w:rPr>
        <w:t>(</w:t>
      </w:r>
      <w:r w:rsidRPr="00047172">
        <w:rPr>
          <w:rFonts w:hint="eastAsia"/>
          <w:sz w:val="20"/>
          <w:szCs w:val="20"/>
        </w:rPr>
        <w:t>11</w:t>
      </w:r>
      <w:r w:rsidRPr="00047172">
        <w:rPr>
          <w:sz w:val="20"/>
          <w:szCs w:val="20"/>
        </w:rPr>
        <w:t>):</w:t>
      </w:r>
      <w:r w:rsidR="00F4065A" w:rsidRPr="00047172">
        <w:rPr>
          <w:noProof/>
          <w:color w:val="000000"/>
          <w:sz w:val="20"/>
          <w:szCs w:val="20"/>
        </w:rPr>
        <w:t>4</w:t>
      </w:r>
      <w:r w:rsidR="00047172" w:rsidRPr="00047172">
        <w:rPr>
          <w:rFonts w:eastAsiaTheme="minorEastAsia" w:hint="eastAsia"/>
          <w:noProof/>
          <w:color w:val="000000"/>
          <w:sz w:val="20"/>
          <w:szCs w:val="20"/>
          <w:lang w:eastAsia="zh-CN"/>
        </w:rPr>
        <w:t>4</w:t>
      </w:r>
      <w:r w:rsidRPr="00047172">
        <w:rPr>
          <w:color w:val="000000"/>
          <w:sz w:val="20"/>
          <w:szCs w:val="20"/>
        </w:rPr>
        <w:t>-</w:t>
      </w:r>
      <w:r w:rsidR="00F4065A" w:rsidRPr="00047172">
        <w:rPr>
          <w:noProof/>
          <w:color w:val="000000"/>
          <w:sz w:val="20"/>
          <w:szCs w:val="20"/>
        </w:rPr>
        <w:t>5</w:t>
      </w:r>
      <w:r w:rsidR="00047172" w:rsidRPr="00047172">
        <w:rPr>
          <w:rFonts w:eastAsiaTheme="minorEastAsia" w:hint="eastAsia"/>
          <w:noProof/>
          <w:color w:val="000000"/>
          <w:sz w:val="20"/>
          <w:szCs w:val="20"/>
          <w:lang w:eastAsia="zh-CN"/>
        </w:rPr>
        <w:t>2</w:t>
      </w:r>
      <w:r w:rsidRPr="00047172">
        <w:rPr>
          <w:sz w:val="20"/>
          <w:szCs w:val="20"/>
        </w:rPr>
        <w:t xml:space="preserve">]. (ISSN: 1554-0200). </w:t>
      </w:r>
      <w:r w:rsidR="005A31E6" w:rsidRPr="00047172">
        <w:rPr>
          <w:sz w:val="20"/>
          <w:szCs w:val="20"/>
        </w:rPr>
        <w:fldChar w:fldCharType="begin"/>
      </w:r>
      <w:r w:rsidR="00E84D48" w:rsidRPr="00047172">
        <w:rPr>
          <w:sz w:val="20"/>
          <w:szCs w:val="20"/>
        </w:rPr>
        <w:instrText>HYPERLINK "http://www.sciencepub.net/newyork"</w:instrText>
      </w:r>
      <w:r w:rsidR="005A31E6" w:rsidRPr="00047172">
        <w:rPr>
          <w:sz w:val="20"/>
          <w:szCs w:val="20"/>
        </w:rPr>
        <w:fldChar w:fldCharType="separate"/>
      </w:r>
      <w:r w:rsidRPr="00047172">
        <w:rPr>
          <w:rStyle w:val="Hyperlink"/>
          <w:sz w:val="20"/>
          <w:szCs w:val="20"/>
        </w:rPr>
        <w:t>http://www.sciencepub.net/newyork</w:t>
      </w:r>
      <w:r w:rsidR="005A31E6" w:rsidRPr="00047172">
        <w:rPr>
          <w:sz w:val="20"/>
          <w:szCs w:val="20"/>
        </w:rPr>
        <w:fldChar w:fldCharType="end"/>
      </w:r>
      <w:r w:rsidRPr="00047172">
        <w:rPr>
          <w:sz w:val="20"/>
          <w:szCs w:val="20"/>
        </w:rPr>
        <w:t xml:space="preserve">. </w:t>
      </w:r>
      <w:r w:rsidRPr="00047172">
        <w:rPr>
          <w:rFonts w:eastAsiaTheme="minorEastAsia" w:hint="eastAsia"/>
          <w:sz w:val="20"/>
          <w:szCs w:val="20"/>
          <w:lang w:eastAsia="zh-CN"/>
        </w:rPr>
        <w:t>7</w:t>
      </w:r>
      <w:r w:rsidRPr="00047172">
        <w:rPr>
          <w:rFonts w:hint="eastAsia"/>
          <w:sz w:val="20"/>
          <w:szCs w:val="20"/>
        </w:rPr>
        <w:t xml:space="preserve">. </w:t>
      </w:r>
      <w:r w:rsidRPr="00047172">
        <w:rPr>
          <w:color w:val="000000"/>
          <w:sz w:val="20"/>
          <w:szCs w:val="20"/>
          <w:shd w:val="clear" w:color="auto" w:fill="FFFFFF"/>
        </w:rPr>
        <w:t>doi:</w:t>
      </w:r>
      <w:r w:rsidR="005A31E6" w:rsidRPr="00047172">
        <w:rPr>
          <w:sz w:val="20"/>
          <w:szCs w:val="20"/>
        </w:rPr>
        <w:fldChar w:fldCharType="begin"/>
      </w:r>
      <w:r w:rsidR="00E84D48" w:rsidRPr="00047172">
        <w:rPr>
          <w:sz w:val="20"/>
          <w:szCs w:val="20"/>
        </w:rPr>
        <w:instrText>HYPERLINK "http://www.dx.doi.org/10.7537/marsnys081115.07"</w:instrText>
      </w:r>
      <w:r w:rsidR="005A31E6" w:rsidRPr="00047172">
        <w:rPr>
          <w:sz w:val="20"/>
          <w:szCs w:val="20"/>
        </w:rPr>
        <w:fldChar w:fldCharType="separate"/>
      </w:r>
      <w:r w:rsidRPr="00047172">
        <w:rPr>
          <w:rStyle w:val="Hyperlink"/>
          <w:sz w:val="20"/>
          <w:szCs w:val="20"/>
          <w:shd w:val="clear" w:color="auto" w:fill="FFFFFF"/>
        </w:rPr>
        <w:t>10.7537/mars</w:t>
      </w:r>
      <w:r w:rsidRPr="00047172">
        <w:rPr>
          <w:rStyle w:val="Hyperlink"/>
          <w:rFonts w:hint="eastAsia"/>
          <w:sz w:val="20"/>
          <w:szCs w:val="20"/>
          <w:shd w:val="clear" w:color="auto" w:fill="FFFFFF"/>
        </w:rPr>
        <w:t>nys0811</w:t>
      </w:r>
      <w:r w:rsidRPr="00047172">
        <w:rPr>
          <w:rStyle w:val="Hyperlink"/>
          <w:sz w:val="20"/>
          <w:szCs w:val="20"/>
          <w:shd w:val="clear" w:color="auto" w:fill="FFFFFF"/>
        </w:rPr>
        <w:t>15.0</w:t>
      </w:r>
      <w:r w:rsidRPr="00047172">
        <w:rPr>
          <w:rStyle w:val="Hyperlink"/>
          <w:rFonts w:eastAsiaTheme="minorEastAsia" w:hint="eastAsia"/>
          <w:sz w:val="20"/>
          <w:szCs w:val="20"/>
          <w:shd w:val="clear" w:color="auto" w:fill="FFFFFF"/>
          <w:lang w:eastAsia="zh-CN"/>
        </w:rPr>
        <w:t>7</w:t>
      </w:r>
      <w:r w:rsidR="005A31E6" w:rsidRPr="00047172">
        <w:rPr>
          <w:sz w:val="20"/>
          <w:szCs w:val="20"/>
        </w:rPr>
        <w:fldChar w:fldCharType="end"/>
      </w:r>
      <w:r w:rsidRPr="00047172">
        <w:rPr>
          <w:color w:val="000000"/>
          <w:sz w:val="20"/>
          <w:szCs w:val="20"/>
          <w:shd w:val="clear" w:color="auto" w:fill="FFFFFF"/>
        </w:rPr>
        <w:t>.</w:t>
      </w:r>
    </w:p>
    <w:p w:rsidR="00F83DA2" w:rsidRPr="00047172" w:rsidRDefault="00F83DA2" w:rsidP="00D868B6">
      <w:pPr>
        <w:snapToGrid w:val="0"/>
        <w:jc w:val="both"/>
        <w:textAlignment w:val="baseline"/>
        <w:rPr>
          <w:rFonts w:eastAsia="Gulim"/>
          <w:sz w:val="20"/>
          <w:szCs w:val="20"/>
        </w:rPr>
      </w:pPr>
    </w:p>
    <w:p w:rsidR="00F83DA2" w:rsidRPr="006671BA" w:rsidRDefault="00F83DA2" w:rsidP="00D868B6">
      <w:pPr>
        <w:shd w:val="clear" w:color="auto" w:fill="FFFFFF"/>
        <w:snapToGrid w:val="0"/>
        <w:jc w:val="both"/>
        <w:textAlignment w:val="baseline"/>
        <w:rPr>
          <w:rFonts w:eastAsia="Batang"/>
          <w:iCs/>
          <w:sz w:val="20"/>
          <w:szCs w:val="20"/>
          <w:lang w:val="en-US" w:eastAsia="ja-JP" w:bidi="th-TH"/>
        </w:rPr>
      </w:pPr>
      <w:r w:rsidRPr="006671BA">
        <w:rPr>
          <w:b/>
          <w:bCs/>
          <w:sz w:val="20"/>
          <w:szCs w:val="20"/>
          <w:shd w:val="clear" w:color="auto" w:fill="FFFFFF"/>
        </w:rPr>
        <w:t xml:space="preserve">keyword: </w:t>
      </w:r>
      <w:r w:rsidR="0072664E" w:rsidRPr="006671BA">
        <w:rPr>
          <w:rFonts w:eastAsia="Batang"/>
          <w:iCs/>
          <w:sz w:val="20"/>
          <w:szCs w:val="20"/>
          <w:lang w:eastAsia="ja-JP" w:bidi="th-TH"/>
        </w:rPr>
        <w:t>equity beta, financial structure, financial crisis, risk, external financing,</w:t>
      </w:r>
      <w:r w:rsidR="0072664E" w:rsidRPr="006671BA">
        <w:rPr>
          <w:rFonts w:eastAsia="Batang"/>
          <w:iCs/>
          <w:sz w:val="20"/>
          <w:szCs w:val="20"/>
          <w:lang w:val="en-US" w:eastAsia="ja-JP" w:bidi="th-TH"/>
        </w:rPr>
        <w:t xml:space="preserve"> </w:t>
      </w:r>
      <w:r w:rsidR="002B16AE" w:rsidRPr="006671BA">
        <w:rPr>
          <w:iCs/>
          <w:sz w:val="20"/>
          <w:szCs w:val="20"/>
          <w:lang w:val="en-US"/>
        </w:rPr>
        <w:t>entertainment</w:t>
      </w:r>
      <w:r w:rsidR="0072664E" w:rsidRPr="006671BA">
        <w:rPr>
          <w:rFonts w:eastAsia="Batang"/>
          <w:iCs/>
          <w:sz w:val="20"/>
          <w:szCs w:val="20"/>
          <w:lang w:eastAsia="ja-JP" w:bidi="th-TH"/>
        </w:rPr>
        <w:t xml:space="preserve"> industry</w:t>
      </w:r>
    </w:p>
    <w:p w:rsidR="002B16AE" w:rsidRPr="00047172" w:rsidRDefault="002B16AE" w:rsidP="00D868B6">
      <w:pPr>
        <w:snapToGrid w:val="0"/>
        <w:jc w:val="both"/>
        <w:rPr>
          <w:i/>
          <w:sz w:val="20"/>
          <w:szCs w:val="20"/>
          <w:lang w:val="ro-RO"/>
        </w:rPr>
      </w:pPr>
      <w:r w:rsidRPr="00047172">
        <w:rPr>
          <w:b/>
          <w:sz w:val="20"/>
          <w:szCs w:val="20"/>
          <w:lang w:val="ro-RO"/>
        </w:rPr>
        <w:t>JEL CLASSIFICATION</w:t>
      </w:r>
      <w:r w:rsidR="00B42709">
        <w:rPr>
          <w:b/>
          <w:sz w:val="20"/>
          <w:szCs w:val="20"/>
          <w:lang w:val="ro-RO"/>
        </w:rPr>
        <w:t>:</w:t>
      </w:r>
      <w:r w:rsidRPr="00047172">
        <w:rPr>
          <w:sz w:val="20"/>
          <w:szCs w:val="20"/>
          <w:lang w:val="ro-RO"/>
        </w:rPr>
        <w:t xml:space="preserve"> </w:t>
      </w:r>
      <w:r w:rsidRPr="00047172">
        <w:rPr>
          <w:rFonts w:eastAsia="Batang"/>
          <w:i/>
          <w:iCs/>
          <w:sz w:val="20"/>
          <w:szCs w:val="20"/>
          <w:lang w:eastAsia="ja-JP" w:bidi="th-TH"/>
        </w:rPr>
        <w:t>G010, G100</w:t>
      </w:r>
      <w:r w:rsidRPr="00047172">
        <w:rPr>
          <w:b/>
          <w:bCs/>
          <w:i/>
          <w:iCs/>
          <w:color w:val="000000"/>
          <w:sz w:val="20"/>
          <w:szCs w:val="20"/>
          <w:lang w:bidi="th-TH"/>
        </w:rPr>
        <w:t xml:space="preserve">, </w:t>
      </w:r>
      <w:r w:rsidRPr="00047172">
        <w:rPr>
          <w:i/>
          <w:iCs/>
          <w:color w:val="000000"/>
          <w:sz w:val="20"/>
          <w:szCs w:val="20"/>
          <w:lang w:bidi="th-TH"/>
        </w:rPr>
        <w:t>G390</w:t>
      </w:r>
    </w:p>
    <w:p w:rsidR="00076A6E" w:rsidRPr="00047172" w:rsidRDefault="00076A6E" w:rsidP="00D868B6">
      <w:pPr>
        <w:snapToGrid w:val="0"/>
        <w:jc w:val="both"/>
        <w:textAlignment w:val="baseline"/>
        <w:rPr>
          <w:rFonts w:eastAsia="Gulim"/>
          <w:sz w:val="20"/>
          <w:szCs w:val="20"/>
          <w:lang w:eastAsia="ko-KR"/>
        </w:rPr>
      </w:pPr>
    </w:p>
    <w:p w:rsidR="00D868B6" w:rsidRPr="00047172" w:rsidRDefault="00D868B6" w:rsidP="00D868B6">
      <w:pPr>
        <w:snapToGrid w:val="0"/>
        <w:jc w:val="both"/>
        <w:textAlignment w:val="baseline"/>
        <w:rPr>
          <w:b/>
          <w:bCs/>
          <w:sz w:val="20"/>
          <w:szCs w:val="20"/>
          <w:shd w:val="clear" w:color="auto" w:fill="FFFFFF"/>
        </w:rPr>
        <w:sectPr w:rsidR="00D868B6" w:rsidRPr="00047172" w:rsidSect="00047172">
          <w:headerReference w:type="default" r:id="rId7"/>
          <w:footerReference w:type="even" r:id="rId8"/>
          <w:footerReference w:type="default" r:id="rId9"/>
          <w:footnotePr>
            <w:numRestart w:val="eachPage"/>
          </w:footnotePr>
          <w:type w:val="continuous"/>
          <w:pgSz w:w="12240" w:h="15840" w:code="1"/>
          <w:pgMar w:top="1440" w:right="1440" w:bottom="1440" w:left="1440" w:header="720" w:footer="720" w:gutter="0"/>
          <w:pgNumType w:start="44"/>
          <w:cols w:space="720"/>
          <w:docGrid w:linePitch="360"/>
        </w:sectPr>
      </w:pPr>
    </w:p>
    <w:p w:rsidR="00F83DA2" w:rsidRPr="00047172" w:rsidRDefault="00D868B6" w:rsidP="00D868B6">
      <w:pPr>
        <w:snapToGrid w:val="0"/>
        <w:jc w:val="both"/>
        <w:textAlignment w:val="baseline"/>
        <w:rPr>
          <w:rFonts w:eastAsia="Gulim"/>
          <w:sz w:val="20"/>
          <w:szCs w:val="20"/>
        </w:rPr>
      </w:pPr>
      <w:r w:rsidRPr="00047172">
        <w:rPr>
          <w:b/>
          <w:bCs/>
          <w:sz w:val="20"/>
          <w:szCs w:val="20"/>
          <w:shd w:val="clear" w:color="auto" w:fill="FFFFFF"/>
        </w:rPr>
        <w:lastRenderedPageBreak/>
        <w:t>Introduction</w:t>
      </w:r>
    </w:p>
    <w:p w:rsidR="0072664E" w:rsidRPr="00047172" w:rsidRDefault="002B16AE" w:rsidP="00D868B6">
      <w:pPr>
        <w:snapToGrid w:val="0"/>
        <w:ind w:firstLine="425"/>
        <w:jc w:val="both"/>
        <w:rPr>
          <w:color w:val="000000"/>
          <w:sz w:val="20"/>
          <w:szCs w:val="20"/>
          <w:lang w:bidi="th-TH"/>
        </w:rPr>
      </w:pPr>
      <w:r w:rsidRPr="00047172">
        <w:rPr>
          <w:color w:val="000000"/>
          <w:sz w:val="20"/>
          <w:szCs w:val="20"/>
          <w:lang w:val="en-US" w:bidi="th-TH"/>
        </w:rPr>
        <w:t xml:space="preserve">Financial risk might be affected by </w:t>
      </w:r>
      <w:r w:rsidRPr="00047172">
        <w:rPr>
          <w:sz w:val="20"/>
          <w:szCs w:val="20"/>
        </w:rPr>
        <w:t>u</w:t>
      </w:r>
      <w:r w:rsidRPr="00047172">
        <w:rPr>
          <w:color w:val="000000"/>
          <w:sz w:val="20"/>
          <w:szCs w:val="20"/>
          <w:lang w:val="en-US" w:bidi="th-TH"/>
        </w:rPr>
        <w:t>sing external financing in b</w:t>
      </w:r>
      <w:r w:rsidRPr="00047172">
        <w:rPr>
          <w:sz w:val="20"/>
          <w:szCs w:val="20"/>
        </w:rPr>
        <w:t>u</w:t>
      </w:r>
      <w:proofErr w:type="spellStart"/>
      <w:r w:rsidRPr="00047172">
        <w:rPr>
          <w:color w:val="000000"/>
          <w:sz w:val="20"/>
          <w:szCs w:val="20"/>
          <w:lang w:val="en-US" w:bidi="th-TH"/>
        </w:rPr>
        <w:t>siness</w:t>
      </w:r>
      <w:proofErr w:type="spellEnd"/>
      <w:r w:rsidRPr="00047172">
        <w:rPr>
          <w:color w:val="000000"/>
          <w:sz w:val="20"/>
          <w:szCs w:val="20"/>
          <w:lang w:val="en-US" w:bidi="th-TH"/>
        </w:rPr>
        <w:t xml:space="preserve"> operation</w:t>
      </w:r>
      <w:r w:rsidRPr="00047172">
        <w:rPr>
          <w:color w:val="000000"/>
          <w:sz w:val="20"/>
          <w:szCs w:val="20"/>
          <w:lang w:bidi="th-TH"/>
        </w:rPr>
        <w:t xml:space="preserve"> of listed companies on stock exchange. </w:t>
      </w:r>
      <w:r w:rsidR="0072664E" w:rsidRPr="00047172">
        <w:rPr>
          <w:color w:val="000000"/>
          <w:sz w:val="20"/>
          <w:szCs w:val="20"/>
          <w:lang w:bidi="th-TH"/>
        </w:rPr>
        <w:t xml:space="preserve">Flifel (2012) stated </w:t>
      </w:r>
      <w:r w:rsidR="0072664E" w:rsidRPr="00047172">
        <w:rPr>
          <w:sz w:val="20"/>
          <w:szCs w:val="20"/>
        </w:rPr>
        <w:t>today, the assumption of efficient capital markets is very controversial, especially in these times of crisis, and is challenged by research showing that the pricing was distorted by detection of long memory.</w:t>
      </w:r>
      <w:r w:rsidR="0072664E" w:rsidRPr="00047172">
        <w:rPr>
          <w:color w:val="000000"/>
          <w:sz w:val="20"/>
          <w:szCs w:val="20"/>
          <w:lang w:bidi="th-TH"/>
        </w:rPr>
        <w:t xml:space="preserve"> Gabrijelcic et all (2013) </w:t>
      </w:r>
      <w:r w:rsidR="0072664E" w:rsidRPr="00047172">
        <w:rPr>
          <w:sz w:val="20"/>
          <w:szCs w:val="20"/>
        </w:rPr>
        <w:t>find a significant negative effect of leverage on firm performance. And firms that had some foreign debt financing performed better than their counterparts.</w:t>
      </w:r>
    </w:p>
    <w:p w:rsidR="0072664E" w:rsidRPr="00047172" w:rsidRDefault="0072664E" w:rsidP="00D868B6">
      <w:pPr>
        <w:snapToGrid w:val="0"/>
        <w:ind w:firstLine="425"/>
        <w:jc w:val="both"/>
        <w:rPr>
          <w:color w:val="000000"/>
          <w:sz w:val="20"/>
          <w:szCs w:val="20"/>
          <w:lang w:val="en-US" w:bidi="th-TH"/>
        </w:rPr>
      </w:pPr>
      <w:r w:rsidRPr="00047172">
        <w:rPr>
          <w:color w:val="000000"/>
          <w:sz w:val="20"/>
          <w:szCs w:val="20"/>
          <w:lang w:bidi="th-TH"/>
        </w:rPr>
        <w:t xml:space="preserve">Measuring beta is a popular method used in many models such as the famous CAPM model. The Viet Nam </w:t>
      </w:r>
      <w:r w:rsidR="00106D34" w:rsidRPr="00047172">
        <w:rPr>
          <w:color w:val="000000"/>
          <w:sz w:val="20"/>
          <w:szCs w:val="20"/>
          <w:lang w:val="en-US" w:bidi="th-TH"/>
        </w:rPr>
        <w:t>hotel and entertainment</w:t>
      </w:r>
      <w:r w:rsidRPr="00047172">
        <w:rPr>
          <w:color w:val="000000"/>
          <w:sz w:val="20"/>
          <w:szCs w:val="20"/>
          <w:lang w:bidi="th-TH"/>
        </w:rPr>
        <w:t xml:space="preserve"> industry is selected for the research because until now there is no research published with the same scope and because Viet Nam </w:t>
      </w:r>
      <w:r w:rsidR="00106D34" w:rsidRPr="00047172">
        <w:rPr>
          <w:color w:val="000000"/>
          <w:sz w:val="20"/>
          <w:szCs w:val="20"/>
          <w:lang w:val="en-US" w:bidi="th-TH"/>
        </w:rPr>
        <w:t>hotel and entertainment</w:t>
      </w:r>
      <w:r w:rsidRPr="00047172">
        <w:rPr>
          <w:color w:val="000000"/>
          <w:sz w:val="20"/>
          <w:szCs w:val="20"/>
          <w:lang w:bidi="th-TH"/>
        </w:rPr>
        <w:t xml:space="preserve"> industry is considered as one of active economic sectors in local financial markets, which has some positive effects for the economy. The purpose of this study, therefore, to find out how much market risk for this industry in changing contexts of financial leverage.</w:t>
      </w:r>
    </w:p>
    <w:p w:rsidR="00712D33" w:rsidRPr="00047172" w:rsidRDefault="00712D33" w:rsidP="00D868B6">
      <w:pPr>
        <w:snapToGrid w:val="0"/>
        <w:ind w:firstLine="425"/>
        <w:jc w:val="both"/>
        <w:rPr>
          <w:color w:val="000000"/>
          <w:sz w:val="20"/>
          <w:szCs w:val="20"/>
          <w:lang w:bidi="th-TH"/>
        </w:rPr>
      </w:pPr>
      <w:r w:rsidRPr="00047172">
        <w:rPr>
          <w:color w:val="000000"/>
          <w:sz w:val="20"/>
          <w:szCs w:val="20"/>
          <w:lang w:bidi="th-TH"/>
        </w:rPr>
        <w:t xml:space="preserve">We mention some issues on the estimating of impacts of external financing on beta for listed </w:t>
      </w:r>
      <w:r w:rsidR="00106D34" w:rsidRPr="00047172">
        <w:rPr>
          <w:color w:val="000000"/>
          <w:sz w:val="20"/>
          <w:szCs w:val="20"/>
          <w:lang w:val="en-US" w:bidi="th-TH"/>
        </w:rPr>
        <w:t>hotel and entertainment</w:t>
      </w:r>
      <w:r w:rsidRPr="00047172">
        <w:rPr>
          <w:sz w:val="20"/>
          <w:szCs w:val="20"/>
        </w:rPr>
        <w:t xml:space="preserve"> industry</w:t>
      </w:r>
      <w:r w:rsidRPr="00047172">
        <w:rPr>
          <w:color w:val="000000"/>
          <w:sz w:val="20"/>
          <w:szCs w:val="20"/>
          <w:lang w:bidi="th-TH"/>
        </w:rPr>
        <w:t xml:space="preserve"> companies in Viet Nam stock exchange as following:</w:t>
      </w:r>
    </w:p>
    <w:p w:rsidR="00712D33" w:rsidRPr="00047172" w:rsidRDefault="00712D33" w:rsidP="00D868B6">
      <w:pPr>
        <w:snapToGrid w:val="0"/>
        <w:ind w:firstLine="425"/>
        <w:jc w:val="both"/>
        <w:rPr>
          <w:color w:val="000000"/>
          <w:sz w:val="20"/>
          <w:szCs w:val="20"/>
          <w:lang w:bidi="th-TH"/>
        </w:rPr>
      </w:pPr>
      <w:r w:rsidRPr="00047172">
        <w:rPr>
          <w:color w:val="000000"/>
          <w:sz w:val="20"/>
          <w:szCs w:val="20"/>
          <w:lang w:bidi="th-TH"/>
        </w:rPr>
        <w:t xml:space="preserve">Issue 1: Whether the risk level of </w:t>
      </w:r>
      <w:r w:rsidR="00106D34" w:rsidRPr="00047172">
        <w:rPr>
          <w:color w:val="000000"/>
          <w:sz w:val="20"/>
          <w:szCs w:val="20"/>
          <w:lang w:val="en-US" w:bidi="th-TH"/>
        </w:rPr>
        <w:t>hotel and entertainment</w:t>
      </w:r>
      <w:r w:rsidRPr="00047172">
        <w:rPr>
          <w:sz w:val="20"/>
          <w:szCs w:val="20"/>
        </w:rPr>
        <w:t xml:space="preserve"> industry</w:t>
      </w:r>
      <w:r w:rsidRPr="00047172">
        <w:rPr>
          <w:color w:val="000000"/>
          <w:sz w:val="20"/>
          <w:szCs w:val="20"/>
          <w:lang w:bidi="th-TH"/>
        </w:rPr>
        <w:t xml:space="preserve"> firms under the different </w:t>
      </w:r>
      <w:r w:rsidRPr="00047172">
        <w:rPr>
          <w:color w:val="000000"/>
          <w:sz w:val="20"/>
          <w:szCs w:val="20"/>
          <w:lang w:bidi="th-TH"/>
        </w:rPr>
        <w:lastRenderedPageBreak/>
        <w:t>changing scenarios of leverage increase or decrease so much.</w:t>
      </w:r>
    </w:p>
    <w:p w:rsidR="00712D33" w:rsidRPr="00047172" w:rsidRDefault="00712D33" w:rsidP="00D868B6">
      <w:pPr>
        <w:snapToGrid w:val="0"/>
        <w:ind w:firstLine="425"/>
        <w:jc w:val="both"/>
        <w:rPr>
          <w:color w:val="000000"/>
          <w:sz w:val="20"/>
          <w:szCs w:val="20"/>
          <w:lang w:val="en-US" w:bidi="th-TH"/>
        </w:rPr>
      </w:pPr>
      <w:r w:rsidRPr="00047172">
        <w:rPr>
          <w:color w:val="000000"/>
          <w:sz w:val="20"/>
          <w:szCs w:val="20"/>
          <w:lang w:bidi="th-TH"/>
        </w:rPr>
        <w:t xml:space="preserve">Issue 2: Whether the disperse distribution of beta values become large in the different changing scenarios of leverage estimated in the </w:t>
      </w:r>
      <w:r w:rsidR="00106D34" w:rsidRPr="00047172">
        <w:rPr>
          <w:color w:val="000000"/>
          <w:sz w:val="20"/>
          <w:szCs w:val="20"/>
          <w:lang w:val="en-US" w:bidi="th-TH"/>
        </w:rPr>
        <w:t>hotel and entertainment</w:t>
      </w:r>
      <w:r w:rsidRPr="00047172">
        <w:rPr>
          <w:sz w:val="20"/>
          <w:szCs w:val="20"/>
        </w:rPr>
        <w:t xml:space="preserve"> industry</w:t>
      </w:r>
      <w:r w:rsidRPr="00047172">
        <w:rPr>
          <w:color w:val="000000"/>
          <w:sz w:val="20"/>
          <w:szCs w:val="20"/>
          <w:lang w:bidi="th-TH"/>
        </w:rPr>
        <w:t>.</w:t>
      </w:r>
    </w:p>
    <w:p w:rsidR="00106D34" w:rsidRPr="00047172" w:rsidRDefault="00106D34" w:rsidP="00D868B6">
      <w:pPr>
        <w:snapToGrid w:val="0"/>
        <w:ind w:firstLine="425"/>
        <w:jc w:val="both"/>
        <w:rPr>
          <w:color w:val="000000"/>
          <w:sz w:val="20"/>
          <w:szCs w:val="20"/>
          <w:lang w:val="en-US" w:bidi="th-TH"/>
        </w:rPr>
      </w:pPr>
      <w:proofErr w:type="spellStart"/>
      <w:r w:rsidRPr="00047172">
        <w:rPr>
          <w:color w:val="000000"/>
          <w:sz w:val="20"/>
          <w:szCs w:val="20"/>
          <w:lang w:val="en-US" w:bidi="th-TH"/>
        </w:rPr>
        <w:t>Beside</w:t>
      </w:r>
      <w:proofErr w:type="spellEnd"/>
      <w:r w:rsidRPr="00047172">
        <w:rPr>
          <w:color w:val="000000"/>
          <w:sz w:val="20"/>
          <w:szCs w:val="20"/>
          <w:lang w:val="en-US" w:bidi="th-TH"/>
        </w:rPr>
        <w:t xml:space="preserve">, we also propose some hypotheses for the above </w:t>
      </w:r>
      <w:proofErr w:type="spellStart"/>
      <w:r w:rsidRPr="00047172">
        <w:rPr>
          <w:color w:val="000000"/>
          <w:sz w:val="20"/>
          <w:szCs w:val="20"/>
          <w:lang w:val="en-US" w:bidi="th-TH"/>
        </w:rPr>
        <w:t>iss</w:t>
      </w:r>
      <w:proofErr w:type="spellEnd"/>
      <w:r w:rsidRPr="00047172">
        <w:rPr>
          <w:sz w:val="20"/>
          <w:szCs w:val="20"/>
        </w:rPr>
        <w:t>u</w:t>
      </w:r>
      <w:proofErr w:type="spellStart"/>
      <w:r w:rsidRPr="00047172">
        <w:rPr>
          <w:color w:val="000000"/>
          <w:sz w:val="20"/>
          <w:szCs w:val="20"/>
          <w:lang w:val="en-US" w:bidi="th-TH"/>
        </w:rPr>
        <w:t>es</w:t>
      </w:r>
      <w:proofErr w:type="spellEnd"/>
      <w:r w:rsidRPr="00047172">
        <w:rPr>
          <w:color w:val="000000"/>
          <w:sz w:val="20"/>
          <w:szCs w:val="20"/>
          <w:lang w:val="en-US" w:bidi="th-TH"/>
        </w:rPr>
        <w:t>:</w:t>
      </w:r>
    </w:p>
    <w:p w:rsidR="00106D34" w:rsidRPr="00047172" w:rsidRDefault="00106D34" w:rsidP="00D868B6">
      <w:pPr>
        <w:snapToGrid w:val="0"/>
        <w:ind w:firstLine="425"/>
        <w:jc w:val="both"/>
        <w:rPr>
          <w:color w:val="000000"/>
          <w:sz w:val="20"/>
          <w:szCs w:val="20"/>
          <w:lang w:bidi="th-TH"/>
        </w:rPr>
      </w:pPr>
      <w:r w:rsidRPr="00047172">
        <w:rPr>
          <w:color w:val="000000"/>
          <w:sz w:val="20"/>
          <w:szCs w:val="20"/>
          <w:lang w:val="en-US" w:bidi="th-TH"/>
        </w:rPr>
        <w:t>Hypothesis</w:t>
      </w:r>
      <w:r w:rsidRPr="00047172">
        <w:rPr>
          <w:color w:val="000000"/>
          <w:sz w:val="20"/>
          <w:szCs w:val="20"/>
          <w:lang w:bidi="th-TH"/>
        </w:rPr>
        <w:t xml:space="preserve"> 1: </w:t>
      </w:r>
      <w:proofErr w:type="spellStart"/>
      <w:r w:rsidRPr="00047172">
        <w:rPr>
          <w:color w:val="000000"/>
          <w:sz w:val="20"/>
          <w:szCs w:val="20"/>
          <w:lang w:val="en-US" w:bidi="th-TH"/>
        </w:rPr>
        <w:t>beca</w:t>
      </w:r>
      <w:proofErr w:type="spellEnd"/>
      <w:r w:rsidRPr="00047172">
        <w:rPr>
          <w:sz w:val="20"/>
          <w:szCs w:val="20"/>
        </w:rPr>
        <w:t>u</w:t>
      </w:r>
      <w:r w:rsidRPr="00047172">
        <w:rPr>
          <w:color w:val="000000"/>
          <w:sz w:val="20"/>
          <w:szCs w:val="20"/>
          <w:lang w:val="en-US" w:bidi="th-TH"/>
        </w:rPr>
        <w:t xml:space="preserve">se </w:t>
      </w:r>
      <w:r w:rsidRPr="00047172">
        <w:rPr>
          <w:color w:val="000000"/>
          <w:sz w:val="20"/>
          <w:szCs w:val="20"/>
          <w:lang w:bidi="th-TH"/>
        </w:rPr>
        <w:t>u</w:t>
      </w:r>
      <w:r w:rsidRPr="00047172">
        <w:rPr>
          <w:color w:val="000000"/>
          <w:sz w:val="20"/>
          <w:szCs w:val="20"/>
          <w:lang w:val="en-US" w:bidi="th-TH"/>
        </w:rPr>
        <w:t>sing leverage may strongly affect b</w:t>
      </w:r>
      <w:r w:rsidRPr="00047172">
        <w:rPr>
          <w:sz w:val="20"/>
          <w:szCs w:val="20"/>
        </w:rPr>
        <w:t>u</w:t>
      </w:r>
      <w:proofErr w:type="spellStart"/>
      <w:r w:rsidRPr="00047172">
        <w:rPr>
          <w:color w:val="000000"/>
          <w:sz w:val="20"/>
          <w:szCs w:val="20"/>
          <w:lang w:val="en-US" w:bidi="th-TH"/>
        </w:rPr>
        <w:t>siness</w:t>
      </w:r>
      <w:proofErr w:type="spellEnd"/>
      <w:r w:rsidRPr="00047172">
        <w:rPr>
          <w:color w:val="000000"/>
          <w:sz w:val="20"/>
          <w:szCs w:val="20"/>
          <w:lang w:val="en-US" w:bidi="th-TH"/>
        </w:rPr>
        <w:t xml:space="preserve"> ret</w:t>
      </w:r>
      <w:r w:rsidRPr="00047172">
        <w:rPr>
          <w:sz w:val="20"/>
          <w:szCs w:val="20"/>
        </w:rPr>
        <w:t>u</w:t>
      </w:r>
      <w:proofErr w:type="spellStart"/>
      <w:r w:rsidRPr="00047172">
        <w:rPr>
          <w:color w:val="000000"/>
          <w:sz w:val="20"/>
          <w:szCs w:val="20"/>
          <w:lang w:val="en-US" w:bidi="th-TH"/>
        </w:rPr>
        <w:t>rns</w:t>
      </w:r>
      <w:proofErr w:type="spellEnd"/>
      <w:r w:rsidRPr="00047172">
        <w:rPr>
          <w:color w:val="000000"/>
          <w:sz w:val="20"/>
          <w:szCs w:val="20"/>
          <w:lang w:val="en-US" w:bidi="th-TH"/>
        </w:rPr>
        <w:t>, changing leverage scenarios co</w:t>
      </w:r>
      <w:r w:rsidRPr="00047172">
        <w:rPr>
          <w:sz w:val="20"/>
          <w:szCs w:val="20"/>
        </w:rPr>
        <w:t>u</w:t>
      </w:r>
      <w:r w:rsidRPr="00047172">
        <w:rPr>
          <w:color w:val="000000"/>
          <w:sz w:val="20"/>
          <w:szCs w:val="20"/>
          <w:lang w:val="en-US" w:bidi="th-TH"/>
        </w:rPr>
        <w:t>ld strongly affect firm risk</w:t>
      </w:r>
      <w:r w:rsidRPr="00047172">
        <w:rPr>
          <w:color w:val="000000"/>
          <w:sz w:val="20"/>
          <w:szCs w:val="20"/>
          <w:lang w:bidi="th-TH"/>
        </w:rPr>
        <w:t>.</w:t>
      </w:r>
    </w:p>
    <w:p w:rsidR="00106D34" w:rsidRPr="00047172" w:rsidRDefault="00106D34" w:rsidP="00D868B6">
      <w:pPr>
        <w:shd w:val="clear" w:color="auto" w:fill="FFFFFF"/>
        <w:snapToGrid w:val="0"/>
        <w:ind w:firstLine="425"/>
        <w:jc w:val="both"/>
        <w:textAlignment w:val="baseline"/>
        <w:rPr>
          <w:color w:val="000000"/>
          <w:sz w:val="20"/>
          <w:szCs w:val="20"/>
          <w:lang w:val="en-US" w:bidi="th-TH"/>
        </w:rPr>
      </w:pPr>
      <w:r w:rsidRPr="00047172">
        <w:rPr>
          <w:color w:val="000000"/>
          <w:sz w:val="20"/>
          <w:szCs w:val="20"/>
          <w:lang w:val="en-US" w:bidi="th-TH"/>
        </w:rPr>
        <w:t>Hypothesis</w:t>
      </w:r>
      <w:r w:rsidRPr="00047172">
        <w:rPr>
          <w:color w:val="000000"/>
          <w:sz w:val="20"/>
          <w:szCs w:val="20"/>
          <w:lang w:bidi="th-TH"/>
        </w:rPr>
        <w:t xml:space="preserve"> 2: </w:t>
      </w:r>
      <w:r w:rsidRPr="00047172">
        <w:rPr>
          <w:color w:val="000000"/>
          <w:sz w:val="20"/>
          <w:szCs w:val="20"/>
          <w:lang w:val="en-US" w:bidi="th-TH"/>
        </w:rPr>
        <w:t>as external financing is vital for the b</w:t>
      </w:r>
      <w:r w:rsidRPr="00047172">
        <w:rPr>
          <w:sz w:val="20"/>
          <w:szCs w:val="20"/>
        </w:rPr>
        <w:t>u</w:t>
      </w:r>
      <w:proofErr w:type="spellStart"/>
      <w:r w:rsidRPr="00047172">
        <w:rPr>
          <w:color w:val="000000"/>
          <w:sz w:val="20"/>
          <w:szCs w:val="20"/>
          <w:lang w:val="en-US" w:bidi="th-TH"/>
        </w:rPr>
        <w:t>siness</w:t>
      </w:r>
      <w:proofErr w:type="spellEnd"/>
      <w:r w:rsidRPr="00047172">
        <w:rPr>
          <w:color w:val="000000"/>
          <w:sz w:val="20"/>
          <w:szCs w:val="20"/>
          <w:lang w:val="en-US" w:bidi="th-TH"/>
        </w:rPr>
        <w:t xml:space="preserve"> development, there will be large disperse in beta or risk </w:t>
      </w:r>
      <w:proofErr w:type="spellStart"/>
      <w:r w:rsidRPr="00047172">
        <w:rPr>
          <w:color w:val="000000"/>
          <w:sz w:val="20"/>
          <w:szCs w:val="20"/>
          <w:lang w:val="en-US" w:bidi="th-TH"/>
        </w:rPr>
        <w:t>val</w:t>
      </w:r>
      <w:proofErr w:type="spellEnd"/>
      <w:r w:rsidRPr="00047172">
        <w:rPr>
          <w:sz w:val="20"/>
          <w:szCs w:val="20"/>
        </w:rPr>
        <w:t>u</w:t>
      </w:r>
      <w:proofErr w:type="spellStart"/>
      <w:r w:rsidRPr="00047172">
        <w:rPr>
          <w:color w:val="000000"/>
          <w:sz w:val="20"/>
          <w:szCs w:val="20"/>
          <w:lang w:val="en-US" w:bidi="th-TH"/>
        </w:rPr>
        <w:t>es</w:t>
      </w:r>
      <w:proofErr w:type="spellEnd"/>
      <w:r w:rsidRPr="00047172">
        <w:rPr>
          <w:color w:val="000000"/>
          <w:sz w:val="20"/>
          <w:szCs w:val="20"/>
          <w:lang w:val="en-US" w:bidi="th-TH"/>
        </w:rPr>
        <w:t xml:space="preserve"> estimated</w:t>
      </w:r>
      <w:r w:rsidRPr="00047172">
        <w:rPr>
          <w:color w:val="000000"/>
          <w:sz w:val="20"/>
          <w:szCs w:val="20"/>
          <w:lang w:bidi="th-TH"/>
        </w:rPr>
        <w:t>.</w:t>
      </w:r>
    </w:p>
    <w:p w:rsidR="00106D34" w:rsidRPr="00047172" w:rsidRDefault="00106D34" w:rsidP="00D868B6">
      <w:pPr>
        <w:shd w:val="clear" w:color="auto" w:fill="FFFFFF"/>
        <w:snapToGrid w:val="0"/>
        <w:ind w:firstLine="425"/>
        <w:jc w:val="both"/>
        <w:textAlignment w:val="baseline"/>
        <w:rPr>
          <w:rFonts w:eastAsia="Gulim"/>
          <w:sz w:val="20"/>
          <w:szCs w:val="20"/>
        </w:rPr>
      </w:pPr>
      <w:r w:rsidRPr="00047172">
        <w:rPr>
          <w:color w:val="000000"/>
          <w:sz w:val="20"/>
          <w:szCs w:val="20"/>
          <w:lang w:bidi="th-TH"/>
        </w:rPr>
        <w:t>This paper is organized as follow. The research issues and literature review</w:t>
      </w:r>
      <w:r w:rsidRPr="00047172">
        <w:rPr>
          <w:color w:val="000000"/>
          <w:sz w:val="20"/>
          <w:szCs w:val="20"/>
          <w:lang w:val="en-US" w:bidi="th-TH"/>
        </w:rPr>
        <w:t xml:space="preserve"> and methodology</w:t>
      </w:r>
      <w:r w:rsidR="00B42709">
        <w:rPr>
          <w:color w:val="000000"/>
          <w:sz w:val="20"/>
          <w:szCs w:val="20"/>
          <w:lang w:val="en-US" w:bidi="th-TH"/>
        </w:rPr>
        <w:t xml:space="preserve"> </w:t>
      </w:r>
      <w:r w:rsidRPr="00047172">
        <w:rPr>
          <w:color w:val="000000"/>
          <w:sz w:val="20"/>
          <w:szCs w:val="20"/>
          <w:lang w:bidi="th-TH"/>
        </w:rPr>
        <w:t xml:space="preserve">will be covered in next sessions 2 and 3, for a short summary. </w:t>
      </w:r>
      <w:r w:rsidRPr="00047172">
        <w:rPr>
          <w:color w:val="000000"/>
          <w:sz w:val="20"/>
          <w:szCs w:val="20"/>
          <w:lang w:val="en-US" w:bidi="th-TH"/>
        </w:rPr>
        <w:t>Next session</w:t>
      </w:r>
      <w:r w:rsidRPr="00047172">
        <w:rPr>
          <w:color w:val="000000"/>
          <w:sz w:val="20"/>
          <w:szCs w:val="20"/>
          <w:lang w:bidi="th-TH"/>
        </w:rPr>
        <w:t xml:space="preserve"> presents empirical results and findings.</w:t>
      </w:r>
      <w:r w:rsidR="00B42709">
        <w:rPr>
          <w:color w:val="000000"/>
          <w:sz w:val="20"/>
          <w:szCs w:val="20"/>
          <w:lang w:bidi="th-TH"/>
        </w:rPr>
        <w:t xml:space="preserve"> </w:t>
      </w:r>
      <w:r w:rsidRPr="00047172">
        <w:rPr>
          <w:color w:val="000000"/>
          <w:sz w:val="20"/>
          <w:szCs w:val="20"/>
          <w:lang w:val="en-US" w:bidi="th-TH"/>
        </w:rPr>
        <w:t>The last session</w:t>
      </w:r>
      <w:r w:rsidRPr="00047172">
        <w:rPr>
          <w:color w:val="000000"/>
          <w:sz w:val="20"/>
          <w:szCs w:val="20"/>
          <w:lang w:bidi="th-TH"/>
        </w:rPr>
        <w:t xml:space="preserve"> shows discussion and will conclude with some policy suggestions. This paper also supports readers with references, exhibits and relevant web sources.</w:t>
      </w:r>
    </w:p>
    <w:p w:rsidR="00F83DA2" w:rsidRPr="00047172" w:rsidRDefault="006D08FD" w:rsidP="00D868B6">
      <w:pPr>
        <w:snapToGrid w:val="0"/>
        <w:jc w:val="both"/>
        <w:textAlignment w:val="baseline"/>
        <w:rPr>
          <w:rFonts w:eastAsia="Gulim"/>
          <w:sz w:val="20"/>
          <w:szCs w:val="20"/>
        </w:rPr>
      </w:pPr>
      <w:r w:rsidRPr="00047172">
        <w:rPr>
          <w:b/>
          <w:bCs/>
          <w:sz w:val="20"/>
          <w:szCs w:val="20"/>
          <w:shd w:val="clear" w:color="auto" w:fill="FFFFFF"/>
        </w:rPr>
        <w:t>Theoretical Background</w:t>
      </w:r>
    </w:p>
    <w:p w:rsidR="001603C0" w:rsidRPr="00047172" w:rsidRDefault="00712D33" w:rsidP="00D868B6">
      <w:pPr>
        <w:snapToGrid w:val="0"/>
        <w:jc w:val="both"/>
        <w:rPr>
          <w:b/>
          <w:bCs/>
          <w:sz w:val="20"/>
          <w:szCs w:val="20"/>
        </w:rPr>
      </w:pPr>
      <w:r w:rsidRPr="00047172">
        <w:rPr>
          <w:b/>
          <w:bCs/>
          <w:color w:val="000000"/>
          <w:sz w:val="20"/>
          <w:szCs w:val="20"/>
          <w:lang w:val="en-US" w:bidi="th-TH"/>
        </w:rPr>
        <w:t>A</w:t>
      </w:r>
      <w:r w:rsidR="001603C0" w:rsidRPr="00047172">
        <w:rPr>
          <w:b/>
          <w:bCs/>
          <w:color w:val="000000"/>
          <w:sz w:val="20"/>
          <w:szCs w:val="20"/>
          <w:lang w:bidi="th-TH"/>
        </w:rPr>
        <w:t>. Conceptual theories</w:t>
      </w:r>
    </w:p>
    <w:p w:rsidR="001603C0" w:rsidRPr="00047172" w:rsidRDefault="001603C0" w:rsidP="00D868B6">
      <w:pPr>
        <w:autoSpaceDE w:val="0"/>
        <w:autoSpaceDN w:val="0"/>
        <w:adjustRightInd w:val="0"/>
        <w:snapToGrid w:val="0"/>
        <w:jc w:val="both"/>
        <w:rPr>
          <w:b/>
          <w:bCs/>
          <w:sz w:val="20"/>
          <w:szCs w:val="20"/>
        </w:rPr>
      </w:pPr>
      <w:r w:rsidRPr="00047172">
        <w:rPr>
          <w:b/>
          <w:bCs/>
          <w:sz w:val="20"/>
          <w:szCs w:val="20"/>
        </w:rPr>
        <w:t>The impact of financial leverage on the economy</w:t>
      </w:r>
    </w:p>
    <w:p w:rsidR="001603C0" w:rsidRPr="00047172" w:rsidRDefault="001603C0" w:rsidP="00D868B6">
      <w:pPr>
        <w:autoSpaceDE w:val="0"/>
        <w:autoSpaceDN w:val="0"/>
        <w:adjustRightInd w:val="0"/>
        <w:snapToGrid w:val="0"/>
        <w:ind w:firstLine="425"/>
        <w:jc w:val="both"/>
        <w:rPr>
          <w:sz w:val="20"/>
          <w:szCs w:val="20"/>
        </w:rPr>
      </w:pPr>
      <w:r w:rsidRPr="00047172">
        <w:rPr>
          <w:sz w:val="20"/>
          <w:szCs w:val="20"/>
        </w:rPr>
        <w:t xml:space="preserve">Financial development and economic growth are positively interrelated. The interaction between these two (2) fields can be considered as a circle, in which good financial development causes economic growth </w:t>
      </w:r>
      <w:r w:rsidRPr="00047172">
        <w:rPr>
          <w:sz w:val="20"/>
          <w:szCs w:val="20"/>
        </w:rPr>
        <w:lastRenderedPageBreak/>
        <w:t>and vice versa. A sound and effective financial system has positive effect on the development and growth of the economy. Financial institutions and markets can enable corporations to solve liquidity needs and enhance long-term investments. This system include many channels for a firm who wants to use financial leverage or FL, which refers to debt or to the borrowing of funds to finance a company’s assets.</w:t>
      </w:r>
    </w:p>
    <w:p w:rsidR="001603C0" w:rsidRPr="00047172" w:rsidRDefault="001603C0" w:rsidP="00D868B6">
      <w:pPr>
        <w:autoSpaceDE w:val="0"/>
        <w:autoSpaceDN w:val="0"/>
        <w:adjustRightInd w:val="0"/>
        <w:snapToGrid w:val="0"/>
        <w:ind w:firstLine="425"/>
        <w:jc w:val="both"/>
        <w:rPr>
          <w:sz w:val="20"/>
          <w:szCs w:val="20"/>
        </w:rPr>
      </w:pPr>
      <w:r w:rsidRPr="00047172">
        <w:rPr>
          <w:sz w:val="20"/>
          <w:szCs w:val="20"/>
        </w:rPr>
        <w:t xml:space="preserve">In a specific industry such as </w:t>
      </w:r>
      <w:r w:rsidR="00797065" w:rsidRPr="00047172">
        <w:rPr>
          <w:sz w:val="20"/>
          <w:szCs w:val="20"/>
          <w:lang w:val="en-US"/>
        </w:rPr>
        <w:t>hotel and entertainment</w:t>
      </w:r>
      <w:r w:rsidRPr="00047172">
        <w:rPr>
          <w:sz w:val="20"/>
          <w:szCs w:val="20"/>
        </w:rPr>
        <w:t xml:space="preserve"> industry, on the one hand, using leverage with a decrease or increase in certain periods could affect tax obligations, revenues, profit after tax and technology innovation and compensation and jobs of the industry.</w:t>
      </w:r>
    </w:p>
    <w:p w:rsidR="001603C0" w:rsidRPr="00047172" w:rsidRDefault="001603C0" w:rsidP="00D868B6">
      <w:pPr>
        <w:autoSpaceDE w:val="0"/>
        <w:autoSpaceDN w:val="0"/>
        <w:adjustRightInd w:val="0"/>
        <w:snapToGrid w:val="0"/>
        <w:ind w:firstLine="425"/>
        <w:jc w:val="both"/>
        <w:rPr>
          <w:sz w:val="20"/>
          <w:szCs w:val="20"/>
        </w:rPr>
      </w:pPr>
      <w:r w:rsidRPr="00047172">
        <w:rPr>
          <w:sz w:val="20"/>
          <w:szCs w:val="20"/>
        </w:rPr>
        <w:t>During and after financial crises such as the 2007-2009 crisis, there raises concerns about the role of financial leverage of many countries, in both developed and developing markets. On the one hand, lending programs and packages might support the business sectors. On the other hand, it might create more risks for the business and economy.</w:t>
      </w:r>
    </w:p>
    <w:p w:rsidR="001603C0" w:rsidRPr="00047172" w:rsidRDefault="00712D33" w:rsidP="00D868B6">
      <w:pPr>
        <w:snapToGrid w:val="0"/>
        <w:jc w:val="both"/>
        <w:rPr>
          <w:b/>
          <w:bCs/>
          <w:sz w:val="20"/>
          <w:szCs w:val="20"/>
        </w:rPr>
      </w:pPr>
      <w:r w:rsidRPr="00047172">
        <w:rPr>
          <w:b/>
          <w:bCs/>
          <w:color w:val="000000"/>
          <w:sz w:val="20"/>
          <w:szCs w:val="20"/>
          <w:lang w:val="en-US" w:bidi="th-TH"/>
        </w:rPr>
        <w:t>B</w:t>
      </w:r>
      <w:r w:rsidR="001603C0" w:rsidRPr="00047172">
        <w:rPr>
          <w:b/>
          <w:bCs/>
          <w:color w:val="000000"/>
          <w:sz w:val="20"/>
          <w:szCs w:val="20"/>
          <w:lang w:bidi="th-TH"/>
        </w:rPr>
        <w:t>. Methodology</w:t>
      </w:r>
    </w:p>
    <w:p w:rsidR="001603C0" w:rsidRPr="00047172" w:rsidRDefault="001603C0" w:rsidP="00D868B6">
      <w:pPr>
        <w:snapToGrid w:val="0"/>
        <w:ind w:firstLine="425"/>
        <w:jc w:val="both"/>
        <w:rPr>
          <w:sz w:val="20"/>
          <w:szCs w:val="20"/>
          <w:lang w:bidi="th-TH"/>
        </w:rPr>
      </w:pPr>
      <w:r w:rsidRPr="00047172">
        <w:rPr>
          <w:sz w:val="20"/>
          <w:szCs w:val="20"/>
          <w:lang w:bidi="th-TH"/>
        </w:rPr>
        <w:t xml:space="preserve">For calculating </w:t>
      </w:r>
      <w:r w:rsidRPr="00047172">
        <w:rPr>
          <w:color w:val="000000"/>
          <w:sz w:val="20"/>
          <w:szCs w:val="20"/>
          <w:lang w:bidi="th-TH"/>
        </w:rPr>
        <w:t>systemic risk results and leverage impacts</w:t>
      </w:r>
      <w:r w:rsidRPr="00047172">
        <w:rPr>
          <w:sz w:val="20"/>
          <w:szCs w:val="20"/>
          <w:lang w:bidi="th-TH"/>
        </w:rPr>
        <w:t xml:space="preserve">, in this study, </w:t>
      </w:r>
      <w:r w:rsidRPr="00047172">
        <w:rPr>
          <w:color w:val="000000"/>
          <w:sz w:val="20"/>
          <w:szCs w:val="20"/>
          <w:lang w:bidi="th-TH"/>
        </w:rPr>
        <w:t>we use the live data during the crisis period 200</w:t>
      </w:r>
      <w:r w:rsidR="00543F39" w:rsidRPr="00047172">
        <w:rPr>
          <w:color w:val="000000"/>
          <w:sz w:val="20"/>
          <w:szCs w:val="20"/>
          <w:lang w:val="en-US" w:bidi="th-TH"/>
        </w:rPr>
        <w:t>9</w:t>
      </w:r>
      <w:r w:rsidRPr="00047172">
        <w:rPr>
          <w:color w:val="000000"/>
          <w:sz w:val="20"/>
          <w:szCs w:val="20"/>
          <w:lang w:bidi="th-TH"/>
        </w:rPr>
        <w:t>-2011 from the stock exchange market in Viet Nam (HOSE and HNX and UPCOM).</w:t>
      </w:r>
    </w:p>
    <w:p w:rsidR="001603C0" w:rsidRPr="00047172" w:rsidRDefault="001603C0" w:rsidP="00D868B6">
      <w:pPr>
        <w:autoSpaceDE w:val="0"/>
        <w:autoSpaceDN w:val="0"/>
        <w:adjustRightInd w:val="0"/>
        <w:snapToGrid w:val="0"/>
        <w:ind w:firstLine="425"/>
        <w:jc w:val="both"/>
        <w:rPr>
          <w:sz w:val="20"/>
          <w:szCs w:val="20"/>
        </w:rPr>
      </w:pPr>
      <w:r w:rsidRPr="00047172">
        <w:rPr>
          <w:sz w:val="20"/>
          <w:szCs w:val="20"/>
        </w:rPr>
        <w:t xml:space="preserve">In this research, analytical research method is used, philosophical method is used and specially, leverage scenario analysis method is used. Analytical data is from the situation of listed </w:t>
      </w:r>
      <w:r w:rsidR="00797065" w:rsidRPr="00047172">
        <w:rPr>
          <w:sz w:val="20"/>
          <w:szCs w:val="20"/>
          <w:lang w:val="en-US"/>
        </w:rPr>
        <w:t>hotel and entertainment</w:t>
      </w:r>
      <w:r w:rsidRPr="00047172">
        <w:rPr>
          <w:sz w:val="20"/>
          <w:szCs w:val="20"/>
        </w:rPr>
        <w:t xml:space="preserve"> industry firms in VN stock exchange and curent tax rate is 25%.</w:t>
      </w:r>
    </w:p>
    <w:p w:rsidR="001603C0" w:rsidRPr="00047172" w:rsidRDefault="001603C0" w:rsidP="00D868B6">
      <w:pPr>
        <w:autoSpaceDE w:val="0"/>
        <w:autoSpaceDN w:val="0"/>
        <w:adjustRightInd w:val="0"/>
        <w:snapToGrid w:val="0"/>
        <w:ind w:firstLine="425"/>
        <w:jc w:val="both"/>
        <w:rPr>
          <w:sz w:val="20"/>
          <w:szCs w:val="20"/>
        </w:rPr>
      </w:pPr>
      <w:r w:rsidRPr="00047172">
        <w:rPr>
          <w:sz w:val="20"/>
          <w:szCs w:val="20"/>
        </w:rPr>
        <w:t>Generally speaking, quantitative method is mainly used in this study whith a note that risk measure asset beta is mainly derive from equity beta and financial leverage.</w:t>
      </w:r>
    </w:p>
    <w:p w:rsidR="00F83DA2" w:rsidRPr="00047172" w:rsidRDefault="001603C0" w:rsidP="00D868B6">
      <w:pPr>
        <w:shd w:val="clear" w:color="auto" w:fill="FFFFFF"/>
        <w:snapToGrid w:val="0"/>
        <w:ind w:firstLine="425"/>
        <w:jc w:val="both"/>
        <w:textAlignment w:val="baseline"/>
        <w:rPr>
          <w:sz w:val="20"/>
          <w:szCs w:val="20"/>
          <w:shd w:val="clear" w:color="auto" w:fill="FFFFFF"/>
          <w:lang w:eastAsia="ko-KR"/>
        </w:rPr>
      </w:pPr>
      <w:r w:rsidRPr="00047172">
        <w:rPr>
          <w:color w:val="000000"/>
          <w:sz w:val="20"/>
          <w:szCs w:val="20"/>
          <w:lang w:bidi="th-TH"/>
        </w:rPr>
        <w:t>Finally, we use the results to suggest policy for both these enterprises, relevant organizations and government.</w:t>
      </w:r>
    </w:p>
    <w:p w:rsidR="003412B5" w:rsidRPr="00047172" w:rsidRDefault="00712D33" w:rsidP="00D868B6">
      <w:pPr>
        <w:shd w:val="clear" w:color="auto" w:fill="FFFFFF"/>
        <w:snapToGrid w:val="0"/>
        <w:jc w:val="both"/>
        <w:textAlignment w:val="baseline"/>
        <w:rPr>
          <w:rFonts w:eastAsia="Gulim"/>
          <w:sz w:val="20"/>
          <w:szCs w:val="20"/>
        </w:rPr>
      </w:pPr>
      <w:r w:rsidRPr="00047172">
        <w:rPr>
          <w:b/>
          <w:bCs/>
          <w:sz w:val="20"/>
          <w:szCs w:val="20"/>
          <w:shd w:val="clear" w:color="auto" w:fill="FFFFFF"/>
          <w:lang w:val="en-US"/>
        </w:rPr>
        <w:t>C</w:t>
      </w:r>
      <w:r w:rsidR="00F17D5F" w:rsidRPr="00047172">
        <w:rPr>
          <w:b/>
          <w:bCs/>
          <w:sz w:val="20"/>
          <w:szCs w:val="20"/>
          <w:shd w:val="clear" w:color="auto" w:fill="FFFFFF"/>
          <w:lang w:val="en-US"/>
        </w:rPr>
        <w:t xml:space="preserve">. </w:t>
      </w:r>
      <w:r w:rsidR="003412B5" w:rsidRPr="00047172">
        <w:rPr>
          <w:b/>
          <w:bCs/>
          <w:sz w:val="20"/>
          <w:szCs w:val="20"/>
          <w:shd w:val="clear" w:color="auto" w:fill="FFFFFF"/>
        </w:rPr>
        <w:t>Previous Studies</w:t>
      </w:r>
    </w:p>
    <w:p w:rsidR="001603C0" w:rsidRPr="00047172" w:rsidRDefault="001603C0" w:rsidP="00D868B6">
      <w:pPr>
        <w:snapToGrid w:val="0"/>
        <w:ind w:firstLine="425"/>
        <w:jc w:val="both"/>
        <w:rPr>
          <w:color w:val="000000"/>
          <w:sz w:val="20"/>
          <w:szCs w:val="20"/>
          <w:lang w:bidi="th-TH"/>
        </w:rPr>
      </w:pPr>
      <w:r w:rsidRPr="00047172">
        <w:rPr>
          <w:color w:val="000000"/>
          <w:sz w:val="20"/>
          <w:szCs w:val="20"/>
          <w:lang w:bidi="th-TH"/>
        </w:rPr>
        <w:t>Fama, Eugene F., and French, Kenneth R., (2004) also indicated in the three factor model that “value” and “size” are significant components which can affect stock returns.</w:t>
      </w:r>
      <w:r w:rsidR="00B42709">
        <w:rPr>
          <w:color w:val="000000"/>
          <w:sz w:val="20"/>
          <w:szCs w:val="20"/>
          <w:lang w:bidi="th-TH"/>
        </w:rPr>
        <w:t xml:space="preserve"> </w:t>
      </w:r>
      <w:r w:rsidRPr="00047172">
        <w:rPr>
          <w:color w:val="000000"/>
          <w:sz w:val="20"/>
          <w:szCs w:val="20"/>
          <w:lang w:bidi="th-TH"/>
        </w:rPr>
        <w:t>They also mentioned that a stock’s return not only depends on a market beta, but also on market capitalization beta. The market beta is used in the three factor model, developed by Fama and French, which is the successor to the CAPM model by Sharpe, Treynor and Lintner.</w:t>
      </w:r>
    </w:p>
    <w:p w:rsidR="001603C0" w:rsidRPr="00047172" w:rsidRDefault="001603C0" w:rsidP="00D868B6">
      <w:pPr>
        <w:snapToGrid w:val="0"/>
        <w:ind w:firstLine="425"/>
        <w:jc w:val="both"/>
        <w:rPr>
          <w:color w:val="000000"/>
          <w:sz w:val="20"/>
          <w:szCs w:val="20"/>
          <w:lang w:bidi="th-TH"/>
        </w:rPr>
      </w:pPr>
      <w:r w:rsidRPr="00047172">
        <w:rPr>
          <w:color w:val="000000"/>
          <w:sz w:val="20"/>
          <w:szCs w:val="20"/>
          <w:lang w:bidi="th-TH"/>
        </w:rPr>
        <w:t xml:space="preserve">Dimitrov (2006) </w:t>
      </w:r>
      <w:r w:rsidRPr="00047172">
        <w:rPr>
          <w:sz w:val="20"/>
          <w:szCs w:val="20"/>
        </w:rPr>
        <w:t xml:space="preserve">documented a significantly negative association between changes in financial leverage and contemporaneous risk-adjusted stock returns. </w:t>
      </w:r>
      <w:r w:rsidRPr="00047172">
        <w:rPr>
          <w:color w:val="000000"/>
          <w:sz w:val="20"/>
          <w:szCs w:val="20"/>
          <w:lang w:bidi="th-TH"/>
        </w:rPr>
        <w:t xml:space="preserve">Aydemir et all (2006) identified </w:t>
      </w:r>
      <w:r w:rsidRPr="00047172">
        <w:rPr>
          <w:sz w:val="20"/>
          <w:szCs w:val="20"/>
        </w:rPr>
        <w:t xml:space="preserve">in an economy with more realistic variation in interest rates and the price of risk, there is significant variation in stock return volatility at the market and firm level. In </w:t>
      </w:r>
      <w:r w:rsidRPr="00047172">
        <w:rPr>
          <w:sz w:val="20"/>
          <w:szCs w:val="20"/>
        </w:rPr>
        <w:lastRenderedPageBreak/>
        <w:t>such an economy, financial leverage has little effect on the dynamics of stock return volatility at the market level. Financial leverage contributes more to the dynamics of stock return volatility for a small firm</w:t>
      </w:r>
      <w:r w:rsidRPr="00047172">
        <w:rPr>
          <w:color w:val="000000"/>
          <w:sz w:val="20"/>
          <w:szCs w:val="20"/>
          <w:lang w:bidi="th-TH"/>
        </w:rPr>
        <w:t xml:space="preserve">. Then, Maia (2010) </w:t>
      </w:r>
      <w:r w:rsidRPr="00047172">
        <w:rPr>
          <w:sz w:val="20"/>
          <w:szCs w:val="20"/>
        </w:rPr>
        <w:t>stated the main determinants of firms' capital structures are related to firms' sensitivities to these systematic sources of risk and they affect asymmetrically low and high leverage firms. And temporary shocks are relatively more important for low leverage firms, and that financial distress risk seems to be captured by the sensitivity of firms' cash flow innovations to market discount rate news.</w:t>
      </w:r>
    </w:p>
    <w:p w:rsidR="001603C0" w:rsidRPr="00047172" w:rsidRDefault="001603C0" w:rsidP="00D868B6">
      <w:pPr>
        <w:snapToGrid w:val="0"/>
        <w:ind w:firstLine="425"/>
        <w:jc w:val="both"/>
        <w:rPr>
          <w:color w:val="000000"/>
          <w:sz w:val="20"/>
          <w:szCs w:val="20"/>
          <w:lang w:bidi="th-TH"/>
        </w:rPr>
      </w:pPr>
      <w:r w:rsidRPr="00047172">
        <w:rPr>
          <w:color w:val="000000"/>
          <w:sz w:val="20"/>
          <w:szCs w:val="20"/>
          <w:lang w:bidi="th-TH"/>
        </w:rPr>
        <w:t xml:space="preserve">Umar (2011) </w:t>
      </w:r>
      <w:r w:rsidRPr="00047172">
        <w:rPr>
          <w:sz w:val="20"/>
          <w:szCs w:val="20"/>
        </w:rPr>
        <w:t>found that firms which maintain good governance structures have leverage ratios that are higher (forty-seven percent) than those of firms with poor governance mechanisms per unit of profit</w:t>
      </w:r>
      <w:r w:rsidRPr="00047172">
        <w:rPr>
          <w:color w:val="000000"/>
          <w:sz w:val="20"/>
          <w:szCs w:val="20"/>
          <w:lang w:bidi="th-TH"/>
        </w:rPr>
        <w:t xml:space="preserve">. Chen et all (2013) </w:t>
      </w:r>
      <w:r w:rsidRPr="00047172">
        <w:rPr>
          <w:sz w:val="20"/>
          <w:szCs w:val="20"/>
        </w:rPr>
        <w:t>supported regulators' suspicions that over-reliance on short-term funding and insufficient collateral compounded the effects of dangerously high leverage and resulted in undercapitalization and excessive risk exposure for Lehman Brothers. The model reinforces the importance of the relationship between capital structure and risk management. Then, Alcock et all (2013) found evidence that leverage cannot be viewed as a long-term strategy to enhance performance, but in the short term, managers do seem to add significantly to fund excess returns by effectively timing leverage choices to the expected future market environment. And Gunaratha (2013) revealed that in different industries in Sri Lanka, the degree of financial leverage has a significant positive correlation with financial risk.</w:t>
      </w:r>
    </w:p>
    <w:p w:rsidR="00F83DA2" w:rsidRPr="00047172" w:rsidRDefault="001603C0" w:rsidP="00D868B6">
      <w:pPr>
        <w:shd w:val="clear" w:color="auto" w:fill="FFFFFF"/>
        <w:snapToGrid w:val="0"/>
        <w:ind w:firstLine="425"/>
        <w:jc w:val="both"/>
        <w:textAlignment w:val="baseline"/>
        <w:rPr>
          <w:color w:val="000000"/>
          <w:sz w:val="20"/>
          <w:szCs w:val="20"/>
          <w:lang w:val="en-US" w:bidi="th-TH"/>
        </w:rPr>
      </w:pPr>
      <w:r w:rsidRPr="00047172">
        <w:rPr>
          <w:color w:val="000000"/>
          <w:sz w:val="20"/>
          <w:szCs w:val="20"/>
          <w:lang w:bidi="th-TH"/>
        </w:rPr>
        <w:t>Finally, financial leverage can be considered as one among many factors that affect business risk of consumer good firms.</w:t>
      </w:r>
    </w:p>
    <w:p w:rsidR="00F83DA2" w:rsidRPr="00047172" w:rsidRDefault="00D868B6" w:rsidP="00D868B6">
      <w:pPr>
        <w:shd w:val="clear" w:color="auto" w:fill="FFFFFF"/>
        <w:snapToGrid w:val="0"/>
        <w:jc w:val="both"/>
        <w:textAlignment w:val="baseline"/>
        <w:rPr>
          <w:rFonts w:eastAsia="Gulim"/>
          <w:sz w:val="20"/>
          <w:szCs w:val="20"/>
        </w:rPr>
      </w:pPr>
      <w:r w:rsidRPr="00047172">
        <w:rPr>
          <w:b/>
          <w:bCs/>
          <w:sz w:val="20"/>
          <w:szCs w:val="20"/>
          <w:shd w:val="clear" w:color="auto" w:fill="FFFFFF"/>
        </w:rPr>
        <w:t>Empirical Analysis</w:t>
      </w:r>
    </w:p>
    <w:p w:rsidR="00F17D5F" w:rsidRPr="00047172" w:rsidRDefault="00F17D5F" w:rsidP="00D868B6">
      <w:pPr>
        <w:snapToGrid w:val="0"/>
        <w:jc w:val="both"/>
        <w:rPr>
          <w:b/>
          <w:bCs/>
          <w:color w:val="000000"/>
          <w:sz w:val="20"/>
          <w:szCs w:val="20"/>
          <w:lang w:bidi="th-TH"/>
        </w:rPr>
      </w:pPr>
      <w:r w:rsidRPr="00047172">
        <w:rPr>
          <w:b/>
          <w:bCs/>
          <w:color w:val="000000"/>
          <w:sz w:val="20"/>
          <w:szCs w:val="20"/>
          <w:lang w:val="en-US" w:bidi="th-TH"/>
        </w:rPr>
        <w:t xml:space="preserve">A. </w:t>
      </w:r>
      <w:r w:rsidRPr="00047172">
        <w:rPr>
          <w:b/>
          <w:bCs/>
          <w:color w:val="000000"/>
          <w:sz w:val="20"/>
          <w:szCs w:val="20"/>
          <w:lang w:bidi="th-TH"/>
        </w:rPr>
        <w:t>General Data Analysis</w:t>
      </w:r>
    </w:p>
    <w:p w:rsidR="00F17D5F" w:rsidRPr="00047172" w:rsidRDefault="00F17D5F" w:rsidP="00D868B6">
      <w:pPr>
        <w:snapToGrid w:val="0"/>
        <w:ind w:firstLine="425"/>
        <w:jc w:val="both"/>
        <w:rPr>
          <w:color w:val="000000"/>
          <w:sz w:val="20"/>
          <w:szCs w:val="20"/>
          <w:lang w:bidi="th-TH"/>
        </w:rPr>
      </w:pPr>
      <w:r w:rsidRPr="00047172">
        <w:rPr>
          <w:color w:val="000000"/>
          <w:sz w:val="20"/>
          <w:szCs w:val="20"/>
          <w:lang w:bidi="th-TH"/>
        </w:rPr>
        <w:t>The research sample has total 1</w:t>
      </w:r>
      <w:r w:rsidR="00797065" w:rsidRPr="00047172">
        <w:rPr>
          <w:color w:val="000000"/>
          <w:sz w:val="20"/>
          <w:szCs w:val="20"/>
          <w:lang w:val="en-US" w:bidi="th-TH"/>
        </w:rPr>
        <w:t>2</w:t>
      </w:r>
      <w:r w:rsidRPr="00047172">
        <w:rPr>
          <w:color w:val="000000"/>
          <w:sz w:val="20"/>
          <w:szCs w:val="20"/>
          <w:lang w:bidi="th-TH"/>
        </w:rPr>
        <w:t xml:space="preserve"> listed firms in the </w:t>
      </w:r>
      <w:r w:rsidR="00797065" w:rsidRPr="00047172">
        <w:rPr>
          <w:sz w:val="20"/>
          <w:szCs w:val="20"/>
          <w:lang w:val="en-US"/>
        </w:rPr>
        <w:t>hotel and entertainment</w:t>
      </w:r>
      <w:r w:rsidRPr="00047172">
        <w:rPr>
          <w:sz w:val="20"/>
          <w:szCs w:val="20"/>
        </w:rPr>
        <w:t xml:space="preserve"> industry</w:t>
      </w:r>
      <w:r w:rsidRPr="00047172">
        <w:rPr>
          <w:color w:val="000000"/>
          <w:sz w:val="20"/>
          <w:szCs w:val="20"/>
          <w:lang w:bidi="th-TH"/>
        </w:rPr>
        <w:t xml:space="preserve"> market with the live data from the stock exchange.</w:t>
      </w:r>
    </w:p>
    <w:p w:rsidR="00F17D5F" w:rsidRPr="00047172" w:rsidRDefault="00F17D5F" w:rsidP="00D868B6">
      <w:pPr>
        <w:snapToGrid w:val="0"/>
        <w:ind w:firstLine="425"/>
        <w:jc w:val="both"/>
        <w:rPr>
          <w:color w:val="000000"/>
          <w:sz w:val="20"/>
          <w:szCs w:val="20"/>
          <w:lang w:bidi="th-TH"/>
        </w:rPr>
      </w:pPr>
      <w:r w:rsidRPr="00047172">
        <w:rPr>
          <w:color w:val="000000"/>
          <w:sz w:val="20"/>
          <w:szCs w:val="20"/>
          <w:lang w:bidi="th-TH"/>
        </w:rPr>
        <w:t>Firstly, we estimate equity beta values of these firms and use financial leverage to estimate asset beta values of them. Secondly, we change the leverage from what reported in F.S 2011 to increasing 30% and reducing 20% to see the sensitivity of beta values. We found out that in 3 cases, asset beta mean values are estimated at 0,</w:t>
      </w:r>
      <w:r w:rsidR="00797065" w:rsidRPr="00047172">
        <w:rPr>
          <w:color w:val="000000"/>
          <w:sz w:val="20"/>
          <w:szCs w:val="20"/>
          <w:lang w:val="en-US" w:bidi="th-TH"/>
        </w:rPr>
        <w:t>279</w:t>
      </w:r>
      <w:r w:rsidRPr="00047172">
        <w:rPr>
          <w:color w:val="000000"/>
          <w:sz w:val="20"/>
          <w:szCs w:val="20"/>
          <w:lang w:bidi="th-TH"/>
        </w:rPr>
        <w:t>, 0,</w:t>
      </w:r>
      <w:r w:rsidR="00797065" w:rsidRPr="00047172">
        <w:rPr>
          <w:color w:val="000000"/>
          <w:sz w:val="20"/>
          <w:szCs w:val="20"/>
          <w:lang w:val="en-US" w:bidi="th-TH"/>
        </w:rPr>
        <w:t>208</w:t>
      </w:r>
      <w:r w:rsidRPr="00047172">
        <w:rPr>
          <w:color w:val="000000"/>
          <w:sz w:val="20"/>
          <w:szCs w:val="20"/>
          <w:lang w:bidi="th-TH"/>
        </w:rPr>
        <w:t xml:space="preserve"> and 0,</w:t>
      </w:r>
      <w:r w:rsidR="00797065" w:rsidRPr="00047172">
        <w:rPr>
          <w:color w:val="000000"/>
          <w:sz w:val="20"/>
          <w:szCs w:val="20"/>
          <w:lang w:val="en-US" w:bidi="th-TH"/>
        </w:rPr>
        <w:t>336</w:t>
      </w:r>
      <w:r w:rsidRPr="00047172">
        <w:rPr>
          <w:color w:val="000000"/>
          <w:sz w:val="20"/>
          <w:szCs w:val="20"/>
          <w:lang w:bidi="th-TH"/>
        </w:rPr>
        <w:t xml:space="preserve"> which are</w:t>
      </w:r>
      <w:r w:rsidR="008B360F" w:rsidRPr="00047172">
        <w:rPr>
          <w:color w:val="000000"/>
          <w:sz w:val="20"/>
          <w:szCs w:val="20"/>
          <w:lang w:val="en-US" w:bidi="th-TH"/>
        </w:rPr>
        <w:t xml:space="preserve"> sensitive</w:t>
      </w:r>
      <w:r w:rsidRPr="00047172">
        <w:rPr>
          <w:color w:val="000000"/>
          <w:sz w:val="20"/>
          <w:szCs w:val="20"/>
          <w:lang w:bidi="th-TH"/>
        </w:rPr>
        <w:t xml:space="preserve"> </w:t>
      </w:r>
      <w:r w:rsidR="008B360F" w:rsidRPr="00047172">
        <w:rPr>
          <w:color w:val="000000"/>
          <w:sz w:val="20"/>
          <w:szCs w:val="20"/>
          <w:lang w:val="en-US" w:bidi="th-TH"/>
        </w:rPr>
        <w:t xml:space="preserve">and </w:t>
      </w:r>
      <w:r w:rsidR="00797065" w:rsidRPr="00047172">
        <w:rPr>
          <w:color w:val="000000"/>
          <w:sz w:val="20"/>
          <w:szCs w:val="20"/>
          <w:lang w:val="en-US" w:bidi="th-TH"/>
        </w:rPr>
        <w:t>negatively correlated</w:t>
      </w:r>
      <w:r w:rsidR="008B360F" w:rsidRPr="00047172">
        <w:rPr>
          <w:color w:val="000000"/>
          <w:sz w:val="20"/>
          <w:szCs w:val="20"/>
          <w:lang w:val="en-US" w:bidi="th-TH"/>
        </w:rPr>
        <w:t xml:space="preserve"> </w:t>
      </w:r>
      <w:r w:rsidRPr="00047172">
        <w:rPr>
          <w:color w:val="000000"/>
          <w:sz w:val="20"/>
          <w:szCs w:val="20"/>
          <w:lang w:bidi="th-TH"/>
        </w:rPr>
        <w:t>with the leverage. Also in 3 scenarios, we find out equity beta mean values (0,</w:t>
      </w:r>
      <w:r w:rsidR="00797065" w:rsidRPr="00047172">
        <w:rPr>
          <w:color w:val="000000"/>
          <w:sz w:val="20"/>
          <w:szCs w:val="20"/>
          <w:lang w:val="en-US" w:bidi="th-TH"/>
        </w:rPr>
        <w:t>477</w:t>
      </w:r>
      <w:r w:rsidRPr="00047172">
        <w:rPr>
          <w:color w:val="000000"/>
          <w:sz w:val="20"/>
          <w:szCs w:val="20"/>
          <w:lang w:bidi="th-TH"/>
        </w:rPr>
        <w:t>, 0,</w:t>
      </w:r>
      <w:r w:rsidR="00797065" w:rsidRPr="00047172">
        <w:rPr>
          <w:color w:val="000000"/>
          <w:sz w:val="20"/>
          <w:szCs w:val="20"/>
          <w:lang w:val="en-US" w:bidi="th-TH"/>
        </w:rPr>
        <w:t>385</w:t>
      </w:r>
      <w:r w:rsidRPr="00047172">
        <w:rPr>
          <w:color w:val="000000"/>
          <w:sz w:val="20"/>
          <w:szCs w:val="20"/>
          <w:lang w:bidi="th-TH"/>
        </w:rPr>
        <w:t xml:space="preserve"> and 0,</w:t>
      </w:r>
      <w:r w:rsidR="00797065" w:rsidRPr="00047172">
        <w:rPr>
          <w:color w:val="000000"/>
          <w:sz w:val="20"/>
          <w:szCs w:val="20"/>
          <w:lang w:val="en-US" w:bidi="th-TH"/>
        </w:rPr>
        <w:t>498</w:t>
      </w:r>
      <w:r w:rsidRPr="00047172">
        <w:rPr>
          <w:color w:val="000000"/>
          <w:sz w:val="20"/>
          <w:szCs w:val="20"/>
          <w:lang w:bidi="th-TH"/>
        </w:rPr>
        <w:t>) are negatively correlated with the leverage. Leverage degree changes definitely has certain effects on asset and equity beta values.</w:t>
      </w:r>
    </w:p>
    <w:p w:rsidR="00F17D5F" w:rsidRPr="00047172" w:rsidRDefault="00F17D5F" w:rsidP="00D868B6">
      <w:pPr>
        <w:snapToGrid w:val="0"/>
        <w:jc w:val="both"/>
        <w:rPr>
          <w:b/>
          <w:bCs/>
          <w:color w:val="000000"/>
          <w:sz w:val="20"/>
          <w:szCs w:val="20"/>
          <w:lang w:bidi="th-TH"/>
        </w:rPr>
      </w:pPr>
      <w:r w:rsidRPr="00047172">
        <w:rPr>
          <w:b/>
          <w:bCs/>
          <w:color w:val="000000"/>
          <w:sz w:val="20"/>
          <w:szCs w:val="20"/>
          <w:lang w:val="en-US" w:bidi="th-TH"/>
        </w:rPr>
        <w:t xml:space="preserve">B. </w:t>
      </w:r>
      <w:r w:rsidRPr="00047172">
        <w:rPr>
          <w:b/>
          <w:bCs/>
          <w:color w:val="000000"/>
          <w:sz w:val="20"/>
          <w:szCs w:val="20"/>
          <w:lang w:bidi="th-TH"/>
        </w:rPr>
        <w:t>Empirical Research Findings and Discussion</w:t>
      </w:r>
    </w:p>
    <w:p w:rsidR="00F17D5F" w:rsidRPr="00047172" w:rsidRDefault="00F17D5F" w:rsidP="00D868B6">
      <w:pPr>
        <w:autoSpaceDE w:val="0"/>
        <w:autoSpaceDN w:val="0"/>
        <w:adjustRightInd w:val="0"/>
        <w:snapToGrid w:val="0"/>
        <w:ind w:firstLine="425"/>
        <w:jc w:val="both"/>
        <w:rPr>
          <w:sz w:val="20"/>
          <w:szCs w:val="20"/>
        </w:rPr>
      </w:pPr>
      <w:r w:rsidRPr="00047172">
        <w:rPr>
          <w:sz w:val="20"/>
          <w:szCs w:val="20"/>
        </w:rPr>
        <w:lastRenderedPageBreak/>
        <w:t>In the below section, data used are from total 1</w:t>
      </w:r>
      <w:r w:rsidR="00797065" w:rsidRPr="00047172">
        <w:rPr>
          <w:sz w:val="20"/>
          <w:szCs w:val="20"/>
          <w:lang w:val="en-US"/>
        </w:rPr>
        <w:t>2</w:t>
      </w:r>
      <w:r w:rsidRPr="00047172">
        <w:rPr>
          <w:sz w:val="20"/>
          <w:szCs w:val="20"/>
        </w:rPr>
        <w:t xml:space="preserve"> listed </w:t>
      </w:r>
      <w:r w:rsidR="00797065" w:rsidRPr="00047172">
        <w:rPr>
          <w:sz w:val="20"/>
          <w:szCs w:val="20"/>
          <w:lang w:val="en-US"/>
        </w:rPr>
        <w:t>hotel and entertainment</w:t>
      </w:r>
      <w:r w:rsidRPr="00047172">
        <w:rPr>
          <w:sz w:val="20"/>
          <w:szCs w:val="20"/>
        </w:rPr>
        <w:t xml:space="preserve"> industry companies on VN stock exchange (HOSE and HNX mainly). In the scenario 1, current financial leverage degree is kept as in the 2011 financial statements which is used to calculate market risk (beta). Then, two (2) FL scenarios are changed up to 30% and down to 20%, compared to the current FL degree.</w:t>
      </w:r>
    </w:p>
    <w:p w:rsidR="00F17D5F" w:rsidRPr="00047172" w:rsidRDefault="00F17D5F" w:rsidP="00D868B6">
      <w:pPr>
        <w:autoSpaceDE w:val="0"/>
        <w:autoSpaceDN w:val="0"/>
        <w:adjustRightInd w:val="0"/>
        <w:snapToGrid w:val="0"/>
        <w:ind w:firstLine="425"/>
        <w:jc w:val="both"/>
        <w:rPr>
          <w:sz w:val="20"/>
          <w:szCs w:val="20"/>
        </w:rPr>
      </w:pPr>
      <w:r w:rsidRPr="00047172">
        <w:rPr>
          <w:sz w:val="20"/>
          <w:szCs w:val="20"/>
        </w:rPr>
        <w:lastRenderedPageBreak/>
        <w:t>Market risk (beta) under the impact of tax rate, includes: 1) equity beta; and 2) asset beta.</w:t>
      </w:r>
    </w:p>
    <w:p w:rsidR="00F17D5F" w:rsidRPr="00047172" w:rsidRDefault="00F17D5F" w:rsidP="00D868B6">
      <w:pPr>
        <w:autoSpaceDE w:val="0"/>
        <w:autoSpaceDN w:val="0"/>
        <w:adjustRightInd w:val="0"/>
        <w:snapToGrid w:val="0"/>
        <w:ind w:firstLine="425"/>
        <w:jc w:val="both"/>
        <w:rPr>
          <w:sz w:val="20"/>
          <w:szCs w:val="20"/>
        </w:rPr>
      </w:pPr>
      <w:r w:rsidRPr="00047172">
        <w:rPr>
          <w:sz w:val="20"/>
          <w:szCs w:val="20"/>
          <w:lang w:val="en-US"/>
        </w:rPr>
        <w:t>B</w:t>
      </w:r>
      <w:r w:rsidRPr="00047172">
        <w:rPr>
          <w:sz w:val="20"/>
          <w:szCs w:val="20"/>
        </w:rPr>
        <w:t>.1 Scenario 1: current financial leverage (FL) as in financial reports 2011</w:t>
      </w:r>
    </w:p>
    <w:p w:rsidR="00F17D5F" w:rsidRPr="00047172" w:rsidRDefault="00F17D5F" w:rsidP="00D868B6">
      <w:pPr>
        <w:autoSpaceDE w:val="0"/>
        <w:autoSpaceDN w:val="0"/>
        <w:adjustRightInd w:val="0"/>
        <w:snapToGrid w:val="0"/>
        <w:ind w:firstLine="425"/>
        <w:jc w:val="both"/>
        <w:rPr>
          <w:sz w:val="20"/>
          <w:szCs w:val="20"/>
        </w:rPr>
      </w:pPr>
      <w:r w:rsidRPr="00047172">
        <w:rPr>
          <w:sz w:val="20"/>
          <w:szCs w:val="20"/>
        </w:rPr>
        <w:t>In this case, all beta values of 1</w:t>
      </w:r>
      <w:r w:rsidR="00797065" w:rsidRPr="00047172">
        <w:rPr>
          <w:sz w:val="20"/>
          <w:szCs w:val="20"/>
          <w:lang w:val="en-US"/>
        </w:rPr>
        <w:t>2</w:t>
      </w:r>
      <w:r w:rsidRPr="00047172">
        <w:rPr>
          <w:sz w:val="20"/>
          <w:szCs w:val="20"/>
        </w:rPr>
        <w:t xml:space="preserve"> listed firms on VN </w:t>
      </w:r>
      <w:r w:rsidR="008401F4" w:rsidRPr="00047172">
        <w:rPr>
          <w:sz w:val="20"/>
          <w:szCs w:val="20"/>
          <w:lang w:val="en-US"/>
        </w:rPr>
        <w:t>hotel and entertainment</w:t>
      </w:r>
      <w:r w:rsidRPr="00047172">
        <w:rPr>
          <w:sz w:val="20"/>
          <w:szCs w:val="20"/>
        </w:rPr>
        <w:t xml:space="preserve"> industry market as following:</w:t>
      </w:r>
    </w:p>
    <w:p w:rsidR="00D868B6" w:rsidRPr="00047172" w:rsidRDefault="00D868B6" w:rsidP="00D868B6">
      <w:pPr>
        <w:autoSpaceDE w:val="0"/>
        <w:autoSpaceDN w:val="0"/>
        <w:adjustRightInd w:val="0"/>
        <w:snapToGrid w:val="0"/>
        <w:jc w:val="center"/>
        <w:rPr>
          <w:sz w:val="20"/>
          <w:szCs w:val="20"/>
        </w:rPr>
        <w:sectPr w:rsidR="00D868B6" w:rsidRPr="00047172" w:rsidSect="00047172">
          <w:footnotePr>
            <w:numRestart w:val="eachPage"/>
          </w:footnotePr>
          <w:type w:val="continuous"/>
          <w:pgSz w:w="12240" w:h="15840" w:code="1"/>
          <w:pgMar w:top="1440" w:right="1440" w:bottom="1440" w:left="1440" w:header="720" w:footer="720" w:gutter="0"/>
          <w:cols w:num="2" w:space="576"/>
          <w:docGrid w:linePitch="360"/>
        </w:sectPr>
      </w:pPr>
    </w:p>
    <w:p w:rsidR="00D868B6" w:rsidRPr="00047172" w:rsidRDefault="00D868B6" w:rsidP="00D868B6">
      <w:pPr>
        <w:autoSpaceDE w:val="0"/>
        <w:autoSpaceDN w:val="0"/>
        <w:adjustRightInd w:val="0"/>
        <w:snapToGrid w:val="0"/>
        <w:jc w:val="center"/>
        <w:rPr>
          <w:rFonts w:eastAsiaTheme="minorEastAsia"/>
          <w:sz w:val="20"/>
          <w:szCs w:val="20"/>
          <w:lang w:eastAsia="zh-CN"/>
        </w:rPr>
      </w:pPr>
    </w:p>
    <w:p w:rsidR="00F17D5F" w:rsidRPr="00047172" w:rsidRDefault="00F17D5F" w:rsidP="00D868B6">
      <w:pPr>
        <w:autoSpaceDE w:val="0"/>
        <w:autoSpaceDN w:val="0"/>
        <w:adjustRightInd w:val="0"/>
        <w:snapToGrid w:val="0"/>
        <w:jc w:val="center"/>
        <w:rPr>
          <w:sz w:val="20"/>
          <w:szCs w:val="20"/>
        </w:rPr>
      </w:pPr>
      <w:r w:rsidRPr="00047172">
        <w:rPr>
          <w:sz w:val="20"/>
          <w:szCs w:val="20"/>
        </w:rPr>
        <w:t xml:space="preserve">Table 1 – Market risk of listed companies on VN </w:t>
      </w:r>
      <w:r w:rsidR="008401F4" w:rsidRPr="00047172">
        <w:rPr>
          <w:sz w:val="20"/>
          <w:szCs w:val="20"/>
          <w:lang w:val="en-US"/>
        </w:rPr>
        <w:t>hotel and entertainment</w:t>
      </w:r>
      <w:r w:rsidRPr="00047172">
        <w:rPr>
          <w:sz w:val="20"/>
          <w:szCs w:val="20"/>
        </w:rPr>
        <w:t xml:space="preserve"> industry market</w:t>
      </w:r>
    </w:p>
    <w:tbl>
      <w:tblPr>
        <w:tblW w:w="5000" w:type="pct"/>
        <w:jc w:val="center"/>
        <w:tblCellMar>
          <w:left w:w="0" w:type="dxa"/>
          <w:right w:w="0" w:type="dxa"/>
        </w:tblCellMar>
        <w:tblLook w:val="0000"/>
      </w:tblPr>
      <w:tblGrid>
        <w:gridCol w:w="888"/>
        <w:gridCol w:w="1777"/>
        <w:gridCol w:w="1005"/>
        <w:gridCol w:w="2086"/>
        <w:gridCol w:w="1643"/>
        <w:gridCol w:w="1971"/>
      </w:tblGrid>
      <w:tr w:rsidR="008401F4" w:rsidRPr="00047172" w:rsidTr="00D868B6">
        <w:trPr>
          <w:jc w:val="center"/>
        </w:trPr>
        <w:tc>
          <w:tcPr>
            <w:tcW w:w="409" w:type="pct"/>
            <w:tcBorders>
              <w:top w:val="single" w:sz="4" w:space="0" w:color="auto"/>
              <w:left w:val="single" w:sz="4" w:space="0" w:color="auto"/>
              <w:bottom w:val="nil"/>
              <w:right w:val="single" w:sz="4" w:space="0" w:color="auto"/>
            </w:tcBorders>
            <w:shd w:val="clear" w:color="auto" w:fill="auto"/>
            <w:noWrap/>
            <w:vAlign w:val="center"/>
          </w:tcPr>
          <w:p w:rsidR="008401F4" w:rsidRPr="00047172" w:rsidRDefault="008401F4" w:rsidP="00D868B6">
            <w:pPr>
              <w:snapToGrid w:val="0"/>
              <w:jc w:val="both"/>
              <w:rPr>
                <w:b/>
                <w:bCs/>
                <w:color w:val="000000"/>
                <w:sz w:val="20"/>
                <w:szCs w:val="20"/>
              </w:rPr>
            </w:pPr>
            <w:r w:rsidRPr="00047172">
              <w:rPr>
                <w:b/>
                <w:bCs/>
                <w:color w:val="000000"/>
                <w:sz w:val="20"/>
                <w:szCs w:val="20"/>
              </w:rPr>
              <w:t>Order No.</w:t>
            </w:r>
          </w:p>
        </w:tc>
        <w:tc>
          <w:tcPr>
            <w:tcW w:w="817" w:type="pct"/>
            <w:tcBorders>
              <w:top w:val="single" w:sz="4" w:space="0" w:color="auto"/>
              <w:left w:val="nil"/>
              <w:bottom w:val="nil"/>
              <w:right w:val="single" w:sz="4" w:space="0" w:color="auto"/>
            </w:tcBorders>
            <w:shd w:val="clear" w:color="auto" w:fill="auto"/>
            <w:noWrap/>
            <w:vAlign w:val="center"/>
          </w:tcPr>
          <w:p w:rsidR="008401F4" w:rsidRPr="00047172" w:rsidRDefault="008401F4" w:rsidP="00D868B6">
            <w:pPr>
              <w:snapToGrid w:val="0"/>
              <w:jc w:val="both"/>
              <w:rPr>
                <w:b/>
                <w:bCs/>
                <w:color w:val="000000"/>
                <w:sz w:val="20"/>
                <w:szCs w:val="20"/>
              </w:rPr>
            </w:pPr>
            <w:r w:rsidRPr="00047172">
              <w:rPr>
                <w:b/>
                <w:bCs/>
                <w:color w:val="000000"/>
                <w:sz w:val="20"/>
                <w:szCs w:val="20"/>
              </w:rPr>
              <w:t>Company stock code</w:t>
            </w:r>
          </w:p>
        </w:tc>
        <w:tc>
          <w:tcPr>
            <w:tcW w:w="462" w:type="pct"/>
            <w:tcBorders>
              <w:top w:val="single" w:sz="4" w:space="0" w:color="auto"/>
              <w:left w:val="nil"/>
              <w:bottom w:val="nil"/>
              <w:right w:val="single" w:sz="4" w:space="0" w:color="auto"/>
            </w:tcBorders>
            <w:shd w:val="clear" w:color="auto" w:fill="auto"/>
            <w:noWrap/>
            <w:vAlign w:val="center"/>
          </w:tcPr>
          <w:p w:rsidR="008401F4" w:rsidRPr="00047172" w:rsidRDefault="008401F4" w:rsidP="00D868B6">
            <w:pPr>
              <w:snapToGrid w:val="0"/>
              <w:jc w:val="both"/>
              <w:rPr>
                <w:b/>
                <w:bCs/>
                <w:color w:val="000000"/>
                <w:sz w:val="20"/>
                <w:szCs w:val="20"/>
              </w:rPr>
            </w:pPr>
            <w:r w:rsidRPr="00047172">
              <w:rPr>
                <w:b/>
                <w:bCs/>
                <w:color w:val="000000"/>
                <w:sz w:val="20"/>
                <w:szCs w:val="20"/>
              </w:rPr>
              <w:t>Equity beta</w:t>
            </w:r>
          </w:p>
        </w:tc>
        <w:tc>
          <w:tcPr>
            <w:tcW w:w="1309" w:type="pct"/>
            <w:tcBorders>
              <w:top w:val="single" w:sz="4" w:space="0" w:color="auto"/>
              <w:left w:val="nil"/>
              <w:bottom w:val="nil"/>
              <w:right w:val="single" w:sz="4" w:space="0" w:color="auto"/>
            </w:tcBorders>
            <w:shd w:val="clear" w:color="auto" w:fill="auto"/>
            <w:noWrap/>
            <w:vAlign w:val="center"/>
          </w:tcPr>
          <w:p w:rsidR="00D868B6" w:rsidRPr="00047172" w:rsidRDefault="008401F4" w:rsidP="00D868B6">
            <w:pPr>
              <w:snapToGrid w:val="0"/>
              <w:jc w:val="both"/>
              <w:rPr>
                <w:rFonts w:eastAsiaTheme="minorEastAsia"/>
                <w:b/>
                <w:bCs/>
                <w:color w:val="000000"/>
                <w:sz w:val="20"/>
                <w:szCs w:val="20"/>
                <w:lang w:eastAsia="zh-CN"/>
              </w:rPr>
            </w:pPr>
            <w:r w:rsidRPr="00047172">
              <w:rPr>
                <w:b/>
                <w:bCs/>
                <w:color w:val="000000"/>
                <w:sz w:val="20"/>
                <w:szCs w:val="20"/>
              </w:rPr>
              <w:t xml:space="preserve">Asset beta </w:t>
            </w:r>
          </w:p>
          <w:p w:rsidR="008401F4" w:rsidRPr="00047172" w:rsidRDefault="008401F4" w:rsidP="00D868B6">
            <w:pPr>
              <w:snapToGrid w:val="0"/>
              <w:jc w:val="both"/>
              <w:rPr>
                <w:b/>
                <w:bCs/>
                <w:color w:val="000000"/>
                <w:sz w:val="20"/>
                <w:szCs w:val="20"/>
              </w:rPr>
            </w:pPr>
            <w:r w:rsidRPr="00047172">
              <w:rPr>
                <w:b/>
                <w:bCs/>
                <w:color w:val="000000"/>
                <w:sz w:val="20"/>
                <w:szCs w:val="20"/>
              </w:rPr>
              <w:t>(assume debt beta = 0)</w:t>
            </w:r>
          </w:p>
        </w:tc>
        <w:tc>
          <w:tcPr>
            <w:tcW w:w="756" w:type="pct"/>
            <w:tcBorders>
              <w:top w:val="single" w:sz="4" w:space="0" w:color="auto"/>
              <w:left w:val="nil"/>
              <w:bottom w:val="nil"/>
              <w:right w:val="single" w:sz="4" w:space="0" w:color="auto"/>
            </w:tcBorders>
            <w:shd w:val="clear" w:color="auto" w:fill="auto"/>
            <w:noWrap/>
            <w:vAlign w:val="center"/>
          </w:tcPr>
          <w:p w:rsidR="008401F4" w:rsidRPr="00047172" w:rsidRDefault="008401F4" w:rsidP="00D868B6">
            <w:pPr>
              <w:snapToGrid w:val="0"/>
              <w:jc w:val="both"/>
              <w:rPr>
                <w:b/>
                <w:bCs/>
                <w:color w:val="000000"/>
                <w:sz w:val="20"/>
                <w:szCs w:val="20"/>
              </w:rPr>
            </w:pPr>
            <w:r w:rsidRPr="00047172">
              <w:rPr>
                <w:b/>
                <w:bCs/>
                <w:color w:val="000000"/>
                <w:sz w:val="20"/>
                <w:szCs w:val="20"/>
              </w:rPr>
              <w:t>Note</w:t>
            </w:r>
          </w:p>
        </w:tc>
        <w:tc>
          <w:tcPr>
            <w:tcW w:w="1247" w:type="pct"/>
            <w:tcBorders>
              <w:top w:val="single" w:sz="4" w:space="0" w:color="auto"/>
              <w:left w:val="nil"/>
              <w:bottom w:val="nil"/>
              <w:right w:val="single" w:sz="4" w:space="0" w:color="auto"/>
            </w:tcBorders>
            <w:shd w:val="clear" w:color="auto" w:fill="auto"/>
            <w:noWrap/>
            <w:vAlign w:val="center"/>
          </w:tcPr>
          <w:p w:rsidR="00D868B6" w:rsidRPr="00047172" w:rsidRDefault="008401F4" w:rsidP="00D868B6">
            <w:pPr>
              <w:snapToGrid w:val="0"/>
              <w:jc w:val="both"/>
              <w:rPr>
                <w:rFonts w:eastAsiaTheme="minorEastAsia"/>
                <w:b/>
                <w:bCs/>
                <w:color w:val="000000"/>
                <w:sz w:val="20"/>
                <w:szCs w:val="20"/>
                <w:lang w:eastAsia="zh-CN"/>
              </w:rPr>
            </w:pPr>
            <w:r w:rsidRPr="00047172">
              <w:rPr>
                <w:b/>
                <w:bCs/>
                <w:color w:val="000000"/>
                <w:sz w:val="20"/>
                <w:szCs w:val="20"/>
              </w:rPr>
              <w:t xml:space="preserve">Financial leverage </w:t>
            </w:r>
          </w:p>
          <w:p w:rsidR="008401F4" w:rsidRPr="00047172" w:rsidRDefault="008401F4" w:rsidP="00D868B6">
            <w:pPr>
              <w:snapToGrid w:val="0"/>
              <w:jc w:val="both"/>
              <w:rPr>
                <w:b/>
                <w:bCs/>
                <w:color w:val="000000"/>
                <w:sz w:val="20"/>
                <w:szCs w:val="20"/>
              </w:rPr>
            </w:pPr>
            <w:r w:rsidRPr="00047172">
              <w:rPr>
                <w:b/>
                <w:bCs/>
                <w:color w:val="000000"/>
                <w:sz w:val="20"/>
                <w:szCs w:val="20"/>
              </w:rPr>
              <w:t>(F.S reports)</w:t>
            </w:r>
          </w:p>
        </w:tc>
      </w:tr>
      <w:tr w:rsidR="008401F4" w:rsidRPr="00047172" w:rsidTr="00D868B6">
        <w:trPr>
          <w:jc w:val="center"/>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1</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DLD</w:t>
            </w:r>
          </w:p>
        </w:tc>
        <w:tc>
          <w:tcPr>
            <w:tcW w:w="462" w:type="pct"/>
            <w:tcBorders>
              <w:top w:val="single" w:sz="4" w:space="0" w:color="auto"/>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0,181</w:t>
            </w:r>
          </w:p>
        </w:tc>
        <w:tc>
          <w:tcPr>
            <w:tcW w:w="1309" w:type="pct"/>
            <w:tcBorders>
              <w:top w:val="single" w:sz="4" w:space="0" w:color="auto"/>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0,109</w:t>
            </w:r>
          </w:p>
        </w:tc>
        <w:tc>
          <w:tcPr>
            <w:tcW w:w="756" w:type="pct"/>
            <w:tcBorders>
              <w:top w:val="single" w:sz="4" w:space="0" w:color="auto"/>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VNG as comparable</w:t>
            </w:r>
          </w:p>
        </w:tc>
        <w:tc>
          <w:tcPr>
            <w:tcW w:w="1247" w:type="pct"/>
            <w:tcBorders>
              <w:top w:val="single" w:sz="4" w:space="0" w:color="auto"/>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35,0%</w:t>
            </w:r>
          </w:p>
        </w:tc>
      </w:tr>
      <w:tr w:rsidR="008401F4" w:rsidRPr="00047172" w:rsidTr="00D868B6">
        <w:trPr>
          <w:jc w:val="center"/>
        </w:trPr>
        <w:tc>
          <w:tcPr>
            <w:tcW w:w="409"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2</w:t>
            </w:r>
          </w:p>
        </w:tc>
        <w:tc>
          <w:tcPr>
            <w:tcW w:w="81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DXL</w:t>
            </w:r>
          </w:p>
        </w:tc>
        <w:tc>
          <w:tcPr>
            <w:tcW w:w="46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0,323</w:t>
            </w:r>
          </w:p>
        </w:tc>
        <w:tc>
          <w:tcPr>
            <w:tcW w:w="130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0,219</w:t>
            </w:r>
          </w:p>
        </w:tc>
        <w:tc>
          <w:tcPr>
            <w:tcW w:w="756"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SGH as comparable</w:t>
            </w:r>
          </w:p>
        </w:tc>
        <w:tc>
          <w:tcPr>
            <w:tcW w:w="124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28,0%</w:t>
            </w:r>
          </w:p>
        </w:tc>
      </w:tr>
      <w:tr w:rsidR="008401F4" w:rsidRPr="00047172" w:rsidTr="00D868B6">
        <w:trPr>
          <w:jc w:val="center"/>
        </w:trPr>
        <w:tc>
          <w:tcPr>
            <w:tcW w:w="409"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3</w:t>
            </w:r>
          </w:p>
        </w:tc>
        <w:tc>
          <w:tcPr>
            <w:tcW w:w="81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MTC</w:t>
            </w:r>
          </w:p>
        </w:tc>
        <w:tc>
          <w:tcPr>
            <w:tcW w:w="46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0,386</w:t>
            </w:r>
          </w:p>
        </w:tc>
        <w:tc>
          <w:tcPr>
            <w:tcW w:w="130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0,374</w:t>
            </w:r>
          </w:p>
        </w:tc>
        <w:tc>
          <w:tcPr>
            <w:tcW w:w="756"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SGH as comparable</w:t>
            </w:r>
          </w:p>
        </w:tc>
        <w:tc>
          <w:tcPr>
            <w:tcW w:w="124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2,8%</w:t>
            </w:r>
          </w:p>
        </w:tc>
      </w:tr>
      <w:tr w:rsidR="008401F4" w:rsidRPr="00047172" w:rsidTr="00D868B6">
        <w:trPr>
          <w:jc w:val="center"/>
        </w:trPr>
        <w:tc>
          <w:tcPr>
            <w:tcW w:w="409"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4</w:t>
            </w:r>
          </w:p>
        </w:tc>
        <w:tc>
          <w:tcPr>
            <w:tcW w:w="81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OCH</w:t>
            </w:r>
          </w:p>
        </w:tc>
        <w:tc>
          <w:tcPr>
            <w:tcW w:w="46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1,085</w:t>
            </w:r>
          </w:p>
        </w:tc>
        <w:tc>
          <w:tcPr>
            <w:tcW w:w="130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0,375</w:t>
            </w:r>
          </w:p>
        </w:tc>
        <w:tc>
          <w:tcPr>
            <w:tcW w:w="756"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RIC as comparable</w:t>
            </w:r>
          </w:p>
        </w:tc>
        <w:tc>
          <w:tcPr>
            <w:tcW w:w="124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57,5%</w:t>
            </w:r>
          </w:p>
        </w:tc>
      </w:tr>
      <w:tr w:rsidR="008401F4" w:rsidRPr="00047172" w:rsidTr="00D868B6">
        <w:trPr>
          <w:jc w:val="center"/>
        </w:trPr>
        <w:tc>
          <w:tcPr>
            <w:tcW w:w="409"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5</w:t>
            </w:r>
          </w:p>
        </w:tc>
        <w:tc>
          <w:tcPr>
            <w:tcW w:w="81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SGH</w:t>
            </w:r>
          </w:p>
        </w:tc>
        <w:tc>
          <w:tcPr>
            <w:tcW w:w="46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0,392</w:t>
            </w:r>
          </w:p>
        </w:tc>
        <w:tc>
          <w:tcPr>
            <w:tcW w:w="130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0,362</w:t>
            </w:r>
          </w:p>
        </w:tc>
        <w:tc>
          <w:tcPr>
            <w:tcW w:w="756"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p>
        </w:tc>
        <w:tc>
          <w:tcPr>
            <w:tcW w:w="124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7,9%</w:t>
            </w:r>
          </w:p>
        </w:tc>
      </w:tr>
      <w:tr w:rsidR="008401F4" w:rsidRPr="00047172" w:rsidTr="00D868B6">
        <w:trPr>
          <w:jc w:val="center"/>
        </w:trPr>
        <w:tc>
          <w:tcPr>
            <w:tcW w:w="409"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6</w:t>
            </w:r>
          </w:p>
        </w:tc>
        <w:tc>
          <w:tcPr>
            <w:tcW w:w="81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VIR</w:t>
            </w:r>
          </w:p>
        </w:tc>
        <w:tc>
          <w:tcPr>
            <w:tcW w:w="46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0,325</w:t>
            </w:r>
          </w:p>
        </w:tc>
        <w:tc>
          <w:tcPr>
            <w:tcW w:w="130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0,230</w:t>
            </w:r>
          </w:p>
        </w:tc>
        <w:tc>
          <w:tcPr>
            <w:tcW w:w="756"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MTC as comparable</w:t>
            </w:r>
          </w:p>
        </w:tc>
        <w:tc>
          <w:tcPr>
            <w:tcW w:w="124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25,2%</w:t>
            </w:r>
          </w:p>
        </w:tc>
      </w:tr>
      <w:tr w:rsidR="008401F4" w:rsidRPr="00047172" w:rsidTr="00D868B6">
        <w:trPr>
          <w:jc w:val="center"/>
        </w:trPr>
        <w:tc>
          <w:tcPr>
            <w:tcW w:w="409"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7</w:t>
            </w:r>
          </w:p>
        </w:tc>
        <w:tc>
          <w:tcPr>
            <w:tcW w:w="81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VNG</w:t>
            </w:r>
          </w:p>
        </w:tc>
        <w:tc>
          <w:tcPr>
            <w:tcW w:w="46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0,234</w:t>
            </w:r>
          </w:p>
        </w:tc>
        <w:tc>
          <w:tcPr>
            <w:tcW w:w="130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0,181</w:t>
            </w:r>
          </w:p>
        </w:tc>
        <w:tc>
          <w:tcPr>
            <w:tcW w:w="756"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p>
        </w:tc>
        <w:tc>
          <w:tcPr>
            <w:tcW w:w="124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28,4%</w:t>
            </w:r>
          </w:p>
        </w:tc>
      </w:tr>
      <w:tr w:rsidR="008401F4" w:rsidRPr="00047172" w:rsidTr="00D868B6">
        <w:trPr>
          <w:jc w:val="center"/>
        </w:trPr>
        <w:tc>
          <w:tcPr>
            <w:tcW w:w="409"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8</w:t>
            </w:r>
          </w:p>
        </w:tc>
        <w:tc>
          <w:tcPr>
            <w:tcW w:w="81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DNT</w:t>
            </w:r>
          </w:p>
        </w:tc>
        <w:tc>
          <w:tcPr>
            <w:tcW w:w="46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-1,072</w:t>
            </w:r>
          </w:p>
        </w:tc>
        <w:tc>
          <w:tcPr>
            <w:tcW w:w="130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-0,819</w:t>
            </w:r>
          </w:p>
        </w:tc>
        <w:tc>
          <w:tcPr>
            <w:tcW w:w="756"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p>
        </w:tc>
        <w:tc>
          <w:tcPr>
            <w:tcW w:w="124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23,56%</w:t>
            </w:r>
          </w:p>
        </w:tc>
      </w:tr>
      <w:tr w:rsidR="008401F4" w:rsidRPr="00047172" w:rsidTr="00D868B6">
        <w:trPr>
          <w:jc w:val="center"/>
        </w:trPr>
        <w:tc>
          <w:tcPr>
            <w:tcW w:w="409"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9</w:t>
            </w:r>
          </w:p>
        </w:tc>
        <w:tc>
          <w:tcPr>
            <w:tcW w:w="81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DSN</w:t>
            </w:r>
          </w:p>
        </w:tc>
        <w:tc>
          <w:tcPr>
            <w:tcW w:w="46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0,447</w:t>
            </w:r>
          </w:p>
        </w:tc>
        <w:tc>
          <w:tcPr>
            <w:tcW w:w="130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0,401</w:t>
            </w:r>
          </w:p>
        </w:tc>
        <w:tc>
          <w:tcPr>
            <w:tcW w:w="756"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FDT as comparable</w:t>
            </w:r>
          </w:p>
        </w:tc>
        <w:tc>
          <w:tcPr>
            <w:tcW w:w="124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10,26%</w:t>
            </w:r>
          </w:p>
        </w:tc>
      </w:tr>
      <w:tr w:rsidR="008401F4" w:rsidRPr="00047172" w:rsidTr="00D868B6">
        <w:trPr>
          <w:jc w:val="center"/>
        </w:trPr>
        <w:tc>
          <w:tcPr>
            <w:tcW w:w="409"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10</w:t>
            </w:r>
          </w:p>
        </w:tc>
        <w:tc>
          <w:tcPr>
            <w:tcW w:w="81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GTT</w:t>
            </w:r>
          </w:p>
        </w:tc>
        <w:tc>
          <w:tcPr>
            <w:tcW w:w="46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0,691</w:t>
            </w:r>
          </w:p>
        </w:tc>
        <w:tc>
          <w:tcPr>
            <w:tcW w:w="130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0,223</w:t>
            </w:r>
          </w:p>
        </w:tc>
        <w:tc>
          <w:tcPr>
            <w:tcW w:w="756"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RIC as comparable</w:t>
            </w:r>
          </w:p>
        </w:tc>
        <w:tc>
          <w:tcPr>
            <w:tcW w:w="124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67,75%</w:t>
            </w:r>
          </w:p>
        </w:tc>
      </w:tr>
      <w:tr w:rsidR="008401F4" w:rsidRPr="00047172" w:rsidTr="00D868B6">
        <w:trPr>
          <w:jc w:val="center"/>
        </w:trPr>
        <w:tc>
          <w:tcPr>
            <w:tcW w:w="409"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11</w:t>
            </w:r>
          </w:p>
        </w:tc>
        <w:tc>
          <w:tcPr>
            <w:tcW w:w="81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RIC</w:t>
            </w:r>
          </w:p>
        </w:tc>
        <w:tc>
          <w:tcPr>
            <w:tcW w:w="46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1,779</w:t>
            </w:r>
          </w:p>
        </w:tc>
        <w:tc>
          <w:tcPr>
            <w:tcW w:w="130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1,434</w:t>
            </w:r>
          </w:p>
        </w:tc>
        <w:tc>
          <w:tcPr>
            <w:tcW w:w="756"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p>
        </w:tc>
        <w:tc>
          <w:tcPr>
            <w:tcW w:w="124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19,42%</w:t>
            </w:r>
          </w:p>
        </w:tc>
      </w:tr>
      <w:tr w:rsidR="008401F4" w:rsidRPr="00047172" w:rsidTr="00D868B6">
        <w:trPr>
          <w:jc w:val="center"/>
        </w:trPr>
        <w:tc>
          <w:tcPr>
            <w:tcW w:w="409"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12</w:t>
            </w:r>
          </w:p>
        </w:tc>
        <w:tc>
          <w:tcPr>
            <w:tcW w:w="81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VPL</w:t>
            </w:r>
          </w:p>
        </w:tc>
        <w:tc>
          <w:tcPr>
            <w:tcW w:w="46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0,950</w:t>
            </w:r>
          </w:p>
        </w:tc>
        <w:tc>
          <w:tcPr>
            <w:tcW w:w="130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0,257</w:t>
            </w:r>
          </w:p>
        </w:tc>
        <w:tc>
          <w:tcPr>
            <w:tcW w:w="756"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p>
        </w:tc>
        <w:tc>
          <w:tcPr>
            <w:tcW w:w="124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72,95%</w:t>
            </w:r>
          </w:p>
        </w:tc>
      </w:tr>
      <w:tr w:rsidR="008401F4" w:rsidRPr="00047172" w:rsidTr="00D868B6">
        <w:trPr>
          <w:jc w:val="center"/>
        </w:trPr>
        <w:tc>
          <w:tcPr>
            <w:tcW w:w="409" w:type="pct"/>
            <w:tcBorders>
              <w:top w:val="nil"/>
              <w:left w:val="single" w:sz="4" w:space="0" w:color="auto"/>
              <w:bottom w:val="nil"/>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p>
        </w:tc>
        <w:tc>
          <w:tcPr>
            <w:tcW w:w="817" w:type="pct"/>
            <w:tcBorders>
              <w:top w:val="nil"/>
              <w:left w:val="nil"/>
              <w:bottom w:val="nil"/>
              <w:right w:val="nil"/>
            </w:tcBorders>
            <w:shd w:val="clear" w:color="auto" w:fill="auto"/>
            <w:noWrap/>
            <w:vAlign w:val="center"/>
          </w:tcPr>
          <w:p w:rsidR="008401F4" w:rsidRPr="00047172" w:rsidRDefault="008401F4" w:rsidP="00D868B6">
            <w:pPr>
              <w:snapToGrid w:val="0"/>
              <w:jc w:val="both"/>
              <w:rPr>
                <w:color w:val="000000"/>
                <w:sz w:val="20"/>
                <w:szCs w:val="20"/>
              </w:rPr>
            </w:pPr>
          </w:p>
        </w:tc>
        <w:tc>
          <w:tcPr>
            <w:tcW w:w="462" w:type="pct"/>
            <w:tcBorders>
              <w:top w:val="nil"/>
              <w:left w:val="nil"/>
              <w:bottom w:val="nil"/>
              <w:right w:val="nil"/>
            </w:tcBorders>
            <w:shd w:val="clear" w:color="auto" w:fill="auto"/>
            <w:noWrap/>
            <w:vAlign w:val="center"/>
          </w:tcPr>
          <w:p w:rsidR="008401F4" w:rsidRPr="00047172" w:rsidRDefault="008401F4" w:rsidP="00D868B6">
            <w:pPr>
              <w:snapToGrid w:val="0"/>
              <w:jc w:val="both"/>
              <w:rPr>
                <w:color w:val="000000"/>
                <w:sz w:val="20"/>
                <w:szCs w:val="20"/>
              </w:rPr>
            </w:pPr>
          </w:p>
        </w:tc>
        <w:tc>
          <w:tcPr>
            <w:tcW w:w="1309" w:type="pct"/>
            <w:tcBorders>
              <w:top w:val="nil"/>
              <w:left w:val="nil"/>
              <w:bottom w:val="nil"/>
              <w:right w:val="nil"/>
            </w:tcBorders>
            <w:shd w:val="clear" w:color="auto" w:fill="auto"/>
            <w:noWrap/>
            <w:vAlign w:val="center"/>
          </w:tcPr>
          <w:p w:rsidR="008401F4" w:rsidRPr="00047172" w:rsidRDefault="008401F4" w:rsidP="00D868B6">
            <w:pPr>
              <w:snapToGrid w:val="0"/>
              <w:jc w:val="both"/>
              <w:rPr>
                <w:color w:val="000000"/>
                <w:sz w:val="20"/>
                <w:szCs w:val="20"/>
              </w:rPr>
            </w:pPr>
          </w:p>
        </w:tc>
        <w:tc>
          <w:tcPr>
            <w:tcW w:w="756"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Average</w:t>
            </w:r>
          </w:p>
        </w:tc>
        <w:tc>
          <w:tcPr>
            <w:tcW w:w="1247"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color w:val="000000"/>
                <w:sz w:val="20"/>
                <w:szCs w:val="20"/>
              </w:rPr>
            </w:pPr>
            <w:r w:rsidRPr="00047172">
              <w:rPr>
                <w:color w:val="000000"/>
                <w:sz w:val="20"/>
                <w:szCs w:val="20"/>
              </w:rPr>
              <w:t>31,55%</w:t>
            </w:r>
          </w:p>
        </w:tc>
      </w:tr>
    </w:tbl>
    <w:p w:rsidR="00F17D5F" w:rsidRPr="00047172" w:rsidRDefault="00F17D5F" w:rsidP="00D868B6">
      <w:pPr>
        <w:autoSpaceDE w:val="0"/>
        <w:autoSpaceDN w:val="0"/>
        <w:adjustRightInd w:val="0"/>
        <w:snapToGrid w:val="0"/>
        <w:jc w:val="both"/>
        <w:rPr>
          <w:rFonts w:eastAsiaTheme="minorEastAsia"/>
          <w:i/>
          <w:iCs/>
          <w:sz w:val="20"/>
          <w:szCs w:val="20"/>
          <w:lang w:eastAsia="zh-CN"/>
        </w:rPr>
      </w:pPr>
      <w:r w:rsidRPr="00047172">
        <w:rPr>
          <w:i/>
          <w:iCs/>
          <w:sz w:val="20"/>
          <w:szCs w:val="20"/>
        </w:rPr>
        <w:t>(source: Viet Nam stock exchange 2012)</w:t>
      </w:r>
    </w:p>
    <w:p w:rsidR="00D868B6" w:rsidRPr="00047172" w:rsidRDefault="00D868B6" w:rsidP="00D868B6">
      <w:pPr>
        <w:autoSpaceDE w:val="0"/>
        <w:autoSpaceDN w:val="0"/>
        <w:adjustRightInd w:val="0"/>
        <w:snapToGrid w:val="0"/>
        <w:jc w:val="both"/>
        <w:rPr>
          <w:rFonts w:eastAsiaTheme="minorEastAsia"/>
          <w:i/>
          <w:iCs/>
          <w:sz w:val="20"/>
          <w:szCs w:val="20"/>
          <w:lang w:eastAsia="zh-CN"/>
        </w:rPr>
      </w:pPr>
    </w:p>
    <w:p w:rsidR="00F17D5F" w:rsidRPr="00047172" w:rsidRDefault="00F17D5F" w:rsidP="00D868B6">
      <w:pPr>
        <w:autoSpaceDE w:val="0"/>
        <w:autoSpaceDN w:val="0"/>
        <w:adjustRightInd w:val="0"/>
        <w:snapToGrid w:val="0"/>
        <w:ind w:firstLine="425"/>
        <w:jc w:val="both"/>
        <w:rPr>
          <w:sz w:val="20"/>
          <w:szCs w:val="20"/>
        </w:rPr>
      </w:pPr>
      <w:r w:rsidRPr="00047172">
        <w:rPr>
          <w:sz w:val="20"/>
          <w:szCs w:val="20"/>
          <w:lang w:val="en-US"/>
        </w:rPr>
        <w:t>B</w:t>
      </w:r>
      <w:r w:rsidRPr="00047172">
        <w:rPr>
          <w:sz w:val="20"/>
          <w:szCs w:val="20"/>
        </w:rPr>
        <w:t>.2. Scenario 2: financial leverage increases up to 30%</w:t>
      </w:r>
    </w:p>
    <w:p w:rsidR="00F17D5F" w:rsidRPr="00047172" w:rsidRDefault="00F17D5F" w:rsidP="00D868B6">
      <w:pPr>
        <w:autoSpaceDE w:val="0"/>
        <w:autoSpaceDN w:val="0"/>
        <w:adjustRightInd w:val="0"/>
        <w:snapToGrid w:val="0"/>
        <w:ind w:firstLine="425"/>
        <w:jc w:val="both"/>
        <w:rPr>
          <w:sz w:val="20"/>
          <w:szCs w:val="20"/>
        </w:rPr>
      </w:pPr>
      <w:r w:rsidRPr="00047172">
        <w:rPr>
          <w:sz w:val="20"/>
          <w:szCs w:val="20"/>
        </w:rPr>
        <w:t>If leverage increases up to 30%, all beta values of total 1</w:t>
      </w:r>
      <w:r w:rsidR="00797065" w:rsidRPr="00047172">
        <w:rPr>
          <w:sz w:val="20"/>
          <w:szCs w:val="20"/>
          <w:lang w:val="en-US"/>
        </w:rPr>
        <w:t>2</w:t>
      </w:r>
      <w:r w:rsidRPr="00047172">
        <w:rPr>
          <w:sz w:val="20"/>
          <w:szCs w:val="20"/>
        </w:rPr>
        <w:t xml:space="preserve"> listed firms on VN tourism industry market as below:</w:t>
      </w:r>
    </w:p>
    <w:p w:rsidR="00D868B6" w:rsidRPr="00047172" w:rsidRDefault="00D868B6" w:rsidP="00D868B6">
      <w:pPr>
        <w:autoSpaceDE w:val="0"/>
        <w:autoSpaceDN w:val="0"/>
        <w:adjustRightInd w:val="0"/>
        <w:snapToGrid w:val="0"/>
        <w:jc w:val="center"/>
        <w:rPr>
          <w:rFonts w:eastAsiaTheme="minorEastAsia"/>
          <w:sz w:val="20"/>
          <w:szCs w:val="20"/>
          <w:lang w:eastAsia="zh-CN"/>
        </w:rPr>
      </w:pPr>
    </w:p>
    <w:p w:rsidR="00F17D5F" w:rsidRPr="00047172" w:rsidRDefault="00F17D5F" w:rsidP="00D868B6">
      <w:pPr>
        <w:autoSpaceDE w:val="0"/>
        <w:autoSpaceDN w:val="0"/>
        <w:adjustRightInd w:val="0"/>
        <w:snapToGrid w:val="0"/>
        <w:jc w:val="center"/>
        <w:rPr>
          <w:sz w:val="20"/>
          <w:szCs w:val="20"/>
        </w:rPr>
      </w:pPr>
      <w:r w:rsidRPr="00047172">
        <w:rPr>
          <w:sz w:val="20"/>
          <w:szCs w:val="20"/>
        </w:rPr>
        <w:t xml:space="preserve">Table 2 – Market risks of listed </w:t>
      </w:r>
      <w:r w:rsidR="008401F4" w:rsidRPr="00047172">
        <w:rPr>
          <w:sz w:val="20"/>
          <w:szCs w:val="20"/>
          <w:lang w:val="en-US"/>
        </w:rPr>
        <w:t>hotel and entertainment</w:t>
      </w:r>
      <w:r w:rsidRPr="00047172">
        <w:rPr>
          <w:sz w:val="20"/>
          <w:szCs w:val="20"/>
        </w:rPr>
        <w:t xml:space="preserve"> industry firms (case 2)</w:t>
      </w:r>
    </w:p>
    <w:tbl>
      <w:tblPr>
        <w:tblW w:w="5000" w:type="pct"/>
        <w:jc w:val="center"/>
        <w:tblLook w:val="0000"/>
      </w:tblPr>
      <w:tblGrid>
        <w:gridCol w:w="1094"/>
        <w:gridCol w:w="1343"/>
        <w:gridCol w:w="1211"/>
        <w:gridCol w:w="2210"/>
        <w:gridCol w:w="1849"/>
        <w:gridCol w:w="1869"/>
      </w:tblGrid>
      <w:tr w:rsidR="008401F4" w:rsidRPr="00047172" w:rsidTr="00D868B6">
        <w:trPr>
          <w:jc w:val="center"/>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Order No.</w:t>
            </w:r>
          </w:p>
        </w:tc>
        <w:tc>
          <w:tcPr>
            <w:tcW w:w="839" w:type="pct"/>
            <w:tcBorders>
              <w:top w:val="single" w:sz="4" w:space="0" w:color="auto"/>
              <w:left w:val="nil"/>
              <w:bottom w:val="single" w:sz="4" w:space="0" w:color="auto"/>
              <w:right w:val="single" w:sz="4" w:space="0" w:color="auto"/>
            </w:tcBorders>
            <w:shd w:val="clear" w:color="auto" w:fill="auto"/>
            <w:noWrap/>
            <w:vAlign w:val="center"/>
          </w:tcPr>
          <w:p w:rsidR="00D868B6" w:rsidRPr="00047172" w:rsidRDefault="008401F4" w:rsidP="00D868B6">
            <w:pPr>
              <w:snapToGrid w:val="0"/>
              <w:jc w:val="both"/>
              <w:rPr>
                <w:rFonts w:eastAsiaTheme="minorEastAsia"/>
                <w:b/>
                <w:bCs/>
                <w:color w:val="000000"/>
                <w:sz w:val="20"/>
                <w:szCs w:val="20"/>
                <w:lang w:val="vi-VN" w:eastAsia="zh-CN" w:bidi="th-TH"/>
              </w:rPr>
            </w:pPr>
            <w:r w:rsidRPr="00047172">
              <w:rPr>
                <w:rFonts w:eastAsia="MS Mincho"/>
                <w:b/>
                <w:bCs/>
                <w:color w:val="000000"/>
                <w:sz w:val="20"/>
                <w:szCs w:val="20"/>
                <w:lang w:val="vi-VN" w:eastAsia="ja-JP" w:bidi="th-TH"/>
              </w:rPr>
              <w:t xml:space="preserve">Company </w:t>
            </w:r>
          </w:p>
          <w:p w:rsidR="008401F4" w:rsidRPr="00047172" w:rsidRDefault="008401F4"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stock code</w:t>
            </w:r>
          </w:p>
        </w:tc>
        <w:tc>
          <w:tcPr>
            <w:tcW w:w="512" w:type="pct"/>
            <w:tcBorders>
              <w:top w:val="single" w:sz="4" w:space="0" w:color="auto"/>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Equity beta</w:t>
            </w:r>
          </w:p>
        </w:tc>
        <w:tc>
          <w:tcPr>
            <w:tcW w:w="1291" w:type="pct"/>
            <w:tcBorders>
              <w:top w:val="single" w:sz="4" w:space="0" w:color="auto"/>
              <w:left w:val="nil"/>
              <w:bottom w:val="single" w:sz="4" w:space="0" w:color="auto"/>
              <w:right w:val="single" w:sz="4" w:space="0" w:color="auto"/>
            </w:tcBorders>
            <w:shd w:val="clear" w:color="auto" w:fill="auto"/>
            <w:noWrap/>
            <w:vAlign w:val="center"/>
          </w:tcPr>
          <w:p w:rsidR="00D868B6" w:rsidRPr="00047172" w:rsidRDefault="008401F4" w:rsidP="00D868B6">
            <w:pPr>
              <w:snapToGrid w:val="0"/>
              <w:jc w:val="both"/>
              <w:rPr>
                <w:rFonts w:eastAsiaTheme="minorEastAsia"/>
                <w:b/>
                <w:bCs/>
                <w:color w:val="000000"/>
                <w:sz w:val="20"/>
                <w:szCs w:val="20"/>
                <w:lang w:val="vi-VN" w:eastAsia="zh-CN" w:bidi="th-TH"/>
              </w:rPr>
            </w:pPr>
            <w:r w:rsidRPr="00047172">
              <w:rPr>
                <w:rFonts w:eastAsia="MS Mincho"/>
                <w:b/>
                <w:bCs/>
                <w:color w:val="000000"/>
                <w:sz w:val="20"/>
                <w:szCs w:val="20"/>
                <w:lang w:val="vi-VN" w:eastAsia="ja-JP" w:bidi="th-TH"/>
              </w:rPr>
              <w:t xml:space="preserve">Asset beta </w:t>
            </w:r>
          </w:p>
          <w:p w:rsidR="008401F4" w:rsidRPr="00047172" w:rsidRDefault="008401F4"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(assume debt beta = 0)</w:t>
            </w:r>
          </w:p>
        </w:tc>
        <w:tc>
          <w:tcPr>
            <w:tcW w:w="782" w:type="pct"/>
            <w:tcBorders>
              <w:top w:val="single" w:sz="4" w:space="0" w:color="auto"/>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Note</w:t>
            </w:r>
          </w:p>
        </w:tc>
        <w:tc>
          <w:tcPr>
            <w:tcW w:w="1114" w:type="pct"/>
            <w:tcBorders>
              <w:top w:val="single" w:sz="4" w:space="0" w:color="auto"/>
              <w:left w:val="nil"/>
              <w:bottom w:val="single" w:sz="4" w:space="0" w:color="auto"/>
              <w:right w:val="single" w:sz="4" w:space="0" w:color="auto"/>
            </w:tcBorders>
            <w:shd w:val="clear" w:color="auto" w:fill="auto"/>
            <w:noWrap/>
            <w:vAlign w:val="center"/>
          </w:tcPr>
          <w:p w:rsidR="00D868B6" w:rsidRPr="00047172" w:rsidRDefault="008401F4" w:rsidP="00D868B6">
            <w:pPr>
              <w:snapToGrid w:val="0"/>
              <w:jc w:val="both"/>
              <w:rPr>
                <w:rFonts w:eastAsiaTheme="minorEastAsia"/>
                <w:b/>
                <w:bCs/>
                <w:color w:val="000000"/>
                <w:sz w:val="20"/>
                <w:szCs w:val="20"/>
                <w:lang w:val="vi-VN" w:eastAsia="zh-CN" w:bidi="th-TH"/>
              </w:rPr>
            </w:pPr>
            <w:r w:rsidRPr="00047172">
              <w:rPr>
                <w:rFonts w:eastAsia="MS Mincho"/>
                <w:b/>
                <w:bCs/>
                <w:color w:val="000000"/>
                <w:sz w:val="20"/>
                <w:szCs w:val="20"/>
                <w:lang w:val="vi-VN" w:eastAsia="ja-JP" w:bidi="th-TH"/>
              </w:rPr>
              <w:t xml:space="preserve">Financial </w:t>
            </w:r>
          </w:p>
          <w:p w:rsidR="008401F4" w:rsidRPr="00047172" w:rsidRDefault="008401F4"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leverage(30% up)</w:t>
            </w:r>
          </w:p>
        </w:tc>
      </w:tr>
      <w:tr w:rsidR="008401F4" w:rsidRPr="00047172" w:rsidTr="00D868B6">
        <w:trPr>
          <w:jc w:val="center"/>
        </w:trPr>
        <w:tc>
          <w:tcPr>
            <w:tcW w:w="463"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w:t>
            </w:r>
          </w:p>
        </w:tc>
        <w:tc>
          <w:tcPr>
            <w:tcW w:w="83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DLD</w:t>
            </w:r>
          </w:p>
        </w:tc>
        <w:tc>
          <w:tcPr>
            <w:tcW w:w="51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0,144</w:t>
            </w:r>
          </w:p>
        </w:tc>
        <w:tc>
          <w:tcPr>
            <w:tcW w:w="1291"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0,079</w:t>
            </w:r>
          </w:p>
        </w:tc>
        <w:tc>
          <w:tcPr>
            <w:tcW w:w="78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VNG as comparable</w:t>
            </w:r>
          </w:p>
        </w:tc>
        <w:tc>
          <w:tcPr>
            <w:tcW w:w="1114"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45,5%</w:t>
            </w:r>
          </w:p>
        </w:tc>
      </w:tr>
      <w:tr w:rsidR="008401F4" w:rsidRPr="00047172" w:rsidTr="00D868B6">
        <w:trPr>
          <w:jc w:val="center"/>
        </w:trPr>
        <w:tc>
          <w:tcPr>
            <w:tcW w:w="463"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2</w:t>
            </w:r>
          </w:p>
        </w:tc>
        <w:tc>
          <w:tcPr>
            <w:tcW w:w="83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DXL</w:t>
            </w:r>
          </w:p>
        </w:tc>
        <w:tc>
          <w:tcPr>
            <w:tcW w:w="51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0,275</w:t>
            </w:r>
          </w:p>
        </w:tc>
        <w:tc>
          <w:tcPr>
            <w:tcW w:w="1291"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0,175</w:t>
            </w:r>
          </w:p>
        </w:tc>
        <w:tc>
          <w:tcPr>
            <w:tcW w:w="78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SGH as comparable</w:t>
            </w:r>
          </w:p>
        </w:tc>
        <w:tc>
          <w:tcPr>
            <w:tcW w:w="1114"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36,4%</w:t>
            </w:r>
          </w:p>
        </w:tc>
      </w:tr>
      <w:tr w:rsidR="008401F4" w:rsidRPr="00047172" w:rsidTr="00D868B6">
        <w:trPr>
          <w:jc w:val="center"/>
        </w:trPr>
        <w:tc>
          <w:tcPr>
            <w:tcW w:w="463"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3</w:t>
            </w:r>
          </w:p>
        </w:tc>
        <w:tc>
          <w:tcPr>
            <w:tcW w:w="83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MTC</w:t>
            </w:r>
          </w:p>
        </w:tc>
        <w:tc>
          <w:tcPr>
            <w:tcW w:w="51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0,382</w:t>
            </w:r>
          </w:p>
        </w:tc>
        <w:tc>
          <w:tcPr>
            <w:tcW w:w="1291"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0,368</w:t>
            </w:r>
          </w:p>
        </w:tc>
        <w:tc>
          <w:tcPr>
            <w:tcW w:w="78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SGH as comparable</w:t>
            </w:r>
          </w:p>
        </w:tc>
        <w:tc>
          <w:tcPr>
            <w:tcW w:w="1114"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3,6%</w:t>
            </w:r>
          </w:p>
        </w:tc>
      </w:tr>
      <w:tr w:rsidR="008401F4" w:rsidRPr="00047172" w:rsidTr="00D868B6">
        <w:trPr>
          <w:jc w:val="center"/>
        </w:trPr>
        <w:tc>
          <w:tcPr>
            <w:tcW w:w="463"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4</w:t>
            </w:r>
          </w:p>
        </w:tc>
        <w:tc>
          <w:tcPr>
            <w:tcW w:w="83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OCH</w:t>
            </w:r>
          </w:p>
        </w:tc>
        <w:tc>
          <w:tcPr>
            <w:tcW w:w="51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0,552</w:t>
            </w:r>
          </w:p>
        </w:tc>
        <w:tc>
          <w:tcPr>
            <w:tcW w:w="1291"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0,139</w:t>
            </w:r>
          </w:p>
        </w:tc>
        <w:tc>
          <w:tcPr>
            <w:tcW w:w="78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RIC as comparable</w:t>
            </w:r>
          </w:p>
        </w:tc>
        <w:tc>
          <w:tcPr>
            <w:tcW w:w="1114"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74,8%</w:t>
            </w:r>
          </w:p>
        </w:tc>
      </w:tr>
      <w:tr w:rsidR="008401F4" w:rsidRPr="00047172" w:rsidTr="00D868B6">
        <w:trPr>
          <w:jc w:val="center"/>
        </w:trPr>
        <w:tc>
          <w:tcPr>
            <w:tcW w:w="463"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5</w:t>
            </w:r>
          </w:p>
        </w:tc>
        <w:tc>
          <w:tcPr>
            <w:tcW w:w="83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SGH</w:t>
            </w:r>
          </w:p>
        </w:tc>
        <w:tc>
          <w:tcPr>
            <w:tcW w:w="51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0,392</w:t>
            </w:r>
          </w:p>
        </w:tc>
        <w:tc>
          <w:tcPr>
            <w:tcW w:w="1291"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0,352</w:t>
            </w:r>
          </w:p>
        </w:tc>
        <w:tc>
          <w:tcPr>
            <w:tcW w:w="78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p>
        </w:tc>
        <w:tc>
          <w:tcPr>
            <w:tcW w:w="1114"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10,2%</w:t>
            </w:r>
          </w:p>
        </w:tc>
      </w:tr>
      <w:tr w:rsidR="008401F4" w:rsidRPr="00047172" w:rsidTr="00D868B6">
        <w:trPr>
          <w:jc w:val="center"/>
        </w:trPr>
        <w:tc>
          <w:tcPr>
            <w:tcW w:w="463"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6</w:t>
            </w:r>
          </w:p>
        </w:tc>
        <w:tc>
          <w:tcPr>
            <w:tcW w:w="83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VIR</w:t>
            </w:r>
          </w:p>
        </w:tc>
        <w:tc>
          <w:tcPr>
            <w:tcW w:w="51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0,280</w:t>
            </w:r>
          </w:p>
        </w:tc>
        <w:tc>
          <w:tcPr>
            <w:tcW w:w="1291"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0,188</w:t>
            </w:r>
          </w:p>
        </w:tc>
        <w:tc>
          <w:tcPr>
            <w:tcW w:w="78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MTC as comparable</w:t>
            </w:r>
          </w:p>
        </w:tc>
        <w:tc>
          <w:tcPr>
            <w:tcW w:w="1114"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32,7%</w:t>
            </w:r>
          </w:p>
        </w:tc>
      </w:tr>
      <w:tr w:rsidR="008401F4" w:rsidRPr="00047172" w:rsidTr="00D868B6">
        <w:trPr>
          <w:jc w:val="center"/>
        </w:trPr>
        <w:tc>
          <w:tcPr>
            <w:tcW w:w="463"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7</w:t>
            </w:r>
          </w:p>
        </w:tc>
        <w:tc>
          <w:tcPr>
            <w:tcW w:w="83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VNG</w:t>
            </w:r>
          </w:p>
        </w:tc>
        <w:tc>
          <w:tcPr>
            <w:tcW w:w="51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0,234</w:t>
            </w:r>
          </w:p>
        </w:tc>
        <w:tc>
          <w:tcPr>
            <w:tcW w:w="1291"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0,148</w:t>
            </w:r>
          </w:p>
        </w:tc>
        <w:tc>
          <w:tcPr>
            <w:tcW w:w="78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p>
        </w:tc>
        <w:tc>
          <w:tcPr>
            <w:tcW w:w="1114"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36,9%</w:t>
            </w:r>
          </w:p>
        </w:tc>
      </w:tr>
      <w:tr w:rsidR="008401F4" w:rsidRPr="00047172" w:rsidTr="00D868B6">
        <w:trPr>
          <w:jc w:val="center"/>
        </w:trPr>
        <w:tc>
          <w:tcPr>
            <w:tcW w:w="463"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8</w:t>
            </w:r>
          </w:p>
        </w:tc>
        <w:tc>
          <w:tcPr>
            <w:tcW w:w="83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DNT</w:t>
            </w:r>
          </w:p>
        </w:tc>
        <w:tc>
          <w:tcPr>
            <w:tcW w:w="51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-1,072</w:t>
            </w:r>
          </w:p>
        </w:tc>
        <w:tc>
          <w:tcPr>
            <w:tcW w:w="1291"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-0,744</w:t>
            </w:r>
          </w:p>
        </w:tc>
        <w:tc>
          <w:tcPr>
            <w:tcW w:w="78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p>
        </w:tc>
        <w:tc>
          <w:tcPr>
            <w:tcW w:w="1114"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30,62%</w:t>
            </w:r>
          </w:p>
        </w:tc>
      </w:tr>
      <w:tr w:rsidR="008401F4" w:rsidRPr="00047172" w:rsidTr="00D868B6">
        <w:trPr>
          <w:jc w:val="center"/>
        </w:trPr>
        <w:tc>
          <w:tcPr>
            <w:tcW w:w="463"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9</w:t>
            </w:r>
          </w:p>
        </w:tc>
        <w:tc>
          <w:tcPr>
            <w:tcW w:w="83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DSN</w:t>
            </w:r>
          </w:p>
        </w:tc>
        <w:tc>
          <w:tcPr>
            <w:tcW w:w="51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0,435</w:t>
            </w:r>
          </w:p>
        </w:tc>
        <w:tc>
          <w:tcPr>
            <w:tcW w:w="1291"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0,377</w:t>
            </w:r>
          </w:p>
        </w:tc>
        <w:tc>
          <w:tcPr>
            <w:tcW w:w="78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FDT as comparable</w:t>
            </w:r>
          </w:p>
        </w:tc>
        <w:tc>
          <w:tcPr>
            <w:tcW w:w="1114"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13,34%</w:t>
            </w:r>
          </w:p>
        </w:tc>
      </w:tr>
      <w:tr w:rsidR="008401F4" w:rsidRPr="00047172" w:rsidTr="00D868B6">
        <w:trPr>
          <w:jc w:val="center"/>
        </w:trPr>
        <w:tc>
          <w:tcPr>
            <w:tcW w:w="463"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10</w:t>
            </w:r>
          </w:p>
        </w:tc>
        <w:tc>
          <w:tcPr>
            <w:tcW w:w="83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GTT</w:t>
            </w:r>
          </w:p>
        </w:tc>
        <w:tc>
          <w:tcPr>
            <w:tcW w:w="51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0,272</w:t>
            </w:r>
          </w:p>
        </w:tc>
        <w:tc>
          <w:tcPr>
            <w:tcW w:w="1291"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0,032</w:t>
            </w:r>
          </w:p>
        </w:tc>
        <w:tc>
          <w:tcPr>
            <w:tcW w:w="78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RIC as comparable</w:t>
            </w:r>
          </w:p>
        </w:tc>
        <w:tc>
          <w:tcPr>
            <w:tcW w:w="1114"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88,08%</w:t>
            </w:r>
          </w:p>
        </w:tc>
      </w:tr>
      <w:tr w:rsidR="008401F4" w:rsidRPr="00047172" w:rsidTr="00D868B6">
        <w:trPr>
          <w:jc w:val="center"/>
        </w:trPr>
        <w:tc>
          <w:tcPr>
            <w:tcW w:w="463"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11</w:t>
            </w:r>
          </w:p>
        </w:tc>
        <w:tc>
          <w:tcPr>
            <w:tcW w:w="83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RIC</w:t>
            </w:r>
          </w:p>
        </w:tc>
        <w:tc>
          <w:tcPr>
            <w:tcW w:w="51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1,779</w:t>
            </w:r>
          </w:p>
        </w:tc>
        <w:tc>
          <w:tcPr>
            <w:tcW w:w="1291"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1,330</w:t>
            </w:r>
          </w:p>
        </w:tc>
        <w:tc>
          <w:tcPr>
            <w:tcW w:w="78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p>
        </w:tc>
        <w:tc>
          <w:tcPr>
            <w:tcW w:w="1114"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25,24%</w:t>
            </w:r>
          </w:p>
        </w:tc>
      </w:tr>
      <w:tr w:rsidR="008401F4" w:rsidRPr="00047172" w:rsidTr="00D868B6">
        <w:trPr>
          <w:jc w:val="center"/>
        </w:trPr>
        <w:tc>
          <w:tcPr>
            <w:tcW w:w="463"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12</w:t>
            </w:r>
          </w:p>
        </w:tc>
        <w:tc>
          <w:tcPr>
            <w:tcW w:w="839"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VPL</w:t>
            </w:r>
          </w:p>
        </w:tc>
        <w:tc>
          <w:tcPr>
            <w:tcW w:w="51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0,950</w:t>
            </w:r>
          </w:p>
        </w:tc>
        <w:tc>
          <w:tcPr>
            <w:tcW w:w="1291"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0,049</w:t>
            </w:r>
          </w:p>
        </w:tc>
        <w:tc>
          <w:tcPr>
            <w:tcW w:w="782"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p>
        </w:tc>
        <w:tc>
          <w:tcPr>
            <w:tcW w:w="1114"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94,83%</w:t>
            </w:r>
          </w:p>
        </w:tc>
      </w:tr>
      <w:tr w:rsidR="008401F4" w:rsidRPr="00047172" w:rsidTr="00D868B6">
        <w:trPr>
          <w:jc w:val="center"/>
        </w:trPr>
        <w:tc>
          <w:tcPr>
            <w:tcW w:w="463" w:type="pct"/>
            <w:tcBorders>
              <w:top w:val="nil"/>
              <w:left w:val="nil"/>
              <w:bottom w:val="nil"/>
              <w:right w:val="nil"/>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p>
        </w:tc>
        <w:tc>
          <w:tcPr>
            <w:tcW w:w="839" w:type="pct"/>
            <w:tcBorders>
              <w:top w:val="nil"/>
              <w:left w:val="nil"/>
              <w:bottom w:val="nil"/>
              <w:right w:val="nil"/>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p>
        </w:tc>
        <w:tc>
          <w:tcPr>
            <w:tcW w:w="512" w:type="pct"/>
            <w:tcBorders>
              <w:top w:val="nil"/>
              <w:left w:val="nil"/>
              <w:bottom w:val="nil"/>
              <w:right w:val="nil"/>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p>
        </w:tc>
        <w:tc>
          <w:tcPr>
            <w:tcW w:w="1291" w:type="pct"/>
            <w:tcBorders>
              <w:top w:val="nil"/>
              <w:left w:val="nil"/>
              <w:bottom w:val="nil"/>
              <w:right w:val="nil"/>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p>
        </w:tc>
        <w:tc>
          <w:tcPr>
            <w:tcW w:w="782" w:type="pct"/>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Average</w:t>
            </w:r>
          </w:p>
        </w:tc>
        <w:tc>
          <w:tcPr>
            <w:tcW w:w="1114" w:type="pct"/>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41,02%</w:t>
            </w:r>
          </w:p>
        </w:tc>
      </w:tr>
    </w:tbl>
    <w:p w:rsidR="00F17D5F" w:rsidRPr="00047172" w:rsidRDefault="00F17D5F" w:rsidP="00D868B6">
      <w:pPr>
        <w:autoSpaceDE w:val="0"/>
        <w:autoSpaceDN w:val="0"/>
        <w:adjustRightInd w:val="0"/>
        <w:snapToGrid w:val="0"/>
        <w:jc w:val="both"/>
        <w:rPr>
          <w:i/>
          <w:iCs/>
          <w:sz w:val="20"/>
          <w:szCs w:val="20"/>
        </w:rPr>
      </w:pPr>
      <w:r w:rsidRPr="00047172">
        <w:rPr>
          <w:i/>
          <w:iCs/>
          <w:sz w:val="20"/>
          <w:szCs w:val="20"/>
        </w:rPr>
        <w:t>(source: Viet Nam stock exchange 2012)</w:t>
      </w:r>
    </w:p>
    <w:p w:rsidR="006D08FD" w:rsidRPr="00047172" w:rsidRDefault="006D08FD" w:rsidP="00D868B6">
      <w:pPr>
        <w:autoSpaceDE w:val="0"/>
        <w:autoSpaceDN w:val="0"/>
        <w:adjustRightInd w:val="0"/>
        <w:snapToGrid w:val="0"/>
        <w:ind w:firstLine="425"/>
        <w:jc w:val="both"/>
        <w:rPr>
          <w:rFonts w:eastAsiaTheme="minorEastAsia"/>
          <w:sz w:val="20"/>
          <w:szCs w:val="20"/>
          <w:lang w:val="en-US" w:eastAsia="zh-CN"/>
        </w:rPr>
      </w:pPr>
    </w:p>
    <w:p w:rsidR="00F17D5F" w:rsidRPr="00047172" w:rsidRDefault="00F17D5F" w:rsidP="00D868B6">
      <w:pPr>
        <w:autoSpaceDE w:val="0"/>
        <w:autoSpaceDN w:val="0"/>
        <w:adjustRightInd w:val="0"/>
        <w:snapToGrid w:val="0"/>
        <w:ind w:firstLine="425"/>
        <w:jc w:val="both"/>
        <w:rPr>
          <w:sz w:val="20"/>
          <w:szCs w:val="20"/>
        </w:rPr>
      </w:pPr>
      <w:r w:rsidRPr="00047172">
        <w:rPr>
          <w:sz w:val="20"/>
          <w:szCs w:val="20"/>
          <w:lang w:val="en-US"/>
        </w:rPr>
        <w:t>B</w:t>
      </w:r>
      <w:r w:rsidRPr="00047172">
        <w:rPr>
          <w:sz w:val="20"/>
          <w:szCs w:val="20"/>
        </w:rPr>
        <w:t>.3. Scenario 3: leverage decreases down to 20%</w:t>
      </w:r>
    </w:p>
    <w:p w:rsidR="00F17D5F" w:rsidRPr="00047172" w:rsidRDefault="00F17D5F" w:rsidP="00D868B6">
      <w:pPr>
        <w:autoSpaceDE w:val="0"/>
        <w:autoSpaceDN w:val="0"/>
        <w:adjustRightInd w:val="0"/>
        <w:snapToGrid w:val="0"/>
        <w:ind w:firstLine="425"/>
        <w:jc w:val="both"/>
        <w:rPr>
          <w:sz w:val="20"/>
          <w:szCs w:val="20"/>
        </w:rPr>
      </w:pPr>
      <w:r w:rsidRPr="00047172">
        <w:rPr>
          <w:sz w:val="20"/>
          <w:szCs w:val="20"/>
        </w:rPr>
        <w:t>If leverage decreases down to 20%, all beta values of total 1</w:t>
      </w:r>
      <w:r w:rsidR="00797065" w:rsidRPr="00047172">
        <w:rPr>
          <w:sz w:val="20"/>
          <w:szCs w:val="20"/>
          <w:lang w:val="en-US"/>
        </w:rPr>
        <w:t>2</w:t>
      </w:r>
      <w:r w:rsidRPr="00047172">
        <w:rPr>
          <w:sz w:val="20"/>
          <w:szCs w:val="20"/>
        </w:rPr>
        <w:t xml:space="preserve"> listed firms on the </w:t>
      </w:r>
      <w:r w:rsidR="008401F4" w:rsidRPr="00047172">
        <w:rPr>
          <w:sz w:val="20"/>
          <w:szCs w:val="20"/>
          <w:lang w:val="en-US"/>
        </w:rPr>
        <w:t>hotel and entertainment</w:t>
      </w:r>
      <w:r w:rsidRPr="00047172">
        <w:rPr>
          <w:sz w:val="20"/>
          <w:szCs w:val="20"/>
        </w:rPr>
        <w:t xml:space="preserve"> industry market in</w:t>
      </w:r>
      <w:r w:rsidR="00B42709">
        <w:rPr>
          <w:sz w:val="20"/>
          <w:szCs w:val="20"/>
        </w:rPr>
        <w:t xml:space="preserve"> </w:t>
      </w:r>
      <w:r w:rsidRPr="00047172">
        <w:rPr>
          <w:sz w:val="20"/>
          <w:szCs w:val="20"/>
        </w:rPr>
        <w:t>VN as following:</w:t>
      </w:r>
    </w:p>
    <w:p w:rsidR="00047172" w:rsidRPr="00047172" w:rsidRDefault="00047172" w:rsidP="00D868B6">
      <w:pPr>
        <w:autoSpaceDE w:val="0"/>
        <w:autoSpaceDN w:val="0"/>
        <w:adjustRightInd w:val="0"/>
        <w:snapToGrid w:val="0"/>
        <w:jc w:val="center"/>
        <w:rPr>
          <w:rFonts w:eastAsiaTheme="minorEastAsia"/>
          <w:sz w:val="20"/>
          <w:szCs w:val="20"/>
          <w:lang w:eastAsia="zh-CN"/>
        </w:rPr>
      </w:pPr>
    </w:p>
    <w:p w:rsidR="00047172" w:rsidRPr="00047172" w:rsidRDefault="00047172" w:rsidP="00D868B6">
      <w:pPr>
        <w:autoSpaceDE w:val="0"/>
        <w:autoSpaceDN w:val="0"/>
        <w:adjustRightInd w:val="0"/>
        <w:snapToGrid w:val="0"/>
        <w:jc w:val="center"/>
        <w:rPr>
          <w:rFonts w:eastAsiaTheme="minorEastAsia"/>
          <w:sz w:val="20"/>
          <w:szCs w:val="20"/>
          <w:lang w:eastAsia="zh-CN"/>
        </w:rPr>
      </w:pPr>
    </w:p>
    <w:p w:rsidR="00047172" w:rsidRPr="00047172" w:rsidRDefault="00047172" w:rsidP="00D868B6">
      <w:pPr>
        <w:autoSpaceDE w:val="0"/>
        <w:autoSpaceDN w:val="0"/>
        <w:adjustRightInd w:val="0"/>
        <w:snapToGrid w:val="0"/>
        <w:jc w:val="center"/>
        <w:rPr>
          <w:rFonts w:eastAsiaTheme="minorEastAsia"/>
          <w:sz w:val="20"/>
          <w:szCs w:val="20"/>
          <w:lang w:eastAsia="zh-CN"/>
        </w:rPr>
      </w:pPr>
    </w:p>
    <w:p w:rsidR="00F17D5F" w:rsidRPr="00047172" w:rsidRDefault="00F17D5F" w:rsidP="00D868B6">
      <w:pPr>
        <w:autoSpaceDE w:val="0"/>
        <w:autoSpaceDN w:val="0"/>
        <w:adjustRightInd w:val="0"/>
        <w:snapToGrid w:val="0"/>
        <w:jc w:val="center"/>
        <w:rPr>
          <w:sz w:val="20"/>
          <w:szCs w:val="20"/>
        </w:rPr>
      </w:pPr>
      <w:r w:rsidRPr="00047172">
        <w:rPr>
          <w:sz w:val="20"/>
          <w:szCs w:val="20"/>
        </w:rPr>
        <w:lastRenderedPageBreak/>
        <w:t xml:space="preserve">Table 3 – Market risk of listed </w:t>
      </w:r>
      <w:r w:rsidR="008401F4" w:rsidRPr="00047172">
        <w:rPr>
          <w:sz w:val="20"/>
          <w:szCs w:val="20"/>
          <w:lang w:val="en-US"/>
        </w:rPr>
        <w:t>hotel and entertainment</w:t>
      </w:r>
      <w:r w:rsidRPr="00047172">
        <w:rPr>
          <w:sz w:val="20"/>
          <w:szCs w:val="20"/>
        </w:rPr>
        <w:t xml:space="preserve"> industry firms (case 3)</w:t>
      </w:r>
    </w:p>
    <w:tbl>
      <w:tblPr>
        <w:tblW w:w="0" w:type="auto"/>
        <w:jc w:val="center"/>
        <w:tblLook w:val="0000"/>
      </w:tblPr>
      <w:tblGrid>
        <w:gridCol w:w="1094"/>
        <w:gridCol w:w="1983"/>
        <w:gridCol w:w="1211"/>
        <w:gridCol w:w="2130"/>
        <w:gridCol w:w="1849"/>
        <w:gridCol w:w="1777"/>
      </w:tblGrid>
      <w:tr w:rsidR="008401F4" w:rsidRPr="00047172" w:rsidTr="00D868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Order No.</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Company stock code</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Equity beta</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D868B6" w:rsidRPr="00047172" w:rsidRDefault="008401F4" w:rsidP="00D868B6">
            <w:pPr>
              <w:snapToGrid w:val="0"/>
              <w:jc w:val="both"/>
              <w:rPr>
                <w:rFonts w:eastAsiaTheme="minorEastAsia"/>
                <w:b/>
                <w:bCs/>
                <w:color w:val="000000"/>
                <w:sz w:val="20"/>
                <w:szCs w:val="20"/>
                <w:lang w:val="vi-VN" w:eastAsia="zh-CN" w:bidi="th-TH"/>
              </w:rPr>
            </w:pPr>
            <w:r w:rsidRPr="00047172">
              <w:rPr>
                <w:rFonts w:eastAsia="MS Mincho"/>
                <w:b/>
                <w:bCs/>
                <w:color w:val="000000"/>
                <w:sz w:val="20"/>
                <w:szCs w:val="20"/>
                <w:lang w:val="vi-VN" w:eastAsia="ja-JP" w:bidi="th-TH"/>
              </w:rPr>
              <w:t xml:space="preserve">Asset beta </w:t>
            </w:r>
          </w:p>
          <w:p w:rsidR="008401F4" w:rsidRPr="00047172" w:rsidRDefault="008401F4"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(assume debt beta = 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Note</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D868B6" w:rsidRPr="00047172" w:rsidRDefault="008401F4" w:rsidP="00D868B6">
            <w:pPr>
              <w:snapToGrid w:val="0"/>
              <w:jc w:val="both"/>
              <w:rPr>
                <w:rFonts w:eastAsiaTheme="minorEastAsia"/>
                <w:b/>
                <w:bCs/>
                <w:color w:val="000000"/>
                <w:sz w:val="20"/>
                <w:szCs w:val="20"/>
                <w:lang w:val="vi-VN" w:eastAsia="zh-CN" w:bidi="th-TH"/>
              </w:rPr>
            </w:pPr>
            <w:r w:rsidRPr="00047172">
              <w:rPr>
                <w:rFonts w:eastAsia="MS Mincho"/>
                <w:b/>
                <w:bCs/>
                <w:color w:val="000000"/>
                <w:sz w:val="20"/>
                <w:szCs w:val="20"/>
                <w:lang w:val="vi-VN" w:eastAsia="ja-JP" w:bidi="th-TH"/>
              </w:rPr>
              <w:t xml:space="preserve">Financial leverage </w:t>
            </w:r>
          </w:p>
          <w:p w:rsidR="008401F4" w:rsidRPr="00047172" w:rsidRDefault="008401F4"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(20% down)</w:t>
            </w:r>
          </w:p>
        </w:tc>
      </w:tr>
      <w:tr w:rsidR="008401F4" w:rsidRPr="00047172" w:rsidTr="00D868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DLD</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0,181</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0,131</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VNG as comparable</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28,0%</w:t>
            </w:r>
          </w:p>
        </w:tc>
      </w:tr>
      <w:tr w:rsidR="008401F4" w:rsidRPr="00047172" w:rsidTr="00D868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2</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DXL</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0,323</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0,250</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SGH as comparable</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22,4%</w:t>
            </w:r>
          </w:p>
        </w:tc>
      </w:tr>
      <w:tr w:rsidR="008401F4" w:rsidRPr="00047172" w:rsidTr="00D868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3</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MTC</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0,386</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0,377</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SGH as comparable</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2,2%</w:t>
            </w:r>
          </w:p>
        </w:tc>
      </w:tr>
      <w:tr w:rsidR="008401F4" w:rsidRPr="00047172" w:rsidTr="00D868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4</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OCH</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1,085</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0,586</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RIC as comparable</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46,0%</w:t>
            </w:r>
          </w:p>
        </w:tc>
      </w:tr>
      <w:tr w:rsidR="008401F4" w:rsidRPr="00047172" w:rsidTr="00D868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5</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SGH</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0,392</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0,368</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6,3%</w:t>
            </w:r>
          </w:p>
        </w:tc>
      </w:tr>
      <w:tr w:rsidR="008401F4" w:rsidRPr="00047172" w:rsidTr="00D868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6</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VIR</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0,325</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0,259</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MTC as comparable</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20,1%</w:t>
            </w:r>
          </w:p>
        </w:tc>
      </w:tr>
      <w:tr w:rsidR="008401F4" w:rsidRPr="00047172" w:rsidTr="00D868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7</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VNG</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0,234</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0,181</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22,7%</w:t>
            </w:r>
          </w:p>
        </w:tc>
      </w:tr>
      <w:tr w:rsidR="008401F4" w:rsidRPr="00047172" w:rsidTr="00D868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8</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DNT</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-1,072</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-0,870</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18,85%</w:t>
            </w:r>
          </w:p>
        </w:tc>
      </w:tr>
      <w:tr w:rsidR="008401F4" w:rsidRPr="00047172" w:rsidTr="00D868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9</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DSN</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0,455</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0,418</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FDT as comparable</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8,21%</w:t>
            </w:r>
          </w:p>
        </w:tc>
      </w:tr>
      <w:tr w:rsidR="008401F4" w:rsidRPr="00047172" w:rsidTr="00D868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10</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GTT</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0,943</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0,432</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RIC as comparable</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54,20%</w:t>
            </w:r>
          </w:p>
        </w:tc>
      </w:tr>
      <w:tr w:rsidR="008401F4" w:rsidRPr="00047172" w:rsidTr="00D868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11</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RIC</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1,779</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1,503</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15,53%</w:t>
            </w:r>
          </w:p>
        </w:tc>
      </w:tr>
      <w:tr w:rsidR="008401F4" w:rsidRPr="00047172" w:rsidTr="00D868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12</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VPL</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0,950</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0,395</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58,36%</w:t>
            </w:r>
          </w:p>
        </w:tc>
      </w:tr>
      <w:tr w:rsidR="008401F4" w:rsidRPr="00047172" w:rsidTr="00D868B6">
        <w:trPr>
          <w:jc w:val="center"/>
        </w:trPr>
        <w:tc>
          <w:tcPr>
            <w:tcW w:w="0" w:type="auto"/>
            <w:tcBorders>
              <w:top w:val="nil"/>
              <w:left w:val="single" w:sz="4" w:space="0" w:color="auto"/>
              <w:bottom w:val="nil"/>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p>
        </w:tc>
        <w:tc>
          <w:tcPr>
            <w:tcW w:w="0" w:type="auto"/>
            <w:tcBorders>
              <w:top w:val="nil"/>
              <w:left w:val="nil"/>
              <w:bottom w:val="nil"/>
              <w:right w:val="nil"/>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p>
        </w:tc>
        <w:tc>
          <w:tcPr>
            <w:tcW w:w="0" w:type="auto"/>
            <w:tcBorders>
              <w:top w:val="nil"/>
              <w:left w:val="nil"/>
              <w:bottom w:val="nil"/>
              <w:right w:val="nil"/>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p>
        </w:tc>
        <w:tc>
          <w:tcPr>
            <w:tcW w:w="0" w:type="auto"/>
            <w:tcBorders>
              <w:top w:val="nil"/>
              <w:left w:val="nil"/>
              <w:bottom w:val="nil"/>
              <w:right w:val="nil"/>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Average</w:t>
            </w:r>
          </w:p>
        </w:tc>
        <w:tc>
          <w:tcPr>
            <w:tcW w:w="0" w:type="auto"/>
            <w:tcBorders>
              <w:top w:val="nil"/>
              <w:left w:val="nil"/>
              <w:bottom w:val="single" w:sz="4" w:space="0" w:color="auto"/>
              <w:right w:val="single" w:sz="4" w:space="0" w:color="auto"/>
            </w:tcBorders>
            <w:shd w:val="clear" w:color="auto" w:fill="auto"/>
            <w:noWrap/>
            <w:vAlign w:val="center"/>
          </w:tcPr>
          <w:p w:rsidR="008401F4" w:rsidRPr="00047172" w:rsidRDefault="008401F4"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25,24%</w:t>
            </w:r>
          </w:p>
        </w:tc>
      </w:tr>
    </w:tbl>
    <w:p w:rsidR="00F17D5F" w:rsidRPr="00047172" w:rsidRDefault="00F17D5F" w:rsidP="00D868B6">
      <w:pPr>
        <w:autoSpaceDE w:val="0"/>
        <w:autoSpaceDN w:val="0"/>
        <w:adjustRightInd w:val="0"/>
        <w:snapToGrid w:val="0"/>
        <w:jc w:val="both"/>
        <w:rPr>
          <w:i/>
          <w:iCs/>
          <w:sz w:val="20"/>
          <w:szCs w:val="20"/>
        </w:rPr>
      </w:pPr>
      <w:r w:rsidRPr="00047172">
        <w:rPr>
          <w:i/>
          <w:iCs/>
          <w:sz w:val="20"/>
          <w:szCs w:val="20"/>
        </w:rPr>
        <w:t>(source: Viet Nam stock exchange 2012)</w:t>
      </w:r>
    </w:p>
    <w:p w:rsidR="00F17D5F" w:rsidRPr="00047172" w:rsidRDefault="00F17D5F" w:rsidP="00D868B6">
      <w:pPr>
        <w:autoSpaceDE w:val="0"/>
        <w:autoSpaceDN w:val="0"/>
        <w:adjustRightInd w:val="0"/>
        <w:snapToGrid w:val="0"/>
        <w:ind w:firstLine="425"/>
        <w:jc w:val="both"/>
        <w:rPr>
          <w:sz w:val="20"/>
          <w:szCs w:val="20"/>
        </w:rPr>
      </w:pPr>
    </w:p>
    <w:p w:rsidR="00F17D5F" w:rsidRPr="00047172" w:rsidRDefault="00F17D5F" w:rsidP="00D868B6">
      <w:pPr>
        <w:autoSpaceDE w:val="0"/>
        <w:autoSpaceDN w:val="0"/>
        <w:adjustRightInd w:val="0"/>
        <w:snapToGrid w:val="0"/>
        <w:ind w:firstLine="425"/>
        <w:jc w:val="both"/>
        <w:rPr>
          <w:sz w:val="20"/>
          <w:szCs w:val="20"/>
        </w:rPr>
      </w:pPr>
      <w:r w:rsidRPr="00047172">
        <w:rPr>
          <w:sz w:val="20"/>
          <w:szCs w:val="20"/>
        </w:rPr>
        <w:t>All three above tables and data show that values of equity and asset beta in the case of increasing leverage up to 30% or decreasing leverage degree down to 20% have certain fluctuation.</w:t>
      </w:r>
    </w:p>
    <w:p w:rsidR="00F17D5F" w:rsidRPr="00047172" w:rsidRDefault="00F17D5F" w:rsidP="00D868B6">
      <w:pPr>
        <w:autoSpaceDE w:val="0"/>
        <w:autoSpaceDN w:val="0"/>
        <w:adjustRightInd w:val="0"/>
        <w:snapToGrid w:val="0"/>
        <w:jc w:val="both"/>
        <w:rPr>
          <w:sz w:val="20"/>
          <w:szCs w:val="20"/>
        </w:rPr>
      </w:pPr>
      <w:r w:rsidRPr="00047172">
        <w:rPr>
          <w:sz w:val="20"/>
          <w:szCs w:val="20"/>
          <w:lang w:val="en-US"/>
        </w:rPr>
        <w:t>C</w:t>
      </w:r>
      <w:r w:rsidRPr="00047172">
        <w:rPr>
          <w:sz w:val="20"/>
          <w:szCs w:val="20"/>
        </w:rPr>
        <w:t>.</w:t>
      </w:r>
      <w:r w:rsidRPr="00047172">
        <w:rPr>
          <w:b/>
          <w:bCs/>
          <w:sz w:val="20"/>
          <w:szCs w:val="20"/>
        </w:rPr>
        <w:t xml:space="preserve"> Comparing statistical results in 3 scenarios of changing leverage:</w:t>
      </w:r>
    </w:p>
    <w:p w:rsidR="00D868B6" w:rsidRPr="00047172" w:rsidRDefault="00D868B6" w:rsidP="00D868B6">
      <w:pPr>
        <w:autoSpaceDE w:val="0"/>
        <w:autoSpaceDN w:val="0"/>
        <w:adjustRightInd w:val="0"/>
        <w:snapToGrid w:val="0"/>
        <w:jc w:val="center"/>
        <w:rPr>
          <w:rFonts w:eastAsiaTheme="minorEastAsia"/>
          <w:sz w:val="20"/>
          <w:szCs w:val="20"/>
          <w:lang w:eastAsia="zh-CN"/>
        </w:rPr>
      </w:pPr>
    </w:p>
    <w:p w:rsidR="00F17D5F" w:rsidRPr="00047172" w:rsidRDefault="00F17D5F" w:rsidP="00D868B6">
      <w:pPr>
        <w:autoSpaceDE w:val="0"/>
        <w:autoSpaceDN w:val="0"/>
        <w:adjustRightInd w:val="0"/>
        <w:snapToGrid w:val="0"/>
        <w:jc w:val="center"/>
        <w:rPr>
          <w:sz w:val="20"/>
          <w:szCs w:val="20"/>
        </w:rPr>
      </w:pPr>
      <w:r w:rsidRPr="00047172">
        <w:rPr>
          <w:sz w:val="20"/>
          <w:szCs w:val="20"/>
        </w:rPr>
        <w:t>Table 4 - Statistical results (FL in case 1)</w:t>
      </w:r>
    </w:p>
    <w:tbl>
      <w:tblPr>
        <w:tblW w:w="5000" w:type="pct"/>
        <w:jc w:val="center"/>
        <w:tblLook w:val="0000"/>
      </w:tblPr>
      <w:tblGrid>
        <w:gridCol w:w="1894"/>
        <w:gridCol w:w="2449"/>
        <w:gridCol w:w="3052"/>
        <w:gridCol w:w="2181"/>
      </w:tblGrid>
      <w:tr w:rsidR="002809C3" w:rsidRPr="00047172" w:rsidTr="00D868B6">
        <w:trPr>
          <w:trHeight w:val="255"/>
          <w:jc w:val="center"/>
        </w:trPr>
        <w:tc>
          <w:tcPr>
            <w:tcW w:w="995"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Statistic results</w:t>
            </w:r>
          </w:p>
        </w:tc>
        <w:tc>
          <w:tcPr>
            <w:tcW w:w="1285" w:type="pct"/>
            <w:tcBorders>
              <w:top w:val="single" w:sz="4" w:space="0" w:color="auto"/>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Equity beta</w:t>
            </w:r>
          </w:p>
        </w:tc>
        <w:tc>
          <w:tcPr>
            <w:tcW w:w="1575" w:type="pct"/>
            <w:tcBorders>
              <w:top w:val="single" w:sz="4" w:space="0" w:color="auto"/>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Asset beta (assume debt beta = 0)</w:t>
            </w:r>
          </w:p>
        </w:tc>
        <w:tc>
          <w:tcPr>
            <w:tcW w:w="1145" w:type="pct"/>
            <w:tcBorders>
              <w:top w:val="single" w:sz="4" w:space="0" w:color="auto"/>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Difference</w:t>
            </w:r>
          </w:p>
        </w:tc>
      </w:tr>
      <w:tr w:rsidR="002809C3" w:rsidRPr="00047172" w:rsidTr="00D868B6">
        <w:trPr>
          <w:trHeight w:val="255"/>
          <w:jc w:val="center"/>
        </w:trPr>
        <w:tc>
          <w:tcPr>
            <w:tcW w:w="995" w:type="pct"/>
            <w:tcBorders>
              <w:top w:val="nil"/>
              <w:left w:val="single" w:sz="4" w:space="0" w:color="auto"/>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MAX</w:t>
            </w:r>
          </w:p>
        </w:tc>
        <w:tc>
          <w:tcPr>
            <w:tcW w:w="128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1,779</w:t>
            </w:r>
          </w:p>
        </w:tc>
        <w:tc>
          <w:tcPr>
            <w:tcW w:w="157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1,434</w:t>
            </w:r>
          </w:p>
        </w:tc>
        <w:tc>
          <w:tcPr>
            <w:tcW w:w="114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0,3455</w:t>
            </w:r>
          </w:p>
        </w:tc>
      </w:tr>
      <w:tr w:rsidR="002809C3" w:rsidRPr="00047172" w:rsidTr="00D868B6">
        <w:trPr>
          <w:trHeight w:val="255"/>
          <w:jc w:val="center"/>
        </w:trPr>
        <w:tc>
          <w:tcPr>
            <w:tcW w:w="995" w:type="pct"/>
            <w:tcBorders>
              <w:top w:val="nil"/>
              <w:left w:val="single" w:sz="4" w:space="0" w:color="auto"/>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MIN</w:t>
            </w:r>
          </w:p>
        </w:tc>
        <w:tc>
          <w:tcPr>
            <w:tcW w:w="128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-1,072</w:t>
            </w:r>
          </w:p>
        </w:tc>
        <w:tc>
          <w:tcPr>
            <w:tcW w:w="157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-0,819</w:t>
            </w:r>
          </w:p>
        </w:tc>
        <w:tc>
          <w:tcPr>
            <w:tcW w:w="114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-0,2525</w:t>
            </w:r>
          </w:p>
        </w:tc>
      </w:tr>
      <w:tr w:rsidR="002809C3" w:rsidRPr="00047172" w:rsidTr="00D868B6">
        <w:trPr>
          <w:trHeight w:val="255"/>
          <w:jc w:val="center"/>
        </w:trPr>
        <w:tc>
          <w:tcPr>
            <w:tcW w:w="995" w:type="pct"/>
            <w:tcBorders>
              <w:top w:val="nil"/>
              <w:left w:val="single" w:sz="4" w:space="0" w:color="auto"/>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MEAN</w:t>
            </w:r>
          </w:p>
        </w:tc>
        <w:tc>
          <w:tcPr>
            <w:tcW w:w="128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0,477</w:t>
            </w:r>
          </w:p>
        </w:tc>
        <w:tc>
          <w:tcPr>
            <w:tcW w:w="157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0,279</w:t>
            </w:r>
          </w:p>
        </w:tc>
        <w:tc>
          <w:tcPr>
            <w:tcW w:w="114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0,1982</w:t>
            </w:r>
          </w:p>
        </w:tc>
      </w:tr>
      <w:tr w:rsidR="002809C3" w:rsidRPr="00047172" w:rsidTr="00D868B6">
        <w:trPr>
          <w:trHeight w:val="255"/>
          <w:jc w:val="center"/>
        </w:trPr>
        <w:tc>
          <w:tcPr>
            <w:tcW w:w="995" w:type="pct"/>
            <w:tcBorders>
              <w:top w:val="nil"/>
              <w:left w:val="single" w:sz="4" w:space="0" w:color="auto"/>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VAR</w:t>
            </w:r>
          </w:p>
        </w:tc>
        <w:tc>
          <w:tcPr>
            <w:tcW w:w="128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0,4495</w:t>
            </w:r>
          </w:p>
        </w:tc>
        <w:tc>
          <w:tcPr>
            <w:tcW w:w="157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0,2390</w:t>
            </w:r>
          </w:p>
        </w:tc>
        <w:tc>
          <w:tcPr>
            <w:tcW w:w="114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0,2105</w:t>
            </w:r>
          </w:p>
        </w:tc>
      </w:tr>
      <w:tr w:rsidR="002809C3" w:rsidRPr="00047172" w:rsidTr="00D868B6">
        <w:trPr>
          <w:trHeight w:val="25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Note: Sample size</w:t>
            </w:r>
            <w:r w:rsidR="00B42709">
              <w:rPr>
                <w:rFonts w:eastAsia="MS Mincho"/>
                <w:color w:val="000000"/>
                <w:sz w:val="20"/>
                <w:szCs w:val="20"/>
                <w:lang w:val="vi-VN" w:eastAsia="ja-JP" w:bidi="th-TH"/>
              </w:rPr>
              <w:t>:</w:t>
            </w:r>
            <w:r w:rsidRPr="00047172">
              <w:rPr>
                <w:rFonts w:eastAsia="MS Mincho"/>
                <w:color w:val="000000"/>
                <w:sz w:val="20"/>
                <w:szCs w:val="20"/>
                <w:lang w:val="vi-VN" w:eastAsia="ja-JP" w:bidi="th-TH"/>
              </w:rPr>
              <w:t xml:space="preserve"> 12</w:t>
            </w:r>
          </w:p>
        </w:tc>
      </w:tr>
    </w:tbl>
    <w:p w:rsidR="00F17D5F" w:rsidRPr="00047172" w:rsidRDefault="00F17D5F" w:rsidP="00D868B6">
      <w:pPr>
        <w:autoSpaceDE w:val="0"/>
        <w:autoSpaceDN w:val="0"/>
        <w:adjustRightInd w:val="0"/>
        <w:snapToGrid w:val="0"/>
        <w:jc w:val="both"/>
        <w:rPr>
          <w:i/>
          <w:iCs/>
          <w:sz w:val="20"/>
          <w:szCs w:val="20"/>
        </w:rPr>
      </w:pPr>
      <w:r w:rsidRPr="00047172">
        <w:rPr>
          <w:i/>
          <w:iCs/>
          <w:sz w:val="20"/>
          <w:szCs w:val="20"/>
        </w:rPr>
        <w:t>(source: Viet Nam stock exchange 2012)</w:t>
      </w:r>
    </w:p>
    <w:p w:rsidR="00F17D5F" w:rsidRPr="00047172" w:rsidRDefault="00F17D5F" w:rsidP="00D868B6">
      <w:pPr>
        <w:autoSpaceDE w:val="0"/>
        <w:autoSpaceDN w:val="0"/>
        <w:adjustRightInd w:val="0"/>
        <w:snapToGrid w:val="0"/>
        <w:jc w:val="center"/>
        <w:rPr>
          <w:sz w:val="20"/>
          <w:szCs w:val="20"/>
        </w:rPr>
      </w:pPr>
    </w:p>
    <w:p w:rsidR="00F17D5F" w:rsidRPr="00047172" w:rsidRDefault="00F17D5F" w:rsidP="00D868B6">
      <w:pPr>
        <w:autoSpaceDE w:val="0"/>
        <w:autoSpaceDN w:val="0"/>
        <w:adjustRightInd w:val="0"/>
        <w:snapToGrid w:val="0"/>
        <w:jc w:val="center"/>
        <w:rPr>
          <w:sz w:val="20"/>
          <w:szCs w:val="20"/>
        </w:rPr>
      </w:pPr>
      <w:r w:rsidRPr="00047172">
        <w:rPr>
          <w:sz w:val="20"/>
          <w:szCs w:val="20"/>
        </w:rPr>
        <w:t>Table 5 – Statistical results (FL in case 2)</w:t>
      </w:r>
    </w:p>
    <w:tbl>
      <w:tblPr>
        <w:tblW w:w="5000" w:type="pct"/>
        <w:jc w:val="center"/>
        <w:tblLook w:val="0000"/>
      </w:tblPr>
      <w:tblGrid>
        <w:gridCol w:w="1894"/>
        <w:gridCol w:w="2449"/>
        <w:gridCol w:w="3052"/>
        <w:gridCol w:w="2181"/>
      </w:tblGrid>
      <w:tr w:rsidR="002809C3" w:rsidRPr="00047172" w:rsidTr="00D868B6">
        <w:trPr>
          <w:trHeight w:val="255"/>
          <w:jc w:val="center"/>
        </w:trPr>
        <w:tc>
          <w:tcPr>
            <w:tcW w:w="995"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Statistic results</w:t>
            </w:r>
          </w:p>
        </w:tc>
        <w:tc>
          <w:tcPr>
            <w:tcW w:w="1285" w:type="pct"/>
            <w:tcBorders>
              <w:top w:val="single" w:sz="4" w:space="0" w:color="auto"/>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Equity beta</w:t>
            </w:r>
          </w:p>
        </w:tc>
        <w:tc>
          <w:tcPr>
            <w:tcW w:w="1575" w:type="pct"/>
            <w:tcBorders>
              <w:top w:val="single" w:sz="4" w:space="0" w:color="auto"/>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Asset beta (assume debt beta = 0)</w:t>
            </w:r>
          </w:p>
        </w:tc>
        <w:tc>
          <w:tcPr>
            <w:tcW w:w="1145" w:type="pct"/>
            <w:tcBorders>
              <w:top w:val="single" w:sz="4" w:space="0" w:color="auto"/>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Difference</w:t>
            </w:r>
          </w:p>
        </w:tc>
      </w:tr>
      <w:tr w:rsidR="002809C3" w:rsidRPr="00047172" w:rsidTr="00D868B6">
        <w:trPr>
          <w:trHeight w:val="255"/>
          <w:jc w:val="center"/>
        </w:trPr>
        <w:tc>
          <w:tcPr>
            <w:tcW w:w="995" w:type="pct"/>
            <w:tcBorders>
              <w:top w:val="nil"/>
              <w:left w:val="single" w:sz="4" w:space="0" w:color="auto"/>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MAX</w:t>
            </w:r>
          </w:p>
        </w:tc>
        <w:tc>
          <w:tcPr>
            <w:tcW w:w="128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1,779</w:t>
            </w:r>
          </w:p>
        </w:tc>
        <w:tc>
          <w:tcPr>
            <w:tcW w:w="157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1,330</w:t>
            </w:r>
          </w:p>
        </w:tc>
        <w:tc>
          <w:tcPr>
            <w:tcW w:w="114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0,4492</w:t>
            </w:r>
          </w:p>
        </w:tc>
      </w:tr>
      <w:tr w:rsidR="002809C3" w:rsidRPr="00047172" w:rsidTr="00D868B6">
        <w:trPr>
          <w:trHeight w:val="255"/>
          <w:jc w:val="center"/>
        </w:trPr>
        <w:tc>
          <w:tcPr>
            <w:tcW w:w="995" w:type="pct"/>
            <w:tcBorders>
              <w:top w:val="nil"/>
              <w:left w:val="single" w:sz="4" w:space="0" w:color="auto"/>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MIN</w:t>
            </w:r>
          </w:p>
        </w:tc>
        <w:tc>
          <w:tcPr>
            <w:tcW w:w="128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-1,072</w:t>
            </w:r>
          </w:p>
        </w:tc>
        <w:tc>
          <w:tcPr>
            <w:tcW w:w="157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-0,744</w:t>
            </w:r>
          </w:p>
        </w:tc>
        <w:tc>
          <w:tcPr>
            <w:tcW w:w="114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-0,3283</w:t>
            </w:r>
          </w:p>
        </w:tc>
      </w:tr>
      <w:tr w:rsidR="002809C3" w:rsidRPr="00047172" w:rsidTr="00D868B6">
        <w:trPr>
          <w:trHeight w:val="255"/>
          <w:jc w:val="center"/>
        </w:trPr>
        <w:tc>
          <w:tcPr>
            <w:tcW w:w="995" w:type="pct"/>
            <w:tcBorders>
              <w:top w:val="nil"/>
              <w:left w:val="single" w:sz="4" w:space="0" w:color="auto"/>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MEAN</w:t>
            </w:r>
          </w:p>
        </w:tc>
        <w:tc>
          <w:tcPr>
            <w:tcW w:w="128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0,385</w:t>
            </w:r>
          </w:p>
        </w:tc>
        <w:tc>
          <w:tcPr>
            <w:tcW w:w="157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0,208</w:t>
            </w:r>
          </w:p>
        </w:tc>
        <w:tc>
          <w:tcPr>
            <w:tcW w:w="114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0,1774</w:t>
            </w:r>
          </w:p>
        </w:tc>
      </w:tr>
      <w:tr w:rsidR="002809C3" w:rsidRPr="00047172" w:rsidTr="00D868B6">
        <w:trPr>
          <w:trHeight w:val="255"/>
          <w:jc w:val="center"/>
        </w:trPr>
        <w:tc>
          <w:tcPr>
            <w:tcW w:w="995" w:type="pct"/>
            <w:tcBorders>
              <w:top w:val="nil"/>
              <w:left w:val="single" w:sz="4" w:space="0" w:color="auto"/>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VAR</w:t>
            </w:r>
          </w:p>
        </w:tc>
        <w:tc>
          <w:tcPr>
            <w:tcW w:w="128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0,4121</w:t>
            </w:r>
          </w:p>
        </w:tc>
        <w:tc>
          <w:tcPr>
            <w:tcW w:w="157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0,2112</w:t>
            </w:r>
          </w:p>
        </w:tc>
        <w:tc>
          <w:tcPr>
            <w:tcW w:w="114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0,2009</w:t>
            </w:r>
          </w:p>
        </w:tc>
      </w:tr>
      <w:tr w:rsidR="002809C3" w:rsidRPr="00047172" w:rsidTr="00D868B6">
        <w:trPr>
          <w:trHeight w:val="25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Note: Sample size</w:t>
            </w:r>
            <w:r w:rsidR="00B42709">
              <w:rPr>
                <w:rFonts w:eastAsia="MS Mincho"/>
                <w:color w:val="000000"/>
                <w:sz w:val="20"/>
                <w:szCs w:val="20"/>
                <w:lang w:val="vi-VN" w:eastAsia="ja-JP" w:bidi="th-TH"/>
              </w:rPr>
              <w:t>:</w:t>
            </w:r>
            <w:r w:rsidRPr="00047172">
              <w:rPr>
                <w:rFonts w:eastAsia="MS Mincho"/>
                <w:color w:val="000000"/>
                <w:sz w:val="20"/>
                <w:szCs w:val="20"/>
                <w:lang w:val="vi-VN" w:eastAsia="ja-JP" w:bidi="th-TH"/>
              </w:rPr>
              <w:t xml:space="preserve"> 12</w:t>
            </w:r>
          </w:p>
        </w:tc>
      </w:tr>
    </w:tbl>
    <w:p w:rsidR="00F17D5F" w:rsidRPr="00047172" w:rsidRDefault="00F17D5F" w:rsidP="00D868B6">
      <w:pPr>
        <w:autoSpaceDE w:val="0"/>
        <w:autoSpaceDN w:val="0"/>
        <w:adjustRightInd w:val="0"/>
        <w:snapToGrid w:val="0"/>
        <w:ind w:firstLine="425"/>
        <w:jc w:val="both"/>
        <w:rPr>
          <w:i/>
          <w:iCs/>
          <w:sz w:val="20"/>
          <w:szCs w:val="20"/>
        </w:rPr>
      </w:pPr>
      <w:r w:rsidRPr="00047172">
        <w:rPr>
          <w:i/>
          <w:iCs/>
          <w:sz w:val="20"/>
          <w:szCs w:val="20"/>
        </w:rPr>
        <w:t>(source: Viet Nam stock exchange 2012)</w:t>
      </w:r>
    </w:p>
    <w:p w:rsidR="00F17D5F" w:rsidRPr="00047172" w:rsidRDefault="00F17D5F" w:rsidP="00D868B6">
      <w:pPr>
        <w:autoSpaceDE w:val="0"/>
        <w:autoSpaceDN w:val="0"/>
        <w:adjustRightInd w:val="0"/>
        <w:snapToGrid w:val="0"/>
        <w:jc w:val="center"/>
        <w:rPr>
          <w:sz w:val="20"/>
          <w:szCs w:val="20"/>
        </w:rPr>
      </w:pPr>
    </w:p>
    <w:p w:rsidR="00F17D5F" w:rsidRPr="00047172" w:rsidRDefault="00F17D5F" w:rsidP="00D868B6">
      <w:pPr>
        <w:autoSpaceDE w:val="0"/>
        <w:autoSpaceDN w:val="0"/>
        <w:adjustRightInd w:val="0"/>
        <w:snapToGrid w:val="0"/>
        <w:jc w:val="center"/>
        <w:rPr>
          <w:sz w:val="20"/>
          <w:szCs w:val="20"/>
        </w:rPr>
      </w:pPr>
      <w:r w:rsidRPr="00047172">
        <w:rPr>
          <w:sz w:val="20"/>
          <w:szCs w:val="20"/>
        </w:rPr>
        <w:t>Table 6- Statistical results (FL in case 3)</w:t>
      </w:r>
    </w:p>
    <w:tbl>
      <w:tblPr>
        <w:tblW w:w="5000" w:type="pct"/>
        <w:jc w:val="center"/>
        <w:tblLook w:val="0000"/>
      </w:tblPr>
      <w:tblGrid>
        <w:gridCol w:w="1894"/>
        <w:gridCol w:w="2449"/>
        <w:gridCol w:w="3052"/>
        <w:gridCol w:w="2181"/>
      </w:tblGrid>
      <w:tr w:rsidR="002809C3" w:rsidRPr="00047172" w:rsidTr="00D868B6">
        <w:trPr>
          <w:trHeight w:val="255"/>
          <w:jc w:val="center"/>
        </w:trPr>
        <w:tc>
          <w:tcPr>
            <w:tcW w:w="995"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Statistic results</w:t>
            </w:r>
          </w:p>
        </w:tc>
        <w:tc>
          <w:tcPr>
            <w:tcW w:w="1285" w:type="pct"/>
            <w:tcBorders>
              <w:top w:val="single" w:sz="4" w:space="0" w:color="auto"/>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Equity beta</w:t>
            </w:r>
          </w:p>
        </w:tc>
        <w:tc>
          <w:tcPr>
            <w:tcW w:w="1575" w:type="pct"/>
            <w:tcBorders>
              <w:top w:val="single" w:sz="4" w:space="0" w:color="auto"/>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Asset beta (assume debt beta = 0)</w:t>
            </w:r>
          </w:p>
        </w:tc>
        <w:tc>
          <w:tcPr>
            <w:tcW w:w="1145" w:type="pct"/>
            <w:tcBorders>
              <w:top w:val="single" w:sz="4" w:space="0" w:color="auto"/>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Difference</w:t>
            </w:r>
          </w:p>
        </w:tc>
      </w:tr>
      <w:tr w:rsidR="002809C3" w:rsidRPr="00047172" w:rsidTr="00D868B6">
        <w:trPr>
          <w:trHeight w:val="255"/>
          <w:jc w:val="center"/>
        </w:trPr>
        <w:tc>
          <w:tcPr>
            <w:tcW w:w="995" w:type="pct"/>
            <w:tcBorders>
              <w:top w:val="nil"/>
              <w:left w:val="single" w:sz="4" w:space="0" w:color="auto"/>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MAX</w:t>
            </w:r>
          </w:p>
        </w:tc>
        <w:tc>
          <w:tcPr>
            <w:tcW w:w="128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1,779</w:t>
            </w:r>
          </w:p>
        </w:tc>
        <w:tc>
          <w:tcPr>
            <w:tcW w:w="157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1,503</w:t>
            </w:r>
          </w:p>
        </w:tc>
        <w:tc>
          <w:tcPr>
            <w:tcW w:w="114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0,2764</w:t>
            </w:r>
          </w:p>
        </w:tc>
      </w:tr>
      <w:tr w:rsidR="002809C3" w:rsidRPr="00047172" w:rsidTr="00D868B6">
        <w:trPr>
          <w:trHeight w:val="255"/>
          <w:jc w:val="center"/>
        </w:trPr>
        <w:tc>
          <w:tcPr>
            <w:tcW w:w="995" w:type="pct"/>
            <w:tcBorders>
              <w:top w:val="nil"/>
              <w:left w:val="single" w:sz="4" w:space="0" w:color="auto"/>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MIN</w:t>
            </w:r>
          </w:p>
        </w:tc>
        <w:tc>
          <w:tcPr>
            <w:tcW w:w="128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-1,072</w:t>
            </w:r>
          </w:p>
        </w:tc>
        <w:tc>
          <w:tcPr>
            <w:tcW w:w="157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-0,870</w:t>
            </w:r>
          </w:p>
        </w:tc>
        <w:tc>
          <w:tcPr>
            <w:tcW w:w="114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-0,2020</w:t>
            </w:r>
          </w:p>
        </w:tc>
      </w:tr>
      <w:tr w:rsidR="002809C3" w:rsidRPr="00047172" w:rsidTr="00D868B6">
        <w:trPr>
          <w:trHeight w:val="255"/>
          <w:jc w:val="center"/>
        </w:trPr>
        <w:tc>
          <w:tcPr>
            <w:tcW w:w="995" w:type="pct"/>
            <w:tcBorders>
              <w:top w:val="nil"/>
              <w:left w:val="single" w:sz="4" w:space="0" w:color="auto"/>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MEAN</w:t>
            </w:r>
          </w:p>
        </w:tc>
        <w:tc>
          <w:tcPr>
            <w:tcW w:w="128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0,498</w:t>
            </w:r>
          </w:p>
        </w:tc>
        <w:tc>
          <w:tcPr>
            <w:tcW w:w="157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0,336</w:t>
            </w:r>
          </w:p>
        </w:tc>
        <w:tc>
          <w:tcPr>
            <w:tcW w:w="114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0,1626</w:t>
            </w:r>
          </w:p>
        </w:tc>
      </w:tr>
      <w:tr w:rsidR="002809C3" w:rsidRPr="00047172" w:rsidTr="00D868B6">
        <w:trPr>
          <w:trHeight w:val="255"/>
          <w:jc w:val="center"/>
        </w:trPr>
        <w:tc>
          <w:tcPr>
            <w:tcW w:w="995" w:type="pct"/>
            <w:tcBorders>
              <w:top w:val="nil"/>
              <w:left w:val="single" w:sz="4" w:space="0" w:color="auto"/>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VAR</w:t>
            </w:r>
          </w:p>
        </w:tc>
        <w:tc>
          <w:tcPr>
            <w:tcW w:w="128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0,4645</w:t>
            </w:r>
          </w:p>
        </w:tc>
        <w:tc>
          <w:tcPr>
            <w:tcW w:w="157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0,2709</w:t>
            </w:r>
          </w:p>
        </w:tc>
        <w:tc>
          <w:tcPr>
            <w:tcW w:w="1145" w:type="pct"/>
            <w:tcBorders>
              <w:top w:val="nil"/>
              <w:left w:val="nil"/>
              <w:bottom w:val="single" w:sz="4" w:space="0" w:color="auto"/>
              <w:right w:val="single" w:sz="4" w:space="0" w:color="auto"/>
            </w:tcBorders>
            <w:shd w:val="clear" w:color="auto" w:fill="auto"/>
            <w:noWrap/>
            <w:vAlign w:val="bottom"/>
          </w:tcPr>
          <w:p w:rsidR="002809C3" w:rsidRPr="00047172" w:rsidRDefault="002809C3"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0,1936</w:t>
            </w:r>
          </w:p>
        </w:tc>
      </w:tr>
      <w:tr w:rsidR="002809C3" w:rsidRPr="00047172" w:rsidTr="00D868B6">
        <w:trPr>
          <w:trHeight w:val="25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2809C3" w:rsidRPr="00047172" w:rsidRDefault="002809C3" w:rsidP="00047172">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Note: Sample size: 12</w:t>
            </w:r>
          </w:p>
        </w:tc>
      </w:tr>
    </w:tbl>
    <w:p w:rsidR="00F17D5F" w:rsidRPr="00047172" w:rsidRDefault="00F17D5F" w:rsidP="00D868B6">
      <w:pPr>
        <w:autoSpaceDE w:val="0"/>
        <w:autoSpaceDN w:val="0"/>
        <w:adjustRightInd w:val="0"/>
        <w:snapToGrid w:val="0"/>
        <w:jc w:val="both"/>
        <w:rPr>
          <w:i/>
          <w:iCs/>
          <w:sz w:val="20"/>
          <w:szCs w:val="20"/>
        </w:rPr>
      </w:pPr>
      <w:r w:rsidRPr="00047172">
        <w:rPr>
          <w:i/>
          <w:iCs/>
          <w:sz w:val="20"/>
          <w:szCs w:val="20"/>
        </w:rPr>
        <w:t>(source: Viet Nam stock exchange 2012)</w:t>
      </w:r>
    </w:p>
    <w:p w:rsidR="00F17D5F" w:rsidRPr="00047172" w:rsidRDefault="00F17D5F" w:rsidP="00D868B6">
      <w:pPr>
        <w:autoSpaceDE w:val="0"/>
        <w:autoSpaceDN w:val="0"/>
        <w:adjustRightInd w:val="0"/>
        <w:snapToGrid w:val="0"/>
        <w:jc w:val="both"/>
        <w:rPr>
          <w:rFonts w:eastAsiaTheme="minorEastAsia"/>
          <w:sz w:val="20"/>
          <w:szCs w:val="20"/>
          <w:lang w:eastAsia="zh-CN"/>
        </w:rPr>
      </w:pPr>
      <w:r w:rsidRPr="00047172">
        <w:rPr>
          <w:sz w:val="20"/>
          <w:szCs w:val="20"/>
        </w:rPr>
        <w:t>Based on the above results, we find out:</w:t>
      </w:r>
    </w:p>
    <w:p w:rsidR="00D868B6" w:rsidRPr="00047172" w:rsidRDefault="00D868B6" w:rsidP="00D868B6">
      <w:pPr>
        <w:autoSpaceDE w:val="0"/>
        <w:autoSpaceDN w:val="0"/>
        <w:adjustRightInd w:val="0"/>
        <w:snapToGrid w:val="0"/>
        <w:ind w:firstLine="425"/>
        <w:jc w:val="both"/>
        <w:rPr>
          <w:rFonts w:eastAsiaTheme="minorEastAsia"/>
          <w:sz w:val="20"/>
          <w:szCs w:val="20"/>
          <w:lang w:eastAsia="zh-CN"/>
        </w:rPr>
      </w:pPr>
    </w:p>
    <w:p w:rsidR="00D868B6" w:rsidRPr="00047172" w:rsidRDefault="00D868B6" w:rsidP="00D868B6">
      <w:pPr>
        <w:autoSpaceDE w:val="0"/>
        <w:autoSpaceDN w:val="0"/>
        <w:adjustRightInd w:val="0"/>
        <w:snapToGrid w:val="0"/>
        <w:ind w:firstLine="425"/>
        <w:jc w:val="both"/>
        <w:rPr>
          <w:sz w:val="20"/>
          <w:szCs w:val="20"/>
        </w:rPr>
        <w:sectPr w:rsidR="00D868B6" w:rsidRPr="00047172" w:rsidSect="00545C1A">
          <w:footnotePr>
            <w:numRestart w:val="eachPage"/>
          </w:footnotePr>
          <w:type w:val="continuous"/>
          <w:pgSz w:w="12240" w:h="15840" w:code="1"/>
          <w:pgMar w:top="1440" w:right="1440" w:bottom="1440" w:left="1440" w:header="720" w:footer="720" w:gutter="0"/>
          <w:cols w:space="720"/>
          <w:docGrid w:linePitch="360"/>
        </w:sectPr>
      </w:pPr>
    </w:p>
    <w:p w:rsidR="00F17D5F" w:rsidRPr="00047172" w:rsidRDefault="00F17D5F" w:rsidP="00D868B6">
      <w:pPr>
        <w:autoSpaceDE w:val="0"/>
        <w:autoSpaceDN w:val="0"/>
        <w:adjustRightInd w:val="0"/>
        <w:snapToGrid w:val="0"/>
        <w:ind w:firstLine="425"/>
        <w:jc w:val="both"/>
        <w:rPr>
          <w:sz w:val="20"/>
          <w:szCs w:val="20"/>
        </w:rPr>
      </w:pPr>
      <w:r w:rsidRPr="00047172">
        <w:rPr>
          <w:sz w:val="20"/>
          <w:szCs w:val="20"/>
        </w:rPr>
        <w:lastRenderedPageBreak/>
        <w:t>Equity beta mean values in all 3 scenarios are low (&lt; 0,</w:t>
      </w:r>
      <w:r w:rsidR="004C6E43" w:rsidRPr="00047172">
        <w:rPr>
          <w:sz w:val="20"/>
          <w:szCs w:val="20"/>
          <w:lang w:val="en-US"/>
        </w:rPr>
        <w:t>8</w:t>
      </w:r>
      <w:r w:rsidRPr="00047172">
        <w:rPr>
          <w:sz w:val="20"/>
          <w:szCs w:val="20"/>
        </w:rPr>
        <w:t xml:space="preserve">) and asset beta mean values are also small </w:t>
      </w:r>
      <w:r w:rsidRPr="00047172">
        <w:rPr>
          <w:sz w:val="20"/>
          <w:szCs w:val="20"/>
        </w:rPr>
        <w:lastRenderedPageBreak/>
        <w:t>(&lt; 0,</w:t>
      </w:r>
      <w:r w:rsidR="004C6E43" w:rsidRPr="00047172">
        <w:rPr>
          <w:sz w:val="20"/>
          <w:szCs w:val="20"/>
          <w:lang w:val="en-US"/>
        </w:rPr>
        <w:t>6</w:t>
      </w:r>
      <w:r w:rsidRPr="00047172">
        <w:rPr>
          <w:sz w:val="20"/>
          <w:szCs w:val="20"/>
        </w:rPr>
        <w:t xml:space="preserve">). In the case of reported leverage in 2011, equity beta value fluctuates in an acceptable range </w:t>
      </w:r>
      <w:r w:rsidRPr="00047172">
        <w:rPr>
          <w:sz w:val="20"/>
          <w:szCs w:val="20"/>
        </w:rPr>
        <w:lastRenderedPageBreak/>
        <w:t xml:space="preserve">from -1,060 (min) up to 2,035 (max) and asset beta fluctuates from -0,888 (min) up to 1,532 (max). If leverage increases to 30%, equity beta moves in an unchanged range and asset beta moves from -0,836 (min) up to 1,497 (max). Hence, we note that there is an increase in asset beta min value if leverage increases. When leverage decreases down to 20%, equity beta value moves in a range </w:t>
      </w:r>
      <w:r w:rsidR="004C6E43" w:rsidRPr="00047172">
        <w:rPr>
          <w:sz w:val="20"/>
          <w:szCs w:val="20"/>
          <w:lang w:val="en-US"/>
        </w:rPr>
        <w:t xml:space="preserve">between 0,056 and 0,545 </w:t>
      </w:r>
      <w:r w:rsidR="004C6E43" w:rsidRPr="00047172">
        <w:rPr>
          <w:sz w:val="20"/>
          <w:szCs w:val="20"/>
        </w:rPr>
        <w:t xml:space="preserve">and asset beta changes from </w:t>
      </w:r>
      <w:r w:rsidRPr="00047172">
        <w:rPr>
          <w:sz w:val="20"/>
          <w:szCs w:val="20"/>
        </w:rPr>
        <w:t>0,</w:t>
      </w:r>
      <w:r w:rsidR="004C6E43" w:rsidRPr="00047172">
        <w:rPr>
          <w:sz w:val="20"/>
          <w:szCs w:val="20"/>
          <w:lang w:val="en-US"/>
        </w:rPr>
        <w:t>051</w:t>
      </w:r>
      <w:r w:rsidRPr="00047172">
        <w:rPr>
          <w:sz w:val="20"/>
          <w:szCs w:val="20"/>
        </w:rPr>
        <w:t xml:space="preserve"> (min) up to </w:t>
      </w:r>
      <w:r w:rsidR="004C6E43" w:rsidRPr="00047172">
        <w:rPr>
          <w:sz w:val="20"/>
          <w:szCs w:val="20"/>
          <w:lang w:val="en-US"/>
        </w:rPr>
        <w:t>0,153</w:t>
      </w:r>
      <w:r w:rsidR="004C6E43" w:rsidRPr="00047172">
        <w:rPr>
          <w:sz w:val="20"/>
          <w:szCs w:val="20"/>
        </w:rPr>
        <w:t xml:space="preserve"> (max). So, there is a</w:t>
      </w:r>
      <w:r w:rsidR="004C6E43" w:rsidRPr="00047172">
        <w:rPr>
          <w:sz w:val="20"/>
          <w:szCs w:val="20"/>
          <w:lang w:val="en-US"/>
        </w:rPr>
        <w:t xml:space="preserve">n </w:t>
      </w:r>
      <w:r w:rsidRPr="00047172">
        <w:rPr>
          <w:sz w:val="20"/>
          <w:szCs w:val="20"/>
        </w:rPr>
        <w:t xml:space="preserve">increase in </w:t>
      </w:r>
      <w:r w:rsidR="004C6E43" w:rsidRPr="00047172">
        <w:rPr>
          <w:sz w:val="20"/>
          <w:szCs w:val="20"/>
        </w:rPr>
        <w:t xml:space="preserve">equity beta min value and </w:t>
      </w:r>
      <w:r w:rsidRPr="00047172">
        <w:rPr>
          <w:sz w:val="20"/>
          <w:szCs w:val="20"/>
        </w:rPr>
        <w:t>increase in asset beta min when leverage decreases in scenario 3.</w:t>
      </w:r>
    </w:p>
    <w:p w:rsidR="00F17D5F" w:rsidRPr="00047172" w:rsidRDefault="00F17D5F" w:rsidP="00D868B6">
      <w:pPr>
        <w:autoSpaceDE w:val="0"/>
        <w:autoSpaceDN w:val="0"/>
        <w:adjustRightInd w:val="0"/>
        <w:snapToGrid w:val="0"/>
        <w:ind w:firstLine="425"/>
        <w:jc w:val="both"/>
        <w:rPr>
          <w:sz w:val="20"/>
          <w:szCs w:val="20"/>
        </w:rPr>
      </w:pPr>
      <w:r w:rsidRPr="00047172">
        <w:rPr>
          <w:sz w:val="20"/>
          <w:szCs w:val="20"/>
        </w:rPr>
        <w:t xml:space="preserve">Beside, Exhibit 4 informs us that in the case 30% leverage up, average equity beta value of 10 listed firms decreases down to </w:t>
      </w:r>
      <w:r w:rsidR="00064D8A" w:rsidRPr="00047172">
        <w:rPr>
          <w:sz w:val="20"/>
          <w:szCs w:val="20"/>
          <w:lang w:val="en-US"/>
        </w:rPr>
        <w:t>-</w:t>
      </w:r>
      <w:r w:rsidRPr="00047172">
        <w:rPr>
          <w:sz w:val="20"/>
          <w:szCs w:val="20"/>
        </w:rPr>
        <w:t>0,1</w:t>
      </w:r>
      <w:r w:rsidR="00064D8A" w:rsidRPr="00047172">
        <w:rPr>
          <w:sz w:val="20"/>
          <w:szCs w:val="20"/>
          <w:lang w:val="en-US"/>
        </w:rPr>
        <w:t>31</w:t>
      </w:r>
      <w:r w:rsidRPr="00047172">
        <w:rPr>
          <w:sz w:val="20"/>
          <w:szCs w:val="20"/>
        </w:rPr>
        <w:t xml:space="preserve"> while average asset beta value of these 10 firms decreases little less to </w:t>
      </w:r>
      <w:r w:rsidR="00064D8A" w:rsidRPr="00047172">
        <w:rPr>
          <w:sz w:val="20"/>
          <w:szCs w:val="20"/>
          <w:lang w:val="en-US"/>
        </w:rPr>
        <w:t>-</w:t>
      </w:r>
      <w:r w:rsidRPr="00047172">
        <w:rPr>
          <w:sz w:val="20"/>
          <w:szCs w:val="20"/>
        </w:rPr>
        <w:t>0,1</w:t>
      </w:r>
      <w:r w:rsidR="00064D8A" w:rsidRPr="00047172">
        <w:rPr>
          <w:sz w:val="20"/>
          <w:szCs w:val="20"/>
          <w:lang w:val="en-US"/>
        </w:rPr>
        <w:t>3</w:t>
      </w:r>
      <w:r w:rsidRPr="00047172">
        <w:rPr>
          <w:sz w:val="20"/>
          <w:szCs w:val="20"/>
        </w:rPr>
        <w:t xml:space="preserve">7. Then, when leverage reduces to 20%, average equity beta value of 10 listed firms goes </w:t>
      </w:r>
      <w:r w:rsidR="00064D8A" w:rsidRPr="00047172">
        <w:rPr>
          <w:sz w:val="20"/>
          <w:szCs w:val="20"/>
          <w:lang w:val="en-US"/>
        </w:rPr>
        <w:t>down little more</w:t>
      </w:r>
      <w:r w:rsidRPr="00047172">
        <w:rPr>
          <w:sz w:val="20"/>
          <w:szCs w:val="20"/>
        </w:rPr>
        <w:t xml:space="preserve"> to </w:t>
      </w:r>
      <w:r w:rsidR="00064D8A" w:rsidRPr="00047172">
        <w:rPr>
          <w:sz w:val="20"/>
          <w:szCs w:val="20"/>
          <w:lang w:val="en-US"/>
        </w:rPr>
        <w:t>-</w:t>
      </w:r>
      <w:r w:rsidRPr="00047172">
        <w:rPr>
          <w:sz w:val="20"/>
          <w:szCs w:val="20"/>
        </w:rPr>
        <w:t>0,</w:t>
      </w:r>
      <w:r w:rsidR="00064D8A" w:rsidRPr="00047172">
        <w:rPr>
          <w:sz w:val="20"/>
          <w:szCs w:val="20"/>
          <w:lang w:val="en-US"/>
        </w:rPr>
        <w:t>4</w:t>
      </w:r>
      <w:r w:rsidRPr="00047172">
        <w:rPr>
          <w:sz w:val="20"/>
          <w:szCs w:val="20"/>
        </w:rPr>
        <w:t xml:space="preserve">6 and average asset beta value of 10 firms up to </w:t>
      </w:r>
      <w:r w:rsidR="00064D8A" w:rsidRPr="00047172">
        <w:rPr>
          <w:sz w:val="20"/>
          <w:szCs w:val="20"/>
          <w:lang w:val="en-US"/>
        </w:rPr>
        <w:t>-</w:t>
      </w:r>
      <w:r w:rsidRPr="00047172">
        <w:rPr>
          <w:sz w:val="20"/>
          <w:szCs w:val="20"/>
        </w:rPr>
        <w:t>0,</w:t>
      </w:r>
      <w:r w:rsidR="00064D8A" w:rsidRPr="00047172">
        <w:rPr>
          <w:sz w:val="20"/>
          <w:szCs w:val="20"/>
          <w:lang w:val="en-US"/>
        </w:rPr>
        <w:t>416</w:t>
      </w:r>
      <w:r w:rsidRPr="00047172">
        <w:rPr>
          <w:sz w:val="20"/>
          <w:szCs w:val="20"/>
        </w:rPr>
        <w:t>.</w:t>
      </w:r>
    </w:p>
    <w:p w:rsidR="00F17D5F" w:rsidRPr="00047172" w:rsidRDefault="00F17D5F" w:rsidP="00D868B6">
      <w:pPr>
        <w:autoSpaceDE w:val="0"/>
        <w:autoSpaceDN w:val="0"/>
        <w:adjustRightInd w:val="0"/>
        <w:snapToGrid w:val="0"/>
        <w:ind w:firstLine="425"/>
        <w:jc w:val="both"/>
        <w:rPr>
          <w:sz w:val="20"/>
          <w:szCs w:val="20"/>
        </w:rPr>
      </w:pPr>
      <w:r w:rsidRPr="00047172">
        <w:rPr>
          <w:sz w:val="20"/>
          <w:szCs w:val="20"/>
        </w:rPr>
        <w:t>The below chart 1 shows us</w:t>
      </w:r>
      <w:r w:rsidR="00B42709">
        <w:rPr>
          <w:sz w:val="20"/>
          <w:szCs w:val="20"/>
        </w:rPr>
        <w:t>:</w:t>
      </w:r>
      <w:r w:rsidRPr="00047172">
        <w:rPr>
          <w:sz w:val="20"/>
          <w:szCs w:val="20"/>
        </w:rPr>
        <w:t xml:space="preserve"> when leverage degree decreases down to 20%, average equity and asset beta values </w:t>
      </w:r>
      <w:r w:rsidR="00811438" w:rsidRPr="00047172">
        <w:rPr>
          <w:sz w:val="20"/>
          <w:szCs w:val="20"/>
          <w:lang w:val="en-US"/>
        </w:rPr>
        <w:t>de</w:t>
      </w:r>
      <w:r w:rsidRPr="00047172">
        <w:rPr>
          <w:sz w:val="20"/>
          <w:szCs w:val="20"/>
        </w:rPr>
        <w:t xml:space="preserve">crease </w:t>
      </w:r>
      <w:r w:rsidR="00E34798" w:rsidRPr="00047172">
        <w:rPr>
          <w:sz w:val="20"/>
          <w:szCs w:val="20"/>
          <w:lang w:val="en-US"/>
        </w:rPr>
        <w:t>to</w:t>
      </w:r>
      <w:r w:rsidR="00811438" w:rsidRPr="00047172">
        <w:rPr>
          <w:sz w:val="20"/>
          <w:szCs w:val="20"/>
          <w:lang w:val="en-US"/>
        </w:rPr>
        <w:t xml:space="preserve"> </w:t>
      </w:r>
      <w:r w:rsidRPr="00047172">
        <w:rPr>
          <w:sz w:val="20"/>
          <w:szCs w:val="20"/>
        </w:rPr>
        <w:t>0,</w:t>
      </w:r>
      <w:r w:rsidR="00811438" w:rsidRPr="00047172">
        <w:rPr>
          <w:sz w:val="20"/>
          <w:szCs w:val="20"/>
          <w:lang w:val="en-US"/>
        </w:rPr>
        <w:t>305</w:t>
      </w:r>
      <w:r w:rsidRPr="00047172">
        <w:rPr>
          <w:sz w:val="20"/>
          <w:szCs w:val="20"/>
        </w:rPr>
        <w:t xml:space="preserve"> and 0,</w:t>
      </w:r>
      <w:r w:rsidR="00811438" w:rsidRPr="00047172">
        <w:rPr>
          <w:sz w:val="20"/>
          <w:szCs w:val="20"/>
          <w:lang w:val="en-US"/>
        </w:rPr>
        <w:t>098</w:t>
      </w:r>
      <w:r w:rsidRPr="00047172">
        <w:rPr>
          <w:sz w:val="20"/>
          <w:szCs w:val="20"/>
        </w:rPr>
        <w:t xml:space="preserve"> compared to those at the initial reported leverage (0,765 and 0,514). Then, when leverage degree increases up to 30%, average equity beta decreases little </w:t>
      </w:r>
      <w:r w:rsidR="009509E2" w:rsidRPr="00047172">
        <w:rPr>
          <w:sz w:val="20"/>
          <w:szCs w:val="20"/>
          <w:lang w:val="en-US"/>
        </w:rPr>
        <w:t>less</w:t>
      </w:r>
      <w:r w:rsidRPr="00047172">
        <w:rPr>
          <w:sz w:val="20"/>
          <w:szCs w:val="20"/>
        </w:rPr>
        <w:t xml:space="preserve"> and average asset beta value also decreases </w:t>
      </w:r>
      <w:r w:rsidR="009509E2" w:rsidRPr="00047172">
        <w:rPr>
          <w:sz w:val="20"/>
          <w:szCs w:val="20"/>
          <w:lang w:val="en-US"/>
        </w:rPr>
        <w:t>less</w:t>
      </w:r>
      <w:r w:rsidRPr="00047172">
        <w:rPr>
          <w:sz w:val="20"/>
          <w:szCs w:val="20"/>
        </w:rPr>
        <w:t xml:space="preserve"> (to 0,6</w:t>
      </w:r>
      <w:r w:rsidR="009509E2" w:rsidRPr="00047172">
        <w:rPr>
          <w:sz w:val="20"/>
          <w:szCs w:val="20"/>
          <w:lang w:val="en-US"/>
        </w:rPr>
        <w:t>34</w:t>
      </w:r>
      <w:r w:rsidRPr="00047172">
        <w:rPr>
          <w:sz w:val="20"/>
          <w:szCs w:val="20"/>
        </w:rPr>
        <w:t xml:space="preserve"> and 0,</w:t>
      </w:r>
      <w:r w:rsidR="009509E2" w:rsidRPr="00047172">
        <w:rPr>
          <w:sz w:val="20"/>
          <w:szCs w:val="20"/>
          <w:lang w:val="en-US"/>
        </w:rPr>
        <w:t>37</w:t>
      </w:r>
      <w:r w:rsidRPr="00047172">
        <w:rPr>
          <w:sz w:val="20"/>
          <w:szCs w:val="20"/>
        </w:rPr>
        <w:t>7). However, the fluctuation of equity beta value (0,7</w:t>
      </w:r>
      <w:r w:rsidR="009509E2" w:rsidRPr="00047172">
        <w:rPr>
          <w:sz w:val="20"/>
          <w:szCs w:val="20"/>
          <w:lang w:val="en-US"/>
        </w:rPr>
        <w:t>67</w:t>
      </w:r>
      <w:r w:rsidRPr="00047172">
        <w:rPr>
          <w:sz w:val="20"/>
          <w:szCs w:val="20"/>
        </w:rPr>
        <w:t>) in the case of 30% leverage up is higher than (&gt;) the results in the rest 2 leverage cases. And we could note that the using of leverage in the case of 30% leverage up causes a decrease in asset beta var down to 0,4</w:t>
      </w:r>
      <w:r w:rsidR="009509E2" w:rsidRPr="00047172">
        <w:rPr>
          <w:sz w:val="20"/>
          <w:szCs w:val="20"/>
          <w:lang w:val="en-US"/>
        </w:rPr>
        <w:t>73 (compared to 0,530)</w:t>
      </w:r>
      <w:r w:rsidRPr="00047172">
        <w:rPr>
          <w:sz w:val="20"/>
          <w:szCs w:val="20"/>
        </w:rPr>
        <w:t>.</w:t>
      </w:r>
    </w:p>
    <w:p w:rsidR="00D868B6" w:rsidRPr="00047172" w:rsidRDefault="00D868B6" w:rsidP="00D868B6">
      <w:pPr>
        <w:snapToGrid w:val="0"/>
        <w:jc w:val="both"/>
        <w:rPr>
          <w:b/>
          <w:bCs/>
          <w:sz w:val="20"/>
          <w:szCs w:val="20"/>
        </w:rPr>
      </w:pPr>
      <w:r w:rsidRPr="00047172">
        <w:rPr>
          <w:b/>
          <w:bCs/>
          <w:sz w:val="20"/>
          <w:szCs w:val="20"/>
          <w:lang w:val="en-US"/>
        </w:rPr>
        <w:t>D</w:t>
      </w:r>
      <w:r w:rsidRPr="00047172">
        <w:rPr>
          <w:b/>
          <w:bCs/>
          <w:sz w:val="20"/>
          <w:szCs w:val="20"/>
        </w:rPr>
        <w:t>. Empirical results</w:t>
      </w:r>
    </w:p>
    <w:p w:rsidR="00D868B6" w:rsidRPr="00047172" w:rsidRDefault="00D868B6" w:rsidP="00D868B6">
      <w:pPr>
        <w:snapToGrid w:val="0"/>
        <w:ind w:firstLine="425"/>
        <w:jc w:val="both"/>
        <w:rPr>
          <w:sz w:val="20"/>
          <w:szCs w:val="20"/>
        </w:rPr>
      </w:pPr>
      <w:r w:rsidRPr="00047172">
        <w:rPr>
          <w:sz w:val="20"/>
          <w:szCs w:val="20"/>
        </w:rPr>
        <w:lastRenderedPageBreak/>
        <w:t xml:space="preserve">In scenario 1 (current FL), asset and equity beta mean reach </w:t>
      </w:r>
      <w:r w:rsidRPr="00047172">
        <w:rPr>
          <w:sz w:val="20"/>
          <w:szCs w:val="20"/>
          <w:lang w:val="en-US"/>
        </w:rPr>
        <w:t xml:space="preserve">the </w:t>
      </w:r>
      <w:proofErr w:type="spellStart"/>
      <w:r w:rsidRPr="00047172">
        <w:rPr>
          <w:sz w:val="20"/>
          <w:szCs w:val="20"/>
          <w:lang w:val="en-US"/>
        </w:rPr>
        <w:t>medi</w:t>
      </w:r>
      <w:proofErr w:type="spellEnd"/>
      <w:r w:rsidRPr="00047172">
        <w:rPr>
          <w:sz w:val="20"/>
          <w:szCs w:val="20"/>
        </w:rPr>
        <w:t>u</w:t>
      </w:r>
      <w:r w:rsidRPr="00047172">
        <w:rPr>
          <w:sz w:val="20"/>
          <w:szCs w:val="20"/>
          <w:lang w:val="en-US"/>
        </w:rPr>
        <w:t>m</w:t>
      </w:r>
      <w:r w:rsidRPr="00047172">
        <w:rPr>
          <w:sz w:val="20"/>
          <w:szCs w:val="20"/>
        </w:rPr>
        <w:t xml:space="preserve"> values (0,</w:t>
      </w:r>
      <w:r w:rsidRPr="00047172">
        <w:rPr>
          <w:sz w:val="20"/>
          <w:szCs w:val="20"/>
          <w:lang w:val="en-US"/>
        </w:rPr>
        <w:t>279</w:t>
      </w:r>
      <w:r w:rsidRPr="00047172">
        <w:rPr>
          <w:sz w:val="20"/>
          <w:szCs w:val="20"/>
        </w:rPr>
        <w:t xml:space="preserve"> and 0,</w:t>
      </w:r>
      <w:r w:rsidRPr="00047172">
        <w:rPr>
          <w:sz w:val="20"/>
          <w:szCs w:val="20"/>
          <w:lang w:val="en-US"/>
        </w:rPr>
        <w:t>477</w:t>
      </w:r>
      <w:r w:rsidRPr="00047172">
        <w:rPr>
          <w:sz w:val="20"/>
          <w:szCs w:val="20"/>
        </w:rPr>
        <w:t xml:space="preserve">) whereas asset beta var </w:t>
      </w:r>
      <w:r w:rsidRPr="00047172">
        <w:rPr>
          <w:sz w:val="20"/>
          <w:szCs w:val="20"/>
          <w:lang w:val="en-US"/>
        </w:rPr>
        <w:t xml:space="preserve">also </w:t>
      </w:r>
      <w:r w:rsidRPr="00047172">
        <w:rPr>
          <w:sz w:val="20"/>
          <w:szCs w:val="20"/>
        </w:rPr>
        <w:t xml:space="preserve">reaches </w:t>
      </w:r>
      <w:proofErr w:type="spellStart"/>
      <w:r w:rsidRPr="00047172">
        <w:rPr>
          <w:sz w:val="20"/>
          <w:szCs w:val="20"/>
          <w:lang w:val="en-US"/>
        </w:rPr>
        <w:t>medi</w:t>
      </w:r>
      <w:proofErr w:type="spellEnd"/>
      <w:r w:rsidRPr="00047172">
        <w:rPr>
          <w:sz w:val="20"/>
          <w:szCs w:val="20"/>
        </w:rPr>
        <w:t>um (0,</w:t>
      </w:r>
      <w:r w:rsidRPr="00047172">
        <w:rPr>
          <w:sz w:val="20"/>
          <w:szCs w:val="20"/>
          <w:lang w:val="en-US"/>
        </w:rPr>
        <w:t>239</w:t>
      </w:r>
      <w:r w:rsidRPr="00047172">
        <w:rPr>
          <w:sz w:val="20"/>
          <w:szCs w:val="20"/>
        </w:rPr>
        <w:t>), compared to the rest 2 cases.</w:t>
      </w:r>
    </w:p>
    <w:p w:rsidR="00D868B6" w:rsidRPr="00047172" w:rsidRDefault="00D868B6" w:rsidP="00D868B6">
      <w:pPr>
        <w:snapToGrid w:val="0"/>
        <w:ind w:firstLine="425"/>
        <w:jc w:val="both"/>
        <w:rPr>
          <w:sz w:val="20"/>
          <w:szCs w:val="20"/>
        </w:rPr>
      </w:pPr>
      <w:r w:rsidRPr="00047172">
        <w:rPr>
          <w:sz w:val="20"/>
          <w:szCs w:val="20"/>
        </w:rPr>
        <w:t>In scenario 2 (FL 30%), asset and equity beta m</w:t>
      </w:r>
      <w:r w:rsidRPr="00047172">
        <w:rPr>
          <w:sz w:val="20"/>
          <w:szCs w:val="20"/>
          <w:lang w:val="en-US"/>
        </w:rPr>
        <w:t>ea</w:t>
      </w:r>
      <w:r w:rsidRPr="00047172">
        <w:rPr>
          <w:sz w:val="20"/>
          <w:szCs w:val="20"/>
        </w:rPr>
        <w:t xml:space="preserve">n reach </w:t>
      </w:r>
      <w:r w:rsidRPr="00047172">
        <w:rPr>
          <w:sz w:val="20"/>
          <w:szCs w:val="20"/>
          <w:lang w:val="en-US"/>
        </w:rPr>
        <w:t>minimum</w:t>
      </w:r>
      <w:r w:rsidRPr="00047172">
        <w:rPr>
          <w:sz w:val="20"/>
          <w:szCs w:val="20"/>
        </w:rPr>
        <w:t xml:space="preserve"> values (0,</w:t>
      </w:r>
      <w:r w:rsidRPr="00047172">
        <w:rPr>
          <w:sz w:val="20"/>
          <w:szCs w:val="20"/>
          <w:lang w:val="en-US"/>
        </w:rPr>
        <w:t>208</w:t>
      </w:r>
      <w:r w:rsidRPr="00047172">
        <w:rPr>
          <w:sz w:val="20"/>
          <w:szCs w:val="20"/>
        </w:rPr>
        <w:t xml:space="preserve"> and 0,</w:t>
      </w:r>
      <w:r w:rsidRPr="00047172">
        <w:rPr>
          <w:sz w:val="20"/>
          <w:szCs w:val="20"/>
          <w:lang w:val="en-US"/>
        </w:rPr>
        <w:t>385</w:t>
      </w:r>
      <w:r w:rsidRPr="00047172">
        <w:rPr>
          <w:sz w:val="20"/>
          <w:szCs w:val="20"/>
        </w:rPr>
        <w:t>) whereas equity beta var reaches m</w:t>
      </w:r>
      <w:r w:rsidRPr="00047172">
        <w:rPr>
          <w:sz w:val="20"/>
          <w:szCs w:val="20"/>
          <w:lang w:val="en-US"/>
        </w:rPr>
        <w:t>in</w:t>
      </w:r>
      <w:r w:rsidRPr="00047172">
        <w:rPr>
          <w:sz w:val="20"/>
          <w:szCs w:val="20"/>
        </w:rPr>
        <w:t>imum (0,</w:t>
      </w:r>
      <w:r w:rsidRPr="00047172">
        <w:rPr>
          <w:sz w:val="20"/>
          <w:szCs w:val="20"/>
          <w:lang w:val="en-US"/>
        </w:rPr>
        <w:t>412</w:t>
      </w:r>
      <w:r w:rsidRPr="00047172">
        <w:rPr>
          <w:sz w:val="20"/>
          <w:szCs w:val="20"/>
        </w:rPr>
        <w:t>), compared to the rest 2 cases.</w:t>
      </w:r>
    </w:p>
    <w:p w:rsidR="00D868B6" w:rsidRPr="00047172" w:rsidRDefault="00D868B6" w:rsidP="00D868B6">
      <w:pPr>
        <w:snapToGrid w:val="0"/>
        <w:ind w:firstLine="425"/>
        <w:jc w:val="both"/>
        <w:rPr>
          <w:b/>
          <w:bCs/>
          <w:sz w:val="20"/>
          <w:szCs w:val="20"/>
        </w:rPr>
      </w:pPr>
      <w:r w:rsidRPr="00047172">
        <w:rPr>
          <w:sz w:val="20"/>
          <w:szCs w:val="20"/>
        </w:rPr>
        <w:t xml:space="preserve">And finally, in scenario 3 (FL down 20%), asset and equity beta mean reach </w:t>
      </w:r>
      <w:r w:rsidRPr="00047172">
        <w:rPr>
          <w:sz w:val="20"/>
          <w:szCs w:val="20"/>
          <w:lang w:val="en-US"/>
        </w:rPr>
        <w:t>maxi</w:t>
      </w:r>
      <w:r w:rsidRPr="00047172">
        <w:rPr>
          <w:sz w:val="20"/>
          <w:szCs w:val="20"/>
        </w:rPr>
        <w:t>mum values while asset beta var reaches m</w:t>
      </w:r>
      <w:proofErr w:type="spellStart"/>
      <w:r w:rsidRPr="00047172">
        <w:rPr>
          <w:sz w:val="20"/>
          <w:szCs w:val="20"/>
          <w:lang w:val="en-US"/>
        </w:rPr>
        <w:t>axim</w:t>
      </w:r>
      <w:proofErr w:type="spellEnd"/>
      <w:r w:rsidRPr="00047172">
        <w:rPr>
          <w:sz w:val="20"/>
          <w:szCs w:val="20"/>
        </w:rPr>
        <w:t xml:space="preserve">um value </w:t>
      </w:r>
      <w:r w:rsidRPr="00047172">
        <w:rPr>
          <w:sz w:val="20"/>
          <w:szCs w:val="20"/>
          <w:lang w:val="en-US"/>
        </w:rPr>
        <w:t xml:space="preserve">also </w:t>
      </w:r>
      <w:r w:rsidRPr="00047172">
        <w:rPr>
          <w:sz w:val="20"/>
          <w:szCs w:val="20"/>
        </w:rPr>
        <w:t>(0,</w:t>
      </w:r>
      <w:r w:rsidRPr="00047172">
        <w:rPr>
          <w:sz w:val="20"/>
          <w:szCs w:val="20"/>
          <w:lang w:val="en-US"/>
        </w:rPr>
        <w:t>271</w:t>
      </w:r>
      <w:r w:rsidRPr="00047172">
        <w:rPr>
          <w:sz w:val="20"/>
          <w:szCs w:val="20"/>
        </w:rPr>
        <w:t>), compared to the rest 2 cases.</w:t>
      </w:r>
    </w:p>
    <w:p w:rsidR="00D868B6" w:rsidRPr="00047172" w:rsidRDefault="00D868B6" w:rsidP="00D868B6">
      <w:pPr>
        <w:snapToGrid w:val="0"/>
        <w:jc w:val="both"/>
        <w:rPr>
          <w:b/>
          <w:bCs/>
          <w:sz w:val="20"/>
          <w:szCs w:val="20"/>
        </w:rPr>
      </w:pPr>
      <w:r w:rsidRPr="00047172">
        <w:rPr>
          <w:b/>
          <w:bCs/>
          <w:sz w:val="20"/>
          <w:szCs w:val="20"/>
          <w:lang w:val="en-US"/>
        </w:rPr>
        <w:t>E</w:t>
      </w:r>
      <w:r w:rsidRPr="00047172">
        <w:rPr>
          <w:b/>
          <w:bCs/>
          <w:sz w:val="20"/>
          <w:szCs w:val="20"/>
        </w:rPr>
        <w:t>. Risk analysis</w:t>
      </w:r>
    </w:p>
    <w:p w:rsidR="00D868B6" w:rsidRPr="00047172" w:rsidRDefault="00D868B6" w:rsidP="00D868B6">
      <w:pPr>
        <w:snapToGrid w:val="0"/>
        <w:ind w:firstLine="425"/>
        <w:jc w:val="both"/>
        <w:rPr>
          <w:sz w:val="20"/>
          <w:szCs w:val="20"/>
        </w:rPr>
      </w:pPr>
      <w:r w:rsidRPr="00047172">
        <w:rPr>
          <w:sz w:val="20"/>
          <w:szCs w:val="20"/>
        </w:rPr>
        <w:t>In short, the using of financial leverage could have both negatively or positively impacts on the financial results or return on equity of a company. The more debt the firm uses, the more risk it takes. Beside, the increasing interest on loans might drive the earning per share (EPS) lower.</w:t>
      </w:r>
    </w:p>
    <w:p w:rsidR="00D868B6" w:rsidRPr="00047172" w:rsidRDefault="00D868B6" w:rsidP="00D868B6">
      <w:pPr>
        <w:snapToGrid w:val="0"/>
        <w:ind w:firstLine="425"/>
        <w:jc w:val="both"/>
        <w:rPr>
          <w:sz w:val="20"/>
          <w:szCs w:val="20"/>
          <w:lang w:val="en-US"/>
        </w:rPr>
      </w:pPr>
      <w:r w:rsidRPr="00047172">
        <w:rPr>
          <w:sz w:val="20"/>
          <w:szCs w:val="20"/>
        </w:rPr>
        <w:t>On the other hand, in the case of increasing leverage, the company will expect to get more returns. The financial leverage becomes worthwhile if the cost of additional financial leverage is lower than the additional earnings before taxes and interests (EBIT).</w:t>
      </w:r>
    </w:p>
    <w:p w:rsidR="00D868B6" w:rsidRPr="00047172" w:rsidRDefault="00D868B6" w:rsidP="00D868B6">
      <w:pPr>
        <w:snapToGrid w:val="0"/>
        <w:jc w:val="both"/>
        <w:rPr>
          <w:b/>
          <w:bCs/>
          <w:sz w:val="20"/>
          <w:szCs w:val="20"/>
        </w:rPr>
      </w:pPr>
      <w:r w:rsidRPr="00047172">
        <w:rPr>
          <w:b/>
          <w:bCs/>
          <w:sz w:val="20"/>
          <w:szCs w:val="20"/>
          <w:lang w:val="en-US"/>
        </w:rPr>
        <w:t>F</w:t>
      </w:r>
      <w:r w:rsidRPr="00047172">
        <w:rPr>
          <w:b/>
          <w:bCs/>
          <w:sz w:val="20"/>
          <w:szCs w:val="20"/>
        </w:rPr>
        <w:t>.Discussion</w:t>
      </w:r>
    </w:p>
    <w:p w:rsidR="00D868B6" w:rsidRPr="00047172" w:rsidRDefault="00D868B6" w:rsidP="00D868B6">
      <w:pPr>
        <w:snapToGrid w:val="0"/>
        <w:ind w:firstLine="425"/>
        <w:jc w:val="both"/>
        <w:rPr>
          <w:sz w:val="20"/>
          <w:szCs w:val="20"/>
        </w:rPr>
      </w:pPr>
      <w:r w:rsidRPr="00047172">
        <w:rPr>
          <w:sz w:val="20"/>
          <w:szCs w:val="20"/>
        </w:rPr>
        <w:t xml:space="preserve">Looking at </w:t>
      </w:r>
      <w:r w:rsidRPr="00047172">
        <w:rPr>
          <w:sz w:val="20"/>
          <w:szCs w:val="20"/>
          <w:lang w:val="en-US"/>
        </w:rPr>
        <w:t>figure 2</w:t>
      </w:r>
      <w:r w:rsidRPr="00047172">
        <w:rPr>
          <w:sz w:val="20"/>
          <w:szCs w:val="20"/>
        </w:rPr>
        <w:t>, it is noted that</w:t>
      </w:r>
      <w:r w:rsidR="00B42709">
        <w:rPr>
          <w:sz w:val="20"/>
          <w:szCs w:val="20"/>
        </w:rPr>
        <w:t xml:space="preserve"> </w:t>
      </w:r>
      <w:r w:rsidRPr="00047172">
        <w:rPr>
          <w:sz w:val="20"/>
          <w:szCs w:val="20"/>
          <w:lang w:val="en-US"/>
        </w:rPr>
        <w:t>in case leverage up 30%, d</w:t>
      </w:r>
      <w:r w:rsidRPr="00047172">
        <w:rPr>
          <w:sz w:val="20"/>
          <w:szCs w:val="20"/>
        </w:rPr>
        <w:t>u</w:t>
      </w:r>
      <w:r w:rsidRPr="00047172">
        <w:rPr>
          <w:sz w:val="20"/>
          <w:szCs w:val="20"/>
          <w:lang w:val="en-US"/>
        </w:rPr>
        <w:t xml:space="preserve">ring 2009-2011 period, </w:t>
      </w:r>
      <w:r w:rsidRPr="00047172">
        <w:rPr>
          <w:sz w:val="20"/>
          <w:szCs w:val="20"/>
        </w:rPr>
        <w:t>asset and equity beta mean (0,</w:t>
      </w:r>
      <w:r w:rsidRPr="00047172">
        <w:rPr>
          <w:sz w:val="20"/>
          <w:szCs w:val="20"/>
          <w:lang w:val="en-US"/>
        </w:rPr>
        <w:t>208</w:t>
      </w:r>
      <w:r w:rsidRPr="00047172">
        <w:rPr>
          <w:sz w:val="20"/>
          <w:szCs w:val="20"/>
        </w:rPr>
        <w:t xml:space="preserve"> and 0,</w:t>
      </w:r>
      <w:r w:rsidRPr="00047172">
        <w:rPr>
          <w:sz w:val="20"/>
          <w:szCs w:val="20"/>
          <w:lang w:val="en-US"/>
        </w:rPr>
        <w:t>385</w:t>
      </w:r>
      <w:r w:rsidRPr="00047172">
        <w:rPr>
          <w:sz w:val="20"/>
          <w:szCs w:val="20"/>
        </w:rPr>
        <w:t xml:space="preserve">) of </w:t>
      </w:r>
      <w:r w:rsidRPr="00047172">
        <w:rPr>
          <w:sz w:val="20"/>
          <w:szCs w:val="20"/>
          <w:lang w:val="en-US"/>
        </w:rPr>
        <w:t>hotel and entertainment</w:t>
      </w:r>
      <w:r w:rsidRPr="00047172">
        <w:rPr>
          <w:sz w:val="20"/>
          <w:szCs w:val="20"/>
        </w:rPr>
        <w:t xml:space="preserve"> industry </w:t>
      </w:r>
      <w:r w:rsidRPr="00047172">
        <w:rPr>
          <w:sz w:val="20"/>
          <w:szCs w:val="20"/>
          <w:lang w:val="en-US"/>
        </w:rPr>
        <w:t>are lower than those in the period 2007-2011 (0,216 and 0,362). Looking at exhibit 6, we can see asset beta mean and equity beta mean are also</w:t>
      </w:r>
      <w:r w:rsidRPr="00047172">
        <w:rPr>
          <w:sz w:val="20"/>
          <w:szCs w:val="20"/>
        </w:rPr>
        <w:t xml:space="preserve"> </w:t>
      </w:r>
      <w:r w:rsidRPr="00047172">
        <w:rPr>
          <w:sz w:val="20"/>
          <w:szCs w:val="20"/>
          <w:lang w:val="en-US"/>
        </w:rPr>
        <w:t>lower</w:t>
      </w:r>
      <w:r w:rsidRPr="00047172">
        <w:rPr>
          <w:sz w:val="20"/>
          <w:szCs w:val="20"/>
        </w:rPr>
        <w:t xml:space="preserve"> than those of consumer good industry (0,</w:t>
      </w:r>
      <w:r w:rsidRPr="00047172">
        <w:rPr>
          <w:sz w:val="20"/>
          <w:szCs w:val="20"/>
          <w:lang w:val="en-US"/>
        </w:rPr>
        <w:t>336</w:t>
      </w:r>
      <w:r w:rsidRPr="00047172">
        <w:rPr>
          <w:sz w:val="20"/>
          <w:szCs w:val="20"/>
        </w:rPr>
        <w:t xml:space="preserve"> and 0,6</w:t>
      </w:r>
      <w:r w:rsidRPr="00047172">
        <w:rPr>
          <w:sz w:val="20"/>
          <w:szCs w:val="20"/>
          <w:lang w:val="en-US"/>
        </w:rPr>
        <w:t>94</w:t>
      </w:r>
      <w:r w:rsidRPr="00047172">
        <w:rPr>
          <w:sz w:val="20"/>
          <w:szCs w:val="20"/>
        </w:rPr>
        <w:t xml:space="preserve">). This relatively shows us that financial leverage </w:t>
      </w:r>
      <w:r w:rsidRPr="00047172">
        <w:rPr>
          <w:sz w:val="20"/>
          <w:szCs w:val="20"/>
          <w:lang w:val="en-US"/>
        </w:rPr>
        <w:t>does</w:t>
      </w:r>
      <w:r w:rsidRPr="00047172">
        <w:rPr>
          <w:sz w:val="20"/>
          <w:szCs w:val="20"/>
        </w:rPr>
        <w:t xml:space="preserve"> affect asset beta values.</w:t>
      </w:r>
    </w:p>
    <w:p w:rsidR="00D868B6" w:rsidRPr="00047172" w:rsidRDefault="00D868B6" w:rsidP="00D868B6">
      <w:pPr>
        <w:autoSpaceDE w:val="0"/>
        <w:autoSpaceDN w:val="0"/>
        <w:adjustRightInd w:val="0"/>
        <w:snapToGrid w:val="0"/>
        <w:ind w:firstLine="425"/>
        <w:jc w:val="both"/>
        <w:rPr>
          <w:rFonts w:eastAsiaTheme="minorEastAsia"/>
          <w:sz w:val="20"/>
          <w:szCs w:val="20"/>
          <w:lang w:eastAsia="zh-CN"/>
        </w:rPr>
        <w:sectPr w:rsidR="00D868B6" w:rsidRPr="00047172" w:rsidSect="00047172">
          <w:footnotePr>
            <w:numRestart w:val="eachPage"/>
          </w:footnotePr>
          <w:type w:val="continuous"/>
          <w:pgSz w:w="12240" w:h="15840" w:code="1"/>
          <w:pgMar w:top="1440" w:right="1440" w:bottom="1440" w:left="1440" w:header="720" w:footer="720" w:gutter="0"/>
          <w:cols w:num="2" w:space="576"/>
          <w:docGrid w:linePitch="360"/>
        </w:sectPr>
      </w:pPr>
    </w:p>
    <w:p w:rsidR="00F17D5F" w:rsidRPr="00047172" w:rsidRDefault="00F17D5F" w:rsidP="00D868B6">
      <w:pPr>
        <w:autoSpaceDE w:val="0"/>
        <w:autoSpaceDN w:val="0"/>
        <w:adjustRightInd w:val="0"/>
        <w:snapToGrid w:val="0"/>
        <w:ind w:firstLine="425"/>
        <w:jc w:val="both"/>
        <w:rPr>
          <w:sz w:val="20"/>
          <w:szCs w:val="20"/>
        </w:rPr>
      </w:pPr>
    </w:p>
    <w:p w:rsidR="00D868B6" w:rsidRPr="00047172" w:rsidRDefault="005A31E6" w:rsidP="00D868B6">
      <w:pPr>
        <w:autoSpaceDE w:val="0"/>
        <w:autoSpaceDN w:val="0"/>
        <w:adjustRightInd w:val="0"/>
        <w:snapToGrid w:val="0"/>
        <w:jc w:val="center"/>
        <w:rPr>
          <w:sz w:val="20"/>
          <w:szCs w:val="20"/>
        </w:rPr>
      </w:pPr>
      <w:r w:rsidRPr="005A31E6">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212.85pt">
            <v:imagedata r:id="rId10" o:title=""/>
          </v:shape>
        </w:pict>
      </w:r>
    </w:p>
    <w:p w:rsidR="00047172" w:rsidRDefault="00047172" w:rsidP="00D868B6">
      <w:pPr>
        <w:autoSpaceDE w:val="0"/>
        <w:autoSpaceDN w:val="0"/>
        <w:adjustRightInd w:val="0"/>
        <w:snapToGrid w:val="0"/>
        <w:jc w:val="center"/>
        <w:rPr>
          <w:rFonts w:eastAsiaTheme="minorEastAsia"/>
          <w:sz w:val="20"/>
          <w:szCs w:val="20"/>
          <w:lang w:val="en-US" w:eastAsia="zh-CN"/>
        </w:rPr>
      </w:pPr>
      <w:r w:rsidRPr="00047172">
        <w:rPr>
          <w:sz w:val="20"/>
          <w:szCs w:val="20"/>
          <w:lang w:val="en-US"/>
        </w:rPr>
        <w:t>Figure</w:t>
      </w:r>
      <w:r w:rsidRPr="00047172">
        <w:rPr>
          <w:sz w:val="20"/>
          <w:szCs w:val="20"/>
        </w:rPr>
        <w:t xml:space="preserve"> 1 – Comparing statistical results of three (3) scenarios of changing FL (period 2009-2011)</w:t>
      </w:r>
    </w:p>
    <w:p w:rsidR="00047172" w:rsidRDefault="00047172" w:rsidP="00D868B6">
      <w:pPr>
        <w:autoSpaceDE w:val="0"/>
        <w:autoSpaceDN w:val="0"/>
        <w:adjustRightInd w:val="0"/>
        <w:snapToGrid w:val="0"/>
        <w:jc w:val="center"/>
        <w:rPr>
          <w:rFonts w:eastAsiaTheme="minorEastAsia"/>
          <w:sz w:val="20"/>
          <w:szCs w:val="20"/>
          <w:lang w:val="en-US" w:eastAsia="zh-CN"/>
        </w:rPr>
      </w:pPr>
    </w:p>
    <w:p w:rsidR="00047172" w:rsidRDefault="00047172" w:rsidP="00D868B6">
      <w:pPr>
        <w:autoSpaceDE w:val="0"/>
        <w:autoSpaceDN w:val="0"/>
        <w:adjustRightInd w:val="0"/>
        <w:snapToGrid w:val="0"/>
        <w:jc w:val="center"/>
        <w:rPr>
          <w:rFonts w:eastAsiaTheme="minorEastAsia"/>
          <w:sz w:val="20"/>
          <w:szCs w:val="20"/>
          <w:lang w:val="en-US" w:eastAsia="zh-CN"/>
        </w:rPr>
      </w:pPr>
    </w:p>
    <w:p w:rsidR="00F17D5F" w:rsidRPr="00047172" w:rsidRDefault="005A31E6" w:rsidP="00D868B6">
      <w:pPr>
        <w:autoSpaceDE w:val="0"/>
        <w:autoSpaceDN w:val="0"/>
        <w:adjustRightInd w:val="0"/>
        <w:snapToGrid w:val="0"/>
        <w:jc w:val="center"/>
        <w:rPr>
          <w:sz w:val="20"/>
          <w:szCs w:val="20"/>
        </w:rPr>
      </w:pPr>
      <w:r w:rsidRPr="005A31E6">
        <w:rPr>
          <w:sz w:val="20"/>
          <w:szCs w:val="20"/>
        </w:rPr>
        <w:pict>
          <v:shape id="_x0000_i1026" type="#_x0000_t75" style="width:338.1pt;height:243.55pt">
            <v:imagedata r:id="rId11" o:title=""/>
          </v:shape>
        </w:pict>
      </w:r>
    </w:p>
    <w:p w:rsidR="00F17D5F" w:rsidRDefault="00F17D5F" w:rsidP="00D868B6">
      <w:pPr>
        <w:autoSpaceDE w:val="0"/>
        <w:autoSpaceDN w:val="0"/>
        <w:adjustRightInd w:val="0"/>
        <w:snapToGrid w:val="0"/>
        <w:ind w:firstLine="425"/>
        <w:jc w:val="both"/>
        <w:rPr>
          <w:rFonts w:eastAsiaTheme="minorEastAsia"/>
          <w:i/>
          <w:iCs/>
          <w:sz w:val="20"/>
          <w:szCs w:val="20"/>
          <w:lang w:eastAsia="zh-CN"/>
        </w:rPr>
      </w:pPr>
      <w:r w:rsidRPr="00047172">
        <w:rPr>
          <w:i/>
          <w:iCs/>
          <w:sz w:val="20"/>
          <w:szCs w:val="20"/>
        </w:rPr>
        <w:t>(source: Viet Nam stock exchange 2012)</w:t>
      </w:r>
    </w:p>
    <w:p w:rsidR="00047172" w:rsidRPr="00047172" w:rsidRDefault="00047172" w:rsidP="00D868B6">
      <w:pPr>
        <w:autoSpaceDE w:val="0"/>
        <w:autoSpaceDN w:val="0"/>
        <w:adjustRightInd w:val="0"/>
        <w:snapToGrid w:val="0"/>
        <w:ind w:firstLine="425"/>
        <w:jc w:val="both"/>
        <w:rPr>
          <w:rFonts w:eastAsiaTheme="minorEastAsia"/>
          <w:i/>
          <w:iCs/>
          <w:sz w:val="20"/>
          <w:szCs w:val="20"/>
          <w:lang w:eastAsia="zh-CN"/>
        </w:rPr>
      </w:pPr>
      <w:r w:rsidRPr="00047172">
        <w:rPr>
          <w:sz w:val="20"/>
          <w:szCs w:val="20"/>
          <w:lang w:val="en-US"/>
        </w:rPr>
        <w:t>Figure</w:t>
      </w:r>
      <w:r w:rsidRPr="00047172">
        <w:rPr>
          <w:sz w:val="20"/>
          <w:szCs w:val="20"/>
        </w:rPr>
        <w:t xml:space="preserve"> 2 – Comparing statistical results of three (3) scenarios of changing FL (period 2007-2011)</w:t>
      </w:r>
    </w:p>
    <w:p w:rsidR="00D868B6" w:rsidRPr="00047172" w:rsidRDefault="00D868B6" w:rsidP="00D868B6">
      <w:pPr>
        <w:autoSpaceDE w:val="0"/>
        <w:autoSpaceDN w:val="0"/>
        <w:adjustRightInd w:val="0"/>
        <w:snapToGrid w:val="0"/>
        <w:ind w:firstLine="425"/>
        <w:jc w:val="both"/>
        <w:rPr>
          <w:rFonts w:eastAsiaTheme="minorEastAsia"/>
          <w:i/>
          <w:iCs/>
          <w:sz w:val="20"/>
          <w:szCs w:val="20"/>
          <w:lang w:eastAsia="zh-CN"/>
        </w:rPr>
      </w:pPr>
    </w:p>
    <w:p w:rsidR="00D868B6" w:rsidRPr="00047172" w:rsidRDefault="00D868B6" w:rsidP="00D868B6">
      <w:pPr>
        <w:snapToGrid w:val="0"/>
        <w:jc w:val="both"/>
        <w:rPr>
          <w:b/>
          <w:bCs/>
          <w:sz w:val="20"/>
          <w:szCs w:val="20"/>
          <w:lang w:val="en-US"/>
        </w:rPr>
        <w:sectPr w:rsidR="00D868B6" w:rsidRPr="00047172" w:rsidSect="00545C1A">
          <w:footnotePr>
            <w:numRestart w:val="eachPage"/>
          </w:footnotePr>
          <w:type w:val="continuous"/>
          <w:pgSz w:w="12240" w:h="15840" w:code="1"/>
          <w:pgMar w:top="1440" w:right="1440" w:bottom="1440" w:left="1440" w:header="720" w:footer="720" w:gutter="0"/>
          <w:cols w:space="720"/>
          <w:docGrid w:linePitch="360"/>
        </w:sectPr>
      </w:pPr>
    </w:p>
    <w:p w:rsidR="00E714C6" w:rsidRPr="00047172" w:rsidRDefault="00D868B6" w:rsidP="00D868B6">
      <w:pPr>
        <w:shd w:val="clear" w:color="auto" w:fill="FFFFFF"/>
        <w:tabs>
          <w:tab w:val="left" w:pos="426"/>
        </w:tabs>
        <w:snapToGrid w:val="0"/>
        <w:jc w:val="both"/>
        <w:textAlignment w:val="baseline"/>
        <w:rPr>
          <w:rFonts w:eastAsia="Gulim"/>
          <w:sz w:val="20"/>
          <w:szCs w:val="20"/>
        </w:rPr>
      </w:pPr>
      <w:r w:rsidRPr="00047172">
        <w:rPr>
          <w:b/>
          <w:bCs/>
          <w:sz w:val="20"/>
          <w:szCs w:val="20"/>
          <w:shd w:val="clear" w:color="auto" w:fill="FFFFFF"/>
        </w:rPr>
        <w:lastRenderedPageBreak/>
        <w:t>Conclusion</w:t>
      </w:r>
    </w:p>
    <w:p w:rsidR="001603C0" w:rsidRPr="00047172" w:rsidRDefault="001603C0" w:rsidP="00D868B6">
      <w:pPr>
        <w:snapToGrid w:val="0"/>
        <w:ind w:firstLine="425"/>
        <w:jc w:val="both"/>
        <w:rPr>
          <w:sz w:val="20"/>
          <w:szCs w:val="20"/>
          <w:lang w:val="en-US"/>
        </w:rPr>
      </w:pPr>
      <w:r w:rsidRPr="00047172">
        <w:rPr>
          <w:sz w:val="20"/>
          <w:szCs w:val="20"/>
        </w:rPr>
        <w:t xml:space="preserve">In general, the government has to consider the impacts on the mobility of capital in the markets when it changes the macro policies. Beside, it continues to increase the effectiveness of building the legal system and regulation supporting the plan of developing </w:t>
      </w:r>
      <w:r w:rsidR="00BF5A23" w:rsidRPr="00047172">
        <w:rPr>
          <w:sz w:val="20"/>
          <w:szCs w:val="20"/>
          <w:lang w:val="en-US"/>
        </w:rPr>
        <w:t>hotel and entertainment</w:t>
      </w:r>
      <w:r w:rsidRPr="00047172">
        <w:rPr>
          <w:sz w:val="20"/>
          <w:szCs w:val="20"/>
        </w:rPr>
        <w:t xml:space="preserve"> market.</w:t>
      </w:r>
      <w:r w:rsidR="00B42709">
        <w:rPr>
          <w:sz w:val="20"/>
          <w:szCs w:val="20"/>
        </w:rPr>
        <w:t xml:space="preserve"> </w:t>
      </w:r>
      <w:r w:rsidRPr="00047172">
        <w:rPr>
          <w:sz w:val="20"/>
          <w:szCs w:val="20"/>
        </w:rPr>
        <w:t>The Ministry of Finance continues to increase the effectiveness of fiscal policies and tax policies which are needed to combine with other macro policies at the same time.</w:t>
      </w:r>
      <w:r w:rsidR="00B42709">
        <w:rPr>
          <w:sz w:val="20"/>
          <w:szCs w:val="20"/>
        </w:rPr>
        <w:t xml:space="preserve"> </w:t>
      </w:r>
      <w:r w:rsidRPr="00047172">
        <w:rPr>
          <w:sz w:val="20"/>
          <w:szCs w:val="20"/>
        </w:rPr>
        <w:t xml:space="preserve">The State Bank of Viet Nam continues to increase the effectiveness of capital providing channels for </w:t>
      </w:r>
      <w:r w:rsidR="00BF5A23" w:rsidRPr="00047172">
        <w:rPr>
          <w:sz w:val="20"/>
          <w:szCs w:val="20"/>
          <w:lang w:val="en-US"/>
        </w:rPr>
        <w:t>hotel and entertainment</w:t>
      </w:r>
      <w:r w:rsidRPr="00047172">
        <w:rPr>
          <w:sz w:val="20"/>
          <w:szCs w:val="20"/>
        </w:rPr>
        <w:t xml:space="preserve"> companies as we could note that in this study when leverage is going to increase up to 30%, the risk level decreases, compared to the case it is going to decrease down to 20%. </w:t>
      </w:r>
      <w:r w:rsidR="00935C30" w:rsidRPr="00047172">
        <w:rPr>
          <w:sz w:val="20"/>
          <w:szCs w:val="20"/>
          <w:lang w:val="en-US"/>
        </w:rPr>
        <w:t xml:space="preserve">And for the corporations, figure 2 tells us that decreasing leverage </w:t>
      </w:r>
      <w:r w:rsidR="00C428DC" w:rsidRPr="00047172">
        <w:rPr>
          <w:sz w:val="20"/>
          <w:szCs w:val="20"/>
          <w:lang w:val="en-US"/>
        </w:rPr>
        <w:t>increases</w:t>
      </w:r>
      <w:r w:rsidR="00935C30" w:rsidRPr="00047172">
        <w:rPr>
          <w:sz w:val="20"/>
          <w:szCs w:val="20"/>
          <w:lang w:val="en-US"/>
        </w:rPr>
        <w:t xml:space="preserve"> risk </w:t>
      </w:r>
      <w:r w:rsidR="00C428DC" w:rsidRPr="00047172">
        <w:rPr>
          <w:sz w:val="20"/>
          <w:szCs w:val="20"/>
          <w:lang w:val="en-US"/>
        </w:rPr>
        <w:t>both in the period 2009-2011 and</w:t>
      </w:r>
      <w:r w:rsidR="00935C30" w:rsidRPr="00047172">
        <w:rPr>
          <w:sz w:val="20"/>
          <w:szCs w:val="20"/>
          <w:lang w:val="en-US"/>
        </w:rPr>
        <w:t xml:space="preserve"> in the 2007-2011 period.</w:t>
      </w:r>
    </w:p>
    <w:p w:rsidR="001603C0" w:rsidRPr="00047172" w:rsidRDefault="001603C0" w:rsidP="00D868B6">
      <w:pPr>
        <w:snapToGrid w:val="0"/>
        <w:ind w:firstLine="425"/>
        <w:jc w:val="both"/>
        <w:rPr>
          <w:b/>
          <w:bCs/>
          <w:sz w:val="20"/>
          <w:szCs w:val="20"/>
        </w:rPr>
      </w:pPr>
      <w:r w:rsidRPr="00047172">
        <w:rPr>
          <w:sz w:val="20"/>
          <w:szCs w:val="20"/>
        </w:rPr>
        <w:t>Furthermore, the entire efforts among many different government bodies need to be coordinated.</w:t>
      </w:r>
    </w:p>
    <w:p w:rsidR="001603C0" w:rsidRPr="00047172" w:rsidRDefault="001603C0" w:rsidP="00D868B6">
      <w:pPr>
        <w:snapToGrid w:val="0"/>
        <w:ind w:firstLine="425"/>
        <w:jc w:val="both"/>
        <w:rPr>
          <w:sz w:val="20"/>
          <w:szCs w:val="20"/>
        </w:rPr>
      </w:pPr>
      <w:r w:rsidRPr="00047172">
        <w:rPr>
          <w:sz w:val="20"/>
          <w:szCs w:val="20"/>
        </w:rPr>
        <w:t>Finally, this paper suggests implications for further research and policy suggestion for the Viet Nam government and relevant organizations, economists and investors from current market conditions.</w:t>
      </w:r>
    </w:p>
    <w:p w:rsidR="003412B5" w:rsidRPr="00047172" w:rsidRDefault="003412B5" w:rsidP="00D868B6">
      <w:pPr>
        <w:tabs>
          <w:tab w:val="left" w:pos="426"/>
        </w:tabs>
        <w:snapToGrid w:val="0"/>
        <w:jc w:val="both"/>
        <w:rPr>
          <w:b/>
          <w:bCs/>
          <w:sz w:val="20"/>
          <w:szCs w:val="20"/>
          <w:shd w:val="clear" w:color="auto" w:fill="FFFFFF"/>
          <w:lang w:eastAsia="ko-KR"/>
        </w:rPr>
      </w:pPr>
    </w:p>
    <w:p w:rsidR="00F83DA2" w:rsidRPr="00047172" w:rsidRDefault="00D868B6" w:rsidP="00D868B6">
      <w:pPr>
        <w:tabs>
          <w:tab w:val="left" w:pos="426"/>
        </w:tabs>
        <w:snapToGrid w:val="0"/>
        <w:jc w:val="both"/>
        <w:rPr>
          <w:rFonts w:eastAsia="Gulim"/>
          <w:sz w:val="20"/>
          <w:szCs w:val="20"/>
        </w:rPr>
      </w:pPr>
      <w:r w:rsidRPr="00047172">
        <w:rPr>
          <w:b/>
          <w:bCs/>
          <w:sz w:val="20"/>
          <w:szCs w:val="20"/>
          <w:shd w:val="clear" w:color="auto" w:fill="FFFFFF"/>
        </w:rPr>
        <w:t>References</w:t>
      </w:r>
    </w:p>
    <w:p w:rsidR="008D0B1D" w:rsidRPr="00047172" w:rsidRDefault="008D0B1D" w:rsidP="00D868B6">
      <w:pPr>
        <w:numPr>
          <w:ilvl w:val="0"/>
          <w:numId w:val="37"/>
        </w:numPr>
        <w:autoSpaceDE w:val="0"/>
        <w:autoSpaceDN w:val="0"/>
        <w:adjustRightInd w:val="0"/>
        <w:snapToGrid w:val="0"/>
        <w:jc w:val="both"/>
        <w:rPr>
          <w:i/>
          <w:iCs/>
          <w:sz w:val="20"/>
          <w:szCs w:val="20"/>
          <w:lang w:val="en-US"/>
        </w:rPr>
      </w:pPr>
      <w:r w:rsidRPr="00047172">
        <w:rPr>
          <w:sz w:val="20"/>
          <w:szCs w:val="20"/>
        </w:rPr>
        <w:t>Alcock J, Baum A, Colley N, Steiner E</w:t>
      </w:r>
      <w:r w:rsidRPr="00047172">
        <w:rPr>
          <w:sz w:val="20"/>
          <w:szCs w:val="20"/>
          <w:lang w:val="en-US"/>
        </w:rPr>
        <w:t>,</w:t>
      </w:r>
      <w:r w:rsidRPr="00047172">
        <w:rPr>
          <w:sz w:val="20"/>
          <w:szCs w:val="20"/>
        </w:rPr>
        <w:t xml:space="preserve"> The Role of Financial Leverage in the Performance of Private Equity Real Estate Funds</w:t>
      </w:r>
      <w:r w:rsidRPr="00047172">
        <w:rPr>
          <w:sz w:val="20"/>
          <w:szCs w:val="20"/>
          <w:lang w:val="en-US"/>
        </w:rPr>
        <w:t>,</w:t>
      </w:r>
      <w:r w:rsidRPr="00047172">
        <w:rPr>
          <w:sz w:val="20"/>
          <w:szCs w:val="20"/>
        </w:rPr>
        <w:t xml:space="preserve"> </w:t>
      </w:r>
      <w:r w:rsidRPr="00047172">
        <w:rPr>
          <w:i/>
          <w:iCs/>
          <w:sz w:val="20"/>
          <w:szCs w:val="20"/>
        </w:rPr>
        <w:t>SSRN Working Paper</w:t>
      </w:r>
      <w:r w:rsidRPr="00047172">
        <w:rPr>
          <w:i/>
          <w:iCs/>
          <w:sz w:val="20"/>
          <w:szCs w:val="20"/>
          <w:lang w:val="en-US"/>
        </w:rPr>
        <w:t xml:space="preserve">, </w:t>
      </w:r>
      <w:r w:rsidRPr="00047172">
        <w:rPr>
          <w:sz w:val="20"/>
          <w:szCs w:val="20"/>
        </w:rPr>
        <w:t>2013.</w:t>
      </w:r>
    </w:p>
    <w:p w:rsidR="008D0B1D" w:rsidRPr="00047172" w:rsidRDefault="008D0B1D" w:rsidP="00D868B6">
      <w:pPr>
        <w:numPr>
          <w:ilvl w:val="0"/>
          <w:numId w:val="37"/>
        </w:numPr>
        <w:autoSpaceDE w:val="0"/>
        <w:autoSpaceDN w:val="0"/>
        <w:adjustRightInd w:val="0"/>
        <w:snapToGrid w:val="0"/>
        <w:jc w:val="both"/>
        <w:rPr>
          <w:rFonts w:eastAsia="Batang"/>
          <w:i/>
          <w:iCs/>
          <w:sz w:val="20"/>
          <w:szCs w:val="20"/>
          <w:lang w:val="en-US" w:eastAsia="ja-JP" w:bidi="th-TH"/>
        </w:rPr>
      </w:pPr>
      <w:r w:rsidRPr="00047172">
        <w:rPr>
          <w:rFonts w:eastAsia="Batang"/>
          <w:sz w:val="20"/>
          <w:szCs w:val="20"/>
          <w:lang w:eastAsia="ja-JP" w:bidi="th-TH"/>
        </w:rPr>
        <w:lastRenderedPageBreak/>
        <w:t>Bijlsma MJ, Boone J, Zwart G</w:t>
      </w:r>
      <w:r w:rsidRPr="00047172">
        <w:rPr>
          <w:rFonts w:eastAsia="Batang"/>
          <w:sz w:val="20"/>
          <w:szCs w:val="20"/>
          <w:lang w:val="en-US" w:eastAsia="ja-JP" w:bidi="th-TH"/>
        </w:rPr>
        <w:t>,</w:t>
      </w:r>
      <w:r w:rsidRPr="00047172">
        <w:rPr>
          <w:rFonts w:eastAsia="Batang"/>
          <w:sz w:val="20"/>
          <w:szCs w:val="20"/>
          <w:lang w:eastAsia="ja-JP" w:bidi="th-TH"/>
        </w:rPr>
        <w:t xml:space="preserve"> Competition for Traders and Risk</w:t>
      </w:r>
      <w:r w:rsidRPr="00047172">
        <w:rPr>
          <w:rFonts w:eastAsia="Batang"/>
          <w:sz w:val="20"/>
          <w:szCs w:val="20"/>
          <w:lang w:val="en-US" w:eastAsia="ja-JP" w:bidi="th-TH"/>
        </w:rPr>
        <w:t>,</w:t>
      </w:r>
      <w:r w:rsidRPr="00047172">
        <w:rPr>
          <w:rFonts w:eastAsia="Batang"/>
          <w:i/>
          <w:iCs/>
          <w:sz w:val="20"/>
          <w:szCs w:val="20"/>
          <w:lang w:eastAsia="ja-JP" w:bidi="th-TH"/>
        </w:rPr>
        <w:t xml:space="preserve"> CEPR Discussion Paper No.DP8816</w:t>
      </w:r>
      <w:r w:rsidRPr="00047172">
        <w:rPr>
          <w:rFonts w:eastAsia="Batang"/>
          <w:i/>
          <w:iCs/>
          <w:sz w:val="20"/>
          <w:szCs w:val="20"/>
          <w:lang w:val="en-US" w:eastAsia="ja-JP" w:bidi="th-TH"/>
        </w:rPr>
        <w:t xml:space="preserve">, </w:t>
      </w:r>
      <w:r w:rsidRPr="00047172">
        <w:rPr>
          <w:rFonts w:eastAsia="Batang"/>
          <w:sz w:val="20"/>
          <w:szCs w:val="20"/>
          <w:lang w:eastAsia="ja-JP" w:bidi="th-TH"/>
        </w:rPr>
        <w:t>2012.</w:t>
      </w:r>
    </w:p>
    <w:p w:rsidR="008D0B1D" w:rsidRPr="00047172" w:rsidRDefault="008D0B1D" w:rsidP="00D868B6">
      <w:pPr>
        <w:numPr>
          <w:ilvl w:val="0"/>
          <w:numId w:val="37"/>
        </w:numPr>
        <w:autoSpaceDE w:val="0"/>
        <w:autoSpaceDN w:val="0"/>
        <w:adjustRightInd w:val="0"/>
        <w:snapToGrid w:val="0"/>
        <w:jc w:val="both"/>
        <w:rPr>
          <w:i/>
          <w:iCs/>
          <w:sz w:val="20"/>
          <w:szCs w:val="20"/>
          <w:lang w:val="en-US"/>
        </w:rPr>
      </w:pPr>
      <w:r w:rsidRPr="00047172">
        <w:rPr>
          <w:rFonts w:eastAsia="Batang"/>
          <w:sz w:val="20"/>
          <w:szCs w:val="20"/>
          <w:lang w:eastAsia="ja-JP" w:bidi="th-TH"/>
        </w:rPr>
        <w:t>Chen RR, Chidambaran NK, Imerman MB, Sopranzetti BJ</w:t>
      </w:r>
      <w:r w:rsidRPr="00047172">
        <w:rPr>
          <w:rFonts w:eastAsia="Batang"/>
          <w:sz w:val="20"/>
          <w:szCs w:val="20"/>
          <w:lang w:val="en-US" w:eastAsia="ja-JP" w:bidi="th-TH"/>
        </w:rPr>
        <w:t>,</w:t>
      </w:r>
      <w:r w:rsidRPr="00047172">
        <w:rPr>
          <w:rFonts w:eastAsia="Batang"/>
          <w:sz w:val="20"/>
          <w:szCs w:val="20"/>
          <w:lang w:eastAsia="ja-JP" w:bidi="th-TH"/>
        </w:rPr>
        <w:t xml:space="preserve"> </w:t>
      </w:r>
      <w:r w:rsidRPr="00047172">
        <w:rPr>
          <w:sz w:val="20"/>
          <w:szCs w:val="20"/>
        </w:rPr>
        <w:t>Liquidity, Leverage, and Lehman: A Structural Analysis of Financial Institutions in Crisis</w:t>
      </w:r>
      <w:r w:rsidRPr="00047172">
        <w:rPr>
          <w:sz w:val="20"/>
          <w:szCs w:val="20"/>
          <w:lang w:val="en-US"/>
        </w:rPr>
        <w:t>,</w:t>
      </w:r>
      <w:r w:rsidRPr="00047172">
        <w:rPr>
          <w:sz w:val="20"/>
          <w:szCs w:val="20"/>
        </w:rPr>
        <w:t xml:space="preserve"> </w:t>
      </w:r>
      <w:r w:rsidRPr="00047172">
        <w:rPr>
          <w:i/>
          <w:iCs/>
          <w:sz w:val="20"/>
          <w:szCs w:val="20"/>
        </w:rPr>
        <w:t>Fordham School of Business Research Paper No.2279686</w:t>
      </w:r>
      <w:r w:rsidRPr="00047172">
        <w:rPr>
          <w:i/>
          <w:iCs/>
          <w:sz w:val="20"/>
          <w:szCs w:val="20"/>
          <w:lang w:val="en-US"/>
        </w:rPr>
        <w:t>,</w:t>
      </w:r>
      <w:r w:rsidRPr="00047172">
        <w:rPr>
          <w:rFonts w:eastAsia="Batang"/>
          <w:sz w:val="20"/>
          <w:szCs w:val="20"/>
          <w:lang w:eastAsia="ja-JP" w:bidi="th-TH"/>
        </w:rPr>
        <w:t xml:space="preserve"> 2013.</w:t>
      </w:r>
    </w:p>
    <w:p w:rsidR="008D0B1D" w:rsidRPr="00047172" w:rsidRDefault="008D0B1D" w:rsidP="00D868B6">
      <w:pPr>
        <w:numPr>
          <w:ilvl w:val="0"/>
          <w:numId w:val="37"/>
        </w:numPr>
        <w:autoSpaceDE w:val="0"/>
        <w:autoSpaceDN w:val="0"/>
        <w:adjustRightInd w:val="0"/>
        <w:snapToGrid w:val="0"/>
        <w:jc w:val="both"/>
        <w:rPr>
          <w:i/>
          <w:iCs/>
          <w:sz w:val="20"/>
          <w:szCs w:val="20"/>
          <w:lang w:val="en-US"/>
        </w:rPr>
      </w:pPr>
      <w:r w:rsidRPr="00047172">
        <w:rPr>
          <w:sz w:val="20"/>
          <w:szCs w:val="20"/>
        </w:rPr>
        <w:t>Dimitrov V, Jain PC</w:t>
      </w:r>
      <w:r w:rsidRPr="00047172">
        <w:rPr>
          <w:sz w:val="20"/>
          <w:szCs w:val="20"/>
          <w:lang w:val="en-US"/>
        </w:rPr>
        <w:t>,</w:t>
      </w:r>
      <w:r w:rsidRPr="00047172">
        <w:rPr>
          <w:sz w:val="20"/>
          <w:szCs w:val="20"/>
        </w:rPr>
        <w:t xml:space="preserve"> The Value Relevance of Changes in Financial Leverage</w:t>
      </w:r>
      <w:r w:rsidRPr="00047172">
        <w:rPr>
          <w:i/>
          <w:iCs/>
          <w:sz w:val="20"/>
          <w:szCs w:val="20"/>
          <w:lang w:val="en-US"/>
        </w:rPr>
        <w:t>,</w:t>
      </w:r>
      <w:r w:rsidRPr="00047172">
        <w:rPr>
          <w:i/>
          <w:iCs/>
          <w:sz w:val="20"/>
          <w:szCs w:val="20"/>
        </w:rPr>
        <w:t xml:space="preserve"> SSRN Working Paper</w:t>
      </w:r>
      <w:r w:rsidRPr="00047172">
        <w:rPr>
          <w:i/>
          <w:iCs/>
          <w:sz w:val="20"/>
          <w:szCs w:val="20"/>
          <w:lang w:val="en-US"/>
        </w:rPr>
        <w:t xml:space="preserve">, </w:t>
      </w:r>
      <w:r w:rsidRPr="00047172">
        <w:rPr>
          <w:sz w:val="20"/>
          <w:szCs w:val="20"/>
        </w:rPr>
        <w:t>2006.</w:t>
      </w:r>
    </w:p>
    <w:p w:rsidR="008D0B1D" w:rsidRPr="00047172" w:rsidRDefault="008D0B1D" w:rsidP="00D868B6">
      <w:pPr>
        <w:numPr>
          <w:ilvl w:val="0"/>
          <w:numId w:val="37"/>
        </w:numPr>
        <w:autoSpaceDE w:val="0"/>
        <w:autoSpaceDN w:val="0"/>
        <w:adjustRightInd w:val="0"/>
        <w:snapToGrid w:val="0"/>
        <w:jc w:val="both"/>
        <w:rPr>
          <w:rFonts w:eastAsia="Batang"/>
          <w:i/>
          <w:iCs/>
          <w:sz w:val="20"/>
          <w:szCs w:val="20"/>
          <w:lang w:val="en-US" w:eastAsia="ja-JP" w:bidi="th-TH"/>
        </w:rPr>
      </w:pPr>
      <w:r w:rsidRPr="00047172">
        <w:rPr>
          <w:rFonts w:eastAsia="Batang"/>
          <w:sz w:val="20"/>
          <w:szCs w:val="20"/>
          <w:lang w:eastAsia="ja-JP" w:bidi="th-TH"/>
        </w:rPr>
        <w:t>Eugene FF, French KR</w:t>
      </w:r>
      <w:r w:rsidRPr="00047172">
        <w:rPr>
          <w:rFonts w:eastAsia="Batang"/>
          <w:sz w:val="20"/>
          <w:szCs w:val="20"/>
          <w:lang w:val="en-US" w:eastAsia="ja-JP" w:bidi="th-TH"/>
        </w:rPr>
        <w:t>,</w:t>
      </w:r>
      <w:r w:rsidRPr="00047172">
        <w:rPr>
          <w:rFonts w:eastAsia="Batang"/>
          <w:sz w:val="20"/>
          <w:szCs w:val="20"/>
          <w:lang w:eastAsia="ja-JP" w:bidi="th-TH"/>
        </w:rPr>
        <w:t xml:space="preserve"> The Capital Asset Pricing Model: Theory and Evidence</w:t>
      </w:r>
      <w:r w:rsidRPr="00047172">
        <w:rPr>
          <w:rFonts w:eastAsia="Batang"/>
          <w:sz w:val="20"/>
          <w:szCs w:val="20"/>
          <w:lang w:val="en-US" w:eastAsia="ja-JP" w:bidi="th-TH"/>
        </w:rPr>
        <w:t>,</w:t>
      </w:r>
      <w:r w:rsidRPr="00047172">
        <w:rPr>
          <w:rFonts w:eastAsia="Batang"/>
          <w:sz w:val="20"/>
          <w:szCs w:val="20"/>
          <w:lang w:eastAsia="ja-JP" w:bidi="th-TH"/>
        </w:rPr>
        <w:t xml:space="preserve"> </w:t>
      </w:r>
      <w:r w:rsidRPr="00047172">
        <w:rPr>
          <w:rFonts w:eastAsia="Batang"/>
          <w:i/>
          <w:iCs/>
          <w:sz w:val="20"/>
          <w:szCs w:val="20"/>
          <w:lang w:eastAsia="ja-JP" w:bidi="th-TH"/>
        </w:rPr>
        <w:t>Journal of Economic Perspectives</w:t>
      </w:r>
      <w:r w:rsidRPr="00047172">
        <w:rPr>
          <w:rFonts w:eastAsia="Batang"/>
          <w:i/>
          <w:iCs/>
          <w:sz w:val="20"/>
          <w:szCs w:val="20"/>
          <w:lang w:val="en-US" w:eastAsia="ja-JP" w:bidi="th-TH"/>
        </w:rPr>
        <w:t xml:space="preserve">, </w:t>
      </w:r>
      <w:r w:rsidRPr="00047172">
        <w:rPr>
          <w:rFonts w:eastAsia="Batang"/>
          <w:sz w:val="20"/>
          <w:szCs w:val="20"/>
          <w:lang w:eastAsia="ja-JP" w:bidi="th-TH"/>
        </w:rPr>
        <w:t>2004.</w:t>
      </w:r>
    </w:p>
    <w:p w:rsidR="008D0B1D" w:rsidRPr="00047172" w:rsidRDefault="008D0B1D" w:rsidP="00D868B6">
      <w:pPr>
        <w:numPr>
          <w:ilvl w:val="0"/>
          <w:numId w:val="37"/>
        </w:numPr>
        <w:autoSpaceDE w:val="0"/>
        <w:autoSpaceDN w:val="0"/>
        <w:adjustRightInd w:val="0"/>
        <w:snapToGrid w:val="0"/>
        <w:jc w:val="both"/>
        <w:rPr>
          <w:rFonts w:eastAsia="Batang"/>
          <w:i/>
          <w:iCs/>
          <w:sz w:val="20"/>
          <w:szCs w:val="20"/>
          <w:lang w:val="en-US" w:eastAsia="ja-JP" w:bidi="th-TH"/>
        </w:rPr>
      </w:pPr>
      <w:r w:rsidRPr="00047172">
        <w:rPr>
          <w:rFonts w:eastAsia="Batang"/>
          <w:sz w:val="20"/>
          <w:szCs w:val="20"/>
          <w:lang w:eastAsia="ja-JP" w:bidi="th-TH"/>
        </w:rPr>
        <w:t>Flifel, Kaouther, Financial Markets between Efficiency and Persistence</w:t>
      </w:r>
      <w:r w:rsidR="00B42709">
        <w:rPr>
          <w:rFonts w:eastAsia="Batang"/>
          <w:sz w:val="20"/>
          <w:szCs w:val="20"/>
          <w:lang w:eastAsia="ja-JP" w:bidi="th-TH"/>
        </w:rPr>
        <w:t>:</w:t>
      </w:r>
      <w:r w:rsidRPr="00047172">
        <w:rPr>
          <w:rFonts w:eastAsia="Batang"/>
          <w:sz w:val="20"/>
          <w:szCs w:val="20"/>
          <w:lang w:eastAsia="ja-JP" w:bidi="th-TH"/>
        </w:rPr>
        <w:t xml:space="preserve"> Empirical Evidence on Daily Data, </w:t>
      </w:r>
      <w:r w:rsidRPr="00047172">
        <w:rPr>
          <w:rFonts w:eastAsia="Batang"/>
          <w:i/>
          <w:iCs/>
          <w:sz w:val="20"/>
          <w:szCs w:val="20"/>
          <w:lang w:eastAsia="ja-JP" w:bidi="th-TH"/>
        </w:rPr>
        <w:t>Asian Journal of Finance and Accounting, Vol.4, No.2, pp.379-400</w:t>
      </w:r>
      <w:r w:rsidRPr="00047172">
        <w:rPr>
          <w:rFonts w:eastAsia="Batang"/>
          <w:i/>
          <w:iCs/>
          <w:sz w:val="20"/>
          <w:szCs w:val="20"/>
          <w:lang w:val="en-US" w:eastAsia="ja-JP" w:bidi="th-TH"/>
        </w:rPr>
        <w:t xml:space="preserve">, </w:t>
      </w:r>
      <w:r w:rsidRPr="00047172">
        <w:rPr>
          <w:rFonts w:eastAsia="Batang"/>
          <w:sz w:val="20"/>
          <w:szCs w:val="20"/>
          <w:lang w:eastAsia="ja-JP" w:bidi="th-TH"/>
        </w:rPr>
        <w:t>2012</w:t>
      </w:r>
      <w:r w:rsidRPr="00047172">
        <w:rPr>
          <w:rFonts w:eastAsia="Batang"/>
          <w:sz w:val="20"/>
          <w:szCs w:val="20"/>
          <w:lang w:val="en-US" w:eastAsia="ja-JP" w:bidi="th-TH"/>
        </w:rPr>
        <w:t>.</w:t>
      </w:r>
    </w:p>
    <w:p w:rsidR="008D0B1D" w:rsidRPr="00047172" w:rsidRDefault="005A1EE5" w:rsidP="00D868B6">
      <w:pPr>
        <w:numPr>
          <w:ilvl w:val="0"/>
          <w:numId w:val="37"/>
        </w:numPr>
        <w:autoSpaceDE w:val="0"/>
        <w:autoSpaceDN w:val="0"/>
        <w:adjustRightInd w:val="0"/>
        <w:snapToGrid w:val="0"/>
        <w:jc w:val="both"/>
        <w:rPr>
          <w:i/>
          <w:iCs/>
          <w:sz w:val="20"/>
          <w:szCs w:val="20"/>
          <w:lang w:val="en-US"/>
        </w:rPr>
      </w:pPr>
      <w:r w:rsidRPr="00047172">
        <w:rPr>
          <w:rFonts w:eastAsia="Batang"/>
          <w:sz w:val="20"/>
          <w:szCs w:val="20"/>
          <w:lang w:eastAsia="ja-JP" w:bidi="th-TH"/>
        </w:rPr>
        <w:t>Gabrijelcic M</w:t>
      </w:r>
      <w:r w:rsidR="008D0B1D" w:rsidRPr="00047172">
        <w:rPr>
          <w:rFonts w:eastAsia="Batang"/>
          <w:sz w:val="20"/>
          <w:szCs w:val="20"/>
          <w:lang w:eastAsia="ja-JP" w:bidi="th-TH"/>
        </w:rPr>
        <w:t>,</w:t>
      </w:r>
      <w:r w:rsidRPr="00047172">
        <w:rPr>
          <w:rFonts w:eastAsia="Batang"/>
          <w:sz w:val="20"/>
          <w:szCs w:val="20"/>
          <w:lang w:eastAsia="ja-JP" w:bidi="th-TH"/>
        </w:rPr>
        <w:t xml:space="preserve"> Herman U, and Lenarcic A</w:t>
      </w:r>
      <w:r w:rsidR="008D0B1D" w:rsidRPr="00047172">
        <w:rPr>
          <w:rFonts w:eastAsia="Batang"/>
          <w:sz w:val="20"/>
          <w:szCs w:val="20"/>
          <w:lang w:eastAsia="ja-JP" w:bidi="th-TH"/>
        </w:rPr>
        <w:t xml:space="preserve">, </w:t>
      </w:r>
      <w:r w:rsidR="008D0B1D" w:rsidRPr="00047172">
        <w:rPr>
          <w:sz w:val="20"/>
          <w:szCs w:val="20"/>
        </w:rPr>
        <w:t xml:space="preserve">Debt Financing and Firm Performance Before and During the Crisis: Micro-Financial Evidence from Slovenia, </w:t>
      </w:r>
      <w:r w:rsidR="008D0B1D" w:rsidRPr="00047172">
        <w:rPr>
          <w:i/>
          <w:iCs/>
          <w:sz w:val="20"/>
          <w:szCs w:val="20"/>
        </w:rPr>
        <w:t>SSRN Working Paper</w:t>
      </w:r>
      <w:r w:rsidRPr="00047172">
        <w:rPr>
          <w:i/>
          <w:iCs/>
          <w:sz w:val="20"/>
          <w:szCs w:val="20"/>
          <w:lang w:val="en-US"/>
        </w:rPr>
        <w:t xml:space="preserve">, </w:t>
      </w:r>
      <w:r w:rsidRPr="00047172">
        <w:rPr>
          <w:rFonts w:eastAsia="Batang"/>
          <w:sz w:val="20"/>
          <w:szCs w:val="20"/>
          <w:lang w:eastAsia="ja-JP" w:bidi="th-TH"/>
        </w:rPr>
        <w:t>2013</w:t>
      </w:r>
      <w:r w:rsidRPr="00047172">
        <w:rPr>
          <w:rFonts w:eastAsia="Batang"/>
          <w:sz w:val="20"/>
          <w:szCs w:val="20"/>
          <w:lang w:val="en-US" w:eastAsia="ja-JP" w:bidi="th-TH"/>
        </w:rPr>
        <w:t>.</w:t>
      </w:r>
    </w:p>
    <w:p w:rsidR="008D0B1D" w:rsidRPr="00047172" w:rsidRDefault="005A1EE5" w:rsidP="00D868B6">
      <w:pPr>
        <w:numPr>
          <w:ilvl w:val="0"/>
          <w:numId w:val="37"/>
        </w:numPr>
        <w:autoSpaceDE w:val="0"/>
        <w:autoSpaceDN w:val="0"/>
        <w:adjustRightInd w:val="0"/>
        <w:snapToGrid w:val="0"/>
        <w:jc w:val="both"/>
        <w:rPr>
          <w:i/>
          <w:iCs/>
          <w:sz w:val="20"/>
          <w:szCs w:val="20"/>
          <w:lang w:val="en-US"/>
        </w:rPr>
      </w:pPr>
      <w:r w:rsidRPr="00047172">
        <w:rPr>
          <w:color w:val="000000"/>
          <w:sz w:val="20"/>
          <w:szCs w:val="20"/>
        </w:rPr>
        <w:t>Gunaratha V</w:t>
      </w:r>
      <w:r w:rsidRPr="00047172">
        <w:rPr>
          <w:color w:val="000000"/>
          <w:sz w:val="20"/>
          <w:szCs w:val="20"/>
          <w:lang w:val="en-US"/>
        </w:rPr>
        <w:t>,</w:t>
      </w:r>
      <w:r w:rsidR="008D0B1D" w:rsidRPr="00047172">
        <w:rPr>
          <w:color w:val="000000"/>
          <w:sz w:val="20"/>
          <w:szCs w:val="20"/>
        </w:rPr>
        <w:t xml:space="preserve"> </w:t>
      </w:r>
      <w:r w:rsidR="008D0B1D" w:rsidRPr="00047172">
        <w:rPr>
          <w:sz w:val="20"/>
          <w:szCs w:val="20"/>
        </w:rPr>
        <w:t>The Degree of Financial Leverage as a Determinant of Financial Risk: An Empirical Study of Colombo Stock Exchange in Sri Lanka</w:t>
      </w:r>
      <w:r w:rsidRPr="00047172">
        <w:rPr>
          <w:sz w:val="20"/>
          <w:szCs w:val="20"/>
          <w:lang w:val="en-US"/>
        </w:rPr>
        <w:t>,</w:t>
      </w:r>
      <w:r w:rsidR="008D0B1D" w:rsidRPr="00047172">
        <w:rPr>
          <w:sz w:val="20"/>
          <w:szCs w:val="20"/>
        </w:rPr>
        <w:t xml:space="preserve"> </w:t>
      </w:r>
      <w:r w:rsidR="008D0B1D" w:rsidRPr="00047172">
        <w:rPr>
          <w:i/>
          <w:iCs/>
          <w:sz w:val="20"/>
          <w:szCs w:val="20"/>
        </w:rPr>
        <w:t>2nd International Conference on Management and Economics Paper</w:t>
      </w:r>
      <w:r w:rsidRPr="00047172">
        <w:rPr>
          <w:i/>
          <w:iCs/>
          <w:sz w:val="20"/>
          <w:szCs w:val="20"/>
          <w:lang w:val="en-US"/>
        </w:rPr>
        <w:t xml:space="preserve">, </w:t>
      </w:r>
      <w:r w:rsidRPr="00047172">
        <w:rPr>
          <w:color w:val="000000"/>
          <w:sz w:val="20"/>
          <w:szCs w:val="20"/>
        </w:rPr>
        <w:t>2013.</w:t>
      </w:r>
    </w:p>
    <w:p w:rsidR="008D0B1D" w:rsidRPr="00047172" w:rsidRDefault="008D0B1D" w:rsidP="00D868B6">
      <w:pPr>
        <w:numPr>
          <w:ilvl w:val="0"/>
          <w:numId w:val="37"/>
        </w:numPr>
        <w:autoSpaceDE w:val="0"/>
        <w:autoSpaceDN w:val="0"/>
        <w:adjustRightInd w:val="0"/>
        <w:snapToGrid w:val="0"/>
        <w:jc w:val="both"/>
        <w:rPr>
          <w:color w:val="000000"/>
          <w:sz w:val="20"/>
          <w:szCs w:val="20"/>
          <w:lang w:val="en-US"/>
        </w:rPr>
      </w:pPr>
      <w:r w:rsidRPr="00047172">
        <w:rPr>
          <w:color w:val="000000"/>
          <w:sz w:val="20"/>
          <w:szCs w:val="20"/>
        </w:rPr>
        <w:t>Huy DTN</w:t>
      </w:r>
      <w:r w:rsidR="005A1EE5" w:rsidRPr="00047172">
        <w:rPr>
          <w:color w:val="000000"/>
          <w:sz w:val="20"/>
          <w:szCs w:val="20"/>
          <w:lang w:val="en-US"/>
        </w:rPr>
        <w:t>,</w:t>
      </w:r>
      <w:r w:rsidRPr="00047172">
        <w:rPr>
          <w:color w:val="000000"/>
          <w:sz w:val="20"/>
          <w:szCs w:val="20"/>
        </w:rPr>
        <w:t xml:space="preserve"> Estimating Beta of Viet Nam Listed Public Utilities, Natural Gas and Oil Company Groups During and After The Financial Crisis </w:t>
      </w:r>
      <w:r w:rsidRPr="00047172">
        <w:rPr>
          <w:color w:val="000000"/>
          <w:sz w:val="20"/>
          <w:szCs w:val="20"/>
        </w:rPr>
        <w:lastRenderedPageBreak/>
        <w:t xml:space="preserve">2007-2011. </w:t>
      </w:r>
      <w:r w:rsidRPr="00047172">
        <w:rPr>
          <w:i/>
          <w:iCs/>
          <w:color w:val="000000"/>
          <w:sz w:val="20"/>
          <w:szCs w:val="20"/>
        </w:rPr>
        <w:t>Economic and Business Review</w:t>
      </w:r>
      <w:r w:rsidRPr="00047172">
        <w:rPr>
          <w:color w:val="000000"/>
          <w:sz w:val="20"/>
          <w:szCs w:val="20"/>
        </w:rPr>
        <w:t>. (15)1</w:t>
      </w:r>
      <w:r w:rsidR="00B42709">
        <w:rPr>
          <w:color w:val="000000"/>
          <w:sz w:val="20"/>
          <w:szCs w:val="20"/>
        </w:rPr>
        <w:t>:</w:t>
      </w:r>
      <w:r w:rsidRPr="00047172">
        <w:rPr>
          <w:color w:val="000000"/>
          <w:sz w:val="20"/>
          <w:szCs w:val="20"/>
        </w:rPr>
        <w:t xml:space="preserve"> 57-71</w:t>
      </w:r>
      <w:r w:rsidR="005A1EE5" w:rsidRPr="00047172">
        <w:rPr>
          <w:color w:val="000000"/>
          <w:sz w:val="20"/>
          <w:szCs w:val="20"/>
          <w:lang w:val="en-US"/>
        </w:rPr>
        <w:t xml:space="preserve">, </w:t>
      </w:r>
      <w:r w:rsidR="005A1EE5" w:rsidRPr="00047172">
        <w:rPr>
          <w:color w:val="000000"/>
          <w:sz w:val="20"/>
          <w:szCs w:val="20"/>
        </w:rPr>
        <w:t>2013.</w:t>
      </w:r>
    </w:p>
    <w:p w:rsidR="008D0B1D" w:rsidRPr="00047172" w:rsidRDefault="008D0B1D" w:rsidP="00D868B6">
      <w:pPr>
        <w:numPr>
          <w:ilvl w:val="0"/>
          <w:numId w:val="37"/>
        </w:numPr>
        <w:autoSpaceDE w:val="0"/>
        <w:autoSpaceDN w:val="0"/>
        <w:adjustRightInd w:val="0"/>
        <w:snapToGrid w:val="0"/>
        <w:jc w:val="both"/>
        <w:rPr>
          <w:rFonts w:eastAsia="Batang"/>
          <w:i/>
          <w:iCs/>
          <w:sz w:val="20"/>
          <w:szCs w:val="20"/>
          <w:lang w:val="en-US" w:eastAsia="ja-JP" w:bidi="th-TH"/>
        </w:rPr>
      </w:pPr>
      <w:r w:rsidRPr="00047172">
        <w:rPr>
          <w:rFonts w:eastAsia="Batang"/>
          <w:sz w:val="20"/>
          <w:szCs w:val="20"/>
          <w:lang w:eastAsia="ja-JP" w:bidi="th-TH"/>
        </w:rPr>
        <w:t>Maia M</w:t>
      </w:r>
      <w:r w:rsidR="005A1EE5" w:rsidRPr="00047172">
        <w:rPr>
          <w:rFonts w:eastAsia="Batang"/>
          <w:sz w:val="20"/>
          <w:szCs w:val="20"/>
          <w:lang w:eastAsia="ja-JP" w:bidi="th-TH"/>
        </w:rPr>
        <w:t>V</w:t>
      </w:r>
      <w:r w:rsidR="005A1EE5" w:rsidRPr="00047172">
        <w:rPr>
          <w:rFonts w:eastAsia="Batang"/>
          <w:sz w:val="20"/>
          <w:szCs w:val="20"/>
          <w:lang w:val="en-US" w:eastAsia="ja-JP" w:bidi="th-TH"/>
        </w:rPr>
        <w:t>,</w:t>
      </w:r>
      <w:r w:rsidRPr="00047172">
        <w:rPr>
          <w:rFonts w:eastAsia="Batang"/>
          <w:sz w:val="20"/>
          <w:szCs w:val="20"/>
          <w:lang w:eastAsia="ja-JP" w:bidi="th-TH"/>
        </w:rPr>
        <w:t xml:space="preserve"> </w:t>
      </w:r>
      <w:r w:rsidRPr="00047172">
        <w:rPr>
          <w:sz w:val="20"/>
          <w:szCs w:val="20"/>
        </w:rPr>
        <w:t>Cash-Flow Risks, Financial Leverage and the Cross Section of Equity Returns</w:t>
      </w:r>
      <w:r w:rsidR="005A1EE5" w:rsidRPr="00047172">
        <w:rPr>
          <w:rFonts w:eastAsia="Batang"/>
          <w:sz w:val="20"/>
          <w:szCs w:val="20"/>
          <w:lang w:val="en-US" w:eastAsia="ja-JP" w:bidi="th-TH"/>
        </w:rPr>
        <w:t>,</w:t>
      </w:r>
      <w:r w:rsidRPr="00047172">
        <w:rPr>
          <w:rFonts w:eastAsia="Batang"/>
          <w:sz w:val="20"/>
          <w:szCs w:val="20"/>
          <w:lang w:eastAsia="ja-JP" w:bidi="th-TH"/>
        </w:rPr>
        <w:t xml:space="preserve"> </w:t>
      </w:r>
      <w:r w:rsidRPr="00047172">
        <w:rPr>
          <w:rFonts w:eastAsia="Batang"/>
          <w:i/>
          <w:iCs/>
          <w:sz w:val="20"/>
          <w:szCs w:val="20"/>
          <w:lang w:eastAsia="ja-JP" w:bidi="th-TH"/>
        </w:rPr>
        <w:t>SSRN Working Paper</w:t>
      </w:r>
      <w:r w:rsidR="005A1EE5" w:rsidRPr="00047172">
        <w:rPr>
          <w:rFonts w:eastAsia="Batang"/>
          <w:i/>
          <w:iCs/>
          <w:sz w:val="20"/>
          <w:szCs w:val="20"/>
          <w:lang w:val="en-US" w:eastAsia="ja-JP" w:bidi="th-TH"/>
        </w:rPr>
        <w:t xml:space="preserve">, </w:t>
      </w:r>
      <w:r w:rsidR="005A1EE5" w:rsidRPr="00047172">
        <w:rPr>
          <w:rFonts w:eastAsia="Batang"/>
          <w:sz w:val="20"/>
          <w:szCs w:val="20"/>
          <w:lang w:eastAsia="ja-JP" w:bidi="th-TH"/>
        </w:rPr>
        <w:t>2010.</w:t>
      </w:r>
    </w:p>
    <w:p w:rsidR="008D0B1D" w:rsidRPr="00047172" w:rsidRDefault="008D0B1D" w:rsidP="00D868B6">
      <w:pPr>
        <w:numPr>
          <w:ilvl w:val="0"/>
          <w:numId w:val="37"/>
        </w:numPr>
        <w:autoSpaceDE w:val="0"/>
        <w:autoSpaceDN w:val="0"/>
        <w:adjustRightInd w:val="0"/>
        <w:snapToGrid w:val="0"/>
        <w:jc w:val="both"/>
        <w:rPr>
          <w:rFonts w:eastAsia="Batang"/>
          <w:sz w:val="20"/>
          <w:szCs w:val="20"/>
          <w:lang w:val="en-US" w:eastAsia="ja-JP" w:bidi="th-TH"/>
        </w:rPr>
      </w:pPr>
      <w:r w:rsidRPr="00047172">
        <w:rPr>
          <w:rFonts w:eastAsia="Batang"/>
          <w:sz w:val="20"/>
          <w:szCs w:val="20"/>
          <w:lang w:eastAsia="ja-JP" w:bidi="th-TH"/>
        </w:rPr>
        <w:t>Mamun</w:t>
      </w:r>
      <w:r w:rsidR="005A1EE5" w:rsidRPr="00047172">
        <w:rPr>
          <w:rFonts w:eastAsia="Batang"/>
          <w:sz w:val="20"/>
          <w:szCs w:val="20"/>
          <w:lang w:eastAsia="ja-JP" w:bidi="th-TH"/>
        </w:rPr>
        <w:t xml:space="preserve"> MAA</w:t>
      </w:r>
      <w:r w:rsidR="005A1EE5" w:rsidRPr="00047172">
        <w:rPr>
          <w:rFonts w:eastAsia="Batang"/>
          <w:sz w:val="20"/>
          <w:szCs w:val="20"/>
          <w:lang w:val="en-US" w:eastAsia="ja-JP" w:bidi="th-TH"/>
        </w:rPr>
        <w:t>,</w:t>
      </w:r>
      <w:r w:rsidRPr="00047172">
        <w:rPr>
          <w:rFonts w:eastAsia="Batang"/>
          <w:sz w:val="20"/>
          <w:szCs w:val="20"/>
          <w:lang w:eastAsia="ja-JP" w:bidi="th-TH"/>
        </w:rPr>
        <w:t xml:space="preserve"> Performance Evaluation of Prime Bank Limited in Terms of Capital Adequacy</w:t>
      </w:r>
      <w:r w:rsidR="005A1EE5" w:rsidRPr="00047172">
        <w:rPr>
          <w:rFonts w:eastAsia="Batang"/>
          <w:sz w:val="20"/>
          <w:szCs w:val="20"/>
          <w:lang w:val="en-US" w:eastAsia="ja-JP" w:bidi="th-TH"/>
        </w:rPr>
        <w:t>,</w:t>
      </w:r>
      <w:r w:rsidRPr="00047172">
        <w:rPr>
          <w:rFonts w:eastAsia="Batang"/>
          <w:sz w:val="20"/>
          <w:szCs w:val="20"/>
          <w:lang w:eastAsia="ja-JP" w:bidi="th-TH"/>
        </w:rPr>
        <w:t xml:space="preserve"> </w:t>
      </w:r>
      <w:r w:rsidRPr="00047172">
        <w:rPr>
          <w:rFonts w:eastAsia="Batang"/>
          <w:i/>
          <w:iCs/>
          <w:sz w:val="20"/>
          <w:szCs w:val="20"/>
          <w:lang w:eastAsia="ja-JP" w:bidi="th-TH"/>
        </w:rPr>
        <w:t>Global Journal of Management and Business Research</w:t>
      </w:r>
      <w:r w:rsidRPr="00047172">
        <w:rPr>
          <w:rFonts w:eastAsia="Batang"/>
          <w:sz w:val="20"/>
          <w:szCs w:val="20"/>
          <w:lang w:eastAsia="ja-JP" w:bidi="th-TH"/>
        </w:rPr>
        <w:t>. (13)9: 26-29</w:t>
      </w:r>
      <w:r w:rsidR="005A1EE5" w:rsidRPr="00047172">
        <w:rPr>
          <w:rFonts w:eastAsia="Batang"/>
          <w:sz w:val="20"/>
          <w:szCs w:val="20"/>
          <w:lang w:val="en-US" w:eastAsia="ja-JP" w:bidi="th-TH"/>
        </w:rPr>
        <w:t xml:space="preserve">, </w:t>
      </w:r>
      <w:r w:rsidR="005A1EE5" w:rsidRPr="00047172">
        <w:rPr>
          <w:rFonts w:eastAsia="Batang"/>
          <w:sz w:val="20"/>
          <w:szCs w:val="20"/>
          <w:lang w:eastAsia="ja-JP" w:bidi="th-TH"/>
        </w:rPr>
        <w:t>2013.</w:t>
      </w:r>
    </w:p>
    <w:p w:rsidR="008D0B1D" w:rsidRPr="00047172" w:rsidRDefault="008D0B1D" w:rsidP="00D868B6">
      <w:pPr>
        <w:numPr>
          <w:ilvl w:val="0"/>
          <w:numId w:val="37"/>
        </w:numPr>
        <w:autoSpaceDE w:val="0"/>
        <w:autoSpaceDN w:val="0"/>
        <w:adjustRightInd w:val="0"/>
        <w:snapToGrid w:val="0"/>
        <w:jc w:val="both"/>
        <w:rPr>
          <w:rFonts w:eastAsia="Batang"/>
          <w:sz w:val="20"/>
          <w:szCs w:val="20"/>
          <w:lang w:val="en-US" w:eastAsia="ja-JP" w:bidi="th-TH"/>
        </w:rPr>
      </w:pPr>
      <w:r w:rsidRPr="00047172">
        <w:rPr>
          <w:rFonts w:eastAsia="Batang"/>
          <w:sz w:val="20"/>
          <w:szCs w:val="20"/>
          <w:lang w:eastAsia="ja-JP" w:bidi="th-TH"/>
        </w:rPr>
        <w:lastRenderedPageBreak/>
        <w:t>Ovat</w:t>
      </w:r>
      <w:r w:rsidR="005A1EE5" w:rsidRPr="00047172">
        <w:rPr>
          <w:rFonts w:eastAsia="Batang"/>
          <w:sz w:val="20"/>
          <w:szCs w:val="20"/>
          <w:lang w:eastAsia="ja-JP" w:bidi="th-TH"/>
        </w:rPr>
        <w:t xml:space="preserve"> OO</w:t>
      </w:r>
      <w:r w:rsidR="005A1EE5" w:rsidRPr="00047172">
        <w:rPr>
          <w:rFonts w:eastAsia="Batang"/>
          <w:sz w:val="20"/>
          <w:szCs w:val="20"/>
          <w:lang w:val="en-US" w:eastAsia="ja-JP" w:bidi="th-TH"/>
        </w:rPr>
        <w:t>,</w:t>
      </w:r>
      <w:r w:rsidRPr="00047172">
        <w:rPr>
          <w:rFonts w:eastAsia="Batang"/>
          <w:sz w:val="20"/>
          <w:szCs w:val="20"/>
          <w:lang w:eastAsia="ja-JP" w:bidi="th-TH"/>
        </w:rPr>
        <w:t xml:space="preserve"> Liquidity Constraints and Entrepreneurial Financing in Nigeria: The Fate of Fresh Graduate Entrepreneurs</w:t>
      </w:r>
      <w:r w:rsidR="005A1EE5" w:rsidRPr="00047172">
        <w:rPr>
          <w:rFonts w:eastAsia="Batang"/>
          <w:sz w:val="20"/>
          <w:szCs w:val="20"/>
          <w:lang w:val="en-US" w:eastAsia="ja-JP" w:bidi="th-TH"/>
        </w:rPr>
        <w:t>,</w:t>
      </w:r>
      <w:r w:rsidRPr="00047172">
        <w:rPr>
          <w:rFonts w:eastAsia="Batang"/>
          <w:sz w:val="20"/>
          <w:szCs w:val="20"/>
          <w:lang w:eastAsia="ja-JP" w:bidi="th-TH"/>
        </w:rPr>
        <w:t xml:space="preserve"> </w:t>
      </w:r>
      <w:r w:rsidRPr="00047172">
        <w:rPr>
          <w:rFonts w:eastAsia="Batang"/>
          <w:i/>
          <w:iCs/>
          <w:sz w:val="20"/>
          <w:szCs w:val="20"/>
          <w:lang w:eastAsia="ja-JP" w:bidi="th-TH"/>
        </w:rPr>
        <w:t>Global Journal of Management and Business Research</w:t>
      </w:r>
      <w:r w:rsidR="005A1EE5" w:rsidRPr="00047172">
        <w:rPr>
          <w:rFonts w:eastAsia="Batang"/>
          <w:sz w:val="20"/>
          <w:szCs w:val="20"/>
          <w:lang w:val="en-US" w:eastAsia="ja-JP" w:bidi="th-TH"/>
        </w:rPr>
        <w:t>,</w:t>
      </w:r>
      <w:r w:rsidRPr="00047172">
        <w:rPr>
          <w:rFonts w:eastAsia="Batang"/>
          <w:sz w:val="20"/>
          <w:szCs w:val="20"/>
          <w:lang w:eastAsia="ja-JP" w:bidi="th-TH"/>
        </w:rPr>
        <w:t xml:space="preserve"> (13)9: 49-57</w:t>
      </w:r>
      <w:r w:rsidR="005A1EE5" w:rsidRPr="00047172">
        <w:rPr>
          <w:rFonts w:eastAsia="Batang"/>
          <w:sz w:val="20"/>
          <w:szCs w:val="20"/>
          <w:lang w:val="en-US" w:eastAsia="ja-JP" w:bidi="th-TH"/>
        </w:rPr>
        <w:t xml:space="preserve">, </w:t>
      </w:r>
      <w:r w:rsidR="005A1EE5" w:rsidRPr="00047172">
        <w:rPr>
          <w:rFonts w:eastAsia="Batang"/>
          <w:sz w:val="20"/>
          <w:szCs w:val="20"/>
          <w:lang w:eastAsia="ja-JP" w:bidi="th-TH"/>
        </w:rPr>
        <w:t>2013.</w:t>
      </w:r>
    </w:p>
    <w:p w:rsidR="008D0B1D" w:rsidRPr="00047172" w:rsidRDefault="005A1EE5" w:rsidP="00D868B6">
      <w:pPr>
        <w:numPr>
          <w:ilvl w:val="0"/>
          <w:numId w:val="37"/>
        </w:numPr>
        <w:autoSpaceDE w:val="0"/>
        <w:autoSpaceDN w:val="0"/>
        <w:adjustRightInd w:val="0"/>
        <w:snapToGrid w:val="0"/>
        <w:jc w:val="both"/>
        <w:rPr>
          <w:sz w:val="20"/>
          <w:szCs w:val="20"/>
          <w:lang w:val="en-US"/>
        </w:rPr>
      </w:pPr>
      <w:r w:rsidRPr="00047172">
        <w:rPr>
          <w:rFonts w:eastAsia="Batang"/>
          <w:sz w:val="20"/>
          <w:szCs w:val="20"/>
          <w:lang w:eastAsia="ja-JP" w:bidi="th-TH"/>
        </w:rPr>
        <w:t>Umar</w:t>
      </w:r>
      <w:r w:rsidRPr="00047172">
        <w:rPr>
          <w:rFonts w:eastAsia="Batang"/>
          <w:sz w:val="20"/>
          <w:szCs w:val="20"/>
          <w:lang w:val="en-US" w:eastAsia="ja-JP" w:bidi="th-TH"/>
        </w:rPr>
        <w:t>,</w:t>
      </w:r>
      <w:r w:rsidR="008D0B1D" w:rsidRPr="00047172">
        <w:rPr>
          <w:rFonts w:eastAsia="Batang"/>
          <w:sz w:val="20"/>
          <w:szCs w:val="20"/>
          <w:lang w:eastAsia="ja-JP" w:bidi="th-TH"/>
        </w:rPr>
        <w:t xml:space="preserve"> </w:t>
      </w:r>
      <w:r w:rsidR="008D0B1D" w:rsidRPr="00047172">
        <w:rPr>
          <w:sz w:val="20"/>
          <w:szCs w:val="20"/>
        </w:rPr>
        <w:t>Profits, Financial Leverage and Corporate Governance</w:t>
      </w:r>
      <w:r w:rsidRPr="00047172">
        <w:rPr>
          <w:rFonts w:eastAsia="Batang"/>
          <w:sz w:val="20"/>
          <w:szCs w:val="20"/>
          <w:lang w:val="en-US" w:eastAsia="ja-JP" w:bidi="th-TH"/>
        </w:rPr>
        <w:t>,</w:t>
      </w:r>
      <w:r w:rsidR="008D0B1D" w:rsidRPr="00047172">
        <w:rPr>
          <w:rFonts w:eastAsia="Batang"/>
          <w:sz w:val="20"/>
          <w:szCs w:val="20"/>
          <w:lang w:eastAsia="ja-JP" w:bidi="th-TH"/>
        </w:rPr>
        <w:t xml:space="preserve"> </w:t>
      </w:r>
      <w:r w:rsidR="008D0B1D" w:rsidRPr="00047172">
        <w:rPr>
          <w:rFonts w:eastAsia="Batang"/>
          <w:i/>
          <w:iCs/>
          <w:sz w:val="20"/>
          <w:szCs w:val="20"/>
          <w:lang w:eastAsia="ja-JP" w:bidi="th-TH"/>
        </w:rPr>
        <w:t>SSRN Working Paper</w:t>
      </w:r>
      <w:r w:rsidRPr="00047172">
        <w:rPr>
          <w:rFonts w:eastAsia="Batang"/>
          <w:i/>
          <w:iCs/>
          <w:sz w:val="20"/>
          <w:szCs w:val="20"/>
          <w:lang w:val="en-US" w:eastAsia="ja-JP" w:bidi="th-TH"/>
        </w:rPr>
        <w:t xml:space="preserve">, </w:t>
      </w:r>
      <w:r w:rsidRPr="00047172">
        <w:rPr>
          <w:rFonts w:eastAsia="Batang"/>
          <w:sz w:val="20"/>
          <w:szCs w:val="20"/>
          <w:lang w:eastAsia="ja-JP" w:bidi="th-TH"/>
        </w:rPr>
        <w:t>2011.</w:t>
      </w:r>
    </w:p>
    <w:p w:rsidR="00D868B6" w:rsidRPr="00047172" w:rsidRDefault="00D868B6" w:rsidP="00D868B6">
      <w:pPr>
        <w:pStyle w:val="a2"/>
        <w:shd w:val="clear" w:color="auto" w:fill="FFFFFF"/>
        <w:tabs>
          <w:tab w:val="left" w:pos="426"/>
        </w:tabs>
        <w:wordWrap/>
        <w:snapToGrid w:val="0"/>
        <w:ind w:leftChars="0" w:left="425" w:hanging="425"/>
        <w:textAlignment w:val="baseline"/>
        <w:rPr>
          <w:w w:val="100"/>
          <w:shd w:val="clear" w:color="auto" w:fill="FFFFFF"/>
        </w:rPr>
        <w:sectPr w:rsidR="00D868B6" w:rsidRPr="00047172" w:rsidSect="00D868B6">
          <w:footnotePr>
            <w:numRestart w:val="eachPage"/>
          </w:footnotePr>
          <w:type w:val="continuous"/>
          <w:pgSz w:w="12240" w:h="15840" w:code="1"/>
          <w:pgMar w:top="1440" w:right="1440" w:bottom="1440" w:left="1440" w:header="720" w:footer="720" w:gutter="0"/>
          <w:cols w:num="2" w:space="425"/>
          <w:docGrid w:linePitch="360"/>
        </w:sectPr>
      </w:pPr>
    </w:p>
    <w:p w:rsidR="00F83DA2" w:rsidRPr="00047172" w:rsidRDefault="00F83DA2" w:rsidP="00D868B6">
      <w:pPr>
        <w:pStyle w:val="a2"/>
        <w:shd w:val="clear" w:color="auto" w:fill="FFFFFF"/>
        <w:tabs>
          <w:tab w:val="left" w:pos="426"/>
        </w:tabs>
        <w:wordWrap/>
        <w:snapToGrid w:val="0"/>
        <w:ind w:leftChars="0" w:left="425" w:hanging="425"/>
        <w:textAlignment w:val="baseline"/>
        <w:rPr>
          <w:w w:val="100"/>
          <w:shd w:val="clear" w:color="auto" w:fill="FFFFFF"/>
        </w:rPr>
      </w:pPr>
    </w:p>
    <w:p w:rsidR="00B42709" w:rsidRDefault="00B42709" w:rsidP="00D868B6">
      <w:pPr>
        <w:pStyle w:val="a2"/>
        <w:widowControl/>
        <w:wordWrap/>
        <w:autoSpaceDE/>
        <w:autoSpaceDN/>
        <w:snapToGrid w:val="0"/>
        <w:ind w:leftChars="0" w:left="425" w:hanging="425"/>
        <w:rPr>
          <w:rFonts w:eastAsiaTheme="minorEastAsia"/>
          <w:w w:val="100"/>
          <w:lang w:eastAsia="zh-CN"/>
        </w:rPr>
      </w:pPr>
    </w:p>
    <w:p w:rsidR="005656CC" w:rsidRPr="00047172" w:rsidRDefault="00763EE7" w:rsidP="00D868B6">
      <w:pPr>
        <w:pStyle w:val="a2"/>
        <w:widowControl/>
        <w:wordWrap/>
        <w:autoSpaceDE/>
        <w:autoSpaceDN/>
        <w:snapToGrid w:val="0"/>
        <w:ind w:leftChars="0" w:left="425" w:hanging="425"/>
        <w:rPr>
          <w:w w:val="100"/>
        </w:rPr>
      </w:pPr>
      <w:proofErr w:type="gramStart"/>
      <w:r w:rsidRPr="00047172">
        <w:rPr>
          <w:rFonts w:eastAsia="Gulim"/>
          <w:w w:val="100"/>
        </w:rPr>
        <w:t>Appendix 1.</w:t>
      </w:r>
      <w:proofErr w:type="gramEnd"/>
      <w:r w:rsidRPr="00047172">
        <w:rPr>
          <w:rFonts w:eastAsia="Gulim"/>
          <w:w w:val="100"/>
        </w:rPr>
        <w:t xml:space="preserve"> </w:t>
      </w:r>
      <w:r w:rsidR="005656CC" w:rsidRPr="00047172">
        <w:rPr>
          <w:w w:val="100"/>
        </w:rPr>
        <w:t>Interest rates in banking industry during crisis</w:t>
      </w:r>
    </w:p>
    <w:p w:rsidR="005656CC" w:rsidRPr="00047172" w:rsidRDefault="005656CC" w:rsidP="00D868B6">
      <w:pPr>
        <w:snapToGrid w:val="0"/>
        <w:ind w:left="425" w:hanging="425"/>
        <w:jc w:val="both"/>
        <w:rPr>
          <w:i/>
          <w:iCs/>
          <w:sz w:val="20"/>
          <w:szCs w:val="20"/>
        </w:rPr>
      </w:pPr>
      <w:r w:rsidRPr="00047172">
        <w:rPr>
          <w:i/>
          <w:iCs/>
          <w:sz w:val="20"/>
          <w:szCs w:val="20"/>
        </w:rPr>
        <w:t>(source: Viet Nam commercial banks)</w:t>
      </w:r>
    </w:p>
    <w:p w:rsidR="005656CC" w:rsidRPr="00047172" w:rsidRDefault="005656CC" w:rsidP="00D868B6">
      <w:pPr>
        <w:snapToGrid w:val="0"/>
        <w:ind w:left="425" w:hanging="425"/>
        <w:jc w:val="both"/>
        <w:rPr>
          <w:i/>
          <w:i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143"/>
        <w:gridCol w:w="1325"/>
        <w:gridCol w:w="5491"/>
      </w:tblGrid>
      <w:tr w:rsidR="005656CC" w:rsidRPr="00047172" w:rsidTr="00047172">
        <w:trPr>
          <w:jc w:val="center"/>
        </w:trPr>
        <w:tc>
          <w:tcPr>
            <w:tcW w:w="322" w:type="pct"/>
          </w:tcPr>
          <w:p w:rsidR="005656CC" w:rsidRPr="00047172" w:rsidRDefault="005656CC" w:rsidP="00D868B6">
            <w:pPr>
              <w:snapToGrid w:val="0"/>
              <w:jc w:val="both"/>
              <w:rPr>
                <w:color w:val="000000"/>
                <w:sz w:val="20"/>
                <w:szCs w:val="20"/>
              </w:rPr>
            </w:pPr>
            <w:r w:rsidRPr="00047172">
              <w:rPr>
                <w:color w:val="000000"/>
                <w:sz w:val="20"/>
                <w:szCs w:val="20"/>
              </w:rPr>
              <w:t>Year</w:t>
            </w:r>
          </w:p>
        </w:tc>
        <w:tc>
          <w:tcPr>
            <w:tcW w:w="1119" w:type="pct"/>
          </w:tcPr>
          <w:p w:rsidR="005656CC" w:rsidRPr="00047172" w:rsidRDefault="005656CC" w:rsidP="00D868B6">
            <w:pPr>
              <w:snapToGrid w:val="0"/>
              <w:jc w:val="both"/>
              <w:rPr>
                <w:color w:val="000000"/>
                <w:sz w:val="20"/>
                <w:szCs w:val="20"/>
              </w:rPr>
            </w:pPr>
            <w:r w:rsidRPr="00047172">
              <w:rPr>
                <w:color w:val="000000"/>
                <w:sz w:val="20"/>
                <w:szCs w:val="20"/>
              </w:rPr>
              <w:t>Borrowing Interest rates</w:t>
            </w:r>
          </w:p>
        </w:tc>
        <w:tc>
          <w:tcPr>
            <w:tcW w:w="692" w:type="pct"/>
          </w:tcPr>
          <w:p w:rsidR="005656CC" w:rsidRPr="00047172" w:rsidRDefault="005656CC" w:rsidP="00D868B6">
            <w:pPr>
              <w:snapToGrid w:val="0"/>
              <w:jc w:val="both"/>
              <w:rPr>
                <w:color w:val="000000"/>
                <w:sz w:val="20"/>
                <w:szCs w:val="20"/>
              </w:rPr>
            </w:pPr>
            <w:r w:rsidRPr="00047172">
              <w:rPr>
                <w:color w:val="000000"/>
                <w:sz w:val="20"/>
                <w:szCs w:val="20"/>
              </w:rPr>
              <w:t>Deposit Rates</w:t>
            </w:r>
          </w:p>
        </w:tc>
        <w:tc>
          <w:tcPr>
            <w:tcW w:w="2867" w:type="pct"/>
          </w:tcPr>
          <w:p w:rsidR="005656CC" w:rsidRPr="00047172" w:rsidRDefault="005656CC" w:rsidP="00D868B6">
            <w:pPr>
              <w:snapToGrid w:val="0"/>
              <w:jc w:val="both"/>
              <w:rPr>
                <w:color w:val="000000"/>
                <w:sz w:val="20"/>
                <w:szCs w:val="20"/>
              </w:rPr>
            </w:pPr>
            <w:r w:rsidRPr="00047172">
              <w:rPr>
                <w:color w:val="000000"/>
                <w:sz w:val="20"/>
                <w:szCs w:val="20"/>
              </w:rPr>
              <w:t>Note</w:t>
            </w:r>
          </w:p>
        </w:tc>
      </w:tr>
      <w:tr w:rsidR="005656CC" w:rsidRPr="00047172" w:rsidTr="00047172">
        <w:trPr>
          <w:jc w:val="center"/>
        </w:trPr>
        <w:tc>
          <w:tcPr>
            <w:tcW w:w="322" w:type="pct"/>
          </w:tcPr>
          <w:p w:rsidR="005656CC" w:rsidRPr="00047172" w:rsidRDefault="005656CC" w:rsidP="00D868B6">
            <w:pPr>
              <w:snapToGrid w:val="0"/>
              <w:jc w:val="both"/>
              <w:rPr>
                <w:color w:val="000000"/>
                <w:sz w:val="20"/>
                <w:szCs w:val="20"/>
              </w:rPr>
            </w:pPr>
            <w:r w:rsidRPr="00047172">
              <w:rPr>
                <w:color w:val="000000"/>
                <w:sz w:val="20"/>
                <w:szCs w:val="20"/>
              </w:rPr>
              <w:t>2011</w:t>
            </w:r>
          </w:p>
        </w:tc>
        <w:tc>
          <w:tcPr>
            <w:tcW w:w="1119" w:type="pct"/>
          </w:tcPr>
          <w:p w:rsidR="005656CC" w:rsidRPr="00047172" w:rsidRDefault="005656CC" w:rsidP="00D868B6">
            <w:pPr>
              <w:snapToGrid w:val="0"/>
              <w:jc w:val="both"/>
              <w:rPr>
                <w:color w:val="000000"/>
                <w:sz w:val="20"/>
                <w:szCs w:val="20"/>
              </w:rPr>
            </w:pPr>
            <w:r w:rsidRPr="00047172">
              <w:rPr>
                <w:color w:val="000000"/>
                <w:sz w:val="20"/>
                <w:szCs w:val="20"/>
              </w:rPr>
              <w:t>18%-22%</w:t>
            </w:r>
          </w:p>
        </w:tc>
        <w:tc>
          <w:tcPr>
            <w:tcW w:w="692" w:type="pct"/>
          </w:tcPr>
          <w:p w:rsidR="005656CC" w:rsidRPr="00047172" w:rsidRDefault="005656CC" w:rsidP="00D868B6">
            <w:pPr>
              <w:snapToGrid w:val="0"/>
              <w:jc w:val="both"/>
              <w:rPr>
                <w:color w:val="000000"/>
                <w:sz w:val="20"/>
                <w:szCs w:val="20"/>
              </w:rPr>
            </w:pPr>
            <w:r w:rsidRPr="00047172">
              <w:rPr>
                <w:color w:val="000000"/>
                <w:sz w:val="20"/>
                <w:szCs w:val="20"/>
              </w:rPr>
              <w:t>13%-14%</w:t>
            </w:r>
          </w:p>
        </w:tc>
        <w:tc>
          <w:tcPr>
            <w:tcW w:w="2867" w:type="pct"/>
          </w:tcPr>
          <w:p w:rsidR="005656CC" w:rsidRPr="00047172" w:rsidRDefault="005656CC" w:rsidP="00D868B6">
            <w:pPr>
              <w:snapToGrid w:val="0"/>
              <w:jc w:val="both"/>
              <w:rPr>
                <w:color w:val="000000"/>
                <w:sz w:val="20"/>
                <w:szCs w:val="20"/>
              </w:rPr>
            </w:pPr>
          </w:p>
        </w:tc>
      </w:tr>
      <w:tr w:rsidR="005656CC" w:rsidRPr="00047172" w:rsidTr="00047172">
        <w:trPr>
          <w:jc w:val="center"/>
        </w:trPr>
        <w:tc>
          <w:tcPr>
            <w:tcW w:w="322" w:type="pct"/>
          </w:tcPr>
          <w:p w:rsidR="005656CC" w:rsidRPr="00047172" w:rsidRDefault="005656CC" w:rsidP="00D868B6">
            <w:pPr>
              <w:snapToGrid w:val="0"/>
              <w:jc w:val="both"/>
              <w:rPr>
                <w:color w:val="000000"/>
                <w:sz w:val="20"/>
                <w:szCs w:val="20"/>
              </w:rPr>
            </w:pPr>
            <w:r w:rsidRPr="00047172">
              <w:rPr>
                <w:color w:val="000000"/>
                <w:sz w:val="20"/>
                <w:szCs w:val="20"/>
              </w:rPr>
              <w:t>2010</w:t>
            </w:r>
          </w:p>
        </w:tc>
        <w:tc>
          <w:tcPr>
            <w:tcW w:w="1119" w:type="pct"/>
          </w:tcPr>
          <w:p w:rsidR="005656CC" w:rsidRPr="00047172" w:rsidRDefault="005656CC" w:rsidP="00D868B6">
            <w:pPr>
              <w:snapToGrid w:val="0"/>
              <w:jc w:val="both"/>
              <w:rPr>
                <w:color w:val="000000"/>
                <w:sz w:val="20"/>
                <w:szCs w:val="20"/>
              </w:rPr>
            </w:pPr>
            <w:r w:rsidRPr="00047172">
              <w:rPr>
                <w:color w:val="000000"/>
                <w:sz w:val="20"/>
                <w:szCs w:val="20"/>
              </w:rPr>
              <w:t>19%-20%</w:t>
            </w:r>
          </w:p>
        </w:tc>
        <w:tc>
          <w:tcPr>
            <w:tcW w:w="692" w:type="pct"/>
          </w:tcPr>
          <w:p w:rsidR="005656CC" w:rsidRPr="00047172" w:rsidRDefault="005656CC" w:rsidP="00D868B6">
            <w:pPr>
              <w:snapToGrid w:val="0"/>
              <w:jc w:val="both"/>
              <w:rPr>
                <w:color w:val="000000"/>
                <w:sz w:val="20"/>
                <w:szCs w:val="20"/>
              </w:rPr>
            </w:pPr>
            <w:r w:rsidRPr="00047172">
              <w:rPr>
                <w:color w:val="000000"/>
                <w:sz w:val="20"/>
                <w:szCs w:val="20"/>
              </w:rPr>
              <w:t>13%-14%</w:t>
            </w:r>
          </w:p>
        </w:tc>
        <w:tc>
          <w:tcPr>
            <w:tcW w:w="2867" w:type="pct"/>
            <w:vMerge w:val="restart"/>
          </w:tcPr>
          <w:p w:rsidR="005656CC" w:rsidRPr="00047172" w:rsidRDefault="005656CC" w:rsidP="00D868B6">
            <w:pPr>
              <w:snapToGrid w:val="0"/>
              <w:jc w:val="both"/>
              <w:rPr>
                <w:color w:val="000000"/>
                <w:sz w:val="20"/>
                <w:szCs w:val="20"/>
              </w:rPr>
            </w:pPr>
            <w:r w:rsidRPr="00047172">
              <w:rPr>
                <w:color w:val="000000"/>
                <w:sz w:val="20"/>
                <w:szCs w:val="20"/>
              </w:rPr>
              <w:t>Approximately</w:t>
            </w:r>
          </w:p>
          <w:p w:rsidR="005656CC" w:rsidRPr="00047172" w:rsidRDefault="005656CC" w:rsidP="00D868B6">
            <w:pPr>
              <w:snapToGrid w:val="0"/>
              <w:jc w:val="both"/>
              <w:rPr>
                <w:color w:val="000000"/>
                <w:sz w:val="20"/>
                <w:szCs w:val="20"/>
              </w:rPr>
            </w:pPr>
            <w:r w:rsidRPr="00047172">
              <w:rPr>
                <w:color w:val="000000"/>
                <w:sz w:val="20"/>
                <w:szCs w:val="20"/>
              </w:rPr>
              <w:t>(2007: required reserves ratio at SBV is changed from 5% to 10%)</w:t>
            </w:r>
          </w:p>
          <w:p w:rsidR="005656CC" w:rsidRPr="00047172" w:rsidRDefault="005656CC" w:rsidP="00D868B6">
            <w:pPr>
              <w:snapToGrid w:val="0"/>
              <w:jc w:val="both"/>
              <w:rPr>
                <w:color w:val="000000"/>
                <w:sz w:val="20"/>
                <w:szCs w:val="20"/>
              </w:rPr>
            </w:pPr>
            <w:r w:rsidRPr="00047172">
              <w:rPr>
                <w:color w:val="000000"/>
                <w:sz w:val="20"/>
                <w:szCs w:val="20"/>
              </w:rPr>
              <w:t>(2009: special supporting interest rate is 4%)</w:t>
            </w:r>
          </w:p>
        </w:tc>
      </w:tr>
      <w:tr w:rsidR="005656CC" w:rsidRPr="00047172" w:rsidTr="00047172">
        <w:trPr>
          <w:jc w:val="center"/>
        </w:trPr>
        <w:tc>
          <w:tcPr>
            <w:tcW w:w="322" w:type="pct"/>
          </w:tcPr>
          <w:p w:rsidR="005656CC" w:rsidRPr="00047172" w:rsidRDefault="005656CC" w:rsidP="00D868B6">
            <w:pPr>
              <w:snapToGrid w:val="0"/>
              <w:jc w:val="both"/>
              <w:rPr>
                <w:color w:val="000000"/>
                <w:sz w:val="20"/>
                <w:szCs w:val="20"/>
              </w:rPr>
            </w:pPr>
            <w:r w:rsidRPr="00047172">
              <w:rPr>
                <w:color w:val="000000"/>
                <w:sz w:val="20"/>
                <w:szCs w:val="20"/>
              </w:rPr>
              <w:t>2009</w:t>
            </w:r>
          </w:p>
        </w:tc>
        <w:tc>
          <w:tcPr>
            <w:tcW w:w="1119" w:type="pct"/>
          </w:tcPr>
          <w:p w:rsidR="005656CC" w:rsidRPr="00047172" w:rsidRDefault="005656CC" w:rsidP="00D868B6">
            <w:pPr>
              <w:snapToGrid w:val="0"/>
              <w:jc w:val="both"/>
              <w:rPr>
                <w:color w:val="000000"/>
                <w:sz w:val="20"/>
                <w:szCs w:val="20"/>
              </w:rPr>
            </w:pPr>
            <w:r w:rsidRPr="00047172">
              <w:rPr>
                <w:color w:val="000000"/>
                <w:sz w:val="20"/>
                <w:szCs w:val="20"/>
              </w:rPr>
              <w:t>9%-12%</w:t>
            </w:r>
          </w:p>
        </w:tc>
        <w:tc>
          <w:tcPr>
            <w:tcW w:w="692" w:type="pct"/>
          </w:tcPr>
          <w:p w:rsidR="005656CC" w:rsidRPr="00047172" w:rsidRDefault="005656CC" w:rsidP="00D868B6">
            <w:pPr>
              <w:snapToGrid w:val="0"/>
              <w:jc w:val="both"/>
              <w:rPr>
                <w:color w:val="000000"/>
                <w:sz w:val="20"/>
                <w:szCs w:val="20"/>
              </w:rPr>
            </w:pPr>
            <w:r w:rsidRPr="00047172">
              <w:rPr>
                <w:color w:val="000000"/>
                <w:sz w:val="20"/>
                <w:szCs w:val="20"/>
              </w:rPr>
              <w:t>9%-10%</w:t>
            </w:r>
          </w:p>
        </w:tc>
        <w:tc>
          <w:tcPr>
            <w:tcW w:w="2867" w:type="pct"/>
            <w:vMerge/>
          </w:tcPr>
          <w:p w:rsidR="005656CC" w:rsidRPr="00047172" w:rsidRDefault="005656CC" w:rsidP="00D868B6">
            <w:pPr>
              <w:snapToGrid w:val="0"/>
              <w:jc w:val="both"/>
              <w:rPr>
                <w:color w:val="000000"/>
                <w:sz w:val="20"/>
                <w:szCs w:val="20"/>
              </w:rPr>
            </w:pPr>
          </w:p>
        </w:tc>
      </w:tr>
      <w:tr w:rsidR="005656CC" w:rsidRPr="00047172" w:rsidTr="00047172">
        <w:trPr>
          <w:jc w:val="center"/>
        </w:trPr>
        <w:tc>
          <w:tcPr>
            <w:tcW w:w="322" w:type="pct"/>
          </w:tcPr>
          <w:p w:rsidR="005656CC" w:rsidRPr="00047172" w:rsidRDefault="005656CC" w:rsidP="00D868B6">
            <w:pPr>
              <w:snapToGrid w:val="0"/>
              <w:jc w:val="both"/>
              <w:rPr>
                <w:color w:val="000000"/>
                <w:sz w:val="20"/>
                <w:szCs w:val="20"/>
              </w:rPr>
            </w:pPr>
            <w:r w:rsidRPr="00047172">
              <w:rPr>
                <w:color w:val="000000"/>
                <w:sz w:val="20"/>
                <w:szCs w:val="20"/>
              </w:rPr>
              <w:t>2008</w:t>
            </w:r>
          </w:p>
        </w:tc>
        <w:tc>
          <w:tcPr>
            <w:tcW w:w="1119" w:type="pct"/>
          </w:tcPr>
          <w:p w:rsidR="005656CC" w:rsidRPr="00047172" w:rsidRDefault="005656CC" w:rsidP="00D868B6">
            <w:pPr>
              <w:snapToGrid w:val="0"/>
              <w:jc w:val="both"/>
              <w:rPr>
                <w:color w:val="000000"/>
                <w:sz w:val="20"/>
                <w:szCs w:val="20"/>
              </w:rPr>
            </w:pPr>
            <w:r w:rsidRPr="00047172">
              <w:rPr>
                <w:color w:val="000000"/>
                <w:sz w:val="20"/>
                <w:szCs w:val="20"/>
              </w:rPr>
              <w:t>19%-21%</w:t>
            </w:r>
          </w:p>
        </w:tc>
        <w:tc>
          <w:tcPr>
            <w:tcW w:w="692" w:type="pct"/>
          </w:tcPr>
          <w:p w:rsidR="005656CC" w:rsidRPr="00047172" w:rsidRDefault="005656CC" w:rsidP="00D868B6">
            <w:pPr>
              <w:snapToGrid w:val="0"/>
              <w:jc w:val="both"/>
              <w:rPr>
                <w:color w:val="000000"/>
                <w:sz w:val="20"/>
                <w:szCs w:val="20"/>
              </w:rPr>
            </w:pPr>
            <w:r w:rsidRPr="00047172">
              <w:rPr>
                <w:color w:val="000000"/>
                <w:sz w:val="20"/>
                <w:szCs w:val="20"/>
              </w:rPr>
              <w:t>15%-16,5%</w:t>
            </w:r>
          </w:p>
        </w:tc>
        <w:tc>
          <w:tcPr>
            <w:tcW w:w="2867" w:type="pct"/>
            <w:vMerge/>
          </w:tcPr>
          <w:p w:rsidR="005656CC" w:rsidRPr="00047172" w:rsidRDefault="005656CC" w:rsidP="00D868B6">
            <w:pPr>
              <w:snapToGrid w:val="0"/>
              <w:jc w:val="both"/>
              <w:rPr>
                <w:color w:val="000000"/>
                <w:sz w:val="20"/>
                <w:szCs w:val="20"/>
              </w:rPr>
            </w:pPr>
          </w:p>
        </w:tc>
      </w:tr>
      <w:tr w:rsidR="005656CC" w:rsidRPr="00047172" w:rsidTr="00047172">
        <w:trPr>
          <w:jc w:val="center"/>
        </w:trPr>
        <w:tc>
          <w:tcPr>
            <w:tcW w:w="322" w:type="pct"/>
          </w:tcPr>
          <w:p w:rsidR="005656CC" w:rsidRPr="00047172" w:rsidRDefault="005656CC" w:rsidP="00D868B6">
            <w:pPr>
              <w:snapToGrid w:val="0"/>
              <w:jc w:val="both"/>
              <w:rPr>
                <w:color w:val="000000"/>
                <w:sz w:val="20"/>
                <w:szCs w:val="20"/>
              </w:rPr>
            </w:pPr>
            <w:r w:rsidRPr="00047172">
              <w:rPr>
                <w:color w:val="000000"/>
                <w:sz w:val="20"/>
                <w:szCs w:val="20"/>
              </w:rPr>
              <w:t>2007</w:t>
            </w:r>
          </w:p>
        </w:tc>
        <w:tc>
          <w:tcPr>
            <w:tcW w:w="1119" w:type="pct"/>
          </w:tcPr>
          <w:p w:rsidR="005656CC" w:rsidRPr="00047172" w:rsidRDefault="005656CC" w:rsidP="00D868B6">
            <w:pPr>
              <w:snapToGrid w:val="0"/>
              <w:jc w:val="both"/>
              <w:rPr>
                <w:color w:val="000000"/>
                <w:sz w:val="20"/>
                <w:szCs w:val="20"/>
              </w:rPr>
            </w:pPr>
            <w:r w:rsidRPr="00047172">
              <w:rPr>
                <w:color w:val="000000"/>
                <w:sz w:val="20"/>
                <w:szCs w:val="20"/>
              </w:rPr>
              <w:t>12%-15%</w:t>
            </w:r>
          </w:p>
        </w:tc>
        <w:tc>
          <w:tcPr>
            <w:tcW w:w="692" w:type="pct"/>
          </w:tcPr>
          <w:p w:rsidR="005656CC" w:rsidRPr="00047172" w:rsidRDefault="005656CC" w:rsidP="00D868B6">
            <w:pPr>
              <w:snapToGrid w:val="0"/>
              <w:jc w:val="both"/>
              <w:rPr>
                <w:color w:val="000000"/>
                <w:sz w:val="20"/>
                <w:szCs w:val="20"/>
              </w:rPr>
            </w:pPr>
            <w:r w:rsidRPr="00047172">
              <w:rPr>
                <w:color w:val="000000"/>
                <w:sz w:val="20"/>
                <w:szCs w:val="20"/>
              </w:rPr>
              <w:t>9%-11%</w:t>
            </w:r>
          </w:p>
        </w:tc>
        <w:tc>
          <w:tcPr>
            <w:tcW w:w="2867" w:type="pct"/>
            <w:vMerge/>
          </w:tcPr>
          <w:p w:rsidR="005656CC" w:rsidRPr="00047172" w:rsidRDefault="005656CC" w:rsidP="00D868B6">
            <w:pPr>
              <w:snapToGrid w:val="0"/>
              <w:jc w:val="both"/>
              <w:rPr>
                <w:color w:val="000000"/>
                <w:sz w:val="20"/>
                <w:szCs w:val="20"/>
              </w:rPr>
            </w:pPr>
          </w:p>
        </w:tc>
      </w:tr>
    </w:tbl>
    <w:p w:rsidR="005656CC" w:rsidRPr="00047172" w:rsidRDefault="005656CC" w:rsidP="00D868B6">
      <w:pPr>
        <w:snapToGrid w:val="0"/>
        <w:ind w:left="425" w:hanging="425"/>
        <w:jc w:val="both"/>
        <w:rPr>
          <w:sz w:val="20"/>
          <w:szCs w:val="20"/>
        </w:rPr>
      </w:pPr>
    </w:p>
    <w:p w:rsidR="005656CC" w:rsidRPr="00047172" w:rsidRDefault="005656CC" w:rsidP="00D868B6">
      <w:pPr>
        <w:snapToGrid w:val="0"/>
        <w:ind w:left="425" w:hanging="425"/>
        <w:jc w:val="both"/>
        <w:rPr>
          <w:sz w:val="20"/>
          <w:szCs w:val="20"/>
        </w:rPr>
      </w:pPr>
      <w:proofErr w:type="gramStart"/>
      <w:r w:rsidRPr="00047172">
        <w:rPr>
          <w:sz w:val="20"/>
          <w:szCs w:val="20"/>
          <w:lang w:val="en-US"/>
        </w:rPr>
        <w:t>Appendix</w:t>
      </w:r>
      <w:r w:rsidRPr="00047172">
        <w:rPr>
          <w:sz w:val="20"/>
          <w:szCs w:val="20"/>
        </w:rPr>
        <w:t xml:space="preserve"> 2</w:t>
      </w:r>
      <w:r w:rsidRPr="00047172">
        <w:rPr>
          <w:sz w:val="20"/>
          <w:szCs w:val="20"/>
          <w:lang w:val="en-US"/>
        </w:rPr>
        <w:t>.</w:t>
      </w:r>
      <w:proofErr w:type="gramEnd"/>
      <w:r w:rsidRPr="00047172">
        <w:rPr>
          <w:sz w:val="20"/>
          <w:szCs w:val="20"/>
        </w:rPr>
        <w:t xml:space="preserve"> Basic interest rate changes in Viet Nam</w:t>
      </w:r>
    </w:p>
    <w:p w:rsidR="005656CC" w:rsidRPr="00047172" w:rsidRDefault="005656CC" w:rsidP="00D868B6">
      <w:pPr>
        <w:snapToGrid w:val="0"/>
        <w:ind w:left="425" w:hanging="425"/>
        <w:jc w:val="both"/>
        <w:rPr>
          <w:i/>
          <w:iCs/>
          <w:sz w:val="20"/>
          <w:szCs w:val="20"/>
        </w:rPr>
      </w:pPr>
      <w:r w:rsidRPr="00047172">
        <w:rPr>
          <w:i/>
          <w:iCs/>
          <w:sz w:val="20"/>
          <w:szCs w:val="20"/>
        </w:rPr>
        <w:t>(source: State Bank of Viet Nam and Viet Nam economy)</w:t>
      </w:r>
    </w:p>
    <w:p w:rsidR="005656CC" w:rsidRPr="00047172" w:rsidRDefault="005656CC" w:rsidP="00D868B6">
      <w:pPr>
        <w:snapToGrid w:val="0"/>
        <w:ind w:left="425" w:hanging="425"/>
        <w:jc w:val="both"/>
        <w:rPr>
          <w:i/>
          <w:i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2938"/>
        <w:gridCol w:w="4501"/>
      </w:tblGrid>
      <w:tr w:rsidR="005656CC" w:rsidRPr="00047172" w:rsidTr="00047172">
        <w:trPr>
          <w:jc w:val="center"/>
        </w:trPr>
        <w:tc>
          <w:tcPr>
            <w:tcW w:w="1116" w:type="pct"/>
          </w:tcPr>
          <w:p w:rsidR="005656CC" w:rsidRPr="00047172" w:rsidRDefault="005656CC" w:rsidP="00D868B6">
            <w:pPr>
              <w:snapToGrid w:val="0"/>
              <w:jc w:val="both"/>
              <w:rPr>
                <w:color w:val="000000"/>
                <w:sz w:val="20"/>
                <w:szCs w:val="20"/>
              </w:rPr>
            </w:pPr>
            <w:r w:rsidRPr="00047172">
              <w:rPr>
                <w:color w:val="000000"/>
                <w:sz w:val="20"/>
                <w:szCs w:val="20"/>
              </w:rPr>
              <w:t>Year</w:t>
            </w:r>
          </w:p>
        </w:tc>
        <w:tc>
          <w:tcPr>
            <w:tcW w:w="1534" w:type="pct"/>
          </w:tcPr>
          <w:p w:rsidR="005656CC" w:rsidRPr="00047172" w:rsidRDefault="005656CC" w:rsidP="00D868B6">
            <w:pPr>
              <w:snapToGrid w:val="0"/>
              <w:jc w:val="both"/>
              <w:rPr>
                <w:color w:val="000000"/>
                <w:sz w:val="20"/>
                <w:szCs w:val="20"/>
              </w:rPr>
            </w:pPr>
            <w:r w:rsidRPr="00047172">
              <w:rPr>
                <w:color w:val="000000"/>
                <w:sz w:val="20"/>
                <w:szCs w:val="20"/>
              </w:rPr>
              <w:t>Basic rate</w:t>
            </w:r>
          </w:p>
        </w:tc>
        <w:tc>
          <w:tcPr>
            <w:tcW w:w="2350" w:type="pct"/>
          </w:tcPr>
          <w:p w:rsidR="005656CC" w:rsidRPr="00047172" w:rsidRDefault="005656CC" w:rsidP="00D868B6">
            <w:pPr>
              <w:snapToGrid w:val="0"/>
              <w:jc w:val="both"/>
              <w:rPr>
                <w:color w:val="000000"/>
                <w:sz w:val="20"/>
                <w:szCs w:val="20"/>
              </w:rPr>
            </w:pPr>
            <w:r w:rsidRPr="00047172">
              <w:rPr>
                <w:color w:val="000000"/>
                <w:sz w:val="20"/>
                <w:szCs w:val="20"/>
              </w:rPr>
              <w:t>Note</w:t>
            </w:r>
          </w:p>
        </w:tc>
      </w:tr>
      <w:tr w:rsidR="005656CC" w:rsidRPr="00047172" w:rsidTr="00047172">
        <w:trPr>
          <w:jc w:val="center"/>
        </w:trPr>
        <w:tc>
          <w:tcPr>
            <w:tcW w:w="1116" w:type="pct"/>
          </w:tcPr>
          <w:p w:rsidR="005656CC" w:rsidRPr="00047172" w:rsidRDefault="005656CC" w:rsidP="00D868B6">
            <w:pPr>
              <w:snapToGrid w:val="0"/>
              <w:jc w:val="both"/>
              <w:rPr>
                <w:color w:val="000000"/>
                <w:sz w:val="20"/>
                <w:szCs w:val="20"/>
              </w:rPr>
            </w:pPr>
            <w:r w:rsidRPr="00047172">
              <w:rPr>
                <w:color w:val="000000"/>
                <w:sz w:val="20"/>
                <w:szCs w:val="20"/>
              </w:rPr>
              <w:t>2011</w:t>
            </w:r>
          </w:p>
        </w:tc>
        <w:tc>
          <w:tcPr>
            <w:tcW w:w="1534" w:type="pct"/>
          </w:tcPr>
          <w:p w:rsidR="005656CC" w:rsidRPr="00047172" w:rsidRDefault="005656CC" w:rsidP="00D868B6">
            <w:pPr>
              <w:snapToGrid w:val="0"/>
              <w:jc w:val="both"/>
              <w:rPr>
                <w:color w:val="000000"/>
                <w:sz w:val="20"/>
                <w:szCs w:val="20"/>
              </w:rPr>
            </w:pPr>
            <w:r w:rsidRPr="00047172">
              <w:rPr>
                <w:color w:val="000000"/>
                <w:sz w:val="20"/>
                <w:szCs w:val="20"/>
              </w:rPr>
              <w:t>9%</w:t>
            </w:r>
          </w:p>
        </w:tc>
        <w:tc>
          <w:tcPr>
            <w:tcW w:w="2350" w:type="pct"/>
          </w:tcPr>
          <w:p w:rsidR="005656CC" w:rsidRPr="00047172" w:rsidRDefault="005656CC" w:rsidP="00D868B6">
            <w:pPr>
              <w:snapToGrid w:val="0"/>
              <w:jc w:val="both"/>
              <w:rPr>
                <w:color w:val="000000"/>
                <w:sz w:val="20"/>
                <w:szCs w:val="20"/>
              </w:rPr>
            </w:pPr>
          </w:p>
        </w:tc>
      </w:tr>
      <w:tr w:rsidR="005656CC" w:rsidRPr="00047172" w:rsidTr="00047172">
        <w:trPr>
          <w:jc w:val="center"/>
        </w:trPr>
        <w:tc>
          <w:tcPr>
            <w:tcW w:w="1116" w:type="pct"/>
          </w:tcPr>
          <w:p w:rsidR="005656CC" w:rsidRPr="00047172" w:rsidRDefault="005656CC" w:rsidP="00D868B6">
            <w:pPr>
              <w:snapToGrid w:val="0"/>
              <w:jc w:val="both"/>
              <w:rPr>
                <w:color w:val="000000"/>
                <w:sz w:val="20"/>
                <w:szCs w:val="20"/>
              </w:rPr>
            </w:pPr>
            <w:r w:rsidRPr="00047172">
              <w:rPr>
                <w:color w:val="000000"/>
                <w:sz w:val="20"/>
                <w:szCs w:val="20"/>
              </w:rPr>
              <w:t>2010</w:t>
            </w:r>
          </w:p>
        </w:tc>
        <w:tc>
          <w:tcPr>
            <w:tcW w:w="1534" w:type="pct"/>
          </w:tcPr>
          <w:p w:rsidR="005656CC" w:rsidRPr="00047172" w:rsidRDefault="005656CC" w:rsidP="00D868B6">
            <w:pPr>
              <w:snapToGrid w:val="0"/>
              <w:jc w:val="both"/>
              <w:rPr>
                <w:color w:val="000000"/>
                <w:sz w:val="20"/>
                <w:szCs w:val="20"/>
              </w:rPr>
            </w:pPr>
            <w:r w:rsidRPr="00047172">
              <w:rPr>
                <w:color w:val="000000"/>
                <w:sz w:val="20"/>
                <w:szCs w:val="20"/>
              </w:rPr>
              <w:t>8%</w:t>
            </w:r>
          </w:p>
        </w:tc>
        <w:tc>
          <w:tcPr>
            <w:tcW w:w="2350" w:type="pct"/>
          </w:tcPr>
          <w:p w:rsidR="005656CC" w:rsidRPr="00047172" w:rsidRDefault="005656CC" w:rsidP="00D868B6">
            <w:pPr>
              <w:snapToGrid w:val="0"/>
              <w:jc w:val="both"/>
              <w:rPr>
                <w:color w:val="000000"/>
                <w:sz w:val="20"/>
                <w:szCs w:val="20"/>
              </w:rPr>
            </w:pPr>
          </w:p>
        </w:tc>
      </w:tr>
      <w:tr w:rsidR="005656CC" w:rsidRPr="00047172" w:rsidTr="00047172">
        <w:trPr>
          <w:jc w:val="center"/>
        </w:trPr>
        <w:tc>
          <w:tcPr>
            <w:tcW w:w="1116" w:type="pct"/>
          </w:tcPr>
          <w:p w:rsidR="005656CC" w:rsidRPr="00047172" w:rsidRDefault="005656CC" w:rsidP="00D868B6">
            <w:pPr>
              <w:snapToGrid w:val="0"/>
              <w:jc w:val="both"/>
              <w:rPr>
                <w:color w:val="000000"/>
                <w:sz w:val="20"/>
                <w:szCs w:val="20"/>
              </w:rPr>
            </w:pPr>
            <w:r w:rsidRPr="00047172">
              <w:rPr>
                <w:color w:val="000000"/>
                <w:sz w:val="20"/>
                <w:szCs w:val="20"/>
              </w:rPr>
              <w:t>2009</w:t>
            </w:r>
          </w:p>
        </w:tc>
        <w:tc>
          <w:tcPr>
            <w:tcW w:w="1534" w:type="pct"/>
          </w:tcPr>
          <w:p w:rsidR="005656CC" w:rsidRPr="00047172" w:rsidRDefault="005656CC" w:rsidP="00D868B6">
            <w:pPr>
              <w:snapToGrid w:val="0"/>
              <w:jc w:val="both"/>
              <w:rPr>
                <w:color w:val="000000"/>
                <w:sz w:val="20"/>
                <w:szCs w:val="20"/>
              </w:rPr>
            </w:pPr>
            <w:r w:rsidRPr="00047172">
              <w:rPr>
                <w:color w:val="000000"/>
                <w:sz w:val="20"/>
                <w:szCs w:val="20"/>
              </w:rPr>
              <w:t>7%</w:t>
            </w:r>
          </w:p>
        </w:tc>
        <w:tc>
          <w:tcPr>
            <w:tcW w:w="2350" w:type="pct"/>
          </w:tcPr>
          <w:p w:rsidR="005656CC" w:rsidRPr="00047172" w:rsidRDefault="005656CC" w:rsidP="00D868B6">
            <w:pPr>
              <w:snapToGrid w:val="0"/>
              <w:jc w:val="both"/>
              <w:rPr>
                <w:color w:val="000000"/>
                <w:sz w:val="20"/>
                <w:szCs w:val="20"/>
              </w:rPr>
            </w:pPr>
          </w:p>
        </w:tc>
      </w:tr>
      <w:tr w:rsidR="005656CC" w:rsidRPr="00047172" w:rsidTr="00047172">
        <w:trPr>
          <w:jc w:val="center"/>
        </w:trPr>
        <w:tc>
          <w:tcPr>
            <w:tcW w:w="1116" w:type="pct"/>
          </w:tcPr>
          <w:p w:rsidR="005656CC" w:rsidRPr="00047172" w:rsidRDefault="005656CC" w:rsidP="00D868B6">
            <w:pPr>
              <w:snapToGrid w:val="0"/>
              <w:jc w:val="both"/>
              <w:rPr>
                <w:color w:val="000000"/>
                <w:sz w:val="20"/>
                <w:szCs w:val="20"/>
              </w:rPr>
            </w:pPr>
            <w:r w:rsidRPr="00047172">
              <w:rPr>
                <w:color w:val="000000"/>
                <w:sz w:val="20"/>
                <w:szCs w:val="20"/>
              </w:rPr>
              <w:t>2008</w:t>
            </w:r>
          </w:p>
        </w:tc>
        <w:tc>
          <w:tcPr>
            <w:tcW w:w="1534" w:type="pct"/>
          </w:tcPr>
          <w:p w:rsidR="005656CC" w:rsidRPr="00047172" w:rsidRDefault="005656CC" w:rsidP="00D868B6">
            <w:pPr>
              <w:snapToGrid w:val="0"/>
              <w:jc w:val="both"/>
              <w:rPr>
                <w:color w:val="000000"/>
                <w:sz w:val="20"/>
                <w:szCs w:val="20"/>
              </w:rPr>
            </w:pPr>
            <w:r w:rsidRPr="00047172">
              <w:rPr>
                <w:color w:val="000000"/>
                <w:sz w:val="20"/>
                <w:szCs w:val="20"/>
              </w:rPr>
              <w:t>8,75%-14%</w:t>
            </w:r>
          </w:p>
        </w:tc>
        <w:tc>
          <w:tcPr>
            <w:tcW w:w="2350" w:type="pct"/>
          </w:tcPr>
          <w:p w:rsidR="005656CC" w:rsidRPr="00047172" w:rsidRDefault="005656CC" w:rsidP="00D868B6">
            <w:pPr>
              <w:snapToGrid w:val="0"/>
              <w:jc w:val="both"/>
              <w:rPr>
                <w:color w:val="000000"/>
                <w:sz w:val="20"/>
                <w:szCs w:val="20"/>
              </w:rPr>
            </w:pPr>
            <w:r w:rsidRPr="00047172">
              <w:rPr>
                <w:color w:val="000000"/>
                <w:sz w:val="20"/>
                <w:szCs w:val="20"/>
              </w:rPr>
              <w:t>Approximately, fluctuated</w:t>
            </w:r>
          </w:p>
        </w:tc>
      </w:tr>
      <w:tr w:rsidR="005656CC" w:rsidRPr="00047172" w:rsidTr="00047172">
        <w:trPr>
          <w:jc w:val="center"/>
        </w:trPr>
        <w:tc>
          <w:tcPr>
            <w:tcW w:w="1116" w:type="pct"/>
          </w:tcPr>
          <w:p w:rsidR="005656CC" w:rsidRPr="00047172" w:rsidRDefault="005656CC" w:rsidP="00D868B6">
            <w:pPr>
              <w:snapToGrid w:val="0"/>
              <w:jc w:val="both"/>
              <w:rPr>
                <w:color w:val="000000"/>
                <w:sz w:val="20"/>
                <w:szCs w:val="20"/>
              </w:rPr>
            </w:pPr>
            <w:r w:rsidRPr="00047172">
              <w:rPr>
                <w:color w:val="000000"/>
                <w:sz w:val="20"/>
                <w:szCs w:val="20"/>
              </w:rPr>
              <w:t>2007</w:t>
            </w:r>
          </w:p>
        </w:tc>
        <w:tc>
          <w:tcPr>
            <w:tcW w:w="1534" w:type="pct"/>
          </w:tcPr>
          <w:p w:rsidR="005656CC" w:rsidRPr="00047172" w:rsidRDefault="005656CC" w:rsidP="00D868B6">
            <w:pPr>
              <w:snapToGrid w:val="0"/>
              <w:jc w:val="both"/>
              <w:rPr>
                <w:color w:val="000000"/>
                <w:sz w:val="20"/>
                <w:szCs w:val="20"/>
              </w:rPr>
            </w:pPr>
            <w:r w:rsidRPr="00047172">
              <w:rPr>
                <w:color w:val="000000"/>
                <w:sz w:val="20"/>
                <w:szCs w:val="20"/>
              </w:rPr>
              <w:t>8,25%</w:t>
            </w:r>
          </w:p>
        </w:tc>
        <w:tc>
          <w:tcPr>
            <w:tcW w:w="2350" w:type="pct"/>
          </w:tcPr>
          <w:p w:rsidR="005656CC" w:rsidRPr="00047172" w:rsidRDefault="005656CC" w:rsidP="00D868B6">
            <w:pPr>
              <w:snapToGrid w:val="0"/>
              <w:jc w:val="both"/>
              <w:rPr>
                <w:color w:val="000000"/>
                <w:sz w:val="20"/>
                <w:szCs w:val="20"/>
              </w:rPr>
            </w:pPr>
          </w:p>
        </w:tc>
      </w:tr>
      <w:tr w:rsidR="005656CC" w:rsidRPr="00047172" w:rsidTr="00047172">
        <w:trPr>
          <w:jc w:val="center"/>
        </w:trPr>
        <w:tc>
          <w:tcPr>
            <w:tcW w:w="1116" w:type="pct"/>
          </w:tcPr>
          <w:p w:rsidR="005656CC" w:rsidRPr="00047172" w:rsidRDefault="005656CC" w:rsidP="00D868B6">
            <w:pPr>
              <w:snapToGrid w:val="0"/>
              <w:jc w:val="both"/>
              <w:rPr>
                <w:color w:val="000000"/>
                <w:sz w:val="20"/>
                <w:szCs w:val="20"/>
              </w:rPr>
            </w:pPr>
            <w:r w:rsidRPr="00047172">
              <w:rPr>
                <w:color w:val="000000"/>
                <w:sz w:val="20"/>
                <w:szCs w:val="20"/>
              </w:rPr>
              <w:t>2006</w:t>
            </w:r>
          </w:p>
        </w:tc>
        <w:tc>
          <w:tcPr>
            <w:tcW w:w="1534" w:type="pct"/>
          </w:tcPr>
          <w:p w:rsidR="005656CC" w:rsidRPr="00047172" w:rsidRDefault="005656CC" w:rsidP="00D868B6">
            <w:pPr>
              <w:snapToGrid w:val="0"/>
              <w:jc w:val="both"/>
              <w:rPr>
                <w:color w:val="000000"/>
                <w:sz w:val="20"/>
                <w:szCs w:val="20"/>
              </w:rPr>
            </w:pPr>
            <w:r w:rsidRPr="00047172">
              <w:rPr>
                <w:color w:val="000000"/>
                <w:sz w:val="20"/>
                <w:szCs w:val="20"/>
              </w:rPr>
              <w:t>8,25%</w:t>
            </w:r>
          </w:p>
        </w:tc>
        <w:tc>
          <w:tcPr>
            <w:tcW w:w="2350" w:type="pct"/>
          </w:tcPr>
          <w:p w:rsidR="005656CC" w:rsidRPr="00047172" w:rsidRDefault="005656CC" w:rsidP="00D868B6">
            <w:pPr>
              <w:snapToGrid w:val="0"/>
              <w:jc w:val="both"/>
              <w:rPr>
                <w:color w:val="000000"/>
                <w:sz w:val="20"/>
                <w:szCs w:val="20"/>
              </w:rPr>
            </w:pPr>
          </w:p>
        </w:tc>
      </w:tr>
      <w:tr w:rsidR="005656CC" w:rsidRPr="00047172" w:rsidTr="00047172">
        <w:trPr>
          <w:jc w:val="center"/>
        </w:trPr>
        <w:tc>
          <w:tcPr>
            <w:tcW w:w="1116" w:type="pct"/>
          </w:tcPr>
          <w:p w:rsidR="005656CC" w:rsidRPr="00047172" w:rsidRDefault="005656CC" w:rsidP="00D868B6">
            <w:pPr>
              <w:snapToGrid w:val="0"/>
              <w:jc w:val="both"/>
              <w:rPr>
                <w:color w:val="000000"/>
                <w:sz w:val="20"/>
                <w:szCs w:val="20"/>
              </w:rPr>
            </w:pPr>
            <w:r w:rsidRPr="00047172">
              <w:rPr>
                <w:color w:val="000000"/>
                <w:sz w:val="20"/>
                <w:szCs w:val="20"/>
              </w:rPr>
              <w:t>2005</w:t>
            </w:r>
          </w:p>
        </w:tc>
        <w:tc>
          <w:tcPr>
            <w:tcW w:w="1534" w:type="pct"/>
          </w:tcPr>
          <w:p w:rsidR="005656CC" w:rsidRPr="00047172" w:rsidRDefault="005656CC" w:rsidP="00D868B6">
            <w:pPr>
              <w:snapToGrid w:val="0"/>
              <w:jc w:val="both"/>
              <w:rPr>
                <w:color w:val="000000"/>
                <w:sz w:val="20"/>
                <w:szCs w:val="20"/>
              </w:rPr>
            </w:pPr>
            <w:r w:rsidRPr="00047172">
              <w:rPr>
                <w:color w:val="000000"/>
                <w:sz w:val="20"/>
                <w:szCs w:val="20"/>
              </w:rPr>
              <w:t>7,8%</w:t>
            </w:r>
          </w:p>
        </w:tc>
        <w:tc>
          <w:tcPr>
            <w:tcW w:w="2350" w:type="pct"/>
          </w:tcPr>
          <w:p w:rsidR="005656CC" w:rsidRPr="00047172" w:rsidRDefault="005656CC" w:rsidP="00D868B6">
            <w:pPr>
              <w:snapToGrid w:val="0"/>
              <w:jc w:val="both"/>
              <w:rPr>
                <w:color w:val="000000"/>
                <w:sz w:val="20"/>
                <w:szCs w:val="20"/>
              </w:rPr>
            </w:pPr>
          </w:p>
        </w:tc>
      </w:tr>
      <w:tr w:rsidR="005656CC" w:rsidRPr="00047172" w:rsidTr="00047172">
        <w:trPr>
          <w:jc w:val="center"/>
        </w:trPr>
        <w:tc>
          <w:tcPr>
            <w:tcW w:w="1116" w:type="pct"/>
          </w:tcPr>
          <w:p w:rsidR="005656CC" w:rsidRPr="00047172" w:rsidRDefault="005656CC" w:rsidP="00D868B6">
            <w:pPr>
              <w:snapToGrid w:val="0"/>
              <w:jc w:val="both"/>
              <w:rPr>
                <w:color w:val="000000"/>
                <w:sz w:val="20"/>
                <w:szCs w:val="20"/>
              </w:rPr>
            </w:pPr>
            <w:r w:rsidRPr="00047172">
              <w:rPr>
                <w:color w:val="000000"/>
                <w:sz w:val="20"/>
                <w:szCs w:val="20"/>
              </w:rPr>
              <w:t>2004</w:t>
            </w:r>
          </w:p>
        </w:tc>
        <w:tc>
          <w:tcPr>
            <w:tcW w:w="1534" w:type="pct"/>
          </w:tcPr>
          <w:p w:rsidR="005656CC" w:rsidRPr="00047172" w:rsidRDefault="005656CC" w:rsidP="00D868B6">
            <w:pPr>
              <w:snapToGrid w:val="0"/>
              <w:jc w:val="both"/>
              <w:rPr>
                <w:color w:val="000000"/>
                <w:sz w:val="20"/>
                <w:szCs w:val="20"/>
              </w:rPr>
            </w:pPr>
            <w:r w:rsidRPr="00047172">
              <w:rPr>
                <w:color w:val="000000"/>
                <w:sz w:val="20"/>
                <w:szCs w:val="20"/>
              </w:rPr>
              <w:t>7,5%</w:t>
            </w:r>
          </w:p>
        </w:tc>
        <w:tc>
          <w:tcPr>
            <w:tcW w:w="2350" w:type="pct"/>
          </w:tcPr>
          <w:p w:rsidR="005656CC" w:rsidRPr="00047172" w:rsidRDefault="005656CC" w:rsidP="00D868B6">
            <w:pPr>
              <w:snapToGrid w:val="0"/>
              <w:jc w:val="both"/>
              <w:rPr>
                <w:color w:val="000000"/>
                <w:sz w:val="20"/>
                <w:szCs w:val="20"/>
              </w:rPr>
            </w:pPr>
          </w:p>
        </w:tc>
      </w:tr>
      <w:tr w:rsidR="005656CC" w:rsidRPr="00047172" w:rsidTr="00047172">
        <w:trPr>
          <w:jc w:val="center"/>
        </w:trPr>
        <w:tc>
          <w:tcPr>
            <w:tcW w:w="1116" w:type="pct"/>
          </w:tcPr>
          <w:p w:rsidR="005656CC" w:rsidRPr="00047172" w:rsidRDefault="005656CC" w:rsidP="00D868B6">
            <w:pPr>
              <w:snapToGrid w:val="0"/>
              <w:jc w:val="both"/>
              <w:rPr>
                <w:color w:val="000000"/>
                <w:sz w:val="20"/>
                <w:szCs w:val="20"/>
              </w:rPr>
            </w:pPr>
            <w:r w:rsidRPr="00047172">
              <w:rPr>
                <w:color w:val="000000"/>
                <w:sz w:val="20"/>
                <w:szCs w:val="20"/>
              </w:rPr>
              <w:t>2003</w:t>
            </w:r>
          </w:p>
        </w:tc>
        <w:tc>
          <w:tcPr>
            <w:tcW w:w="1534" w:type="pct"/>
          </w:tcPr>
          <w:p w:rsidR="005656CC" w:rsidRPr="00047172" w:rsidRDefault="005656CC" w:rsidP="00D868B6">
            <w:pPr>
              <w:snapToGrid w:val="0"/>
              <w:jc w:val="both"/>
              <w:rPr>
                <w:color w:val="000000"/>
                <w:sz w:val="20"/>
                <w:szCs w:val="20"/>
              </w:rPr>
            </w:pPr>
            <w:r w:rsidRPr="00047172">
              <w:rPr>
                <w:color w:val="000000"/>
                <w:sz w:val="20"/>
                <w:szCs w:val="20"/>
              </w:rPr>
              <w:t>7,5%</w:t>
            </w:r>
          </w:p>
        </w:tc>
        <w:tc>
          <w:tcPr>
            <w:tcW w:w="2350" w:type="pct"/>
          </w:tcPr>
          <w:p w:rsidR="005656CC" w:rsidRPr="00047172" w:rsidRDefault="005656CC" w:rsidP="00D868B6">
            <w:pPr>
              <w:snapToGrid w:val="0"/>
              <w:jc w:val="both"/>
              <w:rPr>
                <w:color w:val="000000"/>
                <w:sz w:val="20"/>
                <w:szCs w:val="20"/>
              </w:rPr>
            </w:pPr>
          </w:p>
        </w:tc>
      </w:tr>
      <w:tr w:rsidR="005656CC" w:rsidRPr="00047172" w:rsidTr="00047172">
        <w:trPr>
          <w:jc w:val="center"/>
        </w:trPr>
        <w:tc>
          <w:tcPr>
            <w:tcW w:w="1116" w:type="pct"/>
          </w:tcPr>
          <w:p w:rsidR="005656CC" w:rsidRPr="00047172" w:rsidRDefault="005656CC" w:rsidP="00D868B6">
            <w:pPr>
              <w:snapToGrid w:val="0"/>
              <w:jc w:val="both"/>
              <w:rPr>
                <w:color w:val="000000"/>
                <w:sz w:val="20"/>
                <w:szCs w:val="20"/>
              </w:rPr>
            </w:pPr>
            <w:r w:rsidRPr="00047172">
              <w:rPr>
                <w:color w:val="000000"/>
                <w:sz w:val="20"/>
                <w:szCs w:val="20"/>
              </w:rPr>
              <w:t>2002</w:t>
            </w:r>
          </w:p>
        </w:tc>
        <w:tc>
          <w:tcPr>
            <w:tcW w:w="1534" w:type="pct"/>
          </w:tcPr>
          <w:p w:rsidR="005656CC" w:rsidRPr="00047172" w:rsidRDefault="005656CC" w:rsidP="00D868B6">
            <w:pPr>
              <w:snapToGrid w:val="0"/>
              <w:jc w:val="both"/>
              <w:rPr>
                <w:color w:val="000000"/>
                <w:sz w:val="20"/>
                <w:szCs w:val="20"/>
              </w:rPr>
            </w:pPr>
            <w:r w:rsidRPr="00047172">
              <w:rPr>
                <w:color w:val="000000"/>
                <w:sz w:val="20"/>
                <w:szCs w:val="20"/>
              </w:rPr>
              <w:t>7,44%</w:t>
            </w:r>
          </w:p>
        </w:tc>
        <w:tc>
          <w:tcPr>
            <w:tcW w:w="2350" w:type="pct"/>
          </w:tcPr>
          <w:p w:rsidR="005656CC" w:rsidRPr="00047172" w:rsidRDefault="005656CC" w:rsidP="00D868B6">
            <w:pPr>
              <w:snapToGrid w:val="0"/>
              <w:jc w:val="both"/>
              <w:rPr>
                <w:color w:val="000000"/>
                <w:sz w:val="20"/>
                <w:szCs w:val="20"/>
              </w:rPr>
            </w:pPr>
          </w:p>
        </w:tc>
      </w:tr>
      <w:tr w:rsidR="005656CC" w:rsidRPr="00047172" w:rsidTr="00047172">
        <w:trPr>
          <w:jc w:val="center"/>
        </w:trPr>
        <w:tc>
          <w:tcPr>
            <w:tcW w:w="1116" w:type="pct"/>
          </w:tcPr>
          <w:p w:rsidR="005656CC" w:rsidRPr="00047172" w:rsidRDefault="005656CC" w:rsidP="00D868B6">
            <w:pPr>
              <w:snapToGrid w:val="0"/>
              <w:jc w:val="both"/>
              <w:rPr>
                <w:color w:val="000000"/>
                <w:sz w:val="20"/>
                <w:szCs w:val="20"/>
              </w:rPr>
            </w:pPr>
            <w:r w:rsidRPr="00047172">
              <w:rPr>
                <w:color w:val="000000"/>
                <w:sz w:val="20"/>
                <w:szCs w:val="20"/>
              </w:rPr>
              <w:t>2001</w:t>
            </w:r>
          </w:p>
        </w:tc>
        <w:tc>
          <w:tcPr>
            <w:tcW w:w="1534" w:type="pct"/>
          </w:tcPr>
          <w:p w:rsidR="005656CC" w:rsidRPr="00047172" w:rsidRDefault="005656CC" w:rsidP="00D868B6">
            <w:pPr>
              <w:snapToGrid w:val="0"/>
              <w:jc w:val="both"/>
              <w:rPr>
                <w:color w:val="000000"/>
                <w:sz w:val="20"/>
                <w:szCs w:val="20"/>
              </w:rPr>
            </w:pPr>
            <w:r w:rsidRPr="00047172">
              <w:rPr>
                <w:color w:val="000000"/>
                <w:sz w:val="20"/>
                <w:szCs w:val="20"/>
              </w:rPr>
              <w:t>7,2%-8,7%</w:t>
            </w:r>
          </w:p>
        </w:tc>
        <w:tc>
          <w:tcPr>
            <w:tcW w:w="2350" w:type="pct"/>
          </w:tcPr>
          <w:p w:rsidR="005656CC" w:rsidRPr="00047172" w:rsidRDefault="005656CC" w:rsidP="00D868B6">
            <w:pPr>
              <w:snapToGrid w:val="0"/>
              <w:jc w:val="both"/>
              <w:rPr>
                <w:color w:val="000000"/>
                <w:sz w:val="20"/>
                <w:szCs w:val="20"/>
              </w:rPr>
            </w:pPr>
            <w:r w:rsidRPr="00047172">
              <w:rPr>
                <w:color w:val="000000"/>
                <w:sz w:val="20"/>
                <w:szCs w:val="20"/>
              </w:rPr>
              <w:t>Approximately, fluctuated</w:t>
            </w:r>
          </w:p>
        </w:tc>
      </w:tr>
      <w:tr w:rsidR="005656CC" w:rsidRPr="00047172" w:rsidTr="00047172">
        <w:trPr>
          <w:jc w:val="center"/>
        </w:trPr>
        <w:tc>
          <w:tcPr>
            <w:tcW w:w="1116" w:type="pct"/>
          </w:tcPr>
          <w:p w:rsidR="005656CC" w:rsidRPr="00047172" w:rsidRDefault="005656CC" w:rsidP="00D868B6">
            <w:pPr>
              <w:snapToGrid w:val="0"/>
              <w:jc w:val="both"/>
              <w:rPr>
                <w:color w:val="000000"/>
                <w:sz w:val="20"/>
                <w:szCs w:val="20"/>
              </w:rPr>
            </w:pPr>
            <w:r w:rsidRPr="00047172">
              <w:rPr>
                <w:color w:val="000000"/>
                <w:sz w:val="20"/>
                <w:szCs w:val="20"/>
              </w:rPr>
              <w:t>2000</w:t>
            </w:r>
          </w:p>
        </w:tc>
        <w:tc>
          <w:tcPr>
            <w:tcW w:w="1534" w:type="pct"/>
          </w:tcPr>
          <w:p w:rsidR="005656CC" w:rsidRPr="00047172" w:rsidRDefault="005656CC" w:rsidP="00D868B6">
            <w:pPr>
              <w:snapToGrid w:val="0"/>
              <w:jc w:val="both"/>
              <w:rPr>
                <w:color w:val="000000"/>
                <w:sz w:val="20"/>
                <w:szCs w:val="20"/>
              </w:rPr>
            </w:pPr>
            <w:r w:rsidRPr="00047172">
              <w:rPr>
                <w:color w:val="000000"/>
                <w:sz w:val="20"/>
                <w:szCs w:val="20"/>
              </w:rPr>
              <w:t>9%</w:t>
            </w:r>
          </w:p>
        </w:tc>
        <w:tc>
          <w:tcPr>
            <w:tcW w:w="2350" w:type="pct"/>
          </w:tcPr>
          <w:p w:rsidR="005656CC" w:rsidRPr="00047172" w:rsidRDefault="005656CC" w:rsidP="00D868B6">
            <w:pPr>
              <w:snapToGrid w:val="0"/>
              <w:jc w:val="both"/>
              <w:rPr>
                <w:color w:val="000000"/>
                <w:sz w:val="20"/>
                <w:szCs w:val="20"/>
              </w:rPr>
            </w:pPr>
          </w:p>
        </w:tc>
      </w:tr>
    </w:tbl>
    <w:p w:rsidR="005656CC" w:rsidRDefault="005656CC" w:rsidP="00D868B6">
      <w:pPr>
        <w:snapToGrid w:val="0"/>
        <w:ind w:left="425" w:hanging="425"/>
        <w:jc w:val="both"/>
        <w:rPr>
          <w:rFonts w:eastAsiaTheme="minorEastAsia"/>
          <w:sz w:val="20"/>
          <w:szCs w:val="20"/>
          <w:lang w:eastAsia="zh-CN"/>
        </w:rPr>
      </w:pPr>
    </w:p>
    <w:p w:rsidR="00B42709" w:rsidRPr="00B42709" w:rsidRDefault="00B42709" w:rsidP="00D868B6">
      <w:pPr>
        <w:snapToGrid w:val="0"/>
        <w:ind w:left="425" w:hanging="425"/>
        <w:jc w:val="both"/>
        <w:rPr>
          <w:rFonts w:eastAsiaTheme="minorEastAsia"/>
          <w:sz w:val="20"/>
          <w:szCs w:val="20"/>
          <w:lang w:eastAsia="zh-CN"/>
        </w:rPr>
      </w:pPr>
    </w:p>
    <w:p w:rsidR="005656CC" w:rsidRPr="00047172" w:rsidRDefault="005656CC" w:rsidP="00D868B6">
      <w:pPr>
        <w:snapToGrid w:val="0"/>
        <w:ind w:left="425" w:hanging="425"/>
        <w:jc w:val="both"/>
        <w:rPr>
          <w:sz w:val="20"/>
          <w:szCs w:val="20"/>
        </w:rPr>
      </w:pPr>
      <w:proofErr w:type="gramStart"/>
      <w:r w:rsidRPr="00047172">
        <w:rPr>
          <w:sz w:val="20"/>
          <w:szCs w:val="20"/>
          <w:lang w:val="en-US"/>
        </w:rPr>
        <w:t>Appendix</w:t>
      </w:r>
      <w:r w:rsidRPr="00047172">
        <w:rPr>
          <w:sz w:val="20"/>
          <w:szCs w:val="20"/>
        </w:rPr>
        <w:t xml:space="preserve"> 3</w:t>
      </w:r>
      <w:r w:rsidRPr="00047172">
        <w:rPr>
          <w:sz w:val="20"/>
          <w:szCs w:val="20"/>
          <w:lang w:val="en-US"/>
        </w:rPr>
        <w:t>.</w:t>
      </w:r>
      <w:proofErr w:type="gramEnd"/>
      <w:r w:rsidRPr="00047172">
        <w:rPr>
          <w:sz w:val="20"/>
          <w:szCs w:val="20"/>
        </w:rPr>
        <w:t xml:space="preserve"> Inflation, GDP growth and macroeconomics factors</w:t>
      </w:r>
    </w:p>
    <w:p w:rsidR="005656CC" w:rsidRPr="00047172" w:rsidRDefault="005656CC" w:rsidP="00D868B6">
      <w:pPr>
        <w:snapToGrid w:val="0"/>
        <w:ind w:left="425" w:hanging="425"/>
        <w:jc w:val="both"/>
        <w:rPr>
          <w:rFonts w:eastAsiaTheme="minorEastAsia"/>
          <w:i/>
          <w:iCs/>
          <w:sz w:val="20"/>
          <w:szCs w:val="20"/>
          <w:lang w:eastAsia="zh-CN"/>
        </w:rPr>
      </w:pPr>
      <w:r w:rsidRPr="00047172">
        <w:rPr>
          <w:i/>
          <w:iCs/>
          <w:sz w:val="20"/>
          <w:szCs w:val="20"/>
        </w:rPr>
        <w:t>(source: Viet Nam commercial banks and economic statistical bureau)</w:t>
      </w:r>
    </w:p>
    <w:p w:rsidR="00D868B6" w:rsidRPr="00047172" w:rsidRDefault="00D868B6" w:rsidP="00D868B6">
      <w:pPr>
        <w:snapToGrid w:val="0"/>
        <w:ind w:left="425" w:hanging="425"/>
        <w:jc w:val="both"/>
        <w:rPr>
          <w:rFonts w:eastAsiaTheme="minorEastAsia"/>
          <w:i/>
          <w:iCs/>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4217"/>
        <w:gridCol w:w="2273"/>
        <w:gridCol w:w="2168"/>
      </w:tblGrid>
      <w:tr w:rsidR="005656CC" w:rsidRPr="00047172" w:rsidTr="00047172">
        <w:trPr>
          <w:jc w:val="center"/>
        </w:trPr>
        <w:tc>
          <w:tcPr>
            <w:tcW w:w="479" w:type="pct"/>
          </w:tcPr>
          <w:p w:rsidR="005656CC" w:rsidRPr="00047172" w:rsidRDefault="005656CC" w:rsidP="00D868B6">
            <w:pPr>
              <w:snapToGrid w:val="0"/>
              <w:jc w:val="both"/>
              <w:rPr>
                <w:color w:val="000000"/>
                <w:sz w:val="20"/>
                <w:szCs w:val="20"/>
              </w:rPr>
            </w:pPr>
            <w:r w:rsidRPr="00047172">
              <w:rPr>
                <w:color w:val="000000"/>
                <w:sz w:val="20"/>
                <w:szCs w:val="20"/>
              </w:rPr>
              <w:t>Year</w:t>
            </w:r>
          </w:p>
        </w:tc>
        <w:tc>
          <w:tcPr>
            <w:tcW w:w="2202" w:type="pct"/>
          </w:tcPr>
          <w:p w:rsidR="005656CC" w:rsidRPr="00047172" w:rsidRDefault="005656CC" w:rsidP="00D868B6">
            <w:pPr>
              <w:snapToGrid w:val="0"/>
              <w:jc w:val="both"/>
              <w:rPr>
                <w:color w:val="000000"/>
                <w:sz w:val="20"/>
                <w:szCs w:val="20"/>
              </w:rPr>
            </w:pPr>
            <w:r w:rsidRPr="00047172">
              <w:rPr>
                <w:color w:val="000000"/>
                <w:sz w:val="20"/>
                <w:szCs w:val="20"/>
              </w:rPr>
              <w:t>Inflation</w:t>
            </w:r>
          </w:p>
        </w:tc>
        <w:tc>
          <w:tcPr>
            <w:tcW w:w="1187" w:type="pct"/>
          </w:tcPr>
          <w:p w:rsidR="005656CC" w:rsidRPr="00047172" w:rsidRDefault="005656CC" w:rsidP="00D868B6">
            <w:pPr>
              <w:snapToGrid w:val="0"/>
              <w:jc w:val="both"/>
              <w:rPr>
                <w:color w:val="000000"/>
                <w:sz w:val="20"/>
                <w:szCs w:val="20"/>
              </w:rPr>
            </w:pPr>
            <w:r w:rsidRPr="00047172">
              <w:rPr>
                <w:color w:val="000000"/>
                <w:sz w:val="20"/>
                <w:szCs w:val="20"/>
              </w:rPr>
              <w:t>GDP</w:t>
            </w:r>
          </w:p>
        </w:tc>
        <w:tc>
          <w:tcPr>
            <w:tcW w:w="1131" w:type="pct"/>
          </w:tcPr>
          <w:p w:rsidR="005656CC" w:rsidRPr="00047172" w:rsidRDefault="005656CC" w:rsidP="00D868B6">
            <w:pPr>
              <w:snapToGrid w:val="0"/>
              <w:jc w:val="both"/>
              <w:rPr>
                <w:color w:val="000000"/>
                <w:sz w:val="20"/>
                <w:szCs w:val="20"/>
              </w:rPr>
            </w:pPr>
            <w:r w:rsidRPr="00047172">
              <w:rPr>
                <w:color w:val="000000"/>
                <w:sz w:val="20"/>
                <w:szCs w:val="20"/>
              </w:rPr>
              <w:t>USD/VND rate</w:t>
            </w:r>
          </w:p>
        </w:tc>
      </w:tr>
      <w:tr w:rsidR="005656CC" w:rsidRPr="00047172" w:rsidTr="00047172">
        <w:trPr>
          <w:jc w:val="center"/>
        </w:trPr>
        <w:tc>
          <w:tcPr>
            <w:tcW w:w="479" w:type="pct"/>
          </w:tcPr>
          <w:p w:rsidR="005656CC" w:rsidRPr="00047172" w:rsidRDefault="005656CC" w:rsidP="00D868B6">
            <w:pPr>
              <w:snapToGrid w:val="0"/>
              <w:jc w:val="both"/>
              <w:rPr>
                <w:color w:val="000000"/>
                <w:sz w:val="20"/>
                <w:szCs w:val="20"/>
              </w:rPr>
            </w:pPr>
            <w:r w:rsidRPr="00047172">
              <w:rPr>
                <w:color w:val="000000"/>
                <w:sz w:val="20"/>
                <w:szCs w:val="20"/>
              </w:rPr>
              <w:t>2011</w:t>
            </w:r>
          </w:p>
        </w:tc>
        <w:tc>
          <w:tcPr>
            <w:tcW w:w="2202" w:type="pct"/>
          </w:tcPr>
          <w:p w:rsidR="005656CC" w:rsidRPr="00047172" w:rsidRDefault="005656CC" w:rsidP="00D868B6">
            <w:pPr>
              <w:snapToGrid w:val="0"/>
              <w:jc w:val="both"/>
              <w:rPr>
                <w:color w:val="000000"/>
                <w:sz w:val="20"/>
                <w:szCs w:val="20"/>
              </w:rPr>
            </w:pPr>
            <w:r w:rsidRPr="00047172">
              <w:rPr>
                <w:color w:val="000000"/>
                <w:sz w:val="20"/>
                <w:szCs w:val="20"/>
              </w:rPr>
              <w:t>18%</w:t>
            </w:r>
          </w:p>
        </w:tc>
        <w:tc>
          <w:tcPr>
            <w:tcW w:w="1187" w:type="pct"/>
          </w:tcPr>
          <w:p w:rsidR="005656CC" w:rsidRPr="00047172" w:rsidRDefault="005656CC" w:rsidP="00D868B6">
            <w:pPr>
              <w:snapToGrid w:val="0"/>
              <w:jc w:val="both"/>
              <w:rPr>
                <w:color w:val="000000"/>
                <w:sz w:val="20"/>
                <w:szCs w:val="20"/>
              </w:rPr>
            </w:pPr>
            <w:r w:rsidRPr="00047172">
              <w:rPr>
                <w:color w:val="000000"/>
                <w:sz w:val="20"/>
                <w:szCs w:val="20"/>
              </w:rPr>
              <w:t>5,89%</w:t>
            </w:r>
          </w:p>
        </w:tc>
        <w:tc>
          <w:tcPr>
            <w:tcW w:w="1131" w:type="pct"/>
          </w:tcPr>
          <w:p w:rsidR="005656CC" w:rsidRPr="00047172" w:rsidRDefault="005656CC" w:rsidP="00D868B6">
            <w:pPr>
              <w:snapToGrid w:val="0"/>
              <w:jc w:val="both"/>
              <w:rPr>
                <w:color w:val="000000"/>
                <w:sz w:val="20"/>
                <w:szCs w:val="20"/>
              </w:rPr>
            </w:pPr>
            <w:r w:rsidRPr="00047172">
              <w:rPr>
                <w:color w:val="000000"/>
                <w:sz w:val="20"/>
                <w:szCs w:val="20"/>
              </w:rPr>
              <w:t>20.670</w:t>
            </w:r>
          </w:p>
        </w:tc>
      </w:tr>
      <w:tr w:rsidR="005656CC" w:rsidRPr="00047172" w:rsidTr="00047172">
        <w:trPr>
          <w:jc w:val="center"/>
        </w:trPr>
        <w:tc>
          <w:tcPr>
            <w:tcW w:w="479" w:type="pct"/>
          </w:tcPr>
          <w:p w:rsidR="005656CC" w:rsidRPr="00047172" w:rsidRDefault="005656CC" w:rsidP="00D868B6">
            <w:pPr>
              <w:snapToGrid w:val="0"/>
              <w:jc w:val="both"/>
              <w:rPr>
                <w:color w:val="000000"/>
                <w:sz w:val="20"/>
                <w:szCs w:val="20"/>
              </w:rPr>
            </w:pPr>
            <w:r w:rsidRPr="00047172">
              <w:rPr>
                <w:color w:val="000000"/>
                <w:sz w:val="20"/>
                <w:szCs w:val="20"/>
              </w:rPr>
              <w:t>2010</w:t>
            </w:r>
          </w:p>
        </w:tc>
        <w:tc>
          <w:tcPr>
            <w:tcW w:w="2202" w:type="pct"/>
          </w:tcPr>
          <w:p w:rsidR="005656CC" w:rsidRPr="00047172" w:rsidRDefault="005656CC" w:rsidP="00D868B6">
            <w:pPr>
              <w:snapToGrid w:val="0"/>
              <w:jc w:val="both"/>
              <w:rPr>
                <w:color w:val="000000"/>
                <w:sz w:val="20"/>
                <w:szCs w:val="20"/>
              </w:rPr>
            </w:pPr>
            <w:r w:rsidRPr="00047172">
              <w:rPr>
                <w:color w:val="000000"/>
                <w:sz w:val="20"/>
                <w:szCs w:val="20"/>
              </w:rPr>
              <w:t>11,75% (Estimated at Dec 2010)</w:t>
            </w:r>
          </w:p>
        </w:tc>
        <w:tc>
          <w:tcPr>
            <w:tcW w:w="1187" w:type="pct"/>
          </w:tcPr>
          <w:p w:rsidR="005656CC" w:rsidRPr="00047172" w:rsidRDefault="005656CC" w:rsidP="00D868B6">
            <w:pPr>
              <w:snapToGrid w:val="0"/>
              <w:jc w:val="both"/>
              <w:rPr>
                <w:color w:val="000000"/>
                <w:sz w:val="20"/>
                <w:szCs w:val="20"/>
              </w:rPr>
            </w:pPr>
            <w:r w:rsidRPr="00047172">
              <w:rPr>
                <w:color w:val="000000"/>
                <w:sz w:val="20"/>
                <w:szCs w:val="20"/>
              </w:rPr>
              <w:t>6,5% (expected)</w:t>
            </w:r>
          </w:p>
        </w:tc>
        <w:tc>
          <w:tcPr>
            <w:tcW w:w="1131" w:type="pct"/>
          </w:tcPr>
          <w:p w:rsidR="005656CC" w:rsidRPr="00047172" w:rsidRDefault="005656CC" w:rsidP="00D868B6">
            <w:pPr>
              <w:snapToGrid w:val="0"/>
              <w:jc w:val="both"/>
              <w:rPr>
                <w:color w:val="000000"/>
                <w:sz w:val="20"/>
                <w:szCs w:val="20"/>
              </w:rPr>
            </w:pPr>
            <w:r w:rsidRPr="00047172">
              <w:rPr>
                <w:color w:val="000000"/>
                <w:sz w:val="20"/>
                <w:szCs w:val="20"/>
              </w:rPr>
              <w:t>19.495</w:t>
            </w:r>
          </w:p>
        </w:tc>
      </w:tr>
      <w:tr w:rsidR="005656CC" w:rsidRPr="00047172" w:rsidTr="00047172">
        <w:trPr>
          <w:jc w:val="center"/>
        </w:trPr>
        <w:tc>
          <w:tcPr>
            <w:tcW w:w="479" w:type="pct"/>
          </w:tcPr>
          <w:p w:rsidR="005656CC" w:rsidRPr="00047172" w:rsidRDefault="005656CC" w:rsidP="00D868B6">
            <w:pPr>
              <w:snapToGrid w:val="0"/>
              <w:jc w:val="both"/>
              <w:rPr>
                <w:color w:val="000000"/>
                <w:sz w:val="20"/>
                <w:szCs w:val="20"/>
              </w:rPr>
            </w:pPr>
            <w:r w:rsidRPr="00047172">
              <w:rPr>
                <w:color w:val="000000"/>
                <w:sz w:val="20"/>
                <w:szCs w:val="20"/>
              </w:rPr>
              <w:t>2009</w:t>
            </w:r>
          </w:p>
        </w:tc>
        <w:tc>
          <w:tcPr>
            <w:tcW w:w="2202" w:type="pct"/>
          </w:tcPr>
          <w:p w:rsidR="005656CC" w:rsidRPr="00047172" w:rsidRDefault="005656CC" w:rsidP="00D868B6">
            <w:pPr>
              <w:snapToGrid w:val="0"/>
              <w:jc w:val="both"/>
              <w:rPr>
                <w:color w:val="000000"/>
                <w:sz w:val="20"/>
                <w:szCs w:val="20"/>
              </w:rPr>
            </w:pPr>
            <w:r w:rsidRPr="00047172">
              <w:rPr>
                <w:color w:val="000000"/>
                <w:sz w:val="20"/>
                <w:szCs w:val="20"/>
              </w:rPr>
              <w:t>6,88%</w:t>
            </w:r>
          </w:p>
        </w:tc>
        <w:tc>
          <w:tcPr>
            <w:tcW w:w="1187" w:type="pct"/>
          </w:tcPr>
          <w:p w:rsidR="005656CC" w:rsidRPr="00047172" w:rsidRDefault="005656CC" w:rsidP="00D868B6">
            <w:pPr>
              <w:snapToGrid w:val="0"/>
              <w:jc w:val="both"/>
              <w:rPr>
                <w:color w:val="000000"/>
                <w:sz w:val="20"/>
                <w:szCs w:val="20"/>
              </w:rPr>
            </w:pPr>
            <w:r w:rsidRPr="00047172">
              <w:rPr>
                <w:color w:val="000000"/>
                <w:sz w:val="20"/>
                <w:szCs w:val="20"/>
              </w:rPr>
              <w:t>5,2%</w:t>
            </w:r>
          </w:p>
        </w:tc>
        <w:tc>
          <w:tcPr>
            <w:tcW w:w="1131" w:type="pct"/>
          </w:tcPr>
          <w:p w:rsidR="005656CC" w:rsidRPr="00047172" w:rsidRDefault="005656CC" w:rsidP="00D868B6">
            <w:pPr>
              <w:snapToGrid w:val="0"/>
              <w:jc w:val="both"/>
              <w:rPr>
                <w:color w:val="000000"/>
                <w:sz w:val="20"/>
                <w:szCs w:val="20"/>
              </w:rPr>
            </w:pPr>
            <w:r w:rsidRPr="00047172">
              <w:rPr>
                <w:color w:val="000000"/>
                <w:sz w:val="20"/>
                <w:szCs w:val="20"/>
              </w:rPr>
              <w:t>17.000</w:t>
            </w:r>
          </w:p>
        </w:tc>
      </w:tr>
      <w:tr w:rsidR="005656CC" w:rsidRPr="00047172" w:rsidTr="00047172">
        <w:trPr>
          <w:jc w:val="center"/>
        </w:trPr>
        <w:tc>
          <w:tcPr>
            <w:tcW w:w="479" w:type="pct"/>
          </w:tcPr>
          <w:p w:rsidR="005656CC" w:rsidRPr="00047172" w:rsidRDefault="005656CC" w:rsidP="00D868B6">
            <w:pPr>
              <w:snapToGrid w:val="0"/>
              <w:jc w:val="both"/>
              <w:rPr>
                <w:color w:val="000000"/>
                <w:sz w:val="20"/>
                <w:szCs w:val="20"/>
              </w:rPr>
            </w:pPr>
            <w:r w:rsidRPr="00047172">
              <w:rPr>
                <w:color w:val="000000"/>
                <w:sz w:val="20"/>
                <w:szCs w:val="20"/>
              </w:rPr>
              <w:t>2008</w:t>
            </w:r>
          </w:p>
        </w:tc>
        <w:tc>
          <w:tcPr>
            <w:tcW w:w="2202" w:type="pct"/>
          </w:tcPr>
          <w:p w:rsidR="005656CC" w:rsidRPr="00047172" w:rsidRDefault="005656CC" w:rsidP="00D868B6">
            <w:pPr>
              <w:snapToGrid w:val="0"/>
              <w:jc w:val="both"/>
              <w:rPr>
                <w:color w:val="000000"/>
                <w:sz w:val="20"/>
                <w:szCs w:val="20"/>
              </w:rPr>
            </w:pPr>
            <w:r w:rsidRPr="00047172">
              <w:rPr>
                <w:color w:val="000000"/>
                <w:sz w:val="20"/>
                <w:szCs w:val="20"/>
              </w:rPr>
              <w:t>22%</w:t>
            </w:r>
          </w:p>
        </w:tc>
        <w:tc>
          <w:tcPr>
            <w:tcW w:w="1187" w:type="pct"/>
          </w:tcPr>
          <w:p w:rsidR="005656CC" w:rsidRPr="00047172" w:rsidRDefault="005656CC" w:rsidP="00D868B6">
            <w:pPr>
              <w:snapToGrid w:val="0"/>
              <w:jc w:val="both"/>
              <w:rPr>
                <w:color w:val="000000"/>
                <w:sz w:val="20"/>
                <w:szCs w:val="20"/>
              </w:rPr>
            </w:pPr>
            <w:r w:rsidRPr="00047172">
              <w:rPr>
                <w:color w:val="000000"/>
                <w:sz w:val="20"/>
                <w:szCs w:val="20"/>
              </w:rPr>
              <w:t>6,23%</w:t>
            </w:r>
          </w:p>
        </w:tc>
        <w:tc>
          <w:tcPr>
            <w:tcW w:w="1131" w:type="pct"/>
          </w:tcPr>
          <w:p w:rsidR="005656CC" w:rsidRPr="00047172" w:rsidRDefault="005656CC" w:rsidP="00D868B6">
            <w:pPr>
              <w:snapToGrid w:val="0"/>
              <w:jc w:val="both"/>
              <w:rPr>
                <w:color w:val="000000"/>
                <w:sz w:val="20"/>
                <w:szCs w:val="20"/>
              </w:rPr>
            </w:pPr>
            <w:r w:rsidRPr="00047172">
              <w:rPr>
                <w:color w:val="000000"/>
                <w:sz w:val="20"/>
                <w:szCs w:val="20"/>
              </w:rPr>
              <w:t>17.700</w:t>
            </w:r>
          </w:p>
        </w:tc>
      </w:tr>
      <w:tr w:rsidR="005656CC" w:rsidRPr="00047172" w:rsidTr="00047172">
        <w:trPr>
          <w:jc w:val="center"/>
        </w:trPr>
        <w:tc>
          <w:tcPr>
            <w:tcW w:w="479" w:type="pct"/>
          </w:tcPr>
          <w:p w:rsidR="005656CC" w:rsidRPr="00047172" w:rsidRDefault="005656CC" w:rsidP="00D868B6">
            <w:pPr>
              <w:snapToGrid w:val="0"/>
              <w:jc w:val="both"/>
              <w:rPr>
                <w:color w:val="000000"/>
                <w:sz w:val="20"/>
                <w:szCs w:val="20"/>
              </w:rPr>
            </w:pPr>
            <w:r w:rsidRPr="00047172">
              <w:rPr>
                <w:color w:val="000000"/>
                <w:sz w:val="20"/>
                <w:szCs w:val="20"/>
              </w:rPr>
              <w:t>2007</w:t>
            </w:r>
          </w:p>
        </w:tc>
        <w:tc>
          <w:tcPr>
            <w:tcW w:w="2202" w:type="pct"/>
          </w:tcPr>
          <w:p w:rsidR="005656CC" w:rsidRPr="00047172" w:rsidRDefault="005656CC" w:rsidP="00D868B6">
            <w:pPr>
              <w:snapToGrid w:val="0"/>
              <w:jc w:val="both"/>
              <w:rPr>
                <w:color w:val="000000"/>
                <w:sz w:val="20"/>
                <w:szCs w:val="20"/>
              </w:rPr>
            </w:pPr>
            <w:r w:rsidRPr="00047172">
              <w:rPr>
                <w:color w:val="000000"/>
                <w:sz w:val="20"/>
                <w:szCs w:val="20"/>
              </w:rPr>
              <w:t>12,63%</w:t>
            </w:r>
          </w:p>
        </w:tc>
        <w:tc>
          <w:tcPr>
            <w:tcW w:w="1187" w:type="pct"/>
          </w:tcPr>
          <w:p w:rsidR="005656CC" w:rsidRPr="00047172" w:rsidRDefault="005656CC" w:rsidP="00D868B6">
            <w:pPr>
              <w:snapToGrid w:val="0"/>
              <w:jc w:val="both"/>
              <w:rPr>
                <w:color w:val="000000"/>
                <w:sz w:val="20"/>
                <w:szCs w:val="20"/>
              </w:rPr>
            </w:pPr>
            <w:r w:rsidRPr="00047172">
              <w:rPr>
                <w:color w:val="000000"/>
                <w:sz w:val="20"/>
                <w:szCs w:val="20"/>
              </w:rPr>
              <w:t>8,44%</w:t>
            </w:r>
          </w:p>
        </w:tc>
        <w:tc>
          <w:tcPr>
            <w:tcW w:w="1131" w:type="pct"/>
          </w:tcPr>
          <w:p w:rsidR="005656CC" w:rsidRPr="00047172" w:rsidRDefault="005656CC" w:rsidP="00D868B6">
            <w:pPr>
              <w:snapToGrid w:val="0"/>
              <w:jc w:val="both"/>
              <w:rPr>
                <w:color w:val="000000"/>
                <w:sz w:val="20"/>
                <w:szCs w:val="20"/>
              </w:rPr>
            </w:pPr>
            <w:r w:rsidRPr="00047172">
              <w:rPr>
                <w:color w:val="000000"/>
                <w:sz w:val="20"/>
                <w:szCs w:val="20"/>
              </w:rPr>
              <w:t>16.132</w:t>
            </w:r>
          </w:p>
        </w:tc>
      </w:tr>
      <w:tr w:rsidR="005656CC" w:rsidRPr="00047172" w:rsidTr="00047172">
        <w:trPr>
          <w:jc w:val="center"/>
        </w:trPr>
        <w:tc>
          <w:tcPr>
            <w:tcW w:w="479" w:type="pct"/>
          </w:tcPr>
          <w:p w:rsidR="005656CC" w:rsidRPr="00047172" w:rsidRDefault="005656CC" w:rsidP="00D868B6">
            <w:pPr>
              <w:snapToGrid w:val="0"/>
              <w:jc w:val="both"/>
              <w:rPr>
                <w:color w:val="000000"/>
                <w:sz w:val="20"/>
                <w:szCs w:val="20"/>
              </w:rPr>
            </w:pPr>
            <w:r w:rsidRPr="00047172">
              <w:rPr>
                <w:color w:val="000000"/>
                <w:sz w:val="20"/>
                <w:szCs w:val="20"/>
              </w:rPr>
              <w:t>2006</w:t>
            </w:r>
          </w:p>
        </w:tc>
        <w:tc>
          <w:tcPr>
            <w:tcW w:w="2202" w:type="pct"/>
          </w:tcPr>
          <w:p w:rsidR="005656CC" w:rsidRPr="00047172" w:rsidRDefault="005656CC" w:rsidP="00D868B6">
            <w:pPr>
              <w:snapToGrid w:val="0"/>
              <w:jc w:val="both"/>
              <w:rPr>
                <w:color w:val="000000"/>
                <w:sz w:val="20"/>
                <w:szCs w:val="20"/>
              </w:rPr>
            </w:pPr>
            <w:r w:rsidRPr="00047172">
              <w:rPr>
                <w:color w:val="000000"/>
                <w:sz w:val="20"/>
                <w:szCs w:val="20"/>
              </w:rPr>
              <w:t>6,6%</w:t>
            </w:r>
          </w:p>
        </w:tc>
        <w:tc>
          <w:tcPr>
            <w:tcW w:w="1187" w:type="pct"/>
          </w:tcPr>
          <w:p w:rsidR="005656CC" w:rsidRPr="00047172" w:rsidRDefault="005656CC" w:rsidP="00D868B6">
            <w:pPr>
              <w:snapToGrid w:val="0"/>
              <w:jc w:val="both"/>
              <w:rPr>
                <w:color w:val="000000"/>
                <w:sz w:val="20"/>
                <w:szCs w:val="20"/>
              </w:rPr>
            </w:pPr>
            <w:r w:rsidRPr="00047172">
              <w:rPr>
                <w:color w:val="000000"/>
                <w:sz w:val="20"/>
                <w:szCs w:val="20"/>
              </w:rPr>
              <w:t>8,17%</w:t>
            </w:r>
          </w:p>
        </w:tc>
        <w:tc>
          <w:tcPr>
            <w:tcW w:w="1131" w:type="pct"/>
          </w:tcPr>
          <w:p w:rsidR="005656CC" w:rsidRPr="00047172" w:rsidRDefault="005656CC" w:rsidP="00D868B6">
            <w:pPr>
              <w:snapToGrid w:val="0"/>
              <w:jc w:val="both"/>
              <w:rPr>
                <w:color w:val="000000"/>
                <w:sz w:val="20"/>
                <w:szCs w:val="20"/>
              </w:rPr>
            </w:pPr>
          </w:p>
        </w:tc>
      </w:tr>
      <w:tr w:rsidR="005656CC" w:rsidRPr="00047172" w:rsidTr="00047172">
        <w:trPr>
          <w:jc w:val="center"/>
        </w:trPr>
        <w:tc>
          <w:tcPr>
            <w:tcW w:w="479" w:type="pct"/>
          </w:tcPr>
          <w:p w:rsidR="005656CC" w:rsidRPr="00047172" w:rsidRDefault="005656CC" w:rsidP="00D868B6">
            <w:pPr>
              <w:snapToGrid w:val="0"/>
              <w:jc w:val="both"/>
              <w:rPr>
                <w:color w:val="000000"/>
                <w:sz w:val="20"/>
                <w:szCs w:val="20"/>
              </w:rPr>
            </w:pPr>
            <w:r w:rsidRPr="00047172">
              <w:rPr>
                <w:color w:val="000000"/>
                <w:sz w:val="20"/>
                <w:szCs w:val="20"/>
              </w:rPr>
              <w:t>2005</w:t>
            </w:r>
          </w:p>
        </w:tc>
        <w:tc>
          <w:tcPr>
            <w:tcW w:w="2202" w:type="pct"/>
          </w:tcPr>
          <w:p w:rsidR="005656CC" w:rsidRPr="00047172" w:rsidRDefault="005656CC" w:rsidP="00D868B6">
            <w:pPr>
              <w:snapToGrid w:val="0"/>
              <w:jc w:val="both"/>
              <w:rPr>
                <w:color w:val="000000"/>
                <w:sz w:val="20"/>
                <w:szCs w:val="20"/>
              </w:rPr>
            </w:pPr>
            <w:r w:rsidRPr="00047172">
              <w:rPr>
                <w:color w:val="000000"/>
                <w:sz w:val="20"/>
                <w:szCs w:val="20"/>
              </w:rPr>
              <w:t>8,4%</w:t>
            </w:r>
          </w:p>
        </w:tc>
        <w:tc>
          <w:tcPr>
            <w:tcW w:w="1187" w:type="pct"/>
          </w:tcPr>
          <w:p w:rsidR="005656CC" w:rsidRPr="00047172" w:rsidRDefault="005656CC" w:rsidP="00D868B6">
            <w:pPr>
              <w:snapToGrid w:val="0"/>
              <w:jc w:val="both"/>
              <w:rPr>
                <w:color w:val="000000"/>
                <w:sz w:val="20"/>
                <w:szCs w:val="20"/>
              </w:rPr>
            </w:pPr>
          </w:p>
        </w:tc>
        <w:tc>
          <w:tcPr>
            <w:tcW w:w="1131" w:type="pct"/>
          </w:tcPr>
          <w:p w:rsidR="005656CC" w:rsidRPr="00047172" w:rsidRDefault="005656CC" w:rsidP="00D868B6">
            <w:pPr>
              <w:snapToGrid w:val="0"/>
              <w:jc w:val="both"/>
              <w:rPr>
                <w:color w:val="000000"/>
                <w:sz w:val="20"/>
                <w:szCs w:val="20"/>
              </w:rPr>
            </w:pPr>
          </w:p>
        </w:tc>
      </w:tr>
      <w:tr w:rsidR="005656CC" w:rsidRPr="00047172" w:rsidTr="00047172">
        <w:trPr>
          <w:jc w:val="center"/>
        </w:trPr>
        <w:tc>
          <w:tcPr>
            <w:tcW w:w="479" w:type="pct"/>
          </w:tcPr>
          <w:p w:rsidR="005656CC" w:rsidRPr="00047172" w:rsidRDefault="005656CC" w:rsidP="00D868B6">
            <w:pPr>
              <w:snapToGrid w:val="0"/>
              <w:jc w:val="both"/>
              <w:rPr>
                <w:color w:val="000000"/>
                <w:sz w:val="20"/>
                <w:szCs w:val="20"/>
              </w:rPr>
            </w:pPr>
            <w:r w:rsidRPr="00047172">
              <w:rPr>
                <w:color w:val="000000"/>
                <w:sz w:val="20"/>
                <w:szCs w:val="20"/>
              </w:rPr>
              <w:t>Note</w:t>
            </w:r>
          </w:p>
        </w:tc>
        <w:tc>
          <w:tcPr>
            <w:tcW w:w="4521" w:type="pct"/>
            <w:gridSpan w:val="3"/>
          </w:tcPr>
          <w:p w:rsidR="005656CC" w:rsidRPr="00047172" w:rsidRDefault="005656CC" w:rsidP="00D868B6">
            <w:pPr>
              <w:snapToGrid w:val="0"/>
              <w:jc w:val="both"/>
              <w:rPr>
                <w:color w:val="000000"/>
                <w:sz w:val="20"/>
                <w:szCs w:val="20"/>
              </w:rPr>
            </w:pPr>
            <w:r w:rsidRPr="00047172">
              <w:rPr>
                <w:color w:val="000000"/>
                <w:sz w:val="20"/>
                <w:szCs w:val="20"/>
              </w:rPr>
              <w:t>approximately</w:t>
            </w:r>
          </w:p>
        </w:tc>
      </w:tr>
    </w:tbl>
    <w:p w:rsidR="005656CC" w:rsidRDefault="005656CC" w:rsidP="00D868B6">
      <w:pPr>
        <w:snapToGrid w:val="0"/>
        <w:ind w:left="425" w:hanging="425"/>
        <w:jc w:val="both"/>
        <w:rPr>
          <w:rFonts w:eastAsiaTheme="minorEastAsia"/>
          <w:sz w:val="20"/>
          <w:szCs w:val="20"/>
          <w:lang w:eastAsia="zh-CN"/>
        </w:rPr>
      </w:pPr>
    </w:p>
    <w:p w:rsidR="00B42709" w:rsidRDefault="00B42709" w:rsidP="00D868B6">
      <w:pPr>
        <w:snapToGrid w:val="0"/>
        <w:ind w:left="425" w:hanging="425"/>
        <w:jc w:val="both"/>
        <w:rPr>
          <w:rFonts w:eastAsiaTheme="minorEastAsia"/>
          <w:sz w:val="20"/>
          <w:szCs w:val="20"/>
          <w:lang w:eastAsia="zh-CN"/>
        </w:rPr>
      </w:pPr>
    </w:p>
    <w:p w:rsidR="00B42709" w:rsidRDefault="00B42709" w:rsidP="00D868B6">
      <w:pPr>
        <w:snapToGrid w:val="0"/>
        <w:ind w:left="425" w:hanging="425"/>
        <w:jc w:val="both"/>
        <w:rPr>
          <w:rFonts w:eastAsiaTheme="minorEastAsia"/>
          <w:sz w:val="20"/>
          <w:szCs w:val="20"/>
          <w:lang w:eastAsia="zh-CN"/>
        </w:rPr>
      </w:pPr>
    </w:p>
    <w:p w:rsidR="00B42709" w:rsidRDefault="00B42709" w:rsidP="00D868B6">
      <w:pPr>
        <w:snapToGrid w:val="0"/>
        <w:ind w:left="425" w:hanging="425"/>
        <w:jc w:val="both"/>
        <w:rPr>
          <w:rFonts w:eastAsiaTheme="minorEastAsia"/>
          <w:sz w:val="20"/>
          <w:szCs w:val="20"/>
          <w:lang w:eastAsia="zh-CN"/>
        </w:rPr>
      </w:pPr>
    </w:p>
    <w:p w:rsidR="00B42709" w:rsidRDefault="00B42709" w:rsidP="00D868B6">
      <w:pPr>
        <w:snapToGrid w:val="0"/>
        <w:ind w:left="425" w:hanging="425"/>
        <w:jc w:val="both"/>
        <w:rPr>
          <w:rFonts w:eastAsiaTheme="minorEastAsia"/>
          <w:sz w:val="20"/>
          <w:szCs w:val="20"/>
          <w:lang w:eastAsia="zh-CN"/>
        </w:rPr>
      </w:pPr>
    </w:p>
    <w:p w:rsidR="00B42709" w:rsidRPr="00B42709" w:rsidRDefault="00B42709" w:rsidP="00D868B6">
      <w:pPr>
        <w:snapToGrid w:val="0"/>
        <w:ind w:left="425" w:hanging="425"/>
        <w:jc w:val="both"/>
        <w:rPr>
          <w:rFonts w:eastAsiaTheme="minorEastAsia"/>
          <w:sz w:val="20"/>
          <w:szCs w:val="20"/>
          <w:lang w:eastAsia="zh-CN"/>
        </w:rPr>
      </w:pPr>
    </w:p>
    <w:p w:rsidR="005656CC" w:rsidRPr="00047172" w:rsidRDefault="005656CC" w:rsidP="00D868B6">
      <w:pPr>
        <w:autoSpaceDE w:val="0"/>
        <w:autoSpaceDN w:val="0"/>
        <w:adjustRightInd w:val="0"/>
        <w:snapToGrid w:val="0"/>
        <w:ind w:firstLine="425"/>
        <w:jc w:val="both"/>
        <w:rPr>
          <w:sz w:val="20"/>
          <w:szCs w:val="20"/>
        </w:rPr>
      </w:pPr>
      <w:proofErr w:type="gramStart"/>
      <w:r w:rsidRPr="00047172">
        <w:rPr>
          <w:sz w:val="20"/>
          <w:szCs w:val="20"/>
          <w:lang w:val="en-US"/>
        </w:rPr>
        <w:t>Appendix</w:t>
      </w:r>
      <w:r w:rsidRPr="00047172">
        <w:rPr>
          <w:sz w:val="20"/>
          <w:szCs w:val="20"/>
        </w:rPr>
        <w:t xml:space="preserve"> 4</w:t>
      </w:r>
      <w:r w:rsidRPr="00047172">
        <w:rPr>
          <w:sz w:val="20"/>
          <w:szCs w:val="20"/>
          <w:lang w:val="en-US"/>
        </w:rPr>
        <w:t>.</w:t>
      </w:r>
      <w:proofErr w:type="gramEnd"/>
      <w:r w:rsidR="00B42709">
        <w:rPr>
          <w:sz w:val="20"/>
          <w:szCs w:val="20"/>
        </w:rPr>
        <w:t xml:space="preserve"> </w:t>
      </w:r>
      <w:r w:rsidRPr="00047172">
        <w:rPr>
          <w:sz w:val="20"/>
          <w:szCs w:val="20"/>
        </w:rPr>
        <w:t xml:space="preserve">Increase/decrease risk level of listed </w:t>
      </w:r>
      <w:r w:rsidR="00CD73FB" w:rsidRPr="00047172">
        <w:rPr>
          <w:sz w:val="20"/>
          <w:szCs w:val="20"/>
          <w:lang w:val="en-US"/>
        </w:rPr>
        <w:t>hotel and entertainment</w:t>
      </w:r>
      <w:r w:rsidRPr="00047172">
        <w:rPr>
          <w:sz w:val="20"/>
          <w:szCs w:val="20"/>
        </w:rPr>
        <w:t xml:space="preserve"> industry firms under changing scenarios of leverage</w:t>
      </w:r>
      <w:r w:rsidR="00B42709">
        <w:rPr>
          <w:sz w:val="20"/>
          <w:szCs w:val="20"/>
        </w:rPr>
        <w:t>:</w:t>
      </w:r>
      <w:r w:rsidRPr="00047172">
        <w:rPr>
          <w:sz w:val="20"/>
          <w:szCs w:val="20"/>
        </w:rPr>
        <w:t xml:space="preserve"> in 2011 F.S reports, 30% up, 20% down in the period 2009 - 2011</w:t>
      </w:r>
    </w:p>
    <w:p w:rsidR="00047172" w:rsidRPr="00047172" w:rsidRDefault="00047172" w:rsidP="00D868B6">
      <w:pPr>
        <w:snapToGrid w:val="0"/>
        <w:ind w:left="425" w:hanging="425"/>
        <w:jc w:val="both"/>
        <w:rPr>
          <w:rFonts w:eastAsiaTheme="minorEastAsia"/>
          <w:sz w:val="20"/>
          <w:szCs w:val="20"/>
          <w:lang w:eastAsia="zh-CN"/>
        </w:rPr>
      </w:pPr>
    </w:p>
    <w:tbl>
      <w:tblPr>
        <w:tblW w:w="5000" w:type="pct"/>
        <w:jc w:val="center"/>
        <w:tblLook w:val="0000"/>
      </w:tblPr>
      <w:tblGrid>
        <w:gridCol w:w="1094"/>
        <w:gridCol w:w="1100"/>
        <w:gridCol w:w="1211"/>
        <w:gridCol w:w="1089"/>
        <w:gridCol w:w="1300"/>
        <w:gridCol w:w="1242"/>
        <w:gridCol w:w="1300"/>
        <w:gridCol w:w="1240"/>
      </w:tblGrid>
      <w:tr w:rsidR="00CD73FB" w:rsidRPr="00047172" w:rsidTr="00047172">
        <w:trPr>
          <w:cantSplit/>
          <w:jc w:val="center"/>
        </w:trPr>
        <w:tc>
          <w:tcPr>
            <w:tcW w:w="4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Order No.</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868B6" w:rsidRPr="00047172" w:rsidRDefault="00CD73FB" w:rsidP="00D868B6">
            <w:pPr>
              <w:snapToGrid w:val="0"/>
              <w:jc w:val="both"/>
              <w:rPr>
                <w:rFonts w:eastAsiaTheme="minorEastAsia"/>
                <w:b/>
                <w:bCs/>
                <w:color w:val="000000"/>
                <w:sz w:val="20"/>
                <w:szCs w:val="20"/>
                <w:lang w:val="vi-VN" w:eastAsia="zh-CN" w:bidi="th-TH"/>
              </w:rPr>
            </w:pPr>
            <w:r w:rsidRPr="00047172">
              <w:rPr>
                <w:rFonts w:eastAsia="MS Mincho"/>
                <w:b/>
                <w:bCs/>
                <w:color w:val="000000"/>
                <w:sz w:val="20"/>
                <w:szCs w:val="20"/>
                <w:lang w:val="vi-VN" w:eastAsia="ja-JP" w:bidi="th-TH"/>
              </w:rPr>
              <w:t xml:space="preserve">Company </w:t>
            </w:r>
          </w:p>
          <w:p w:rsidR="00CD73FB" w:rsidRPr="00047172" w:rsidRDefault="00CD73FB"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stock code</w:t>
            </w:r>
          </w:p>
        </w:tc>
        <w:tc>
          <w:tcPr>
            <w:tcW w:w="980" w:type="pct"/>
            <w:gridSpan w:val="2"/>
            <w:tcBorders>
              <w:top w:val="single" w:sz="4" w:space="0" w:color="auto"/>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FL keep as in F.S report</w:t>
            </w:r>
          </w:p>
        </w:tc>
        <w:tc>
          <w:tcPr>
            <w:tcW w:w="1543" w:type="pct"/>
            <w:gridSpan w:val="2"/>
            <w:tcBorders>
              <w:top w:val="single" w:sz="4" w:space="0" w:color="auto"/>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FL 30% up</w:t>
            </w:r>
          </w:p>
        </w:tc>
        <w:tc>
          <w:tcPr>
            <w:tcW w:w="1543" w:type="pct"/>
            <w:gridSpan w:val="2"/>
            <w:tcBorders>
              <w:top w:val="single" w:sz="4" w:space="0" w:color="auto"/>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FL 20% down</w:t>
            </w:r>
          </w:p>
        </w:tc>
      </w:tr>
      <w:tr w:rsidR="00CD73FB" w:rsidRPr="00047172" w:rsidTr="00047172">
        <w:trPr>
          <w:cantSplit/>
          <w:jc w:val="center"/>
        </w:trPr>
        <w:tc>
          <w:tcPr>
            <w:tcW w:w="466" w:type="pct"/>
            <w:vMerge/>
            <w:tcBorders>
              <w:top w:val="single" w:sz="4" w:space="0" w:color="auto"/>
              <w:left w:val="single" w:sz="4" w:space="0" w:color="auto"/>
              <w:bottom w:val="single" w:sz="4" w:space="0" w:color="auto"/>
              <w:right w:val="single" w:sz="4" w:space="0" w:color="auto"/>
            </w:tcBorders>
            <w:vAlign w:val="center"/>
          </w:tcPr>
          <w:p w:rsidR="00CD73FB" w:rsidRPr="00047172" w:rsidRDefault="00CD73FB" w:rsidP="00D868B6">
            <w:pPr>
              <w:snapToGrid w:val="0"/>
              <w:jc w:val="both"/>
              <w:rPr>
                <w:rFonts w:eastAsia="MS Mincho"/>
                <w:b/>
                <w:bCs/>
                <w:color w:val="000000"/>
                <w:sz w:val="20"/>
                <w:szCs w:val="20"/>
                <w:lang w:val="vi-VN" w:eastAsia="ja-JP" w:bidi="th-TH"/>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CD73FB" w:rsidRPr="00047172" w:rsidRDefault="00CD73FB" w:rsidP="00D868B6">
            <w:pPr>
              <w:snapToGrid w:val="0"/>
              <w:jc w:val="both"/>
              <w:rPr>
                <w:rFonts w:eastAsia="MS Mincho"/>
                <w:b/>
                <w:bCs/>
                <w:color w:val="000000"/>
                <w:sz w:val="20"/>
                <w:szCs w:val="20"/>
                <w:lang w:val="vi-VN" w:eastAsia="ja-JP" w:bidi="th-TH"/>
              </w:rPr>
            </w:pPr>
          </w:p>
        </w:tc>
        <w:tc>
          <w:tcPr>
            <w:tcW w:w="516"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Equity beta</w:t>
            </w:r>
          </w:p>
        </w:tc>
        <w:tc>
          <w:tcPr>
            <w:tcW w:w="464"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Asset beta</w:t>
            </w:r>
          </w:p>
        </w:tc>
        <w:tc>
          <w:tcPr>
            <w:tcW w:w="771" w:type="pct"/>
            <w:tcBorders>
              <w:top w:val="nil"/>
              <w:left w:val="nil"/>
              <w:bottom w:val="single" w:sz="4" w:space="0" w:color="auto"/>
              <w:right w:val="single" w:sz="4" w:space="0" w:color="auto"/>
            </w:tcBorders>
            <w:shd w:val="clear" w:color="auto" w:fill="auto"/>
            <w:noWrap/>
            <w:vAlign w:val="center"/>
          </w:tcPr>
          <w:p w:rsidR="00047172" w:rsidRDefault="00CD73FB" w:rsidP="00D868B6">
            <w:pPr>
              <w:snapToGrid w:val="0"/>
              <w:jc w:val="both"/>
              <w:rPr>
                <w:rFonts w:eastAsiaTheme="minorEastAsia"/>
                <w:b/>
                <w:bCs/>
                <w:color w:val="000000"/>
                <w:sz w:val="20"/>
                <w:szCs w:val="20"/>
                <w:lang w:val="vi-VN" w:eastAsia="zh-CN" w:bidi="th-TH"/>
              </w:rPr>
            </w:pPr>
            <w:r w:rsidRPr="00047172">
              <w:rPr>
                <w:rFonts w:eastAsia="MS Mincho"/>
                <w:b/>
                <w:bCs/>
                <w:color w:val="000000"/>
                <w:sz w:val="20"/>
                <w:szCs w:val="20"/>
                <w:lang w:val="vi-VN" w:eastAsia="ja-JP" w:bidi="th-TH"/>
              </w:rPr>
              <w:t>Increase</w:t>
            </w:r>
            <w:r w:rsidRPr="00047172">
              <w:rPr>
                <w:rFonts w:eastAsia="MS Mincho"/>
                <w:b/>
                <w:bCs/>
                <w:color w:val="000000"/>
                <w:sz w:val="20"/>
                <w:szCs w:val="20"/>
                <w:lang w:val="en-US" w:eastAsia="ja-JP" w:bidi="th-TH"/>
              </w:rPr>
              <w:t xml:space="preserve"> </w:t>
            </w:r>
            <w:r w:rsidRPr="00047172">
              <w:rPr>
                <w:rFonts w:eastAsia="MS Mincho"/>
                <w:b/>
                <w:bCs/>
                <w:color w:val="000000"/>
                <w:sz w:val="20"/>
                <w:szCs w:val="20"/>
                <w:lang w:val="vi-VN" w:eastAsia="ja-JP" w:bidi="th-TH"/>
              </w:rPr>
              <w:t>/</w:t>
            </w:r>
          </w:p>
          <w:p w:rsidR="00D868B6" w:rsidRPr="00047172" w:rsidRDefault="00CD73FB" w:rsidP="00D868B6">
            <w:pPr>
              <w:snapToGrid w:val="0"/>
              <w:jc w:val="both"/>
              <w:rPr>
                <w:rFonts w:eastAsiaTheme="minorEastAsia"/>
                <w:b/>
                <w:bCs/>
                <w:color w:val="000000"/>
                <w:sz w:val="20"/>
                <w:szCs w:val="20"/>
                <w:lang w:val="vi-VN" w:eastAsia="zh-CN" w:bidi="th-TH"/>
              </w:rPr>
            </w:pPr>
            <w:r w:rsidRPr="00047172">
              <w:rPr>
                <w:rFonts w:eastAsia="MS Mincho"/>
                <w:b/>
                <w:bCs/>
                <w:color w:val="000000"/>
                <w:sz w:val="20"/>
                <w:szCs w:val="20"/>
                <w:lang w:val="vi-VN" w:eastAsia="ja-JP" w:bidi="th-TH"/>
              </w:rPr>
              <w:t xml:space="preserve">Decrease </w:t>
            </w:r>
          </w:p>
          <w:p w:rsidR="00CD73FB" w:rsidRPr="00047172" w:rsidRDefault="00CD73FB"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(equity beta)</w:t>
            </w:r>
          </w:p>
        </w:tc>
        <w:tc>
          <w:tcPr>
            <w:tcW w:w="771" w:type="pct"/>
            <w:tcBorders>
              <w:top w:val="nil"/>
              <w:left w:val="nil"/>
              <w:bottom w:val="single" w:sz="4" w:space="0" w:color="auto"/>
              <w:right w:val="single" w:sz="4" w:space="0" w:color="auto"/>
            </w:tcBorders>
            <w:shd w:val="clear" w:color="auto" w:fill="auto"/>
            <w:noWrap/>
            <w:vAlign w:val="center"/>
          </w:tcPr>
          <w:p w:rsidR="00047172" w:rsidRDefault="00CD73FB" w:rsidP="00D868B6">
            <w:pPr>
              <w:snapToGrid w:val="0"/>
              <w:jc w:val="both"/>
              <w:rPr>
                <w:rFonts w:eastAsiaTheme="minorEastAsia"/>
                <w:b/>
                <w:bCs/>
                <w:color w:val="000000"/>
                <w:sz w:val="20"/>
                <w:szCs w:val="20"/>
                <w:lang w:val="vi-VN" w:eastAsia="zh-CN" w:bidi="th-TH"/>
              </w:rPr>
            </w:pPr>
            <w:r w:rsidRPr="00047172">
              <w:rPr>
                <w:rFonts w:eastAsia="MS Mincho"/>
                <w:b/>
                <w:bCs/>
                <w:color w:val="000000"/>
                <w:sz w:val="20"/>
                <w:szCs w:val="20"/>
                <w:lang w:val="vi-VN" w:eastAsia="ja-JP" w:bidi="th-TH"/>
              </w:rPr>
              <w:t>Increase</w:t>
            </w:r>
            <w:r w:rsidRPr="00047172">
              <w:rPr>
                <w:rFonts w:eastAsia="MS Mincho"/>
                <w:b/>
                <w:bCs/>
                <w:color w:val="000000"/>
                <w:sz w:val="20"/>
                <w:szCs w:val="20"/>
                <w:lang w:val="en-US" w:eastAsia="ja-JP" w:bidi="th-TH"/>
              </w:rPr>
              <w:t xml:space="preserve"> </w:t>
            </w:r>
            <w:r w:rsidRPr="00047172">
              <w:rPr>
                <w:rFonts w:eastAsia="MS Mincho"/>
                <w:b/>
                <w:bCs/>
                <w:color w:val="000000"/>
                <w:sz w:val="20"/>
                <w:szCs w:val="20"/>
                <w:lang w:val="vi-VN" w:eastAsia="ja-JP" w:bidi="th-TH"/>
              </w:rPr>
              <w:t>/</w:t>
            </w:r>
          </w:p>
          <w:p w:rsidR="00D868B6" w:rsidRPr="00047172" w:rsidRDefault="00CD73FB" w:rsidP="00D868B6">
            <w:pPr>
              <w:snapToGrid w:val="0"/>
              <w:jc w:val="both"/>
              <w:rPr>
                <w:rFonts w:eastAsiaTheme="minorEastAsia"/>
                <w:b/>
                <w:bCs/>
                <w:color w:val="000000"/>
                <w:sz w:val="20"/>
                <w:szCs w:val="20"/>
                <w:lang w:val="vi-VN" w:eastAsia="zh-CN" w:bidi="th-TH"/>
              </w:rPr>
            </w:pPr>
            <w:r w:rsidRPr="00047172">
              <w:rPr>
                <w:rFonts w:eastAsia="MS Mincho"/>
                <w:b/>
                <w:bCs/>
                <w:color w:val="000000"/>
                <w:sz w:val="20"/>
                <w:szCs w:val="20"/>
                <w:lang w:val="vi-VN" w:eastAsia="ja-JP" w:bidi="th-TH"/>
              </w:rPr>
              <w:t xml:space="preserve">Decrease </w:t>
            </w:r>
          </w:p>
          <w:p w:rsidR="00CD73FB" w:rsidRPr="00047172" w:rsidRDefault="00CD73FB"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(asset beta)</w:t>
            </w:r>
          </w:p>
        </w:tc>
        <w:tc>
          <w:tcPr>
            <w:tcW w:w="771" w:type="pct"/>
            <w:tcBorders>
              <w:top w:val="nil"/>
              <w:left w:val="nil"/>
              <w:bottom w:val="single" w:sz="4" w:space="0" w:color="auto"/>
              <w:right w:val="single" w:sz="4" w:space="0" w:color="auto"/>
            </w:tcBorders>
            <w:shd w:val="clear" w:color="auto" w:fill="auto"/>
            <w:noWrap/>
            <w:vAlign w:val="center"/>
          </w:tcPr>
          <w:p w:rsidR="00047172" w:rsidRDefault="00CD73FB" w:rsidP="00D868B6">
            <w:pPr>
              <w:snapToGrid w:val="0"/>
              <w:jc w:val="both"/>
              <w:rPr>
                <w:rFonts w:eastAsiaTheme="minorEastAsia"/>
                <w:b/>
                <w:bCs/>
                <w:color w:val="000000"/>
                <w:sz w:val="20"/>
                <w:szCs w:val="20"/>
                <w:lang w:val="vi-VN" w:eastAsia="zh-CN" w:bidi="th-TH"/>
              </w:rPr>
            </w:pPr>
            <w:r w:rsidRPr="00047172">
              <w:rPr>
                <w:rFonts w:eastAsia="MS Mincho"/>
                <w:b/>
                <w:bCs/>
                <w:color w:val="000000"/>
                <w:sz w:val="20"/>
                <w:szCs w:val="20"/>
                <w:lang w:val="vi-VN" w:eastAsia="ja-JP" w:bidi="th-TH"/>
              </w:rPr>
              <w:t>Increase</w:t>
            </w:r>
            <w:r w:rsidRPr="00047172">
              <w:rPr>
                <w:rFonts w:eastAsia="MS Mincho"/>
                <w:b/>
                <w:bCs/>
                <w:color w:val="000000"/>
                <w:sz w:val="20"/>
                <w:szCs w:val="20"/>
                <w:lang w:val="en-US" w:eastAsia="ja-JP" w:bidi="th-TH"/>
              </w:rPr>
              <w:t xml:space="preserve"> </w:t>
            </w:r>
            <w:r w:rsidRPr="00047172">
              <w:rPr>
                <w:rFonts w:eastAsia="MS Mincho"/>
                <w:b/>
                <w:bCs/>
                <w:color w:val="000000"/>
                <w:sz w:val="20"/>
                <w:szCs w:val="20"/>
                <w:lang w:val="vi-VN" w:eastAsia="ja-JP" w:bidi="th-TH"/>
              </w:rPr>
              <w:t>/</w:t>
            </w:r>
          </w:p>
          <w:p w:rsidR="00D868B6" w:rsidRPr="00047172" w:rsidRDefault="00CD73FB" w:rsidP="00D868B6">
            <w:pPr>
              <w:snapToGrid w:val="0"/>
              <w:jc w:val="both"/>
              <w:rPr>
                <w:rFonts w:eastAsiaTheme="minorEastAsia"/>
                <w:b/>
                <w:bCs/>
                <w:color w:val="000000"/>
                <w:sz w:val="20"/>
                <w:szCs w:val="20"/>
                <w:lang w:val="vi-VN" w:eastAsia="zh-CN" w:bidi="th-TH"/>
              </w:rPr>
            </w:pPr>
            <w:r w:rsidRPr="00047172">
              <w:rPr>
                <w:rFonts w:eastAsia="MS Mincho"/>
                <w:b/>
                <w:bCs/>
                <w:color w:val="000000"/>
                <w:sz w:val="20"/>
                <w:szCs w:val="20"/>
                <w:lang w:val="vi-VN" w:eastAsia="ja-JP" w:bidi="th-TH"/>
              </w:rPr>
              <w:t xml:space="preserve">Decrease </w:t>
            </w:r>
          </w:p>
          <w:p w:rsidR="00CD73FB" w:rsidRPr="00047172" w:rsidRDefault="00CD73FB"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(equity beta)</w:t>
            </w:r>
          </w:p>
        </w:tc>
        <w:tc>
          <w:tcPr>
            <w:tcW w:w="771" w:type="pct"/>
            <w:tcBorders>
              <w:top w:val="nil"/>
              <w:left w:val="nil"/>
              <w:bottom w:val="single" w:sz="4" w:space="0" w:color="auto"/>
              <w:right w:val="single" w:sz="4" w:space="0" w:color="auto"/>
            </w:tcBorders>
            <w:shd w:val="clear" w:color="auto" w:fill="auto"/>
            <w:noWrap/>
            <w:vAlign w:val="center"/>
          </w:tcPr>
          <w:p w:rsidR="00047172" w:rsidRDefault="00CD73FB" w:rsidP="00D868B6">
            <w:pPr>
              <w:snapToGrid w:val="0"/>
              <w:jc w:val="both"/>
              <w:rPr>
                <w:rFonts w:eastAsiaTheme="minorEastAsia"/>
                <w:b/>
                <w:bCs/>
                <w:color w:val="000000"/>
                <w:sz w:val="20"/>
                <w:szCs w:val="20"/>
                <w:lang w:val="vi-VN" w:eastAsia="zh-CN" w:bidi="th-TH"/>
              </w:rPr>
            </w:pPr>
            <w:r w:rsidRPr="00047172">
              <w:rPr>
                <w:rFonts w:eastAsia="MS Mincho"/>
                <w:b/>
                <w:bCs/>
                <w:color w:val="000000"/>
                <w:sz w:val="20"/>
                <w:szCs w:val="20"/>
                <w:lang w:val="vi-VN" w:eastAsia="ja-JP" w:bidi="th-TH"/>
              </w:rPr>
              <w:t>Increase</w:t>
            </w:r>
            <w:r w:rsidRPr="00047172">
              <w:rPr>
                <w:rFonts w:eastAsia="MS Mincho"/>
                <w:b/>
                <w:bCs/>
                <w:color w:val="000000"/>
                <w:sz w:val="20"/>
                <w:szCs w:val="20"/>
                <w:lang w:val="en-US" w:eastAsia="ja-JP" w:bidi="th-TH"/>
              </w:rPr>
              <w:t xml:space="preserve"> </w:t>
            </w:r>
            <w:r w:rsidRPr="00047172">
              <w:rPr>
                <w:rFonts w:eastAsia="MS Mincho"/>
                <w:b/>
                <w:bCs/>
                <w:color w:val="000000"/>
                <w:sz w:val="20"/>
                <w:szCs w:val="20"/>
                <w:lang w:val="vi-VN" w:eastAsia="ja-JP" w:bidi="th-TH"/>
              </w:rPr>
              <w:t>/</w:t>
            </w:r>
          </w:p>
          <w:p w:rsidR="00D868B6" w:rsidRPr="00047172" w:rsidRDefault="00CD73FB" w:rsidP="00D868B6">
            <w:pPr>
              <w:snapToGrid w:val="0"/>
              <w:jc w:val="both"/>
              <w:rPr>
                <w:rFonts w:eastAsiaTheme="minorEastAsia"/>
                <w:b/>
                <w:bCs/>
                <w:color w:val="000000"/>
                <w:sz w:val="20"/>
                <w:szCs w:val="20"/>
                <w:lang w:val="vi-VN" w:eastAsia="zh-CN" w:bidi="th-TH"/>
              </w:rPr>
            </w:pPr>
            <w:r w:rsidRPr="00047172">
              <w:rPr>
                <w:rFonts w:eastAsia="MS Mincho"/>
                <w:b/>
                <w:bCs/>
                <w:color w:val="000000"/>
                <w:sz w:val="20"/>
                <w:szCs w:val="20"/>
                <w:lang w:val="vi-VN" w:eastAsia="ja-JP" w:bidi="th-TH"/>
              </w:rPr>
              <w:t xml:space="preserve">Decrease </w:t>
            </w:r>
          </w:p>
          <w:p w:rsidR="00CD73FB" w:rsidRPr="00047172" w:rsidRDefault="00CD73FB"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(asset beta)</w:t>
            </w:r>
          </w:p>
        </w:tc>
      </w:tr>
      <w:tr w:rsidR="00CD73FB" w:rsidRPr="00047172" w:rsidTr="00047172">
        <w:trPr>
          <w:cantSplit/>
          <w:jc w:val="center"/>
        </w:trPr>
        <w:tc>
          <w:tcPr>
            <w:tcW w:w="466" w:type="pct"/>
            <w:tcBorders>
              <w:top w:val="nil"/>
              <w:left w:val="single" w:sz="4" w:space="0" w:color="auto"/>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w:t>
            </w:r>
          </w:p>
        </w:tc>
        <w:tc>
          <w:tcPr>
            <w:tcW w:w="469"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DLD</w:t>
            </w:r>
          </w:p>
        </w:tc>
        <w:tc>
          <w:tcPr>
            <w:tcW w:w="516"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0,181</w:t>
            </w:r>
          </w:p>
        </w:tc>
        <w:tc>
          <w:tcPr>
            <w:tcW w:w="464"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0,109</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-0,037</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-0,030</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0,000</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0,022</w:t>
            </w:r>
          </w:p>
        </w:tc>
      </w:tr>
      <w:tr w:rsidR="00CD73FB" w:rsidRPr="00047172" w:rsidTr="00047172">
        <w:trPr>
          <w:cantSplit/>
          <w:jc w:val="center"/>
        </w:trPr>
        <w:tc>
          <w:tcPr>
            <w:tcW w:w="466" w:type="pct"/>
            <w:tcBorders>
              <w:top w:val="nil"/>
              <w:left w:val="single" w:sz="4" w:space="0" w:color="auto"/>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2</w:t>
            </w:r>
          </w:p>
        </w:tc>
        <w:tc>
          <w:tcPr>
            <w:tcW w:w="469"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DXL</w:t>
            </w:r>
          </w:p>
        </w:tc>
        <w:tc>
          <w:tcPr>
            <w:tcW w:w="516"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0,323</w:t>
            </w:r>
          </w:p>
        </w:tc>
        <w:tc>
          <w:tcPr>
            <w:tcW w:w="464"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0,219</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-0,048</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-0,044</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0,000</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0,032</w:t>
            </w:r>
          </w:p>
        </w:tc>
      </w:tr>
      <w:tr w:rsidR="00CD73FB" w:rsidRPr="00047172" w:rsidTr="00047172">
        <w:trPr>
          <w:cantSplit/>
          <w:jc w:val="center"/>
        </w:trPr>
        <w:tc>
          <w:tcPr>
            <w:tcW w:w="466" w:type="pct"/>
            <w:tcBorders>
              <w:top w:val="nil"/>
              <w:left w:val="single" w:sz="4" w:space="0" w:color="auto"/>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3</w:t>
            </w:r>
          </w:p>
        </w:tc>
        <w:tc>
          <w:tcPr>
            <w:tcW w:w="469"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MTC</w:t>
            </w:r>
          </w:p>
        </w:tc>
        <w:tc>
          <w:tcPr>
            <w:tcW w:w="516"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0,386</w:t>
            </w:r>
          </w:p>
        </w:tc>
        <w:tc>
          <w:tcPr>
            <w:tcW w:w="464"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0,374</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-0,004</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-0,006</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0,000</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0,004</w:t>
            </w:r>
          </w:p>
        </w:tc>
      </w:tr>
      <w:tr w:rsidR="00CD73FB" w:rsidRPr="00047172" w:rsidTr="00047172">
        <w:trPr>
          <w:cantSplit/>
          <w:jc w:val="center"/>
        </w:trPr>
        <w:tc>
          <w:tcPr>
            <w:tcW w:w="466" w:type="pct"/>
            <w:tcBorders>
              <w:top w:val="nil"/>
              <w:left w:val="single" w:sz="4" w:space="0" w:color="auto"/>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4</w:t>
            </w:r>
          </w:p>
        </w:tc>
        <w:tc>
          <w:tcPr>
            <w:tcW w:w="469"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OCH</w:t>
            </w:r>
          </w:p>
        </w:tc>
        <w:tc>
          <w:tcPr>
            <w:tcW w:w="516"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1,085</w:t>
            </w:r>
          </w:p>
        </w:tc>
        <w:tc>
          <w:tcPr>
            <w:tcW w:w="464"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0,375</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-0,534</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-0,236</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0,000</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0,211</w:t>
            </w:r>
          </w:p>
        </w:tc>
      </w:tr>
      <w:tr w:rsidR="00CD73FB" w:rsidRPr="00047172" w:rsidTr="00047172">
        <w:trPr>
          <w:cantSplit/>
          <w:jc w:val="center"/>
        </w:trPr>
        <w:tc>
          <w:tcPr>
            <w:tcW w:w="466" w:type="pct"/>
            <w:tcBorders>
              <w:top w:val="nil"/>
              <w:left w:val="single" w:sz="4" w:space="0" w:color="auto"/>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5</w:t>
            </w:r>
          </w:p>
        </w:tc>
        <w:tc>
          <w:tcPr>
            <w:tcW w:w="469"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SGH</w:t>
            </w:r>
          </w:p>
        </w:tc>
        <w:tc>
          <w:tcPr>
            <w:tcW w:w="516"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0,392</w:t>
            </w:r>
          </w:p>
        </w:tc>
        <w:tc>
          <w:tcPr>
            <w:tcW w:w="464"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0,362</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0,000</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-0,009</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0,000</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0,006</w:t>
            </w:r>
          </w:p>
        </w:tc>
      </w:tr>
      <w:tr w:rsidR="00CD73FB" w:rsidRPr="00047172" w:rsidTr="00047172">
        <w:trPr>
          <w:cantSplit/>
          <w:jc w:val="center"/>
        </w:trPr>
        <w:tc>
          <w:tcPr>
            <w:tcW w:w="466" w:type="pct"/>
            <w:tcBorders>
              <w:top w:val="nil"/>
              <w:left w:val="single" w:sz="4" w:space="0" w:color="auto"/>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6</w:t>
            </w:r>
          </w:p>
        </w:tc>
        <w:tc>
          <w:tcPr>
            <w:tcW w:w="469"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VIR</w:t>
            </w:r>
          </w:p>
        </w:tc>
        <w:tc>
          <w:tcPr>
            <w:tcW w:w="516"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0,325</w:t>
            </w:r>
          </w:p>
        </w:tc>
        <w:tc>
          <w:tcPr>
            <w:tcW w:w="464"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0,230</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-0,045</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-0,041</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0,000</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0,030</w:t>
            </w:r>
          </w:p>
        </w:tc>
      </w:tr>
      <w:tr w:rsidR="00CD73FB" w:rsidRPr="00047172" w:rsidTr="00047172">
        <w:trPr>
          <w:cantSplit/>
          <w:jc w:val="center"/>
        </w:trPr>
        <w:tc>
          <w:tcPr>
            <w:tcW w:w="466" w:type="pct"/>
            <w:tcBorders>
              <w:top w:val="nil"/>
              <w:left w:val="single" w:sz="4" w:space="0" w:color="auto"/>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7</w:t>
            </w:r>
          </w:p>
        </w:tc>
        <w:tc>
          <w:tcPr>
            <w:tcW w:w="469"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VNG</w:t>
            </w:r>
          </w:p>
        </w:tc>
        <w:tc>
          <w:tcPr>
            <w:tcW w:w="516"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0,234</w:t>
            </w:r>
          </w:p>
        </w:tc>
        <w:tc>
          <w:tcPr>
            <w:tcW w:w="464"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0,181</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0,000</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-0,033</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0,000</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0,000</w:t>
            </w:r>
          </w:p>
        </w:tc>
      </w:tr>
      <w:tr w:rsidR="00CD73FB" w:rsidRPr="00047172" w:rsidTr="00047172">
        <w:trPr>
          <w:cantSplit/>
          <w:jc w:val="center"/>
        </w:trPr>
        <w:tc>
          <w:tcPr>
            <w:tcW w:w="466" w:type="pct"/>
            <w:tcBorders>
              <w:top w:val="nil"/>
              <w:left w:val="single" w:sz="4" w:space="0" w:color="auto"/>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8</w:t>
            </w:r>
          </w:p>
        </w:tc>
        <w:tc>
          <w:tcPr>
            <w:tcW w:w="469"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DNT</w:t>
            </w:r>
          </w:p>
        </w:tc>
        <w:tc>
          <w:tcPr>
            <w:tcW w:w="516"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-1,072</w:t>
            </w:r>
          </w:p>
        </w:tc>
        <w:tc>
          <w:tcPr>
            <w:tcW w:w="464"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-0,819</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0,000</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0,076</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0,000</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-0,051</w:t>
            </w:r>
          </w:p>
        </w:tc>
      </w:tr>
      <w:tr w:rsidR="00CD73FB" w:rsidRPr="00047172" w:rsidTr="00047172">
        <w:trPr>
          <w:cantSplit/>
          <w:jc w:val="center"/>
        </w:trPr>
        <w:tc>
          <w:tcPr>
            <w:tcW w:w="466" w:type="pct"/>
            <w:tcBorders>
              <w:top w:val="nil"/>
              <w:left w:val="single" w:sz="4" w:space="0" w:color="auto"/>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9</w:t>
            </w:r>
          </w:p>
        </w:tc>
        <w:tc>
          <w:tcPr>
            <w:tcW w:w="469"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DSN</w:t>
            </w:r>
          </w:p>
        </w:tc>
        <w:tc>
          <w:tcPr>
            <w:tcW w:w="516"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0,447</w:t>
            </w:r>
          </w:p>
        </w:tc>
        <w:tc>
          <w:tcPr>
            <w:tcW w:w="464"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0,401</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-0,012</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-0,024</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0,008</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0,016</w:t>
            </w:r>
          </w:p>
        </w:tc>
      </w:tr>
      <w:tr w:rsidR="00CD73FB" w:rsidRPr="00047172" w:rsidTr="00047172">
        <w:trPr>
          <w:cantSplit/>
          <w:jc w:val="center"/>
        </w:trPr>
        <w:tc>
          <w:tcPr>
            <w:tcW w:w="466" w:type="pct"/>
            <w:tcBorders>
              <w:top w:val="nil"/>
              <w:left w:val="single" w:sz="4" w:space="0" w:color="auto"/>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10</w:t>
            </w:r>
          </w:p>
        </w:tc>
        <w:tc>
          <w:tcPr>
            <w:tcW w:w="469"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GTT</w:t>
            </w:r>
          </w:p>
        </w:tc>
        <w:tc>
          <w:tcPr>
            <w:tcW w:w="516"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0,691</w:t>
            </w:r>
          </w:p>
        </w:tc>
        <w:tc>
          <w:tcPr>
            <w:tcW w:w="464"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0,223</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-0,419</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-0,190</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0,252</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0,209</w:t>
            </w:r>
          </w:p>
        </w:tc>
      </w:tr>
      <w:tr w:rsidR="00CD73FB" w:rsidRPr="00047172" w:rsidTr="00047172">
        <w:trPr>
          <w:cantSplit/>
          <w:jc w:val="center"/>
        </w:trPr>
        <w:tc>
          <w:tcPr>
            <w:tcW w:w="466" w:type="pct"/>
            <w:tcBorders>
              <w:top w:val="nil"/>
              <w:left w:val="single" w:sz="4" w:space="0" w:color="auto"/>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11</w:t>
            </w:r>
          </w:p>
        </w:tc>
        <w:tc>
          <w:tcPr>
            <w:tcW w:w="469"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RIC</w:t>
            </w:r>
          </w:p>
        </w:tc>
        <w:tc>
          <w:tcPr>
            <w:tcW w:w="516"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1,779</w:t>
            </w:r>
          </w:p>
        </w:tc>
        <w:tc>
          <w:tcPr>
            <w:tcW w:w="464"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1,434</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0,000</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-0,104</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0,000</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0,069</w:t>
            </w:r>
          </w:p>
        </w:tc>
      </w:tr>
      <w:tr w:rsidR="00CD73FB" w:rsidRPr="00047172" w:rsidTr="00047172">
        <w:trPr>
          <w:cantSplit/>
          <w:jc w:val="center"/>
        </w:trPr>
        <w:tc>
          <w:tcPr>
            <w:tcW w:w="466" w:type="pct"/>
            <w:tcBorders>
              <w:top w:val="nil"/>
              <w:left w:val="single" w:sz="4" w:space="0" w:color="auto"/>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12</w:t>
            </w:r>
          </w:p>
        </w:tc>
        <w:tc>
          <w:tcPr>
            <w:tcW w:w="469"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VPL</w:t>
            </w:r>
          </w:p>
        </w:tc>
        <w:tc>
          <w:tcPr>
            <w:tcW w:w="516"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0,950</w:t>
            </w:r>
          </w:p>
        </w:tc>
        <w:tc>
          <w:tcPr>
            <w:tcW w:w="464"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0,257</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0,000</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-0,208</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0,000</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0,139</w:t>
            </w:r>
          </w:p>
        </w:tc>
      </w:tr>
      <w:tr w:rsidR="00CD73FB" w:rsidRPr="00047172" w:rsidTr="00047172">
        <w:trPr>
          <w:cantSplit/>
          <w:jc w:val="center"/>
        </w:trPr>
        <w:tc>
          <w:tcPr>
            <w:tcW w:w="466" w:type="pct"/>
            <w:tcBorders>
              <w:top w:val="nil"/>
              <w:left w:val="nil"/>
              <w:bottom w:val="nil"/>
              <w:right w:val="nil"/>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p>
        </w:tc>
        <w:tc>
          <w:tcPr>
            <w:tcW w:w="469" w:type="pct"/>
            <w:tcBorders>
              <w:top w:val="nil"/>
              <w:left w:val="nil"/>
              <w:bottom w:val="nil"/>
              <w:right w:val="nil"/>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p>
        </w:tc>
        <w:tc>
          <w:tcPr>
            <w:tcW w:w="516" w:type="pct"/>
            <w:tcBorders>
              <w:top w:val="nil"/>
              <w:left w:val="nil"/>
              <w:bottom w:val="nil"/>
              <w:right w:val="nil"/>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p>
        </w:tc>
        <w:tc>
          <w:tcPr>
            <w:tcW w:w="464" w:type="pct"/>
            <w:tcBorders>
              <w:top w:val="nil"/>
              <w:left w:val="single" w:sz="4" w:space="0" w:color="auto"/>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b/>
                <w:bCs/>
                <w:color w:val="000000"/>
                <w:sz w:val="20"/>
                <w:szCs w:val="20"/>
                <w:lang w:val="vi-VN" w:eastAsia="ja-JP" w:bidi="th-TH"/>
              </w:rPr>
            </w:pPr>
            <w:r w:rsidRPr="00047172">
              <w:rPr>
                <w:rFonts w:eastAsia="MS Mincho"/>
                <w:b/>
                <w:bCs/>
                <w:color w:val="000000"/>
                <w:sz w:val="20"/>
                <w:szCs w:val="20"/>
                <w:lang w:val="vi-VN" w:eastAsia="ja-JP" w:bidi="th-TH"/>
              </w:rPr>
              <w:t>Average</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-0,092</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-0,071</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0,022</w:t>
            </w:r>
          </w:p>
        </w:tc>
        <w:tc>
          <w:tcPr>
            <w:tcW w:w="771" w:type="pct"/>
            <w:tcBorders>
              <w:top w:val="nil"/>
              <w:left w:val="nil"/>
              <w:bottom w:val="single" w:sz="4" w:space="0" w:color="auto"/>
              <w:right w:val="single" w:sz="4" w:space="0" w:color="auto"/>
            </w:tcBorders>
            <w:shd w:val="clear" w:color="auto" w:fill="auto"/>
            <w:noWrap/>
            <w:vAlign w:val="center"/>
          </w:tcPr>
          <w:p w:rsidR="00CD73FB" w:rsidRPr="00047172" w:rsidRDefault="00CD73FB" w:rsidP="00D868B6">
            <w:pPr>
              <w:snapToGrid w:val="0"/>
              <w:jc w:val="both"/>
              <w:rPr>
                <w:rFonts w:eastAsia="MS Mincho"/>
                <w:color w:val="000000"/>
                <w:sz w:val="20"/>
                <w:szCs w:val="20"/>
                <w:lang w:val="vi-VN" w:eastAsia="ja-JP" w:bidi="th-TH"/>
              </w:rPr>
            </w:pPr>
            <w:r w:rsidRPr="00047172">
              <w:rPr>
                <w:rFonts w:eastAsia="MS Mincho"/>
                <w:color w:val="000000"/>
                <w:sz w:val="20"/>
                <w:szCs w:val="20"/>
                <w:lang w:val="vi-VN" w:eastAsia="ja-JP" w:bidi="th-TH"/>
              </w:rPr>
              <w:t>0,057</w:t>
            </w:r>
          </w:p>
        </w:tc>
      </w:tr>
    </w:tbl>
    <w:p w:rsidR="005656CC" w:rsidRPr="00047172" w:rsidRDefault="005656CC" w:rsidP="00D868B6">
      <w:pPr>
        <w:autoSpaceDE w:val="0"/>
        <w:autoSpaceDN w:val="0"/>
        <w:adjustRightInd w:val="0"/>
        <w:snapToGrid w:val="0"/>
        <w:ind w:left="425" w:hanging="425"/>
        <w:jc w:val="both"/>
        <w:rPr>
          <w:i/>
          <w:iCs/>
          <w:sz w:val="20"/>
          <w:szCs w:val="20"/>
        </w:rPr>
      </w:pPr>
      <w:r w:rsidRPr="00047172">
        <w:rPr>
          <w:i/>
          <w:iCs/>
          <w:sz w:val="20"/>
          <w:szCs w:val="20"/>
        </w:rPr>
        <w:t>(source: Viet Nam stock exchange 2012)</w:t>
      </w:r>
    </w:p>
    <w:p w:rsidR="005656CC" w:rsidRDefault="005656CC" w:rsidP="00D868B6">
      <w:pPr>
        <w:snapToGrid w:val="0"/>
        <w:ind w:left="425" w:hanging="425"/>
        <w:jc w:val="both"/>
        <w:rPr>
          <w:rFonts w:eastAsiaTheme="minorEastAsia"/>
          <w:sz w:val="20"/>
          <w:szCs w:val="20"/>
          <w:lang w:eastAsia="zh-CN"/>
        </w:rPr>
      </w:pPr>
    </w:p>
    <w:p w:rsidR="00B42709" w:rsidRDefault="00B42709" w:rsidP="00D868B6">
      <w:pPr>
        <w:snapToGrid w:val="0"/>
        <w:ind w:left="425" w:hanging="425"/>
        <w:jc w:val="both"/>
        <w:rPr>
          <w:rFonts w:eastAsiaTheme="minorEastAsia"/>
          <w:sz w:val="20"/>
          <w:szCs w:val="20"/>
          <w:lang w:eastAsia="zh-CN"/>
        </w:rPr>
      </w:pPr>
    </w:p>
    <w:p w:rsidR="00B42709" w:rsidRPr="00B42709" w:rsidRDefault="00B42709" w:rsidP="00D868B6">
      <w:pPr>
        <w:snapToGrid w:val="0"/>
        <w:ind w:left="425" w:hanging="425"/>
        <w:jc w:val="both"/>
        <w:rPr>
          <w:rFonts w:eastAsiaTheme="minorEastAsia"/>
          <w:sz w:val="20"/>
          <w:szCs w:val="20"/>
          <w:lang w:eastAsia="zh-CN"/>
        </w:rPr>
      </w:pPr>
    </w:p>
    <w:p w:rsidR="005656CC" w:rsidRPr="00047172" w:rsidRDefault="005656CC" w:rsidP="00D868B6">
      <w:pPr>
        <w:snapToGrid w:val="0"/>
        <w:ind w:left="425" w:hanging="425"/>
        <w:jc w:val="both"/>
        <w:rPr>
          <w:sz w:val="20"/>
          <w:szCs w:val="20"/>
        </w:rPr>
      </w:pPr>
      <w:proofErr w:type="gramStart"/>
      <w:r w:rsidRPr="00047172">
        <w:rPr>
          <w:sz w:val="20"/>
          <w:szCs w:val="20"/>
          <w:lang w:val="en-US"/>
        </w:rPr>
        <w:t>Appendix</w:t>
      </w:r>
      <w:r w:rsidRPr="00047172">
        <w:rPr>
          <w:sz w:val="20"/>
          <w:szCs w:val="20"/>
        </w:rPr>
        <w:t xml:space="preserve"> 5</w:t>
      </w:r>
      <w:r w:rsidRPr="00047172">
        <w:rPr>
          <w:sz w:val="20"/>
          <w:szCs w:val="20"/>
          <w:lang w:val="en-US"/>
        </w:rPr>
        <w:t>.</w:t>
      </w:r>
      <w:proofErr w:type="gramEnd"/>
      <w:r w:rsidRPr="00047172">
        <w:rPr>
          <w:sz w:val="20"/>
          <w:szCs w:val="20"/>
        </w:rPr>
        <w:t xml:space="preserve"> VNI Index and other stock market index during crisis 2006-10</w:t>
      </w:r>
    </w:p>
    <w:p w:rsidR="005656CC" w:rsidRPr="00047172" w:rsidRDefault="005A31E6" w:rsidP="00D868B6">
      <w:pPr>
        <w:snapToGrid w:val="0"/>
        <w:ind w:left="425"/>
        <w:jc w:val="center"/>
        <w:rPr>
          <w:sz w:val="20"/>
          <w:szCs w:val="20"/>
        </w:rPr>
      </w:pPr>
      <w:r w:rsidRPr="005A31E6">
        <w:rPr>
          <w:sz w:val="20"/>
          <w:szCs w:val="20"/>
        </w:rPr>
        <w:pict>
          <v:shape id="_x0000_i1027" type="#_x0000_t75" style="width:339.95pt;height:199.1pt">
            <v:imagedata r:id="rId12" o:title=""/>
          </v:shape>
        </w:pict>
      </w:r>
    </w:p>
    <w:p w:rsidR="005656CC" w:rsidRDefault="005656CC" w:rsidP="00D868B6">
      <w:pPr>
        <w:snapToGrid w:val="0"/>
        <w:ind w:left="425" w:hanging="425"/>
        <w:jc w:val="both"/>
        <w:rPr>
          <w:rFonts w:eastAsiaTheme="minorEastAsia"/>
          <w:sz w:val="20"/>
          <w:szCs w:val="20"/>
          <w:lang w:eastAsia="zh-CN"/>
        </w:rPr>
      </w:pPr>
    </w:p>
    <w:p w:rsidR="00B42709" w:rsidRDefault="00B42709" w:rsidP="00D868B6">
      <w:pPr>
        <w:snapToGrid w:val="0"/>
        <w:ind w:left="425" w:hanging="425"/>
        <w:jc w:val="both"/>
        <w:rPr>
          <w:rFonts w:eastAsiaTheme="minorEastAsia"/>
          <w:sz w:val="20"/>
          <w:szCs w:val="20"/>
          <w:lang w:eastAsia="zh-CN"/>
        </w:rPr>
      </w:pPr>
    </w:p>
    <w:p w:rsidR="00B42709" w:rsidRDefault="00B42709" w:rsidP="00D868B6">
      <w:pPr>
        <w:snapToGrid w:val="0"/>
        <w:ind w:left="425" w:hanging="425"/>
        <w:jc w:val="both"/>
        <w:rPr>
          <w:rFonts w:eastAsiaTheme="minorEastAsia"/>
          <w:sz w:val="20"/>
          <w:szCs w:val="20"/>
          <w:lang w:eastAsia="zh-CN"/>
        </w:rPr>
      </w:pPr>
    </w:p>
    <w:p w:rsidR="00B42709" w:rsidRDefault="00B42709" w:rsidP="00D868B6">
      <w:pPr>
        <w:snapToGrid w:val="0"/>
        <w:ind w:left="425" w:hanging="425"/>
        <w:jc w:val="both"/>
        <w:rPr>
          <w:rFonts w:eastAsiaTheme="minorEastAsia"/>
          <w:sz w:val="20"/>
          <w:szCs w:val="20"/>
          <w:lang w:eastAsia="zh-CN"/>
        </w:rPr>
      </w:pPr>
    </w:p>
    <w:p w:rsidR="00B42709" w:rsidRDefault="00B42709" w:rsidP="00D868B6">
      <w:pPr>
        <w:snapToGrid w:val="0"/>
        <w:ind w:left="425" w:hanging="425"/>
        <w:jc w:val="both"/>
        <w:rPr>
          <w:rFonts w:eastAsiaTheme="minorEastAsia"/>
          <w:sz w:val="20"/>
          <w:szCs w:val="20"/>
          <w:lang w:eastAsia="zh-CN"/>
        </w:rPr>
      </w:pPr>
    </w:p>
    <w:p w:rsidR="00B42709" w:rsidRDefault="00B42709" w:rsidP="00D868B6">
      <w:pPr>
        <w:snapToGrid w:val="0"/>
        <w:ind w:left="425" w:hanging="425"/>
        <w:jc w:val="both"/>
        <w:rPr>
          <w:rFonts w:eastAsiaTheme="minorEastAsia"/>
          <w:sz w:val="20"/>
          <w:szCs w:val="20"/>
          <w:lang w:eastAsia="zh-CN"/>
        </w:rPr>
      </w:pPr>
    </w:p>
    <w:p w:rsidR="00B42709" w:rsidRDefault="00B42709" w:rsidP="00D868B6">
      <w:pPr>
        <w:snapToGrid w:val="0"/>
        <w:ind w:left="425" w:hanging="425"/>
        <w:jc w:val="both"/>
        <w:rPr>
          <w:rFonts w:eastAsiaTheme="minorEastAsia"/>
          <w:sz w:val="20"/>
          <w:szCs w:val="20"/>
          <w:lang w:eastAsia="zh-CN"/>
        </w:rPr>
      </w:pPr>
    </w:p>
    <w:p w:rsidR="00B42709" w:rsidRDefault="00B42709" w:rsidP="00D868B6">
      <w:pPr>
        <w:snapToGrid w:val="0"/>
        <w:ind w:left="425" w:hanging="425"/>
        <w:jc w:val="both"/>
        <w:rPr>
          <w:rFonts w:eastAsiaTheme="minorEastAsia"/>
          <w:sz w:val="20"/>
          <w:szCs w:val="20"/>
          <w:lang w:eastAsia="zh-CN"/>
        </w:rPr>
      </w:pPr>
    </w:p>
    <w:p w:rsidR="00B42709" w:rsidRDefault="00B42709" w:rsidP="00D868B6">
      <w:pPr>
        <w:snapToGrid w:val="0"/>
        <w:ind w:left="425" w:hanging="425"/>
        <w:jc w:val="both"/>
        <w:rPr>
          <w:rFonts w:eastAsiaTheme="minorEastAsia"/>
          <w:sz w:val="20"/>
          <w:szCs w:val="20"/>
          <w:lang w:eastAsia="zh-CN"/>
        </w:rPr>
      </w:pPr>
    </w:p>
    <w:p w:rsidR="00B42709" w:rsidRDefault="00B42709" w:rsidP="00D868B6">
      <w:pPr>
        <w:snapToGrid w:val="0"/>
        <w:ind w:left="425" w:hanging="425"/>
        <w:jc w:val="both"/>
        <w:rPr>
          <w:rFonts w:eastAsiaTheme="minorEastAsia"/>
          <w:sz w:val="20"/>
          <w:szCs w:val="20"/>
          <w:lang w:eastAsia="zh-CN"/>
        </w:rPr>
      </w:pPr>
    </w:p>
    <w:p w:rsidR="00B42709" w:rsidRDefault="00B42709" w:rsidP="00D868B6">
      <w:pPr>
        <w:snapToGrid w:val="0"/>
        <w:ind w:left="425" w:hanging="425"/>
        <w:jc w:val="both"/>
        <w:rPr>
          <w:rFonts w:eastAsiaTheme="minorEastAsia"/>
          <w:sz w:val="20"/>
          <w:szCs w:val="20"/>
          <w:lang w:eastAsia="zh-CN"/>
        </w:rPr>
      </w:pPr>
    </w:p>
    <w:p w:rsidR="00B42709" w:rsidRPr="00B42709" w:rsidRDefault="00B42709" w:rsidP="00D868B6">
      <w:pPr>
        <w:snapToGrid w:val="0"/>
        <w:ind w:left="425" w:hanging="425"/>
        <w:jc w:val="both"/>
        <w:rPr>
          <w:rFonts w:eastAsiaTheme="minorEastAsia"/>
          <w:sz w:val="20"/>
          <w:szCs w:val="20"/>
          <w:lang w:eastAsia="zh-CN"/>
        </w:rPr>
      </w:pPr>
    </w:p>
    <w:p w:rsidR="00D868B6" w:rsidRPr="00047172" w:rsidRDefault="005656CC" w:rsidP="00D868B6">
      <w:pPr>
        <w:autoSpaceDE w:val="0"/>
        <w:autoSpaceDN w:val="0"/>
        <w:adjustRightInd w:val="0"/>
        <w:snapToGrid w:val="0"/>
        <w:ind w:firstLine="425"/>
        <w:jc w:val="both"/>
        <w:rPr>
          <w:rFonts w:eastAsiaTheme="minorEastAsia"/>
          <w:sz w:val="20"/>
          <w:szCs w:val="20"/>
          <w:lang w:eastAsia="zh-CN"/>
        </w:rPr>
      </w:pPr>
      <w:proofErr w:type="gramStart"/>
      <w:r w:rsidRPr="00047172">
        <w:rPr>
          <w:sz w:val="20"/>
          <w:szCs w:val="20"/>
          <w:lang w:val="en-US"/>
        </w:rPr>
        <w:t>Appendix</w:t>
      </w:r>
      <w:r w:rsidRPr="00047172">
        <w:rPr>
          <w:sz w:val="20"/>
          <w:szCs w:val="20"/>
        </w:rPr>
        <w:t xml:space="preserve"> 6</w:t>
      </w:r>
      <w:r w:rsidRPr="00047172">
        <w:rPr>
          <w:sz w:val="20"/>
          <w:szCs w:val="20"/>
          <w:lang w:val="en-US"/>
        </w:rPr>
        <w:t>.</w:t>
      </w:r>
      <w:proofErr w:type="gramEnd"/>
      <w:r w:rsidRPr="00047172">
        <w:rPr>
          <w:sz w:val="20"/>
          <w:szCs w:val="20"/>
        </w:rPr>
        <w:t xml:space="preserve"> Comparing statistical results of three (3) scenarios of changing FL of 121 listed firms in the consumer good industry</w:t>
      </w:r>
    </w:p>
    <w:p w:rsidR="005656CC" w:rsidRPr="00047172" w:rsidRDefault="005A31E6" w:rsidP="00D868B6">
      <w:pPr>
        <w:autoSpaceDE w:val="0"/>
        <w:autoSpaceDN w:val="0"/>
        <w:adjustRightInd w:val="0"/>
        <w:snapToGrid w:val="0"/>
        <w:ind w:left="425"/>
        <w:jc w:val="center"/>
        <w:rPr>
          <w:sz w:val="20"/>
          <w:szCs w:val="20"/>
        </w:rPr>
      </w:pPr>
      <w:r w:rsidRPr="005A31E6">
        <w:rPr>
          <w:sz w:val="20"/>
          <w:szCs w:val="20"/>
        </w:rPr>
        <w:pict>
          <v:shape id="_x0000_i1028" type="#_x0000_t75" style="width:390.7pt;height:177.2pt">
            <v:imagedata r:id="rId13" o:title=""/>
          </v:shape>
        </w:pict>
      </w:r>
    </w:p>
    <w:p w:rsidR="005656CC" w:rsidRPr="00047172" w:rsidRDefault="005656CC" w:rsidP="00D868B6">
      <w:pPr>
        <w:autoSpaceDE w:val="0"/>
        <w:autoSpaceDN w:val="0"/>
        <w:adjustRightInd w:val="0"/>
        <w:snapToGrid w:val="0"/>
        <w:ind w:left="425" w:hanging="425"/>
        <w:jc w:val="both"/>
        <w:rPr>
          <w:i/>
          <w:iCs/>
          <w:sz w:val="20"/>
          <w:szCs w:val="20"/>
        </w:rPr>
      </w:pPr>
      <w:r w:rsidRPr="00047172">
        <w:rPr>
          <w:i/>
          <w:iCs/>
          <w:sz w:val="20"/>
          <w:szCs w:val="20"/>
        </w:rPr>
        <w:t>(source: Viet Nam stock exchange 2012)</w:t>
      </w:r>
    </w:p>
    <w:p w:rsidR="005656CC" w:rsidRPr="00047172" w:rsidRDefault="005656CC" w:rsidP="00D868B6">
      <w:pPr>
        <w:snapToGrid w:val="0"/>
        <w:ind w:left="425" w:hanging="425"/>
        <w:jc w:val="both"/>
        <w:rPr>
          <w:sz w:val="20"/>
          <w:szCs w:val="20"/>
        </w:rPr>
      </w:pPr>
    </w:p>
    <w:p w:rsidR="00D868B6" w:rsidRDefault="00D868B6" w:rsidP="00D868B6">
      <w:pPr>
        <w:snapToGrid w:val="0"/>
        <w:ind w:left="425" w:hanging="425"/>
        <w:jc w:val="both"/>
        <w:rPr>
          <w:rFonts w:eastAsiaTheme="minorEastAsia"/>
          <w:color w:val="000000"/>
          <w:sz w:val="20"/>
          <w:szCs w:val="20"/>
          <w:lang w:val="vi-VN" w:eastAsia="zh-CN"/>
        </w:rPr>
      </w:pPr>
    </w:p>
    <w:p w:rsidR="00B42709" w:rsidRPr="00047172" w:rsidRDefault="00B42709" w:rsidP="00D868B6">
      <w:pPr>
        <w:snapToGrid w:val="0"/>
        <w:ind w:left="425" w:hanging="425"/>
        <w:jc w:val="both"/>
        <w:rPr>
          <w:rFonts w:eastAsiaTheme="minorEastAsia"/>
          <w:color w:val="000000"/>
          <w:sz w:val="20"/>
          <w:szCs w:val="20"/>
          <w:lang w:val="vi-VN" w:eastAsia="zh-CN"/>
        </w:rPr>
      </w:pPr>
    </w:p>
    <w:p w:rsidR="00D868B6" w:rsidRPr="00047172" w:rsidRDefault="00D868B6" w:rsidP="00D868B6">
      <w:pPr>
        <w:snapToGrid w:val="0"/>
        <w:ind w:firstLine="425"/>
        <w:jc w:val="both"/>
        <w:rPr>
          <w:sz w:val="20"/>
          <w:szCs w:val="20"/>
        </w:rPr>
      </w:pPr>
      <w:r w:rsidRPr="00047172">
        <w:rPr>
          <w:b/>
          <w:bCs/>
          <w:sz w:val="20"/>
          <w:szCs w:val="20"/>
        </w:rPr>
        <w:t>Author note</w:t>
      </w:r>
      <w:r w:rsidRPr="00047172">
        <w:rPr>
          <w:sz w:val="20"/>
          <w:szCs w:val="20"/>
        </w:rPr>
        <w:t>: My sincere thanks are for the editorial office and Lecturers/Doctors at Banking University and International University of Japan. Through the qualitative analysis, please kindly email me if any error found.</w:t>
      </w:r>
    </w:p>
    <w:p w:rsidR="00D868B6" w:rsidRPr="00047172" w:rsidRDefault="00D868B6" w:rsidP="00D868B6">
      <w:pPr>
        <w:snapToGrid w:val="0"/>
        <w:ind w:left="425" w:hanging="425"/>
        <w:jc w:val="both"/>
        <w:rPr>
          <w:rFonts w:eastAsiaTheme="minorEastAsia"/>
          <w:color w:val="000000"/>
          <w:sz w:val="20"/>
          <w:szCs w:val="20"/>
          <w:lang w:val="vi-VN" w:eastAsia="zh-CN"/>
        </w:rPr>
      </w:pPr>
    </w:p>
    <w:p w:rsidR="00D868B6" w:rsidRPr="00047172" w:rsidRDefault="00D868B6" w:rsidP="00D868B6">
      <w:pPr>
        <w:snapToGrid w:val="0"/>
        <w:ind w:left="425" w:hanging="425"/>
        <w:jc w:val="both"/>
        <w:rPr>
          <w:rFonts w:eastAsiaTheme="minorEastAsia"/>
          <w:color w:val="000000"/>
          <w:sz w:val="20"/>
          <w:szCs w:val="20"/>
          <w:lang w:val="vi-VN" w:eastAsia="zh-CN"/>
        </w:rPr>
      </w:pPr>
    </w:p>
    <w:p w:rsidR="00D868B6" w:rsidRPr="00047172" w:rsidRDefault="00D868B6" w:rsidP="00D868B6">
      <w:pPr>
        <w:snapToGrid w:val="0"/>
        <w:ind w:left="425" w:hanging="425"/>
        <w:jc w:val="both"/>
        <w:rPr>
          <w:rFonts w:eastAsiaTheme="minorEastAsia"/>
          <w:color w:val="000000"/>
          <w:sz w:val="20"/>
          <w:szCs w:val="20"/>
          <w:lang w:val="vi-VN" w:eastAsia="zh-CN"/>
        </w:rPr>
      </w:pPr>
    </w:p>
    <w:p w:rsidR="00631423" w:rsidRPr="00047172" w:rsidRDefault="00D868B6" w:rsidP="00D868B6">
      <w:pPr>
        <w:snapToGrid w:val="0"/>
        <w:ind w:left="425" w:hanging="425"/>
        <w:jc w:val="both"/>
        <w:rPr>
          <w:color w:val="000000"/>
          <w:sz w:val="20"/>
          <w:szCs w:val="20"/>
          <w:lang w:val="vi-VN" w:eastAsia="ko-KR"/>
        </w:rPr>
      </w:pPr>
      <w:r w:rsidRPr="00047172">
        <w:rPr>
          <w:color w:val="000000"/>
          <w:sz w:val="20"/>
          <w:szCs w:val="20"/>
          <w:lang w:val="vi-VN" w:eastAsia="ko-KR"/>
        </w:rPr>
        <w:t>11/8/2015</w:t>
      </w:r>
    </w:p>
    <w:sectPr w:rsidR="00631423" w:rsidRPr="00047172" w:rsidSect="00545C1A">
      <w:footnotePr>
        <w:numRestart w:val="eachPage"/>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1CE" w:rsidRDefault="007C31CE" w:rsidP="006159FF">
      <w:r>
        <w:separator/>
      </w:r>
    </w:p>
  </w:endnote>
  <w:endnote w:type="continuationSeparator" w:id="0">
    <w:p w:rsidR="007C31CE" w:rsidRDefault="007C31CE" w:rsidP="006159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B6" w:rsidRDefault="005A31E6" w:rsidP="00403F77">
    <w:pPr>
      <w:pStyle w:val="Footer"/>
      <w:framePr w:wrap="around" w:vAnchor="text" w:hAnchor="margin" w:xAlign="right" w:y="1"/>
      <w:rPr>
        <w:rStyle w:val="PageNumber"/>
      </w:rPr>
    </w:pPr>
    <w:r>
      <w:rPr>
        <w:rStyle w:val="PageNumber"/>
      </w:rPr>
      <w:fldChar w:fldCharType="begin"/>
    </w:r>
    <w:r w:rsidR="00D868B6">
      <w:rPr>
        <w:rStyle w:val="PageNumber"/>
      </w:rPr>
      <w:instrText xml:space="preserve">PAGE  </w:instrText>
    </w:r>
    <w:r>
      <w:rPr>
        <w:rStyle w:val="PageNumber"/>
      </w:rPr>
      <w:fldChar w:fldCharType="end"/>
    </w:r>
  </w:p>
  <w:p w:rsidR="00D868B6" w:rsidRDefault="00D868B6" w:rsidP="00403F7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B6" w:rsidRPr="00D868B6" w:rsidRDefault="005A31E6" w:rsidP="00D868B6">
    <w:pPr>
      <w:jc w:val="center"/>
      <w:rPr>
        <w:sz w:val="20"/>
      </w:rPr>
    </w:pPr>
    <w:r w:rsidRPr="00D868B6">
      <w:rPr>
        <w:sz w:val="20"/>
      </w:rPr>
      <w:fldChar w:fldCharType="begin"/>
    </w:r>
    <w:r w:rsidR="00D868B6" w:rsidRPr="00D868B6">
      <w:rPr>
        <w:sz w:val="20"/>
      </w:rPr>
      <w:instrText xml:space="preserve"> page </w:instrText>
    </w:r>
    <w:r w:rsidRPr="00D868B6">
      <w:rPr>
        <w:sz w:val="20"/>
      </w:rPr>
      <w:fldChar w:fldCharType="separate"/>
    </w:r>
    <w:r w:rsidR="006671BA">
      <w:rPr>
        <w:noProof/>
        <w:sz w:val="20"/>
      </w:rPr>
      <w:t>44</w:t>
    </w:r>
    <w:r w:rsidRPr="00D868B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1CE" w:rsidRDefault="007C31CE" w:rsidP="006159FF">
      <w:r>
        <w:separator/>
      </w:r>
    </w:p>
  </w:footnote>
  <w:footnote w:type="continuationSeparator" w:id="0">
    <w:p w:rsidR="007C31CE" w:rsidRDefault="007C31CE" w:rsidP="00615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B6" w:rsidRPr="00D868B6" w:rsidRDefault="00D868B6" w:rsidP="00D868B6">
    <w:pPr>
      <w:pBdr>
        <w:bottom w:val="thinThickMediumGap" w:sz="12" w:space="1" w:color="auto"/>
      </w:pBdr>
      <w:tabs>
        <w:tab w:val="left" w:pos="851"/>
        <w:tab w:val="right" w:pos="8364"/>
      </w:tabs>
      <w:adjustRightInd w:val="0"/>
      <w:snapToGrid w:val="0"/>
      <w:jc w:val="both"/>
      <w:rPr>
        <w:iCs/>
        <w:sz w:val="20"/>
        <w:szCs w:val="20"/>
      </w:rPr>
    </w:pPr>
    <w:r w:rsidRPr="00D868B6">
      <w:rPr>
        <w:rFonts w:hint="eastAsia"/>
        <w:sz w:val="20"/>
        <w:szCs w:val="20"/>
      </w:rPr>
      <w:tab/>
    </w:r>
    <w:r w:rsidRPr="00D868B6">
      <w:rPr>
        <w:sz w:val="20"/>
        <w:szCs w:val="20"/>
      </w:rPr>
      <w:t>New York Science Journal 201</w:t>
    </w:r>
    <w:r w:rsidRPr="00D868B6">
      <w:rPr>
        <w:rFonts w:hint="eastAsia"/>
        <w:sz w:val="20"/>
        <w:szCs w:val="20"/>
      </w:rPr>
      <w:t>5</w:t>
    </w:r>
    <w:r w:rsidRPr="00D868B6">
      <w:rPr>
        <w:sz w:val="20"/>
        <w:szCs w:val="20"/>
      </w:rPr>
      <w:t>;</w:t>
    </w:r>
    <w:r w:rsidRPr="00D868B6">
      <w:rPr>
        <w:rFonts w:hint="eastAsia"/>
        <w:sz w:val="20"/>
        <w:szCs w:val="20"/>
      </w:rPr>
      <w:t>8</w:t>
    </w:r>
    <w:r w:rsidRPr="00D868B6">
      <w:rPr>
        <w:sz w:val="20"/>
        <w:szCs w:val="20"/>
      </w:rPr>
      <w:t>(</w:t>
    </w:r>
    <w:r w:rsidRPr="00D868B6">
      <w:rPr>
        <w:rFonts w:hint="eastAsia"/>
        <w:sz w:val="20"/>
        <w:szCs w:val="20"/>
      </w:rPr>
      <w:t>11</w:t>
    </w:r>
    <w:r w:rsidRPr="00D868B6">
      <w:rPr>
        <w:sz w:val="20"/>
        <w:szCs w:val="20"/>
      </w:rPr>
      <w:t>)</w:t>
    </w:r>
    <w:r w:rsidRPr="00D868B6">
      <w:rPr>
        <w:iCs/>
        <w:sz w:val="20"/>
        <w:szCs w:val="20"/>
      </w:rPr>
      <w:t xml:space="preserve">     </w:t>
    </w:r>
    <w:r w:rsidRPr="00D868B6">
      <w:rPr>
        <w:rFonts w:hint="eastAsia"/>
        <w:iCs/>
        <w:sz w:val="20"/>
        <w:szCs w:val="20"/>
      </w:rPr>
      <w:tab/>
    </w:r>
    <w:r w:rsidRPr="00D868B6">
      <w:rPr>
        <w:iCs/>
        <w:sz w:val="20"/>
        <w:szCs w:val="20"/>
      </w:rPr>
      <w:t xml:space="preserve"> </w:t>
    </w:r>
    <w:r w:rsidRPr="00D868B6">
      <w:rPr>
        <w:rFonts w:hint="eastAsia"/>
        <w:iCs/>
        <w:sz w:val="20"/>
        <w:szCs w:val="20"/>
      </w:rPr>
      <w:t xml:space="preserve"> </w:t>
    </w:r>
    <w:r w:rsidRPr="00D868B6">
      <w:rPr>
        <w:iCs/>
        <w:sz w:val="20"/>
        <w:szCs w:val="20"/>
      </w:rPr>
      <w:t xml:space="preserve">   </w:t>
    </w:r>
    <w:hyperlink r:id="rId1" w:history="1">
      <w:r w:rsidRPr="00D868B6">
        <w:rPr>
          <w:rStyle w:val="Hyperlink"/>
          <w:sz w:val="20"/>
          <w:szCs w:val="20"/>
        </w:rPr>
        <w:t>http://www.sciencepub.net/newyork</w:t>
      </w:r>
    </w:hyperlink>
  </w:p>
  <w:p w:rsidR="00D868B6" w:rsidRPr="00D868B6" w:rsidRDefault="00D868B6" w:rsidP="00D868B6">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230CE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F06FF1"/>
    <w:multiLevelType w:val="hybridMultilevel"/>
    <w:tmpl w:val="5FCEB768"/>
    <w:lvl w:ilvl="0" w:tplc="EE98CC94">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D797B9A"/>
    <w:multiLevelType w:val="hybridMultilevel"/>
    <w:tmpl w:val="0C5C8FA8"/>
    <w:lvl w:ilvl="0" w:tplc="B61E2A36">
      <w:start w:val="1"/>
      <w:numFmt w:val="bullet"/>
      <w:suff w:val="space"/>
      <w:lvlText w:val=""/>
      <w:lvlJc w:val="left"/>
      <w:pPr>
        <w:ind w:left="0" w:firstLine="0"/>
      </w:pPr>
      <w:rPr>
        <w:rFonts w:ascii="Wingdings" w:hAnsi="Wingdings" w:hint="default"/>
      </w:rPr>
    </w:lvl>
    <w:lvl w:ilvl="1" w:tplc="D86678F6">
      <w:start w:val="1"/>
      <w:numFmt w:val="ganada"/>
      <w:suff w:val="space"/>
      <w:lvlText w:val="%2."/>
      <w:lvlJc w:val="left"/>
      <w:pPr>
        <w:ind w:left="0" w:firstLine="0"/>
      </w:pPr>
    </w:lvl>
    <w:lvl w:ilvl="2" w:tplc="1598C98E">
      <w:start w:val="1"/>
      <w:numFmt w:val="decimal"/>
      <w:suff w:val="space"/>
      <w:lvlText w:val="%3)"/>
      <w:lvlJc w:val="left"/>
      <w:pPr>
        <w:ind w:left="0" w:firstLine="0"/>
      </w:pPr>
    </w:lvl>
    <w:lvl w:ilvl="3" w:tplc="CD1653C8">
      <w:start w:val="1"/>
      <w:numFmt w:val="ganada"/>
      <w:suff w:val="space"/>
      <w:lvlText w:val="%4)"/>
      <w:lvlJc w:val="left"/>
      <w:pPr>
        <w:ind w:left="0" w:firstLine="0"/>
      </w:pPr>
    </w:lvl>
    <w:lvl w:ilvl="4" w:tplc="9FBC77DA">
      <w:start w:val="1"/>
      <w:numFmt w:val="decimal"/>
      <w:suff w:val="space"/>
      <w:lvlText w:val="(%5)"/>
      <w:lvlJc w:val="left"/>
      <w:pPr>
        <w:ind w:left="0" w:firstLine="0"/>
      </w:pPr>
    </w:lvl>
    <w:lvl w:ilvl="5" w:tplc="6D7CB164">
      <w:start w:val="1"/>
      <w:numFmt w:val="ganada"/>
      <w:suff w:val="space"/>
      <w:lvlText w:val="(%6)"/>
      <w:lvlJc w:val="left"/>
      <w:pPr>
        <w:ind w:left="0" w:firstLine="0"/>
      </w:pPr>
    </w:lvl>
    <w:lvl w:ilvl="6" w:tplc="BF3E4E00">
      <w:start w:val="1"/>
      <w:numFmt w:val="decimalEnclosedCircle"/>
      <w:suff w:val="space"/>
      <w:lvlText w:val="%7"/>
      <w:lvlJc w:val="left"/>
      <w:pPr>
        <w:ind w:left="0" w:firstLine="0"/>
      </w:pPr>
    </w:lvl>
    <w:lvl w:ilvl="7" w:tplc="B588C42E">
      <w:start w:val="1"/>
      <w:numFmt w:val="decimal"/>
      <w:lvlText w:val="%8."/>
      <w:lvlJc w:val="left"/>
      <w:pPr>
        <w:tabs>
          <w:tab w:val="num" w:pos="5760"/>
        </w:tabs>
        <w:ind w:left="5760" w:hanging="360"/>
      </w:pPr>
    </w:lvl>
    <w:lvl w:ilvl="8" w:tplc="ADBEF632">
      <w:start w:val="1"/>
      <w:numFmt w:val="decimal"/>
      <w:lvlText w:val="%9."/>
      <w:lvlJc w:val="left"/>
      <w:pPr>
        <w:tabs>
          <w:tab w:val="num" w:pos="6480"/>
        </w:tabs>
        <w:ind w:left="6480" w:hanging="360"/>
      </w:pPr>
    </w:lvl>
  </w:abstractNum>
  <w:abstractNum w:abstractNumId="3">
    <w:nsid w:val="10DE421C"/>
    <w:multiLevelType w:val="hybridMultilevel"/>
    <w:tmpl w:val="C0AE4BD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nsid w:val="119708BC"/>
    <w:multiLevelType w:val="hybridMultilevel"/>
    <w:tmpl w:val="96F22CC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5B21330"/>
    <w:multiLevelType w:val="hybridMultilevel"/>
    <w:tmpl w:val="8BBC1DE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BD6077C"/>
    <w:multiLevelType w:val="hybridMultilevel"/>
    <w:tmpl w:val="067C3BF6"/>
    <w:lvl w:ilvl="0" w:tplc="3FB67E9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D0E52B3"/>
    <w:multiLevelType w:val="hybridMultilevel"/>
    <w:tmpl w:val="81A8B0AC"/>
    <w:lvl w:ilvl="0" w:tplc="842283B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582"/>
        </w:tabs>
        <w:ind w:left="-582" w:hanging="360"/>
      </w:pPr>
    </w:lvl>
    <w:lvl w:ilvl="2" w:tplc="0419001B" w:tentative="1">
      <w:start w:val="1"/>
      <w:numFmt w:val="lowerRoman"/>
      <w:lvlText w:val="%3."/>
      <w:lvlJc w:val="right"/>
      <w:pPr>
        <w:tabs>
          <w:tab w:val="num" w:pos="138"/>
        </w:tabs>
        <w:ind w:left="138" w:hanging="180"/>
      </w:pPr>
    </w:lvl>
    <w:lvl w:ilvl="3" w:tplc="0419000F" w:tentative="1">
      <w:start w:val="1"/>
      <w:numFmt w:val="decimal"/>
      <w:lvlText w:val="%4."/>
      <w:lvlJc w:val="left"/>
      <w:pPr>
        <w:tabs>
          <w:tab w:val="num" w:pos="858"/>
        </w:tabs>
        <w:ind w:left="858" w:hanging="360"/>
      </w:pPr>
    </w:lvl>
    <w:lvl w:ilvl="4" w:tplc="04190019" w:tentative="1">
      <w:start w:val="1"/>
      <w:numFmt w:val="lowerLetter"/>
      <w:lvlText w:val="%5."/>
      <w:lvlJc w:val="left"/>
      <w:pPr>
        <w:tabs>
          <w:tab w:val="num" w:pos="1578"/>
        </w:tabs>
        <w:ind w:left="1578" w:hanging="360"/>
      </w:pPr>
    </w:lvl>
    <w:lvl w:ilvl="5" w:tplc="0419001B" w:tentative="1">
      <w:start w:val="1"/>
      <w:numFmt w:val="lowerRoman"/>
      <w:lvlText w:val="%6."/>
      <w:lvlJc w:val="right"/>
      <w:pPr>
        <w:tabs>
          <w:tab w:val="num" w:pos="2298"/>
        </w:tabs>
        <w:ind w:left="2298" w:hanging="180"/>
      </w:pPr>
    </w:lvl>
    <w:lvl w:ilvl="6" w:tplc="0419000F" w:tentative="1">
      <w:start w:val="1"/>
      <w:numFmt w:val="decimal"/>
      <w:lvlText w:val="%7."/>
      <w:lvlJc w:val="left"/>
      <w:pPr>
        <w:tabs>
          <w:tab w:val="num" w:pos="3018"/>
        </w:tabs>
        <w:ind w:left="3018" w:hanging="360"/>
      </w:pPr>
    </w:lvl>
    <w:lvl w:ilvl="7" w:tplc="04190019" w:tentative="1">
      <w:start w:val="1"/>
      <w:numFmt w:val="lowerLetter"/>
      <w:lvlText w:val="%8."/>
      <w:lvlJc w:val="left"/>
      <w:pPr>
        <w:tabs>
          <w:tab w:val="num" w:pos="3738"/>
        </w:tabs>
        <w:ind w:left="3738" w:hanging="360"/>
      </w:pPr>
    </w:lvl>
    <w:lvl w:ilvl="8" w:tplc="0419001B" w:tentative="1">
      <w:start w:val="1"/>
      <w:numFmt w:val="lowerRoman"/>
      <w:lvlText w:val="%9."/>
      <w:lvlJc w:val="right"/>
      <w:pPr>
        <w:tabs>
          <w:tab w:val="num" w:pos="4458"/>
        </w:tabs>
        <w:ind w:left="4458" w:hanging="180"/>
      </w:pPr>
    </w:lvl>
  </w:abstractNum>
  <w:abstractNum w:abstractNumId="8">
    <w:nsid w:val="1DEC2F35"/>
    <w:multiLevelType w:val="hybridMultilevel"/>
    <w:tmpl w:val="5C8E3B70"/>
    <w:lvl w:ilvl="0" w:tplc="A0520C24">
      <w:start w:val="1"/>
      <w:numFmt w:val="bullet"/>
      <w:suff w:val="space"/>
      <w:lvlText w:val=""/>
      <w:lvlJc w:val="left"/>
      <w:pPr>
        <w:ind w:left="0" w:firstLine="0"/>
      </w:pPr>
      <w:rPr>
        <w:rFonts w:ascii="Wingdings" w:hAnsi="Wingdings" w:hint="default"/>
      </w:rPr>
    </w:lvl>
    <w:lvl w:ilvl="1" w:tplc="35B488AC">
      <w:start w:val="1"/>
      <w:numFmt w:val="decimal"/>
      <w:lvlText w:val="%2."/>
      <w:lvlJc w:val="left"/>
      <w:pPr>
        <w:tabs>
          <w:tab w:val="num" w:pos="1440"/>
        </w:tabs>
        <w:ind w:left="1440" w:hanging="360"/>
      </w:pPr>
    </w:lvl>
    <w:lvl w:ilvl="2" w:tplc="B5644704">
      <w:start w:val="1"/>
      <w:numFmt w:val="decimal"/>
      <w:lvlText w:val="%3."/>
      <w:lvlJc w:val="left"/>
      <w:pPr>
        <w:tabs>
          <w:tab w:val="num" w:pos="2160"/>
        </w:tabs>
        <w:ind w:left="2160" w:hanging="360"/>
      </w:pPr>
    </w:lvl>
    <w:lvl w:ilvl="3" w:tplc="CB7E2A58">
      <w:start w:val="1"/>
      <w:numFmt w:val="decimal"/>
      <w:lvlText w:val="%4."/>
      <w:lvlJc w:val="left"/>
      <w:pPr>
        <w:tabs>
          <w:tab w:val="num" w:pos="2880"/>
        </w:tabs>
        <w:ind w:left="2880" w:hanging="360"/>
      </w:pPr>
    </w:lvl>
    <w:lvl w:ilvl="4" w:tplc="DFB844EC">
      <w:start w:val="1"/>
      <w:numFmt w:val="decimal"/>
      <w:lvlText w:val="%5."/>
      <w:lvlJc w:val="left"/>
      <w:pPr>
        <w:tabs>
          <w:tab w:val="num" w:pos="3600"/>
        </w:tabs>
        <w:ind w:left="3600" w:hanging="360"/>
      </w:pPr>
    </w:lvl>
    <w:lvl w:ilvl="5" w:tplc="94AE74A4">
      <w:start w:val="1"/>
      <w:numFmt w:val="decimal"/>
      <w:lvlText w:val="%6."/>
      <w:lvlJc w:val="left"/>
      <w:pPr>
        <w:tabs>
          <w:tab w:val="num" w:pos="4320"/>
        </w:tabs>
        <w:ind w:left="4320" w:hanging="360"/>
      </w:pPr>
    </w:lvl>
    <w:lvl w:ilvl="6" w:tplc="58F649A4">
      <w:start w:val="1"/>
      <w:numFmt w:val="decimal"/>
      <w:lvlText w:val="%7."/>
      <w:lvlJc w:val="left"/>
      <w:pPr>
        <w:tabs>
          <w:tab w:val="num" w:pos="5040"/>
        </w:tabs>
        <w:ind w:left="5040" w:hanging="360"/>
      </w:pPr>
    </w:lvl>
    <w:lvl w:ilvl="7" w:tplc="7C727CEA">
      <w:start w:val="1"/>
      <w:numFmt w:val="decimal"/>
      <w:lvlText w:val="%8."/>
      <w:lvlJc w:val="left"/>
      <w:pPr>
        <w:tabs>
          <w:tab w:val="num" w:pos="5760"/>
        </w:tabs>
        <w:ind w:left="5760" w:hanging="360"/>
      </w:pPr>
    </w:lvl>
    <w:lvl w:ilvl="8" w:tplc="BDD05738">
      <w:start w:val="1"/>
      <w:numFmt w:val="decimal"/>
      <w:lvlText w:val="%9."/>
      <w:lvlJc w:val="left"/>
      <w:pPr>
        <w:tabs>
          <w:tab w:val="num" w:pos="6480"/>
        </w:tabs>
        <w:ind w:left="6480" w:hanging="360"/>
      </w:pPr>
    </w:lvl>
  </w:abstractNum>
  <w:abstractNum w:abstractNumId="9">
    <w:nsid w:val="2DC63718"/>
    <w:multiLevelType w:val="hybridMultilevel"/>
    <w:tmpl w:val="A21A40D2"/>
    <w:lvl w:ilvl="0" w:tplc="0810A616">
      <w:start w:val="1"/>
      <w:numFmt w:val="bullet"/>
      <w:suff w:val="space"/>
      <w:lvlText w:val=""/>
      <w:lvlJc w:val="left"/>
      <w:pPr>
        <w:ind w:left="0" w:firstLine="0"/>
      </w:pPr>
      <w:rPr>
        <w:rFonts w:ascii="Wingdings" w:hAnsi="Wingdings" w:hint="default"/>
      </w:rPr>
    </w:lvl>
    <w:lvl w:ilvl="1" w:tplc="0798D3F0">
      <w:start w:val="1"/>
      <w:numFmt w:val="decimal"/>
      <w:lvlText w:val="%2."/>
      <w:lvlJc w:val="left"/>
      <w:pPr>
        <w:tabs>
          <w:tab w:val="num" w:pos="1440"/>
        </w:tabs>
        <w:ind w:left="1440" w:hanging="360"/>
      </w:pPr>
    </w:lvl>
    <w:lvl w:ilvl="2" w:tplc="56044042">
      <w:start w:val="1"/>
      <w:numFmt w:val="decimal"/>
      <w:lvlText w:val="%3."/>
      <w:lvlJc w:val="left"/>
      <w:pPr>
        <w:tabs>
          <w:tab w:val="num" w:pos="2160"/>
        </w:tabs>
        <w:ind w:left="2160" w:hanging="360"/>
      </w:pPr>
    </w:lvl>
    <w:lvl w:ilvl="3" w:tplc="72A0E518">
      <w:start w:val="1"/>
      <w:numFmt w:val="decimal"/>
      <w:lvlText w:val="%4."/>
      <w:lvlJc w:val="left"/>
      <w:pPr>
        <w:tabs>
          <w:tab w:val="num" w:pos="2880"/>
        </w:tabs>
        <w:ind w:left="2880" w:hanging="360"/>
      </w:pPr>
    </w:lvl>
    <w:lvl w:ilvl="4" w:tplc="7AAA4F70">
      <w:start w:val="1"/>
      <w:numFmt w:val="decimal"/>
      <w:lvlText w:val="%5."/>
      <w:lvlJc w:val="left"/>
      <w:pPr>
        <w:tabs>
          <w:tab w:val="num" w:pos="3600"/>
        </w:tabs>
        <w:ind w:left="3600" w:hanging="360"/>
      </w:pPr>
    </w:lvl>
    <w:lvl w:ilvl="5" w:tplc="F082334A">
      <w:start w:val="1"/>
      <w:numFmt w:val="decimal"/>
      <w:lvlText w:val="%6."/>
      <w:lvlJc w:val="left"/>
      <w:pPr>
        <w:tabs>
          <w:tab w:val="num" w:pos="4320"/>
        </w:tabs>
        <w:ind w:left="4320" w:hanging="360"/>
      </w:pPr>
    </w:lvl>
    <w:lvl w:ilvl="6" w:tplc="28A6EE50">
      <w:start w:val="1"/>
      <w:numFmt w:val="decimal"/>
      <w:lvlText w:val="%7."/>
      <w:lvlJc w:val="left"/>
      <w:pPr>
        <w:tabs>
          <w:tab w:val="num" w:pos="5040"/>
        </w:tabs>
        <w:ind w:left="5040" w:hanging="360"/>
      </w:pPr>
    </w:lvl>
    <w:lvl w:ilvl="7" w:tplc="18B65A74">
      <w:start w:val="1"/>
      <w:numFmt w:val="decimal"/>
      <w:lvlText w:val="%8."/>
      <w:lvlJc w:val="left"/>
      <w:pPr>
        <w:tabs>
          <w:tab w:val="num" w:pos="5760"/>
        </w:tabs>
        <w:ind w:left="5760" w:hanging="360"/>
      </w:pPr>
    </w:lvl>
    <w:lvl w:ilvl="8" w:tplc="9654B47E">
      <w:start w:val="1"/>
      <w:numFmt w:val="decimal"/>
      <w:lvlText w:val="%9."/>
      <w:lvlJc w:val="left"/>
      <w:pPr>
        <w:tabs>
          <w:tab w:val="num" w:pos="6480"/>
        </w:tabs>
        <w:ind w:left="6480" w:hanging="360"/>
      </w:pPr>
    </w:lvl>
  </w:abstractNum>
  <w:abstractNum w:abstractNumId="10">
    <w:nsid w:val="2F2F6A90"/>
    <w:multiLevelType w:val="hybridMultilevel"/>
    <w:tmpl w:val="44886B9E"/>
    <w:lvl w:ilvl="0" w:tplc="BD26D510">
      <w:start w:val="1"/>
      <w:numFmt w:val="lowerLetter"/>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11">
    <w:nsid w:val="352629AF"/>
    <w:multiLevelType w:val="hybridMultilevel"/>
    <w:tmpl w:val="A13ACACE"/>
    <w:lvl w:ilvl="0" w:tplc="041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56D548B"/>
    <w:multiLevelType w:val="hybridMultilevel"/>
    <w:tmpl w:val="0DACBD58"/>
    <w:lvl w:ilvl="0" w:tplc="AE2407D6">
      <w:start w:val="1"/>
      <w:numFmt w:val="upperRoman"/>
      <w:lvlText w:val="%1."/>
      <w:lvlJc w:val="left"/>
      <w:pPr>
        <w:ind w:left="965" w:hanging="72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13">
    <w:nsid w:val="35EC65A1"/>
    <w:multiLevelType w:val="hybridMultilevel"/>
    <w:tmpl w:val="3C1A3CC0"/>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3BAC7D42"/>
    <w:multiLevelType w:val="hybridMultilevel"/>
    <w:tmpl w:val="2A16F744"/>
    <w:lvl w:ilvl="0" w:tplc="A57E5FA6">
      <w:start w:val="1"/>
      <w:numFmt w:val="bullet"/>
      <w:suff w:val="space"/>
      <w:lvlText w:val=""/>
      <w:lvlJc w:val="left"/>
      <w:pPr>
        <w:ind w:left="0" w:firstLine="0"/>
      </w:pPr>
      <w:rPr>
        <w:rFonts w:ascii="Wingdings" w:hAnsi="Wingdings" w:hint="default"/>
      </w:rPr>
    </w:lvl>
    <w:lvl w:ilvl="1" w:tplc="CBF0538E">
      <w:start w:val="1"/>
      <w:numFmt w:val="decimal"/>
      <w:lvlText w:val="%2."/>
      <w:lvlJc w:val="left"/>
      <w:pPr>
        <w:tabs>
          <w:tab w:val="num" w:pos="1440"/>
        </w:tabs>
        <w:ind w:left="1440" w:hanging="360"/>
      </w:pPr>
    </w:lvl>
    <w:lvl w:ilvl="2" w:tplc="D8A01A68">
      <w:start w:val="1"/>
      <w:numFmt w:val="decimal"/>
      <w:lvlText w:val="%3."/>
      <w:lvlJc w:val="left"/>
      <w:pPr>
        <w:tabs>
          <w:tab w:val="num" w:pos="2160"/>
        </w:tabs>
        <w:ind w:left="2160" w:hanging="360"/>
      </w:pPr>
    </w:lvl>
    <w:lvl w:ilvl="3" w:tplc="646C1EF4">
      <w:start w:val="1"/>
      <w:numFmt w:val="decimal"/>
      <w:lvlText w:val="%4."/>
      <w:lvlJc w:val="left"/>
      <w:pPr>
        <w:tabs>
          <w:tab w:val="num" w:pos="2880"/>
        </w:tabs>
        <w:ind w:left="2880" w:hanging="360"/>
      </w:pPr>
    </w:lvl>
    <w:lvl w:ilvl="4" w:tplc="D27C57B6">
      <w:start w:val="1"/>
      <w:numFmt w:val="decimal"/>
      <w:lvlText w:val="%5."/>
      <w:lvlJc w:val="left"/>
      <w:pPr>
        <w:tabs>
          <w:tab w:val="num" w:pos="3600"/>
        </w:tabs>
        <w:ind w:left="3600" w:hanging="360"/>
      </w:pPr>
    </w:lvl>
    <w:lvl w:ilvl="5" w:tplc="6A3AC0A8">
      <w:start w:val="1"/>
      <w:numFmt w:val="decimal"/>
      <w:lvlText w:val="%6."/>
      <w:lvlJc w:val="left"/>
      <w:pPr>
        <w:tabs>
          <w:tab w:val="num" w:pos="4320"/>
        </w:tabs>
        <w:ind w:left="4320" w:hanging="360"/>
      </w:pPr>
    </w:lvl>
    <w:lvl w:ilvl="6" w:tplc="6B98224E">
      <w:start w:val="1"/>
      <w:numFmt w:val="decimal"/>
      <w:lvlText w:val="%7."/>
      <w:lvlJc w:val="left"/>
      <w:pPr>
        <w:tabs>
          <w:tab w:val="num" w:pos="5040"/>
        </w:tabs>
        <w:ind w:left="5040" w:hanging="360"/>
      </w:pPr>
    </w:lvl>
    <w:lvl w:ilvl="7" w:tplc="4E64E516">
      <w:start w:val="1"/>
      <w:numFmt w:val="decimal"/>
      <w:lvlText w:val="%8."/>
      <w:lvlJc w:val="left"/>
      <w:pPr>
        <w:tabs>
          <w:tab w:val="num" w:pos="5760"/>
        </w:tabs>
        <w:ind w:left="5760" w:hanging="360"/>
      </w:pPr>
    </w:lvl>
    <w:lvl w:ilvl="8" w:tplc="1E8EB1A0">
      <w:start w:val="1"/>
      <w:numFmt w:val="decimal"/>
      <w:lvlText w:val="%9."/>
      <w:lvlJc w:val="left"/>
      <w:pPr>
        <w:tabs>
          <w:tab w:val="num" w:pos="6480"/>
        </w:tabs>
        <w:ind w:left="6480" w:hanging="360"/>
      </w:pPr>
    </w:lvl>
  </w:abstractNum>
  <w:abstractNum w:abstractNumId="15">
    <w:nsid w:val="438B79A0"/>
    <w:multiLevelType w:val="hybridMultilevel"/>
    <w:tmpl w:val="6276CAFC"/>
    <w:lvl w:ilvl="0" w:tplc="BD947E0C">
      <w:start w:val="1"/>
      <w:numFmt w:val="bullet"/>
      <w:suff w:val="space"/>
      <w:lvlText w:val=""/>
      <w:lvlJc w:val="left"/>
      <w:pPr>
        <w:ind w:left="0" w:firstLine="0"/>
      </w:pPr>
      <w:rPr>
        <w:rFonts w:ascii="Wingdings" w:hAnsi="Wingdings" w:hint="default"/>
      </w:rPr>
    </w:lvl>
    <w:lvl w:ilvl="1" w:tplc="2F4CD74E">
      <w:start w:val="1"/>
      <w:numFmt w:val="decimal"/>
      <w:lvlText w:val="%2."/>
      <w:lvlJc w:val="left"/>
      <w:pPr>
        <w:tabs>
          <w:tab w:val="num" w:pos="1440"/>
        </w:tabs>
        <w:ind w:left="1440" w:hanging="360"/>
      </w:pPr>
    </w:lvl>
    <w:lvl w:ilvl="2" w:tplc="87F081FC">
      <w:start w:val="1"/>
      <w:numFmt w:val="decimal"/>
      <w:lvlText w:val="%3."/>
      <w:lvlJc w:val="left"/>
      <w:pPr>
        <w:tabs>
          <w:tab w:val="num" w:pos="2160"/>
        </w:tabs>
        <w:ind w:left="2160" w:hanging="360"/>
      </w:pPr>
    </w:lvl>
    <w:lvl w:ilvl="3" w:tplc="3DCC4F76">
      <w:start w:val="1"/>
      <w:numFmt w:val="decimal"/>
      <w:lvlText w:val="%4."/>
      <w:lvlJc w:val="left"/>
      <w:pPr>
        <w:tabs>
          <w:tab w:val="num" w:pos="2880"/>
        </w:tabs>
        <w:ind w:left="2880" w:hanging="360"/>
      </w:pPr>
    </w:lvl>
    <w:lvl w:ilvl="4" w:tplc="E8A0E2EC">
      <w:start w:val="1"/>
      <w:numFmt w:val="decimal"/>
      <w:lvlText w:val="%5."/>
      <w:lvlJc w:val="left"/>
      <w:pPr>
        <w:tabs>
          <w:tab w:val="num" w:pos="3600"/>
        </w:tabs>
        <w:ind w:left="3600" w:hanging="360"/>
      </w:pPr>
    </w:lvl>
    <w:lvl w:ilvl="5" w:tplc="2D569E9A">
      <w:start w:val="1"/>
      <w:numFmt w:val="decimal"/>
      <w:lvlText w:val="%6."/>
      <w:lvlJc w:val="left"/>
      <w:pPr>
        <w:tabs>
          <w:tab w:val="num" w:pos="4320"/>
        </w:tabs>
        <w:ind w:left="4320" w:hanging="360"/>
      </w:pPr>
    </w:lvl>
    <w:lvl w:ilvl="6" w:tplc="DFE87232">
      <w:start w:val="1"/>
      <w:numFmt w:val="decimal"/>
      <w:lvlText w:val="%7."/>
      <w:lvlJc w:val="left"/>
      <w:pPr>
        <w:tabs>
          <w:tab w:val="num" w:pos="5040"/>
        </w:tabs>
        <w:ind w:left="5040" w:hanging="360"/>
      </w:pPr>
    </w:lvl>
    <w:lvl w:ilvl="7" w:tplc="644AC3F4">
      <w:start w:val="1"/>
      <w:numFmt w:val="decimal"/>
      <w:lvlText w:val="%8."/>
      <w:lvlJc w:val="left"/>
      <w:pPr>
        <w:tabs>
          <w:tab w:val="num" w:pos="5760"/>
        </w:tabs>
        <w:ind w:left="5760" w:hanging="360"/>
      </w:pPr>
    </w:lvl>
    <w:lvl w:ilvl="8" w:tplc="2278C12A">
      <w:start w:val="1"/>
      <w:numFmt w:val="decimal"/>
      <w:lvlText w:val="%9."/>
      <w:lvlJc w:val="left"/>
      <w:pPr>
        <w:tabs>
          <w:tab w:val="num" w:pos="6480"/>
        </w:tabs>
        <w:ind w:left="6480" w:hanging="360"/>
      </w:pPr>
    </w:lvl>
  </w:abstractNum>
  <w:abstractNum w:abstractNumId="16">
    <w:nsid w:val="46532F76"/>
    <w:multiLevelType w:val="hybridMultilevel"/>
    <w:tmpl w:val="DF7412C8"/>
    <w:lvl w:ilvl="0" w:tplc="CB96BB2C">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C43725C"/>
    <w:multiLevelType w:val="hybridMultilevel"/>
    <w:tmpl w:val="1ECE16E2"/>
    <w:lvl w:ilvl="0" w:tplc="549086C8">
      <w:start w:val="1"/>
      <w:numFmt w:val="bullet"/>
      <w:suff w:val="space"/>
      <w:lvlText w:val=""/>
      <w:lvlJc w:val="left"/>
      <w:pPr>
        <w:ind w:left="0" w:firstLine="0"/>
      </w:pPr>
      <w:rPr>
        <w:rFonts w:ascii="Wingdings" w:hAnsi="Wingdings" w:hint="default"/>
      </w:rPr>
    </w:lvl>
    <w:lvl w:ilvl="1" w:tplc="1F2ADC5A">
      <w:start w:val="1"/>
      <w:numFmt w:val="decimal"/>
      <w:lvlText w:val="%2."/>
      <w:lvlJc w:val="left"/>
      <w:pPr>
        <w:tabs>
          <w:tab w:val="num" w:pos="1440"/>
        </w:tabs>
        <w:ind w:left="1440" w:hanging="360"/>
      </w:pPr>
    </w:lvl>
    <w:lvl w:ilvl="2" w:tplc="EA94CF74">
      <w:start w:val="1"/>
      <w:numFmt w:val="decimal"/>
      <w:lvlText w:val="%3."/>
      <w:lvlJc w:val="left"/>
      <w:pPr>
        <w:tabs>
          <w:tab w:val="num" w:pos="2160"/>
        </w:tabs>
        <w:ind w:left="2160" w:hanging="360"/>
      </w:pPr>
    </w:lvl>
    <w:lvl w:ilvl="3" w:tplc="4E4636B4">
      <w:start w:val="1"/>
      <w:numFmt w:val="decimal"/>
      <w:lvlText w:val="%4."/>
      <w:lvlJc w:val="left"/>
      <w:pPr>
        <w:tabs>
          <w:tab w:val="num" w:pos="2880"/>
        </w:tabs>
        <w:ind w:left="2880" w:hanging="360"/>
      </w:pPr>
    </w:lvl>
    <w:lvl w:ilvl="4" w:tplc="F04296DA">
      <w:start w:val="1"/>
      <w:numFmt w:val="decimal"/>
      <w:lvlText w:val="%5."/>
      <w:lvlJc w:val="left"/>
      <w:pPr>
        <w:tabs>
          <w:tab w:val="num" w:pos="3600"/>
        </w:tabs>
        <w:ind w:left="3600" w:hanging="360"/>
      </w:pPr>
    </w:lvl>
    <w:lvl w:ilvl="5" w:tplc="BBDC5A5E">
      <w:start w:val="1"/>
      <w:numFmt w:val="decimal"/>
      <w:lvlText w:val="%6."/>
      <w:lvlJc w:val="left"/>
      <w:pPr>
        <w:tabs>
          <w:tab w:val="num" w:pos="4320"/>
        </w:tabs>
        <w:ind w:left="4320" w:hanging="360"/>
      </w:pPr>
    </w:lvl>
    <w:lvl w:ilvl="6" w:tplc="1C321D8E">
      <w:start w:val="1"/>
      <w:numFmt w:val="decimal"/>
      <w:lvlText w:val="%7."/>
      <w:lvlJc w:val="left"/>
      <w:pPr>
        <w:tabs>
          <w:tab w:val="num" w:pos="5040"/>
        </w:tabs>
        <w:ind w:left="5040" w:hanging="360"/>
      </w:pPr>
    </w:lvl>
    <w:lvl w:ilvl="7" w:tplc="52F27134">
      <w:start w:val="1"/>
      <w:numFmt w:val="decimal"/>
      <w:lvlText w:val="%8."/>
      <w:lvlJc w:val="left"/>
      <w:pPr>
        <w:tabs>
          <w:tab w:val="num" w:pos="5760"/>
        </w:tabs>
        <w:ind w:left="5760" w:hanging="360"/>
      </w:pPr>
    </w:lvl>
    <w:lvl w:ilvl="8" w:tplc="79DA1BB0">
      <w:start w:val="1"/>
      <w:numFmt w:val="decimal"/>
      <w:lvlText w:val="%9."/>
      <w:lvlJc w:val="left"/>
      <w:pPr>
        <w:tabs>
          <w:tab w:val="num" w:pos="6480"/>
        </w:tabs>
        <w:ind w:left="6480" w:hanging="360"/>
      </w:pPr>
    </w:lvl>
  </w:abstractNum>
  <w:abstractNum w:abstractNumId="18">
    <w:nsid w:val="575C30F3"/>
    <w:multiLevelType w:val="hybridMultilevel"/>
    <w:tmpl w:val="4C78E712"/>
    <w:lvl w:ilvl="0" w:tplc="268AF2AE">
      <w:start w:val="1"/>
      <w:numFmt w:val="bullet"/>
      <w:suff w:val="space"/>
      <w:lvlText w:val=""/>
      <w:lvlJc w:val="left"/>
      <w:pPr>
        <w:ind w:left="0" w:firstLine="0"/>
      </w:pPr>
      <w:rPr>
        <w:rFonts w:ascii="Wingdings" w:hAnsi="Wingdings" w:hint="default"/>
      </w:rPr>
    </w:lvl>
    <w:lvl w:ilvl="1" w:tplc="C34E27F0">
      <w:start w:val="1"/>
      <w:numFmt w:val="decimal"/>
      <w:lvlText w:val="%2."/>
      <w:lvlJc w:val="left"/>
      <w:pPr>
        <w:tabs>
          <w:tab w:val="num" w:pos="1440"/>
        </w:tabs>
        <w:ind w:left="1440" w:hanging="360"/>
      </w:pPr>
    </w:lvl>
    <w:lvl w:ilvl="2" w:tplc="938A98DA">
      <w:start w:val="1"/>
      <w:numFmt w:val="decimal"/>
      <w:lvlText w:val="%3."/>
      <w:lvlJc w:val="left"/>
      <w:pPr>
        <w:tabs>
          <w:tab w:val="num" w:pos="2160"/>
        </w:tabs>
        <w:ind w:left="2160" w:hanging="360"/>
      </w:pPr>
    </w:lvl>
    <w:lvl w:ilvl="3" w:tplc="69545544">
      <w:start w:val="1"/>
      <w:numFmt w:val="decimal"/>
      <w:lvlText w:val="%4."/>
      <w:lvlJc w:val="left"/>
      <w:pPr>
        <w:tabs>
          <w:tab w:val="num" w:pos="2880"/>
        </w:tabs>
        <w:ind w:left="2880" w:hanging="360"/>
      </w:pPr>
    </w:lvl>
    <w:lvl w:ilvl="4" w:tplc="A0080084">
      <w:start w:val="1"/>
      <w:numFmt w:val="decimal"/>
      <w:lvlText w:val="%5."/>
      <w:lvlJc w:val="left"/>
      <w:pPr>
        <w:tabs>
          <w:tab w:val="num" w:pos="3600"/>
        </w:tabs>
        <w:ind w:left="3600" w:hanging="360"/>
      </w:pPr>
    </w:lvl>
    <w:lvl w:ilvl="5" w:tplc="41E6609E">
      <w:start w:val="1"/>
      <w:numFmt w:val="decimal"/>
      <w:lvlText w:val="%6."/>
      <w:lvlJc w:val="left"/>
      <w:pPr>
        <w:tabs>
          <w:tab w:val="num" w:pos="4320"/>
        </w:tabs>
        <w:ind w:left="4320" w:hanging="360"/>
      </w:pPr>
    </w:lvl>
    <w:lvl w:ilvl="6" w:tplc="0C6AAE9A">
      <w:start w:val="1"/>
      <w:numFmt w:val="decimal"/>
      <w:lvlText w:val="%7."/>
      <w:lvlJc w:val="left"/>
      <w:pPr>
        <w:tabs>
          <w:tab w:val="num" w:pos="5040"/>
        </w:tabs>
        <w:ind w:left="5040" w:hanging="360"/>
      </w:pPr>
    </w:lvl>
    <w:lvl w:ilvl="7" w:tplc="B732A6DC">
      <w:start w:val="1"/>
      <w:numFmt w:val="decimal"/>
      <w:lvlText w:val="%8."/>
      <w:lvlJc w:val="left"/>
      <w:pPr>
        <w:tabs>
          <w:tab w:val="num" w:pos="5760"/>
        </w:tabs>
        <w:ind w:left="5760" w:hanging="360"/>
      </w:pPr>
    </w:lvl>
    <w:lvl w:ilvl="8" w:tplc="C87841C8">
      <w:start w:val="1"/>
      <w:numFmt w:val="decimal"/>
      <w:lvlText w:val="%9."/>
      <w:lvlJc w:val="left"/>
      <w:pPr>
        <w:tabs>
          <w:tab w:val="num" w:pos="6480"/>
        </w:tabs>
        <w:ind w:left="6480" w:hanging="360"/>
      </w:pPr>
    </w:lvl>
  </w:abstractNum>
  <w:abstractNum w:abstractNumId="19">
    <w:nsid w:val="5B6C1309"/>
    <w:multiLevelType w:val="hybridMultilevel"/>
    <w:tmpl w:val="C5BAF5F6"/>
    <w:lvl w:ilvl="0" w:tplc="2FD0C298">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61A24082"/>
    <w:multiLevelType w:val="hybridMultilevel"/>
    <w:tmpl w:val="1D8830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6641130E"/>
    <w:multiLevelType w:val="hybridMultilevel"/>
    <w:tmpl w:val="6256E608"/>
    <w:lvl w:ilvl="0" w:tplc="7C0690D6">
      <w:start w:val="1"/>
      <w:numFmt w:val="bullet"/>
      <w:suff w:val="space"/>
      <w:lvlText w:val=""/>
      <w:lvlJc w:val="left"/>
      <w:pPr>
        <w:ind w:left="0" w:firstLine="0"/>
      </w:pPr>
      <w:rPr>
        <w:rFonts w:ascii="Wingdings" w:hAnsi="Wingdings" w:hint="default"/>
      </w:rPr>
    </w:lvl>
    <w:lvl w:ilvl="1" w:tplc="EB6C3670">
      <w:start w:val="1"/>
      <w:numFmt w:val="decimal"/>
      <w:lvlText w:val="%2."/>
      <w:lvlJc w:val="left"/>
      <w:pPr>
        <w:tabs>
          <w:tab w:val="num" w:pos="1440"/>
        </w:tabs>
        <w:ind w:left="1440" w:hanging="360"/>
      </w:pPr>
    </w:lvl>
    <w:lvl w:ilvl="2" w:tplc="D442A0C6">
      <w:start w:val="1"/>
      <w:numFmt w:val="decimal"/>
      <w:lvlText w:val="%3."/>
      <w:lvlJc w:val="left"/>
      <w:pPr>
        <w:tabs>
          <w:tab w:val="num" w:pos="2160"/>
        </w:tabs>
        <w:ind w:left="2160" w:hanging="360"/>
      </w:pPr>
    </w:lvl>
    <w:lvl w:ilvl="3" w:tplc="56E05DF8">
      <w:start w:val="1"/>
      <w:numFmt w:val="decimal"/>
      <w:lvlText w:val="%4."/>
      <w:lvlJc w:val="left"/>
      <w:pPr>
        <w:tabs>
          <w:tab w:val="num" w:pos="2880"/>
        </w:tabs>
        <w:ind w:left="2880" w:hanging="360"/>
      </w:pPr>
    </w:lvl>
    <w:lvl w:ilvl="4" w:tplc="7ABE3ED6">
      <w:start w:val="1"/>
      <w:numFmt w:val="decimal"/>
      <w:lvlText w:val="%5."/>
      <w:lvlJc w:val="left"/>
      <w:pPr>
        <w:tabs>
          <w:tab w:val="num" w:pos="3600"/>
        </w:tabs>
        <w:ind w:left="3600" w:hanging="360"/>
      </w:pPr>
    </w:lvl>
    <w:lvl w:ilvl="5" w:tplc="0A1AF6B8">
      <w:start w:val="1"/>
      <w:numFmt w:val="decimal"/>
      <w:lvlText w:val="%6."/>
      <w:lvlJc w:val="left"/>
      <w:pPr>
        <w:tabs>
          <w:tab w:val="num" w:pos="4320"/>
        </w:tabs>
        <w:ind w:left="4320" w:hanging="360"/>
      </w:pPr>
    </w:lvl>
    <w:lvl w:ilvl="6" w:tplc="71BA6D3A">
      <w:start w:val="1"/>
      <w:numFmt w:val="decimal"/>
      <w:lvlText w:val="%7."/>
      <w:lvlJc w:val="left"/>
      <w:pPr>
        <w:tabs>
          <w:tab w:val="num" w:pos="5040"/>
        </w:tabs>
        <w:ind w:left="5040" w:hanging="360"/>
      </w:pPr>
    </w:lvl>
    <w:lvl w:ilvl="7" w:tplc="B68C85EA">
      <w:start w:val="1"/>
      <w:numFmt w:val="decimal"/>
      <w:lvlText w:val="%8."/>
      <w:lvlJc w:val="left"/>
      <w:pPr>
        <w:tabs>
          <w:tab w:val="num" w:pos="5760"/>
        </w:tabs>
        <w:ind w:left="5760" w:hanging="360"/>
      </w:pPr>
    </w:lvl>
    <w:lvl w:ilvl="8" w:tplc="C428C64A">
      <w:start w:val="1"/>
      <w:numFmt w:val="decimal"/>
      <w:lvlText w:val="%9."/>
      <w:lvlJc w:val="left"/>
      <w:pPr>
        <w:tabs>
          <w:tab w:val="num" w:pos="6480"/>
        </w:tabs>
        <w:ind w:left="6480" w:hanging="360"/>
      </w:pPr>
    </w:lvl>
  </w:abstractNum>
  <w:abstractNum w:abstractNumId="22">
    <w:nsid w:val="66AB70BB"/>
    <w:multiLevelType w:val="hybridMultilevel"/>
    <w:tmpl w:val="300CACEC"/>
    <w:lvl w:ilvl="0" w:tplc="80C0B188">
      <w:start w:val="1"/>
      <w:numFmt w:val="bullet"/>
      <w:suff w:val="space"/>
      <w:lvlText w:val=""/>
      <w:lvlJc w:val="left"/>
      <w:pPr>
        <w:ind w:left="0" w:firstLine="0"/>
      </w:pPr>
      <w:rPr>
        <w:rFonts w:ascii="Wingdings" w:hAnsi="Wingdings" w:hint="default"/>
      </w:rPr>
    </w:lvl>
    <w:lvl w:ilvl="1" w:tplc="5546CF02">
      <w:start w:val="1"/>
      <w:numFmt w:val="decimal"/>
      <w:lvlText w:val="%2."/>
      <w:lvlJc w:val="left"/>
      <w:pPr>
        <w:tabs>
          <w:tab w:val="num" w:pos="1440"/>
        </w:tabs>
        <w:ind w:left="1440" w:hanging="360"/>
      </w:pPr>
    </w:lvl>
    <w:lvl w:ilvl="2" w:tplc="FB523332">
      <w:start w:val="1"/>
      <w:numFmt w:val="decimal"/>
      <w:lvlText w:val="%3."/>
      <w:lvlJc w:val="left"/>
      <w:pPr>
        <w:tabs>
          <w:tab w:val="num" w:pos="2160"/>
        </w:tabs>
        <w:ind w:left="2160" w:hanging="360"/>
      </w:pPr>
    </w:lvl>
    <w:lvl w:ilvl="3" w:tplc="50FE9AEE">
      <w:start w:val="1"/>
      <w:numFmt w:val="decimal"/>
      <w:lvlText w:val="%4."/>
      <w:lvlJc w:val="left"/>
      <w:pPr>
        <w:tabs>
          <w:tab w:val="num" w:pos="2880"/>
        </w:tabs>
        <w:ind w:left="2880" w:hanging="360"/>
      </w:pPr>
    </w:lvl>
    <w:lvl w:ilvl="4" w:tplc="253CDFE6">
      <w:start w:val="1"/>
      <w:numFmt w:val="decimal"/>
      <w:lvlText w:val="%5."/>
      <w:lvlJc w:val="left"/>
      <w:pPr>
        <w:tabs>
          <w:tab w:val="num" w:pos="3600"/>
        </w:tabs>
        <w:ind w:left="3600" w:hanging="360"/>
      </w:pPr>
    </w:lvl>
    <w:lvl w:ilvl="5" w:tplc="27CE6D44">
      <w:start w:val="1"/>
      <w:numFmt w:val="decimal"/>
      <w:lvlText w:val="%6."/>
      <w:lvlJc w:val="left"/>
      <w:pPr>
        <w:tabs>
          <w:tab w:val="num" w:pos="4320"/>
        </w:tabs>
        <w:ind w:left="4320" w:hanging="360"/>
      </w:pPr>
    </w:lvl>
    <w:lvl w:ilvl="6" w:tplc="47D40104">
      <w:start w:val="1"/>
      <w:numFmt w:val="decimal"/>
      <w:lvlText w:val="%7."/>
      <w:lvlJc w:val="left"/>
      <w:pPr>
        <w:tabs>
          <w:tab w:val="num" w:pos="5040"/>
        </w:tabs>
        <w:ind w:left="5040" w:hanging="360"/>
      </w:pPr>
    </w:lvl>
    <w:lvl w:ilvl="7" w:tplc="765AFE08">
      <w:start w:val="1"/>
      <w:numFmt w:val="decimal"/>
      <w:lvlText w:val="%8."/>
      <w:lvlJc w:val="left"/>
      <w:pPr>
        <w:tabs>
          <w:tab w:val="num" w:pos="5760"/>
        </w:tabs>
        <w:ind w:left="5760" w:hanging="360"/>
      </w:pPr>
    </w:lvl>
    <w:lvl w:ilvl="8" w:tplc="37783DAE">
      <w:start w:val="1"/>
      <w:numFmt w:val="decimal"/>
      <w:lvlText w:val="%9."/>
      <w:lvlJc w:val="left"/>
      <w:pPr>
        <w:tabs>
          <w:tab w:val="num" w:pos="6480"/>
        </w:tabs>
        <w:ind w:left="6480" w:hanging="360"/>
      </w:pPr>
    </w:lvl>
  </w:abstractNum>
  <w:abstractNum w:abstractNumId="23">
    <w:nsid w:val="71603137"/>
    <w:multiLevelType w:val="hybridMultilevel"/>
    <w:tmpl w:val="DE725E68"/>
    <w:lvl w:ilvl="0" w:tplc="58368EBA">
      <w:start w:val="1"/>
      <w:numFmt w:val="bullet"/>
      <w:lvlText w:val=""/>
      <w:lvlJc w:val="left"/>
      <w:pPr>
        <w:ind w:left="760" w:hanging="360"/>
      </w:pPr>
      <w:rPr>
        <w:rFonts w:ascii="Wingdings" w:eastAsia="Batang"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73166FC6"/>
    <w:multiLevelType w:val="hybridMultilevel"/>
    <w:tmpl w:val="97CA9C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8080D48"/>
    <w:multiLevelType w:val="hybridMultilevel"/>
    <w:tmpl w:val="5A6EB7E8"/>
    <w:lvl w:ilvl="0" w:tplc="EE98CC94">
      <w:start w:val="1"/>
      <w:numFmt w:val="decimal"/>
      <w:lvlText w:val="[%1]"/>
      <w:lvlJc w:val="left"/>
      <w:pPr>
        <w:ind w:left="0" w:firstLine="0"/>
      </w:pPr>
      <w:rPr>
        <w:rFonts w:hint="eastAsia"/>
      </w:rPr>
    </w:lvl>
    <w:lvl w:ilvl="1" w:tplc="D86678F6">
      <w:start w:val="1"/>
      <w:numFmt w:val="ganada"/>
      <w:suff w:val="space"/>
      <w:lvlText w:val="%2."/>
      <w:lvlJc w:val="left"/>
      <w:pPr>
        <w:ind w:left="0" w:firstLine="0"/>
      </w:pPr>
    </w:lvl>
    <w:lvl w:ilvl="2" w:tplc="1598C98E">
      <w:start w:val="1"/>
      <w:numFmt w:val="decimal"/>
      <w:suff w:val="space"/>
      <w:lvlText w:val="%3)"/>
      <w:lvlJc w:val="left"/>
      <w:pPr>
        <w:ind w:left="0" w:firstLine="0"/>
      </w:pPr>
    </w:lvl>
    <w:lvl w:ilvl="3" w:tplc="CD1653C8">
      <w:start w:val="1"/>
      <w:numFmt w:val="ganada"/>
      <w:suff w:val="space"/>
      <w:lvlText w:val="%4)"/>
      <w:lvlJc w:val="left"/>
      <w:pPr>
        <w:ind w:left="0" w:firstLine="0"/>
      </w:pPr>
    </w:lvl>
    <w:lvl w:ilvl="4" w:tplc="9FBC77DA">
      <w:start w:val="1"/>
      <w:numFmt w:val="decimal"/>
      <w:suff w:val="space"/>
      <w:lvlText w:val="(%5)"/>
      <w:lvlJc w:val="left"/>
      <w:pPr>
        <w:ind w:left="0" w:firstLine="0"/>
      </w:pPr>
    </w:lvl>
    <w:lvl w:ilvl="5" w:tplc="6D7CB164">
      <w:start w:val="1"/>
      <w:numFmt w:val="ganada"/>
      <w:suff w:val="space"/>
      <w:lvlText w:val="(%6)"/>
      <w:lvlJc w:val="left"/>
      <w:pPr>
        <w:ind w:left="0" w:firstLine="0"/>
      </w:pPr>
    </w:lvl>
    <w:lvl w:ilvl="6" w:tplc="BF3E4E00">
      <w:start w:val="1"/>
      <w:numFmt w:val="decimalEnclosedCircle"/>
      <w:suff w:val="space"/>
      <w:lvlText w:val="%7"/>
      <w:lvlJc w:val="left"/>
      <w:pPr>
        <w:ind w:left="0" w:firstLine="0"/>
      </w:pPr>
    </w:lvl>
    <w:lvl w:ilvl="7" w:tplc="B588C42E">
      <w:start w:val="1"/>
      <w:numFmt w:val="decimal"/>
      <w:lvlText w:val="%8."/>
      <w:lvlJc w:val="left"/>
      <w:pPr>
        <w:tabs>
          <w:tab w:val="num" w:pos="5760"/>
        </w:tabs>
        <w:ind w:left="5760" w:hanging="360"/>
      </w:pPr>
    </w:lvl>
    <w:lvl w:ilvl="8" w:tplc="ADBEF632">
      <w:start w:val="1"/>
      <w:numFmt w:val="decimal"/>
      <w:lvlText w:val="%9."/>
      <w:lvlJc w:val="left"/>
      <w:pPr>
        <w:tabs>
          <w:tab w:val="num" w:pos="6480"/>
        </w:tabs>
        <w:ind w:left="6480" w:hanging="360"/>
      </w:pPr>
    </w:lvl>
  </w:abstractNum>
  <w:abstractNum w:abstractNumId="26">
    <w:nsid w:val="7E303F04"/>
    <w:multiLevelType w:val="hybridMultilevel"/>
    <w:tmpl w:val="A0AEE0FE"/>
    <w:lvl w:ilvl="0" w:tplc="EE62C2F0">
      <w:start w:val="1"/>
      <w:numFmt w:val="bullet"/>
      <w:suff w:val="space"/>
      <w:lvlText w:val=""/>
      <w:lvlJc w:val="left"/>
      <w:pPr>
        <w:ind w:left="0" w:firstLine="0"/>
      </w:pPr>
      <w:rPr>
        <w:rFonts w:ascii="Wingdings" w:hAnsi="Wingdings" w:hint="default"/>
      </w:rPr>
    </w:lvl>
    <w:lvl w:ilvl="1" w:tplc="E40AF888">
      <w:start w:val="1"/>
      <w:numFmt w:val="decimal"/>
      <w:lvlText w:val="%2."/>
      <w:lvlJc w:val="left"/>
      <w:pPr>
        <w:tabs>
          <w:tab w:val="num" w:pos="1440"/>
        </w:tabs>
        <w:ind w:left="1440" w:hanging="360"/>
      </w:pPr>
    </w:lvl>
    <w:lvl w:ilvl="2" w:tplc="381E6152">
      <w:start w:val="1"/>
      <w:numFmt w:val="decimal"/>
      <w:lvlText w:val="%3."/>
      <w:lvlJc w:val="left"/>
      <w:pPr>
        <w:tabs>
          <w:tab w:val="num" w:pos="2160"/>
        </w:tabs>
        <w:ind w:left="2160" w:hanging="360"/>
      </w:pPr>
    </w:lvl>
    <w:lvl w:ilvl="3" w:tplc="F386DBEA">
      <w:start w:val="1"/>
      <w:numFmt w:val="decimal"/>
      <w:lvlText w:val="%4."/>
      <w:lvlJc w:val="left"/>
      <w:pPr>
        <w:tabs>
          <w:tab w:val="num" w:pos="2880"/>
        </w:tabs>
        <w:ind w:left="2880" w:hanging="360"/>
      </w:pPr>
    </w:lvl>
    <w:lvl w:ilvl="4" w:tplc="1DD4D324">
      <w:start w:val="1"/>
      <w:numFmt w:val="decimal"/>
      <w:lvlText w:val="%5."/>
      <w:lvlJc w:val="left"/>
      <w:pPr>
        <w:tabs>
          <w:tab w:val="num" w:pos="3600"/>
        </w:tabs>
        <w:ind w:left="3600" w:hanging="360"/>
      </w:pPr>
    </w:lvl>
    <w:lvl w:ilvl="5" w:tplc="C478C4C2">
      <w:start w:val="1"/>
      <w:numFmt w:val="decimal"/>
      <w:lvlText w:val="%6."/>
      <w:lvlJc w:val="left"/>
      <w:pPr>
        <w:tabs>
          <w:tab w:val="num" w:pos="4320"/>
        </w:tabs>
        <w:ind w:left="4320" w:hanging="360"/>
      </w:pPr>
    </w:lvl>
    <w:lvl w:ilvl="6" w:tplc="FD1A7C44">
      <w:start w:val="1"/>
      <w:numFmt w:val="decimal"/>
      <w:lvlText w:val="%7."/>
      <w:lvlJc w:val="left"/>
      <w:pPr>
        <w:tabs>
          <w:tab w:val="num" w:pos="5040"/>
        </w:tabs>
        <w:ind w:left="5040" w:hanging="360"/>
      </w:pPr>
    </w:lvl>
    <w:lvl w:ilvl="7" w:tplc="BB5A07BE">
      <w:start w:val="1"/>
      <w:numFmt w:val="decimal"/>
      <w:lvlText w:val="%8."/>
      <w:lvlJc w:val="left"/>
      <w:pPr>
        <w:tabs>
          <w:tab w:val="num" w:pos="5760"/>
        </w:tabs>
        <w:ind w:left="5760" w:hanging="360"/>
      </w:pPr>
    </w:lvl>
    <w:lvl w:ilvl="8" w:tplc="71E6DEBA">
      <w:start w:val="1"/>
      <w:numFmt w:val="decimal"/>
      <w:lvlText w:val="%9."/>
      <w:lvlJc w:val="left"/>
      <w:pPr>
        <w:tabs>
          <w:tab w:val="num" w:pos="6480"/>
        </w:tabs>
        <w:ind w:left="6480" w:hanging="360"/>
      </w:pPr>
    </w:lvl>
  </w:abstractNum>
  <w:num w:numId="1">
    <w:abstractNumId w:val="24"/>
  </w:num>
  <w:num w:numId="2">
    <w:abstractNumId w:val="7"/>
  </w:num>
  <w:num w:numId="3">
    <w:abstractNumId w:val="6"/>
  </w:num>
  <w:num w:numId="4">
    <w:abstractNumId w:val="12"/>
  </w:num>
  <w:num w:numId="5">
    <w:abstractNumId w:val="10"/>
  </w:num>
  <w:num w:numId="6">
    <w:abstractNumId w:val="3"/>
  </w:num>
  <w:num w:numId="7">
    <w:abstractNumId w:val="0"/>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9"/>
  </w:num>
  <w:num w:numId="30">
    <w:abstractNumId w:val="23"/>
  </w:num>
  <w:num w:numId="31">
    <w:abstractNumId w:val="5"/>
  </w:num>
  <w:num w:numId="32">
    <w:abstractNumId w:val="1"/>
  </w:num>
  <w:num w:numId="33">
    <w:abstractNumId w:val="4"/>
  </w:num>
  <w:num w:numId="34">
    <w:abstractNumId w:val="20"/>
  </w:num>
  <w:num w:numId="35">
    <w:abstractNumId w:val="11"/>
  </w:num>
  <w:num w:numId="36">
    <w:abstractNumId w:val="13"/>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09"/>
  <w:drawingGridHorizontalSpacing w:val="120"/>
  <w:displayHorizontalDrawingGridEvery w:val="2"/>
  <w:noPunctuationKerning/>
  <w:characterSpacingControl w:val="doNotCompress"/>
  <w:hdrShapeDefaults>
    <o:shapedefaults v:ext="edit" spidmax="16385"/>
  </w:hdrShapeDefaults>
  <w:footnotePr>
    <w:numRestart w:val="eachPage"/>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3EB8"/>
    <w:rsid w:val="000005D7"/>
    <w:rsid w:val="00002EAE"/>
    <w:rsid w:val="000126E2"/>
    <w:rsid w:val="00017362"/>
    <w:rsid w:val="00017E0D"/>
    <w:rsid w:val="000229F4"/>
    <w:rsid w:val="00022E1E"/>
    <w:rsid w:val="00027D7C"/>
    <w:rsid w:val="00032E42"/>
    <w:rsid w:val="0003438A"/>
    <w:rsid w:val="0003490A"/>
    <w:rsid w:val="000362B2"/>
    <w:rsid w:val="00037DF0"/>
    <w:rsid w:val="00046C0A"/>
    <w:rsid w:val="00047172"/>
    <w:rsid w:val="000500BC"/>
    <w:rsid w:val="00052094"/>
    <w:rsid w:val="00054D76"/>
    <w:rsid w:val="00055213"/>
    <w:rsid w:val="00055A09"/>
    <w:rsid w:val="000564AB"/>
    <w:rsid w:val="0005653E"/>
    <w:rsid w:val="000573BE"/>
    <w:rsid w:val="000631F2"/>
    <w:rsid w:val="00063C63"/>
    <w:rsid w:val="00064D8A"/>
    <w:rsid w:val="00066C15"/>
    <w:rsid w:val="0007165C"/>
    <w:rsid w:val="000762A5"/>
    <w:rsid w:val="00076A6E"/>
    <w:rsid w:val="000A1B02"/>
    <w:rsid w:val="000B6027"/>
    <w:rsid w:val="000C11BC"/>
    <w:rsid w:val="000C560D"/>
    <w:rsid w:val="000C6E91"/>
    <w:rsid w:val="000D20D4"/>
    <w:rsid w:val="000D4CED"/>
    <w:rsid w:val="000D60F8"/>
    <w:rsid w:val="000D7D75"/>
    <w:rsid w:val="000E17BB"/>
    <w:rsid w:val="000E1E5F"/>
    <w:rsid w:val="000E6060"/>
    <w:rsid w:val="000F1AA9"/>
    <w:rsid w:val="000F39EA"/>
    <w:rsid w:val="000F6645"/>
    <w:rsid w:val="001032BD"/>
    <w:rsid w:val="001049F0"/>
    <w:rsid w:val="00106D34"/>
    <w:rsid w:val="001102E9"/>
    <w:rsid w:val="00114FAC"/>
    <w:rsid w:val="00120349"/>
    <w:rsid w:val="001211D0"/>
    <w:rsid w:val="00122B21"/>
    <w:rsid w:val="00126B98"/>
    <w:rsid w:val="00126C16"/>
    <w:rsid w:val="00134F8C"/>
    <w:rsid w:val="001409D3"/>
    <w:rsid w:val="00140B39"/>
    <w:rsid w:val="001421D2"/>
    <w:rsid w:val="0014325B"/>
    <w:rsid w:val="0014667F"/>
    <w:rsid w:val="00151F13"/>
    <w:rsid w:val="001603C0"/>
    <w:rsid w:val="00162437"/>
    <w:rsid w:val="001665FE"/>
    <w:rsid w:val="00167ACF"/>
    <w:rsid w:val="001702D8"/>
    <w:rsid w:val="0018041E"/>
    <w:rsid w:val="0018614C"/>
    <w:rsid w:val="001879D4"/>
    <w:rsid w:val="00191F02"/>
    <w:rsid w:val="00197592"/>
    <w:rsid w:val="001A05C6"/>
    <w:rsid w:val="001A2283"/>
    <w:rsid w:val="001A4637"/>
    <w:rsid w:val="001A4851"/>
    <w:rsid w:val="001B2521"/>
    <w:rsid w:val="001B4C66"/>
    <w:rsid w:val="001B586A"/>
    <w:rsid w:val="001B75D3"/>
    <w:rsid w:val="001C4A5B"/>
    <w:rsid w:val="001C5C82"/>
    <w:rsid w:val="001C6154"/>
    <w:rsid w:val="001D3B2F"/>
    <w:rsid w:val="001E776B"/>
    <w:rsid w:val="001E7A8D"/>
    <w:rsid w:val="001E7C49"/>
    <w:rsid w:val="001F0CE5"/>
    <w:rsid w:val="001F11D4"/>
    <w:rsid w:val="001F13BE"/>
    <w:rsid w:val="001F34D8"/>
    <w:rsid w:val="001F476F"/>
    <w:rsid w:val="001F7266"/>
    <w:rsid w:val="00201169"/>
    <w:rsid w:val="002013B0"/>
    <w:rsid w:val="0020180A"/>
    <w:rsid w:val="00204A63"/>
    <w:rsid w:val="00207D49"/>
    <w:rsid w:val="002105D6"/>
    <w:rsid w:val="002109D4"/>
    <w:rsid w:val="00211248"/>
    <w:rsid w:val="0021199F"/>
    <w:rsid w:val="0021219E"/>
    <w:rsid w:val="00214C1A"/>
    <w:rsid w:val="002257A7"/>
    <w:rsid w:val="002313B1"/>
    <w:rsid w:val="0024055D"/>
    <w:rsid w:val="002427DB"/>
    <w:rsid w:val="00243F9E"/>
    <w:rsid w:val="002441A5"/>
    <w:rsid w:val="00247962"/>
    <w:rsid w:val="00251416"/>
    <w:rsid w:val="00251DFD"/>
    <w:rsid w:val="00253C03"/>
    <w:rsid w:val="00265262"/>
    <w:rsid w:val="00271A19"/>
    <w:rsid w:val="00276730"/>
    <w:rsid w:val="002809C3"/>
    <w:rsid w:val="00291B58"/>
    <w:rsid w:val="00293C63"/>
    <w:rsid w:val="002A4D93"/>
    <w:rsid w:val="002A782D"/>
    <w:rsid w:val="002B16AE"/>
    <w:rsid w:val="002B276C"/>
    <w:rsid w:val="002B3A24"/>
    <w:rsid w:val="002B3DB8"/>
    <w:rsid w:val="002B414F"/>
    <w:rsid w:val="002B5FF1"/>
    <w:rsid w:val="002B73B8"/>
    <w:rsid w:val="002C2A62"/>
    <w:rsid w:val="002C33F6"/>
    <w:rsid w:val="002C37EE"/>
    <w:rsid w:val="002C4FC0"/>
    <w:rsid w:val="002C6C05"/>
    <w:rsid w:val="002D0E2B"/>
    <w:rsid w:val="002D14FA"/>
    <w:rsid w:val="002D6BC5"/>
    <w:rsid w:val="002D6FDA"/>
    <w:rsid w:val="002E183A"/>
    <w:rsid w:val="002E22A2"/>
    <w:rsid w:val="002E234C"/>
    <w:rsid w:val="002F3563"/>
    <w:rsid w:val="002F7F1F"/>
    <w:rsid w:val="00301B1F"/>
    <w:rsid w:val="00303BEA"/>
    <w:rsid w:val="00310003"/>
    <w:rsid w:val="00316B30"/>
    <w:rsid w:val="00320951"/>
    <w:rsid w:val="00327C9E"/>
    <w:rsid w:val="00332759"/>
    <w:rsid w:val="0033425A"/>
    <w:rsid w:val="00334A75"/>
    <w:rsid w:val="00336FC7"/>
    <w:rsid w:val="003412B5"/>
    <w:rsid w:val="003416F3"/>
    <w:rsid w:val="0034522C"/>
    <w:rsid w:val="003455BE"/>
    <w:rsid w:val="00346AAF"/>
    <w:rsid w:val="00347B3A"/>
    <w:rsid w:val="00353909"/>
    <w:rsid w:val="00354997"/>
    <w:rsid w:val="003568DD"/>
    <w:rsid w:val="00356CAB"/>
    <w:rsid w:val="00360465"/>
    <w:rsid w:val="003607D4"/>
    <w:rsid w:val="00360AE7"/>
    <w:rsid w:val="003612D2"/>
    <w:rsid w:val="00361BA8"/>
    <w:rsid w:val="003638D7"/>
    <w:rsid w:val="00380A85"/>
    <w:rsid w:val="0038177E"/>
    <w:rsid w:val="00381B58"/>
    <w:rsid w:val="00382503"/>
    <w:rsid w:val="003837C1"/>
    <w:rsid w:val="00384422"/>
    <w:rsid w:val="00391420"/>
    <w:rsid w:val="003945D9"/>
    <w:rsid w:val="00397B73"/>
    <w:rsid w:val="003A586C"/>
    <w:rsid w:val="003B1B29"/>
    <w:rsid w:val="003B267C"/>
    <w:rsid w:val="003B40EE"/>
    <w:rsid w:val="003B6890"/>
    <w:rsid w:val="003C342F"/>
    <w:rsid w:val="003C4520"/>
    <w:rsid w:val="003D2C79"/>
    <w:rsid w:val="003E3048"/>
    <w:rsid w:val="003E59C7"/>
    <w:rsid w:val="003F4D32"/>
    <w:rsid w:val="00403F77"/>
    <w:rsid w:val="0040425F"/>
    <w:rsid w:val="0041016A"/>
    <w:rsid w:val="004153DE"/>
    <w:rsid w:val="0041753A"/>
    <w:rsid w:val="00420103"/>
    <w:rsid w:val="0042049D"/>
    <w:rsid w:val="004242DA"/>
    <w:rsid w:val="00430C6E"/>
    <w:rsid w:val="00433CF1"/>
    <w:rsid w:val="00434661"/>
    <w:rsid w:val="00437679"/>
    <w:rsid w:val="00443B88"/>
    <w:rsid w:val="00445038"/>
    <w:rsid w:val="00446946"/>
    <w:rsid w:val="0045066F"/>
    <w:rsid w:val="004520CF"/>
    <w:rsid w:val="00452B51"/>
    <w:rsid w:val="0045464C"/>
    <w:rsid w:val="00454A70"/>
    <w:rsid w:val="00456381"/>
    <w:rsid w:val="00456FD0"/>
    <w:rsid w:val="004612EA"/>
    <w:rsid w:val="00461BB2"/>
    <w:rsid w:val="004675C5"/>
    <w:rsid w:val="00467FAF"/>
    <w:rsid w:val="004729CD"/>
    <w:rsid w:val="00475B9E"/>
    <w:rsid w:val="004761C7"/>
    <w:rsid w:val="00476C39"/>
    <w:rsid w:val="00476C8C"/>
    <w:rsid w:val="00480D39"/>
    <w:rsid w:val="00483E1C"/>
    <w:rsid w:val="00484897"/>
    <w:rsid w:val="0048600A"/>
    <w:rsid w:val="00487245"/>
    <w:rsid w:val="00496F1A"/>
    <w:rsid w:val="004A0D11"/>
    <w:rsid w:val="004A27E1"/>
    <w:rsid w:val="004A3BDD"/>
    <w:rsid w:val="004A3E5C"/>
    <w:rsid w:val="004A7765"/>
    <w:rsid w:val="004A77F0"/>
    <w:rsid w:val="004B3920"/>
    <w:rsid w:val="004B3EA5"/>
    <w:rsid w:val="004B4DE8"/>
    <w:rsid w:val="004B76CA"/>
    <w:rsid w:val="004C2DCE"/>
    <w:rsid w:val="004C3585"/>
    <w:rsid w:val="004C6E43"/>
    <w:rsid w:val="004D118D"/>
    <w:rsid w:val="004D2A3B"/>
    <w:rsid w:val="004E0E05"/>
    <w:rsid w:val="004E2C72"/>
    <w:rsid w:val="004F5FC8"/>
    <w:rsid w:val="00501A9C"/>
    <w:rsid w:val="0050397B"/>
    <w:rsid w:val="00505524"/>
    <w:rsid w:val="005064FF"/>
    <w:rsid w:val="00510208"/>
    <w:rsid w:val="00510858"/>
    <w:rsid w:val="00510A32"/>
    <w:rsid w:val="0051111B"/>
    <w:rsid w:val="00513C3E"/>
    <w:rsid w:val="005153F7"/>
    <w:rsid w:val="0051560C"/>
    <w:rsid w:val="00515CBC"/>
    <w:rsid w:val="0052191D"/>
    <w:rsid w:val="005261EE"/>
    <w:rsid w:val="005262E6"/>
    <w:rsid w:val="00526EA0"/>
    <w:rsid w:val="0053085E"/>
    <w:rsid w:val="00530CAF"/>
    <w:rsid w:val="00531ED7"/>
    <w:rsid w:val="00537EE5"/>
    <w:rsid w:val="00543F39"/>
    <w:rsid w:val="00545C1A"/>
    <w:rsid w:val="0055358D"/>
    <w:rsid w:val="005656CC"/>
    <w:rsid w:val="00570468"/>
    <w:rsid w:val="00572323"/>
    <w:rsid w:val="00580077"/>
    <w:rsid w:val="00581114"/>
    <w:rsid w:val="005857AD"/>
    <w:rsid w:val="005900A0"/>
    <w:rsid w:val="0059087A"/>
    <w:rsid w:val="00591620"/>
    <w:rsid w:val="00591EA2"/>
    <w:rsid w:val="005926DB"/>
    <w:rsid w:val="00593727"/>
    <w:rsid w:val="005A1B43"/>
    <w:rsid w:val="005A1EE5"/>
    <w:rsid w:val="005A31E6"/>
    <w:rsid w:val="005A4334"/>
    <w:rsid w:val="005B4E27"/>
    <w:rsid w:val="005B6874"/>
    <w:rsid w:val="005C2DC1"/>
    <w:rsid w:val="005C4271"/>
    <w:rsid w:val="005C4744"/>
    <w:rsid w:val="005C77C0"/>
    <w:rsid w:val="005D7150"/>
    <w:rsid w:val="005D72E9"/>
    <w:rsid w:val="005E33F8"/>
    <w:rsid w:val="005E5106"/>
    <w:rsid w:val="005F121A"/>
    <w:rsid w:val="005F20E1"/>
    <w:rsid w:val="005F791E"/>
    <w:rsid w:val="00602C47"/>
    <w:rsid w:val="00603E5F"/>
    <w:rsid w:val="006051B9"/>
    <w:rsid w:val="006073CD"/>
    <w:rsid w:val="00607E96"/>
    <w:rsid w:val="006159FF"/>
    <w:rsid w:val="006179E3"/>
    <w:rsid w:val="00622708"/>
    <w:rsid w:val="00624AAF"/>
    <w:rsid w:val="006250DE"/>
    <w:rsid w:val="00630FDE"/>
    <w:rsid w:val="00631423"/>
    <w:rsid w:val="00631788"/>
    <w:rsid w:val="0063539C"/>
    <w:rsid w:val="006404DA"/>
    <w:rsid w:val="00645DE4"/>
    <w:rsid w:val="00653AF5"/>
    <w:rsid w:val="00656716"/>
    <w:rsid w:val="0065771B"/>
    <w:rsid w:val="006602F4"/>
    <w:rsid w:val="00663DAC"/>
    <w:rsid w:val="00664A25"/>
    <w:rsid w:val="00665FD1"/>
    <w:rsid w:val="006671BA"/>
    <w:rsid w:val="006678A5"/>
    <w:rsid w:val="00670351"/>
    <w:rsid w:val="0067346A"/>
    <w:rsid w:val="006773E5"/>
    <w:rsid w:val="00677E65"/>
    <w:rsid w:val="00681E4F"/>
    <w:rsid w:val="006851EF"/>
    <w:rsid w:val="006874CD"/>
    <w:rsid w:val="00687E03"/>
    <w:rsid w:val="006950C5"/>
    <w:rsid w:val="0069568F"/>
    <w:rsid w:val="006A035E"/>
    <w:rsid w:val="006A11F2"/>
    <w:rsid w:val="006A1F17"/>
    <w:rsid w:val="006A4033"/>
    <w:rsid w:val="006A55A2"/>
    <w:rsid w:val="006B0D1A"/>
    <w:rsid w:val="006B6B03"/>
    <w:rsid w:val="006B7521"/>
    <w:rsid w:val="006C12E7"/>
    <w:rsid w:val="006C158F"/>
    <w:rsid w:val="006C3011"/>
    <w:rsid w:val="006D08FD"/>
    <w:rsid w:val="006D562C"/>
    <w:rsid w:val="006E2811"/>
    <w:rsid w:val="006E632B"/>
    <w:rsid w:val="006E6D47"/>
    <w:rsid w:val="006E7614"/>
    <w:rsid w:val="006F2257"/>
    <w:rsid w:val="006F3624"/>
    <w:rsid w:val="00701AF8"/>
    <w:rsid w:val="007056AC"/>
    <w:rsid w:val="007129AB"/>
    <w:rsid w:val="00712D33"/>
    <w:rsid w:val="0071433C"/>
    <w:rsid w:val="00720BDE"/>
    <w:rsid w:val="00722278"/>
    <w:rsid w:val="007248C4"/>
    <w:rsid w:val="0072664E"/>
    <w:rsid w:val="00726A1F"/>
    <w:rsid w:val="00726FDB"/>
    <w:rsid w:val="0072760C"/>
    <w:rsid w:val="007327C6"/>
    <w:rsid w:val="00732EE3"/>
    <w:rsid w:val="00733936"/>
    <w:rsid w:val="0073419A"/>
    <w:rsid w:val="00734F4D"/>
    <w:rsid w:val="00736FB8"/>
    <w:rsid w:val="0074553E"/>
    <w:rsid w:val="00747FA6"/>
    <w:rsid w:val="007627F3"/>
    <w:rsid w:val="00763EE7"/>
    <w:rsid w:val="00764ED5"/>
    <w:rsid w:val="0076628C"/>
    <w:rsid w:val="00773A11"/>
    <w:rsid w:val="007748ED"/>
    <w:rsid w:val="007753E4"/>
    <w:rsid w:val="00777897"/>
    <w:rsid w:val="00783BCE"/>
    <w:rsid w:val="00785873"/>
    <w:rsid w:val="0079006D"/>
    <w:rsid w:val="00792DD3"/>
    <w:rsid w:val="00792F71"/>
    <w:rsid w:val="007943FE"/>
    <w:rsid w:val="007949DC"/>
    <w:rsid w:val="00797065"/>
    <w:rsid w:val="00797B1E"/>
    <w:rsid w:val="007A6194"/>
    <w:rsid w:val="007C1206"/>
    <w:rsid w:val="007C14A2"/>
    <w:rsid w:val="007C22DD"/>
    <w:rsid w:val="007C31CE"/>
    <w:rsid w:val="007C6091"/>
    <w:rsid w:val="007C71A7"/>
    <w:rsid w:val="007D3C9B"/>
    <w:rsid w:val="007E0021"/>
    <w:rsid w:val="007E2174"/>
    <w:rsid w:val="007E7905"/>
    <w:rsid w:val="007E79C1"/>
    <w:rsid w:val="007F1730"/>
    <w:rsid w:val="007F3C7C"/>
    <w:rsid w:val="007F4A47"/>
    <w:rsid w:val="007F7718"/>
    <w:rsid w:val="00803766"/>
    <w:rsid w:val="00803D14"/>
    <w:rsid w:val="00807088"/>
    <w:rsid w:val="00811438"/>
    <w:rsid w:val="008212A7"/>
    <w:rsid w:val="00823915"/>
    <w:rsid w:val="008243FE"/>
    <w:rsid w:val="00832A90"/>
    <w:rsid w:val="00832F11"/>
    <w:rsid w:val="008357FA"/>
    <w:rsid w:val="008401F4"/>
    <w:rsid w:val="0084247B"/>
    <w:rsid w:val="0084501B"/>
    <w:rsid w:val="008552CD"/>
    <w:rsid w:val="008653EA"/>
    <w:rsid w:val="00866FC0"/>
    <w:rsid w:val="008779DA"/>
    <w:rsid w:val="00880C8F"/>
    <w:rsid w:val="008812A7"/>
    <w:rsid w:val="008A5DF2"/>
    <w:rsid w:val="008B155F"/>
    <w:rsid w:val="008B16A4"/>
    <w:rsid w:val="008B360F"/>
    <w:rsid w:val="008B7E5F"/>
    <w:rsid w:val="008C0828"/>
    <w:rsid w:val="008C490B"/>
    <w:rsid w:val="008C4C07"/>
    <w:rsid w:val="008C7DB7"/>
    <w:rsid w:val="008D0B1D"/>
    <w:rsid w:val="008D4E90"/>
    <w:rsid w:val="008D785C"/>
    <w:rsid w:val="008E0147"/>
    <w:rsid w:val="008E115D"/>
    <w:rsid w:val="008E1406"/>
    <w:rsid w:val="008E2E78"/>
    <w:rsid w:val="008E3249"/>
    <w:rsid w:val="008E5917"/>
    <w:rsid w:val="008E782E"/>
    <w:rsid w:val="008F249C"/>
    <w:rsid w:val="008F3372"/>
    <w:rsid w:val="008F420E"/>
    <w:rsid w:val="008F51F6"/>
    <w:rsid w:val="00901CA5"/>
    <w:rsid w:val="0090462B"/>
    <w:rsid w:val="00905D65"/>
    <w:rsid w:val="00935C30"/>
    <w:rsid w:val="00936AB2"/>
    <w:rsid w:val="0094135A"/>
    <w:rsid w:val="00942AB5"/>
    <w:rsid w:val="00942D7E"/>
    <w:rsid w:val="00943122"/>
    <w:rsid w:val="0094546E"/>
    <w:rsid w:val="009509E2"/>
    <w:rsid w:val="0095236F"/>
    <w:rsid w:val="00953C02"/>
    <w:rsid w:val="00957307"/>
    <w:rsid w:val="00960160"/>
    <w:rsid w:val="0096177D"/>
    <w:rsid w:val="00961DE8"/>
    <w:rsid w:val="009717EC"/>
    <w:rsid w:val="00976B0A"/>
    <w:rsid w:val="009848A4"/>
    <w:rsid w:val="009910FC"/>
    <w:rsid w:val="0099292C"/>
    <w:rsid w:val="0099636B"/>
    <w:rsid w:val="00996844"/>
    <w:rsid w:val="0099701B"/>
    <w:rsid w:val="009A1525"/>
    <w:rsid w:val="009A292C"/>
    <w:rsid w:val="009A5736"/>
    <w:rsid w:val="009A5F22"/>
    <w:rsid w:val="009B0304"/>
    <w:rsid w:val="009B0AE1"/>
    <w:rsid w:val="009B38C4"/>
    <w:rsid w:val="009C5489"/>
    <w:rsid w:val="009D2A36"/>
    <w:rsid w:val="009D35FF"/>
    <w:rsid w:val="009D4153"/>
    <w:rsid w:val="009D52B6"/>
    <w:rsid w:val="009D6C65"/>
    <w:rsid w:val="009E14D8"/>
    <w:rsid w:val="009E1D08"/>
    <w:rsid w:val="009E2F12"/>
    <w:rsid w:val="009E640A"/>
    <w:rsid w:val="009E6866"/>
    <w:rsid w:val="009F14F0"/>
    <w:rsid w:val="009F2BC6"/>
    <w:rsid w:val="009F2FBF"/>
    <w:rsid w:val="009F4249"/>
    <w:rsid w:val="009F65F2"/>
    <w:rsid w:val="009F7292"/>
    <w:rsid w:val="00A006D9"/>
    <w:rsid w:val="00A015BB"/>
    <w:rsid w:val="00A04654"/>
    <w:rsid w:val="00A12F73"/>
    <w:rsid w:val="00A16CAD"/>
    <w:rsid w:val="00A2405A"/>
    <w:rsid w:val="00A267A9"/>
    <w:rsid w:val="00A26EE8"/>
    <w:rsid w:val="00A34D5E"/>
    <w:rsid w:val="00A35448"/>
    <w:rsid w:val="00A40361"/>
    <w:rsid w:val="00A4188B"/>
    <w:rsid w:val="00A4737F"/>
    <w:rsid w:val="00A61694"/>
    <w:rsid w:val="00A76FFD"/>
    <w:rsid w:val="00A913C0"/>
    <w:rsid w:val="00A91EFB"/>
    <w:rsid w:val="00A937D6"/>
    <w:rsid w:val="00A96029"/>
    <w:rsid w:val="00AA4779"/>
    <w:rsid w:val="00AB4970"/>
    <w:rsid w:val="00AB71EA"/>
    <w:rsid w:val="00AC0397"/>
    <w:rsid w:val="00AC1B55"/>
    <w:rsid w:val="00AC289A"/>
    <w:rsid w:val="00AC5174"/>
    <w:rsid w:val="00AC5A27"/>
    <w:rsid w:val="00AC674D"/>
    <w:rsid w:val="00AD1BA7"/>
    <w:rsid w:val="00AD3193"/>
    <w:rsid w:val="00AD78A0"/>
    <w:rsid w:val="00AE06D5"/>
    <w:rsid w:val="00AE0F04"/>
    <w:rsid w:val="00AE10A7"/>
    <w:rsid w:val="00B04B67"/>
    <w:rsid w:val="00B15E24"/>
    <w:rsid w:val="00B1605F"/>
    <w:rsid w:val="00B23EB8"/>
    <w:rsid w:val="00B2448A"/>
    <w:rsid w:val="00B260F3"/>
    <w:rsid w:val="00B27914"/>
    <w:rsid w:val="00B33E22"/>
    <w:rsid w:val="00B36371"/>
    <w:rsid w:val="00B42709"/>
    <w:rsid w:val="00B45686"/>
    <w:rsid w:val="00B47857"/>
    <w:rsid w:val="00B5008B"/>
    <w:rsid w:val="00B50DE3"/>
    <w:rsid w:val="00B51C69"/>
    <w:rsid w:val="00B620D4"/>
    <w:rsid w:val="00B62B50"/>
    <w:rsid w:val="00B62E6D"/>
    <w:rsid w:val="00B6367A"/>
    <w:rsid w:val="00B66808"/>
    <w:rsid w:val="00B71B63"/>
    <w:rsid w:val="00B803FF"/>
    <w:rsid w:val="00B8573A"/>
    <w:rsid w:val="00B91694"/>
    <w:rsid w:val="00B935B8"/>
    <w:rsid w:val="00B93760"/>
    <w:rsid w:val="00BA30B6"/>
    <w:rsid w:val="00BA73B0"/>
    <w:rsid w:val="00BA7768"/>
    <w:rsid w:val="00BB0CDC"/>
    <w:rsid w:val="00BB151A"/>
    <w:rsid w:val="00BB171E"/>
    <w:rsid w:val="00BB6D13"/>
    <w:rsid w:val="00BC3FC6"/>
    <w:rsid w:val="00BC62F8"/>
    <w:rsid w:val="00BC7B5B"/>
    <w:rsid w:val="00BD2A8A"/>
    <w:rsid w:val="00BD452D"/>
    <w:rsid w:val="00BD5509"/>
    <w:rsid w:val="00BD6C96"/>
    <w:rsid w:val="00BD7B1F"/>
    <w:rsid w:val="00BE58C0"/>
    <w:rsid w:val="00BE6D87"/>
    <w:rsid w:val="00BF5A23"/>
    <w:rsid w:val="00BF5B41"/>
    <w:rsid w:val="00BF6080"/>
    <w:rsid w:val="00BF714D"/>
    <w:rsid w:val="00C007E9"/>
    <w:rsid w:val="00C06B81"/>
    <w:rsid w:val="00C1526F"/>
    <w:rsid w:val="00C17211"/>
    <w:rsid w:val="00C21C89"/>
    <w:rsid w:val="00C223AF"/>
    <w:rsid w:val="00C24AC8"/>
    <w:rsid w:val="00C3213B"/>
    <w:rsid w:val="00C354A5"/>
    <w:rsid w:val="00C40289"/>
    <w:rsid w:val="00C428DC"/>
    <w:rsid w:val="00C4409A"/>
    <w:rsid w:val="00C479F5"/>
    <w:rsid w:val="00C50D94"/>
    <w:rsid w:val="00C51F18"/>
    <w:rsid w:val="00C5472F"/>
    <w:rsid w:val="00C5653C"/>
    <w:rsid w:val="00C5775B"/>
    <w:rsid w:val="00C57F45"/>
    <w:rsid w:val="00C62034"/>
    <w:rsid w:val="00C640E4"/>
    <w:rsid w:val="00C6701D"/>
    <w:rsid w:val="00C67578"/>
    <w:rsid w:val="00C72CF9"/>
    <w:rsid w:val="00C77A45"/>
    <w:rsid w:val="00C920BB"/>
    <w:rsid w:val="00C9437F"/>
    <w:rsid w:val="00C968B5"/>
    <w:rsid w:val="00CA2798"/>
    <w:rsid w:val="00CA51BD"/>
    <w:rsid w:val="00CB3497"/>
    <w:rsid w:val="00CC10E4"/>
    <w:rsid w:val="00CC1AC3"/>
    <w:rsid w:val="00CC3274"/>
    <w:rsid w:val="00CD179D"/>
    <w:rsid w:val="00CD45EB"/>
    <w:rsid w:val="00CD5206"/>
    <w:rsid w:val="00CD73FB"/>
    <w:rsid w:val="00CE3FB3"/>
    <w:rsid w:val="00CF2CF7"/>
    <w:rsid w:val="00CF41F5"/>
    <w:rsid w:val="00CF53CA"/>
    <w:rsid w:val="00D026E3"/>
    <w:rsid w:val="00D04CDE"/>
    <w:rsid w:val="00D04FD2"/>
    <w:rsid w:val="00D052C3"/>
    <w:rsid w:val="00D07C61"/>
    <w:rsid w:val="00D10684"/>
    <w:rsid w:val="00D10FAC"/>
    <w:rsid w:val="00D127DF"/>
    <w:rsid w:val="00D14346"/>
    <w:rsid w:val="00D15016"/>
    <w:rsid w:val="00D172F4"/>
    <w:rsid w:val="00D24F3A"/>
    <w:rsid w:val="00D2515F"/>
    <w:rsid w:val="00D261F2"/>
    <w:rsid w:val="00D3009B"/>
    <w:rsid w:val="00D33F7E"/>
    <w:rsid w:val="00D3530E"/>
    <w:rsid w:val="00D41E2A"/>
    <w:rsid w:val="00D4497D"/>
    <w:rsid w:val="00D46A0E"/>
    <w:rsid w:val="00D472E4"/>
    <w:rsid w:val="00D47D1D"/>
    <w:rsid w:val="00D53A9F"/>
    <w:rsid w:val="00D5435D"/>
    <w:rsid w:val="00D56764"/>
    <w:rsid w:val="00D5749E"/>
    <w:rsid w:val="00D62B9B"/>
    <w:rsid w:val="00D6608D"/>
    <w:rsid w:val="00D745E9"/>
    <w:rsid w:val="00D868B6"/>
    <w:rsid w:val="00D87336"/>
    <w:rsid w:val="00D93C3D"/>
    <w:rsid w:val="00DA0C85"/>
    <w:rsid w:val="00DA230F"/>
    <w:rsid w:val="00DC0C43"/>
    <w:rsid w:val="00DC14F9"/>
    <w:rsid w:val="00DC686A"/>
    <w:rsid w:val="00DD1ED5"/>
    <w:rsid w:val="00DD7BFC"/>
    <w:rsid w:val="00DE4C3D"/>
    <w:rsid w:val="00DE5FC9"/>
    <w:rsid w:val="00DE64BA"/>
    <w:rsid w:val="00DF4AB5"/>
    <w:rsid w:val="00DF5D4F"/>
    <w:rsid w:val="00DF66F6"/>
    <w:rsid w:val="00DF7A07"/>
    <w:rsid w:val="00E0065D"/>
    <w:rsid w:val="00E02E1B"/>
    <w:rsid w:val="00E116A3"/>
    <w:rsid w:val="00E23F92"/>
    <w:rsid w:val="00E34387"/>
    <w:rsid w:val="00E34798"/>
    <w:rsid w:val="00E37885"/>
    <w:rsid w:val="00E37BFA"/>
    <w:rsid w:val="00E47B26"/>
    <w:rsid w:val="00E53E2D"/>
    <w:rsid w:val="00E61278"/>
    <w:rsid w:val="00E63426"/>
    <w:rsid w:val="00E714C6"/>
    <w:rsid w:val="00E71C37"/>
    <w:rsid w:val="00E723C6"/>
    <w:rsid w:val="00E72528"/>
    <w:rsid w:val="00E72747"/>
    <w:rsid w:val="00E73CF7"/>
    <w:rsid w:val="00E77A77"/>
    <w:rsid w:val="00E8332D"/>
    <w:rsid w:val="00E84481"/>
    <w:rsid w:val="00E84D48"/>
    <w:rsid w:val="00E90775"/>
    <w:rsid w:val="00E91330"/>
    <w:rsid w:val="00E938B9"/>
    <w:rsid w:val="00E96D17"/>
    <w:rsid w:val="00E96F91"/>
    <w:rsid w:val="00E97663"/>
    <w:rsid w:val="00E97EE3"/>
    <w:rsid w:val="00EA4906"/>
    <w:rsid w:val="00EA4DA5"/>
    <w:rsid w:val="00EB1192"/>
    <w:rsid w:val="00EB2084"/>
    <w:rsid w:val="00EB3577"/>
    <w:rsid w:val="00EB37F4"/>
    <w:rsid w:val="00EB7AE7"/>
    <w:rsid w:val="00EB7C2D"/>
    <w:rsid w:val="00EC7A7C"/>
    <w:rsid w:val="00ED6EDC"/>
    <w:rsid w:val="00EE1895"/>
    <w:rsid w:val="00EE7F5F"/>
    <w:rsid w:val="00EF2B77"/>
    <w:rsid w:val="00EF5937"/>
    <w:rsid w:val="00EF6C30"/>
    <w:rsid w:val="00F012A1"/>
    <w:rsid w:val="00F0263E"/>
    <w:rsid w:val="00F0393A"/>
    <w:rsid w:val="00F04838"/>
    <w:rsid w:val="00F04C08"/>
    <w:rsid w:val="00F05F69"/>
    <w:rsid w:val="00F1091E"/>
    <w:rsid w:val="00F152BE"/>
    <w:rsid w:val="00F1715C"/>
    <w:rsid w:val="00F17D5F"/>
    <w:rsid w:val="00F23F92"/>
    <w:rsid w:val="00F27ED6"/>
    <w:rsid w:val="00F33FE0"/>
    <w:rsid w:val="00F4065A"/>
    <w:rsid w:val="00F44577"/>
    <w:rsid w:val="00F46790"/>
    <w:rsid w:val="00F470F9"/>
    <w:rsid w:val="00F474F6"/>
    <w:rsid w:val="00F5786F"/>
    <w:rsid w:val="00F57D95"/>
    <w:rsid w:val="00F652C0"/>
    <w:rsid w:val="00F773FF"/>
    <w:rsid w:val="00F81969"/>
    <w:rsid w:val="00F83DA2"/>
    <w:rsid w:val="00F84560"/>
    <w:rsid w:val="00F84978"/>
    <w:rsid w:val="00F91925"/>
    <w:rsid w:val="00F9339C"/>
    <w:rsid w:val="00F93654"/>
    <w:rsid w:val="00F968C3"/>
    <w:rsid w:val="00FA023C"/>
    <w:rsid w:val="00FA4701"/>
    <w:rsid w:val="00FA60E2"/>
    <w:rsid w:val="00FB39EF"/>
    <w:rsid w:val="00FB4A39"/>
    <w:rsid w:val="00FC0743"/>
    <w:rsid w:val="00FC352D"/>
    <w:rsid w:val="00FC5A04"/>
    <w:rsid w:val="00FD40BE"/>
    <w:rsid w:val="00FD5D4C"/>
    <w:rsid w:val="00FD7A57"/>
    <w:rsid w:val="00FE2B94"/>
    <w:rsid w:val="00FE79F6"/>
    <w:rsid w:val="00FF0D8F"/>
    <w:rsid w:val="00FF22FD"/>
    <w:rsid w:val="00FF61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765"/>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59FF"/>
    <w:pPr>
      <w:tabs>
        <w:tab w:val="center" w:pos="4513"/>
        <w:tab w:val="right" w:pos="9026"/>
      </w:tabs>
      <w:snapToGrid w:val="0"/>
    </w:pPr>
  </w:style>
  <w:style w:type="character" w:customStyle="1" w:styleId="HeaderChar">
    <w:name w:val="Header Char"/>
    <w:link w:val="Header"/>
    <w:uiPriority w:val="99"/>
    <w:rsid w:val="006159FF"/>
    <w:rPr>
      <w:sz w:val="24"/>
      <w:szCs w:val="24"/>
      <w:lang w:val="ru-RU" w:eastAsia="ru-RU"/>
    </w:rPr>
  </w:style>
  <w:style w:type="paragraph" w:styleId="Footer">
    <w:name w:val="footer"/>
    <w:basedOn w:val="Normal"/>
    <w:link w:val="FooterChar"/>
    <w:uiPriority w:val="99"/>
    <w:rsid w:val="006159FF"/>
    <w:pPr>
      <w:tabs>
        <w:tab w:val="center" w:pos="4513"/>
        <w:tab w:val="right" w:pos="9026"/>
      </w:tabs>
      <w:snapToGrid w:val="0"/>
    </w:pPr>
  </w:style>
  <w:style w:type="character" w:customStyle="1" w:styleId="FooterChar">
    <w:name w:val="Footer Char"/>
    <w:link w:val="Footer"/>
    <w:uiPriority w:val="99"/>
    <w:rsid w:val="006159FF"/>
    <w:rPr>
      <w:sz w:val="24"/>
      <w:szCs w:val="24"/>
      <w:lang w:val="ru-RU" w:eastAsia="ru-RU"/>
    </w:rPr>
  </w:style>
  <w:style w:type="character" w:styleId="Hyperlink">
    <w:name w:val="Hyperlink"/>
    <w:uiPriority w:val="99"/>
    <w:rsid w:val="00631423"/>
    <w:rPr>
      <w:color w:val="0000FF"/>
      <w:u w:val="single"/>
    </w:rPr>
  </w:style>
  <w:style w:type="paragraph" w:styleId="FootnoteText">
    <w:name w:val="footnote text"/>
    <w:basedOn w:val="Normal"/>
    <w:link w:val="FootnoteTextChar"/>
    <w:rsid w:val="00631423"/>
    <w:rPr>
      <w:sz w:val="20"/>
      <w:szCs w:val="20"/>
      <w:lang w:val="fr-CA" w:eastAsia="fr-CA"/>
    </w:rPr>
  </w:style>
  <w:style w:type="character" w:customStyle="1" w:styleId="FootnoteTextChar">
    <w:name w:val="Footnote Text Char"/>
    <w:link w:val="FootnoteText"/>
    <w:rsid w:val="00631423"/>
    <w:rPr>
      <w:lang w:val="fr-CA" w:eastAsia="fr-CA"/>
    </w:rPr>
  </w:style>
  <w:style w:type="character" w:styleId="FootnoteReference">
    <w:name w:val="footnote reference"/>
    <w:rsid w:val="00631423"/>
    <w:rPr>
      <w:vertAlign w:val="superscript"/>
    </w:rPr>
  </w:style>
  <w:style w:type="character" w:styleId="FollowedHyperlink">
    <w:name w:val="FollowedHyperlink"/>
    <w:rsid w:val="00631423"/>
    <w:rPr>
      <w:color w:val="800080"/>
      <w:u w:val="single"/>
    </w:rPr>
  </w:style>
  <w:style w:type="character" w:styleId="PageNumber">
    <w:name w:val="page number"/>
    <w:rsid w:val="00631423"/>
  </w:style>
  <w:style w:type="character" w:customStyle="1" w:styleId="Lienhypertexte4">
    <w:name w:val="Lien hypertexte4"/>
    <w:rsid w:val="00631423"/>
    <w:rPr>
      <w:strike w:val="0"/>
      <w:dstrike w:val="0"/>
      <w:color w:val="0000FF"/>
      <w:u w:val="none"/>
      <w:effect w:val="none"/>
    </w:rPr>
  </w:style>
  <w:style w:type="paragraph" w:styleId="BodyText">
    <w:name w:val="Body Text"/>
    <w:basedOn w:val="Normal"/>
    <w:link w:val="BodyTextChar"/>
    <w:uiPriority w:val="99"/>
    <w:rsid w:val="00631423"/>
    <w:pPr>
      <w:jc w:val="both"/>
    </w:pPr>
    <w:rPr>
      <w:szCs w:val="20"/>
      <w:lang w:val="en-CA" w:eastAsia="fr-CA"/>
    </w:rPr>
  </w:style>
  <w:style w:type="character" w:customStyle="1" w:styleId="BodyTextChar">
    <w:name w:val="Body Text Char"/>
    <w:link w:val="BodyText"/>
    <w:uiPriority w:val="99"/>
    <w:rsid w:val="00631423"/>
    <w:rPr>
      <w:sz w:val="24"/>
      <w:lang w:val="en-CA" w:eastAsia="fr-CA"/>
    </w:rPr>
  </w:style>
  <w:style w:type="character" w:styleId="CommentReference">
    <w:name w:val="annotation reference"/>
    <w:unhideWhenUsed/>
    <w:rsid w:val="00631423"/>
    <w:rPr>
      <w:sz w:val="16"/>
      <w:szCs w:val="16"/>
    </w:rPr>
  </w:style>
  <w:style w:type="paragraph" w:styleId="CommentText">
    <w:name w:val="annotation text"/>
    <w:basedOn w:val="Normal"/>
    <w:link w:val="CommentTextChar"/>
    <w:uiPriority w:val="99"/>
    <w:unhideWhenUsed/>
    <w:rsid w:val="00631423"/>
    <w:rPr>
      <w:sz w:val="20"/>
      <w:szCs w:val="20"/>
      <w:lang w:val="fr-CA" w:eastAsia="fr-CA"/>
    </w:rPr>
  </w:style>
  <w:style w:type="character" w:customStyle="1" w:styleId="CommentTextChar">
    <w:name w:val="Comment Text Char"/>
    <w:link w:val="CommentText"/>
    <w:uiPriority w:val="99"/>
    <w:rsid w:val="00631423"/>
    <w:rPr>
      <w:lang w:val="fr-CA" w:eastAsia="fr-CA"/>
    </w:rPr>
  </w:style>
  <w:style w:type="paragraph" w:styleId="CommentSubject">
    <w:name w:val="annotation subject"/>
    <w:basedOn w:val="CommentText"/>
    <w:next w:val="CommentText"/>
    <w:link w:val="CommentSubjectChar"/>
    <w:uiPriority w:val="99"/>
    <w:unhideWhenUsed/>
    <w:rsid w:val="00631423"/>
    <w:rPr>
      <w:b/>
      <w:bCs/>
    </w:rPr>
  </w:style>
  <w:style w:type="character" w:customStyle="1" w:styleId="CommentSubjectChar">
    <w:name w:val="Comment Subject Char"/>
    <w:link w:val="CommentSubject"/>
    <w:uiPriority w:val="99"/>
    <w:rsid w:val="00631423"/>
    <w:rPr>
      <w:b/>
      <w:bCs/>
      <w:lang w:val="fr-CA" w:eastAsia="fr-CA"/>
    </w:rPr>
  </w:style>
  <w:style w:type="paragraph" w:styleId="BalloonText">
    <w:name w:val="Balloon Text"/>
    <w:basedOn w:val="Normal"/>
    <w:link w:val="BalloonTextChar"/>
    <w:uiPriority w:val="99"/>
    <w:unhideWhenUsed/>
    <w:rsid w:val="00631423"/>
    <w:rPr>
      <w:rFonts w:ascii="Tahoma" w:hAnsi="Tahoma"/>
      <w:sz w:val="16"/>
      <w:szCs w:val="16"/>
      <w:lang w:val="fr-CA" w:eastAsia="fr-CA"/>
    </w:rPr>
  </w:style>
  <w:style w:type="character" w:customStyle="1" w:styleId="BalloonTextChar">
    <w:name w:val="Balloon Text Char"/>
    <w:link w:val="BalloonText"/>
    <w:uiPriority w:val="99"/>
    <w:rsid w:val="00631423"/>
    <w:rPr>
      <w:rFonts w:ascii="Tahoma" w:hAnsi="Tahoma"/>
      <w:sz w:val="16"/>
      <w:szCs w:val="16"/>
      <w:lang w:val="fr-CA" w:eastAsia="fr-CA"/>
    </w:rPr>
  </w:style>
  <w:style w:type="paragraph" w:customStyle="1" w:styleId="a">
    <w:name w:val="간격 없음"/>
    <w:link w:val="Char"/>
    <w:uiPriority w:val="1"/>
    <w:qFormat/>
    <w:rsid w:val="00631423"/>
    <w:rPr>
      <w:rFonts w:ascii="Calibri" w:eastAsia="Times New Roman" w:hAnsi="Calibri"/>
      <w:sz w:val="22"/>
      <w:szCs w:val="22"/>
      <w:lang w:eastAsia="en-US"/>
    </w:rPr>
  </w:style>
  <w:style w:type="character" w:customStyle="1" w:styleId="Char">
    <w:name w:val="간격 없음 Char"/>
    <w:link w:val="a"/>
    <w:uiPriority w:val="1"/>
    <w:rsid w:val="00631423"/>
    <w:rPr>
      <w:rFonts w:ascii="Calibri" w:eastAsia="Times New Roman" w:hAnsi="Calibri"/>
      <w:sz w:val="22"/>
      <w:szCs w:val="22"/>
      <w:lang w:eastAsia="en-US" w:bidi="ar-SA"/>
    </w:rPr>
  </w:style>
  <w:style w:type="character" w:styleId="Strong">
    <w:name w:val="Strong"/>
    <w:qFormat/>
    <w:rsid w:val="00316B30"/>
    <w:rPr>
      <w:b/>
      <w:bCs/>
    </w:rPr>
  </w:style>
  <w:style w:type="paragraph" w:customStyle="1" w:styleId="s0">
    <w:name w:val="s0"/>
    <w:rsid w:val="00F83DA2"/>
    <w:pPr>
      <w:widowControl w:val="0"/>
      <w:autoSpaceDE w:val="0"/>
      <w:autoSpaceDN w:val="0"/>
      <w:adjustRightInd w:val="0"/>
    </w:pPr>
    <w:rPr>
      <w:rFonts w:ascii="Batang" w:eastAsia="Batang" w:hAnsi="Malgun Gothic"/>
      <w:color w:val="000000"/>
      <w:w w:val="95"/>
      <w:sz w:val="24"/>
      <w:szCs w:val="24"/>
      <w:lang w:eastAsia="ko-KR"/>
    </w:rPr>
  </w:style>
  <w:style w:type="paragraph" w:customStyle="1" w:styleId="a0">
    <w:name w:val="바탕글"/>
    <w:basedOn w:val="Normal"/>
    <w:rsid w:val="00F83DA2"/>
    <w:pPr>
      <w:snapToGrid w:val="0"/>
      <w:spacing w:line="384" w:lineRule="auto"/>
      <w:jc w:val="both"/>
    </w:pPr>
    <w:rPr>
      <w:rFonts w:ascii="Batang" w:eastAsia="Batang" w:hAnsi="Batang" w:cs="Gulim"/>
      <w:color w:val="000000"/>
      <w:w w:val="95"/>
      <w:sz w:val="20"/>
      <w:szCs w:val="20"/>
      <w:lang w:val="en-US" w:eastAsia="ko-KR"/>
    </w:rPr>
  </w:style>
  <w:style w:type="paragraph" w:customStyle="1" w:styleId="MS">
    <w:name w:val="MS바탕글"/>
    <w:basedOn w:val="Normal"/>
    <w:rsid w:val="00F83DA2"/>
    <w:pPr>
      <w:snapToGrid w:val="0"/>
      <w:jc w:val="both"/>
    </w:pPr>
    <w:rPr>
      <w:rFonts w:eastAsia="Batang" w:cs="Gulim"/>
      <w:color w:val="000000"/>
      <w:w w:val="95"/>
      <w:sz w:val="20"/>
      <w:szCs w:val="20"/>
      <w:lang w:val="en-US" w:eastAsia="ko-KR"/>
    </w:rPr>
  </w:style>
  <w:style w:type="paragraph" w:customStyle="1" w:styleId="a1">
    <w:name w:val="각주"/>
    <w:basedOn w:val="Normal"/>
    <w:rsid w:val="00F83DA2"/>
    <w:pPr>
      <w:widowControl w:val="0"/>
      <w:shd w:val="clear" w:color="auto" w:fill="FFFFFF"/>
      <w:wordWrap w:val="0"/>
      <w:autoSpaceDE w:val="0"/>
      <w:autoSpaceDN w:val="0"/>
      <w:snapToGrid w:val="0"/>
      <w:spacing w:line="312" w:lineRule="auto"/>
      <w:ind w:left="262" w:hanging="262"/>
      <w:jc w:val="both"/>
      <w:textAlignment w:val="baseline"/>
    </w:pPr>
    <w:rPr>
      <w:rFonts w:ascii="Gulim" w:eastAsia="Gulim" w:hAnsi="Gulim" w:cs="Gulim"/>
      <w:color w:val="000000"/>
      <w:spacing w:val="-10"/>
      <w:w w:val="95"/>
      <w:sz w:val="18"/>
      <w:szCs w:val="18"/>
      <w:lang w:val="en-US" w:eastAsia="ko-KR"/>
    </w:rPr>
  </w:style>
  <w:style w:type="paragraph" w:customStyle="1" w:styleId="a2">
    <w:name w:val="목록 단락"/>
    <w:basedOn w:val="Normal"/>
    <w:uiPriority w:val="34"/>
    <w:qFormat/>
    <w:rsid w:val="00F83DA2"/>
    <w:pPr>
      <w:widowControl w:val="0"/>
      <w:wordWrap w:val="0"/>
      <w:autoSpaceDE w:val="0"/>
      <w:autoSpaceDN w:val="0"/>
      <w:ind w:leftChars="400" w:left="800"/>
      <w:jc w:val="both"/>
    </w:pPr>
    <w:rPr>
      <w:rFonts w:eastAsia="Batang"/>
      <w:color w:val="000000"/>
      <w:w w:val="95"/>
      <w:sz w:val="20"/>
      <w:szCs w:val="20"/>
      <w:lang w:val="en-US" w:eastAsia="ko-KR"/>
    </w:rPr>
  </w:style>
</w:styles>
</file>

<file path=word/webSettings.xml><?xml version="1.0" encoding="utf-8"?>
<w:webSettings xmlns:r="http://schemas.openxmlformats.org/officeDocument/2006/relationships" xmlns:w="http://schemas.openxmlformats.org/wordprocessingml/2006/main">
  <w:divs>
    <w:div w:id="116334974">
      <w:bodyDiv w:val="1"/>
      <w:marLeft w:val="0"/>
      <w:marRight w:val="0"/>
      <w:marTop w:val="0"/>
      <w:marBottom w:val="0"/>
      <w:divBdr>
        <w:top w:val="none" w:sz="0" w:space="0" w:color="auto"/>
        <w:left w:val="none" w:sz="0" w:space="0" w:color="auto"/>
        <w:bottom w:val="none" w:sz="0" w:space="0" w:color="auto"/>
        <w:right w:val="none" w:sz="0" w:space="0" w:color="auto"/>
      </w:divBdr>
    </w:div>
    <w:div w:id="259995407">
      <w:bodyDiv w:val="1"/>
      <w:marLeft w:val="0"/>
      <w:marRight w:val="0"/>
      <w:marTop w:val="0"/>
      <w:marBottom w:val="0"/>
      <w:divBdr>
        <w:top w:val="none" w:sz="0" w:space="0" w:color="auto"/>
        <w:left w:val="none" w:sz="0" w:space="0" w:color="auto"/>
        <w:bottom w:val="none" w:sz="0" w:space="0" w:color="auto"/>
        <w:right w:val="none" w:sz="0" w:space="0" w:color="auto"/>
      </w:divBdr>
    </w:div>
    <w:div w:id="512957433">
      <w:bodyDiv w:val="1"/>
      <w:marLeft w:val="0"/>
      <w:marRight w:val="0"/>
      <w:marTop w:val="0"/>
      <w:marBottom w:val="0"/>
      <w:divBdr>
        <w:top w:val="none" w:sz="0" w:space="0" w:color="auto"/>
        <w:left w:val="none" w:sz="0" w:space="0" w:color="auto"/>
        <w:bottom w:val="none" w:sz="0" w:space="0" w:color="auto"/>
        <w:right w:val="none" w:sz="0" w:space="0" w:color="auto"/>
      </w:divBdr>
    </w:div>
    <w:div w:id="1593855281">
      <w:bodyDiv w:val="1"/>
      <w:marLeft w:val="0"/>
      <w:marRight w:val="0"/>
      <w:marTop w:val="0"/>
      <w:marBottom w:val="0"/>
      <w:divBdr>
        <w:top w:val="none" w:sz="0" w:space="0" w:color="auto"/>
        <w:left w:val="none" w:sz="0" w:space="0" w:color="auto"/>
        <w:bottom w:val="none" w:sz="0" w:space="0" w:color="auto"/>
        <w:right w:val="none" w:sz="0" w:space="0" w:color="auto"/>
      </w:divBdr>
    </w:div>
    <w:div w:id="1734547774">
      <w:bodyDiv w:val="1"/>
      <w:marLeft w:val="0"/>
      <w:marRight w:val="0"/>
      <w:marTop w:val="0"/>
      <w:marBottom w:val="0"/>
      <w:divBdr>
        <w:top w:val="none" w:sz="0" w:space="0" w:color="auto"/>
        <w:left w:val="none" w:sz="0" w:space="0" w:color="auto"/>
        <w:bottom w:val="none" w:sz="0" w:space="0" w:color="auto"/>
        <w:right w:val="none" w:sz="0" w:space="0" w:color="auto"/>
      </w:divBdr>
    </w:div>
    <w:div w:id="2057003820">
      <w:bodyDiv w:val="1"/>
      <w:marLeft w:val="0"/>
      <w:marRight w:val="0"/>
      <w:marTop w:val="0"/>
      <w:marBottom w:val="0"/>
      <w:divBdr>
        <w:top w:val="none" w:sz="0" w:space="0" w:color="auto"/>
        <w:left w:val="none" w:sz="0" w:space="0" w:color="auto"/>
        <w:bottom w:val="none" w:sz="0" w:space="0" w:color="auto"/>
        <w:right w:val="none" w:sz="0" w:space="0" w:color="auto"/>
      </w:divBdr>
    </w:div>
    <w:div w:id="21066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3542</Words>
  <Characters>20192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Предположение о том, что фирма (равно как и некоммерческая организация) существует как объединение ресурсов, вносимых стейкхол</vt:lpstr>
    </vt:vector>
  </TitlesOfParts>
  <Company>ВГУЭС</Company>
  <LinksUpToDate>false</LinksUpToDate>
  <CharactersWithSpaces>23687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Предположение о том, что фирма (равно как и некоммерческая организация) существует как объединение ресурсов, вносимых стейкхол</dc:title>
  <dc:creator>Константин Солодухин</dc:creator>
  <cp:lastModifiedBy>Administrator</cp:lastModifiedBy>
  <cp:revision>6</cp:revision>
  <cp:lastPrinted>2015-11-11T01:46:00Z</cp:lastPrinted>
  <dcterms:created xsi:type="dcterms:W3CDTF">2015-11-11T10:09:00Z</dcterms:created>
  <dcterms:modified xsi:type="dcterms:W3CDTF">2015-11-11T03:37:00Z</dcterms:modified>
</cp:coreProperties>
</file>