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EE5" w:rsidRPr="00FA34BE" w:rsidRDefault="00863EB8" w:rsidP="00BD5933">
      <w:pPr>
        <w:pStyle w:val="Heading1"/>
        <w:snapToGrid w:val="0"/>
        <w:spacing w:before="0"/>
        <w:jc w:val="center"/>
        <w:rPr>
          <w:rFonts w:cs="Times New Roman"/>
          <w:sz w:val="20"/>
          <w:szCs w:val="20"/>
        </w:rPr>
      </w:pPr>
      <w:proofErr w:type="spellStart"/>
      <w:r w:rsidRPr="00FA34BE">
        <w:rPr>
          <w:rFonts w:cs="Times New Roman"/>
          <w:sz w:val="20"/>
          <w:szCs w:val="20"/>
        </w:rPr>
        <w:t>Alanine</w:t>
      </w:r>
      <w:proofErr w:type="spellEnd"/>
      <w:r w:rsidRPr="00FA34BE">
        <w:rPr>
          <w:rFonts w:cs="Times New Roman"/>
          <w:sz w:val="20"/>
          <w:szCs w:val="20"/>
        </w:rPr>
        <w:t xml:space="preserve"> </w:t>
      </w:r>
      <w:proofErr w:type="spellStart"/>
      <w:r w:rsidRPr="00FA34BE">
        <w:rPr>
          <w:rFonts w:cs="Times New Roman"/>
          <w:sz w:val="20"/>
          <w:szCs w:val="20"/>
        </w:rPr>
        <w:t>Aminotransferase</w:t>
      </w:r>
      <w:proofErr w:type="spellEnd"/>
      <w:r w:rsidRPr="00FA34BE">
        <w:rPr>
          <w:rFonts w:cs="Times New Roman"/>
          <w:sz w:val="20"/>
          <w:szCs w:val="20"/>
        </w:rPr>
        <w:t>/</w:t>
      </w:r>
      <w:proofErr w:type="spellStart"/>
      <w:r w:rsidRPr="00FA34BE">
        <w:rPr>
          <w:rFonts w:cs="Times New Roman"/>
          <w:sz w:val="20"/>
          <w:szCs w:val="20"/>
        </w:rPr>
        <w:t>Aspartate</w:t>
      </w:r>
      <w:proofErr w:type="spellEnd"/>
      <w:r w:rsidRPr="00FA34BE">
        <w:rPr>
          <w:rFonts w:cs="Times New Roman"/>
          <w:sz w:val="20"/>
          <w:szCs w:val="20"/>
        </w:rPr>
        <w:t xml:space="preserve"> </w:t>
      </w:r>
      <w:proofErr w:type="spellStart"/>
      <w:r w:rsidRPr="00FA34BE">
        <w:rPr>
          <w:rFonts w:cs="Times New Roman"/>
          <w:sz w:val="20"/>
          <w:szCs w:val="20"/>
        </w:rPr>
        <w:t>Aminotransferase</w:t>
      </w:r>
      <w:proofErr w:type="spellEnd"/>
      <w:r w:rsidRPr="00FA34BE">
        <w:rPr>
          <w:rFonts w:cs="Times New Roman"/>
          <w:sz w:val="20"/>
          <w:szCs w:val="20"/>
        </w:rPr>
        <w:t xml:space="preserve"> Ratio Reversal and Prolonged </w:t>
      </w:r>
      <w:proofErr w:type="spellStart"/>
      <w:r w:rsidRPr="00FA34BE">
        <w:rPr>
          <w:rFonts w:cs="Times New Roman"/>
          <w:sz w:val="20"/>
          <w:szCs w:val="20"/>
        </w:rPr>
        <w:t>Prothrombin</w:t>
      </w:r>
      <w:proofErr w:type="spellEnd"/>
      <w:r w:rsidRPr="00FA34BE">
        <w:rPr>
          <w:rFonts w:cs="Times New Roman"/>
          <w:sz w:val="20"/>
          <w:szCs w:val="20"/>
        </w:rPr>
        <w:t xml:space="preserve"> Time: As</w:t>
      </w:r>
      <w:r w:rsidR="00FA34BE">
        <w:rPr>
          <w:rFonts w:cs="Times New Roman"/>
          <w:sz w:val="20"/>
          <w:szCs w:val="20"/>
        </w:rPr>
        <w:t xml:space="preserve"> </w:t>
      </w:r>
      <w:proofErr w:type="gramStart"/>
      <w:r w:rsidRPr="00FA34BE">
        <w:rPr>
          <w:rFonts w:cs="Times New Roman"/>
          <w:sz w:val="20"/>
          <w:szCs w:val="20"/>
        </w:rPr>
        <w:t>A</w:t>
      </w:r>
      <w:proofErr w:type="gramEnd"/>
      <w:r w:rsidRPr="00FA34BE">
        <w:rPr>
          <w:rFonts w:cs="Times New Roman"/>
          <w:sz w:val="20"/>
          <w:szCs w:val="20"/>
        </w:rPr>
        <w:t xml:space="preserve"> Specific Indicator of Hepatic Cirrhosis in Chronic </w:t>
      </w:r>
      <w:proofErr w:type="spellStart"/>
      <w:r w:rsidRPr="00FA34BE">
        <w:rPr>
          <w:rFonts w:cs="Times New Roman"/>
          <w:sz w:val="20"/>
          <w:szCs w:val="20"/>
        </w:rPr>
        <w:t>Hcv</w:t>
      </w:r>
      <w:proofErr w:type="spellEnd"/>
    </w:p>
    <w:p w:rsidR="00CE0EE5" w:rsidRPr="00FA34BE" w:rsidRDefault="00CE0EE5" w:rsidP="00BD5933">
      <w:pPr>
        <w:snapToGrid w:val="0"/>
        <w:jc w:val="center"/>
        <w:rPr>
          <w:rFonts w:ascii="Times New Roman" w:hAnsi="Times New Roman" w:cs="Times New Roman"/>
          <w:sz w:val="20"/>
          <w:szCs w:val="20"/>
        </w:rPr>
      </w:pPr>
    </w:p>
    <w:p w:rsidR="00863EB8" w:rsidRPr="00FA34BE" w:rsidRDefault="00863EB8" w:rsidP="00BD5933">
      <w:pPr>
        <w:pStyle w:val="Heading2"/>
        <w:snapToGrid w:val="0"/>
        <w:jc w:val="center"/>
        <w:rPr>
          <w:rFonts w:cs="Times New Roman"/>
          <w:b w:val="0"/>
          <w:bCs w:val="0"/>
          <w:sz w:val="20"/>
          <w:szCs w:val="20"/>
        </w:rPr>
      </w:pPr>
      <w:proofErr w:type="spellStart"/>
      <w:r w:rsidRPr="00FA34BE">
        <w:rPr>
          <w:rFonts w:cs="Times New Roman"/>
          <w:b w:val="0"/>
          <w:bCs w:val="0"/>
          <w:sz w:val="20"/>
          <w:szCs w:val="20"/>
        </w:rPr>
        <w:t>M</w:t>
      </w:r>
      <w:r w:rsidR="00C83261" w:rsidRPr="00FA34BE">
        <w:rPr>
          <w:rFonts w:cs="Times New Roman"/>
          <w:b w:val="0"/>
          <w:bCs w:val="0"/>
          <w:sz w:val="20"/>
          <w:szCs w:val="20"/>
        </w:rPr>
        <w:t>egahed</w:t>
      </w:r>
      <w:proofErr w:type="spellEnd"/>
      <w:r w:rsidR="00C83261" w:rsidRPr="00FA34BE">
        <w:rPr>
          <w:rFonts w:cs="Times New Roman"/>
          <w:b w:val="0"/>
          <w:bCs w:val="0"/>
          <w:sz w:val="20"/>
          <w:szCs w:val="20"/>
        </w:rPr>
        <w:t xml:space="preserve"> </w:t>
      </w:r>
      <w:proofErr w:type="spellStart"/>
      <w:r w:rsidR="00BF2E7F" w:rsidRPr="00FA34BE">
        <w:rPr>
          <w:rFonts w:cs="Times New Roman"/>
          <w:b w:val="0"/>
          <w:bCs w:val="0"/>
          <w:sz w:val="20"/>
          <w:szCs w:val="20"/>
        </w:rPr>
        <w:t>Khalil</w:t>
      </w:r>
      <w:proofErr w:type="spellEnd"/>
      <w:r w:rsidR="00BF2E7F" w:rsidRPr="00FA34BE">
        <w:rPr>
          <w:rFonts w:cs="Times New Roman"/>
          <w:b w:val="0"/>
          <w:bCs w:val="0"/>
          <w:sz w:val="20"/>
          <w:szCs w:val="20"/>
        </w:rPr>
        <w:t xml:space="preserve"> MD.</w:t>
      </w:r>
      <w:r w:rsidR="00C83261" w:rsidRPr="00FA34BE">
        <w:rPr>
          <w:rFonts w:cs="Times New Roman"/>
          <w:b w:val="0"/>
          <w:bCs w:val="0"/>
          <w:sz w:val="20"/>
          <w:szCs w:val="20"/>
        </w:rPr>
        <w:t xml:space="preserve">, Mohamed </w:t>
      </w:r>
      <w:r w:rsidRPr="00FA34BE">
        <w:rPr>
          <w:rFonts w:cs="Times New Roman"/>
          <w:b w:val="0"/>
          <w:bCs w:val="0"/>
          <w:sz w:val="20"/>
          <w:szCs w:val="20"/>
        </w:rPr>
        <w:t>A</w:t>
      </w:r>
      <w:r w:rsidR="00C83261" w:rsidRPr="00FA34BE">
        <w:rPr>
          <w:rFonts w:cs="Times New Roman"/>
          <w:b w:val="0"/>
          <w:bCs w:val="0"/>
          <w:sz w:val="20"/>
          <w:szCs w:val="20"/>
        </w:rPr>
        <w:t xml:space="preserve">hmad </w:t>
      </w:r>
      <w:proofErr w:type="spellStart"/>
      <w:r w:rsidRPr="00FA34BE">
        <w:rPr>
          <w:rFonts w:cs="Times New Roman"/>
          <w:b w:val="0"/>
          <w:bCs w:val="0"/>
          <w:sz w:val="20"/>
          <w:szCs w:val="20"/>
        </w:rPr>
        <w:t>E</w:t>
      </w:r>
      <w:r w:rsidR="00C83261" w:rsidRPr="00FA34BE">
        <w:rPr>
          <w:rFonts w:cs="Times New Roman"/>
          <w:b w:val="0"/>
          <w:bCs w:val="0"/>
          <w:sz w:val="20"/>
          <w:szCs w:val="20"/>
        </w:rPr>
        <w:t>lassal</w:t>
      </w:r>
      <w:proofErr w:type="spellEnd"/>
      <w:r w:rsidR="00BF2E7F" w:rsidRPr="00FA34BE">
        <w:rPr>
          <w:rFonts w:cs="Times New Roman"/>
          <w:b w:val="0"/>
          <w:bCs w:val="0"/>
          <w:sz w:val="20"/>
          <w:szCs w:val="20"/>
        </w:rPr>
        <w:t xml:space="preserve"> MD.,</w:t>
      </w:r>
      <w:r w:rsidR="00FA34BE">
        <w:rPr>
          <w:rFonts w:cs="Times New Roman"/>
          <w:b w:val="0"/>
          <w:bCs w:val="0"/>
          <w:sz w:val="20"/>
          <w:szCs w:val="20"/>
        </w:rPr>
        <w:t xml:space="preserve"> </w:t>
      </w:r>
      <w:proofErr w:type="spellStart"/>
      <w:r w:rsidR="00C83261" w:rsidRPr="00FA34BE">
        <w:rPr>
          <w:rFonts w:cs="Times New Roman"/>
          <w:b w:val="0"/>
          <w:bCs w:val="0"/>
          <w:sz w:val="20"/>
          <w:szCs w:val="20"/>
        </w:rPr>
        <w:t>Ramy</w:t>
      </w:r>
      <w:proofErr w:type="spellEnd"/>
      <w:r w:rsidR="00C83261" w:rsidRPr="00FA34BE">
        <w:rPr>
          <w:rFonts w:cs="Times New Roman"/>
          <w:b w:val="0"/>
          <w:bCs w:val="0"/>
          <w:sz w:val="20"/>
          <w:szCs w:val="20"/>
        </w:rPr>
        <w:t xml:space="preserve"> </w:t>
      </w:r>
      <w:r w:rsidRPr="00FA34BE">
        <w:rPr>
          <w:rFonts w:cs="Times New Roman"/>
          <w:b w:val="0"/>
          <w:bCs w:val="0"/>
          <w:sz w:val="20"/>
          <w:szCs w:val="20"/>
        </w:rPr>
        <w:t>A</w:t>
      </w:r>
      <w:r w:rsidR="00C83261" w:rsidRPr="00FA34BE">
        <w:rPr>
          <w:rFonts w:cs="Times New Roman"/>
          <w:b w:val="0"/>
          <w:bCs w:val="0"/>
          <w:sz w:val="20"/>
          <w:szCs w:val="20"/>
        </w:rPr>
        <w:t xml:space="preserve">hmad </w:t>
      </w:r>
      <w:proofErr w:type="spellStart"/>
      <w:r w:rsidRPr="00FA34BE">
        <w:rPr>
          <w:rFonts w:cs="Times New Roman"/>
          <w:b w:val="0"/>
          <w:bCs w:val="0"/>
          <w:sz w:val="20"/>
          <w:szCs w:val="20"/>
        </w:rPr>
        <w:t>Samy</w:t>
      </w:r>
      <w:proofErr w:type="spellEnd"/>
      <w:r w:rsidRPr="00FA34BE">
        <w:rPr>
          <w:rFonts w:cs="Times New Roman"/>
          <w:b w:val="0"/>
          <w:bCs w:val="0"/>
          <w:sz w:val="20"/>
          <w:szCs w:val="20"/>
        </w:rPr>
        <w:t xml:space="preserve"> </w:t>
      </w:r>
      <w:r w:rsidR="00BF2E7F" w:rsidRPr="00FA34BE">
        <w:rPr>
          <w:rFonts w:cs="Times New Roman"/>
          <w:b w:val="0"/>
          <w:bCs w:val="0"/>
          <w:sz w:val="20"/>
          <w:szCs w:val="20"/>
        </w:rPr>
        <w:t xml:space="preserve">MD., and </w:t>
      </w:r>
      <w:proofErr w:type="spellStart"/>
      <w:r w:rsidR="00BF2E7F" w:rsidRPr="00FA34BE">
        <w:rPr>
          <w:rFonts w:cs="Times New Roman"/>
          <w:b w:val="0"/>
          <w:bCs w:val="0"/>
          <w:sz w:val="20"/>
          <w:szCs w:val="20"/>
        </w:rPr>
        <w:t>N</w:t>
      </w:r>
      <w:r w:rsidRPr="00FA34BE">
        <w:rPr>
          <w:rFonts w:cs="Times New Roman"/>
          <w:b w:val="0"/>
          <w:bCs w:val="0"/>
          <w:sz w:val="20"/>
          <w:szCs w:val="20"/>
        </w:rPr>
        <w:t>esma</w:t>
      </w:r>
      <w:proofErr w:type="spellEnd"/>
      <w:r w:rsidRPr="00FA34BE">
        <w:rPr>
          <w:rFonts w:cs="Times New Roman"/>
          <w:b w:val="0"/>
          <w:bCs w:val="0"/>
          <w:sz w:val="20"/>
          <w:szCs w:val="20"/>
        </w:rPr>
        <w:t xml:space="preserve"> </w:t>
      </w:r>
      <w:proofErr w:type="spellStart"/>
      <w:r w:rsidRPr="00FA34BE">
        <w:rPr>
          <w:rFonts w:cs="Times New Roman"/>
          <w:b w:val="0"/>
          <w:bCs w:val="0"/>
          <w:sz w:val="20"/>
          <w:szCs w:val="20"/>
        </w:rPr>
        <w:t>Attia</w:t>
      </w:r>
      <w:proofErr w:type="spellEnd"/>
      <w:r w:rsidRPr="00FA34BE">
        <w:rPr>
          <w:rFonts w:cs="Times New Roman"/>
          <w:b w:val="0"/>
          <w:bCs w:val="0"/>
          <w:sz w:val="20"/>
          <w:szCs w:val="20"/>
        </w:rPr>
        <w:t xml:space="preserve"> </w:t>
      </w:r>
      <w:proofErr w:type="spellStart"/>
      <w:r w:rsidRPr="00FA34BE">
        <w:rPr>
          <w:rFonts w:cs="Times New Roman"/>
          <w:b w:val="0"/>
          <w:bCs w:val="0"/>
          <w:sz w:val="20"/>
          <w:szCs w:val="20"/>
        </w:rPr>
        <w:t>Fawzy</w:t>
      </w:r>
      <w:proofErr w:type="spellEnd"/>
      <w:r w:rsidRPr="00FA34BE">
        <w:rPr>
          <w:rFonts w:cs="Times New Roman"/>
          <w:b w:val="0"/>
          <w:bCs w:val="0"/>
          <w:sz w:val="20"/>
          <w:szCs w:val="20"/>
        </w:rPr>
        <w:t xml:space="preserve"> </w:t>
      </w:r>
      <w:proofErr w:type="spellStart"/>
      <w:r w:rsidRPr="00FA34BE">
        <w:rPr>
          <w:rFonts w:cs="Times New Roman"/>
          <w:b w:val="0"/>
          <w:bCs w:val="0"/>
          <w:sz w:val="20"/>
          <w:szCs w:val="20"/>
        </w:rPr>
        <w:t>Attia</w:t>
      </w:r>
      <w:proofErr w:type="spellEnd"/>
      <w:r w:rsidRPr="00FA34BE">
        <w:rPr>
          <w:rFonts w:cs="Times New Roman"/>
          <w:b w:val="0"/>
          <w:bCs w:val="0"/>
          <w:sz w:val="20"/>
          <w:szCs w:val="20"/>
        </w:rPr>
        <w:t xml:space="preserve"> M.B.B.ch</w:t>
      </w:r>
    </w:p>
    <w:p w:rsidR="00863EB8" w:rsidRPr="00FA34BE" w:rsidRDefault="00863EB8" w:rsidP="00BD5933">
      <w:pPr>
        <w:pStyle w:val="Heading2"/>
        <w:snapToGrid w:val="0"/>
        <w:jc w:val="center"/>
        <w:rPr>
          <w:rFonts w:cs="Times New Roman"/>
          <w:b w:val="0"/>
          <w:bCs w:val="0"/>
          <w:sz w:val="20"/>
          <w:szCs w:val="20"/>
        </w:rPr>
      </w:pPr>
    </w:p>
    <w:p w:rsidR="00CE0EE5" w:rsidRPr="00FA34BE" w:rsidRDefault="00BF2E7F" w:rsidP="00BD5933">
      <w:pPr>
        <w:pStyle w:val="Heading2"/>
        <w:snapToGrid w:val="0"/>
        <w:jc w:val="center"/>
        <w:rPr>
          <w:rFonts w:cs="Times New Roman"/>
          <w:b w:val="0"/>
          <w:bCs w:val="0"/>
          <w:sz w:val="20"/>
          <w:szCs w:val="20"/>
        </w:rPr>
      </w:pPr>
      <w:r w:rsidRPr="00FA34BE">
        <w:rPr>
          <w:rFonts w:cs="Times New Roman"/>
          <w:b w:val="0"/>
          <w:bCs w:val="0"/>
          <w:sz w:val="20"/>
          <w:szCs w:val="20"/>
        </w:rPr>
        <w:t xml:space="preserve">Gastroenterology and </w:t>
      </w:r>
      <w:proofErr w:type="spellStart"/>
      <w:r w:rsidRPr="00FA34BE">
        <w:rPr>
          <w:rFonts w:cs="Times New Roman"/>
          <w:b w:val="0"/>
          <w:bCs w:val="0"/>
          <w:sz w:val="20"/>
          <w:szCs w:val="20"/>
        </w:rPr>
        <w:t>Hepatology</w:t>
      </w:r>
      <w:proofErr w:type="spellEnd"/>
      <w:r w:rsidRPr="00FA34BE">
        <w:rPr>
          <w:rFonts w:cs="Times New Roman"/>
          <w:b w:val="0"/>
          <w:bCs w:val="0"/>
          <w:sz w:val="20"/>
          <w:szCs w:val="20"/>
        </w:rPr>
        <w:t xml:space="preserve"> Unite Facul</w:t>
      </w:r>
      <w:r w:rsidR="00863EB8" w:rsidRPr="00FA34BE">
        <w:rPr>
          <w:rFonts w:cs="Times New Roman"/>
          <w:b w:val="0"/>
          <w:bCs w:val="0"/>
          <w:sz w:val="20"/>
          <w:szCs w:val="20"/>
        </w:rPr>
        <w:t xml:space="preserve">ty of Medicine </w:t>
      </w:r>
      <w:proofErr w:type="spellStart"/>
      <w:r w:rsidR="00863EB8" w:rsidRPr="00FA34BE">
        <w:rPr>
          <w:rFonts w:cs="Times New Roman"/>
          <w:b w:val="0"/>
          <w:bCs w:val="0"/>
          <w:sz w:val="20"/>
          <w:szCs w:val="20"/>
        </w:rPr>
        <w:t>Benha</w:t>
      </w:r>
      <w:proofErr w:type="spellEnd"/>
      <w:r w:rsidR="00863EB8" w:rsidRPr="00FA34BE">
        <w:rPr>
          <w:rFonts w:cs="Times New Roman"/>
          <w:b w:val="0"/>
          <w:bCs w:val="0"/>
          <w:sz w:val="20"/>
          <w:szCs w:val="20"/>
        </w:rPr>
        <w:t xml:space="preserve"> University, Egypt.</w:t>
      </w:r>
    </w:p>
    <w:p w:rsidR="00863EB8" w:rsidRPr="00FA34BE" w:rsidRDefault="00863EB8" w:rsidP="00BD5933">
      <w:pPr>
        <w:snapToGrid w:val="0"/>
        <w:jc w:val="center"/>
        <w:rPr>
          <w:rFonts w:ascii="Times New Roman" w:hAnsi="Times New Roman" w:cs="Times New Roman"/>
          <w:color w:val="3366CC"/>
          <w:sz w:val="20"/>
          <w:szCs w:val="20"/>
        </w:rPr>
      </w:pPr>
    </w:p>
    <w:p w:rsidR="00CE0EE5" w:rsidRPr="00FA34BE" w:rsidRDefault="00C83261" w:rsidP="00BD5933">
      <w:pPr>
        <w:snapToGrid w:val="0"/>
        <w:jc w:val="both"/>
        <w:rPr>
          <w:rFonts w:ascii="Times New Roman" w:eastAsia="Calibri" w:hAnsi="Times New Roman" w:cs="Times New Roman"/>
          <w:sz w:val="20"/>
          <w:szCs w:val="20"/>
        </w:rPr>
      </w:pPr>
      <w:r w:rsidRPr="00FA34BE">
        <w:rPr>
          <w:rFonts w:ascii="Times New Roman" w:eastAsia="Times New Roman" w:hAnsi="Times New Roman" w:cs="Times New Roman"/>
          <w:b/>
          <w:bCs/>
          <w:sz w:val="20"/>
          <w:szCs w:val="20"/>
        </w:rPr>
        <w:t xml:space="preserve">Abstract: </w:t>
      </w:r>
      <w:r w:rsidRPr="00FA34BE">
        <w:rPr>
          <w:rFonts w:ascii="Times New Roman" w:eastAsia="Times New Roman" w:hAnsi="Times New Roman" w:cs="Times New Roman"/>
          <w:sz w:val="20"/>
          <w:szCs w:val="20"/>
        </w:rPr>
        <w:t xml:space="preserve">Both ALT/AST ratio reversal (AST/ALT&gt;1) and prolonged </w:t>
      </w:r>
      <w:proofErr w:type="spellStart"/>
      <w:r w:rsidRPr="00FA34BE">
        <w:rPr>
          <w:rFonts w:ascii="Times New Roman" w:eastAsia="Times New Roman" w:hAnsi="Times New Roman" w:cs="Times New Roman"/>
          <w:sz w:val="20"/>
          <w:szCs w:val="20"/>
        </w:rPr>
        <w:t>prothrombin</w:t>
      </w:r>
      <w:proofErr w:type="spellEnd"/>
      <w:r w:rsidRPr="00FA34BE">
        <w:rPr>
          <w:rFonts w:ascii="Times New Roman" w:eastAsia="Times New Roman" w:hAnsi="Times New Roman" w:cs="Times New Roman"/>
          <w:sz w:val="20"/>
          <w:szCs w:val="20"/>
        </w:rPr>
        <w:t xml:space="preserve"> time are separately related to hepatic</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cirrhosis.</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Ratio reversal</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means</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that in normal individuals ALT is more than AST and thus ALT/AST&gt; 1 but with development of cirrhosis AST becomes › ALT and so</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AST/ALT&gt;1</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or</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ALT/AST&lt;1.</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This</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study</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was</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conducted</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with</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the</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idea</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that</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 xml:space="preserve">prolonged </w:t>
      </w:r>
      <w:proofErr w:type="spellStart"/>
      <w:r w:rsidRPr="00FA34BE">
        <w:rPr>
          <w:rFonts w:ascii="Times New Roman" w:eastAsia="Times New Roman" w:hAnsi="Times New Roman" w:cs="Times New Roman"/>
          <w:sz w:val="20"/>
          <w:szCs w:val="20"/>
        </w:rPr>
        <w:t>prothrombin</w:t>
      </w:r>
      <w:proofErr w:type="spellEnd"/>
      <w:r w:rsidRPr="00FA34BE">
        <w:rPr>
          <w:rFonts w:ascii="Times New Roman" w:eastAsia="Times New Roman" w:hAnsi="Times New Roman" w:cs="Times New Roman"/>
          <w:sz w:val="20"/>
          <w:szCs w:val="20"/>
        </w:rPr>
        <w:t xml:space="preserve"> time and reversed (AST/ALT &gt;1) ratio together can prove a more specific indicator with a high positive predictive value for the detection of</w:t>
      </w:r>
      <w:r w:rsidR="00FA34BE">
        <w:rPr>
          <w:rFonts w:ascii="Times New Roman" w:eastAsia="Times New Roman" w:hAnsi="Times New Roman" w:cs="Times New Roman"/>
          <w:sz w:val="20"/>
          <w:szCs w:val="20"/>
        </w:rPr>
        <w:t xml:space="preserve"> </w:t>
      </w:r>
      <w:bookmarkStart w:id="0" w:name="_GoBack"/>
      <w:bookmarkEnd w:id="0"/>
      <w:r w:rsidRPr="00FA34BE">
        <w:rPr>
          <w:rFonts w:ascii="Times New Roman" w:eastAsia="Times New Roman" w:hAnsi="Times New Roman" w:cs="Times New Roman"/>
          <w:sz w:val="20"/>
          <w:szCs w:val="20"/>
        </w:rPr>
        <w:t>the advance</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of</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hepatic cirrhosis in patients of chronic cirrhotic liver due to HCV</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 xml:space="preserve">than either of the two alone. </w:t>
      </w:r>
      <w:r w:rsidRPr="00FA34BE">
        <w:rPr>
          <w:rFonts w:ascii="Times New Roman" w:eastAsia="Times New Roman" w:hAnsi="Times New Roman" w:cs="Times New Roman"/>
          <w:b/>
          <w:bCs/>
          <w:sz w:val="20"/>
          <w:szCs w:val="20"/>
        </w:rPr>
        <w:t xml:space="preserve">Method: </w:t>
      </w:r>
      <w:r w:rsidRPr="00FA34BE">
        <w:rPr>
          <w:rFonts w:ascii="Times New Roman" w:eastAsia="Times New Roman" w:hAnsi="Times New Roman" w:cs="Times New Roman"/>
          <w:sz w:val="20"/>
          <w:szCs w:val="20"/>
        </w:rPr>
        <w:t xml:space="preserve">This is a comparative cross sectional study. The data of hepatitis C patients was collected from the general medical ward and medical </w:t>
      </w:r>
      <w:proofErr w:type="spellStart"/>
      <w:r w:rsidRPr="00FA34BE">
        <w:rPr>
          <w:rFonts w:ascii="Times New Roman" w:eastAsia="Times New Roman" w:hAnsi="Times New Roman" w:cs="Times New Roman"/>
          <w:sz w:val="20"/>
          <w:szCs w:val="20"/>
        </w:rPr>
        <w:t>out patient</w:t>
      </w:r>
      <w:proofErr w:type="spellEnd"/>
      <w:r w:rsidRPr="00FA34BE">
        <w:rPr>
          <w:rFonts w:ascii="Times New Roman" w:eastAsia="Times New Roman" w:hAnsi="Times New Roman" w:cs="Times New Roman"/>
          <w:sz w:val="20"/>
          <w:szCs w:val="20"/>
        </w:rPr>
        <w:t xml:space="preserve"> department</w:t>
      </w:r>
      <w:proofErr w:type="gramStart"/>
      <w:r w:rsidRPr="00FA34BE">
        <w:rPr>
          <w:rFonts w:ascii="Times New Roman" w:eastAsia="Times New Roman" w:hAnsi="Times New Roman" w:cs="Times New Roman"/>
          <w:sz w:val="20"/>
          <w:szCs w:val="20"/>
        </w:rPr>
        <w:t>..</w:t>
      </w:r>
      <w:proofErr w:type="gramEnd"/>
      <w:r w:rsidRPr="00FA34BE">
        <w:rPr>
          <w:rFonts w:ascii="Times New Roman" w:eastAsia="Times New Roman" w:hAnsi="Times New Roman" w:cs="Times New Roman"/>
          <w:sz w:val="20"/>
          <w:szCs w:val="20"/>
        </w:rPr>
        <w:t xml:space="preserve"> Patients who were alcoholic were excluded from the study as </w:t>
      </w:r>
      <w:r w:rsidR="00976ADD" w:rsidRPr="00FA34BE">
        <w:rPr>
          <w:rFonts w:ascii="Times New Roman" w:eastAsia="Times New Roman" w:hAnsi="Times New Roman" w:cs="Times New Roman"/>
          <w:sz w:val="20"/>
          <w:szCs w:val="20"/>
        </w:rPr>
        <w:t>alcohol itself causes ALT</w:t>
      </w:r>
      <w:r w:rsidRPr="00FA34BE">
        <w:rPr>
          <w:rFonts w:ascii="Times New Roman" w:eastAsia="Times New Roman" w:hAnsi="Times New Roman" w:cs="Times New Roman"/>
          <w:sz w:val="20"/>
          <w:szCs w:val="20"/>
        </w:rPr>
        <w:t>/</w:t>
      </w:r>
      <w:r w:rsidR="00976ADD" w:rsidRPr="00FA34BE">
        <w:rPr>
          <w:rFonts w:ascii="Times New Roman" w:eastAsia="Times New Roman" w:hAnsi="Times New Roman" w:cs="Times New Roman"/>
          <w:sz w:val="20"/>
          <w:szCs w:val="20"/>
        </w:rPr>
        <w:t>AST ratio reversal</w:t>
      </w:r>
      <w:r w:rsidRPr="00FA34BE">
        <w:rPr>
          <w:rFonts w:ascii="Times New Roman" w:eastAsia="Times New Roman" w:hAnsi="Times New Roman" w:cs="Times New Roman"/>
          <w:sz w:val="20"/>
          <w:szCs w:val="20"/>
        </w:rPr>
        <w:t xml:space="preserve"> also we exclude patients with </w:t>
      </w:r>
      <w:proofErr w:type="spellStart"/>
      <w:r w:rsidRPr="00FA34BE">
        <w:rPr>
          <w:rFonts w:ascii="Times New Roman" w:eastAsia="Times New Roman" w:hAnsi="Times New Roman" w:cs="Times New Roman"/>
          <w:sz w:val="20"/>
          <w:szCs w:val="20"/>
        </w:rPr>
        <w:t>comorbid</w:t>
      </w:r>
      <w:proofErr w:type="spellEnd"/>
      <w:r w:rsidRPr="00FA34BE">
        <w:rPr>
          <w:rFonts w:ascii="Times New Roman" w:eastAsia="Times New Roman" w:hAnsi="Times New Roman" w:cs="Times New Roman"/>
          <w:sz w:val="20"/>
          <w:szCs w:val="20"/>
        </w:rPr>
        <w:t xml:space="preserve"> conditions </w:t>
      </w:r>
      <w:r w:rsidRPr="00FA34BE">
        <w:rPr>
          <w:rFonts w:ascii="Times New Roman" w:eastAsia="Calibri" w:hAnsi="Times New Roman" w:cs="Times New Roman"/>
          <w:sz w:val="20"/>
          <w:szCs w:val="20"/>
        </w:rPr>
        <w:t xml:space="preserve">who can have high AST values </w:t>
      </w:r>
      <w:proofErr w:type="spellStart"/>
      <w:r w:rsidRPr="00FA34BE">
        <w:rPr>
          <w:rFonts w:ascii="Times New Roman" w:eastAsia="Calibri" w:hAnsi="Times New Roman" w:cs="Times New Roman"/>
          <w:sz w:val="20"/>
          <w:szCs w:val="20"/>
        </w:rPr>
        <w:t>eg</w:t>
      </w:r>
      <w:proofErr w:type="spellEnd"/>
      <w:r w:rsidRPr="00FA34BE">
        <w:rPr>
          <w:rFonts w:ascii="Times New Roman" w:eastAsia="Calibri" w:hAnsi="Times New Roman" w:cs="Times New Roman"/>
          <w:sz w:val="20"/>
          <w:szCs w:val="20"/>
        </w:rPr>
        <w:t xml:space="preserve">: </w:t>
      </w:r>
      <w:proofErr w:type="spellStart"/>
      <w:r w:rsidRPr="00FA34BE">
        <w:rPr>
          <w:rFonts w:ascii="Times New Roman" w:eastAsia="Calibri" w:hAnsi="Times New Roman" w:cs="Times New Roman"/>
          <w:sz w:val="20"/>
          <w:szCs w:val="20"/>
        </w:rPr>
        <w:t>hemolysis</w:t>
      </w:r>
      <w:proofErr w:type="gramStart"/>
      <w:r w:rsidRPr="00FA34BE">
        <w:rPr>
          <w:rFonts w:ascii="Times New Roman" w:eastAsia="Calibri" w:hAnsi="Times New Roman" w:cs="Times New Roman"/>
          <w:sz w:val="20"/>
          <w:szCs w:val="20"/>
        </w:rPr>
        <w:t>,myocardial</w:t>
      </w:r>
      <w:proofErr w:type="spellEnd"/>
      <w:proofErr w:type="gramEnd"/>
      <w:r w:rsidRPr="00FA34BE">
        <w:rPr>
          <w:rFonts w:ascii="Times New Roman" w:eastAsia="Calibri" w:hAnsi="Times New Roman" w:cs="Times New Roman"/>
          <w:sz w:val="20"/>
          <w:szCs w:val="20"/>
        </w:rPr>
        <w:t xml:space="preserve"> infarction.</w:t>
      </w:r>
    </w:p>
    <w:p w:rsidR="00BD5933" w:rsidRPr="00FA34BE" w:rsidRDefault="00863EB8" w:rsidP="00BD5933">
      <w:pPr>
        <w:snapToGrid w:val="0"/>
        <w:jc w:val="both"/>
        <w:rPr>
          <w:rFonts w:ascii="Times New Roman" w:hAnsi="Times New Roman" w:cs="Times New Roman"/>
          <w:sz w:val="20"/>
          <w:szCs w:val="20"/>
        </w:rPr>
      </w:pPr>
      <w:r w:rsidRPr="00FA34BE">
        <w:rPr>
          <w:rFonts w:ascii="Times New Roman" w:hAnsi="Times New Roman" w:cs="Times New Roman"/>
          <w:sz w:val="20"/>
          <w:szCs w:val="20"/>
        </w:rPr>
        <w:t>[</w:t>
      </w:r>
      <w:proofErr w:type="spellStart"/>
      <w:r w:rsidRPr="00FA34BE">
        <w:rPr>
          <w:rFonts w:ascii="Times New Roman" w:hAnsi="Times New Roman" w:cs="Times New Roman"/>
          <w:sz w:val="20"/>
          <w:szCs w:val="20"/>
        </w:rPr>
        <w:t>Fawzy</w:t>
      </w:r>
      <w:proofErr w:type="spellEnd"/>
      <w:r w:rsidRPr="00FA34BE">
        <w:rPr>
          <w:rFonts w:ascii="Times New Roman" w:hAnsi="Times New Roman" w:cs="Times New Roman"/>
          <w:sz w:val="20"/>
          <w:szCs w:val="20"/>
        </w:rPr>
        <w:t xml:space="preserve"> </w:t>
      </w:r>
      <w:proofErr w:type="spellStart"/>
      <w:r w:rsidRPr="00FA34BE">
        <w:rPr>
          <w:rFonts w:ascii="Times New Roman" w:hAnsi="Times New Roman" w:cs="Times New Roman"/>
          <w:sz w:val="20"/>
          <w:szCs w:val="20"/>
        </w:rPr>
        <w:t>megahed</w:t>
      </w:r>
      <w:proofErr w:type="spellEnd"/>
      <w:r w:rsidRPr="00FA34BE">
        <w:rPr>
          <w:rFonts w:ascii="Times New Roman" w:hAnsi="Times New Roman" w:cs="Times New Roman"/>
          <w:sz w:val="20"/>
          <w:szCs w:val="20"/>
        </w:rPr>
        <w:t xml:space="preserve"> </w:t>
      </w:r>
      <w:proofErr w:type="spellStart"/>
      <w:r w:rsidRPr="00FA34BE">
        <w:rPr>
          <w:rFonts w:ascii="Times New Roman" w:hAnsi="Times New Roman" w:cs="Times New Roman"/>
          <w:sz w:val="20"/>
          <w:szCs w:val="20"/>
        </w:rPr>
        <w:t>Khalil</w:t>
      </w:r>
      <w:proofErr w:type="spellEnd"/>
      <w:r w:rsidR="00FA34BE">
        <w:rPr>
          <w:rFonts w:ascii="Times New Roman" w:hAnsi="Times New Roman" w:cs="Times New Roman"/>
          <w:sz w:val="20"/>
          <w:szCs w:val="20"/>
        </w:rPr>
        <w:t>,</w:t>
      </w:r>
      <w:r w:rsidRPr="00FA34BE">
        <w:rPr>
          <w:rFonts w:ascii="Times New Roman" w:hAnsi="Times New Roman" w:cs="Times New Roman"/>
          <w:sz w:val="20"/>
          <w:szCs w:val="20"/>
        </w:rPr>
        <w:t xml:space="preserve"> Mohamed </w:t>
      </w:r>
      <w:proofErr w:type="spellStart"/>
      <w:proofErr w:type="gramStart"/>
      <w:r w:rsidRPr="00FA34BE">
        <w:rPr>
          <w:rFonts w:ascii="Times New Roman" w:hAnsi="Times New Roman" w:cs="Times New Roman"/>
          <w:sz w:val="20"/>
          <w:szCs w:val="20"/>
        </w:rPr>
        <w:t>ahmad</w:t>
      </w:r>
      <w:proofErr w:type="spellEnd"/>
      <w:proofErr w:type="gramEnd"/>
      <w:r w:rsidRPr="00FA34BE">
        <w:rPr>
          <w:rFonts w:ascii="Times New Roman" w:hAnsi="Times New Roman" w:cs="Times New Roman"/>
          <w:sz w:val="20"/>
          <w:szCs w:val="20"/>
        </w:rPr>
        <w:t xml:space="preserve"> </w:t>
      </w:r>
      <w:proofErr w:type="spellStart"/>
      <w:r w:rsidRPr="00FA34BE">
        <w:rPr>
          <w:rFonts w:ascii="Times New Roman" w:hAnsi="Times New Roman" w:cs="Times New Roman"/>
          <w:sz w:val="20"/>
          <w:szCs w:val="20"/>
        </w:rPr>
        <w:t>elassal</w:t>
      </w:r>
      <w:proofErr w:type="spellEnd"/>
      <w:r w:rsidR="00FA34BE">
        <w:rPr>
          <w:rFonts w:ascii="Times New Roman" w:hAnsi="Times New Roman" w:cs="Times New Roman"/>
          <w:sz w:val="20"/>
          <w:szCs w:val="20"/>
        </w:rPr>
        <w:t xml:space="preserve">, </w:t>
      </w:r>
      <w:proofErr w:type="spellStart"/>
      <w:r w:rsidRPr="00FA34BE">
        <w:rPr>
          <w:rFonts w:ascii="Times New Roman" w:hAnsi="Times New Roman" w:cs="Times New Roman"/>
          <w:sz w:val="20"/>
          <w:szCs w:val="20"/>
        </w:rPr>
        <w:t>Ramy</w:t>
      </w:r>
      <w:proofErr w:type="spellEnd"/>
      <w:r w:rsidRPr="00FA34BE">
        <w:rPr>
          <w:rFonts w:ascii="Times New Roman" w:hAnsi="Times New Roman" w:cs="Times New Roman"/>
          <w:sz w:val="20"/>
          <w:szCs w:val="20"/>
        </w:rPr>
        <w:t xml:space="preserve"> </w:t>
      </w:r>
      <w:proofErr w:type="spellStart"/>
      <w:r w:rsidRPr="00FA34BE">
        <w:rPr>
          <w:rFonts w:ascii="Times New Roman" w:hAnsi="Times New Roman" w:cs="Times New Roman"/>
          <w:sz w:val="20"/>
          <w:szCs w:val="20"/>
        </w:rPr>
        <w:t>ahmad</w:t>
      </w:r>
      <w:proofErr w:type="spellEnd"/>
      <w:r w:rsidRPr="00FA34BE">
        <w:rPr>
          <w:rFonts w:ascii="Times New Roman" w:hAnsi="Times New Roman" w:cs="Times New Roman"/>
          <w:sz w:val="20"/>
          <w:szCs w:val="20"/>
        </w:rPr>
        <w:t xml:space="preserve"> </w:t>
      </w:r>
      <w:proofErr w:type="spellStart"/>
      <w:r w:rsidRPr="00FA34BE">
        <w:rPr>
          <w:rFonts w:ascii="Times New Roman" w:hAnsi="Times New Roman" w:cs="Times New Roman"/>
          <w:sz w:val="20"/>
          <w:szCs w:val="20"/>
        </w:rPr>
        <w:t>samy</w:t>
      </w:r>
      <w:proofErr w:type="spellEnd"/>
      <w:r w:rsidR="00FA34BE">
        <w:rPr>
          <w:rFonts w:ascii="Times New Roman" w:hAnsi="Times New Roman" w:cs="Times New Roman"/>
          <w:sz w:val="20"/>
          <w:szCs w:val="20"/>
        </w:rPr>
        <w:t>,</w:t>
      </w:r>
      <w:r w:rsidRPr="00FA34BE">
        <w:rPr>
          <w:rFonts w:ascii="Times New Roman" w:hAnsi="Times New Roman" w:cs="Times New Roman"/>
          <w:sz w:val="20"/>
          <w:szCs w:val="20"/>
        </w:rPr>
        <w:t xml:space="preserve"> and </w:t>
      </w:r>
      <w:proofErr w:type="spellStart"/>
      <w:r w:rsidRPr="00FA34BE">
        <w:rPr>
          <w:rFonts w:ascii="Times New Roman" w:hAnsi="Times New Roman" w:cs="Times New Roman"/>
          <w:sz w:val="20"/>
          <w:szCs w:val="20"/>
        </w:rPr>
        <w:t>Nesma</w:t>
      </w:r>
      <w:proofErr w:type="spellEnd"/>
      <w:r w:rsidRPr="00FA34BE">
        <w:rPr>
          <w:rFonts w:ascii="Times New Roman" w:hAnsi="Times New Roman" w:cs="Times New Roman"/>
          <w:sz w:val="20"/>
          <w:szCs w:val="20"/>
        </w:rPr>
        <w:t xml:space="preserve"> </w:t>
      </w:r>
      <w:proofErr w:type="spellStart"/>
      <w:r w:rsidRPr="00FA34BE">
        <w:rPr>
          <w:rFonts w:ascii="Times New Roman" w:hAnsi="Times New Roman" w:cs="Times New Roman"/>
          <w:sz w:val="20"/>
          <w:szCs w:val="20"/>
        </w:rPr>
        <w:t>Attia</w:t>
      </w:r>
      <w:proofErr w:type="spellEnd"/>
      <w:r w:rsidRPr="00FA34BE">
        <w:rPr>
          <w:rFonts w:ascii="Times New Roman" w:hAnsi="Times New Roman" w:cs="Times New Roman"/>
          <w:sz w:val="20"/>
          <w:szCs w:val="20"/>
        </w:rPr>
        <w:t xml:space="preserve"> </w:t>
      </w:r>
      <w:proofErr w:type="spellStart"/>
      <w:r w:rsidRPr="00FA34BE">
        <w:rPr>
          <w:rFonts w:ascii="Times New Roman" w:hAnsi="Times New Roman" w:cs="Times New Roman"/>
          <w:sz w:val="20"/>
          <w:szCs w:val="20"/>
        </w:rPr>
        <w:t>Fawzy</w:t>
      </w:r>
      <w:proofErr w:type="spellEnd"/>
      <w:r w:rsidRPr="00FA34BE">
        <w:rPr>
          <w:rFonts w:ascii="Times New Roman" w:hAnsi="Times New Roman" w:cs="Times New Roman"/>
          <w:sz w:val="20"/>
          <w:szCs w:val="20"/>
        </w:rPr>
        <w:t xml:space="preserve"> </w:t>
      </w:r>
      <w:proofErr w:type="spellStart"/>
      <w:r w:rsidRPr="00FA34BE">
        <w:rPr>
          <w:rFonts w:ascii="Times New Roman" w:hAnsi="Times New Roman" w:cs="Times New Roman"/>
          <w:sz w:val="20"/>
          <w:szCs w:val="20"/>
        </w:rPr>
        <w:t>Attia</w:t>
      </w:r>
      <w:proofErr w:type="spellEnd"/>
      <w:r w:rsidRPr="00FA34BE">
        <w:rPr>
          <w:rFonts w:ascii="Times New Roman" w:hAnsi="Times New Roman" w:cs="Times New Roman"/>
          <w:sz w:val="20"/>
          <w:szCs w:val="20"/>
        </w:rPr>
        <w:t xml:space="preserve">. </w:t>
      </w:r>
      <w:proofErr w:type="spellStart"/>
      <w:r w:rsidRPr="00FA34BE">
        <w:rPr>
          <w:rFonts w:ascii="Times New Roman" w:hAnsi="Times New Roman" w:cs="Times New Roman"/>
          <w:b/>
          <w:sz w:val="20"/>
          <w:szCs w:val="20"/>
        </w:rPr>
        <w:t>Alanine</w:t>
      </w:r>
      <w:proofErr w:type="spellEnd"/>
      <w:r w:rsidRPr="00FA34BE">
        <w:rPr>
          <w:rFonts w:ascii="Times New Roman" w:hAnsi="Times New Roman" w:cs="Times New Roman"/>
          <w:b/>
          <w:sz w:val="20"/>
          <w:szCs w:val="20"/>
        </w:rPr>
        <w:t xml:space="preserve"> </w:t>
      </w:r>
      <w:proofErr w:type="spellStart"/>
      <w:r w:rsidRPr="00FA34BE">
        <w:rPr>
          <w:rFonts w:ascii="Times New Roman" w:hAnsi="Times New Roman" w:cs="Times New Roman"/>
          <w:b/>
          <w:sz w:val="20"/>
          <w:szCs w:val="20"/>
        </w:rPr>
        <w:t>Aminotransferase</w:t>
      </w:r>
      <w:proofErr w:type="spellEnd"/>
      <w:r w:rsidRPr="00FA34BE">
        <w:rPr>
          <w:rFonts w:ascii="Times New Roman" w:hAnsi="Times New Roman" w:cs="Times New Roman"/>
          <w:b/>
          <w:sz w:val="20"/>
          <w:szCs w:val="20"/>
        </w:rPr>
        <w:t>/</w:t>
      </w:r>
      <w:proofErr w:type="spellStart"/>
      <w:r w:rsidRPr="00FA34BE">
        <w:rPr>
          <w:rFonts w:ascii="Times New Roman" w:hAnsi="Times New Roman" w:cs="Times New Roman"/>
          <w:b/>
          <w:sz w:val="20"/>
          <w:szCs w:val="20"/>
        </w:rPr>
        <w:t>Aspartate</w:t>
      </w:r>
      <w:proofErr w:type="spellEnd"/>
      <w:r w:rsidRPr="00FA34BE">
        <w:rPr>
          <w:rFonts w:ascii="Times New Roman" w:hAnsi="Times New Roman" w:cs="Times New Roman"/>
          <w:b/>
          <w:sz w:val="20"/>
          <w:szCs w:val="20"/>
        </w:rPr>
        <w:t xml:space="preserve"> </w:t>
      </w:r>
      <w:proofErr w:type="spellStart"/>
      <w:r w:rsidRPr="00FA34BE">
        <w:rPr>
          <w:rFonts w:ascii="Times New Roman" w:hAnsi="Times New Roman" w:cs="Times New Roman"/>
          <w:b/>
          <w:sz w:val="20"/>
          <w:szCs w:val="20"/>
        </w:rPr>
        <w:t>Aminotransferase</w:t>
      </w:r>
      <w:proofErr w:type="spellEnd"/>
      <w:r w:rsidRPr="00FA34BE">
        <w:rPr>
          <w:rFonts w:ascii="Times New Roman" w:hAnsi="Times New Roman" w:cs="Times New Roman"/>
          <w:b/>
          <w:sz w:val="20"/>
          <w:szCs w:val="20"/>
        </w:rPr>
        <w:t xml:space="preserve"> Ratio Reversal and Prolonged </w:t>
      </w:r>
      <w:proofErr w:type="spellStart"/>
      <w:r w:rsidRPr="00FA34BE">
        <w:rPr>
          <w:rFonts w:ascii="Times New Roman" w:hAnsi="Times New Roman" w:cs="Times New Roman"/>
          <w:b/>
          <w:sz w:val="20"/>
          <w:szCs w:val="20"/>
        </w:rPr>
        <w:t>Prothrombin</w:t>
      </w:r>
      <w:proofErr w:type="spellEnd"/>
      <w:r w:rsidRPr="00FA34BE">
        <w:rPr>
          <w:rFonts w:ascii="Times New Roman" w:hAnsi="Times New Roman" w:cs="Times New Roman"/>
          <w:b/>
          <w:sz w:val="20"/>
          <w:szCs w:val="20"/>
        </w:rPr>
        <w:t xml:space="preserve"> Time: As</w:t>
      </w:r>
      <w:r w:rsidR="00FA34BE">
        <w:rPr>
          <w:rFonts w:ascii="Times New Roman" w:hAnsi="Times New Roman" w:cs="Times New Roman"/>
          <w:b/>
          <w:sz w:val="20"/>
          <w:szCs w:val="20"/>
        </w:rPr>
        <w:t xml:space="preserve"> </w:t>
      </w:r>
      <w:r w:rsidRPr="00FA34BE">
        <w:rPr>
          <w:rFonts w:ascii="Times New Roman" w:hAnsi="Times New Roman" w:cs="Times New Roman"/>
          <w:b/>
          <w:sz w:val="20"/>
          <w:szCs w:val="20"/>
        </w:rPr>
        <w:t xml:space="preserve">A Specific Indicator of Hepatic Cirrhosis in Chronic </w:t>
      </w:r>
      <w:proofErr w:type="spellStart"/>
      <w:r w:rsidRPr="00FA34BE">
        <w:rPr>
          <w:rFonts w:ascii="Times New Roman" w:hAnsi="Times New Roman" w:cs="Times New Roman"/>
          <w:b/>
          <w:sz w:val="20"/>
          <w:szCs w:val="20"/>
        </w:rPr>
        <w:t>Hcv</w:t>
      </w:r>
      <w:proofErr w:type="spellEnd"/>
      <w:r w:rsidR="00BD5933" w:rsidRPr="00FA34BE">
        <w:rPr>
          <w:rFonts w:ascii="Times New Roman" w:eastAsia="Times New Roman" w:hAnsi="Times New Roman" w:cs="Times New Roman"/>
          <w:b/>
          <w:bCs/>
          <w:sz w:val="20"/>
          <w:szCs w:val="20"/>
          <w:lang w:bidi="fa-IR"/>
        </w:rPr>
        <w:t>.</w:t>
      </w:r>
      <w:r w:rsidR="00BD5933" w:rsidRPr="00FA34BE">
        <w:rPr>
          <w:rFonts w:ascii="Times New Roman" w:hAnsi="Times New Roman" w:cs="Times New Roman"/>
          <w:bCs/>
          <w:i/>
          <w:sz w:val="20"/>
          <w:szCs w:val="20"/>
        </w:rPr>
        <w:t xml:space="preserve"> N Y </w:t>
      </w:r>
      <w:proofErr w:type="spellStart"/>
      <w:r w:rsidR="00BD5933" w:rsidRPr="00FA34BE">
        <w:rPr>
          <w:rFonts w:ascii="Times New Roman" w:hAnsi="Times New Roman" w:cs="Times New Roman"/>
          <w:bCs/>
          <w:i/>
          <w:sz w:val="20"/>
          <w:szCs w:val="20"/>
        </w:rPr>
        <w:t>Sci</w:t>
      </w:r>
      <w:proofErr w:type="spellEnd"/>
      <w:r w:rsidR="00BD5933" w:rsidRPr="00FA34BE">
        <w:rPr>
          <w:rFonts w:ascii="Times New Roman" w:hAnsi="Times New Roman" w:cs="Times New Roman"/>
          <w:bCs/>
          <w:i/>
          <w:sz w:val="20"/>
          <w:szCs w:val="20"/>
        </w:rPr>
        <w:t xml:space="preserve"> J</w:t>
      </w:r>
      <w:r w:rsidR="00BD5933" w:rsidRPr="00FA34BE">
        <w:rPr>
          <w:rFonts w:ascii="Times New Roman" w:hAnsi="Times New Roman" w:cs="Times New Roman"/>
          <w:bCs/>
          <w:sz w:val="20"/>
          <w:szCs w:val="20"/>
        </w:rPr>
        <w:t xml:space="preserve"> </w:t>
      </w:r>
      <w:r w:rsidR="00BD5933" w:rsidRPr="00FA34BE">
        <w:rPr>
          <w:rFonts w:ascii="Times New Roman" w:hAnsi="Times New Roman" w:cs="Times New Roman"/>
          <w:sz w:val="20"/>
          <w:szCs w:val="20"/>
        </w:rPr>
        <w:t>201</w:t>
      </w:r>
      <w:r w:rsidR="00BD5933" w:rsidRPr="00FA34BE">
        <w:rPr>
          <w:rFonts w:ascii="Times New Roman" w:hAnsi="Times New Roman" w:cs="Times New Roman" w:hint="eastAsia"/>
          <w:sz w:val="20"/>
          <w:szCs w:val="20"/>
        </w:rPr>
        <w:t>6</w:t>
      </w:r>
      <w:proofErr w:type="gramStart"/>
      <w:r w:rsidR="00BD5933" w:rsidRPr="00FA34BE">
        <w:rPr>
          <w:rFonts w:ascii="Times New Roman" w:hAnsi="Times New Roman" w:cs="Times New Roman"/>
          <w:sz w:val="20"/>
          <w:szCs w:val="20"/>
        </w:rPr>
        <w:t>;</w:t>
      </w:r>
      <w:r w:rsidR="00BD5933" w:rsidRPr="00FA34BE">
        <w:rPr>
          <w:rFonts w:ascii="Times New Roman" w:hAnsi="Times New Roman" w:cs="Times New Roman" w:hint="eastAsia"/>
          <w:sz w:val="20"/>
          <w:szCs w:val="20"/>
        </w:rPr>
        <w:t>9</w:t>
      </w:r>
      <w:proofErr w:type="gramEnd"/>
      <w:r w:rsidR="00BD5933" w:rsidRPr="00FA34BE">
        <w:rPr>
          <w:rFonts w:ascii="Times New Roman" w:hAnsi="Times New Roman" w:cs="Times New Roman"/>
          <w:sz w:val="20"/>
          <w:szCs w:val="20"/>
        </w:rPr>
        <w:t>(</w:t>
      </w:r>
      <w:r w:rsidR="00BD5933" w:rsidRPr="00FA34BE">
        <w:rPr>
          <w:rFonts w:ascii="Times New Roman" w:hAnsi="Times New Roman" w:cs="Times New Roman" w:hint="eastAsia"/>
          <w:sz w:val="20"/>
          <w:szCs w:val="20"/>
        </w:rPr>
        <w:t>3</w:t>
      </w:r>
      <w:r w:rsidR="00BD5933" w:rsidRPr="00FA34BE">
        <w:rPr>
          <w:rFonts w:ascii="Times New Roman" w:hAnsi="Times New Roman" w:cs="Times New Roman"/>
          <w:sz w:val="20"/>
          <w:szCs w:val="20"/>
        </w:rPr>
        <w:t>):</w:t>
      </w:r>
      <w:r w:rsidR="00015BDB" w:rsidRPr="00FA34BE">
        <w:rPr>
          <w:rFonts w:ascii="Times New Roman" w:hAnsi="Times New Roman" w:cs="Times New Roman"/>
          <w:noProof/>
          <w:color w:val="000000"/>
          <w:sz w:val="20"/>
          <w:szCs w:val="20"/>
        </w:rPr>
        <w:t>15</w:t>
      </w:r>
      <w:r w:rsidR="00BD5933" w:rsidRPr="00FA34BE">
        <w:rPr>
          <w:rFonts w:ascii="Times New Roman" w:hAnsi="Times New Roman" w:cs="Times New Roman"/>
          <w:color w:val="000000"/>
          <w:sz w:val="20"/>
          <w:szCs w:val="20"/>
        </w:rPr>
        <w:t>-</w:t>
      </w:r>
      <w:r w:rsidR="00015BDB" w:rsidRPr="00FA34BE">
        <w:rPr>
          <w:rFonts w:ascii="Times New Roman" w:hAnsi="Times New Roman" w:cs="Times New Roman"/>
          <w:noProof/>
          <w:color w:val="000000"/>
          <w:sz w:val="20"/>
          <w:szCs w:val="20"/>
        </w:rPr>
        <w:t>18</w:t>
      </w:r>
      <w:r w:rsidR="00BD5933" w:rsidRPr="00FA34BE">
        <w:rPr>
          <w:rFonts w:ascii="Times New Roman" w:hAnsi="Times New Roman" w:cs="Times New Roman"/>
          <w:sz w:val="20"/>
          <w:szCs w:val="20"/>
        </w:rPr>
        <w:t xml:space="preserve">]. </w:t>
      </w:r>
      <w:proofErr w:type="gramStart"/>
      <w:r w:rsidR="00BD5933" w:rsidRPr="00FA34BE">
        <w:rPr>
          <w:rFonts w:ascii="Times New Roman" w:hAnsi="Times New Roman" w:cs="Times New Roman"/>
          <w:iCs/>
          <w:color w:val="000000"/>
          <w:sz w:val="20"/>
          <w:szCs w:val="20"/>
        </w:rPr>
        <w:t>ISSN 1554-0200 (print); ISSN 2375-723X (online)</w:t>
      </w:r>
      <w:r w:rsidR="00BD5933" w:rsidRPr="00FA34BE">
        <w:rPr>
          <w:rFonts w:ascii="Times New Roman" w:hAnsi="Times New Roman" w:cs="Times New Roman"/>
          <w:sz w:val="20"/>
          <w:szCs w:val="20"/>
        </w:rPr>
        <w:t>.</w:t>
      </w:r>
      <w:proofErr w:type="gramEnd"/>
      <w:r w:rsidR="00BD5933" w:rsidRPr="00FA34BE">
        <w:rPr>
          <w:rFonts w:ascii="Times New Roman" w:hAnsi="Times New Roman" w:cs="Times New Roman"/>
          <w:sz w:val="20"/>
          <w:szCs w:val="20"/>
        </w:rPr>
        <w:t xml:space="preserve"> </w:t>
      </w:r>
      <w:hyperlink r:id="rId7" w:history="1">
        <w:r w:rsidR="00BD5933" w:rsidRPr="00FA34BE">
          <w:rPr>
            <w:rStyle w:val="Hyperlink"/>
            <w:rFonts w:ascii="Times New Roman" w:hAnsi="Times New Roman" w:cs="Times New Roman"/>
            <w:sz w:val="20"/>
            <w:szCs w:val="20"/>
          </w:rPr>
          <w:t>http://www.sciencepub.net/newyork</w:t>
        </w:r>
      </w:hyperlink>
      <w:r w:rsidR="00BD5933" w:rsidRPr="00FA34BE">
        <w:rPr>
          <w:rFonts w:ascii="Times New Roman" w:hAnsi="Times New Roman" w:cs="Times New Roman"/>
          <w:sz w:val="20"/>
          <w:szCs w:val="20"/>
        </w:rPr>
        <w:t xml:space="preserve">. </w:t>
      </w:r>
      <w:r w:rsidR="00BD5933" w:rsidRPr="00FA34BE">
        <w:rPr>
          <w:rFonts w:ascii="Times New Roman" w:hAnsi="Times New Roman" w:cs="Times New Roman" w:hint="eastAsia"/>
          <w:sz w:val="20"/>
          <w:szCs w:val="20"/>
          <w:lang w:eastAsia="zh-CN"/>
        </w:rPr>
        <w:t>3</w:t>
      </w:r>
      <w:r w:rsidR="00BD5933" w:rsidRPr="00FA34BE">
        <w:rPr>
          <w:rFonts w:ascii="Times New Roman" w:hAnsi="Times New Roman" w:cs="Times New Roman" w:hint="eastAsia"/>
          <w:sz w:val="20"/>
          <w:szCs w:val="20"/>
        </w:rPr>
        <w:t xml:space="preserve">. </w:t>
      </w:r>
      <w:proofErr w:type="gramStart"/>
      <w:r w:rsidR="00BD5933" w:rsidRPr="00FA34BE">
        <w:rPr>
          <w:rFonts w:ascii="Times New Roman" w:hAnsi="Times New Roman" w:cs="Times New Roman"/>
          <w:color w:val="000000"/>
          <w:sz w:val="20"/>
          <w:szCs w:val="20"/>
          <w:shd w:val="clear" w:color="auto" w:fill="FFFFFF"/>
        </w:rPr>
        <w:t>doi</w:t>
      </w:r>
      <w:proofErr w:type="gramEnd"/>
      <w:r w:rsidR="00BD5933" w:rsidRPr="00FA34BE">
        <w:rPr>
          <w:rFonts w:ascii="Times New Roman" w:hAnsi="Times New Roman" w:cs="Times New Roman"/>
          <w:color w:val="000000"/>
          <w:sz w:val="20"/>
          <w:szCs w:val="20"/>
          <w:shd w:val="clear" w:color="auto" w:fill="FFFFFF"/>
        </w:rPr>
        <w:t>:</w:t>
      </w:r>
      <w:hyperlink r:id="rId8" w:history="1">
        <w:r w:rsidR="00BD5933" w:rsidRPr="00FA34BE">
          <w:rPr>
            <w:rStyle w:val="Hyperlink"/>
            <w:rFonts w:ascii="Times New Roman" w:hAnsi="Times New Roman" w:cs="Times New Roman"/>
            <w:sz w:val="20"/>
            <w:szCs w:val="20"/>
            <w:shd w:val="clear" w:color="auto" w:fill="FFFFFF"/>
          </w:rPr>
          <w:t>10.7537/mars</w:t>
        </w:r>
        <w:r w:rsidR="00BD5933" w:rsidRPr="00FA34BE">
          <w:rPr>
            <w:rStyle w:val="Hyperlink"/>
            <w:rFonts w:ascii="Times New Roman" w:hAnsi="Times New Roman" w:cs="Times New Roman" w:hint="eastAsia"/>
            <w:sz w:val="20"/>
            <w:szCs w:val="20"/>
            <w:shd w:val="clear" w:color="auto" w:fill="FFFFFF"/>
          </w:rPr>
          <w:t>nys0903</w:t>
        </w:r>
        <w:r w:rsidR="00BD5933" w:rsidRPr="00FA34BE">
          <w:rPr>
            <w:rStyle w:val="Hyperlink"/>
            <w:rFonts w:ascii="Times New Roman" w:hAnsi="Times New Roman" w:cs="Times New Roman"/>
            <w:sz w:val="20"/>
            <w:szCs w:val="20"/>
            <w:shd w:val="clear" w:color="auto" w:fill="FFFFFF"/>
          </w:rPr>
          <w:t>1</w:t>
        </w:r>
        <w:r w:rsidR="00BD5933" w:rsidRPr="00FA34BE">
          <w:rPr>
            <w:rStyle w:val="Hyperlink"/>
            <w:rFonts w:ascii="Times New Roman" w:hAnsi="Times New Roman" w:cs="Times New Roman" w:hint="eastAsia"/>
            <w:sz w:val="20"/>
            <w:szCs w:val="20"/>
            <w:shd w:val="clear" w:color="auto" w:fill="FFFFFF"/>
          </w:rPr>
          <w:t>6</w:t>
        </w:r>
        <w:r w:rsidR="00BD5933" w:rsidRPr="00FA34BE">
          <w:rPr>
            <w:rStyle w:val="Hyperlink"/>
            <w:rFonts w:ascii="Times New Roman" w:hAnsi="Times New Roman" w:cs="Times New Roman"/>
            <w:sz w:val="20"/>
            <w:szCs w:val="20"/>
            <w:shd w:val="clear" w:color="auto" w:fill="FFFFFF"/>
          </w:rPr>
          <w:t>0</w:t>
        </w:r>
        <w:r w:rsidR="00BD5933" w:rsidRPr="00FA34BE">
          <w:rPr>
            <w:rStyle w:val="Hyperlink"/>
            <w:rFonts w:ascii="Times New Roman" w:hAnsi="Times New Roman" w:cs="Times New Roman" w:hint="eastAsia"/>
            <w:sz w:val="20"/>
            <w:szCs w:val="20"/>
            <w:shd w:val="clear" w:color="auto" w:fill="FFFFFF"/>
            <w:lang w:eastAsia="zh-CN"/>
          </w:rPr>
          <w:t>3</w:t>
        </w:r>
      </w:hyperlink>
      <w:r w:rsidR="00BD5933" w:rsidRPr="00FA34BE">
        <w:rPr>
          <w:rFonts w:ascii="Times New Roman" w:hAnsi="Times New Roman" w:cs="Times New Roman"/>
          <w:color w:val="000000"/>
          <w:sz w:val="20"/>
          <w:szCs w:val="20"/>
          <w:shd w:val="clear" w:color="auto" w:fill="FFFFFF"/>
        </w:rPr>
        <w:t>.</w:t>
      </w:r>
    </w:p>
    <w:p w:rsidR="00863EB8" w:rsidRPr="00FA34BE" w:rsidRDefault="00863EB8" w:rsidP="00BD5933">
      <w:pPr>
        <w:pStyle w:val="Heading1"/>
        <w:snapToGrid w:val="0"/>
        <w:spacing w:before="0"/>
        <w:jc w:val="both"/>
        <w:rPr>
          <w:rFonts w:cs="Times New Roman"/>
          <w:b w:val="0"/>
          <w:bCs w:val="0"/>
          <w:sz w:val="20"/>
          <w:szCs w:val="20"/>
        </w:rPr>
      </w:pPr>
    </w:p>
    <w:p w:rsidR="00CE0EE5" w:rsidRPr="00FA34BE" w:rsidRDefault="00C83261" w:rsidP="00BD5933">
      <w:pPr>
        <w:snapToGrid w:val="0"/>
        <w:jc w:val="both"/>
        <w:rPr>
          <w:rFonts w:ascii="Times New Roman" w:eastAsia="Times New Roman" w:hAnsi="Times New Roman" w:cs="Times New Roman"/>
          <w:sz w:val="20"/>
          <w:szCs w:val="20"/>
        </w:rPr>
      </w:pPr>
      <w:r w:rsidRPr="00FA34BE">
        <w:rPr>
          <w:rFonts w:ascii="Times New Roman" w:eastAsia="Times New Roman" w:hAnsi="Times New Roman" w:cs="Times New Roman"/>
          <w:b/>
          <w:bCs/>
          <w:sz w:val="20"/>
          <w:szCs w:val="20"/>
        </w:rPr>
        <w:t xml:space="preserve">Key </w:t>
      </w:r>
      <w:r w:rsidR="00976ADD" w:rsidRPr="00FA34BE">
        <w:rPr>
          <w:rFonts w:ascii="Times New Roman" w:eastAsia="Times New Roman" w:hAnsi="Times New Roman" w:cs="Times New Roman"/>
          <w:b/>
          <w:bCs/>
          <w:sz w:val="20"/>
          <w:szCs w:val="20"/>
        </w:rPr>
        <w:t>Words:</w:t>
      </w:r>
      <w:r w:rsidRPr="00FA34BE">
        <w:rPr>
          <w:rFonts w:ascii="Times New Roman" w:eastAsia="Times New Roman" w:hAnsi="Times New Roman" w:cs="Times New Roman"/>
          <w:sz w:val="20"/>
          <w:szCs w:val="20"/>
        </w:rPr>
        <w:t xml:space="preserve"> ALT/AST ratio reversal, Pro longed PT, Hepatic Cirrhosis.</w:t>
      </w:r>
    </w:p>
    <w:p w:rsidR="00BD5933" w:rsidRPr="00FA34BE" w:rsidRDefault="00BD5933" w:rsidP="00BD5933">
      <w:pPr>
        <w:pStyle w:val="BodyText"/>
        <w:snapToGrid w:val="0"/>
        <w:ind w:left="0"/>
        <w:jc w:val="both"/>
        <w:rPr>
          <w:rFonts w:cs="Times New Roman"/>
          <w:sz w:val="20"/>
          <w:szCs w:val="20"/>
        </w:rPr>
      </w:pPr>
    </w:p>
    <w:p w:rsidR="00BD5933" w:rsidRPr="00FA34BE" w:rsidRDefault="00BD5933" w:rsidP="00BD5933">
      <w:pPr>
        <w:pStyle w:val="BodyText"/>
        <w:snapToGrid w:val="0"/>
        <w:ind w:left="0"/>
        <w:jc w:val="both"/>
        <w:rPr>
          <w:rFonts w:cs="Times New Roman"/>
          <w:sz w:val="20"/>
          <w:szCs w:val="20"/>
        </w:rPr>
        <w:sectPr w:rsidR="00BD5933" w:rsidRPr="00FA34BE" w:rsidSect="00015BDB">
          <w:headerReference w:type="default" r:id="rId9"/>
          <w:footerReference w:type="default" r:id="rId10"/>
          <w:type w:val="continuous"/>
          <w:pgSz w:w="12240" w:h="15840" w:code="1"/>
          <w:pgMar w:top="1440" w:right="1440" w:bottom="1440" w:left="1440" w:header="720" w:footer="720" w:gutter="0"/>
          <w:pgNumType w:start="15"/>
          <w:cols w:space="720"/>
          <w:docGrid w:linePitch="299"/>
        </w:sectPr>
      </w:pPr>
    </w:p>
    <w:p w:rsidR="006D662D" w:rsidRPr="00FA34BE" w:rsidRDefault="006D662D" w:rsidP="00BD5933">
      <w:pPr>
        <w:snapToGrid w:val="0"/>
        <w:jc w:val="both"/>
        <w:rPr>
          <w:rFonts w:ascii="Times New Roman" w:eastAsia="Times New Roman" w:hAnsi="Times New Roman" w:cs="Times New Roman"/>
          <w:sz w:val="20"/>
          <w:szCs w:val="20"/>
        </w:rPr>
      </w:pPr>
      <w:r w:rsidRPr="00FA34BE">
        <w:rPr>
          <w:rFonts w:ascii="Times New Roman" w:eastAsia="Times New Roman" w:hAnsi="Times New Roman" w:cs="Times New Roman"/>
          <w:b/>
          <w:bCs/>
          <w:sz w:val="20"/>
          <w:szCs w:val="20"/>
        </w:rPr>
        <w:lastRenderedPageBreak/>
        <w:t>1. Introduction</w:t>
      </w:r>
    </w:p>
    <w:p w:rsidR="00CE0EE5" w:rsidRPr="00FA34BE" w:rsidRDefault="00C83261" w:rsidP="00BD5933">
      <w:pPr>
        <w:pStyle w:val="BodyText"/>
        <w:snapToGrid w:val="0"/>
        <w:ind w:left="0" w:firstLine="425"/>
        <w:jc w:val="both"/>
        <w:rPr>
          <w:rFonts w:cs="Times New Roman"/>
          <w:sz w:val="20"/>
          <w:szCs w:val="20"/>
        </w:rPr>
      </w:pPr>
      <w:r w:rsidRPr="00FA34BE">
        <w:rPr>
          <w:rFonts w:cs="Times New Roman"/>
          <w:sz w:val="20"/>
          <w:szCs w:val="20"/>
        </w:rPr>
        <w:t>Liver cirrhosis is the final stage of various chronic liver diseases. The concept is essentially morphological, defined as a diffuse alteration of hepatic architecture by the presence of necrosis</w:t>
      </w:r>
      <w:r w:rsidR="00FA34BE">
        <w:rPr>
          <w:rFonts w:cs="Times New Roman"/>
          <w:sz w:val="20"/>
          <w:szCs w:val="20"/>
        </w:rPr>
        <w:t>,</w:t>
      </w:r>
      <w:r w:rsidR="00FA34BE">
        <w:rPr>
          <w:rFonts w:eastAsiaTheme="minorEastAsia" w:cs="Times New Roman" w:hint="eastAsia"/>
          <w:sz w:val="20"/>
          <w:szCs w:val="20"/>
          <w:lang w:eastAsia="zh-CN"/>
        </w:rPr>
        <w:t xml:space="preserve"> </w:t>
      </w:r>
      <w:r w:rsidRPr="00FA34BE">
        <w:rPr>
          <w:rFonts w:cs="Times New Roman"/>
          <w:sz w:val="20"/>
          <w:szCs w:val="20"/>
        </w:rPr>
        <w:t xml:space="preserve">fibrosis and regenerative nodules. These disorders conduct to </w:t>
      </w:r>
      <w:proofErr w:type="spellStart"/>
      <w:r w:rsidRPr="00FA34BE">
        <w:rPr>
          <w:rFonts w:cs="Times New Roman"/>
          <w:sz w:val="20"/>
          <w:szCs w:val="20"/>
        </w:rPr>
        <w:t>intrahepatic</w:t>
      </w:r>
      <w:proofErr w:type="spellEnd"/>
      <w:r w:rsidRPr="00FA34BE">
        <w:rPr>
          <w:rFonts w:cs="Times New Roman"/>
          <w:sz w:val="20"/>
          <w:szCs w:val="20"/>
        </w:rPr>
        <w:t xml:space="preserve"> vascular changes and to the reduction of functional mass. Finally, the consequences are the development of portal hypertension and the occurrence of liver failure</w:t>
      </w:r>
      <w:r w:rsidR="003A4CF0" w:rsidRPr="00FA34BE">
        <w:rPr>
          <w:rFonts w:cs="Times New Roman"/>
          <w:sz w:val="20"/>
          <w:szCs w:val="20"/>
        </w:rPr>
        <w:t xml:space="preserve">. </w:t>
      </w:r>
      <w:r w:rsidR="00F97AA8" w:rsidRPr="00FA34BE">
        <w:rPr>
          <w:rFonts w:cs="Times New Roman"/>
          <w:iCs/>
          <w:sz w:val="20"/>
          <w:szCs w:val="20"/>
          <w:vertAlign w:val="superscript"/>
        </w:rPr>
        <w:t>(1)</w:t>
      </w:r>
    </w:p>
    <w:p w:rsidR="00CE0EE5" w:rsidRPr="00FA34BE" w:rsidRDefault="00C83261" w:rsidP="00BD5933">
      <w:pPr>
        <w:pStyle w:val="BodyText"/>
        <w:snapToGrid w:val="0"/>
        <w:ind w:left="0" w:firstLine="425"/>
        <w:jc w:val="both"/>
        <w:rPr>
          <w:rFonts w:cs="Times New Roman"/>
          <w:sz w:val="20"/>
          <w:szCs w:val="20"/>
          <w:vertAlign w:val="superscript"/>
        </w:rPr>
      </w:pPr>
      <w:r w:rsidRPr="00FA34BE">
        <w:rPr>
          <w:rFonts w:cs="Times New Roman"/>
          <w:sz w:val="20"/>
          <w:szCs w:val="20"/>
        </w:rPr>
        <w:t>Detection of cirrhosis in patients of chronic liver disease is very important from therapeutic point of view.</w:t>
      </w:r>
      <w:r w:rsidR="00DF3E85" w:rsidRPr="00FA34BE">
        <w:rPr>
          <w:rFonts w:cs="Times New Roman"/>
          <w:sz w:val="20"/>
          <w:szCs w:val="20"/>
        </w:rPr>
        <w:t xml:space="preserve"> </w:t>
      </w:r>
      <w:r w:rsidRPr="00FA34BE">
        <w:rPr>
          <w:rFonts w:cs="Times New Roman"/>
          <w:sz w:val="20"/>
          <w:szCs w:val="20"/>
        </w:rPr>
        <w:t>The gold standard for detection of hepatic cirrhosis is liver biopsy</w:t>
      </w:r>
      <w:proofErr w:type="gramStart"/>
      <w:r w:rsidR="00F97AA8" w:rsidRPr="00FA34BE">
        <w:rPr>
          <w:rFonts w:cs="Times New Roman"/>
          <w:sz w:val="20"/>
          <w:szCs w:val="20"/>
          <w:vertAlign w:val="superscript"/>
        </w:rPr>
        <w:t>.(</w:t>
      </w:r>
      <w:proofErr w:type="gramEnd"/>
      <w:r w:rsidR="00F97AA8" w:rsidRPr="00FA34BE">
        <w:rPr>
          <w:rFonts w:cs="Times New Roman"/>
          <w:color w:val="211F1F"/>
          <w:sz w:val="20"/>
          <w:szCs w:val="20"/>
          <w:vertAlign w:val="superscript"/>
        </w:rPr>
        <w:t>2)</w:t>
      </w:r>
    </w:p>
    <w:p w:rsidR="00CE0EE5" w:rsidRPr="00FA34BE" w:rsidRDefault="00C83261" w:rsidP="00BD5933">
      <w:pPr>
        <w:pStyle w:val="BodyText"/>
        <w:snapToGrid w:val="0"/>
        <w:ind w:left="0" w:firstLine="425"/>
        <w:jc w:val="both"/>
        <w:rPr>
          <w:rFonts w:cs="Times New Roman"/>
          <w:sz w:val="20"/>
          <w:szCs w:val="20"/>
        </w:rPr>
      </w:pPr>
      <w:r w:rsidRPr="00FA34BE">
        <w:rPr>
          <w:rFonts w:cs="Times New Roman"/>
          <w:sz w:val="20"/>
          <w:szCs w:val="20"/>
        </w:rPr>
        <w:t xml:space="preserve">In normal individuals ALT value is higher than AST value and so their ratio ALT/AST is more than 1.Reverse ratio means that AST value becomes greater than ALT value and so AST/ALT greater than </w:t>
      </w:r>
      <w:r w:rsidR="003A4CF0" w:rsidRPr="00FA34BE">
        <w:rPr>
          <w:rFonts w:cs="Times New Roman"/>
          <w:sz w:val="20"/>
          <w:szCs w:val="20"/>
        </w:rPr>
        <w:t>1.</w:t>
      </w:r>
      <w:r w:rsidR="003A4CF0" w:rsidRPr="00FA34BE">
        <w:rPr>
          <w:rFonts w:cs="Times New Roman"/>
          <w:b/>
          <w:bCs/>
          <w:sz w:val="20"/>
          <w:szCs w:val="20"/>
          <w:vertAlign w:val="superscript"/>
        </w:rPr>
        <w:t xml:space="preserve"> </w:t>
      </w:r>
      <w:r w:rsidR="00F97AA8" w:rsidRPr="00FA34BE">
        <w:rPr>
          <w:rFonts w:cs="Times New Roman"/>
          <w:sz w:val="20"/>
          <w:szCs w:val="20"/>
          <w:vertAlign w:val="superscript"/>
        </w:rPr>
        <w:t>(3</w:t>
      </w:r>
      <w:r w:rsidRPr="00FA34BE">
        <w:rPr>
          <w:rFonts w:cs="Times New Roman"/>
          <w:b/>
          <w:bCs/>
          <w:sz w:val="20"/>
          <w:szCs w:val="20"/>
          <w:vertAlign w:val="superscript"/>
        </w:rPr>
        <w:t>)</w:t>
      </w:r>
    </w:p>
    <w:p w:rsidR="00CE0EE5" w:rsidRPr="00FA34BE" w:rsidRDefault="00C83261" w:rsidP="00BD5933">
      <w:pPr>
        <w:pStyle w:val="BodyText"/>
        <w:snapToGrid w:val="0"/>
        <w:ind w:left="0" w:firstLine="425"/>
        <w:jc w:val="both"/>
        <w:rPr>
          <w:rFonts w:cs="Times New Roman"/>
          <w:b/>
          <w:bCs/>
          <w:sz w:val="20"/>
          <w:szCs w:val="20"/>
          <w:vertAlign w:val="superscript"/>
        </w:rPr>
      </w:pPr>
      <w:r w:rsidRPr="00FA34BE">
        <w:rPr>
          <w:rFonts w:cs="Times New Roman"/>
          <w:sz w:val="20"/>
          <w:szCs w:val="20"/>
        </w:rPr>
        <w:t xml:space="preserve">The </w:t>
      </w:r>
      <w:proofErr w:type="spellStart"/>
      <w:r w:rsidRPr="00FA34BE">
        <w:rPr>
          <w:rFonts w:cs="Times New Roman"/>
          <w:sz w:val="20"/>
          <w:szCs w:val="20"/>
        </w:rPr>
        <w:t>prothrombin</w:t>
      </w:r>
      <w:proofErr w:type="spellEnd"/>
      <w:r w:rsidR="00983E6B" w:rsidRPr="00FA34BE">
        <w:rPr>
          <w:rFonts w:cs="Times New Roman"/>
          <w:sz w:val="20"/>
          <w:szCs w:val="20"/>
        </w:rPr>
        <w:t xml:space="preserve"> </w:t>
      </w:r>
      <w:r w:rsidRPr="00FA34BE">
        <w:rPr>
          <w:rFonts w:cs="Times New Roman"/>
          <w:sz w:val="20"/>
          <w:szCs w:val="20"/>
        </w:rPr>
        <w:t>time (PT) measures the clotting time from the activation of factor VII, through the formation of fibrin clot. This test measures the integrity of the extrinsic and common pathways of coagulation.</w:t>
      </w:r>
      <w:r w:rsidR="00FA34BE">
        <w:rPr>
          <w:rFonts w:eastAsiaTheme="minorEastAsia" w:cs="Times New Roman" w:hint="eastAsia"/>
          <w:sz w:val="20"/>
          <w:szCs w:val="20"/>
          <w:lang w:eastAsia="zh-CN"/>
        </w:rPr>
        <w:t xml:space="preserve"> I</w:t>
      </w:r>
      <w:r w:rsidRPr="00FA34BE">
        <w:rPr>
          <w:rFonts w:cs="Times New Roman"/>
          <w:sz w:val="20"/>
          <w:szCs w:val="20"/>
        </w:rPr>
        <w:t>t has normal range of 10-14 seconds in normal healthy individuals and is prolonged in patients of chronic liver disease</w:t>
      </w:r>
      <w:r w:rsidR="003A4CF0" w:rsidRPr="00FA34BE">
        <w:rPr>
          <w:rFonts w:cs="Times New Roman"/>
          <w:sz w:val="20"/>
          <w:szCs w:val="20"/>
        </w:rPr>
        <w:t xml:space="preserve">. </w:t>
      </w:r>
      <w:r w:rsidR="00F97AA8" w:rsidRPr="00FA34BE">
        <w:rPr>
          <w:rFonts w:cs="Times New Roman"/>
          <w:sz w:val="20"/>
          <w:szCs w:val="20"/>
          <w:vertAlign w:val="superscript"/>
        </w:rPr>
        <w:t>(4)</w:t>
      </w:r>
    </w:p>
    <w:p w:rsidR="00CE0EE5" w:rsidRPr="00FA34BE" w:rsidRDefault="00C83261" w:rsidP="00BD5933">
      <w:pPr>
        <w:pStyle w:val="BodyText"/>
        <w:snapToGrid w:val="0"/>
        <w:ind w:left="0" w:firstLine="425"/>
        <w:jc w:val="both"/>
        <w:rPr>
          <w:rFonts w:cs="Times New Roman"/>
          <w:sz w:val="20"/>
          <w:szCs w:val="20"/>
        </w:rPr>
      </w:pPr>
      <w:r w:rsidRPr="00FA34BE">
        <w:rPr>
          <w:rFonts w:cs="Times New Roman"/>
          <w:sz w:val="20"/>
          <w:szCs w:val="20"/>
        </w:rPr>
        <w:t xml:space="preserve">Accordingly, the present study evaluated the use of </w:t>
      </w:r>
      <w:proofErr w:type="spellStart"/>
      <w:r w:rsidRPr="00FA34BE">
        <w:rPr>
          <w:rFonts w:cs="Times New Roman"/>
          <w:sz w:val="20"/>
          <w:szCs w:val="20"/>
        </w:rPr>
        <w:t>prothrombin</w:t>
      </w:r>
      <w:proofErr w:type="spellEnd"/>
      <w:r w:rsidRPr="00FA34BE">
        <w:rPr>
          <w:rFonts w:cs="Times New Roman"/>
          <w:sz w:val="20"/>
          <w:szCs w:val="20"/>
        </w:rPr>
        <w:t xml:space="preserve"> time (PT) and the reversed (AST/ALT) ratio to</w:t>
      </w:r>
      <w:r w:rsidR="003A4CF0" w:rsidRPr="00FA34BE">
        <w:rPr>
          <w:rFonts w:cs="Times New Roman"/>
          <w:sz w:val="20"/>
          <w:szCs w:val="20"/>
        </w:rPr>
        <w:t xml:space="preserve"> </w:t>
      </w:r>
      <w:r w:rsidRPr="00FA34BE">
        <w:rPr>
          <w:rFonts w:cs="Times New Roman"/>
          <w:sz w:val="20"/>
          <w:szCs w:val="20"/>
        </w:rPr>
        <w:t>emphasize their importance to detect the advance of cirrhosis in chronic HCV and compared these parameters in HCV patients with compensated liver</w:t>
      </w:r>
      <w:r w:rsidR="00983E6B" w:rsidRPr="00FA34BE">
        <w:rPr>
          <w:rFonts w:cs="Times New Roman"/>
          <w:sz w:val="20"/>
          <w:szCs w:val="20"/>
        </w:rPr>
        <w:t xml:space="preserve"> </w:t>
      </w:r>
      <w:r w:rsidRPr="00FA34BE">
        <w:rPr>
          <w:rFonts w:cs="Times New Roman"/>
          <w:sz w:val="20"/>
          <w:szCs w:val="20"/>
        </w:rPr>
        <w:t xml:space="preserve">and </w:t>
      </w:r>
      <w:proofErr w:type="spellStart"/>
      <w:r w:rsidRPr="00FA34BE">
        <w:rPr>
          <w:rFonts w:cs="Times New Roman"/>
          <w:sz w:val="20"/>
          <w:szCs w:val="20"/>
        </w:rPr>
        <w:t>decompensated</w:t>
      </w:r>
      <w:proofErr w:type="spellEnd"/>
      <w:r w:rsidRPr="00FA34BE">
        <w:rPr>
          <w:rFonts w:cs="Times New Roman"/>
          <w:sz w:val="20"/>
          <w:szCs w:val="20"/>
        </w:rPr>
        <w:t xml:space="preserve"> liver.</w:t>
      </w:r>
    </w:p>
    <w:p w:rsidR="003A4CF0" w:rsidRPr="00FA34BE" w:rsidRDefault="003A4CF0" w:rsidP="00BD5933">
      <w:pPr>
        <w:pStyle w:val="Heading3"/>
        <w:snapToGrid w:val="0"/>
        <w:ind w:left="0"/>
        <w:jc w:val="both"/>
        <w:rPr>
          <w:rFonts w:cs="Times New Roman"/>
          <w:sz w:val="20"/>
          <w:szCs w:val="20"/>
        </w:rPr>
      </w:pPr>
    </w:p>
    <w:p w:rsidR="00CE0EE5" w:rsidRPr="00FA34BE" w:rsidRDefault="00863EB8" w:rsidP="00BD5933">
      <w:pPr>
        <w:pStyle w:val="Heading3"/>
        <w:snapToGrid w:val="0"/>
        <w:ind w:left="0"/>
        <w:jc w:val="both"/>
        <w:rPr>
          <w:rFonts w:cs="Times New Roman"/>
          <w:b w:val="0"/>
          <w:bCs w:val="0"/>
          <w:sz w:val="20"/>
          <w:szCs w:val="20"/>
        </w:rPr>
      </w:pPr>
      <w:r w:rsidRPr="00FA34BE">
        <w:rPr>
          <w:rFonts w:cs="Times New Roman"/>
          <w:sz w:val="20"/>
          <w:szCs w:val="20"/>
        </w:rPr>
        <w:t xml:space="preserve">2. </w:t>
      </w:r>
      <w:r w:rsidR="003A4CF0" w:rsidRPr="00FA34BE">
        <w:rPr>
          <w:rFonts w:cs="Times New Roman"/>
          <w:sz w:val="20"/>
          <w:szCs w:val="20"/>
        </w:rPr>
        <w:t>Material and Methods</w:t>
      </w:r>
    </w:p>
    <w:p w:rsidR="00CE0EE5" w:rsidRPr="00FA34BE" w:rsidRDefault="00C83261" w:rsidP="00BD5933">
      <w:pPr>
        <w:pStyle w:val="BodyText"/>
        <w:snapToGrid w:val="0"/>
        <w:ind w:left="0"/>
        <w:jc w:val="both"/>
        <w:rPr>
          <w:rFonts w:cs="Times New Roman"/>
          <w:sz w:val="20"/>
          <w:szCs w:val="20"/>
        </w:rPr>
      </w:pPr>
      <w:r w:rsidRPr="00FA34BE">
        <w:rPr>
          <w:rFonts w:cs="Times New Roman"/>
          <w:b/>
          <w:bCs/>
          <w:sz w:val="20"/>
          <w:szCs w:val="20"/>
        </w:rPr>
        <w:t xml:space="preserve">Subjects: </w:t>
      </w:r>
      <w:r w:rsidRPr="00FA34BE">
        <w:rPr>
          <w:rFonts w:cs="Times New Roman"/>
          <w:sz w:val="20"/>
          <w:szCs w:val="20"/>
        </w:rPr>
        <w:t xml:space="preserve">We enrolled in the study 60 patients with HCV cirrhosis, </w:t>
      </w:r>
      <w:proofErr w:type="spellStart"/>
      <w:r w:rsidRPr="00FA34BE">
        <w:rPr>
          <w:rFonts w:cs="Times New Roman"/>
          <w:sz w:val="20"/>
          <w:szCs w:val="20"/>
        </w:rPr>
        <w:t>fulﬁlling</w:t>
      </w:r>
      <w:proofErr w:type="spellEnd"/>
      <w:r w:rsidRPr="00FA34BE">
        <w:rPr>
          <w:rFonts w:cs="Times New Roman"/>
          <w:sz w:val="20"/>
          <w:szCs w:val="20"/>
        </w:rPr>
        <w:t xml:space="preserve"> all criteria detailed below.</w:t>
      </w:r>
      <w:r w:rsidR="00976ADD" w:rsidRPr="00FA34BE">
        <w:rPr>
          <w:rFonts w:cs="Times New Roman"/>
          <w:sz w:val="20"/>
          <w:szCs w:val="20"/>
        </w:rPr>
        <w:t xml:space="preserve"> </w:t>
      </w:r>
      <w:r w:rsidRPr="00FA34BE">
        <w:rPr>
          <w:rFonts w:cs="Times New Roman"/>
          <w:sz w:val="20"/>
          <w:szCs w:val="20"/>
        </w:rPr>
        <w:t>The 60 patients were divided into 2 groups:</w:t>
      </w:r>
    </w:p>
    <w:p w:rsidR="00CE0EE5" w:rsidRPr="00FA34BE" w:rsidRDefault="00C83261" w:rsidP="00BD5933">
      <w:pPr>
        <w:pStyle w:val="BodyText"/>
        <w:snapToGrid w:val="0"/>
        <w:ind w:left="0"/>
        <w:jc w:val="both"/>
        <w:rPr>
          <w:rFonts w:cs="Times New Roman"/>
          <w:sz w:val="20"/>
          <w:szCs w:val="20"/>
        </w:rPr>
      </w:pPr>
      <w:r w:rsidRPr="00FA34BE">
        <w:rPr>
          <w:rFonts w:cs="Times New Roman"/>
          <w:b/>
          <w:bCs/>
          <w:sz w:val="20"/>
          <w:szCs w:val="20"/>
        </w:rPr>
        <w:t xml:space="preserve">Group I: </w:t>
      </w:r>
      <w:r w:rsidRPr="00FA34BE">
        <w:rPr>
          <w:rFonts w:cs="Times New Roman"/>
          <w:sz w:val="20"/>
          <w:szCs w:val="20"/>
        </w:rPr>
        <w:t xml:space="preserve">Including patients with </w:t>
      </w:r>
      <w:proofErr w:type="spellStart"/>
      <w:r w:rsidRPr="00FA34BE">
        <w:rPr>
          <w:rFonts w:cs="Times New Roman"/>
          <w:sz w:val="20"/>
          <w:szCs w:val="20"/>
        </w:rPr>
        <w:t>decompensated</w:t>
      </w:r>
      <w:proofErr w:type="spellEnd"/>
      <w:r w:rsidRPr="00FA34BE">
        <w:rPr>
          <w:rFonts w:cs="Times New Roman"/>
          <w:sz w:val="20"/>
          <w:szCs w:val="20"/>
        </w:rPr>
        <w:t xml:space="preserve"> liver cirrhosis (30 patients).</w:t>
      </w:r>
    </w:p>
    <w:p w:rsidR="00CE0EE5" w:rsidRPr="00FA34BE" w:rsidRDefault="00C83261" w:rsidP="00BD5933">
      <w:pPr>
        <w:pStyle w:val="BodyText"/>
        <w:snapToGrid w:val="0"/>
        <w:ind w:left="0"/>
        <w:jc w:val="both"/>
        <w:rPr>
          <w:rFonts w:cs="Times New Roman"/>
          <w:sz w:val="20"/>
          <w:szCs w:val="20"/>
        </w:rPr>
      </w:pPr>
      <w:r w:rsidRPr="00FA34BE">
        <w:rPr>
          <w:rFonts w:cs="Times New Roman"/>
          <w:b/>
          <w:bCs/>
          <w:sz w:val="20"/>
          <w:szCs w:val="20"/>
        </w:rPr>
        <w:t xml:space="preserve">Group II: </w:t>
      </w:r>
      <w:r w:rsidR="00863EB8" w:rsidRPr="00FA34BE">
        <w:rPr>
          <w:rFonts w:cs="Times New Roman"/>
          <w:sz w:val="20"/>
          <w:szCs w:val="20"/>
        </w:rPr>
        <w:t>Including patients</w:t>
      </w:r>
      <w:r w:rsidRPr="00FA34BE">
        <w:rPr>
          <w:rFonts w:cs="Times New Roman"/>
          <w:sz w:val="20"/>
          <w:szCs w:val="20"/>
        </w:rPr>
        <w:t xml:space="preserve"> with compensated liver cirrhosis (30 patients),</w:t>
      </w:r>
    </w:p>
    <w:p w:rsidR="00CE0EE5" w:rsidRPr="00FA34BE" w:rsidRDefault="00C83261" w:rsidP="00BD5933">
      <w:pPr>
        <w:pStyle w:val="BodyText"/>
        <w:snapToGrid w:val="0"/>
        <w:ind w:left="0"/>
        <w:jc w:val="both"/>
        <w:rPr>
          <w:rFonts w:cs="Times New Roman"/>
          <w:sz w:val="20"/>
          <w:szCs w:val="20"/>
        </w:rPr>
      </w:pPr>
      <w:r w:rsidRPr="00FA34BE">
        <w:rPr>
          <w:rFonts w:cs="Times New Roman"/>
          <w:b/>
          <w:bCs/>
          <w:sz w:val="20"/>
          <w:szCs w:val="20"/>
        </w:rPr>
        <w:t xml:space="preserve">Apparatus: </w:t>
      </w:r>
      <w:r w:rsidR="00863EB8" w:rsidRPr="00FA34BE">
        <w:rPr>
          <w:rFonts w:cs="Times New Roman"/>
          <w:sz w:val="20"/>
          <w:szCs w:val="20"/>
        </w:rPr>
        <w:t>USG abdomen by</w:t>
      </w:r>
      <w:r w:rsidRPr="00FA34BE">
        <w:rPr>
          <w:rFonts w:cs="Times New Roman"/>
          <w:sz w:val="20"/>
          <w:szCs w:val="20"/>
        </w:rPr>
        <w:t xml:space="preserve"> a single </w:t>
      </w:r>
      <w:proofErr w:type="spellStart"/>
      <w:r w:rsidRPr="00FA34BE">
        <w:rPr>
          <w:rFonts w:cs="Times New Roman"/>
          <w:sz w:val="20"/>
          <w:szCs w:val="20"/>
        </w:rPr>
        <w:t>ultrasonologist</w:t>
      </w:r>
      <w:proofErr w:type="spellEnd"/>
      <w:r w:rsidRPr="00FA34BE">
        <w:rPr>
          <w:rFonts w:cs="Times New Roman"/>
          <w:sz w:val="20"/>
          <w:szCs w:val="20"/>
        </w:rPr>
        <w:t xml:space="preserve"> to see the </w:t>
      </w:r>
      <w:r w:rsidR="00863EB8" w:rsidRPr="00FA34BE">
        <w:rPr>
          <w:rFonts w:cs="Times New Roman"/>
          <w:sz w:val="20"/>
          <w:szCs w:val="20"/>
        </w:rPr>
        <w:t>hepatic features for</w:t>
      </w:r>
      <w:r w:rsidRPr="00FA34BE">
        <w:rPr>
          <w:rFonts w:cs="Times New Roman"/>
          <w:sz w:val="20"/>
          <w:szCs w:val="20"/>
        </w:rPr>
        <w:t xml:space="preserve"> cirrhosis.</w:t>
      </w:r>
      <w:r w:rsidR="00FA34BE">
        <w:rPr>
          <w:rFonts w:eastAsiaTheme="minorEastAsia" w:cs="Times New Roman" w:hint="eastAsia"/>
          <w:sz w:val="20"/>
          <w:szCs w:val="20"/>
          <w:lang w:eastAsia="zh-CN"/>
        </w:rPr>
        <w:t xml:space="preserve"> </w:t>
      </w:r>
      <w:proofErr w:type="spellStart"/>
      <w:r w:rsidRPr="00FA34BE">
        <w:rPr>
          <w:rFonts w:cs="Times New Roman"/>
          <w:sz w:val="20"/>
          <w:szCs w:val="20"/>
        </w:rPr>
        <w:t>Prothrombin</w:t>
      </w:r>
      <w:proofErr w:type="spellEnd"/>
      <w:r w:rsidRPr="00FA34BE">
        <w:rPr>
          <w:rFonts w:cs="Times New Roman"/>
          <w:sz w:val="20"/>
          <w:szCs w:val="20"/>
        </w:rPr>
        <w:t xml:space="preserve"> time </w:t>
      </w:r>
      <w:r w:rsidR="00863EB8" w:rsidRPr="00FA34BE">
        <w:rPr>
          <w:rFonts w:cs="Times New Roman"/>
          <w:sz w:val="20"/>
          <w:szCs w:val="20"/>
        </w:rPr>
        <w:t>was measured by one</w:t>
      </w:r>
      <w:r w:rsidRPr="00FA34BE">
        <w:rPr>
          <w:rFonts w:cs="Times New Roman"/>
          <w:sz w:val="20"/>
          <w:szCs w:val="20"/>
        </w:rPr>
        <w:t xml:space="preserve"> </w:t>
      </w:r>
      <w:r w:rsidR="00863EB8" w:rsidRPr="00FA34BE">
        <w:rPr>
          <w:rFonts w:cs="Times New Roman"/>
          <w:sz w:val="20"/>
          <w:szCs w:val="20"/>
        </w:rPr>
        <w:t xml:space="preserve">stage </w:t>
      </w:r>
      <w:proofErr w:type="spellStart"/>
      <w:r w:rsidR="00863EB8" w:rsidRPr="00FA34BE">
        <w:rPr>
          <w:rFonts w:cs="Times New Roman"/>
          <w:sz w:val="20"/>
          <w:szCs w:val="20"/>
        </w:rPr>
        <w:t>prothrombin</w:t>
      </w:r>
      <w:proofErr w:type="spellEnd"/>
      <w:r w:rsidR="00863EB8" w:rsidRPr="00FA34BE">
        <w:rPr>
          <w:rFonts w:cs="Times New Roman"/>
          <w:sz w:val="20"/>
          <w:szCs w:val="20"/>
        </w:rPr>
        <w:t xml:space="preserve"> time</w:t>
      </w:r>
      <w:r w:rsidRPr="00FA34BE">
        <w:rPr>
          <w:rFonts w:cs="Times New Roman"/>
          <w:sz w:val="20"/>
          <w:szCs w:val="20"/>
        </w:rPr>
        <w:t xml:space="preserve">. </w:t>
      </w:r>
      <w:r w:rsidR="00863EB8" w:rsidRPr="00FA34BE">
        <w:rPr>
          <w:rFonts w:cs="Times New Roman"/>
          <w:sz w:val="20"/>
          <w:szCs w:val="20"/>
        </w:rPr>
        <w:t>The reagent used for this</w:t>
      </w:r>
      <w:r w:rsidRPr="00FA34BE">
        <w:rPr>
          <w:rFonts w:cs="Times New Roman"/>
          <w:sz w:val="20"/>
          <w:szCs w:val="20"/>
        </w:rPr>
        <w:t xml:space="preserve">, </w:t>
      </w:r>
      <w:r w:rsidR="00863EB8" w:rsidRPr="00FA34BE">
        <w:rPr>
          <w:rFonts w:cs="Times New Roman"/>
          <w:sz w:val="20"/>
          <w:szCs w:val="20"/>
        </w:rPr>
        <w:t>supplies a</w:t>
      </w:r>
      <w:r w:rsidR="00FA34BE">
        <w:rPr>
          <w:rFonts w:cs="Times New Roman"/>
          <w:sz w:val="20"/>
          <w:szCs w:val="20"/>
        </w:rPr>
        <w:t xml:space="preserve"> </w:t>
      </w:r>
      <w:r w:rsidRPr="00FA34BE">
        <w:rPr>
          <w:rFonts w:cs="Times New Roman"/>
          <w:sz w:val="20"/>
          <w:szCs w:val="20"/>
        </w:rPr>
        <w:t>source</w:t>
      </w:r>
      <w:r w:rsidR="00FA34BE">
        <w:rPr>
          <w:rFonts w:cs="Times New Roman"/>
          <w:sz w:val="20"/>
          <w:szCs w:val="20"/>
        </w:rPr>
        <w:t xml:space="preserve"> </w:t>
      </w:r>
      <w:r w:rsidRPr="00FA34BE">
        <w:rPr>
          <w:rFonts w:cs="Times New Roman"/>
          <w:sz w:val="20"/>
          <w:szCs w:val="20"/>
        </w:rPr>
        <w:t xml:space="preserve">of tissue </w:t>
      </w:r>
      <w:proofErr w:type="spellStart"/>
      <w:r w:rsidRPr="00FA34BE">
        <w:rPr>
          <w:rFonts w:cs="Times New Roman"/>
          <w:sz w:val="20"/>
          <w:szCs w:val="20"/>
        </w:rPr>
        <w:t>thromboplastin</w:t>
      </w:r>
      <w:proofErr w:type="spellEnd"/>
      <w:r w:rsidRPr="00FA34BE">
        <w:rPr>
          <w:rFonts w:cs="Times New Roman"/>
          <w:sz w:val="20"/>
          <w:szCs w:val="20"/>
        </w:rPr>
        <w:t xml:space="preserve"> and calcium,</w:t>
      </w:r>
      <w:r w:rsidR="00FA34BE">
        <w:rPr>
          <w:rFonts w:cs="Times New Roman"/>
          <w:sz w:val="20"/>
          <w:szCs w:val="20"/>
        </w:rPr>
        <w:t xml:space="preserve"> </w:t>
      </w:r>
      <w:r w:rsidRPr="00FA34BE">
        <w:rPr>
          <w:rFonts w:cs="Times New Roman"/>
          <w:sz w:val="20"/>
          <w:szCs w:val="20"/>
        </w:rPr>
        <w:t>which</w:t>
      </w:r>
      <w:r w:rsidR="00FA34BE">
        <w:rPr>
          <w:rFonts w:cs="Times New Roman"/>
          <w:sz w:val="20"/>
          <w:szCs w:val="20"/>
        </w:rPr>
        <w:t xml:space="preserve"> </w:t>
      </w:r>
      <w:r w:rsidRPr="00FA34BE">
        <w:rPr>
          <w:rFonts w:cs="Times New Roman"/>
          <w:sz w:val="20"/>
          <w:szCs w:val="20"/>
        </w:rPr>
        <w:t>activates factor VII and is there sensitive to all extrinsic and common pathway factors.</w:t>
      </w:r>
      <w:r w:rsidR="00FA34BE">
        <w:rPr>
          <w:rFonts w:eastAsiaTheme="minorEastAsia" w:cs="Times New Roman" w:hint="eastAsia"/>
          <w:sz w:val="20"/>
          <w:szCs w:val="20"/>
          <w:lang w:eastAsia="zh-CN"/>
        </w:rPr>
        <w:t xml:space="preserve"> </w:t>
      </w:r>
      <w:r w:rsidRPr="00FA34BE">
        <w:rPr>
          <w:rFonts w:cs="Times New Roman"/>
          <w:sz w:val="20"/>
          <w:szCs w:val="20"/>
        </w:rPr>
        <w:t xml:space="preserve">The data for this comparative cross sectional study was collected from the General medical ward of </w:t>
      </w:r>
      <w:proofErr w:type="spellStart"/>
      <w:r w:rsidRPr="00FA34BE">
        <w:rPr>
          <w:rFonts w:cs="Times New Roman"/>
          <w:sz w:val="20"/>
          <w:szCs w:val="20"/>
        </w:rPr>
        <w:t>Benha</w:t>
      </w:r>
      <w:proofErr w:type="spellEnd"/>
      <w:r w:rsidRPr="00FA34BE">
        <w:rPr>
          <w:rFonts w:cs="Times New Roman"/>
          <w:sz w:val="20"/>
          <w:szCs w:val="20"/>
        </w:rPr>
        <w:t xml:space="preserve"> teaching hospital.</w:t>
      </w:r>
    </w:p>
    <w:p w:rsidR="00CE0EE5" w:rsidRPr="00FA34BE" w:rsidRDefault="00C83261" w:rsidP="00BD5933">
      <w:pPr>
        <w:pStyle w:val="Heading3"/>
        <w:snapToGrid w:val="0"/>
        <w:ind w:left="0"/>
        <w:jc w:val="both"/>
        <w:rPr>
          <w:rFonts w:cs="Times New Roman"/>
          <w:b w:val="0"/>
          <w:bCs w:val="0"/>
          <w:sz w:val="20"/>
          <w:szCs w:val="20"/>
        </w:rPr>
      </w:pPr>
      <w:r w:rsidRPr="00FA34BE">
        <w:rPr>
          <w:rFonts w:cs="Times New Roman"/>
          <w:sz w:val="20"/>
          <w:szCs w:val="20"/>
        </w:rPr>
        <w:t>Inclusion criteria</w:t>
      </w:r>
    </w:p>
    <w:p w:rsidR="00CE0EE5" w:rsidRPr="00FA34BE" w:rsidRDefault="00C83261" w:rsidP="00BD5933">
      <w:pPr>
        <w:pStyle w:val="BodyText"/>
        <w:snapToGrid w:val="0"/>
        <w:ind w:left="0" w:firstLine="425"/>
        <w:jc w:val="both"/>
        <w:rPr>
          <w:rFonts w:cs="Times New Roman"/>
          <w:sz w:val="20"/>
          <w:szCs w:val="20"/>
        </w:rPr>
      </w:pPr>
      <w:r w:rsidRPr="00FA34BE">
        <w:rPr>
          <w:rFonts w:cs="Times New Roman"/>
          <w:sz w:val="20"/>
          <w:szCs w:val="20"/>
        </w:rPr>
        <w:t xml:space="preserve">In this study we include cirrhotic patients due to </w:t>
      </w:r>
      <w:proofErr w:type="gramStart"/>
      <w:r w:rsidRPr="00FA34BE">
        <w:rPr>
          <w:rFonts w:cs="Times New Roman"/>
          <w:sz w:val="20"/>
          <w:szCs w:val="20"/>
        </w:rPr>
        <w:t>HCV</w:t>
      </w:r>
      <w:r w:rsidR="00FA34BE">
        <w:rPr>
          <w:rFonts w:cs="Times New Roman"/>
          <w:sz w:val="20"/>
          <w:szCs w:val="20"/>
        </w:rPr>
        <w:t>,</w:t>
      </w:r>
      <w:proofErr w:type="gramEnd"/>
      <w:r w:rsidR="00FA34BE">
        <w:rPr>
          <w:rFonts w:eastAsiaTheme="minorEastAsia" w:cs="Times New Roman" w:hint="eastAsia"/>
          <w:sz w:val="20"/>
          <w:szCs w:val="20"/>
          <w:lang w:eastAsia="zh-CN"/>
        </w:rPr>
        <w:t xml:space="preserve"> </w:t>
      </w:r>
      <w:r w:rsidRPr="00FA34BE">
        <w:rPr>
          <w:rFonts w:cs="Times New Roman"/>
          <w:sz w:val="20"/>
          <w:szCs w:val="20"/>
        </w:rPr>
        <w:t xml:space="preserve">the data will be collected from medical ward and clinical </w:t>
      </w:r>
      <w:proofErr w:type="spellStart"/>
      <w:r w:rsidRPr="00FA34BE">
        <w:rPr>
          <w:rFonts w:cs="Times New Roman"/>
          <w:sz w:val="20"/>
          <w:szCs w:val="20"/>
        </w:rPr>
        <w:t>out patient</w:t>
      </w:r>
      <w:proofErr w:type="spellEnd"/>
      <w:r w:rsidRPr="00FA34BE">
        <w:rPr>
          <w:rFonts w:cs="Times New Roman"/>
          <w:sz w:val="20"/>
          <w:szCs w:val="20"/>
        </w:rPr>
        <w:t xml:space="preserve"> department in </w:t>
      </w:r>
      <w:proofErr w:type="spellStart"/>
      <w:r w:rsidRPr="00FA34BE">
        <w:rPr>
          <w:rFonts w:cs="Times New Roman"/>
          <w:sz w:val="20"/>
          <w:szCs w:val="20"/>
        </w:rPr>
        <w:t>Benha</w:t>
      </w:r>
      <w:proofErr w:type="spellEnd"/>
      <w:r w:rsidRPr="00FA34BE">
        <w:rPr>
          <w:rFonts w:cs="Times New Roman"/>
          <w:sz w:val="20"/>
          <w:szCs w:val="20"/>
        </w:rPr>
        <w:t xml:space="preserve"> teaching hospital</w:t>
      </w:r>
      <w:r w:rsidR="00FA34BE">
        <w:rPr>
          <w:rFonts w:cs="Times New Roman"/>
          <w:sz w:val="20"/>
          <w:szCs w:val="20"/>
        </w:rPr>
        <w:t>.</w:t>
      </w:r>
      <w:r w:rsidR="00FA34BE">
        <w:rPr>
          <w:rFonts w:eastAsiaTheme="minorEastAsia" w:cs="Times New Roman" w:hint="eastAsia"/>
          <w:sz w:val="20"/>
          <w:szCs w:val="20"/>
          <w:lang w:eastAsia="zh-CN"/>
        </w:rPr>
        <w:t xml:space="preserve"> </w:t>
      </w:r>
      <w:r w:rsidRPr="00FA34BE">
        <w:rPr>
          <w:rFonts w:cs="Times New Roman"/>
          <w:sz w:val="20"/>
          <w:szCs w:val="20"/>
        </w:rPr>
        <w:t>Age of patients will be ranging from 40-60 years old.</w:t>
      </w:r>
    </w:p>
    <w:p w:rsidR="00CE0EE5" w:rsidRPr="00FA34BE" w:rsidRDefault="00C83261" w:rsidP="00BD5933">
      <w:pPr>
        <w:pStyle w:val="Heading3"/>
        <w:snapToGrid w:val="0"/>
        <w:ind w:left="0"/>
        <w:jc w:val="both"/>
        <w:rPr>
          <w:rFonts w:cs="Times New Roman"/>
          <w:b w:val="0"/>
          <w:bCs w:val="0"/>
          <w:sz w:val="20"/>
          <w:szCs w:val="20"/>
        </w:rPr>
      </w:pPr>
      <w:r w:rsidRPr="00FA34BE">
        <w:rPr>
          <w:rFonts w:cs="Times New Roman"/>
          <w:sz w:val="20"/>
          <w:szCs w:val="20"/>
        </w:rPr>
        <w:t>Exclusion criteria</w:t>
      </w:r>
      <w:r w:rsidRPr="00FA34BE">
        <w:rPr>
          <w:rFonts w:cs="Times New Roman"/>
          <w:b w:val="0"/>
          <w:bCs w:val="0"/>
          <w:sz w:val="20"/>
          <w:szCs w:val="20"/>
        </w:rPr>
        <w:t>:</w:t>
      </w:r>
    </w:p>
    <w:p w:rsidR="00BD5933" w:rsidRPr="00FA34BE" w:rsidRDefault="00C83261" w:rsidP="00FA34BE">
      <w:pPr>
        <w:pStyle w:val="BodyText"/>
        <w:snapToGrid w:val="0"/>
        <w:ind w:left="0" w:firstLine="425"/>
        <w:jc w:val="both"/>
        <w:rPr>
          <w:rFonts w:cs="Times New Roman"/>
          <w:sz w:val="20"/>
          <w:szCs w:val="20"/>
        </w:rPr>
      </w:pPr>
      <w:r w:rsidRPr="00FA34BE">
        <w:rPr>
          <w:rFonts w:cs="Times New Roman"/>
          <w:sz w:val="20"/>
          <w:szCs w:val="20"/>
        </w:rPr>
        <w:t xml:space="preserve">In this study we exclude patients with co-morbid conditions who can have high AST values </w:t>
      </w:r>
      <w:proofErr w:type="spellStart"/>
      <w:r w:rsidRPr="00FA34BE">
        <w:rPr>
          <w:rFonts w:cs="Times New Roman"/>
          <w:sz w:val="20"/>
          <w:szCs w:val="20"/>
        </w:rPr>
        <w:t>eg</w:t>
      </w:r>
      <w:proofErr w:type="spellEnd"/>
      <w:r w:rsidRPr="00FA34BE">
        <w:rPr>
          <w:rFonts w:cs="Times New Roman"/>
          <w:sz w:val="20"/>
          <w:szCs w:val="20"/>
        </w:rPr>
        <w:t xml:space="preserve">: </w:t>
      </w:r>
      <w:proofErr w:type="spellStart"/>
      <w:r w:rsidRPr="00FA34BE">
        <w:rPr>
          <w:rFonts w:cs="Times New Roman"/>
          <w:sz w:val="20"/>
          <w:szCs w:val="20"/>
        </w:rPr>
        <w:t>hemolysis</w:t>
      </w:r>
      <w:proofErr w:type="spellEnd"/>
      <w:r w:rsidRPr="00FA34BE">
        <w:rPr>
          <w:rFonts w:cs="Times New Roman"/>
          <w:sz w:val="20"/>
          <w:szCs w:val="20"/>
        </w:rPr>
        <w:t>,</w:t>
      </w:r>
      <w:r w:rsidR="00FA34BE">
        <w:rPr>
          <w:rFonts w:eastAsiaTheme="minorEastAsia" w:cs="Times New Roman" w:hint="eastAsia"/>
          <w:sz w:val="20"/>
          <w:szCs w:val="20"/>
          <w:lang w:eastAsia="zh-CN"/>
        </w:rPr>
        <w:t xml:space="preserve"> </w:t>
      </w:r>
      <w:r w:rsidRPr="00FA34BE">
        <w:rPr>
          <w:rFonts w:cs="Times New Roman"/>
          <w:sz w:val="20"/>
          <w:szCs w:val="20"/>
        </w:rPr>
        <w:t>myocardial infarction,</w:t>
      </w:r>
      <w:r w:rsidR="00FA34BE">
        <w:rPr>
          <w:rFonts w:eastAsiaTheme="minorEastAsia" w:cs="Times New Roman" w:hint="eastAsia"/>
          <w:sz w:val="20"/>
          <w:szCs w:val="20"/>
          <w:lang w:eastAsia="zh-CN"/>
        </w:rPr>
        <w:t xml:space="preserve"> </w:t>
      </w:r>
      <w:r w:rsidRPr="00FA34BE">
        <w:rPr>
          <w:rFonts w:cs="Times New Roman"/>
          <w:sz w:val="20"/>
          <w:szCs w:val="20"/>
        </w:rPr>
        <w:t>we also exclude those who had been taking alcohol</w:t>
      </w:r>
      <w:r w:rsidR="00FA34BE">
        <w:rPr>
          <w:rFonts w:cs="Times New Roman"/>
          <w:sz w:val="20"/>
          <w:szCs w:val="20"/>
        </w:rPr>
        <w:t>,</w:t>
      </w:r>
      <w:r w:rsidR="00FA34BE">
        <w:rPr>
          <w:rFonts w:eastAsiaTheme="minorEastAsia" w:cs="Times New Roman" w:hint="eastAsia"/>
          <w:sz w:val="20"/>
          <w:szCs w:val="20"/>
          <w:lang w:eastAsia="zh-CN"/>
        </w:rPr>
        <w:t xml:space="preserve"> </w:t>
      </w:r>
      <w:r w:rsidRPr="00FA34BE">
        <w:rPr>
          <w:rFonts w:cs="Times New Roman"/>
          <w:sz w:val="20"/>
          <w:szCs w:val="20"/>
        </w:rPr>
        <w:t>as it can cause reversal of AST/ALT ratio.</w:t>
      </w:r>
      <w:r w:rsidR="00FA34BE" w:rsidRPr="00FA34BE">
        <w:rPr>
          <w:rFonts w:eastAsiaTheme="minorEastAsia" w:cs="Times New Roman" w:hint="eastAsia"/>
          <w:sz w:val="20"/>
          <w:szCs w:val="20"/>
          <w:lang w:eastAsia="zh-CN"/>
        </w:rPr>
        <w:t xml:space="preserve"> </w:t>
      </w:r>
    </w:p>
    <w:p w:rsidR="00BD5933" w:rsidRPr="00FA34BE" w:rsidRDefault="00BD5933" w:rsidP="00BD5933">
      <w:pPr>
        <w:pStyle w:val="Heading3"/>
        <w:snapToGrid w:val="0"/>
        <w:ind w:left="0"/>
        <w:jc w:val="both"/>
        <w:rPr>
          <w:rFonts w:cs="Times New Roman"/>
          <w:sz w:val="20"/>
          <w:szCs w:val="20"/>
        </w:rPr>
        <w:sectPr w:rsidR="00BD5933" w:rsidRPr="00FA34BE" w:rsidSect="00FA34BE">
          <w:headerReference w:type="default" r:id="rId11"/>
          <w:footerReference w:type="default" r:id="rId12"/>
          <w:type w:val="continuous"/>
          <w:pgSz w:w="12240" w:h="15840" w:code="1"/>
          <w:pgMar w:top="1440" w:right="1440" w:bottom="1440" w:left="1440" w:header="720" w:footer="720" w:gutter="0"/>
          <w:cols w:num="2" w:space="576"/>
          <w:docGrid w:linePitch="299"/>
        </w:sectPr>
      </w:pPr>
    </w:p>
    <w:p w:rsidR="00863EB8" w:rsidRPr="00FA34BE" w:rsidRDefault="00863EB8" w:rsidP="00BD5933">
      <w:pPr>
        <w:pStyle w:val="Heading3"/>
        <w:snapToGrid w:val="0"/>
        <w:ind w:left="0"/>
        <w:jc w:val="both"/>
        <w:rPr>
          <w:rFonts w:cs="Times New Roman"/>
          <w:sz w:val="20"/>
          <w:szCs w:val="20"/>
        </w:rPr>
      </w:pPr>
    </w:p>
    <w:p w:rsidR="00FA34BE" w:rsidRDefault="00FA34BE" w:rsidP="00BD5933">
      <w:pPr>
        <w:pStyle w:val="Heading3"/>
        <w:snapToGrid w:val="0"/>
        <w:ind w:left="0"/>
        <w:jc w:val="both"/>
        <w:rPr>
          <w:rFonts w:eastAsiaTheme="minorEastAsia" w:cs="Times New Roman" w:hint="eastAsia"/>
          <w:sz w:val="20"/>
          <w:szCs w:val="20"/>
          <w:lang w:eastAsia="zh-CN"/>
        </w:rPr>
      </w:pPr>
    </w:p>
    <w:p w:rsidR="00CE0EE5" w:rsidRPr="00FA34BE" w:rsidRDefault="00C83261" w:rsidP="00BD5933">
      <w:pPr>
        <w:pStyle w:val="Heading3"/>
        <w:snapToGrid w:val="0"/>
        <w:ind w:left="0"/>
        <w:jc w:val="both"/>
        <w:rPr>
          <w:rFonts w:cs="Times New Roman"/>
          <w:sz w:val="20"/>
          <w:szCs w:val="20"/>
        </w:rPr>
      </w:pPr>
      <w:r w:rsidRPr="00FA34BE">
        <w:rPr>
          <w:rFonts w:cs="Times New Roman"/>
          <w:sz w:val="20"/>
          <w:szCs w:val="20"/>
        </w:rPr>
        <w:t>Data Analysis</w:t>
      </w:r>
      <w:r w:rsidRPr="00FA34BE">
        <w:rPr>
          <w:rFonts w:cs="Times New Roman"/>
          <w:b w:val="0"/>
          <w:bCs w:val="0"/>
          <w:sz w:val="20"/>
          <w:szCs w:val="20"/>
        </w:rPr>
        <w:t>:</w:t>
      </w:r>
      <w:r w:rsidR="00CF4738" w:rsidRPr="00FA34BE">
        <w:rPr>
          <w:rFonts w:cs="Times New Roman"/>
          <w:b w:val="0"/>
          <w:bCs w:val="0"/>
          <w:sz w:val="20"/>
          <w:szCs w:val="20"/>
        </w:rPr>
        <w:t xml:space="preserve"> </w:t>
      </w:r>
      <w:r w:rsidR="00F97AA8" w:rsidRPr="00FA34BE">
        <w:rPr>
          <w:rFonts w:cs="Times New Roman"/>
          <w:sz w:val="20"/>
          <w:szCs w:val="20"/>
        </w:rPr>
        <w:t>Table (1)</w:t>
      </w:r>
      <w:r w:rsidR="00FA34BE">
        <w:rPr>
          <w:rFonts w:cs="Times New Roman"/>
          <w:sz w:val="20"/>
          <w:szCs w:val="20"/>
        </w:rPr>
        <w:t>:</w:t>
      </w:r>
      <w:r w:rsidR="00F97AA8" w:rsidRPr="00FA34BE">
        <w:rPr>
          <w:rFonts w:cs="Times New Roman"/>
          <w:sz w:val="20"/>
          <w:szCs w:val="20"/>
        </w:rPr>
        <w:t xml:space="preserve"> Showing distribution of </w:t>
      </w:r>
      <w:r w:rsidR="00F97AA8" w:rsidRPr="00FA34BE">
        <w:rPr>
          <w:rFonts w:cs="Times New Roman"/>
          <w:i/>
          <w:sz w:val="20"/>
          <w:szCs w:val="20"/>
        </w:rPr>
        <w:t xml:space="preserve">group </w:t>
      </w:r>
      <w:r w:rsidR="00F97AA8" w:rsidRPr="00FA34BE">
        <w:rPr>
          <w:rFonts w:eastAsia="Calibri" w:cs="Times New Roman"/>
          <w:i/>
          <w:sz w:val="20"/>
          <w:szCs w:val="20"/>
        </w:rPr>
        <w:t xml:space="preserve">I </w:t>
      </w:r>
      <w:r w:rsidR="00F97AA8" w:rsidRPr="00FA34BE">
        <w:rPr>
          <w:rFonts w:cs="Times New Roman"/>
          <w:sz w:val="20"/>
          <w:szCs w:val="20"/>
        </w:rPr>
        <w:t xml:space="preserve">and </w:t>
      </w:r>
      <w:r w:rsidR="00F97AA8" w:rsidRPr="00FA34BE">
        <w:rPr>
          <w:rFonts w:eastAsia="Calibri" w:cs="Times New Roman"/>
          <w:i/>
          <w:sz w:val="20"/>
          <w:szCs w:val="20"/>
        </w:rPr>
        <w:t>group</w:t>
      </w:r>
      <w:r w:rsidR="00FA34BE">
        <w:rPr>
          <w:rFonts w:eastAsiaTheme="minorEastAsia" w:cs="Times New Roman" w:hint="eastAsia"/>
          <w:i/>
          <w:sz w:val="20"/>
          <w:szCs w:val="20"/>
          <w:lang w:eastAsia="zh-CN"/>
        </w:rPr>
        <w:t xml:space="preserve"> </w:t>
      </w:r>
      <w:r w:rsidR="00F97AA8" w:rsidRPr="00FA34BE">
        <w:rPr>
          <w:rFonts w:eastAsia="Calibri" w:cs="Times New Roman"/>
          <w:i/>
          <w:sz w:val="20"/>
          <w:szCs w:val="20"/>
        </w:rPr>
        <w:t xml:space="preserve">II </w:t>
      </w:r>
      <w:r w:rsidR="00F97AA8" w:rsidRPr="00FA34BE">
        <w:rPr>
          <w:rFonts w:cs="Times New Roman"/>
          <w:sz w:val="20"/>
          <w:szCs w:val="20"/>
        </w:rPr>
        <w:t>(</w:t>
      </w:r>
      <w:proofErr w:type="spellStart"/>
      <w:r w:rsidR="00F97AA8" w:rsidRPr="00FA34BE">
        <w:rPr>
          <w:rFonts w:cs="Times New Roman"/>
          <w:sz w:val="20"/>
          <w:szCs w:val="20"/>
        </w:rPr>
        <w:t>decompensated</w:t>
      </w:r>
      <w:proofErr w:type="spellEnd"/>
      <w:r w:rsidR="00F97AA8" w:rsidRPr="00FA34BE">
        <w:rPr>
          <w:rFonts w:cs="Times New Roman"/>
          <w:sz w:val="20"/>
          <w:szCs w:val="20"/>
        </w:rPr>
        <w:t xml:space="preserve"> and compensated cirrhosis) as regarding reversed ratio and PT prolongation.</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00"/>
      </w:tblPr>
      <w:tblGrid>
        <w:gridCol w:w="3108"/>
        <w:gridCol w:w="11"/>
        <w:gridCol w:w="586"/>
        <w:gridCol w:w="1042"/>
        <w:gridCol w:w="686"/>
        <w:gridCol w:w="906"/>
        <w:gridCol w:w="1450"/>
        <w:gridCol w:w="1787"/>
      </w:tblGrid>
      <w:tr w:rsidR="00491D3C" w:rsidRPr="00FA34BE" w:rsidTr="00FA34BE">
        <w:trPr>
          <w:cantSplit/>
          <w:jc w:val="center"/>
        </w:trPr>
        <w:tc>
          <w:tcPr>
            <w:tcW w:w="1623" w:type="pct"/>
          </w:tcPr>
          <w:p w:rsidR="00491D3C" w:rsidRPr="00FA34BE" w:rsidRDefault="00491D3C" w:rsidP="00BD5933">
            <w:pPr>
              <w:snapToGrid w:val="0"/>
              <w:jc w:val="center"/>
              <w:rPr>
                <w:rFonts w:ascii="Times New Roman" w:hAnsi="Times New Roman" w:cs="Times New Roman"/>
                <w:b/>
                <w:bCs/>
                <w:color w:val="000000"/>
                <w:sz w:val="20"/>
                <w:szCs w:val="20"/>
              </w:rPr>
            </w:pPr>
            <w:r w:rsidRPr="00FA34BE">
              <w:rPr>
                <w:rFonts w:ascii="Times New Roman" w:hAnsi="Times New Roman" w:cs="Times New Roman"/>
                <w:b/>
                <w:bCs/>
                <w:color w:val="000000"/>
                <w:sz w:val="20"/>
                <w:szCs w:val="20"/>
              </w:rPr>
              <w:t>Variable</w:t>
            </w:r>
          </w:p>
        </w:tc>
        <w:tc>
          <w:tcPr>
            <w:tcW w:w="856" w:type="pct"/>
            <w:gridSpan w:val="3"/>
          </w:tcPr>
          <w:p w:rsidR="00491D3C" w:rsidRPr="00FA34BE" w:rsidRDefault="00491D3C" w:rsidP="00BD5933">
            <w:pPr>
              <w:snapToGrid w:val="0"/>
              <w:jc w:val="center"/>
              <w:rPr>
                <w:rFonts w:ascii="Times New Roman" w:hAnsi="Times New Roman" w:cs="Times New Roman"/>
                <w:b/>
                <w:bCs/>
                <w:color w:val="000000"/>
                <w:sz w:val="20"/>
                <w:szCs w:val="20"/>
              </w:rPr>
            </w:pPr>
            <w:r w:rsidRPr="00FA34BE">
              <w:rPr>
                <w:rFonts w:ascii="Times New Roman" w:hAnsi="Times New Roman" w:cs="Times New Roman"/>
                <w:b/>
                <w:bCs/>
                <w:color w:val="000000"/>
                <w:sz w:val="20"/>
                <w:szCs w:val="20"/>
              </w:rPr>
              <w:t>Group 1(30)</w:t>
            </w:r>
          </w:p>
        </w:tc>
        <w:tc>
          <w:tcPr>
            <w:tcW w:w="831" w:type="pct"/>
            <w:gridSpan w:val="2"/>
          </w:tcPr>
          <w:p w:rsidR="00491D3C" w:rsidRPr="00FA34BE" w:rsidRDefault="00491D3C" w:rsidP="00BD5933">
            <w:pPr>
              <w:snapToGrid w:val="0"/>
              <w:jc w:val="center"/>
              <w:rPr>
                <w:rFonts w:ascii="Times New Roman" w:hAnsi="Times New Roman" w:cs="Times New Roman"/>
                <w:b/>
                <w:bCs/>
                <w:color w:val="000000"/>
                <w:sz w:val="20"/>
                <w:szCs w:val="20"/>
              </w:rPr>
            </w:pPr>
            <w:r w:rsidRPr="00FA34BE">
              <w:rPr>
                <w:rFonts w:ascii="Times New Roman" w:hAnsi="Times New Roman" w:cs="Times New Roman"/>
                <w:b/>
                <w:bCs/>
                <w:color w:val="000000"/>
                <w:sz w:val="20"/>
                <w:szCs w:val="20"/>
              </w:rPr>
              <w:t>Group 2 (30)</w:t>
            </w:r>
          </w:p>
        </w:tc>
        <w:tc>
          <w:tcPr>
            <w:tcW w:w="757" w:type="pct"/>
          </w:tcPr>
          <w:p w:rsidR="00491D3C" w:rsidRPr="00FA34BE" w:rsidRDefault="00491D3C" w:rsidP="00BD5933">
            <w:pPr>
              <w:snapToGrid w:val="0"/>
              <w:jc w:val="center"/>
              <w:rPr>
                <w:rFonts w:ascii="Times New Roman" w:hAnsi="Times New Roman" w:cs="Times New Roman"/>
                <w:b/>
                <w:bCs/>
                <w:color w:val="000000"/>
                <w:sz w:val="20"/>
                <w:szCs w:val="20"/>
              </w:rPr>
            </w:pPr>
            <w:r w:rsidRPr="00FA34BE">
              <w:rPr>
                <w:rFonts w:ascii="Times New Roman" w:hAnsi="Times New Roman" w:cs="Times New Roman"/>
                <w:b/>
                <w:bCs/>
                <w:color w:val="000000"/>
                <w:sz w:val="20"/>
                <w:szCs w:val="20"/>
              </w:rPr>
              <w:t>Test</w:t>
            </w:r>
          </w:p>
        </w:tc>
        <w:tc>
          <w:tcPr>
            <w:tcW w:w="933" w:type="pct"/>
          </w:tcPr>
          <w:p w:rsidR="00491D3C" w:rsidRPr="00FA34BE" w:rsidRDefault="00491D3C" w:rsidP="00BD5933">
            <w:pPr>
              <w:tabs>
                <w:tab w:val="center" w:pos="648"/>
              </w:tabs>
              <w:snapToGrid w:val="0"/>
              <w:jc w:val="center"/>
              <w:rPr>
                <w:rFonts w:ascii="Times New Roman" w:hAnsi="Times New Roman" w:cs="Times New Roman"/>
                <w:b/>
                <w:bCs/>
                <w:color w:val="000000"/>
                <w:sz w:val="20"/>
                <w:szCs w:val="20"/>
              </w:rPr>
            </w:pPr>
            <w:r w:rsidRPr="00FA34BE">
              <w:rPr>
                <w:rFonts w:ascii="Times New Roman" w:hAnsi="Times New Roman" w:cs="Times New Roman"/>
                <w:b/>
                <w:bCs/>
                <w:color w:val="000000"/>
                <w:sz w:val="20"/>
                <w:szCs w:val="20"/>
              </w:rPr>
              <w:t>P value</w:t>
            </w:r>
          </w:p>
        </w:tc>
      </w:tr>
      <w:tr w:rsidR="00491D3C" w:rsidRPr="00FA34BE" w:rsidTr="00FA34BE">
        <w:tblPrEx>
          <w:tblLook w:val="04A0"/>
        </w:tblPrEx>
        <w:trPr>
          <w:cantSplit/>
          <w:jc w:val="center"/>
        </w:trPr>
        <w:tc>
          <w:tcPr>
            <w:tcW w:w="1629" w:type="pct"/>
            <w:gridSpan w:val="2"/>
            <w:vMerge w:val="restart"/>
            <w:shd w:val="clear" w:color="auto" w:fill="auto"/>
          </w:tcPr>
          <w:p w:rsidR="00491D3C" w:rsidRPr="00FA34BE" w:rsidRDefault="00491D3C" w:rsidP="00BD5933">
            <w:pPr>
              <w:tabs>
                <w:tab w:val="center" w:pos="1198"/>
              </w:tabs>
              <w:snapToGrid w:val="0"/>
              <w:jc w:val="center"/>
              <w:rPr>
                <w:rFonts w:ascii="Times New Roman" w:hAnsi="Times New Roman" w:cs="Times New Roman"/>
                <w:b/>
                <w:bCs/>
                <w:color w:val="000000"/>
                <w:sz w:val="20"/>
                <w:szCs w:val="20"/>
              </w:rPr>
            </w:pPr>
          </w:p>
          <w:p w:rsidR="00491D3C" w:rsidRPr="00FA34BE" w:rsidRDefault="00491D3C" w:rsidP="00BD5933">
            <w:pPr>
              <w:tabs>
                <w:tab w:val="center" w:pos="1198"/>
              </w:tabs>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Prolonged + reversed</w:t>
            </w:r>
          </w:p>
          <w:p w:rsidR="00491D3C" w:rsidRPr="00FA34BE" w:rsidRDefault="00491D3C" w:rsidP="00BD5933">
            <w:pPr>
              <w:tabs>
                <w:tab w:val="center" w:pos="1198"/>
              </w:tabs>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Prolonged only</w:t>
            </w:r>
          </w:p>
          <w:p w:rsidR="00491D3C" w:rsidRPr="00FA34BE" w:rsidRDefault="00491D3C" w:rsidP="00BD5933">
            <w:pPr>
              <w:tabs>
                <w:tab w:val="center" w:pos="1198"/>
              </w:tabs>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Reversed only</w:t>
            </w:r>
          </w:p>
          <w:p w:rsidR="00491D3C" w:rsidRPr="00FA34BE" w:rsidRDefault="00491D3C" w:rsidP="00BD5933">
            <w:pPr>
              <w:tabs>
                <w:tab w:val="center" w:pos="1198"/>
              </w:tabs>
              <w:snapToGrid w:val="0"/>
              <w:jc w:val="center"/>
              <w:rPr>
                <w:rFonts w:ascii="Times New Roman" w:hAnsi="Times New Roman" w:cs="Times New Roman"/>
                <w:b/>
                <w:bCs/>
                <w:color w:val="000000"/>
                <w:sz w:val="20"/>
                <w:szCs w:val="20"/>
              </w:rPr>
            </w:pPr>
            <w:r w:rsidRPr="00FA34BE">
              <w:rPr>
                <w:rFonts w:ascii="Times New Roman" w:hAnsi="Times New Roman" w:cs="Times New Roman"/>
                <w:color w:val="000000"/>
                <w:sz w:val="20"/>
                <w:szCs w:val="20"/>
              </w:rPr>
              <w:t>Both negative</w:t>
            </w:r>
          </w:p>
        </w:tc>
        <w:tc>
          <w:tcPr>
            <w:tcW w:w="306" w:type="pct"/>
            <w:shd w:val="clear" w:color="auto" w:fill="auto"/>
            <w:vAlign w:val="center"/>
          </w:tcPr>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N</w:t>
            </w:r>
          </w:p>
        </w:tc>
        <w:tc>
          <w:tcPr>
            <w:tcW w:w="544" w:type="pct"/>
            <w:shd w:val="clear" w:color="auto" w:fill="auto"/>
            <w:vAlign w:val="center"/>
          </w:tcPr>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w:t>
            </w:r>
          </w:p>
        </w:tc>
        <w:tc>
          <w:tcPr>
            <w:tcW w:w="358" w:type="pct"/>
            <w:shd w:val="clear" w:color="auto" w:fill="auto"/>
            <w:vAlign w:val="center"/>
          </w:tcPr>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N</w:t>
            </w:r>
          </w:p>
        </w:tc>
        <w:tc>
          <w:tcPr>
            <w:tcW w:w="473" w:type="pct"/>
            <w:shd w:val="clear" w:color="auto" w:fill="auto"/>
            <w:vAlign w:val="center"/>
          </w:tcPr>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w:t>
            </w:r>
          </w:p>
        </w:tc>
        <w:tc>
          <w:tcPr>
            <w:tcW w:w="757" w:type="pct"/>
            <w:vMerge w:val="restart"/>
            <w:shd w:val="clear" w:color="auto" w:fill="auto"/>
          </w:tcPr>
          <w:p w:rsidR="00491D3C" w:rsidRPr="00FA34BE" w:rsidRDefault="00491D3C" w:rsidP="00BD5933">
            <w:pPr>
              <w:snapToGrid w:val="0"/>
              <w:jc w:val="center"/>
              <w:rPr>
                <w:rFonts w:ascii="Times New Roman" w:hAnsi="Times New Roman" w:cs="Times New Roman"/>
                <w:color w:val="000000"/>
                <w:sz w:val="20"/>
                <w:szCs w:val="20"/>
              </w:rPr>
            </w:pPr>
          </w:p>
          <w:p w:rsidR="00491D3C" w:rsidRPr="00FA34BE" w:rsidRDefault="00491D3C" w:rsidP="00BD5933">
            <w:pPr>
              <w:snapToGrid w:val="0"/>
              <w:jc w:val="center"/>
              <w:rPr>
                <w:rFonts w:ascii="Times New Roman" w:hAnsi="Times New Roman" w:cs="Times New Roman"/>
                <w:color w:val="000000"/>
                <w:sz w:val="20"/>
                <w:szCs w:val="20"/>
              </w:rPr>
            </w:pP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FET=54.01</w:t>
            </w:r>
          </w:p>
        </w:tc>
        <w:tc>
          <w:tcPr>
            <w:tcW w:w="933" w:type="pct"/>
            <w:vMerge w:val="restart"/>
            <w:shd w:val="clear" w:color="auto" w:fill="auto"/>
          </w:tcPr>
          <w:p w:rsidR="00491D3C" w:rsidRPr="00FA34BE" w:rsidRDefault="00491D3C" w:rsidP="00BD5933">
            <w:pPr>
              <w:snapToGrid w:val="0"/>
              <w:jc w:val="center"/>
              <w:rPr>
                <w:rFonts w:ascii="Times New Roman" w:hAnsi="Times New Roman" w:cs="Times New Roman"/>
                <w:color w:val="000000"/>
                <w:sz w:val="20"/>
                <w:szCs w:val="20"/>
              </w:rPr>
            </w:pP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0.001**</w:t>
            </w: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Significant</w:t>
            </w:r>
          </w:p>
        </w:tc>
      </w:tr>
      <w:tr w:rsidR="00491D3C" w:rsidRPr="00FA34BE" w:rsidTr="00FA34BE">
        <w:tblPrEx>
          <w:tblLook w:val="04A0"/>
        </w:tblPrEx>
        <w:trPr>
          <w:cantSplit/>
          <w:jc w:val="center"/>
        </w:trPr>
        <w:tc>
          <w:tcPr>
            <w:tcW w:w="1629" w:type="pct"/>
            <w:gridSpan w:val="2"/>
            <w:vMerge/>
            <w:shd w:val="clear" w:color="auto" w:fill="auto"/>
          </w:tcPr>
          <w:p w:rsidR="00491D3C" w:rsidRPr="00FA34BE" w:rsidRDefault="00491D3C" w:rsidP="00BD5933">
            <w:pPr>
              <w:tabs>
                <w:tab w:val="center" w:pos="1198"/>
              </w:tabs>
              <w:snapToGrid w:val="0"/>
              <w:jc w:val="center"/>
              <w:rPr>
                <w:rFonts w:ascii="Times New Roman" w:hAnsi="Times New Roman" w:cs="Times New Roman"/>
                <w:b/>
                <w:bCs/>
                <w:color w:val="000000"/>
                <w:sz w:val="20"/>
                <w:szCs w:val="20"/>
              </w:rPr>
            </w:pPr>
          </w:p>
        </w:tc>
        <w:tc>
          <w:tcPr>
            <w:tcW w:w="306" w:type="pct"/>
            <w:shd w:val="clear" w:color="auto" w:fill="auto"/>
            <w:vAlign w:val="center"/>
          </w:tcPr>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22</w:t>
            </w: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3</w:t>
            </w: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3</w:t>
            </w: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2</w:t>
            </w:r>
          </w:p>
        </w:tc>
        <w:tc>
          <w:tcPr>
            <w:tcW w:w="544" w:type="pct"/>
            <w:shd w:val="clear" w:color="auto" w:fill="auto"/>
            <w:vAlign w:val="center"/>
          </w:tcPr>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73.3</w:t>
            </w: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10.0</w:t>
            </w: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10.0</w:t>
            </w: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6.7</w:t>
            </w:r>
          </w:p>
        </w:tc>
        <w:tc>
          <w:tcPr>
            <w:tcW w:w="358" w:type="pct"/>
            <w:shd w:val="clear" w:color="auto" w:fill="auto"/>
            <w:vAlign w:val="center"/>
          </w:tcPr>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0</w:t>
            </w: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0</w:t>
            </w: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3</w:t>
            </w: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27</w:t>
            </w:r>
          </w:p>
        </w:tc>
        <w:tc>
          <w:tcPr>
            <w:tcW w:w="473" w:type="pct"/>
            <w:shd w:val="clear" w:color="auto" w:fill="auto"/>
            <w:vAlign w:val="center"/>
          </w:tcPr>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0.0</w:t>
            </w: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0.0</w:t>
            </w: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10.0</w:t>
            </w:r>
          </w:p>
          <w:p w:rsidR="00491D3C" w:rsidRPr="00FA34BE" w:rsidRDefault="00491D3C" w:rsidP="00BD5933">
            <w:pPr>
              <w:snapToGrid w:val="0"/>
              <w:jc w:val="center"/>
              <w:rPr>
                <w:rFonts w:ascii="Times New Roman" w:hAnsi="Times New Roman" w:cs="Times New Roman"/>
                <w:color w:val="000000"/>
                <w:sz w:val="20"/>
                <w:szCs w:val="20"/>
              </w:rPr>
            </w:pPr>
            <w:r w:rsidRPr="00FA34BE">
              <w:rPr>
                <w:rFonts w:ascii="Times New Roman" w:hAnsi="Times New Roman" w:cs="Times New Roman"/>
                <w:color w:val="000000"/>
                <w:sz w:val="20"/>
                <w:szCs w:val="20"/>
              </w:rPr>
              <w:t>90.0</w:t>
            </w:r>
          </w:p>
        </w:tc>
        <w:tc>
          <w:tcPr>
            <w:tcW w:w="757" w:type="pct"/>
            <w:vMerge/>
            <w:shd w:val="clear" w:color="auto" w:fill="auto"/>
          </w:tcPr>
          <w:p w:rsidR="00491D3C" w:rsidRPr="00FA34BE" w:rsidRDefault="00491D3C" w:rsidP="00BD5933">
            <w:pPr>
              <w:snapToGrid w:val="0"/>
              <w:jc w:val="center"/>
              <w:rPr>
                <w:rFonts w:ascii="Times New Roman" w:hAnsi="Times New Roman" w:cs="Times New Roman"/>
                <w:color w:val="000000"/>
                <w:sz w:val="20"/>
                <w:szCs w:val="20"/>
              </w:rPr>
            </w:pPr>
          </w:p>
        </w:tc>
        <w:tc>
          <w:tcPr>
            <w:tcW w:w="933" w:type="pct"/>
            <w:vMerge/>
            <w:shd w:val="clear" w:color="auto" w:fill="auto"/>
          </w:tcPr>
          <w:p w:rsidR="00491D3C" w:rsidRPr="00FA34BE" w:rsidRDefault="00491D3C" w:rsidP="00BD5933">
            <w:pPr>
              <w:snapToGrid w:val="0"/>
              <w:jc w:val="center"/>
              <w:rPr>
                <w:rFonts w:ascii="Times New Roman" w:hAnsi="Times New Roman" w:cs="Times New Roman"/>
                <w:color w:val="000000"/>
                <w:sz w:val="20"/>
                <w:szCs w:val="20"/>
              </w:rPr>
            </w:pPr>
          </w:p>
        </w:tc>
      </w:tr>
    </w:tbl>
    <w:p w:rsidR="00BD5933" w:rsidRDefault="00BD5933" w:rsidP="00BD5933">
      <w:pPr>
        <w:pStyle w:val="BodyText"/>
        <w:snapToGrid w:val="0"/>
        <w:ind w:left="0" w:firstLine="425"/>
        <w:jc w:val="both"/>
        <w:rPr>
          <w:rFonts w:eastAsiaTheme="minorEastAsia" w:cs="Times New Roman" w:hint="eastAsia"/>
          <w:sz w:val="20"/>
          <w:szCs w:val="20"/>
          <w:lang w:eastAsia="zh-CN"/>
        </w:rPr>
      </w:pPr>
    </w:p>
    <w:p w:rsidR="00FA34BE" w:rsidRPr="00FA34BE" w:rsidRDefault="00FA34BE" w:rsidP="00BD5933">
      <w:pPr>
        <w:pStyle w:val="BodyText"/>
        <w:snapToGrid w:val="0"/>
        <w:ind w:left="0" w:firstLine="425"/>
        <w:jc w:val="both"/>
        <w:rPr>
          <w:rFonts w:eastAsiaTheme="minorEastAsia" w:cs="Times New Roman" w:hint="eastAsia"/>
          <w:sz w:val="20"/>
          <w:szCs w:val="20"/>
          <w:lang w:eastAsia="zh-CN"/>
        </w:rPr>
      </w:pPr>
    </w:p>
    <w:p w:rsidR="00BD5933" w:rsidRPr="00FA34BE" w:rsidRDefault="00BD5933" w:rsidP="00BD5933">
      <w:pPr>
        <w:pStyle w:val="BodyText"/>
        <w:snapToGrid w:val="0"/>
        <w:ind w:left="0" w:firstLine="425"/>
        <w:jc w:val="both"/>
        <w:rPr>
          <w:rFonts w:cs="Times New Roman"/>
          <w:sz w:val="20"/>
          <w:szCs w:val="20"/>
        </w:rPr>
        <w:sectPr w:rsidR="00BD5933" w:rsidRPr="00FA34BE" w:rsidSect="00735E78">
          <w:headerReference w:type="default" r:id="rId13"/>
          <w:footerReference w:type="default" r:id="rId14"/>
          <w:type w:val="continuous"/>
          <w:pgSz w:w="12240" w:h="15840" w:code="1"/>
          <w:pgMar w:top="1440" w:right="1440" w:bottom="1440" w:left="1440" w:header="720" w:footer="720" w:gutter="0"/>
          <w:cols w:space="720"/>
          <w:docGrid w:linePitch="299"/>
        </w:sectPr>
      </w:pPr>
    </w:p>
    <w:p w:rsidR="00CE0EE5" w:rsidRPr="00FA34BE" w:rsidRDefault="00C83261" w:rsidP="00BD5933">
      <w:pPr>
        <w:pStyle w:val="BodyText"/>
        <w:snapToGrid w:val="0"/>
        <w:ind w:left="0" w:firstLine="425"/>
        <w:jc w:val="both"/>
        <w:rPr>
          <w:rFonts w:eastAsiaTheme="minorEastAsia" w:cs="Times New Roman" w:hint="eastAsia"/>
          <w:sz w:val="20"/>
          <w:szCs w:val="20"/>
          <w:lang w:eastAsia="zh-CN"/>
        </w:rPr>
      </w:pPr>
      <w:proofErr w:type="spellStart"/>
      <w:r w:rsidRPr="00FA34BE">
        <w:rPr>
          <w:rFonts w:cs="Times New Roman"/>
          <w:sz w:val="20"/>
          <w:szCs w:val="20"/>
        </w:rPr>
        <w:lastRenderedPageBreak/>
        <w:t>Decompensated</w:t>
      </w:r>
      <w:proofErr w:type="spellEnd"/>
      <w:r w:rsidRPr="00FA34BE">
        <w:rPr>
          <w:rFonts w:cs="Times New Roman"/>
          <w:sz w:val="20"/>
          <w:szCs w:val="20"/>
        </w:rPr>
        <w:t xml:space="preserve"> group compared to compensated</w:t>
      </w:r>
      <w:r w:rsidR="003A4CF0" w:rsidRPr="00FA34BE">
        <w:rPr>
          <w:rFonts w:cs="Times New Roman"/>
          <w:sz w:val="20"/>
          <w:szCs w:val="20"/>
        </w:rPr>
        <w:t xml:space="preserve"> </w:t>
      </w:r>
      <w:r w:rsidRPr="00FA34BE">
        <w:rPr>
          <w:rFonts w:cs="Times New Roman"/>
          <w:sz w:val="20"/>
          <w:szCs w:val="20"/>
        </w:rPr>
        <w:t>group shows statistically significant prolongation of PT ratio + ratio reversal in the percentage of 73.3%, prolongation only in the percentage of 10.0%</w:t>
      </w:r>
      <w:r w:rsidR="00FA34BE">
        <w:rPr>
          <w:rFonts w:cs="Times New Roman"/>
          <w:sz w:val="20"/>
          <w:szCs w:val="20"/>
        </w:rPr>
        <w:t>,</w:t>
      </w:r>
      <w:r w:rsidRPr="00FA34BE">
        <w:rPr>
          <w:rFonts w:cs="Times New Roman"/>
          <w:sz w:val="20"/>
          <w:szCs w:val="20"/>
        </w:rPr>
        <w:t>ratio reversal in the percentage of 10.0% and both are negative in the percentage of 6.7%</w:t>
      </w:r>
      <w:r w:rsidR="00FA34BE">
        <w:rPr>
          <w:rFonts w:eastAsiaTheme="minorEastAsia" w:cs="Times New Roman" w:hint="eastAsia"/>
          <w:sz w:val="20"/>
          <w:szCs w:val="20"/>
          <w:lang w:eastAsia="zh-CN"/>
        </w:rPr>
        <w:t>.</w:t>
      </w:r>
    </w:p>
    <w:p w:rsidR="00BD5933" w:rsidRPr="00FA34BE" w:rsidRDefault="00C83261" w:rsidP="00FA34BE">
      <w:pPr>
        <w:pStyle w:val="BodyText"/>
        <w:snapToGrid w:val="0"/>
        <w:ind w:left="0"/>
        <w:jc w:val="both"/>
        <w:rPr>
          <w:rFonts w:cs="Times New Roman"/>
          <w:sz w:val="20"/>
          <w:szCs w:val="20"/>
        </w:rPr>
      </w:pPr>
      <w:r w:rsidRPr="00FA34BE">
        <w:rPr>
          <w:rFonts w:cs="Times New Roman"/>
          <w:b/>
          <w:bCs/>
          <w:sz w:val="20"/>
          <w:szCs w:val="20"/>
        </w:rPr>
        <w:t>Results:</w:t>
      </w:r>
      <w:r w:rsidR="00491D3C" w:rsidRPr="00FA34BE">
        <w:rPr>
          <w:rFonts w:cs="Times New Roman"/>
          <w:sz w:val="20"/>
          <w:szCs w:val="20"/>
        </w:rPr>
        <w:t xml:space="preserve"> </w:t>
      </w:r>
      <w:r w:rsidRPr="00FA34BE">
        <w:rPr>
          <w:rFonts w:cs="Times New Roman"/>
          <w:sz w:val="20"/>
          <w:szCs w:val="20"/>
        </w:rPr>
        <w:t xml:space="preserve">According to this data the percentage sensitivity of </w:t>
      </w:r>
      <w:proofErr w:type="spellStart"/>
      <w:r w:rsidRPr="00FA34BE">
        <w:rPr>
          <w:rFonts w:cs="Times New Roman"/>
          <w:sz w:val="20"/>
          <w:szCs w:val="20"/>
        </w:rPr>
        <w:t>decompensated</w:t>
      </w:r>
      <w:proofErr w:type="spellEnd"/>
      <w:r w:rsidRPr="00FA34BE">
        <w:rPr>
          <w:rFonts w:cs="Times New Roman"/>
          <w:sz w:val="20"/>
          <w:szCs w:val="20"/>
        </w:rPr>
        <w:t xml:space="preserve"> group (the number of patients who have reversed ratio and prolonged </w:t>
      </w:r>
      <w:proofErr w:type="spellStart"/>
      <w:r w:rsidRPr="00FA34BE">
        <w:rPr>
          <w:rFonts w:cs="Times New Roman"/>
          <w:sz w:val="20"/>
          <w:szCs w:val="20"/>
        </w:rPr>
        <w:t>prothrombin</w:t>
      </w:r>
      <w:proofErr w:type="spellEnd"/>
      <w:r w:rsidRPr="00FA34BE">
        <w:rPr>
          <w:rFonts w:cs="Times New Roman"/>
          <w:sz w:val="20"/>
          <w:szCs w:val="20"/>
        </w:rPr>
        <w:t xml:space="preserve"> out of 30 patients) is approximately </w:t>
      </w:r>
      <w:r w:rsidRPr="00FA34BE">
        <w:rPr>
          <w:rFonts w:cs="Times New Roman"/>
          <w:sz w:val="20"/>
          <w:szCs w:val="20"/>
        </w:rPr>
        <w:lastRenderedPageBreak/>
        <w:t>73%</w:t>
      </w:r>
      <w:r w:rsidR="00FA34BE">
        <w:rPr>
          <w:rFonts w:cs="Times New Roman"/>
          <w:sz w:val="20"/>
          <w:szCs w:val="20"/>
        </w:rPr>
        <w:t>,</w:t>
      </w:r>
      <w:r w:rsidR="00FA34BE">
        <w:rPr>
          <w:rFonts w:eastAsiaTheme="minorEastAsia" w:cs="Times New Roman" w:hint="eastAsia"/>
          <w:sz w:val="20"/>
          <w:szCs w:val="20"/>
          <w:lang w:eastAsia="zh-CN"/>
        </w:rPr>
        <w:t xml:space="preserve"> </w:t>
      </w:r>
      <w:r w:rsidRPr="00FA34BE">
        <w:rPr>
          <w:rFonts w:cs="Times New Roman"/>
          <w:sz w:val="20"/>
          <w:szCs w:val="20"/>
        </w:rPr>
        <w:t>with a</w:t>
      </w:r>
      <w:r w:rsidR="00DF3E85" w:rsidRPr="00FA34BE">
        <w:rPr>
          <w:rFonts w:cs="Times New Roman"/>
          <w:sz w:val="20"/>
          <w:szCs w:val="20"/>
        </w:rPr>
        <w:t xml:space="preserve"> </w:t>
      </w:r>
      <w:r w:rsidRPr="00FA34BE">
        <w:rPr>
          <w:rFonts w:cs="Times New Roman"/>
          <w:sz w:val="20"/>
          <w:szCs w:val="20"/>
        </w:rPr>
        <w:t>positive predictive value of 90.3%</w:t>
      </w:r>
      <w:r w:rsidR="00FA34BE">
        <w:rPr>
          <w:rFonts w:cs="Times New Roman"/>
          <w:sz w:val="20"/>
          <w:szCs w:val="20"/>
        </w:rPr>
        <w:t>,</w:t>
      </w:r>
      <w:r w:rsidR="00FA34BE">
        <w:rPr>
          <w:rFonts w:eastAsiaTheme="minorEastAsia" w:cs="Times New Roman" w:hint="eastAsia"/>
          <w:sz w:val="20"/>
          <w:szCs w:val="20"/>
          <w:lang w:eastAsia="zh-CN"/>
        </w:rPr>
        <w:t xml:space="preserve"> </w:t>
      </w:r>
      <w:r w:rsidRPr="00FA34BE">
        <w:rPr>
          <w:rFonts w:cs="Times New Roman"/>
          <w:sz w:val="20"/>
          <w:szCs w:val="20"/>
        </w:rPr>
        <w:t>P value of 0.001</w:t>
      </w:r>
      <w:r w:rsidR="00FA34BE">
        <w:rPr>
          <w:rFonts w:cs="Times New Roman"/>
          <w:sz w:val="20"/>
          <w:szCs w:val="20"/>
        </w:rPr>
        <w:t>.</w:t>
      </w:r>
      <w:r w:rsidR="00FA34BE">
        <w:rPr>
          <w:rFonts w:eastAsiaTheme="minorEastAsia" w:cs="Times New Roman" w:hint="eastAsia"/>
          <w:sz w:val="20"/>
          <w:szCs w:val="20"/>
          <w:lang w:eastAsia="zh-CN"/>
        </w:rPr>
        <w:t xml:space="preserve"> </w:t>
      </w:r>
      <w:r w:rsidRPr="00FA34BE">
        <w:rPr>
          <w:rFonts w:cs="Times New Roman"/>
          <w:sz w:val="20"/>
          <w:szCs w:val="20"/>
        </w:rPr>
        <w:t>This shows that there is a</w:t>
      </w:r>
      <w:r w:rsidR="00DF3E85" w:rsidRPr="00FA34BE">
        <w:rPr>
          <w:rFonts w:cs="Times New Roman"/>
          <w:sz w:val="20"/>
          <w:szCs w:val="20"/>
        </w:rPr>
        <w:t xml:space="preserve"> </w:t>
      </w:r>
      <w:r w:rsidRPr="00FA34BE">
        <w:rPr>
          <w:rFonts w:cs="Times New Roman"/>
          <w:sz w:val="20"/>
          <w:szCs w:val="20"/>
        </w:rPr>
        <w:t xml:space="preserve">significant difference between </w:t>
      </w:r>
      <w:proofErr w:type="spellStart"/>
      <w:r w:rsidRPr="00FA34BE">
        <w:rPr>
          <w:rFonts w:cs="Times New Roman"/>
          <w:sz w:val="20"/>
          <w:szCs w:val="20"/>
        </w:rPr>
        <w:t>decompensated</w:t>
      </w:r>
      <w:proofErr w:type="spellEnd"/>
      <w:r w:rsidRPr="00FA34BE">
        <w:rPr>
          <w:rFonts w:cs="Times New Roman"/>
          <w:sz w:val="20"/>
          <w:szCs w:val="20"/>
        </w:rPr>
        <w:t xml:space="preserve"> and compensated groups as regarding reversed ratio and prolonged </w:t>
      </w:r>
      <w:proofErr w:type="spellStart"/>
      <w:r w:rsidRPr="00FA34BE">
        <w:rPr>
          <w:rFonts w:cs="Times New Roman"/>
          <w:sz w:val="20"/>
          <w:szCs w:val="20"/>
        </w:rPr>
        <w:t>prothrombin</w:t>
      </w:r>
      <w:proofErr w:type="spellEnd"/>
      <w:r w:rsidR="00FA34BE">
        <w:rPr>
          <w:rFonts w:cs="Times New Roman"/>
          <w:sz w:val="20"/>
          <w:szCs w:val="20"/>
        </w:rPr>
        <w:t>,</w:t>
      </w:r>
      <w:r w:rsidR="00FA34BE">
        <w:rPr>
          <w:rFonts w:eastAsiaTheme="minorEastAsia" w:cs="Times New Roman" w:hint="eastAsia"/>
          <w:sz w:val="20"/>
          <w:szCs w:val="20"/>
          <w:lang w:eastAsia="zh-CN"/>
        </w:rPr>
        <w:t xml:space="preserve"> </w:t>
      </w:r>
      <w:r w:rsidRPr="00FA34BE">
        <w:rPr>
          <w:rFonts w:cs="Times New Roman"/>
          <w:sz w:val="20"/>
          <w:szCs w:val="20"/>
        </w:rPr>
        <w:t xml:space="preserve">in other words in </w:t>
      </w:r>
      <w:proofErr w:type="spellStart"/>
      <w:r w:rsidRPr="00FA34BE">
        <w:rPr>
          <w:rFonts w:cs="Times New Roman"/>
          <w:sz w:val="20"/>
          <w:szCs w:val="20"/>
        </w:rPr>
        <w:t>decompensated</w:t>
      </w:r>
      <w:proofErr w:type="spellEnd"/>
      <w:r w:rsidRPr="00FA34BE">
        <w:rPr>
          <w:rFonts w:cs="Times New Roman"/>
          <w:sz w:val="20"/>
          <w:szCs w:val="20"/>
        </w:rPr>
        <w:t xml:space="preserve"> liver disease there is</w:t>
      </w:r>
      <w:r w:rsidR="00FA34BE">
        <w:rPr>
          <w:rFonts w:cs="Times New Roman"/>
          <w:sz w:val="20"/>
          <w:szCs w:val="20"/>
        </w:rPr>
        <w:t xml:space="preserve"> </w:t>
      </w:r>
      <w:r w:rsidRPr="00FA34BE">
        <w:rPr>
          <w:rFonts w:cs="Times New Roman"/>
          <w:sz w:val="20"/>
          <w:szCs w:val="20"/>
        </w:rPr>
        <w:t xml:space="preserve">increased incidence of ratio reversal and prolonged </w:t>
      </w:r>
      <w:proofErr w:type="spellStart"/>
      <w:r w:rsidRPr="00FA34BE">
        <w:rPr>
          <w:rFonts w:cs="Times New Roman"/>
          <w:sz w:val="20"/>
          <w:szCs w:val="20"/>
        </w:rPr>
        <w:t>prothrombin</w:t>
      </w:r>
      <w:proofErr w:type="spellEnd"/>
      <w:r w:rsidR="00FA34BE">
        <w:rPr>
          <w:rFonts w:cs="Times New Roman"/>
          <w:sz w:val="20"/>
          <w:szCs w:val="20"/>
        </w:rPr>
        <w:t>.</w:t>
      </w:r>
      <w:r w:rsidR="00FA34BE">
        <w:rPr>
          <w:rFonts w:eastAsiaTheme="minorEastAsia" w:cs="Times New Roman" w:hint="eastAsia"/>
          <w:sz w:val="20"/>
          <w:szCs w:val="20"/>
          <w:lang w:eastAsia="zh-CN"/>
        </w:rPr>
        <w:t xml:space="preserve"> </w:t>
      </w:r>
      <w:proofErr w:type="gramStart"/>
      <w:r w:rsidRPr="00FA34BE">
        <w:rPr>
          <w:rFonts w:cs="Times New Roman"/>
          <w:sz w:val="20"/>
          <w:szCs w:val="20"/>
        </w:rPr>
        <w:t>Reversed ratio alone showing positive predictive value of 89.3% while prolonged ratio alone showing a</w:t>
      </w:r>
      <w:r w:rsidR="00DF3E85" w:rsidRPr="00FA34BE">
        <w:rPr>
          <w:rFonts w:cs="Times New Roman"/>
          <w:sz w:val="20"/>
          <w:szCs w:val="20"/>
        </w:rPr>
        <w:t xml:space="preserve"> </w:t>
      </w:r>
      <w:r w:rsidRPr="00FA34BE">
        <w:rPr>
          <w:rFonts w:cs="Times New Roman"/>
          <w:sz w:val="20"/>
          <w:szCs w:val="20"/>
        </w:rPr>
        <w:t>positive predictive value of 100%.</w:t>
      </w:r>
      <w:proofErr w:type="gramEnd"/>
      <w:r w:rsidR="00FA34BE">
        <w:rPr>
          <w:rFonts w:eastAsiaTheme="minorEastAsia" w:cs="Times New Roman" w:hint="eastAsia"/>
          <w:sz w:val="20"/>
          <w:szCs w:val="20"/>
          <w:lang w:eastAsia="zh-CN"/>
        </w:rPr>
        <w:t xml:space="preserve"> </w:t>
      </w:r>
    </w:p>
    <w:p w:rsidR="00BD5933" w:rsidRPr="00FA34BE" w:rsidRDefault="00BD5933" w:rsidP="00BD5933">
      <w:pPr>
        <w:pStyle w:val="BodyText"/>
        <w:snapToGrid w:val="0"/>
        <w:ind w:left="0" w:firstLine="425"/>
        <w:jc w:val="both"/>
        <w:rPr>
          <w:rFonts w:cs="Times New Roman"/>
          <w:sz w:val="20"/>
          <w:szCs w:val="20"/>
        </w:rPr>
        <w:sectPr w:rsidR="00BD5933" w:rsidRPr="00FA34BE" w:rsidSect="00735E78">
          <w:headerReference w:type="default" r:id="rId15"/>
          <w:footerReference w:type="default" r:id="rId16"/>
          <w:type w:val="continuous"/>
          <w:pgSz w:w="12240" w:h="15840" w:code="1"/>
          <w:pgMar w:top="1440" w:right="1440" w:bottom="1440" w:left="1440" w:header="720" w:footer="720" w:gutter="0"/>
          <w:cols w:num="2" w:space="720"/>
          <w:docGrid w:linePitch="299"/>
        </w:sectPr>
      </w:pPr>
    </w:p>
    <w:p w:rsidR="00A53CD3" w:rsidRDefault="00A53CD3" w:rsidP="00BD5933">
      <w:pPr>
        <w:pStyle w:val="BodyText"/>
        <w:snapToGrid w:val="0"/>
        <w:ind w:left="0" w:firstLine="425"/>
        <w:jc w:val="both"/>
        <w:rPr>
          <w:rFonts w:eastAsiaTheme="minorEastAsia" w:cs="Times New Roman" w:hint="eastAsia"/>
          <w:sz w:val="20"/>
          <w:szCs w:val="20"/>
          <w:lang w:eastAsia="zh-CN"/>
        </w:rPr>
      </w:pPr>
    </w:p>
    <w:p w:rsidR="00FA34BE" w:rsidRPr="00FA34BE" w:rsidRDefault="00FA34BE" w:rsidP="00BD5933">
      <w:pPr>
        <w:pStyle w:val="BodyText"/>
        <w:snapToGrid w:val="0"/>
        <w:ind w:left="0" w:firstLine="425"/>
        <w:jc w:val="both"/>
        <w:rPr>
          <w:rFonts w:eastAsiaTheme="minorEastAsia" w:cs="Times New Roman" w:hint="eastAsia"/>
          <w:sz w:val="20"/>
          <w:szCs w:val="20"/>
          <w:lang w:eastAsia="zh-CN"/>
        </w:rPr>
      </w:pPr>
    </w:p>
    <w:tbl>
      <w:tblPr>
        <w:tblStyle w:val="TableGrid"/>
        <w:tblW w:w="70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7"/>
      </w:tblGrid>
      <w:tr w:rsidR="00431015" w:rsidRPr="00FA34BE" w:rsidTr="00FA34BE">
        <w:trPr>
          <w:trHeight w:val="3244"/>
          <w:jc w:val="center"/>
        </w:trPr>
        <w:tc>
          <w:tcPr>
            <w:tcW w:w="7087" w:type="dxa"/>
          </w:tcPr>
          <w:p w:rsidR="00431015" w:rsidRPr="00FA34BE" w:rsidRDefault="008B1898" w:rsidP="00BD5933">
            <w:pPr>
              <w:pStyle w:val="BodyText"/>
              <w:snapToGrid w:val="0"/>
              <w:ind w:left="0"/>
              <w:jc w:val="center"/>
              <w:rPr>
                <w:rFonts w:cs="Times New Roman"/>
                <w:color w:val="000000"/>
                <w:sz w:val="20"/>
                <w:szCs w:val="20"/>
              </w:rPr>
            </w:pPr>
            <w:r w:rsidRPr="00FA34BE">
              <w:rPr>
                <w:rFonts w:cs="Times New Roman"/>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pt;margin-top:1.85pt;width:312.05pt;height:151.85pt;z-index:251659776">
                  <v:imagedata r:id="rId17" o:title=""/>
                </v:shape>
              </w:pict>
            </w:r>
          </w:p>
        </w:tc>
      </w:tr>
    </w:tbl>
    <w:p w:rsidR="00431015" w:rsidRPr="00FA34BE" w:rsidRDefault="00431015" w:rsidP="00BD5933">
      <w:pPr>
        <w:pStyle w:val="Heading3"/>
        <w:snapToGrid w:val="0"/>
        <w:ind w:left="0"/>
        <w:jc w:val="center"/>
        <w:rPr>
          <w:rFonts w:eastAsiaTheme="minorEastAsia" w:cs="Times New Roman"/>
          <w:sz w:val="20"/>
          <w:szCs w:val="20"/>
          <w:lang w:eastAsia="zh-CN"/>
        </w:rPr>
      </w:pPr>
      <w:proofErr w:type="gramStart"/>
      <w:r w:rsidRPr="00FA34BE">
        <w:rPr>
          <w:rFonts w:cs="Times New Roman"/>
          <w:sz w:val="20"/>
          <w:szCs w:val="20"/>
        </w:rPr>
        <w:t>Fig.</w:t>
      </w:r>
      <w:proofErr w:type="gramEnd"/>
      <w:r w:rsidRPr="00FA34BE">
        <w:rPr>
          <w:rFonts w:cs="Times New Roman"/>
          <w:sz w:val="20"/>
          <w:szCs w:val="20"/>
        </w:rPr>
        <w:t xml:space="preserve"> (1)</w:t>
      </w:r>
      <w:proofErr w:type="gramStart"/>
      <w:r w:rsidRPr="00FA34BE">
        <w:rPr>
          <w:rFonts w:cs="Times New Roman"/>
          <w:sz w:val="20"/>
          <w:szCs w:val="20"/>
        </w:rPr>
        <w:t>:</w:t>
      </w:r>
      <w:proofErr w:type="spellStart"/>
      <w:r w:rsidRPr="00FA34BE">
        <w:rPr>
          <w:rFonts w:cs="Times New Roman"/>
          <w:sz w:val="20"/>
          <w:szCs w:val="20"/>
        </w:rPr>
        <w:t>Decompensated</w:t>
      </w:r>
      <w:proofErr w:type="spellEnd"/>
      <w:proofErr w:type="gramEnd"/>
      <w:r w:rsidRPr="00FA34BE">
        <w:rPr>
          <w:rFonts w:cs="Times New Roman"/>
          <w:sz w:val="20"/>
          <w:szCs w:val="20"/>
        </w:rPr>
        <w:t xml:space="preserve"> types</w:t>
      </w:r>
    </w:p>
    <w:p w:rsidR="00BD5933" w:rsidRPr="00FA34BE" w:rsidRDefault="00BD5933" w:rsidP="00BD5933">
      <w:pPr>
        <w:pStyle w:val="Heading3"/>
        <w:snapToGrid w:val="0"/>
        <w:ind w:left="0" w:firstLine="425"/>
        <w:jc w:val="both"/>
        <w:rPr>
          <w:rFonts w:eastAsiaTheme="minorEastAsia" w:cs="Times New Roman"/>
          <w:b w:val="0"/>
          <w:bCs w:val="0"/>
          <w:sz w:val="20"/>
          <w:szCs w:val="20"/>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30"/>
      </w:tblGrid>
      <w:tr w:rsidR="00431015" w:rsidRPr="00FA34BE" w:rsidTr="00FA34BE">
        <w:trPr>
          <w:trHeight w:val="3278"/>
          <w:jc w:val="center"/>
        </w:trPr>
        <w:tc>
          <w:tcPr>
            <w:tcW w:w="6830" w:type="dxa"/>
          </w:tcPr>
          <w:p w:rsidR="00431015" w:rsidRPr="00FA34BE" w:rsidRDefault="008B1898" w:rsidP="00BD5933">
            <w:pPr>
              <w:pStyle w:val="BodyText"/>
              <w:snapToGrid w:val="0"/>
              <w:ind w:left="0"/>
              <w:jc w:val="center"/>
              <w:rPr>
                <w:rFonts w:cs="Times New Roman"/>
                <w:color w:val="000000"/>
                <w:sz w:val="20"/>
                <w:szCs w:val="20"/>
              </w:rPr>
            </w:pPr>
            <w:r w:rsidRPr="00FA34BE">
              <w:rPr>
                <w:rFonts w:cs="Times New Roman"/>
                <w:noProof/>
                <w:color w:val="000000"/>
                <w:sz w:val="20"/>
                <w:szCs w:val="20"/>
              </w:rPr>
              <w:pict>
                <v:shape id="_x0000_s1030" type="#_x0000_t75" style="position:absolute;left:0;text-align:left;margin-left:-2.65pt;margin-top:5.35pt;width:310.45pt;height:143.9pt;z-index:251661824">
                  <v:imagedata r:id="rId18" o:title=""/>
                </v:shape>
              </w:pict>
            </w:r>
          </w:p>
        </w:tc>
      </w:tr>
    </w:tbl>
    <w:p w:rsidR="00431015" w:rsidRDefault="00431015" w:rsidP="00BD5933">
      <w:pPr>
        <w:pStyle w:val="BodyText"/>
        <w:snapToGrid w:val="0"/>
        <w:ind w:left="0"/>
        <w:jc w:val="center"/>
        <w:rPr>
          <w:rFonts w:eastAsiaTheme="minorEastAsia" w:cs="Times New Roman" w:hint="eastAsia"/>
          <w:b/>
          <w:bCs/>
          <w:sz w:val="20"/>
          <w:szCs w:val="20"/>
          <w:lang w:eastAsia="zh-CN"/>
        </w:rPr>
      </w:pPr>
      <w:r w:rsidRPr="00FA34BE">
        <w:rPr>
          <w:rFonts w:cs="Times New Roman"/>
          <w:b/>
          <w:bCs/>
          <w:sz w:val="20"/>
          <w:szCs w:val="20"/>
        </w:rPr>
        <w:t>Fig</w:t>
      </w:r>
      <w:proofErr w:type="gramStart"/>
      <w:r w:rsidRPr="00FA34BE">
        <w:rPr>
          <w:rFonts w:cs="Times New Roman"/>
          <w:b/>
          <w:bCs/>
          <w:sz w:val="20"/>
          <w:szCs w:val="20"/>
        </w:rPr>
        <w:t>.(</w:t>
      </w:r>
      <w:proofErr w:type="gramEnd"/>
      <w:r w:rsidRPr="00FA34BE">
        <w:rPr>
          <w:rFonts w:cs="Times New Roman"/>
          <w:b/>
          <w:bCs/>
          <w:sz w:val="20"/>
          <w:szCs w:val="20"/>
        </w:rPr>
        <w:t>2): Showing reversed ratio.</w:t>
      </w:r>
    </w:p>
    <w:p w:rsidR="00FA34BE" w:rsidRPr="00FA34BE" w:rsidRDefault="00FA34BE" w:rsidP="00BD5933">
      <w:pPr>
        <w:pStyle w:val="BodyText"/>
        <w:snapToGrid w:val="0"/>
        <w:ind w:left="0"/>
        <w:jc w:val="center"/>
        <w:rPr>
          <w:rFonts w:eastAsiaTheme="minorEastAsia" w:cs="Times New Roman" w:hint="eastAsia"/>
          <w:b/>
          <w:bCs/>
          <w:sz w:val="20"/>
          <w:szCs w:val="20"/>
          <w:lang w:eastAsia="zh-CN"/>
        </w:rPr>
      </w:pPr>
    </w:p>
    <w:p w:rsidR="00FA34BE" w:rsidRPr="00FA34BE" w:rsidRDefault="00FA34BE" w:rsidP="00BD5933">
      <w:pPr>
        <w:pStyle w:val="BodyText"/>
        <w:snapToGrid w:val="0"/>
        <w:ind w:left="0"/>
        <w:jc w:val="center"/>
        <w:rPr>
          <w:rFonts w:eastAsiaTheme="minorEastAsia" w:cs="Times New Roman" w:hint="eastAsia"/>
          <w:b/>
          <w:bCs/>
          <w:sz w:val="20"/>
          <w:szCs w:val="20"/>
          <w:lang w:eastAsia="zh-CN"/>
        </w:rPr>
      </w:pPr>
    </w:p>
    <w:tbl>
      <w:tblPr>
        <w:tblStyle w:val="TableGrid"/>
        <w:tblW w:w="6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70"/>
      </w:tblGrid>
      <w:tr w:rsidR="00431015" w:rsidRPr="00FA34BE" w:rsidTr="00A53CD3">
        <w:trPr>
          <w:trHeight w:val="2981"/>
          <w:jc w:val="center"/>
        </w:trPr>
        <w:tc>
          <w:tcPr>
            <w:tcW w:w="6270" w:type="dxa"/>
          </w:tcPr>
          <w:p w:rsidR="00431015" w:rsidRPr="00FA34BE" w:rsidRDefault="008B1898" w:rsidP="00BD5933">
            <w:pPr>
              <w:pStyle w:val="BodyText"/>
              <w:snapToGrid w:val="0"/>
              <w:ind w:left="0"/>
              <w:jc w:val="center"/>
              <w:rPr>
                <w:rFonts w:cs="Times New Roman"/>
                <w:color w:val="000000"/>
                <w:sz w:val="20"/>
                <w:szCs w:val="20"/>
              </w:rPr>
            </w:pPr>
            <w:r w:rsidRPr="00FA34BE">
              <w:rPr>
                <w:rFonts w:cs="Times New Roman"/>
                <w:color w:val="000000"/>
                <w:sz w:val="20"/>
                <w:szCs w:val="20"/>
              </w:rPr>
              <w:pict>
                <v:shape id="_x0000_s1026" type="#_x0000_t75" style="position:absolute;left:0;text-align:left;margin-left:8.05pt;margin-top:4.1pt;width:300.9pt;height:141.05pt;z-index:251657728;mso-position-horizontal-relative:page">
                  <v:imagedata r:id="rId19" o:title=""/>
                  <w10:wrap anchorx="page"/>
                </v:shape>
              </w:pict>
            </w:r>
          </w:p>
        </w:tc>
      </w:tr>
    </w:tbl>
    <w:p w:rsidR="00A53CD3" w:rsidRPr="00FA34BE" w:rsidRDefault="00976ADD" w:rsidP="00BD5933">
      <w:pPr>
        <w:pStyle w:val="Heading3"/>
        <w:snapToGrid w:val="0"/>
        <w:ind w:left="0"/>
        <w:jc w:val="center"/>
        <w:rPr>
          <w:rFonts w:eastAsiaTheme="minorEastAsia" w:cs="Times New Roman"/>
          <w:sz w:val="20"/>
          <w:szCs w:val="20"/>
          <w:lang w:eastAsia="zh-CN"/>
        </w:rPr>
      </w:pPr>
      <w:proofErr w:type="gramStart"/>
      <w:r w:rsidRPr="00FA34BE">
        <w:rPr>
          <w:rFonts w:cs="Times New Roman"/>
          <w:sz w:val="20"/>
          <w:szCs w:val="20"/>
        </w:rPr>
        <w:t>Fig.</w:t>
      </w:r>
      <w:proofErr w:type="gramEnd"/>
      <w:r w:rsidRPr="00FA34BE">
        <w:rPr>
          <w:rFonts w:cs="Times New Roman"/>
          <w:sz w:val="20"/>
          <w:szCs w:val="20"/>
        </w:rPr>
        <w:t xml:space="preserve"> (3): Showing PT prolongation</w:t>
      </w:r>
    </w:p>
    <w:p w:rsidR="00BD5933" w:rsidRDefault="00BD5933" w:rsidP="00BD5933">
      <w:pPr>
        <w:pStyle w:val="Heading3"/>
        <w:snapToGrid w:val="0"/>
        <w:ind w:left="0"/>
        <w:jc w:val="both"/>
        <w:rPr>
          <w:rFonts w:eastAsiaTheme="minorEastAsia" w:cs="Times New Roman" w:hint="eastAsia"/>
          <w:sz w:val="20"/>
          <w:szCs w:val="20"/>
          <w:lang w:eastAsia="zh-CN"/>
        </w:rPr>
      </w:pPr>
    </w:p>
    <w:p w:rsidR="00FA34BE" w:rsidRDefault="00FA34BE" w:rsidP="00BD5933">
      <w:pPr>
        <w:pStyle w:val="Heading3"/>
        <w:snapToGrid w:val="0"/>
        <w:ind w:left="0"/>
        <w:jc w:val="both"/>
        <w:rPr>
          <w:rFonts w:eastAsiaTheme="minorEastAsia" w:cs="Times New Roman" w:hint="eastAsia"/>
          <w:sz w:val="20"/>
          <w:szCs w:val="20"/>
          <w:lang w:eastAsia="zh-CN"/>
        </w:rPr>
      </w:pPr>
    </w:p>
    <w:p w:rsidR="00FA34BE" w:rsidRPr="00FA34BE" w:rsidRDefault="00FA34BE" w:rsidP="00BD5933">
      <w:pPr>
        <w:pStyle w:val="Heading3"/>
        <w:snapToGrid w:val="0"/>
        <w:ind w:left="0"/>
        <w:jc w:val="both"/>
        <w:rPr>
          <w:rFonts w:eastAsiaTheme="minorEastAsia" w:cs="Times New Roman"/>
          <w:sz w:val="20"/>
          <w:szCs w:val="20"/>
          <w:lang w:eastAsia="zh-CN"/>
        </w:rPr>
      </w:pPr>
    </w:p>
    <w:p w:rsidR="00BD5933" w:rsidRPr="00FA34BE" w:rsidRDefault="00BD5933" w:rsidP="00BD5933">
      <w:pPr>
        <w:pStyle w:val="Heading3"/>
        <w:snapToGrid w:val="0"/>
        <w:ind w:left="0"/>
        <w:jc w:val="both"/>
        <w:rPr>
          <w:rFonts w:eastAsiaTheme="minorEastAsia" w:cs="Times New Roman"/>
          <w:sz w:val="20"/>
          <w:szCs w:val="20"/>
          <w:lang w:eastAsia="zh-CN"/>
        </w:rPr>
        <w:sectPr w:rsidR="00BD5933" w:rsidRPr="00FA34BE" w:rsidSect="00735E78">
          <w:headerReference w:type="default" r:id="rId20"/>
          <w:footerReference w:type="default" r:id="rId21"/>
          <w:type w:val="continuous"/>
          <w:pgSz w:w="12240" w:h="15840" w:code="1"/>
          <w:pgMar w:top="1440" w:right="1440" w:bottom="1440" w:left="1440" w:header="720" w:footer="720" w:gutter="0"/>
          <w:cols w:space="720"/>
          <w:docGrid w:linePitch="299"/>
        </w:sectPr>
      </w:pPr>
    </w:p>
    <w:p w:rsidR="00976ADD" w:rsidRPr="00FA34BE" w:rsidRDefault="00A53CD3" w:rsidP="00BD5933">
      <w:pPr>
        <w:snapToGrid w:val="0"/>
        <w:jc w:val="both"/>
        <w:rPr>
          <w:rFonts w:ascii="Times New Roman" w:eastAsia="Times New Roman" w:hAnsi="Times New Roman" w:cs="Times New Roman"/>
          <w:sz w:val="20"/>
          <w:szCs w:val="20"/>
        </w:rPr>
      </w:pPr>
      <w:r w:rsidRPr="00FA34BE">
        <w:rPr>
          <w:rFonts w:ascii="Times New Roman" w:eastAsia="Times New Roman" w:hAnsi="Times New Roman" w:cs="Times New Roman"/>
          <w:b/>
          <w:bCs/>
          <w:sz w:val="20"/>
          <w:szCs w:val="20"/>
        </w:rPr>
        <w:lastRenderedPageBreak/>
        <w:t xml:space="preserve">4. </w:t>
      </w:r>
      <w:r w:rsidR="00976ADD" w:rsidRPr="00FA34BE">
        <w:rPr>
          <w:rFonts w:ascii="Times New Roman" w:eastAsia="Times New Roman" w:hAnsi="Times New Roman" w:cs="Times New Roman"/>
          <w:b/>
          <w:bCs/>
          <w:sz w:val="20"/>
          <w:szCs w:val="20"/>
        </w:rPr>
        <w:t>Discussion</w:t>
      </w:r>
      <w:r w:rsidR="00976ADD" w:rsidRPr="00FA34BE">
        <w:rPr>
          <w:rFonts w:ascii="Times New Roman" w:eastAsia="Times New Roman" w:hAnsi="Times New Roman" w:cs="Times New Roman"/>
          <w:sz w:val="20"/>
          <w:szCs w:val="20"/>
        </w:rPr>
        <w:t>:</w:t>
      </w:r>
    </w:p>
    <w:p w:rsidR="00976ADD" w:rsidRPr="00FA34BE" w:rsidRDefault="00976ADD" w:rsidP="00BD5933">
      <w:pPr>
        <w:snapToGrid w:val="0"/>
        <w:ind w:firstLine="425"/>
        <w:jc w:val="both"/>
        <w:rPr>
          <w:rFonts w:ascii="Times New Roman" w:eastAsia="Times New Roman" w:hAnsi="Times New Roman" w:cs="Times New Roman"/>
          <w:sz w:val="20"/>
          <w:szCs w:val="20"/>
        </w:rPr>
      </w:pPr>
      <w:r w:rsidRPr="00FA34BE">
        <w:rPr>
          <w:rFonts w:ascii="Times New Roman" w:eastAsia="Times New Roman" w:hAnsi="Times New Roman" w:cs="Times New Roman"/>
          <w:sz w:val="20"/>
          <w:szCs w:val="20"/>
        </w:rPr>
        <w:t xml:space="preserve">Our study clarified that a value of &gt; </w:t>
      </w:r>
      <w:r w:rsidRPr="00FA34BE">
        <w:rPr>
          <w:rFonts w:ascii="Times New Roman" w:hAnsi="Times New Roman" w:cs="Times New Roman"/>
          <w:sz w:val="20"/>
          <w:szCs w:val="20"/>
        </w:rPr>
        <w:t xml:space="preserve">or = 1 for the ratio of </w:t>
      </w:r>
      <w:proofErr w:type="spellStart"/>
      <w:r w:rsidRPr="00FA34BE">
        <w:rPr>
          <w:rFonts w:ascii="Times New Roman" w:hAnsi="Times New Roman" w:cs="Times New Roman"/>
          <w:sz w:val="20"/>
          <w:szCs w:val="20"/>
        </w:rPr>
        <w:t>aspartate</w:t>
      </w:r>
      <w:proofErr w:type="spellEnd"/>
      <w:r w:rsidRPr="00FA34BE">
        <w:rPr>
          <w:rFonts w:ascii="Times New Roman" w:hAnsi="Times New Roman" w:cs="Times New Roman"/>
          <w:sz w:val="20"/>
          <w:szCs w:val="20"/>
        </w:rPr>
        <w:t xml:space="preserve"> </w:t>
      </w:r>
      <w:proofErr w:type="spellStart"/>
      <w:r w:rsidRPr="00FA34BE">
        <w:rPr>
          <w:rFonts w:ascii="Times New Roman" w:hAnsi="Times New Roman" w:cs="Times New Roman"/>
          <w:sz w:val="20"/>
          <w:szCs w:val="20"/>
        </w:rPr>
        <w:t>aminotransferase</w:t>
      </w:r>
      <w:proofErr w:type="spellEnd"/>
      <w:r w:rsidRPr="00FA34BE">
        <w:rPr>
          <w:rFonts w:ascii="Times New Roman" w:hAnsi="Times New Roman" w:cs="Times New Roman"/>
          <w:sz w:val="20"/>
          <w:szCs w:val="20"/>
        </w:rPr>
        <w:t xml:space="preserve"> to </w:t>
      </w:r>
      <w:proofErr w:type="spellStart"/>
      <w:r w:rsidRPr="00FA34BE">
        <w:rPr>
          <w:rFonts w:ascii="Times New Roman" w:hAnsi="Times New Roman" w:cs="Times New Roman"/>
          <w:sz w:val="20"/>
          <w:szCs w:val="20"/>
        </w:rPr>
        <w:t>alanine</w:t>
      </w:r>
      <w:proofErr w:type="spellEnd"/>
      <w:r w:rsidRPr="00FA34BE">
        <w:rPr>
          <w:rFonts w:ascii="Times New Roman" w:hAnsi="Times New Roman" w:cs="Times New Roman"/>
          <w:sz w:val="20"/>
          <w:szCs w:val="20"/>
        </w:rPr>
        <w:t xml:space="preserve"> </w:t>
      </w:r>
      <w:proofErr w:type="spellStart"/>
      <w:r w:rsidRPr="00FA34BE">
        <w:rPr>
          <w:rFonts w:ascii="Times New Roman" w:hAnsi="Times New Roman" w:cs="Times New Roman"/>
          <w:sz w:val="20"/>
          <w:szCs w:val="20"/>
        </w:rPr>
        <w:t>aminotransferase</w:t>
      </w:r>
      <w:proofErr w:type="spellEnd"/>
      <w:r w:rsidRPr="00FA34BE">
        <w:rPr>
          <w:rFonts w:ascii="Times New Roman" w:hAnsi="Times New Roman" w:cs="Times New Roman"/>
          <w:sz w:val="20"/>
          <w:szCs w:val="20"/>
        </w:rPr>
        <w:t xml:space="preserve"> (the AST/ALT ratio) has been shown to have a positive predictive value for the diagnosis of the advance of cirrhosis in patients with chronic hepatitis</w:t>
      </w:r>
    </w:p>
    <w:p w:rsidR="00976ADD" w:rsidRPr="00FA34BE" w:rsidRDefault="00976ADD" w:rsidP="00BD5933">
      <w:pPr>
        <w:pStyle w:val="BodyText"/>
        <w:snapToGrid w:val="0"/>
        <w:ind w:left="0" w:firstLine="425"/>
        <w:jc w:val="both"/>
        <w:rPr>
          <w:rFonts w:cs="Times New Roman"/>
          <w:sz w:val="20"/>
          <w:szCs w:val="20"/>
        </w:rPr>
      </w:pPr>
      <w:r w:rsidRPr="00FA34BE">
        <w:rPr>
          <w:rFonts w:cs="Times New Roman"/>
          <w:sz w:val="20"/>
          <w:szCs w:val="20"/>
        </w:rPr>
        <w:t>We also found that the reversal of ratio</w:t>
      </w:r>
      <w:r w:rsidR="00FA34BE">
        <w:rPr>
          <w:rFonts w:cs="Times New Roman"/>
          <w:sz w:val="20"/>
          <w:szCs w:val="20"/>
        </w:rPr>
        <w:t xml:space="preserve"> </w:t>
      </w:r>
      <w:r w:rsidRPr="00FA34BE">
        <w:rPr>
          <w:rFonts w:cs="Times New Roman"/>
          <w:sz w:val="20"/>
          <w:szCs w:val="20"/>
        </w:rPr>
        <w:t>is being used not only in diagnostic purposes but also for prognostic and treatment</w:t>
      </w:r>
      <w:r w:rsidR="00FA34BE">
        <w:rPr>
          <w:rFonts w:cs="Times New Roman"/>
          <w:sz w:val="20"/>
          <w:szCs w:val="20"/>
        </w:rPr>
        <w:t xml:space="preserve"> </w:t>
      </w:r>
      <w:r w:rsidRPr="00FA34BE">
        <w:rPr>
          <w:rFonts w:cs="Times New Roman"/>
          <w:sz w:val="20"/>
          <w:szCs w:val="20"/>
        </w:rPr>
        <w:t>purposes</w:t>
      </w:r>
      <w:r w:rsidR="00FA34BE">
        <w:rPr>
          <w:rFonts w:cs="Times New Roman"/>
          <w:sz w:val="20"/>
          <w:szCs w:val="20"/>
        </w:rPr>
        <w:t xml:space="preserve"> </w:t>
      </w:r>
      <w:r w:rsidRPr="00FA34BE">
        <w:rPr>
          <w:rFonts w:cs="Times New Roman"/>
          <w:sz w:val="20"/>
          <w:szCs w:val="20"/>
        </w:rPr>
        <w:t>as well.</w:t>
      </w:r>
    </w:p>
    <w:p w:rsidR="00976ADD" w:rsidRPr="00FA34BE" w:rsidRDefault="00976ADD" w:rsidP="00BD5933">
      <w:pPr>
        <w:pStyle w:val="BodyText"/>
        <w:snapToGrid w:val="0"/>
        <w:ind w:left="0" w:firstLine="425"/>
        <w:jc w:val="both"/>
        <w:rPr>
          <w:rFonts w:cs="Times New Roman"/>
          <w:sz w:val="20"/>
          <w:szCs w:val="20"/>
        </w:rPr>
      </w:pPr>
      <w:r w:rsidRPr="00FA34BE">
        <w:rPr>
          <w:rFonts w:cs="Times New Roman"/>
          <w:sz w:val="20"/>
          <w:szCs w:val="20"/>
        </w:rPr>
        <w:t>This agrees with</w:t>
      </w:r>
      <w:r w:rsidR="00DF3E85" w:rsidRPr="00FA34BE">
        <w:rPr>
          <w:rFonts w:eastAsiaTheme="minorHAnsi" w:cs="Times New Roman"/>
          <w:b/>
          <w:bCs/>
          <w:i/>
          <w:sz w:val="20"/>
          <w:szCs w:val="20"/>
        </w:rPr>
        <w:t xml:space="preserve"> </w:t>
      </w:r>
      <w:proofErr w:type="spellStart"/>
      <w:r w:rsidR="00DF3E85" w:rsidRPr="00FA34BE">
        <w:rPr>
          <w:rFonts w:cs="Times New Roman"/>
          <w:b/>
          <w:bCs/>
          <w:i/>
          <w:sz w:val="20"/>
          <w:szCs w:val="20"/>
        </w:rPr>
        <w:t>Botta</w:t>
      </w:r>
      <w:proofErr w:type="spellEnd"/>
      <w:r w:rsidR="00DF3E85" w:rsidRPr="00FA34BE">
        <w:rPr>
          <w:rFonts w:cs="Times New Roman"/>
          <w:b/>
          <w:bCs/>
          <w:i/>
          <w:sz w:val="20"/>
          <w:szCs w:val="20"/>
        </w:rPr>
        <w:t xml:space="preserve"> et al.,</w:t>
      </w:r>
      <w:r w:rsidR="00FA34BE">
        <w:rPr>
          <w:rFonts w:cs="Times New Roman"/>
          <w:sz w:val="20"/>
          <w:szCs w:val="20"/>
        </w:rPr>
        <w:t xml:space="preserve"> </w:t>
      </w:r>
      <w:r w:rsidRPr="00FA34BE">
        <w:rPr>
          <w:rFonts w:cs="Times New Roman"/>
          <w:sz w:val="20"/>
          <w:szCs w:val="20"/>
        </w:rPr>
        <w:t>as his studies showed that reversal of the AST/ALT ratio was reported in patients who progress from chronic hepatitis to liver cirrhosis and the AST/ALT ratio of more than 1 had a good predictive value for advanced fibrosis or cirrhosis. An AST/ALT ratio greater than 1.16 had 81.3% sensitivity and 55.3% specificity in identifying cirrhotic patients who died within 1 year of follow up.</w:t>
      </w:r>
    </w:p>
    <w:p w:rsidR="00976ADD" w:rsidRPr="00FA34BE" w:rsidRDefault="00976ADD" w:rsidP="00BD5933">
      <w:pPr>
        <w:pStyle w:val="BodyText"/>
        <w:snapToGrid w:val="0"/>
        <w:ind w:left="0" w:firstLine="425"/>
        <w:jc w:val="both"/>
        <w:rPr>
          <w:rFonts w:cs="Times New Roman"/>
          <w:sz w:val="20"/>
          <w:szCs w:val="20"/>
        </w:rPr>
      </w:pPr>
      <w:r w:rsidRPr="00FA34BE">
        <w:rPr>
          <w:rFonts w:cs="Times New Roman"/>
          <w:sz w:val="20"/>
          <w:szCs w:val="20"/>
        </w:rPr>
        <w:t>Other studies disagree with</w:t>
      </w:r>
      <w:r w:rsidR="00FA34BE">
        <w:rPr>
          <w:rFonts w:cs="Times New Roman"/>
          <w:sz w:val="20"/>
          <w:szCs w:val="20"/>
        </w:rPr>
        <w:t xml:space="preserve"> </w:t>
      </w:r>
      <w:proofErr w:type="spellStart"/>
      <w:r w:rsidR="00E46C4D" w:rsidRPr="00FA34BE">
        <w:rPr>
          <w:rFonts w:cs="Times New Roman"/>
          <w:b/>
          <w:bCs/>
          <w:i/>
          <w:sz w:val="20"/>
          <w:szCs w:val="20"/>
        </w:rPr>
        <w:t>Imperiale</w:t>
      </w:r>
      <w:proofErr w:type="spellEnd"/>
      <w:r w:rsidR="00E46C4D" w:rsidRPr="00FA34BE">
        <w:rPr>
          <w:rFonts w:cs="Times New Roman"/>
          <w:b/>
          <w:bCs/>
          <w:i/>
          <w:sz w:val="20"/>
          <w:szCs w:val="20"/>
        </w:rPr>
        <w:t xml:space="preserve"> et al.,</w:t>
      </w:r>
      <w:r w:rsidRPr="00FA34BE">
        <w:rPr>
          <w:rFonts w:cs="Times New Roman"/>
          <w:sz w:val="20"/>
          <w:szCs w:val="20"/>
        </w:rPr>
        <w:t xml:space="preserve"> </w:t>
      </w:r>
      <w:r w:rsidR="00E46C4D" w:rsidRPr="00FA34BE">
        <w:rPr>
          <w:rFonts w:cs="Times New Roman"/>
          <w:sz w:val="20"/>
          <w:szCs w:val="20"/>
        </w:rPr>
        <w:t>who</w:t>
      </w:r>
      <w:r w:rsidR="00FA34BE">
        <w:rPr>
          <w:rFonts w:eastAsiaTheme="minorEastAsia" w:cs="Times New Roman" w:hint="eastAsia"/>
          <w:sz w:val="20"/>
          <w:szCs w:val="20"/>
          <w:lang w:eastAsia="zh-CN"/>
        </w:rPr>
        <w:t xml:space="preserve"> </w:t>
      </w:r>
      <w:r w:rsidRPr="00FA34BE">
        <w:rPr>
          <w:rFonts w:cs="Times New Roman"/>
          <w:sz w:val="20"/>
          <w:szCs w:val="20"/>
        </w:rPr>
        <w:t>showed that AST/ALT ratio of more than 1 doesn't discriminate well enough to be used as a</w:t>
      </w:r>
      <w:r w:rsidR="00E46C4D" w:rsidRPr="00FA34BE">
        <w:rPr>
          <w:rFonts w:cs="Times New Roman"/>
          <w:sz w:val="20"/>
          <w:szCs w:val="20"/>
        </w:rPr>
        <w:t xml:space="preserve"> </w:t>
      </w:r>
      <w:r w:rsidRPr="00FA34BE">
        <w:rPr>
          <w:rFonts w:cs="Times New Roman"/>
          <w:sz w:val="20"/>
          <w:szCs w:val="20"/>
        </w:rPr>
        <w:t>surrogate for advanced liver disease.</w:t>
      </w:r>
    </w:p>
    <w:p w:rsidR="00976ADD" w:rsidRPr="00FA34BE" w:rsidRDefault="00976ADD" w:rsidP="00BD5933">
      <w:pPr>
        <w:pStyle w:val="BodyText"/>
        <w:snapToGrid w:val="0"/>
        <w:ind w:left="0" w:firstLine="425"/>
        <w:jc w:val="both"/>
        <w:rPr>
          <w:rFonts w:cs="Times New Roman"/>
          <w:sz w:val="20"/>
          <w:szCs w:val="20"/>
        </w:rPr>
      </w:pPr>
      <w:r w:rsidRPr="00FA34BE">
        <w:rPr>
          <w:rFonts w:cs="Times New Roman"/>
          <w:sz w:val="20"/>
          <w:szCs w:val="20"/>
        </w:rPr>
        <w:t>We also found that there is low prevalence of prolonged PT in</w:t>
      </w:r>
      <w:r w:rsidR="00FA34BE">
        <w:rPr>
          <w:rFonts w:cs="Times New Roman"/>
          <w:sz w:val="20"/>
          <w:szCs w:val="20"/>
        </w:rPr>
        <w:t xml:space="preserve"> </w:t>
      </w:r>
      <w:r w:rsidRPr="00FA34BE">
        <w:rPr>
          <w:rFonts w:cs="Times New Roman"/>
          <w:sz w:val="20"/>
          <w:szCs w:val="20"/>
        </w:rPr>
        <w:t>patients with</w:t>
      </w:r>
      <w:r w:rsidR="00FA34BE">
        <w:rPr>
          <w:rFonts w:cs="Times New Roman"/>
          <w:sz w:val="20"/>
          <w:szCs w:val="20"/>
        </w:rPr>
        <w:t xml:space="preserve"> </w:t>
      </w:r>
      <w:r w:rsidRPr="00FA34BE">
        <w:rPr>
          <w:rFonts w:cs="Times New Roman"/>
          <w:sz w:val="20"/>
          <w:szCs w:val="20"/>
        </w:rPr>
        <w:t>compensated</w:t>
      </w:r>
      <w:r w:rsidR="00FA34BE">
        <w:rPr>
          <w:rFonts w:cs="Times New Roman"/>
          <w:sz w:val="20"/>
          <w:szCs w:val="20"/>
        </w:rPr>
        <w:t xml:space="preserve"> </w:t>
      </w:r>
      <w:r w:rsidRPr="00FA34BE">
        <w:rPr>
          <w:rFonts w:cs="Times New Roman"/>
          <w:sz w:val="20"/>
          <w:szCs w:val="20"/>
        </w:rPr>
        <w:t>liver</w:t>
      </w:r>
      <w:r w:rsidR="00FA34BE">
        <w:rPr>
          <w:rFonts w:cs="Times New Roman"/>
          <w:sz w:val="20"/>
          <w:szCs w:val="20"/>
        </w:rPr>
        <w:t xml:space="preserve"> </w:t>
      </w:r>
      <w:r w:rsidRPr="00FA34BE">
        <w:rPr>
          <w:rFonts w:cs="Times New Roman"/>
          <w:sz w:val="20"/>
          <w:szCs w:val="20"/>
        </w:rPr>
        <w:t>diseases</w:t>
      </w:r>
      <w:r w:rsidR="00FA34BE">
        <w:rPr>
          <w:rFonts w:cs="Times New Roman"/>
          <w:sz w:val="20"/>
          <w:szCs w:val="20"/>
        </w:rPr>
        <w:t xml:space="preserve"> </w:t>
      </w:r>
      <w:r w:rsidRPr="00FA34BE">
        <w:rPr>
          <w:rFonts w:cs="Times New Roman"/>
          <w:sz w:val="20"/>
          <w:szCs w:val="20"/>
        </w:rPr>
        <w:t>and</w:t>
      </w:r>
      <w:r w:rsidR="00FA34BE">
        <w:rPr>
          <w:rFonts w:cs="Times New Roman"/>
          <w:sz w:val="20"/>
          <w:szCs w:val="20"/>
        </w:rPr>
        <w:t xml:space="preserve"> </w:t>
      </w:r>
      <w:r w:rsidRPr="00FA34BE">
        <w:rPr>
          <w:rFonts w:cs="Times New Roman"/>
          <w:sz w:val="20"/>
          <w:szCs w:val="20"/>
        </w:rPr>
        <w:t xml:space="preserve">high </w:t>
      </w:r>
      <w:proofErr w:type="spellStart"/>
      <w:r w:rsidRPr="00FA34BE">
        <w:rPr>
          <w:rFonts w:cs="Times New Roman"/>
          <w:sz w:val="20"/>
          <w:szCs w:val="20"/>
        </w:rPr>
        <w:t>prevelance</w:t>
      </w:r>
      <w:proofErr w:type="spellEnd"/>
      <w:r w:rsidRPr="00FA34BE">
        <w:rPr>
          <w:rFonts w:cs="Times New Roman"/>
          <w:sz w:val="20"/>
          <w:szCs w:val="20"/>
        </w:rPr>
        <w:t xml:space="preserve"> in patients with </w:t>
      </w:r>
      <w:proofErr w:type="spellStart"/>
      <w:r w:rsidRPr="00FA34BE">
        <w:rPr>
          <w:rFonts w:cs="Times New Roman"/>
          <w:sz w:val="20"/>
          <w:szCs w:val="20"/>
        </w:rPr>
        <w:t>decompensated</w:t>
      </w:r>
      <w:proofErr w:type="spellEnd"/>
      <w:r w:rsidRPr="00FA34BE">
        <w:rPr>
          <w:rFonts w:cs="Times New Roman"/>
          <w:sz w:val="20"/>
          <w:szCs w:val="20"/>
        </w:rPr>
        <w:t xml:space="preserve"> liver disease.</w:t>
      </w:r>
    </w:p>
    <w:p w:rsidR="00976ADD" w:rsidRPr="00FA34BE" w:rsidRDefault="00976ADD" w:rsidP="00BD5933">
      <w:pPr>
        <w:pStyle w:val="BodyText"/>
        <w:snapToGrid w:val="0"/>
        <w:ind w:left="0" w:firstLine="425"/>
        <w:jc w:val="both"/>
        <w:rPr>
          <w:rFonts w:cs="Times New Roman"/>
          <w:sz w:val="20"/>
          <w:szCs w:val="20"/>
        </w:rPr>
      </w:pPr>
      <w:r w:rsidRPr="00FA34BE">
        <w:rPr>
          <w:rFonts w:cs="Times New Roman"/>
          <w:sz w:val="20"/>
          <w:szCs w:val="20"/>
        </w:rPr>
        <w:t>This agrees with</w:t>
      </w:r>
      <w:r w:rsidR="00E46C4D" w:rsidRPr="00FA34BE">
        <w:rPr>
          <w:rFonts w:eastAsiaTheme="minorHAnsi" w:cs="Times New Roman"/>
          <w:b/>
          <w:bCs/>
          <w:i/>
          <w:sz w:val="20"/>
          <w:szCs w:val="20"/>
        </w:rPr>
        <w:t xml:space="preserve"> </w:t>
      </w:r>
      <w:proofErr w:type="spellStart"/>
      <w:r w:rsidR="00E46C4D" w:rsidRPr="00FA34BE">
        <w:rPr>
          <w:rFonts w:cs="Times New Roman"/>
          <w:b/>
          <w:bCs/>
          <w:i/>
          <w:sz w:val="20"/>
          <w:szCs w:val="20"/>
        </w:rPr>
        <w:t>Minuk</w:t>
      </w:r>
      <w:proofErr w:type="spellEnd"/>
      <w:r w:rsidRPr="00FA34BE">
        <w:rPr>
          <w:rFonts w:cs="Times New Roman"/>
          <w:sz w:val="20"/>
          <w:szCs w:val="20"/>
        </w:rPr>
        <w:t xml:space="preserve"> as he </w:t>
      </w:r>
      <w:r w:rsidR="00E46C4D" w:rsidRPr="00FA34BE">
        <w:rPr>
          <w:rFonts w:cs="Times New Roman"/>
          <w:sz w:val="20"/>
          <w:szCs w:val="20"/>
        </w:rPr>
        <w:t xml:space="preserve">concluded </w:t>
      </w:r>
      <w:r w:rsidRPr="00FA34BE">
        <w:rPr>
          <w:rFonts w:cs="Times New Roman"/>
          <w:sz w:val="20"/>
          <w:szCs w:val="20"/>
        </w:rPr>
        <w:t xml:space="preserve">that Serum albumin, </w:t>
      </w:r>
      <w:proofErr w:type="spellStart"/>
      <w:r w:rsidRPr="00FA34BE">
        <w:rPr>
          <w:rFonts w:cs="Times New Roman"/>
          <w:sz w:val="20"/>
          <w:szCs w:val="20"/>
        </w:rPr>
        <w:t>bilirubin</w:t>
      </w:r>
      <w:proofErr w:type="spellEnd"/>
      <w:r w:rsidRPr="00FA34BE">
        <w:rPr>
          <w:rFonts w:cs="Times New Roman"/>
          <w:sz w:val="20"/>
          <w:szCs w:val="20"/>
        </w:rPr>
        <w:t xml:space="preserve">, and </w:t>
      </w:r>
      <w:proofErr w:type="spellStart"/>
      <w:r w:rsidRPr="00FA34BE">
        <w:rPr>
          <w:rFonts w:cs="Times New Roman"/>
          <w:sz w:val="20"/>
          <w:szCs w:val="20"/>
        </w:rPr>
        <w:t>prothrombin</w:t>
      </w:r>
      <w:proofErr w:type="spellEnd"/>
      <w:r w:rsidRPr="00FA34BE">
        <w:rPr>
          <w:rFonts w:cs="Times New Roman"/>
          <w:sz w:val="20"/>
          <w:szCs w:val="20"/>
        </w:rPr>
        <w:t xml:space="preserve"> time reflect hepatic function, but these values frequently remain normal in patients with compensated or early cirrhosis.</w:t>
      </w:r>
    </w:p>
    <w:p w:rsidR="00976ADD" w:rsidRPr="00FA34BE" w:rsidRDefault="00976ADD" w:rsidP="00BD5933">
      <w:pPr>
        <w:pStyle w:val="BodyText"/>
        <w:snapToGrid w:val="0"/>
        <w:ind w:left="0" w:firstLine="425"/>
        <w:jc w:val="both"/>
        <w:rPr>
          <w:rFonts w:cs="Times New Roman"/>
          <w:sz w:val="20"/>
          <w:szCs w:val="20"/>
        </w:rPr>
      </w:pPr>
      <w:r w:rsidRPr="00FA34BE">
        <w:rPr>
          <w:rFonts w:cs="Times New Roman"/>
          <w:sz w:val="20"/>
          <w:szCs w:val="20"/>
        </w:rPr>
        <w:t>This</w:t>
      </w:r>
      <w:r w:rsidR="00FA34BE">
        <w:rPr>
          <w:rFonts w:cs="Times New Roman"/>
          <w:sz w:val="20"/>
          <w:szCs w:val="20"/>
        </w:rPr>
        <w:t xml:space="preserve"> </w:t>
      </w:r>
      <w:r w:rsidRPr="00FA34BE">
        <w:rPr>
          <w:rFonts w:cs="Times New Roman"/>
          <w:sz w:val="20"/>
          <w:szCs w:val="20"/>
        </w:rPr>
        <w:t>not</w:t>
      </w:r>
      <w:r w:rsidR="00FA34BE">
        <w:rPr>
          <w:rFonts w:cs="Times New Roman"/>
          <w:sz w:val="20"/>
          <w:szCs w:val="20"/>
        </w:rPr>
        <w:t xml:space="preserve"> </w:t>
      </w:r>
      <w:r w:rsidRPr="00FA34BE">
        <w:rPr>
          <w:rFonts w:cs="Times New Roman"/>
          <w:sz w:val="20"/>
          <w:szCs w:val="20"/>
        </w:rPr>
        <w:t>agrees</w:t>
      </w:r>
      <w:r w:rsidR="00FA34BE">
        <w:rPr>
          <w:rFonts w:cs="Times New Roman"/>
          <w:sz w:val="20"/>
          <w:szCs w:val="20"/>
        </w:rPr>
        <w:t xml:space="preserve"> </w:t>
      </w:r>
      <w:r w:rsidRPr="00FA34BE">
        <w:rPr>
          <w:rFonts w:cs="Times New Roman"/>
          <w:sz w:val="20"/>
          <w:szCs w:val="20"/>
        </w:rPr>
        <w:t xml:space="preserve">with </w:t>
      </w:r>
      <w:proofErr w:type="spellStart"/>
      <w:r w:rsidR="00E46C4D" w:rsidRPr="00FA34BE">
        <w:rPr>
          <w:rFonts w:cs="Times New Roman"/>
          <w:b/>
          <w:bCs/>
          <w:i/>
          <w:sz w:val="20"/>
          <w:szCs w:val="20"/>
        </w:rPr>
        <w:t>Malinchoc</w:t>
      </w:r>
      <w:proofErr w:type="spellEnd"/>
      <w:r w:rsidR="00E46C4D" w:rsidRPr="00FA34BE">
        <w:rPr>
          <w:rFonts w:cs="Times New Roman"/>
          <w:b/>
          <w:bCs/>
          <w:i/>
          <w:sz w:val="20"/>
          <w:szCs w:val="20"/>
        </w:rPr>
        <w:t>,</w:t>
      </w:r>
      <w:r w:rsidRPr="00FA34BE">
        <w:rPr>
          <w:rFonts w:cs="Times New Roman"/>
          <w:sz w:val="20"/>
          <w:szCs w:val="20"/>
        </w:rPr>
        <w:t xml:space="preserve"> his</w:t>
      </w:r>
      <w:r w:rsidR="00FA34BE">
        <w:rPr>
          <w:rFonts w:cs="Times New Roman"/>
          <w:sz w:val="20"/>
          <w:szCs w:val="20"/>
        </w:rPr>
        <w:t xml:space="preserve"> </w:t>
      </w:r>
      <w:r w:rsidRPr="00FA34BE">
        <w:rPr>
          <w:rFonts w:cs="Times New Roman"/>
          <w:sz w:val="20"/>
          <w:szCs w:val="20"/>
        </w:rPr>
        <w:t>study</w:t>
      </w:r>
      <w:r w:rsidR="00FA34BE">
        <w:rPr>
          <w:rFonts w:cs="Times New Roman"/>
          <w:sz w:val="20"/>
          <w:szCs w:val="20"/>
        </w:rPr>
        <w:t xml:space="preserve"> </w:t>
      </w:r>
      <w:r w:rsidRPr="00FA34BE">
        <w:rPr>
          <w:rFonts w:cs="Times New Roman"/>
          <w:sz w:val="20"/>
          <w:szCs w:val="20"/>
        </w:rPr>
        <w:t>show</w:t>
      </w:r>
      <w:r w:rsidR="00FA34BE">
        <w:rPr>
          <w:rFonts w:eastAsiaTheme="minorEastAsia" w:cs="Times New Roman" w:hint="eastAsia"/>
          <w:sz w:val="20"/>
          <w:szCs w:val="20"/>
          <w:lang w:eastAsia="zh-CN"/>
        </w:rPr>
        <w:t>e</w:t>
      </w:r>
      <w:r w:rsidRPr="00FA34BE">
        <w:rPr>
          <w:rFonts w:cs="Times New Roman"/>
          <w:sz w:val="20"/>
          <w:szCs w:val="20"/>
        </w:rPr>
        <w:t>d</w:t>
      </w:r>
      <w:r w:rsidR="00FA34BE">
        <w:rPr>
          <w:rFonts w:cs="Times New Roman"/>
          <w:sz w:val="20"/>
          <w:szCs w:val="20"/>
        </w:rPr>
        <w:t xml:space="preserve"> </w:t>
      </w:r>
      <w:r w:rsidRPr="00FA34BE">
        <w:rPr>
          <w:rFonts w:cs="Times New Roman"/>
          <w:sz w:val="20"/>
          <w:szCs w:val="20"/>
        </w:rPr>
        <w:t>that decreased levels of coagulation factors may prolong the PT,</w:t>
      </w:r>
      <w:r w:rsidR="00FA34BE">
        <w:rPr>
          <w:rFonts w:eastAsiaTheme="minorEastAsia" w:cs="Times New Roman" w:hint="eastAsia"/>
          <w:sz w:val="20"/>
          <w:szCs w:val="20"/>
          <w:lang w:eastAsia="zh-CN"/>
        </w:rPr>
        <w:t xml:space="preserve"> </w:t>
      </w:r>
      <w:r w:rsidRPr="00FA34BE">
        <w:rPr>
          <w:rFonts w:cs="Times New Roman"/>
          <w:sz w:val="20"/>
          <w:szCs w:val="20"/>
        </w:rPr>
        <w:t>while decreased levels of anticoagulant factors may shorten the PT</w:t>
      </w:r>
      <w:r w:rsidR="00FA34BE">
        <w:rPr>
          <w:rFonts w:cs="Times New Roman"/>
          <w:sz w:val="20"/>
          <w:szCs w:val="20"/>
        </w:rPr>
        <w:t xml:space="preserve"> </w:t>
      </w:r>
      <w:r w:rsidRPr="00FA34BE">
        <w:rPr>
          <w:rFonts w:cs="Times New Roman"/>
          <w:sz w:val="20"/>
          <w:szCs w:val="20"/>
        </w:rPr>
        <w:t>and both can occur in chronic liver disease</w:t>
      </w:r>
      <w:r w:rsidR="00FA34BE">
        <w:rPr>
          <w:rFonts w:cs="Times New Roman"/>
          <w:sz w:val="20"/>
          <w:szCs w:val="20"/>
        </w:rPr>
        <w:t>,</w:t>
      </w:r>
      <w:r w:rsidR="00FA34BE">
        <w:rPr>
          <w:rFonts w:eastAsiaTheme="minorEastAsia" w:cs="Times New Roman" w:hint="eastAsia"/>
          <w:sz w:val="20"/>
          <w:szCs w:val="20"/>
          <w:lang w:eastAsia="zh-CN"/>
        </w:rPr>
        <w:t xml:space="preserve"> </w:t>
      </w:r>
      <w:r w:rsidRPr="00FA34BE">
        <w:rPr>
          <w:rFonts w:cs="Times New Roman"/>
          <w:sz w:val="20"/>
          <w:szCs w:val="20"/>
        </w:rPr>
        <w:t xml:space="preserve">therefore PT </w:t>
      </w:r>
      <w:r w:rsidRPr="00FA34BE">
        <w:rPr>
          <w:rFonts w:cs="Times New Roman"/>
          <w:sz w:val="20"/>
          <w:szCs w:val="20"/>
        </w:rPr>
        <w:lastRenderedPageBreak/>
        <w:t>prolongation may not be prominent in cirrhosis unlike changes in other liver function markers.</w:t>
      </w:r>
    </w:p>
    <w:p w:rsidR="00976ADD" w:rsidRPr="00FA34BE" w:rsidRDefault="00976ADD" w:rsidP="00BD5933">
      <w:pPr>
        <w:pStyle w:val="Heading3"/>
        <w:snapToGrid w:val="0"/>
        <w:ind w:left="0" w:firstLine="425"/>
        <w:jc w:val="both"/>
        <w:rPr>
          <w:rFonts w:eastAsiaTheme="minorHAnsi" w:cs="Times New Roman"/>
          <w:b w:val="0"/>
          <w:bCs w:val="0"/>
          <w:sz w:val="20"/>
          <w:szCs w:val="20"/>
        </w:rPr>
      </w:pPr>
    </w:p>
    <w:p w:rsidR="00395BF3" w:rsidRPr="00FA34BE" w:rsidRDefault="00395BF3" w:rsidP="00BD5933">
      <w:pPr>
        <w:pStyle w:val="Heading3"/>
        <w:snapToGrid w:val="0"/>
        <w:ind w:left="0"/>
        <w:jc w:val="both"/>
        <w:rPr>
          <w:rFonts w:cs="Times New Roman"/>
          <w:sz w:val="20"/>
          <w:szCs w:val="20"/>
        </w:rPr>
      </w:pPr>
    </w:p>
    <w:p w:rsidR="00976ADD" w:rsidRPr="00FA34BE" w:rsidRDefault="00976ADD" w:rsidP="00BD5933">
      <w:pPr>
        <w:pStyle w:val="Heading3"/>
        <w:snapToGrid w:val="0"/>
        <w:ind w:left="0"/>
        <w:jc w:val="both"/>
        <w:rPr>
          <w:rFonts w:cs="Times New Roman"/>
          <w:b w:val="0"/>
          <w:bCs w:val="0"/>
          <w:sz w:val="20"/>
          <w:szCs w:val="20"/>
        </w:rPr>
      </w:pPr>
      <w:r w:rsidRPr="00FA34BE">
        <w:rPr>
          <w:rFonts w:cs="Times New Roman"/>
          <w:sz w:val="20"/>
          <w:szCs w:val="20"/>
        </w:rPr>
        <w:t>Conclusion:</w:t>
      </w:r>
    </w:p>
    <w:p w:rsidR="00976ADD" w:rsidRPr="00FA34BE" w:rsidRDefault="00976ADD" w:rsidP="00BD5933">
      <w:pPr>
        <w:pStyle w:val="BodyText"/>
        <w:snapToGrid w:val="0"/>
        <w:ind w:left="0" w:firstLine="425"/>
        <w:jc w:val="both"/>
        <w:rPr>
          <w:rFonts w:cs="Times New Roman"/>
          <w:sz w:val="20"/>
          <w:szCs w:val="20"/>
        </w:rPr>
      </w:pPr>
      <w:r w:rsidRPr="00FA34BE">
        <w:rPr>
          <w:rFonts w:cs="Times New Roman"/>
          <w:sz w:val="20"/>
          <w:szCs w:val="20"/>
        </w:rPr>
        <w:t>Liver biopsy remains an important tool in the evaluation and management of liver disease. However it is invasive, can cause significant complications and clearly, needle liver biopsy is far from an ideal</w:t>
      </w:r>
      <w:r w:rsidR="00FA34BE">
        <w:rPr>
          <w:rFonts w:cs="Times New Roman"/>
          <w:sz w:val="20"/>
          <w:szCs w:val="20"/>
        </w:rPr>
        <w:t xml:space="preserve"> </w:t>
      </w:r>
      <w:r w:rsidRPr="00FA34BE">
        <w:rPr>
          <w:rFonts w:cs="Times New Roman"/>
          <w:sz w:val="20"/>
          <w:szCs w:val="20"/>
        </w:rPr>
        <w:t>test.</w:t>
      </w:r>
      <w:r w:rsidR="00FA34BE">
        <w:rPr>
          <w:rFonts w:cs="Times New Roman"/>
          <w:sz w:val="20"/>
          <w:szCs w:val="20"/>
        </w:rPr>
        <w:t xml:space="preserve"> </w:t>
      </w:r>
      <w:r w:rsidRPr="00FA34BE">
        <w:rPr>
          <w:rFonts w:cs="Times New Roman"/>
          <w:sz w:val="20"/>
          <w:szCs w:val="20"/>
        </w:rPr>
        <w:t>Even though it is an</w:t>
      </w:r>
      <w:r w:rsidR="00FA34BE">
        <w:rPr>
          <w:rFonts w:cs="Times New Roman"/>
          <w:sz w:val="20"/>
          <w:szCs w:val="20"/>
        </w:rPr>
        <w:t xml:space="preserve"> </w:t>
      </w:r>
      <w:r w:rsidRPr="00FA34BE">
        <w:rPr>
          <w:rFonts w:cs="Times New Roman"/>
          <w:sz w:val="20"/>
          <w:szCs w:val="20"/>
        </w:rPr>
        <w:t>imperfect</w:t>
      </w:r>
      <w:r w:rsidR="00FA34BE">
        <w:rPr>
          <w:rFonts w:cs="Times New Roman"/>
          <w:sz w:val="20"/>
          <w:szCs w:val="20"/>
        </w:rPr>
        <w:t xml:space="preserve"> </w:t>
      </w:r>
      <w:r w:rsidRPr="00FA34BE">
        <w:rPr>
          <w:rFonts w:cs="Times New Roman"/>
          <w:sz w:val="20"/>
          <w:szCs w:val="20"/>
        </w:rPr>
        <w:t>“gold</w:t>
      </w:r>
      <w:r w:rsidR="00FA34BE">
        <w:rPr>
          <w:rFonts w:cs="Times New Roman"/>
          <w:sz w:val="20"/>
          <w:szCs w:val="20"/>
        </w:rPr>
        <w:t xml:space="preserve"> </w:t>
      </w:r>
      <w:r w:rsidRPr="00FA34BE">
        <w:rPr>
          <w:rFonts w:cs="Times New Roman"/>
          <w:sz w:val="20"/>
          <w:szCs w:val="20"/>
        </w:rPr>
        <w:t>standard”,</w:t>
      </w:r>
      <w:r w:rsidR="00FA34BE">
        <w:rPr>
          <w:rFonts w:cs="Times New Roman"/>
          <w:sz w:val="20"/>
          <w:szCs w:val="20"/>
        </w:rPr>
        <w:t xml:space="preserve"> </w:t>
      </w:r>
      <w:proofErr w:type="gramStart"/>
      <w:r w:rsidRPr="00FA34BE">
        <w:rPr>
          <w:rFonts w:cs="Times New Roman"/>
          <w:sz w:val="20"/>
          <w:szCs w:val="20"/>
        </w:rPr>
        <w:t>For</w:t>
      </w:r>
      <w:proofErr w:type="gramEnd"/>
      <w:r w:rsidRPr="00FA34BE">
        <w:rPr>
          <w:rFonts w:cs="Times New Roman"/>
          <w:sz w:val="20"/>
          <w:szCs w:val="20"/>
        </w:rPr>
        <w:t xml:space="preserve"> this reason, the efforts to estimate the hepatic lesion stage through noninvasive methods are justified.</w:t>
      </w:r>
    </w:p>
    <w:p w:rsidR="00976ADD" w:rsidRPr="00FA34BE" w:rsidRDefault="00976ADD" w:rsidP="00BD5933">
      <w:pPr>
        <w:pStyle w:val="BodyText"/>
        <w:snapToGrid w:val="0"/>
        <w:ind w:left="0" w:firstLine="425"/>
        <w:jc w:val="both"/>
        <w:rPr>
          <w:rFonts w:cs="Times New Roman"/>
          <w:sz w:val="20"/>
          <w:szCs w:val="20"/>
        </w:rPr>
      </w:pPr>
      <w:r w:rsidRPr="00FA34BE">
        <w:rPr>
          <w:rFonts w:cs="Times New Roman"/>
          <w:sz w:val="20"/>
          <w:szCs w:val="20"/>
        </w:rPr>
        <w:t>Noninvasive investigations, such as various biomarkers, fibrosis scoring panels and imaging techniques offer considerable promise in their ability to detect and to stage liver fibrosis.</w:t>
      </w:r>
    </w:p>
    <w:p w:rsidR="00976ADD" w:rsidRDefault="00976ADD" w:rsidP="00BD5933">
      <w:pPr>
        <w:pStyle w:val="Heading3"/>
        <w:snapToGrid w:val="0"/>
        <w:ind w:left="0"/>
        <w:jc w:val="both"/>
        <w:rPr>
          <w:rFonts w:eastAsiaTheme="minorEastAsia" w:cs="Times New Roman" w:hint="eastAsia"/>
          <w:sz w:val="20"/>
          <w:szCs w:val="20"/>
          <w:lang w:eastAsia="zh-CN"/>
        </w:rPr>
      </w:pPr>
    </w:p>
    <w:p w:rsidR="00FA34BE" w:rsidRPr="00FA34BE" w:rsidRDefault="00FA34BE" w:rsidP="00BD5933">
      <w:pPr>
        <w:pStyle w:val="Heading3"/>
        <w:snapToGrid w:val="0"/>
        <w:ind w:left="0"/>
        <w:jc w:val="both"/>
        <w:rPr>
          <w:rFonts w:eastAsiaTheme="minorEastAsia" w:cs="Times New Roman" w:hint="eastAsia"/>
          <w:sz w:val="20"/>
          <w:szCs w:val="20"/>
          <w:lang w:eastAsia="zh-CN"/>
        </w:rPr>
      </w:pPr>
    </w:p>
    <w:p w:rsidR="00976ADD" w:rsidRPr="00FA34BE" w:rsidRDefault="00976ADD" w:rsidP="00BD5933">
      <w:pPr>
        <w:pStyle w:val="Heading3"/>
        <w:snapToGrid w:val="0"/>
        <w:ind w:left="0"/>
        <w:jc w:val="both"/>
        <w:rPr>
          <w:rFonts w:cs="Times New Roman"/>
          <w:b w:val="0"/>
          <w:bCs w:val="0"/>
          <w:sz w:val="20"/>
          <w:szCs w:val="20"/>
        </w:rPr>
      </w:pPr>
      <w:r w:rsidRPr="00FA34BE">
        <w:rPr>
          <w:rFonts w:cs="Times New Roman"/>
          <w:sz w:val="20"/>
          <w:szCs w:val="20"/>
        </w:rPr>
        <w:t>References:</w:t>
      </w:r>
    </w:p>
    <w:p w:rsidR="00976ADD" w:rsidRPr="00FA34BE" w:rsidRDefault="00976ADD" w:rsidP="00BD5933">
      <w:pPr>
        <w:numPr>
          <w:ilvl w:val="0"/>
          <w:numId w:val="4"/>
        </w:numPr>
        <w:snapToGrid w:val="0"/>
        <w:ind w:left="425" w:hanging="425"/>
        <w:jc w:val="both"/>
        <w:rPr>
          <w:rFonts w:ascii="Times New Roman" w:eastAsia="Times New Roman" w:hAnsi="Times New Roman" w:cs="Times New Roman"/>
          <w:sz w:val="20"/>
          <w:szCs w:val="20"/>
        </w:rPr>
      </w:pPr>
      <w:proofErr w:type="spellStart"/>
      <w:r w:rsidRPr="00FA34BE">
        <w:rPr>
          <w:rFonts w:ascii="Times New Roman" w:eastAsia="Times New Roman" w:hAnsi="Times New Roman" w:cs="Times New Roman"/>
          <w:bCs/>
          <w:i/>
          <w:sz w:val="20"/>
          <w:szCs w:val="20"/>
        </w:rPr>
        <w:t>Ampurade</w:t>
      </w:r>
      <w:proofErr w:type="spellEnd"/>
      <w:r w:rsidRPr="00FA34BE">
        <w:rPr>
          <w:rFonts w:ascii="Times New Roman" w:eastAsia="Times New Roman" w:hAnsi="Times New Roman" w:cs="Times New Roman"/>
          <w:bCs/>
          <w:i/>
          <w:sz w:val="20"/>
          <w:szCs w:val="20"/>
        </w:rPr>
        <w:t>, (2002</w:t>
      </w:r>
      <w:r w:rsidRPr="00FA34BE">
        <w:rPr>
          <w:rFonts w:ascii="Times New Roman" w:eastAsia="Times New Roman" w:hAnsi="Times New Roman" w:cs="Times New Roman"/>
          <w:i/>
          <w:sz w:val="20"/>
          <w:szCs w:val="20"/>
        </w:rPr>
        <w:t>)</w:t>
      </w:r>
      <w:r w:rsidRPr="00FA34BE">
        <w:rPr>
          <w:rFonts w:ascii="Times New Roman" w:eastAsia="Times New Roman" w:hAnsi="Times New Roman" w:cs="Times New Roman"/>
          <w:bCs/>
          <w:sz w:val="20"/>
          <w:szCs w:val="20"/>
        </w:rPr>
        <w:t xml:space="preserve">: </w:t>
      </w:r>
      <w:r w:rsidRPr="00FA34BE">
        <w:rPr>
          <w:rFonts w:ascii="Times New Roman" w:eastAsia="Times New Roman" w:hAnsi="Times New Roman" w:cs="Times New Roman"/>
          <w:sz w:val="20"/>
          <w:szCs w:val="20"/>
        </w:rPr>
        <w:t>Compensated liver cirrhosis gastroenterology and hepatology</w:t>
      </w:r>
      <w:proofErr w:type="gramStart"/>
      <w:r w:rsidR="00FA34BE">
        <w:rPr>
          <w:rFonts w:ascii="Times New Roman" w:eastAsia="Times New Roman" w:hAnsi="Times New Roman" w:cs="Times New Roman"/>
          <w:sz w:val="20"/>
          <w:szCs w:val="20"/>
        </w:rPr>
        <w:t>:</w:t>
      </w:r>
      <w:r w:rsidRPr="00FA34BE">
        <w:rPr>
          <w:rFonts w:ascii="Times New Roman" w:eastAsia="Times New Roman" w:hAnsi="Times New Roman" w:cs="Times New Roman"/>
          <w:sz w:val="20"/>
          <w:szCs w:val="20"/>
        </w:rPr>
        <w:t>643</w:t>
      </w:r>
      <w:proofErr w:type="gramEnd"/>
      <w:r w:rsidRPr="00FA34BE">
        <w:rPr>
          <w:rFonts w:ascii="Times New Roman" w:eastAsia="Times New Roman" w:hAnsi="Times New Roman" w:cs="Times New Roman"/>
          <w:sz w:val="20"/>
          <w:szCs w:val="20"/>
        </w:rPr>
        <w:t>-645.</w:t>
      </w:r>
    </w:p>
    <w:p w:rsidR="00976ADD" w:rsidRPr="00FA34BE" w:rsidRDefault="00976ADD" w:rsidP="00BD5933">
      <w:pPr>
        <w:numPr>
          <w:ilvl w:val="0"/>
          <w:numId w:val="4"/>
        </w:numPr>
        <w:snapToGrid w:val="0"/>
        <w:ind w:left="425" w:hanging="425"/>
        <w:jc w:val="both"/>
        <w:rPr>
          <w:rFonts w:ascii="Times New Roman" w:eastAsia="Times New Roman" w:hAnsi="Times New Roman" w:cs="Times New Roman"/>
          <w:sz w:val="20"/>
          <w:szCs w:val="20"/>
        </w:rPr>
      </w:pPr>
      <w:proofErr w:type="spellStart"/>
      <w:r w:rsidRPr="00FA34BE">
        <w:rPr>
          <w:rFonts w:ascii="Times New Roman" w:eastAsia="Times New Roman" w:hAnsi="Times New Roman" w:cs="Times New Roman"/>
          <w:bCs/>
          <w:i/>
          <w:sz w:val="20"/>
          <w:szCs w:val="20"/>
        </w:rPr>
        <w:t>Gunneson</w:t>
      </w:r>
      <w:proofErr w:type="spellEnd"/>
      <w:r w:rsidRPr="00FA34BE">
        <w:rPr>
          <w:rFonts w:ascii="Times New Roman" w:eastAsia="Times New Roman" w:hAnsi="Times New Roman" w:cs="Times New Roman"/>
          <w:bCs/>
          <w:i/>
          <w:sz w:val="20"/>
          <w:szCs w:val="20"/>
        </w:rPr>
        <w:t xml:space="preserve"> TG, </w:t>
      </w:r>
      <w:proofErr w:type="spellStart"/>
      <w:r w:rsidRPr="00FA34BE">
        <w:rPr>
          <w:rFonts w:ascii="Times New Roman" w:eastAsia="Times New Roman" w:hAnsi="Times New Roman" w:cs="Times New Roman"/>
          <w:bCs/>
          <w:i/>
          <w:sz w:val="20"/>
          <w:szCs w:val="20"/>
        </w:rPr>
        <w:t>Menon</w:t>
      </w:r>
      <w:proofErr w:type="spellEnd"/>
      <w:r w:rsidRPr="00FA34BE">
        <w:rPr>
          <w:rFonts w:ascii="Times New Roman" w:eastAsia="Times New Roman" w:hAnsi="Times New Roman" w:cs="Times New Roman"/>
          <w:bCs/>
          <w:i/>
          <w:sz w:val="20"/>
          <w:szCs w:val="20"/>
        </w:rPr>
        <w:t xml:space="preserve"> KV, </w:t>
      </w:r>
      <w:proofErr w:type="spellStart"/>
      <w:r w:rsidRPr="00FA34BE">
        <w:rPr>
          <w:rFonts w:ascii="Times New Roman" w:eastAsia="Times New Roman" w:hAnsi="Times New Roman" w:cs="Times New Roman"/>
          <w:bCs/>
          <w:i/>
          <w:sz w:val="20"/>
          <w:szCs w:val="20"/>
        </w:rPr>
        <w:t>Wiesner</w:t>
      </w:r>
      <w:proofErr w:type="spellEnd"/>
      <w:r w:rsidRPr="00FA34BE">
        <w:rPr>
          <w:rFonts w:ascii="Times New Roman" w:eastAsia="Times New Roman" w:hAnsi="Times New Roman" w:cs="Times New Roman"/>
          <w:bCs/>
          <w:i/>
          <w:sz w:val="20"/>
          <w:szCs w:val="20"/>
        </w:rPr>
        <w:t xml:space="preserve"> RH,</w:t>
      </w:r>
      <w:r w:rsidR="00FA34BE">
        <w:rPr>
          <w:rFonts w:ascii="Times New Roman" w:eastAsia="Times New Roman" w:hAnsi="Times New Roman" w:cs="Times New Roman"/>
          <w:bCs/>
          <w:i/>
          <w:sz w:val="20"/>
          <w:szCs w:val="20"/>
        </w:rPr>
        <w:t xml:space="preserve"> </w:t>
      </w:r>
      <w:r w:rsidRPr="00FA34BE">
        <w:rPr>
          <w:rFonts w:ascii="Times New Roman" w:eastAsia="Times New Roman" w:hAnsi="Times New Roman" w:cs="Times New Roman"/>
          <w:bCs/>
          <w:i/>
          <w:sz w:val="20"/>
          <w:szCs w:val="20"/>
        </w:rPr>
        <w:t>et</w:t>
      </w:r>
      <w:r w:rsidR="00FA34BE">
        <w:rPr>
          <w:rFonts w:ascii="Times New Roman" w:eastAsia="Times New Roman" w:hAnsi="Times New Roman" w:cs="Times New Roman"/>
          <w:bCs/>
          <w:i/>
          <w:sz w:val="20"/>
          <w:szCs w:val="20"/>
        </w:rPr>
        <w:t xml:space="preserve"> </w:t>
      </w:r>
      <w:r w:rsidRPr="00FA34BE">
        <w:rPr>
          <w:rFonts w:ascii="Times New Roman" w:eastAsia="Times New Roman" w:hAnsi="Times New Roman" w:cs="Times New Roman"/>
          <w:bCs/>
          <w:i/>
          <w:sz w:val="20"/>
          <w:szCs w:val="20"/>
        </w:rPr>
        <w:t>al.</w:t>
      </w:r>
      <w:r w:rsidR="00FA34BE">
        <w:rPr>
          <w:rFonts w:ascii="Times New Roman" w:eastAsia="Times New Roman" w:hAnsi="Times New Roman" w:cs="Times New Roman"/>
          <w:bCs/>
          <w:i/>
          <w:sz w:val="20"/>
          <w:szCs w:val="20"/>
        </w:rPr>
        <w:t xml:space="preserve"> (</w:t>
      </w:r>
      <w:r w:rsidRPr="00FA34BE">
        <w:rPr>
          <w:rFonts w:ascii="Times New Roman" w:eastAsia="Times New Roman" w:hAnsi="Times New Roman" w:cs="Times New Roman"/>
          <w:bCs/>
          <w:i/>
          <w:sz w:val="20"/>
          <w:szCs w:val="20"/>
        </w:rPr>
        <w:t xml:space="preserve">2002): </w:t>
      </w:r>
      <w:r w:rsidRPr="00FA34BE">
        <w:rPr>
          <w:rFonts w:ascii="Times New Roman" w:eastAsia="Times New Roman" w:hAnsi="Times New Roman" w:cs="Times New Roman"/>
          <w:sz w:val="20"/>
          <w:szCs w:val="20"/>
        </w:rPr>
        <w:t xml:space="preserve">Ultrasound-assisted </w:t>
      </w:r>
      <w:proofErr w:type="spellStart"/>
      <w:r w:rsidRPr="00FA34BE">
        <w:rPr>
          <w:rFonts w:ascii="Times New Roman" w:eastAsia="Times New Roman" w:hAnsi="Times New Roman" w:cs="Times New Roman"/>
          <w:sz w:val="20"/>
          <w:szCs w:val="20"/>
        </w:rPr>
        <w:t>percutaneous</w:t>
      </w:r>
      <w:proofErr w:type="spellEnd"/>
      <w:r w:rsidRPr="00FA34BE">
        <w:rPr>
          <w:rFonts w:ascii="Times New Roman" w:eastAsia="Times New Roman" w:hAnsi="Times New Roman" w:cs="Times New Roman"/>
          <w:sz w:val="20"/>
          <w:szCs w:val="20"/>
        </w:rPr>
        <w:t xml:space="preserve"> liver biopsy </w:t>
      </w:r>
      <w:proofErr w:type="spellStart"/>
      <w:r w:rsidRPr="00FA34BE">
        <w:rPr>
          <w:rFonts w:ascii="Times New Roman" w:eastAsia="Times New Roman" w:hAnsi="Times New Roman" w:cs="Times New Roman"/>
          <w:sz w:val="20"/>
          <w:szCs w:val="20"/>
        </w:rPr>
        <w:t>perfomed</w:t>
      </w:r>
      <w:proofErr w:type="spellEnd"/>
      <w:r w:rsidRPr="00FA34BE">
        <w:rPr>
          <w:rFonts w:ascii="Times New Roman" w:eastAsia="Times New Roman" w:hAnsi="Times New Roman" w:cs="Times New Roman"/>
          <w:sz w:val="20"/>
          <w:szCs w:val="20"/>
        </w:rPr>
        <w:t xml:space="preserve"> by a physician assistant. Am J Gastroenterol</w:t>
      </w:r>
      <w:proofErr w:type="gramStart"/>
      <w:r w:rsidRPr="00FA34BE">
        <w:rPr>
          <w:rFonts w:ascii="Times New Roman" w:eastAsia="Times New Roman" w:hAnsi="Times New Roman" w:cs="Times New Roman"/>
          <w:sz w:val="20"/>
          <w:szCs w:val="20"/>
        </w:rPr>
        <w:t>;97:1472</w:t>
      </w:r>
      <w:proofErr w:type="gramEnd"/>
      <w:r w:rsidRPr="00FA34BE">
        <w:rPr>
          <w:rFonts w:ascii="Times New Roman" w:eastAsia="Times New Roman" w:hAnsi="Times New Roman" w:cs="Times New Roman"/>
          <w:sz w:val="20"/>
          <w:szCs w:val="20"/>
        </w:rPr>
        <w:t>-5.</w:t>
      </w:r>
    </w:p>
    <w:p w:rsidR="00976ADD" w:rsidRPr="00FA34BE" w:rsidRDefault="00976ADD" w:rsidP="00BD5933">
      <w:pPr>
        <w:pStyle w:val="BodyText"/>
        <w:numPr>
          <w:ilvl w:val="0"/>
          <w:numId w:val="4"/>
        </w:numPr>
        <w:snapToGrid w:val="0"/>
        <w:ind w:left="425" w:hanging="425"/>
        <w:jc w:val="both"/>
        <w:rPr>
          <w:rFonts w:cs="Times New Roman"/>
          <w:sz w:val="20"/>
          <w:szCs w:val="20"/>
        </w:rPr>
      </w:pPr>
      <w:r w:rsidRPr="00FA34BE">
        <w:rPr>
          <w:rFonts w:cs="Times New Roman"/>
          <w:bCs/>
          <w:i/>
          <w:sz w:val="20"/>
          <w:szCs w:val="20"/>
        </w:rPr>
        <w:t xml:space="preserve">Gordon </w:t>
      </w:r>
      <w:proofErr w:type="spellStart"/>
      <w:proofErr w:type="gramStart"/>
      <w:r w:rsidRPr="00FA34BE">
        <w:rPr>
          <w:rFonts w:cs="Times New Roman"/>
          <w:bCs/>
          <w:i/>
          <w:sz w:val="20"/>
          <w:szCs w:val="20"/>
        </w:rPr>
        <w:t>fd</w:t>
      </w:r>
      <w:proofErr w:type="spellEnd"/>
      <w:proofErr w:type="gramEnd"/>
      <w:r w:rsidR="00FA34BE">
        <w:rPr>
          <w:rFonts w:cs="Times New Roman"/>
          <w:bCs/>
          <w:i/>
          <w:sz w:val="20"/>
          <w:szCs w:val="20"/>
        </w:rPr>
        <w:t>,</w:t>
      </w:r>
      <w:r w:rsidR="00FA34BE">
        <w:rPr>
          <w:rFonts w:eastAsiaTheme="minorEastAsia" w:cs="Times New Roman" w:hint="eastAsia"/>
          <w:bCs/>
          <w:i/>
          <w:sz w:val="20"/>
          <w:szCs w:val="20"/>
          <w:lang w:eastAsia="zh-CN"/>
        </w:rPr>
        <w:t xml:space="preserve"> </w:t>
      </w:r>
      <w:r w:rsidR="00FA34BE">
        <w:rPr>
          <w:rFonts w:cs="Times New Roman"/>
          <w:bCs/>
          <w:i/>
          <w:sz w:val="20"/>
          <w:szCs w:val="20"/>
        </w:rPr>
        <w:t>(</w:t>
      </w:r>
      <w:r w:rsidRPr="00FA34BE">
        <w:rPr>
          <w:rFonts w:cs="Times New Roman"/>
          <w:bCs/>
          <w:i/>
          <w:sz w:val="20"/>
          <w:szCs w:val="20"/>
        </w:rPr>
        <w:t>1998</w:t>
      </w:r>
      <w:r w:rsidRPr="00FA34BE">
        <w:rPr>
          <w:rFonts w:cs="Times New Roman"/>
          <w:i/>
          <w:sz w:val="20"/>
          <w:szCs w:val="20"/>
        </w:rPr>
        <w:t>):</w:t>
      </w:r>
      <w:r w:rsidR="00FA34BE">
        <w:rPr>
          <w:rFonts w:eastAsiaTheme="minorEastAsia" w:cs="Times New Roman" w:hint="eastAsia"/>
          <w:i/>
          <w:sz w:val="20"/>
          <w:szCs w:val="20"/>
          <w:lang w:eastAsia="zh-CN"/>
        </w:rPr>
        <w:t xml:space="preserve"> </w:t>
      </w:r>
      <w:proofErr w:type="spellStart"/>
      <w:r w:rsidRPr="00FA34BE">
        <w:rPr>
          <w:rFonts w:cs="Times New Roman"/>
          <w:sz w:val="20"/>
          <w:szCs w:val="20"/>
        </w:rPr>
        <w:t>Ast</w:t>
      </w:r>
      <w:proofErr w:type="spellEnd"/>
      <w:r w:rsidRPr="00FA34BE">
        <w:rPr>
          <w:rFonts w:cs="Times New Roman"/>
          <w:sz w:val="20"/>
          <w:szCs w:val="20"/>
        </w:rPr>
        <w:t>/Alt ratio predicts cirrhosis</w:t>
      </w:r>
      <w:r w:rsidR="00FA34BE">
        <w:rPr>
          <w:rFonts w:cs="Times New Roman"/>
          <w:sz w:val="20"/>
          <w:szCs w:val="20"/>
        </w:rPr>
        <w:t xml:space="preserve"> </w:t>
      </w:r>
      <w:r w:rsidRPr="00FA34BE">
        <w:rPr>
          <w:rFonts w:cs="Times New Roman"/>
          <w:sz w:val="20"/>
          <w:szCs w:val="20"/>
        </w:rPr>
        <w:t>in patients with chronic hepatitis c virus infection</w:t>
      </w:r>
      <w:r w:rsidR="00FA34BE">
        <w:rPr>
          <w:rFonts w:cs="Times New Roman"/>
          <w:sz w:val="20"/>
          <w:szCs w:val="20"/>
        </w:rPr>
        <w:t>.</w:t>
      </w:r>
      <w:r w:rsidR="00FA34BE">
        <w:rPr>
          <w:rFonts w:eastAsiaTheme="minorEastAsia" w:cs="Times New Roman" w:hint="eastAsia"/>
          <w:sz w:val="20"/>
          <w:szCs w:val="20"/>
          <w:lang w:eastAsia="zh-CN"/>
        </w:rPr>
        <w:t xml:space="preserve"> </w:t>
      </w:r>
      <w:r w:rsidRPr="00FA34BE">
        <w:rPr>
          <w:rFonts w:cs="Times New Roman"/>
          <w:sz w:val="20"/>
          <w:szCs w:val="20"/>
        </w:rPr>
        <w:t>Am j Gastroenterol</w:t>
      </w:r>
      <w:proofErr w:type="gramStart"/>
      <w:r w:rsidR="00FA34BE">
        <w:rPr>
          <w:rFonts w:cs="Times New Roman"/>
          <w:sz w:val="20"/>
          <w:szCs w:val="20"/>
        </w:rPr>
        <w:t>,</w:t>
      </w:r>
      <w:r w:rsidRPr="00FA34BE">
        <w:rPr>
          <w:rFonts w:cs="Times New Roman"/>
          <w:sz w:val="20"/>
          <w:szCs w:val="20"/>
        </w:rPr>
        <w:t>93</w:t>
      </w:r>
      <w:proofErr w:type="gramEnd"/>
      <w:r w:rsidRPr="00FA34BE">
        <w:rPr>
          <w:rFonts w:cs="Times New Roman"/>
          <w:sz w:val="20"/>
          <w:szCs w:val="20"/>
        </w:rPr>
        <w:t>(1):44-8.</w:t>
      </w:r>
    </w:p>
    <w:p w:rsidR="00976ADD" w:rsidRPr="00FA34BE" w:rsidRDefault="00976ADD" w:rsidP="00BD5933">
      <w:pPr>
        <w:pStyle w:val="BodyText"/>
        <w:numPr>
          <w:ilvl w:val="0"/>
          <w:numId w:val="4"/>
        </w:numPr>
        <w:snapToGrid w:val="0"/>
        <w:ind w:left="425" w:hanging="425"/>
        <w:jc w:val="both"/>
        <w:rPr>
          <w:rFonts w:cs="Times New Roman"/>
          <w:sz w:val="20"/>
          <w:szCs w:val="20"/>
        </w:rPr>
      </w:pPr>
      <w:proofErr w:type="spellStart"/>
      <w:proofErr w:type="gramStart"/>
      <w:r w:rsidRPr="00FA34BE">
        <w:rPr>
          <w:rFonts w:cs="Times New Roman"/>
          <w:bCs/>
          <w:i/>
          <w:sz w:val="20"/>
          <w:szCs w:val="20"/>
        </w:rPr>
        <w:t>hokhar</w:t>
      </w:r>
      <w:proofErr w:type="spellEnd"/>
      <w:proofErr w:type="gramEnd"/>
      <w:r w:rsidRPr="00FA34BE">
        <w:rPr>
          <w:rFonts w:cs="Times New Roman"/>
          <w:bCs/>
          <w:i/>
          <w:sz w:val="20"/>
          <w:szCs w:val="20"/>
        </w:rPr>
        <w:t xml:space="preserve"> N, (2003)</w:t>
      </w:r>
      <w:r w:rsidRPr="00FA34BE">
        <w:rPr>
          <w:rFonts w:cs="Times New Roman"/>
          <w:i/>
          <w:sz w:val="20"/>
          <w:szCs w:val="20"/>
        </w:rPr>
        <w:t xml:space="preserve">: </w:t>
      </w:r>
      <w:r w:rsidRPr="00FA34BE">
        <w:rPr>
          <w:rFonts w:cs="Times New Roman"/>
          <w:sz w:val="20"/>
          <w:szCs w:val="20"/>
        </w:rPr>
        <w:t xml:space="preserve">Serum </w:t>
      </w:r>
      <w:proofErr w:type="spellStart"/>
      <w:r w:rsidRPr="00FA34BE">
        <w:rPr>
          <w:rFonts w:cs="Times New Roman"/>
          <w:sz w:val="20"/>
          <w:szCs w:val="20"/>
        </w:rPr>
        <w:t>aminotransferase</w:t>
      </w:r>
      <w:proofErr w:type="spellEnd"/>
      <w:r w:rsidRPr="00FA34BE">
        <w:rPr>
          <w:rFonts w:cs="Times New Roman"/>
          <w:sz w:val="20"/>
          <w:szCs w:val="20"/>
        </w:rPr>
        <w:t xml:space="preserve"> levels and platelet</w:t>
      </w:r>
      <w:r w:rsidR="00FA34BE">
        <w:rPr>
          <w:rFonts w:cs="Times New Roman"/>
          <w:sz w:val="20"/>
          <w:szCs w:val="20"/>
        </w:rPr>
        <w:t xml:space="preserve"> </w:t>
      </w:r>
      <w:r w:rsidRPr="00FA34BE">
        <w:rPr>
          <w:rFonts w:cs="Times New Roman"/>
          <w:sz w:val="20"/>
          <w:szCs w:val="20"/>
        </w:rPr>
        <w:t>count</w:t>
      </w:r>
      <w:r w:rsidR="00FA34BE">
        <w:rPr>
          <w:rFonts w:cs="Times New Roman"/>
          <w:sz w:val="20"/>
          <w:szCs w:val="20"/>
        </w:rPr>
        <w:t xml:space="preserve"> </w:t>
      </w:r>
      <w:r w:rsidRPr="00FA34BE">
        <w:rPr>
          <w:rFonts w:cs="Times New Roman"/>
          <w:sz w:val="20"/>
          <w:szCs w:val="20"/>
        </w:rPr>
        <w:t>as</w:t>
      </w:r>
      <w:r w:rsidR="00FA34BE">
        <w:rPr>
          <w:rFonts w:cs="Times New Roman"/>
          <w:sz w:val="20"/>
          <w:szCs w:val="20"/>
        </w:rPr>
        <w:t xml:space="preserve"> </w:t>
      </w:r>
      <w:r w:rsidRPr="00FA34BE">
        <w:rPr>
          <w:rFonts w:cs="Times New Roman"/>
          <w:sz w:val="20"/>
          <w:szCs w:val="20"/>
        </w:rPr>
        <w:t>Predictive</w:t>
      </w:r>
      <w:r w:rsidR="00FA34BE">
        <w:rPr>
          <w:rFonts w:cs="Times New Roman"/>
          <w:sz w:val="20"/>
          <w:szCs w:val="20"/>
        </w:rPr>
        <w:t xml:space="preserve"> </w:t>
      </w:r>
      <w:r w:rsidRPr="00FA34BE">
        <w:rPr>
          <w:rFonts w:cs="Times New Roman"/>
          <w:sz w:val="20"/>
          <w:szCs w:val="20"/>
        </w:rPr>
        <w:t>factor</w:t>
      </w:r>
      <w:r w:rsidR="00FA34BE">
        <w:rPr>
          <w:rFonts w:cs="Times New Roman"/>
          <w:sz w:val="20"/>
          <w:szCs w:val="20"/>
        </w:rPr>
        <w:t xml:space="preserve"> </w:t>
      </w:r>
      <w:r w:rsidRPr="00FA34BE">
        <w:rPr>
          <w:rFonts w:cs="Times New Roman"/>
          <w:sz w:val="20"/>
          <w:szCs w:val="20"/>
        </w:rPr>
        <w:t>of</w:t>
      </w:r>
      <w:r w:rsidR="00FA34BE">
        <w:rPr>
          <w:rFonts w:cs="Times New Roman"/>
          <w:sz w:val="20"/>
          <w:szCs w:val="20"/>
        </w:rPr>
        <w:t xml:space="preserve"> </w:t>
      </w:r>
      <w:r w:rsidRPr="00FA34BE">
        <w:rPr>
          <w:rFonts w:cs="Times New Roman"/>
          <w:sz w:val="20"/>
          <w:szCs w:val="20"/>
        </w:rPr>
        <w:t>fibrosis</w:t>
      </w:r>
      <w:r w:rsidR="00FA34BE">
        <w:rPr>
          <w:rFonts w:cs="Times New Roman"/>
          <w:sz w:val="20"/>
          <w:szCs w:val="20"/>
        </w:rPr>
        <w:t xml:space="preserve"> </w:t>
      </w:r>
      <w:r w:rsidRPr="00FA34BE">
        <w:rPr>
          <w:rFonts w:cs="Times New Roman"/>
          <w:sz w:val="20"/>
          <w:szCs w:val="20"/>
        </w:rPr>
        <w:t>and cirrhosis in patients with chronic</w:t>
      </w:r>
      <w:r w:rsidR="00FA34BE">
        <w:rPr>
          <w:rFonts w:cs="Times New Roman"/>
          <w:sz w:val="20"/>
          <w:szCs w:val="20"/>
        </w:rPr>
        <w:t xml:space="preserve"> </w:t>
      </w:r>
      <w:r w:rsidRPr="00FA34BE">
        <w:rPr>
          <w:rFonts w:cs="Times New Roman"/>
          <w:sz w:val="20"/>
          <w:szCs w:val="20"/>
        </w:rPr>
        <w:t xml:space="preserve">C </w:t>
      </w:r>
      <w:proofErr w:type="spellStart"/>
      <w:r w:rsidRPr="00FA34BE">
        <w:rPr>
          <w:rFonts w:cs="Times New Roman"/>
          <w:sz w:val="20"/>
          <w:szCs w:val="20"/>
        </w:rPr>
        <w:t>infection</w:t>
      </w:r>
      <w:r w:rsidR="00FA34BE">
        <w:rPr>
          <w:rFonts w:cs="Times New Roman"/>
          <w:sz w:val="20"/>
          <w:szCs w:val="20"/>
        </w:rPr>
        <w:t>.</w:t>
      </w:r>
      <w:r w:rsidRPr="00FA34BE">
        <w:rPr>
          <w:rFonts w:cs="Times New Roman"/>
          <w:sz w:val="20"/>
          <w:szCs w:val="20"/>
        </w:rPr>
        <w:t>j</w:t>
      </w:r>
      <w:proofErr w:type="spellEnd"/>
      <w:r w:rsidRPr="00FA34BE">
        <w:rPr>
          <w:rFonts w:cs="Times New Roman"/>
          <w:sz w:val="20"/>
          <w:szCs w:val="20"/>
        </w:rPr>
        <w:t xml:space="preserve"> </w:t>
      </w:r>
      <w:proofErr w:type="spellStart"/>
      <w:r w:rsidRPr="00FA34BE">
        <w:rPr>
          <w:rFonts w:cs="Times New Roman"/>
          <w:sz w:val="20"/>
          <w:szCs w:val="20"/>
        </w:rPr>
        <w:t>pak</w:t>
      </w:r>
      <w:proofErr w:type="spellEnd"/>
      <w:r w:rsidRPr="00FA34BE">
        <w:rPr>
          <w:rFonts w:cs="Times New Roman"/>
          <w:sz w:val="20"/>
          <w:szCs w:val="20"/>
        </w:rPr>
        <w:t xml:space="preserve"> Med Assoc</w:t>
      </w:r>
      <w:r w:rsidR="00FA34BE">
        <w:rPr>
          <w:rFonts w:cs="Times New Roman"/>
          <w:sz w:val="20"/>
          <w:szCs w:val="20"/>
        </w:rPr>
        <w:t>,</w:t>
      </w:r>
      <w:r w:rsidRPr="00FA34BE">
        <w:rPr>
          <w:rFonts w:cs="Times New Roman"/>
          <w:sz w:val="20"/>
          <w:szCs w:val="20"/>
        </w:rPr>
        <w:t>53 (3):101-4</w:t>
      </w:r>
      <w:r w:rsidR="00FA34BE">
        <w:rPr>
          <w:rFonts w:eastAsiaTheme="minorEastAsia" w:cs="Times New Roman" w:hint="eastAsia"/>
          <w:sz w:val="20"/>
          <w:szCs w:val="20"/>
          <w:lang w:eastAsia="zh-CN"/>
        </w:rPr>
        <w:t xml:space="preserve">. </w:t>
      </w:r>
      <w:proofErr w:type="gramStart"/>
      <w:r w:rsidRPr="00FA34BE">
        <w:rPr>
          <w:rFonts w:cs="Times New Roman"/>
          <w:sz w:val="20"/>
          <w:szCs w:val="20"/>
        </w:rPr>
        <w:t>hepatitis</w:t>
      </w:r>
      <w:proofErr w:type="gramEnd"/>
      <w:r w:rsidRPr="00FA34BE">
        <w:rPr>
          <w:rFonts w:cs="Times New Roman"/>
          <w:sz w:val="20"/>
          <w:szCs w:val="20"/>
        </w:rPr>
        <w:t>.</w:t>
      </w:r>
    </w:p>
    <w:p w:rsidR="00976ADD" w:rsidRPr="00FA34BE" w:rsidRDefault="00976ADD" w:rsidP="00BD5933">
      <w:pPr>
        <w:pStyle w:val="BodyText"/>
        <w:numPr>
          <w:ilvl w:val="0"/>
          <w:numId w:val="4"/>
        </w:numPr>
        <w:snapToGrid w:val="0"/>
        <w:ind w:left="425" w:hanging="425"/>
        <w:jc w:val="both"/>
        <w:rPr>
          <w:rFonts w:cs="Times New Roman"/>
          <w:sz w:val="20"/>
          <w:szCs w:val="20"/>
        </w:rPr>
      </w:pPr>
      <w:proofErr w:type="spellStart"/>
      <w:r w:rsidRPr="00FA34BE">
        <w:rPr>
          <w:rFonts w:cs="Times New Roman"/>
          <w:bCs/>
          <w:i/>
          <w:sz w:val="20"/>
          <w:szCs w:val="20"/>
        </w:rPr>
        <w:t>Botta</w:t>
      </w:r>
      <w:proofErr w:type="spellEnd"/>
      <w:r w:rsidRPr="00FA34BE">
        <w:rPr>
          <w:rFonts w:cs="Times New Roman"/>
          <w:bCs/>
          <w:i/>
          <w:sz w:val="20"/>
          <w:szCs w:val="20"/>
        </w:rPr>
        <w:t xml:space="preserve"> F, et al</w:t>
      </w:r>
      <w:proofErr w:type="gramStart"/>
      <w:r w:rsidR="00FA34BE">
        <w:rPr>
          <w:rFonts w:cs="Times New Roman"/>
          <w:bCs/>
          <w:i/>
          <w:sz w:val="20"/>
          <w:szCs w:val="20"/>
        </w:rPr>
        <w:t>.(</w:t>
      </w:r>
      <w:proofErr w:type="gramEnd"/>
      <w:r w:rsidRPr="00FA34BE">
        <w:rPr>
          <w:rFonts w:cs="Times New Roman"/>
          <w:bCs/>
          <w:i/>
          <w:sz w:val="20"/>
          <w:szCs w:val="20"/>
        </w:rPr>
        <w:t>2003)</w:t>
      </w:r>
      <w:r w:rsidR="00FA34BE">
        <w:rPr>
          <w:rFonts w:cs="Times New Roman"/>
          <w:bCs/>
          <w:i/>
          <w:sz w:val="20"/>
          <w:szCs w:val="20"/>
        </w:rPr>
        <w:t>:</w:t>
      </w:r>
      <w:r w:rsidR="00FA34BE">
        <w:rPr>
          <w:rFonts w:cs="Times New Roman"/>
          <w:bCs/>
          <w:sz w:val="20"/>
          <w:szCs w:val="20"/>
        </w:rPr>
        <w:t xml:space="preserve"> </w:t>
      </w:r>
      <w:r w:rsidRPr="00FA34BE">
        <w:rPr>
          <w:rFonts w:cs="Times New Roman"/>
          <w:sz w:val="20"/>
          <w:szCs w:val="20"/>
        </w:rPr>
        <w:t xml:space="preserve">Validity and clinical utility of the </w:t>
      </w:r>
      <w:proofErr w:type="spellStart"/>
      <w:r w:rsidRPr="00FA34BE">
        <w:rPr>
          <w:rFonts w:cs="Times New Roman"/>
          <w:sz w:val="20"/>
          <w:szCs w:val="20"/>
        </w:rPr>
        <w:t>aspartate</w:t>
      </w:r>
      <w:proofErr w:type="spellEnd"/>
      <w:r w:rsidRPr="00FA34BE">
        <w:rPr>
          <w:rFonts w:cs="Times New Roman"/>
          <w:sz w:val="20"/>
          <w:szCs w:val="20"/>
        </w:rPr>
        <w:t xml:space="preserve"> </w:t>
      </w:r>
      <w:proofErr w:type="spellStart"/>
      <w:r w:rsidRPr="00FA34BE">
        <w:rPr>
          <w:rFonts w:cs="Times New Roman"/>
          <w:sz w:val="20"/>
          <w:szCs w:val="20"/>
        </w:rPr>
        <w:t>aminotransferase-alanine</w:t>
      </w:r>
      <w:proofErr w:type="spellEnd"/>
      <w:r w:rsidRPr="00FA34BE">
        <w:rPr>
          <w:rFonts w:cs="Times New Roman"/>
          <w:sz w:val="20"/>
          <w:szCs w:val="20"/>
        </w:rPr>
        <w:t xml:space="preserve"> </w:t>
      </w:r>
      <w:proofErr w:type="spellStart"/>
      <w:r w:rsidRPr="00FA34BE">
        <w:rPr>
          <w:rFonts w:cs="Times New Roman"/>
          <w:sz w:val="20"/>
          <w:szCs w:val="20"/>
        </w:rPr>
        <w:t>aminotransferase</w:t>
      </w:r>
      <w:proofErr w:type="spellEnd"/>
      <w:r w:rsidRPr="00FA34BE">
        <w:rPr>
          <w:rFonts w:cs="Times New Roman"/>
          <w:sz w:val="20"/>
          <w:szCs w:val="20"/>
        </w:rPr>
        <w:t xml:space="preserve"> ratio in assessing</w:t>
      </w:r>
      <w:r w:rsidR="00FA34BE">
        <w:rPr>
          <w:rFonts w:cs="Times New Roman"/>
          <w:sz w:val="20"/>
          <w:szCs w:val="20"/>
        </w:rPr>
        <w:t xml:space="preserve"> </w:t>
      </w:r>
      <w:r w:rsidRPr="00FA34BE">
        <w:rPr>
          <w:rFonts w:cs="Times New Roman"/>
          <w:sz w:val="20"/>
          <w:szCs w:val="20"/>
        </w:rPr>
        <w:t xml:space="preserve">disease </w:t>
      </w:r>
      <w:r w:rsidRPr="00FA34BE">
        <w:rPr>
          <w:rFonts w:cs="Times New Roman"/>
          <w:sz w:val="20"/>
          <w:szCs w:val="20"/>
        </w:rPr>
        <w:lastRenderedPageBreak/>
        <w:t>severity and prognosis in patients with hepatitis C</w:t>
      </w:r>
      <w:r w:rsidR="00FA34BE">
        <w:rPr>
          <w:rFonts w:cs="Times New Roman"/>
          <w:sz w:val="20"/>
          <w:szCs w:val="20"/>
        </w:rPr>
        <w:t xml:space="preserve"> </w:t>
      </w:r>
      <w:r w:rsidRPr="00FA34BE">
        <w:rPr>
          <w:rFonts w:cs="Times New Roman"/>
          <w:sz w:val="20"/>
          <w:szCs w:val="20"/>
        </w:rPr>
        <w:t>virus-related chronic liver disease. Arch Intern Med;</w:t>
      </w:r>
      <w:r w:rsidR="00FA34BE">
        <w:rPr>
          <w:rFonts w:cs="Times New Roman"/>
          <w:sz w:val="20"/>
          <w:szCs w:val="20"/>
        </w:rPr>
        <w:t xml:space="preserve"> </w:t>
      </w:r>
      <w:r w:rsidRPr="00FA34BE">
        <w:rPr>
          <w:rFonts w:cs="Times New Roman"/>
          <w:sz w:val="20"/>
          <w:szCs w:val="20"/>
        </w:rPr>
        <w:t>163: 218-224.</w:t>
      </w:r>
    </w:p>
    <w:p w:rsidR="00976ADD" w:rsidRPr="00FA34BE" w:rsidRDefault="00976ADD" w:rsidP="00BD5933">
      <w:pPr>
        <w:numPr>
          <w:ilvl w:val="0"/>
          <w:numId w:val="4"/>
        </w:numPr>
        <w:snapToGrid w:val="0"/>
        <w:ind w:left="425" w:hanging="425"/>
        <w:jc w:val="both"/>
        <w:rPr>
          <w:rFonts w:ascii="Times New Roman" w:eastAsia="Times New Roman" w:hAnsi="Times New Roman" w:cs="Times New Roman"/>
          <w:sz w:val="20"/>
          <w:szCs w:val="20"/>
        </w:rPr>
      </w:pPr>
      <w:proofErr w:type="spellStart"/>
      <w:r w:rsidRPr="00FA34BE">
        <w:rPr>
          <w:rFonts w:ascii="Times New Roman" w:eastAsia="Times New Roman" w:hAnsi="Times New Roman" w:cs="Times New Roman"/>
          <w:bCs/>
          <w:i/>
          <w:sz w:val="20"/>
          <w:szCs w:val="20"/>
        </w:rPr>
        <w:t>Imperiale</w:t>
      </w:r>
      <w:proofErr w:type="spellEnd"/>
      <w:r w:rsidRPr="00FA34BE">
        <w:rPr>
          <w:rFonts w:ascii="Times New Roman" w:eastAsia="Times New Roman" w:hAnsi="Times New Roman" w:cs="Times New Roman"/>
          <w:bCs/>
          <w:i/>
          <w:sz w:val="20"/>
          <w:szCs w:val="20"/>
        </w:rPr>
        <w:t xml:space="preserve"> TF, Said AT, Cummings OW, Born LJ, (2000): </w:t>
      </w:r>
      <w:r w:rsidRPr="00FA34BE">
        <w:rPr>
          <w:rFonts w:ascii="Times New Roman" w:eastAsia="Times New Roman" w:hAnsi="Times New Roman" w:cs="Times New Roman"/>
          <w:sz w:val="20"/>
          <w:szCs w:val="20"/>
        </w:rPr>
        <w:t>Need for validation</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of</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clinical</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decision aids: use of the AST/ALT ratio in predicting cirrhosis in chronic hepatitis</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C.</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Am</w:t>
      </w:r>
      <w:r w:rsidR="00FA34BE">
        <w:rPr>
          <w:rFonts w:ascii="Times New Roman" w:eastAsia="Times New Roman" w:hAnsi="Times New Roman" w:cs="Times New Roman"/>
          <w:sz w:val="20"/>
          <w:szCs w:val="20"/>
        </w:rPr>
        <w:t xml:space="preserve"> </w:t>
      </w:r>
      <w:r w:rsidRPr="00FA34BE">
        <w:rPr>
          <w:rFonts w:ascii="Times New Roman" w:eastAsia="Times New Roman" w:hAnsi="Times New Roman" w:cs="Times New Roman"/>
          <w:sz w:val="20"/>
          <w:szCs w:val="20"/>
        </w:rPr>
        <w:t xml:space="preserve">J </w:t>
      </w:r>
      <w:proofErr w:type="spellStart"/>
      <w:r w:rsidRPr="00FA34BE">
        <w:rPr>
          <w:rFonts w:ascii="Times New Roman" w:eastAsia="Times New Roman" w:hAnsi="Times New Roman" w:cs="Times New Roman"/>
          <w:sz w:val="20"/>
          <w:szCs w:val="20"/>
        </w:rPr>
        <w:t>Gastroenterol</w:t>
      </w:r>
      <w:proofErr w:type="spellEnd"/>
      <w:r w:rsidRPr="00FA34BE">
        <w:rPr>
          <w:rFonts w:ascii="Times New Roman" w:eastAsia="Times New Roman" w:hAnsi="Times New Roman" w:cs="Times New Roman"/>
          <w:sz w:val="20"/>
          <w:szCs w:val="20"/>
        </w:rPr>
        <w:t>; 95(9):2328 -32.</w:t>
      </w:r>
    </w:p>
    <w:p w:rsidR="00976ADD" w:rsidRPr="00FA34BE" w:rsidRDefault="00976ADD" w:rsidP="00BD5933">
      <w:pPr>
        <w:pStyle w:val="BodyText"/>
        <w:numPr>
          <w:ilvl w:val="0"/>
          <w:numId w:val="4"/>
        </w:numPr>
        <w:snapToGrid w:val="0"/>
        <w:ind w:left="425" w:hanging="425"/>
        <w:jc w:val="both"/>
        <w:rPr>
          <w:rFonts w:cs="Times New Roman"/>
          <w:sz w:val="20"/>
          <w:szCs w:val="20"/>
        </w:rPr>
      </w:pPr>
      <w:proofErr w:type="spellStart"/>
      <w:r w:rsidRPr="00FA34BE">
        <w:rPr>
          <w:rFonts w:cs="Times New Roman"/>
          <w:bCs/>
          <w:i/>
          <w:iCs/>
          <w:sz w:val="20"/>
          <w:szCs w:val="20"/>
        </w:rPr>
        <w:lastRenderedPageBreak/>
        <w:t>Minuk</w:t>
      </w:r>
      <w:proofErr w:type="spellEnd"/>
      <w:r w:rsidRPr="00FA34BE">
        <w:rPr>
          <w:rFonts w:cs="Times New Roman"/>
          <w:bCs/>
          <w:i/>
          <w:iCs/>
          <w:sz w:val="20"/>
          <w:szCs w:val="20"/>
        </w:rPr>
        <w:t xml:space="preserve"> GY,</w:t>
      </w:r>
      <w:r w:rsidR="00FA34BE">
        <w:rPr>
          <w:rFonts w:eastAsiaTheme="minorEastAsia" w:cs="Times New Roman" w:hint="eastAsia"/>
          <w:bCs/>
          <w:i/>
          <w:iCs/>
          <w:sz w:val="20"/>
          <w:szCs w:val="20"/>
          <w:lang w:eastAsia="zh-CN"/>
        </w:rPr>
        <w:t xml:space="preserve"> </w:t>
      </w:r>
      <w:r w:rsidRPr="00FA34BE">
        <w:rPr>
          <w:rFonts w:cs="Times New Roman"/>
          <w:bCs/>
          <w:i/>
          <w:iCs/>
          <w:sz w:val="20"/>
          <w:szCs w:val="20"/>
        </w:rPr>
        <w:t>(2000):</w:t>
      </w:r>
      <w:r w:rsidRPr="00FA34BE">
        <w:rPr>
          <w:rFonts w:cs="Times New Roman"/>
          <w:sz w:val="20"/>
          <w:szCs w:val="20"/>
        </w:rPr>
        <w:t xml:space="preserve"> Serum </w:t>
      </w:r>
      <w:proofErr w:type="spellStart"/>
      <w:r w:rsidRPr="00FA34BE">
        <w:rPr>
          <w:rFonts w:cs="Times New Roman"/>
          <w:sz w:val="20"/>
          <w:szCs w:val="20"/>
        </w:rPr>
        <w:t>aspartate</w:t>
      </w:r>
      <w:proofErr w:type="spellEnd"/>
      <w:r w:rsidRPr="00FA34BE">
        <w:rPr>
          <w:rFonts w:cs="Times New Roman"/>
          <w:sz w:val="20"/>
          <w:szCs w:val="20"/>
        </w:rPr>
        <w:t xml:space="preserve"> but not </w:t>
      </w:r>
      <w:proofErr w:type="spellStart"/>
      <w:r w:rsidRPr="00FA34BE">
        <w:rPr>
          <w:rFonts w:cs="Times New Roman"/>
          <w:sz w:val="20"/>
          <w:szCs w:val="20"/>
        </w:rPr>
        <w:t>alanine</w:t>
      </w:r>
      <w:proofErr w:type="spellEnd"/>
      <w:r w:rsidRPr="00FA34BE">
        <w:rPr>
          <w:rFonts w:cs="Times New Roman"/>
          <w:sz w:val="20"/>
          <w:szCs w:val="20"/>
        </w:rPr>
        <w:t xml:space="preserve"> </w:t>
      </w:r>
      <w:proofErr w:type="spellStart"/>
      <w:r w:rsidRPr="00FA34BE">
        <w:rPr>
          <w:rFonts w:cs="Times New Roman"/>
          <w:sz w:val="20"/>
          <w:szCs w:val="20"/>
        </w:rPr>
        <w:t>aminotransferase</w:t>
      </w:r>
      <w:proofErr w:type="spellEnd"/>
      <w:r w:rsidRPr="00FA34BE">
        <w:rPr>
          <w:rFonts w:cs="Times New Roman"/>
          <w:sz w:val="20"/>
          <w:szCs w:val="20"/>
        </w:rPr>
        <w:t xml:space="preserve"> levels help to predict the histological features of chronic hepatitis</w:t>
      </w:r>
      <w:r w:rsidR="00FA34BE">
        <w:rPr>
          <w:rFonts w:cs="Times New Roman"/>
          <w:sz w:val="20"/>
          <w:szCs w:val="20"/>
        </w:rPr>
        <w:t xml:space="preserve"> </w:t>
      </w:r>
      <w:r w:rsidRPr="00FA34BE">
        <w:rPr>
          <w:rFonts w:cs="Times New Roman"/>
          <w:sz w:val="20"/>
          <w:szCs w:val="20"/>
        </w:rPr>
        <w:t>C</w:t>
      </w:r>
      <w:r w:rsidR="00FA34BE">
        <w:rPr>
          <w:rFonts w:cs="Times New Roman"/>
          <w:sz w:val="20"/>
          <w:szCs w:val="20"/>
        </w:rPr>
        <w:t xml:space="preserve"> </w:t>
      </w:r>
      <w:r w:rsidRPr="00FA34BE">
        <w:rPr>
          <w:rFonts w:cs="Times New Roman"/>
          <w:sz w:val="20"/>
          <w:szCs w:val="20"/>
        </w:rPr>
        <w:t>viral</w:t>
      </w:r>
      <w:r w:rsidR="00FA34BE">
        <w:rPr>
          <w:rFonts w:cs="Times New Roman"/>
          <w:sz w:val="20"/>
          <w:szCs w:val="20"/>
        </w:rPr>
        <w:t xml:space="preserve"> </w:t>
      </w:r>
      <w:r w:rsidRPr="00FA34BE">
        <w:rPr>
          <w:rFonts w:cs="Times New Roman"/>
          <w:sz w:val="20"/>
          <w:szCs w:val="20"/>
        </w:rPr>
        <w:t>infections</w:t>
      </w:r>
      <w:r w:rsidR="00FA34BE">
        <w:rPr>
          <w:rFonts w:cs="Times New Roman"/>
          <w:sz w:val="20"/>
          <w:szCs w:val="20"/>
        </w:rPr>
        <w:t xml:space="preserve"> </w:t>
      </w:r>
      <w:r w:rsidRPr="00FA34BE">
        <w:rPr>
          <w:rFonts w:cs="Times New Roman"/>
          <w:sz w:val="20"/>
          <w:szCs w:val="20"/>
        </w:rPr>
        <w:t xml:space="preserve">in adults. Am J </w:t>
      </w:r>
      <w:proofErr w:type="spellStart"/>
      <w:r w:rsidRPr="00FA34BE">
        <w:rPr>
          <w:rFonts w:cs="Times New Roman"/>
          <w:sz w:val="20"/>
          <w:szCs w:val="20"/>
        </w:rPr>
        <w:t>Gastroenterol</w:t>
      </w:r>
      <w:proofErr w:type="spellEnd"/>
      <w:r w:rsidRPr="00FA34BE">
        <w:rPr>
          <w:rFonts w:cs="Times New Roman"/>
          <w:sz w:val="20"/>
          <w:szCs w:val="20"/>
        </w:rPr>
        <w:t>;</w:t>
      </w:r>
      <w:r w:rsidR="00FA34BE" w:rsidRPr="00FA34BE">
        <w:rPr>
          <w:rFonts w:eastAsiaTheme="minorEastAsia" w:cs="Times New Roman" w:hint="eastAsia"/>
          <w:sz w:val="20"/>
          <w:szCs w:val="20"/>
          <w:lang w:eastAsia="zh-CN"/>
        </w:rPr>
        <w:t xml:space="preserve"> </w:t>
      </w:r>
      <w:r w:rsidRPr="00FA34BE">
        <w:rPr>
          <w:rFonts w:cs="Times New Roman"/>
          <w:sz w:val="20"/>
          <w:szCs w:val="20"/>
        </w:rPr>
        <w:t>95:1545-1550.</w:t>
      </w:r>
    </w:p>
    <w:p w:rsidR="00BD5933" w:rsidRPr="00FA34BE" w:rsidRDefault="00976ADD" w:rsidP="00BD5933">
      <w:pPr>
        <w:pStyle w:val="BodyText"/>
        <w:numPr>
          <w:ilvl w:val="0"/>
          <w:numId w:val="4"/>
        </w:numPr>
        <w:snapToGrid w:val="0"/>
        <w:ind w:left="425" w:hanging="425"/>
        <w:jc w:val="both"/>
        <w:rPr>
          <w:rFonts w:cs="Times New Roman"/>
          <w:sz w:val="20"/>
          <w:szCs w:val="20"/>
        </w:rPr>
      </w:pPr>
      <w:proofErr w:type="spellStart"/>
      <w:r w:rsidRPr="00FA34BE">
        <w:rPr>
          <w:rFonts w:cs="Times New Roman"/>
          <w:bCs/>
          <w:i/>
          <w:sz w:val="20"/>
          <w:szCs w:val="20"/>
        </w:rPr>
        <w:t>Malinchoc</w:t>
      </w:r>
      <w:proofErr w:type="spellEnd"/>
      <w:r w:rsidRPr="00FA34BE">
        <w:rPr>
          <w:rFonts w:cs="Times New Roman"/>
          <w:bCs/>
          <w:i/>
          <w:sz w:val="20"/>
          <w:szCs w:val="20"/>
        </w:rPr>
        <w:t>, et al.</w:t>
      </w:r>
      <w:r w:rsidR="00FA34BE">
        <w:rPr>
          <w:rFonts w:eastAsiaTheme="minorEastAsia" w:cs="Times New Roman" w:hint="eastAsia"/>
          <w:bCs/>
          <w:i/>
          <w:sz w:val="20"/>
          <w:szCs w:val="20"/>
          <w:lang w:eastAsia="zh-CN"/>
        </w:rPr>
        <w:t xml:space="preserve"> </w:t>
      </w:r>
      <w:r w:rsidRPr="00FA34BE">
        <w:rPr>
          <w:rFonts w:cs="Times New Roman"/>
          <w:bCs/>
          <w:i/>
          <w:sz w:val="20"/>
          <w:szCs w:val="20"/>
        </w:rPr>
        <w:t>(2001</w:t>
      </w:r>
      <w:r w:rsidRPr="00FA34BE">
        <w:rPr>
          <w:rFonts w:cs="Times New Roman"/>
          <w:bCs/>
          <w:sz w:val="20"/>
          <w:szCs w:val="20"/>
        </w:rPr>
        <w:t xml:space="preserve">): </w:t>
      </w:r>
      <w:proofErr w:type="spellStart"/>
      <w:r w:rsidRPr="00FA34BE">
        <w:rPr>
          <w:rFonts w:cs="Times New Roman"/>
          <w:sz w:val="20"/>
          <w:szCs w:val="20"/>
        </w:rPr>
        <w:t>Amodel</w:t>
      </w:r>
      <w:proofErr w:type="spellEnd"/>
      <w:r w:rsidRPr="00FA34BE">
        <w:rPr>
          <w:rFonts w:cs="Times New Roman"/>
          <w:sz w:val="20"/>
          <w:szCs w:val="20"/>
        </w:rPr>
        <w:t xml:space="preserve"> to predict survival in patients with end-stage liver disease.</w:t>
      </w:r>
      <w:r w:rsidR="00C565DC">
        <w:rPr>
          <w:rFonts w:eastAsiaTheme="minorEastAsia" w:cs="Times New Roman" w:hint="eastAsia"/>
          <w:sz w:val="20"/>
          <w:szCs w:val="20"/>
          <w:lang w:eastAsia="zh-CN"/>
        </w:rPr>
        <w:t xml:space="preserve"> </w:t>
      </w:r>
      <w:proofErr w:type="spellStart"/>
      <w:r w:rsidRPr="00FA34BE">
        <w:rPr>
          <w:rFonts w:cs="Times New Roman"/>
          <w:sz w:val="20"/>
          <w:szCs w:val="20"/>
        </w:rPr>
        <w:t>Hepatology</w:t>
      </w:r>
      <w:proofErr w:type="spellEnd"/>
      <w:r w:rsidRPr="00FA34BE">
        <w:rPr>
          <w:rFonts w:cs="Times New Roman"/>
          <w:sz w:val="20"/>
          <w:szCs w:val="20"/>
        </w:rPr>
        <w:t>,</w:t>
      </w:r>
      <w:r w:rsidR="00C565DC">
        <w:rPr>
          <w:rFonts w:eastAsiaTheme="minorEastAsia" w:cs="Times New Roman" w:hint="eastAsia"/>
          <w:sz w:val="20"/>
          <w:szCs w:val="20"/>
          <w:lang w:eastAsia="zh-CN"/>
        </w:rPr>
        <w:t xml:space="preserve"> </w:t>
      </w:r>
      <w:r w:rsidRPr="00FA34BE">
        <w:rPr>
          <w:rFonts w:cs="Times New Roman"/>
          <w:sz w:val="20"/>
          <w:szCs w:val="20"/>
        </w:rPr>
        <w:t>vol.33,</w:t>
      </w:r>
      <w:r w:rsidR="00C565DC">
        <w:rPr>
          <w:rFonts w:eastAsiaTheme="minorEastAsia" w:cs="Times New Roman" w:hint="eastAsia"/>
          <w:sz w:val="20"/>
          <w:szCs w:val="20"/>
          <w:lang w:eastAsia="zh-CN"/>
        </w:rPr>
        <w:t xml:space="preserve"> </w:t>
      </w:r>
      <w:r w:rsidRPr="00FA34BE">
        <w:rPr>
          <w:rFonts w:cs="Times New Roman"/>
          <w:sz w:val="20"/>
          <w:szCs w:val="20"/>
        </w:rPr>
        <w:t>no.2,</w:t>
      </w:r>
      <w:r w:rsidR="00C565DC">
        <w:rPr>
          <w:rFonts w:eastAsiaTheme="minorEastAsia" w:cs="Times New Roman" w:hint="eastAsia"/>
          <w:sz w:val="20"/>
          <w:szCs w:val="20"/>
          <w:lang w:eastAsia="zh-CN"/>
        </w:rPr>
        <w:t xml:space="preserve"> </w:t>
      </w:r>
      <w:r w:rsidRPr="00FA34BE">
        <w:rPr>
          <w:rFonts w:cs="Times New Roman"/>
          <w:sz w:val="20"/>
          <w:szCs w:val="20"/>
        </w:rPr>
        <w:t>pp.464-470.</w:t>
      </w:r>
      <w:r w:rsidR="00FA34BE" w:rsidRPr="00FA34BE">
        <w:rPr>
          <w:rFonts w:eastAsiaTheme="minorEastAsia" w:cs="Times New Roman" w:hint="eastAsia"/>
          <w:sz w:val="20"/>
          <w:szCs w:val="20"/>
          <w:lang w:eastAsia="zh-CN"/>
        </w:rPr>
        <w:t xml:space="preserve"> </w:t>
      </w:r>
    </w:p>
    <w:p w:rsidR="00BD5933" w:rsidRPr="00FA34BE" w:rsidRDefault="00BD5933" w:rsidP="00BD5933">
      <w:pPr>
        <w:pStyle w:val="Heading3"/>
        <w:snapToGrid w:val="0"/>
        <w:ind w:left="425" w:hanging="425"/>
        <w:jc w:val="both"/>
        <w:rPr>
          <w:rFonts w:cs="Times New Roman"/>
          <w:b w:val="0"/>
          <w:sz w:val="20"/>
          <w:szCs w:val="20"/>
        </w:rPr>
        <w:sectPr w:rsidR="00BD5933" w:rsidRPr="00FA34BE" w:rsidSect="00735E78">
          <w:headerReference w:type="default" r:id="rId22"/>
          <w:footerReference w:type="default" r:id="rId23"/>
          <w:type w:val="continuous"/>
          <w:pgSz w:w="12240" w:h="15840" w:code="1"/>
          <w:pgMar w:top="1440" w:right="1440" w:bottom="1440" w:left="1440" w:header="720" w:footer="720" w:gutter="0"/>
          <w:cols w:num="2" w:space="720"/>
          <w:docGrid w:linePitch="299"/>
        </w:sectPr>
      </w:pPr>
    </w:p>
    <w:p w:rsidR="00CF4738" w:rsidRPr="00FA34BE" w:rsidRDefault="00CF4738" w:rsidP="00BD5933">
      <w:pPr>
        <w:pStyle w:val="Heading3"/>
        <w:snapToGrid w:val="0"/>
        <w:ind w:left="425" w:hanging="425"/>
        <w:jc w:val="both"/>
        <w:rPr>
          <w:rFonts w:cs="Times New Roman"/>
          <w:b w:val="0"/>
          <w:sz w:val="20"/>
          <w:szCs w:val="20"/>
        </w:rPr>
      </w:pPr>
    </w:p>
    <w:p w:rsidR="00CF4738" w:rsidRPr="00FA34BE" w:rsidRDefault="00CF4738" w:rsidP="00BD5933">
      <w:pPr>
        <w:pStyle w:val="Heading3"/>
        <w:snapToGrid w:val="0"/>
        <w:ind w:left="425" w:hanging="425"/>
        <w:jc w:val="both"/>
        <w:rPr>
          <w:rFonts w:cs="Times New Roman"/>
          <w:sz w:val="20"/>
          <w:szCs w:val="20"/>
        </w:rPr>
      </w:pPr>
    </w:p>
    <w:p w:rsidR="00BD5933" w:rsidRPr="00FA34BE" w:rsidRDefault="00BD5933" w:rsidP="00BD5933">
      <w:pPr>
        <w:snapToGrid w:val="0"/>
        <w:ind w:left="425" w:hanging="425"/>
        <w:jc w:val="both"/>
        <w:rPr>
          <w:rFonts w:ascii="Times New Roman" w:hAnsi="Times New Roman" w:cs="Times New Roman"/>
          <w:sz w:val="20"/>
          <w:szCs w:val="20"/>
        </w:rPr>
      </w:pPr>
    </w:p>
    <w:p w:rsidR="00CE0EE5" w:rsidRPr="00FA34BE" w:rsidRDefault="00BD5933" w:rsidP="00BD5933">
      <w:pPr>
        <w:snapToGrid w:val="0"/>
        <w:ind w:left="425" w:hanging="425"/>
        <w:jc w:val="both"/>
        <w:rPr>
          <w:rFonts w:ascii="Times New Roman" w:hAnsi="Times New Roman" w:cs="Times New Roman"/>
          <w:sz w:val="20"/>
          <w:szCs w:val="20"/>
        </w:rPr>
      </w:pPr>
      <w:r w:rsidRPr="00FA34BE">
        <w:rPr>
          <w:rFonts w:ascii="Times New Roman" w:hAnsi="Times New Roman" w:cs="Times New Roman"/>
          <w:sz w:val="20"/>
          <w:szCs w:val="20"/>
        </w:rPr>
        <w:t>2/24/2016</w:t>
      </w:r>
    </w:p>
    <w:sectPr w:rsidR="00CE0EE5" w:rsidRPr="00FA34BE" w:rsidSect="00735E78">
      <w:footerReference w:type="default" r:id="rId24"/>
      <w:type w:val="continuous"/>
      <w:pgSz w:w="12240" w:h="15840" w:code="1"/>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AFCE6E" w15:done="0"/>
  <w15:commentEx w15:paraId="2A8F1F37" w15:done="0"/>
  <w15:commentEx w15:paraId="4451CC33" w15:done="0"/>
  <w15:commentEx w15:paraId="38693612" w15:done="0"/>
  <w15:commentEx w15:paraId="7F47C5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26D" w:rsidRDefault="00B0026D">
      <w:r>
        <w:separator/>
      </w:r>
    </w:p>
  </w:endnote>
  <w:endnote w:type="continuationSeparator" w:id="0">
    <w:p w:rsidR="00B0026D" w:rsidRDefault="00B00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33" w:rsidRPr="00BD5933" w:rsidRDefault="008B1898" w:rsidP="00BD5933">
    <w:pPr>
      <w:jc w:val="center"/>
      <w:rPr>
        <w:rFonts w:ascii="Times New Roman" w:hAnsi="Times New Roman" w:cs="Times New Roman"/>
        <w:sz w:val="20"/>
      </w:rPr>
    </w:pPr>
    <w:r w:rsidRPr="00BD5933">
      <w:rPr>
        <w:rFonts w:ascii="Times New Roman" w:hAnsi="Times New Roman" w:cs="Times New Roman"/>
        <w:sz w:val="20"/>
      </w:rPr>
      <w:fldChar w:fldCharType="begin"/>
    </w:r>
    <w:r w:rsidR="00BD5933" w:rsidRPr="00BD5933">
      <w:rPr>
        <w:rFonts w:ascii="Times New Roman" w:hAnsi="Times New Roman" w:cs="Times New Roman"/>
        <w:sz w:val="20"/>
      </w:rPr>
      <w:instrText xml:space="preserve"> page </w:instrText>
    </w:r>
    <w:r w:rsidRPr="00BD5933">
      <w:rPr>
        <w:rFonts w:ascii="Times New Roman" w:hAnsi="Times New Roman" w:cs="Times New Roman"/>
        <w:sz w:val="20"/>
      </w:rPr>
      <w:fldChar w:fldCharType="separate"/>
    </w:r>
    <w:r w:rsidR="00C565DC">
      <w:rPr>
        <w:rFonts w:ascii="Times New Roman" w:hAnsi="Times New Roman" w:cs="Times New Roman"/>
        <w:noProof/>
        <w:sz w:val="20"/>
      </w:rPr>
      <w:t>15</w:t>
    </w:r>
    <w:r w:rsidRPr="00BD593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33" w:rsidRPr="00BD5933" w:rsidRDefault="008B1898" w:rsidP="00BD5933">
    <w:pPr>
      <w:jc w:val="center"/>
      <w:rPr>
        <w:rFonts w:ascii="Times New Roman" w:hAnsi="Times New Roman" w:cs="Times New Roman"/>
        <w:sz w:val="20"/>
      </w:rPr>
    </w:pPr>
    <w:r w:rsidRPr="00BD5933">
      <w:rPr>
        <w:rFonts w:ascii="Times New Roman" w:hAnsi="Times New Roman" w:cs="Times New Roman"/>
        <w:sz w:val="20"/>
      </w:rPr>
      <w:fldChar w:fldCharType="begin"/>
    </w:r>
    <w:r w:rsidR="00BD5933" w:rsidRPr="00BD5933">
      <w:rPr>
        <w:rFonts w:ascii="Times New Roman" w:hAnsi="Times New Roman" w:cs="Times New Roman"/>
        <w:sz w:val="20"/>
      </w:rPr>
      <w:instrText xml:space="preserve"> page </w:instrText>
    </w:r>
    <w:r w:rsidRPr="00BD5933">
      <w:rPr>
        <w:rFonts w:ascii="Times New Roman" w:hAnsi="Times New Roman" w:cs="Times New Roman"/>
        <w:sz w:val="20"/>
      </w:rPr>
      <w:fldChar w:fldCharType="separate"/>
    </w:r>
    <w:r w:rsidR="00FA34BE">
      <w:rPr>
        <w:rFonts w:ascii="Times New Roman" w:hAnsi="Times New Roman" w:cs="Times New Roman"/>
        <w:noProof/>
        <w:sz w:val="20"/>
      </w:rPr>
      <w:t>16</w:t>
    </w:r>
    <w:r w:rsidRPr="00BD593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33" w:rsidRPr="00BD5933" w:rsidRDefault="008B1898" w:rsidP="00BD5933">
    <w:pPr>
      <w:jc w:val="center"/>
      <w:rPr>
        <w:rFonts w:ascii="Times New Roman" w:hAnsi="Times New Roman" w:cs="Times New Roman"/>
        <w:sz w:val="20"/>
      </w:rPr>
    </w:pPr>
    <w:r w:rsidRPr="00BD5933">
      <w:rPr>
        <w:rFonts w:ascii="Times New Roman" w:hAnsi="Times New Roman" w:cs="Times New Roman"/>
        <w:sz w:val="20"/>
      </w:rPr>
      <w:fldChar w:fldCharType="begin"/>
    </w:r>
    <w:r w:rsidR="00BD5933" w:rsidRPr="00BD5933">
      <w:rPr>
        <w:rFonts w:ascii="Times New Roman" w:hAnsi="Times New Roman" w:cs="Times New Roman"/>
        <w:sz w:val="20"/>
      </w:rPr>
      <w:instrText xml:space="preserve"> page </w:instrText>
    </w:r>
    <w:r w:rsidRPr="00BD5933">
      <w:rPr>
        <w:rFonts w:ascii="Times New Roman" w:hAnsi="Times New Roman" w:cs="Times New Roman"/>
        <w:sz w:val="20"/>
      </w:rPr>
      <w:fldChar w:fldCharType="separate"/>
    </w:r>
    <w:r w:rsidR="00C565DC">
      <w:rPr>
        <w:rFonts w:ascii="Times New Roman" w:hAnsi="Times New Roman" w:cs="Times New Roman"/>
        <w:noProof/>
        <w:sz w:val="20"/>
      </w:rPr>
      <w:t>16</w:t>
    </w:r>
    <w:r w:rsidRPr="00BD593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33" w:rsidRPr="00BD5933" w:rsidRDefault="008B1898" w:rsidP="00BD5933">
    <w:pPr>
      <w:jc w:val="center"/>
      <w:rPr>
        <w:rFonts w:ascii="Times New Roman" w:hAnsi="Times New Roman" w:cs="Times New Roman"/>
        <w:sz w:val="20"/>
      </w:rPr>
    </w:pPr>
    <w:r w:rsidRPr="00BD5933">
      <w:rPr>
        <w:rFonts w:ascii="Times New Roman" w:hAnsi="Times New Roman" w:cs="Times New Roman"/>
        <w:sz w:val="20"/>
      </w:rPr>
      <w:fldChar w:fldCharType="begin"/>
    </w:r>
    <w:r w:rsidR="00BD5933" w:rsidRPr="00BD5933">
      <w:rPr>
        <w:rFonts w:ascii="Times New Roman" w:hAnsi="Times New Roman" w:cs="Times New Roman"/>
        <w:sz w:val="20"/>
      </w:rPr>
      <w:instrText xml:space="preserve"> page </w:instrText>
    </w:r>
    <w:r w:rsidRPr="00BD5933">
      <w:rPr>
        <w:rFonts w:ascii="Times New Roman" w:hAnsi="Times New Roman" w:cs="Times New Roman"/>
        <w:sz w:val="20"/>
      </w:rPr>
      <w:fldChar w:fldCharType="separate"/>
    </w:r>
    <w:r w:rsidR="00BD5933">
      <w:rPr>
        <w:rFonts w:ascii="Times New Roman" w:hAnsi="Times New Roman" w:cs="Times New Roman"/>
        <w:noProof/>
        <w:sz w:val="20"/>
      </w:rPr>
      <w:t>1</w:t>
    </w:r>
    <w:r w:rsidRPr="00BD593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33" w:rsidRPr="00BD5933" w:rsidRDefault="008B1898" w:rsidP="00BD5933">
    <w:pPr>
      <w:jc w:val="center"/>
      <w:rPr>
        <w:rFonts w:ascii="Times New Roman" w:hAnsi="Times New Roman" w:cs="Times New Roman"/>
        <w:sz w:val="20"/>
      </w:rPr>
    </w:pPr>
    <w:r w:rsidRPr="00BD5933">
      <w:rPr>
        <w:rFonts w:ascii="Times New Roman" w:hAnsi="Times New Roman" w:cs="Times New Roman"/>
        <w:sz w:val="20"/>
      </w:rPr>
      <w:fldChar w:fldCharType="begin"/>
    </w:r>
    <w:r w:rsidR="00BD5933" w:rsidRPr="00BD5933">
      <w:rPr>
        <w:rFonts w:ascii="Times New Roman" w:hAnsi="Times New Roman" w:cs="Times New Roman"/>
        <w:sz w:val="20"/>
      </w:rPr>
      <w:instrText xml:space="preserve"> page </w:instrText>
    </w:r>
    <w:r w:rsidRPr="00BD5933">
      <w:rPr>
        <w:rFonts w:ascii="Times New Roman" w:hAnsi="Times New Roman" w:cs="Times New Roman"/>
        <w:sz w:val="20"/>
      </w:rPr>
      <w:fldChar w:fldCharType="separate"/>
    </w:r>
    <w:r w:rsidR="00C565DC">
      <w:rPr>
        <w:rFonts w:ascii="Times New Roman" w:hAnsi="Times New Roman" w:cs="Times New Roman"/>
        <w:noProof/>
        <w:sz w:val="20"/>
      </w:rPr>
      <w:t>17</w:t>
    </w:r>
    <w:r w:rsidRPr="00BD5933">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33" w:rsidRPr="00BD5933" w:rsidRDefault="008B1898" w:rsidP="00BD5933">
    <w:pPr>
      <w:jc w:val="center"/>
      <w:rPr>
        <w:rFonts w:ascii="Times New Roman" w:hAnsi="Times New Roman" w:cs="Times New Roman"/>
        <w:sz w:val="20"/>
      </w:rPr>
    </w:pPr>
    <w:r w:rsidRPr="00BD5933">
      <w:rPr>
        <w:rFonts w:ascii="Times New Roman" w:hAnsi="Times New Roman" w:cs="Times New Roman"/>
        <w:sz w:val="20"/>
      </w:rPr>
      <w:fldChar w:fldCharType="begin"/>
    </w:r>
    <w:r w:rsidR="00BD5933" w:rsidRPr="00BD5933">
      <w:rPr>
        <w:rFonts w:ascii="Times New Roman" w:hAnsi="Times New Roman" w:cs="Times New Roman"/>
        <w:sz w:val="20"/>
      </w:rPr>
      <w:instrText xml:space="preserve"> page </w:instrText>
    </w:r>
    <w:r w:rsidRPr="00BD5933">
      <w:rPr>
        <w:rFonts w:ascii="Times New Roman" w:hAnsi="Times New Roman" w:cs="Times New Roman"/>
        <w:sz w:val="20"/>
      </w:rPr>
      <w:fldChar w:fldCharType="separate"/>
    </w:r>
    <w:r w:rsidR="00C565DC">
      <w:rPr>
        <w:rFonts w:ascii="Times New Roman" w:hAnsi="Times New Roman" w:cs="Times New Roman"/>
        <w:noProof/>
        <w:sz w:val="20"/>
      </w:rPr>
      <w:t>18</w:t>
    </w:r>
    <w:r w:rsidRPr="00BD5933">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EE5" w:rsidRDefault="00CE0EE5">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26D" w:rsidRDefault="00B0026D">
      <w:r>
        <w:separator/>
      </w:r>
    </w:p>
  </w:footnote>
  <w:footnote w:type="continuationSeparator" w:id="0">
    <w:p w:rsidR="00B0026D" w:rsidRDefault="00B00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33" w:rsidRPr="00BD5933" w:rsidRDefault="00BD5933" w:rsidP="00BD5933">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BD5933">
      <w:rPr>
        <w:rFonts w:ascii="Times New Roman" w:hAnsi="Times New Roman" w:cs="Times New Roman" w:hint="eastAsia"/>
        <w:sz w:val="20"/>
        <w:szCs w:val="20"/>
      </w:rPr>
      <w:tab/>
    </w:r>
    <w:r w:rsidRPr="00BD5933">
      <w:rPr>
        <w:rFonts w:ascii="Times New Roman" w:hAnsi="Times New Roman" w:cs="Times New Roman"/>
        <w:sz w:val="20"/>
        <w:szCs w:val="20"/>
      </w:rPr>
      <w:t>New York Science Journal 201</w:t>
    </w:r>
    <w:r w:rsidRPr="00BD5933">
      <w:rPr>
        <w:rFonts w:ascii="Times New Roman" w:hAnsi="Times New Roman" w:cs="Times New Roman" w:hint="eastAsia"/>
        <w:sz w:val="20"/>
        <w:szCs w:val="20"/>
      </w:rPr>
      <w:t>6</w:t>
    </w:r>
    <w:proofErr w:type="gramStart"/>
    <w:r w:rsidRPr="00BD5933">
      <w:rPr>
        <w:rFonts w:ascii="Times New Roman" w:hAnsi="Times New Roman" w:cs="Times New Roman"/>
        <w:sz w:val="20"/>
        <w:szCs w:val="20"/>
      </w:rPr>
      <w:t>;</w:t>
    </w:r>
    <w:r w:rsidRPr="00BD5933">
      <w:rPr>
        <w:rFonts w:ascii="Times New Roman" w:hAnsi="Times New Roman" w:cs="Times New Roman" w:hint="eastAsia"/>
        <w:sz w:val="20"/>
        <w:szCs w:val="20"/>
      </w:rPr>
      <w:t>9</w:t>
    </w:r>
    <w:proofErr w:type="gramEnd"/>
    <w:r w:rsidRPr="00BD5933">
      <w:rPr>
        <w:rFonts w:ascii="Times New Roman" w:hAnsi="Times New Roman" w:cs="Times New Roman"/>
        <w:sz w:val="20"/>
        <w:szCs w:val="20"/>
      </w:rPr>
      <w:t>(</w:t>
    </w:r>
    <w:r w:rsidRPr="00BD5933">
      <w:rPr>
        <w:rFonts w:ascii="Times New Roman" w:hAnsi="Times New Roman" w:cs="Times New Roman" w:hint="eastAsia"/>
        <w:sz w:val="20"/>
        <w:szCs w:val="20"/>
      </w:rPr>
      <w:t>3</w:t>
    </w:r>
    <w:r w:rsidRPr="00BD5933">
      <w:rPr>
        <w:rFonts w:ascii="Times New Roman" w:hAnsi="Times New Roman" w:cs="Times New Roman"/>
        <w:sz w:val="20"/>
        <w:szCs w:val="20"/>
      </w:rPr>
      <w:t>)</w:t>
    </w:r>
    <w:r w:rsidRPr="00BD5933">
      <w:rPr>
        <w:rFonts w:ascii="Times New Roman" w:hAnsi="Times New Roman" w:cs="Times New Roman"/>
        <w:iCs/>
        <w:sz w:val="20"/>
        <w:szCs w:val="20"/>
      </w:rPr>
      <w:t xml:space="preserve">     </w:t>
    </w:r>
    <w:r w:rsidRPr="00BD5933">
      <w:rPr>
        <w:rFonts w:ascii="Times New Roman" w:hAnsi="Times New Roman" w:cs="Times New Roman" w:hint="eastAsia"/>
        <w:iCs/>
        <w:sz w:val="20"/>
        <w:szCs w:val="20"/>
      </w:rPr>
      <w:tab/>
    </w:r>
    <w:r w:rsidRPr="00BD5933">
      <w:rPr>
        <w:rFonts w:ascii="Times New Roman" w:hAnsi="Times New Roman" w:cs="Times New Roman"/>
        <w:iCs/>
        <w:sz w:val="20"/>
        <w:szCs w:val="20"/>
      </w:rPr>
      <w:t xml:space="preserve"> </w:t>
    </w:r>
    <w:r w:rsidRPr="00BD5933">
      <w:rPr>
        <w:rFonts w:ascii="Times New Roman" w:hAnsi="Times New Roman" w:cs="Times New Roman" w:hint="eastAsia"/>
        <w:iCs/>
        <w:sz w:val="20"/>
        <w:szCs w:val="20"/>
      </w:rPr>
      <w:t xml:space="preserve"> </w:t>
    </w:r>
    <w:r w:rsidRPr="00BD5933">
      <w:rPr>
        <w:rFonts w:ascii="Times New Roman" w:hAnsi="Times New Roman" w:cs="Times New Roman"/>
        <w:iCs/>
        <w:sz w:val="20"/>
        <w:szCs w:val="20"/>
      </w:rPr>
      <w:t xml:space="preserve">   </w:t>
    </w:r>
    <w:hyperlink r:id="rId1" w:history="1">
      <w:r w:rsidRPr="00BD5933">
        <w:rPr>
          <w:rStyle w:val="Hyperlink"/>
          <w:rFonts w:ascii="Times New Roman" w:hAnsi="Times New Roman" w:cs="Times New Roman"/>
          <w:sz w:val="20"/>
          <w:szCs w:val="20"/>
        </w:rPr>
        <w:t>http://www.sciencepub.net/newyork</w:t>
      </w:r>
    </w:hyperlink>
  </w:p>
  <w:p w:rsidR="00BD5933" w:rsidRPr="00BD5933" w:rsidRDefault="00BD5933" w:rsidP="00BD5933">
    <w:pPr>
      <w:tabs>
        <w:tab w:val="left" w:pos="851"/>
        <w:tab w:val="left" w:pos="7200"/>
        <w:tab w:val="right" w:pos="8364"/>
      </w:tabs>
      <w:adjustRightInd w:val="0"/>
      <w:snapToGrid w:val="0"/>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33" w:rsidRPr="00BD5933" w:rsidRDefault="00BD5933" w:rsidP="00BD5933">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BD5933">
      <w:rPr>
        <w:rFonts w:ascii="Times New Roman" w:hAnsi="Times New Roman" w:cs="Times New Roman" w:hint="eastAsia"/>
        <w:sz w:val="20"/>
        <w:szCs w:val="20"/>
      </w:rPr>
      <w:tab/>
    </w:r>
    <w:r w:rsidRPr="00BD5933">
      <w:rPr>
        <w:rFonts w:ascii="Times New Roman" w:hAnsi="Times New Roman" w:cs="Times New Roman"/>
        <w:sz w:val="20"/>
        <w:szCs w:val="20"/>
      </w:rPr>
      <w:t>New York Science Journal 201</w:t>
    </w:r>
    <w:r w:rsidRPr="00BD5933">
      <w:rPr>
        <w:rFonts w:ascii="Times New Roman" w:hAnsi="Times New Roman" w:cs="Times New Roman" w:hint="eastAsia"/>
        <w:sz w:val="20"/>
        <w:szCs w:val="20"/>
      </w:rPr>
      <w:t>6</w:t>
    </w:r>
    <w:proofErr w:type="gramStart"/>
    <w:r w:rsidRPr="00BD5933">
      <w:rPr>
        <w:rFonts w:ascii="Times New Roman" w:hAnsi="Times New Roman" w:cs="Times New Roman"/>
        <w:sz w:val="20"/>
        <w:szCs w:val="20"/>
      </w:rPr>
      <w:t>;</w:t>
    </w:r>
    <w:r w:rsidRPr="00BD5933">
      <w:rPr>
        <w:rFonts w:ascii="Times New Roman" w:hAnsi="Times New Roman" w:cs="Times New Roman" w:hint="eastAsia"/>
        <w:sz w:val="20"/>
        <w:szCs w:val="20"/>
      </w:rPr>
      <w:t>9</w:t>
    </w:r>
    <w:proofErr w:type="gramEnd"/>
    <w:r w:rsidRPr="00BD5933">
      <w:rPr>
        <w:rFonts w:ascii="Times New Roman" w:hAnsi="Times New Roman" w:cs="Times New Roman"/>
        <w:sz w:val="20"/>
        <w:szCs w:val="20"/>
      </w:rPr>
      <w:t>(</w:t>
    </w:r>
    <w:r w:rsidRPr="00BD5933">
      <w:rPr>
        <w:rFonts w:ascii="Times New Roman" w:hAnsi="Times New Roman" w:cs="Times New Roman" w:hint="eastAsia"/>
        <w:sz w:val="20"/>
        <w:szCs w:val="20"/>
      </w:rPr>
      <w:t>3</w:t>
    </w:r>
    <w:r w:rsidRPr="00BD5933">
      <w:rPr>
        <w:rFonts w:ascii="Times New Roman" w:hAnsi="Times New Roman" w:cs="Times New Roman"/>
        <w:sz w:val="20"/>
        <w:szCs w:val="20"/>
      </w:rPr>
      <w:t>)</w:t>
    </w:r>
    <w:r w:rsidRPr="00BD5933">
      <w:rPr>
        <w:rFonts w:ascii="Times New Roman" w:hAnsi="Times New Roman" w:cs="Times New Roman"/>
        <w:iCs/>
        <w:sz w:val="20"/>
        <w:szCs w:val="20"/>
      </w:rPr>
      <w:t xml:space="preserve">     </w:t>
    </w:r>
    <w:r w:rsidRPr="00BD5933">
      <w:rPr>
        <w:rFonts w:ascii="Times New Roman" w:hAnsi="Times New Roman" w:cs="Times New Roman" w:hint="eastAsia"/>
        <w:iCs/>
        <w:sz w:val="20"/>
        <w:szCs w:val="20"/>
      </w:rPr>
      <w:tab/>
    </w:r>
    <w:r w:rsidRPr="00BD5933">
      <w:rPr>
        <w:rFonts w:ascii="Times New Roman" w:hAnsi="Times New Roman" w:cs="Times New Roman"/>
        <w:iCs/>
        <w:sz w:val="20"/>
        <w:szCs w:val="20"/>
      </w:rPr>
      <w:t xml:space="preserve"> </w:t>
    </w:r>
    <w:r w:rsidRPr="00BD5933">
      <w:rPr>
        <w:rFonts w:ascii="Times New Roman" w:hAnsi="Times New Roman" w:cs="Times New Roman" w:hint="eastAsia"/>
        <w:iCs/>
        <w:sz w:val="20"/>
        <w:szCs w:val="20"/>
      </w:rPr>
      <w:t xml:space="preserve"> </w:t>
    </w:r>
    <w:r w:rsidRPr="00BD5933">
      <w:rPr>
        <w:rFonts w:ascii="Times New Roman" w:hAnsi="Times New Roman" w:cs="Times New Roman"/>
        <w:iCs/>
        <w:sz w:val="20"/>
        <w:szCs w:val="20"/>
      </w:rPr>
      <w:t xml:space="preserve">   </w:t>
    </w:r>
    <w:hyperlink r:id="rId1" w:history="1">
      <w:r w:rsidRPr="00BD5933">
        <w:rPr>
          <w:rStyle w:val="Hyperlink"/>
          <w:rFonts w:ascii="Times New Roman" w:hAnsi="Times New Roman" w:cs="Times New Roman"/>
          <w:sz w:val="20"/>
          <w:szCs w:val="20"/>
        </w:rPr>
        <w:t>http://www.sciencepub.net/newyork</w:t>
      </w:r>
    </w:hyperlink>
  </w:p>
  <w:p w:rsidR="00BD5933" w:rsidRPr="00BD5933" w:rsidRDefault="00BD5933" w:rsidP="00BD5933">
    <w:pPr>
      <w:tabs>
        <w:tab w:val="left" w:pos="851"/>
        <w:tab w:val="left" w:pos="7200"/>
        <w:tab w:val="right" w:pos="8364"/>
      </w:tabs>
      <w:adjustRightInd w:val="0"/>
      <w:snapToGrid w:val="0"/>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33" w:rsidRPr="00BD5933" w:rsidRDefault="00BD5933" w:rsidP="00BD5933">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BD5933">
      <w:rPr>
        <w:rFonts w:ascii="Times New Roman" w:hAnsi="Times New Roman" w:cs="Times New Roman" w:hint="eastAsia"/>
        <w:sz w:val="20"/>
        <w:szCs w:val="20"/>
      </w:rPr>
      <w:tab/>
    </w:r>
    <w:r w:rsidRPr="00BD5933">
      <w:rPr>
        <w:rFonts w:ascii="Times New Roman" w:hAnsi="Times New Roman" w:cs="Times New Roman"/>
        <w:sz w:val="20"/>
        <w:szCs w:val="20"/>
      </w:rPr>
      <w:t>New York Science Journal 201</w:t>
    </w:r>
    <w:r w:rsidRPr="00BD5933">
      <w:rPr>
        <w:rFonts w:ascii="Times New Roman" w:hAnsi="Times New Roman" w:cs="Times New Roman" w:hint="eastAsia"/>
        <w:sz w:val="20"/>
        <w:szCs w:val="20"/>
      </w:rPr>
      <w:t>6</w:t>
    </w:r>
    <w:proofErr w:type="gramStart"/>
    <w:r w:rsidRPr="00BD5933">
      <w:rPr>
        <w:rFonts w:ascii="Times New Roman" w:hAnsi="Times New Roman" w:cs="Times New Roman"/>
        <w:sz w:val="20"/>
        <w:szCs w:val="20"/>
      </w:rPr>
      <w:t>;</w:t>
    </w:r>
    <w:r w:rsidRPr="00BD5933">
      <w:rPr>
        <w:rFonts w:ascii="Times New Roman" w:hAnsi="Times New Roman" w:cs="Times New Roman" w:hint="eastAsia"/>
        <w:sz w:val="20"/>
        <w:szCs w:val="20"/>
      </w:rPr>
      <w:t>9</w:t>
    </w:r>
    <w:proofErr w:type="gramEnd"/>
    <w:r w:rsidRPr="00BD5933">
      <w:rPr>
        <w:rFonts w:ascii="Times New Roman" w:hAnsi="Times New Roman" w:cs="Times New Roman"/>
        <w:sz w:val="20"/>
        <w:szCs w:val="20"/>
      </w:rPr>
      <w:t>(</w:t>
    </w:r>
    <w:r w:rsidRPr="00BD5933">
      <w:rPr>
        <w:rFonts w:ascii="Times New Roman" w:hAnsi="Times New Roman" w:cs="Times New Roman" w:hint="eastAsia"/>
        <w:sz w:val="20"/>
        <w:szCs w:val="20"/>
      </w:rPr>
      <w:t>3</w:t>
    </w:r>
    <w:r w:rsidRPr="00BD5933">
      <w:rPr>
        <w:rFonts w:ascii="Times New Roman" w:hAnsi="Times New Roman" w:cs="Times New Roman"/>
        <w:sz w:val="20"/>
        <w:szCs w:val="20"/>
      </w:rPr>
      <w:t>)</w:t>
    </w:r>
    <w:r w:rsidRPr="00BD5933">
      <w:rPr>
        <w:rFonts w:ascii="Times New Roman" w:hAnsi="Times New Roman" w:cs="Times New Roman"/>
        <w:iCs/>
        <w:sz w:val="20"/>
        <w:szCs w:val="20"/>
      </w:rPr>
      <w:t xml:space="preserve">     </w:t>
    </w:r>
    <w:r w:rsidRPr="00BD5933">
      <w:rPr>
        <w:rFonts w:ascii="Times New Roman" w:hAnsi="Times New Roman" w:cs="Times New Roman" w:hint="eastAsia"/>
        <w:iCs/>
        <w:sz w:val="20"/>
        <w:szCs w:val="20"/>
      </w:rPr>
      <w:tab/>
    </w:r>
    <w:r w:rsidRPr="00BD5933">
      <w:rPr>
        <w:rFonts w:ascii="Times New Roman" w:hAnsi="Times New Roman" w:cs="Times New Roman"/>
        <w:iCs/>
        <w:sz w:val="20"/>
        <w:szCs w:val="20"/>
      </w:rPr>
      <w:t xml:space="preserve"> </w:t>
    </w:r>
    <w:r w:rsidRPr="00BD5933">
      <w:rPr>
        <w:rFonts w:ascii="Times New Roman" w:hAnsi="Times New Roman" w:cs="Times New Roman" w:hint="eastAsia"/>
        <w:iCs/>
        <w:sz w:val="20"/>
        <w:szCs w:val="20"/>
      </w:rPr>
      <w:t xml:space="preserve"> </w:t>
    </w:r>
    <w:r w:rsidRPr="00BD5933">
      <w:rPr>
        <w:rFonts w:ascii="Times New Roman" w:hAnsi="Times New Roman" w:cs="Times New Roman"/>
        <w:iCs/>
        <w:sz w:val="20"/>
        <w:szCs w:val="20"/>
      </w:rPr>
      <w:t xml:space="preserve">   </w:t>
    </w:r>
    <w:hyperlink r:id="rId1" w:history="1">
      <w:r w:rsidRPr="00BD5933">
        <w:rPr>
          <w:rStyle w:val="Hyperlink"/>
          <w:rFonts w:ascii="Times New Roman" w:hAnsi="Times New Roman" w:cs="Times New Roman"/>
          <w:sz w:val="20"/>
          <w:szCs w:val="20"/>
        </w:rPr>
        <w:t>http://www.sciencepub.net/newyork</w:t>
      </w:r>
    </w:hyperlink>
  </w:p>
  <w:p w:rsidR="00BD5933" w:rsidRPr="00BD5933" w:rsidRDefault="00BD5933" w:rsidP="00BD5933">
    <w:pPr>
      <w:tabs>
        <w:tab w:val="left" w:pos="851"/>
        <w:tab w:val="left" w:pos="7200"/>
        <w:tab w:val="right" w:pos="8364"/>
      </w:tabs>
      <w:adjustRightInd w:val="0"/>
      <w:snapToGrid w:val="0"/>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33" w:rsidRPr="00BD5933" w:rsidRDefault="00BD5933" w:rsidP="00BD5933">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BD5933">
      <w:rPr>
        <w:rFonts w:ascii="Times New Roman" w:hAnsi="Times New Roman" w:cs="Times New Roman" w:hint="eastAsia"/>
        <w:sz w:val="20"/>
        <w:szCs w:val="20"/>
      </w:rPr>
      <w:tab/>
    </w:r>
    <w:r w:rsidRPr="00BD5933">
      <w:rPr>
        <w:rFonts w:ascii="Times New Roman" w:hAnsi="Times New Roman" w:cs="Times New Roman"/>
        <w:sz w:val="20"/>
        <w:szCs w:val="20"/>
      </w:rPr>
      <w:t>New York Science Journal 201</w:t>
    </w:r>
    <w:r w:rsidRPr="00BD5933">
      <w:rPr>
        <w:rFonts w:ascii="Times New Roman" w:hAnsi="Times New Roman" w:cs="Times New Roman" w:hint="eastAsia"/>
        <w:sz w:val="20"/>
        <w:szCs w:val="20"/>
      </w:rPr>
      <w:t>6</w:t>
    </w:r>
    <w:proofErr w:type="gramStart"/>
    <w:r w:rsidRPr="00BD5933">
      <w:rPr>
        <w:rFonts w:ascii="Times New Roman" w:hAnsi="Times New Roman" w:cs="Times New Roman"/>
        <w:sz w:val="20"/>
        <w:szCs w:val="20"/>
      </w:rPr>
      <w:t>;</w:t>
    </w:r>
    <w:r w:rsidRPr="00BD5933">
      <w:rPr>
        <w:rFonts w:ascii="Times New Roman" w:hAnsi="Times New Roman" w:cs="Times New Roman" w:hint="eastAsia"/>
        <w:sz w:val="20"/>
        <w:szCs w:val="20"/>
      </w:rPr>
      <w:t>9</w:t>
    </w:r>
    <w:proofErr w:type="gramEnd"/>
    <w:r w:rsidRPr="00BD5933">
      <w:rPr>
        <w:rFonts w:ascii="Times New Roman" w:hAnsi="Times New Roman" w:cs="Times New Roman"/>
        <w:sz w:val="20"/>
        <w:szCs w:val="20"/>
      </w:rPr>
      <w:t>(</w:t>
    </w:r>
    <w:r w:rsidRPr="00BD5933">
      <w:rPr>
        <w:rFonts w:ascii="Times New Roman" w:hAnsi="Times New Roman" w:cs="Times New Roman" w:hint="eastAsia"/>
        <w:sz w:val="20"/>
        <w:szCs w:val="20"/>
      </w:rPr>
      <w:t>3</w:t>
    </w:r>
    <w:r w:rsidRPr="00BD5933">
      <w:rPr>
        <w:rFonts w:ascii="Times New Roman" w:hAnsi="Times New Roman" w:cs="Times New Roman"/>
        <w:sz w:val="20"/>
        <w:szCs w:val="20"/>
      </w:rPr>
      <w:t>)</w:t>
    </w:r>
    <w:r w:rsidRPr="00BD5933">
      <w:rPr>
        <w:rFonts w:ascii="Times New Roman" w:hAnsi="Times New Roman" w:cs="Times New Roman"/>
        <w:iCs/>
        <w:sz w:val="20"/>
        <w:szCs w:val="20"/>
      </w:rPr>
      <w:t xml:space="preserve">     </w:t>
    </w:r>
    <w:r w:rsidRPr="00BD5933">
      <w:rPr>
        <w:rFonts w:ascii="Times New Roman" w:hAnsi="Times New Roman" w:cs="Times New Roman" w:hint="eastAsia"/>
        <w:iCs/>
        <w:sz w:val="20"/>
        <w:szCs w:val="20"/>
      </w:rPr>
      <w:tab/>
    </w:r>
    <w:r w:rsidRPr="00BD5933">
      <w:rPr>
        <w:rFonts w:ascii="Times New Roman" w:hAnsi="Times New Roman" w:cs="Times New Roman"/>
        <w:iCs/>
        <w:sz w:val="20"/>
        <w:szCs w:val="20"/>
      </w:rPr>
      <w:t xml:space="preserve"> </w:t>
    </w:r>
    <w:r w:rsidRPr="00BD5933">
      <w:rPr>
        <w:rFonts w:ascii="Times New Roman" w:hAnsi="Times New Roman" w:cs="Times New Roman" w:hint="eastAsia"/>
        <w:iCs/>
        <w:sz w:val="20"/>
        <w:szCs w:val="20"/>
      </w:rPr>
      <w:t xml:space="preserve"> </w:t>
    </w:r>
    <w:r w:rsidRPr="00BD5933">
      <w:rPr>
        <w:rFonts w:ascii="Times New Roman" w:hAnsi="Times New Roman" w:cs="Times New Roman"/>
        <w:iCs/>
        <w:sz w:val="20"/>
        <w:szCs w:val="20"/>
      </w:rPr>
      <w:t xml:space="preserve">   </w:t>
    </w:r>
    <w:hyperlink r:id="rId1" w:history="1">
      <w:r w:rsidRPr="00BD5933">
        <w:rPr>
          <w:rStyle w:val="Hyperlink"/>
          <w:rFonts w:ascii="Times New Roman" w:hAnsi="Times New Roman" w:cs="Times New Roman"/>
          <w:sz w:val="20"/>
          <w:szCs w:val="20"/>
        </w:rPr>
        <w:t>http://www.sciencepub.net/newyork</w:t>
      </w:r>
    </w:hyperlink>
  </w:p>
  <w:p w:rsidR="00BD5933" w:rsidRPr="00BD5933" w:rsidRDefault="00BD5933" w:rsidP="00BD5933">
    <w:pPr>
      <w:tabs>
        <w:tab w:val="left" w:pos="851"/>
        <w:tab w:val="left" w:pos="7200"/>
        <w:tab w:val="right" w:pos="8364"/>
      </w:tabs>
      <w:adjustRightInd w:val="0"/>
      <w:snapToGrid w:val="0"/>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33" w:rsidRPr="00BD5933" w:rsidRDefault="00BD5933" w:rsidP="00BD5933">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BD5933">
      <w:rPr>
        <w:rFonts w:ascii="Times New Roman" w:hAnsi="Times New Roman" w:cs="Times New Roman" w:hint="eastAsia"/>
        <w:sz w:val="20"/>
        <w:szCs w:val="20"/>
      </w:rPr>
      <w:tab/>
    </w:r>
    <w:r w:rsidRPr="00BD5933">
      <w:rPr>
        <w:rFonts w:ascii="Times New Roman" w:hAnsi="Times New Roman" w:cs="Times New Roman"/>
        <w:sz w:val="20"/>
        <w:szCs w:val="20"/>
      </w:rPr>
      <w:t>New York Science Journal 201</w:t>
    </w:r>
    <w:r w:rsidRPr="00BD5933">
      <w:rPr>
        <w:rFonts w:ascii="Times New Roman" w:hAnsi="Times New Roman" w:cs="Times New Roman" w:hint="eastAsia"/>
        <w:sz w:val="20"/>
        <w:szCs w:val="20"/>
      </w:rPr>
      <w:t>6</w:t>
    </w:r>
    <w:proofErr w:type="gramStart"/>
    <w:r w:rsidRPr="00BD5933">
      <w:rPr>
        <w:rFonts w:ascii="Times New Roman" w:hAnsi="Times New Roman" w:cs="Times New Roman"/>
        <w:sz w:val="20"/>
        <w:szCs w:val="20"/>
      </w:rPr>
      <w:t>;</w:t>
    </w:r>
    <w:r w:rsidRPr="00BD5933">
      <w:rPr>
        <w:rFonts w:ascii="Times New Roman" w:hAnsi="Times New Roman" w:cs="Times New Roman" w:hint="eastAsia"/>
        <w:sz w:val="20"/>
        <w:szCs w:val="20"/>
      </w:rPr>
      <w:t>9</w:t>
    </w:r>
    <w:proofErr w:type="gramEnd"/>
    <w:r w:rsidRPr="00BD5933">
      <w:rPr>
        <w:rFonts w:ascii="Times New Roman" w:hAnsi="Times New Roman" w:cs="Times New Roman"/>
        <w:sz w:val="20"/>
        <w:szCs w:val="20"/>
      </w:rPr>
      <w:t>(</w:t>
    </w:r>
    <w:r w:rsidRPr="00BD5933">
      <w:rPr>
        <w:rFonts w:ascii="Times New Roman" w:hAnsi="Times New Roman" w:cs="Times New Roman" w:hint="eastAsia"/>
        <w:sz w:val="20"/>
        <w:szCs w:val="20"/>
      </w:rPr>
      <w:t>3</w:t>
    </w:r>
    <w:r w:rsidRPr="00BD5933">
      <w:rPr>
        <w:rFonts w:ascii="Times New Roman" w:hAnsi="Times New Roman" w:cs="Times New Roman"/>
        <w:sz w:val="20"/>
        <w:szCs w:val="20"/>
      </w:rPr>
      <w:t>)</w:t>
    </w:r>
    <w:r w:rsidRPr="00BD5933">
      <w:rPr>
        <w:rFonts w:ascii="Times New Roman" w:hAnsi="Times New Roman" w:cs="Times New Roman"/>
        <w:iCs/>
        <w:sz w:val="20"/>
        <w:szCs w:val="20"/>
      </w:rPr>
      <w:t xml:space="preserve">     </w:t>
    </w:r>
    <w:r w:rsidRPr="00BD5933">
      <w:rPr>
        <w:rFonts w:ascii="Times New Roman" w:hAnsi="Times New Roman" w:cs="Times New Roman" w:hint="eastAsia"/>
        <w:iCs/>
        <w:sz w:val="20"/>
        <w:szCs w:val="20"/>
      </w:rPr>
      <w:tab/>
    </w:r>
    <w:r w:rsidRPr="00BD5933">
      <w:rPr>
        <w:rFonts w:ascii="Times New Roman" w:hAnsi="Times New Roman" w:cs="Times New Roman"/>
        <w:iCs/>
        <w:sz w:val="20"/>
        <w:szCs w:val="20"/>
      </w:rPr>
      <w:t xml:space="preserve"> </w:t>
    </w:r>
    <w:r w:rsidRPr="00BD5933">
      <w:rPr>
        <w:rFonts w:ascii="Times New Roman" w:hAnsi="Times New Roman" w:cs="Times New Roman" w:hint="eastAsia"/>
        <w:iCs/>
        <w:sz w:val="20"/>
        <w:szCs w:val="20"/>
      </w:rPr>
      <w:t xml:space="preserve"> </w:t>
    </w:r>
    <w:r w:rsidRPr="00BD5933">
      <w:rPr>
        <w:rFonts w:ascii="Times New Roman" w:hAnsi="Times New Roman" w:cs="Times New Roman"/>
        <w:iCs/>
        <w:sz w:val="20"/>
        <w:szCs w:val="20"/>
      </w:rPr>
      <w:t xml:space="preserve">   </w:t>
    </w:r>
    <w:hyperlink r:id="rId1" w:history="1">
      <w:r w:rsidRPr="00BD5933">
        <w:rPr>
          <w:rStyle w:val="Hyperlink"/>
          <w:rFonts w:ascii="Times New Roman" w:hAnsi="Times New Roman" w:cs="Times New Roman"/>
          <w:sz w:val="20"/>
          <w:szCs w:val="20"/>
        </w:rPr>
        <w:t>http://www.sciencepub.net/newyork</w:t>
      </w:r>
    </w:hyperlink>
  </w:p>
  <w:p w:rsidR="00BD5933" w:rsidRPr="00BD5933" w:rsidRDefault="00BD5933" w:rsidP="00BD5933">
    <w:pPr>
      <w:tabs>
        <w:tab w:val="left" w:pos="851"/>
        <w:tab w:val="left" w:pos="7200"/>
        <w:tab w:val="right" w:pos="8364"/>
      </w:tabs>
      <w:adjustRightInd w:val="0"/>
      <w:snapToGrid w:val="0"/>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33" w:rsidRPr="00BD5933" w:rsidRDefault="00BD5933" w:rsidP="00BD5933">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BD5933">
      <w:rPr>
        <w:rFonts w:ascii="Times New Roman" w:hAnsi="Times New Roman" w:cs="Times New Roman" w:hint="eastAsia"/>
        <w:sz w:val="20"/>
        <w:szCs w:val="20"/>
      </w:rPr>
      <w:tab/>
    </w:r>
    <w:r w:rsidRPr="00BD5933">
      <w:rPr>
        <w:rFonts w:ascii="Times New Roman" w:hAnsi="Times New Roman" w:cs="Times New Roman"/>
        <w:sz w:val="20"/>
        <w:szCs w:val="20"/>
      </w:rPr>
      <w:t>New York Science Journal 201</w:t>
    </w:r>
    <w:r w:rsidRPr="00BD5933">
      <w:rPr>
        <w:rFonts w:ascii="Times New Roman" w:hAnsi="Times New Roman" w:cs="Times New Roman" w:hint="eastAsia"/>
        <w:sz w:val="20"/>
        <w:szCs w:val="20"/>
      </w:rPr>
      <w:t>6</w:t>
    </w:r>
    <w:proofErr w:type="gramStart"/>
    <w:r w:rsidRPr="00BD5933">
      <w:rPr>
        <w:rFonts w:ascii="Times New Roman" w:hAnsi="Times New Roman" w:cs="Times New Roman"/>
        <w:sz w:val="20"/>
        <w:szCs w:val="20"/>
      </w:rPr>
      <w:t>;</w:t>
    </w:r>
    <w:r w:rsidRPr="00BD5933">
      <w:rPr>
        <w:rFonts w:ascii="Times New Roman" w:hAnsi="Times New Roman" w:cs="Times New Roman" w:hint="eastAsia"/>
        <w:sz w:val="20"/>
        <w:szCs w:val="20"/>
      </w:rPr>
      <w:t>9</w:t>
    </w:r>
    <w:proofErr w:type="gramEnd"/>
    <w:r w:rsidRPr="00BD5933">
      <w:rPr>
        <w:rFonts w:ascii="Times New Roman" w:hAnsi="Times New Roman" w:cs="Times New Roman"/>
        <w:sz w:val="20"/>
        <w:szCs w:val="20"/>
      </w:rPr>
      <w:t>(</w:t>
    </w:r>
    <w:r w:rsidRPr="00BD5933">
      <w:rPr>
        <w:rFonts w:ascii="Times New Roman" w:hAnsi="Times New Roman" w:cs="Times New Roman" w:hint="eastAsia"/>
        <w:sz w:val="20"/>
        <w:szCs w:val="20"/>
      </w:rPr>
      <w:t>3</w:t>
    </w:r>
    <w:r w:rsidRPr="00BD5933">
      <w:rPr>
        <w:rFonts w:ascii="Times New Roman" w:hAnsi="Times New Roman" w:cs="Times New Roman"/>
        <w:sz w:val="20"/>
        <w:szCs w:val="20"/>
      </w:rPr>
      <w:t>)</w:t>
    </w:r>
    <w:r w:rsidRPr="00BD5933">
      <w:rPr>
        <w:rFonts w:ascii="Times New Roman" w:hAnsi="Times New Roman" w:cs="Times New Roman"/>
        <w:iCs/>
        <w:sz w:val="20"/>
        <w:szCs w:val="20"/>
      </w:rPr>
      <w:t xml:space="preserve">     </w:t>
    </w:r>
    <w:r w:rsidRPr="00BD5933">
      <w:rPr>
        <w:rFonts w:ascii="Times New Roman" w:hAnsi="Times New Roman" w:cs="Times New Roman" w:hint="eastAsia"/>
        <w:iCs/>
        <w:sz w:val="20"/>
        <w:szCs w:val="20"/>
      </w:rPr>
      <w:tab/>
    </w:r>
    <w:r w:rsidRPr="00BD5933">
      <w:rPr>
        <w:rFonts w:ascii="Times New Roman" w:hAnsi="Times New Roman" w:cs="Times New Roman"/>
        <w:iCs/>
        <w:sz w:val="20"/>
        <w:szCs w:val="20"/>
      </w:rPr>
      <w:t xml:space="preserve"> </w:t>
    </w:r>
    <w:r w:rsidRPr="00BD5933">
      <w:rPr>
        <w:rFonts w:ascii="Times New Roman" w:hAnsi="Times New Roman" w:cs="Times New Roman" w:hint="eastAsia"/>
        <w:iCs/>
        <w:sz w:val="20"/>
        <w:szCs w:val="20"/>
      </w:rPr>
      <w:t xml:space="preserve"> </w:t>
    </w:r>
    <w:r w:rsidRPr="00BD5933">
      <w:rPr>
        <w:rFonts w:ascii="Times New Roman" w:hAnsi="Times New Roman" w:cs="Times New Roman"/>
        <w:iCs/>
        <w:sz w:val="20"/>
        <w:szCs w:val="20"/>
      </w:rPr>
      <w:t xml:space="preserve">   </w:t>
    </w:r>
    <w:hyperlink r:id="rId1" w:history="1">
      <w:r w:rsidRPr="00BD5933">
        <w:rPr>
          <w:rStyle w:val="Hyperlink"/>
          <w:rFonts w:ascii="Times New Roman" w:hAnsi="Times New Roman" w:cs="Times New Roman"/>
          <w:sz w:val="20"/>
          <w:szCs w:val="20"/>
        </w:rPr>
        <w:t>http://www.sciencepub.net/newyork</w:t>
      </w:r>
    </w:hyperlink>
  </w:p>
  <w:p w:rsidR="00BD5933" w:rsidRPr="00BD5933" w:rsidRDefault="00BD5933" w:rsidP="00BD5933">
    <w:pPr>
      <w:tabs>
        <w:tab w:val="left" w:pos="851"/>
        <w:tab w:val="left" w:pos="7200"/>
        <w:tab w:val="right" w:pos="8364"/>
      </w:tabs>
      <w:adjustRightInd w:val="0"/>
      <w:snapToGrid w:val="0"/>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C520A"/>
    <w:multiLevelType w:val="hybridMultilevel"/>
    <w:tmpl w:val="14CE9818"/>
    <w:lvl w:ilvl="0" w:tplc="5BB0F254">
      <w:start w:val="1"/>
      <w:numFmt w:val="decimal"/>
      <w:lvlText w:val="%1."/>
      <w:lvlJc w:val="left"/>
      <w:pPr>
        <w:ind w:hanging="360"/>
      </w:pPr>
      <w:rPr>
        <w:rFonts w:ascii="Times New Roman" w:eastAsia="Times New Roman" w:hAnsi="Times New Roman" w:hint="default"/>
        <w:spacing w:val="8"/>
        <w:sz w:val="16"/>
        <w:szCs w:val="16"/>
      </w:rPr>
    </w:lvl>
    <w:lvl w:ilvl="1" w:tplc="1770664E">
      <w:start w:val="1"/>
      <w:numFmt w:val="bullet"/>
      <w:lvlText w:val="•"/>
      <w:lvlJc w:val="left"/>
      <w:rPr>
        <w:rFonts w:hint="default"/>
      </w:rPr>
    </w:lvl>
    <w:lvl w:ilvl="2" w:tplc="29E6D510">
      <w:start w:val="1"/>
      <w:numFmt w:val="bullet"/>
      <w:lvlText w:val="•"/>
      <w:lvlJc w:val="left"/>
      <w:rPr>
        <w:rFonts w:hint="default"/>
      </w:rPr>
    </w:lvl>
    <w:lvl w:ilvl="3" w:tplc="5D6C6676">
      <w:start w:val="1"/>
      <w:numFmt w:val="bullet"/>
      <w:lvlText w:val="•"/>
      <w:lvlJc w:val="left"/>
      <w:rPr>
        <w:rFonts w:hint="default"/>
      </w:rPr>
    </w:lvl>
    <w:lvl w:ilvl="4" w:tplc="40148E84">
      <w:start w:val="1"/>
      <w:numFmt w:val="bullet"/>
      <w:lvlText w:val="•"/>
      <w:lvlJc w:val="left"/>
      <w:rPr>
        <w:rFonts w:hint="default"/>
      </w:rPr>
    </w:lvl>
    <w:lvl w:ilvl="5" w:tplc="E84EA0A2">
      <w:start w:val="1"/>
      <w:numFmt w:val="bullet"/>
      <w:lvlText w:val="•"/>
      <w:lvlJc w:val="left"/>
      <w:rPr>
        <w:rFonts w:hint="default"/>
      </w:rPr>
    </w:lvl>
    <w:lvl w:ilvl="6" w:tplc="FF90BBC2">
      <w:start w:val="1"/>
      <w:numFmt w:val="bullet"/>
      <w:lvlText w:val="•"/>
      <w:lvlJc w:val="left"/>
      <w:rPr>
        <w:rFonts w:hint="default"/>
      </w:rPr>
    </w:lvl>
    <w:lvl w:ilvl="7" w:tplc="9E30FF54">
      <w:start w:val="1"/>
      <w:numFmt w:val="bullet"/>
      <w:lvlText w:val="•"/>
      <w:lvlJc w:val="left"/>
      <w:rPr>
        <w:rFonts w:hint="default"/>
      </w:rPr>
    </w:lvl>
    <w:lvl w:ilvl="8" w:tplc="F76A6680">
      <w:start w:val="1"/>
      <w:numFmt w:val="bullet"/>
      <w:lvlText w:val="•"/>
      <w:lvlJc w:val="left"/>
      <w:rPr>
        <w:rFonts w:hint="default"/>
      </w:rPr>
    </w:lvl>
  </w:abstractNum>
  <w:abstractNum w:abstractNumId="1">
    <w:nsid w:val="58E22C74"/>
    <w:multiLevelType w:val="hybridMultilevel"/>
    <w:tmpl w:val="1C02E5CA"/>
    <w:lvl w:ilvl="0" w:tplc="3488928C">
      <w:start w:val="1"/>
      <w:numFmt w:val="decimal"/>
      <w:lvlText w:val="%1-"/>
      <w:lvlJc w:val="left"/>
      <w:pPr>
        <w:ind w:hanging="152"/>
      </w:pPr>
      <w:rPr>
        <w:rFonts w:ascii="Times New Roman" w:eastAsia="Times New Roman" w:hAnsi="Times New Roman" w:hint="default"/>
        <w:b/>
        <w:bCs/>
        <w:spacing w:val="1"/>
        <w:w w:val="99"/>
        <w:sz w:val="18"/>
        <w:szCs w:val="18"/>
      </w:rPr>
    </w:lvl>
    <w:lvl w:ilvl="1" w:tplc="7D1E6426">
      <w:start w:val="1"/>
      <w:numFmt w:val="bullet"/>
      <w:lvlText w:val="•"/>
      <w:lvlJc w:val="left"/>
      <w:rPr>
        <w:rFonts w:hint="default"/>
      </w:rPr>
    </w:lvl>
    <w:lvl w:ilvl="2" w:tplc="702E28C8">
      <w:start w:val="1"/>
      <w:numFmt w:val="bullet"/>
      <w:lvlText w:val="•"/>
      <w:lvlJc w:val="left"/>
      <w:rPr>
        <w:rFonts w:hint="default"/>
      </w:rPr>
    </w:lvl>
    <w:lvl w:ilvl="3" w:tplc="02A61438">
      <w:start w:val="1"/>
      <w:numFmt w:val="bullet"/>
      <w:lvlText w:val="•"/>
      <w:lvlJc w:val="left"/>
      <w:rPr>
        <w:rFonts w:hint="default"/>
      </w:rPr>
    </w:lvl>
    <w:lvl w:ilvl="4" w:tplc="0FD6FD00">
      <w:start w:val="1"/>
      <w:numFmt w:val="bullet"/>
      <w:lvlText w:val="•"/>
      <w:lvlJc w:val="left"/>
      <w:rPr>
        <w:rFonts w:hint="default"/>
      </w:rPr>
    </w:lvl>
    <w:lvl w:ilvl="5" w:tplc="6FD00B74">
      <w:start w:val="1"/>
      <w:numFmt w:val="bullet"/>
      <w:lvlText w:val="•"/>
      <w:lvlJc w:val="left"/>
      <w:rPr>
        <w:rFonts w:hint="default"/>
      </w:rPr>
    </w:lvl>
    <w:lvl w:ilvl="6" w:tplc="D7B623A6">
      <w:start w:val="1"/>
      <w:numFmt w:val="bullet"/>
      <w:lvlText w:val="•"/>
      <w:lvlJc w:val="left"/>
      <w:rPr>
        <w:rFonts w:hint="default"/>
      </w:rPr>
    </w:lvl>
    <w:lvl w:ilvl="7" w:tplc="13A29ED4">
      <w:start w:val="1"/>
      <w:numFmt w:val="bullet"/>
      <w:lvlText w:val="•"/>
      <w:lvlJc w:val="left"/>
      <w:rPr>
        <w:rFonts w:hint="default"/>
      </w:rPr>
    </w:lvl>
    <w:lvl w:ilvl="8" w:tplc="C61C98A6">
      <w:start w:val="1"/>
      <w:numFmt w:val="bullet"/>
      <w:lvlText w:val="•"/>
      <w:lvlJc w:val="left"/>
      <w:rPr>
        <w:rFonts w:hint="default"/>
      </w:rPr>
    </w:lvl>
  </w:abstractNum>
  <w:abstractNum w:abstractNumId="2">
    <w:nsid w:val="6B7A667E"/>
    <w:multiLevelType w:val="hybridMultilevel"/>
    <w:tmpl w:val="55285182"/>
    <w:lvl w:ilvl="0" w:tplc="5030CB02">
      <w:start w:val="3"/>
      <w:numFmt w:val="decimal"/>
      <w:lvlText w:val="%1-"/>
      <w:lvlJc w:val="left"/>
      <w:pPr>
        <w:ind w:hanging="250"/>
      </w:pPr>
      <w:rPr>
        <w:rFonts w:ascii="Times New Roman" w:eastAsia="Times New Roman" w:hAnsi="Times New Roman" w:hint="default"/>
        <w:b/>
        <w:bCs/>
        <w:i/>
        <w:spacing w:val="1"/>
        <w:w w:val="99"/>
        <w:sz w:val="18"/>
        <w:szCs w:val="18"/>
      </w:rPr>
    </w:lvl>
    <w:lvl w:ilvl="1" w:tplc="9C947C38">
      <w:start w:val="1"/>
      <w:numFmt w:val="bullet"/>
      <w:lvlText w:val="•"/>
      <w:lvlJc w:val="left"/>
      <w:rPr>
        <w:rFonts w:hint="default"/>
      </w:rPr>
    </w:lvl>
    <w:lvl w:ilvl="2" w:tplc="CDDCF56E">
      <w:start w:val="1"/>
      <w:numFmt w:val="bullet"/>
      <w:lvlText w:val="•"/>
      <w:lvlJc w:val="left"/>
      <w:rPr>
        <w:rFonts w:hint="default"/>
      </w:rPr>
    </w:lvl>
    <w:lvl w:ilvl="3" w:tplc="22800308">
      <w:start w:val="1"/>
      <w:numFmt w:val="bullet"/>
      <w:lvlText w:val="•"/>
      <w:lvlJc w:val="left"/>
      <w:rPr>
        <w:rFonts w:hint="default"/>
      </w:rPr>
    </w:lvl>
    <w:lvl w:ilvl="4" w:tplc="A490C1F2">
      <w:start w:val="1"/>
      <w:numFmt w:val="bullet"/>
      <w:lvlText w:val="•"/>
      <w:lvlJc w:val="left"/>
      <w:rPr>
        <w:rFonts w:hint="default"/>
      </w:rPr>
    </w:lvl>
    <w:lvl w:ilvl="5" w:tplc="0F34C284">
      <w:start w:val="1"/>
      <w:numFmt w:val="bullet"/>
      <w:lvlText w:val="•"/>
      <w:lvlJc w:val="left"/>
      <w:rPr>
        <w:rFonts w:hint="default"/>
      </w:rPr>
    </w:lvl>
    <w:lvl w:ilvl="6" w:tplc="BBE60E66">
      <w:start w:val="1"/>
      <w:numFmt w:val="bullet"/>
      <w:lvlText w:val="•"/>
      <w:lvlJc w:val="left"/>
      <w:rPr>
        <w:rFonts w:hint="default"/>
      </w:rPr>
    </w:lvl>
    <w:lvl w:ilvl="7" w:tplc="E2B25AF2">
      <w:start w:val="1"/>
      <w:numFmt w:val="bullet"/>
      <w:lvlText w:val="•"/>
      <w:lvlJc w:val="left"/>
      <w:rPr>
        <w:rFonts w:hint="default"/>
      </w:rPr>
    </w:lvl>
    <w:lvl w:ilvl="8" w:tplc="8B305790">
      <w:start w:val="1"/>
      <w:numFmt w:val="bullet"/>
      <w:lvlText w:val="•"/>
      <w:lvlJc w:val="left"/>
      <w:rPr>
        <w:rFonts w:hint="default"/>
      </w:rPr>
    </w:lvl>
  </w:abstractNum>
  <w:abstractNum w:abstractNumId="3">
    <w:nsid w:val="6D7B5F49"/>
    <w:multiLevelType w:val="hybridMultilevel"/>
    <w:tmpl w:val="7642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lTrailSpace/>
    <w:useFELayout/>
  </w:compat>
  <w:rsids>
    <w:rsidRoot w:val="00CE0EE5"/>
    <w:rsid w:val="00015BDB"/>
    <w:rsid w:val="00022B6F"/>
    <w:rsid w:val="00027E26"/>
    <w:rsid w:val="000552D8"/>
    <w:rsid w:val="001044EF"/>
    <w:rsid w:val="00140F6C"/>
    <w:rsid w:val="001F3954"/>
    <w:rsid w:val="00206258"/>
    <w:rsid w:val="00210C70"/>
    <w:rsid w:val="002A6608"/>
    <w:rsid w:val="002E13A4"/>
    <w:rsid w:val="003155F3"/>
    <w:rsid w:val="00395BF3"/>
    <w:rsid w:val="003A4CF0"/>
    <w:rsid w:val="00431015"/>
    <w:rsid w:val="00476459"/>
    <w:rsid w:val="00491D3C"/>
    <w:rsid w:val="004B0DE0"/>
    <w:rsid w:val="0054351B"/>
    <w:rsid w:val="00583598"/>
    <w:rsid w:val="006D662D"/>
    <w:rsid w:val="00735E78"/>
    <w:rsid w:val="00793BBD"/>
    <w:rsid w:val="007C41C8"/>
    <w:rsid w:val="007D38F3"/>
    <w:rsid w:val="00863EB8"/>
    <w:rsid w:val="00881F80"/>
    <w:rsid w:val="008B1898"/>
    <w:rsid w:val="00976ADD"/>
    <w:rsid w:val="00983E6B"/>
    <w:rsid w:val="009B1DB4"/>
    <w:rsid w:val="00A53CD3"/>
    <w:rsid w:val="00A72908"/>
    <w:rsid w:val="00B0026D"/>
    <w:rsid w:val="00B20B01"/>
    <w:rsid w:val="00B37F66"/>
    <w:rsid w:val="00BA7FA8"/>
    <w:rsid w:val="00BD5933"/>
    <w:rsid w:val="00BF2E7F"/>
    <w:rsid w:val="00C4643F"/>
    <w:rsid w:val="00C565DC"/>
    <w:rsid w:val="00C83261"/>
    <w:rsid w:val="00CB79C4"/>
    <w:rsid w:val="00CE0EE5"/>
    <w:rsid w:val="00CF4738"/>
    <w:rsid w:val="00D11F8B"/>
    <w:rsid w:val="00D22473"/>
    <w:rsid w:val="00D7739D"/>
    <w:rsid w:val="00DB6326"/>
    <w:rsid w:val="00DE20FB"/>
    <w:rsid w:val="00DF3E85"/>
    <w:rsid w:val="00E46C4D"/>
    <w:rsid w:val="00EA56AA"/>
    <w:rsid w:val="00F12CD0"/>
    <w:rsid w:val="00F40346"/>
    <w:rsid w:val="00F426EF"/>
    <w:rsid w:val="00F92D8A"/>
    <w:rsid w:val="00F97AA8"/>
    <w:rsid w:val="00FA34BE"/>
    <w:rsid w:val="00FB3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954"/>
  </w:style>
  <w:style w:type="paragraph" w:styleId="Heading1">
    <w:name w:val="heading 1"/>
    <w:basedOn w:val="Normal"/>
    <w:uiPriority w:val="1"/>
    <w:qFormat/>
    <w:rsid w:val="001F3954"/>
    <w:pPr>
      <w:spacing w:before="4"/>
      <w:outlineLvl w:val="0"/>
    </w:pPr>
    <w:rPr>
      <w:rFonts w:ascii="Times New Roman" w:eastAsia="Times New Roman" w:hAnsi="Times New Roman"/>
      <w:b/>
      <w:bCs/>
      <w:sz w:val="28"/>
      <w:szCs w:val="28"/>
    </w:rPr>
  </w:style>
  <w:style w:type="paragraph" w:styleId="Heading2">
    <w:name w:val="heading 2"/>
    <w:basedOn w:val="Normal"/>
    <w:uiPriority w:val="1"/>
    <w:qFormat/>
    <w:rsid w:val="001F3954"/>
    <w:pPr>
      <w:outlineLvl w:val="1"/>
    </w:pPr>
    <w:rPr>
      <w:rFonts w:ascii="Times New Roman" w:eastAsia="Times New Roman" w:hAnsi="Times New Roman"/>
      <w:b/>
      <w:bCs/>
      <w:sz w:val="24"/>
      <w:szCs w:val="24"/>
    </w:rPr>
  </w:style>
  <w:style w:type="paragraph" w:styleId="Heading3">
    <w:name w:val="heading 3"/>
    <w:basedOn w:val="Normal"/>
    <w:uiPriority w:val="1"/>
    <w:qFormat/>
    <w:rsid w:val="001F3954"/>
    <w:pPr>
      <w:ind w:left="119"/>
      <w:outlineLvl w:val="2"/>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3954"/>
    <w:pPr>
      <w:ind w:left="119"/>
    </w:pPr>
    <w:rPr>
      <w:rFonts w:ascii="Times New Roman" w:eastAsia="Times New Roman" w:hAnsi="Times New Roman"/>
      <w:sz w:val="18"/>
      <w:szCs w:val="18"/>
    </w:rPr>
  </w:style>
  <w:style w:type="paragraph" w:styleId="ListParagraph">
    <w:name w:val="List Paragraph"/>
    <w:basedOn w:val="Normal"/>
    <w:uiPriority w:val="1"/>
    <w:qFormat/>
    <w:rsid w:val="001F3954"/>
  </w:style>
  <w:style w:type="paragraph" w:customStyle="1" w:styleId="TableParagraph">
    <w:name w:val="Table Paragraph"/>
    <w:basedOn w:val="Normal"/>
    <w:uiPriority w:val="1"/>
    <w:qFormat/>
    <w:rsid w:val="001F3954"/>
  </w:style>
  <w:style w:type="paragraph" w:styleId="BalloonText">
    <w:name w:val="Balloon Text"/>
    <w:basedOn w:val="Normal"/>
    <w:link w:val="BalloonTextChar"/>
    <w:uiPriority w:val="99"/>
    <w:semiHidden/>
    <w:unhideWhenUsed/>
    <w:rsid w:val="00BA7FA8"/>
    <w:rPr>
      <w:rFonts w:ascii="Tahoma" w:hAnsi="Tahoma" w:cs="Tahoma"/>
      <w:sz w:val="16"/>
      <w:szCs w:val="16"/>
    </w:rPr>
  </w:style>
  <w:style w:type="character" w:customStyle="1" w:styleId="BalloonTextChar">
    <w:name w:val="Balloon Text Char"/>
    <w:basedOn w:val="DefaultParagraphFont"/>
    <w:link w:val="BalloonText"/>
    <w:uiPriority w:val="99"/>
    <w:semiHidden/>
    <w:rsid w:val="00BA7FA8"/>
    <w:rPr>
      <w:rFonts w:ascii="Tahoma" w:hAnsi="Tahoma" w:cs="Tahoma"/>
      <w:sz w:val="16"/>
      <w:szCs w:val="16"/>
    </w:rPr>
  </w:style>
  <w:style w:type="paragraph" w:styleId="Header">
    <w:name w:val="header"/>
    <w:basedOn w:val="Normal"/>
    <w:link w:val="HeaderChar"/>
    <w:uiPriority w:val="99"/>
    <w:semiHidden/>
    <w:unhideWhenUsed/>
    <w:rsid w:val="00863EB8"/>
    <w:pPr>
      <w:tabs>
        <w:tab w:val="center" w:pos="4320"/>
        <w:tab w:val="right" w:pos="8640"/>
      </w:tabs>
    </w:pPr>
  </w:style>
  <w:style w:type="character" w:customStyle="1" w:styleId="HeaderChar">
    <w:name w:val="Header Char"/>
    <w:basedOn w:val="DefaultParagraphFont"/>
    <w:link w:val="Header"/>
    <w:uiPriority w:val="99"/>
    <w:semiHidden/>
    <w:rsid w:val="00863EB8"/>
  </w:style>
  <w:style w:type="paragraph" w:styleId="Footer">
    <w:name w:val="footer"/>
    <w:basedOn w:val="Normal"/>
    <w:link w:val="FooterChar"/>
    <w:uiPriority w:val="99"/>
    <w:semiHidden/>
    <w:unhideWhenUsed/>
    <w:rsid w:val="00863EB8"/>
    <w:pPr>
      <w:tabs>
        <w:tab w:val="center" w:pos="4320"/>
        <w:tab w:val="right" w:pos="8640"/>
      </w:tabs>
    </w:pPr>
  </w:style>
  <w:style w:type="character" w:customStyle="1" w:styleId="FooterChar">
    <w:name w:val="Footer Char"/>
    <w:basedOn w:val="DefaultParagraphFont"/>
    <w:link w:val="Footer"/>
    <w:uiPriority w:val="99"/>
    <w:semiHidden/>
    <w:rsid w:val="00863EB8"/>
  </w:style>
  <w:style w:type="table" w:styleId="TableGrid">
    <w:name w:val="Table Grid"/>
    <w:basedOn w:val="TableNormal"/>
    <w:uiPriority w:val="59"/>
    <w:rsid w:val="00431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53CD3"/>
    <w:rPr>
      <w:color w:val="0000FF"/>
      <w:u w:val="single"/>
    </w:rPr>
  </w:style>
  <w:style w:type="character" w:styleId="CommentReference">
    <w:name w:val="annotation reference"/>
    <w:basedOn w:val="DefaultParagraphFont"/>
    <w:uiPriority w:val="99"/>
    <w:semiHidden/>
    <w:unhideWhenUsed/>
    <w:rsid w:val="00DF3E85"/>
    <w:rPr>
      <w:sz w:val="16"/>
      <w:szCs w:val="16"/>
    </w:rPr>
  </w:style>
  <w:style w:type="paragraph" w:styleId="CommentText">
    <w:name w:val="annotation text"/>
    <w:basedOn w:val="Normal"/>
    <w:link w:val="CommentTextChar"/>
    <w:uiPriority w:val="99"/>
    <w:semiHidden/>
    <w:unhideWhenUsed/>
    <w:rsid w:val="00DF3E85"/>
    <w:rPr>
      <w:sz w:val="20"/>
      <w:szCs w:val="20"/>
    </w:rPr>
  </w:style>
  <w:style w:type="character" w:customStyle="1" w:styleId="CommentTextChar">
    <w:name w:val="Comment Text Char"/>
    <w:basedOn w:val="DefaultParagraphFont"/>
    <w:link w:val="CommentText"/>
    <w:uiPriority w:val="99"/>
    <w:semiHidden/>
    <w:rsid w:val="00DF3E85"/>
    <w:rPr>
      <w:sz w:val="20"/>
      <w:szCs w:val="20"/>
    </w:rPr>
  </w:style>
  <w:style w:type="paragraph" w:styleId="CommentSubject">
    <w:name w:val="annotation subject"/>
    <w:basedOn w:val="CommentText"/>
    <w:next w:val="CommentText"/>
    <w:link w:val="CommentSubjectChar"/>
    <w:uiPriority w:val="99"/>
    <w:semiHidden/>
    <w:unhideWhenUsed/>
    <w:rsid w:val="00DF3E85"/>
    <w:rPr>
      <w:b/>
      <w:bCs/>
    </w:rPr>
  </w:style>
  <w:style w:type="character" w:customStyle="1" w:styleId="CommentSubjectChar">
    <w:name w:val="Comment Subject Char"/>
    <w:basedOn w:val="CommentTextChar"/>
    <w:link w:val="CommentSubject"/>
    <w:uiPriority w:val="99"/>
    <w:semiHidden/>
    <w:rsid w:val="00DF3E85"/>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031603" TargetMode="External"/><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sciencepub.net/newyork" TargetMode="Externa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06 Ahmed Imran ALT AST RATIO.PDF</vt:lpstr>
    </vt:vector>
  </TitlesOfParts>
  <Company>微软中国</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Ahmed Imran ALT AST RATIO.PDF</dc:title>
  <dc:creator>Ajmal</dc:creator>
  <cp:lastModifiedBy>Administrator</cp:lastModifiedBy>
  <cp:revision>5</cp:revision>
  <cp:lastPrinted>2016-02-29T02:56:00Z</cp:lastPrinted>
  <dcterms:created xsi:type="dcterms:W3CDTF">2016-02-29T12:17:00Z</dcterms:created>
  <dcterms:modified xsi:type="dcterms:W3CDTF">2016-02-29T02:56:00Z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2016-02-17T00:00:00Z</vt:filetime>
  </property>
  <property fmtid="{D5CDD505-2E9C-101B-9397-08002B2CF9AE}" pid="3" name="LastSaved">
    <vt:filetime>2016-02-21T00:00:00Z</vt:filetime>
  </property>
</Properties>
</file>