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94" w:rsidRPr="00DC49AD" w:rsidRDefault="00303694" w:rsidP="008762D1">
      <w:pPr>
        <w:pStyle w:val="NoSpacing"/>
        <w:snapToGrid w:val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Endometrial </w:t>
      </w:r>
      <w:r w:rsidR="00ED15F7" w:rsidRPr="00DC49AD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ancer in Ibadan: </w:t>
      </w:r>
      <w:r w:rsidR="00ED15F7" w:rsidRPr="00DC49AD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pidemiological and </w:t>
      </w:r>
      <w:proofErr w:type="spellStart"/>
      <w:r w:rsidR="00ED15F7" w:rsidRPr="00DC49AD">
        <w:rPr>
          <w:rFonts w:ascii="Times New Roman" w:hAnsi="Times New Roman" w:cs="Times New Roman"/>
          <w:b/>
          <w:sz w:val="20"/>
          <w:szCs w:val="20"/>
          <w:lang w:val="en-US"/>
        </w:rPr>
        <w:t>Clinico</w:t>
      </w:r>
      <w:proofErr w:type="spellEnd"/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-pathological </w:t>
      </w:r>
      <w:r w:rsidR="00ED15F7" w:rsidRPr="00DC49AD"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eatures </w:t>
      </w:r>
      <w:r w:rsidR="00D90D71" w:rsidRPr="00DC49AD">
        <w:rPr>
          <w:rFonts w:ascii="Times New Roman" w:hAnsi="Times New Roman" w:cs="Times New Roman"/>
          <w:b/>
          <w:sz w:val="20"/>
          <w:szCs w:val="20"/>
          <w:lang w:val="en-US"/>
        </w:rPr>
        <w:t>-10 Year</w:t>
      </w:r>
      <w:r w:rsidR="00092D1B" w:rsidRPr="00DC49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Review</w:t>
      </w:r>
    </w:p>
    <w:p w:rsidR="006729FD" w:rsidRPr="00DC49AD" w:rsidRDefault="006729FD" w:rsidP="008762D1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92D1B" w:rsidRPr="00DC49AD" w:rsidRDefault="00092D1B" w:rsidP="008762D1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Adekanbi</w:t>
      </w: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,Adesina</w:t>
      </w:r>
      <w:proofErr w:type="spellEnd"/>
      <w:proofErr w:type="gram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Omololu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Ayodele</w:t>
      </w:r>
      <w:r w:rsidRP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,</w:t>
      </w:r>
      <w:r w:rsidR="000734AC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Jimoh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Mutiu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Alani</w:t>
      </w:r>
      <w:r w:rsidR="000734AC" w:rsidRP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A60211" w:rsidRPr="00DC49A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734AC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Ajani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Mustapha Akanji</w:t>
      </w:r>
      <w:r w:rsidR="000734AC" w:rsidRP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 </w:t>
      </w:r>
      <w:proofErr w:type="spellStart"/>
      <w:r w:rsidR="000734AC" w:rsidRPr="00DC49AD">
        <w:rPr>
          <w:rFonts w:ascii="Times New Roman" w:hAnsi="Times New Roman" w:cs="Times New Roman"/>
          <w:sz w:val="20"/>
          <w:szCs w:val="20"/>
          <w:lang w:val="en-US"/>
        </w:rPr>
        <w:t>Fawole</w:t>
      </w:r>
      <w:proofErr w:type="spellEnd"/>
      <w:r w:rsidR="000734AC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Adeniran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Olubukola</w:t>
      </w:r>
      <w:r w:rsidR="000734AC" w:rsidRP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</w:p>
    <w:p w:rsidR="006729FD" w:rsidRPr="00DC49AD" w:rsidRDefault="006729FD" w:rsidP="008762D1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729FD" w:rsidRPr="00DC49AD" w:rsidRDefault="00092D1B" w:rsidP="008762D1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6729F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Department of Obstetrics and </w:t>
      </w:r>
      <w:proofErr w:type="spellStart"/>
      <w:r w:rsidR="006729FD" w:rsidRPr="00DC49AD">
        <w:rPr>
          <w:rFonts w:ascii="Times New Roman" w:hAnsi="Times New Roman" w:cs="Times New Roman"/>
          <w:sz w:val="20"/>
          <w:szCs w:val="20"/>
          <w:lang w:val="en-US"/>
        </w:rPr>
        <w:t>Gynaecology</w:t>
      </w:r>
      <w:proofErr w:type="spellEnd"/>
      <w:r w:rsidR="006729FD" w:rsidRPr="00DC49AD">
        <w:rPr>
          <w:rFonts w:ascii="Times New Roman" w:hAnsi="Times New Roman" w:cs="Times New Roman"/>
          <w:sz w:val="20"/>
          <w:szCs w:val="20"/>
          <w:lang w:val="en-US"/>
        </w:rPr>
        <w:t>, University College Hospital Ibadan, Ibadan, Nigeria</w:t>
      </w:r>
    </w:p>
    <w:p w:rsidR="00092D1B" w:rsidRPr="00DC49AD" w:rsidRDefault="00092D1B" w:rsidP="008762D1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Department of Radiation Oncology, University College Hospital, Ibadan</w:t>
      </w:r>
    </w:p>
    <w:p w:rsidR="00A60211" w:rsidRPr="00DC49AD" w:rsidRDefault="00092D1B" w:rsidP="008762D1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Department of Histopathology, University College Hospital, Ibadan.</w:t>
      </w:r>
      <w:proofErr w:type="gramEnd"/>
    </w:p>
    <w:p w:rsidR="006729FD" w:rsidRPr="00DC49AD" w:rsidRDefault="00D626E4" w:rsidP="008762D1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hyperlink r:id="rId8" w:history="1">
        <w:r w:rsidR="00ED15F7" w:rsidRPr="00DC49AD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sinaadekanbi@yahoo.com</w:t>
        </w:r>
      </w:hyperlink>
    </w:p>
    <w:p w:rsidR="00ED15F7" w:rsidRPr="00DC49AD" w:rsidRDefault="00ED15F7" w:rsidP="008762D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303694" w:rsidRPr="00DC49AD" w:rsidRDefault="00A578DC" w:rsidP="00DC49A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  <w:r w:rsidR="008762D1" w:rsidRPr="00DC49AD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 xml:space="preserve">: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Endometrial cancer is the commonest cancer of the female genital tract, it accounted for about 6 percent of all female cancers in United States. It is not as common in Africa; it was the third commonest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gynaecological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malignancy in an African study</w:t>
      </w:r>
      <w:r w:rsidR="00814074" w:rsidRPr="00DC49AD">
        <w:rPr>
          <w:rFonts w:ascii="Times New Roman" w:hAnsi="Times New Roman" w:cs="Times New Roman"/>
          <w:sz w:val="20"/>
          <w:szCs w:val="20"/>
          <w:lang w:val="en-US"/>
        </w:rPr>
        <w:t>. The aim was to enumerate the characteristics of endometrial cancer patients: socio-demographic characteristic of the endometrial cancer patients, and the association of the patients’ profile with endometrial cancer.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 </w:t>
      </w:r>
      <w:r w:rsidR="00814074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This was a retrospective, cross sectional study of </w:t>
      </w:r>
      <w:proofErr w:type="spellStart"/>
      <w:r w:rsidR="00814074" w:rsidRPr="00DC49AD">
        <w:rPr>
          <w:rFonts w:ascii="Times New Roman" w:hAnsi="Times New Roman" w:cs="Times New Roman"/>
          <w:sz w:val="20"/>
          <w:szCs w:val="20"/>
          <w:lang w:val="en-US"/>
        </w:rPr>
        <w:t>histologically</w:t>
      </w:r>
      <w:proofErr w:type="spellEnd"/>
      <w:r w:rsidR="00814074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diagnosed endometrial cancers at the University College Hospital (UCH), Ibadan. The data obtained </w:t>
      </w:r>
      <w:proofErr w:type="gramStart"/>
      <w:r w:rsidR="00814074" w:rsidRPr="00DC49AD">
        <w:rPr>
          <w:rFonts w:ascii="Times New Roman" w:hAnsi="Times New Roman" w:cs="Times New Roman"/>
          <w:sz w:val="20"/>
          <w:szCs w:val="20"/>
          <w:lang w:val="en-US"/>
        </w:rPr>
        <w:t>were analyzed</w:t>
      </w:r>
      <w:proofErr w:type="gramEnd"/>
      <w:r w:rsidR="00814074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using SPSS.</w:t>
      </w:r>
      <w:r w:rsidR="00A60211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14074" w:rsidRPr="00DC49AD">
        <w:rPr>
          <w:rFonts w:ascii="Times New Roman" w:hAnsi="Times New Roman" w:cs="Times New Roman"/>
          <w:sz w:val="20"/>
          <w:szCs w:val="20"/>
          <w:lang w:val="en-US"/>
        </w:rPr>
        <w:t>Endometrial cancer accounted for 3.1% of the female genital cancers; Obesity was a factor in most the patients</w:t>
      </w:r>
      <w:r w:rsidR="00FD366B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gramStart"/>
      <w:r w:rsidR="00FD366B" w:rsidRPr="00DC49AD">
        <w:rPr>
          <w:rFonts w:ascii="Times New Roman" w:hAnsi="Times New Roman" w:cs="Times New Roman"/>
          <w:sz w:val="20"/>
          <w:szCs w:val="20"/>
          <w:lang w:val="en-US"/>
        </w:rPr>
        <w:t>Poorly</w:t>
      </w:r>
      <w:proofErr w:type="gramEnd"/>
      <w:r w:rsidR="00FD366B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differentiated </w:t>
      </w:r>
      <w:proofErr w:type="spellStart"/>
      <w:r w:rsidR="00FD366B" w:rsidRPr="00DC49AD">
        <w:rPr>
          <w:rFonts w:ascii="Times New Roman" w:hAnsi="Times New Roman" w:cs="Times New Roman"/>
          <w:sz w:val="20"/>
          <w:szCs w:val="20"/>
          <w:lang w:val="en-US"/>
        </w:rPr>
        <w:t>adenocarcinoma</w:t>
      </w:r>
      <w:proofErr w:type="spellEnd"/>
      <w:r w:rsidR="00FD366B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was the commonest observed pattern.</w:t>
      </w:r>
      <w:r w:rsidR="00A60211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D366B" w:rsidRPr="00DC49AD">
        <w:rPr>
          <w:rFonts w:ascii="Times New Roman" w:hAnsi="Times New Roman" w:cs="Times New Roman"/>
          <w:sz w:val="20"/>
          <w:szCs w:val="20"/>
          <w:lang w:val="en-US"/>
        </w:rPr>
        <w:t>Majority of the patients were elderly obese, they never engaged in contraception.</w:t>
      </w:r>
    </w:p>
    <w:p w:rsidR="008762D1" w:rsidRPr="00DC49AD" w:rsidRDefault="008762D1" w:rsidP="008762D1">
      <w:pPr>
        <w:pStyle w:val="NoSpacing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DC49AD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Adekanbi</w:t>
      </w: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,Adesina</w:t>
      </w:r>
      <w:proofErr w:type="spellEnd"/>
      <w:proofErr w:type="gram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Omololu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Ayodele</w:t>
      </w:r>
      <w:proofErr w:type="spellEnd"/>
      <w:r w:rsid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,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Jimoh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Mutiu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Alani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, Ajani Mustapha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Akanji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Fawole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Adeniran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Olubukola</w:t>
      </w:r>
      <w:proofErr w:type="spellEnd"/>
      <w:r w:rsidRPr="00DC49AD">
        <w:rPr>
          <w:rFonts w:ascii="Times New Roman" w:hAnsi="Times New Roman" w:cs="Times New Roman"/>
          <w:sz w:val="20"/>
          <w:szCs w:val="20"/>
        </w:rPr>
        <w:t>.</w:t>
      </w:r>
      <w:r w:rsidRPr="00DC49AD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Endometrial Cancer in Ibadan: Epidemiological and </w:t>
      </w:r>
      <w:proofErr w:type="spellStart"/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Clinico</w:t>
      </w:r>
      <w:proofErr w:type="spellEnd"/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-pathological Features -10 Year Review</w:t>
      </w:r>
      <w:r w:rsidRPr="00DC49AD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DC49AD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DC49AD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DC49AD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DC49A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C49AD">
        <w:rPr>
          <w:rFonts w:ascii="Times New Roman" w:hAnsi="Times New Roman" w:cs="Times New Roman"/>
          <w:sz w:val="20"/>
          <w:szCs w:val="20"/>
        </w:rPr>
        <w:t>201</w:t>
      </w:r>
      <w:r w:rsidRPr="00DC49AD">
        <w:rPr>
          <w:rFonts w:ascii="Times New Roman" w:hAnsi="Times New Roman" w:cs="Times New Roman" w:hint="eastAsia"/>
          <w:sz w:val="20"/>
          <w:szCs w:val="20"/>
        </w:rPr>
        <w:t>6</w:t>
      </w:r>
      <w:proofErr w:type="gramStart"/>
      <w:r w:rsidRPr="00DC49AD">
        <w:rPr>
          <w:rFonts w:ascii="Times New Roman" w:hAnsi="Times New Roman" w:cs="Times New Roman"/>
          <w:sz w:val="20"/>
          <w:szCs w:val="20"/>
        </w:rPr>
        <w:t>;</w:t>
      </w:r>
      <w:r w:rsidRPr="00DC49AD">
        <w:rPr>
          <w:rFonts w:ascii="Times New Roman" w:hAnsi="Times New Roman" w:cs="Times New Roman" w:hint="eastAsia"/>
          <w:sz w:val="20"/>
          <w:szCs w:val="20"/>
        </w:rPr>
        <w:t>9</w:t>
      </w:r>
      <w:proofErr w:type="gramEnd"/>
      <w:r w:rsidRPr="00DC49AD">
        <w:rPr>
          <w:rFonts w:ascii="Times New Roman" w:hAnsi="Times New Roman" w:cs="Times New Roman"/>
          <w:sz w:val="20"/>
          <w:szCs w:val="20"/>
        </w:rPr>
        <w:t>(</w:t>
      </w:r>
      <w:r w:rsidRPr="00DC49AD">
        <w:rPr>
          <w:rFonts w:ascii="Times New Roman" w:hAnsi="Times New Roman" w:cs="Times New Roman" w:hint="eastAsia"/>
          <w:sz w:val="20"/>
          <w:szCs w:val="20"/>
        </w:rPr>
        <w:t>3</w:t>
      </w:r>
      <w:r w:rsidRPr="00DC49AD">
        <w:rPr>
          <w:rFonts w:ascii="Times New Roman" w:hAnsi="Times New Roman" w:cs="Times New Roman"/>
          <w:sz w:val="20"/>
          <w:szCs w:val="20"/>
        </w:rPr>
        <w:t>):</w:t>
      </w:r>
      <w:r w:rsidR="008848A2" w:rsidRPr="00DC49AD">
        <w:rPr>
          <w:rFonts w:ascii="Times New Roman" w:hAnsi="Times New Roman" w:cs="Times New Roman"/>
          <w:noProof/>
          <w:color w:val="000000"/>
          <w:sz w:val="20"/>
          <w:szCs w:val="20"/>
        </w:rPr>
        <w:t>19</w:t>
      </w:r>
      <w:r w:rsidRPr="00DC49A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8848A2" w:rsidRPr="00DC49AD">
        <w:rPr>
          <w:rFonts w:ascii="Times New Roman" w:hAnsi="Times New Roman" w:cs="Times New Roman"/>
          <w:noProof/>
          <w:color w:val="000000"/>
          <w:sz w:val="20"/>
          <w:szCs w:val="20"/>
        </w:rPr>
        <w:t>23</w:t>
      </w:r>
      <w:r w:rsidRPr="00DC49AD">
        <w:rPr>
          <w:rFonts w:ascii="Times New Roman" w:hAnsi="Times New Roman" w:cs="Times New Roman"/>
          <w:sz w:val="20"/>
          <w:szCs w:val="20"/>
        </w:rPr>
        <w:t xml:space="preserve">]. </w:t>
      </w:r>
      <w:proofErr w:type="gramStart"/>
      <w:r w:rsidRPr="00DC49AD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DC49A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C49AD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DC49AD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DC49AD">
        <w:rPr>
          <w:rFonts w:ascii="Times New Roman" w:hAnsi="Times New Roman" w:cs="Times New Roman"/>
          <w:sz w:val="20"/>
          <w:szCs w:val="20"/>
        </w:rPr>
        <w:t xml:space="preserve">. </w:t>
      </w:r>
      <w:r w:rsidRPr="00DC49AD">
        <w:rPr>
          <w:rFonts w:ascii="Times New Roman" w:hAnsi="Times New Roman" w:cs="Times New Roman" w:hint="eastAsia"/>
          <w:sz w:val="20"/>
          <w:szCs w:val="20"/>
          <w:lang w:eastAsia="zh-CN"/>
        </w:rPr>
        <w:t>4</w:t>
      </w:r>
      <w:r w:rsidRPr="00DC49AD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gramStart"/>
      <w:r w:rsidRPr="00DC49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Pr="00DC49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10" w:history="1">
        <w:r w:rsidRPr="00DC49AD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DC49A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nys0903</w:t>
        </w:r>
        <w:r w:rsidRPr="00DC49AD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Pr="00DC49A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6</w:t>
        </w:r>
        <w:r w:rsidRPr="00DC49AD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DC49A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4</w:t>
        </w:r>
      </w:hyperlink>
      <w:r w:rsidRPr="00DC49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303694" w:rsidRPr="00DC49AD" w:rsidRDefault="00303694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694" w:rsidRPr="00DC49AD" w:rsidRDefault="00A60211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Key words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: E</w:t>
      </w:r>
      <w:r w:rsidR="00FD366B" w:rsidRPr="00DC49AD">
        <w:rPr>
          <w:rFonts w:ascii="Times New Roman" w:hAnsi="Times New Roman" w:cs="Times New Roman"/>
          <w:sz w:val="20"/>
          <w:szCs w:val="20"/>
          <w:lang w:val="en-US"/>
        </w:rPr>
        <w:t>ndometrial</w:t>
      </w:r>
      <w:r w:rsidR="00ED15F7" w:rsidRPr="00DC49A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D366B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D15F7" w:rsidRPr="00DC49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FD366B" w:rsidRPr="00DC49AD">
        <w:rPr>
          <w:rFonts w:ascii="Times New Roman" w:hAnsi="Times New Roman" w:cs="Times New Roman"/>
          <w:sz w:val="20"/>
          <w:szCs w:val="20"/>
          <w:lang w:val="en-US"/>
        </w:rPr>
        <w:t>ancer</w:t>
      </w:r>
      <w:r w:rsidR="00ED15F7" w:rsidRPr="00DC49AD">
        <w:rPr>
          <w:rFonts w:ascii="Times New Roman" w:hAnsi="Times New Roman" w:cs="Times New Roman"/>
          <w:sz w:val="20"/>
          <w:szCs w:val="20"/>
          <w:lang w:val="en-US"/>
        </w:rPr>
        <w:t>, E</w:t>
      </w:r>
      <w:r w:rsidR="00FD366B" w:rsidRPr="00DC49AD">
        <w:rPr>
          <w:rFonts w:ascii="Times New Roman" w:hAnsi="Times New Roman" w:cs="Times New Roman"/>
          <w:sz w:val="20"/>
          <w:szCs w:val="20"/>
          <w:lang w:val="en-US"/>
        </w:rPr>
        <w:t>pidemiology</w:t>
      </w:r>
      <w:r w:rsidR="00ED15F7" w:rsidRPr="00DC49AD">
        <w:rPr>
          <w:rFonts w:ascii="Times New Roman" w:hAnsi="Times New Roman" w:cs="Times New Roman"/>
          <w:sz w:val="20"/>
          <w:szCs w:val="20"/>
          <w:lang w:val="en-US"/>
        </w:rPr>
        <w:t>, P</w:t>
      </w:r>
      <w:r w:rsidR="00FD366B" w:rsidRPr="00DC49AD">
        <w:rPr>
          <w:rFonts w:ascii="Times New Roman" w:hAnsi="Times New Roman" w:cs="Times New Roman"/>
          <w:sz w:val="20"/>
          <w:szCs w:val="20"/>
          <w:lang w:val="en-US"/>
        </w:rPr>
        <w:t>athology</w:t>
      </w:r>
    </w:p>
    <w:p w:rsidR="008762D1" w:rsidRPr="00DC49AD" w:rsidRDefault="008762D1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762D1" w:rsidRPr="00DC49AD" w:rsidRDefault="008762D1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8762D1" w:rsidRPr="00DC49AD" w:rsidSect="008848A2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19"/>
          <w:cols w:space="720"/>
          <w:docGrid w:linePitch="360"/>
        </w:sectPr>
      </w:pPr>
    </w:p>
    <w:p w:rsidR="008762D1" w:rsidRPr="00DC49AD" w:rsidRDefault="008762D1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Introduction</w:t>
      </w:r>
    </w:p>
    <w:p w:rsidR="00072772" w:rsidRPr="00DC49AD" w:rsidRDefault="00072772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val="en-US" w:eastAsia="zh-CN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Endometrial cancer is the commonest cancer of the female genital tract, it accounted for about 6</w:t>
      </w:r>
      <w:r w:rsid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%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of all female cancers in U</w:t>
      </w:r>
      <w:r w:rsid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SA 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(1)</w:t>
      </w:r>
      <w:r w:rsid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Incidence had remained relatively static in whites however, mortality rates </w:t>
      </w:r>
      <w:r w:rsidR="00A578DC" w:rsidRPr="00DC49AD">
        <w:rPr>
          <w:rFonts w:ascii="Times New Roman" w:hAnsi="Times New Roman" w:cs="Times New Roman"/>
          <w:sz w:val="20"/>
          <w:szCs w:val="20"/>
          <w:lang w:val="en-US"/>
        </w:rPr>
        <w:t>are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increasing since 2001, and more so in African</w:t>
      </w:r>
      <w:r w:rsidR="003D5B83" w:rsidRPr="00DC49AD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American women than in all other racial/</w:t>
      </w:r>
      <w:r w:rsid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ethnics groups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57A56" w:rsidRPr="00DC49AD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is diagnosed</w:t>
      </w:r>
      <w:proofErr w:type="gram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mostly in the postmenopausal women of mean age </w:t>
      </w:r>
      <w:r w:rsidR="00657A56" w:rsidRPr="00DC49AD">
        <w:rPr>
          <w:rFonts w:ascii="Times New Roman" w:hAnsi="Times New Roman" w:cs="Times New Roman"/>
          <w:sz w:val="20"/>
          <w:szCs w:val="20"/>
          <w:lang w:val="en-US"/>
        </w:rPr>
        <w:t>61</w:t>
      </w:r>
      <w:r w:rsid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 </w:t>
      </w:r>
      <w:r w:rsidR="00657A56" w:rsidRPr="00DC49AD">
        <w:rPr>
          <w:rFonts w:ascii="Times New Roman" w:hAnsi="Times New Roman" w:cs="Times New Roman"/>
          <w:sz w:val="20"/>
          <w:szCs w:val="20"/>
          <w:lang w:val="en-US"/>
        </w:rPr>
        <w:t>years;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however, about 30% is diagnosed in younger women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</w:p>
    <w:p w:rsidR="00A648FB" w:rsidRPr="00DC49AD" w:rsidRDefault="00A648FB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Endometrial cancer is not as common in Africa</w:t>
      </w:r>
      <w:r w:rsidR="003D5B83" w:rsidRPr="00DC49A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it was the third commonest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gynaecological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malignancy in an Africa</w:t>
      </w:r>
      <w:r w:rsidR="003D5B83" w:rsidRPr="00DC49A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study</w:t>
      </w:r>
      <w:r w:rsidR="003D5B83" w:rsidRPr="00DC49A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D5B83" w:rsidRPr="00DC49A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t is worth looking into because of the relative rise in life expectancy of African women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and the fact </w:t>
      </w:r>
      <w:r w:rsidR="00657A56" w:rsidRPr="00DC49AD">
        <w:rPr>
          <w:rFonts w:ascii="Times New Roman" w:hAnsi="Times New Roman" w:cs="Times New Roman"/>
          <w:sz w:val="20"/>
          <w:szCs w:val="20"/>
          <w:lang w:val="en-US"/>
        </w:rPr>
        <w:t>that prognosis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in African women is worse</w:t>
      </w:r>
      <w:r w:rsidR="003D5B83" w:rsidRPr="00DC49A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0222B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Furthermore, </w:t>
      </w:r>
      <w:r w:rsidR="0060222B" w:rsidRPr="00DC49AD">
        <w:rPr>
          <w:rFonts w:ascii="Times New Roman" w:hAnsi="Times New Roman" w:cs="Times New Roman"/>
          <w:sz w:val="20"/>
          <w:szCs w:val="20"/>
        </w:rPr>
        <w:t>In the United States there are significant differences in survival between African American and white women</w:t>
      </w:r>
      <w:r w:rsidR="00290B45" w:rsidRPr="00DC49AD">
        <w:rPr>
          <w:rFonts w:ascii="Times New Roman" w:hAnsi="Times New Roman" w:cs="Times New Roman"/>
          <w:sz w:val="20"/>
          <w:szCs w:val="20"/>
        </w:rPr>
        <w:t xml:space="preserve"> (</w:t>
      </w:r>
      <w:r w:rsidR="004829B1" w:rsidRPr="00DC49AD">
        <w:rPr>
          <w:rFonts w:ascii="Times New Roman" w:hAnsi="Times New Roman" w:cs="Times New Roman"/>
          <w:sz w:val="20"/>
          <w:szCs w:val="20"/>
        </w:rPr>
        <w:t>8</w:t>
      </w:r>
      <w:r w:rsidR="00290B45" w:rsidRPr="00DC49AD">
        <w:rPr>
          <w:rFonts w:ascii="Times New Roman" w:hAnsi="Times New Roman" w:cs="Times New Roman"/>
          <w:sz w:val="20"/>
          <w:szCs w:val="20"/>
        </w:rPr>
        <w:t>)</w:t>
      </w:r>
      <w:r w:rsidR="00C813DC" w:rsidRPr="00DC49AD">
        <w:rPr>
          <w:rFonts w:ascii="Times New Roman" w:hAnsi="Times New Roman" w:cs="Times New Roman"/>
          <w:sz w:val="20"/>
          <w:szCs w:val="20"/>
        </w:rPr>
        <w:t>.</w:t>
      </w:r>
      <w:r w:rsidR="0060222B" w:rsidRPr="00DC49AD">
        <w:rPr>
          <w:rFonts w:ascii="Times New Roman" w:hAnsi="Times New Roman" w:cs="Times New Roman"/>
          <w:sz w:val="20"/>
          <w:szCs w:val="20"/>
        </w:rPr>
        <w:t xml:space="preserve"> While this could partly be due to differences in treatment between the two groups, African American women are significantly more likely to get high-grade tumours and to present at a later stage</w:t>
      </w:r>
      <w:r w:rsidR="00290B45" w:rsidRPr="00DC49AD">
        <w:rPr>
          <w:rFonts w:ascii="Times New Roman" w:hAnsi="Times New Roman" w:cs="Times New Roman"/>
          <w:sz w:val="20"/>
          <w:szCs w:val="20"/>
        </w:rPr>
        <w:t xml:space="preserve"> (</w:t>
      </w:r>
      <w:r w:rsidR="004829B1" w:rsidRPr="00DC49AD">
        <w:rPr>
          <w:rFonts w:ascii="Times New Roman" w:hAnsi="Times New Roman" w:cs="Times New Roman"/>
          <w:sz w:val="20"/>
          <w:szCs w:val="20"/>
        </w:rPr>
        <w:t>9</w:t>
      </w:r>
      <w:r w:rsidR="00290B45" w:rsidRPr="00DC49AD">
        <w:rPr>
          <w:rFonts w:ascii="Times New Roman" w:hAnsi="Times New Roman" w:cs="Times New Roman"/>
          <w:sz w:val="20"/>
          <w:szCs w:val="20"/>
        </w:rPr>
        <w:t>)</w:t>
      </w:r>
      <w:r w:rsidR="00C813DC" w:rsidRPr="00DC49AD">
        <w:rPr>
          <w:rFonts w:ascii="Times New Roman" w:hAnsi="Times New Roman" w:cs="Times New Roman"/>
          <w:sz w:val="20"/>
          <w:szCs w:val="20"/>
        </w:rPr>
        <w:t>.</w:t>
      </w:r>
    </w:p>
    <w:p w:rsidR="00A648FB" w:rsidRPr="00DC49AD" w:rsidRDefault="00A648FB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This cancer has been classified into two types based on clinical outcomes and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histologic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differences: type I is almost always preceded by endometrial hyperplasia due to unopposed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oestrogen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stimulation, while type II is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oestrogen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independent; it arises from atrophic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endometrium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as intraepithelial carcinoma.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There is a reported rise in incidence of type I cancer, while type II has been relatively stable.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60222B" w:rsidRPr="00DC49A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A648FB" w:rsidRPr="00DC49AD" w:rsidRDefault="00A648FB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val="en-US" w:eastAsia="zh-CN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lastRenderedPageBreak/>
        <w:t>Risk of developing endometrial cancer in women of high parity is low however; pregnancy is protective against ovarian cancer while multi parity is associated with increased risk of de</w:t>
      </w:r>
      <w:r w:rsidR="00F73D51" w:rsidRPr="00DC49AD">
        <w:rPr>
          <w:rFonts w:ascii="Times New Roman" w:hAnsi="Times New Roman" w:cs="Times New Roman"/>
          <w:sz w:val="20"/>
          <w:szCs w:val="20"/>
          <w:lang w:val="en-US"/>
        </w:rPr>
        <w:t>velopment of cervical carcinoma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60222B" w:rsidRPr="00DC49A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  <w:r w:rsidR="00EC1896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73D51" w:rsidRPr="00DC49AD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EC1896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he major known risk factors for endometrial cancer </w:t>
      </w:r>
      <w:proofErr w:type="gramStart"/>
      <w:r w:rsidR="00EC1896" w:rsidRPr="00DC49AD">
        <w:rPr>
          <w:rFonts w:ascii="Times New Roman" w:hAnsi="Times New Roman" w:cs="Times New Roman"/>
          <w:sz w:val="20"/>
          <w:szCs w:val="20"/>
          <w:lang w:val="en-US"/>
        </w:rPr>
        <w:t>impact</w:t>
      </w:r>
      <w:proofErr w:type="gramEnd"/>
      <w:r w:rsidR="00EC1896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the same influence on</w:t>
      </w:r>
      <w:r w:rsidR="00F73D51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the black and white women,</w:t>
      </w:r>
      <w:r w:rsidR="00EC1896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73D51" w:rsidRPr="00DC49AD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EC1896" w:rsidRPr="00DC49AD">
        <w:rPr>
          <w:rFonts w:ascii="Times New Roman" w:hAnsi="Times New Roman" w:cs="Times New Roman"/>
          <w:sz w:val="20"/>
          <w:szCs w:val="20"/>
          <w:lang w:val="en-US"/>
        </w:rPr>
        <w:t>he observed difference in the incidence rates between the two populations may be due to differences in the prevalence of risk factors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60222B" w:rsidRPr="00DC49A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290B45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</w:p>
    <w:p w:rsidR="000571F4" w:rsidRPr="00DC49AD" w:rsidRDefault="000571F4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</w:rPr>
        <w:t xml:space="preserve">For women diagnosed in 1996-1999 there </w:t>
      </w:r>
      <w:proofErr w:type="gramStart"/>
      <w:r w:rsidRPr="00DC49AD">
        <w:rPr>
          <w:rFonts w:ascii="Times New Roman" w:hAnsi="Times New Roman" w:cs="Times New Roman"/>
          <w:sz w:val="20"/>
          <w:szCs w:val="20"/>
        </w:rPr>
        <w:t>is a significant gap in five-year survival between the most deprived</w:t>
      </w:r>
      <w:proofErr w:type="gramEnd"/>
      <w:r w:rsidRPr="00DC49AD">
        <w:rPr>
          <w:rFonts w:ascii="Times New Roman" w:hAnsi="Times New Roman" w:cs="Times New Roman"/>
          <w:sz w:val="20"/>
          <w:szCs w:val="20"/>
        </w:rPr>
        <w:t xml:space="preserve"> and least deprived women of 4.5%.</w:t>
      </w:r>
      <w:r w:rsidR="00290B45" w:rsidRPr="00DC49AD">
        <w:rPr>
          <w:rFonts w:ascii="Times New Roman" w:hAnsi="Times New Roman" w:cs="Times New Roman"/>
          <w:sz w:val="20"/>
          <w:szCs w:val="20"/>
        </w:rPr>
        <w:t xml:space="preserve"> (</w:t>
      </w:r>
      <w:r w:rsidRPr="00DC49AD">
        <w:rPr>
          <w:rFonts w:ascii="Times New Roman" w:hAnsi="Times New Roman" w:cs="Times New Roman"/>
          <w:sz w:val="20"/>
          <w:szCs w:val="20"/>
        </w:rPr>
        <w:t>1</w:t>
      </w:r>
      <w:r w:rsidR="004829B1" w:rsidRPr="00DC49AD">
        <w:rPr>
          <w:rFonts w:ascii="Times New Roman" w:hAnsi="Times New Roman" w:cs="Times New Roman"/>
          <w:sz w:val="20"/>
          <w:szCs w:val="20"/>
        </w:rPr>
        <w:t>4</w:t>
      </w:r>
      <w:r w:rsidR="00290B45" w:rsidRPr="00DC49AD">
        <w:rPr>
          <w:rFonts w:ascii="Times New Roman" w:hAnsi="Times New Roman" w:cs="Times New Roman"/>
          <w:sz w:val="20"/>
          <w:szCs w:val="20"/>
        </w:rPr>
        <w:t>)</w:t>
      </w:r>
      <w:r w:rsidR="00DC49AD">
        <w:rPr>
          <w:rFonts w:ascii="Times New Roman" w:hAnsi="Times New Roman" w:cs="Times New Roman"/>
          <w:sz w:val="20"/>
          <w:szCs w:val="20"/>
        </w:rPr>
        <w:t xml:space="preserve"> </w:t>
      </w:r>
      <w:r w:rsidRPr="00DC49AD">
        <w:rPr>
          <w:rFonts w:ascii="Times New Roman" w:hAnsi="Times New Roman" w:cs="Times New Roman"/>
          <w:sz w:val="20"/>
          <w:szCs w:val="20"/>
        </w:rPr>
        <w:t>Regional differences in survival rates reflect this deprivation gradient. Wales had the lowest relative one and five-year survival rates for women diagnosed in 1986-90, while the South and West regions in England had the highest rates.</w:t>
      </w:r>
      <w:r w:rsidR="00283BA1" w:rsidRPr="00DC49AD">
        <w:rPr>
          <w:rFonts w:ascii="Times New Roman" w:hAnsi="Times New Roman" w:cs="Times New Roman"/>
          <w:sz w:val="20"/>
          <w:szCs w:val="20"/>
        </w:rPr>
        <w:t xml:space="preserve"> (</w:t>
      </w:r>
      <w:r w:rsidR="0060222B" w:rsidRPr="00DC49AD">
        <w:rPr>
          <w:rFonts w:ascii="Times New Roman" w:hAnsi="Times New Roman" w:cs="Times New Roman"/>
          <w:sz w:val="20"/>
          <w:szCs w:val="20"/>
        </w:rPr>
        <w:t>1</w:t>
      </w:r>
      <w:r w:rsidR="004829B1" w:rsidRPr="00DC49AD">
        <w:rPr>
          <w:rFonts w:ascii="Times New Roman" w:hAnsi="Times New Roman" w:cs="Times New Roman"/>
          <w:sz w:val="20"/>
          <w:szCs w:val="20"/>
        </w:rPr>
        <w:t>5</w:t>
      </w:r>
      <w:r w:rsidR="00283BA1" w:rsidRPr="00DC49AD">
        <w:rPr>
          <w:rFonts w:ascii="Times New Roman" w:hAnsi="Times New Roman" w:cs="Times New Roman"/>
          <w:sz w:val="20"/>
          <w:szCs w:val="20"/>
        </w:rPr>
        <w:t>)</w:t>
      </w:r>
    </w:p>
    <w:p w:rsidR="00A648FB" w:rsidRPr="00DC49AD" w:rsidRDefault="00A648FB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The causes of endometrial cancer </w:t>
      </w: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are not fully </w:t>
      </w:r>
      <w:r w:rsidR="00C20188" w:rsidRPr="00DC49AD">
        <w:rPr>
          <w:rFonts w:ascii="Times New Roman" w:hAnsi="Times New Roman" w:cs="Times New Roman"/>
          <w:sz w:val="20"/>
          <w:szCs w:val="20"/>
          <w:lang w:val="en-US"/>
        </w:rPr>
        <w:t>understood</w:t>
      </w:r>
      <w:proofErr w:type="gramEnd"/>
      <w:r w:rsidR="00C20188" w:rsidRPr="00DC49AD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researchers have found certain risk factors associated with the disease</w:t>
      </w:r>
      <w:r w:rsidR="003D5B83" w:rsidRPr="00DC49A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3D5B83" w:rsidRPr="00DC49AD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he following risk factors were documented: Starting monthly periods before the age of 12, late menopause—after the age of 52, infertility,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nulliparity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, obesity,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tamoxifen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usage, estrogen replacement therapy, diabetes, older age of over 50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years,</w:t>
      </w:r>
      <w:r w:rsidR="00C813DC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Caucasian origin, family history of endometrial cancer or colon cancer, personal history of breast or ovarian cancer and a prior radiation therapy for pelvic cancer among others.</w:t>
      </w:r>
      <w:proofErr w:type="gramEnd"/>
    </w:p>
    <w:p w:rsidR="007970A6" w:rsidRPr="00DC49AD" w:rsidRDefault="00C813DC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We embark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on this study to enumerate the characteristics of endometrial cancer patients</w:t>
      </w:r>
      <w:r w:rsidR="002479C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7970A6" w:rsidRPr="00DC49AD">
        <w:rPr>
          <w:rFonts w:ascii="Times New Roman" w:hAnsi="Times New Roman" w:cs="Times New Roman"/>
          <w:sz w:val="20"/>
          <w:szCs w:val="20"/>
          <w:lang w:val="en-US"/>
        </w:rPr>
        <w:t>socio-</w:t>
      </w:r>
      <w:r w:rsidR="007970A6" w:rsidRPr="00DC49AD">
        <w:rPr>
          <w:rFonts w:ascii="Times New Roman" w:hAnsi="Times New Roman" w:cs="Times New Roman"/>
          <w:sz w:val="20"/>
          <w:szCs w:val="20"/>
          <w:lang w:val="en-US"/>
        </w:rPr>
        <w:lastRenderedPageBreak/>
        <w:t>demographic characteristic of the endometrial cancer patients, and the association of the patients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="007970A6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profile with endometrial cancer.</w:t>
      </w:r>
    </w:p>
    <w:p w:rsidR="00C813DC" w:rsidRPr="00DC49AD" w:rsidRDefault="00C813DC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Material</w:t>
      </w:r>
      <w:r w:rsidR="000F7301" w:rsidRPr="00DC49AD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and Method</w:t>
      </w:r>
      <w:r w:rsidR="000F7301" w:rsidRPr="00DC49AD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</w:p>
    <w:p w:rsidR="00C35BAA" w:rsidRPr="00DC49AD" w:rsidRDefault="000F7301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This was a retrospective, cross sectional study of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histologically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diagnosed endometrial cancers at the University College Hospital (UCH), Ibadan. The data used </w:t>
      </w: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were extracted</w:t>
      </w:r>
      <w:proofErr w:type="gram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from the National Cancer Registry, based at the University College Hospital, Ibadan, the Cancer Registry is </w:t>
      </w:r>
      <w:r w:rsidR="006B74E6" w:rsidRPr="00DC49AD">
        <w:rPr>
          <w:rFonts w:ascii="Times New Roman" w:hAnsi="Times New Roman" w:cs="Times New Roman"/>
          <w:sz w:val="20"/>
          <w:szCs w:val="20"/>
          <w:lang w:val="en-US"/>
        </w:rPr>
        <w:t>a World Health Organization approved</w:t>
      </w:r>
      <w:r w:rsidR="00C35BAA" w:rsidRPr="00DC49A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12549" w:rsidRPr="00DC49AD" w:rsidRDefault="00C12549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The study </w:t>
      </w:r>
      <w:r w:rsidR="00E71C82" w:rsidRPr="00DC49AD">
        <w:rPr>
          <w:rFonts w:ascii="Times New Roman" w:hAnsi="Times New Roman" w:cs="Times New Roman"/>
          <w:sz w:val="20"/>
          <w:szCs w:val="20"/>
          <w:lang w:val="en-US"/>
        </w:rPr>
        <w:t>group comprised 50 patients,</w:t>
      </w:r>
      <w:r w:rsidR="00A24FC1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who were managed as endometrial cancer patients between January 2000 and </w:t>
      </w:r>
      <w:proofErr w:type="gramStart"/>
      <w:r w:rsidR="00A24FC1" w:rsidRPr="00DC49AD">
        <w:rPr>
          <w:rFonts w:ascii="Times New Roman" w:hAnsi="Times New Roman" w:cs="Times New Roman"/>
          <w:sz w:val="20"/>
          <w:szCs w:val="20"/>
          <w:lang w:val="en-US"/>
        </w:rPr>
        <w:t>December,</w:t>
      </w:r>
      <w:proofErr w:type="gramEnd"/>
      <w:r w:rsidR="00A24FC1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2009; whose</w:t>
      </w:r>
      <w:r w:rsidR="00E71C82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medical records and histology slides were a</w:t>
      </w:r>
      <w:r w:rsidR="00B47BFC" w:rsidRPr="00DC49AD">
        <w:rPr>
          <w:rFonts w:ascii="Times New Roman" w:hAnsi="Times New Roman" w:cs="Times New Roman"/>
          <w:sz w:val="20"/>
          <w:szCs w:val="20"/>
          <w:lang w:val="en-US"/>
        </w:rPr>
        <w:t>vailable. Information retrieved from the medical records of the patients included, age, educational status, marital status, occupation, educational attainment,</w:t>
      </w:r>
      <w:r w:rsidR="00322B3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reproductive history: age at menarche and menopause, length of menstrual cycle, duration of menses,</w:t>
      </w:r>
      <w:r w:rsidR="00D06DB5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gravidity,</w:t>
      </w:r>
      <w:r w:rsidR="00DA774F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parity, contraception, infertility and drug use for infertility.</w:t>
      </w:r>
      <w:r w:rsid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A774F" w:rsidRPr="00DC49AD">
        <w:rPr>
          <w:rFonts w:ascii="Times New Roman" w:hAnsi="Times New Roman" w:cs="Times New Roman"/>
          <w:sz w:val="20"/>
          <w:szCs w:val="20"/>
          <w:lang w:val="en-US"/>
        </w:rPr>
        <w:t>Others included history of polycystic ovary disease, family history of cancer,</w:t>
      </w:r>
      <w:r w:rsidR="00D06DB5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diabetes mellitus,</w:t>
      </w:r>
      <w:r w:rsidR="00DA774F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history of hypertension, past medical history of cancer and</w:t>
      </w:r>
      <w:r w:rsidR="00B23B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D06DB5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stage</w:t>
      </w:r>
      <w:r w:rsidR="00B23B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="00D06DB5" w:rsidRPr="00DC49AD">
        <w:rPr>
          <w:rFonts w:ascii="Times New Roman" w:hAnsi="Times New Roman" w:cs="Times New Roman"/>
          <w:sz w:val="20"/>
          <w:szCs w:val="20"/>
          <w:lang w:val="en-US"/>
        </w:rPr>
        <w:t>cancer at diagnosis</w:t>
      </w:r>
      <w:r w:rsidR="00B23B2E" w:rsidRPr="00DC49A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7178D" w:rsidRPr="00DC49AD" w:rsidRDefault="00C7178D" w:rsidP="008762D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The data obtained were analyzed using SPSS (statistical package for social sciences) statistical software. Absolute numbers and simple percentages </w:t>
      </w: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were used</w:t>
      </w:r>
      <w:proofErr w:type="gram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to describe categorical variables. Similarly,</w:t>
      </w:r>
      <w:r w:rsidR="002D5292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quantitative variables were described using measures of central tendency (mean, median) and measures of dispersion (range, standard devi</w:t>
      </w:r>
      <w:r w:rsidR="00B328D2" w:rsidRPr="00DC49AD">
        <w:rPr>
          <w:rFonts w:ascii="Times New Roman" w:hAnsi="Times New Roman" w:cs="Times New Roman"/>
          <w:sz w:val="20"/>
          <w:szCs w:val="20"/>
          <w:lang w:val="en-US"/>
        </w:rPr>
        <w:t>ation) as appropriate.</w:t>
      </w:r>
    </w:p>
    <w:p w:rsidR="00814074" w:rsidRPr="00DC49AD" w:rsidRDefault="00814074" w:rsidP="008762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en-US"/>
        </w:rPr>
      </w:pPr>
    </w:p>
    <w:p w:rsidR="00C7178D" w:rsidRPr="00DC49AD" w:rsidRDefault="008762D1" w:rsidP="008762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b/>
          <w:color w:val="231F20"/>
          <w:sz w:val="20"/>
          <w:szCs w:val="20"/>
          <w:lang w:val="en-US"/>
        </w:rPr>
        <w:t>Result</w:t>
      </w:r>
    </w:p>
    <w:p w:rsidR="00A648FB" w:rsidRPr="00DC49AD" w:rsidRDefault="00C35BAA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A total of 15,42</w:t>
      </w:r>
      <w:r w:rsidR="00712DA8" w:rsidRPr="00DC49AD">
        <w:rPr>
          <w:rFonts w:ascii="Times New Roman" w:hAnsi="Times New Roman" w:cs="Times New Roman"/>
          <w:sz w:val="20"/>
          <w:szCs w:val="20"/>
          <w:lang w:val="en-US"/>
        </w:rPr>
        <w:t>3</w:t>
      </w:r>
      <w:proofErr w:type="gramEnd"/>
      <w:r w:rsidR="00712DA8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cases 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of malignancies </w:t>
      </w:r>
      <w:r w:rsidR="00712DA8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were diagnosed 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>during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the study period 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between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January 2000 and December 2009. About 11% of the cases were genital tract malignancies; endometrial cancer accounted for 3.1% (50</w:t>
      </w:r>
      <w:r w:rsidR="00712DA8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patients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C5630A" w:rsidRPr="00DC49AD" w:rsidRDefault="00C5630A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Sixty two percent of the endometrial cancer patients were 55 years and above in age, traders (58%), married (84%),</w:t>
      </w:r>
      <w:r w:rsidR="002B23C8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the commonest presenting complaint was bleeding per vagina in 96% of them,</w:t>
      </w:r>
      <w:r w:rsid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family history of endometrial cancer was absent in majority (92%) of the patients</w:t>
      </w:r>
      <w:r w:rsidR="00584AB8" w:rsidRPr="00DC49AD">
        <w:rPr>
          <w:rFonts w:ascii="Times New Roman" w:hAnsi="Times New Roman" w:cs="Times New Roman"/>
          <w:sz w:val="20"/>
          <w:szCs w:val="20"/>
          <w:lang w:val="en-US"/>
        </w:rPr>
        <w:t>, 52% had only primary school leaving certificate,</w:t>
      </w:r>
      <w:r w:rsidR="00D1363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72% were overweighed and </w:t>
      </w:r>
      <w:r w:rsidR="00B72204" w:rsidRPr="00DC49AD">
        <w:rPr>
          <w:rFonts w:ascii="Times New Roman" w:hAnsi="Times New Roman" w:cs="Times New Roman"/>
          <w:sz w:val="20"/>
          <w:szCs w:val="20"/>
          <w:lang w:val="en-US"/>
        </w:rPr>
        <w:t>obsessed,</w:t>
      </w:r>
      <w:r w:rsidR="00584AB8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72% did not avail themselves of contraception; of the 28% who engaged in contraception 57% of them used contraception for 3-5years.</w:t>
      </w:r>
      <w:proofErr w:type="gramEnd"/>
      <w:r w:rsid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1363E" w:rsidRPr="00DC49AD">
        <w:rPr>
          <w:rFonts w:ascii="Times New Roman" w:hAnsi="Times New Roman" w:cs="Times New Roman"/>
          <w:sz w:val="20"/>
          <w:szCs w:val="20"/>
          <w:lang w:val="en-US"/>
        </w:rPr>
        <w:t>(Table 1)</w:t>
      </w:r>
    </w:p>
    <w:p w:rsidR="00B72204" w:rsidRPr="00DC49AD" w:rsidRDefault="00220C96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Adenocarcinoma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A5A4D" w:rsidRPr="00DC49AD">
        <w:rPr>
          <w:rFonts w:ascii="Times New Roman" w:hAnsi="Times New Roman" w:cs="Times New Roman"/>
          <w:sz w:val="20"/>
          <w:szCs w:val="20"/>
          <w:lang w:val="en-US"/>
        </w:rPr>
        <w:t>was the</w:t>
      </w:r>
      <w:r w:rsidR="007059A0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commonest histological type (36%)</w:t>
      </w:r>
      <w:r w:rsidR="00E72EAD" w:rsidRPr="00DC49AD"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7059A0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others 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>we</w:t>
      </w:r>
      <w:r w:rsidR="007059A0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re </w:t>
      </w:r>
      <w:proofErr w:type="spellStart"/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8A5A4D" w:rsidRPr="00DC49AD">
        <w:rPr>
          <w:rFonts w:ascii="Times New Roman" w:hAnsi="Times New Roman" w:cs="Times New Roman"/>
          <w:sz w:val="20"/>
          <w:szCs w:val="20"/>
          <w:lang w:val="en-US"/>
        </w:rPr>
        <w:t>quamous</w:t>
      </w:r>
      <w:proofErr w:type="spellEnd"/>
      <w:r w:rsidR="008A5A4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cell carcinoma</w:t>
      </w:r>
      <w:r w:rsidR="00E748AD" w:rsidRPr="00DC49AD">
        <w:rPr>
          <w:rFonts w:ascii="Times New Roman" w:hAnsi="Times New Roman" w:cs="Times New Roman"/>
          <w:sz w:val="20"/>
          <w:szCs w:val="20"/>
          <w:lang w:val="en-US"/>
        </w:rPr>
        <w:t>, (24%)</w:t>
      </w:r>
      <w:r w:rsidR="00E72EA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72EAD" w:rsidRPr="00DC49AD">
        <w:rPr>
          <w:rFonts w:ascii="Times New Roman" w:hAnsi="Times New Roman" w:cs="Times New Roman"/>
          <w:sz w:val="20"/>
          <w:szCs w:val="20"/>
          <w:lang w:val="en-US"/>
        </w:rPr>
        <w:t>adeno-squamous</w:t>
      </w:r>
      <w:proofErr w:type="spellEnd"/>
      <w:r w:rsidR="00E72EA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059A0" w:rsidRPr="00DC49AD">
        <w:rPr>
          <w:rFonts w:ascii="Times New Roman" w:hAnsi="Times New Roman" w:cs="Times New Roman"/>
          <w:sz w:val="20"/>
          <w:szCs w:val="20"/>
          <w:lang w:val="en-US"/>
        </w:rPr>
        <w:t>cell carcinoma (16%),</w:t>
      </w:r>
      <w:r w:rsidR="00E72EA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and melanoma</w:t>
      </w:r>
      <w:r w:rsidR="007059A0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(14%) </w:t>
      </w:r>
      <w:r w:rsidR="002B23C8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while other relatively </w:t>
      </w:r>
      <w:r w:rsidR="002B23C8" w:rsidRPr="00DC49AD">
        <w:rPr>
          <w:rFonts w:ascii="Times New Roman" w:hAnsi="Times New Roman" w:cs="Times New Roman"/>
          <w:sz w:val="20"/>
          <w:szCs w:val="20"/>
          <w:lang w:val="en-US"/>
        </w:rPr>
        <w:lastRenderedPageBreak/>
        <w:t>uncommon histological pattern</w:t>
      </w:r>
      <w:r w:rsidR="00E72EAD" w:rsidRPr="00DC49AD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2B23C8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accounted for 10%.</w:t>
      </w:r>
      <w:r w:rsidR="00E72EA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(Table 2)</w:t>
      </w:r>
    </w:p>
    <w:p w:rsidR="003C1537" w:rsidRPr="00DC49AD" w:rsidRDefault="00E72EAD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Majority of the patients presented with poorly differentiated lesions (56%), </w:t>
      </w:r>
      <w:r w:rsidR="003C1537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moderately differentiated lesions were in 22% of the patients and only in 4% were </w:t>
      </w:r>
      <w:proofErr w:type="gramStart"/>
      <w:r w:rsidR="003C1537" w:rsidRPr="00DC49AD">
        <w:rPr>
          <w:rFonts w:ascii="Times New Roman" w:hAnsi="Times New Roman" w:cs="Times New Roman"/>
          <w:sz w:val="20"/>
          <w:szCs w:val="20"/>
          <w:lang w:val="en-US"/>
        </w:rPr>
        <w:t>well differentiated</w:t>
      </w:r>
      <w:proofErr w:type="gramEnd"/>
      <w:r w:rsidR="003C1537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lesions found. (Table 3)</w:t>
      </w:r>
    </w:p>
    <w:p w:rsidR="001B20F9" w:rsidRPr="00DC49AD" w:rsidRDefault="001B20F9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C1537" w:rsidRPr="00DC49AD" w:rsidRDefault="008762D1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Discussion</w:t>
      </w:r>
    </w:p>
    <w:p w:rsidR="00241E6E" w:rsidRPr="00DC49AD" w:rsidRDefault="00EC3ED3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6B5673" w:rsidRPr="00DC49AD">
        <w:rPr>
          <w:rFonts w:ascii="Times New Roman" w:hAnsi="Times New Roman" w:cs="Times New Roman"/>
          <w:sz w:val="20"/>
          <w:szCs w:val="20"/>
          <w:lang w:val="en-US"/>
        </w:rPr>
        <w:t>emale genital tract malignancies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accounted for about 11% of all malignancies </w:t>
      </w:r>
      <w:r w:rsidR="0004188D" w:rsidRPr="00DC49AD">
        <w:rPr>
          <w:rFonts w:ascii="Times New Roman" w:hAnsi="Times New Roman" w:cs="Times New Roman"/>
          <w:sz w:val="20"/>
          <w:szCs w:val="20"/>
          <w:lang w:val="en-US"/>
        </w:rPr>
        <w:t>treated in</w:t>
      </w:r>
      <w:r w:rsidR="006B5673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UCH over the 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ten-year</w:t>
      </w:r>
      <w:r w:rsidR="006B5673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study period;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this figure is in tandem</w:t>
      </w:r>
      <w:r w:rsidR="0004188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04188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figure (11.5%) posted by </w:t>
      </w:r>
      <w:proofErr w:type="spellStart"/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>Yakasai</w:t>
      </w:r>
      <w:proofErr w:type="spellEnd"/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et al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4829B1" w:rsidRPr="00DC49AD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>, in Northern N</w:t>
      </w:r>
      <w:r w:rsidR="00DB723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igeria but higher than 4.18 to </w:t>
      </w:r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4.70% reported by Briggs and </w:t>
      </w:r>
      <w:proofErr w:type="spellStart"/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>and</w:t>
      </w:r>
      <w:proofErr w:type="spellEnd"/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>Katchy</w:t>
      </w:r>
      <w:proofErr w:type="spellEnd"/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from </w:t>
      </w:r>
      <w:r w:rsidR="0002214D" w:rsidRPr="00DC49AD">
        <w:rPr>
          <w:rFonts w:ascii="Times New Roman" w:hAnsi="Times New Roman" w:cs="Times New Roman"/>
          <w:sz w:val="20"/>
          <w:szCs w:val="20"/>
          <w:lang w:val="en-US"/>
        </w:rPr>
        <w:t>Port Harcourt</w:t>
      </w:r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Nigeria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02214D" w:rsidRPr="00DC49A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904CCF" w:rsidRPr="00DC49AD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DB723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>Emembolu</w:t>
      </w:r>
      <w:proofErr w:type="spellEnd"/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>Ekwempu</w:t>
      </w:r>
      <w:proofErr w:type="spellEnd"/>
      <w:r w:rsidR="00241E6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from Zaria Nigeria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02214D" w:rsidRPr="00DC49A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904CCF" w:rsidRPr="00DC49AD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34149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4149D" w:rsidRPr="00DC49AD">
        <w:rPr>
          <w:rFonts w:ascii="Times New Roman" w:hAnsi="Times New Roman" w:cs="Times New Roman"/>
          <w:sz w:val="20"/>
          <w:szCs w:val="20"/>
          <w:lang w:val="en-US"/>
        </w:rPr>
        <w:t>Agboeze</w:t>
      </w:r>
      <w:proofErr w:type="spellEnd"/>
      <w:r w:rsidR="0034149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et al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34149D" w:rsidRPr="00DC49A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904CCF" w:rsidRPr="00DC49AD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34149D" w:rsidRPr="00DC49A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="0034149D" w:rsidRPr="00DC49AD">
        <w:rPr>
          <w:rFonts w:ascii="Times New Roman" w:hAnsi="Times New Roman" w:cs="Times New Roman"/>
          <w:sz w:val="20"/>
          <w:szCs w:val="20"/>
          <w:lang w:val="en-US"/>
        </w:rPr>
        <w:t>reported 8.4%</w:t>
      </w:r>
      <w:r w:rsidR="00064AEC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and 2.8% by </w:t>
      </w:r>
      <w:proofErr w:type="spellStart"/>
      <w:r w:rsidR="00064AEC" w:rsidRPr="00DC49AD">
        <w:rPr>
          <w:rFonts w:ascii="Times New Roman" w:hAnsi="Times New Roman" w:cs="Times New Roman"/>
          <w:sz w:val="20"/>
          <w:szCs w:val="20"/>
          <w:lang w:val="en-US"/>
        </w:rPr>
        <w:t>Nkyekyer</w:t>
      </w:r>
      <w:proofErr w:type="spellEnd"/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34149D" w:rsidRPr="00DC49A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303694" w:rsidRPr="00DC49AD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064AEC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from Ghana</w:t>
      </w:r>
      <w:r w:rsidR="00DB723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="00DB723D" w:rsidRPr="00DC49AD">
        <w:rPr>
          <w:rFonts w:ascii="Times New Roman" w:hAnsi="Times New Roman" w:cs="Times New Roman"/>
          <w:sz w:val="20"/>
          <w:szCs w:val="20"/>
          <w:lang w:val="en-US"/>
        </w:rPr>
        <w:t>in the same West African sub region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DB723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>Such</w:t>
      </w:r>
      <w:r w:rsidR="00DB723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variation in the burden of cancer across geographic zones is not alien to researcher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DB723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acr</w:t>
      </w:r>
      <w:r w:rsidR="00DA26EC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oss the globe; a number of environmental and genetic factors </w:t>
      </w:r>
      <w:proofErr w:type="gramStart"/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have been </w:t>
      </w:r>
      <w:r w:rsidR="000D146D" w:rsidRPr="00DC49AD">
        <w:rPr>
          <w:rFonts w:ascii="Times New Roman" w:hAnsi="Times New Roman" w:cs="Times New Roman"/>
          <w:sz w:val="20"/>
          <w:szCs w:val="20"/>
          <w:lang w:val="en-US"/>
        </w:rPr>
        <w:t>mentioned</w:t>
      </w:r>
      <w:proofErr w:type="gramEnd"/>
      <w:r w:rsidR="000D146D" w:rsidRPr="00DC49A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C1537" w:rsidRPr="00DC49AD" w:rsidRDefault="00B258E8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Endometrial cancers accounted</w:t>
      </w:r>
      <w:r w:rsidR="00064AEC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for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3.1% of female genital malignancies in this </w:t>
      </w: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study which</w:t>
      </w:r>
      <w:proofErr w:type="gramEnd"/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is at variance with 7.4% </w:t>
      </w:r>
      <w:r w:rsidR="007C3039" w:rsidRPr="00DC49AD">
        <w:rPr>
          <w:rFonts w:ascii="Times New Roman" w:hAnsi="Times New Roman" w:cs="Times New Roman"/>
          <w:sz w:val="20"/>
          <w:szCs w:val="20"/>
          <w:lang w:val="en-US"/>
        </w:rPr>
        <w:t>reported</w:t>
      </w:r>
      <w:r w:rsidR="004A4D93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03094" w:rsidRPr="00DC49AD"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="004A4D93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4149D" w:rsidRPr="00DC49AD">
        <w:rPr>
          <w:rFonts w:ascii="Times New Roman" w:hAnsi="Times New Roman" w:cs="Times New Roman"/>
          <w:sz w:val="20"/>
          <w:szCs w:val="20"/>
          <w:lang w:val="en-US"/>
        </w:rPr>
        <w:t>nort</w:t>
      </w:r>
      <w:r w:rsidR="004A4D93" w:rsidRPr="00DC49AD">
        <w:rPr>
          <w:rFonts w:ascii="Times New Roman" w:hAnsi="Times New Roman" w:cs="Times New Roman"/>
          <w:sz w:val="20"/>
          <w:szCs w:val="20"/>
          <w:lang w:val="en-US"/>
        </w:rPr>
        <w:t>hern Nigeria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824CB0" w:rsidRPr="00DC49AD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34149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A4D93" w:rsidRPr="00DC49AD">
        <w:rPr>
          <w:rFonts w:ascii="Times New Roman" w:hAnsi="Times New Roman" w:cs="Times New Roman"/>
          <w:sz w:val="20"/>
          <w:szCs w:val="20"/>
          <w:lang w:val="en-US"/>
        </w:rPr>
        <w:t>and the 10.1% in the southern part of the country.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4A4D93" w:rsidRPr="00DC49A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824CB0" w:rsidRPr="00DC49AD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283BA1" w:rsidRPr="00DC49A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BB6A04" w:rsidRPr="00DC49AD" w:rsidRDefault="00BB6A04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Sixty two percent of the patients diagnosed of endometrial cancer were </w:t>
      </w:r>
      <w:r w:rsidR="00F12FE2" w:rsidRPr="00DC49AD">
        <w:rPr>
          <w:rFonts w:ascii="Times New Roman" w:hAnsi="Times New Roman" w:cs="Times New Roman"/>
          <w:sz w:val="20"/>
          <w:szCs w:val="20"/>
          <w:lang w:val="en-US"/>
        </w:rPr>
        <w:t>older than 54</w:t>
      </w:r>
      <w:r w:rsidR="007C303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12FE2" w:rsidRPr="00DC49AD">
        <w:rPr>
          <w:rFonts w:ascii="Times New Roman" w:hAnsi="Times New Roman" w:cs="Times New Roman"/>
          <w:sz w:val="20"/>
          <w:szCs w:val="20"/>
          <w:lang w:val="en-US"/>
        </w:rPr>
        <w:t>years;</w:t>
      </w:r>
      <w:r w:rsidR="00F12FE2" w:rsidRPr="00DC49AD">
        <w:rPr>
          <w:rFonts w:ascii="Times New Roman" w:hAnsi="Times New Roman" w:cs="Times New Roman"/>
          <w:sz w:val="20"/>
          <w:szCs w:val="20"/>
        </w:rPr>
        <w:t xml:space="preserve"> this support</w:t>
      </w:r>
      <w:r w:rsidR="00BF661B" w:rsidRPr="00DC49AD">
        <w:rPr>
          <w:rFonts w:ascii="Times New Roman" w:hAnsi="Times New Roman" w:cs="Times New Roman"/>
          <w:sz w:val="20"/>
          <w:szCs w:val="20"/>
        </w:rPr>
        <w:t xml:space="preserve">s </w:t>
      </w:r>
      <w:r w:rsidR="00F12FE2" w:rsidRPr="00DC49AD">
        <w:rPr>
          <w:rFonts w:ascii="Times New Roman" w:hAnsi="Times New Roman" w:cs="Times New Roman"/>
          <w:sz w:val="20"/>
          <w:szCs w:val="20"/>
        </w:rPr>
        <w:t xml:space="preserve">the fact that advancing age is the most important risk factor for cancer overall, and for </w:t>
      </w:r>
      <w:r w:rsidR="00BF661B" w:rsidRPr="00DC49AD">
        <w:rPr>
          <w:rFonts w:ascii="Times New Roman" w:hAnsi="Times New Roman" w:cs="Times New Roman"/>
          <w:sz w:val="20"/>
          <w:szCs w:val="20"/>
        </w:rPr>
        <w:t xml:space="preserve">a number of </w:t>
      </w:r>
      <w:r w:rsidR="00F12FE2" w:rsidRPr="00DC49AD">
        <w:rPr>
          <w:rFonts w:ascii="Times New Roman" w:hAnsi="Times New Roman" w:cs="Times New Roman"/>
          <w:sz w:val="20"/>
          <w:szCs w:val="20"/>
        </w:rPr>
        <w:t>individual cancer types</w:t>
      </w:r>
      <w:r w:rsidR="00F12FE2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F661B" w:rsidRPr="00DC49AD">
        <w:rPr>
          <w:rFonts w:ascii="Times New Roman" w:hAnsi="Times New Roman" w:cs="Times New Roman"/>
          <w:sz w:val="20"/>
          <w:szCs w:val="20"/>
          <w:lang w:val="en-US"/>
        </w:rPr>
        <w:t>like endometrial cancer.</w:t>
      </w:r>
      <w:r w:rsidR="00CE435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03694" w:rsidRPr="00DC49AD">
        <w:rPr>
          <w:rFonts w:ascii="Times New Roman" w:hAnsi="Times New Roman" w:cs="Times New Roman"/>
          <w:sz w:val="20"/>
          <w:szCs w:val="20"/>
          <w:lang w:val="en-US"/>
        </w:rPr>
        <w:t>(19)</w:t>
      </w:r>
    </w:p>
    <w:p w:rsidR="00B613C8" w:rsidRPr="00DC49AD" w:rsidRDefault="000D146D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Seventy-two</w:t>
      </w:r>
      <w:r w:rsidR="006C1613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percent of the patients in this study group were either overweigh</w:t>
      </w:r>
      <w:r w:rsidR="007C3039" w:rsidRPr="00DC49AD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6C1613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or obese</w:t>
      </w:r>
      <w:r w:rsidR="007C3039" w:rsidRPr="00DC49A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6C1613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7C3039" w:rsidRPr="00DC49AD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6C1613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his is expected because literature is replete with evidence validating the role of obesity in cancer formation; </w:t>
      </w:r>
      <w:r w:rsidR="006C1613" w:rsidRPr="00DC49AD">
        <w:rPr>
          <w:rFonts w:ascii="Times New Roman" w:hAnsi="Times New Roman" w:cs="Times New Roman"/>
          <w:color w:val="231F20"/>
          <w:sz w:val="20"/>
          <w:szCs w:val="20"/>
          <w:lang w:val="en-US"/>
        </w:rPr>
        <w:t>o</w:t>
      </w:r>
      <w:r w:rsidR="00B613C8" w:rsidRPr="00DC49AD">
        <w:rPr>
          <w:rFonts w:ascii="Times New Roman" w:hAnsi="Times New Roman" w:cs="Times New Roman"/>
          <w:color w:val="231F20"/>
          <w:sz w:val="20"/>
          <w:szCs w:val="20"/>
          <w:lang w:val="en-US"/>
        </w:rPr>
        <w:t>besity is a</w:t>
      </w:r>
      <w:r w:rsidR="00126FDB" w:rsidRPr="00DC49AD">
        <w:rPr>
          <w:rFonts w:ascii="Times New Roman" w:hAnsi="Times New Roman" w:cs="Times New Roman"/>
          <w:color w:val="231F20"/>
          <w:sz w:val="20"/>
          <w:szCs w:val="20"/>
          <w:lang w:val="en-US"/>
        </w:rPr>
        <w:t>n important risk factor in the development of a number of cancers and cancer related death.</w:t>
      </w:r>
      <w:r w:rsidR="00283BA1" w:rsidRPr="00DC49AD">
        <w:rPr>
          <w:rFonts w:ascii="Times New Roman" w:hAnsi="Times New Roman" w:cs="Times New Roman"/>
          <w:color w:val="231F20"/>
          <w:sz w:val="20"/>
          <w:szCs w:val="20"/>
          <w:lang w:val="en-US"/>
        </w:rPr>
        <w:t>(</w:t>
      </w:r>
      <w:r w:rsidR="00126FDB" w:rsidRPr="00DC49AD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B613C8" w:rsidRPr="00DC49A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15B1D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613C8" w:rsidRPr="00DC49AD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126FDB" w:rsidRPr="00DC49A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83BA1" w:rsidRPr="00DC49AD">
        <w:rPr>
          <w:rFonts w:ascii="Times New Roman" w:hAnsi="Times New Roman" w:cs="Times New Roman"/>
          <w:color w:val="000064"/>
          <w:sz w:val="20"/>
          <w:szCs w:val="20"/>
          <w:lang w:val="en-US"/>
        </w:rPr>
        <w:t>)</w:t>
      </w:r>
      <w:r w:rsidR="00B613C8" w:rsidRPr="00DC49AD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</w:t>
      </w:r>
      <w:r w:rsidR="00126FDB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 w:rsidR="00B613C8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all cancers,</w:t>
      </w:r>
      <w:r w:rsidR="00B613C8" w:rsidRPr="00DC49AD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</w:t>
      </w:r>
      <w:r w:rsidR="00B613C8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increasing body mass index (</w:t>
      </w:r>
      <w:smartTag w:uri="urn:schemas-microsoft-com:office:smarttags" w:element="stockticker">
        <w:r w:rsidR="00B613C8" w:rsidRPr="00DC49AD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BMI</w:t>
        </w:r>
      </w:smartTag>
      <w:r w:rsidR="00B613C8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  <w:r w:rsidR="00B613C8" w:rsidRPr="00DC49AD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</w:t>
      </w:r>
      <w:r w:rsidR="00B613C8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and obesity are associated</w:t>
      </w:r>
      <w:r w:rsidR="00126FDB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; more so, </w:t>
      </w:r>
      <w:r w:rsidR="00B613C8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endometrial cancer incidence and</w:t>
      </w:r>
      <w:r w:rsidR="00B613C8" w:rsidRPr="00DC49AD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</w:t>
      </w:r>
      <w:r w:rsidR="00B613C8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death</w:t>
      </w:r>
      <w:r w:rsidR="00126FDB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.(20</w:t>
      </w:r>
      <w:r w:rsidR="00283BA1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r w:rsidR="006C1613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Furthermore, </w:t>
      </w:r>
      <w:r w:rsidR="007C303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415B1D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t was documented that for every increase of BMI of 5</w:t>
      </w:r>
      <w:r w:rsidR="007C303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k</w:t>
      </w:r>
      <w:r w:rsidR="00415B1D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g/m</w:t>
      </w:r>
      <w:r w:rsidR="00415B1D" w:rsidRPr="00DC49AD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2</w:t>
      </w:r>
      <w:r w:rsidR="00415B1D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there was a significant increase in a woman’s risk of deve</w:t>
      </w:r>
      <w:r w:rsidR="00126FDB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lopment of endometrial cancer.(22</w:t>
      </w:r>
      <w:r w:rsidR="00415B1D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  <w:proofErr w:type="gramEnd"/>
    </w:p>
    <w:p w:rsidR="0062435B" w:rsidRPr="00DC49AD" w:rsidRDefault="0062435B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Majority of the</w:t>
      </w:r>
      <w:r w:rsidR="008D21BE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endometrial cancer</w:t>
      </w:r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patients (72%)</w:t>
      </w:r>
      <w:r w:rsidR="008D21BE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this study</w:t>
      </w:r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did not use any form of contraception</w:t>
      </w:r>
      <w:r w:rsidR="008D21BE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, this development validated the fact that women who use combined oral contraceptive pill for a period of 12months decrease their risk of endometrial cancer by fifty percent. (23)</w:t>
      </w:r>
    </w:p>
    <w:p w:rsidR="00126FDB" w:rsidRPr="00DC49AD" w:rsidRDefault="00126FDB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Adenocarcinoma</w:t>
      </w:r>
      <w:proofErr w:type="spellEnd"/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was the commo</w:t>
      </w:r>
      <w:r w:rsidR="00657A56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nest histological pattern in this</w:t>
      </w:r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study, </w:t>
      </w:r>
      <w:r w:rsidR="00CC17DB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this is the pattern known and documented in literatures</w:t>
      </w:r>
      <w:r w:rsidR="0015603F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; however</w:t>
      </w:r>
      <w:r w:rsidR="008506BB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majority of the</w:t>
      </w:r>
      <w:r w:rsidR="009F602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se</w:t>
      </w:r>
      <w:r w:rsidR="008506BB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patients presented with poorly diff</w:t>
      </w:r>
      <w:r w:rsidR="001C5F81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erentiated histological pattern</w:t>
      </w:r>
      <w:r w:rsidR="00E96E77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this pattern has </w:t>
      </w:r>
      <w:r w:rsidR="00E96E77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higher predilection for </w:t>
      </w:r>
      <w:proofErr w:type="spellStart"/>
      <w:r w:rsidR="00E96E77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myom</w:t>
      </w:r>
      <w:r w:rsidR="003F5B34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etr</w:t>
      </w:r>
      <w:r w:rsidR="005D6714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ial</w:t>
      </w:r>
      <w:proofErr w:type="spellEnd"/>
      <w:r w:rsidR="005D6714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8F2F35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invasion and subsequent distant metastasis</w:t>
      </w:r>
      <w:r w:rsidR="009F602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(24,25)</w:t>
      </w:r>
      <w:r w:rsid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E96E77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which </w:t>
      </w:r>
      <w:r w:rsidR="001C5F81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conform</w:t>
      </w:r>
      <w:r w:rsidR="007C303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s</w:t>
      </w:r>
      <w:r w:rsidR="001C5F81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7C303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to</w:t>
      </w:r>
      <w:r w:rsidR="001C5F81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 fact that Caucasian women</w:t>
      </w:r>
      <w:r w:rsidR="00E96E77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mostly </w:t>
      </w:r>
      <w:r w:rsidR="002D5292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present</w:t>
      </w:r>
      <w:r w:rsidR="00E96E77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ed</w:t>
      </w:r>
      <w:r w:rsidR="002D5292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with </w:t>
      </w:r>
      <w:proofErr w:type="spellStart"/>
      <w:r w:rsidR="002D5292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prognostically</w:t>
      </w:r>
      <w:proofErr w:type="spellEnd"/>
      <w:r w:rsidR="002D5292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2D5292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favourable</w:t>
      </w:r>
      <w:proofErr w:type="spellEnd"/>
      <w:r w:rsid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1C5F81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endometri</w:t>
      </w:r>
      <w:r w:rsidR="00C9380D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al</w:t>
      </w:r>
      <w:r w:rsidR="001C5F81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carcinoma, </w:t>
      </w:r>
      <w:r w:rsidR="00E96E77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as opposed to</w:t>
      </w:r>
      <w:r w:rsid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1C5F81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Asian and African-American women</w:t>
      </w:r>
      <w:r w:rsid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E96E77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who had </w:t>
      </w:r>
      <w:r w:rsidR="001C5F81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an increased risk </w:t>
      </w:r>
      <w:r w:rsidR="00E96E77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of presenting</w:t>
      </w:r>
      <w:r w:rsidR="009F602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with</w:t>
      </w:r>
      <w:r w:rsid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2D5292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prognostically</w:t>
      </w:r>
      <w:proofErr w:type="spellEnd"/>
      <w:r w:rsidR="002D5292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1C5F81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unfavorable ty</w:t>
      </w:r>
      <w:r w:rsidR="009F602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pes of endometrial carcinoma.(26</w:t>
      </w:r>
      <w:r w:rsidR="001C5F81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  <w:proofErr w:type="gramEnd"/>
    </w:p>
    <w:p w:rsidR="008506BB" w:rsidRPr="00DC49AD" w:rsidRDefault="008506BB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9F6029" w:rsidRPr="00DC49AD" w:rsidRDefault="008762D1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lastRenderedPageBreak/>
        <w:t>Conclusion</w:t>
      </w:r>
    </w:p>
    <w:p w:rsidR="009F6029" w:rsidRPr="00DC49AD" w:rsidRDefault="001B20F9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Majority of the endometrial cancer patients managed at UCH, Ibadan were 55</w:t>
      </w:r>
      <w:r w:rsidR="007C303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years and older</w:t>
      </w:r>
      <w:r w:rsidR="007C303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; they tended to be obese and did not avail themselves of contraceptives. There was no strong</w:t>
      </w:r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family history of endometrial cancer </w:t>
      </w:r>
      <w:r w:rsidR="007C303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among </w:t>
      </w:r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these patients</w:t>
      </w:r>
      <w:r w:rsidR="007C303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1B20F9" w:rsidRPr="00DC49AD" w:rsidRDefault="001B20F9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Poorly differentiated </w:t>
      </w:r>
      <w:proofErr w:type="spellStart"/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adenocarcinoma</w:t>
      </w:r>
      <w:proofErr w:type="spellEnd"/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was the commonest</w:t>
      </w:r>
      <w:r w:rsidR="007C3039"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histological </w:t>
      </w:r>
      <w:r w:rsidRPr="00DC49AD">
        <w:rPr>
          <w:rFonts w:ascii="Times New Roman" w:hAnsi="Times New Roman" w:cs="Times New Roman"/>
          <w:color w:val="000000"/>
          <w:sz w:val="20"/>
          <w:szCs w:val="20"/>
          <w:lang w:val="en-US"/>
        </w:rPr>
        <w:t>pattern in the study.</w:t>
      </w:r>
    </w:p>
    <w:p w:rsidR="008762D1" w:rsidRPr="00DC49AD" w:rsidRDefault="008762D1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8762D1" w:rsidRPr="00DC49AD" w:rsidSect="00DC49AD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DC49AD" w:rsidRDefault="00DC49AD" w:rsidP="008762D1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</w:pPr>
    </w:p>
    <w:p w:rsidR="004D1C6C" w:rsidRPr="00DC49AD" w:rsidRDefault="003C01D7" w:rsidP="008762D1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</w:pPr>
      <w:proofErr w:type="gramStart"/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Table</w:t>
      </w:r>
      <w:r w:rsidR="00DC49AD" w:rsidRPr="00DC49AD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 xml:space="preserve"> </w:t>
      </w: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DC49AD" w:rsidRPr="00DC49AD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.</w:t>
      </w:r>
      <w:proofErr w:type="gramEnd"/>
      <w:r w:rsidR="00DC49AD" w:rsidRPr="00DC49AD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 xml:space="preserve"> Age</w:t>
      </w:r>
    </w:p>
    <w:tbl>
      <w:tblPr>
        <w:tblStyle w:val="PlainTable21"/>
        <w:tblW w:w="5000" w:type="pct"/>
        <w:jc w:val="center"/>
        <w:tblLook w:val="0000"/>
      </w:tblPr>
      <w:tblGrid>
        <w:gridCol w:w="5502"/>
        <w:gridCol w:w="2011"/>
        <w:gridCol w:w="2063"/>
      </w:tblGrid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FREQUENCY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PERCENT </w:t>
            </w:r>
            <w:r w:rsidR="008762D1" w:rsidRPr="00DC49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(%)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AGE GROUP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LESS </w:t>
            </w:r>
            <w:r w:rsidR="00C758CA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THAN</w:t>
            </w: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8762D1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35 </w:t>
            </w: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YEARS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35-44 </w:t>
            </w:r>
            <w:r w:rsidR="004D1C6C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Years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45-54 </w:t>
            </w:r>
            <w:r w:rsidR="004D1C6C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Years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55-64 </w:t>
            </w:r>
            <w:r w:rsidR="004D1C6C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Years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Greater </w:t>
            </w:r>
            <w:r w:rsidR="00C27ABA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THAN</w:t>
            </w: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8762D1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64 </w:t>
            </w: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Years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OCCUPATION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Trading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Civil Servant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Farmer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Others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FAMILY HISTORY OF CANCER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HISTORY OF HYPERTENSION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HISTORY OF DIABETES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MARITAL STATUS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Married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Single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Widow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EDUCATIONAL LEVEL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Primary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Secondary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Ter</w:t>
            </w:r>
            <w:r w:rsidR="00421DFE" w:rsidRPr="00DC49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DC49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iary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Other</w:t>
            </w:r>
            <w:r w:rsidR="00421DFE" w:rsidRPr="00DC49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BODY MASS INDEX DETAIL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Underweight </w:t>
            </w:r>
            <w:r w:rsidR="008762D1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 &lt;18.5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Normal </w:t>
            </w:r>
            <w:r w:rsidR="008762D1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Weight = 18.5–24.9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Overweight </w:t>
            </w:r>
            <w:r w:rsidR="008762D1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 25–29.9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Obesity </w:t>
            </w:r>
            <w:r w:rsidR="008762D1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= </w:t>
            </w: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BMI </w:t>
            </w:r>
            <w:r w:rsidR="008762D1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 30 Or &gt;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CONTRACEPTION USE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DURATION OF CONTRACEPTIVE USE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3-5 </w:t>
            </w:r>
            <w:r w:rsidR="004D1C6C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Years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57.1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6-8 </w:t>
            </w:r>
            <w:r w:rsidR="004D1C6C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Years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28.6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More </w:t>
            </w:r>
            <w:r w:rsidR="008762D1"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Dawn 8 </w:t>
            </w: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Years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14.3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C49AD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PRESENTING COMPLAINTS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Bleeding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48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96.0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2873" w:type="pct"/>
            <w:vAlign w:val="center"/>
          </w:tcPr>
          <w:p w:rsidR="004D1C6C" w:rsidRPr="00DC49AD" w:rsidRDefault="004D1C6C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Swelling</w:t>
            </w:r>
          </w:p>
        </w:tc>
        <w:tc>
          <w:tcPr>
            <w:cnfStyle w:val="000001000000"/>
            <w:tcW w:w="1050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  <w:tc>
          <w:tcPr>
            <w:cnfStyle w:val="000010000000"/>
            <w:tcW w:w="1078" w:type="pct"/>
            <w:vAlign w:val="center"/>
          </w:tcPr>
          <w:p w:rsidR="004D1C6C" w:rsidRPr="00DC49AD" w:rsidRDefault="008762D1" w:rsidP="008762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4.0</w:t>
            </w:r>
          </w:p>
        </w:tc>
      </w:tr>
    </w:tbl>
    <w:p w:rsidR="004D1C6C" w:rsidRPr="00DC49AD" w:rsidRDefault="004D1C6C" w:rsidP="008762D1">
      <w:pPr>
        <w:pStyle w:val="NoSpacing"/>
        <w:snapToGrid w:val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Table 2</w:t>
      </w:r>
      <w:r w:rsidR="00DC49AD" w:rsidRPr="00DC49AD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.</w:t>
      </w:r>
      <w:proofErr w:type="gramEnd"/>
      <w:r w:rsidR="008762D1" w:rsidRPr="00DC49AD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 xml:space="preserve"> </w:t>
      </w: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Histology</w:t>
      </w:r>
    </w:p>
    <w:tbl>
      <w:tblPr>
        <w:tblStyle w:val="PlainTable21"/>
        <w:tblW w:w="5000" w:type="pct"/>
        <w:jc w:val="center"/>
        <w:tblLook w:val="0000"/>
      </w:tblPr>
      <w:tblGrid>
        <w:gridCol w:w="265"/>
        <w:gridCol w:w="3376"/>
        <w:gridCol w:w="1262"/>
        <w:gridCol w:w="971"/>
        <w:gridCol w:w="1561"/>
        <w:gridCol w:w="2141"/>
      </w:tblGrid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1901" w:type="pct"/>
            <w:gridSpan w:val="2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659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cnfStyle w:val="000010000000"/>
            <w:tcW w:w="507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cnfStyle w:val="000001000000"/>
            <w:tcW w:w="815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cnfStyle w:val="000010000000"/>
            <w:tcW w:w="111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138" w:type="pct"/>
            <w:vMerge w:val="restar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176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Adenocarcinoma</w:t>
            </w:r>
            <w:proofErr w:type="spellEnd"/>
          </w:p>
        </w:tc>
        <w:tc>
          <w:tcPr>
            <w:cnfStyle w:val="000010000000"/>
            <w:tcW w:w="659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01000000"/>
            <w:tcW w:w="507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</w:t>
            </w:r>
          </w:p>
        </w:tc>
        <w:tc>
          <w:tcPr>
            <w:cnfStyle w:val="000010000000"/>
            <w:tcW w:w="815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</w:t>
            </w:r>
          </w:p>
        </w:tc>
        <w:tc>
          <w:tcPr>
            <w:cnfStyle w:val="000001000000"/>
            <w:tcW w:w="111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138" w:type="pct"/>
            <w:vMerge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176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Squamous</w:t>
            </w:r>
            <w:proofErr w:type="spellEnd"/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cell carcinoma</w:t>
            </w:r>
          </w:p>
        </w:tc>
        <w:tc>
          <w:tcPr>
            <w:cnfStyle w:val="000010000000"/>
            <w:tcW w:w="659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01000000"/>
            <w:tcW w:w="507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  <w:tc>
          <w:tcPr>
            <w:cnfStyle w:val="000010000000"/>
            <w:tcW w:w="815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  <w:tc>
          <w:tcPr>
            <w:cnfStyle w:val="000001000000"/>
            <w:tcW w:w="111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138" w:type="pct"/>
            <w:vMerge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176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Adeno-squamous</w:t>
            </w:r>
            <w:proofErr w:type="spellEnd"/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cell carcinoma</w:t>
            </w:r>
          </w:p>
        </w:tc>
        <w:tc>
          <w:tcPr>
            <w:cnfStyle w:val="000010000000"/>
            <w:tcW w:w="659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cnfStyle w:val="000001000000"/>
            <w:tcW w:w="507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cnfStyle w:val="000010000000"/>
            <w:tcW w:w="815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cnfStyle w:val="000001000000"/>
            <w:tcW w:w="111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138" w:type="pct"/>
            <w:vMerge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176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Melanoma</w:t>
            </w:r>
          </w:p>
        </w:tc>
        <w:tc>
          <w:tcPr>
            <w:cnfStyle w:val="000010000000"/>
            <w:tcW w:w="659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cnfStyle w:val="000001000000"/>
            <w:tcW w:w="507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cnfStyle w:val="000010000000"/>
            <w:tcW w:w="815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cnfStyle w:val="000001000000"/>
            <w:tcW w:w="111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82.0</w:t>
            </w:r>
          </w:p>
        </w:tc>
      </w:tr>
      <w:tr w:rsidR="004D1C6C" w:rsidRPr="00DC49AD" w:rsidTr="008762D1">
        <w:trPr>
          <w:jc w:val="center"/>
        </w:trPr>
        <w:tc>
          <w:tcPr>
            <w:cnfStyle w:val="000010000000"/>
            <w:tcW w:w="138" w:type="pct"/>
            <w:vMerge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176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cnfStyle w:val="000010000000"/>
            <w:tcW w:w="659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1000000"/>
            <w:tcW w:w="507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cnfStyle w:val="000010000000"/>
            <w:tcW w:w="815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cnfStyle w:val="000001000000"/>
            <w:tcW w:w="111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</w:tr>
      <w:tr w:rsidR="004D1C6C" w:rsidRPr="00DC49AD" w:rsidTr="008762D1">
        <w:trPr>
          <w:cnfStyle w:val="000000100000"/>
          <w:jc w:val="center"/>
        </w:trPr>
        <w:tc>
          <w:tcPr>
            <w:cnfStyle w:val="000010000000"/>
            <w:tcW w:w="138" w:type="pct"/>
            <w:vMerge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1000000"/>
            <w:tcW w:w="1763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cnfStyle w:val="000010000000"/>
            <w:tcW w:w="659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cnfStyle w:val="000001000000"/>
            <w:tcW w:w="507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cnfStyle w:val="000010000000"/>
            <w:tcW w:w="815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cnfStyle w:val="000001000000"/>
            <w:tcW w:w="1118" w:type="pct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D1C6C" w:rsidRPr="00DC49AD" w:rsidRDefault="004D1C6C" w:rsidP="008762D1">
      <w:pPr>
        <w:pStyle w:val="NoSpacing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D1C6C" w:rsidRPr="00DC49AD" w:rsidRDefault="004D1C6C" w:rsidP="008762D1">
      <w:pPr>
        <w:pStyle w:val="NoSpacing"/>
        <w:snapToGrid w:val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Table</w:t>
      </w:r>
      <w:r w:rsidR="00DC49AD" w:rsidRPr="00DC49AD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 xml:space="preserve"> </w:t>
      </w: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DC49AD" w:rsidRPr="00DC49AD">
        <w:rPr>
          <w:rFonts w:ascii="Times New Roman" w:hAnsi="Times New Roman" w:cs="Times New Roman" w:hint="eastAsia"/>
          <w:b/>
          <w:sz w:val="20"/>
          <w:szCs w:val="20"/>
          <w:lang w:val="en-US" w:eastAsia="zh-CN"/>
        </w:rPr>
        <w:t>.</w:t>
      </w:r>
      <w:proofErr w:type="gramEnd"/>
      <w:r w:rsidR="00DC49A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762D1" w:rsidRPr="00DC49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Cancer Grade</w:t>
      </w:r>
    </w:p>
    <w:tbl>
      <w:tblPr>
        <w:tblStyle w:val="TableGrid"/>
        <w:tblW w:w="5000" w:type="pct"/>
        <w:jc w:val="center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83"/>
        <w:gridCol w:w="2903"/>
        <w:gridCol w:w="1360"/>
        <w:gridCol w:w="1046"/>
        <w:gridCol w:w="1680"/>
        <w:gridCol w:w="2304"/>
      </w:tblGrid>
      <w:tr w:rsidR="004D1C6C" w:rsidRPr="00DC49AD" w:rsidTr="008762D1">
        <w:trPr>
          <w:jc w:val="center"/>
        </w:trPr>
        <w:tc>
          <w:tcPr>
            <w:tcW w:w="1664" w:type="pct"/>
            <w:gridSpan w:val="2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4D1C6C" w:rsidRPr="00DC49AD" w:rsidTr="008762D1">
        <w:trPr>
          <w:jc w:val="center"/>
        </w:trPr>
        <w:tc>
          <w:tcPr>
            <w:tcW w:w="148" w:type="pct"/>
            <w:vMerge w:val="restar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well differentiated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</w:tr>
      <w:tr w:rsidR="004D1C6C" w:rsidRPr="00DC49AD" w:rsidTr="008762D1">
        <w:trPr>
          <w:jc w:val="center"/>
        </w:trPr>
        <w:tc>
          <w:tcPr>
            <w:tcW w:w="148" w:type="pct"/>
            <w:vMerge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Moderately differentiated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</w:tr>
      <w:tr w:rsidR="004D1C6C" w:rsidRPr="00DC49AD" w:rsidTr="008762D1">
        <w:trPr>
          <w:jc w:val="center"/>
        </w:trPr>
        <w:tc>
          <w:tcPr>
            <w:tcW w:w="148" w:type="pct"/>
            <w:vMerge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Poorly differentiated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</w:t>
            </w:r>
          </w:p>
        </w:tc>
      </w:tr>
      <w:tr w:rsidR="004D1C6C" w:rsidRPr="00DC49AD" w:rsidTr="008762D1">
        <w:trPr>
          <w:jc w:val="center"/>
        </w:trPr>
        <w:tc>
          <w:tcPr>
            <w:tcW w:w="148" w:type="pct"/>
            <w:vMerge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</w:tr>
      <w:tr w:rsidR="004D1C6C" w:rsidRPr="00DC49AD" w:rsidTr="008762D1">
        <w:trPr>
          <w:jc w:val="center"/>
        </w:trPr>
        <w:tc>
          <w:tcPr>
            <w:tcW w:w="148" w:type="pct"/>
            <w:vMerge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4D1C6C" w:rsidRPr="00DC49AD" w:rsidRDefault="004D1C6C" w:rsidP="008762D1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762D1" w:rsidRPr="00DC49AD" w:rsidRDefault="008762D1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762D1" w:rsidRPr="00DC49AD" w:rsidRDefault="008762D1" w:rsidP="008762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  <w:sectPr w:rsidR="008762D1" w:rsidRPr="00DC49AD" w:rsidSect="00E479AC">
          <w:headerReference w:type="default" r:id="rId15"/>
          <w:footerReference w:type="defaul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734AC" w:rsidRPr="00DC49AD" w:rsidRDefault="000734AC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Corresponding Author:</w:t>
      </w:r>
    </w:p>
    <w:p w:rsidR="000734AC" w:rsidRPr="00DC49AD" w:rsidRDefault="000734AC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Department of Obstetrics and </w:t>
      </w: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Gynaecology</w:t>
      </w:r>
      <w:proofErr w:type="spellEnd"/>
      <w:r w:rsidRPr="00DC49AD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0734AC" w:rsidRPr="00DC49AD" w:rsidRDefault="000734AC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University College Hospital</w:t>
      </w:r>
      <w:r w:rsidR="004937E1" w:rsidRPr="00DC49AD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0734AC" w:rsidRPr="00DC49AD" w:rsidRDefault="000734AC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PMB 5116</w:t>
      </w:r>
      <w:r w:rsidR="004937E1" w:rsidRPr="00DC49A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Queen Elizabeth Road</w:t>
      </w:r>
      <w:r w:rsidR="004937E1" w:rsidRPr="00DC49AD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0734AC" w:rsidRPr="00DC49AD" w:rsidRDefault="000734AC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Ibadan,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 </w:t>
      </w:r>
      <w:r w:rsidRPr="00DC49AD">
        <w:rPr>
          <w:rFonts w:ascii="Times New Roman" w:hAnsi="Times New Roman" w:cs="Times New Roman"/>
          <w:sz w:val="20"/>
          <w:szCs w:val="20"/>
          <w:lang w:val="en-US"/>
        </w:rPr>
        <w:t>Oyo State</w:t>
      </w:r>
      <w:r w:rsidR="004937E1" w:rsidRPr="00DC49AD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0734AC" w:rsidRPr="00DC49AD" w:rsidRDefault="000734AC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Nigeria.</w:t>
      </w:r>
    </w:p>
    <w:p w:rsidR="000734AC" w:rsidRPr="00DC49AD" w:rsidRDefault="000734AC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Tel: +2348129596686</w:t>
      </w:r>
    </w:p>
    <w:p w:rsidR="000734AC" w:rsidRPr="00DC49AD" w:rsidRDefault="000734AC" w:rsidP="008762D1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val="en-US" w:eastAsia="zh-CN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hyperlink r:id="rId17" w:history="1">
        <w:r w:rsidR="00DC49AD" w:rsidRPr="00DC49AD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sinaadekanbi@yahoo.com</w:t>
        </w:r>
      </w:hyperlink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 </w:t>
      </w:r>
    </w:p>
    <w:p w:rsidR="000734AC" w:rsidRPr="00DC49AD" w:rsidRDefault="000734AC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762D1" w:rsidRPr="00DC49AD" w:rsidRDefault="008762D1" w:rsidP="008762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DC49AD">
        <w:rPr>
          <w:rFonts w:ascii="Times New Roman" w:hAnsi="Times New Roman" w:cs="Times New Roman"/>
          <w:sz w:val="20"/>
          <w:szCs w:val="20"/>
        </w:rPr>
        <w:t>J</w:t>
      </w:r>
      <w:r w:rsidR="004829B1" w:rsidRPr="00DC49AD">
        <w:rPr>
          <w:rFonts w:ascii="Times New Roman" w:hAnsi="Times New Roman" w:cs="Times New Roman"/>
          <w:sz w:val="20"/>
          <w:szCs w:val="20"/>
        </w:rPr>
        <w:t>emal</w:t>
      </w:r>
      <w:proofErr w:type="spellEnd"/>
      <w:r w:rsidR="004829B1" w:rsidRPr="00DC49AD">
        <w:rPr>
          <w:rFonts w:ascii="Times New Roman" w:hAnsi="Times New Roman" w:cs="Times New Roman"/>
          <w:sz w:val="20"/>
          <w:szCs w:val="20"/>
        </w:rPr>
        <w:t xml:space="preserve"> A, Siegel R, </w:t>
      </w:r>
      <w:proofErr w:type="spellStart"/>
      <w:r w:rsidR="004829B1" w:rsidRPr="00DC49AD">
        <w:rPr>
          <w:rFonts w:ascii="Times New Roman" w:hAnsi="Times New Roman" w:cs="Times New Roman"/>
          <w:sz w:val="20"/>
          <w:szCs w:val="20"/>
        </w:rPr>
        <w:t>Xu</w:t>
      </w:r>
      <w:proofErr w:type="spellEnd"/>
      <w:r w:rsidR="004829B1" w:rsidRPr="00DC49AD">
        <w:rPr>
          <w:rFonts w:ascii="Times New Roman" w:hAnsi="Times New Roman" w:cs="Times New Roman"/>
          <w:sz w:val="20"/>
          <w:szCs w:val="20"/>
        </w:rPr>
        <w:t xml:space="preserve"> J, Ward E. Cancer statistics, 2010.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="004829B1" w:rsidRPr="00DC49AD">
        <w:rPr>
          <w:rFonts w:ascii="Times New Roman" w:hAnsi="Times New Roman" w:cs="Times New Roman"/>
          <w:i/>
          <w:iCs/>
          <w:sz w:val="20"/>
          <w:szCs w:val="20"/>
        </w:rPr>
        <w:t>CA: Cancer Journal for Clinicians</w:t>
      </w:r>
      <w:r w:rsidR="004829B1" w:rsidRPr="00DC49A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C49AD" w:rsidRPr="00DC49A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829B1" w:rsidRPr="00DC49AD">
        <w:rPr>
          <w:rFonts w:ascii="Times New Roman" w:hAnsi="Times New Roman" w:cs="Times New Roman"/>
          <w:sz w:val="20"/>
          <w:szCs w:val="20"/>
        </w:rPr>
        <w:t>2010</w:t>
      </w:r>
      <w:proofErr w:type="gramStart"/>
      <w:r w:rsidR="004829B1" w:rsidRPr="00DC49AD">
        <w:rPr>
          <w:rFonts w:ascii="Times New Roman" w:hAnsi="Times New Roman" w:cs="Times New Roman"/>
          <w:sz w:val="20"/>
          <w:szCs w:val="20"/>
        </w:rPr>
        <w:t>;60</w:t>
      </w:r>
      <w:proofErr w:type="gramEnd"/>
      <w:r w:rsidR="004829B1" w:rsidRPr="00DC49AD">
        <w:rPr>
          <w:rFonts w:ascii="Times New Roman" w:hAnsi="Times New Roman" w:cs="Times New Roman"/>
          <w:sz w:val="20"/>
          <w:szCs w:val="20"/>
        </w:rPr>
        <w:t>(5):277–300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49A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S</w:t>
      </w:r>
      <w:r w:rsidR="00A648FB" w:rsidRPr="00DC49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48FB" w:rsidRPr="00DC49AD">
        <w:rPr>
          <w:rFonts w:ascii="Times New Roman" w:hAnsi="Times New Roman" w:cs="Times New Roman"/>
          <w:sz w:val="20"/>
          <w:szCs w:val="20"/>
        </w:rPr>
        <w:t>National Cancer Institute 2014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A648FB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vans-Metcalf ER, Brooks SE, </w:t>
      </w:r>
      <w:proofErr w:type="spellStart"/>
      <w:r w:rsidR="00A648FB" w:rsidRPr="00DC49AD">
        <w:rPr>
          <w:rFonts w:ascii="Times New Roman" w:hAnsi="Times New Roman" w:cs="Times New Roman"/>
          <w:sz w:val="20"/>
          <w:szCs w:val="20"/>
          <w:lang w:val="en-US"/>
        </w:rPr>
        <w:t>Reale</w:t>
      </w:r>
      <w:proofErr w:type="spellEnd"/>
      <w:r w:rsidR="00A648FB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FR, Baker SP. </w:t>
      </w:r>
      <w:proofErr w:type="spellStart"/>
      <w:r w:rsidR="00A648FB" w:rsidRPr="00DC49AD">
        <w:rPr>
          <w:rFonts w:ascii="Times New Roman" w:hAnsi="Times New Roman" w:cs="Times New Roman"/>
          <w:sz w:val="20"/>
          <w:szCs w:val="20"/>
          <w:lang w:val="en-US"/>
        </w:rPr>
        <w:t>Proﬁle</w:t>
      </w:r>
      <w:proofErr w:type="spellEnd"/>
      <w:r w:rsidR="00A648FB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of women 45 years of age and younger with endometrial cancer. </w:t>
      </w:r>
      <w:proofErr w:type="spellStart"/>
      <w:r w:rsidR="00A648FB" w:rsidRPr="00DC49AD">
        <w:rPr>
          <w:rFonts w:ascii="Times New Roman" w:hAnsi="Times New Roman" w:cs="Times New Roman"/>
          <w:sz w:val="20"/>
          <w:szCs w:val="20"/>
          <w:lang w:val="en-US"/>
        </w:rPr>
        <w:t>Obstet</w:t>
      </w:r>
      <w:proofErr w:type="spellEnd"/>
      <w:r w:rsidR="00A648FB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648FB" w:rsidRPr="00DC49AD">
        <w:rPr>
          <w:rFonts w:ascii="Times New Roman" w:hAnsi="Times New Roman" w:cs="Times New Roman"/>
          <w:sz w:val="20"/>
          <w:szCs w:val="20"/>
          <w:lang w:val="en-US"/>
        </w:rPr>
        <w:t>Gynecol</w:t>
      </w:r>
      <w:proofErr w:type="spellEnd"/>
      <w:r w:rsidR="00A648FB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1998; 91:349 –54.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C49AD">
        <w:rPr>
          <w:rFonts w:ascii="Times New Roman" w:hAnsi="Times New Roman" w:cs="Times New Roman"/>
          <w:bCs/>
          <w:sz w:val="20"/>
          <w:szCs w:val="20"/>
        </w:rPr>
        <w:t>F</w:t>
      </w:r>
      <w:r w:rsidR="00F56A00" w:rsidRPr="00DC49AD">
        <w:rPr>
          <w:rFonts w:ascii="Times New Roman" w:hAnsi="Times New Roman" w:cs="Times New Roman"/>
          <w:bCs/>
          <w:sz w:val="20"/>
          <w:szCs w:val="20"/>
        </w:rPr>
        <w:t>erlay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</w:rPr>
        <w:t xml:space="preserve"> J,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</w:rPr>
        <w:t>Soerjomataram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</w:rPr>
        <w:t xml:space="preserve"> I,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</w:rPr>
        <w:t>Ervik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</w:rPr>
        <w:t xml:space="preserve"> M,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</w:rPr>
        <w:t>Dikshit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</w:rPr>
        <w:t xml:space="preserve"> R,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</w:rPr>
        <w:t>Eser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</w:rPr>
        <w:t xml:space="preserve"> S,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</w:rPr>
        <w:t>Mathers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</w:rPr>
        <w:t xml:space="preserve"> C,</w:t>
      </w:r>
      <w:r w:rsidR="00B9741C" w:rsidRPr="00DC49AD">
        <w:rPr>
          <w:rFonts w:ascii="Times New Roman" w:hAnsi="Times New Roman" w:cs="Times New Roman"/>
          <w:bCs/>
          <w:sz w:val="20"/>
          <w:szCs w:val="20"/>
        </w:rPr>
        <w:t xml:space="preserve"> et al.</w:t>
      </w:r>
      <w:r w:rsidR="00F56A00" w:rsidRPr="00DC49AD">
        <w:rPr>
          <w:rFonts w:ascii="Times New Roman" w:hAnsi="Times New Roman" w:cs="Times New Roman"/>
          <w:bCs/>
          <w:sz w:val="20"/>
          <w:szCs w:val="20"/>
        </w:rPr>
        <w:t xml:space="preserve"> GLOBOCAN 2012 v1.1, Cancer Incidence and Mortality Worldwide: IARC </w:t>
      </w:r>
      <w:r w:rsidR="00B9741C" w:rsidRPr="00DC49AD">
        <w:rPr>
          <w:rFonts w:ascii="Times New Roman" w:hAnsi="Times New Roman" w:cs="Times New Roman"/>
          <w:bCs/>
          <w:sz w:val="20"/>
          <w:szCs w:val="20"/>
        </w:rPr>
        <w:t>Cancer Base</w:t>
      </w:r>
      <w:r w:rsidR="00F56A00" w:rsidRPr="00DC49AD">
        <w:rPr>
          <w:rFonts w:ascii="Times New Roman" w:hAnsi="Times New Roman" w:cs="Times New Roman"/>
          <w:bCs/>
          <w:sz w:val="20"/>
          <w:szCs w:val="20"/>
        </w:rPr>
        <w:t xml:space="preserve"> No. 11 [Internet]. Lyon, France: International Agency for Research on Cancer; 2014.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proofErr w:type="gramStart"/>
      <w:r w:rsidRPr="00DC49AD">
        <w:rPr>
          <w:rFonts w:ascii="Times New Roman" w:hAnsi="Times New Roman" w:cs="Times New Roman"/>
          <w:bCs/>
          <w:sz w:val="20"/>
          <w:szCs w:val="20"/>
          <w:lang w:val="en-US"/>
        </w:rPr>
        <w:t>Y</w:t>
      </w:r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akasai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IA,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Ugwa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EA,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Otubu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J</w:t>
      </w:r>
      <w:r w:rsidR="00421DFE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Gynaecological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malignancies in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Aminu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Kano Teaching Hospital Kano: A </w:t>
      </w:r>
      <w:r w:rsidR="00A22E52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3-year</w:t>
      </w:r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review.</w:t>
      </w:r>
      <w:proofErr w:type="gram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Nigerian Journal of Clinical Practice 2013</w:t>
      </w:r>
      <w:proofErr w:type="gramStart"/>
      <w:r w:rsidR="00C758CA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;</w:t>
      </w:r>
      <w:proofErr w:type="gram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16</w:t>
      </w:r>
      <w:r w:rsidR="00B84D11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(1):</w:t>
      </w:r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A22E52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63-66</w:t>
      </w:r>
      <w:r w:rsidR="00DC49AD" w:rsidRPr="00DC49AD">
        <w:rPr>
          <w:rFonts w:ascii="Times New Roman" w:hAnsi="Times New Roman" w:cs="Times New Roman" w:hint="eastAsia"/>
          <w:bCs/>
          <w:sz w:val="20"/>
          <w:szCs w:val="20"/>
          <w:lang w:val="en-US" w:eastAsia="zh-CN"/>
        </w:rPr>
        <w:t>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>orking for a world free of poverty, The World Bank 2015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  <w:proofErr w:type="gramEnd"/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C49AD">
        <w:rPr>
          <w:rFonts w:ascii="Times New Roman" w:hAnsi="Times New Roman" w:cs="Times New Roman"/>
          <w:sz w:val="20"/>
          <w:szCs w:val="20"/>
        </w:rPr>
        <w:t>J</w:t>
      </w:r>
      <w:r w:rsidR="00F56A00" w:rsidRPr="00DC49AD">
        <w:rPr>
          <w:rFonts w:ascii="Times New Roman" w:hAnsi="Times New Roman" w:cs="Times New Roman"/>
          <w:sz w:val="20"/>
          <w:szCs w:val="20"/>
        </w:rPr>
        <w:t>emal</w:t>
      </w:r>
      <w:proofErr w:type="spellEnd"/>
      <w:r w:rsidR="00F56A00" w:rsidRPr="00DC49AD">
        <w:rPr>
          <w:rFonts w:ascii="Times New Roman" w:hAnsi="Times New Roman" w:cs="Times New Roman"/>
          <w:sz w:val="20"/>
          <w:szCs w:val="20"/>
        </w:rPr>
        <w:t xml:space="preserve"> A, Siegel R, </w:t>
      </w:r>
      <w:proofErr w:type="spellStart"/>
      <w:r w:rsidR="00F56A00" w:rsidRPr="00DC49AD">
        <w:rPr>
          <w:rFonts w:ascii="Times New Roman" w:hAnsi="Times New Roman" w:cs="Times New Roman"/>
          <w:sz w:val="20"/>
          <w:szCs w:val="20"/>
        </w:rPr>
        <w:t>Xu</w:t>
      </w:r>
      <w:proofErr w:type="spellEnd"/>
      <w:r w:rsidR="00F56A00" w:rsidRPr="00DC49AD">
        <w:rPr>
          <w:rFonts w:ascii="Times New Roman" w:hAnsi="Times New Roman" w:cs="Times New Roman"/>
          <w:sz w:val="20"/>
          <w:szCs w:val="20"/>
        </w:rPr>
        <w:t xml:space="preserve"> J, Ward E. Cancer statistics. </w:t>
      </w:r>
      <w:proofErr w:type="gramStart"/>
      <w:r w:rsidR="00F56A00" w:rsidRPr="00DC49AD">
        <w:rPr>
          <w:rFonts w:ascii="Times New Roman" w:hAnsi="Times New Roman" w:cs="Times New Roman"/>
          <w:sz w:val="20"/>
          <w:szCs w:val="20"/>
        </w:rPr>
        <w:t xml:space="preserve">CA Cancer J </w:t>
      </w:r>
      <w:proofErr w:type="spellStart"/>
      <w:r w:rsidR="00F56A00" w:rsidRPr="00DC49AD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="00F56A00" w:rsidRPr="00DC49A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F56A00" w:rsidRPr="00DC49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56A00" w:rsidRPr="00DC49AD">
        <w:rPr>
          <w:rFonts w:ascii="Times New Roman" w:hAnsi="Times New Roman" w:cs="Times New Roman"/>
          <w:sz w:val="20"/>
          <w:szCs w:val="20"/>
        </w:rPr>
        <w:t>2010; 60:277–300.</w:t>
      </w:r>
      <w:proofErr w:type="gramEnd"/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="0060222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ies</w:t>
      </w:r>
      <w:proofErr w:type="spellEnd"/>
      <w:r w:rsidR="0060222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LAG, Eisner MP, </w:t>
      </w:r>
      <w:proofErr w:type="spellStart"/>
      <w:r w:rsidR="0060222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Kosary</w:t>
      </w:r>
      <w:proofErr w:type="spellEnd"/>
      <w:r w:rsidR="0060222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CL, et a</w:t>
      </w:r>
      <w:r w:rsidR="00C813DC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l. </w:t>
      </w:r>
      <w:hyperlink r:id="rId18" w:history="1">
        <w:r w:rsidR="0060222B" w:rsidRPr="00DC49A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 xml:space="preserve">SEER Cancer Statistics Review, 1975-2003. </w:t>
        </w:r>
        <w:proofErr w:type="gramStart"/>
        <w:r w:rsidR="0060222B" w:rsidRPr="00DC49A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5-year survival rates</w:t>
        </w:r>
      </w:hyperlink>
      <w:r w:rsidR="0060222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  <w:r w:rsidR="0060222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Maryland, US: National Cancer Institute; 2005.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="0060222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icks ML, Phillips JL, Parham G, et al.</w:t>
      </w:r>
      <w:r w:rsidR="00C813DC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1998.</w:t>
      </w:r>
      <w:proofErr w:type="gramEnd"/>
      <w:r w:rsidR="0060222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19" w:history="1">
        <w:proofErr w:type="gramStart"/>
        <w:r w:rsidR="0060222B" w:rsidRPr="00DC49A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 xml:space="preserve">The National Cancer Data Base report on </w:t>
        </w:r>
        <w:r w:rsidR="0060222B" w:rsidRPr="00DC49A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lastRenderedPageBreak/>
          <w:t>endometrial carcinoma in African-American women</w:t>
        </w:r>
        <w:r w:rsidR="00C813DC" w:rsidRPr="00DC49A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.</w:t>
        </w:r>
        <w:proofErr w:type="gramEnd"/>
        <w:r w:rsidR="0060222B" w:rsidRPr="00DC49A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 xml:space="preserve"> </w:t>
        </w:r>
      </w:hyperlink>
      <w:r w:rsidR="0060222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Cancer 83</w:t>
      </w:r>
      <w:proofErr w:type="gramStart"/>
      <w:r w:rsidR="00A22E52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proofErr w:type="gramEnd"/>
      <w:r w:rsidR="00A22E52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60222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(12):2629-37.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>echt JL, Mutter GL: Molecular and pathologic aspects of endometrial carcinogenesis.</w:t>
      </w:r>
      <w:proofErr w:type="gramEnd"/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J</w:t>
      </w:r>
      <w:r w:rsid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22E52" w:rsidRPr="00DC49AD">
        <w:rPr>
          <w:rFonts w:ascii="Times New Roman" w:hAnsi="Times New Roman" w:cs="Times New Roman"/>
          <w:sz w:val="20"/>
          <w:szCs w:val="20"/>
          <w:lang w:val="en-US"/>
        </w:rPr>
        <w:t>Clin</w:t>
      </w:r>
      <w:proofErr w:type="spellEnd"/>
      <w:r w:rsidR="00A22E52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22E52" w:rsidRPr="00DC49AD">
        <w:rPr>
          <w:rFonts w:ascii="Times New Roman" w:hAnsi="Times New Roman" w:cs="Times New Roman"/>
          <w:sz w:val="20"/>
          <w:szCs w:val="20"/>
          <w:lang w:val="en-US"/>
        </w:rPr>
        <w:t>Oncol</w:t>
      </w:r>
      <w:proofErr w:type="spellEnd"/>
      <w:r w:rsidR="00A22E52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2006; 24:4783-4791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uong LM, Wilson RJ, Ajani UA, Singh SD, </w:t>
      </w:r>
      <w:proofErr w:type="spellStart"/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>Eheman</w:t>
      </w:r>
      <w:proofErr w:type="spellEnd"/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CR. Trends in endometrial cancer incidence rates in the United States, 1999–2006.</w:t>
      </w:r>
      <w:proofErr w:type="gramEnd"/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J </w:t>
      </w:r>
      <w:proofErr w:type="spellStart"/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>Womens</w:t>
      </w:r>
      <w:proofErr w:type="spellEnd"/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Health (</w:t>
      </w:r>
      <w:proofErr w:type="spellStart"/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>Larchmt</w:t>
      </w:r>
      <w:proofErr w:type="spellEnd"/>
      <w:r w:rsidR="00F56A00" w:rsidRPr="00DC49AD">
        <w:rPr>
          <w:rFonts w:ascii="Times New Roman" w:hAnsi="Times New Roman" w:cs="Times New Roman"/>
          <w:sz w:val="20"/>
          <w:szCs w:val="20"/>
          <w:lang w:val="en-US"/>
        </w:rPr>
        <w:t>) 2011; 20:1157–63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  <w:proofErr w:type="gramEnd"/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bCs/>
          <w:sz w:val="20"/>
          <w:szCs w:val="20"/>
          <w:lang w:val="en-US"/>
        </w:rPr>
        <w:t>M</w:t>
      </w:r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ack TM, Cozen W, Quinn MA. </w:t>
      </w:r>
      <w:proofErr w:type="gramStart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Epidemiology of cancer of the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endometrium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ovary, vulva and vagina In: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Coppleson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M, Monaghan JM, Morrow PC, </w:t>
      </w:r>
      <w:proofErr w:type="spellStart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Tattersall</w:t>
      </w:r>
      <w:proofErr w:type="spell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MHN, editors.</w:t>
      </w:r>
      <w:proofErr w:type="gram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gramStart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Gynecologic Oncology.</w:t>
      </w:r>
      <w:proofErr w:type="gramEnd"/>
      <w:r w:rsid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gramStart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Second edition.</w:t>
      </w:r>
      <w:proofErr w:type="gramEnd"/>
      <w:r w:rsidR="00F56A00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New York: Churchill-Livingstone; 1992. p. 31-54</w:t>
      </w:r>
      <w:r w:rsidR="00DC49AD" w:rsidRPr="00DC49AD">
        <w:rPr>
          <w:rFonts w:ascii="Times New Roman" w:hAnsi="Times New Roman" w:cs="Times New Roman" w:hint="eastAsia"/>
          <w:bCs/>
          <w:sz w:val="20"/>
          <w:szCs w:val="20"/>
          <w:lang w:val="en-US" w:eastAsia="zh-CN"/>
        </w:rPr>
        <w:t>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gramStart"/>
      <w:r w:rsidRPr="00DC49AD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="00F73D51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ote ML,</w:t>
      </w:r>
      <w:r w:rsidR="001E7C5A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1E7C5A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Alhajj</w:t>
      </w:r>
      <w:proofErr w:type="spellEnd"/>
      <w:r w:rsidR="001E7C5A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</w:t>
      </w:r>
      <w:r w:rsidR="00F73D51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="00F73D51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Ruterbusch</w:t>
      </w:r>
      <w:proofErr w:type="spellEnd"/>
      <w:r w:rsidR="00F73D51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JJ, Bernstein L, Brinton LA, Blot WJ, et al. Risk factors for endometrial cancer in black and white women: a pooled analysis from the Epidemiology of Endometrial Cancer Consortium.</w:t>
      </w:r>
      <w:proofErr w:type="gramEnd"/>
      <w:r w:rsidR="00F73D51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Cancer Causes </w:t>
      </w:r>
      <w:r w:rsidR="0002214D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Control </w:t>
      </w:r>
      <w:r w:rsidR="00A22E52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2015; </w:t>
      </w:r>
      <w:r w:rsidR="0002214D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26</w:t>
      </w:r>
      <w:r w:rsidR="00F73D51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(2):287-96</w:t>
      </w:r>
      <w:r w:rsidR="00DC49AD" w:rsidRPr="00DC49AD">
        <w:rPr>
          <w:rFonts w:ascii="Times New Roman" w:hAnsi="Times New Roman" w:cs="Times New Roman" w:hint="eastAsia"/>
          <w:bCs/>
          <w:sz w:val="20"/>
          <w:szCs w:val="20"/>
          <w:lang w:val="en-US" w:eastAsia="zh-CN"/>
        </w:rPr>
        <w:t>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oleman MP, </w:t>
      </w:r>
      <w:proofErr w:type="spellStart"/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Rachet</w:t>
      </w:r>
      <w:proofErr w:type="spellEnd"/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B, Woods LM, et al.</w:t>
      </w:r>
      <w:r w:rsid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Trends in socioeconomic inequalities in cancer survival </w:t>
      </w:r>
      <w:r w:rsidR="0002214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in England and Wales up to 2001</w:t>
      </w:r>
      <w:r w:rsid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BJC</w:t>
      </w:r>
      <w:r w:rsidR="0002214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25574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2004</w:t>
      </w:r>
      <w:proofErr w:type="gramStart"/>
      <w:r w:rsidR="0025574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proofErr w:type="gramEnd"/>
      <w:r w:rsidR="0025574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90</w:t>
      </w:r>
      <w:r w:rsidR="0002214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(7):1367-73.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oleman MP, Babb P, </w:t>
      </w:r>
      <w:proofErr w:type="spellStart"/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Damiecki</w:t>
      </w:r>
      <w:proofErr w:type="spellEnd"/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P, et al.</w:t>
      </w:r>
      <w:r w:rsid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Cancer Survival Trends in England and Wales, 1971-1995: Deprivation and NHS Region. </w:t>
      </w:r>
      <w:proofErr w:type="gramStart"/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Series </w:t>
      </w:r>
      <w:r w:rsidR="001E7C5A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SMPS No</w:t>
      </w:r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61.</w:t>
      </w:r>
      <w:proofErr w:type="gramEnd"/>
      <w:r w:rsidR="000571F4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London: ONS; 1999.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45429F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riggs </w:t>
      </w:r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ND, </w:t>
      </w:r>
      <w:proofErr w:type="spellStart"/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Katchy</w:t>
      </w:r>
      <w:proofErr w:type="spellEnd"/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KC. Pattern of primary </w:t>
      </w:r>
      <w:proofErr w:type="spellStart"/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gynaecological</w:t>
      </w:r>
      <w:proofErr w:type="spellEnd"/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malignancies as seen in a tertiary hospital situated in the Rivers State of Nigeria. </w:t>
      </w:r>
      <w:proofErr w:type="spellStart"/>
      <w:proofErr w:type="gramStart"/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Int</w:t>
      </w:r>
      <w:proofErr w:type="spellEnd"/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J </w:t>
      </w:r>
      <w:proofErr w:type="spellStart"/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Gyn</w:t>
      </w:r>
      <w:r w:rsidR="00421DFE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col</w:t>
      </w:r>
      <w:proofErr w:type="spellEnd"/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Obstet</w:t>
      </w:r>
      <w:proofErr w:type="spellEnd"/>
      <w:r w:rsidR="0025574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1990;</w:t>
      </w:r>
      <w:r w:rsidR="00904CCF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31:157-61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  <w:proofErr w:type="gramEnd"/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membolu</w:t>
      </w:r>
      <w:proofErr w:type="spellEnd"/>
      <w:r w:rsidR="00C6526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JO,</w:t>
      </w:r>
      <w:r w:rsidR="0002214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2214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Ekwempu</w:t>
      </w:r>
      <w:proofErr w:type="spellEnd"/>
      <w:r w:rsidR="0002214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CC. Carcinoma of the cervix uteri in Zaria: Etiological factors.</w:t>
      </w:r>
      <w:proofErr w:type="gramEnd"/>
      <w:r w:rsidR="0002214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Int. J </w:t>
      </w:r>
      <w:proofErr w:type="spellStart"/>
      <w:r w:rsidR="0002214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Gynecol</w:t>
      </w:r>
      <w:proofErr w:type="spellEnd"/>
      <w:r w:rsidR="0002214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Obstet</w:t>
      </w:r>
      <w:r w:rsidR="00255746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.1988; </w:t>
      </w:r>
      <w:r w:rsidR="0002214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26: 265-9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gboeze</w:t>
      </w:r>
      <w:proofErr w:type="spellEnd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J, </w:t>
      </w:r>
      <w:proofErr w:type="spellStart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Ezeonu</w:t>
      </w:r>
      <w:proofErr w:type="spellEnd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 O, </w:t>
      </w:r>
      <w:proofErr w:type="spellStart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Onoh</w:t>
      </w:r>
      <w:proofErr w:type="spellEnd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 C, </w:t>
      </w:r>
      <w:proofErr w:type="spellStart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Nwali</w:t>
      </w:r>
      <w:proofErr w:type="spellEnd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 I, </w:t>
      </w:r>
      <w:proofErr w:type="spellStart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Agwu</w:t>
      </w:r>
      <w:proofErr w:type="spellEnd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 R, </w:t>
      </w:r>
      <w:proofErr w:type="spellStart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Egbuji</w:t>
      </w:r>
      <w:proofErr w:type="spellEnd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 </w:t>
      </w:r>
      <w:proofErr w:type="spellStart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proofErr w:type="spellEnd"/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Frequency and Pattern </w:t>
      </w:r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of Gynecological Cancers in Federal Teaching</w:t>
      </w:r>
      <w:r w:rsidR="00904CCF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34149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Hospital, </w:t>
      </w:r>
      <w:proofErr w:type="spellStart"/>
      <w:r w:rsidR="00BB148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Abakaliki</w:t>
      </w:r>
      <w:proofErr w:type="spellEnd"/>
      <w:r w:rsidR="00BB148B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Journal</w:t>
      </w:r>
      <w:r w:rsidR="00AF2E24" w:rsidRPr="00DC49AD">
        <w:rPr>
          <w:rFonts w:ascii="Times New Roman" w:eastAsia="Times New Roman" w:hAnsi="Times New Roman" w:cs="Times New Roman"/>
          <w:sz w:val="20"/>
          <w:szCs w:val="20"/>
        </w:rPr>
        <w:t xml:space="preserve"> of Basic and Clinical Reproductive Sciences · 2015; 4 (2) : 54-57.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="00064AEC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kyekyer</w:t>
      </w:r>
      <w:proofErr w:type="spellEnd"/>
      <w:r w:rsidR="00064AEC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K.</w:t>
      </w:r>
      <w:r w:rsid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64AEC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Pattern of </w:t>
      </w:r>
      <w:proofErr w:type="spellStart"/>
      <w:r w:rsidR="00064AEC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gynaecological</w:t>
      </w:r>
      <w:proofErr w:type="spellEnd"/>
      <w:r w:rsidR="00064AEC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cancers in</w:t>
      </w:r>
      <w:r w:rsidR="00DB723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Ghana.</w:t>
      </w:r>
      <w:proofErr w:type="gramEnd"/>
      <w:r w:rsidR="00DB723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DB723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East.</w:t>
      </w:r>
      <w:proofErr w:type="gramEnd"/>
      <w:r w:rsidR="00DB723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B723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Afr</w:t>
      </w:r>
      <w:proofErr w:type="spellEnd"/>
      <w:r w:rsidR="00DB723D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64AEC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>Med J</w:t>
      </w:r>
      <w:r w:rsidR="00AB2817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2000;</w:t>
      </w:r>
      <w:r w:rsidR="00064AEC" w:rsidRPr="00DC49A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77:534-8.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eeves GK, Pirie K, </w:t>
      </w:r>
      <w:proofErr w:type="spellStart"/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>Beral</w:t>
      </w:r>
      <w:proofErr w:type="spellEnd"/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V, Green J, Spencer</w:t>
      </w:r>
      <w:r w:rsidR="00E76F47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E, Bull D. Cancer incidence and mortality in relation to body mass index in the Million Women Study: cohort </w:t>
      </w:r>
      <w:r w:rsidR="00E76F47" w:rsidRPr="00DC49AD">
        <w:rPr>
          <w:rFonts w:ascii="Times New Roman" w:hAnsi="Times New Roman" w:cs="Times New Roman"/>
          <w:sz w:val="20"/>
          <w:szCs w:val="20"/>
          <w:lang w:val="en-US"/>
        </w:rPr>
        <w:t>study BMJ</w:t>
      </w:r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2007; 335: 1134.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>essonova</w:t>
      </w:r>
      <w:proofErr w:type="spellEnd"/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L, Marshall SF, </w:t>
      </w:r>
      <w:proofErr w:type="spellStart"/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>Ziogas</w:t>
      </w:r>
      <w:proofErr w:type="spellEnd"/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A, et al.</w:t>
      </w:r>
      <w:r w:rsidR="00AB2817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gramStart"/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>association of body mass index with mortality</w:t>
      </w:r>
      <w:r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 </w:t>
      </w:r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In the California teachers </w:t>
      </w:r>
      <w:r w:rsidR="00E218DF" w:rsidRPr="00DC49AD">
        <w:rPr>
          <w:rFonts w:ascii="Times New Roman" w:hAnsi="Times New Roman" w:cs="Times New Roman"/>
          <w:sz w:val="20"/>
          <w:szCs w:val="20"/>
          <w:lang w:val="en-US"/>
        </w:rPr>
        <w:t>study</w:t>
      </w:r>
      <w:proofErr w:type="gramEnd"/>
      <w:r w:rsidR="00E218DF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218DF" w:rsidRPr="00DC49AD">
        <w:rPr>
          <w:rFonts w:ascii="Times New Roman" w:hAnsi="Times New Roman" w:cs="Times New Roman"/>
          <w:sz w:val="20"/>
          <w:szCs w:val="20"/>
          <w:lang w:val="en-US"/>
        </w:rPr>
        <w:t>Int</w:t>
      </w:r>
      <w:proofErr w:type="spellEnd"/>
      <w:r w:rsidR="00E218DF" w:rsidRPr="00DC49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E218DF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J Cancer. 2011</w:t>
      </w:r>
      <w:proofErr w:type="gramStart"/>
      <w:r w:rsidR="00E218DF" w:rsidRPr="00DC49AD">
        <w:rPr>
          <w:rFonts w:ascii="Times New Roman" w:hAnsi="Times New Roman" w:cs="Times New Roman"/>
          <w:bCs/>
          <w:sz w:val="20"/>
          <w:szCs w:val="20"/>
          <w:lang w:val="en-US"/>
        </w:rPr>
        <w:t>;</w:t>
      </w:r>
      <w:proofErr w:type="gramEnd"/>
      <w:r w:rsidR="00E218DF" w:rsidRPr="00DC49A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129(10): 2492–2501</w:t>
      </w:r>
      <w:r w:rsidR="00DC49AD" w:rsidRPr="00DC49AD">
        <w:rPr>
          <w:rFonts w:ascii="Times New Roman" w:hAnsi="Times New Roman" w:cs="Times New Roman" w:hint="eastAsia"/>
          <w:bCs/>
          <w:sz w:val="20"/>
          <w:szCs w:val="20"/>
          <w:lang w:val="en-US" w:eastAsia="zh-CN"/>
        </w:rPr>
        <w:t>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>enehan</w:t>
      </w:r>
      <w:proofErr w:type="spellEnd"/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AG, Tyson M, Egger M, Heller RF, </w:t>
      </w:r>
      <w:proofErr w:type="spellStart"/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>Zwahlen</w:t>
      </w:r>
      <w:proofErr w:type="spellEnd"/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M. Body-mass index and incidence of cancer: a systematic review and meta-analysis of prospective observational studies. Lancet</w:t>
      </w:r>
      <w:r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 </w:t>
      </w:r>
      <w:r w:rsidR="0084272E" w:rsidRPr="00DC49AD">
        <w:rPr>
          <w:rFonts w:ascii="Times New Roman" w:hAnsi="Times New Roman" w:cs="Times New Roman"/>
          <w:sz w:val="20"/>
          <w:szCs w:val="20"/>
          <w:lang w:val="en-US"/>
        </w:rPr>
        <w:t>2008; 371:569-78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C49AD">
        <w:rPr>
          <w:rFonts w:ascii="Times New Roman" w:hAnsi="Times New Roman" w:cs="Times New Roman"/>
          <w:sz w:val="20"/>
          <w:szCs w:val="20"/>
          <w:lang w:val="en-US"/>
        </w:rPr>
        <w:lastRenderedPageBreak/>
        <w:t>B</w:t>
      </w:r>
      <w:r w:rsidR="008D21BE" w:rsidRPr="00DC49AD">
        <w:rPr>
          <w:rFonts w:ascii="Times New Roman" w:hAnsi="Times New Roman" w:cs="Times New Roman"/>
          <w:sz w:val="20"/>
          <w:szCs w:val="20"/>
          <w:lang w:val="en-US"/>
        </w:rPr>
        <w:t>eral</w:t>
      </w:r>
      <w:proofErr w:type="spellEnd"/>
      <w:r w:rsidR="008D21BE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V, Hannaford P, Kay C. Oral contraceptive use and malignancies of the genital tract: results from the Royal College of General Practitioners’ Oral Contraception study. Lancet</w:t>
      </w:r>
      <w:r w:rsid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E5A2C" w:rsidRPr="00DC49AD">
        <w:rPr>
          <w:rFonts w:ascii="Times New Roman" w:hAnsi="Times New Roman" w:cs="Times New Roman"/>
          <w:sz w:val="20"/>
          <w:szCs w:val="20"/>
          <w:lang w:val="en-US"/>
        </w:rPr>
        <w:t>1988; 2:1331</w:t>
      </w:r>
      <w:r w:rsidR="005410FC" w:rsidRPr="00DC49AD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gramStart"/>
      <w:r w:rsidR="005410FC" w:rsidRPr="00DC49AD">
        <w:rPr>
          <w:rFonts w:ascii="Times New Roman" w:hAnsi="Times New Roman" w:cs="Times New Roman"/>
          <w:sz w:val="20"/>
          <w:szCs w:val="20"/>
          <w:lang w:val="en-US"/>
        </w:rPr>
        <w:t>5</w:t>
      </w:r>
      <w:proofErr w:type="gramEnd"/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>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endrickson M, Ross J, </w:t>
      </w:r>
      <w:proofErr w:type="gramStart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Eifel</w:t>
      </w:r>
      <w:proofErr w:type="gram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PJ, et al.: </w:t>
      </w:r>
      <w:proofErr w:type="spellStart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Adenocarcinoma</w:t>
      </w:r>
      <w:proofErr w:type="spell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of the </w:t>
      </w:r>
      <w:proofErr w:type="spellStart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endometrium</w:t>
      </w:r>
      <w:proofErr w:type="spell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: analysis of 256 cases with carcinoma limited to the uterine corpus. Pathology review and analysis of prognostic variables</w:t>
      </w:r>
      <w:r w:rsid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Gynecol</w:t>
      </w:r>
      <w:proofErr w:type="spell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Oncol</w:t>
      </w:r>
      <w:proofErr w:type="spell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13 (3): 373-92, 1982.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C49A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ori</w:t>
      </w:r>
      <w:proofErr w:type="spell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D, </w:t>
      </w:r>
      <w:proofErr w:type="spellStart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Hilaris</w:t>
      </w:r>
      <w:proofErr w:type="spell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BS, Tome M, et al.: Combined surgery and radiation in endometrial carcinoma: an analysis of prognostic factors.</w:t>
      </w:r>
      <w:proofErr w:type="gram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Int</w:t>
      </w:r>
      <w:r w:rsidR="00303694" w:rsidRPr="00DC49A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J </w:t>
      </w:r>
      <w:proofErr w:type="spellStart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Radiat</w:t>
      </w:r>
      <w:proofErr w:type="spell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Oncol</w:t>
      </w:r>
      <w:proofErr w:type="spell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Biol</w:t>
      </w:r>
      <w:proofErr w:type="spell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Phys 13 (4): 489-97, 1987.</w:t>
      </w:r>
    </w:p>
    <w:p w:rsidR="008762D1" w:rsidRPr="00DC49AD" w:rsidRDefault="008762D1" w:rsidP="008762D1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elsey J, </w:t>
      </w:r>
      <w:proofErr w:type="spellStart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Hildreth</w:t>
      </w:r>
      <w:proofErr w:type="spell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 xml:space="preserve"> N. Breast and gynecologic cancer epidemiology. </w:t>
      </w:r>
      <w:proofErr w:type="gramStart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edition</w:t>
      </w:r>
      <w:proofErr w:type="gramEnd"/>
      <w:r w:rsidR="009F6029" w:rsidRPr="00DC49AD">
        <w:rPr>
          <w:rFonts w:ascii="Times New Roman" w:hAnsi="Times New Roman" w:cs="Times New Roman"/>
          <w:sz w:val="20"/>
          <w:szCs w:val="20"/>
          <w:lang w:val="en-US"/>
        </w:rPr>
        <w:t>. Boca Raton, Florida: CRC Press, 1983</w:t>
      </w:r>
      <w:r w:rsidR="00DC49AD" w:rsidRPr="00DC49AD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. </w:t>
      </w:r>
    </w:p>
    <w:p w:rsidR="008762D1" w:rsidRPr="00DC49AD" w:rsidRDefault="008762D1" w:rsidP="008762D1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8762D1" w:rsidRPr="00DC49AD" w:rsidSect="00DC49AD">
          <w:headerReference w:type="default" r:id="rId20"/>
          <w:footerReference w:type="default" r:id="rId21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8762D1" w:rsidRPr="00DC49AD" w:rsidRDefault="008762D1" w:rsidP="008762D1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:rsidR="008762D1" w:rsidRPr="00DC49AD" w:rsidRDefault="008762D1" w:rsidP="008762D1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:rsidR="008762D1" w:rsidRPr="00DC49AD" w:rsidRDefault="008762D1" w:rsidP="008762D1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:rsidR="00072772" w:rsidRPr="00DC49AD" w:rsidRDefault="008762D1" w:rsidP="008762D1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C49AD">
        <w:rPr>
          <w:rFonts w:ascii="Times New Roman" w:hAnsi="Times New Roman" w:cs="Times New Roman"/>
          <w:sz w:val="20"/>
          <w:szCs w:val="20"/>
          <w:lang w:val="en-US"/>
        </w:rPr>
        <w:t>2/28/2016</w:t>
      </w:r>
    </w:p>
    <w:sectPr w:rsidR="00072772" w:rsidRPr="00DC49AD" w:rsidSect="00E479AC">
      <w:headerReference w:type="default" r:id="rId22"/>
      <w:footerReference w:type="default" r:id="rId23"/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81" w:rsidRDefault="00AF7981" w:rsidP="008762D1">
      <w:pPr>
        <w:spacing w:after="0" w:line="240" w:lineRule="auto"/>
      </w:pPr>
      <w:r>
        <w:separator/>
      </w:r>
    </w:p>
  </w:endnote>
  <w:endnote w:type="continuationSeparator" w:id="0">
    <w:p w:rsidR="00AF7981" w:rsidRDefault="00AF7981" w:rsidP="0087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1" w:rsidRPr="008762D1" w:rsidRDefault="00D626E4" w:rsidP="008762D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762D1">
      <w:rPr>
        <w:rFonts w:ascii="Times New Roman" w:hAnsi="Times New Roman" w:cs="Times New Roman"/>
        <w:sz w:val="20"/>
      </w:rPr>
      <w:fldChar w:fldCharType="begin"/>
    </w:r>
    <w:r w:rsidR="008762D1" w:rsidRPr="008762D1">
      <w:rPr>
        <w:rFonts w:ascii="Times New Roman" w:hAnsi="Times New Roman" w:cs="Times New Roman"/>
        <w:sz w:val="20"/>
      </w:rPr>
      <w:instrText xml:space="preserve"> page </w:instrText>
    </w:r>
    <w:r w:rsidRPr="008762D1">
      <w:rPr>
        <w:rFonts w:ascii="Times New Roman" w:hAnsi="Times New Roman" w:cs="Times New Roman"/>
        <w:sz w:val="20"/>
      </w:rPr>
      <w:fldChar w:fldCharType="separate"/>
    </w:r>
    <w:r w:rsidR="00DC49AD">
      <w:rPr>
        <w:rFonts w:ascii="Times New Roman" w:hAnsi="Times New Roman" w:cs="Times New Roman"/>
        <w:noProof/>
        <w:sz w:val="20"/>
      </w:rPr>
      <w:t>19</w:t>
    </w:r>
    <w:r w:rsidRPr="008762D1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1" w:rsidRPr="008762D1" w:rsidRDefault="00D626E4" w:rsidP="008762D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762D1">
      <w:rPr>
        <w:rFonts w:ascii="Times New Roman" w:hAnsi="Times New Roman" w:cs="Times New Roman"/>
        <w:sz w:val="20"/>
      </w:rPr>
      <w:fldChar w:fldCharType="begin"/>
    </w:r>
    <w:r w:rsidR="008762D1" w:rsidRPr="008762D1">
      <w:rPr>
        <w:rFonts w:ascii="Times New Roman" w:hAnsi="Times New Roman" w:cs="Times New Roman"/>
        <w:sz w:val="20"/>
      </w:rPr>
      <w:instrText xml:space="preserve"> page </w:instrText>
    </w:r>
    <w:r w:rsidRPr="008762D1">
      <w:rPr>
        <w:rFonts w:ascii="Times New Roman" w:hAnsi="Times New Roman" w:cs="Times New Roman"/>
        <w:sz w:val="20"/>
      </w:rPr>
      <w:fldChar w:fldCharType="separate"/>
    </w:r>
    <w:r w:rsidR="00DC49AD">
      <w:rPr>
        <w:rFonts w:ascii="Times New Roman" w:hAnsi="Times New Roman" w:cs="Times New Roman"/>
        <w:noProof/>
        <w:sz w:val="20"/>
      </w:rPr>
      <w:t>20</w:t>
    </w:r>
    <w:r w:rsidRPr="008762D1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1" w:rsidRPr="008762D1" w:rsidRDefault="00D626E4" w:rsidP="008762D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762D1">
      <w:rPr>
        <w:rFonts w:ascii="Times New Roman" w:hAnsi="Times New Roman" w:cs="Times New Roman"/>
        <w:sz w:val="20"/>
      </w:rPr>
      <w:fldChar w:fldCharType="begin"/>
    </w:r>
    <w:r w:rsidR="008762D1" w:rsidRPr="008762D1">
      <w:rPr>
        <w:rFonts w:ascii="Times New Roman" w:hAnsi="Times New Roman" w:cs="Times New Roman"/>
        <w:sz w:val="20"/>
      </w:rPr>
      <w:instrText xml:space="preserve"> page </w:instrText>
    </w:r>
    <w:r w:rsidRPr="008762D1">
      <w:rPr>
        <w:rFonts w:ascii="Times New Roman" w:hAnsi="Times New Roman" w:cs="Times New Roman"/>
        <w:sz w:val="20"/>
      </w:rPr>
      <w:fldChar w:fldCharType="separate"/>
    </w:r>
    <w:r w:rsidR="00DC49AD">
      <w:rPr>
        <w:rFonts w:ascii="Times New Roman" w:hAnsi="Times New Roman" w:cs="Times New Roman"/>
        <w:noProof/>
        <w:sz w:val="20"/>
      </w:rPr>
      <w:t>22</w:t>
    </w:r>
    <w:r w:rsidRPr="008762D1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1" w:rsidRPr="008762D1" w:rsidRDefault="00D626E4" w:rsidP="008762D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762D1">
      <w:rPr>
        <w:rFonts w:ascii="Times New Roman" w:hAnsi="Times New Roman" w:cs="Times New Roman"/>
        <w:sz w:val="20"/>
      </w:rPr>
      <w:fldChar w:fldCharType="begin"/>
    </w:r>
    <w:r w:rsidR="008762D1" w:rsidRPr="008762D1">
      <w:rPr>
        <w:rFonts w:ascii="Times New Roman" w:hAnsi="Times New Roman" w:cs="Times New Roman"/>
        <w:sz w:val="20"/>
      </w:rPr>
      <w:instrText xml:space="preserve"> page </w:instrText>
    </w:r>
    <w:r w:rsidRPr="008762D1">
      <w:rPr>
        <w:rFonts w:ascii="Times New Roman" w:hAnsi="Times New Roman" w:cs="Times New Roman"/>
        <w:sz w:val="20"/>
      </w:rPr>
      <w:fldChar w:fldCharType="separate"/>
    </w:r>
    <w:r w:rsidR="00DC49AD">
      <w:rPr>
        <w:rFonts w:ascii="Times New Roman" w:hAnsi="Times New Roman" w:cs="Times New Roman"/>
        <w:noProof/>
        <w:sz w:val="20"/>
      </w:rPr>
      <w:t>23</w:t>
    </w:r>
    <w:r w:rsidRPr="008762D1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1" w:rsidRPr="008762D1" w:rsidRDefault="00D626E4" w:rsidP="008762D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762D1">
      <w:rPr>
        <w:rFonts w:ascii="Times New Roman" w:hAnsi="Times New Roman" w:cs="Times New Roman"/>
        <w:sz w:val="20"/>
      </w:rPr>
      <w:fldChar w:fldCharType="begin"/>
    </w:r>
    <w:r w:rsidR="008762D1" w:rsidRPr="008762D1">
      <w:rPr>
        <w:rFonts w:ascii="Times New Roman" w:hAnsi="Times New Roman" w:cs="Times New Roman"/>
        <w:sz w:val="20"/>
      </w:rPr>
      <w:instrText xml:space="preserve"> page </w:instrText>
    </w:r>
    <w:r w:rsidRPr="008762D1">
      <w:rPr>
        <w:rFonts w:ascii="Times New Roman" w:hAnsi="Times New Roman" w:cs="Times New Roman"/>
        <w:sz w:val="20"/>
      </w:rPr>
      <w:fldChar w:fldCharType="separate"/>
    </w:r>
    <w:r w:rsidR="008762D1">
      <w:rPr>
        <w:rFonts w:ascii="Times New Roman" w:hAnsi="Times New Roman" w:cs="Times New Roman"/>
        <w:noProof/>
        <w:sz w:val="20"/>
      </w:rPr>
      <w:t>1</w:t>
    </w:r>
    <w:r w:rsidRPr="008762D1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81" w:rsidRDefault="00AF7981" w:rsidP="008762D1">
      <w:pPr>
        <w:spacing w:after="0" w:line="240" w:lineRule="auto"/>
      </w:pPr>
      <w:r>
        <w:separator/>
      </w:r>
    </w:p>
  </w:footnote>
  <w:footnote w:type="continuationSeparator" w:id="0">
    <w:p w:rsidR="00AF7981" w:rsidRDefault="00AF7981" w:rsidP="0087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1" w:rsidRPr="008762D1" w:rsidRDefault="008762D1" w:rsidP="008762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762D1">
      <w:rPr>
        <w:rFonts w:ascii="Times New Roman" w:hAnsi="Times New Roman" w:cs="Times New Roman" w:hint="eastAsia"/>
        <w:sz w:val="20"/>
        <w:szCs w:val="20"/>
      </w:rPr>
      <w:tab/>
    </w:r>
    <w:r w:rsidRPr="008762D1">
      <w:rPr>
        <w:rFonts w:ascii="Times New Roman" w:hAnsi="Times New Roman" w:cs="Times New Roman"/>
        <w:sz w:val="20"/>
        <w:szCs w:val="20"/>
      </w:rPr>
      <w:t>New York Science Journal 201</w:t>
    </w:r>
    <w:r w:rsidRPr="008762D1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8762D1">
      <w:rPr>
        <w:rFonts w:ascii="Times New Roman" w:hAnsi="Times New Roman" w:cs="Times New Roman"/>
        <w:sz w:val="20"/>
        <w:szCs w:val="20"/>
      </w:rPr>
      <w:t>;</w:t>
    </w:r>
    <w:r w:rsidRPr="008762D1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8762D1">
      <w:rPr>
        <w:rFonts w:ascii="Times New Roman" w:hAnsi="Times New Roman" w:cs="Times New Roman"/>
        <w:sz w:val="20"/>
        <w:szCs w:val="20"/>
      </w:rPr>
      <w:t>(</w:t>
    </w:r>
    <w:r w:rsidRPr="008762D1">
      <w:rPr>
        <w:rFonts w:ascii="Times New Roman" w:hAnsi="Times New Roman" w:cs="Times New Roman" w:hint="eastAsia"/>
        <w:sz w:val="20"/>
        <w:szCs w:val="20"/>
      </w:rPr>
      <w:t>3</w:t>
    </w:r>
    <w:r w:rsidRPr="008762D1">
      <w:rPr>
        <w:rFonts w:ascii="Times New Roman" w:hAnsi="Times New Roman" w:cs="Times New Roman"/>
        <w:sz w:val="20"/>
        <w:szCs w:val="20"/>
      </w:rPr>
      <w:t>)</w:t>
    </w:r>
    <w:r w:rsidRPr="008762D1">
      <w:rPr>
        <w:rFonts w:ascii="Times New Roman" w:hAnsi="Times New Roman" w:cs="Times New Roman"/>
        <w:iCs/>
        <w:sz w:val="20"/>
        <w:szCs w:val="20"/>
      </w:rPr>
      <w:t xml:space="preserve">     </w:t>
    </w:r>
    <w:r w:rsidRPr="008762D1">
      <w:rPr>
        <w:rFonts w:ascii="Times New Roman" w:hAnsi="Times New Roman" w:cs="Times New Roman" w:hint="eastAsia"/>
        <w:iCs/>
        <w:sz w:val="20"/>
        <w:szCs w:val="20"/>
      </w:rPr>
      <w:tab/>
    </w:r>
    <w:r w:rsidRPr="008762D1">
      <w:rPr>
        <w:rFonts w:ascii="Times New Roman" w:hAnsi="Times New Roman" w:cs="Times New Roman"/>
        <w:iCs/>
        <w:sz w:val="20"/>
        <w:szCs w:val="20"/>
      </w:rPr>
      <w:t xml:space="preserve"> </w:t>
    </w:r>
    <w:r w:rsidRPr="008762D1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762D1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762D1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8762D1" w:rsidRPr="008762D1" w:rsidRDefault="008762D1" w:rsidP="008762D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1" w:rsidRPr="008762D1" w:rsidRDefault="008762D1" w:rsidP="008762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762D1">
      <w:rPr>
        <w:rFonts w:ascii="Times New Roman" w:hAnsi="Times New Roman" w:cs="Times New Roman" w:hint="eastAsia"/>
        <w:sz w:val="20"/>
        <w:szCs w:val="20"/>
      </w:rPr>
      <w:tab/>
    </w:r>
    <w:r w:rsidRPr="008762D1">
      <w:rPr>
        <w:rFonts w:ascii="Times New Roman" w:hAnsi="Times New Roman" w:cs="Times New Roman"/>
        <w:sz w:val="20"/>
        <w:szCs w:val="20"/>
      </w:rPr>
      <w:t>New York Science Journal 201</w:t>
    </w:r>
    <w:r w:rsidRPr="008762D1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8762D1">
      <w:rPr>
        <w:rFonts w:ascii="Times New Roman" w:hAnsi="Times New Roman" w:cs="Times New Roman"/>
        <w:sz w:val="20"/>
        <w:szCs w:val="20"/>
      </w:rPr>
      <w:t>;</w:t>
    </w:r>
    <w:r w:rsidRPr="008762D1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8762D1">
      <w:rPr>
        <w:rFonts w:ascii="Times New Roman" w:hAnsi="Times New Roman" w:cs="Times New Roman"/>
        <w:sz w:val="20"/>
        <w:szCs w:val="20"/>
      </w:rPr>
      <w:t>(</w:t>
    </w:r>
    <w:r w:rsidRPr="008762D1">
      <w:rPr>
        <w:rFonts w:ascii="Times New Roman" w:hAnsi="Times New Roman" w:cs="Times New Roman" w:hint="eastAsia"/>
        <w:sz w:val="20"/>
        <w:szCs w:val="20"/>
      </w:rPr>
      <w:t>3</w:t>
    </w:r>
    <w:r w:rsidRPr="008762D1">
      <w:rPr>
        <w:rFonts w:ascii="Times New Roman" w:hAnsi="Times New Roman" w:cs="Times New Roman"/>
        <w:sz w:val="20"/>
        <w:szCs w:val="20"/>
      </w:rPr>
      <w:t>)</w:t>
    </w:r>
    <w:r w:rsidRPr="008762D1">
      <w:rPr>
        <w:rFonts w:ascii="Times New Roman" w:hAnsi="Times New Roman" w:cs="Times New Roman"/>
        <w:iCs/>
        <w:sz w:val="20"/>
        <w:szCs w:val="20"/>
      </w:rPr>
      <w:t xml:space="preserve">     </w:t>
    </w:r>
    <w:r w:rsidRPr="008762D1">
      <w:rPr>
        <w:rFonts w:ascii="Times New Roman" w:hAnsi="Times New Roman" w:cs="Times New Roman" w:hint="eastAsia"/>
        <w:iCs/>
        <w:sz w:val="20"/>
        <w:szCs w:val="20"/>
      </w:rPr>
      <w:tab/>
    </w:r>
    <w:r w:rsidRPr="008762D1">
      <w:rPr>
        <w:rFonts w:ascii="Times New Roman" w:hAnsi="Times New Roman" w:cs="Times New Roman"/>
        <w:iCs/>
        <w:sz w:val="20"/>
        <w:szCs w:val="20"/>
      </w:rPr>
      <w:t xml:space="preserve"> </w:t>
    </w:r>
    <w:r w:rsidRPr="008762D1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762D1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762D1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8762D1" w:rsidRPr="008762D1" w:rsidRDefault="008762D1" w:rsidP="008762D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1" w:rsidRPr="008762D1" w:rsidRDefault="008762D1" w:rsidP="008762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762D1">
      <w:rPr>
        <w:rFonts w:ascii="Times New Roman" w:hAnsi="Times New Roman" w:cs="Times New Roman" w:hint="eastAsia"/>
        <w:sz w:val="20"/>
        <w:szCs w:val="20"/>
      </w:rPr>
      <w:tab/>
    </w:r>
    <w:r w:rsidRPr="008762D1">
      <w:rPr>
        <w:rFonts w:ascii="Times New Roman" w:hAnsi="Times New Roman" w:cs="Times New Roman"/>
        <w:sz w:val="20"/>
        <w:szCs w:val="20"/>
      </w:rPr>
      <w:t>New York Science Journal 201</w:t>
    </w:r>
    <w:r w:rsidRPr="008762D1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8762D1">
      <w:rPr>
        <w:rFonts w:ascii="Times New Roman" w:hAnsi="Times New Roman" w:cs="Times New Roman"/>
        <w:sz w:val="20"/>
        <w:szCs w:val="20"/>
      </w:rPr>
      <w:t>;</w:t>
    </w:r>
    <w:r w:rsidRPr="008762D1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8762D1">
      <w:rPr>
        <w:rFonts w:ascii="Times New Roman" w:hAnsi="Times New Roman" w:cs="Times New Roman"/>
        <w:sz w:val="20"/>
        <w:szCs w:val="20"/>
      </w:rPr>
      <w:t>(</w:t>
    </w:r>
    <w:r w:rsidRPr="008762D1">
      <w:rPr>
        <w:rFonts w:ascii="Times New Roman" w:hAnsi="Times New Roman" w:cs="Times New Roman" w:hint="eastAsia"/>
        <w:sz w:val="20"/>
        <w:szCs w:val="20"/>
      </w:rPr>
      <w:t>3</w:t>
    </w:r>
    <w:r w:rsidRPr="008762D1">
      <w:rPr>
        <w:rFonts w:ascii="Times New Roman" w:hAnsi="Times New Roman" w:cs="Times New Roman"/>
        <w:sz w:val="20"/>
        <w:szCs w:val="20"/>
      </w:rPr>
      <w:t>)</w:t>
    </w:r>
    <w:r w:rsidRPr="008762D1">
      <w:rPr>
        <w:rFonts w:ascii="Times New Roman" w:hAnsi="Times New Roman" w:cs="Times New Roman"/>
        <w:iCs/>
        <w:sz w:val="20"/>
        <w:szCs w:val="20"/>
      </w:rPr>
      <w:t xml:space="preserve">     </w:t>
    </w:r>
    <w:r w:rsidRPr="008762D1">
      <w:rPr>
        <w:rFonts w:ascii="Times New Roman" w:hAnsi="Times New Roman" w:cs="Times New Roman" w:hint="eastAsia"/>
        <w:iCs/>
        <w:sz w:val="20"/>
        <w:szCs w:val="20"/>
      </w:rPr>
      <w:tab/>
    </w:r>
    <w:r w:rsidRPr="008762D1">
      <w:rPr>
        <w:rFonts w:ascii="Times New Roman" w:hAnsi="Times New Roman" w:cs="Times New Roman"/>
        <w:iCs/>
        <w:sz w:val="20"/>
        <w:szCs w:val="20"/>
      </w:rPr>
      <w:t xml:space="preserve"> </w:t>
    </w:r>
    <w:r w:rsidRPr="008762D1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762D1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762D1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8762D1" w:rsidRPr="008762D1" w:rsidRDefault="008762D1" w:rsidP="008762D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1" w:rsidRPr="008762D1" w:rsidRDefault="008762D1" w:rsidP="008762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762D1">
      <w:rPr>
        <w:rFonts w:ascii="Times New Roman" w:hAnsi="Times New Roman" w:cs="Times New Roman" w:hint="eastAsia"/>
        <w:sz w:val="20"/>
        <w:szCs w:val="20"/>
      </w:rPr>
      <w:tab/>
    </w:r>
    <w:r w:rsidRPr="008762D1">
      <w:rPr>
        <w:rFonts w:ascii="Times New Roman" w:hAnsi="Times New Roman" w:cs="Times New Roman"/>
        <w:sz w:val="20"/>
        <w:szCs w:val="20"/>
      </w:rPr>
      <w:t>New York Science Journal 201</w:t>
    </w:r>
    <w:r w:rsidRPr="008762D1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8762D1">
      <w:rPr>
        <w:rFonts w:ascii="Times New Roman" w:hAnsi="Times New Roman" w:cs="Times New Roman"/>
        <w:sz w:val="20"/>
        <w:szCs w:val="20"/>
      </w:rPr>
      <w:t>;</w:t>
    </w:r>
    <w:r w:rsidRPr="008762D1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8762D1">
      <w:rPr>
        <w:rFonts w:ascii="Times New Roman" w:hAnsi="Times New Roman" w:cs="Times New Roman"/>
        <w:sz w:val="20"/>
        <w:szCs w:val="20"/>
      </w:rPr>
      <w:t>(</w:t>
    </w:r>
    <w:r w:rsidRPr="008762D1">
      <w:rPr>
        <w:rFonts w:ascii="Times New Roman" w:hAnsi="Times New Roman" w:cs="Times New Roman" w:hint="eastAsia"/>
        <w:sz w:val="20"/>
        <w:szCs w:val="20"/>
      </w:rPr>
      <w:t>3</w:t>
    </w:r>
    <w:r w:rsidRPr="008762D1">
      <w:rPr>
        <w:rFonts w:ascii="Times New Roman" w:hAnsi="Times New Roman" w:cs="Times New Roman"/>
        <w:sz w:val="20"/>
        <w:szCs w:val="20"/>
      </w:rPr>
      <w:t>)</w:t>
    </w:r>
    <w:r w:rsidRPr="008762D1">
      <w:rPr>
        <w:rFonts w:ascii="Times New Roman" w:hAnsi="Times New Roman" w:cs="Times New Roman"/>
        <w:iCs/>
        <w:sz w:val="20"/>
        <w:szCs w:val="20"/>
      </w:rPr>
      <w:t xml:space="preserve">     </w:t>
    </w:r>
    <w:r w:rsidRPr="008762D1">
      <w:rPr>
        <w:rFonts w:ascii="Times New Roman" w:hAnsi="Times New Roman" w:cs="Times New Roman" w:hint="eastAsia"/>
        <w:iCs/>
        <w:sz w:val="20"/>
        <w:szCs w:val="20"/>
      </w:rPr>
      <w:tab/>
    </w:r>
    <w:r w:rsidRPr="008762D1">
      <w:rPr>
        <w:rFonts w:ascii="Times New Roman" w:hAnsi="Times New Roman" w:cs="Times New Roman"/>
        <w:iCs/>
        <w:sz w:val="20"/>
        <w:szCs w:val="20"/>
      </w:rPr>
      <w:t xml:space="preserve"> </w:t>
    </w:r>
    <w:r w:rsidRPr="008762D1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762D1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762D1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8762D1" w:rsidRPr="008762D1" w:rsidRDefault="008762D1" w:rsidP="008762D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D1" w:rsidRPr="008762D1" w:rsidRDefault="008762D1" w:rsidP="008762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8762D1">
      <w:rPr>
        <w:rFonts w:ascii="Times New Roman" w:hAnsi="Times New Roman" w:cs="Times New Roman" w:hint="eastAsia"/>
        <w:sz w:val="20"/>
        <w:szCs w:val="20"/>
      </w:rPr>
      <w:tab/>
    </w:r>
    <w:r w:rsidRPr="008762D1">
      <w:rPr>
        <w:rFonts w:ascii="Times New Roman" w:hAnsi="Times New Roman" w:cs="Times New Roman"/>
        <w:sz w:val="20"/>
        <w:szCs w:val="20"/>
      </w:rPr>
      <w:t>New York Science Journal 201</w:t>
    </w:r>
    <w:r w:rsidRPr="008762D1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8762D1">
      <w:rPr>
        <w:rFonts w:ascii="Times New Roman" w:hAnsi="Times New Roman" w:cs="Times New Roman"/>
        <w:sz w:val="20"/>
        <w:szCs w:val="20"/>
      </w:rPr>
      <w:t>;</w:t>
    </w:r>
    <w:r w:rsidRPr="008762D1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8762D1">
      <w:rPr>
        <w:rFonts w:ascii="Times New Roman" w:hAnsi="Times New Roman" w:cs="Times New Roman"/>
        <w:sz w:val="20"/>
        <w:szCs w:val="20"/>
      </w:rPr>
      <w:t>(</w:t>
    </w:r>
    <w:r w:rsidRPr="008762D1">
      <w:rPr>
        <w:rFonts w:ascii="Times New Roman" w:hAnsi="Times New Roman" w:cs="Times New Roman" w:hint="eastAsia"/>
        <w:sz w:val="20"/>
        <w:szCs w:val="20"/>
      </w:rPr>
      <w:t>3</w:t>
    </w:r>
    <w:r w:rsidRPr="008762D1">
      <w:rPr>
        <w:rFonts w:ascii="Times New Roman" w:hAnsi="Times New Roman" w:cs="Times New Roman"/>
        <w:sz w:val="20"/>
        <w:szCs w:val="20"/>
      </w:rPr>
      <w:t>)</w:t>
    </w:r>
    <w:r w:rsidRPr="008762D1">
      <w:rPr>
        <w:rFonts w:ascii="Times New Roman" w:hAnsi="Times New Roman" w:cs="Times New Roman"/>
        <w:iCs/>
        <w:sz w:val="20"/>
        <w:szCs w:val="20"/>
      </w:rPr>
      <w:t xml:space="preserve">     </w:t>
    </w:r>
    <w:r w:rsidRPr="008762D1">
      <w:rPr>
        <w:rFonts w:ascii="Times New Roman" w:hAnsi="Times New Roman" w:cs="Times New Roman" w:hint="eastAsia"/>
        <w:iCs/>
        <w:sz w:val="20"/>
        <w:szCs w:val="20"/>
      </w:rPr>
      <w:tab/>
    </w:r>
    <w:r w:rsidRPr="008762D1">
      <w:rPr>
        <w:rFonts w:ascii="Times New Roman" w:hAnsi="Times New Roman" w:cs="Times New Roman"/>
        <w:iCs/>
        <w:sz w:val="20"/>
        <w:szCs w:val="20"/>
      </w:rPr>
      <w:t xml:space="preserve"> </w:t>
    </w:r>
    <w:r w:rsidRPr="008762D1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8762D1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8762D1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8762D1" w:rsidRPr="008762D1" w:rsidRDefault="008762D1" w:rsidP="008762D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37CD"/>
    <w:multiLevelType w:val="hybridMultilevel"/>
    <w:tmpl w:val="07C2D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2901D9"/>
    <w:multiLevelType w:val="hybridMultilevel"/>
    <w:tmpl w:val="0B02A3E6"/>
    <w:lvl w:ilvl="0" w:tplc="193C81A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DF09E8"/>
    <w:multiLevelType w:val="multilevel"/>
    <w:tmpl w:val="789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772"/>
    <w:rsid w:val="00001F55"/>
    <w:rsid w:val="0002214D"/>
    <w:rsid w:val="0004188D"/>
    <w:rsid w:val="000543AB"/>
    <w:rsid w:val="000571F4"/>
    <w:rsid w:val="00064AEC"/>
    <w:rsid w:val="0007111C"/>
    <w:rsid w:val="00072772"/>
    <w:rsid w:val="000734AC"/>
    <w:rsid w:val="00092D1B"/>
    <w:rsid w:val="000D146D"/>
    <w:rsid w:val="000D54A4"/>
    <w:rsid w:val="000F7301"/>
    <w:rsid w:val="00126FDB"/>
    <w:rsid w:val="0015603F"/>
    <w:rsid w:val="0018332A"/>
    <w:rsid w:val="001A086A"/>
    <w:rsid w:val="001B20F9"/>
    <w:rsid w:val="001C5F81"/>
    <w:rsid w:val="001E7C5A"/>
    <w:rsid w:val="00220C96"/>
    <w:rsid w:val="00241E6E"/>
    <w:rsid w:val="002479C9"/>
    <w:rsid w:val="00255746"/>
    <w:rsid w:val="00283BA1"/>
    <w:rsid w:val="00290B45"/>
    <w:rsid w:val="002B23C8"/>
    <w:rsid w:val="002D5292"/>
    <w:rsid w:val="00303694"/>
    <w:rsid w:val="00322B3D"/>
    <w:rsid w:val="0034149D"/>
    <w:rsid w:val="00391E81"/>
    <w:rsid w:val="00397E33"/>
    <w:rsid w:val="003C01D7"/>
    <w:rsid w:val="003C1537"/>
    <w:rsid w:val="003D5B83"/>
    <w:rsid w:val="003E5A2C"/>
    <w:rsid w:val="003F5B34"/>
    <w:rsid w:val="00415B1D"/>
    <w:rsid w:val="00421DFE"/>
    <w:rsid w:val="00433E4C"/>
    <w:rsid w:val="004502DE"/>
    <w:rsid w:val="0045429F"/>
    <w:rsid w:val="004675D7"/>
    <w:rsid w:val="00470ADE"/>
    <w:rsid w:val="004829B1"/>
    <w:rsid w:val="004937E1"/>
    <w:rsid w:val="004A4D93"/>
    <w:rsid w:val="004D1C6C"/>
    <w:rsid w:val="00517DA3"/>
    <w:rsid w:val="0053007C"/>
    <w:rsid w:val="005410FC"/>
    <w:rsid w:val="00584AB8"/>
    <w:rsid w:val="005C2823"/>
    <w:rsid w:val="005D1746"/>
    <w:rsid w:val="005D6714"/>
    <w:rsid w:val="005E4305"/>
    <w:rsid w:val="005F08F4"/>
    <w:rsid w:val="0060222B"/>
    <w:rsid w:val="00603094"/>
    <w:rsid w:val="00623328"/>
    <w:rsid w:val="0062435B"/>
    <w:rsid w:val="00657A56"/>
    <w:rsid w:val="00662042"/>
    <w:rsid w:val="006729FD"/>
    <w:rsid w:val="006B5673"/>
    <w:rsid w:val="006B74E6"/>
    <w:rsid w:val="006C1613"/>
    <w:rsid w:val="006F4644"/>
    <w:rsid w:val="007059A0"/>
    <w:rsid w:val="00712DA8"/>
    <w:rsid w:val="00720133"/>
    <w:rsid w:val="007970A6"/>
    <w:rsid w:val="007B0B6D"/>
    <w:rsid w:val="007C3039"/>
    <w:rsid w:val="007E7877"/>
    <w:rsid w:val="007F57A0"/>
    <w:rsid w:val="00814074"/>
    <w:rsid w:val="00824CB0"/>
    <w:rsid w:val="0084272E"/>
    <w:rsid w:val="008506BB"/>
    <w:rsid w:val="008762D1"/>
    <w:rsid w:val="008848A2"/>
    <w:rsid w:val="008A5A4D"/>
    <w:rsid w:val="008C2852"/>
    <w:rsid w:val="008D21BE"/>
    <w:rsid w:val="008F076F"/>
    <w:rsid w:val="008F2F35"/>
    <w:rsid w:val="008F7BC2"/>
    <w:rsid w:val="00904CCF"/>
    <w:rsid w:val="00906AE4"/>
    <w:rsid w:val="00935E75"/>
    <w:rsid w:val="00993A32"/>
    <w:rsid w:val="009D77FA"/>
    <w:rsid w:val="009F6029"/>
    <w:rsid w:val="00A22E52"/>
    <w:rsid w:val="00A24FC1"/>
    <w:rsid w:val="00A578DC"/>
    <w:rsid w:val="00A60211"/>
    <w:rsid w:val="00A648FB"/>
    <w:rsid w:val="00AB2817"/>
    <w:rsid w:val="00AF2E24"/>
    <w:rsid w:val="00AF7981"/>
    <w:rsid w:val="00B23B2E"/>
    <w:rsid w:val="00B258E8"/>
    <w:rsid w:val="00B328D2"/>
    <w:rsid w:val="00B47BFC"/>
    <w:rsid w:val="00B613C8"/>
    <w:rsid w:val="00B64A50"/>
    <w:rsid w:val="00B72204"/>
    <w:rsid w:val="00B84D11"/>
    <w:rsid w:val="00B86F80"/>
    <w:rsid w:val="00B87586"/>
    <w:rsid w:val="00B9741C"/>
    <w:rsid w:val="00BA398E"/>
    <w:rsid w:val="00BB148B"/>
    <w:rsid w:val="00BB6A04"/>
    <w:rsid w:val="00BF661B"/>
    <w:rsid w:val="00BF784A"/>
    <w:rsid w:val="00C110CA"/>
    <w:rsid w:val="00C12549"/>
    <w:rsid w:val="00C20188"/>
    <w:rsid w:val="00C27ABA"/>
    <w:rsid w:val="00C35BAA"/>
    <w:rsid w:val="00C5630A"/>
    <w:rsid w:val="00C65266"/>
    <w:rsid w:val="00C7178D"/>
    <w:rsid w:val="00C758CA"/>
    <w:rsid w:val="00C813DC"/>
    <w:rsid w:val="00C9380D"/>
    <w:rsid w:val="00CC17DB"/>
    <w:rsid w:val="00CE435D"/>
    <w:rsid w:val="00D06DB5"/>
    <w:rsid w:val="00D1363E"/>
    <w:rsid w:val="00D140FF"/>
    <w:rsid w:val="00D2253B"/>
    <w:rsid w:val="00D31F39"/>
    <w:rsid w:val="00D626E4"/>
    <w:rsid w:val="00D80CB7"/>
    <w:rsid w:val="00D90D71"/>
    <w:rsid w:val="00DA26EC"/>
    <w:rsid w:val="00DA774F"/>
    <w:rsid w:val="00DB723D"/>
    <w:rsid w:val="00DC49AD"/>
    <w:rsid w:val="00E218DF"/>
    <w:rsid w:val="00E479AC"/>
    <w:rsid w:val="00E71C82"/>
    <w:rsid w:val="00E72EAD"/>
    <w:rsid w:val="00E748AD"/>
    <w:rsid w:val="00E76F47"/>
    <w:rsid w:val="00E96E77"/>
    <w:rsid w:val="00EC1896"/>
    <w:rsid w:val="00EC3ED3"/>
    <w:rsid w:val="00ED15F7"/>
    <w:rsid w:val="00EF41BA"/>
    <w:rsid w:val="00F12FE2"/>
    <w:rsid w:val="00F56A00"/>
    <w:rsid w:val="00F72EBA"/>
    <w:rsid w:val="00F73D51"/>
    <w:rsid w:val="00F8149F"/>
    <w:rsid w:val="00F94351"/>
    <w:rsid w:val="00FB4783"/>
    <w:rsid w:val="00FD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2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8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1C6C"/>
    <w:pPr>
      <w:spacing w:after="0" w:line="240" w:lineRule="auto"/>
    </w:pPr>
    <w:rPr>
      <w:lang w:val="en-GB"/>
    </w:rPr>
  </w:style>
  <w:style w:type="table" w:customStyle="1" w:styleId="PlainTable21">
    <w:name w:val="Plain Table 21"/>
    <w:basedOn w:val="TableNormal"/>
    <w:uiPriority w:val="42"/>
    <w:rsid w:val="004D1C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5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B8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8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8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76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62D1"/>
    <w:rPr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762D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62D1"/>
    <w:rPr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876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2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aadekanbi@yahoo.com" TargetMode="External"/><Relationship Id="rId13" Type="http://schemas.openxmlformats.org/officeDocument/2006/relationships/header" Target="header2.xml"/><Relationship Id="rId18" Type="http://schemas.openxmlformats.org/officeDocument/2006/relationships/hyperlink" Target="http://seer.cancer.gov/csr/1975_2002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inaadekanbi@yahoo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hyperlink" Target="http://www.dx.doi.org/10.7537/marsnys09031604" TargetMode="External"/><Relationship Id="rId19" Type="http://schemas.openxmlformats.org/officeDocument/2006/relationships/hyperlink" Target="http://www.ncbi.nlm.nih.gov/entrez/query.fcgi?cmd=Retrieve&amp;db=pubmed&amp;dopt=Abstract&amp;list_uids=9874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9EBE-DE4A-462C-955D-63982D8D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ADEKANBI</dc:creator>
  <cp:lastModifiedBy>Administrator</cp:lastModifiedBy>
  <cp:revision>4</cp:revision>
  <cp:lastPrinted>2016-03-01T01:43:00Z</cp:lastPrinted>
  <dcterms:created xsi:type="dcterms:W3CDTF">2016-03-01T09:53:00Z</dcterms:created>
  <dcterms:modified xsi:type="dcterms:W3CDTF">2016-03-01T02:31:00Z</dcterms:modified>
</cp:coreProperties>
</file>