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BE" w:rsidRDefault="006930BE" w:rsidP="003A05F0">
      <w:pPr>
        <w:suppressAutoHyphens w:val="0"/>
        <w:autoSpaceDE w:val="0"/>
        <w:autoSpaceDN w:val="0"/>
        <w:adjustRightInd w:val="0"/>
        <w:snapToGrid w:val="0"/>
        <w:jc w:val="center"/>
        <w:rPr>
          <w:b/>
          <w:sz w:val="20"/>
          <w:szCs w:val="20"/>
          <w:lang w:val="en-GB" w:eastAsia="zh-CN"/>
        </w:rPr>
      </w:pPr>
      <w:r w:rsidRPr="003A05F0">
        <w:rPr>
          <w:b/>
          <w:sz w:val="20"/>
          <w:szCs w:val="20"/>
          <w:lang w:val="en-GB" w:eastAsia="en-GB"/>
        </w:rPr>
        <w:t>Microbial Quality of Mangoes from selected markets in Accra, Ghana</w:t>
      </w:r>
    </w:p>
    <w:p w:rsidR="003A05F0" w:rsidRPr="003A05F0" w:rsidRDefault="003A05F0" w:rsidP="003A05F0">
      <w:pPr>
        <w:suppressAutoHyphens w:val="0"/>
        <w:autoSpaceDE w:val="0"/>
        <w:autoSpaceDN w:val="0"/>
        <w:adjustRightInd w:val="0"/>
        <w:snapToGrid w:val="0"/>
        <w:jc w:val="center"/>
        <w:rPr>
          <w:b/>
          <w:sz w:val="20"/>
          <w:szCs w:val="20"/>
          <w:lang w:val="en-GB" w:eastAsia="zh-CN"/>
        </w:rPr>
      </w:pPr>
    </w:p>
    <w:p w:rsidR="006930BE" w:rsidRPr="003A05F0" w:rsidRDefault="006930BE" w:rsidP="003A05F0">
      <w:pPr>
        <w:suppressAutoHyphens w:val="0"/>
        <w:autoSpaceDE w:val="0"/>
        <w:autoSpaceDN w:val="0"/>
        <w:adjustRightInd w:val="0"/>
        <w:snapToGrid w:val="0"/>
        <w:jc w:val="center"/>
        <w:rPr>
          <w:sz w:val="20"/>
          <w:szCs w:val="20"/>
          <w:vertAlign w:val="superscript"/>
          <w:lang w:val="en-GB" w:eastAsia="zh-CN"/>
        </w:rPr>
      </w:pPr>
      <w:proofErr w:type="spellStart"/>
      <w:r w:rsidRPr="003A05F0">
        <w:rPr>
          <w:sz w:val="20"/>
          <w:szCs w:val="20"/>
          <w:lang w:val="en-GB" w:eastAsia="en-GB"/>
        </w:rPr>
        <w:t>Godfred</w:t>
      </w:r>
      <w:proofErr w:type="spellEnd"/>
      <w:r w:rsidRPr="003A05F0">
        <w:rPr>
          <w:sz w:val="20"/>
          <w:szCs w:val="20"/>
          <w:lang w:val="en-GB" w:eastAsia="en-GB"/>
        </w:rPr>
        <w:t xml:space="preserve"> </w:t>
      </w:r>
      <w:proofErr w:type="spellStart"/>
      <w:r w:rsidRPr="003A05F0">
        <w:rPr>
          <w:sz w:val="20"/>
          <w:szCs w:val="20"/>
          <w:lang w:val="en-GB" w:eastAsia="en-GB"/>
        </w:rPr>
        <w:t>Futagbi</w:t>
      </w:r>
      <w:proofErr w:type="spellEnd"/>
      <w:r w:rsidRPr="003A05F0">
        <w:rPr>
          <w:sz w:val="20"/>
          <w:szCs w:val="20"/>
          <w:lang w:val="en-GB" w:eastAsia="en-GB"/>
        </w:rPr>
        <w:t xml:space="preserve"> </w:t>
      </w:r>
      <w:r w:rsidRPr="003A05F0">
        <w:rPr>
          <w:sz w:val="20"/>
          <w:szCs w:val="20"/>
          <w:vertAlign w:val="superscript"/>
          <w:lang w:val="en-GB" w:eastAsia="en-GB"/>
        </w:rPr>
        <w:t>1</w:t>
      </w:r>
      <w:r w:rsidRPr="003A05F0">
        <w:rPr>
          <w:sz w:val="20"/>
          <w:szCs w:val="20"/>
          <w:lang w:val="en-GB" w:eastAsia="en-GB"/>
        </w:rPr>
        <w:t>, Magdalene Addo</w:t>
      </w:r>
      <w:r w:rsidRPr="003A05F0">
        <w:rPr>
          <w:sz w:val="20"/>
          <w:szCs w:val="20"/>
          <w:vertAlign w:val="superscript"/>
          <w:lang w:val="en-GB" w:eastAsia="en-GB"/>
        </w:rPr>
        <w:t>1</w:t>
      </w:r>
      <w:r w:rsidRPr="003A05F0">
        <w:rPr>
          <w:sz w:val="20"/>
          <w:szCs w:val="20"/>
          <w:lang w:val="en-GB" w:eastAsia="en-GB"/>
        </w:rPr>
        <w:t>, Precious</w:t>
      </w:r>
      <w:r w:rsidR="0034164A" w:rsidRPr="003A05F0">
        <w:rPr>
          <w:sz w:val="20"/>
          <w:szCs w:val="20"/>
          <w:lang w:val="en-GB" w:eastAsia="en-GB"/>
        </w:rPr>
        <w:t xml:space="preserve"> </w:t>
      </w:r>
      <w:proofErr w:type="spellStart"/>
      <w:r w:rsidR="0034164A" w:rsidRPr="003A05F0">
        <w:rPr>
          <w:sz w:val="20"/>
          <w:szCs w:val="20"/>
          <w:lang w:val="en-GB" w:eastAsia="en-GB"/>
        </w:rPr>
        <w:t>A</w:t>
      </w:r>
      <w:r w:rsidR="001B5BA0" w:rsidRPr="003A05F0">
        <w:rPr>
          <w:sz w:val="20"/>
          <w:szCs w:val="20"/>
          <w:lang w:val="en-GB" w:eastAsia="en-GB"/>
        </w:rPr>
        <w:t>gbeko</w:t>
      </w:r>
      <w:proofErr w:type="spellEnd"/>
      <w:r w:rsidR="001B5BA0" w:rsidRPr="003A05F0">
        <w:rPr>
          <w:sz w:val="20"/>
          <w:szCs w:val="20"/>
          <w:lang w:val="en-GB" w:eastAsia="en-GB"/>
        </w:rPr>
        <w:t xml:space="preserve"> </w:t>
      </w:r>
      <w:proofErr w:type="spellStart"/>
      <w:r w:rsidR="0034164A" w:rsidRPr="003A05F0">
        <w:rPr>
          <w:sz w:val="20"/>
          <w:szCs w:val="20"/>
          <w:lang w:val="en-GB" w:eastAsia="en-GB"/>
        </w:rPr>
        <w:t>D</w:t>
      </w:r>
      <w:r w:rsidR="001B5BA0" w:rsidRPr="003A05F0">
        <w:rPr>
          <w:sz w:val="20"/>
          <w:szCs w:val="20"/>
          <w:lang w:val="en-GB" w:eastAsia="en-GB"/>
        </w:rPr>
        <w:t>zorgbe</w:t>
      </w:r>
      <w:proofErr w:type="spellEnd"/>
      <w:r w:rsidRPr="003A05F0">
        <w:rPr>
          <w:sz w:val="20"/>
          <w:szCs w:val="20"/>
          <w:lang w:val="en-GB" w:eastAsia="en-GB"/>
        </w:rPr>
        <w:t xml:space="preserve"> Mattah</w:t>
      </w:r>
      <w:r w:rsidRPr="003A05F0">
        <w:rPr>
          <w:sz w:val="20"/>
          <w:szCs w:val="20"/>
          <w:vertAlign w:val="superscript"/>
          <w:lang w:val="en-GB" w:eastAsia="en-GB"/>
        </w:rPr>
        <w:t>2</w:t>
      </w:r>
      <w:r w:rsidRPr="003A05F0">
        <w:rPr>
          <w:sz w:val="20"/>
          <w:szCs w:val="20"/>
          <w:lang w:val="en-GB" w:eastAsia="en-GB"/>
        </w:rPr>
        <w:t xml:space="preserve"> </w:t>
      </w:r>
      <w:r w:rsidR="0034164A" w:rsidRPr="003A05F0">
        <w:rPr>
          <w:sz w:val="20"/>
          <w:szCs w:val="20"/>
          <w:lang w:val="en-GB" w:eastAsia="en-GB"/>
        </w:rPr>
        <w:t xml:space="preserve">and Eric </w:t>
      </w:r>
      <w:proofErr w:type="spellStart"/>
      <w:r w:rsidR="0034164A" w:rsidRPr="003A05F0">
        <w:rPr>
          <w:sz w:val="20"/>
          <w:szCs w:val="20"/>
          <w:lang w:val="en-GB" w:eastAsia="en-GB"/>
        </w:rPr>
        <w:t>Sampane</w:t>
      </w:r>
      <w:proofErr w:type="spellEnd"/>
      <w:r w:rsidR="0034164A" w:rsidRPr="003A05F0">
        <w:rPr>
          <w:sz w:val="20"/>
          <w:szCs w:val="20"/>
          <w:lang w:val="en-GB" w:eastAsia="en-GB"/>
        </w:rPr>
        <w:t xml:space="preserve"> </w:t>
      </w:r>
      <w:r w:rsidRPr="003A05F0">
        <w:rPr>
          <w:sz w:val="20"/>
          <w:szCs w:val="20"/>
          <w:lang w:val="en-GB" w:eastAsia="en-GB"/>
        </w:rPr>
        <w:t>Donkor</w:t>
      </w:r>
      <w:r w:rsidRPr="003A05F0">
        <w:rPr>
          <w:sz w:val="20"/>
          <w:szCs w:val="20"/>
          <w:vertAlign w:val="superscript"/>
          <w:lang w:val="en-GB" w:eastAsia="en-GB"/>
        </w:rPr>
        <w:t>3</w:t>
      </w:r>
    </w:p>
    <w:p w:rsidR="003A05F0" w:rsidRPr="003A05F0" w:rsidRDefault="003A05F0" w:rsidP="003A05F0">
      <w:pPr>
        <w:suppressAutoHyphens w:val="0"/>
        <w:autoSpaceDE w:val="0"/>
        <w:autoSpaceDN w:val="0"/>
        <w:adjustRightInd w:val="0"/>
        <w:snapToGrid w:val="0"/>
        <w:jc w:val="center"/>
        <w:rPr>
          <w:b/>
          <w:sz w:val="20"/>
          <w:szCs w:val="20"/>
          <w:vertAlign w:val="superscript"/>
          <w:lang w:val="en-GB" w:eastAsia="zh-CN"/>
        </w:rPr>
      </w:pPr>
    </w:p>
    <w:p w:rsidR="006930BE" w:rsidRPr="003A05F0" w:rsidRDefault="006930BE" w:rsidP="003A05F0">
      <w:pPr>
        <w:suppressAutoHyphens w:val="0"/>
        <w:autoSpaceDE w:val="0"/>
        <w:autoSpaceDN w:val="0"/>
        <w:adjustRightInd w:val="0"/>
        <w:snapToGrid w:val="0"/>
        <w:jc w:val="center"/>
        <w:rPr>
          <w:sz w:val="20"/>
          <w:szCs w:val="20"/>
          <w:lang w:val="en-GB" w:eastAsia="en-GB"/>
        </w:rPr>
      </w:pPr>
      <w:proofErr w:type="gramStart"/>
      <w:r w:rsidRPr="003A05F0">
        <w:rPr>
          <w:sz w:val="20"/>
          <w:szCs w:val="20"/>
          <w:vertAlign w:val="superscript"/>
          <w:lang w:val="en-GB" w:eastAsia="en-GB"/>
        </w:rPr>
        <w:t>1.</w:t>
      </w:r>
      <w:r w:rsidRPr="003A05F0">
        <w:rPr>
          <w:sz w:val="20"/>
          <w:szCs w:val="20"/>
          <w:lang w:val="en-GB" w:eastAsia="en-GB"/>
        </w:rPr>
        <w:t>Department</w:t>
      </w:r>
      <w:proofErr w:type="gramEnd"/>
      <w:r w:rsidRPr="003A05F0">
        <w:rPr>
          <w:sz w:val="20"/>
          <w:szCs w:val="20"/>
          <w:lang w:val="en-GB" w:eastAsia="en-GB"/>
        </w:rPr>
        <w:t xml:space="preserve"> of Animal Biology and Conservation Science, School of Basic and Applied Sciences, University of Ghana, Accra, Ghana</w:t>
      </w:r>
    </w:p>
    <w:p w:rsidR="006930BE" w:rsidRPr="003A05F0" w:rsidRDefault="006930BE" w:rsidP="003A05F0">
      <w:pPr>
        <w:suppressAutoHyphens w:val="0"/>
        <w:autoSpaceDE w:val="0"/>
        <w:autoSpaceDN w:val="0"/>
        <w:adjustRightInd w:val="0"/>
        <w:snapToGrid w:val="0"/>
        <w:jc w:val="center"/>
        <w:rPr>
          <w:sz w:val="20"/>
          <w:szCs w:val="20"/>
        </w:rPr>
      </w:pPr>
      <w:proofErr w:type="gramStart"/>
      <w:r w:rsidRPr="003A05F0">
        <w:rPr>
          <w:sz w:val="20"/>
          <w:szCs w:val="20"/>
          <w:vertAlign w:val="superscript"/>
        </w:rPr>
        <w:t>2.</w:t>
      </w:r>
      <w:r w:rsidRPr="003A05F0">
        <w:rPr>
          <w:sz w:val="20"/>
          <w:szCs w:val="20"/>
        </w:rPr>
        <w:t>Directorate</w:t>
      </w:r>
      <w:proofErr w:type="gramEnd"/>
      <w:r w:rsidRPr="003A05F0">
        <w:rPr>
          <w:sz w:val="20"/>
          <w:szCs w:val="20"/>
        </w:rPr>
        <w:t xml:space="preserve"> of Academic Planning and Quality Assurance, University of Cape Coast, Cape Coast, Ghana</w:t>
      </w:r>
    </w:p>
    <w:p w:rsidR="00471E57" w:rsidRPr="003A05F0" w:rsidRDefault="006930BE" w:rsidP="003A05F0">
      <w:pPr>
        <w:suppressAutoHyphens w:val="0"/>
        <w:snapToGrid w:val="0"/>
        <w:jc w:val="center"/>
        <w:rPr>
          <w:sz w:val="20"/>
          <w:szCs w:val="20"/>
        </w:rPr>
      </w:pPr>
      <w:proofErr w:type="gramStart"/>
      <w:r w:rsidRPr="003A05F0">
        <w:rPr>
          <w:sz w:val="20"/>
          <w:szCs w:val="20"/>
          <w:vertAlign w:val="superscript"/>
          <w:lang w:val="en-GB" w:eastAsia="en-GB"/>
        </w:rPr>
        <w:t>3.</w:t>
      </w:r>
      <w:r w:rsidRPr="003A05F0">
        <w:rPr>
          <w:sz w:val="20"/>
          <w:szCs w:val="20"/>
          <w:lang w:val="en-GB" w:eastAsia="en-GB"/>
        </w:rPr>
        <w:t>Department</w:t>
      </w:r>
      <w:proofErr w:type="gramEnd"/>
      <w:r w:rsidRPr="003A05F0">
        <w:rPr>
          <w:sz w:val="20"/>
          <w:szCs w:val="20"/>
          <w:lang w:val="en-GB" w:eastAsia="en-GB"/>
        </w:rPr>
        <w:t xml:space="preserve"> of Microbiology, School of Biomedical and Allied Health Sciences, University of Ghana, Accra, Ghana</w:t>
      </w:r>
    </w:p>
    <w:p w:rsidR="00A73A8C" w:rsidRDefault="00F86D90" w:rsidP="003A05F0">
      <w:pPr>
        <w:suppressAutoHyphens w:val="0"/>
        <w:snapToGrid w:val="0"/>
        <w:jc w:val="center"/>
        <w:rPr>
          <w:sz w:val="20"/>
          <w:lang w:eastAsia="zh-CN"/>
        </w:rPr>
      </w:pPr>
      <w:hyperlink r:id="rId7" w:history="1">
        <w:r w:rsidR="00A73A8C" w:rsidRPr="003A05F0">
          <w:rPr>
            <w:rStyle w:val="Hyperlink"/>
            <w:sz w:val="20"/>
            <w:szCs w:val="20"/>
          </w:rPr>
          <w:t>gfutagbi@ug.edu.gh</w:t>
        </w:r>
      </w:hyperlink>
    </w:p>
    <w:p w:rsidR="003A05F0" w:rsidRPr="003A05F0" w:rsidRDefault="003A05F0" w:rsidP="003A05F0">
      <w:pPr>
        <w:suppressAutoHyphens w:val="0"/>
        <w:snapToGrid w:val="0"/>
        <w:jc w:val="center"/>
        <w:rPr>
          <w:sz w:val="20"/>
          <w:szCs w:val="20"/>
          <w:lang w:eastAsia="zh-CN"/>
        </w:rPr>
      </w:pPr>
    </w:p>
    <w:p w:rsidR="00180CA5" w:rsidRPr="003A05F0" w:rsidRDefault="006930BE" w:rsidP="003A05F0">
      <w:pPr>
        <w:suppressAutoHyphens w:val="0"/>
        <w:autoSpaceDE w:val="0"/>
        <w:autoSpaceDN w:val="0"/>
        <w:adjustRightInd w:val="0"/>
        <w:snapToGrid w:val="0"/>
        <w:jc w:val="both"/>
        <w:rPr>
          <w:b/>
          <w:sz w:val="20"/>
          <w:szCs w:val="20"/>
          <w:lang w:val="en-GB" w:eastAsia="en-GB"/>
        </w:rPr>
      </w:pPr>
      <w:r w:rsidRPr="003A05F0">
        <w:rPr>
          <w:b/>
          <w:sz w:val="20"/>
          <w:szCs w:val="20"/>
          <w:lang w:val="en-GB" w:eastAsia="en-GB"/>
        </w:rPr>
        <w:t xml:space="preserve">Abstract: </w:t>
      </w:r>
      <w:r w:rsidRPr="003A05F0">
        <w:rPr>
          <w:sz w:val="20"/>
          <w:szCs w:val="20"/>
          <w:lang w:val="en-GB" w:eastAsia="en-GB"/>
        </w:rPr>
        <w:t>Studies have shown external contamination and internalization of pathogenic microbes in vegetables and fruits.</w:t>
      </w:r>
      <w:r w:rsidRPr="003A05F0">
        <w:rPr>
          <w:sz w:val="20"/>
          <w:szCs w:val="20"/>
        </w:rPr>
        <w:t xml:space="preserve"> </w:t>
      </w:r>
      <w:r w:rsidR="00743158" w:rsidRPr="003A05F0">
        <w:rPr>
          <w:iCs/>
          <w:sz w:val="20"/>
          <w:szCs w:val="20"/>
          <w:lang w:val="en-GB" w:eastAsia="en-GB"/>
        </w:rPr>
        <w:t xml:space="preserve">Contamination </w:t>
      </w:r>
      <w:r w:rsidRPr="003A05F0">
        <w:rPr>
          <w:iCs/>
          <w:sz w:val="20"/>
          <w:szCs w:val="20"/>
          <w:lang w:val="en-GB" w:eastAsia="en-GB"/>
        </w:rPr>
        <w:t xml:space="preserve">of vegetables and fruits </w:t>
      </w:r>
      <w:r w:rsidR="00743158" w:rsidRPr="003A05F0">
        <w:rPr>
          <w:iCs/>
          <w:sz w:val="20"/>
          <w:szCs w:val="20"/>
          <w:lang w:val="en-GB" w:eastAsia="en-GB"/>
        </w:rPr>
        <w:t xml:space="preserve">with pathogens </w:t>
      </w:r>
      <w:r w:rsidRPr="003A05F0">
        <w:rPr>
          <w:iCs/>
          <w:sz w:val="20"/>
          <w:szCs w:val="20"/>
          <w:lang w:val="en-GB" w:eastAsia="en-GB"/>
        </w:rPr>
        <w:t>pose</w:t>
      </w:r>
      <w:r w:rsidR="00743158" w:rsidRPr="003A05F0">
        <w:rPr>
          <w:iCs/>
          <w:sz w:val="20"/>
          <w:szCs w:val="20"/>
          <w:lang w:val="en-GB" w:eastAsia="en-GB"/>
        </w:rPr>
        <w:t>s</w:t>
      </w:r>
      <w:r w:rsidRPr="003A05F0">
        <w:rPr>
          <w:iCs/>
          <w:sz w:val="20"/>
          <w:szCs w:val="20"/>
          <w:lang w:val="en-GB" w:eastAsia="en-GB"/>
        </w:rPr>
        <w:t xml:space="preserve"> health risk to consumers because some vegetables and most fruits are eaten raw. This study was done to examine </w:t>
      </w:r>
      <w:r w:rsidR="00FE347A" w:rsidRPr="003A05F0">
        <w:rPr>
          <w:iCs/>
          <w:sz w:val="20"/>
          <w:szCs w:val="20"/>
          <w:lang w:val="en-GB" w:eastAsia="en-GB"/>
        </w:rPr>
        <w:t>contamination</w:t>
      </w:r>
      <w:r w:rsidRPr="003A05F0">
        <w:rPr>
          <w:iCs/>
          <w:sz w:val="20"/>
          <w:szCs w:val="20"/>
          <w:lang w:val="en-GB" w:eastAsia="en-GB"/>
        </w:rPr>
        <w:t xml:space="preserve"> of </w:t>
      </w:r>
      <w:r w:rsidR="00FE347A" w:rsidRPr="003A05F0">
        <w:rPr>
          <w:iCs/>
          <w:sz w:val="20"/>
          <w:szCs w:val="20"/>
          <w:lang w:val="en-GB" w:eastAsia="en-GB"/>
        </w:rPr>
        <w:t xml:space="preserve">mangoes with </w:t>
      </w:r>
      <w:r w:rsidRPr="003A05F0">
        <w:rPr>
          <w:iCs/>
          <w:sz w:val="20"/>
          <w:szCs w:val="20"/>
          <w:lang w:val="en-GB" w:eastAsia="en-GB"/>
        </w:rPr>
        <w:t>microbe</w:t>
      </w:r>
      <w:r w:rsidR="00FE347A" w:rsidRPr="003A05F0">
        <w:rPr>
          <w:iCs/>
          <w:sz w:val="20"/>
          <w:szCs w:val="20"/>
          <w:lang w:val="en-GB" w:eastAsia="en-GB"/>
        </w:rPr>
        <w:t>s</w:t>
      </w:r>
      <w:r w:rsidRPr="003A05F0">
        <w:rPr>
          <w:iCs/>
          <w:sz w:val="20"/>
          <w:szCs w:val="20"/>
          <w:lang w:val="en-GB" w:eastAsia="en-GB"/>
        </w:rPr>
        <w:t xml:space="preserve">. Standard microbiological methods were used to enumerate microbes in mangoes sampled from three markets and based on stage of ripeness and level of scars and punctures. </w:t>
      </w:r>
      <w:r w:rsidRPr="003A05F0">
        <w:rPr>
          <w:sz w:val="20"/>
          <w:szCs w:val="20"/>
        </w:rPr>
        <w:t xml:space="preserve">All the mangoes sampled were contaminated both internally and externally with bacteria or yeast, however, 12.5% were not internally contaminated with </w:t>
      </w:r>
      <w:proofErr w:type="spellStart"/>
      <w:r w:rsidRPr="003A05F0">
        <w:rPr>
          <w:sz w:val="20"/>
          <w:szCs w:val="20"/>
        </w:rPr>
        <w:t>coliform</w:t>
      </w:r>
      <w:proofErr w:type="spellEnd"/>
      <w:r w:rsidRPr="003A05F0">
        <w:rPr>
          <w:sz w:val="20"/>
          <w:szCs w:val="20"/>
        </w:rPr>
        <w:t xml:space="preserve">, </w:t>
      </w:r>
      <w:proofErr w:type="spellStart"/>
      <w:r w:rsidRPr="003A05F0">
        <w:rPr>
          <w:sz w:val="20"/>
          <w:szCs w:val="20"/>
        </w:rPr>
        <w:t>faecal</w:t>
      </w:r>
      <w:proofErr w:type="spellEnd"/>
      <w:r w:rsidRPr="003A05F0">
        <w:rPr>
          <w:sz w:val="20"/>
          <w:szCs w:val="20"/>
        </w:rPr>
        <w:t xml:space="preserve"> </w:t>
      </w:r>
      <w:proofErr w:type="spellStart"/>
      <w:r w:rsidRPr="003A05F0">
        <w:rPr>
          <w:sz w:val="20"/>
          <w:szCs w:val="20"/>
        </w:rPr>
        <w:t>coliform</w:t>
      </w:r>
      <w:proofErr w:type="spellEnd"/>
      <w:r w:rsidRPr="003A05F0">
        <w:rPr>
          <w:sz w:val="20"/>
          <w:szCs w:val="20"/>
        </w:rPr>
        <w:t xml:space="preserve">, yeast or moulds. Significant differences were observed in </w:t>
      </w:r>
      <w:proofErr w:type="spellStart"/>
      <w:r w:rsidRPr="003A05F0">
        <w:rPr>
          <w:sz w:val="20"/>
          <w:szCs w:val="20"/>
        </w:rPr>
        <w:t>coliform</w:t>
      </w:r>
      <w:proofErr w:type="spellEnd"/>
      <w:r w:rsidRPr="003A05F0">
        <w:rPr>
          <w:sz w:val="20"/>
          <w:szCs w:val="20"/>
        </w:rPr>
        <w:t xml:space="preserve"> and </w:t>
      </w:r>
      <w:proofErr w:type="spellStart"/>
      <w:r w:rsidRPr="003A05F0">
        <w:rPr>
          <w:sz w:val="20"/>
          <w:szCs w:val="20"/>
        </w:rPr>
        <w:t>faecal</w:t>
      </w:r>
      <w:proofErr w:type="spellEnd"/>
      <w:r w:rsidRPr="003A05F0">
        <w:rPr>
          <w:sz w:val="20"/>
          <w:szCs w:val="20"/>
        </w:rPr>
        <w:t xml:space="preserve"> </w:t>
      </w:r>
      <w:proofErr w:type="spellStart"/>
      <w:r w:rsidRPr="003A05F0">
        <w:rPr>
          <w:sz w:val="20"/>
          <w:szCs w:val="20"/>
        </w:rPr>
        <w:t>coliform</w:t>
      </w:r>
      <w:proofErr w:type="spellEnd"/>
      <w:r w:rsidRPr="003A05F0">
        <w:rPr>
          <w:sz w:val="20"/>
          <w:szCs w:val="20"/>
        </w:rPr>
        <w:t xml:space="preserve"> counts of mangoes based on the market they were sampled from (p&lt;0.05). Higher proportions of very</w:t>
      </w:r>
      <w:r w:rsidR="00427656" w:rsidRPr="003A05F0">
        <w:rPr>
          <w:sz w:val="20"/>
          <w:szCs w:val="20"/>
        </w:rPr>
        <w:t xml:space="preserve"> ripe</w:t>
      </w:r>
      <w:r w:rsidRPr="003A05F0">
        <w:rPr>
          <w:sz w:val="20"/>
          <w:szCs w:val="20"/>
        </w:rPr>
        <w:t xml:space="preserve"> and ripe mangoes were contaminated both internally and externally compared to unripe ones (p&lt;0.05). Likewise, higher proportions of mangoes with numerous or moderate scars were contaminated, both externally and internally, compared to mangoes </w:t>
      </w:r>
      <w:proofErr w:type="gramStart"/>
      <w:r w:rsidRPr="003A05F0">
        <w:rPr>
          <w:sz w:val="20"/>
          <w:szCs w:val="20"/>
        </w:rPr>
        <w:t>with</w:t>
      </w:r>
      <w:proofErr w:type="gramEnd"/>
      <w:r w:rsidRPr="003A05F0">
        <w:rPr>
          <w:sz w:val="20"/>
          <w:szCs w:val="20"/>
        </w:rPr>
        <w:t xml:space="preserve"> few scars and it was significant for </w:t>
      </w:r>
      <w:proofErr w:type="spellStart"/>
      <w:r w:rsidRPr="003A05F0">
        <w:rPr>
          <w:sz w:val="20"/>
          <w:szCs w:val="20"/>
        </w:rPr>
        <w:t>coliform</w:t>
      </w:r>
      <w:proofErr w:type="spellEnd"/>
      <w:r w:rsidRPr="003A05F0">
        <w:rPr>
          <w:sz w:val="20"/>
          <w:szCs w:val="20"/>
        </w:rPr>
        <w:t xml:space="preserve">, </w:t>
      </w:r>
      <w:proofErr w:type="spellStart"/>
      <w:r w:rsidRPr="003A05F0">
        <w:rPr>
          <w:sz w:val="20"/>
          <w:szCs w:val="20"/>
        </w:rPr>
        <w:t>faecal</w:t>
      </w:r>
      <w:proofErr w:type="spellEnd"/>
      <w:r w:rsidRPr="003A05F0">
        <w:rPr>
          <w:sz w:val="20"/>
          <w:szCs w:val="20"/>
        </w:rPr>
        <w:t xml:space="preserve"> </w:t>
      </w:r>
      <w:proofErr w:type="spellStart"/>
      <w:r w:rsidRPr="003A05F0">
        <w:rPr>
          <w:sz w:val="20"/>
          <w:szCs w:val="20"/>
        </w:rPr>
        <w:t>coliform</w:t>
      </w:r>
      <w:proofErr w:type="spellEnd"/>
      <w:r w:rsidRPr="003A05F0">
        <w:rPr>
          <w:sz w:val="20"/>
          <w:szCs w:val="20"/>
        </w:rPr>
        <w:t xml:space="preserve"> and yeast and moulds counts (p&lt;0.05). Significant variations were observed in all the microbial counts of both internal tissues and external surfaces among very ripe, ripe and unripe samples (p&lt;0.05). Significant variations were also seen in all the internal microbial counts and external total, </w:t>
      </w:r>
      <w:proofErr w:type="spellStart"/>
      <w:r w:rsidRPr="003A05F0">
        <w:rPr>
          <w:sz w:val="20"/>
          <w:szCs w:val="20"/>
        </w:rPr>
        <w:t>coliform</w:t>
      </w:r>
      <w:proofErr w:type="spellEnd"/>
      <w:r w:rsidRPr="003A05F0">
        <w:rPr>
          <w:sz w:val="20"/>
          <w:szCs w:val="20"/>
        </w:rPr>
        <w:t xml:space="preserve">, </w:t>
      </w:r>
      <w:proofErr w:type="spellStart"/>
      <w:r w:rsidRPr="003A05F0">
        <w:rPr>
          <w:sz w:val="20"/>
          <w:szCs w:val="20"/>
        </w:rPr>
        <w:t>faecal</w:t>
      </w:r>
      <w:proofErr w:type="spellEnd"/>
      <w:r w:rsidRPr="003A05F0">
        <w:rPr>
          <w:sz w:val="20"/>
          <w:szCs w:val="20"/>
        </w:rPr>
        <w:t xml:space="preserve"> </w:t>
      </w:r>
      <w:proofErr w:type="spellStart"/>
      <w:r w:rsidRPr="003A05F0">
        <w:rPr>
          <w:sz w:val="20"/>
          <w:szCs w:val="20"/>
        </w:rPr>
        <w:t>coliform</w:t>
      </w:r>
      <w:proofErr w:type="spellEnd"/>
      <w:r w:rsidRPr="003A05F0">
        <w:rPr>
          <w:sz w:val="20"/>
          <w:szCs w:val="20"/>
        </w:rPr>
        <w:t xml:space="preserve"> counts among numerous, moderate and few scars</w:t>
      </w:r>
      <w:r w:rsidR="004A4D02" w:rsidRPr="003A05F0">
        <w:rPr>
          <w:sz w:val="20"/>
          <w:szCs w:val="20"/>
        </w:rPr>
        <w:t xml:space="preserve"> or </w:t>
      </w:r>
      <w:r w:rsidRPr="003A05F0">
        <w:rPr>
          <w:sz w:val="20"/>
          <w:szCs w:val="20"/>
        </w:rPr>
        <w:t>punctures (p&lt;0.05)</w:t>
      </w:r>
      <w:r w:rsidR="004A4D02" w:rsidRPr="003A05F0">
        <w:rPr>
          <w:sz w:val="20"/>
          <w:szCs w:val="20"/>
        </w:rPr>
        <w:t>.</w:t>
      </w:r>
      <w:r w:rsidRPr="003A05F0">
        <w:rPr>
          <w:sz w:val="20"/>
          <w:szCs w:val="20"/>
        </w:rPr>
        <w:t xml:space="preserve"> However, 25% of the mangoes sampled had internal </w:t>
      </w:r>
      <w:proofErr w:type="spellStart"/>
      <w:r w:rsidRPr="003A05F0">
        <w:rPr>
          <w:sz w:val="20"/>
          <w:szCs w:val="20"/>
        </w:rPr>
        <w:t>coliform</w:t>
      </w:r>
      <w:proofErr w:type="spellEnd"/>
      <w:r w:rsidRPr="003A05F0">
        <w:rPr>
          <w:sz w:val="20"/>
          <w:szCs w:val="20"/>
        </w:rPr>
        <w:t xml:space="preserve"> and </w:t>
      </w:r>
      <w:proofErr w:type="spellStart"/>
      <w:r w:rsidRPr="003A05F0">
        <w:rPr>
          <w:sz w:val="20"/>
          <w:szCs w:val="20"/>
        </w:rPr>
        <w:t>faecal</w:t>
      </w:r>
      <w:proofErr w:type="spellEnd"/>
      <w:r w:rsidRPr="003A05F0">
        <w:rPr>
          <w:sz w:val="20"/>
          <w:szCs w:val="20"/>
        </w:rPr>
        <w:t xml:space="preserve"> </w:t>
      </w:r>
      <w:proofErr w:type="spellStart"/>
      <w:r w:rsidRPr="003A05F0">
        <w:rPr>
          <w:sz w:val="20"/>
          <w:szCs w:val="20"/>
        </w:rPr>
        <w:t>coliform</w:t>
      </w:r>
      <w:proofErr w:type="spellEnd"/>
      <w:r w:rsidRPr="003A05F0">
        <w:rPr>
          <w:sz w:val="20"/>
          <w:szCs w:val="20"/>
        </w:rPr>
        <w:t xml:space="preserve"> counts within acceptable limits. Moreover, no pathogenic</w:t>
      </w:r>
      <w:r w:rsidRPr="003A05F0">
        <w:rPr>
          <w:b/>
          <w:sz w:val="20"/>
          <w:szCs w:val="20"/>
        </w:rPr>
        <w:t xml:space="preserve"> </w:t>
      </w:r>
      <w:r w:rsidRPr="003A05F0">
        <w:rPr>
          <w:i/>
          <w:sz w:val="20"/>
          <w:szCs w:val="20"/>
        </w:rPr>
        <w:t>E. coli</w:t>
      </w:r>
      <w:r w:rsidRPr="003A05F0">
        <w:rPr>
          <w:sz w:val="20"/>
          <w:szCs w:val="20"/>
        </w:rPr>
        <w:t xml:space="preserve"> were detected in internal tissues and external surfaces of the mangoes. The study shows that mangoes sold in markets in Accra can pose health risk to consumers, particularly very ripe ones and those full of scars or punctures.</w:t>
      </w:r>
    </w:p>
    <w:p w:rsidR="003A05F0" w:rsidRPr="003A05F0" w:rsidRDefault="003A05F0" w:rsidP="003A05F0">
      <w:pPr>
        <w:suppressAutoHyphens w:val="0"/>
        <w:snapToGrid w:val="0"/>
        <w:jc w:val="both"/>
        <w:rPr>
          <w:sz w:val="20"/>
          <w:szCs w:val="20"/>
        </w:rPr>
      </w:pPr>
      <w:proofErr w:type="gramStart"/>
      <w:r w:rsidRPr="003A05F0">
        <w:rPr>
          <w:rFonts w:hint="eastAsia"/>
          <w:sz w:val="20"/>
          <w:szCs w:val="20"/>
          <w:lang w:val="en-GB" w:eastAsia="zh-CN"/>
        </w:rPr>
        <w:t>[</w:t>
      </w:r>
      <w:proofErr w:type="spellStart"/>
      <w:r w:rsidR="004A49A2" w:rsidRPr="003A05F0">
        <w:rPr>
          <w:sz w:val="20"/>
          <w:szCs w:val="20"/>
          <w:lang w:val="en-GB" w:eastAsia="en-GB"/>
        </w:rPr>
        <w:t>Futagbi</w:t>
      </w:r>
      <w:proofErr w:type="spellEnd"/>
      <w:r w:rsidR="004A49A2" w:rsidRPr="003A05F0">
        <w:rPr>
          <w:sz w:val="20"/>
          <w:szCs w:val="20"/>
          <w:lang w:val="en-GB" w:eastAsia="en-GB"/>
        </w:rPr>
        <w:t xml:space="preserve"> G, </w:t>
      </w:r>
      <w:proofErr w:type="spellStart"/>
      <w:r w:rsidR="004A49A2" w:rsidRPr="003A05F0">
        <w:rPr>
          <w:sz w:val="20"/>
          <w:szCs w:val="20"/>
          <w:lang w:val="en-GB" w:eastAsia="en-GB"/>
        </w:rPr>
        <w:t>Addo</w:t>
      </w:r>
      <w:proofErr w:type="spellEnd"/>
      <w:r w:rsidR="004A49A2" w:rsidRPr="003A05F0">
        <w:rPr>
          <w:sz w:val="20"/>
          <w:szCs w:val="20"/>
          <w:vertAlign w:val="superscript"/>
          <w:lang w:val="en-GB" w:eastAsia="en-GB"/>
        </w:rPr>
        <w:t xml:space="preserve"> </w:t>
      </w:r>
      <w:r w:rsidR="004A49A2" w:rsidRPr="003A05F0">
        <w:rPr>
          <w:sz w:val="20"/>
          <w:szCs w:val="20"/>
          <w:lang w:val="en-GB" w:eastAsia="en-GB"/>
        </w:rPr>
        <w:t xml:space="preserve">M, </w:t>
      </w:r>
      <w:proofErr w:type="spellStart"/>
      <w:r w:rsidR="004A49A2" w:rsidRPr="003A05F0">
        <w:rPr>
          <w:sz w:val="20"/>
          <w:szCs w:val="20"/>
          <w:lang w:val="en-GB" w:eastAsia="en-GB"/>
        </w:rPr>
        <w:t>Mattah</w:t>
      </w:r>
      <w:proofErr w:type="spellEnd"/>
      <w:r w:rsidR="004A49A2" w:rsidRPr="003A05F0">
        <w:rPr>
          <w:sz w:val="20"/>
          <w:szCs w:val="20"/>
          <w:vertAlign w:val="superscript"/>
          <w:lang w:val="en-GB" w:eastAsia="en-GB"/>
        </w:rPr>
        <w:t xml:space="preserve"> </w:t>
      </w:r>
      <w:r w:rsidR="004A49A2" w:rsidRPr="003A05F0">
        <w:rPr>
          <w:sz w:val="20"/>
          <w:szCs w:val="20"/>
          <w:lang w:val="en-GB" w:eastAsia="en-GB"/>
        </w:rPr>
        <w:t xml:space="preserve">PAD, </w:t>
      </w:r>
      <w:proofErr w:type="spellStart"/>
      <w:r w:rsidR="004A49A2" w:rsidRPr="003A05F0">
        <w:rPr>
          <w:sz w:val="20"/>
          <w:szCs w:val="20"/>
          <w:lang w:val="en-GB" w:eastAsia="en-GB"/>
        </w:rPr>
        <w:t>Donkor</w:t>
      </w:r>
      <w:proofErr w:type="spellEnd"/>
      <w:r w:rsidR="004A49A2" w:rsidRPr="003A05F0">
        <w:rPr>
          <w:sz w:val="20"/>
          <w:szCs w:val="20"/>
          <w:vertAlign w:val="superscript"/>
          <w:lang w:val="en-GB" w:eastAsia="en-GB"/>
        </w:rPr>
        <w:t xml:space="preserve"> </w:t>
      </w:r>
      <w:r w:rsidR="004A49A2" w:rsidRPr="003A05F0">
        <w:rPr>
          <w:sz w:val="20"/>
          <w:szCs w:val="20"/>
          <w:lang w:val="en-GB" w:eastAsia="en-GB"/>
        </w:rPr>
        <w:t>ES.</w:t>
      </w:r>
      <w:proofErr w:type="gramEnd"/>
      <w:r w:rsidR="003246A8" w:rsidRPr="003A05F0">
        <w:rPr>
          <w:sz w:val="20"/>
          <w:szCs w:val="20"/>
        </w:rPr>
        <w:t xml:space="preserve"> </w:t>
      </w:r>
      <w:r w:rsidR="006930BE" w:rsidRPr="003A05F0">
        <w:rPr>
          <w:b/>
          <w:sz w:val="20"/>
          <w:szCs w:val="20"/>
          <w:lang w:val="en-GB" w:eastAsia="en-GB"/>
        </w:rPr>
        <w:t>Microbial Quality of Mangoes from</w:t>
      </w:r>
      <w:r w:rsidR="00180CA5" w:rsidRPr="003A05F0">
        <w:rPr>
          <w:b/>
          <w:sz w:val="20"/>
          <w:szCs w:val="20"/>
          <w:lang w:val="en-GB" w:eastAsia="en-GB"/>
        </w:rPr>
        <w:t xml:space="preserve"> selected markets in </w:t>
      </w:r>
      <w:proofErr w:type="spellStart"/>
      <w:r w:rsidR="00180CA5" w:rsidRPr="003A05F0">
        <w:rPr>
          <w:b/>
          <w:sz w:val="20"/>
          <w:szCs w:val="20"/>
          <w:lang w:val="en-GB" w:eastAsia="en-GB"/>
        </w:rPr>
        <w:t>Accra</w:t>
      </w:r>
      <w:proofErr w:type="gramStart"/>
      <w:r w:rsidR="00180CA5" w:rsidRPr="003A05F0">
        <w:rPr>
          <w:b/>
          <w:sz w:val="20"/>
          <w:szCs w:val="20"/>
          <w:lang w:val="en-GB" w:eastAsia="en-GB"/>
        </w:rPr>
        <w:t>,</w:t>
      </w:r>
      <w:r w:rsidR="006930BE" w:rsidRPr="003A05F0">
        <w:rPr>
          <w:b/>
          <w:sz w:val="20"/>
          <w:szCs w:val="20"/>
          <w:lang w:val="en-GB" w:eastAsia="en-GB"/>
        </w:rPr>
        <w:t>Ghana</w:t>
      </w:r>
      <w:proofErr w:type="spellEnd"/>
      <w:proofErr w:type="gramEnd"/>
      <w:r w:rsidRPr="003A05F0">
        <w:rPr>
          <w:rFonts w:eastAsia="Times New Roman"/>
          <w:b/>
          <w:bCs/>
          <w:sz w:val="20"/>
          <w:szCs w:val="20"/>
          <w:lang w:bidi="fa-IR"/>
        </w:rPr>
        <w:t>.</w:t>
      </w:r>
      <w:r w:rsidRPr="003A05F0">
        <w:rPr>
          <w:bCs/>
          <w:i/>
          <w:sz w:val="20"/>
          <w:szCs w:val="20"/>
        </w:rPr>
        <w:t xml:space="preserve"> N Y </w:t>
      </w:r>
      <w:proofErr w:type="spellStart"/>
      <w:r w:rsidRPr="003A05F0">
        <w:rPr>
          <w:bCs/>
          <w:i/>
          <w:sz w:val="20"/>
          <w:szCs w:val="20"/>
        </w:rPr>
        <w:t>Sci</w:t>
      </w:r>
      <w:proofErr w:type="spellEnd"/>
      <w:r w:rsidRPr="003A05F0">
        <w:rPr>
          <w:bCs/>
          <w:i/>
          <w:sz w:val="20"/>
          <w:szCs w:val="20"/>
        </w:rPr>
        <w:t xml:space="preserve"> J</w:t>
      </w:r>
      <w:r w:rsidRPr="003A05F0">
        <w:rPr>
          <w:bCs/>
          <w:sz w:val="20"/>
          <w:szCs w:val="20"/>
        </w:rPr>
        <w:t xml:space="preserve"> </w:t>
      </w:r>
      <w:r w:rsidRPr="003A05F0">
        <w:rPr>
          <w:sz w:val="20"/>
          <w:szCs w:val="20"/>
        </w:rPr>
        <w:t>201</w:t>
      </w:r>
      <w:r w:rsidRPr="003A05F0">
        <w:rPr>
          <w:rFonts w:hint="eastAsia"/>
          <w:sz w:val="20"/>
          <w:szCs w:val="20"/>
        </w:rPr>
        <w:t>6</w:t>
      </w:r>
      <w:proofErr w:type="gramStart"/>
      <w:r w:rsidRPr="003A05F0">
        <w:rPr>
          <w:sz w:val="20"/>
          <w:szCs w:val="20"/>
        </w:rPr>
        <w:t>;</w:t>
      </w:r>
      <w:r w:rsidRPr="003A05F0">
        <w:rPr>
          <w:rFonts w:hint="eastAsia"/>
          <w:sz w:val="20"/>
          <w:szCs w:val="20"/>
        </w:rPr>
        <w:t>9</w:t>
      </w:r>
      <w:proofErr w:type="gramEnd"/>
      <w:r w:rsidRPr="003A05F0">
        <w:rPr>
          <w:sz w:val="20"/>
          <w:szCs w:val="20"/>
        </w:rPr>
        <w:t>(</w:t>
      </w:r>
      <w:r w:rsidRPr="003A05F0">
        <w:rPr>
          <w:rFonts w:hint="eastAsia"/>
          <w:sz w:val="20"/>
          <w:szCs w:val="20"/>
        </w:rPr>
        <w:t>3</w:t>
      </w:r>
      <w:r w:rsidRPr="003A05F0">
        <w:rPr>
          <w:sz w:val="20"/>
          <w:szCs w:val="20"/>
        </w:rPr>
        <w:t>):</w:t>
      </w:r>
      <w:r w:rsidR="00BD6145">
        <w:rPr>
          <w:noProof/>
          <w:color w:val="000000"/>
          <w:sz w:val="20"/>
          <w:szCs w:val="20"/>
        </w:rPr>
        <w:t>32</w:t>
      </w:r>
      <w:r w:rsidRPr="003A05F0">
        <w:rPr>
          <w:color w:val="000000"/>
          <w:sz w:val="20"/>
          <w:szCs w:val="20"/>
        </w:rPr>
        <w:t>-</w:t>
      </w:r>
      <w:r w:rsidR="00BD6145">
        <w:rPr>
          <w:noProof/>
          <w:color w:val="000000"/>
          <w:sz w:val="20"/>
          <w:szCs w:val="20"/>
        </w:rPr>
        <w:t>37</w:t>
      </w:r>
      <w:r w:rsidRPr="003A05F0">
        <w:rPr>
          <w:sz w:val="20"/>
          <w:szCs w:val="20"/>
        </w:rPr>
        <w:t xml:space="preserve">]. </w:t>
      </w:r>
      <w:proofErr w:type="gramStart"/>
      <w:r w:rsidRPr="003A05F0">
        <w:rPr>
          <w:iCs/>
          <w:color w:val="000000"/>
          <w:sz w:val="20"/>
          <w:szCs w:val="20"/>
        </w:rPr>
        <w:t>ISSN 1554-0200 (print); ISSN 2375-723X (online)</w:t>
      </w:r>
      <w:r w:rsidRPr="003A05F0">
        <w:rPr>
          <w:sz w:val="20"/>
          <w:szCs w:val="20"/>
        </w:rPr>
        <w:t>.</w:t>
      </w:r>
      <w:proofErr w:type="gramEnd"/>
      <w:r w:rsidRPr="003A05F0">
        <w:rPr>
          <w:sz w:val="20"/>
          <w:szCs w:val="20"/>
        </w:rPr>
        <w:t xml:space="preserve"> </w:t>
      </w:r>
      <w:hyperlink r:id="rId8" w:history="1">
        <w:r w:rsidRPr="003A05F0">
          <w:rPr>
            <w:rStyle w:val="Hyperlink"/>
            <w:sz w:val="20"/>
            <w:szCs w:val="20"/>
          </w:rPr>
          <w:t>http://www.sciencepub.net/newyork</w:t>
        </w:r>
      </w:hyperlink>
      <w:r w:rsidRPr="003A05F0">
        <w:rPr>
          <w:sz w:val="20"/>
          <w:szCs w:val="20"/>
        </w:rPr>
        <w:t xml:space="preserve">. </w:t>
      </w:r>
      <w:r>
        <w:rPr>
          <w:rFonts w:hint="eastAsia"/>
          <w:sz w:val="20"/>
          <w:szCs w:val="20"/>
          <w:lang w:eastAsia="zh-CN"/>
        </w:rPr>
        <w:t>6</w:t>
      </w:r>
      <w:r w:rsidRPr="003A05F0">
        <w:rPr>
          <w:rFonts w:hint="eastAsia"/>
          <w:sz w:val="20"/>
          <w:szCs w:val="20"/>
        </w:rPr>
        <w:t xml:space="preserve">. </w:t>
      </w:r>
      <w:proofErr w:type="gramStart"/>
      <w:r w:rsidRPr="003A05F0">
        <w:rPr>
          <w:color w:val="000000"/>
          <w:sz w:val="20"/>
          <w:szCs w:val="20"/>
          <w:shd w:val="clear" w:color="auto" w:fill="FFFFFF"/>
        </w:rPr>
        <w:t>doi</w:t>
      </w:r>
      <w:proofErr w:type="gramEnd"/>
      <w:r w:rsidRPr="003A05F0">
        <w:rPr>
          <w:color w:val="000000"/>
          <w:sz w:val="20"/>
          <w:szCs w:val="20"/>
          <w:shd w:val="clear" w:color="auto" w:fill="FFFFFF"/>
        </w:rPr>
        <w:t>:</w:t>
      </w:r>
      <w:hyperlink r:id="rId9" w:history="1">
        <w:r w:rsidRPr="003A05F0">
          <w:rPr>
            <w:rStyle w:val="Hyperlink"/>
            <w:sz w:val="20"/>
            <w:szCs w:val="20"/>
            <w:shd w:val="clear" w:color="auto" w:fill="FFFFFF"/>
          </w:rPr>
          <w:t>10.7537/mars</w:t>
        </w:r>
        <w:r w:rsidRPr="003A05F0">
          <w:rPr>
            <w:rStyle w:val="Hyperlink"/>
            <w:rFonts w:hint="eastAsia"/>
            <w:sz w:val="20"/>
            <w:szCs w:val="20"/>
            <w:shd w:val="clear" w:color="auto" w:fill="FFFFFF"/>
          </w:rPr>
          <w:t>nys0903</w:t>
        </w:r>
        <w:r w:rsidRPr="003A05F0">
          <w:rPr>
            <w:rStyle w:val="Hyperlink"/>
            <w:sz w:val="20"/>
            <w:szCs w:val="20"/>
            <w:shd w:val="clear" w:color="auto" w:fill="FFFFFF"/>
          </w:rPr>
          <w:t>1</w:t>
        </w:r>
        <w:r w:rsidRPr="003A05F0">
          <w:rPr>
            <w:rStyle w:val="Hyperlink"/>
            <w:rFonts w:hint="eastAsia"/>
            <w:sz w:val="20"/>
            <w:szCs w:val="20"/>
            <w:shd w:val="clear" w:color="auto" w:fill="FFFFFF"/>
          </w:rPr>
          <w:t>6</w:t>
        </w:r>
        <w:r w:rsidRPr="003A05F0">
          <w:rPr>
            <w:rStyle w:val="Hyperlink"/>
            <w:sz w:val="20"/>
            <w:szCs w:val="20"/>
            <w:shd w:val="clear" w:color="auto" w:fill="FFFFFF"/>
          </w:rPr>
          <w:t>0</w:t>
        </w:r>
        <w:r>
          <w:rPr>
            <w:rStyle w:val="Hyperlink"/>
            <w:rFonts w:hint="eastAsia"/>
            <w:sz w:val="20"/>
            <w:szCs w:val="20"/>
            <w:shd w:val="clear" w:color="auto" w:fill="FFFFFF"/>
            <w:lang w:eastAsia="zh-CN"/>
          </w:rPr>
          <w:t>6</w:t>
        </w:r>
      </w:hyperlink>
      <w:r w:rsidRPr="003A05F0">
        <w:rPr>
          <w:color w:val="000000"/>
          <w:sz w:val="20"/>
          <w:szCs w:val="20"/>
          <w:shd w:val="clear" w:color="auto" w:fill="FFFFFF"/>
        </w:rPr>
        <w:t>.</w:t>
      </w:r>
    </w:p>
    <w:p w:rsidR="001817C7" w:rsidRPr="003A05F0" w:rsidRDefault="001817C7" w:rsidP="003A05F0">
      <w:pPr>
        <w:suppressAutoHyphens w:val="0"/>
        <w:autoSpaceDE w:val="0"/>
        <w:autoSpaceDN w:val="0"/>
        <w:adjustRightInd w:val="0"/>
        <w:snapToGrid w:val="0"/>
        <w:jc w:val="both"/>
        <w:rPr>
          <w:sz w:val="20"/>
          <w:szCs w:val="20"/>
        </w:rPr>
      </w:pPr>
    </w:p>
    <w:p w:rsidR="001817C7" w:rsidRPr="003A05F0" w:rsidRDefault="001817C7" w:rsidP="003A05F0">
      <w:pPr>
        <w:suppressAutoHyphens w:val="0"/>
        <w:snapToGrid w:val="0"/>
        <w:jc w:val="both"/>
        <w:rPr>
          <w:sz w:val="20"/>
          <w:szCs w:val="20"/>
        </w:rPr>
      </w:pPr>
      <w:r w:rsidRPr="003A05F0">
        <w:rPr>
          <w:b/>
          <w:sz w:val="20"/>
          <w:szCs w:val="20"/>
        </w:rPr>
        <w:t xml:space="preserve">Keywords: </w:t>
      </w:r>
      <w:r w:rsidR="00DD4142" w:rsidRPr="003A05F0">
        <w:rPr>
          <w:sz w:val="20"/>
          <w:szCs w:val="20"/>
        </w:rPr>
        <w:t>Contamination of m</w:t>
      </w:r>
      <w:r w:rsidR="00180CA5" w:rsidRPr="003A05F0">
        <w:rPr>
          <w:sz w:val="20"/>
          <w:szCs w:val="20"/>
        </w:rPr>
        <w:t xml:space="preserve">ango, </w:t>
      </w:r>
      <w:r w:rsidR="00DD4142" w:rsidRPr="003A05F0">
        <w:rPr>
          <w:sz w:val="20"/>
          <w:szCs w:val="20"/>
        </w:rPr>
        <w:t>microbes, ripeness, scars, punctures</w:t>
      </w:r>
    </w:p>
    <w:p w:rsidR="003A05F0" w:rsidRDefault="003A05F0" w:rsidP="003A05F0">
      <w:pPr>
        <w:suppressAutoHyphens w:val="0"/>
        <w:snapToGrid w:val="0"/>
        <w:jc w:val="both"/>
        <w:rPr>
          <w:b/>
          <w:sz w:val="20"/>
          <w:szCs w:val="20"/>
        </w:rPr>
      </w:pPr>
    </w:p>
    <w:p w:rsidR="003A05F0" w:rsidRDefault="003A05F0" w:rsidP="003A05F0">
      <w:pPr>
        <w:suppressAutoHyphens w:val="0"/>
        <w:snapToGrid w:val="0"/>
        <w:jc w:val="both"/>
        <w:rPr>
          <w:b/>
          <w:sz w:val="20"/>
          <w:szCs w:val="20"/>
        </w:rPr>
        <w:sectPr w:rsidR="003A05F0" w:rsidSect="00BD614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2"/>
          <w:cols w:space="720"/>
          <w:docGrid w:linePitch="360"/>
        </w:sectPr>
      </w:pPr>
    </w:p>
    <w:p w:rsidR="00471E57" w:rsidRPr="003A05F0" w:rsidRDefault="00471E57" w:rsidP="003A05F0">
      <w:pPr>
        <w:suppressAutoHyphens w:val="0"/>
        <w:snapToGrid w:val="0"/>
        <w:jc w:val="both"/>
        <w:rPr>
          <w:b/>
          <w:sz w:val="20"/>
          <w:szCs w:val="20"/>
        </w:rPr>
      </w:pPr>
      <w:r w:rsidRPr="003A05F0">
        <w:rPr>
          <w:b/>
          <w:sz w:val="20"/>
          <w:szCs w:val="20"/>
        </w:rPr>
        <w:lastRenderedPageBreak/>
        <w:t>1. Introduction</w:t>
      </w:r>
    </w:p>
    <w:p w:rsidR="00DD4142" w:rsidRPr="003A05F0" w:rsidRDefault="00DD4142" w:rsidP="003A05F0">
      <w:pPr>
        <w:suppressAutoHyphens w:val="0"/>
        <w:autoSpaceDE w:val="0"/>
        <w:autoSpaceDN w:val="0"/>
        <w:adjustRightInd w:val="0"/>
        <w:snapToGrid w:val="0"/>
        <w:ind w:firstLine="425"/>
        <w:jc w:val="both"/>
        <w:rPr>
          <w:iCs/>
          <w:sz w:val="20"/>
          <w:szCs w:val="20"/>
          <w:lang w:val="en-GB" w:eastAsia="en-GB"/>
        </w:rPr>
      </w:pPr>
      <w:r w:rsidRPr="003A05F0">
        <w:rPr>
          <w:sz w:val="20"/>
          <w:szCs w:val="20"/>
          <w:lang w:val="en-GB" w:eastAsia="en-GB"/>
        </w:rPr>
        <w:t xml:space="preserve">Vegetables and fruits are exposed to the soil and may come into contact with animals, including some insects which do not only perch on vegetables and fruits but also insert their ovipositor into them to lay eggs creating punctures and scars. </w:t>
      </w:r>
      <w:r w:rsidRPr="003A05F0">
        <w:rPr>
          <w:sz w:val="20"/>
          <w:szCs w:val="20"/>
        </w:rPr>
        <w:t>Microorganisms may enter vegetables through such punctures and cuts (</w:t>
      </w:r>
      <w:proofErr w:type="spellStart"/>
      <w:r w:rsidRPr="003A05F0">
        <w:rPr>
          <w:sz w:val="20"/>
          <w:szCs w:val="20"/>
        </w:rPr>
        <w:t>Ryall</w:t>
      </w:r>
      <w:proofErr w:type="spellEnd"/>
      <w:r w:rsidRPr="003A05F0">
        <w:rPr>
          <w:sz w:val="20"/>
          <w:szCs w:val="20"/>
        </w:rPr>
        <w:t xml:space="preserve"> and </w:t>
      </w:r>
      <w:proofErr w:type="spellStart"/>
      <w:r w:rsidRPr="003A05F0">
        <w:rPr>
          <w:sz w:val="20"/>
          <w:szCs w:val="20"/>
        </w:rPr>
        <w:t>Pentzer</w:t>
      </w:r>
      <w:proofErr w:type="spellEnd"/>
      <w:r w:rsidRPr="003A05F0">
        <w:rPr>
          <w:sz w:val="20"/>
          <w:szCs w:val="20"/>
        </w:rPr>
        <w:t xml:space="preserve">, 1982). </w:t>
      </w:r>
      <w:r w:rsidRPr="003A05F0">
        <w:rPr>
          <w:sz w:val="20"/>
          <w:szCs w:val="20"/>
          <w:lang w:val="en-GB" w:eastAsia="en-GB"/>
        </w:rPr>
        <w:t xml:space="preserve">Fruits and vegetables are therefore not protected from microbial contamination, even those hanging on trees. </w:t>
      </w:r>
      <w:r w:rsidRPr="003A05F0">
        <w:rPr>
          <w:sz w:val="20"/>
          <w:szCs w:val="20"/>
        </w:rPr>
        <w:t>Other factors that expose vegetables and fruits to microbial contamination include poor quality irrigation water, poor</w:t>
      </w:r>
      <w:r w:rsidRPr="003A05F0">
        <w:rPr>
          <w:sz w:val="20"/>
          <w:szCs w:val="20"/>
          <w:lang w:val="en-GB" w:eastAsia="en-GB"/>
        </w:rPr>
        <w:t xml:space="preserve"> hygienic conditions</w:t>
      </w:r>
      <w:r w:rsidRPr="003A05F0">
        <w:rPr>
          <w:sz w:val="20"/>
          <w:szCs w:val="20"/>
        </w:rPr>
        <w:t xml:space="preserve"> during harvest, post-harvest handling and processing, transport and storage </w:t>
      </w:r>
      <w:r w:rsidRPr="003A05F0">
        <w:rPr>
          <w:iCs/>
          <w:sz w:val="20"/>
          <w:szCs w:val="20"/>
          <w:lang w:val="en-GB" w:eastAsia="en-GB"/>
        </w:rPr>
        <w:t>(FDA, 1998). These mean that the probability of having fruits and vegetables contaminated is high.</w:t>
      </w:r>
    </w:p>
    <w:p w:rsidR="00DD4142" w:rsidRPr="003A05F0" w:rsidRDefault="00DD4142" w:rsidP="003A05F0">
      <w:pPr>
        <w:suppressAutoHyphens w:val="0"/>
        <w:autoSpaceDE w:val="0"/>
        <w:autoSpaceDN w:val="0"/>
        <w:adjustRightInd w:val="0"/>
        <w:snapToGrid w:val="0"/>
        <w:ind w:firstLine="425"/>
        <w:jc w:val="both"/>
        <w:rPr>
          <w:sz w:val="20"/>
          <w:szCs w:val="20"/>
        </w:rPr>
      </w:pPr>
      <w:r w:rsidRPr="003A05F0">
        <w:rPr>
          <w:iCs/>
          <w:sz w:val="20"/>
          <w:szCs w:val="20"/>
          <w:lang w:val="en-GB" w:eastAsia="en-GB"/>
        </w:rPr>
        <w:t xml:space="preserve">More seriously, </w:t>
      </w:r>
      <w:r w:rsidRPr="003A05F0">
        <w:rPr>
          <w:sz w:val="20"/>
          <w:szCs w:val="20"/>
          <w:lang w:val="en-GB" w:eastAsia="en-GB"/>
        </w:rPr>
        <w:t xml:space="preserve">outbreaks of human diseases associated with the consumption of food especially, raw fruits and vegetables are frequent occurrence not only in developing countries but also, developed countries </w:t>
      </w:r>
      <w:r w:rsidRPr="003A05F0">
        <w:rPr>
          <w:iCs/>
          <w:sz w:val="20"/>
          <w:szCs w:val="20"/>
          <w:lang w:val="en-GB" w:eastAsia="en-GB"/>
        </w:rPr>
        <w:t xml:space="preserve">(FDA, 1998, </w:t>
      </w:r>
      <w:proofErr w:type="spellStart"/>
      <w:r w:rsidRPr="003A05F0">
        <w:rPr>
          <w:rStyle w:val="mixed-citation"/>
          <w:sz w:val="20"/>
          <w:szCs w:val="20"/>
        </w:rPr>
        <w:t>Kaferstein</w:t>
      </w:r>
      <w:proofErr w:type="spellEnd"/>
      <w:r w:rsidRPr="003A05F0">
        <w:rPr>
          <w:rStyle w:val="mixed-citation"/>
          <w:sz w:val="20"/>
          <w:szCs w:val="20"/>
        </w:rPr>
        <w:t>, 2003</w:t>
      </w:r>
      <w:r w:rsidRPr="003A05F0">
        <w:rPr>
          <w:iCs/>
          <w:sz w:val="20"/>
          <w:szCs w:val="20"/>
          <w:lang w:val="en-GB" w:eastAsia="en-GB"/>
        </w:rPr>
        <w:t xml:space="preserve">). </w:t>
      </w:r>
      <w:r w:rsidRPr="003A05F0">
        <w:rPr>
          <w:sz w:val="20"/>
          <w:szCs w:val="20"/>
          <w:lang w:val="en-GB" w:eastAsia="en-GB"/>
        </w:rPr>
        <w:t xml:space="preserve">Studies have </w:t>
      </w:r>
      <w:r w:rsidRPr="003A05F0">
        <w:rPr>
          <w:sz w:val="20"/>
          <w:szCs w:val="20"/>
          <w:lang w:val="en-GB" w:eastAsia="en-GB"/>
        </w:rPr>
        <w:lastRenderedPageBreak/>
        <w:t>shown external contamination and internalization of pathogenic microbes in some vegetables and fruits</w:t>
      </w:r>
      <w:r w:rsidRPr="003A05F0">
        <w:rPr>
          <w:sz w:val="20"/>
          <w:szCs w:val="20"/>
        </w:rPr>
        <w:t xml:space="preserve"> (</w:t>
      </w:r>
      <w:proofErr w:type="spellStart"/>
      <w:r w:rsidRPr="003A05F0">
        <w:rPr>
          <w:sz w:val="20"/>
          <w:szCs w:val="20"/>
        </w:rPr>
        <w:t>Mensah</w:t>
      </w:r>
      <w:proofErr w:type="spellEnd"/>
      <w:r w:rsidRPr="003A05F0">
        <w:rPr>
          <w:sz w:val="20"/>
          <w:szCs w:val="20"/>
        </w:rPr>
        <w:t xml:space="preserve"> </w:t>
      </w:r>
      <w:r w:rsidRPr="003A05F0">
        <w:rPr>
          <w:i/>
          <w:sz w:val="20"/>
          <w:szCs w:val="20"/>
        </w:rPr>
        <w:t>et.</w:t>
      </w:r>
      <w:r w:rsidR="00E37FCF">
        <w:rPr>
          <w:rFonts w:hint="eastAsia"/>
          <w:i/>
          <w:sz w:val="20"/>
          <w:szCs w:val="20"/>
          <w:lang w:eastAsia="zh-CN"/>
        </w:rPr>
        <w:t xml:space="preserve"> </w:t>
      </w:r>
      <w:r w:rsidRPr="003A05F0">
        <w:rPr>
          <w:i/>
          <w:sz w:val="20"/>
          <w:szCs w:val="20"/>
        </w:rPr>
        <w:t>al</w:t>
      </w:r>
      <w:r w:rsidRPr="003A05F0">
        <w:rPr>
          <w:sz w:val="20"/>
          <w:szCs w:val="20"/>
        </w:rPr>
        <w:t>.,</w:t>
      </w:r>
      <w:r w:rsidR="00E37FCF">
        <w:rPr>
          <w:rFonts w:hint="eastAsia"/>
          <w:sz w:val="20"/>
          <w:szCs w:val="20"/>
          <w:lang w:eastAsia="zh-CN"/>
        </w:rPr>
        <w:t xml:space="preserve"> </w:t>
      </w:r>
      <w:r w:rsidRPr="003A05F0">
        <w:rPr>
          <w:sz w:val="20"/>
          <w:szCs w:val="20"/>
        </w:rPr>
        <w:t xml:space="preserve">2001; Solomon </w:t>
      </w:r>
      <w:r w:rsidRPr="003A05F0">
        <w:rPr>
          <w:i/>
          <w:sz w:val="20"/>
          <w:szCs w:val="20"/>
        </w:rPr>
        <w:t>et al</w:t>
      </w:r>
      <w:r w:rsidRPr="003A05F0">
        <w:rPr>
          <w:sz w:val="20"/>
          <w:szCs w:val="20"/>
        </w:rPr>
        <w:t xml:space="preserve">., 2002; </w:t>
      </w:r>
      <w:proofErr w:type="spellStart"/>
      <w:r w:rsidRPr="003A05F0">
        <w:rPr>
          <w:sz w:val="20"/>
          <w:szCs w:val="20"/>
        </w:rPr>
        <w:t>Obeng</w:t>
      </w:r>
      <w:proofErr w:type="spellEnd"/>
      <w:r w:rsidRPr="003A05F0">
        <w:rPr>
          <w:sz w:val="20"/>
          <w:szCs w:val="20"/>
        </w:rPr>
        <w:t xml:space="preserve"> </w:t>
      </w:r>
      <w:r w:rsidRPr="003A05F0">
        <w:rPr>
          <w:i/>
          <w:sz w:val="20"/>
          <w:szCs w:val="20"/>
        </w:rPr>
        <w:t>et al</w:t>
      </w:r>
      <w:r w:rsidRPr="003A05F0">
        <w:rPr>
          <w:sz w:val="20"/>
          <w:szCs w:val="20"/>
        </w:rPr>
        <w:t xml:space="preserve">., 2007, </w:t>
      </w:r>
      <w:proofErr w:type="spellStart"/>
      <w:r w:rsidRPr="003A05F0">
        <w:rPr>
          <w:sz w:val="20"/>
          <w:szCs w:val="20"/>
        </w:rPr>
        <w:t>Donkor</w:t>
      </w:r>
      <w:proofErr w:type="spellEnd"/>
      <w:r w:rsidRPr="003A05F0">
        <w:rPr>
          <w:sz w:val="20"/>
          <w:szCs w:val="20"/>
        </w:rPr>
        <w:t xml:space="preserve"> </w:t>
      </w:r>
      <w:r w:rsidRPr="003A05F0">
        <w:rPr>
          <w:i/>
          <w:sz w:val="20"/>
          <w:szCs w:val="20"/>
        </w:rPr>
        <w:t>et al</w:t>
      </w:r>
      <w:r w:rsidRPr="003A05F0">
        <w:rPr>
          <w:sz w:val="20"/>
          <w:szCs w:val="20"/>
        </w:rPr>
        <w:t>., 2010)</w:t>
      </w:r>
      <w:r w:rsidRPr="003A05F0">
        <w:rPr>
          <w:sz w:val="20"/>
          <w:szCs w:val="20"/>
          <w:lang w:val="en-GB" w:eastAsia="en-GB"/>
        </w:rPr>
        <w:t>.</w:t>
      </w:r>
      <w:r w:rsidRPr="003A05F0">
        <w:rPr>
          <w:sz w:val="20"/>
          <w:szCs w:val="20"/>
        </w:rPr>
        <w:t xml:space="preserve"> These findings show the necessity to evaluate other fruits, especially, ready-to-eat ones.</w:t>
      </w:r>
    </w:p>
    <w:p w:rsidR="00DD4142" w:rsidRPr="003A05F0" w:rsidRDefault="00DD4142" w:rsidP="003A05F0">
      <w:pPr>
        <w:pStyle w:val="Heading2"/>
        <w:keepNext w:val="0"/>
        <w:suppressAutoHyphens w:val="0"/>
        <w:snapToGrid w:val="0"/>
        <w:ind w:firstLine="425"/>
        <w:rPr>
          <w:b w:val="0"/>
          <w:sz w:val="20"/>
          <w:szCs w:val="20"/>
        </w:rPr>
      </w:pPr>
      <w:r w:rsidRPr="003A05F0">
        <w:rPr>
          <w:rStyle w:val="a"/>
          <w:b w:val="0"/>
          <w:sz w:val="20"/>
          <w:szCs w:val="20"/>
        </w:rPr>
        <w:t>In Ghana, mango is one of the most important horticultural cash crops</w:t>
      </w:r>
      <w:r w:rsidRPr="003A05F0">
        <w:rPr>
          <w:rStyle w:val="Heading1Char"/>
          <w:rFonts w:eastAsia="Calibri"/>
          <w:sz w:val="20"/>
          <w:szCs w:val="20"/>
        </w:rPr>
        <w:t xml:space="preserve"> for </w:t>
      </w:r>
      <w:r w:rsidRPr="003A05F0">
        <w:rPr>
          <w:b w:val="0"/>
          <w:sz w:val="20"/>
          <w:szCs w:val="20"/>
          <w:lang w:eastAsia="en-GB"/>
        </w:rPr>
        <w:t>both local and international markets and thought to be the non-traditional export crop to fetch the highest foreign exchange for the country (</w:t>
      </w:r>
      <w:proofErr w:type="spellStart"/>
      <w:r w:rsidRPr="003A05F0">
        <w:rPr>
          <w:b w:val="0"/>
          <w:sz w:val="20"/>
          <w:szCs w:val="20"/>
        </w:rPr>
        <w:t>Banson</w:t>
      </w:r>
      <w:proofErr w:type="spellEnd"/>
      <w:r w:rsidRPr="003A05F0">
        <w:rPr>
          <w:b w:val="0"/>
          <w:sz w:val="20"/>
          <w:szCs w:val="20"/>
        </w:rPr>
        <w:t xml:space="preserve"> and </w:t>
      </w:r>
      <w:proofErr w:type="spellStart"/>
      <w:r w:rsidRPr="003A05F0">
        <w:rPr>
          <w:b w:val="0"/>
          <w:sz w:val="20"/>
          <w:szCs w:val="20"/>
        </w:rPr>
        <w:t>Egyir-Yawson</w:t>
      </w:r>
      <w:proofErr w:type="spellEnd"/>
      <w:r w:rsidRPr="003A05F0">
        <w:rPr>
          <w:b w:val="0"/>
          <w:sz w:val="20"/>
          <w:szCs w:val="20"/>
        </w:rPr>
        <w:t xml:space="preserve">, 2014). </w:t>
      </w:r>
      <w:r w:rsidRPr="003A05F0">
        <w:rPr>
          <w:b w:val="0"/>
          <w:sz w:val="20"/>
          <w:szCs w:val="20"/>
          <w:lang w:eastAsia="en-GB"/>
        </w:rPr>
        <w:t xml:space="preserve">However, some Ghanaian crops including mangoes have been intercepted and rejected in international markets on similar sanitary and </w:t>
      </w:r>
      <w:proofErr w:type="spellStart"/>
      <w:r w:rsidRPr="003A05F0">
        <w:rPr>
          <w:b w:val="0"/>
          <w:sz w:val="20"/>
          <w:szCs w:val="20"/>
          <w:lang w:eastAsia="en-GB"/>
        </w:rPr>
        <w:t>phytosanitary</w:t>
      </w:r>
      <w:proofErr w:type="spellEnd"/>
      <w:r w:rsidRPr="003A05F0">
        <w:rPr>
          <w:b w:val="0"/>
          <w:sz w:val="20"/>
          <w:szCs w:val="20"/>
          <w:lang w:eastAsia="en-GB"/>
        </w:rPr>
        <w:t xml:space="preserve"> grounds</w:t>
      </w:r>
      <w:r w:rsidRPr="003A05F0">
        <w:rPr>
          <w:sz w:val="20"/>
          <w:szCs w:val="20"/>
          <w:lang w:eastAsia="en-GB"/>
        </w:rPr>
        <w:t xml:space="preserve"> </w:t>
      </w:r>
      <w:r w:rsidRPr="003A05F0">
        <w:rPr>
          <w:b w:val="0"/>
          <w:sz w:val="20"/>
          <w:szCs w:val="20"/>
          <w:lang w:eastAsia="en-GB"/>
        </w:rPr>
        <w:t>(CTA, 2014).</w:t>
      </w:r>
    </w:p>
    <w:p w:rsidR="00DD4142" w:rsidRPr="003A05F0" w:rsidRDefault="00DD4142" w:rsidP="003A05F0">
      <w:pPr>
        <w:suppressAutoHyphens w:val="0"/>
        <w:autoSpaceDE w:val="0"/>
        <w:autoSpaceDN w:val="0"/>
        <w:adjustRightInd w:val="0"/>
        <w:snapToGrid w:val="0"/>
        <w:ind w:firstLine="425"/>
        <w:jc w:val="both"/>
        <w:rPr>
          <w:rFonts w:eastAsia="Times New Roman"/>
          <w:sz w:val="20"/>
          <w:szCs w:val="20"/>
          <w:lang w:eastAsia="en-GB"/>
        </w:rPr>
      </w:pPr>
      <w:r w:rsidRPr="003A05F0">
        <w:rPr>
          <w:sz w:val="20"/>
          <w:szCs w:val="20"/>
          <w:lang w:val="en-GB" w:eastAsia="en-GB"/>
        </w:rPr>
        <w:t>The objectives of this study were to determine the level of microbial contamination in mang</w:t>
      </w:r>
      <w:r w:rsidR="00743158" w:rsidRPr="003A05F0">
        <w:rPr>
          <w:sz w:val="20"/>
          <w:szCs w:val="20"/>
          <w:lang w:val="en-GB" w:eastAsia="en-GB"/>
        </w:rPr>
        <w:t xml:space="preserve">o sold in some Ghanaian markets and the possible contamination with pathogenic </w:t>
      </w:r>
      <w:r w:rsidR="00743158" w:rsidRPr="003A05F0">
        <w:rPr>
          <w:i/>
          <w:sz w:val="20"/>
          <w:szCs w:val="20"/>
          <w:lang w:val="en-GB" w:eastAsia="en-GB"/>
        </w:rPr>
        <w:t>E. coli</w:t>
      </w:r>
      <w:r w:rsidR="00743158" w:rsidRPr="003A05F0">
        <w:rPr>
          <w:sz w:val="20"/>
          <w:szCs w:val="20"/>
          <w:lang w:val="en-GB" w:eastAsia="en-GB"/>
        </w:rPr>
        <w:t>.</w:t>
      </w:r>
      <w:r w:rsidRPr="003A05F0">
        <w:rPr>
          <w:sz w:val="20"/>
          <w:szCs w:val="20"/>
          <w:lang w:val="en-GB" w:eastAsia="en-GB"/>
        </w:rPr>
        <w:t xml:space="preserve"> This study, therefore, reports microbial load of mango and the </w:t>
      </w:r>
      <w:r w:rsidRPr="003A05F0">
        <w:rPr>
          <w:sz w:val="20"/>
          <w:szCs w:val="20"/>
          <w:lang w:val="en-GB" w:eastAsia="en-GB"/>
        </w:rPr>
        <w:lastRenderedPageBreak/>
        <w:t>extent of contamination in relation to source, stage of ripeness and frequency of scars or punctures.</w:t>
      </w:r>
    </w:p>
    <w:p w:rsidR="00DD4142" w:rsidRPr="003A05F0" w:rsidRDefault="00DD4142" w:rsidP="003A05F0">
      <w:pPr>
        <w:suppressAutoHyphens w:val="0"/>
        <w:snapToGrid w:val="0"/>
        <w:jc w:val="both"/>
        <w:rPr>
          <w:b/>
          <w:sz w:val="20"/>
        </w:rPr>
      </w:pPr>
    </w:p>
    <w:p w:rsidR="00471E57" w:rsidRPr="003A05F0" w:rsidRDefault="00471E57" w:rsidP="003A05F0">
      <w:pPr>
        <w:suppressAutoHyphens w:val="0"/>
        <w:snapToGrid w:val="0"/>
        <w:jc w:val="both"/>
        <w:rPr>
          <w:b/>
          <w:sz w:val="20"/>
          <w:szCs w:val="20"/>
        </w:rPr>
      </w:pPr>
      <w:r w:rsidRPr="003A05F0">
        <w:rPr>
          <w:b/>
          <w:sz w:val="20"/>
          <w:szCs w:val="20"/>
        </w:rPr>
        <w:t>2. Material and Methods</w:t>
      </w:r>
    </w:p>
    <w:p w:rsidR="00EC1D70" w:rsidRPr="003A05F0" w:rsidRDefault="00CD5FCC" w:rsidP="003A05F0">
      <w:pPr>
        <w:suppressAutoHyphens w:val="0"/>
        <w:snapToGrid w:val="0"/>
        <w:jc w:val="both"/>
        <w:rPr>
          <w:sz w:val="20"/>
          <w:szCs w:val="20"/>
        </w:rPr>
      </w:pPr>
      <w:r w:rsidRPr="003A05F0">
        <w:rPr>
          <w:b/>
          <w:sz w:val="20"/>
          <w:szCs w:val="20"/>
        </w:rPr>
        <w:t xml:space="preserve">2.1 </w:t>
      </w:r>
      <w:r w:rsidR="00EC1D70" w:rsidRPr="003A05F0">
        <w:rPr>
          <w:b/>
          <w:sz w:val="20"/>
          <w:szCs w:val="20"/>
        </w:rPr>
        <w:t>Study Area and sample collection</w:t>
      </w:r>
    </w:p>
    <w:p w:rsidR="00EC1D70" w:rsidRPr="003A05F0" w:rsidRDefault="00EC1D70" w:rsidP="003A05F0">
      <w:pPr>
        <w:suppressAutoHyphens w:val="0"/>
        <w:snapToGrid w:val="0"/>
        <w:ind w:firstLine="425"/>
        <w:jc w:val="both"/>
        <w:rPr>
          <w:sz w:val="20"/>
          <w:szCs w:val="20"/>
        </w:rPr>
      </w:pPr>
      <w:r w:rsidRPr="003A05F0">
        <w:rPr>
          <w:sz w:val="20"/>
          <w:szCs w:val="20"/>
        </w:rPr>
        <w:t xml:space="preserve">Samples were collected randomly from three markets, two in the Accra metropolis and one in </w:t>
      </w:r>
      <w:proofErr w:type="spellStart"/>
      <w:r w:rsidRPr="003A05F0">
        <w:rPr>
          <w:sz w:val="20"/>
          <w:szCs w:val="20"/>
        </w:rPr>
        <w:t>Madina</w:t>
      </w:r>
      <w:proofErr w:type="spellEnd"/>
      <w:r w:rsidRPr="003A05F0">
        <w:rPr>
          <w:sz w:val="20"/>
          <w:szCs w:val="20"/>
        </w:rPr>
        <w:t>, a suburb, from January to April.</w:t>
      </w:r>
      <w:r w:rsidR="00E37FCF">
        <w:rPr>
          <w:sz w:val="20"/>
          <w:szCs w:val="20"/>
        </w:rPr>
        <w:t xml:space="preserve"> </w:t>
      </w:r>
      <w:proofErr w:type="spellStart"/>
      <w:r w:rsidRPr="003A05F0">
        <w:rPr>
          <w:sz w:val="20"/>
          <w:szCs w:val="20"/>
        </w:rPr>
        <w:t>Kaneshie</w:t>
      </w:r>
      <w:proofErr w:type="spellEnd"/>
      <w:r w:rsidRPr="003A05F0">
        <w:rPr>
          <w:sz w:val="20"/>
          <w:szCs w:val="20"/>
        </w:rPr>
        <w:t xml:space="preserve"> market in Accra is a modern market, however, with a sprawling chaos of stalls, shops and street vendors. </w:t>
      </w:r>
      <w:proofErr w:type="spellStart"/>
      <w:r w:rsidRPr="003A05F0">
        <w:rPr>
          <w:sz w:val="20"/>
          <w:szCs w:val="20"/>
        </w:rPr>
        <w:t>Madina</w:t>
      </w:r>
      <w:proofErr w:type="spellEnd"/>
      <w:r w:rsidRPr="003A05F0">
        <w:rPr>
          <w:sz w:val="20"/>
          <w:szCs w:val="20"/>
        </w:rPr>
        <w:t xml:space="preserve"> market is found in the La-</w:t>
      </w:r>
      <w:proofErr w:type="spellStart"/>
      <w:r w:rsidRPr="003A05F0">
        <w:rPr>
          <w:sz w:val="20"/>
          <w:szCs w:val="20"/>
        </w:rPr>
        <w:t>Nkwantantanag</w:t>
      </w:r>
      <w:proofErr w:type="spellEnd"/>
      <w:r w:rsidRPr="003A05F0">
        <w:rPr>
          <w:sz w:val="20"/>
          <w:szCs w:val="20"/>
        </w:rPr>
        <w:t xml:space="preserve"> </w:t>
      </w:r>
      <w:proofErr w:type="spellStart"/>
      <w:r w:rsidRPr="003A05F0">
        <w:rPr>
          <w:sz w:val="20"/>
          <w:szCs w:val="20"/>
        </w:rPr>
        <w:t>Madina</w:t>
      </w:r>
      <w:proofErr w:type="spellEnd"/>
      <w:r w:rsidRPr="003A05F0">
        <w:rPr>
          <w:sz w:val="20"/>
          <w:szCs w:val="20"/>
        </w:rPr>
        <w:t xml:space="preserve"> district of Greater Accra region. Just like </w:t>
      </w:r>
      <w:proofErr w:type="spellStart"/>
      <w:r w:rsidRPr="003A05F0">
        <w:rPr>
          <w:sz w:val="20"/>
          <w:szCs w:val="20"/>
        </w:rPr>
        <w:t>Kaneshie</w:t>
      </w:r>
      <w:proofErr w:type="spellEnd"/>
      <w:r w:rsidRPr="003A05F0">
        <w:rPr>
          <w:sz w:val="20"/>
          <w:szCs w:val="20"/>
        </w:rPr>
        <w:t xml:space="preserve"> market, </w:t>
      </w:r>
      <w:proofErr w:type="spellStart"/>
      <w:r w:rsidRPr="003A05F0">
        <w:rPr>
          <w:sz w:val="20"/>
          <w:szCs w:val="20"/>
        </w:rPr>
        <w:t>Madina</w:t>
      </w:r>
      <w:proofErr w:type="spellEnd"/>
      <w:r w:rsidRPr="003A05F0">
        <w:rPr>
          <w:sz w:val="20"/>
          <w:szCs w:val="20"/>
        </w:rPr>
        <w:t xml:space="preserve"> market was overflowing with pavement stalls and street vendors. </w:t>
      </w:r>
      <w:proofErr w:type="spellStart"/>
      <w:r w:rsidRPr="003A05F0">
        <w:rPr>
          <w:sz w:val="20"/>
          <w:szCs w:val="20"/>
        </w:rPr>
        <w:t>Mallam</w:t>
      </w:r>
      <w:proofErr w:type="spellEnd"/>
      <w:r w:rsidRPr="003A05F0">
        <w:rPr>
          <w:sz w:val="20"/>
          <w:szCs w:val="20"/>
        </w:rPr>
        <w:t xml:space="preserve"> Atta market, on the other hand, was the least developed among the three.</w:t>
      </w:r>
    </w:p>
    <w:p w:rsidR="00EC1D70" w:rsidRPr="003A05F0" w:rsidRDefault="00EC1D70" w:rsidP="003A05F0">
      <w:pPr>
        <w:suppressAutoHyphens w:val="0"/>
        <w:snapToGrid w:val="0"/>
        <w:ind w:firstLine="425"/>
        <w:jc w:val="both"/>
        <w:rPr>
          <w:b/>
          <w:sz w:val="20"/>
          <w:szCs w:val="20"/>
        </w:rPr>
      </w:pPr>
      <w:r w:rsidRPr="003A05F0">
        <w:rPr>
          <w:sz w:val="20"/>
          <w:szCs w:val="20"/>
        </w:rPr>
        <w:t xml:space="preserve">According to the vendors, most of the fruits came from large mango farms at </w:t>
      </w:r>
      <w:proofErr w:type="spellStart"/>
      <w:r w:rsidRPr="003A05F0">
        <w:rPr>
          <w:sz w:val="20"/>
          <w:szCs w:val="20"/>
        </w:rPr>
        <w:t>Dodowa</w:t>
      </w:r>
      <w:proofErr w:type="spellEnd"/>
      <w:r w:rsidRPr="003A05F0">
        <w:rPr>
          <w:sz w:val="20"/>
          <w:szCs w:val="20"/>
        </w:rPr>
        <w:t>, also in the Greater Accra Region. Fruits collected were put into aseptic bags and sent immediately to the laboratory for analysis.</w:t>
      </w:r>
    </w:p>
    <w:p w:rsidR="00EC1D70" w:rsidRPr="003A05F0" w:rsidRDefault="00EC1D70" w:rsidP="003A05F0">
      <w:pPr>
        <w:pStyle w:val="ListParagraph"/>
        <w:autoSpaceDE w:val="0"/>
        <w:autoSpaceDN w:val="0"/>
        <w:adjustRightInd w:val="0"/>
        <w:snapToGrid w:val="0"/>
        <w:spacing w:after="0" w:line="240" w:lineRule="auto"/>
        <w:ind w:left="0" w:firstLine="425"/>
        <w:jc w:val="both"/>
        <w:rPr>
          <w:rFonts w:ascii="Times New Roman" w:hAnsi="Times New Roman"/>
          <w:sz w:val="20"/>
          <w:szCs w:val="20"/>
        </w:rPr>
      </w:pPr>
      <w:r w:rsidRPr="003A05F0">
        <w:rPr>
          <w:rFonts w:ascii="Times New Roman" w:hAnsi="Times New Roman"/>
          <w:sz w:val="20"/>
          <w:szCs w:val="20"/>
        </w:rPr>
        <w:t>Mangoes we</w:t>
      </w:r>
      <w:r w:rsidR="00427656" w:rsidRPr="003A05F0">
        <w:rPr>
          <w:rFonts w:ascii="Times New Roman" w:hAnsi="Times New Roman"/>
          <w:sz w:val="20"/>
          <w:szCs w:val="20"/>
        </w:rPr>
        <w:t>re sampled based on their state</w:t>
      </w:r>
      <w:r w:rsidRPr="003A05F0">
        <w:rPr>
          <w:rFonts w:ascii="Times New Roman" w:hAnsi="Times New Roman"/>
          <w:sz w:val="20"/>
          <w:szCs w:val="20"/>
        </w:rPr>
        <w:t xml:space="preserve"> of ripeness, that is, if they were unripe, ripe or very ripe. Unripe, ripe and very ripe mangoes were defined as hard, soft but will not yield to pressure and soft and yield to pressure, respectively. Mangoes were also sampled based on the abundance of scars or punctures. Scars or punctures were few, moderate or numerous if they were less than 3, from 3 to 5 and more than 5 per 10cm</w:t>
      </w:r>
      <w:r w:rsidRPr="003A05F0">
        <w:rPr>
          <w:rFonts w:ascii="Times New Roman" w:hAnsi="Times New Roman"/>
          <w:sz w:val="20"/>
          <w:szCs w:val="20"/>
          <w:vertAlign w:val="superscript"/>
        </w:rPr>
        <w:t>2</w:t>
      </w:r>
      <w:r w:rsidRPr="003A05F0">
        <w:rPr>
          <w:rFonts w:ascii="Times New Roman" w:hAnsi="Times New Roman"/>
          <w:sz w:val="20"/>
          <w:szCs w:val="20"/>
        </w:rPr>
        <w:t xml:space="preserve">, respectively. Common varieties such as </w:t>
      </w:r>
      <w:proofErr w:type="spellStart"/>
      <w:r w:rsidRPr="003A05F0">
        <w:rPr>
          <w:rFonts w:ascii="Times New Roman" w:hAnsi="Times New Roman"/>
          <w:sz w:val="20"/>
          <w:szCs w:val="20"/>
        </w:rPr>
        <w:t>Keitt</w:t>
      </w:r>
      <w:proofErr w:type="spellEnd"/>
      <w:r w:rsidRPr="003A05F0">
        <w:rPr>
          <w:rFonts w:ascii="Times New Roman" w:hAnsi="Times New Roman"/>
          <w:sz w:val="20"/>
          <w:szCs w:val="20"/>
        </w:rPr>
        <w:t>, Kent and Haden were included in the study. In all, forty (40) mangoes were collected and analyzed.</w:t>
      </w:r>
    </w:p>
    <w:p w:rsidR="00EC1D70" w:rsidRPr="003A05F0" w:rsidRDefault="00CD5FCC" w:rsidP="003A05F0">
      <w:pPr>
        <w:pStyle w:val="ListParagraph"/>
        <w:autoSpaceDE w:val="0"/>
        <w:autoSpaceDN w:val="0"/>
        <w:adjustRightInd w:val="0"/>
        <w:snapToGrid w:val="0"/>
        <w:spacing w:after="0" w:line="240" w:lineRule="auto"/>
        <w:ind w:left="0"/>
        <w:jc w:val="both"/>
        <w:rPr>
          <w:rFonts w:ascii="Times New Roman" w:hAnsi="Times New Roman"/>
          <w:b/>
          <w:sz w:val="20"/>
          <w:szCs w:val="20"/>
        </w:rPr>
      </w:pPr>
      <w:r w:rsidRPr="003A05F0">
        <w:rPr>
          <w:rFonts w:ascii="Times New Roman" w:hAnsi="Times New Roman"/>
          <w:b/>
          <w:sz w:val="20"/>
          <w:szCs w:val="20"/>
        </w:rPr>
        <w:t xml:space="preserve">2.2 </w:t>
      </w:r>
      <w:r w:rsidR="00EC1D70" w:rsidRPr="003A05F0">
        <w:rPr>
          <w:rFonts w:ascii="Times New Roman" w:hAnsi="Times New Roman"/>
          <w:b/>
          <w:sz w:val="20"/>
          <w:szCs w:val="20"/>
        </w:rPr>
        <w:t>Analysi</w:t>
      </w:r>
      <w:r w:rsidR="00427656" w:rsidRPr="003A05F0">
        <w:rPr>
          <w:rFonts w:ascii="Times New Roman" w:hAnsi="Times New Roman"/>
          <w:b/>
          <w:sz w:val="20"/>
          <w:szCs w:val="20"/>
        </w:rPr>
        <w:t>s of the Internal Tissues for mi</w:t>
      </w:r>
      <w:r w:rsidR="00EC1D70" w:rsidRPr="003A05F0">
        <w:rPr>
          <w:rFonts w:ascii="Times New Roman" w:hAnsi="Times New Roman"/>
          <w:b/>
          <w:sz w:val="20"/>
          <w:szCs w:val="20"/>
        </w:rPr>
        <w:t>crobes</w:t>
      </w:r>
    </w:p>
    <w:p w:rsidR="00481BE4" w:rsidRPr="003A05F0" w:rsidRDefault="00EC1D70" w:rsidP="003A05F0">
      <w:pPr>
        <w:pStyle w:val="ListParagraph"/>
        <w:autoSpaceDE w:val="0"/>
        <w:autoSpaceDN w:val="0"/>
        <w:adjustRightInd w:val="0"/>
        <w:snapToGrid w:val="0"/>
        <w:spacing w:after="0" w:line="240" w:lineRule="auto"/>
        <w:ind w:left="0" w:firstLine="425"/>
        <w:jc w:val="both"/>
        <w:rPr>
          <w:rFonts w:ascii="Times New Roman" w:hAnsi="Times New Roman"/>
          <w:sz w:val="20"/>
          <w:szCs w:val="20"/>
        </w:rPr>
      </w:pPr>
      <w:r w:rsidRPr="003A05F0">
        <w:rPr>
          <w:rFonts w:ascii="Times New Roman" w:hAnsi="Times New Roman"/>
          <w:sz w:val="20"/>
          <w:szCs w:val="20"/>
        </w:rPr>
        <w:t xml:space="preserve">Total Plate Counts (TPC), </w:t>
      </w:r>
      <w:proofErr w:type="spellStart"/>
      <w:r w:rsidRPr="003A05F0">
        <w:rPr>
          <w:rFonts w:ascii="Times New Roman" w:hAnsi="Times New Roman"/>
          <w:sz w:val="20"/>
          <w:szCs w:val="20"/>
        </w:rPr>
        <w:t>Coliform</w:t>
      </w:r>
      <w:proofErr w:type="spellEnd"/>
      <w:r w:rsidRPr="003A05F0">
        <w:rPr>
          <w:rFonts w:ascii="Times New Roman" w:hAnsi="Times New Roman"/>
          <w:sz w:val="20"/>
          <w:szCs w:val="20"/>
        </w:rPr>
        <w:t xml:space="preserve"> Plate Counts (CPC), </w:t>
      </w:r>
      <w:proofErr w:type="spellStart"/>
      <w:r w:rsidRPr="003A05F0">
        <w:rPr>
          <w:rFonts w:ascii="Times New Roman" w:hAnsi="Times New Roman"/>
          <w:sz w:val="20"/>
          <w:szCs w:val="20"/>
        </w:rPr>
        <w:t>Faecal</w:t>
      </w:r>
      <w:proofErr w:type="spellEnd"/>
      <w:r w:rsidRPr="003A05F0">
        <w:rPr>
          <w:rFonts w:ascii="Times New Roman" w:hAnsi="Times New Roman"/>
          <w:sz w:val="20"/>
          <w:szCs w:val="20"/>
        </w:rPr>
        <w:t xml:space="preserve"> </w:t>
      </w:r>
      <w:proofErr w:type="spellStart"/>
      <w:r w:rsidRPr="003A05F0">
        <w:rPr>
          <w:rFonts w:ascii="Times New Roman" w:hAnsi="Times New Roman"/>
          <w:sz w:val="20"/>
          <w:szCs w:val="20"/>
        </w:rPr>
        <w:t>Coliform</w:t>
      </w:r>
      <w:proofErr w:type="spellEnd"/>
      <w:r w:rsidRPr="003A05F0">
        <w:rPr>
          <w:rFonts w:ascii="Times New Roman" w:hAnsi="Times New Roman"/>
          <w:sz w:val="20"/>
          <w:szCs w:val="20"/>
        </w:rPr>
        <w:t xml:space="preserve"> Plate Counts (FCPC) and Yeast, Mould Plate Counts (YMPC) and</w:t>
      </w:r>
      <w:r w:rsidRPr="003A05F0">
        <w:rPr>
          <w:rFonts w:ascii="Times New Roman" w:hAnsi="Times New Roman"/>
          <w:b/>
          <w:sz w:val="20"/>
          <w:szCs w:val="20"/>
        </w:rPr>
        <w:t xml:space="preserve"> </w:t>
      </w:r>
      <w:r w:rsidRPr="003A05F0">
        <w:rPr>
          <w:rFonts w:ascii="Times New Roman" w:hAnsi="Times New Roman"/>
          <w:sz w:val="20"/>
          <w:szCs w:val="20"/>
        </w:rPr>
        <w:t xml:space="preserve">Pathogenic </w:t>
      </w:r>
      <w:proofErr w:type="spellStart"/>
      <w:r w:rsidRPr="003A05F0">
        <w:rPr>
          <w:rFonts w:ascii="Times New Roman" w:hAnsi="Times New Roman"/>
          <w:i/>
          <w:sz w:val="20"/>
          <w:szCs w:val="20"/>
        </w:rPr>
        <w:t>E.coli</w:t>
      </w:r>
      <w:proofErr w:type="spellEnd"/>
      <w:r w:rsidRPr="003A05F0">
        <w:rPr>
          <w:rFonts w:ascii="Times New Roman" w:hAnsi="Times New Roman"/>
          <w:sz w:val="20"/>
          <w:szCs w:val="20"/>
        </w:rPr>
        <w:t xml:space="preserve"> were enumerated using direct culture methods as described previously (Marshall</w:t>
      </w:r>
      <w:r w:rsidR="0097045E" w:rsidRPr="003A05F0">
        <w:rPr>
          <w:rFonts w:ascii="Times New Roman" w:hAnsi="Times New Roman"/>
          <w:sz w:val="20"/>
          <w:szCs w:val="20"/>
        </w:rPr>
        <w:t>, 1992).</w:t>
      </w:r>
      <w:r w:rsidR="00E37FCF">
        <w:rPr>
          <w:rFonts w:ascii="Times New Roman" w:hAnsi="Times New Roman"/>
          <w:sz w:val="20"/>
          <w:szCs w:val="20"/>
        </w:rPr>
        <w:t xml:space="preserve"> </w:t>
      </w:r>
      <w:r w:rsidR="0097045E" w:rsidRPr="003A05F0">
        <w:rPr>
          <w:rFonts w:ascii="Times New Roman" w:hAnsi="Times New Roman"/>
          <w:sz w:val="20"/>
          <w:szCs w:val="20"/>
        </w:rPr>
        <w:t xml:space="preserve">Briefly, Plate Count </w:t>
      </w:r>
      <w:proofErr w:type="gramStart"/>
      <w:r w:rsidR="0097045E" w:rsidRPr="003A05F0">
        <w:rPr>
          <w:rFonts w:ascii="Times New Roman" w:hAnsi="Times New Roman"/>
          <w:sz w:val="20"/>
          <w:szCs w:val="20"/>
        </w:rPr>
        <w:t>a</w:t>
      </w:r>
      <w:r w:rsidRPr="003A05F0">
        <w:rPr>
          <w:rFonts w:ascii="Times New Roman" w:hAnsi="Times New Roman"/>
          <w:sz w:val="20"/>
          <w:szCs w:val="20"/>
        </w:rPr>
        <w:t>gar</w:t>
      </w:r>
      <w:proofErr w:type="gramEnd"/>
      <w:r w:rsidRPr="003A05F0">
        <w:rPr>
          <w:rFonts w:ascii="Times New Roman" w:hAnsi="Times New Roman"/>
          <w:sz w:val="20"/>
          <w:szCs w:val="20"/>
        </w:rPr>
        <w:t xml:space="preserve"> (SPCA), </w:t>
      </w:r>
      <w:r w:rsidRPr="003A05F0">
        <w:rPr>
          <w:rFonts w:ascii="Times New Roman" w:hAnsi="Times New Roman"/>
          <w:b/>
          <w:sz w:val="20"/>
          <w:szCs w:val="20"/>
        </w:rPr>
        <w:t>E</w:t>
      </w:r>
      <w:r w:rsidRPr="003A05F0">
        <w:rPr>
          <w:rFonts w:ascii="Times New Roman" w:hAnsi="Times New Roman"/>
          <w:sz w:val="20"/>
          <w:szCs w:val="20"/>
        </w:rPr>
        <w:t xml:space="preserve">osin </w:t>
      </w:r>
      <w:proofErr w:type="spellStart"/>
      <w:r w:rsidRPr="003A05F0">
        <w:rPr>
          <w:rFonts w:ascii="Times New Roman" w:hAnsi="Times New Roman"/>
          <w:sz w:val="20"/>
          <w:szCs w:val="20"/>
        </w:rPr>
        <w:t>Methylene</w:t>
      </w:r>
      <w:proofErr w:type="spellEnd"/>
      <w:r w:rsidRPr="003A05F0">
        <w:rPr>
          <w:rFonts w:ascii="Times New Roman" w:hAnsi="Times New Roman"/>
          <w:sz w:val="20"/>
          <w:szCs w:val="20"/>
        </w:rPr>
        <w:t xml:space="preserve"> Blue agar (EMBA), Violet Red Bile Glucose (VBRGA) were prepared and used</w:t>
      </w:r>
      <w:r w:rsidR="0097045E" w:rsidRPr="003A05F0">
        <w:rPr>
          <w:rFonts w:ascii="Times New Roman" w:hAnsi="Times New Roman"/>
          <w:sz w:val="20"/>
          <w:szCs w:val="20"/>
        </w:rPr>
        <w:t xml:space="preserve"> in detection of </w:t>
      </w:r>
      <w:proofErr w:type="spellStart"/>
      <w:r w:rsidR="0097045E" w:rsidRPr="003A05F0">
        <w:rPr>
          <w:rFonts w:ascii="Times New Roman" w:hAnsi="Times New Roman"/>
          <w:sz w:val="20"/>
          <w:szCs w:val="20"/>
        </w:rPr>
        <w:t>enterobacteria</w:t>
      </w:r>
      <w:proofErr w:type="spellEnd"/>
      <w:r w:rsidR="0097045E" w:rsidRPr="003A05F0">
        <w:rPr>
          <w:rFonts w:ascii="Times New Roman" w:hAnsi="Times New Roman"/>
          <w:sz w:val="20"/>
          <w:szCs w:val="20"/>
        </w:rPr>
        <w:t>,</w:t>
      </w:r>
    </w:p>
    <w:p w:rsidR="003E0E38" w:rsidRPr="003A05F0" w:rsidRDefault="0097045E" w:rsidP="003A05F0">
      <w:pPr>
        <w:pStyle w:val="ListParagraph"/>
        <w:autoSpaceDE w:val="0"/>
        <w:autoSpaceDN w:val="0"/>
        <w:adjustRightInd w:val="0"/>
        <w:snapToGrid w:val="0"/>
        <w:spacing w:after="0" w:line="240" w:lineRule="auto"/>
        <w:ind w:left="0" w:firstLine="425"/>
        <w:jc w:val="both"/>
        <w:rPr>
          <w:rFonts w:ascii="Times New Roman" w:hAnsi="Times New Roman"/>
          <w:sz w:val="20"/>
          <w:szCs w:val="20"/>
        </w:rPr>
      </w:pPr>
      <w:r w:rsidRPr="003A05F0">
        <w:rPr>
          <w:rFonts w:ascii="Times New Roman" w:hAnsi="Times New Roman"/>
          <w:sz w:val="20"/>
          <w:szCs w:val="20"/>
        </w:rPr>
        <w:t>Potato Dextrose a</w:t>
      </w:r>
      <w:r w:rsidR="00EC1D70" w:rsidRPr="003A05F0">
        <w:rPr>
          <w:rFonts w:ascii="Times New Roman" w:hAnsi="Times New Roman"/>
          <w:sz w:val="20"/>
          <w:szCs w:val="20"/>
        </w:rPr>
        <w:t xml:space="preserve">gar (PDA) and </w:t>
      </w:r>
      <w:proofErr w:type="spellStart"/>
      <w:r w:rsidR="00EC1D70" w:rsidRPr="003A05F0">
        <w:rPr>
          <w:rFonts w:ascii="Times New Roman" w:hAnsi="Times New Roman"/>
          <w:sz w:val="20"/>
          <w:szCs w:val="20"/>
        </w:rPr>
        <w:t>Sorbitol</w:t>
      </w:r>
      <w:proofErr w:type="spellEnd"/>
      <w:r w:rsidR="00EC1D70" w:rsidRPr="003A05F0">
        <w:rPr>
          <w:rFonts w:ascii="Times New Roman" w:hAnsi="Times New Roman"/>
          <w:sz w:val="20"/>
          <w:szCs w:val="20"/>
        </w:rPr>
        <w:t xml:space="preserve"> </w:t>
      </w:r>
      <w:proofErr w:type="spellStart"/>
      <w:r w:rsidR="00EC1D70" w:rsidRPr="003A05F0">
        <w:rPr>
          <w:rFonts w:ascii="Times New Roman" w:hAnsi="Times New Roman"/>
          <w:sz w:val="20"/>
          <w:szCs w:val="20"/>
        </w:rPr>
        <w:t>MacConkey</w:t>
      </w:r>
      <w:proofErr w:type="spellEnd"/>
      <w:r w:rsidR="00EC1D70" w:rsidRPr="003A05F0">
        <w:rPr>
          <w:rFonts w:ascii="Times New Roman" w:hAnsi="Times New Roman"/>
          <w:sz w:val="20"/>
          <w:szCs w:val="20"/>
        </w:rPr>
        <w:t xml:space="preserve"> (SMA) were used, respectively, to enumerate TPC, CPC, FCPC, YMPC</w:t>
      </w:r>
      <w:r w:rsidR="00EC1D70" w:rsidRPr="003A05F0">
        <w:rPr>
          <w:rFonts w:ascii="Times New Roman" w:hAnsi="Times New Roman"/>
          <w:b/>
          <w:sz w:val="20"/>
          <w:szCs w:val="20"/>
        </w:rPr>
        <w:t xml:space="preserve"> </w:t>
      </w:r>
      <w:r w:rsidRPr="003A05F0">
        <w:rPr>
          <w:rFonts w:ascii="Times New Roman" w:hAnsi="Times New Roman"/>
          <w:sz w:val="20"/>
          <w:szCs w:val="20"/>
        </w:rPr>
        <w:t>and p</w:t>
      </w:r>
      <w:r w:rsidR="00EC1D70" w:rsidRPr="003A05F0">
        <w:rPr>
          <w:rFonts w:ascii="Times New Roman" w:hAnsi="Times New Roman"/>
          <w:sz w:val="20"/>
          <w:szCs w:val="20"/>
        </w:rPr>
        <w:t xml:space="preserve">athogenic </w:t>
      </w:r>
      <w:r w:rsidR="00427656" w:rsidRPr="003A05F0">
        <w:rPr>
          <w:rFonts w:ascii="Times New Roman" w:hAnsi="Times New Roman"/>
          <w:i/>
          <w:sz w:val="20"/>
          <w:szCs w:val="20"/>
        </w:rPr>
        <w:t>E. c</w:t>
      </w:r>
      <w:r w:rsidR="00EC1D70" w:rsidRPr="003A05F0">
        <w:rPr>
          <w:rFonts w:ascii="Times New Roman" w:hAnsi="Times New Roman"/>
          <w:i/>
          <w:sz w:val="20"/>
          <w:szCs w:val="20"/>
        </w:rPr>
        <w:t>oli</w:t>
      </w:r>
      <w:r w:rsidR="00EC1D70" w:rsidRPr="003A05F0">
        <w:rPr>
          <w:rFonts w:ascii="Times New Roman" w:hAnsi="Times New Roman"/>
          <w:sz w:val="20"/>
          <w:szCs w:val="20"/>
        </w:rPr>
        <w:t>. Mango fruits were disinfected with 70% ethanol at portions where incisions were made.</w:t>
      </w:r>
    </w:p>
    <w:p w:rsidR="00EC1D70" w:rsidRPr="003A05F0" w:rsidRDefault="00EC1D70" w:rsidP="003A05F0">
      <w:pPr>
        <w:pStyle w:val="ListParagraph"/>
        <w:autoSpaceDE w:val="0"/>
        <w:autoSpaceDN w:val="0"/>
        <w:adjustRightInd w:val="0"/>
        <w:snapToGrid w:val="0"/>
        <w:spacing w:after="0" w:line="240" w:lineRule="auto"/>
        <w:ind w:left="0" w:firstLine="425"/>
        <w:jc w:val="both"/>
        <w:rPr>
          <w:rFonts w:ascii="Times New Roman" w:hAnsi="Times New Roman"/>
          <w:sz w:val="20"/>
          <w:szCs w:val="20"/>
        </w:rPr>
      </w:pPr>
      <w:r w:rsidRPr="003A05F0">
        <w:rPr>
          <w:rFonts w:ascii="Times New Roman" w:hAnsi="Times New Roman"/>
          <w:sz w:val="20"/>
          <w:szCs w:val="20"/>
        </w:rPr>
        <w:t xml:space="preserve">The fruits were opened up using sterile blades and 100µL of juice from inside the fruits were </w:t>
      </w:r>
      <w:proofErr w:type="spellStart"/>
      <w:r w:rsidRPr="003A05F0">
        <w:rPr>
          <w:rFonts w:ascii="Times New Roman" w:hAnsi="Times New Roman"/>
          <w:sz w:val="20"/>
          <w:szCs w:val="20"/>
        </w:rPr>
        <w:t>pipetted</w:t>
      </w:r>
      <w:proofErr w:type="spellEnd"/>
      <w:r w:rsidRPr="003A05F0">
        <w:rPr>
          <w:rFonts w:ascii="Times New Roman" w:hAnsi="Times New Roman"/>
          <w:sz w:val="20"/>
          <w:szCs w:val="20"/>
        </w:rPr>
        <w:t xml:space="preserve"> using sterile pipette tips. The 100uL fruit juices were added to 900µL of standard saline solution. 10uL of first dilutions of samples were </w:t>
      </w:r>
      <w:proofErr w:type="spellStart"/>
      <w:r w:rsidRPr="003A05F0">
        <w:rPr>
          <w:rFonts w:ascii="Times New Roman" w:hAnsi="Times New Roman"/>
          <w:sz w:val="20"/>
          <w:szCs w:val="20"/>
        </w:rPr>
        <w:t>pipetted</w:t>
      </w:r>
      <w:proofErr w:type="spellEnd"/>
      <w:r w:rsidRPr="003A05F0">
        <w:rPr>
          <w:rFonts w:ascii="Times New Roman" w:hAnsi="Times New Roman"/>
          <w:sz w:val="20"/>
          <w:szCs w:val="20"/>
        </w:rPr>
        <w:t xml:space="preserve"> and transferred into respective dishes and the prepared agars were gently poured into appropriate dishes containing the first dilutions and swirled gently. The set-ups were left on the working slab for the agar to set after which incubation was done for 24 hours to </w:t>
      </w:r>
      <w:r w:rsidRPr="003A05F0">
        <w:rPr>
          <w:rFonts w:ascii="Times New Roman" w:hAnsi="Times New Roman"/>
          <w:sz w:val="20"/>
          <w:szCs w:val="20"/>
        </w:rPr>
        <w:lastRenderedPageBreak/>
        <w:t>allow growth of microbes.</w:t>
      </w:r>
      <w:r w:rsidR="00E37FCF">
        <w:rPr>
          <w:rFonts w:ascii="Times New Roman" w:hAnsi="Times New Roman"/>
          <w:sz w:val="20"/>
          <w:szCs w:val="20"/>
        </w:rPr>
        <w:t xml:space="preserve"> </w:t>
      </w:r>
      <w:r w:rsidRPr="003A05F0">
        <w:rPr>
          <w:rFonts w:ascii="Times New Roman" w:hAnsi="Times New Roman"/>
          <w:sz w:val="20"/>
          <w:szCs w:val="20"/>
        </w:rPr>
        <w:t>After incubation</w:t>
      </w:r>
      <w:r w:rsidR="0097045E" w:rsidRPr="003A05F0">
        <w:rPr>
          <w:rFonts w:ascii="Times New Roman" w:hAnsi="Times New Roman"/>
          <w:sz w:val="20"/>
          <w:szCs w:val="20"/>
        </w:rPr>
        <w:t>,</w:t>
      </w:r>
      <w:r w:rsidRPr="003A05F0">
        <w:rPr>
          <w:rFonts w:ascii="Times New Roman" w:hAnsi="Times New Roman"/>
          <w:sz w:val="20"/>
          <w:szCs w:val="20"/>
        </w:rPr>
        <w:t xml:space="preserve"> the </w:t>
      </w:r>
      <w:r w:rsidR="0097045E" w:rsidRPr="003A05F0">
        <w:rPr>
          <w:rFonts w:ascii="Times New Roman" w:hAnsi="Times New Roman"/>
          <w:sz w:val="20"/>
          <w:szCs w:val="20"/>
        </w:rPr>
        <w:t xml:space="preserve">bacteria </w:t>
      </w:r>
      <w:r w:rsidRPr="003A05F0">
        <w:rPr>
          <w:rFonts w:ascii="Times New Roman" w:hAnsi="Times New Roman"/>
          <w:sz w:val="20"/>
          <w:szCs w:val="20"/>
        </w:rPr>
        <w:t xml:space="preserve">colonies </w:t>
      </w:r>
      <w:r w:rsidR="0097045E" w:rsidRPr="003A05F0">
        <w:rPr>
          <w:rFonts w:ascii="Times New Roman" w:hAnsi="Times New Roman"/>
          <w:sz w:val="20"/>
          <w:szCs w:val="20"/>
        </w:rPr>
        <w:t>formed</w:t>
      </w:r>
      <w:r w:rsidRPr="003A05F0">
        <w:rPr>
          <w:rFonts w:ascii="Times New Roman" w:hAnsi="Times New Roman"/>
          <w:sz w:val="20"/>
          <w:szCs w:val="20"/>
        </w:rPr>
        <w:t xml:space="preserve"> were counted using a colony counter and microbial counts of the mangoes computed.</w:t>
      </w:r>
    </w:p>
    <w:p w:rsidR="00EC1D70" w:rsidRPr="003A05F0" w:rsidRDefault="00CD5FCC" w:rsidP="003A05F0">
      <w:pPr>
        <w:suppressAutoHyphens w:val="0"/>
        <w:autoSpaceDE w:val="0"/>
        <w:autoSpaceDN w:val="0"/>
        <w:adjustRightInd w:val="0"/>
        <w:snapToGrid w:val="0"/>
        <w:jc w:val="both"/>
        <w:rPr>
          <w:sz w:val="20"/>
          <w:szCs w:val="20"/>
        </w:rPr>
      </w:pPr>
      <w:r w:rsidRPr="003A05F0">
        <w:rPr>
          <w:b/>
          <w:sz w:val="20"/>
          <w:szCs w:val="20"/>
        </w:rPr>
        <w:t xml:space="preserve">2.3 </w:t>
      </w:r>
      <w:r w:rsidR="00EC1D70" w:rsidRPr="003A05F0">
        <w:rPr>
          <w:b/>
          <w:sz w:val="20"/>
          <w:szCs w:val="20"/>
        </w:rPr>
        <w:t>Analysis of External Surface</w:t>
      </w:r>
    </w:p>
    <w:p w:rsidR="00EC1D70" w:rsidRPr="003A05F0" w:rsidRDefault="00EC1D70" w:rsidP="003A05F0">
      <w:pPr>
        <w:pStyle w:val="ListParagraph"/>
        <w:autoSpaceDE w:val="0"/>
        <w:autoSpaceDN w:val="0"/>
        <w:adjustRightInd w:val="0"/>
        <w:snapToGrid w:val="0"/>
        <w:spacing w:after="0" w:line="240" w:lineRule="auto"/>
        <w:ind w:left="0" w:firstLine="425"/>
        <w:jc w:val="both"/>
        <w:rPr>
          <w:rFonts w:ascii="Times New Roman" w:hAnsi="Times New Roman"/>
          <w:sz w:val="20"/>
          <w:szCs w:val="20"/>
        </w:rPr>
      </w:pPr>
      <w:r w:rsidRPr="003A05F0">
        <w:rPr>
          <w:rFonts w:ascii="Times New Roman" w:hAnsi="Times New Roman"/>
          <w:sz w:val="20"/>
          <w:szCs w:val="20"/>
        </w:rPr>
        <w:t>This was done to enumerate microbes on the external surfaces of the mangoes. An outer surface area of 1cm</w:t>
      </w:r>
      <w:r w:rsidRPr="003A05F0">
        <w:rPr>
          <w:rFonts w:ascii="Times New Roman" w:hAnsi="Times New Roman"/>
          <w:sz w:val="20"/>
          <w:szCs w:val="20"/>
          <w:vertAlign w:val="superscript"/>
        </w:rPr>
        <w:t>2</w:t>
      </w:r>
      <w:r w:rsidRPr="003A05F0">
        <w:rPr>
          <w:rFonts w:ascii="Times New Roman" w:hAnsi="Times New Roman"/>
          <w:sz w:val="20"/>
          <w:szCs w:val="20"/>
        </w:rPr>
        <w:t xml:space="preserve"> of each mango was swabbed using a cotton swab. The swab was then dipped into 100uL of standard saline solution, from which first and second dilutions were made. The prepared agars were added to the diluted samples. The cultures were incubated and analyzed as described above.</w:t>
      </w:r>
    </w:p>
    <w:p w:rsidR="00EC1D70" w:rsidRPr="003A05F0" w:rsidRDefault="00CD5FCC" w:rsidP="003A05F0">
      <w:pPr>
        <w:suppressAutoHyphens w:val="0"/>
        <w:autoSpaceDE w:val="0"/>
        <w:autoSpaceDN w:val="0"/>
        <w:adjustRightInd w:val="0"/>
        <w:snapToGrid w:val="0"/>
        <w:jc w:val="both"/>
        <w:rPr>
          <w:b/>
          <w:sz w:val="20"/>
          <w:szCs w:val="20"/>
        </w:rPr>
      </w:pPr>
      <w:r w:rsidRPr="003A05F0">
        <w:rPr>
          <w:b/>
          <w:sz w:val="20"/>
          <w:szCs w:val="20"/>
        </w:rPr>
        <w:t xml:space="preserve">2.4 </w:t>
      </w:r>
      <w:r w:rsidR="00EC1D70" w:rsidRPr="003A05F0">
        <w:rPr>
          <w:b/>
          <w:sz w:val="20"/>
          <w:szCs w:val="20"/>
        </w:rPr>
        <w:t>Statistical Analysis</w:t>
      </w:r>
    </w:p>
    <w:p w:rsidR="00EC1D70" w:rsidRPr="003A05F0" w:rsidRDefault="00EC1D70" w:rsidP="003A05F0">
      <w:pPr>
        <w:suppressAutoHyphens w:val="0"/>
        <w:autoSpaceDE w:val="0"/>
        <w:autoSpaceDN w:val="0"/>
        <w:adjustRightInd w:val="0"/>
        <w:snapToGrid w:val="0"/>
        <w:ind w:firstLine="425"/>
        <w:jc w:val="both"/>
        <w:rPr>
          <w:sz w:val="20"/>
          <w:szCs w:val="20"/>
        </w:rPr>
      </w:pPr>
      <w:r w:rsidRPr="003A05F0">
        <w:rPr>
          <w:sz w:val="20"/>
          <w:szCs w:val="20"/>
        </w:rPr>
        <w:t>Results from the laboratory analyses were first entered and organized in MS Excel and then analyzed using Graph Prism Statistical software (</w:t>
      </w:r>
      <w:r w:rsidRPr="003A05F0">
        <w:rPr>
          <w:sz w:val="20"/>
          <w:szCs w:val="20"/>
          <w:lang w:val="en-GB" w:eastAsia="en-GB"/>
        </w:rPr>
        <w:t xml:space="preserve">Prism, </w:t>
      </w:r>
      <w:proofErr w:type="spellStart"/>
      <w:r w:rsidRPr="003A05F0">
        <w:rPr>
          <w:sz w:val="20"/>
          <w:szCs w:val="20"/>
          <w:lang w:val="en-GB" w:eastAsia="en-GB"/>
        </w:rPr>
        <w:t>GraphPad</w:t>
      </w:r>
      <w:proofErr w:type="spellEnd"/>
      <w:r w:rsidRPr="003A05F0">
        <w:rPr>
          <w:sz w:val="20"/>
          <w:szCs w:val="20"/>
          <w:lang w:val="en-GB" w:eastAsia="en-GB"/>
        </w:rPr>
        <w:t xml:space="preserve"> Software, </w:t>
      </w:r>
      <w:proofErr w:type="gramStart"/>
      <w:r w:rsidRPr="003A05F0">
        <w:rPr>
          <w:sz w:val="20"/>
          <w:szCs w:val="20"/>
          <w:lang w:val="en-GB" w:eastAsia="en-GB"/>
        </w:rPr>
        <w:t>San</w:t>
      </w:r>
      <w:proofErr w:type="gramEnd"/>
      <w:r w:rsidRPr="003A05F0">
        <w:rPr>
          <w:sz w:val="20"/>
          <w:szCs w:val="20"/>
          <w:lang w:val="en-GB" w:eastAsia="en-GB"/>
        </w:rPr>
        <w:t xml:space="preserve"> Diego, CA, USA</w:t>
      </w:r>
      <w:r w:rsidR="007733F3" w:rsidRPr="003A05F0">
        <w:rPr>
          <w:sz w:val="20"/>
          <w:szCs w:val="20"/>
        </w:rPr>
        <w:t>).</w:t>
      </w:r>
      <w:r w:rsidRPr="003A05F0">
        <w:rPr>
          <w:sz w:val="20"/>
          <w:szCs w:val="20"/>
        </w:rPr>
        <w:t xml:space="preserve"> Student’s t-test was used to compare the microbial load and z-test the proportions of various categories.</w:t>
      </w:r>
    </w:p>
    <w:p w:rsidR="00EC1D70" w:rsidRPr="003A05F0" w:rsidRDefault="00EC1D70" w:rsidP="003A05F0">
      <w:pPr>
        <w:suppressAutoHyphens w:val="0"/>
        <w:autoSpaceDE w:val="0"/>
        <w:autoSpaceDN w:val="0"/>
        <w:adjustRightInd w:val="0"/>
        <w:snapToGrid w:val="0"/>
        <w:jc w:val="both"/>
        <w:rPr>
          <w:b/>
          <w:sz w:val="20"/>
        </w:rPr>
      </w:pPr>
    </w:p>
    <w:p w:rsidR="00EC1D70" w:rsidRPr="003A05F0" w:rsidRDefault="00EC1D70" w:rsidP="003A05F0">
      <w:pPr>
        <w:suppressAutoHyphens w:val="0"/>
        <w:snapToGrid w:val="0"/>
        <w:jc w:val="both"/>
        <w:rPr>
          <w:b/>
          <w:sz w:val="20"/>
          <w:szCs w:val="20"/>
        </w:rPr>
      </w:pPr>
      <w:r w:rsidRPr="003A05F0">
        <w:rPr>
          <w:b/>
          <w:sz w:val="20"/>
          <w:szCs w:val="20"/>
        </w:rPr>
        <w:t>3. Results</w:t>
      </w:r>
    </w:p>
    <w:p w:rsidR="0090623F" w:rsidRPr="003A05F0" w:rsidRDefault="00CD5FCC" w:rsidP="003A05F0">
      <w:pPr>
        <w:suppressAutoHyphens w:val="0"/>
        <w:autoSpaceDE w:val="0"/>
        <w:autoSpaceDN w:val="0"/>
        <w:adjustRightInd w:val="0"/>
        <w:snapToGrid w:val="0"/>
        <w:jc w:val="both"/>
        <w:rPr>
          <w:b/>
          <w:sz w:val="20"/>
          <w:szCs w:val="20"/>
        </w:rPr>
      </w:pPr>
      <w:r w:rsidRPr="003A05F0">
        <w:rPr>
          <w:b/>
          <w:sz w:val="20"/>
          <w:szCs w:val="20"/>
        </w:rPr>
        <w:t xml:space="preserve">3.1 </w:t>
      </w:r>
      <w:r w:rsidR="00EC1D70" w:rsidRPr="003A05F0">
        <w:rPr>
          <w:b/>
          <w:sz w:val="20"/>
          <w:szCs w:val="20"/>
        </w:rPr>
        <w:t>Proportion of Mangoes Contaminated with Microbes.</w:t>
      </w:r>
    </w:p>
    <w:p w:rsidR="003E0E38" w:rsidRPr="003A05F0" w:rsidRDefault="00EC1D70" w:rsidP="003A05F0">
      <w:pPr>
        <w:suppressAutoHyphens w:val="0"/>
        <w:autoSpaceDE w:val="0"/>
        <w:autoSpaceDN w:val="0"/>
        <w:adjustRightInd w:val="0"/>
        <w:snapToGrid w:val="0"/>
        <w:ind w:firstLine="425"/>
        <w:jc w:val="both"/>
        <w:rPr>
          <w:sz w:val="20"/>
          <w:szCs w:val="20"/>
        </w:rPr>
      </w:pPr>
      <w:r w:rsidRPr="003A05F0">
        <w:rPr>
          <w:sz w:val="20"/>
          <w:szCs w:val="20"/>
        </w:rPr>
        <w:t xml:space="preserve">All the mangoes sampled were contaminated both internally and externally with bacteria or yeast, however, 12.5% and 11.5% were not internally and externally contaminated, respectively, with </w:t>
      </w:r>
      <w:proofErr w:type="spellStart"/>
      <w:r w:rsidRPr="003A05F0">
        <w:rPr>
          <w:sz w:val="20"/>
          <w:szCs w:val="20"/>
        </w:rPr>
        <w:t>coliform</w:t>
      </w:r>
      <w:proofErr w:type="spellEnd"/>
      <w:r w:rsidRPr="003A05F0">
        <w:rPr>
          <w:sz w:val="20"/>
          <w:szCs w:val="20"/>
        </w:rPr>
        <w:t xml:space="preserve">, </w:t>
      </w:r>
      <w:proofErr w:type="spellStart"/>
      <w:r w:rsidRPr="003A05F0">
        <w:rPr>
          <w:sz w:val="20"/>
          <w:szCs w:val="20"/>
        </w:rPr>
        <w:t>faecal</w:t>
      </w:r>
      <w:proofErr w:type="spellEnd"/>
      <w:r w:rsidRPr="003A05F0">
        <w:rPr>
          <w:sz w:val="20"/>
          <w:szCs w:val="20"/>
        </w:rPr>
        <w:t xml:space="preserve"> </w:t>
      </w:r>
      <w:proofErr w:type="spellStart"/>
      <w:r w:rsidRPr="003A05F0">
        <w:rPr>
          <w:sz w:val="20"/>
          <w:szCs w:val="20"/>
        </w:rPr>
        <w:t>coliform</w:t>
      </w:r>
      <w:proofErr w:type="spellEnd"/>
      <w:r w:rsidRPr="003A05F0">
        <w:rPr>
          <w:sz w:val="20"/>
          <w:szCs w:val="20"/>
        </w:rPr>
        <w:t xml:space="preserve">, yeast or moulds. Proportions of mangoes contaminated with CPC and FCPC were significantly lower in mangoes from </w:t>
      </w:r>
      <w:proofErr w:type="spellStart"/>
      <w:r w:rsidRPr="003A05F0">
        <w:rPr>
          <w:sz w:val="20"/>
          <w:szCs w:val="20"/>
        </w:rPr>
        <w:t>Mallam</w:t>
      </w:r>
      <w:proofErr w:type="spellEnd"/>
      <w:r w:rsidRPr="003A05F0">
        <w:rPr>
          <w:sz w:val="20"/>
          <w:szCs w:val="20"/>
        </w:rPr>
        <w:t xml:space="preserve"> Atta compared to samples from </w:t>
      </w:r>
      <w:proofErr w:type="spellStart"/>
      <w:r w:rsidRPr="003A05F0">
        <w:rPr>
          <w:sz w:val="20"/>
          <w:szCs w:val="20"/>
        </w:rPr>
        <w:t>Madina</w:t>
      </w:r>
      <w:proofErr w:type="spellEnd"/>
      <w:r w:rsidRPr="003A05F0">
        <w:rPr>
          <w:sz w:val="20"/>
          <w:szCs w:val="20"/>
        </w:rPr>
        <w:t xml:space="preserve"> and </w:t>
      </w:r>
      <w:proofErr w:type="spellStart"/>
      <w:r w:rsidRPr="003A05F0">
        <w:rPr>
          <w:sz w:val="20"/>
          <w:szCs w:val="20"/>
        </w:rPr>
        <w:t>Kaneshie</w:t>
      </w:r>
      <w:proofErr w:type="spellEnd"/>
      <w:r w:rsidRPr="003A05F0">
        <w:rPr>
          <w:sz w:val="20"/>
          <w:szCs w:val="20"/>
        </w:rPr>
        <w:t xml:space="preserve"> (p&lt;0.05).</w:t>
      </w:r>
    </w:p>
    <w:p w:rsidR="00EC1D70" w:rsidRPr="003A05F0" w:rsidRDefault="00EC1D70" w:rsidP="003A05F0">
      <w:pPr>
        <w:suppressAutoHyphens w:val="0"/>
        <w:autoSpaceDE w:val="0"/>
        <w:autoSpaceDN w:val="0"/>
        <w:adjustRightInd w:val="0"/>
        <w:snapToGrid w:val="0"/>
        <w:ind w:firstLine="425"/>
        <w:jc w:val="both"/>
        <w:rPr>
          <w:sz w:val="20"/>
          <w:szCs w:val="20"/>
        </w:rPr>
      </w:pPr>
      <w:r w:rsidRPr="003A05F0">
        <w:rPr>
          <w:sz w:val="20"/>
          <w:szCs w:val="20"/>
        </w:rPr>
        <w:t xml:space="preserve">Proportions of mangoes contaminated were also affected by the stage of ripeness. Higher proportions of very </w:t>
      </w:r>
      <w:r w:rsidR="00427656" w:rsidRPr="003A05F0">
        <w:rPr>
          <w:sz w:val="20"/>
          <w:szCs w:val="20"/>
        </w:rPr>
        <w:t xml:space="preserve">ripe </w:t>
      </w:r>
      <w:r w:rsidRPr="003A05F0">
        <w:rPr>
          <w:sz w:val="20"/>
          <w:szCs w:val="20"/>
        </w:rPr>
        <w:t>and ripe mangoes were contaminated both internally and externally compared to unripe ones and the proportion internally contaminated with CPC, FCPC and YMPC were significantly lower in unripe mangoes compared to the ripe ones (p&lt;0.05). Likewise the proportion of mangoes contaminated was associated with number of scars/punctures. Generally, higher proportions of mangoes with numerous or moderate scars were contaminated, both externally and internally, compared to mangoes with few scars and it was significant for CPC, FCPC and YMPC (p&lt;0.05; Table 1).</w:t>
      </w:r>
    </w:p>
    <w:p w:rsidR="003A05F0" w:rsidRPr="003A05F0" w:rsidRDefault="003A05F0" w:rsidP="003A05F0">
      <w:pPr>
        <w:suppressAutoHyphens w:val="0"/>
        <w:autoSpaceDE w:val="0"/>
        <w:autoSpaceDN w:val="0"/>
        <w:adjustRightInd w:val="0"/>
        <w:snapToGrid w:val="0"/>
        <w:jc w:val="both"/>
        <w:rPr>
          <w:b/>
          <w:sz w:val="20"/>
          <w:szCs w:val="20"/>
        </w:rPr>
      </w:pPr>
      <w:r w:rsidRPr="003A05F0">
        <w:rPr>
          <w:b/>
          <w:sz w:val="20"/>
          <w:szCs w:val="20"/>
        </w:rPr>
        <w:t>3.2 Microbial Load of Internal Tissues of Fruits Compared between Different Markets.</w:t>
      </w:r>
    </w:p>
    <w:p w:rsidR="003A05F0" w:rsidRPr="003A05F0" w:rsidRDefault="003A05F0" w:rsidP="003A05F0">
      <w:pPr>
        <w:suppressAutoHyphens w:val="0"/>
        <w:autoSpaceDE w:val="0"/>
        <w:autoSpaceDN w:val="0"/>
        <w:adjustRightInd w:val="0"/>
        <w:snapToGrid w:val="0"/>
        <w:ind w:firstLine="425"/>
        <w:jc w:val="both"/>
        <w:rPr>
          <w:b/>
          <w:sz w:val="20"/>
          <w:szCs w:val="20"/>
        </w:rPr>
      </w:pPr>
      <w:r w:rsidRPr="003A05F0">
        <w:rPr>
          <w:sz w:val="20"/>
          <w:szCs w:val="20"/>
        </w:rPr>
        <w:t xml:space="preserve">The geometric means of internal microbial loads of fruits collected at the different markets are presented in Table 2 below. TPC was significantly higher in samples from </w:t>
      </w:r>
      <w:proofErr w:type="spellStart"/>
      <w:r w:rsidRPr="003A05F0">
        <w:rPr>
          <w:sz w:val="20"/>
          <w:szCs w:val="20"/>
        </w:rPr>
        <w:t>Madina</w:t>
      </w:r>
      <w:proofErr w:type="spellEnd"/>
      <w:r w:rsidRPr="003A05F0">
        <w:rPr>
          <w:sz w:val="20"/>
          <w:szCs w:val="20"/>
        </w:rPr>
        <w:t xml:space="preserve"> compared to those from </w:t>
      </w:r>
      <w:proofErr w:type="spellStart"/>
      <w:r w:rsidRPr="003A05F0">
        <w:rPr>
          <w:sz w:val="20"/>
          <w:szCs w:val="20"/>
        </w:rPr>
        <w:t>Kaneshie</w:t>
      </w:r>
      <w:proofErr w:type="spellEnd"/>
      <w:r w:rsidRPr="003A05F0">
        <w:rPr>
          <w:sz w:val="20"/>
          <w:szCs w:val="20"/>
        </w:rPr>
        <w:t xml:space="preserve"> and </w:t>
      </w:r>
      <w:proofErr w:type="spellStart"/>
      <w:r w:rsidRPr="003A05F0">
        <w:rPr>
          <w:sz w:val="20"/>
          <w:szCs w:val="20"/>
        </w:rPr>
        <w:t>Mallam</w:t>
      </w:r>
      <w:proofErr w:type="spellEnd"/>
      <w:r w:rsidRPr="003A05F0">
        <w:rPr>
          <w:sz w:val="20"/>
          <w:szCs w:val="20"/>
        </w:rPr>
        <w:t xml:space="preserve"> Atta (p&lt;0.05) but did not differ between </w:t>
      </w:r>
      <w:proofErr w:type="spellStart"/>
      <w:r w:rsidRPr="003A05F0">
        <w:rPr>
          <w:sz w:val="20"/>
          <w:szCs w:val="20"/>
        </w:rPr>
        <w:t>Kaneshie</w:t>
      </w:r>
      <w:proofErr w:type="spellEnd"/>
      <w:r w:rsidRPr="003A05F0">
        <w:rPr>
          <w:sz w:val="20"/>
          <w:szCs w:val="20"/>
        </w:rPr>
        <w:t xml:space="preserve"> and </w:t>
      </w:r>
      <w:proofErr w:type="spellStart"/>
      <w:r w:rsidRPr="003A05F0">
        <w:rPr>
          <w:sz w:val="20"/>
          <w:szCs w:val="20"/>
        </w:rPr>
        <w:t>Mallam</w:t>
      </w:r>
      <w:proofErr w:type="spellEnd"/>
      <w:r w:rsidRPr="003A05F0">
        <w:rPr>
          <w:sz w:val="20"/>
          <w:szCs w:val="20"/>
        </w:rPr>
        <w:t xml:space="preserve"> Atta. Also, CPC was similar for </w:t>
      </w:r>
      <w:proofErr w:type="spellStart"/>
      <w:r w:rsidRPr="003A05F0">
        <w:rPr>
          <w:sz w:val="20"/>
          <w:szCs w:val="20"/>
        </w:rPr>
        <w:t>Madina</w:t>
      </w:r>
      <w:proofErr w:type="spellEnd"/>
      <w:r w:rsidRPr="003A05F0">
        <w:rPr>
          <w:sz w:val="20"/>
          <w:szCs w:val="20"/>
        </w:rPr>
        <w:t xml:space="preserve"> and </w:t>
      </w:r>
      <w:proofErr w:type="spellStart"/>
      <w:r w:rsidRPr="003A05F0">
        <w:rPr>
          <w:sz w:val="20"/>
          <w:szCs w:val="20"/>
        </w:rPr>
        <w:t>Kaneshie</w:t>
      </w:r>
      <w:proofErr w:type="spellEnd"/>
      <w:r w:rsidRPr="003A05F0">
        <w:rPr>
          <w:sz w:val="20"/>
          <w:szCs w:val="20"/>
        </w:rPr>
        <w:t xml:space="preserve">, however, </w:t>
      </w:r>
      <w:r w:rsidRPr="003A05F0">
        <w:rPr>
          <w:sz w:val="20"/>
          <w:szCs w:val="20"/>
        </w:rPr>
        <w:lastRenderedPageBreak/>
        <w:t xml:space="preserve">significantly lower in samples from </w:t>
      </w:r>
      <w:proofErr w:type="spellStart"/>
      <w:r w:rsidRPr="003A05F0">
        <w:rPr>
          <w:sz w:val="20"/>
          <w:szCs w:val="20"/>
        </w:rPr>
        <w:t>Mallam</w:t>
      </w:r>
      <w:proofErr w:type="spellEnd"/>
      <w:r w:rsidRPr="003A05F0">
        <w:rPr>
          <w:sz w:val="20"/>
          <w:szCs w:val="20"/>
        </w:rPr>
        <w:t xml:space="preserve"> Atta compared to those from </w:t>
      </w:r>
      <w:proofErr w:type="spellStart"/>
      <w:r w:rsidRPr="003A05F0">
        <w:rPr>
          <w:sz w:val="20"/>
          <w:szCs w:val="20"/>
        </w:rPr>
        <w:t>Madina</w:t>
      </w:r>
      <w:proofErr w:type="spellEnd"/>
      <w:r w:rsidRPr="003A05F0">
        <w:rPr>
          <w:sz w:val="20"/>
          <w:szCs w:val="20"/>
        </w:rPr>
        <w:t xml:space="preserve"> and </w:t>
      </w:r>
      <w:proofErr w:type="spellStart"/>
      <w:r w:rsidRPr="003A05F0">
        <w:rPr>
          <w:sz w:val="20"/>
          <w:szCs w:val="20"/>
        </w:rPr>
        <w:t>Kaneshie</w:t>
      </w:r>
      <w:proofErr w:type="spellEnd"/>
      <w:r w:rsidRPr="003A05F0">
        <w:rPr>
          <w:sz w:val="20"/>
          <w:szCs w:val="20"/>
        </w:rPr>
        <w:t xml:space="preserve"> (p&lt;0.05). Though FCPC and YMPC were higher in </w:t>
      </w:r>
      <w:proofErr w:type="spellStart"/>
      <w:r w:rsidRPr="003A05F0">
        <w:rPr>
          <w:sz w:val="20"/>
          <w:szCs w:val="20"/>
        </w:rPr>
        <w:t>Madina</w:t>
      </w:r>
      <w:proofErr w:type="spellEnd"/>
      <w:r w:rsidRPr="003A05F0">
        <w:rPr>
          <w:sz w:val="20"/>
          <w:szCs w:val="20"/>
        </w:rPr>
        <w:t xml:space="preserve"> as compared to </w:t>
      </w:r>
      <w:proofErr w:type="spellStart"/>
      <w:r w:rsidRPr="003A05F0">
        <w:rPr>
          <w:sz w:val="20"/>
          <w:szCs w:val="20"/>
        </w:rPr>
        <w:t>Kaneshie</w:t>
      </w:r>
      <w:proofErr w:type="spellEnd"/>
      <w:r w:rsidRPr="003A05F0">
        <w:rPr>
          <w:sz w:val="20"/>
          <w:szCs w:val="20"/>
        </w:rPr>
        <w:t xml:space="preserve"> and </w:t>
      </w:r>
      <w:proofErr w:type="spellStart"/>
      <w:r w:rsidRPr="003A05F0">
        <w:rPr>
          <w:sz w:val="20"/>
          <w:szCs w:val="20"/>
        </w:rPr>
        <w:t>Mallam</w:t>
      </w:r>
      <w:proofErr w:type="spellEnd"/>
      <w:r w:rsidRPr="003A05F0">
        <w:rPr>
          <w:sz w:val="20"/>
          <w:szCs w:val="20"/>
        </w:rPr>
        <w:t xml:space="preserve"> Atta markets, there was no significant difference among </w:t>
      </w:r>
      <w:r w:rsidRPr="003A05F0">
        <w:rPr>
          <w:sz w:val="20"/>
          <w:szCs w:val="20"/>
        </w:rPr>
        <w:lastRenderedPageBreak/>
        <w:t>them (p&gt; 0.05). The microbial loads were generally high for the external surfaces of the mangoes but there were no significant differences among the markets with regard to the parameters; TPC, CPC, FCPC and YMPC (p&gt;0.05; Table 2).</w:t>
      </w:r>
    </w:p>
    <w:p w:rsidR="003A05F0" w:rsidRDefault="003A05F0" w:rsidP="003A05F0">
      <w:pPr>
        <w:suppressAutoHyphens w:val="0"/>
        <w:autoSpaceDE w:val="0"/>
        <w:autoSpaceDN w:val="0"/>
        <w:adjustRightInd w:val="0"/>
        <w:snapToGrid w:val="0"/>
        <w:ind w:firstLine="425"/>
        <w:jc w:val="both"/>
        <w:rPr>
          <w:sz w:val="20"/>
          <w:szCs w:val="20"/>
          <w:lang w:eastAsia="zh-CN"/>
        </w:rPr>
        <w:sectPr w:rsidR="003A05F0" w:rsidSect="00E37FCF">
          <w:footnotePr>
            <w:pos w:val="beneathText"/>
          </w:footnotePr>
          <w:type w:val="continuous"/>
          <w:pgSz w:w="12240" w:h="15840" w:code="1"/>
          <w:pgMar w:top="1440" w:right="1440" w:bottom="1440" w:left="1440" w:header="720" w:footer="720" w:gutter="0"/>
          <w:cols w:num="2" w:space="576"/>
          <w:docGrid w:linePitch="360"/>
        </w:sectPr>
      </w:pPr>
    </w:p>
    <w:p w:rsidR="00EC1D70" w:rsidRPr="003A05F0" w:rsidRDefault="00EC1D70" w:rsidP="003A05F0">
      <w:pPr>
        <w:suppressAutoHyphens w:val="0"/>
        <w:autoSpaceDE w:val="0"/>
        <w:autoSpaceDN w:val="0"/>
        <w:adjustRightInd w:val="0"/>
        <w:snapToGrid w:val="0"/>
        <w:ind w:firstLine="425"/>
        <w:jc w:val="both"/>
        <w:rPr>
          <w:sz w:val="20"/>
          <w:szCs w:val="20"/>
        </w:rPr>
      </w:pPr>
    </w:p>
    <w:tbl>
      <w:tblPr>
        <w:tblW w:w="5000" w:type="pct"/>
        <w:jc w:val="center"/>
        <w:tblLook w:val="04A0"/>
      </w:tblPr>
      <w:tblGrid>
        <w:gridCol w:w="1290"/>
        <w:gridCol w:w="74"/>
        <w:gridCol w:w="513"/>
        <w:gridCol w:w="1011"/>
        <w:gridCol w:w="956"/>
        <w:gridCol w:w="956"/>
        <w:gridCol w:w="956"/>
        <w:gridCol w:w="956"/>
        <w:gridCol w:w="956"/>
        <w:gridCol w:w="956"/>
        <w:gridCol w:w="952"/>
      </w:tblGrid>
      <w:tr w:rsidR="007D365F" w:rsidRPr="003A05F0" w:rsidTr="00E37FCF">
        <w:trPr>
          <w:cantSplit/>
          <w:trHeight w:val="230"/>
          <w:jc w:val="center"/>
        </w:trPr>
        <w:tc>
          <w:tcPr>
            <w:tcW w:w="5000" w:type="pct"/>
            <w:gridSpan w:val="11"/>
            <w:vMerge w:val="restart"/>
            <w:tcBorders>
              <w:bottom w:val="single" w:sz="4" w:space="0" w:color="auto"/>
            </w:tcBorders>
            <w:shd w:val="clear" w:color="auto" w:fill="auto"/>
            <w:hideMark/>
          </w:tcPr>
          <w:p w:rsidR="007D365F" w:rsidRPr="003A05F0" w:rsidRDefault="007D365F" w:rsidP="003A05F0">
            <w:pPr>
              <w:suppressAutoHyphens w:val="0"/>
              <w:snapToGrid w:val="0"/>
              <w:jc w:val="both"/>
              <w:rPr>
                <w:rFonts w:eastAsia="Times New Roman"/>
                <w:bCs/>
                <w:color w:val="000000"/>
                <w:sz w:val="20"/>
                <w:szCs w:val="20"/>
                <w:lang w:val="en-GB" w:eastAsia="en-GB"/>
              </w:rPr>
            </w:pPr>
            <w:r w:rsidRPr="003A05F0">
              <w:rPr>
                <w:rFonts w:eastAsia="Times New Roman"/>
                <w:bCs/>
                <w:color w:val="000000"/>
                <w:sz w:val="20"/>
                <w:szCs w:val="20"/>
                <w:lang w:eastAsia="en-GB"/>
              </w:rPr>
              <w:t>Table 1: Proportions of Contaminated Mangoes Based on Source, State of Ripeness and Level of Scars/Punctures for Internal and External Tissues</w:t>
            </w:r>
          </w:p>
        </w:tc>
      </w:tr>
      <w:tr w:rsidR="007D365F" w:rsidRPr="003A05F0" w:rsidTr="00E37FCF">
        <w:trPr>
          <w:cantSplit/>
          <w:trHeight w:val="230"/>
          <w:jc w:val="center"/>
        </w:trPr>
        <w:tc>
          <w:tcPr>
            <w:tcW w:w="5000" w:type="pct"/>
            <w:gridSpan w:val="11"/>
            <w:vMerge/>
            <w:tcBorders>
              <w:bottom w:val="single" w:sz="4" w:space="0" w:color="auto"/>
            </w:tcBorders>
            <w:vAlign w:val="center"/>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p>
        </w:tc>
      </w:tr>
      <w:tr w:rsidR="007D365F" w:rsidRPr="003A05F0" w:rsidTr="00E37FCF">
        <w:trPr>
          <w:cantSplit/>
          <w:jc w:val="center"/>
        </w:trPr>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p>
        </w:tc>
        <w:tc>
          <w:tcPr>
            <w:tcW w:w="1027"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eastAsia="en-GB"/>
              </w:rPr>
              <w:t>TPC (%)</w:t>
            </w:r>
          </w:p>
        </w:tc>
        <w:tc>
          <w:tcPr>
            <w:tcW w:w="998"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eastAsia="en-GB"/>
              </w:rPr>
              <w:t>CPC (%)</w:t>
            </w:r>
          </w:p>
        </w:tc>
        <w:tc>
          <w:tcPr>
            <w:tcW w:w="998"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eastAsia="en-GB"/>
              </w:rPr>
              <w:t>FCPC (%)</w:t>
            </w:r>
          </w:p>
        </w:tc>
        <w:tc>
          <w:tcPr>
            <w:tcW w:w="998"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eastAsia="en-GB"/>
              </w:rPr>
              <w:t>YMPC (%)</w:t>
            </w:r>
          </w:p>
        </w:tc>
      </w:tr>
      <w:tr w:rsidR="007D365F" w:rsidRPr="003A05F0" w:rsidTr="00E37FCF">
        <w:trPr>
          <w:cantSplit/>
          <w:jc w:val="center"/>
        </w:trPr>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Market</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N</w:t>
            </w:r>
          </w:p>
        </w:tc>
        <w:tc>
          <w:tcPr>
            <w:tcW w:w="528"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Int.</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Ext.</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Int.</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Ext.</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Int.</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Ext.</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Int.</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Ext.</w:t>
            </w:r>
          </w:p>
        </w:tc>
      </w:tr>
      <w:tr w:rsidR="007D365F" w:rsidRPr="003A05F0" w:rsidTr="00E37FCF">
        <w:trPr>
          <w:cantSplit/>
          <w:jc w:val="center"/>
        </w:trPr>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proofErr w:type="spellStart"/>
            <w:r w:rsidRPr="003A05F0">
              <w:rPr>
                <w:rFonts w:eastAsia="Times New Roman"/>
                <w:color w:val="000000"/>
                <w:sz w:val="20"/>
                <w:szCs w:val="20"/>
                <w:lang w:eastAsia="en-GB"/>
              </w:rPr>
              <w:t>Madina</w:t>
            </w:r>
            <w:proofErr w:type="spellEnd"/>
          </w:p>
        </w:tc>
        <w:tc>
          <w:tcPr>
            <w:tcW w:w="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19</w:t>
            </w:r>
          </w:p>
        </w:tc>
        <w:tc>
          <w:tcPr>
            <w:tcW w:w="528"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94.7</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92.9</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78.9</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92.9</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78.9</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92.9</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52.6</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92.9</w:t>
            </w:r>
          </w:p>
        </w:tc>
      </w:tr>
      <w:tr w:rsidR="007D365F" w:rsidRPr="003A05F0" w:rsidTr="00E37FCF">
        <w:trPr>
          <w:cantSplit/>
          <w:jc w:val="center"/>
        </w:trPr>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proofErr w:type="spellStart"/>
            <w:r w:rsidRPr="003A05F0">
              <w:rPr>
                <w:rFonts w:eastAsia="Times New Roman"/>
                <w:color w:val="000000"/>
                <w:sz w:val="20"/>
                <w:szCs w:val="20"/>
                <w:lang w:eastAsia="en-GB"/>
              </w:rPr>
              <w:t>Kaneshie</w:t>
            </w:r>
            <w:proofErr w:type="spellEnd"/>
          </w:p>
        </w:tc>
        <w:tc>
          <w:tcPr>
            <w:tcW w:w="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11</w:t>
            </w:r>
          </w:p>
        </w:tc>
        <w:tc>
          <w:tcPr>
            <w:tcW w:w="528"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90.9</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90.9</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72.7</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72.7</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90.9</w:t>
            </w:r>
          </w:p>
        </w:tc>
      </w:tr>
      <w:tr w:rsidR="007D365F" w:rsidRPr="003A05F0" w:rsidTr="00E37FCF">
        <w:trPr>
          <w:cantSplit/>
          <w:jc w:val="center"/>
        </w:trPr>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proofErr w:type="spellStart"/>
            <w:r w:rsidRPr="003A05F0">
              <w:rPr>
                <w:rFonts w:eastAsia="Times New Roman"/>
                <w:color w:val="000000"/>
                <w:sz w:val="20"/>
                <w:szCs w:val="20"/>
                <w:lang w:eastAsia="en-GB"/>
              </w:rPr>
              <w:t>Mallam</w:t>
            </w:r>
            <w:proofErr w:type="spellEnd"/>
            <w:r w:rsidRPr="003A05F0">
              <w:rPr>
                <w:rFonts w:eastAsia="Times New Roman"/>
                <w:color w:val="000000"/>
                <w:sz w:val="20"/>
                <w:szCs w:val="20"/>
                <w:lang w:eastAsia="en-GB"/>
              </w:rPr>
              <w:t xml:space="preserve"> Atta</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w:t>
            </w:r>
          </w:p>
        </w:tc>
        <w:tc>
          <w:tcPr>
            <w:tcW w:w="528"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80.0</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40.0</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0.0</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50.0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50.0</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40.0</w:t>
            </w:r>
          </w:p>
        </w:tc>
      </w:tr>
      <w:tr w:rsidR="007D365F" w:rsidRPr="003A05F0" w:rsidTr="00E37FCF">
        <w:trPr>
          <w:cantSplit/>
          <w:jc w:val="center"/>
        </w:trPr>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Overall</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40</w:t>
            </w:r>
          </w:p>
        </w:tc>
        <w:tc>
          <w:tcPr>
            <w:tcW w:w="528"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91.4</w:t>
            </w:r>
          </w:p>
        </w:tc>
        <w:tc>
          <w:tcPr>
            <w:tcW w:w="499"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82.5</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71.4</w:t>
            </w:r>
          </w:p>
        </w:tc>
        <w:tc>
          <w:tcPr>
            <w:tcW w:w="499"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72.5</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82.9</w:t>
            </w:r>
          </w:p>
        </w:tc>
        <w:tc>
          <w:tcPr>
            <w:tcW w:w="499"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57.5</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77.1</w:t>
            </w:r>
          </w:p>
        </w:tc>
      </w:tr>
      <w:tr w:rsidR="007D365F" w:rsidRPr="003A05F0" w:rsidTr="00E37FCF">
        <w:trPr>
          <w:cantSplit/>
          <w:trHeight w:val="230"/>
          <w:jc w:val="center"/>
        </w:trPr>
        <w:tc>
          <w:tcPr>
            <w:tcW w:w="5000" w:type="pct"/>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p>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Stage of ripeness</w:t>
            </w:r>
          </w:p>
        </w:tc>
      </w:tr>
      <w:tr w:rsidR="007D365F" w:rsidRPr="003A05F0" w:rsidTr="00E37FCF">
        <w:trPr>
          <w:cantSplit/>
          <w:trHeight w:val="230"/>
          <w:jc w:val="center"/>
        </w:trPr>
        <w:tc>
          <w:tcPr>
            <w:tcW w:w="5000" w:type="pct"/>
            <w:gridSpan w:val="11"/>
            <w:vMerge/>
            <w:tcBorders>
              <w:top w:val="single" w:sz="4" w:space="0" w:color="auto"/>
              <w:left w:val="single" w:sz="4" w:space="0" w:color="auto"/>
              <w:bottom w:val="single" w:sz="4" w:space="0" w:color="auto"/>
              <w:right w:val="single" w:sz="4" w:space="0" w:color="auto"/>
            </w:tcBorders>
            <w:vAlign w:val="center"/>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p>
        </w:tc>
      </w:tr>
      <w:tr w:rsidR="007D365F" w:rsidRPr="003A05F0" w:rsidTr="00E37FCF">
        <w:trPr>
          <w:cantSplit/>
          <w:jc w:val="center"/>
        </w:trPr>
        <w:tc>
          <w:tcPr>
            <w:tcW w:w="713"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eastAsia="en-GB"/>
              </w:rPr>
              <w:t>Very ripe</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w:t>
            </w:r>
          </w:p>
        </w:tc>
        <w:tc>
          <w:tcPr>
            <w:tcW w:w="528"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88.9</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88.9</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66.7</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92.3</w:t>
            </w:r>
          </w:p>
        </w:tc>
      </w:tr>
      <w:tr w:rsidR="007D365F" w:rsidRPr="003A05F0" w:rsidTr="00E37FCF">
        <w:trPr>
          <w:cantSplit/>
          <w:jc w:val="center"/>
        </w:trPr>
        <w:tc>
          <w:tcPr>
            <w:tcW w:w="713"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eastAsia="en-GB"/>
              </w:rPr>
              <w:t>Ripe</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15</w:t>
            </w:r>
          </w:p>
        </w:tc>
        <w:tc>
          <w:tcPr>
            <w:tcW w:w="528"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86.7</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75.0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73.3</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75.0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66.7</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75.0</w:t>
            </w:r>
          </w:p>
        </w:tc>
      </w:tr>
      <w:tr w:rsidR="007D365F" w:rsidRPr="003A05F0" w:rsidTr="00E37FCF">
        <w:trPr>
          <w:cantSplit/>
          <w:jc w:val="center"/>
        </w:trPr>
        <w:tc>
          <w:tcPr>
            <w:tcW w:w="713"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eastAsia="en-GB"/>
              </w:rPr>
              <w:t>Unripe</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16</w:t>
            </w:r>
          </w:p>
        </w:tc>
        <w:tc>
          <w:tcPr>
            <w:tcW w:w="528"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75.0</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78.6</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37.5</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42.9</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25.0</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71.4</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37.5</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64.3</w:t>
            </w:r>
          </w:p>
        </w:tc>
      </w:tr>
      <w:tr w:rsidR="007D365F" w:rsidRPr="003A05F0" w:rsidTr="00E37FCF">
        <w:trPr>
          <w:cantSplit/>
          <w:trHeight w:val="230"/>
          <w:jc w:val="center"/>
        </w:trPr>
        <w:tc>
          <w:tcPr>
            <w:tcW w:w="5000" w:type="pct"/>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p>
          <w:p w:rsidR="007D365F" w:rsidRPr="003A05F0" w:rsidRDefault="007D365F" w:rsidP="003A05F0">
            <w:pPr>
              <w:suppressAutoHyphens w:val="0"/>
              <w:snapToGrid w:val="0"/>
              <w:jc w:val="both"/>
              <w:rPr>
                <w:rFonts w:eastAsia="Times New Roman"/>
                <w:b/>
                <w:bCs/>
                <w:color w:val="000000"/>
                <w:sz w:val="20"/>
                <w:szCs w:val="20"/>
                <w:lang w:val="en-GB" w:eastAsia="en-GB"/>
              </w:rPr>
            </w:pPr>
            <w:r w:rsidRPr="003A05F0">
              <w:rPr>
                <w:rFonts w:eastAsia="Times New Roman"/>
                <w:b/>
                <w:bCs/>
                <w:color w:val="000000"/>
                <w:sz w:val="20"/>
                <w:szCs w:val="20"/>
                <w:lang w:val="en-GB" w:eastAsia="en-GB"/>
              </w:rPr>
              <w:t>Scars/punctures</w:t>
            </w:r>
          </w:p>
        </w:tc>
      </w:tr>
      <w:tr w:rsidR="007D365F" w:rsidRPr="003A05F0" w:rsidTr="00E37FCF">
        <w:trPr>
          <w:cantSplit/>
          <w:trHeight w:val="230"/>
          <w:jc w:val="center"/>
        </w:trPr>
        <w:tc>
          <w:tcPr>
            <w:tcW w:w="5000" w:type="pct"/>
            <w:gridSpan w:val="11"/>
            <w:vMerge/>
            <w:tcBorders>
              <w:top w:val="single" w:sz="4" w:space="0" w:color="auto"/>
              <w:left w:val="single" w:sz="4" w:space="0" w:color="auto"/>
              <w:bottom w:val="single" w:sz="4" w:space="0" w:color="auto"/>
              <w:right w:val="single" w:sz="4" w:space="0" w:color="auto"/>
            </w:tcBorders>
            <w:vAlign w:val="center"/>
            <w:hideMark/>
          </w:tcPr>
          <w:p w:rsidR="007D365F" w:rsidRPr="003A05F0" w:rsidRDefault="007D365F" w:rsidP="003A05F0">
            <w:pPr>
              <w:suppressAutoHyphens w:val="0"/>
              <w:snapToGrid w:val="0"/>
              <w:jc w:val="both"/>
              <w:rPr>
                <w:rFonts w:eastAsia="Times New Roman"/>
                <w:b/>
                <w:bCs/>
                <w:color w:val="000000"/>
                <w:sz w:val="20"/>
                <w:szCs w:val="20"/>
                <w:lang w:val="en-GB" w:eastAsia="en-GB"/>
              </w:rPr>
            </w:pPr>
          </w:p>
        </w:tc>
      </w:tr>
      <w:tr w:rsidR="007D365F" w:rsidRPr="003A05F0" w:rsidTr="00E37FCF">
        <w:trPr>
          <w:cantSplit/>
          <w:jc w:val="center"/>
        </w:trPr>
        <w:tc>
          <w:tcPr>
            <w:tcW w:w="713"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eastAsia="en-GB"/>
              </w:rPr>
              <w:t>Numerous</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w:t>
            </w:r>
          </w:p>
        </w:tc>
        <w:tc>
          <w:tcPr>
            <w:tcW w:w="528"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88.9</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88.9</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100.0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66.7</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87.5</w:t>
            </w:r>
          </w:p>
        </w:tc>
      </w:tr>
      <w:tr w:rsidR="007D365F" w:rsidRPr="003A05F0" w:rsidTr="00E37FCF">
        <w:trPr>
          <w:cantSplit/>
          <w:jc w:val="center"/>
        </w:trPr>
        <w:tc>
          <w:tcPr>
            <w:tcW w:w="713"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eastAsia="en-GB"/>
              </w:rPr>
              <w:t>Moderate</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19</w:t>
            </w:r>
          </w:p>
        </w:tc>
        <w:tc>
          <w:tcPr>
            <w:tcW w:w="528"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94.5</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90.0</w:t>
            </w:r>
          </w:p>
        </w:tc>
        <w:tc>
          <w:tcPr>
            <w:tcW w:w="499"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84.2</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63.2</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80.0</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57.9</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80.0</w:t>
            </w:r>
          </w:p>
        </w:tc>
      </w:tr>
      <w:tr w:rsidR="007D365F" w:rsidRPr="003A05F0" w:rsidTr="00E37FCF">
        <w:trPr>
          <w:cantSplit/>
          <w:jc w:val="center"/>
        </w:trPr>
        <w:tc>
          <w:tcPr>
            <w:tcW w:w="713" w:type="pct"/>
            <w:gridSpan w:val="2"/>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eastAsia="en-GB"/>
              </w:rPr>
              <w:t>Few</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12</w:t>
            </w:r>
          </w:p>
        </w:tc>
        <w:tc>
          <w:tcPr>
            <w:tcW w:w="528"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75.0</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88.7</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25.0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52.9</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25.0</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76.5</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41.7</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7D365F" w:rsidRPr="003A05F0" w:rsidRDefault="007D365F" w:rsidP="003A05F0">
            <w:pPr>
              <w:suppressAutoHyphens w:val="0"/>
              <w:snapToGrid w:val="0"/>
              <w:jc w:val="both"/>
              <w:rPr>
                <w:rFonts w:eastAsia="Times New Roman"/>
                <w:color w:val="000000"/>
                <w:sz w:val="20"/>
                <w:szCs w:val="20"/>
                <w:lang w:val="en-GB" w:eastAsia="en-GB"/>
              </w:rPr>
            </w:pPr>
            <w:r w:rsidRPr="003A05F0">
              <w:rPr>
                <w:rFonts w:eastAsia="Times New Roman"/>
                <w:color w:val="000000"/>
                <w:sz w:val="20"/>
                <w:szCs w:val="20"/>
                <w:lang w:val="en-GB" w:eastAsia="en-GB"/>
              </w:rPr>
              <w:t>70.6</w:t>
            </w:r>
          </w:p>
        </w:tc>
      </w:tr>
    </w:tbl>
    <w:p w:rsidR="00EC1D70" w:rsidRPr="003A05F0" w:rsidRDefault="00EC1D70" w:rsidP="003A05F0">
      <w:pPr>
        <w:suppressAutoHyphens w:val="0"/>
        <w:autoSpaceDE w:val="0"/>
        <w:autoSpaceDN w:val="0"/>
        <w:adjustRightInd w:val="0"/>
        <w:snapToGrid w:val="0"/>
        <w:ind w:firstLine="425"/>
        <w:jc w:val="both"/>
        <w:rPr>
          <w:b/>
          <w:sz w:val="20"/>
          <w:szCs w:val="20"/>
        </w:rPr>
      </w:pPr>
    </w:p>
    <w:tbl>
      <w:tblPr>
        <w:tblW w:w="5000" w:type="pct"/>
        <w:jc w:val="center"/>
        <w:tblBorders>
          <w:bottom w:val="single" w:sz="4" w:space="0" w:color="auto"/>
        </w:tblBorders>
        <w:tblLook w:val="04A0"/>
      </w:tblPr>
      <w:tblGrid>
        <w:gridCol w:w="1582"/>
        <w:gridCol w:w="1469"/>
        <w:gridCol w:w="1438"/>
        <w:gridCol w:w="1542"/>
        <w:gridCol w:w="1693"/>
        <w:gridCol w:w="1852"/>
      </w:tblGrid>
      <w:tr w:rsidR="00C878B1" w:rsidRPr="003A05F0" w:rsidTr="00E37FCF">
        <w:trPr>
          <w:cantSplit/>
          <w:jc w:val="center"/>
        </w:trPr>
        <w:tc>
          <w:tcPr>
            <w:tcW w:w="5000" w:type="pct"/>
            <w:gridSpan w:val="6"/>
            <w:tcBorders>
              <w:bottom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Table 3: Microbial Load of Internal Tissues and External surface of Fruit at Different Stages of</w:t>
            </w:r>
            <w:r w:rsidR="00E37FCF">
              <w:rPr>
                <w:color w:val="000000"/>
                <w:sz w:val="20"/>
                <w:szCs w:val="20"/>
              </w:rPr>
              <w:t xml:space="preserve"> </w:t>
            </w:r>
            <w:r w:rsidRPr="003A05F0">
              <w:rPr>
                <w:color w:val="000000"/>
                <w:sz w:val="20"/>
                <w:szCs w:val="20"/>
              </w:rPr>
              <w:t>Ripeness</w:t>
            </w:r>
          </w:p>
        </w:tc>
      </w:tr>
      <w:tr w:rsidR="00C878B1" w:rsidRPr="003A05F0" w:rsidTr="00E37FCF">
        <w:trPr>
          <w:cantSplit/>
          <w:jc w:val="center"/>
        </w:trPr>
        <w:tc>
          <w:tcPr>
            <w:tcW w:w="826" w:type="pct"/>
            <w:vMerge w:val="restar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b/>
                <w:color w:val="000000"/>
                <w:sz w:val="20"/>
                <w:szCs w:val="20"/>
              </w:rPr>
            </w:pPr>
          </w:p>
          <w:p w:rsidR="00C878B1" w:rsidRPr="003A05F0" w:rsidRDefault="00C878B1" w:rsidP="003A05F0">
            <w:pPr>
              <w:suppressAutoHyphens w:val="0"/>
              <w:autoSpaceDE w:val="0"/>
              <w:autoSpaceDN w:val="0"/>
              <w:adjustRightInd w:val="0"/>
              <w:snapToGrid w:val="0"/>
              <w:contextualSpacing/>
              <w:jc w:val="both"/>
              <w:rPr>
                <w:b/>
                <w:color w:val="000000"/>
                <w:sz w:val="20"/>
                <w:szCs w:val="20"/>
              </w:rPr>
            </w:pPr>
          </w:p>
          <w:p w:rsidR="00C878B1" w:rsidRPr="003A05F0" w:rsidRDefault="00C878B1" w:rsidP="003A05F0">
            <w:pPr>
              <w:suppressAutoHyphens w:val="0"/>
              <w:autoSpaceDE w:val="0"/>
              <w:autoSpaceDN w:val="0"/>
              <w:adjustRightInd w:val="0"/>
              <w:snapToGrid w:val="0"/>
              <w:contextualSpacing/>
              <w:jc w:val="both"/>
              <w:rPr>
                <w:b/>
                <w:color w:val="000000"/>
                <w:sz w:val="20"/>
                <w:szCs w:val="20"/>
              </w:rPr>
            </w:pPr>
          </w:p>
          <w:p w:rsidR="00C878B1" w:rsidRPr="003A05F0" w:rsidRDefault="00C878B1" w:rsidP="003A05F0">
            <w:pPr>
              <w:suppressAutoHyphens w:val="0"/>
              <w:autoSpaceDE w:val="0"/>
              <w:autoSpaceDN w:val="0"/>
              <w:adjustRightInd w:val="0"/>
              <w:snapToGrid w:val="0"/>
              <w:contextualSpacing/>
              <w:jc w:val="both"/>
              <w:rPr>
                <w:b/>
                <w:color w:val="000000"/>
                <w:sz w:val="20"/>
                <w:szCs w:val="20"/>
              </w:rPr>
            </w:pPr>
            <w:r w:rsidRPr="003A05F0">
              <w:rPr>
                <w:b/>
                <w:color w:val="000000"/>
                <w:sz w:val="20"/>
                <w:szCs w:val="20"/>
              </w:rPr>
              <w:t>Internal</w:t>
            </w:r>
          </w:p>
        </w:tc>
        <w:tc>
          <w:tcPr>
            <w:tcW w:w="7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b/>
                <w:color w:val="000000"/>
                <w:sz w:val="20"/>
                <w:szCs w:val="20"/>
              </w:rPr>
            </w:pPr>
          </w:p>
        </w:tc>
        <w:tc>
          <w:tcPr>
            <w:tcW w:w="751"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b/>
                <w:color w:val="000000"/>
                <w:sz w:val="20"/>
                <w:szCs w:val="20"/>
              </w:rPr>
            </w:pPr>
            <w:r w:rsidRPr="003A05F0">
              <w:rPr>
                <w:b/>
                <w:color w:val="000000"/>
                <w:sz w:val="20"/>
                <w:szCs w:val="20"/>
              </w:rPr>
              <w:t>TPC</w:t>
            </w:r>
          </w:p>
        </w:tc>
        <w:tc>
          <w:tcPr>
            <w:tcW w:w="805"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b/>
                <w:color w:val="000000"/>
                <w:sz w:val="20"/>
                <w:szCs w:val="20"/>
              </w:rPr>
            </w:pPr>
            <w:r w:rsidRPr="003A05F0">
              <w:rPr>
                <w:b/>
                <w:color w:val="000000"/>
                <w:sz w:val="20"/>
                <w:szCs w:val="20"/>
              </w:rPr>
              <w:t>CPC</w:t>
            </w:r>
          </w:p>
        </w:tc>
        <w:tc>
          <w:tcPr>
            <w:tcW w:w="884"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b/>
                <w:color w:val="000000"/>
                <w:sz w:val="20"/>
                <w:szCs w:val="20"/>
              </w:rPr>
            </w:pPr>
            <w:r w:rsidRPr="003A05F0">
              <w:rPr>
                <w:b/>
                <w:color w:val="000000"/>
                <w:sz w:val="20"/>
                <w:szCs w:val="20"/>
              </w:rPr>
              <w:t>FCPC</w:t>
            </w:r>
          </w:p>
        </w:tc>
        <w:tc>
          <w:tcPr>
            <w:tcW w:w="9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b/>
                <w:color w:val="000000"/>
                <w:sz w:val="20"/>
                <w:szCs w:val="20"/>
              </w:rPr>
            </w:pPr>
            <w:r w:rsidRPr="003A05F0">
              <w:rPr>
                <w:b/>
                <w:color w:val="000000"/>
                <w:sz w:val="20"/>
                <w:szCs w:val="20"/>
              </w:rPr>
              <w:t>YMPC</w:t>
            </w:r>
          </w:p>
        </w:tc>
      </w:tr>
      <w:tr w:rsidR="00C878B1" w:rsidRPr="003A05F0" w:rsidTr="00E37FCF">
        <w:trPr>
          <w:cantSplit/>
          <w:jc w:val="center"/>
        </w:trPr>
        <w:tc>
          <w:tcPr>
            <w:tcW w:w="826" w:type="pct"/>
            <w:vMerge/>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b/>
                <w:color w:val="000000"/>
                <w:sz w:val="20"/>
                <w:szCs w:val="20"/>
              </w:rPr>
            </w:pPr>
          </w:p>
        </w:tc>
        <w:tc>
          <w:tcPr>
            <w:tcW w:w="7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b/>
                <w:color w:val="000000"/>
                <w:sz w:val="20"/>
                <w:szCs w:val="20"/>
              </w:rPr>
            </w:pPr>
            <w:r w:rsidRPr="003A05F0">
              <w:rPr>
                <w:b/>
                <w:color w:val="000000"/>
                <w:sz w:val="20"/>
                <w:szCs w:val="20"/>
              </w:rPr>
              <w:t>Ripeness</w:t>
            </w:r>
          </w:p>
        </w:tc>
        <w:tc>
          <w:tcPr>
            <w:tcW w:w="3407" w:type="pct"/>
            <w:gridSpan w:val="4"/>
            <w:tcBorders>
              <w:top w:val="single" w:sz="4" w:space="0" w:color="auto"/>
              <w:left w:val="single" w:sz="4" w:space="0" w:color="auto"/>
              <w:bottom w:val="single" w:sz="4" w:space="0" w:color="auto"/>
              <w:right w:val="single" w:sz="4" w:space="0" w:color="auto"/>
            </w:tcBorders>
          </w:tcPr>
          <w:p w:rsidR="00C878B1" w:rsidRPr="003A05F0" w:rsidRDefault="00C878B1" w:rsidP="003A05F0">
            <w:pPr>
              <w:tabs>
                <w:tab w:val="left" w:pos="390"/>
                <w:tab w:val="center" w:pos="3295"/>
              </w:tabs>
              <w:suppressAutoHyphens w:val="0"/>
              <w:autoSpaceDE w:val="0"/>
              <w:autoSpaceDN w:val="0"/>
              <w:adjustRightInd w:val="0"/>
              <w:snapToGrid w:val="0"/>
              <w:jc w:val="both"/>
              <w:rPr>
                <w:b/>
                <w:color w:val="000000"/>
                <w:sz w:val="20"/>
                <w:szCs w:val="20"/>
              </w:rPr>
            </w:pPr>
            <w:r w:rsidRPr="003A05F0">
              <w:rPr>
                <w:b/>
                <w:color w:val="000000"/>
                <w:sz w:val="20"/>
                <w:szCs w:val="20"/>
              </w:rPr>
              <w:t xml:space="preserve">---------------------Mean(±SEM) </w:t>
            </w:r>
            <w:proofErr w:type="spellStart"/>
            <w:r w:rsidRPr="003A05F0">
              <w:rPr>
                <w:b/>
                <w:color w:val="000000"/>
                <w:sz w:val="20"/>
                <w:szCs w:val="20"/>
              </w:rPr>
              <w:t>cfu</w:t>
            </w:r>
            <w:proofErr w:type="spellEnd"/>
            <w:r w:rsidRPr="003A05F0">
              <w:rPr>
                <w:b/>
                <w:color w:val="000000"/>
                <w:sz w:val="20"/>
                <w:szCs w:val="20"/>
              </w:rPr>
              <w:t xml:space="preserve"> mL</w:t>
            </w:r>
            <w:r w:rsidRPr="003A05F0">
              <w:rPr>
                <w:b/>
                <w:color w:val="000000"/>
                <w:sz w:val="20"/>
                <w:szCs w:val="20"/>
                <w:vertAlign w:val="superscript"/>
              </w:rPr>
              <w:t>-1</w:t>
            </w:r>
            <w:r w:rsidRPr="003A05F0">
              <w:rPr>
                <w:b/>
                <w:color w:val="000000"/>
                <w:sz w:val="20"/>
                <w:szCs w:val="20"/>
              </w:rPr>
              <w:t>----------------------</w:t>
            </w:r>
          </w:p>
        </w:tc>
      </w:tr>
      <w:tr w:rsidR="00C878B1" w:rsidRPr="003A05F0" w:rsidTr="00E37FCF">
        <w:trPr>
          <w:cantSplit/>
          <w:jc w:val="center"/>
        </w:trPr>
        <w:tc>
          <w:tcPr>
            <w:tcW w:w="826" w:type="pct"/>
            <w:vMerge/>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p>
        </w:tc>
        <w:tc>
          <w:tcPr>
            <w:tcW w:w="7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Unripe</w:t>
            </w:r>
          </w:p>
        </w:tc>
        <w:tc>
          <w:tcPr>
            <w:tcW w:w="751"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5.8×10</w:t>
            </w:r>
            <w:r w:rsidRPr="003A05F0">
              <w:rPr>
                <w:color w:val="000000"/>
                <w:sz w:val="20"/>
                <w:szCs w:val="20"/>
                <w:vertAlign w:val="superscript"/>
              </w:rPr>
              <w:t>2</w:t>
            </w:r>
          </w:p>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(1.7×10</w:t>
            </w:r>
            <w:r w:rsidRPr="003A05F0">
              <w:rPr>
                <w:color w:val="000000"/>
                <w:sz w:val="20"/>
                <w:szCs w:val="20"/>
                <w:vertAlign w:val="superscript"/>
              </w:rPr>
              <w:t>2</w:t>
            </w:r>
            <w:r w:rsidRPr="003A05F0">
              <w:rPr>
                <w:color w:val="000000"/>
                <w:sz w:val="20"/>
                <w:szCs w:val="20"/>
              </w:rPr>
              <w:t>)</w:t>
            </w:r>
          </w:p>
        </w:tc>
        <w:tc>
          <w:tcPr>
            <w:tcW w:w="805"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snapToGrid w:val="0"/>
              <w:jc w:val="both"/>
              <w:rPr>
                <w:color w:val="000000"/>
                <w:sz w:val="20"/>
                <w:szCs w:val="20"/>
              </w:rPr>
            </w:pPr>
            <w:r w:rsidRPr="003A05F0">
              <w:rPr>
                <w:color w:val="000000"/>
                <w:sz w:val="20"/>
                <w:szCs w:val="20"/>
              </w:rPr>
              <w:t>1. 6×10</w:t>
            </w:r>
            <w:r w:rsidRPr="003A05F0">
              <w:rPr>
                <w:color w:val="000000"/>
                <w:sz w:val="20"/>
                <w:szCs w:val="20"/>
                <w:vertAlign w:val="superscript"/>
              </w:rPr>
              <w:t>2</w:t>
            </w:r>
          </w:p>
          <w:p w:rsidR="00C878B1" w:rsidRPr="003A05F0" w:rsidRDefault="00C878B1" w:rsidP="003A05F0">
            <w:pPr>
              <w:suppressAutoHyphens w:val="0"/>
              <w:snapToGrid w:val="0"/>
              <w:jc w:val="both"/>
              <w:rPr>
                <w:color w:val="000000"/>
                <w:sz w:val="20"/>
                <w:szCs w:val="20"/>
              </w:rPr>
            </w:pPr>
            <w:r w:rsidRPr="003A05F0">
              <w:rPr>
                <w:color w:val="000000"/>
                <w:sz w:val="20"/>
                <w:szCs w:val="20"/>
              </w:rPr>
              <w:t>(8.7×10</w:t>
            </w:r>
            <w:r w:rsidRPr="003A05F0">
              <w:rPr>
                <w:color w:val="000000"/>
                <w:sz w:val="20"/>
                <w:szCs w:val="20"/>
                <w:vertAlign w:val="superscript"/>
              </w:rPr>
              <w:t>1</w:t>
            </w:r>
            <w:r w:rsidRPr="003A05F0">
              <w:rPr>
                <w:color w:val="000000"/>
                <w:sz w:val="20"/>
                <w:szCs w:val="20"/>
              </w:rPr>
              <w:t>)</w:t>
            </w:r>
          </w:p>
        </w:tc>
        <w:tc>
          <w:tcPr>
            <w:tcW w:w="884"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8.8×10</w:t>
            </w:r>
            <w:r w:rsidRPr="003A05F0">
              <w:rPr>
                <w:color w:val="000000"/>
                <w:sz w:val="20"/>
                <w:szCs w:val="20"/>
                <w:vertAlign w:val="superscript"/>
              </w:rPr>
              <w:t>1</w:t>
            </w:r>
            <w:r w:rsidRPr="003A05F0">
              <w:rPr>
                <w:color w:val="000000"/>
                <w:sz w:val="20"/>
                <w:szCs w:val="20"/>
              </w:rPr>
              <w:t xml:space="preserve"> (5.2×10</w:t>
            </w:r>
            <w:r w:rsidRPr="003A05F0">
              <w:rPr>
                <w:color w:val="000000"/>
                <w:sz w:val="20"/>
                <w:szCs w:val="20"/>
                <w:vertAlign w:val="superscript"/>
              </w:rPr>
              <w:t>1</w:t>
            </w:r>
            <w:r w:rsidRPr="003A05F0">
              <w:rPr>
                <w:color w:val="000000"/>
                <w:sz w:val="20"/>
                <w:szCs w:val="20"/>
              </w:rPr>
              <w:t>)</w:t>
            </w:r>
          </w:p>
        </w:tc>
        <w:tc>
          <w:tcPr>
            <w:tcW w:w="9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1.7×10</w:t>
            </w:r>
            <w:r w:rsidRPr="003A05F0">
              <w:rPr>
                <w:color w:val="000000"/>
                <w:sz w:val="20"/>
                <w:szCs w:val="20"/>
                <w:vertAlign w:val="superscript"/>
              </w:rPr>
              <w:t>2</w:t>
            </w:r>
          </w:p>
          <w:p w:rsidR="00C878B1" w:rsidRPr="003A05F0" w:rsidRDefault="00C878B1" w:rsidP="003A05F0">
            <w:pPr>
              <w:suppressAutoHyphens w:val="0"/>
              <w:autoSpaceDE w:val="0"/>
              <w:autoSpaceDN w:val="0"/>
              <w:adjustRightInd w:val="0"/>
              <w:snapToGrid w:val="0"/>
              <w:jc w:val="both"/>
              <w:rPr>
                <w:rFonts w:hint="eastAsia"/>
                <w:color w:val="000000"/>
                <w:sz w:val="20"/>
                <w:szCs w:val="20"/>
                <w:lang w:eastAsia="zh-CN"/>
              </w:rPr>
            </w:pPr>
            <w:r w:rsidRPr="003A05F0">
              <w:rPr>
                <w:color w:val="000000"/>
                <w:sz w:val="20"/>
                <w:szCs w:val="20"/>
              </w:rPr>
              <w:t>(8.8×10</w:t>
            </w:r>
            <w:r w:rsidRPr="003A05F0">
              <w:rPr>
                <w:color w:val="000000"/>
                <w:sz w:val="20"/>
                <w:szCs w:val="20"/>
                <w:vertAlign w:val="superscript"/>
              </w:rPr>
              <w:t>1</w:t>
            </w:r>
            <w:r w:rsidRPr="003A05F0">
              <w:rPr>
                <w:color w:val="000000"/>
                <w:sz w:val="20"/>
                <w:szCs w:val="20"/>
              </w:rPr>
              <w:t>)</w:t>
            </w:r>
          </w:p>
        </w:tc>
      </w:tr>
      <w:tr w:rsidR="00C878B1" w:rsidRPr="003A05F0" w:rsidTr="00E37FCF">
        <w:trPr>
          <w:cantSplit/>
          <w:jc w:val="center"/>
        </w:trPr>
        <w:tc>
          <w:tcPr>
            <w:tcW w:w="826" w:type="pct"/>
            <w:vMerge/>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p>
        </w:tc>
        <w:tc>
          <w:tcPr>
            <w:tcW w:w="7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Ripe</w:t>
            </w:r>
          </w:p>
        </w:tc>
        <w:tc>
          <w:tcPr>
            <w:tcW w:w="751"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3.6×10</w:t>
            </w:r>
            <w:r w:rsidRPr="003A05F0">
              <w:rPr>
                <w:color w:val="000000"/>
                <w:sz w:val="20"/>
                <w:szCs w:val="20"/>
                <w:vertAlign w:val="superscript"/>
              </w:rPr>
              <w:t>3</w:t>
            </w:r>
          </w:p>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(6.9×10</w:t>
            </w:r>
            <w:r w:rsidRPr="003A05F0">
              <w:rPr>
                <w:color w:val="000000"/>
                <w:sz w:val="20"/>
                <w:szCs w:val="20"/>
                <w:vertAlign w:val="superscript"/>
              </w:rPr>
              <w:t>2</w:t>
            </w:r>
            <w:r w:rsidRPr="003A05F0">
              <w:rPr>
                <w:color w:val="000000"/>
                <w:sz w:val="20"/>
                <w:szCs w:val="20"/>
              </w:rPr>
              <w:t xml:space="preserve"> )</w:t>
            </w:r>
          </w:p>
        </w:tc>
        <w:tc>
          <w:tcPr>
            <w:tcW w:w="805"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snapToGrid w:val="0"/>
              <w:jc w:val="both"/>
              <w:rPr>
                <w:color w:val="000000"/>
                <w:sz w:val="20"/>
                <w:szCs w:val="20"/>
              </w:rPr>
            </w:pPr>
            <w:r w:rsidRPr="003A05F0">
              <w:rPr>
                <w:color w:val="000000"/>
                <w:sz w:val="20"/>
                <w:szCs w:val="20"/>
              </w:rPr>
              <w:t>1.4×10</w:t>
            </w:r>
            <w:r w:rsidRPr="003A05F0">
              <w:rPr>
                <w:color w:val="000000"/>
                <w:sz w:val="20"/>
                <w:szCs w:val="20"/>
                <w:vertAlign w:val="superscript"/>
              </w:rPr>
              <w:t>3</w:t>
            </w:r>
          </w:p>
          <w:p w:rsidR="00C878B1" w:rsidRPr="003A05F0" w:rsidRDefault="00C878B1" w:rsidP="003A05F0">
            <w:pPr>
              <w:suppressAutoHyphens w:val="0"/>
              <w:snapToGrid w:val="0"/>
              <w:jc w:val="both"/>
              <w:rPr>
                <w:color w:val="000000"/>
                <w:sz w:val="20"/>
                <w:szCs w:val="20"/>
              </w:rPr>
            </w:pPr>
            <w:r w:rsidRPr="003A05F0">
              <w:rPr>
                <w:color w:val="000000"/>
                <w:sz w:val="20"/>
                <w:szCs w:val="20"/>
              </w:rPr>
              <w:t>(3.8×10</w:t>
            </w:r>
            <w:r w:rsidRPr="003A05F0">
              <w:rPr>
                <w:color w:val="000000"/>
                <w:sz w:val="20"/>
                <w:szCs w:val="20"/>
                <w:vertAlign w:val="superscript"/>
              </w:rPr>
              <w:t>2</w:t>
            </w:r>
            <w:r w:rsidRPr="003A05F0">
              <w:rPr>
                <w:color w:val="000000"/>
                <w:sz w:val="20"/>
                <w:szCs w:val="20"/>
              </w:rPr>
              <w:t>)</w:t>
            </w:r>
          </w:p>
        </w:tc>
        <w:tc>
          <w:tcPr>
            <w:tcW w:w="884"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6.9×10</w:t>
            </w:r>
            <w:r w:rsidRPr="003A05F0">
              <w:rPr>
                <w:color w:val="000000"/>
                <w:sz w:val="20"/>
                <w:szCs w:val="20"/>
                <w:vertAlign w:val="superscript"/>
              </w:rPr>
              <w:t>2</w:t>
            </w:r>
            <w:r w:rsidRPr="003A05F0">
              <w:rPr>
                <w:color w:val="000000"/>
                <w:sz w:val="20"/>
                <w:szCs w:val="20"/>
              </w:rPr>
              <w:t xml:space="preserve"> (1.5×10</w:t>
            </w:r>
            <w:r w:rsidRPr="003A05F0">
              <w:rPr>
                <w:color w:val="000000"/>
                <w:sz w:val="20"/>
                <w:szCs w:val="20"/>
                <w:vertAlign w:val="superscript"/>
              </w:rPr>
              <w:t>2</w:t>
            </w:r>
            <w:r w:rsidRPr="003A05F0">
              <w:rPr>
                <w:color w:val="000000"/>
                <w:sz w:val="20"/>
                <w:szCs w:val="20"/>
              </w:rPr>
              <w:t>)</w:t>
            </w:r>
          </w:p>
        </w:tc>
        <w:tc>
          <w:tcPr>
            <w:tcW w:w="9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rFonts w:hint="eastAsia"/>
                <w:color w:val="000000"/>
                <w:sz w:val="20"/>
                <w:szCs w:val="20"/>
                <w:lang w:eastAsia="zh-CN"/>
              </w:rPr>
            </w:pPr>
            <w:r w:rsidRPr="003A05F0">
              <w:rPr>
                <w:color w:val="000000"/>
                <w:sz w:val="20"/>
                <w:szCs w:val="20"/>
              </w:rPr>
              <w:t>3.87×10</w:t>
            </w:r>
            <w:r w:rsidRPr="003A05F0">
              <w:rPr>
                <w:color w:val="000000"/>
                <w:sz w:val="20"/>
                <w:szCs w:val="20"/>
                <w:vertAlign w:val="superscript"/>
              </w:rPr>
              <w:t>2</w:t>
            </w:r>
            <w:r w:rsidRPr="003A05F0">
              <w:rPr>
                <w:color w:val="000000"/>
                <w:sz w:val="20"/>
                <w:szCs w:val="20"/>
              </w:rPr>
              <w:t xml:space="preserve"> (9.7×10</w:t>
            </w:r>
            <w:r w:rsidRPr="003A05F0">
              <w:rPr>
                <w:color w:val="000000"/>
                <w:sz w:val="20"/>
                <w:szCs w:val="20"/>
                <w:vertAlign w:val="superscript"/>
              </w:rPr>
              <w:t>1</w:t>
            </w:r>
            <w:r w:rsidRPr="003A05F0">
              <w:rPr>
                <w:color w:val="000000"/>
                <w:sz w:val="20"/>
                <w:szCs w:val="20"/>
              </w:rPr>
              <w:t>)</w:t>
            </w:r>
          </w:p>
        </w:tc>
      </w:tr>
      <w:tr w:rsidR="00C878B1" w:rsidRPr="003A05F0" w:rsidTr="00E37FCF">
        <w:trPr>
          <w:cantSplit/>
          <w:jc w:val="center"/>
        </w:trPr>
        <w:tc>
          <w:tcPr>
            <w:tcW w:w="826" w:type="pct"/>
            <w:vMerge/>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p>
        </w:tc>
        <w:tc>
          <w:tcPr>
            <w:tcW w:w="7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Very Ripe</w:t>
            </w:r>
          </w:p>
        </w:tc>
        <w:tc>
          <w:tcPr>
            <w:tcW w:w="751"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7.3×10</w:t>
            </w:r>
            <w:r w:rsidRPr="003A05F0">
              <w:rPr>
                <w:color w:val="000000"/>
                <w:sz w:val="20"/>
                <w:szCs w:val="20"/>
                <w:vertAlign w:val="superscript"/>
              </w:rPr>
              <w:t>3</w:t>
            </w:r>
          </w:p>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(1.6×10</w:t>
            </w:r>
            <w:r w:rsidRPr="003A05F0">
              <w:rPr>
                <w:color w:val="000000"/>
                <w:sz w:val="20"/>
                <w:szCs w:val="20"/>
                <w:vertAlign w:val="superscript"/>
              </w:rPr>
              <w:t>3</w:t>
            </w:r>
            <w:r w:rsidRPr="003A05F0">
              <w:rPr>
                <w:color w:val="000000"/>
                <w:sz w:val="20"/>
                <w:szCs w:val="20"/>
              </w:rPr>
              <w:t>)</w:t>
            </w:r>
          </w:p>
        </w:tc>
        <w:tc>
          <w:tcPr>
            <w:tcW w:w="805"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snapToGrid w:val="0"/>
              <w:jc w:val="both"/>
              <w:rPr>
                <w:color w:val="000000"/>
                <w:sz w:val="20"/>
                <w:szCs w:val="20"/>
              </w:rPr>
            </w:pPr>
            <w:r w:rsidRPr="003A05F0">
              <w:rPr>
                <w:color w:val="000000"/>
                <w:sz w:val="20"/>
                <w:szCs w:val="20"/>
              </w:rPr>
              <w:t>5.0×10</w:t>
            </w:r>
            <w:r w:rsidRPr="003A05F0">
              <w:rPr>
                <w:color w:val="000000"/>
                <w:sz w:val="20"/>
                <w:szCs w:val="20"/>
                <w:vertAlign w:val="superscript"/>
              </w:rPr>
              <w:t>3</w:t>
            </w:r>
          </w:p>
          <w:p w:rsidR="00C878B1" w:rsidRPr="003A05F0" w:rsidRDefault="00C878B1" w:rsidP="003A05F0">
            <w:pPr>
              <w:suppressAutoHyphens w:val="0"/>
              <w:snapToGrid w:val="0"/>
              <w:jc w:val="both"/>
              <w:rPr>
                <w:color w:val="000000"/>
                <w:sz w:val="20"/>
                <w:szCs w:val="20"/>
              </w:rPr>
            </w:pPr>
            <w:r w:rsidRPr="003A05F0">
              <w:rPr>
                <w:color w:val="000000"/>
                <w:sz w:val="20"/>
                <w:szCs w:val="20"/>
              </w:rPr>
              <w:t>(1.7×10</w:t>
            </w:r>
            <w:r w:rsidRPr="003A05F0">
              <w:rPr>
                <w:color w:val="000000"/>
                <w:sz w:val="20"/>
                <w:szCs w:val="20"/>
                <w:vertAlign w:val="superscript"/>
              </w:rPr>
              <w:t>3</w:t>
            </w:r>
            <w:r w:rsidRPr="003A05F0">
              <w:rPr>
                <w:color w:val="000000"/>
                <w:sz w:val="20"/>
                <w:szCs w:val="20"/>
              </w:rPr>
              <w:t>)</w:t>
            </w:r>
          </w:p>
        </w:tc>
        <w:tc>
          <w:tcPr>
            <w:tcW w:w="884"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3.2×10</w:t>
            </w:r>
            <w:r w:rsidRPr="003A05F0">
              <w:rPr>
                <w:color w:val="000000"/>
                <w:sz w:val="20"/>
                <w:szCs w:val="20"/>
                <w:vertAlign w:val="superscript"/>
              </w:rPr>
              <w:t>3</w:t>
            </w:r>
            <w:r w:rsidRPr="003A05F0">
              <w:rPr>
                <w:color w:val="000000"/>
                <w:sz w:val="20"/>
                <w:szCs w:val="20"/>
              </w:rPr>
              <w:t xml:space="preserve"> (1.0×10</w:t>
            </w:r>
            <w:r w:rsidRPr="003A05F0">
              <w:rPr>
                <w:color w:val="000000"/>
                <w:sz w:val="20"/>
                <w:szCs w:val="20"/>
                <w:vertAlign w:val="superscript"/>
              </w:rPr>
              <w:t>3</w:t>
            </w:r>
            <w:r w:rsidRPr="003A05F0">
              <w:rPr>
                <w:color w:val="000000"/>
                <w:sz w:val="20"/>
                <w:szCs w:val="20"/>
              </w:rPr>
              <w:t>)</w:t>
            </w:r>
          </w:p>
        </w:tc>
        <w:tc>
          <w:tcPr>
            <w:tcW w:w="9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2.3 ×10</w:t>
            </w:r>
            <w:r w:rsidRPr="003A05F0">
              <w:rPr>
                <w:color w:val="000000"/>
                <w:sz w:val="20"/>
                <w:szCs w:val="20"/>
                <w:vertAlign w:val="superscript"/>
              </w:rPr>
              <w:t>3</w:t>
            </w:r>
            <w:r w:rsidRPr="003A05F0">
              <w:rPr>
                <w:color w:val="000000"/>
                <w:sz w:val="20"/>
                <w:szCs w:val="20"/>
              </w:rPr>
              <w:t xml:space="preserve"> (9.21×10</w:t>
            </w:r>
            <w:r w:rsidRPr="003A05F0">
              <w:rPr>
                <w:color w:val="000000"/>
                <w:sz w:val="20"/>
                <w:szCs w:val="20"/>
                <w:vertAlign w:val="superscript"/>
              </w:rPr>
              <w:t>2</w:t>
            </w:r>
            <w:r w:rsidRPr="003A05F0">
              <w:rPr>
                <w:color w:val="000000"/>
                <w:sz w:val="20"/>
                <w:szCs w:val="20"/>
              </w:rPr>
              <w:t>)</w:t>
            </w:r>
          </w:p>
        </w:tc>
      </w:tr>
      <w:tr w:rsidR="00C878B1" w:rsidRPr="003A05F0" w:rsidTr="00E37FCF">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826" w:type="pct"/>
            <w:tcBorders>
              <w:top w:val="nil"/>
              <w:left w:val="nil"/>
              <w:bottom w:val="single" w:sz="4" w:space="0" w:color="auto"/>
              <w:right w:val="nil"/>
            </w:tcBorders>
          </w:tcPr>
          <w:p w:rsidR="00C878B1" w:rsidRPr="003A05F0" w:rsidRDefault="00C878B1" w:rsidP="003A05F0">
            <w:pPr>
              <w:suppressAutoHyphens w:val="0"/>
              <w:autoSpaceDE w:val="0"/>
              <w:autoSpaceDN w:val="0"/>
              <w:adjustRightInd w:val="0"/>
              <w:snapToGrid w:val="0"/>
              <w:jc w:val="both"/>
              <w:rPr>
                <w:b/>
                <w:color w:val="000000"/>
                <w:sz w:val="20"/>
                <w:szCs w:val="20"/>
              </w:rPr>
            </w:pPr>
          </w:p>
        </w:tc>
        <w:tc>
          <w:tcPr>
            <w:tcW w:w="767" w:type="pct"/>
            <w:tcBorders>
              <w:top w:val="nil"/>
              <w:left w:val="nil"/>
              <w:bottom w:val="single" w:sz="4" w:space="0" w:color="auto"/>
              <w:right w:val="nil"/>
            </w:tcBorders>
          </w:tcPr>
          <w:p w:rsidR="00C878B1" w:rsidRPr="003A05F0" w:rsidRDefault="00C878B1" w:rsidP="003A05F0">
            <w:pPr>
              <w:suppressAutoHyphens w:val="0"/>
              <w:autoSpaceDE w:val="0"/>
              <w:autoSpaceDN w:val="0"/>
              <w:adjustRightInd w:val="0"/>
              <w:snapToGrid w:val="0"/>
              <w:jc w:val="both"/>
              <w:rPr>
                <w:color w:val="000000"/>
                <w:sz w:val="20"/>
                <w:szCs w:val="20"/>
              </w:rPr>
            </w:pPr>
          </w:p>
        </w:tc>
        <w:tc>
          <w:tcPr>
            <w:tcW w:w="3407" w:type="pct"/>
            <w:gridSpan w:val="4"/>
            <w:tcBorders>
              <w:top w:val="nil"/>
              <w:left w:val="nil"/>
              <w:bottom w:val="single" w:sz="4" w:space="0" w:color="auto"/>
              <w:right w:val="nil"/>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b/>
                <w:color w:val="000000"/>
                <w:sz w:val="20"/>
                <w:szCs w:val="20"/>
              </w:rPr>
              <w:t xml:space="preserve">----------------------Mean(±SEM) </w:t>
            </w:r>
            <w:proofErr w:type="spellStart"/>
            <w:r w:rsidRPr="003A05F0">
              <w:rPr>
                <w:b/>
                <w:color w:val="000000"/>
                <w:sz w:val="20"/>
                <w:szCs w:val="20"/>
              </w:rPr>
              <w:t>cfu</w:t>
            </w:r>
            <w:proofErr w:type="spellEnd"/>
            <w:r w:rsidRPr="003A05F0">
              <w:rPr>
                <w:b/>
                <w:color w:val="000000"/>
                <w:sz w:val="20"/>
                <w:szCs w:val="20"/>
              </w:rPr>
              <w:t xml:space="preserve"> cm</w:t>
            </w:r>
            <w:r w:rsidRPr="003A05F0">
              <w:rPr>
                <w:b/>
                <w:color w:val="000000"/>
                <w:sz w:val="20"/>
                <w:szCs w:val="20"/>
                <w:vertAlign w:val="superscript"/>
              </w:rPr>
              <w:t>-2</w:t>
            </w:r>
            <w:r w:rsidRPr="003A05F0">
              <w:rPr>
                <w:b/>
                <w:color w:val="000000"/>
                <w:sz w:val="20"/>
                <w:szCs w:val="20"/>
              </w:rPr>
              <w:t>----------------------</w:t>
            </w:r>
          </w:p>
        </w:tc>
      </w:tr>
      <w:tr w:rsidR="00C878B1" w:rsidRPr="003A05F0" w:rsidTr="00E37FCF">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826" w:type="pct"/>
            <w:vMerge w:val="restar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b/>
                <w:color w:val="000000"/>
                <w:sz w:val="20"/>
                <w:szCs w:val="20"/>
              </w:rPr>
            </w:pPr>
          </w:p>
          <w:p w:rsidR="00C878B1" w:rsidRPr="003A05F0" w:rsidRDefault="00C878B1" w:rsidP="003A05F0">
            <w:pPr>
              <w:suppressAutoHyphens w:val="0"/>
              <w:autoSpaceDE w:val="0"/>
              <w:autoSpaceDN w:val="0"/>
              <w:adjustRightInd w:val="0"/>
              <w:snapToGrid w:val="0"/>
              <w:jc w:val="both"/>
              <w:rPr>
                <w:b/>
                <w:color w:val="000000"/>
                <w:sz w:val="20"/>
                <w:szCs w:val="20"/>
              </w:rPr>
            </w:pPr>
          </w:p>
          <w:p w:rsidR="00C878B1" w:rsidRPr="003A05F0" w:rsidRDefault="00C878B1" w:rsidP="003A05F0">
            <w:pPr>
              <w:suppressAutoHyphens w:val="0"/>
              <w:autoSpaceDE w:val="0"/>
              <w:autoSpaceDN w:val="0"/>
              <w:adjustRightInd w:val="0"/>
              <w:snapToGrid w:val="0"/>
              <w:jc w:val="both"/>
              <w:rPr>
                <w:b/>
                <w:color w:val="000000"/>
                <w:sz w:val="20"/>
                <w:szCs w:val="20"/>
              </w:rPr>
            </w:pPr>
          </w:p>
          <w:p w:rsidR="00C878B1" w:rsidRPr="003A05F0" w:rsidRDefault="00C878B1" w:rsidP="003A05F0">
            <w:pPr>
              <w:suppressAutoHyphens w:val="0"/>
              <w:autoSpaceDE w:val="0"/>
              <w:autoSpaceDN w:val="0"/>
              <w:adjustRightInd w:val="0"/>
              <w:snapToGrid w:val="0"/>
              <w:jc w:val="both"/>
              <w:rPr>
                <w:color w:val="000000"/>
                <w:sz w:val="20"/>
                <w:szCs w:val="20"/>
              </w:rPr>
            </w:pPr>
            <w:r w:rsidRPr="003A05F0">
              <w:rPr>
                <w:b/>
                <w:color w:val="000000"/>
                <w:sz w:val="20"/>
                <w:szCs w:val="20"/>
              </w:rPr>
              <w:t>External</w:t>
            </w:r>
          </w:p>
        </w:tc>
        <w:tc>
          <w:tcPr>
            <w:tcW w:w="7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Unripe</w:t>
            </w:r>
          </w:p>
        </w:tc>
        <w:tc>
          <w:tcPr>
            <w:tcW w:w="751"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vertAlign w:val="superscript"/>
              </w:rPr>
            </w:pPr>
            <w:r w:rsidRPr="003A05F0">
              <w:rPr>
                <w:color w:val="000000"/>
                <w:sz w:val="20"/>
                <w:szCs w:val="20"/>
              </w:rPr>
              <w:t>2.1×10</w:t>
            </w:r>
            <w:r w:rsidRPr="003A05F0">
              <w:rPr>
                <w:color w:val="000000"/>
                <w:sz w:val="20"/>
                <w:szCs w:val="20"/>
                <w:vertAlign w:val="superscript"/>
              </w:rPr>
              <w:t>3</w:t>
            </w:r>
          </w:p>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(1.0×10</w:t>
            </w:r>
            <w:r w:rsidRPr="003A05F0">
              <w:rPr>
                <w:color w:val="000000"/>
                <w:sz w:val="20"/>
                <w:szCs w:val="20"/>
                <w:vertAlign w:val="superscript"/>
              </w:rPr>
              <w:t>3</w:t>
            </w:r>
            <w:r w:rsidRPr="003A05F0">
              <w:rPr>
                <w:color w:val="000000"/>
                <w:sz w:val="20"/>
                <w:szCs w:val="20"/>
              </w:rPr>
              <w:t>)</w:t>
            </w:r>
          </w:p>
        </w:tc>
        <w:tc>
          <w:tcPr>
            <w:tcW w:w="805"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1.3×10</w:t>
            </w:r>
            <w:r w:rsidRPr="003A05F0">
              <w:rPr>
                <w:color w:val="000000"/>
                <w:sz w:val="20"/>
                <w:szCs w:val="20"/>
                <w:vertAlign w:val="superscript"/>
              </w:rPr>
              <w:t>3</w:t>
            </w:r>
            <w:r w:rsidRPr="003A05F0">
              <w:rPr>
                <w:color w:val="000000"/>
                <w:sz w:val="20"/>
                <w:szCs w:val="20"/>
              </w:rPr>
              <w:t xml:space="preserve"> (3.4×10</w:t>
            </w:r>
            <w:r w:rsidRPr="003A05F0">
              <w:rPr>
                <w:color w:val="000000"/>
                <w:sz w:val="20"/>
                <w:szCs w:val="20"/>
                <w:vertAlign w:val="superscript"/>
              </w:rPr>
              <w:t>2</w:t>
            </w:r>
            <w:r w:rsidRPr="003A05F0">
              <w:rPr>
                <w:color w:val="000000"/>
                <w:sz w:val="20"/>
                <w:szCs w:val="20"/>
              </w:rPr>
              <w:t>)</w:t>
            </w:r>
          </w:p>
        </w:tc>
        <w:tc>
          <w:tcPr>
            <w:tcW w:w="884"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9.1×10</w:t>
            </w:r>
            <w:r w:rsidRPr="003A05F0">
              <w:rPr>
                <w:color w:val="000000"/>
                <w:sz w:val="20"/>
                <w:szCs w:val="20"/>
                <w:vertAlign w:val="superscript"/>
              </w:rPr>
              <w:t>2</w:t>
            </w:r>
            <w:r w:rsidRPr="003A05F0">
              <w:rPr>
                <w:color w:val="000000"/>
                <w:sz w:val="20"/>
                <w:szCs w:val="20"/>
              </w:rPr>
              <w:t xml:space="preserve"> (5.6×10</w:t>
            </w:r>
            <w:r w:rsidRPr="003A05F0">
              <w:rPr>
                <w:color w:val="000000"/>
                <w:sz w:val="20"/>
                <w:szCs w:val="20"/>
                <w:vertAlign w:val="superscript"/>
              </w:rPr>
              <w:t>2</w:t>
            </w:r>
            <w:r w:rsidRPr="003A05F0">
              <w:rPr>
                <w:color w:val="000000"/>
                <w:sz w:val="20"/>
                <w:szCs w:val="20"/>
              </w:rPr>
              <w:t>)</w:t>
            </w:r>
          </w:p>
        </w:tc>
        <w:tc>
          <w:tcPr>
            <w:tcW w:w="9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7.6×10</w:t>
            </w:r>
            <w:r w:rsidRPr="003A05F0">
              <w:rPr>
                <w:color w:val="000000"/>
                <w:sz w:val="20"/>
                <w:szCs w:val="20"/>
                <w:vertAlign w:val="superscript"/>
              </w:rPr>
              <w:t>3</w:t>
            </w:r>
          </w:p>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(3.8×10</w:t>
            </w:r>
            <w:r w:rsidRPr="003A05F0">
              <w:rPr>
                <w:color w:val="000000"/>
                <w:sz w:val="20"/>
                <w:szCs w:val="20"/>
                <w:vertAlign w:val="superscript"/>
              </w:rPr>
              <w:t>3</w:t>
            </w:r>
            <w:r w:rsidRPr="003A05F0">
              <w:rPr>
                <w:color w:val="000000"/>
                <w:sz w:val="20"/>
                <w:szCs w:val="20"/>
              </w:rPr>
              <w:t>)</w:t>
            </w:r>
          </w:p>
        </w:tc>
      </w:tr>
      <w:tr w:rsidR="00C878B1" w:rsidRPr="003A05F0" w:rsidTr="00E37FCF">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826" w:type="pct"/>
            <w:vMerge/>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p>
        </w:tc>
        <w:tc>
          <w:tcPr>
            <w:tcW w:w="7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Ripe</w:t>
            </w:r>
          </w:p>
        </w:tc>
        <w:tc>
          <w:tcPr>
            <w:tcW w:w="751"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3.0×10</w:t>
            </w:r>
            <w:r w:rsidRPr="003A05F0">
              <w:rPr>
                <w:color w:val="000000"/>
                <w:sz w:val="20"/>
                <w:szCs w:val="20"/>
                <w:vertAlign w:val="superscript"/>
              </w:rPr>
              <w:t>3</w:t>
            </w:r>
          </w:p>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(7.0×10</w:t>
            </w:r>
            <w:r w:rsidRPr="003A05F0">
              <w:rPr>
                <w:color w:val="000000"/>
                <w:sz w:val="20"/>
                <w:szCs w:val="20"/>
                <w:vertAlign w:val="superscript"/>
              </w:rPr>
              <w:t>2</w:t>
            </w:r>
            <w:r w:rsidRPr="003A05F0">
              <w:rPr>
                <w:color w:val="000000"/>
                <w:sz w:val="20"/>
                <w:szCs w:val="20"/>
              </w:rPr>
              <w:t>)</w:t>
            </w:r>
          </w:p>
        </w:tc>
        <w:tc>
          <w:tcPr>
            <w:tcW w:w="805"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1.7×10</w:t>
            </w:r>
            <w:r w:rsidRPr="003A05F0">
              <w:rPr>
                <w:color w:val="000000"/>
                <w:sz w:val="20"/>
                <w:szCs w:val="20"/>
                <w:vertAlign w:val="superscript"/>
              </w:rPr>
              <w:t>3</w:t>
            </w:r>
            <w:r w:rsidRPr="003A05F0">
              <w:rPr>
                <w:color w:val="000000"/>
                <w:sz w:val="20"/>
                <w:szCs w:val="20"/>
              </w:rPr>
              <w:t xml:space="preserve"> (3.6×10</w:t>
            </w:r>
            <w:r w:rsidRPr="003A05F0">
              <w:rPr>
                <w:color w:val="000000"/>
                <w:sz w:val="20"/>
                <w:szCs w:val="20"/>
                <w:vertAlign w:val="superscript"/>
              </w:rPr>
              <w:t>2</w:t>
            </w:r>
            <w:r w:rsidRPr="003A05F0">
              <w:rPr>
                <w:color w:val="000000"/>
                <w:sz w:val="20"/>
                <w:szCs w:val="20"/>
              </w:rPr>
              <w:t>)</w:t>
            </w:r>
          </w:p>
        </w:tc>
        <w:tc>
          <w:tcPr>
            <w:tcW w:w="884"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1.3×10</w:t>
            </w:r>
            <w:r w:rsidRPr="003A05F0">
              <w:rPr>
                <w:color w:val="000000"/>
                <w:sz w:val="20"/>
                <w:szCs w:val="20"/>
                <w:vertAlign w:val="superscript"/>
              </w:rPr>
              <w:t>3</w:t>
            </w:r>
            <w:r w:rsidRPr="003A05F0">
              <w:rPr>
                <w:color w:val="000000"/>
                <w:sz w:val="20"/>
                <w:szCs w:val="20"/>
              </w:rPr>
              <w:t xml:space="preserve"> (3.3×10</w:t>
            </w:r>
            <w:r w:rsidRPr="003A05F0">
              <w:rPr>
                <w:color w:val="000000"/>
                <w:sz w:val="20"/>
                <w:szCs w:val="20"/>
                <w:vertAlign w:val="superscript"/>
              </w:rPr>
              <w:t>2</w:t>
            </w:r>
            <w:r w:rsidRPr="003A05F0">
              <w:rPr>
                <w:color w:val="000000"/>
                <w:sz w:val="20"/>
                <w:szCs w:val="20"/>
              </w:rPr>
              <w:t>)</w:t>
            </w:r>
          </w:p>
        </w:tc>
        <w:tc>
          <w:tcPr>
            <w:tcW w:w="9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9.0×10</w:t>
            </w:r>
            <w:r w:rsidRPr="003A05F0">
              <w:rPr>
                <w:color w:val="000000"/>
                <w:sz w:val="20"/>
                <w:szCs w:val="20"/>
                <w:vertAlign w:val="superscript"/>
              </w:rPr>
              <w:t>2</w:t>
            </w:r>
          </w:p>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(1.7×10</w:t>
            </w:r>
            <w:r w:rsidRPr="003A05F0">
              <w:rPr>
                <w:color w:val="000000"/>
                <w:sz w:val="20"/>
                <w:szCs w:val="20"/>
                <w:vertAlign w:val="superscript"/>
              </w:rPr>
              <w:t>2</w:t>
            </w:r>
            <w:r w:rsidRPr="003A05F0">
              <w:rPr>
                <w:color w:val="000000"/>
                <w:sz w:val="20"/>
                <w:szCs w:val="20"/>
              </w:rPr>
              <w:t>)</w:t>
            </w:r>
          </w:p>
        </w:tc>
      </w:tr>
      <w:tr w:rsidR="00C878B1" w:rsidRPr="003A05F0" w:rsidTr="00E37FCF">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826" w:type="pct"/>
            <w:vMerge/>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p>
        </w:tc>
        <w:tc>
          <w:tcPr>
            <w:tcW w:w="7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Very Ripe</w:t>
            </w:r>
          </w:p>
        </w:tc>
        <w:tc>
          <w:tcPr>
            <w:tcW w:w="751"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vertAlign w:val="superscript"/>
              </w:rPr>
            </w:pPr>
            <w:r w:rsidRPr="003A05F0">
              <w:rPr>
                <w:color w:val="000000"/>
                <w:sz w:val="20"/>
                <w:szCs w:val="20"/>
              </w:rPr>
              <w:t>2.0×10</w:t>
            </w:r>
            <w:r w:rsidRPr="003A05F0">
              <w:rPr>
                <w:color w:val="000000"/>
                <w:sz w:val="20"/>
                <w:szCs w:val="20"/>
                <w:vertAlign w:val="superscript"/>
              </w:rPr>
              <w:t>4</w:t>
            </w:r>
          </w:p>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(5.3×10</w:t>
            </w:r>
            <w:r w:rsidRPr="003A05F0">
              <w:rPr>
                <w:color w:val="000000"/>
                <w:sz w:val="20"/>
                <w:szCs w:val="20"/>
                <w:vertAlign w:val="superscript"/>
              </w:rPr>
              <w:t>3</w:t>
            </w:r>
            <w:r w:rsidRPr="003A05F0">
              <w:rPr>
                <w:color w:val="000000"/>
                <w:sz w:val="20"/>
                <w:szCs w:val="20"/>
              </w:rPr>
              <w:t>)</w:t>
            </w:r>
          </w:p>
        </w:tc>
        <w:tc>
          <w:tcPr>
            <w:tcW w:w="805"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9.9×10</w:t>
            </w:r>
            <w:r w:rsidRPr="003A05F0">
              <w:rPr>
                <w:color w:val="000000"/>
                <w:sz w:val="20"/>
                <w:szCs w:val="20"/>
                <w:vertAlign w:val="superscript"/>
              </w:rPr>
              <w:t>3</w:t>
            </w:r>
            <w:r w:rsidRPr="003A05F0">
              <w:rPr>
                <w:color w:val="000000"/>
                <w:sz w:val="20"/>
                <w:szCs w:val="20"/>
              </w:rPr>
              <w:t xml:space="preserve"> (1.9×10</w:t>
            </w:r>
            <w:r w:rsidRPr="003A05F0">
              <w:rPr>
                <w:color w:val="000000"/>
                <w:sz w:val="20"/>
                <w:szCs w:val="20"/>
                <w:vertAlign w:val="superscript"/>
              </w:rPr>
              <w:t>3</w:t>
            </w:r>
            <w:r w:rsidRPr="003A05F0">
              <w:rPr>
                <w:color w:val="000000"/>
                <w:sz w:val="20"/>
                <w:szCs w:val="20"/>
              </w:rPr>
              <w:t>)</w:t>
            </w:r>
          </w:p>
        </w:tc>
        <w:tc>
          <w:tcPr>
            <w:tcW w:w="884"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snapToGrid w:val="0"/>
              <w:jc w:val="both"/>
              <w:rPr>
                <w:color w:val="000000"/>
                <w:sz w:val="20"/>
                <w:szCs w:val="20"/>
              </w:rPr>
            </w:pPr>
            <w:r w:rsidRPr="003A05F0">
              <w:rPr>
                <w:color w:val="000000"/>
                <w:sz w:val="20"/>
                <w:szCs w:val="20"/>
              </w:rPr>
              <w:t>7.5×10</w:t>
            </w:r>
            <w:r w:rsidRPr="003A05F0">
              <w:rPr>
                <w:color w:val="000000"/>
                <w:sz w:val="20"/>
                <w:szCs w:val="20"/>
                <w:vertAlign w:val="superscript"/>
              </w:rPr>
              <w:t>3</w:t>
            </w:r>
          </w:p>
          <w:p w:rsidR="00C878B1" w:rsidRPr="003A05F0" w:rsidRDefault="00C878B1" w:rsidP="003A05F0">
            <w:pPr>
              <w:suppressAutoHyphens w:val="0"/>
              <w:snapToGrid w:val="0"/>
              <w:jc w:val="both"/>
              <w:rPr>
                <w:color w:val="000000"/>
                <w:sz w:val="20"/>
                <w:szCs w:val="20"/>
              </w:rPr>
            </w:pPr>
            <w:r w:rsidRPr="003A05F0">
              <w:rPr>
                <w:color w:val="000000"/>
                <w:sz w:val="20"/>
                <w:szCs w:val="20"/>
              </w:rPr>
              <w:t>(1.6×10</w:t>
            </w:r>
            <w:r w:rsidRPr="003A05F0">
              <w:rPr>
                <w:color w:val="000000"/>
                <w:sz w:val="20"/>
                <w:szCs w:val="20"/>
                <w:vertAlign w:val="superscript"/>
              </w:rPr>
              <w:t>3</w:t>
            </w:r>
            <w:r w:rsidRPr="003A05F0">
              <w:rPr>
                <w:color w:val="000000"/>
                <w:sz w:val="20"/>
                <w:szCs w:val="20"/>
              </w:rPr>
              <w:t>)</w:t>
            </w:r>
          </w:p>
        </w:tc>
        <w:tc>
          <w:tcPr>
            <w:tcW w:w="967" w:type="pct"/>
            <w:tcBorders>
              <w:top w:val="single" w:sz="4" w:space="0" w:color="auto"/>
              <w:left w:val="single" w:sz="4" w:space="0" w:color="auto"/>
              <w:bottom w:val="single" w:sz="4" w:space="0" w:color="auto"/>
              <w:right w:val="single" w:sz="4" w:space="0" w:color="auto"/>
            </w:tcBorders>
          </w:tcPr>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3.7×10</w:t>
            </w:r>
            <w:r w:rsidRPr="003A05F0">
              <w:rPr>
                <w:color w:val="000000"/>
                <w:sz w:val="20"/>
                <w:szCs w:val="20"/>
                <w:vertAlign w:val="superscript"/>
              </w:rPr>
              <w:t>3</w:t>
            </w:r>
          </w:p>
          <w:p w:rsidR="00C878B1" w:rsidRPr="003A05F0" w:rsidRDefault="00C878B1" w:rsidP="003A05F0">
            <w:pPr>
              <w:suppressAutoHyphens w:val="0"/>
              <w:autoSpaceDE w:val="0"/>
              <w:autoSpaceDN w:val="0"/>
              <w:adjustRightInd w:val="0"/>
              <w:snapToGrid w:val="0"/>
              <w:jc w:val="both"/>
              <w:rPr>
                <w:color w:val="000000"/>
                <w:sz w:val="20"/>
                <w:szCs w:val="20"/>
              </w:rPr>
            </w:pPr>
            <w:r w:rsidRPr="003A05F0">
              <w:rPr>
                <w:color w:val="000000"/>
                <w:sz w:val="20"/>
                <w:szCs w:val="20"/>
              </w:rPr>
              <w:t>(1.2×10</w:t>
            </w:r>
            <w:r w:rsidRPr="003A05F0">
              <w:rPr>
                <w:color w:val="000000"/>
                <w:sz w:val="20"/>
                <w:szCs w:val="20"/>
                <w:vertAlign w:val="superscript"/>
              </w:rPr>
              <w:t>3</w:t>
            </w:r>
            <w:r w:rsidRPr="003A05F0">
              <w:rPr>
                <w:color w:val="000000"/>
                <w:sz w:val="20"/>
                <w:szCs w:val="20"/>
              </w:rPr>
              <w:t>)</w:t>
            </w:r>
          </w:p>
        </w:tc>
      </w:tr>
    </w:tbl>
    <w:p w:rsidR="00481BE4" w:rsidRDefault="00481BE4" w:rsidP="003A05F0">
      <w:pPr>
        <w:suppressAutoHyphens w:val="0"/>
        <w:autoSpaceDE w:val="0"/>
        <w:autoSpaceDN w:val="0"/>
        <w:adjustRightInd w:val="0"/>
        <w:snapToGrid w:val="0"/>
        <w:ind w:firstLine="425"/>
        <w:jc w:val="both"/>
        <w:rPr>
          <w:b/>
          <w:sz w:val="20"/>
          <w:szCs w:val="20"/>
          <w:lang w:eastAsia="zh-CN"/>
        </w:rPr>
      </w:pPr>
    </w:p>
    <w:p w:rsidR="003A05F0" w:rsidRDefault="003A05F0" w:rsidP="003A05F0">
      <w:pPr>
        <w:suppressAutoHyphens w:val="0"/>
        <w:autoSpaceDE w:val="0"/>
        <w:autoSpaceDN w:val="0"/>
        <w:adjustRightInd w:val="0"/>
        <w:snapToGrid w:val="0"/>
        <w:ind w:firstLine="425"/>
        <w:jc w:val="both"/>
        <w:rPr>
          <w:b/>
          <w:sz w:val="20"/>
          <w:szCs w:val="20"/>
          <w:lang w:eastAsia="zh-CN"/>
        </w:rPr>
        <w:sectPr w:rsidR="003A05F0" w:rsidSect="003A05F0">
          <w:footnotePr>
            <w:pos w:val="beneathText"/>
          </w:footnotePr>
          <w:type w:val="continuous"/>
          <w:pgSz w:w="12240" w:h="15840" w:code="1"/>
          <w:pgMar w:top="1440" w:right="1440" w:bottom="1440" w:left="1440" w:header="720" w:footer="720" w:gutter="0"/>
          <w:cols w:space="720"/>
          <w:docGrid w:linePitch="360"/>
        </w:sectPr>
      </w:pPr>
    </w:p>
    <w:p w:rsidR="003A05F0" w:rsidRPr="003A05F0" w:rsidRDefault="003A05F0" w:rsidP="003A05F0">
      <w:pPr>
        <w:suppressAutoHyphens w:val="0"/>
        <w:autoSpaceDE w:val="0"/>
        <w:autoSpaceDN w:val="0"/>
        <w:adjustRightInd w:val="0"/>
        <w:snapToGrid w:val="0"/>
        <w:jc w:val="both"/>
        <w:rPr>
          <w:b/>
          <w:sz w:val="20"/>
          <w:szCs w:val="20"/>
        </w:rPr>
      </w:pPr>
      <w:r w:rsidRPr="003A05F0">
        <w:rPr>
          <w:b/>
          <w:sz w:val="20"/>
          <w:szCs w:val="20"/>
        </w:rPr>
        <w:lastRenderedPageBreak/>
        <w:t>3.3 Microbial Load of Internal Tissues and External surface Compared among Different Stages of Fruit Ripeness</w:t>
      </w:r>
    </w:p>
    <w:p w:rsidR="003A05F0" w:rsidRPr="003A05F0" w:rsidRDefault="003A05F0" w:rsidP="003A05F0">
      <w:pPr>
        <w:suppressAutoHyphens w:val="0"/>
        <w:autoSpaceDE w:val="0"/>
        <w:autoSpaceDN w:val="0"/>
        <w:adjustRightInd w:val="0"/>
        <w:snapToGrid w:val="0"/>
        <w:ind w:firstLine="425"/>
        <w:jc w:val="both"/>
        <w:rPr>
          <w:sz w:val="20"/>
          <w:szCs w:val="20"/>
        </w:rPr>
      </w:pPr>
      <w:r w:rsidRPr="003A05F0">
        <w:rPr>
          <w:sz w:val="20"/>
          <w:szCs w:val="20"/>
        </w:rPr>
        <w:t>Significant variations were observed in all the internal microbial counts among very ripe, ripe and unripe samples (p&lt;0.05) with very ripe having the highest counts and unripe the lowest, except YMPC, which though higher in ripe compared to unripe</w:t>
      </w:r>
      <w:r>
        <w:rPr>
          <w:rFonts w:hint="eastAsia"/>
          <w:sz w:val="20"/>
          <w:szCs w:val="20"/>
          <w:lang w:eastAsia="zh-CN"/>
        </w:rPr>
        <w:t xml:space="preserve"> </w:t>
      </w:r>
      <w:r w:rsidRPr="003A05F0">
        <w:rPr>
          <w:sz w:val="20"/>
          <w:szCs w:val="20"/>
        </w:rPr>
        <w:t>mangoes, was not significant (Table 3). Significant variations were also observed in all the external microbial counts among very ripe, ripe and unripe samples (p&lt;0.05) with very ripe having the highest counts and unripe the lowest (Table 3).</w:t>
      </w:r>
    </w:p>
    <w:p w:rsidR="003A05F0" w:rsidRPr="003A05F0" w:rsidRDefault="003A05F0" w:rsidP="003A05F0">
      <w:pPr>
        <w:suppressAutoHyphens w:val="0"/>
        <w:autoSpaceDE w:val="0"/>
        <w:autoSpaceDN w:val="0"/>
        <w:adjustRightInd w:val="0"/>
        <w:snapToGrid w:val="0"/>
        <w:jc w:val="both"/>
        <w:rPr>
          <w:b/>
          <w:sz w:val="20"/>
          <w:szCs w:val="20"/>
        </w:rPr>
      </w:pPr>
      <w:r w:rsidRPr="003A05F0">
        <w:rPr>
          <w:b/>
          <w:sz w:val="20"/>
          <w:szCs w:val="20"/>
        </w:rPr>
        <w:lastRenderedPageBreak/>
        <w:t>3.4 Microbial Load of Internal Tissues of Mango Compared Between Different States of Damage</w:t>
      </w:r>
    </w:p>
    <w:p w:rsidR="003A05F0" w:rsidRPr="003A05F0" w:rsidRDefault="003A05F0" w:rsidP="003A05F0">
      <w:pPr>
        <w:suppressAutoHyphens w:val="0"/>
        <w:autoSpaceDE w:val="0"/>
        <w:autoSpaceDN w:val="0"/>
        <w:adjustRightInd w:val="0"/>
        <w:snapToGrid w:val="0"/>
        <w:ind w:firstLine="425"/>
        <w:jc w:val="both"/>
        <w:rPr>
          <w:rFonts w:hint="eastAsia"/>
          <w:b/>
          <w:sz w:val="20"/>
          <w:szCs w:val="20"/>
          <w:lang w:eastAsia="zh-CN"/>
        </w:rPr>
      </w:pPr>
      <w:r w:rsidRPr="003A05F0">
        <w:rPr>
          <w:sz w:val="20"/>
          <w:szCs w:val="20"/>
        </w:rPr>
        <w:t>Significant variations were also seen in all the internal microbial counts; TPC, CPC, FCPC and YMPC among numerous, moderate and few scars/punctures (p&lt;0.05), with numerous scars/punctures having the highest counts and few scars/punctures the lowest (Table 4).</w:t>
      </w:r>
      <w:r w:rsidRPr="003A05F0">
        <w:rPr>
          <w:b/>
          <w:sz w:val="20"/>
          <w:szCs w:val="20"/>
        </w:rPr>
        <w:t xml:space="preserve"> </w:t>
      </w:r>
      <w:r w:rsidRPr="003A05F0">
        <w:rPr>
          <w:sz w:val="20"/>
          <w:szCs w:val="20"/>
        </w:rPr>
        <w:t xml:space="preserve">Significant disparities were also seen in all the external microbial counts; TPC, CPC and FCPC among numerous, moderate and few scars/punctures (p&lt;0.05), with numerous scars/punctures having the highest counts and few scars/punctures the lowest. With regard to </w:t>
      </w:r>
      <w:r w:rsidRPr="003A05F0">
        <w:rPr>
          <w:sz w:val="20"/>
          <w:szCs w:val="20"/>
        </w:rPr>
        <w:lastRenderedPageBreak/>
        <w:t xml:space="preserve">YMPC, numerous and moderate scars/punctures were significantly higher than few scars (p&lt;0.05) but there </w:t>
      </w:r>
      <w:r w:rsidRPr="003A05F0">
        <w:rPr>
          <w:sz w:val="20"/>
          <w:szCs w:val="20"/>
        </w:rPr>
        <w:lastRenderedPageBreak/>
        <w:t>was no significant difference between numerous and moderate scars/punctures (p&gt;0.05; Table 3)</w:t>
      </w:r>
      <w:r w:rsidR="00E37FCF">
        <w:rPr>
          <w:rFonts w:hint="eastAsia"/>
          <w:sz w:val="20"/>
          <w:szCs w:val="20"/>
          <w:lang w:eastAsia="zh-CN"/>
        </w:rPr>
        <w:t>.</w:t>
      </w:r>
    </w:p>
    <w:p w:rsidR="003A05F0" w:rsidRDefault="003A05F0" w:rsidP="003A05F0">
      <w:pPr>
        <w:suppressAutoHyphens w:val="0"/>
        <w:autoSpaceDE w:val="0"/>
        <w:autoSpaceDN w:val="0"/>
        <w:adjustRightInd w:val="0"/>
        <w:snapToGrid w:val="0"/>
        <w:ind w:firstLine="425"/>
        <w:jc w:val="both"/>
        <w:rPr>
          <w:b/>
          <w:sz w:val="20"/>
          <w:szCs w:val="20"/>
          <w:lang w:eastAsia="zh-CN"/>
        </w:rPr>
        <w:sectPr w:rsidR="003A05F0" w:rsidSect="003A05F0">
          <w:footnotePr>
            <w:pos w:val="beneathText"/>
          </w:footnotePr>
          <w:type w:val="continuous"/>
          <w:pgSz w:w="12240" w:h="15840" w:code="1"/>
          <w:pgMar w:top="1440" w:right="1440" w:bottom="1440" w:left="1440" w:header="720" w:footer="720" w:gutter="0"/>
          <w:cols w:num="2" w:space="425"/>
          <w:docGrid w:linePitch="360"/>
        </w:sectPr>
      </w:pPr>
    </w:p>
    <w:p w:rsidR="003A05F0" w:rsidRDefault="003A05F0" w:rsidP="003A05F0">
      <w:pPr>
        <w:suppressAutoHyphens w:val="0"/>
        <w:autoSpaceDE w:val="0"/>
        <w:autoSpaceDN w:val="0"/>
        <w:adjustRightInd w:val="0"/>
        <w:snapToGrid w:val="0"/>
        <w:ind w:firstLine="425"/>
        <w:jc w:val="both"/>
        <w:rPr>
          <w:rFonts w:hint="eastAsia"/>
          <w:b/>
          <w:sz w:val="20"/>
          <w:szCs w:val="20"/>
          <w:lang w:eastAsia="zh-CN"/>
        </w:rPr>
      </w:pPr>
    </w:p>
    <w:p w:rsidR="00E37FCF" w:rsidRPr="003A05F0" w:rsidRDefault="00E37FCF" w:rsidP="003A05F0">
      <w:pPr>
        <w:suppressAutoHyphens w:val="0"/>
        <w:autoSpaceDE w:val="0"/>
        <w:autoSpaceDN w:val="0"/>
        <w:adjustRightInd w:val="0"/>
        <w:snapToGrid w:val="0"/>
        <w:ind w:firstLine="425"/>
        <w:jc w:val="both"/>
        <w:rPr>
          <w:b/>
          <w:sz w:val="20"/>
          <w:szCs w:val="20"/>
          <w:lang w:eastAsia="zh-CN"/>
        </w:rPr>
      </w:pPr>
    </w:p>
    <w:tbl>
      <w:tblPr>
        <w:tblW w:w="5000" w:type="pct"/>
        <w:jc w:val="center"/>
        <w:tblBorders>
          <w:bottom w:val="single" w:sz="4" w:space="0" w:color="auto"/>
        </w:tblBorders>
        <w:tblLook w:val="04A0"/>
      </w:tblPr>
      <w:tblGrid>
        <w:gridCol w:w="1074"/>
        <w:gridCol w:w="301"/>
        <w:gridCol w:w="396"/>
        <w:gridCol w:w="848"/>
        <w:gridCol w:w="1938"/>
        <w:gridCol w:w="1143"/>
        <w:gridCol w:w="1938"/>
        <w:gridCol w:w="1938"/>
      </w:tblGrid>
      <w:tr w:rsidR="00BA0D44" w:rsidRPr="003A05F0" w:rsidTr="00E37FCF">
        <w:trPr>
          <w:trHeight w:val="155"/>
          <w:jc w:val="center"/>
        </w:trPr>
        <w:tc>
          <w:tcPr>
            <w:tcW w:w="5000" w:type="pct"/>
            <w:gridSpan w:val="8"/>
            <w:tcBorders>
              <w:bottom w:val="single" w:sz="4" w:space="0" w:color="auto"/>
            </w:tcBorders>
          </w:tcPr>
          <w:p w:rsidR="00BA0D44" w:rsidRPr="003A05F0" w:rsidRDefault="00BA0D44" w:rsidP="003A05F0">
            <w:pPr>
              <w:suppressAutoHyphens w:val="0"/>
              <w:snapToGrid w:val="0"/>
              <w:jc w:val="center"/>
              <w:rPr>
                <w:b/>
                <w:color w:val="000000"/>
                <w:sz w:val="20"/>
                <w:szCs w:val="20"/>
              </w:rPr>
            </w:pPr>
            <w:r w:rsidRPr="003A05F0">
              <w:rPr>
                <w:color w:val="000000"/>
                <w:sz w:val="20"/>
                <w:szCs w:val="20"/>
              </w:rPr>
              <w:t>Table 2: Microbial Load of Internal and External Tissues of Fruits collected from Different Markets</w:t>
            </w:r>
          </w:p>
        </w:tc>
      </w:tr>
      <w:tr w:rsidR="00BA0D44" w:rsidRPr="003A05F0" w:rsidTr="00E37FCF">
        <w:trPr>
          <w:trHeight w:val="76"/>
          <w:jc w:val="center"/>
        </w:trPr>
        <w:tc>
          <w:tcPr>
            <w:tcW w:w="560" w:type="pct"/>
            <w:vMerge w:val="restar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b/>
                <w:color w:val="000000"/>
                <w:sz w:val="20"/>
                <w:szCs w:val="20"/>
              </w:rPr>
            </w:pPr>
          </w:p>
          <w:p w:rsidR="00BA0D44" w:rsidRPr="003A05F0" w:rsidRDefault="00BA0D44" w:rsidP="003A05F0">
            <w:pPr>
              <w:suppressAutoHyphens w:val="0"/>
              <w:autoSpaceDE w:val="0"/>
              <w:autoSpaceDN w:val="0"/>
              <w:adjustRightInd w:val="0"/>
              <w:snapToGrid w:val="0"/>
              <w:jc w:val="both"/>
              <w:rPr>
                <w:b/>
                <w:color w:val="000000"/>
                <w:sz w:val="20"/>
                <w:szCs w:val="20"/>
              </w:rPr>
            </w:pPr>
          </w:p>
          <w:p w:rsidR="00F05056" w:rsidRPr="003A05F0" w:rsidRDefault="00F05056" w:rsidP="003A05F0">
            <w:pPr>
              <w:suppressAutoHyphens w:val="0"/>
              <w:autoSpaceDE w:val="0"/>
              <w:autoSpaceDN w:val="0"/>
              <w:adjustRightInd w:val="0"/>
              <w:snapToGrid w:val="0"/>
              <w:jc w:val="both"/>
              <w:rPr>
                <w:b/>
                <w:color w:val="000000"/>
                <w:sz w:val="20"/>
                <w:szCs w:val="20"/>
              </w:rPr>
            </w:pPr>
          </w:p>
          <w:p w:rsidR="00BA0D44" w:rsidRPr="003A05F0" w:rsidRDefault="00BA0D44" w:rsidP="003A05F0">
            <w:pPr>
              <w:suppressAutoHyphens w:val="0"/>
              <w:autoSpaceDE w:val="0"/>
              <w:autoSpaceDN w:val="0"/>
              <w:adjustRightInd w:val="0"/>
              <w:snapToGrid w:val="0"/>
              <w:jc w:val="both"/>
              <w:rPr>
                <w:b/>
                <w:color w:val="000000"/>
                <w:sz w:val="20"/>
                <w:szCs w:val="20"/>
              </w:rPr>
            </w:pPr>
            <w:r w:rsidRPr="003A05F0">
              <w:rPr>
                <w:b/>
                <w:color w:val="000000"/>
                <w:sz w:val="20"/>
                <w:szCs w:val="20"/>
              </w:rPr>
              <w:t>Internal</w:t>
            </w:r>
          </w:p>
        </w:tc>
        <w:tc>
          <w:tcPr>
            <w:tcW w:w="364" w:type="pct"/>
            <w:gridSpan w:val="2"/>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b/>
                <w:color w:val="000000"/>
                <w:sz w:val="20"/>
                <w:szCs w:val="20"/>
              </w:rPr>
            </w:pPr>
          </w:p>
        </w:tc>
        <w:tc>
          <w:tcPr>
            <w:tcW w:w="443"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b/>
                <w:color w:val="000000"/>
                <w:sz w:val="20"/>
                <w:szCs w:val="20"/>
              </w:rPr>
            </w:pPr>
          </w:p>
        </w:tc>
        <w:tc>
          <w:tcPr>
            <w:tcW w:w="1012" w:type="pct"/>
            <w:tcBorders>
              <w:top w:val="single" w:sz="4" w:space="0" w:color="auto"/>
              <w:left w:val="single" w:sz="4" w:space="0" w:color="auto"/>
              <w:bottom w:val="single" w:sz="4" w:space="0" w:color="auto"/>
              <w:right w:val="single" w:sz="4" w:space="0" w:color="auto"/>
            </w:tcBorders>
            <w:vAlign w:val="center"/>
          </w:tcPr>
          <w:p w:rsidR="00BA0D44" w:rsidRPr="003A05F0" w:rsidRDefault="00BA0D44" w:rsidP="003A05F0">
            <w:pPr>
              <w:suppressAutoHyphens w:val="0"/>
              <w:autoSpaceDE w:val="0"/>
              <w:autoSpaceDN w:val="0"/>
              <w:adjustRightInd w:val="0"/>
              <w:snapToGrid w:val="0"/>
              <w:jc w:val="both"/>
              <w:rPr>
                <w:b/>
                <w:color w:val="000000"/>
                <w:sz w:val="20"/>
                <w:szCs w:val="20"/>
              </w:rPr>
            </w:pPr>
            <w:r w:rsidRPr="003A05F0">
              <w:rPr>
                <w:b/>
                <w:color w:val="000000"/>
                <w:sz w:val="20"/>
                <w:szCs w:val="20"/>
              </w:rPr>
              <w:t>TPC</w:t>
            </w:r>
          </w:p>
        </w:tc>
        <w:tc>
          <w:tcPr>
            <w:tcW w:w="597" w:type="pct"/>
            <w:tcBorders>
              <w:top w:val="single" w:sz="4" w:space="0" w:color="auto"/>
              <w:left w:val="single" w:sz="4" w:space="0" w:color="auto"/>
              <w:bottom w:val="single" w:sz="4" w:space="0" w:color="auto"/>
              <w:right w:val="single" w:sz="4" w:space="0" w:color="auto"/>
            </w:tcBorders>
            <w:vAlign w:val="center"/>
          </w:tcPr>
          <w:p w:rsidR="00BA0D44" w:rsidRPr="003A05F0" w:rsidRDefault="00BA0D44" w:rsidP="003A05F0">
            <w:pPr>
              <w:suppressAutoHyphens w:val="0"/>
              <w:autoSpaceDE w:val="0"/>
              <w:autoSpaceDN w:val="0"/>
              <w:adjustRightInd w:val="0"/>
              <w:snapToGrid w:val="0"/>
              <w:jc w:val="both"/>
              <w:rPr>
                <w:b/>
                <w:color w:val="000000"/>
                <w:sz w:val="20"/>
                <w:szCs w:val="20"/>
              </w:rPr>
            </w:pPr>
            <w:r w:rsidRPr="003A05F0">
              <w:rPr>
                <w:b/>
                <w:color w:val="000000"/>
                <w:sz w:val="20"/>
                <w:szCs w:val="20"/>
              </w:rPr>
              <w:t>CPC</w:t>
            </w:r>
          </w:p>
        </w:tc>
        <w:tc>
          <w:tcPr>
            <w:tcW w:w="1012" w:type="pct"/>
            <w:tcBorders>
              <w:top w:val="single" w:sz="4" w:space="0" w:color="auto"/>
              <w:left w:val="single" w:sz="4" w:space="0" w:color="auto"/>
              <w:bottom w:val="single" w:sz="4" w:space="0" w:color="auto"/>
              <w:right w:val="single" w:sz="4" w:space="0" w:color="auto"/>
            </w:tcBorders>
            <w:vAlign w:val="center"/>
          </w:tcPr>
          <w:p w:rsidR="00BA0D44" w:rsidRPr="003A05F0" w:rsidRDefault="00BA0D44" w:rsidP="003A05F0">
            <w:pPr>
              <w:suppressAutoHyphens w:val="0"/>
              <w:autoSpaceDE w:val="0"/>
              <w:autoSpaceDN w:val="0"/>
              <w:adjustRightInd w:val="0"/>
              <w:snapToGrid w:val="0"/>
              <w:jc w:val="both"/>
              <w:rPr>
                <w:b/>
                <w:color w:val="000000"/>
                <w:sz w:val="20"/>
                <w:szCs w:val="20"/>
              </w:rPr>
            </w:pPr>
            <w:r w:rsidRPr="003A05F0">
              <w:rPr>
                <w:b/>
                <w:color w:val="000000"/>
                <w:sz w:val="20"/>
                <w:szCs w:val="20"/>
              </w:rPr>
              <w:t>FCPC</w:t>
            </w:r>
          </w:p>
        </w:tc>
        <w:tc>
          <w:tcPr>
            <w:tcW w:w="1012" w:type="pct"/>
            <w:tcBorders>
              <w:top w:val="single" w:sz="4" w:space="0" w:color="auto"/>
              <w:left w:val="single" w:sz="4" w:space="0" w:color="auto"/>
              <w:bottom w:val="single" w:sz="4" w:space="0" w:color="auto"/>
              <w:right w:val="single" w:sz="4" w:space="0" w:color="auto"/>
            </w:tcBorders>
            <w:vAlign w:val="center"/>
          </w:tcPr>
          <w:p w:rsidR="00BA0D44" w:rsidRPr="003A05F0" w:rsidRDefault="00BA0D44" w:rsidP="003A05F0">
            <w:pPr>
              <w:suppressAutoHyphens w:val="0"/>
              <w:autoSpaceDE w:val="0"/>
              <w:autoSpaceDN w:val="0"/>
              <w:adjustRightInd w:val="0"/>
              <w:snapToGrid w:val="0"/>
              <w:jc w:val="both"/>
              <w:rPr>
                <w:b/>
                <w:color w:val="000000"/>
                <w:sz w:val="20"/>
                <w:szCs w:val="20"/>
              </w:rPr>
            </w:pPr>
            <w:r w:rsidRPr="003A05F0">
              <w:rPr>
                <w:b/>
                <w:color w:val="000000"/>
                <w:sz w:val="20"/>
                <w:szCs w:val="20"/>
              </w:rPr>
              <w:t>YMPC</w:t>
            </w:r>
          </w:p>
        </w:tc>
      </w:tr>
      <w:tr w:rsidR="00F05056" w:rsidRPr="003A05F0" w:rsidTr="00E37FCF">
        <w:trPr>
          <w:trHeight w:val="40"/>
          <w:jc w:val="center"/>
        </w:trPr>
        <w:tc>
          <w:tcPr>
            <w:tcW w:w="560" w:type="pct"/>
            <w:vMerge/>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b/>
                <w:color w:val="000000"/>
                <w:sz w:val="20"/>
                <w:szCs w:val="20"/>
              </w:rPr>
            </w:pPr>
          </w:p>
        </w:tc>
        <w:tc>
          <w:tcPr>
            <w:tcW w:w="807" w:type="pct"/>
            <w:gridSpan w:val="3"/>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b/>
                <w:color w:val="000000"/>
                <w:sz w:val="20"/>
                <w:szCs w:val="20"/>
              </w:rPr>
            </w:pPr>
            <w:r w:rsidRPr="003A05F0">
              <w:rPr>
                <w:b/>
                <w:color w:val="000000"/>
                <w:sz w:val="20"/>
                <w:szCs w:val="20"/>
              </w:rPr>
              <w:t>Market</w:t>
            </w:r>
          </w:p>
        </w:tc>
        <w:tc>
          <w:tcPr>
            <w:tcW w:w="3633" w:type="pct"/>
            <w:gridSpan w:val="4"/>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b/>
                <w:color w:val="000000"/>
                <w:sz w:val="20"/>
                <w:szCs w:val="20"/>
              </w:rPr>
            </w:pPr>
            <w:r w:rsidRPr="003A05F0">
              <w:rPr>
                <w:b/>
                <w:color w:val="000000"/>
                <w:sz w:val="20"/>
                <w:szCs w:val="20"/>
              </w:rPr>
              <w:t xml:space="preserve">---------------------Mean(±SEM) </w:t>
            </w:r>
            <w:proofErr w:type="spellStart"/>
            <w:r w:rsidRPr="003A05F0">
              <w:rPr>
                <w:b/>
                <w:color w:val="000000"/>
                <w:sz w:val="20"/>
                <w:szCs w:val="20"/>
              </w:rPr>
              <w:t>cfu</w:t>
            </w:r>
            <w:proofErr w:type="spellEnd"/>
            <w:r w:rsidRPr="003A05F0">
              <w:rPr>
                <w:b/>
                <w:color w:val="000000"/>
                <w:sz w:val="20"/>
                <w:szCs w:val="20"/>
              </w:rPr>
              <w:t xml:space="preserve"> mL</w:t>
            </w:r>
            <w:r w:rsidRPr="003A05F0">
              <w:rPr>
                <w:b/>
                <w:color w:val="000000"/>
                <w:sz w:val="20"/>
                <w:szCs w:val="20"/>
                <w:vertAlign w:val="superscript"/>
              </w:rPr>
              <w:t>-1</w:t>
            </w:r>
            <w:r w:rsidRPr="003A05F0">
              <w:rPr>
                <w:b/>
                <w:color w:val="000000"/>
                <w:sz w:val="20"/>
                <w:szCs w:val="20"/>
              </w:rPr>
              <w:t>----------------------</w:t>
            </w:r>
          </w:p>
        </w:tc>
      </w:tr>
      <w:tr w:rsidR="00BA0D44" w:rsidRPr="003A05F0" w:rsidTr="00E37FCF">
        <w:trPr>
          <w:trHeight w:val="215"/>
          <w:jc w:val="center"/>
        </w:trPr>
        <w:tc>
          <w:tcPr>
            <w:tcW w:w="560" w:type="pct"/>
            <w:vMerge/>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p>
        </w:tc>
        <w:tc>
          <w:tcPr>
            <w:tcW w:w="807" w:type="pct"/>
            <w:gridSpan w:val="3"/>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proofErr w:type="spellStart"/>
            <w:r w:rsidRPr="003A05F0">
              <w:rPr>
                <w:color w:val="000000"/>
                <w:sz w:val="20"/>
                <w:szCs w:val="20"/>
              </w:rPr>
              <w:t>Madina</w:t>
            </w:r>
            <w:proofErr w:type="spellEnd"/>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4.8×10</w:t>
            </w:r>
            <w:r w:rsidRPr="003A05F0">
              <w:rPr>
                <w:color w:val="000000"/>
                <w:sz w:val="20"/>
                <w:szCs w:val="20"/>
                <w:vertAlign w:val="superscript"/>
              </w:rPr>
              <w:t>3</w:t>
            </w:r>
          </w:p>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(1.0×10</w:t>
            </w:r>
            <w:r w:rsidRPr="003A05F0">
              <w:rPr>
                <w:color w:val="000000"/>
                <w:sz w:val="20"/>
                <w:szCs w:val="20"/>
                <w:vertAlign w:val="superscript"/>
              </w:rPr>
              <w:t>3</w:t>
            </w:r>
            <w:r w:rsidRPr="003A05F0">
              <w:rPr>
                <w:color w:val="000000"/>
                <w:sz w:val="20"/>
                <w:szCs w:val="20"/>
              </w:rPr>
              <w:t>)</w:t>
            </w:r>
          </w:p>
        </w:tc>
        <w:tc>
          <w:tcPr>
            <w:tcW w:w="597"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snapToGrid w:val="0"/>
              <w:jc w:val="both"/>
              <w:rPr>
                <w:color w:val="000000"/>
                <w:sz w:val="20"/>
                <w:szCs w:val="20"/>
              </w:rPr>
            </w:pPr>
            <w:r w:rsidRPr="003A05F0">
              <w:rPr>
                <w:color w:val="000000"/>
                <w:sz w:val="20"/>
                <w:szCs w:val="20"/>
              </w:rPr>
              <w:t>2.5×10</w:t>
            </w:r>
            <w:r w:rsidRPr="003A05F0">
              <w:rPr>
                <w:color w:val="000000"/>
                <w:sz w:val="20"/>
                <w:szCs w:val="20"/>
                <w:vertAlign w:val="superscript"/>
              </w:rPr>
              <w:t>3</w:t>
            </w:r>
          </w:p>
          <w:p w:rsidR="00BA0D44" w:rsidRPr="003A05F0" w:rsidRDefault="00BA0D44" w:rsidP="003A05F0">
            <w:pPr>
              <w:suppressAutoHyphens w:val="0"/>
              <w:snapToGrid w:val="0"/>
              <w:jc w:val="both"/>
              <w:rPr>
                <w:color w:val="000000"/>
                <w:sz w:val="20"/>
                <w:szCs w:val="20"/>
              </w:rPr>
            </w:pPr>
            <w:r w:rsidRPr="003A05F0">
              <w:rPr>
                <w:color w:val="000000"/>
                <w:sz w:val="20"/>
                <w:szCs w:val="20"/>
              </w:rPr>
              <w:t>(9.7×10</w:t>
            </w:r>
            <w:r w:rsidRPr="003A05F0">
              <w:rPr>
                <w:color w:val="000000"/>
                <w:sz w:val="20"/>
                <w:szCs w:val="20"/>
                <w:vertAlign w:val="superscript"/>
              </w:rPr>
              <w:t>2</w:t>
            </w:r>
            <w:r w:rsidRPr="003A05F0">
              <w:rPr>
                <w:color w:val="000000"/>
                <w:sz w:val="20"/>
                <w:szCs w:val="20"/>
              </w:rPr>
              <w:t>)</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1.4×10</w:t>
            </w:r>
            <w:r w:rsidRPr="003A05F0">
              <w:rPr>
                <w:color w:val="000000"/>
                <w:sz w:val="20"/>
                <w:szCs w:val="20"/>
                <w:vertAlign w:val="superscript"/>
              </w:rPr>
              <w:t>3</w:t>
            </w:r>
            <w:r w:rsidRPr="003A05F0">
              <w:rPr>
                <w:color w:val="000000"/>
                <w:sz w:val="20"/>
                <w:szCs w:val="20"/>
              </w:rPr>
              <w:t xml:space="preserve"> (5.4×10</w:t>
            </w:r>
            <w:r w:rsidRPr="003A05F0">
              <w:rPr>
                <w:color w:val="000000"/>
                <w:sz w:val="20"/>
                <w:szCs w:val="20"/>
                <w:vertAlign w:val="superscript"/>
              </w:rPr>
              <w:t>2</w:t>
            </w:r>
            <w:r w:rsidRPr="003A05F0">
              <w:rPr>
                <w:color w:val="000000"/>
                <w:sz w:val="20"/>
                <w:szCs w:val="20"/>
              </w:rPr>
              <w:t>)</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9.9×10</w:t>
            </w:r>
            <w:r w:rsidRPr="003A05F0">
              <w:rPr>
                <w:color w:val="000000"/>
                <w:sz w:val="20"/>
                <w:szCs w:val="20"/>
                <w:vertAlign w:val="superscript"/>
              </w:rPr>
              <w:t>2</w:t>
            </w:r>
            <w:r w:rsidRPr="003A05F0">
              <w:rPr>
                <w:color w:val="000000"/>
                <w:sz w:val="20"/>
                <w:szCs w:val="20"/>
              </w:rPr>
              <w:t xml:space="preserve"> (3.8×10</w:t>
            </w:r>
            <w:r w:rsidRPr="003A05F0">
              <w:rPr>
                <w:color w:val="000000"/>
                <w:sz w:val="20"/>
                <w:szCs w:val="20"/>
                <w:vertAlign w:val="superscript"/>
              </w:rPr>
              <w:t>2</w:t>
            </w:r>
            <w:r w:rsidRPr="003A05F0">
              <w:rPr>
                <w:color w:val="000000"/>
                <w:sz w:val="20"/>
                <w:szCs w:val="20"/>
              </w:rPr>
              <w:t>)</w:t>
            </w:r>
          </w:p>
        </w:tc>
      </w:tr>
      <w:tr w:rsidR="00BA0D44" w:rsidRPr="003A05F0" w:rsidTr="00E37FCF">
        <w:trPr>
          <w:trHeight w:val="40"/>
          <w:jc w:val="center"/>
        </w:trPr>
        <w:tc>
          <w:tcPr>
            <w:tcW w:w="560" w:type="pct"/>
            <w:vMerge/>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p>
        </w:tc>
        <w:tc>
          <w:tcPr>
            <w:tcW w:w="807" w:type="pct"/>
            <w:gridSpan w:val="3"/>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proofErr w:type="spellStart"/>
            <w:r w:rsidRPr="003A05F0">
              <w:rPr>
                <w:color w:val="000000"/>
                <w:sz w:val="20"/>
                <w:szCs w:val="20"/>
              </w:rPr>
              <w:t>Kaneshie</w:t>
            </w:r>
            <w:proofErr w:type="spellEnd"/>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1.8×10</w:t>
            </w:r>
            <w:r w:rsidRPr="003A05F0">
              <w:rPr>
                <w:color w:val="000000"/>
                <w:sz w:val="20"/>
                <w:szCs w:val="20"/>
                <w:vertAlign w:val="superscript"/>
              </w:rPr>
              <w:t>3</w:t>
            </w:r>
            <w:r w:rsidRPr="003A05F0">
              <w:rPr>
                <w:color w:val="000000"/>
                <w:sz w:val="20"/>
                <w:szCs w:val="20"/>
              </w:rPr>
              <w:t xml:space="preserve"> (4.7×10</w:t>
            </w:r>
            <w:r w:rsidRPr="003A05F0">
              <w:rPr>
                <w:color w:val="000000"/>
                <w:sz w:val="20"/>
                <w:szCs w:val="20"/>
                <w:vertAlign w:val="superscript"/>
              </w:rPr>
              <w:t>2</w:t>
            </w:r>
            <w:r w:rsidRPr="003A05F0">
              <w:rPr>
                <w:color w:val="000000"/>
                <w:sz w:val="20"/>
                <w:szCs w:val="20"/>
              </w:rPr>
              <w:t>)</w:t>
            </w:r>
          </w:p>
        </w:tc>
        <w:tc>
          <w:tcPr>
            <w:tcW w:w="597"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snapToGrid w:val="0"/>
              <w:jc w:val="both"/>
              <w:rPr>
                <w:color w:val="000000"/>
                <w:sz w:val="20"/>
                <w:szCs w:val="20"/>
              </w:rPr>
            </w:pPr>
            <w:r w:rsidRPr="003A05F0">
              <w:rPr>
                <w:color w:val="000000"/>
                <w:sz w:val="20"/>
                <w:szCs w:val="20"/>
              </w:rPr>
              <w:t>1.3×10</w:t>
            </w:r>
            <w:r w:rsidRPr="003A05F0">
              <w:rPr>
                <w:color w:val="000000"/>
                <w:sz w:val="20"/>
                <w:szCs w:val="20"/>
                <w:vertAlign w:val="superscript"/>
              </w:rPr>
              <w:t>3</w:t>
            </w:r>
          </w:p>
          <w:p w:rsidR="00BA0D44" w:rsidRPr="003A05F0" w:rsidRDefault="00BA0D44" w:rsidP="003A05F0">
            <w:pPr>
              <w:suppressAutoHyphens w:val="0"/>
              <w:snapToGrid w:val="0"/>
              <w:jc w:val="both"/>
              <w:rPr>
                <w:color w:val="000000"/>
                <w:sz w:val="20"/>
                <w:szCs w:val="20"/>
              </w:rPr>
            </w:pPr>
            <w:r w:rsidRPr="003A05F0">
              <w:rPr>
                <w:color w:val="000000"/>
                <w:sz w:val="20"/>
                <w:szCs w:val="20"/>
              </w:rPr>
              <w:t>(3.1×10</w:t>
            </w:r>
            <w:r w:rsidRPr="003A05F0">
              <w:rPr>
                <w:color w:val="000000"/>
                <w:sz w:val="20"/>
                <w:szCs w:val="20"/>
                <w:vertAlign w:val="superscript"/>
              </w:rPr>
              <w:t>2</w:t>
            </w:r>
            <w:r w:rsidRPr="003A05F0">
              <w:rPr>
                <w:color w:val="000000"/>
                <w:sz w:val="20"/>
                <w:szCs w:val="20"/>
              </w:rPr>
              <w:t>)</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1.2×10</w:t>
            </w:r>
            <w:r w:rsidRPr="003A05F0">
              <w:rPr>
                <w:color w:val="000000"/>
                <w:sz w:val="20"/>
                <w:szCs w:val="20"/>
                <w:vertAlign w:val="superscript"/>
              </w:rPr>
              <w:t>3</w:t>
            </w:r>
            <w:r w:rsidRPr="003A05F0">
              <w:rPr>
                <w:color w:val="000000"/>
                <w:sz w:val="20"/>
                <w:szCs w:val="20"/>
              </w:rPr>
              <w:t xml:space="preserve"> (4.7×10</w:t>
            </w:r>
            <w:r w:rsidRPr="003A05F0">
              <w:rPr>
                <w:color w:val="000000"/>
                <w:sz w:val="20"/>
                <w:szCs w:val="20"/>
                <w:vertAlign w:val="superscript"/>
              </w:rPr>
              <w:t>2</w:t>
            </w:r>
            <w:r w:rsidRPr="003A05F0">
              <w:rPr>
                <w:color w:val="000000"/>
                <w:sz w:val="20"/>
                <w:szCs w:val="20"/>
              </w:rPr>
              <w:t>)</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4.3×10</w:t>
            </w:r>
            <w:r w:rsidRPr="003A05F0">
              <w:rPr>
                <w:color w:val="000000"/>
                <w:sz w:val="20"/>
                <w:szCs w:val="20"/>
                <w:vertAlign w:val="superscript"/>
              </w:rPr>
              <w:t>2</w:t>
            </w:r>
            <w:r w:rsidRPr="003A05F0">
              <w:rPr>
                <w:color w:val="000000"/>
                <w:sz w:val="20"/>
                <w:szCs w:val="20"/>
              </w:rPr>
              <w:t xml:space="preserve"> (1.5×10</w:t>
            </w:r>
            <w:r w:rsidRPr="003A05F0">
              <w:rPr>
                <w:color w:val="000000"/>
                <w:sz w:val="20"/>
                <w:szCs w:val="20"/>
                <w:vertAlign w:val="superscript"/>
              </w:rPr>
              <w:t>2</w:t>
            </w:r>
            <w:r w:rsidRPr="003A05F0">
              <w:rPr>
                <w:color w:val="000000"/>
                <w:sz w:val="20"/>
                <w:szCs w:val="20"/>
              </w:rPr>
              <w:t>)</w:t>
            </w:r>
          </w:p>
        </w:tc>
      </w:tr>
      <w:tr w:rsidR="00BA0D44" w:rsidRPr="003A05F0" w:rsidTr="00E37FCF">
        <w:trPr>
          <w:trHeight w:val="102"/>
          <w:jc w:val="center"/>
        </w:trPr>
        <w:tc>
          <w:tcPr>
            <w:tcW w:w="560" w:type="pct"/>
            <w:vMerge/>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p>
        </w:tc>
        <w:tc>
          <w:tcPr>
            <w:tcW w:w="807" w:type="pct"/>
            <w:gridSpan w:val="3"/>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proofErr w:type="spellStart"/>
            <w:r w:rsidRPr="003A05F0">
              <w:rPr>
                <w:color w:val="000000"/>
                <w:sz w:val="20"/>
                <w:szCs w:val="20"/>
              </w:rPr>
              <w:t>Mallam</w:t>
            </w:r>
            <w:proofErr w:type="spellEnd"/>
            <w:r w:rsidRPr="003A05F0">
              <w:rPr>
                <w:color w:val="000000"/>
                <w:sz w:val="20"/>
                <w:szCs w:val="20"/>
              </w:rPr>
              <w:t xml:space="preserve"> Atta</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1.8×10</w:t>
            </w:r>
            <w:r w:rsidRPr="003A05F0">
              <w:rPr>
                <w:color w:val="000000"/>
                <w:sz w:val="20"/>
                <w:szCs w:val="20"/>
                <w:vertAlign w:val="superscript"/>
              </w:rPr>
              <w:t>3</w:t>
            </w:r>
            <w:r w:rsidRPr="003A05F0">
              <w:rPr>
                <w:color w:val="000000"/>
                <w:sz w:val="20"/>
                <w:szCs w:val="20"/>
              </w:rPr>
              <w:t xml:space="preserve"> (1.1×10</w:t>
            </w:r>
            <w:r w:rsidRPr="003A05F0">
              <w:rPr>
                <w:color w:val="000000"/>
                <w:sz w:val="20"/>
                <w:szCs w:val="20"/>
                <w:vertAlign w:val="superscript"/>
              </w:rPr>
              <w:t>3</w:t>
            </w:r>
            <w:r w:rsidRPr="003A05F0">
              <w:rPr>
                <w:color w:val="000000"/>
                <w:sz w:val="20"/>
                <w:szCs w:val="20"/>
              </w:rPr>
              <w:t>)</w:t>
            </w:r>
          </w:p>
        </w:tc>
        <w:tc>
          <w:tcPr>
            <w:tcW w:w="597"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snapToGrid w:val="0"/>
              <w:jc w:val="both"/>
              <w:rPr>
                <w:color w:val="000000"/>
                <w:sz w:val="20"/>
                <w:szCs w:val="20"/>
              </w:rPr>
            </w:pPr>
            <w:r w:rsidRPr="003A05F0">
              <w:rPr>
                <w:color w:val="000000"/>
                <w:sz w:val="20"/>
                <w:szCs w:val="20"/>
              </w:rPr>
              <w:t>7.7×10</w:t>
            </w:r>
            <w:r w:rsidRPr="003A05F0">
              <w:rPr>
                <w:color w:val="000000"/>
                <w:sz w:val="20"/>
                <w:szCs w:val="20"/>
                <w:vertAlign w:val="superscript"/>
              </w:rPr>
              <w:t>2</w:t>
            </w:r>
          </w:p>
          <w:p w:rsidR="00BA0D44" w:rsidRPr="003A05F0" w:rsidRDefault="00BA0D44" w:rsidP="003A05F0">
            <w:pPr>
              <w:suppressAutoHyphens w:val="0"/>
              <w:snapToGrid w:val="0"/>
              <w:jc w:val="both"/>
              <w:rPr>
                <w:color w:val="000000"/>
                <w:sz w:val="20"/>
                <w:szCs w:val="20"/>
              </w:rPr>
            </w:pPr>
            <w:r w:rsidRPr="003A05F0">
              <w:rPr>
                <w:color w:val="000000"/>
                <w:sz w:val="20"/>
                <w:szCs w:val="20"/>
              </w:rPr>
              <w:t>(6.0×10</w:t>
            </w:r>
            <w:r w:rsidRPr="003A05F0">
              <w:rPr>
                <w:color w:val="000000"/>
                <w:sz w:val="20"/>
                <w:szCs w:val="20"/>
                <w:vertAlign w:val="superscript"/>
              </w:rPr>
              <w:t>2</w:t>
            </w:r>
            <w:r w:rsidRPr="003A05F0">
              <w:rPr>
                <w:color w:val="000000"/>
                <w:sz w:val="20"/>
                <w:szCs w:val="20"/>
              </w:rPr>
              <w:t>)</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0.00</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1.8×10</w:t>
            </w:r>
            <w:r w:rsidRPr="003A05F0">
              <w:rPr>
                <w:color w:val="000000"/>
                <w:sz w:val="20"/>
                <w:szCs w:val="20"/>
                <w:vertAlign w:val="superscript"/>
              </w:rPr>
              <w:t>2</w:t>
            </w:r>
            <w:r w:rsidRPr="003A05F0">
              <w:rPr>
                <w:color w:val="000000"/>
                <w:sz w:val="20"/>
                <w:szCs w:val="20"/>
              </w:rPr>
              <w:t xml:space="preserve"> (1.0×10</w:t>
            </w:r>
            <w:r w:rsidRPr="003A05F0">
              <w:rPr>
                <w:color w:val="000000"/>
                <w:sz w:val="20"/>
                <w:szCs w:val="20"/>
                <w:vertAlign w:val="superscript"/>
              </w:rPr>
              <w:t>2</w:t>
            </w:r>
            <w:r w:rsidRPr="003A05F0">
              <w:rPr>
                <w:color w:val="000000"/>
                <w:sz w:val="20"/>
                <w:szCs w:val="20"/>
              </w:rPr>
              <w:t>)</w:t>
            </w:r>
          </w:p>
        </w:tc>
      </w:tr>
      <w:tr w:rsidR="00BA0D44" w:rsidRPr="003A05F0" w:rsidTr="00E37FCF">
        <w:trPr>
          <w:trHeight w:val="277"/>
          <w:jc w:val="center"/>
        </w:trPr>
        <w:tc>
          <w:tcPr>
            <w:tcW w:w="5000" w:type="pct"/>
            <w:gridSpan w:val="8"/>
            <w:tcBorders>
              <w:top w:val="single" w:sz="4" w:space="0" w:color="auto"/>
              <w:bottom w:val="single" w:sz="4" w:space="0" w:color="auto"/>
            </w:tcBorders>
          </w:tcPr>
          <w:p w:rsidR="00BA0D44" w:rsidRPr="003A05F0" w:rsidRDefault="00BA0D44" w:rsidP="003A05F0">
            <w:pPr>
              <w:suppressAutoHyphens w:val="0"/>
              <w:autoSpaceDE w:val="0"/>
              <w:autoSpaceDN w:val="0"/>
              <w:adjustRightInd w:val="0"/>
              <w:snapToGrid w:val="0"/>
              <w:jc w:val="center"/>
              <w:rPr>
                <w:color w:val="000000"/>
                <w:sz w:val="20"/>
                <w:szCs w:val="20"/>
              </w:rPr>
            </w:pPr>
            <w:r w:rsidRPr="003A05F0">
              <w:rPr>
                <w:b/>
                <w:color w:val="000000"/>
                <w:sz w:val="20"/>
                <w:szCs w:val="20"/>
              </w:rPr>
              <w:t xml:space="preserve">---------------------Mean(±SEM) </w:t>
            </w:r>
            <w:proofErr w:type="spellStart"/>
            <w:r w:rsidRPr="003A05F0">
              <w:rPr>
                <w:b/>
                <w:color w:val="000000"/>
                <w:sz w:val="20"/>
                <w:szCs w:val="20"/>
              </w:rPr>
              <w:t>cfu</w:t>
            </w:r>
            <w:proofErr w:type="spellEnd"/>
            <w:r w:rsidRPr="003A05F0">
              <w:rPr>
                <w:b/>
                <w:color w:val="000000"/>
                <w:sz w:val="20"/>
                <w:szCs w:val="20"/>
              </w:rPr>
              <w:t xml:space="preserve"> cm</w:t>
            </w:r>
            <w:r w:rsidRPr="003A05F0">
              <w:rPr>
                <w:b/>
                <w:color w:val="000000"/>
                <w:sz w:val="20"/>
                <w:szCs w:val="20"/>
                <w:vertAlign w:val="superscript"/>
              </w:rPr>
              <w:t>-2</w:t>
            </w:r>
            <w:r w:rsidRPr="003A05F0">
              <w:rPr>
                <w:b/>
                <w:color w:val="000000"/>
                <w:sz w:val="20"/>
                <w:szCs w:val="20"/>
              </w:rPr>
              <w:t>-----------------------</w:t>
            </w:r>
          </w:p>
        </w:tc>
      </w:tr>
      <w:tr w:rsidR="00BA0D44" w:rsidRPr="003A05F0" w:rsidTr="00E37FCF">
        <w:trPr>
          <w:trHeight w:val="215"/>
          <w:jc w:val="center"/>
        </w:trPr>
        <w:tc>
          <w:tcPr>
            <w:tcW w:w="717" w:type="pct"/>
            <w:gridSpan w:val="2"/>
            <w:vMerge w:val="restar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b/>
                <w:color w:val="000000"/>
                <w:sz w:val="20"/>
                <w:szCs w:val="20"/>
              </w:rPr>
            </w:pPr>
          </w:p>
          <w:p w:rsidR="00F05056" w:rsidRPr="003A05F0" w:rsidRDefault="00F05056" w:rsidP="003A05F0">
            <w:pPr>
              <w:suppressAutoHyphens w:val="0"/>
              <w:autoSpaceDE w:val="0"/>
              <w:autoSpaceDN w:val="0"/>
              <w:adjustRightInd w:val="0"/>
              <w:snapToGrid w:val="0"/>
              <w:jc w:val="both"/>
              <w:rPr>
                <w:b/>
                <w:color w:val="000000"/>
                <w:sz w:val="20"/>
                <w:szCs w:val="20"/>
              </w:rPr>
            </w:pPr>
          </w:p>
          <w:p w:rsidR="00F05056" w:rsidRPr="003A05F0" w:rsidRDefault="00F05056" w:rsidP="003A05F0">
            <w:pPr>
              <w:suppressAutoHyphens w:val="0"/>
              <w:autoSpaceDE w:val="0"/>
              <w:autoSpaceDN w:val="0"/>
              <w:adjustRightInd w:val="0"/>
              <w:snapToGrid w:val="0"/>
              <w:jc w:val="both"/>
              <w:rPr>
                <w:b/>
                <w:color w:val="000000"/>
                <w:sz w:val="20"/>
                <w:szCs w:val="20"/>
              </w:rPr>
            </w:pPr>
          </w:p>
          <w:p w:rsidR="00BA0D44" w:rsidRPr="003A05F0" w:rsidRDefault="00BA0D44" w:rsidP="003A05F0">
            <w:pPr>
              <w:suppressAutoHyphens w:val="0"/>
              <w:autoSpaceDE w:val="0"/>
              <w:autoSpaceDN w:val="0"/>
              <w:adjustRightInd w:val="0"/>
              <w:snapToGrid w:val="0"/>
              <w:jc w:val="both"/>
              <w:rPr>
                <w:color w:val="000000"/>
                <w:sz w:val="20"/>
                <w:szCs w:val="20"/>
              </w:rPr>
            </w:pPr>
            <w:r w:rsidRPr="003A05F0">
              <w:rPr>
                <w:b/>
                <w:color w:val="000000"/>
                <w:sz w:val="20"/>
                <w:szCs w:val="20"/>
              </w:rPr>
              <w:t>External</w:t>
            </w:r>
          </w:p>
        </w:tc>
        <w:tc>
          <w:tcPr>
            <w:tcW w:w="650" w:type="pct"/>
            <w:gridSpan w:val="2"/>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proofErr w:type="spellStart"/>
            <w:r w:rsidRPr="003A05F0">
              <w:rPr>
                <w:color w:val="000000"/>
                <w:sz w:val="20"/>
                <w:szCs w:val="20"/>
              </w:rPr>
              <w:t>Madina</w:t>
            </w:r>
            <w:proofErr w:type="spellEnd"/>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8.9×10</w:t>
            </w:r>
            <w:r w:rsidRPr="003A05F0">
              <w:rPr>
                <w:color w:val="000000"/>
                <w:sz w:val="20"/>
                <w:szCs w:val="20"/>
                <w:vertAlign w:val="superscript"/>
              </w:rPr>
              <w:t>3</w:t>
            </w:r>
            <w:r w:rsidRPr="003A05F0">
              <w:rPr>
                <w:color w:val="000000"/>
                <w:sz w:val="20"/>
                <w:szCs w:val="20"/>
              </w:rPr>
              <w:t xml:space="preserve"> (1.8×10</w:t>
            </w:r>
            <w:r w:rsidRPr="003A05F0">
              <w:rPr>
                <w:color w:val="000000"/>
                <w:sz w:val="20"/>
                <w:szCs w:val="20"/>
                <w:vertAlign w:val="superscript"/>
              </w:rPr>
              <w:t>3</w:t>
            </w:r>
            <w:r w:rsidRPr="003A05F0">
              <w:rPr>
                <w:color w:val="000000"/>
                <w:sz w:val="20"/>
                <w:szCs w:val="20"/>
              </w:rPr>
              <w:t>)</w:t>
            </w:r>
          </w:p>
        </w:tc>
        <w:tc>
          <w:tcPr>
            <w:tcW w:w="597"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snapToGrid w:val="0"/>
              <w:jc w:val="both"/>
              <w:rPr>
                <w:color w:val="000000"/>
                <w:sz w:val="20"/>
                <w:szCs w:val="20"/>
              </w:rPr>
            </w:pPr>
            <w:r w:rsidRPr="003A05F0">
              <w:rPr>
                <w:color w:val="000000"/>
                <w:sz w:val="20"/>
                <w:szCs w:val="20"/>
              </w:rPr>
              <w:t>4.4×10</w:t>
            </w:r>
            <w:r w:rsidRPr="003A05F0">
              <w:rPr>
                <w:color w:val="000000"/>
                <w:sz w:val="20"/>
                <w:szCs w:val="20"/>
                <w:vertAlign w:val="superscript"/>
              </w:rPr>
              <w:t>3</w:t>
            </w:r>
          </w:p>
          <w:p w:rsidR="00BA0D44" w:rsidRPr="003A05F0" w:rsidRDefault="00BA0D44" w:rsidP="003A05F0">
            <w:pPr>
              <w:suppressAutoHyphens w:val="0"/>
              <w:snapToGrid w:val="0"/>
              <w:jc w:val="both"/>
              <w:rPr>
                <w:color w:val="000000"/>
                <w:sz w:val="20"/>
                <w:szCs w:val="20"/>
              </w:rPr>
            </w:pPr>
            <w:r w:rsidRPr="003A05F0">
              <w:rPr>
                <w:color w:val="000000"/>
                <w:sz w:val="20"/>
                <w:szCs w:val="20"/>
              </w:rPr>
              <w:t>(1.4×10</w:t>
            </w:r>
            <w:r w:rsidRPr="003A05F0">
              <w:rPr>
                <w:color w:val="000000"/>
                <w:sz w:val="20"/>
                <w:szCs w:val="20"/>
                <w:vertAlign w:val="superscript"/>
              </w:rPr>
              <w:t>3</w:t>
            </w:r>
            <w:r w:rsidRPr="003A05F0">
              <w:rPr>
                <w:color w:val="000000"/>
                <w:sz w:val="20"/>
                <w:szCs w:val="20"/>
              </w:rPr>
              <w:t>)</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1.6×10</w:t>
            </w:r>
            <w:r w:rsidRPr="003A05F0">
              <w:rPr>
                <w:color w:val="000000"/>
                <w:sz w:val="20"/>
                <w:szCs w:val="20"/>
                <w:vertAlign w:val="superscript"/>
              </w:rPr>
              <w:t>3</w:t>
            </w:r>
            <w:r w:rsidRPr="003A05F0">
              <w:rPr>
                <w:color w:val="000000"/>
                <w:sz w:val="20"/>
                <w:szCs w:val="20"/>
              </w:rPr>
              <w:t xml:space="preserve"> (6.4×10</w:t>
            </w:r>
            <w:r w:rsidRPr="003A05F0">
              <w:rPr>
                <w:color w:val="000000"/>
                <w:sz w:val="20"/>
                <w:szCs w:val="20"/>
                <w:vertAlign w:val="superscript"/>
              </w:rPr>
              <w:t>2</w:t>
            </w:r>
            <w:r w:rsidRPr="003A05F0">
              <w:rPr>
                <w:color w:val="000000"/>
                <w:sz w:val="20"/>
                <w:szCs w:val="20"/>
              </w:rPr>
              <w:t>)</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3.4×10</w:t>
            </w:r>
            <w:r w:rsidRPr="003A05F0">
              <w:rPr>
                <w:color w:val="000000"/>
                <w:sz w:val="20"/>
                <w:szCs w:val="20"/>
                <w:vertAlign w:val="superscript"/>
              </w:rPr>
              <w:t>3</w:t>
            </w:r>
          </w:p>
          <w:p w:rsidR="00BA0D44" w:rsidRPr="003A05F0" w:rsidRDefault="00BA0D44" w:rsidP="003A05F0">
            <w:pPr>
              <w:suppressAutoHyphens w:val="0"/>
              <w:autoSpaceDE w:val="0"/>
              <w:autoSpaceDN w:val="0"/>
              <w:adjustRightInd w:val="0"/>
              <w:snapToGrid w:val="0"/>
              <w:jc w:val="both"/>
              <w:rPr>
                <w:rFonts w:hint="eastAsia"/>
                <w:color w:val="000000"/>
                <w:sz w:val="20"/>
                <w:szCs w:val="20"/>
                <w:lang w:eastAsia="zh-CN"/>
              </w:rPr>
            </w:pPr>
            <w:r w:rsidRPr="003A05F0">
              <w:rPr>
                <w:color w:val="000000"/>
                <w:sz w:val="20"/>
                <w:szCs w:val="20"/>
              </w:rPr>
              <w:t>(1.5×10</w:t>
            </w:r>
            <w:r w:rsidRPr="003A05F0">
              <w:rPr>
                <w:color w:val="000000"/>
                <w:sz w:val="20"/>
                <w:szCs w:val="20"/>
                <w:vertAlign w:val="superscript"/>
              </w:rPr>
              <w:t>3</w:t>
            </w:r>
            <w:r w:rsidRPr="003A05F0">
              <w:rPr>
                <w:color w:val="000000"/>
                <w:sz w:val="20"/>
                <w:szCs w:val="20"/>
              </w:rPr>
              <w:t>)</w:t>
            </w:r>
          </w:p>
        </w:tc>
      </w:tr>
      <w:tr w:rsidR="00BA0D44" w:rsidRPr="003A05F0" w:rsidTr="00E37FCF">
        <w:trPr>
          <w:trHeight w:val="40"/>
          <w:jc w:val="center"/>
        </w:trPr>
        <w:tc>
          <w:tcPr>
            <w:tcW w:w="717" w:type="pct"/>
            <w:gridSpan w:val="2"/>
            <w:vMerge/>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p>
        </w:tc>
        <w:tc>
          <w:tcPr>
            <w:tcW w:w="650" w:type="pct"/>
            <w:gridSpan w:val="2"/>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proofErr w:type="spellStart"/>
            <w:r w:rsidRPr="003A05F0">
              <w:rPr>
                <w:color w:val="000000"/>
                <w:sz w:val="20"/>
                <w:szCs w:val="20"/>
              </w:rPr>
              <w:t>Kaneshie</w:t>
            </w:r>
            <w:proofErr w:type="spellEnd"/>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4.6×10</w:t>
            </w:r>
            <w:r w:rsidRPr="003A05F0">
              <w:rPr>
                <w:color w:val="000000"/>
                <w:sz w:val="20"/>
                <w:szCs w:val="20"/>
                <w:vertAlign w:val="superscript"/>
              </w:rPr>
              <w:t>3</w:t>
            </w:r>
            <w:r w:rsidRPr="003A05F0">
              <w:rPr>
                <w:color w:val="000000"/>
                <w:sz w:val="20"/>
                <w:szCs w:val="20"/>
              </w:rPr>
              <w:t xml:space="preserve"> (2.1×10</w:t>
            </w:r>
            <w:r w:rsidRPr="003A05F0">
              <w:rPr>
                <w:color w:val="000000"/>
                <w:sz w:val="20"/>
                <w:szCs w:val="20"/>
                <w:vertAlign w:val="superscript"/>
              </w:rPr>
              <w:t>3</w:t>
            </w:r>
            <w:r w:rsidRPr="003A05F0">
              <w:rPr>
                <w:color w:val="000000"/>
                <w:sz w:val="20"/>
                <w:szCs w:val="20"/>
              </w:rPr>
              <w:t>)</w:t>
            </w:r>
          </w:p>
        </w:tc>
        <w:tc>
          <w:tcPr>
            <w:tcW w:w="597"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snapToGrid w:val="0"/>
              <w:jc w:val="both"/>
              <w:rPr>
                <w:color w:val="000000"/>
                <w:sz w:val="20"/>
                <w:szCs w:val="20"/>
              </w:rPr>
            </w:pPr>
            <w:r w:rsidRPr="003A05F0">
              <w:rPr>
                <w:color w:val="000000"/>
                <w:sz w:val="20"/>
                <w:szCs w:val="20"/>
              </w:rPr>
              <w:t>3.3×10</w:t>
            </w:r>
            <w:r w:rsidRPr="003A05F0">
              <w:rPr>
                <w:color w:val="000000"/>
                <w:sz w:val="20"/>
                <w:szCs w:val="20"/>
                <w:vertAlign w:val="superscript"/>
              </w:rPr>
              <w:t>3</w:t>
            </w:r>
          </w:p>
          <w:p w:rsidR="00BA0D44" w:rsidRPr="003A05F0" w:rsidRDefault="00BA0D44" w:rsidP="003A05F0">
            <w:pPr>
              <w:suppressAutoHyphens w:val="0"/>
              <w:snapToGrid w:val="0"/>
              <w:jc w:val="both"/>
              <w:rPr>
                <w:color w:val="000000"/>
                <w:sz w:val="20"/>
                <w:szCs w:val="20"/>
              </w:rPr>
            </w:pPr>
            <w:r w:rsidRPr="003A05F0">
              <w:rPr>
                <w:color w:val="000000"/>
                <w:sz w:val="20"/>
                <w:szCs w:val="20"/>
              </w:rPr>
              <w:t>(2.6×10</w:t>
            </w:r>
            <w:r w:rsidRPr="003A05F0">
              <w:rPr>
                <w:color w:val="000000"/>
                <w:sz w:val="20"/>
                <w:szCs w:val="20"/>
                <w:vertAlign w:val="superscript"/>
              </w:rPr>
              <w:t>3</w:t>
            </w:r>
            <w:r w:rsidRPr="003A05F0">
              <w:rPr>
                <w:color w:val="000000"/>
                <w:sz w:val="20"/>
                <w:szCs w:val="20"/>
              </w:rPr>
              <w:t>)</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2.3×10</w:t>
            </w:r>
            <w:r w:rsidRPr="003A05F0">
              <w:rPr>
                <w:color w:val="000000"/>
                <w:sz w:val="20"/>
                <w:szCs w:val="20"/>
                <w:vertAlign w:val="superscript"/>
              </w:rPr>
              <w:t>3</w:t>
            </w:r>
            <w:r w:rsidRPr="003A05F0">
              <w:rPr>
                <w:color w:val="000000"/>
                <w:sz w:val="20"/>
                <w:szCs w:val="20"/>
              </w:rPr>
              <w:t xml:space="preserve"> (1.1×10</w:t>
            </w:r>
            <w:r w:rsidRPr="003A05F0">
              <w:rPr>
                <w:color w:val="000000"/>
                <w:sz w:val="20"/>
                <w:szCs w:val="20"/>
                <w:vertAlign w:val="superscript"/>
              </w:rPr>
              <w:t>3</w:t>
            </w:r>
            <w:r w:rsidRPr="003A05F0">
              <w:rPr>
                <w:color w:val="000000"/>
                <w:sz w:val="20"/>
                <w:szCs w:val="20"/>
              </w:rPr>
              <w:t>)</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vertAlign w:val="superscript"/>
              </w:rPr>
            </w:pPr>
            <w:r w:rsidRPr="003A05F0">
              <w:rPr>
                <w:color w:val="000000"/>
                <w:sz w:val="20"/>
                <w:szCs w:val="20"/>
              </w:rPr>
              <w:t>8.5×10</w:t>
            </w:r>
            <w:r w:rsidRPr="003A05F0">
              <w:rPr>
                <w:color w:val="000000"/>
                <w:sz w:val="20"/>
                <w:szCs w:val="20"/>
                <w:vertAlign w:val="superscript"/>
              </w:rPr>
              <w:t>3</w:t>
            </w:r>
          </w:p>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(4.4×10</w:t>
            </w:r>
            <w:r w:rsidRPr="003A05F0">
              <w:rPr>
                <w:color w:val="000000"/>
                <w:sz w:val="20"/>
                <w:szCs w:val="20"/>
                <w:vertAlign w:val="superscript"/>
              </w:rPr>
              <w:t>3</w:t>
            </w:r>
            <w:r w:rsidRPr="003A05F0">
              <w:rPr>
                <w:color w:val="000000"/>
                <w:sz w:val="20"/>
                <w:szCs w:val="20"/>
              </w:rPr>
              <w:t>)</w:t>
            </w:r>
          </w:p>
        </w:tc>
      </w:tr>
      <w:tr w:rsidR="00BA0D44" w:rsidRPr="003A05F0" w:rsidTr="00E37FCF">
        <w:trPr>
          <w:trHeight w:val="102"/>
          <w:jc w:val="center"/>
        </w:trPr>
        <w:tc>
          <w:tcPr>
            <w:tcW w:w="717" w:type="pct"/>
            <w:gridSpan w:val="2"/>
            <w:vMerge/>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p>
        </w:tc>
        <w:tc>
          <w:tcPr>
            <w:tcW w:w="650" w:type="pct"/>
            <w:gridSpan w:val="2"/>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proofErr w:type="spellStart"/>
            <w:r w:rsidRPr="003A05F0">
              <w:rPr>
                <w:color w:val="000000"/>
                <w:sz w:val="20"/>
                <w:szCs w:val="20"/>
              </w:rPr>
              <w:t>Mallam</w:t>
            </w:r>
            <w:proofErr w:type="spellEnd"/>
            <w:r w:rsidRPr="003A05F0">
              <w:rPr>
                <w:color w:val="000000"/>
                <w:sz w:val="20"/>
                <w:szCs w:val="20"/>
              </w:rPr>
              <w:t xml:space="preserve"> Atta</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6.6×10</w:t>
            </w:r>
            <w:r w:rsidRPr="003A05F0">
              <w:rPr>
                <w:color w:val="000000"/>
                <w:sz w:val="20"/>
                <w:szCs w:val="20"/>
                <w:vertAlign w:val="superscript"/>
              </w:rPr>
              <w:t>3</w:t>
            </w:r>
            <w:r w:rsidRPr="003A05F0">
              <w:rPr>
                <w:color w:val="000000"/>
                <w:sz w:val="20"/>
                <w:szCs w:val="20"/>
              </w:rPr>
              <w:t xml:space="preserve"> (5.4×10</w:t>
            </w:r>
            <w:r w:rsidRPr="003A05F0">
              <w:rPr>
                <w:color w:val="000000"/>
                <w:sz w:val="20"/>
                <w:szCs w:val="20"/>
                <w:vertAlign w:val="superscript"/>
              </w:rPr>
              <w:t>3</w:t>
            </w:r>
            <w:r w:rsidRPr="003A05F0">
              <w:rPr>
                <w:color w:val="000000"/>
                <w:sz w:val="20"/>
                <w:szCs w:val="20"/>
              </w:rPr>
              <w:t>)</w:t>
            </w:r>
          </w:p>
        </w:tc>
        <w:tc>
          <w:tcPr>
            <w:tcW w:w="597"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snapToGrid w:val="0"/>
              <w:jc w:val="both"/>
              <w:rPr>
                <w:color w:val="000000"/>
                <w:sz w:val="20"/>
                <w:szCs w:val="20"/>
              </w:rPr>
            </w:pPr>
            <w:r w:rsidRPr="003A05F0">
              <w:rPr>
                <w:color w:val="000000"/>
                <w:sz w:val="20"/>
                <w:szCs w:val="20"/>
              </w:rPr>
              <w:t>2.4×10</w:t>
            </w:r>
            <w:r w:rsidRPr="003A05F0">
              <w:rPr>
                <w:color w:val="000000"/>
                <w:sz w:val="20"/>
                <w:szCs w:val="20"/>
                <w:vertAlign w:val="superscript"/>
              </w:rPr>
              <w:t>3</w:t>
            </w:r>
          </w:p>
          <w:p w:rsidR="00BA0D44" w:rsidRPr="003A05F0" w:rsidRDefault="00BA0D44" w:rsidP="003A05F0">
            <w:pPr>
              <w:suppressAutoHyphens w:val="0"/>
              <w:snapToGrid w:val="0"/>
              <w:jc w:val="both"/>
              <w:rPr>
                <w:color w:val="000000"/>
                <w:sz w:val="20"/>
                <w:szCs w:val="20"/>
              </w:rPr>
            </w:pPr>
            <w:r w:rsidRPr="003A05F0">
              <w:rPr>
                <w:color w:val="000000"/>
                <w:sz w:val="20"/>
                <w:szCs w:val="20"/>
              </w:rPr>
              <w:t>(1.8×10</w:t>
            </w:r>
            <w:r w:rsidRPr="003A05F0">
              <w:rPr>
                <w:color w:val="000000"/>
                <w:sz w:val="20"/>
                <w:szCs w:val="20"/>
                <w:vertAlign w:val="superscript"/>
              </w:rPr>
              <w:t>3</w:t>
            </w:r>
            <w:r w:rsidRPr="003A05F0">
              <w:rPr>
                <w:color w:val="000000"/>
                <w:sz w:val="20"/>
                <w:szCs w:val="20"/>
              </w:rPr>
              <w:t>)</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1.4×10</w:t>
            </w:r>
            <w:r w:rsidRPr="003A05F0">
              <w:rPr>
                <w:color w:val="000000"/>
                <w:sz w:val="20"/>
                <w:szCs w:val="20"/>
                <w:vertAlign w:val="superscript"/>
              </w:rPr>
              <w:t>3</w:t>
            </w:r>
            <w:r w:rsidRPr="003A05F0">
              <w:rPr>
                <w:color w:val="000000"/>
                <w:sz w:val="20"/>
                <w:szCs w:val="20"/>
              </w:rPr>
              <w:t xml:space="preserve"> (1.3×10</w:t>
            </w:r>
            <w:r w:rsidRPr="003A05F0">
              <w:rPr>
                <w:color w:val="000000"/>
                <w:sz w:val="20"/>
                <w:szCs w:val="20"/>
                <w:vertAlign w:val="superscript"/>
              </w:rPr>
              <w:t>3</w:t>
            </w:r>
            <w:r w:rsidRPr="003A05F0">
              <w:rPr>
                <w:color w:val="000000"/>
                <w:sz w:val="20"/>
                <w:szCs w:val="20"/>
              </w:rPr>
              <w:t>)</w:t>
            </w:r>
          </w:p>
        </w:tc>
        <w:tc>
          <w:tcPr>
            <w:tcW w:w="1012" w:type="pct"/>
            <w:tcBorders>
              <w:top w:val="single" w:sz="4" w:space="0" w:color="auto"/>
              <w:left w:val="single" w:sz="4" w:space="0" w:color="auto"/>
              <w:bottom w:val="single" w:sz="4" w:space="0" w:color="auto"/>
              <w:right w:val="single" w:sz="4" w:space="0" w:color="auto"/>
            </w:tcBorders>
          </w:tcPr>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2.0×10</w:t>
            </w:r>
            <w:r w:rsidRPr="003A05F0">
              <w:rPr>
                <w:color w:val="000000"/>
                <w:sz w:val="20"/>
                <w:szCs w:val="20"/>
                <w:vertAlign w:val="superscript"/>
              </w:rPr>
              <w:t>3</w:t>
            </w:r>
          </w:p>
          <w:p w:rsidR="00BA0D44" w:rsidRPr="003A05F0" w:rsidRDefault="00BA0D44" w:rsidP="003A05F0">
            <w:pPr>
              <w:suppressAutoHyphens w:val="0"/>
              <w:autoSpaceDE w:val="0"/>
              <w:autoSpaceDN w:val="0"/>
              <w:adjustRightInd w:val="0"/>
              <w:snapToGrid w:val="0"/>
              <w:jc w:val="both"/>
              <w:rPr>
                <w:color w:val="000000"/>
                <w:sz w:val="20"/>
                <w:szCs w:val="20"/>
              </w:rPr>
            </w:pPr>
            <w:r w:rsidRPr="003A05F0">
              <w:rPr>
                <w:color w:val="000000"/>
                <w:sz w:val="20"/>
                <w:szCs w:val="20"/>
              </w:rPr>
              <w:t>(1.3×10</w:t>
            </w:r>
            <w:r w:rsidRPr="003A05F0">
              <w:rPr>
                <w:color w:val="000000"/>
                <w:sz w:val="20"/>
                <w:szCs w:val="20"/>
                <w:vertAlign w:val="superscript"/>
              </w:rPr>
              <w:t>3</w:t>
            </w:r>
            <w:r w:rsidRPr="003A05F0">
              <w:rPr>
                <w:color w:val="000000"/>
                <w:sz w:val="20"/>
                <w:szCs w:val="20"/>
              </w:rPr>
              <w:t>)</w:t>
            </w:r>
          </w:p>
        </w:tc>
      </w:tr>
    </w:tbl>
    <w:p w:rsidR="00481BE4" w:rsidRPr="003A05F0" w:rsidRDefault="00481BE4" w:rsidP="003A05F0">
      <w:pPr>
        <w:suppressAutoHyphens w:val="0"/>
        <w:autoSpaceDE w:val="0"/>
        <w:autoSpaceDN w:val="0"/>
        <w:adjustRightInd w:val="0"/>
        <w:snapToGrid w:val="0"/>
        <w:ind w:firstLine="425"/>
        <w:jc w:val="both"/>
        <w:rPr>
          <w:b/>
          <w:sz w:val="20"/>
          <w:szCs w:val="20"/>
        </w:rPr>
      </w:pPr>
    </w:p>
    <w:tbl>
      <w:tblPr>
        <w:tblW w:w="5000" w:type="pct"/>
        <w:jc w:val="center"/>
        <w:tblBorders>
          <w:bottom w:val="single" w:sz="4" w:space="0" w:color="auto"/>
        </w:tblBorders>
        <w:tblLook w:val="04A0"/>
      </w:tblPr>
      <w:tblGrid>
        <w:gridCol w:w="1014"/>
        <w:gridCol w:w="910"/>
        <w:gridCol w:w="912"/>
        <w:gridCol w:w="1877"/>
        <w:gridCol w:w="1877"/>
        <w:gridCol w:w="1877"/>
        <w:gridCol w:w="1109"/>
      </w:tblGrid>
      <w:tr w:rsidR="00F218DC" w:rsidRPr="003A05F0" w:rsidTr="00E37FCF">
        <w:trPr>
          <w:cantSplit/>
          <w:jc w:val="center"/>
        </w:trPr>
        <w:tc>
          <w:tcPr>
            <w:tcW w:w="5000" w:type="pct"/>
            <w:gridSpan w:val="7"/>
            <w:tcBorders>
              <w:bottom w:val="single" w:sz="4" w:space="0" w:color="auto"/>
            </w:tcBorders>
          </w:tcPr>
          <w:p w:rsidR="00F218DC" w:rsidRPr="003A05F0" w:rsidRDefault="00F218DC" w:rsidP="003A05F0">
            <w:pPr>
              <w:suppressAutoHyphens w:val="0"/>
              <w:autoSpaceDE w:val="0"/>
              <w:autoSpaceDN w:val="0"/>
              <w:adjustRightInd w:val="0"/>
              <w:snapToGrid w:val="0"/>
              <w:jc w:val="center"/>
              <w:rPr>
                <w:color w:val="000000"/>
                <w:sz w:val="20"/>
                <w:szCs w:val="20"/>
              </w:rPr>
            </w:pPr>
            <w:r w:rsidRPr="003A05F0">
              <w:rPr>
                <w:color w:val="000000"/>
                <w:sz w:val="20"/>
                <w:szCs w:val="20"/>
              </w:rPr>
              <w:t>Table 4: Microbial Load of Internal Tissues of the Fruit in Different States</w:t>
            </w:r>
          </w:p>
        </w:tc>
      </w:tr>
      <w:tr w:rsidR="00F218DC" w:rsidRPr="003A05F0" w:rsidTr="00E37FCF">
        <w:trPr>
          <w:cantSplit/>
          <w:jc w:val="center"/>
        </w:trPr>
        <w:tc>
          <w:tcPr>
            <w:tcW w:w="53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b/>
                <w:color w:val="000000"/>
                <w:sz w:val="20"/>
                <w:szCs w:val="20"/>
              </w:rPr>
            </w:pPr>
          </w:p>
        </w:tc>
        <w:tc>
          <w:tcPr>
            <w:tcW w:w="951" w:type="pct"/>
            <w:gridSpan w:val="2"/>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b/>
                <w:color w:val="000000"/>
                <w:sz w:val="20"/>
                <w:szCs w:val="20"/>
              </w:rPr>
            </w:pP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b/>
                <w:color w:val="000000"/>
                <w:sz w:val="20"/>
                <w:szCs w:val="20"/>
              </w:rPr>
            </w:pPr>
            <w:r w:rsidRPr="003A05F0">
              <w:rPr>
                <w:b/>
                <w:color w:val="000000"/>
                <w:sz w:val="20"/>
                <w:szCs w:val="20"/>
              </w:rPr>
              <w:t>TPC</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b/>
                <w:color w:val="000000"/>
                <w:sz w:val="20"/>
                <w:szCs w:val="20"/>
              </w:rPr>
            </w:pPr>
            <w:r w:rsidRPr="003A05F0">
              <w:rPr>
                <w:b/>
                <w:color w:val="000000"/>
                <w:sz w:val="20"/>
                <w:szCs w:val="20"/>
              </w:rPr>
              <w:t>CPC</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b/>
                <w:color w:val="000000"/>
                <w:sz w:val="20"/>
                <w:szCs w:val="20"/>
              </w:rPr>
            </w:pPr>
            <w:r w:rsidRPr="003A05F0">
              <w:rPr>
                <w:b/>
                <w:color w:val="000000"/>
                <w:sz w:val="20"/>
                <w:szCs w:val="20"/>
              </w:rPr>
              <w:t>FCPC</w:t>
            </w:r>
          </w:p>
        </w:tc>
        <w:tc>
          <w:tcPr>
            <w:tcW w:w="5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b/>
                <w:color w:val="000000"/>
                <w:sz w:val="20"/>
                <w:szCs w:val="20"/>
              </w:rPr>
            </w:pPr>
            <w:r w:rsidRPr="003A05F0">
              <w:rPr>
                <w:b/>
                <w:color w:val="000000"/>
                <w:sz w:val="20"/>
                <w:szCs w:val="20"/>
              </w:rPr>
              <w:t>YMPC</w:t>
            </w:r>
          </w:p>
        </w:tc>
      </w:tr>
      <w:tr w:rsidR="00F218DC" w:rsidRPr="003A05F0" w:rsidTr="00E37FCF">
        <w:trPr>
          <w:cantSplit/>
          <w:jc w:val="center"/>
        </w:trPr>
        <w:tc>
          <w:tcPr>
            <w:tcW w:w="530" w:type="pct"/>
            <w:vMerge w:val="restar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b/>
                <w:color w:val="000000"/>
                <w:sz w:val="20"/>
                <w:szCs w:val="20"/>
              </w:rPr>
            </w:pPr>
          </w:p>
          <w:p w:rsidR="00F218DC" w:rsidRPr="003A05F0" w:rsidRDefault="00F218DC" w:rsidP="003A05F0">
            <w:pPr>
              <w:suppressAutoHyphens w:val="0"/>
              <w:autoSpaceDE w:val="0"/>
              <w:autoSpaceDN w:val="0"/>
              <w:adjustRightInd w:val="0"/>
              <w:snapToGrid w:val="0"/>
              <w:jc w:val="both"/>
              <w:rPr>
                <w:b/>
                <w:color w:val="000000"/>
                <w:sz w:val="20"/>
                <w:szCs w:val="20"/>
              </w:rPr>
            </w:pPr>
          </w:p>
          <w:p w:rsidR="00F218DC" w:rsidRPr="003A05F0" w:rsidRDefault="00F218DC" w:rsidP="003A05F0">
            <w:pPr>
              <w:suppressAutoHyphens w:val="0"/>
              <w:autoSpaceDE w:val="0"/>
              <w:autoSpaceDN w:val="0"/>
              <w:adjustRightInd w:val="0"/>
              <w:snapToGrid w:val="0"/>
              <w:jc w:val="both"/>
              <w:rPr>
                <w:b/>
                <w:color w:val="000000"/>
                <w:sz w:val="20"/>
                <w:szCs w:val="20"/>
              </w:rPr>
            </w:pPr>
          </w:p>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Internal</w:t>
            </w:r>
          </w:p>
        </w:tc>
        <w:tc>
          <w:tcPr>
            <w:tcW w:w="951" w:type="pct"/>
            <w:gridSpan w:val="2"/>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b/>
                <w:color w:val="000000"/>
                <w:sz w:val="20"/>
                <w:szCs w:val="20"/>
              </w:rPr>
            </w:pPr>
            <w:r w:rsidRPr="003A05F0">
              <w:rPr>
                <w:b/>
                <w:color w:val="000000"/>
                <w:sz w:val="20"/>
                <w:szCs w:val="20"/>
              </w:rPr>
              <w:t>Scars/Punctures</w:t>
            </w:r>
          </w:p>
        </w:tc>
        <w:tc>
          <w:tcPr>
            <w:tcW w:w="3520" w:type="pct"/>
            <w:gridSpan w:val="4"/>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b/>
                <w:color w:val="000000"/>
                <w:sz w:val="20"/>
                <w:szCs w:val="20"/>
              </w:rPr>
            </w:pPr>
            <w:r w:rsidRPr="003A05F0">
              <w:rPr>
                <w:b/>
                <w:color w:val="000000"/>
                <w:sz w:val="20"/>
                <w:szCs w:val="20"/>
              </w:rPr>
              <w:t xml:space="preserve">---------------------Mean(±SEM) </w:t>
            </w:r>
            <w:proofErr w:type="spellStart"/>
            <w:r w:rsidRPr="003A05F0">
              <w:rPr>
                <w:b/>
                <w:color w:val="000000"/>
                <w:sz w:val="20"/>
                <w:szCs w:val="20"/>
              </w:rPr>
              <w:t>cfu</w:t>
            </w:r>
            <w:proofErr w:type="spellEnd"/>
            <w:r w:rsidRPr="003A05F0">
              <w:rPr>
                <w:b/>
                <w:color w:val="000000"/>
                <w:sz w:val="20"/>
                <w:szCs w:val="20"/>
              </w:rPr>
              <w:t xml:space="preserve"> uL</w:t>
            </w:r>
            <w:r w:rsidRPr="003A05F0">
              <w:rPr>
                <w:b/>
                <w:color w:val="000000"/>
                <w:sz w:val="20"/>
                <w:szCs w:val="20"/>
                <w:vertAlign w:val="superscript"/>
              </w:rPr>
              <w:t>-1</w:t>
            </w:r>
            <w:r w:rsidRPr="003A05F0">
              <w:rPr>
                <w:b/>
                <w:color w:val="000000"/>
                <w:sz w:val="20"/>
                <w:szCs w:val="20"/>
              </w:rPr>
              <w:t>------------------------</w:t>
            </w:r>
          </w:p>
        </w:tc>
      </w:tr>
      <w:tr w:rsidR="00F218DC" w:rsidRPr="003A05F0" w:rsidTr="00E37FCF">
        <w:trPr>
          <w:cantSplit/>
          <w:jc w:val="center"/>
        </w:trPr>
        <w:tc>
          <w:tcPr>
            <w:tcW w:w="530" w:type="pct"/>
            <w:vMerge/>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p>
        </w:tc>
        <w:tc>
          <w:tcPr>
            <w:tcW w:w="951" w:type="pct"/>
            <w:gridSpan w:val="2"/>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Few</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4.8×10</w:t>
            </w:r>
            <w:r w:rsidRPr="003A05F0">
              <w:rPr>
                <w:color w:val="000000"/>
                <w:sz w:val="20"/>
                <w:szCs w:val="20"/>
                <w:vertAlign w:val="superscript"/>
              </w:rPr>
              <w:t>2</w:t>
            </w:r>
            <w:r w:rsidRPr="003A05F0">
              <w:rPr>
                <w:color w:val="000000"/>
                <w:sz w:val="20"/>
                <w:szCs w:val="20"/>
              </w:rPr>
              <w:t xml:space="preserve"> (1.5×10</w:t>
            </w:r>
            <w:r w:rsidRPr="003A05F0">
              <w:rPr>
                <w:color w:val="000000"/>
                <w:sz w:val="20"/>
                <w:szCs w:val="20"/>
                <w:vertAlign w:val="superscript"/>
              </w:rPr>
              <w:t>2</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snapToGrid w:val="0"/>
              <w:jc w:val="both"/>
              <w:rPr>
                <w:color w:val="000000"/>
                <w:sz w:val="20"/>
                <w:szCs w:val="20"/>
              </w:rPr>
            </w:pPr>
            <w:r w:rsidRPr="003A05F0">
              <w:rPr>
                <w:color w:val="000000"/>
                <w:sz w:val="20"/>
                <w:szCs w:val="20"/>
              </w:rPr>
              <w:t>1.5×10</w:t>
            </w:r>
            <w:r w:rsidRPr="003A05F0">
              <w:rPr>
                <w:color w:val="000000"/>
                <w:sz w:val="20"/>
                <w:szCs w:val="20"/>
                <w:vertAlign w:val="superscript"/>
              </w:rPr>
              <w:t>2</w:t>
            </w:r>
          </w:p>
          <w:p w:rsidR="00F218DC" w:rsidRPr="003A05F0" w:rsidRDefault="00F218DC" w:rsidP="003A05F0">
            <w:pPr>
              <w:suppressAutoHyphens w:val="0"/>
              <w:snapToGrid w:val="0"/>
              <w:jc w:val="both"/>
              <w:rPr>
                <w:color w:val="000000"/>
                <w:sz w:val="20"/>
                <w:szCs w:val="20"/>
              </w:rPr>
            </w:pPr>
            <w:r w:rsidRPr="003A05F0">
              <w:rPr>
                <w:color w:val="000000"/>
                <w:sz w:val="20"/>
                <w:szCs w:val="20"/>
              </w:rPr>
              <w:t>1.2×10</w:t>
            </w:r>
            <w:r w:rsidRPr="003A05F0">
              <w:rPr>
                <w:color w:val="000000"/>
                <w:sz w:val="20"/>
                <w:szCs w:val="20"/>
                <w:vertAlign w:val="superscript"/>
              </w:rPr>
              <w:t>2</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1.0×10</w:t>
            </w:r>
            <w:r w:rsidRPr="003A05F0">
              <w:rPr>
                <w:color w:val="000000"/>
                <w:sz w:val="20"/>
                <w:szCs w:val="20"/>
                <w:vertAlign w:val="superscript"/>
              </w:rPr>
              <w:t>2</w:t>
            </w:r>
          </w:p>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(6.7×10</w:t>
            </w:r>
            <w:r w:rsidRPr="003A05F0">
              <w:rPr>
                <w:color w:val="000000"/>
                <w:sz w:val="20"/>
                <w:szCs w:val="20"/>
                <w:vertAlign w:val="superscript"/>
              </w:rPr>
              <w:t>1</w:t>
            </w:r>
            <w:r w:rsidRPr="003A05F0">
              <w:rPr>
                <w:color w:val="000000"/>
                <w:sz w:val="20"/>
                <w:szCs w:val="20"/>
              </w:rPr>
              <w:t>)</w:t>
            </w:r>
          </w:p>
        </w:tc>
        <w:tc>
          <w:tcPr>
            <w:tcW w:w="5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1.3×10</w:t>
            </w:r>
            <w:r w:rsidRPr="003A05F0">
              <w:rPr>
                <w:color w:val="000000"/>
                <w:sz w:val="20"/>
                <w:szCs w:val="20"/>
                <w:vertAlign w:val="superscript"/>
              </w:rPr>
              <w:t>2</w:t>
            </w:r>
          </w:p>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(8.2×10</w:t>
            </w:r>
            <w:r w:rsidRPr="003A05F0">
              <w:rPr>
                <w:color w:val="000000"/>
                <w:sz w:val="20"/>
                <w:szCs w:val="20"/>
                <w:vertAlign w:val="superscript"/>
              </w:rPr>
              <w:t>1</w:t>
            </w:r>
            <w:r w:rsidRPr="003A05F0">
              <w:rPr>
                <w:color w:val="000000"/>
                <w:sz w:val="20"/>
                <w:szCs w:val="20"/>
              </w:rPr>
              <w:t>)</w:t>
            </w:r>
          </w:p>
          <w:p w:rsidR="00F218DC" w:rsidRPr="003A05F0" w:rsidRDefault="00F218DC" w:rsidP="003A05F0">
            <w:pPr>
              <w:suppressAutoHyphens w:val="0"/>
              <w:autoSpaceDE w:val="0"/>
              <w:autoSpaceDN w:val="0"/>
              <w:adjustRightInd w:val="0"/>
              <w:snapToGrid w:val="0"/>
              <w:jc w:val="both"/>
              <w:rPr>
                <w:color w:val="000000"/>
                <w:sz w:val="20"/>
                <w:szCs w:val="20"/>
              </w:rPr>
            </w:pPr>
          </w:p>
        </w:tc>
      </w:tr>
      <w:tr w:rsidR="00F218DC" w:rsidRPr="003A05F0" w:rsidTr="00E37FCF">
        <w:trPr>
          <w:cantSplit/>
          <w:jc w:val="center"/>
        </w:trPr>
        <w:tc>
          <w:tcPr>
            <w:tcW w:w="530" w:type="pct"/>
            <w:vMerge/>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p>
        </w:tc>
        <w:tc>
          <w:tcPr>
            <w:tcW w:w="951" w:type="pct"/>
            <w:gridSpan w:val="2"/>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Moderate</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3.1×10</w:t>
            </w:r>
            <w:r w:rsidRPr="003A05F0">
              <w:rPr>
                <w:color w:val="000000"/>
                <w:sz w:val="20"/>
                <w:szCs w:val="20"/>
                <w:vertAlign w:val="superscript"/>
              </w:rPr>
              <w:t>3</w:t>
            </w:r>
            <w:r w:rsidRPr="003A05F0">
              <w:rPr>
                <w:color w:val="000000"/>
                <w:sz w:val="20"/>
                <w:szCs w:val="20"/>
              </w:rPr>
              <w:t xml:space="preserve"> (6.1×10</w:t>
            </w:r>
            <w:r w:rsidRPr="003A05F0">
              <w:rPr>
                <w:color w:val="000000"/>
                <w:sz w:val="20"/>
                <w:szCs w:val="20"/>
                <w:vertAlign w:val="superscript"/>
              </w:rPr>
              <w:t>2</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snapToGrid w:val="0"/>
              <w:jc w:val="both"/>
              <w:rPr>
                <w:color w:val="000000"/>
                <w:sz w:val="20"/>
                <w:szCs w:val="20"/>
              </w:rPr>
            </w:pPr>
            <w:r w:rsidRPr="003A05F0">
              <w:rPr>
                <w:color w:val="000000"/>
                <w:sz w:val="20"/>
                <w:szCs w:val="20"/>
              </w:rPr>
              <w:t>1.2×10</w:t>
            </w:r>
            <w:r w:rsidRPr="003A05F0">
              <w:rPr>
                <w:color w:val="000000"/>
                <w:sz w:val="20"/>
                <w:szCs w:val="20"/>
                <w:vertAlign w:val="superscript"/>
              </w:rPr>
              <w:t>3</w:t>
            </w:r>
          </w:p>
          <w:p w:rsidR="00F218DC" w:rsidRPr="003A05F0" w:rsidRDefault="00F218DC" w:rsidP="003A05F0">
            <w:pPr>
              <w:suppressAutoHyphens w:val="0"/>
              <w:snapToGrid w:val="0"/>
              <w:jc w:val="both"/>
              <w:rPr>
                <w:color w:val="000000"/>
                <w:sz w:val="20"/>
                <w:szCs w:val="20"/>
              </w:rPr>
            </w:pPr>
            <w:r w:rsidRPr="003A05F0">
              <w:rPr>
                <w:color w:val="000000"/>
                <w:sz w:val="20"/>
                <w:szCs w:val="20"/>
              </w:rPr>
              <w:t>(3.2×10</w:t>
            </w:r>
            <w:r w:rsidRPr="003A05F0">
              <w:rPr>
                <w:color w:val="000000"/>
                <w:sz w:val="20"/>
                <w:szCs w:val="20"/>
                <w:vertAlign w:val="superscript"/>
              </w:rPr>
              <w:t>2</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5.6×10</w:t>
            </w:r>
            <w:r w:rsidRPr="003A05F0">
              <w:rPr>
                <w:color w:val="000000"/>
                <w:sz w:val="20"/>
                <w:szCs w:val="20"/>
                <w:vertAlign w:val="superscript"/>
              </w:rPr>
              <w:t>2</w:t>
            </w:r>
          </w:p>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(1.3×10</w:t>
            </w:r>
            <w:r w:rsidRPr="003A05F0">
              <w:rPr>
                <w:color w:val="000000"/>
                <w:sz w:val="20"/>
                <w:szCs w:val="20"/>
                <w:vertAlign w:val="superscript"/>
              </w:rPr>
              <w:t>2</w:t>
            </w:r>
            <w:r w:rsidRPr="003A05F0">
              <w:rPr>
                <w:color w:val="000000"/>
                <w:sz w:val="20"/>
                <w:szCs w:val="20"/>
              </w:rPr>
              <w:t>)</w:t>
            </w:r>
          </w:p>
        </w:tc>
        <w:tc>
          <w:tcPr>
            <w:tcW w:w="5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3.6×10</w:t>
            </w:r>
            <w:r w:rsidRPr="003A05F0">
              <w:rPr>
                <w:color w:val="000000"/>
                <w:sz w:val="20"/>
                <w:szCs w:val="20"/>
                <w:vertAlign w:val="superscript"/>
              </w:rPr>
              <w:t>2</w:t>
            </w:r>
          </w:p>
          <w:p w:rsidR="00F218DC" w:rsidRPr="003A05F0" w:rsidRDefault="00F218DC" w:rsidP="003A05F0">
            <w:pPr>
              <w:suppressAutoHyphens w:val="0"/>
              <w:autoSpaceDE w:val="0"/>
              <w:autoSpaceDN w:val="0"/>
              <w:adjustRightInd w:val="0"/>
              <w:snapToGrid w:val="0"/>
              <w:jc w:val="both"/>
              <w:rPr>
                <w:rFonts w:hint="eastAsia"/>
                <w:color w:val="000000"/>
                <w:sz w:val="20"/>
                <w:szCs w:val="20"/>
                <w:lang w:eastAsia="zh-CN"/>
              </w:rPr>
            </w:pPr>
            <w:r w:rsidRPr="003A05F0">
              <w:rPr>
                <w:color w:val="000000"/>
                <w:sz w:val="20"/>
                <w:szCs w:val="20"/>
              </w:rPr>
              <w:t>(9.2×10</w:t>
            </w:r>
            <w:r w:rsidRPr="003A05F0">
              <w:rPr>
                <w:color w:val="000000"/>
                <w:sz w:val="20"/>
                <w:szCs w:val="20"/>
                <w:vertAlign w:val="superscript"/>
              </w:rPr>
              <w:t>1</w:t>
            </w:r>
            <w:r w:rsidRPr="003A05F0">
              <w:rPr>
                <w:color w:val="000000"/>
                <w:sz w:val="20"/>
                <w:szCs w:val="20"/>
              </w:rPr>
              <w:t>)</w:t>
            </w:r>
          </w:p>
        </w:tc>
      </w:tr>
      <w:tr w:rsidR="00F218DC" w:rsidRPr="003A05F0" w:rsidTr="00E37FCF">
        <w:trPr>
          <w:cantSplit/>
          <w:jc w:val="center"/>
        </w:trPr>
        <w:tc>
          <w:tcPr>
            <w:tcW w:w="530" w:type="pct"/>
            <w:vMerge/>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p>
        </w:tc>
        <w:tc>
          <w:tcPr>
            <w:tcW w:w="951" w:type="pct"/>
            <w:gridSpan w:val="2"/>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Numerous</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7.4×10</w:t>
            </w:r>
            <w:r w:rsidRPr="003A05F0">
              <w:rPr>
                <w:color w:val="000000"/>
                <w:sz w:val="20"/>
                <w:szCs w:val="20"/>
                <w:vertAlign w:val="superscript"/>
              </w:rPr>
              <w:t>3</w:t>
            </w:r>
            <w:r w:rsidRPr="003A05F0">
              <w:rPr>
                <w:color w:val="000000"/>
                <w:sz w:val="20"/>
                <w:szCs w:val="20"/>
              </w:rPr>
              <w:t xml:space="preserve"> (1.7×10</w:t>
            </w:r>
            <w:r w:rsidRPr="003A05F0">
              <w:rPr>
                <w:color w:val="000000"/>
                <w:sz w:val="20"/>
                <w:szCs w:val="20"/>
                <w:vertAlign w:val="superscript"/>
              </w:rPr>
              <w:t>3</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snapToGrid w:val="0"/>
              <w:jc w:val="both"/>
              <w:rPr>
                <w:color w:val="000000"/>
                <w:sz w:val="20"/>
                <w:szCs w:val="20"/>
              </w:rPr>
            </w:pPr>
            <w:r w:rsidRPr="003A05F0">
              <w:rPr>
                <w:color w:val="000000"/>
                <w:sz w:val="20"/>
                <w:szCs w:val="20"/>
              </w:rPr>
              <w:t>5.1×10</w:t>
            </w:r>
            <w:r w:rsidRPr="003A05F0">
              <w:rPr>
                <w:color w:val="000000"/>
                <w:sz w:val="20"/>
                <w:szCs w:val="20"/>
                <w:vertAlign w:val="superscript"/>
              </w:rPr>
              <w:t>3</w:t>
            </w:r>
          </w:p>
          <w:p w:rsidR="00F218DC" w:rsidRPr="003A05F0" w:rsidRDefault="00F218DC" w:rsidP="003A05F0">
            <w:pPr>
              <w:suppressAutoHyphens w:val="0"/>
              <w:snapToGrid w:val="0"/>
              <w:jc w:val="both"/>
              <w:rPr>
                <w:color w:val="000000"/>
                <w:sz w:val="20"/>
                <w:szCs w:val="20"/>
              </w:rPr>
            </w:pPr>
            <w:r w:rsidRPr="003A05F0">
              <w:rPr>
                <w:color w:val="000000"/>
                <w:sz w:val="20"/>
                <w:szCs w:val="20"/>
              </w:rPr>
              <w:t>(1.8×10</w:t>
            </w:r>
            <w:r w:rsidRPr="003A05F0">
              <w:rPr>
                <w:color w:val="000000"/>
                <w:sz w:val="20"/>
                <w:szCs w:val="20"/>
                <w:vertAlign w:val="superscript"/>
              </w:rPr>
              <w:t>3</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3.2×10</w:t>
            </w:r>
            <w:r w:rsidRPr="003A05F0">
              <w:rPr>
                <w:color w:val="000000"/>
                <w:sz w:val="20"/>
                <w:szCs w:val="20"/>
                <w:vertAlign w:val="superscript"/>
              </w:rPr>
              <w:t>3</w:t>
            </w:r>
          </w:p>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(1.0×10</w:t>
            </w:r>
            <w:r w:rsidRPr="003A05F0">
              <w:rPr>
                <w:color w:val="000000"/>
                <w:sz w:val="20"/>
                <w:szCs w:val="20"/>
                <w:vertAlign w:val="superscript"/>
              </w:rPr>
              <w:t>3</w:t>
            </w:r>
            <w:r w:rsidRPr="003A05F0">
              <w:rPr>
                <w:color w:val="000000"/>
                <w:sz w:val="20"/>
                <w:szCs w:val="20"/>
              </w:rPr>
              <w:t>)</w:t>
            </w:r>
          </w:p>
        </w:tc>
        <w:tc>
          <w:tcPr>
            <w:tcW w:w="5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2.4×10</w:t>
            </w:r>
            <w:r w:rsidRPr="003A05F0">
              <w:rPr>
                <w:color w:val="000000"/>
                <w:sz w:val="20"/>
                <w:szCs w:val="20"/>
                <w:vertAlign w:val="superscript"/>
              </w:rPr>
              <w:t>3</w:t>
            </w:r>
          </w:p>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(9.3×10</w:t>
            </w:r>
            <w:r w:rsidRPr="003A05F0">
              <w:rPr>
                <w:color w:val="000000"/>
                <w:sz w:val="20"/>
                <w:szCs w:val="20"/>
                <w:vertAlign w:val="superscript"/>
              </w:rPr>
              <w:t>2</w:t>
            </w:r>
            <w:r w:rsidRPr="003A05F0">
              <w:rPr>
                <w:color w:val="000000"/>
                <w:sz w:val="20"/>
                <w:szCs w:val="20"/>
              </w:rPr>
              <w:t>)</w:t>
            </w:r>
          </w:p>
        </w:tc>
      </w:tr>
      <w:tr w:rsidR="00F218DC" w:rsidRPr="003A05F0" w:rsidTr="00E37FCF">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1005" w:type="pct"/>
            <w:gridSpan w:val="2"/>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p>
        </w:tc>
        <w:tc>
          <w:tcPr>
            <w:tcW w:w="3995" w:type="pct"/>
            <w:gridSpan w:val="5"/>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b/>
                <w:color w:val="000000"/>
                <w:sz w:val="20"/>
                <w:szCs w:val="20"/>
              </w:rPr>
              <w:t xml:space="preserve">---------------------Mean(±SEM) </w:t>
            </w:r>
            <w:proofErr w:type="spellStart"/>
            <w:r w:rsidRPr="003A05F0">
              <w:rPr>
                <w:b/>
                <w:color w:val="000000"/>
                <w:sz w:val="20"/>
                <w:szCs w:val="20"/>
              </w:rPr>
              <w:t>cfu</w:t>
            </w:r>
            <w:proofErr w:type="spellEnd"/>
            <w:r w:rsidRPr="003A05F0">
              <w:rPr>
                <w:b/>
                <w:color w:val="000000"/>
                <w:sz w:val="20"/>
                <w:szCs w:val="20"/>
              </w:rPr>
              <w:t xml:space="preserve"> cm</w:t>
            </w:r>
            <w:r w:rsidRPr="003A05F0">
              <w:rPr>
                <w:b/>
                <w:color w:val="000000"/>
                <w:sz w:val="20"/>
                <w:szCs w:val="20"/>
                <w:vertAlign w:val="superscript"/>
              </w:rPr>
              <w:t>-2</w:t>
            </w:r>
            <w:r w:rsidRPr="003A05F0">
              <w:rPr>
                <w:b/>
                <w:color w:val="000000"/>
                <w:sz w:val="20"/>
                <w:szCs w:val="20"/>
              </w:rPr>
              <w:t>-------------------------</w:t>
            </w:r>
          </w:p>
        </w:tc>
      </w:tr>
      <w:tr w:rsidR="00F218DC" w:rsidRPr="003A05F0" w:rsidTr="00E37FCF">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530" w:type="pct"/>
            <w:vMerge w:val="restar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p>
          <w:p w:rsidR="00F218DC" w:rsidRPr="003A05F0" w:rsidRDefault="00F218DC" w:rsidP="003A05F0">
            <w:pPr>
              <w:suppressAutoHyphens w:val="0"/>
              <w:autoSpaceDE w:val="0"/>
              <w:autoSpaceDN w:val="0"/>
              <w:adjustRightInd w:val="0"/>
              <w:snapToGrid w:val="0"/>
              <w:jc w:val="both"/>
              <w:rPr>
                <w:color w:val="000000"/>
                <w:sz w:val="20"/>
                <w:szCs w:val="20"/>
              </w:rPr>
            </w:pPr>
          </w:p>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External</w:t>
            </w:r>
          </w:p>
        </w:tc>
        <w:tc>
          <w:tcPr>
            <w:tcW w:w="951" w:type="pct"/>
            <w:gridSpan w:val="2"/>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Few</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7.8×10</w:t>
            </w:r>
            <w:r w:rsidRPr="003A05F0">
              <w:rPr>
                <w:color w:val="000000"/>
                <w:sz w:val="20"/>
                <w:szCs w:val="20"/>
                <w:vertAlign w:val="superscript"/>
              </w:rPr>
              <w:t>2</w:t>
            </w:r>
            <w:r w:rsidRPr="003A05F0">
              <w:rPr>
                <w:color w:val="000000"/>
                <w:sz w:val="20"/>
                <w:szCs w:val="20"/>
              </w:rPr>
              <w:t xml:space="preserve"> (2.3×10</w:t>
            </w:r>
            <w:r w:rsidRPr="003A05F0">
              <w:rPr>
                <w:color w:val="000000"/>
                <w:sz w:val="20"/>
                <w:szCs w:val="20"/>
                <w:vertAlign w:val="superscript"/>
              </w:rPr>
              <w:t>2</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7.4×10</w:t>
            </w:r>
            <w:r w:rsidRPr="003A05F0">
              <w:rPr>
                <w:color w:val="000000"/>
                <w:sz w:val="20"/>
                <w:szCs w:val="20"/>
                <w:vertAlign w:val="superscript"/>
              </w:rPr>
              <w:t>2</w:t>
            </w:r>
            <w:r w:rsidRPr="003A05F0">
              <w:rPr>
                <w:color w:val="000000"/>
                <w:sz w:val="20"/>
                <w:szCs w:val="20"/>
              </w:rPr>
              <w:t xml:space="preserve"> (2.8×10</w:t>
            </w:r>
            <w:r w:rsidRPr="003A05F0">
              <w:rPr>
                <w:color w:val="000000"/>
                <w:sz w:val="20"/>
                <w:szCs w:val="20"/>
                <w:vertAlign w:val="superscript"/>
              </w:rPr>
              <w:t>2</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7.0×10</w:t>
            </w:r>
            <w:r w:rsidRPr="003A05F0">
              <w:rPr>
                <w:color w:val="000000"/>
                <w:sz w:val="20"/>
                <w:szCs w:val="20"/>
                <w:vertAlign w:val="superscript"/>
              </w:rPr>
              <w:t>2</w:t>
            </w:r>
          </w:p>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(6.0×10</w:t>
            </w:r>
            <w:r w:rsidRPr="003A05F0">
              <w:rPr>
                <w:color w:val="000000"/>
                <w:sz w:val="20"/>
                <w:szCs w:val="20"/>
                <w:vertAlign w:val="superscript"/>
              </w:rPr>
              <w:t>2</w:t>
            </w:r>
            <w:r w:rsidRPr="003A05F0">
              <w:rPr>
                <w:color w:val="000000"/>
                <w:sz w:val="20"/>
                <w:szCs w:val="20"/>
              </w:rPr>
              <w:t>)</w:t>
            </w:r>
          </w:p>
        </w:tc>
        <w:tc>
          <w:tcPr>
            <w:tcW w:w="5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vertAlign w:val="superscript"/>
              </w:rPr>
            </w:pPr>
            <w:r w:rsidRPr="003A05F0">
              <w:rPr>
                <w:color w:val="000000"/>
                <w:sz w:val="20"/>
                <w:szCs w:val="20"/>
              </w:rPr>
              <w:t>1.2×10</w:t>
            </w:r>
            <w:r w:rsidRPr="003A05F0">
              <w:rPr>
                <w:color w:val="000000"/>
                <w:sz w:val="20"/>
                <w:szCs w:val="20"/>
                <w:vertAlign w:val="superscript"/>
              </w:rPr>
              <w:t>3</w:t>
            </w:r>
          </w:p>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(1.1×10</w:t>
            </w:r>
            <w:r w:rsidRPr="003A05F0">
              <w:rPr>
                <w:color w:val="000000"/>
                <w:sz w:val="20"/>
                <w:szCs w:val="20"/>
                <w:vertAlign w:val="superscript"/>
              </w:rPr>
              <w:t>3</w:t>
            </w:r>
            <w:r w:rsidRPr="003A05F0">
              <w:rPr>
                <w:color w:val="000000"/>
                <w:sz w:val="20"/>
                <w:szCs w:val="20"/>
              </w:rPr>
              <w:t>)</w:t>
            </w:r>
          </w:p>
        </w:tc>
      </w:tr>
      <w:tr w:rsidR="00F218DC" w:rsidRPr="003A05F0" w:rsidTr="00E37FCF">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530" w:type="pct"/>
            <w:vMerge/>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p>
        </w:tc>
        <w:tc>
          <w:tcPr>
            <w:tcW w:w="951" w:type="pct"/>
            <w:gridSpan w:val="2"/>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Moderate</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3.6×10</w:t>
            </w:r>
            <w:r w:rsidRPr="003A05F0">
              <w:rPr>
                <w:color w:val="000000"/>
                <w:sz w:val="20"/>
                <w:szCs w:val="20"/>
                <w:vertAlign w:val="superscript"/>
              </w:rPr>
              <w:t>3</w:t>
            </w:r>
            <w:r w:rsidRPr="003A05F0">
              <w:rPr>
                <w:color w:val="000000"/>
                <w:sz w:val="20"/>
                <w:szCs w:val="20"/>
              </w:rPr>
              <w:t xml:space="preserve"> (9.1×10</w:t>
            </w:r>
            <w:r w:rsidRPr="003A05F0">
              <w:rPr>
                <w:color w:val="000000"/>
                <w:sz w:val="20"/>
                <w:szCs w:val="20"/>
                <w:vertAlign w:val="superscript"/>
              </w:rPr>
              <w:t>2</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3.2×10</w:t>
            </w:r>
            <w:r w:rsidRPr="003A05F0">
              <w:rPr>
                <w:color w:val="000000"/>
                <w:sz w:val="20"/>
                <w:szCs w:val="20"/>
                <w:vertAlign w:val="superscript"/>
              </w:rPr>
              <w:t>3</w:t>
            </w:r>
            <w:r w:rsidRPr="003A05F0">
              <w:rPr>
                <w:color w:val="000000"/>
                <w:sz w:val="20"/>
                <w:szCs w:val="20"/>
              </w:rPr>
              <w:t xml:space="preserve"> (2.8×10</w:t>
            </w:r>
            <w:r w:rsidRPr="003A05F0">
              <w:rPr>
                <w:color w:val="000000"/>
                <w:sz w:val="20"/>
                <w:szCs w:val="20"/>
                <w:vertAlign w:val="superscript"/>
              </w:rPr>
              <w:t>3</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1.7×10</w:t>
            </w:r>
            <w:r w:rsidRPr="003A05F0">
              <w:rPr>
                <w:color w:val="000000"/>
                <w:sz w:val="20"/>
                <w:szCs w:val="20"/>
                <w:vertAlign w:val="superscript"/>
              </w:rPr>
              <w:t>3</w:t>
            </w:r>
            <w:r w:rsidRPr="003A05F0">
              <w:rPr>
                <w:color w:val="000000"/>
                <w:sz w:val="20"/>
                <w:szCs w:val="20"/>
              </w:rPr>
              <w:t xml:space="preserve"> (4.6×10</w:t>
            </w:r>
            <w:r w:rsidRPr="003A05F0">
              <w:rPr>
                <w:color w:val="000000"/>
                <w:sz w:val="20"/>
                <w:szCs w:val="20"/>
                <w:vertAlign w:val="superscript"/>
              </w:rPr>
              <w:t>2</w:t>
            </w:r>
            <w:r w:rsidRPr="003A05F0">
              <w:rPr>
                <w:color w:val="000000"/>
                <w:sz w:val="20"/>
                <w:szCs w:val="20"/>
              </w:rPr>
              <w:t>)</w:t>
            </w:r>
          </w:p>
        </w:tc>
        <w:tc>
          <w:tcPr>
            <w:tcW w:w="5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5.8×10</w:t>
            </w:r>
            <w:r w:rsidRPr="003A05F0">
              <w:rPr>
                <w:color w:val="000000"/>
                <w:sz w:val="20"/>
                <w:szCs w:val="20"/>
                <w:vertAlign w:val="superscript"/>
              </w:rPr>
              <w:t>3</w:t>
            </w:r>
          </w:p>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(2.9×10</w:t>
            </w:r>
            <w:r w:rsidRPr="003A05F0">
              <w:rPr>
                <w:color w:val="000000"/>
                <w:sz w:val="20"/>
                <w:szCs w:val="20"/>
                <w:vertAlign w:val="superscript"/>
              </w:rPr>
              <w:t>3</w:t>
            </w:r>
            <w:r w:rsidRPr="003A05F0">
              <w:rPr>
                <w:color w:val="000000"/>
                <w:sz w:val="20"/>
                <w:szCs w:val="20"/>
              </w:rPr>
              <w:t>)</w:t>
            </w:r>
          </w:p>
        </w:tc>
      </w:tr>
      <w:tr w:rsidR="00F218DC" w:rsidRPr="003A05F0" w:rsidTr="00E37FCF">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530" w:type="pct"/>
            <w:vMerge/>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p>
        </w:tc>
        <w:tc>
          <w:tcPr>
            <w:tcW w:w="951" w:type="pct"/>
            <w:gridSpan w:val="2"/>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Numerous</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2.1×10</w:t>
            </w:r>
            <w:r w:rsidRPr="003A05F0">
              <w:rPr>
                <w:color w:val="000000"/>
                <w:sz w:val="20"/>
                <w:szCs w:val="20"/>
                <w:vertAlign w:val="superscript"/>
              </w:rPr>
              <w:t>4</w:t>
            </w:r>
            <w:r w:rsidRPr="003A05F0">
              <w:rPr>
                <w:color w:val="000000"/>
                <w:sz w:val="20"/>
                <w:szCs w:val="20"/>
              </w:rPr>
              <w:t xml:space="preserve"> (5.4×10</w:t>
            </w:r>
            <w:r w:rsidRPr="003A05F0">
              <w:rPr>
                <w:color w:val="000000"/>
                <w:sz w:val="20"/>
                <w:szCs w:val="20"/>
                <w:vertAlign w:val="superscript"/>
              </w:rPr>
              <w:t>3</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9.8×10</w:t>
            </w:r>
            <w:r w:rsidRPr="003A05F0">
              <w:rPr>
                <w:color w:val="000000"/>
                <w:sz w:val="20"/>
                <w:szCs w:val="20"/>
                <w:vertAlign w:val="superscript"/>
              </w:rPr>
              <w:t>3</w:t>
            </w:r>
            <w:r w:rsidRPr="003A05F0">
              <w:rPr>
                <w:color w:val="000000"/>
                <w:sz w:val="20"/>
                <w:szCs w:val="20"/>
              </w:rPr>
              <w:t xml:space="preserve"> (1.9×10</w:t>
            </w:r>
            <w:r w:rsidRPr="003A05F0">
              <w:rPr>
                <w:color w:val="000000"/>
                <w:sz w:val="20"/>
                <w:szCs w:val="20"/>
                <w:vertAlign w:val="superscript"/>
              </w:rPr>
              <w:t>3</w:t>
            </w:r>
            <w:r w:rsidRPr="003A05F0">
              <w:rPr>
                <w:color w:val="000000"/>
                <w:sz w:val="20"/>
                <w:szCs w:val="20"/>
              </w:rPr>
              <w:t>)</w:t>
            </w:r>
          </w:p>
        </w:tc>
        <w:tc>
          <w:tcPr>
            <w:tcW w:w="9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snapToGrid w:val="0"/>
              <w:jc w:val="both"/>
              <w:rPr>
                <w:color w:val="000000"/>
                <w:sz w:val="20"/>
                <w:szCs w:val="20"/>
              </w:rPr>
            </w:pPr>
            <w:r w:rsidRPr="003A05F0">
              <w:rPr>
                <w:color w:val="000000"/>
                <w:sz w:val="20"/>
                <w:szCs w:val="20"/>
              </w:rPr>
              <w:t>7.6×10</w:t>
            </w:r>
            <w:r w:rsidRPr="003A05F0">
              <w:rPr>
                <w:color w:val="000000"/>
                <w:sz w:val="20"/>
                <w:szCs w:val="20"/>
                <w:vertAlign w:val="superscript"/>
              </w:rPr>
              <w:t>3</w:t>
            </w:r>
          </w:p>
          <w:p w:rsidR="00F218DC" w:rsidRPr="003A05F0" w:rsidRDefault="00F218DC" w:rsidP="003A05F0">
            <w:pPr>
              <w:suppressAutoHyphens w:val="0"/>
              <w:snapToGrid w:val="0"/>
              <w:jc w:val="both"/>
              <w:rPr>
                <w:color w:val="000000"/>
                <w:sz w:val="20"/>
                <w:szCs w:val="20"/>
              </w:rPr>
            </w:pPr>
            <w:r w:rsidRPr="003A05F0">
              <w:rPr>
                <w:color w:val="000000"/>
                <w:sz w:val="20"/>
                <w:szCs w:val="20"/>
              </w:rPr>
              <w:t>(1.7×10</w:t>
            </w:r>
            <w:r w:rsidRPr="003A05F0">
              <w:rPr>
                <w:color w:val="000000"/>
                <w:sz w:val="20"/>
                <w:szCs w:val="20"/>
                <w:vertAlign w:val="superscript"/>
              </w:rPr>
              <w:t>3</w:t>
            </w:r>
            <w:r w:rsidRPr="003A05F0">
              <w:rPr>
                <w:color w:val="000000"/>
                <w:sz w:val="20"/>
                <w:szCs w:val="20"/>
              </w:rPr>
              <w:t>)</w:t>
            </w:r>
          </w:p>
        </w:tc>
        <w:tc>
          <w:tcPr>
            <w:tcW w:w="580" w:type="pct"/>
            <w:tcBorders>
              <w:top w:val="single" w:sz="4" w:space="0" w:color="auto"/>
              <w:left w:val="single" w:sz="4" w:space="0" w:color="auto"/>
              <w:bottom w:val="single" w:sz="4" w:space="0" w:color="auto"/>
              <w:right w:val="single" w:sz="4" w:space="0" w:color="auto"/>
            </w:tcBorders>
          </w:tcPr>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3.8×10</w:t>
            </w:r>
            <w:r w:rsidRPr="003A05F0">
              <w:rPr>
                <w:color w:val="000000"/>
                <w:sz w:val="20"/>
                <w:szCs w:val="20"/>
                <w:vertAlign w:val="superscript"/>
              </w:rPr>
              <w:t>3</w:t>
            </w:r>
          </w:p>
          <w:p w:rsidR="00F218DC" w:rsidRPr="003A05F0" w:rsidRDefault="00F218DC" w:rsidP="003A05F0">
            <w:pPr>
              <w:suppressAutoHyphens w:val="0"/>
              <w:autoSpaceDE w:val="0"/>
              <w:autoSpaceDN w:val="0"/>
              <w:adjustRightInd w:val="0"/>
              <w:snapToGrid w:val="0"/>
              <w:jc w:val="both"/>
              <w:rPr>
                <w:color w:val="000000"/>
                <w:sz w:val="20"/>
                <w:szCs w:val="20"/>
              </w:rPr>
            </w:pPr>
            <w:r w:rsidRPr="003A05F0">
              <w:rPr>
                <w:color w:val="000000"/>
                <w:sz w:val="20"/>
                <w:szCs w:val="20"/>
              </w:rPr>
              <w:t>(1.3×10</w:t>
            </w:r>
            <w:r w:rsidRPr="003A05F0">
              <w:rPr>
                <w:color w:val="000000"/>
                <w:sz w:val="20"/>
                <w:szCs w:val="20"/>
                <w:vertAlign w:val="superscript"/>
              </w:rPr>
              <w:t>3</w:t>
            </w:r>
            <w:r w:rsidRPr="003A05F0">
              <w:rPr>
                <w:color w:val="000000"/>
                <w:sz w:val="20"/>
                <w:szCs w:val="20"/>
              </w:rPr>
              <w:t>)</w:t>
            </w:r>
          </w:p>
        </w:tc>
      </w:tr>
    </w:tbl>
    <w:p w:rsidR="003A05F0" w:rsidRDefault="003A05F0" w:rsidP="003A05F0">
      <w:pPr>
        <w:suppressAutoHyphens w:val="0"/>
        <w:autoSpaceDE w:val="0"/>
        <w:autoSpaceDN w:val="0"/>
        <w:adjustRightInd w:val="0"/>
        <w:snapToGrid w:val="0"/>
        <w:jc w:val="both"/>
        <w:rPr>
          <w:rFonts w:hint="eastAsia"/>
          <w:b/>
          <w:sz w:val="20"/>
          <w:szCs w:val="20"/>
          <w:lang w:eastAsia="zh-CN"/>
        </w:rPr>
      </w:pPr>
    </w:p>
    <w:p w:rsidR="00E37FCF" w:rsidRDefault="00E37FCF" w:rsidP="003A05F0">
      <w:pPr>
        <w:suppressAutoHyphens w:val="0"/>
        <w:autoSpaceDE w:val="0"/>
        <w:autoSpaceDN w:val="0"/>
        <w:adjustRightInd w:val="0"/>
        <w:snapToGrid w:val="0"/>
        <w:jc w:val="both"/>
        <w:rPr>
          <w:b/>
          <w:sz w:val="20"/>
          <w:szCs w:val="20"/>
          <w:lang w:eastAsia="zh-CN"/>
        </w:rPr>
      </w:pPr>
    </w:p>
    <w:p w:rsidR="003A05F0" w:rsidRDefault="003A05F0" w:rsidP="003A05F0">
      <w:pPr>
        <w:suppressAutoHyphens w:val="0"/>
        <w:autoSpaceDE w:val="0"/>
        <w:autoSpaceDN w:val="0"/>
        <w:adjustRightInd w:val="0"/>
        <w:snapToGrid w:val="0"/>
        <w:jc w:val="both"/>
        <w:rPr>
          <w:b/>
          <w:sz w:val="20"/>
          <w:szCs w:val="20"/>
        </w:rPr>
        <w:sectPr w:rsidR="003A05F0" w:rsidSect="003A05F0">
          <w:footnotePr>
            <w:pos w:val="beneathText"/>
          </w:footnotePr>
          <w:type w:val="continuous"/>
          <w:pgSz w:w="12240" w:h="15840" w:code="1"/>
          <w:pgMar w:top="1440" w:right="1440" w:bottom="1440" w:left="1440" w:header="720" w:footer="720" w:gutter="0"/>
          <w:cols w:space="720"/>
          <w:docGrid w:linePitch="360"/>
        </w:sectPr>
      </w:pPr>
    </w:p>
    <w:p w:rsidR="00334BCB" w:rsidRPr="003A05F0" w:rsidRDefault="00CD5FCC" w:rsidP="003A05F0">
      <w:pPr>
        <w:suppressAutoHyphens w:val="0"/>
        <w:autoSpaceDE w:val="0"/>
        <w:autoSpaceDN w:val="0"/>
        <w:adjustRightInd w:val="0"/>
        <w:snapToGrid w:val="0"/>
        <w:jc w:val="both"/>
        <w:rPr>
          <w:b/>
          <w:sz w:val="20"/>
          <w:szCs w:val="20"/>
        </w:rPr>
      </w:pPr>
      <w:r w:rsidRPr="003A05F0">
        <w:rPr>
          <w:b/>
          <w:sz w:val="20"/>
          <w:szCs w:val="20"/>
        </w:rPr>
        <w:lastRenderedPageBreak/>
        <w:t xml:space="preserve">3.5 </w:t>
      </w:r>
      <w:r w:rsidR="00334BCB" w:rsidRPr="003A05F0">
        <w:rPr>
          <w:b/>
          <w:sz w:val="20"/>
          <w:szCs w:val="20"/>
        </w:rPr>
        <w:t xml:space="preserve">Microbial limits and Pathogenic </w:t>
      </w:r>
      <w:proofErr w:type="spellStart"/>
      <w:r w:rsidR="00334BCB" w:rsidRPr="003A05F0">
        <w:rPr>
          <w:b/>
          <w:i/>
          <w:sz w:val="20"/>
          <w:szCs w:val="20"/>
        </w:rPr>
        <w:t>E.coli</w:t>
      </w:r>
      <w:proofErr w:type="spellEnd"/>
      <w:r w:rsidR="00334BCB" w:rsidRPr="003A05F0">
        <w:rPr>
          <w:b/>
          <w:sz w:val="20"/>
          <w:szCs w:val="20"/>
        </w:rPr>
        <w:t xml:space="preserve"> contamination</w:t>
      </w:r>
    </w:p>
    <w:p w:rsidR="00334BCB" w:rsidRPr="003A05F0" w:rsidRDefault="00334BCB" w:rsidP="003A05F0">
      <w:pPr>
        <w:suppressAutoHyphens w:val="0"/>
        <w:autoSpaceDE w:val="0"/>
        <w:autoSpaceDN w:val="0"/>
        <w:adjustRightInd w:val="0"/>
        <w:snapToGrid w:val="0"/>
        <w:ind w:firstLine="425"/>
        <w:jc w:val="both"/>
        <w:rPr>
          <w:sz w:val="20"/>
          <w:szCs w:val="20"/>
        </w:rPr>
      </w:pPr>
      <w:r w:rsidRPr="003A05F0">
        <w:rPr>
          <w:sz w:val="20"/>
          <w:szCs w:val="20"/>
        </w:rPr>
        <w:t>The mean TPC (&lt;10</w:t>
      </w:r>
      <w:r w:rsidRPr="003A05F0">
        <w:rPr>
          <w:sz w:val="20"/>
          <w:szCs w:val="20"/>
          <w:vertAlign w:val="superscript"/>
        </w:rPr>
        <w:t>5</w:t>
      </w:r>
      <w:r w:rsidRPr="003A05F0">
        <w:rPr>
          <w:sz w:val="20"/>
          <w:szCs w:val="20"/>
        </w:rPr>
        <w:t>) and YM (&lt;10</w:t>
      </w:r>
      <w:r w:rsidRPr="003A05F0">
        <w:rPr>
          <w:sz w:val="20"/>
          <w:szCs w:val="20"/>
          <w:vertAlign w:val="superscript"/>
        </w:rPr>
        <w:t>4</w:t>
      </w:r>
      <w:r w:rsidRPr="003A05F0">
        <w:rPr>
          <w:sz w:val="20"/>
          <w:szCs w:val="20"/>
        </w:rPr>
        <w:t xml:space="preserve">) of the internal tissues and external surfaces were lower than acceptable limits. However, the mean CPC and FCPC were far higher than acceptable counts. Twenty-five percent (25%) of the mangoes sampled had internal microbial counts within acceptable CPC and FCPC limits (&lt;100 </w:t>
      </w:r>
      <w:proofErr w:type="spellStart"/>
      <w:r w:rsidRPr="003A05F0">
        <w:rPr>
          <w:sz w:val="20"/>
          <w:szCs w:val="20"/>
        </w:rPr>
        <w:t>cfu</w:t>
      </w:r>
      <w:proofErr w:type="spellEnd"/>
      <w:r w:rsidRPr="003A05F0">
        <w:rPr>
          <w:sz w:val="20"/>
          <w:szCs w:val="20"/>
        </w:rPr>
        <w:t xml:space="preserve">/g and 0 </w:t>
      </w:r>
      <w:proofErr w:type="spellStart"/>
      <w:r w:rsidRPr="003A05F0">
        <w:rPr>
          <w:sz w:val="20"/>
          <w:szCs w:val="20"/>
        </w:rPr>
        <w:t>cfu</w:t>
      </w:r>
      <w:proofErr w:type="spellEnd"/>
      <w:r w:rsidRPr="003A05F0">
        <w:rPr>
          <w:sz w:val="20"/>
          <w:szCs w:val="20"/>
        </w:rPr>
        <w:t>/g, respectively; NRC, 1985). Also, 56.3% of mangoes with few scars/punctures or were unripe had acceptable CPC and FCPC counts. No pathogenic</w:t>
      </w:r>
      <w:r w:rsidRPr="003A05F0">
        <w:rPr>
          <w:b/>
          <w:sz w:val="20"/>
          <w:szCs w:val="20"/>
        </w:rPr>
        <w:t xml:space="preserve"> </w:t>
      </w:r>
      <w:proofErr w:type="spellStart"/>
      <w:r w:rsidRPr="003A05F0">
        <w:rPr>
          <w:sz w:val="20"/>
          <w:szCs w:val="20"/>
        </w:rPr>
        <w:t>Pathogenic</w:t>
      </w:r>
      <w:proofErr w:type="spellEnd"/>
      <w:r w:rsidRPr="003A05F0">
        <w:rPr>
          <w:sz w:val="20"/>
          <w:szCs w:val="20"/>
        </w:rPr>
        <w:t xml:space="preserve"> </w:t>
      </w:r>
      <w:r w:rsidRPr="003A05F0">
        <w:rPr>
          <w:i/>
          <w:sz w:val="20"/>
          <w:szCs w:val="20"/>
        </w:rPr>
        <w:t>E. coli</w:t>
      </w:r>
      <w:r w:rsidRPr="003A05F0">
        <w:rPr>
          <w:sz w:val="20"/>
          <w:szCs w:val="20"/>
        </w:rPr>
        <w:t xml:space="preserve"> were detected in internal tissues and external surfaces of the mangoes.</w:t>
      </w:r>
    </w:p>
    <w:p w:rsidR="00EC1D70" w:rsidRPr="003A05F0" w:rsidRDefault="00EC1D70" w:rsidP="003A05F0">
      <w:pPr>
        <w:suppressAutoHyphens w:val="0"/>
        <w:autoSpaceDE w:val="0"/>
        <w:autoSpaceDN w:val="0"/>
        <w:adjustRightInd w:val="0"/>
        <w:snapToGrid w:val="0"/>
        <w:ind w:firstLine="425"/>
        <w:jc w:val="both"/>
        <w:rPr>
          <w:b/>
          <w:sz w:val="20"/>
          <w:szCs w:val="20"/>
        </w:rPr>
      </w:pPr>
    </w:p>
    <w:p w:rsidR="00471E57" w:rsidRPr="003A05F0" w:rsidRDefault="00471E57" w:rsidP="003A05F0">
      <w:pPr>
        <w:suppressAutoHyphens w:val="0"/>
        <w:snapToGrid w:val="0"/>
        <w:jc w:val="both"/>
        <w:rPr>
          <w:b/>
          <w:sz w:val="20"/>
          <w:szCs w:val="20"/>
        </w:rPr>
      </w:pPr>
      <w:r w:rsidRPr="003A05F0">
        <w:rPr>
          <w:b/>
          <w:sz w:val="20"/>
          <w:szCs w:val="20"/>
        </w:rPr>
        <w:lastRenderedPageBreak/>
        <w:t>4. Discussions</w:t>
      </w:r>
    </w:p>
    <w:p w:rsidR="00334BCB" w:rsidRPr="003A05F0" w:rsidRDefault="00334BCB" w:rsidP="003A05F0">
      <w:pPr>
        <w:suppressAutoHyphens w:val="0"/>
        <w:snapToGrid w:val="0"/>
        <w:ind w:firstLine="425"/>
        <w:jc w:val="both"/>
        <w:rPr>
          <w:sz w:val="20"/>
          <w:szCs w:val="20"/>
          <w:lang w:val="en-GB" w:eastAsia="en-GB"/>
        </w:rPr>
      </w:pPr>
      <w:r w:rsidRPr="003A05F0">
        <w:rPr>
          <w:sz w:val="20"/>
          <w:szCs w:val="20"/>
        </w:rPr>
        <w:t xml:space="preserve">Very high proportions of mangoes were internally and externally contaminated with microbes but </w:t>
      </w:r>
      <w:proofErr w:type="spellStart"/>
      <w:r w:rsidRPr="003A05F0">
        <w:rPr>
          <w:sz w:val="20"/>
          <w:szCs w:val="20"/>
        </w:rPr>
        <w:t>Mallam</w:t>
      </w:r>
      <w:proofErr w:type="spellEnd"/>
      <w:r w:rsidRPr="003A05F0">
        <w:rPr>
          <w:sz w:val="20"/>
          <w:szCs w:val="20"/>
        </w:rPr>
        <w:t xml:space="preserve"> Atta market had the lowest. This seems to suggest that the contamination might have occurred at the point of retail rather than at the farm gates. The proportions of fruits contaminated internally or externally was influenced by the stage of ripeness and level of scars or punctures with very ripe and numerous scars/punctures having the highest. This is</w:t>
      </w:r>
      <w:r w:rsidR="00F218DC" w:rsidRPr="003A05F0">
        <w:rPr>
          <w:sz w:val="20"/>
          <w:szCs w:val="20"/>
        </w:rPr>
        <w:t xml:space="preserve"> expected because it has been shown that the frequency of internalization of microbes in mango is higher for ripe mangoes compared to immature ones (</w:t>
      </w:r>
      <w:proofErr w:type="spellStart"/>
      <w:r w:rsidR="00F218DC" w:rsidRPr="003A05F0">
        <w:rPr>
          <w:sz w:val="20"/>
          <w:szCs w:val="20"/>
        </w:rPr>
        <w:t>Penteado</w:t>
      </w:r>
      <w:proofErr w:type="spellEnd"/>
      <w:r w:rsidR="00F218DC" w:rsidRPr="003A05F0">
        <w:rPr>
          <w:sz w:val="20"/>
          <w:szCs w:val="20"/>
        </w:rPr>
        <w:t xml:space="preserve"> </w:t>
      </w:r>
      <w:r w:rsidR="00F218DC" w:rsidRPr="003A05F0">
        <w:rPr>
          <w:i/>
          <w:sz w:val="20"/>
          <w:szCs w:val="20"/>
        </w:rPr>
        <w:t>et al.,</w:t>
      </w:r>
      <w:r w:rsidR="00F218DC" w:rsidRPr="003A05F0">
        <w:rPr>
          <w:sz w:val="20"/>
          <w:szCs w:val="20"/>
        </w:rPr>
        <w:t xml:space="preserve"> 2007).</w:t>
      </w:r>
      <w:r w:rsidR="00F218DC" w:rsidRPr="003A05F0">
        <w:rPr>
          <w:sz w:val="20"/>
          <w:szCs w:val="20"/>
          <w:lang w:val="en-GB" w:eastAsia="en-GB"/>
        </w:rPr>
        <w:t xml:space="preserve"> </w:t>
      </w:r>
      <w:r w:rsidR="00F218DC" w:rsidRPr="003A05F0">
        <w:rPr>
          <w:sz w:val="20"/>
          <w:szCs w:val="20"/>
        </w:rPr>
        <w:t xml:space="preserve">Interestingly, all the very ripe fruits </w:t>
      </w:r>
      <w:r w:rsidR="003E0E38" w:rsidRPr="003A05F0">
        <w:rPr>
          <w:sz w:val="20"/>
          <w:szCs w:val="20"/>
        </w:rPr>
        <w:t xml:space="preserve">had </w:t>
      </w:r>
      <w:r w:rsidR="00F218DC" w:rsidRPr="003A05F0">
        <w:rPr>
          <w:sz w:val="20"/>
          <w:szCs w:val="20"/>
        </w:rPr>
        <w:t>numerous scars</w:t>
      </w:r>
      <w:r w:rsidR="003E0E38" w:rsidRPr="003A05F0">
        <w:rPr>
          <w:sz w:val="20"/>
          <w:szCs w:val="20"/>
        </w:rPr>
        <w:t xml:space="preserve"> or punctures</w:t>
      </w:r>
      <w:r w:rsidR="00F218DC" w:rsidRPr="003A05F0">
        <w:rPr>
          <w:sz w:val="20"/>
          <w:szCs w:val="20"/>
        </w:rPr>
        <w:t xml:space="preserve">. However, it is not </w:t>
      </w:r>
      <w:r w:rsidR="00F218DC" w:rsidRPr="003A05F0">
        <w:rPr>
          <w:sz w:val="20"/>
          <w:szCs w:val="20"/>
        </w:rPr>
        <w:lastRenderedPageBreak/>
        <w:t xml:space="preserve">surprising because, </w:t>
      </w:r>
      <w:r w:rsidR="00F218DC" w:rsidRPr="003A05F0">
        <w:rPr>
          <w:sz w:val="20"/>
          <w:szCs w:val="20"/>
          <w:lang w:val="en-GB" w:eastAsia="en-GB"/>
        </w:rPr>
        <w:t xml:space="preserve">though </w:t>
      </w:r>
      <w:r w:rsidR="004B3DF0" w:rsidRPr="003A05F0">
        <w:rPr>
          <w:sz w:val="20"/>
          <w:szCs w:val="20"/>
          <w:lang w:val="en-GB" w:eastAsia="en-GB"/>
        </w:rPr>
        <w:t>immature fruits are</w:t>
      </w:r>
      <w:r w:rsidR="004B3DF0" w:rsidRPr="003A05F0">
        <w:rPr>
          <w:sz w:val="20"/>
          <w:szCs w:val="20"/>
        </w:rPr>
        <w:t xml:space="preserve"> </w:t>
      </w:r>
      <w:r w:rsidR="004B3DF0" w:rsidRPr="003A05F0">
        <w:rPr>
          <w:sz w:val="20"/>
          <w:szCs w:val="20"/>
          <w:lang w:val="en-GB" w:eastAsia="en-GB"/>
        </w:rPr>
        <w:t>also</w:t>
      </w:r>
      <w:r w:rsidR="003A05F0">
        <w:rPr>
          <w:rFonts w:hint="eastAsia"/>
          <w:sz w:val="20"/>
          <w:szCs w:val="20"/>
          <w:lang w:val="en-GB" w:eastAsia="zh-CN"/>
        </w:rPr>
        <w:t xml:space="preserve"> </w:t>
      </w:r>
      <w:r w:rsidR="00427656" w:rsidRPr="003A05F0">
        <w:rPr>
          <w:sz w:val="20"/>
          <w:szCs w:val="20"/>
          <w:lang w:val="en-GB" w:eastAsia="en-GB"/>
        </w:rPr>
        <w:t>attack</w:t>
      </w:r>
      <w:r w:rsidR="004B3DF0" w:rsidRPr="003A05F0">
        <w:rPr>
          <w:sz w:val="20"/>
          <w:szCs w:val="20"/>
          <w:lang w:val="en-GB" w:eastAsia="en-GB"/>
        </w:rPr>
        <w:t xml:space="preserve">ed </w:t>
      </w:r>
      <w:r w:rsidRPr="003A05F0">
        <w:rPr>
          <w:sz w:val="20"/>
          <w:szCs w:val="20"/>
          <w:lang w:val="en-GB" w:eastAsia="en-GB"/>
        </w:rPr>
        <w:t>by fruit flies, r</w:t>
      </w:r>
      <w:proofErr w:type="spellStart"/>
      <w:r w:rsidRPr="003A05F0">
        <w:rPr>
          <w:sz w:val="20"/>
          <w:szCs w:val="20"/>
        </w:rPr>
        <w:t>ipe</w:t>
      </w:r>
      <w:proofErr w:type="spellEnd"/>
      <w:r w:rsidRPr="003A05F0">
        <w:rPr>
          <w:sz w:val="20"/>
          <w:szCs w:val="20"/>
        </w:rPr>
        <w:t xml:space="preserve"> fruits are preferred for </w:t>
      </w:r>
      <w:proofErr w:type="spellStart"/>
      <w:r w:rsidRPr="003A05F0">
        <w:rPr>
          <w:sz w:val="20"/>
          <w:szCs w:val="20"/>
        </w:rPr>
        <w:t>oviposition</w:t>
      </w:r>
      <w:r w:rsidR="004B3DF0" w:rsidRPr="003A05F0">
        <w:rPr>
          <w:sz w:val="20"/>
          <w:szCs w:val="20"/>
        </w:rPr>
        <w:t>ing</w:t>
      </w:r>
      <w:proofErr w:type="spellEnd"/>
      <w:r w:rsidRPr="003A05F0">
        <w:rPr>
          <w:sz w:val="20"/>
          <w:szCs w:val="20"/>
        </w:rPr>
        <w:t xml:space="preserve"> (</w:t>
      </w:r>
      <w:proofErr w:type="spellStart"/>
      <w:r w:rsidRPr="003A05F0">
        <w:rPr>
          <w:rFonts w:eastAsia="TimesNewRoman"/>
          <w:sz w:val="20"/>
          <w:szCs w:val="20"/>
          <w:lang w:val="en-GB" w:eastAsia="en-GB"/>
        </w:rPr>
        <w:t>Liquido</w:t>
      </w:r>
      <w:proofErr w:type="spellEnd"/>
      <w:r w:rsidRPr="003A05F0">
        <w:rPr>
          <w:rFonts w:eastAsia="TimesNewRoman"/>
          <w:sz w:val="20"/>
          <w:szCs w:val="20"/>
          <w:lang w:val="en-GB" w:eastAsia="en-GB"/>
        </w:rPr>
        <w:t xml:space="preserve"> </w:t>
      </w:r>
      <w:r w:rsidRPr="003A05F0">
        <w:rPr>
          <w:rFonts w:eastAsia="TimesNewRoman"/>
          <w:i/>
          <w:sz w:val="20"/>
          <w:szCs w:val="20"/>
          <w:lang w:val="en-GB" w:eastAsia="en-GB"/>
        </w:rPr>
        <w:t>et al.</w:t>
      </w:r>
      <w:r w:rsidRPr="003A05F0">
        <w:rPr>
          <w:rFonts w:eastAsia="TimesNewRoman"/>
          <w:sz w:val="20"/>
          <w:szCs w:val="20"/>
          <w:lang w:val="en-GB" w:eastAsia="en-GB"/>
        </w:rPr>
        <w:t xml:space="preserve">, 1989; </w:t>
      </w:r>
      <w:proofErr w:type="spellStart"/>
      <w:r w:rsidRPr="003A05F0">
        <w:rPr>
          <w:rFonts w:eastAsia="TimesNewRoman"/>
          <w:sz w:val="20"/>
          <w:szCs w:val="20"/>
          <w:lang w:val="en-GB" w:eastAsia="en-GB"/>
        </w:rPr>
        <w:t>Kimbokota</w:t>
      </w:r>
      <w:proofErr w:type="spellEnd"/>
      <w:r w:rsidRPr="003A05F0">
        <w:rPr>
          <w:rFonts w:eastAsia="TimesNewRoman"/>
          <w:sz w:val="20"/>
          <w:szCs w:val="20"/>
          <w:lang w:val="en-GB" w:eastAsia="en-GB"/>
        </w:rPr>
        <w:t>, 2013</w:t>
      </w:r>
      <w:r w:rsidRPr="003A05F0">
        <w:rPr>
          <w:sz w:val="20"/>
          <w:szCs w:val="20"/>
        </w:rPr>
        <w:t>) and the structure of ripe fruits are more delicate than unripe ones and can easily be damaged through handling, transportation and storage, among others. Damages to the natural structure such as punctures, wounds, cuts and splits on fruits and vegetables are known to facilitate microbial entry (</w:t>
      </w:r>
      <w:proofErr w:type="spellStart"/>
      <w:r w:rsidRPr="003A05F0">
        <w:rPr>
          <w:sz w:val="20"/>
          <w:szCs w:val="20"/>
        </w:rPr>
        <w:t>Ryall</w:t>
      </w:r>
      <w:proofErr w:type="spellEnd"/>
      <w:r w:rsidRPr="003A05F0">
        <w:rPr>
          <w:sz w:val="20"/>
          <w:szCs w:val="20"/>
        </w:rPr>
        <w:t xml:space="preserve"> and </w:t>
      </w:r>
      <w:proofErr w:type="spellStart"/>
      <w:r w:rsidRPr="003A05F0">
        <w:rPr>
          <w:sz w:val="20"/>
          <w:szCs w:val="20"/>
        </w:rPr>
        <w:t>Pentzer</w:t>
      </w:r>
      <w:proofErr w:type="spellEnd"/>
      <w:r w:rsidRPr="003A05F0">
        <w:rPr>
          <w:sz w:val="20"/>
          <w:szCs w:val="20"/>
        </w:rPr>
        <w:t>, 1982). Microorganisms may be trapped by the exudations on the fruits caused by the damages. This may account for the high proportion of fruits with numerous scars or punctures having external surfaces contaminated. The public health importance of the high frequencies of contamination depends on the species and the microbial load.</w:t>
      </w:r>
    </w:p>
    <w:p w:rsidR="00334BCB" w:rsidRPr="003A05F0" w:rsidRDefault="00334BCB" w:rsidP="003A05F0">
      <w:pPr>
        <w:suppressAutoHyphens w:val="0"/>
        <w:autoSpaceDE w:val="0"/>
        <w:autoSpaceDN w:val="0"/>
        <w:adjustRightInd w:val="0"/>
        <w:snapToGrid w:val="0"/>
        <w:ind w:firstLine="425"/>
        <w:jc w:val="both"/>
        <w:rPr>
          <w:sz w:val="20"/>
          <w:szCs w:val="20"/>
        </w:rPr>
      </w:pPr>
      <w:r w:rsidRPr="003A05F0">
        <w:rPr>
          <w:sz w:val="20"/>
          <w:szCs w:val="20"/>
        </w:rPr>
        <w:t xml:space="preserve">Whereas total plate counts and level of yeast and moulds were lower than the minimum acceptable limits for all the mangoes analyzed, only 25% of the mangoes sampled had internal </w:t>
      </w:r>
      <w:proofErr w:type="spellStart"/>
      <w:r w:rsidRPr="003A05F0">
        <w:rPr>
          <w:sz w:val="20"/>
          <w:szCs w:val="20"/>
        </w:rPr>
        <w:t>coliform</w:t>
      </w:r>
      <w:proofErr w:type="spellEnd"/>
      <w:r w:rsidRPr="003A05F0">
        <w:rPr>
          <w:sz w:val="20"/>
          <w:szCs w:val="20"/>
        </w:rPr>
        <w:t xml:space="preserve"> and </w:t>
      </w:r>
      <w:proofErr w:type="spellStart"/>
      <w:r w:rsidRPr="003A05F0">
        <w:rPr>
          <w:sz w:val="20"/>
          <w:szCs w:val="20"/>
        </w:rPr>
        <w:t>faecal</w:t>
      </w:r>
      <w:proofErr w:type="spellEnd"/>
      <w:r w:rsidRPr="003A05F0">
        <w:rPr>
          <w:sz w:val="20"/>
          <w:szCs w:val="20"/>
        </w:rPr>
        <w:t xml:space="preserve"> </w:t>
      </w:r>
      <w:proofErr w:type="spellStart"/>
      <w:r w:rsidRPr="003A05F0">
        <w:rPr>
          <w:sz w:val="20"/>
          <w:szCs w:val="20"/>
        </w:rPr>
        <w:t>coliform</w:t>
      </w:r>
      <w:proofErr w:type="spellEnd"/>
      <w:r w:rsidRPr="003A05F0">
        <w:rPr>
          <w:sz w:val="20"/>
          <w:szCs w:val="20"/>
        </w:rPr>
        <w:t xml:space="preserve"> counts within acceptable limits (&lt;100 and 0, respectively; NRC, 1985). The presence of </w:t>
      </w:r>
      <w:proofErr w:type="spellStart"/>
      <w:r w:rsidRPr="003A05F0">
        <w:rPr>
          <w:sz w:val="20"/>
          <w:szCs w:val="20"/>
        </w:rPr>
        <w:t>faecal</w:t>
      </w:r>
      <w:proofErr w:type="spellEnd"/>
      <w:r w:rsidRPr="003A05F0">
        <w:rPr>
          <w:sz w:val="20"/>
          <w:szCs w:val="20"/>
        </w:rPr>
        <w:t xml:space="preserve"> </w:t>
      </w:r>
      <w:proofErr w:type="spellStart"/>
      <w:r w:rsidRPr="003A05F0">
        <w:rPr>
          <w:sz w:val="20"/>
          <w:szCs w:val="20"/>
        </w:rPr>
        <w:t>coliform</w:t>
      </w:r>
      <w:proofErr w:type="spellEnd"/>
      <w:r w:rsidRPr="003A05F0">
        <w:rPr>
          <w:sz w:val="20"/>
          <w:szCs w:val="20"/>
        </w:rPr>
        <w:t xml:space="preserve"> is an important indicator of </w:t>
      </w:r>
      <w:proofErr w:type="spellStart"/>
      <w:r w:rsidRPr="003A05F0">
        <w:rPr>
          <w:sz w:val="20"/>
          <w:szCs w:val="20"/>
        </w:rPr>
        <w:t>faecal</w:t>
      </w:r>
      <w:proofErr w:type="spellEnd"/>
      <w:r w:rsidRPr="003A05F0">
        <w:rPr>
          <w:sz w:val="20"/>
          <w:szCs w:val="20"/>
        </w:rPr>
        <w:t xml:space="preserve"> contamination and poor food hygiene (WHO, 1993, Edberg </w:t>
      </w:r>
      <w:r w:rsidRPr="003A05F0">
        <w:rPr>
          <w:i/>
          <w:sz w:val="20"/>
          <w:szCs w:val="20"/>
        </w:rPr>
        <w:t>et al</w:t>
      </w:r>
      <w:r w:rsidRPr="003A05F0">
        <w:rPr>
          <w:sz w:val="20"/>
          <w:szCs w:val="20"/>
        </w:rPr>
        <w:t xml:space="preserve">., 2000). This means that large proportion of mangoes </w:t>
      </w:r>
      <w:r w:rsidR="00427656" w:rsidRPr="003A05F0">
        <w:rPr>
          <w:sz w:val="20"/>
          <w:szCs w:val="20"/>
        </w:rPr>
        <w:t>o</w:t>
      </w:r>
      <w:r w:rsidRPr="003A05F0">
        <w:rPr>
          <w:sz w:val="20"/>
          <w:szCs w:val="20"/>
        </w:rPr>
        <w:t>n the markets do not meet internationally acceptable standards and are not wholesome for consumption. This also suggests mangoes that are sold in these markets can be sources of infection</w:t>
      </w:r>
      <w:r w:rsidR="0079374E" w:rsidRPr="003A05F0">
        <w:rPr>
          <w:sz w:val="20"/>
          <w:szCs w:val="20"/>
        </w:rPr>
        <w:t>.</w:t>
      </w:r>
      <w:r w:rsidRPr="003A05F0">
        <w:rPr>
          <w:sz w:val="20"/>
          <w:szCs w:val="20"/>
        </w:rPr>
        <w:t xml:space="preserve"> However, about (56.3%) of unripe mangoes or those with few scars/punctures had acceptable </w:t>
      </w:r>
      <w:proofErr w:type="spellStart"/>
      <w:r w:rsidRPr="003A05F0">
        <w:rPr>
          <w:sz w:val="20"/>
          <w:szCs w:val="20"/>
        </w:rPr>
        <w:t>coliform</w:t>
      </w:r>
      <w:proofErr w:type="spellEnd"/>
      <w:r w:rsidRPr="003A05F0">
        <w:rPr>
          <w:sz w:val="20"/>
          <w:szCs w:val="20"/>
        </w:rPr>
        <w:t xml:space="preserve"> and </w:t>
      </w:r>
      <w:proofErr w:type="spellStart"/>
      <w:r w:rsidRPr="003A05F0">
        <w:rPr>
          <w:sz w:val="20"/>
          <w:szCs w:val="20"/>
        </w:rPr>
        <w:t>faecal</w:t>
      </w:r>
      <w:proofErr w:type="spellEnd"/>
      <w:r w:rsidRPr="003A05F0">
        <w:rPr>
          <w:sz w:val="20"/>
          <w:szCs w:val="20"/>
        </w:rPr>
        <w:t xml:space="preserve"> </w:t>
      </w:r>
      <w:proofErr w:type="spellStart"/>
      <w:r w:rsidRPr="003A05F0">
        <w:rPr>
          <w:sz w:val="20"/>
          <w:szCs w:val="20"/>
        </w:rPr>
        <w:t>coliform</w:t>
      </w:r>
      <w:proofErr w:type="spellEnd"/>
      <w:r w:rsidRPr="003A05F0">
        <w:rPr>
          <w:sz w:val="20"/>
          <w:szCs w:val="20"/>
        </w:rPr>
        <w:t xml:space="preserve"> counts. This implies that unripe mangoes </w:t>
      </w:r>
      <w:r w:rsidR="0079374E" w:rsidRPr="003A05F0">
        <w:rPr>
          <w:sz w:val="20"/>
          <w:szCs w:val="20"/>
        </w:rPr>
        <w:t xml:space="preserve">in the markets </w:t>
      </w:r>
      <w:r w:rsidRPr="003A05F0">
        <w:rPr>
          <w:sz w:val="20"/>
          <w:szCs w:val="20"/>
        </w:rPr>
        <w:t xml:space="preserve">are relatively safe for human consumption compared to ripe ones. Human and animal wastes used as fertilizers or irrigation water contaminated by </w:t>
      </w:r>
      <w:proofErr w:type="spellStart"/>
      <w:r w:rsidRPr="003A05F0">
        <w:rPr>
          <w:sz w:val="20"/>
          <w:szCs w:val="20"/>
        </w:rPr>
        <w:t>faecal</w:t>
      </w:r>
      <w:proofErr w:type="spellEnd"/>
      <w:r w:rsidRPr="003A05F0">
        <w:rPr>
          <w:sz w:val="20"/>
          <w:szCs w:val="20"/>
        </w:rPr>
        <w:t xml:space="preserve"> matter are reported sources of contamination of fresh vegetables and fruits with microbes (ICMSF, 1986,</w:t>
      </w:r>
      <w:r w:rsidR="00E37FCF">
        <w:rPr>
          <w:sz w:val="20"/>
          <w:szCs w:val="20"/>
        </w:rPr>
        <w:t xml:space="preserve"> </w:t>
      </w:r>
      <w:proofErr w:type="spellStart"/>
      <w:r w:rsidRPr="003A05F0">
        <w:rPr>
          <w:sz w:val="20"/>
          <w:szCs w:val="20"/>
        </w:rPr>
        <w:t>Donkor</w:t>
      </w:r>
      <w:proofErr w:type="spellEnd"/>
      <w:r w:rsidRPr="003A05F0">
        <w:rPr>
          <w:sz w:val="20"/>
          <w:szCs w:val="20"/>
        </w:rPr>
        <w:t xml:space="preserve"> </w:t>
      </w:r>
      <w:r w:rsidRPr="003A05F0">
        <w:rPr>
          <w:i/>
          <w:sz w:val="20"/>
          <w:szCs w:val="20"/>
        </w:rPr>
        <w:t>et al</w:t>
      </w:r>
      <w:r w:rsidRPr="003A05F0">
        <w:rPr>
          <w:sz w:val="20"/>
          <w:szCs w:val="20"/>
        </w:rPr>
        <w:t xml:space="preserve">., 2010) but it is not clear if the mangoes were exposed to </w:t>
      </w:r>
      <w:proofErr w:type="spellStart"/>
      <w:r w:rsidRPr="003A05F0">
        <w:rPr>
          <w:sz w:val="20"/>
          <w:szCs w:val="20"/>
        </w:rPr>
        <w:t>faecal</w:t>
      </w:r>
      <w:proofErr w:type="spellEnd"/>
      <w:r w:rsidRPr="003A05F0">
        <w:rPr>
          <w:sz w:val="20"/>
          <w:szCs w:val="20"/>
        </w:rPr>
        <w:t xml:space="preserve"> contaminants on the farms. The sources of microbial contaminants of mangoes require further investigations.</w:t>
      </w:r>
    </w:p>
    <w:p w:rsidR="00334BCB" w:rsidRPr="003A05F0" w:rsidRDefault="00334BCB" w:rsidP="003A05F0">
      <w:pPr>
        <w:suppressAutoHyphens w:val="0"/>
        <w:autoSpaceDE w:val="0"/>
        <w:autoSpaceDN w:val="0"/>
        <w:adjustRightInd w:val="0"/>
        <w:snapToGrid w:val="0"/>
        <w:ind w:firstLine="425"/>
        <w:jc w:val="both"/>
        <w:rPr>
          <w:sz w:val="20"/>
          <w:szCs w:val="20"/>
        </w:rPr>
      </w:pPr>
      <w:r w:rsidRPr="003A05F0">
        <w:rPr>
          <w:sz w:val="20"/>
          <w:szCs w:val="20"/>
        </w:rPr>
        <w:t>In conclusion, the study has shown both external and internal contamination of mangoes display</w:t>
      </w:r>
      <w:r w:rsidR="00427656" w:rsidRPr="003A05F0">
        <w:rPr>
          <w:sz w:val="20"/>
          <w:szCs w:val="20"/>
        </w:rPr>
        <w:t>ed</w:t>
      </w:r>
      <w:r w:rsidRPr="003A05F0">
        <w:rPr>
          <w:sz w:val="20"/>
          <w:szCs w:val="20"/>
        </w:rPr>
        <w:t xml:space="preserve"> for sale </w:t>
      </w:r>
      <w:r w:rsidR="00427656" w:rsidRPr="003A05F0">
        <w:rPr>
          <w:sz w:val="20"/>
          <w:szCs w:val="20"/>
        </w:rPr>
        <w:t>o</w:t>
      </w:r>
      <w:r w:rsidRPr="003A05F0">
        <w:rPr>
          <w:sz w:val="20"/>
          <w:szCs w:val="20"/>
        </w:rPr>
        <w:t>n the markets and the level of contamination increased with the number of scars or punctures on the mangoes. It is advisable, therefore, that consumers avoid purchasing mangoes with scars and punctures. It is recommended that further studies are done to ascertain the sources of microbial contaminants.</w:t>
      </w:r>
    </w:p>
    <w:p w:rsidR="00E52EA0" w:rsidRPr="003A05F0" w:rsidRDefault="00E52EA0" w:rsidP="003A05F0">
      <w:pPr>
        <w:suppressAutoHyphens w:val="0"/>
        <w:snapToGrid w:val="0"/>
        <w:ind w:firstLine="425"/>
        <w:jc w:val="both"/>
        <w:rPr>
          <w:sz w:val="20"/>
          <w:szCs w:val="20"/>
        </w:rPr>
      </w:pPr>
    </w:p>
    <w:p w:rsidR="00471E57" w:rsidRPr="003A05F0" w:rsidRDefault="00C44596" w:rsidP="003A05F0">
      <w:pPr>
        <w:suppressAutoHyphens w:val="0"/>
        <w:snapToGrid w:val="0"/>
        <w:jc w:val="both"/>
        <w:rPr>
          <w:b/>
          <w:sz w:val="20"/>
          <w:szCs w:val="20"/>
        </w:rPr>
      </w:pPr>
      <w:r w:rsidRPr="003A05F0">
        <w:rPr>
          <w:b/>
          <w:sz w:val="20"/>
          <w:szCs w:val="20"/>
        </w:rPr>
        <w:t>Acknowledgements:</w:t>
      </w:r>
    </w:p>
    <w:p w:rsidR="00471E57" w:rsidRPr="003A05F0" w:rsidRDefault="00624625" w:rsidP="003A05F0">
      <w:pPr>
        <w:suppressAutoHyphens w:val="0"/>
        <w:snapToGrid w:val="0"/>
        <w:ind w:firstLine="425"/>
        <w:jc w:val="both"/>
        <w:rPr>
          <w:sz w:val="20"/>
          <w:szCs w:val="20"/>
          <w:highlight w:val="yellow"/>
        </w:rPr>
      </w:pPr>
      <w:r w:rsidRPr="003A05F0">
        <w:rPr>
          <w:sz w:val="20"/>
          <w:szCs w:val="20"/>
        </w:rPr>
        <w:t xml:space="preserve">The authors are grateful to </w:t>
      </w:r>
      <w:proofErr w:type="spellStart"/>
      <w:r w:rsidRPr="003A05F0">
        <w:rPr>
          <w:sz w:val="20"/>
          <w:szCs w:val="20"/>
        </w:rPr>
        <w:t>Mr</w:t>
      </w:r>
      <w:proofErr w:type="spellEnd"/>
      <w:r w:rsidRPr="003A05F0">
        <w:rPr>
          <w:sz w:val="20"/>
          <w:szCs w:val="20"/>
        </w:rPr>
        <w:t xml:space="preserve"> </w:t>
      </w:r>
      <w:r w:rsidRPr="003A05F0">
        <w:rPr>
          <w:rStyle w:val="Strong"/>
          <w:b w:val="0"/>
          <w:sz w:val="20"/>
          <w:szCs w:val="20"/>
        </w:rPr>
        <w:t xml:space="preserve">Jonathan </w:t>
      </w:r>
      <w:proofErr w:type="spellStart"/>
      <w:r w:rsidRPr="003A05F0">
        <w:rPr>
          <w:rStyle w:val="Strong"/>
          <w:b w:val="0"/>
          <w:sz w:val="20"/>
          <w:szCs w:val="20"/>
        </w:rPr>
        <w:t>Quaye</w:t>
      </w:r>
      <w:proofErr w:type="spellEnd"/>
      <w:r w:rsidRPr="003A05F0">
        <w:rPr>
          <w:sz w:val="20"/>
          <w:szCs w:val="20"/>
        </w:rPr>
        <w:t xml:space="preserve"> of </w:t>
      </w:r>
      <w:r w:rsidRPr="003A05F0">
        <w:rPr>
          <w:sz w:val="20"/>
          <w:szCs w:val="20"/>
          <w:lang w:val="en-GB" w:eastAsia="en-GB"/>
        </w:rPr>
        <w:t>Department of Animal Science, School of Agriculture, University of Ghana, for technical assistance.</w:t>
      </w:r>
    </w:p>
    <w:p w:rsidR="00FB5B6A" w:rsidRDefault="00FB5B6A" w:rsidP="003A05F0">
      <w:pPr>
        <w:suppressAutoHyphens w:val="0"/>
        <w:snapToGrid w:val="0"/>
        <w:ind w:firstLine="425"/>
        <w:jc w:val="both"/>
        <w:rPr>
          <w:rFonts w:hint="eastAsia"/>
          <w:sz w:val="20"/>
          <w:szCs w:val="20"/>
          <w:highlight w:val="yellow"/>
          <w:lang w:eastAsia="zh-CN"/>
        </w:rPr>
      </w:pPr>
    </w:p>
    <w:p w:rsidR="00E37FCF" w:rsidRPr="003A05F0" w:rsidRDefault="00E37FCF" w:rsidP="003A05F0">
      <w:pPr>
        <w:suppressAutoHyphens w:val="0"/>
        <w:snapToGrid w:val="0"/>
        <w:ind w:firstLine="425"/>
        <w:jc w:val="both"/>
        <w:rPr>
          <w:rFonts w:hint="eastAsia"/>
          <w:sz w:val="20"/>
          <w:szCs w:val="20"/>
          <w:highlight w:val="yellow"/>
          <w:lang w:eastAsia="zh-CN"/>
        </w:rPr>
      </w:pPr>
    </w:p>
    <w:p w:rsidR="00471E57" w:rsidRPr="003A05F0" w:rsidRDefault="00471E57" w:rsidP="003A05F0">
      <w:pPr>
        <w:suppressAutoHyphens w:val="0"/>
        <w:snapToGrid w:val="0"/>
        <w:jc w:val="both"/>
        <w:rPr>
          <w:b/>
          <w:sz w:val="20"/>
          <w:szCs w:val="20"/>
        </w:rPr>
      </w:pPr>
      <w:r w:rsidRPr="003A05F0">
        <w:rPr>
          <w:b/>
          <w:sz w:val="20"/>
          <w:szCs w:val="20"/>
        </w:rPr>
        <w:lastRenderedPageBreak/>
        <w:t>Corresponding Author:</w:t>
      </w:r>
    </w:p>
    <w:p w:rsidR="0049143E" w:rsidRPr="003A05F0" w:rsidRDefault="00471E57" w:rsidP="003A05F0">
      <w:pPr>
        <w:suppressAutoHyphens w:val="0"/>
        <w:snapToGrid w:val="0"/>
        <w:jc w:val="both"/>
        <w:rPr>
          <w:sz w:val="20"/>
          <w:szCs w:val="20"/>
        </w:rPr>
      </w:pPr>
      <w:r w:rsidRPr="003A05F0">
        <w:rPr>
          <w:sz w:val="20"/>
          <w:szCs w:val="20"/>
        </w:rPr>
        <w:t>D</w:t>
      </w:r>
      <w:r w:rsidR="0049143E" w:rsidRPr="003A05F0">
        <w:rPr>
          <w:sz w:val="20"/>
          <w:szCs w:val="20"/>
        </w:rPr>
        <w:t xml:space="preserve">r. </w:t>
      </w:r>
      <w:proofErr w:type="spellStart"/>
      <w:r w:rsidR="00EF5C7A" w:rsidRPr="003A05F0">
        <w:rPr>
          <w:sz w:val="20"/>
          <w:szCs w:val="20"/>
        </w:rPr>
        <w:t>Godfred</w:t>
      </w:r>
      <w:proofErr w:type="spellEnd"/>
      <w:r w:rsidR="00EF5C7A" w:rsidRPr="003A05F0">
        <w:rPr>
          <w:sz w:val="20"/>
          <w:szCs w:val="20"/>
        </w:rPr>
        <w:t xml:space="preserve"> </w:t>
      </w:r>
      <w:proofErr w:type="spellStart"/>
      <w:r w:rsidR="00EF5C7A" w:rsidRPr="003A05F0">
        <w:rPr>
          <w:sz w:val="20"/>
          <w:szCs w:val="20"/>
        </w:rPr>
        <w:t>Futagbi</w:t>
      </w:r>
      <w:proofErr w:type="spellEnd"/>
    </w:p>
    <w:p w:rsidR="00EF5C7A" w:rsidRPr="003A05F0" w:rsidRDefault="00EF5C7A" w:rsidP="003A05F0">
      <w:pPr>
        <w:suppressAutoHyphens w:val="0"/>
        <w:snapToGrid w:val="0"/>
        <w:jc w:val="both"/>
        <w:rPr>
          <w:sz w:val="20"/>
          <w:szCs w:val="20"/>
          <w:lang w:eastAsia="zh-CN"/>
        </w:rPr>
      </w:pPr>
      <w:r w:rsidRPr="003A05F0">
        <w:rPr>
          <w:sz w:val="20"/>
          <w:szCs w:val="20"/>
          <w:lang w:val="en-GB" w:eastAsia="en-GB"/>
        </w:rPr>
        <w:t>Department of Animal Biology and Conservation Science, School of Basic and Applied Sciences, University of Ghana, Accra, Ghana</w:t>
      </w:r>
    </w:p>
    <w:p w:rsidR="00471E57" w:rsidRPr="003A05F0" w:rsidRDefault="00471E57" w:rsidP="003A05F0">
      <w:pPr>
        <w:suppressAutoHyphens w:val="0"/>
        <w:snapToGrid w:val="0"/>
        <w:jc w:val="both"/>
        <w:rPr>
          <w:rFonts w:hint="eastAsia"/>
          <w:sz w:val="20"/>
          <w:szCs w:val="20"/>
          <w:lang w:eastAsia="zh-CN"/>
        </w:rPr>
      </w:pPr>
      <w:r w:rsidRPr="003A05F0">
        <w:rPr>
          <w:sz w:val="20"/>
          <w:szCs w:val="20"/>
        </w:rPr>
        <w:t xml:space="preserve">E-mail: </w:t>
      </w:r>
      <w:hyperlink r:id="rId13" w:history="1">
        <w:r w:rsidR="00E37FCF" w:rsidRPr="004963B5">
          <w:rPr>
            <w:rStyle w:val="Hyperlink"/>
            <w:sz w:val="20"/>
            <w:szCs w:val="20"/>
          </w:rPr>
          <w:t>gfutagbi@ug.edu.gh</w:t>
        </w:r>
      </w:hyperlink>
      <w:r w:rsidR="00E37FCF">
        <w:rPr>
          <w:rFonts w:hint="eastAsia"/>
          <w:sz w:val="20"/>
          <w:szCs w:val="20"/>
          <w:lang w:eastAsia="zh-CN"/>
        </w:rPr>
        <w:t xml:space="preserve"> </w:t>
      </w:r>
    </w:p>
    <w:p w:rsidR="00471E57" w:rsidRPr="003A05F0" w:rsidRDefault="00471E57" w:rsidP="003A05F0">
      <w:pPr>
        <w:suppressAutoHyphens w:val="0"/>
        <w:snapToGrid w:val="0"/>
        <w:ind w:firstLine="425"/>
        <w:jc w:val="both"/>
        <w:rPr>
          <w:sz w:val="20"/>
          <w:szCs w:val="20"/>
        </w:rPr>
      </w:pPr>
    </w:p>
    <w:p w:rsidR="00471E57" w:rsidRPr="003A05F0" w:rsidRDefault="00471E57" w:rsidP="003A05F0">
      <w:pPr>
        <w:suppressAutoHyphens w:val="0"/>
        <w:snapToGrid w:val="0"/>
        <w:jc w:val="both"/>
        <w:rPr>
          <w:b/>
          <w:sz w:val="20"/>
          <w:szCs w:val="20"/>
        </w:rPr>
      </w:pPr>
      <w:r w:rsidRPr="003A05F0">
        <w:rPr>
          <w:b/>
          <w:sz w:val="20"/>
          <w:szCs w:val="20"/>
        </w:rPr>
        <w:t>References</w:t>
      </w:r>
    </w:p>
    <w:p w:rsidR="00334BCB" w:rsidRPr="003A05F0" w:rsidRDefault="00334BCB" w:rsidP="003A05F0">
      <w:pPr>
        <w:numPr>
          <w:ilvl w:val="0"/>
          <w:numId w:val="4"/>
        </w:numPr>
        <w:tabs>
          <w:tab w:val="clear" w:pos="720"/>
        </w:tabs>
        <w:suppressAutoHyphens w:val="0"/>
        <w:snapToGrid w:val="0"/>
        <w:ind w:left="425" w:hanging="425"/>
        <w:jc w:val="both"/>
        <w:rPr>
          <w:sz w:val="20"/>
          <w:szCs w:val="20"/>
        </w:rPr>
      </w:pPr>
      <w:proofErr w:type="spellStart"/>
      <w:r w:rsidRPr="003A05F0">
        <w:rPr>
          <w:sz w:val="20"/>
          <w:szCs w:val="20"/>
        </w:rPr>
        <w:t>Banson</w:t>
      </w:r>
      <w:proofErr w:type="spellEnd"/>
      <w:r w:rsidRPr="003A05F0">
        <w:rPr>
          <w:sz w:val="20"/>
          <w:szCs w:val="20"/>
        </w:rPr>
        <w:t xml:space="preserve"> KE, </w:t>
      </w:r>
      <w:proofErr w:type="spellStart"/>
      <w:r w:rsidRPr="003A05F0">
        <w:rPr>
          <w:sz w:val="20"/>
          <w:szCs w:val="20"/>
        </w:rPr>
        <w:t>Egyir-Yawson</w:t>
      </w:r>
      <w:proofErr w:type="spellEnd"/>
      <w:r w:rsidRPr="003A05F0">
        <w:rPr>
          <w:sz w:val="20"/>
          <w:szCs w:val="20"/>
        </w:rPr>
        <w:t xml:space="preserve"> A. Socio-economic impact of fruit flies control in mango production in Ghana, evidence from “</w:t>
      </w:r>
      <w:proofErr w:type="spellStart"/>
      <w:r w:rsidRPr="003A05F0">
        <w:rPr>
          <w:sz w:val="20"/>
          <w:szCs w:val="20"/>
        </w:rPr>
        <w:t>Manya</w:t>
      </w:r>
      <w:proofErr w:type="spellEnd"/>
      <w:r w:rsidRPr="003A05F0">
        <w:rPr>
          <w:sz w:val="20"/>
          <w:szCs w:val="20"/>
        </w:rPr>
        <w:t xml:space="preserve"> </w:t>
      </w:r>
      <w:proofErr w:type="spellStart"/>
      <w:r w:rsidRPr="003A05F0">
        <w:rPr>
          <w:sz w:val="20"/>
          <w:szCs w:val="20"/>
        </w:rPr>
        <w:t>Krobo</w:t>
      </w:r>
      <w:proofErr w:type="spellEnd"/>
      <w:r w:rsidRPr="003A05F0">
        <w:rPr>
          <w:sz w:val="20"/>
          <w:szCs w:val="20"/>
        </w:rPr>
        <w:t>”.</w:t>
      </w:r>
      <w:r w:rsidR="00E37FCF">
        <w:rPr>
          <w:sz w:val="20"/>
          <w:szCs w:val="20"/>
        </w:rPr>
        <w:t xml:space="preserve"> </w:t>
      </w:r>
      <w:r w:rsidRPr="003A05F0">
        <w:rPr>
          <w:rStyle w:val="Emphasis"/>
          <w:i w:val="0"/>
          <w:sz w:val="20"/>
          <w:szCs w:val="20"/>
        </w:rPr>
        <w:t>J</w:t>
      </w:r>
      <w:r w:rsidRPr="003A05F0">
        <w:rPr>
          <w:rStyle w:val="st"/>
          <w:i/>
          <w:sz w:val="20"/>
          <w:szCs w:val="20"/>
        </w:rPr>
        <w:t xml:space="preserve"> </w:t>
      </w:r>
      <w:proofErr w:type="spellStart"/>
      <w:r w:rsidRPr="003A05F0">
        <w:rPr>
          <w:rStyle w:val="Emphasis"/>
          <w:i w:val="0"/>
          <w:sz w:val="20"/>
          <w:szCs w:val="20"/>
        </w:rPr>
        <w:t>Agr</w:t>
      </w:r>
      <w:proofErr w:type="spellEnd"/>
      <w:r w:rsidRPr="003A05F0">
        <w:rPr>
          <w:rStyle w:val="st"/>
          <w:i/>
          <w:sz w:val="20"/>
          <w:szCs w:val="20"/>
        </w:rPr>
        <w:t xml:space="preserve"> </w:t>
      </w:r>
      <w:proofErr w:type="spellStart"/>
      <w:r w:rsidRPr="003A05F0">
        <w:rPr>
          <w:rStyle w:val="Emphasis"/>
          <w:i w:val="0"/>
          <w:sz w:val="20"/>
          <w:szCs w:val="20"/>
        </w:rPr>
        <w:t>Sci</w:t>
      </w:r>
      <w:proofErr w:type="spellEnd"/>
      <w:r w:rsidRPr="003A05F0">
        <w:rPr>
          <w:rStyle w:val="st"/>
          <w:i/>
          <w:sz w:val="20"/>
          <w:szCs w:val="20"/>
        </w:rPr>
        <w:t xml:space="preserve"> </w:t>
      </w:r>
      <w:r w:rsidRPr="003A05F0">
        <w:rPr>
          <w:rStyle w:val="Emphasis"/>
          <w:i w:val="0"/>
          <w:sz w:val="20"/>
          <w:szCs w:val="20"/>
        </w:rPr>
        <w:t>Tech</w:t>
      </w:r>
      <w:r w:rsidRPr="003A05F0">
        <w:rPr>
          <w:sz w:val="20"/>
          <w:szCs w:val="20"/>
        </w:rPr>
        <w:t xml:space="preserve"> 2014</w:t>
      </w:r>
      <w:proofErr w:type="gramStart"/>
      <w:r w:rsidRPr="003A05F0">
        <w:rPr>
          <w:sz w:val="20"/>
          <w:szCs w:val="20"/>
        </w:rPr>
        <w:t>;4</w:t>
      </w:r>
      <w:proofErr w:type="gramEnd"/>
      <w:r w:rsidRPr="003A05F0">
        <w:rPr>
          <w:sz w:val="20"/>
          <w:szCs w:val="20"/>
        </w:rPr>
        <w:t>(6):454-463.</w:t>
      </w:r>
    </w:p>
    <w:p w:rsidR="00334BCB" w:rsidRPr="003A05F0" w:rsidRDefault="00334BCB" w:rsidP="003A05F0">
      <w:pPr>
        <w:numPr>
          <w:ilvl w:val="0"/>
          <w:numId w:val="4"/>
        </w:numPr>
        <w:tabs>
          <w:tab w:val="clear" w:pos="720"/>
        </w:tabs>
        <w:suppressAutoHyphens w:val="0"/>
        <w:snapToGrid w:val="0"/>
        <w:ind w:left="425" w:hanging="425"/>
        <w:jc w:val="both"/>
        <w:outlineLvl w:val="0"/>
        <w:rPr>
          <w:sz w:val="20"/>
          <w:szCs w:val="20"/>
        </w:rPr>
      </w:pPr>
      <w:r w:rsidRPr="003A05F0">
        <w:rPr>
          <w:rFonts w:eastAsia="Times New Roman"/>
          <w:bCs/>
          <w:sz w:val="20"/>
          <w:szCs w:val="20"/>
          <w:lang w:eastAsia="en-GB"/>
        </w:rPr>
        <w:t xml:space="preserve">CTA. Increased interceptions of ‘harmful organisms’ overhang some ACP horticultural exports to the EU. </w:t>
      </w:r>
      <w:proofErr w:type="spellStart"/>
      <w:r w:rsidRPr="003A05F0">
        <w:rPr>
          <w:rFonts w:eastAsia="Times New Roman"/>
          <w:bCs/>
          <w:sz w:val="20"/>
          <w:szCs w:val="20"/>
          <w:lang w:eastAsia="en-GB"/>
        </w:rPr>
        <w:t>A</w:t>
      </w:r>
      <w:r w:rsidRPr="003A05F0">
        <w:rPr>
          <w:rFonts w:eastAsia="Times New Roman"/>
          <w:sz w:val="20"/>
          <w:szCs w:val="20"/>
          <w:lang w:eastAsia="en-GB"/>
        </w:rPr>
        <w:t>gritrade</w:t>
      </w:r>
      <w:proofErr w:type="spellEnd"/>
      <w:r w:rsidR="00E37FCF">
        <w:rPr>
          <w:rFonts w:eastAsia="Times New Roman"/>
          <w:bCs/>
          <w:sz w:val="20"/>
          <w:szCs w:val="20"/>
          <w:lang w:eastAsia="en-GB"/>
        </w:rPr>
        <w:t xml:space="preserve"> </w:t>
      </w:r>
      <w:r w:rsidRPr="003A05F0">
        <w:rPr>
          <w:sz w:val="20"/>
          <w:szCs w:val="20"/>
        </w:rPr>
        <w:t xml:space="preserve">Informed Analysis, Expert Opinions. Technical Centre for Agricultural and Rural Cooperation (ACP-EU) </w:t>
      </w:r>
      <w:r w:rsidRPr="003A05F0">
        <w:rPr>
          <w:rFonts w:eastAsia="Times New Roman"/>
          <w:bCs/>
          <w:sz w:val="20"/>
          <w:szCs w:val="20"/>
          <w:lang w:eastAsia="en-GB"/>
        </w:rPr>
        <w:t xml:space="preserve">2014; </w:t>
      </w:r>
      <w:r w:rsidRPr="003A05F0">
        <w:rPr>
          <w:sz w:val="20"/>
          <w:szCs w:val="20"/>
        </w:rPr>
        <w:t>Available at: http</w:t>
      </w:r>
      <w:r w:rsidR="00BA0C77" w:rsidRPr="003A05F0">
        <w:rPr>
          <w:sz w:val="20"/>
          <w:szCs w:val="20"/>
        </w:rPr>
        <w:t>://agritrade.cta.int/en/layout/</w:t>
      </w:r>
      <w:r w:rsidRPr="003A05F0">
        <w:rPr>
          <w:sz w:val="20"/>
          <w:szCs w:val="20"/>
        </w:rPr>
        <w:t>set/print/Agriculture/Topics/SPS-Food-safety/Increased-interceptions-of-harmful-organisms-overhang-some-ACP-horticultural-exports-to-the-EU.</w:t>
      </w:r>
    </w:p>
    <w:p w:rsidR="00334BCB" w:rsidRPr="003A05F0" w:rsidRDefault="00334BCB" w:rsidP="003A05F0">
      <w:pPr>
        <w:numPr>
          <w:ilvl w:val="0"/>
          <w:numId w:val="4"/>
        </w:numPr>
        <w:tabs>
          <w:tab w:val="clear" w:pos="720"/>
        </w:tabs>
        <w:suppressAutoHyphens w:val="0"/>
        <w:snapToGrid w:val="0"/>
        <w:ind w:left="425" w:hanging="425"/>
        <w:jc w:val="both"/>
        <w:rPr>
          <w:sz w:val="20"/>
          <w:szCs w:val="20"/>
        </w:rPr>
      </w:pPr>
      <w:proofErr w:type="spellStart"/>
      <w:r w:rsidRPr="003A05F0">
        <w:rPr>
          <w:sz w:val="20"/>
          <w:szCs w:val="20"/>
        </w:rPr>
        <w:t>Donkor</w:t>
      </w:r>
      <w:proofErr w:type="spellEnd"/>
      <w:r w:rsidRPr="003A05F0">
        <w:rPr>
          <w:sz w:val="20"/>
          <w:szCs w:val="20"/>
        </w:rPr>
        <w:t xml:space="preserve"> ES, </w:t>
      </w:r>
      <w:proofErr w:type="spellStart"/>
      <w:r w:rsidRPr="003A05F0">
        <w:rPr>
          <w:sz w:val="20"/>
          <w:szCs w:val="20"/>
        </w:rPr>
        <w:t>Lanyo</w:t>
      </w:r>
      <w:proofErr w:type="spellEnd"/>
      <w:r w:rsidRPr="003A05F0">
        <w:rPr>
          <w:sz w:val="20"/>
          <w:szCs w:val="20"/>
        </w:rPr>
        <w:t xml:space="preserve"> R, </w:t>
      </w:r>
      <w:proofErr w:type="spellStart"/>
      <w:r w:rsidRPr="003A05F0">
        <w:rPr>
          <w:sz w:val="20"/>
          <w:szCs w:val="20"/>
        </w:rPr>
        <w:t>Kayang</w:t>
      </w:r>
      <w:proofErr w:type="spellEnd"/>
      <w:r w:rsidRPr="003A05F0">
        <w:rPr>
          <w:sz w:val="20"/>
          <w:szCs w:val="20"/>
        </w:rPr>
        <w:t xml:space="preserve"> BB, </w:t>
      </w:r>
      <w:proofErr w:type="spellStart"/>
      <w:r w:rsidRPr="003A05F0">
        <w:rPr>
          <w:sz w:val="20"/>
          <w:szCs w:val="20"/>
        </w:rPr>
        <w:t>Quaye</w:t>
      </w:r>
      <w:proofErr w:type="spellEnd"/>
      <w:r w:rsidRPr="003A05F0">
        <w:rPr>
          <w:sz w:val="20"/>
          <w:szCs w:val="20"/>
        </w:rPr>
        <w:t xml:space="preserve"> J, </w:t>
      </w:r>
      <w:proofErr w:type="spellStart"/>
      <w:r w:rsidRPr="003A05F0">
        <w:rPr>
          <w:sz w:val="20"/>
          <w:szCs w:val="20"/>
        </w:rPr>
        <w:t>Edoh</w:t>
      </w:r>
      <w:proofErr w:type="spellEnd"/>
      <w:r w:rsidRPr="003A05F0">
        <w:rPr>
          <w:sz w:val="20"/>
          <w:szCs w:val="20"/>
        </w:rPr>
        <w:t xml:space="preserve"> DA. Internalization of Microbes in Vegetables: Microbial Load of Ghanaian Vegetables and the Relationship with Different Water Sources of Irrigation. Pak J </w:t>
      </w:r>
      <w:proofErr w:type="spellStart"/>
      <w:r w:rsidRPr="003A05F0">
        <w:rPr>
          <w:sz w:val="20"/>
          <w:szCs w:val="20"/>
        </w:rPr>
        <w:t>Biol</w:t>
      </w:r>
      <w:proofErr w:type="spellEnd"/>
      <w:r w:rsidRPr="003A05F0">
        <w:rPr>
          <w:sz w:val="20"/>
          <w:szCs w:val="20"/>
        </w:rPr>
        <w:t xml:space="preserve"> </w:t>
      </w:r>
      <w:proofErr w:type="spellStart"/>
      <w:r w:rsidRPr="003A05F0">
        <w:rPr>
          <w:sz w:val="20"/>
          <w:szCs w:val="20"/>
        </w:rPr>
        <w:t>Sci</w:t>
      </w:r>
      <w:proofErr w:type="spellEnd"/>
      <w:r w:rsidRPr="003A05F0">
        <w:rPr>
          <w:sz w:val="20"/>
          <w:szCs w:val="20"/>
        </w:rPr>
        <w:t xml:space="preserve"> 2010</w:t>
      </w:r>
      <w:proofErr w:type="gramStart"/>
      <w:r w:rsidRPr="003A05F0">
        <w:rPr>
          <w:sz w:val="20"/>
          <w:szCs w:val="20"/>
        </w:rPr>
        <w:t>;13</w:t>
      </w:r>
      <w:proofErr w:type="gramEnd"/>
      <w:r w:rsidRPr="003A05F0">
        <w:rPr>
          <w:sz w:val="20"/>
          <w:szCs w:val="20"/>
        </w:rPr>
        <w:t>(17): 857-861.</w:t>
      </w:r>
    </w:p>
    <w:p w:rsidR="00334BCB" w:rsidRPr="003A05F0" w:rsidRDefault="00334BCB" w:rsidP="003A05F0">
      <w:pPr>
        <w:numPr>
          <w:ilvl w:val="0"/>
          <w:numId w:val="4"/>
        </w:numPr>
        <w:tabs>
          <w:tab w:val="clear" w:pos="720"/>
        </w:tabs>
        <w:suppressAutoHyphens w:val="0"/>
        <w:autoSpaceDE w:val="0"/>
        <w:autoSpaceDN w:val="0"/>
        <w:adjustRightInd w:val="0"/>
        <w:snapToGrid w:val="0"/>
        <w:ind w:left="425" w:hanging="425"/>
        <w:jc w:val="both"/>
        <w:rPr>
          <w:sz w:val="20"/>
          <w:szCs w:val="20"/>
          <w:lang w:val="en-GB" w:eastAsia="en-GB"/>
        </w:rPr>
      </w:pPr>
      <w:r w:rsidRPr="003A05F0">
        <w:rPr>
          <w:sz w:val="20"/>
          <w:szCs w:val="20"/>
          <w:lang w:val="en-GB" w:eastAsia="en-GB"/>
        </w:rPr>
        <w:t xml:space="preserve">Food and Drug </w:t>
      </w:r>
      <w:proofErr w:type="spellStart"/>
      <w:r w:rsidRPr="003A05F0">
        <w:rPr>
          <w:sz w:val="20"/>
          <w:szCs w:val="20"/>
          <w:lang w:val="en-GB" w:eastAsia="en-GB"/>
        </w:rPr>
        <w:t>Administation</w:t>
      </w:r>
      <w:proofErr w:type="spellEnd"/>
      <w:r w:rsidRPr="003A05F0">
        <w:rPr>
          <w:sz w:val="20"/>
          <w:szCs w:val="20"/>
          <w:lang w:val="en-GB" w:eastAsia="en-GB"/>
        </w:rPr>
        <w:t xml:space="preserve"> (FDA). Guide to minimize microbial food safety hazards for fresh fruits and vegetables 1998; Available at http:///www.cfsan.fda.gov/</w:t>
      </w:r>
      <w:r w:rsidRPr="003A05F0">
        <w:rPr>
          <w:rFonts w:eastAsia="MTSYN"/>
          <w:sz w:val="20"/>
          <w:szCs w:val="20"/>
          <w:lang w:val="en-GB" w:eastAsia="en-GB"/>
        </w:rPr>
        <w:t>~</w:t>
      </w:r>
      <w:r w:rsidRPr="003A05F0">
        <w:rPr>
          <w:sz w:val="20"/>
          <w:szCs w:val="20"/>
          <w:lang w:val="en-GB" w:eastAsia="en-GB"/>
        </w:rPr>
        <w:t>dms/ prodguid.html.</w:t>
      </w:r>
    </w:p>
    <w:p w:rsidR="00334BCB" w:rsidRPr="003A05F0" w:rsidRDefault="00334BCB" w:rsidP="003A05F0">
      <w:pPr>
        <w:pStyle w:val="Heading1"/>
        <w:keepNext w:val="0"/>
        <w:numPr>
          <w:ilvl w:val="0"/>
          <w:numId w:val="4"/>
        </w:numPr>
        <w:tabs>
          <w:tab w:val="clear" w:pos="720"/>
        </w:tabs>
        <w:suppressAutoHyphens w:val="0"/>
        <w:snapToGrid w:val="0"/>
        <w:ind w:left="425" w:hanging="425"/>
        <w:jc w:val="both"/>
        <w:rPr>
          <w:b w:val="0"/>
          <w:sz w:val="20"/>
          <w:szCs w:val="20"/>
        </w:rPr>
      </w:pPr>
      <w:proofErr w:type="gramStart"/>
      <w:r w:rsidRPr="003A05F0">
        <w:rPr>
          <w:b w:val="0"/>
          <w:sz w:val="20"/>
          <w:szCs w:val="20"/>
        </w:rPr>
        <w:t>NRC.</w:t>
      </w:r>
      <w:proofErr w:type="gramEnd"/>
      <w:r w:rsidRPr="003A05F0">
        <w:rPr>
          <w:b w:val="0"/>
          <w:sz w:val="20"/>
          <w:szCs w:val="20"/>
        </w:rPr>
        <w:t xml:space="preserve"> </w:t>
      </w:r>
      <w:proofErr w:type="gramStart"/>
      <w:r w:rsidRPr="003A05F0">
        <w:rPr>
          <w:b w:val="0"/>
          <w:sz w:val="20"/>
          <w:szCs w:val="20"/>
        </w:rPr>
        <w:t>An Evaluation of the Role of Microbiological Criteria for Foods and Food Ingredients.</w:t>
      </w:r>
      <w:proofErr w:type="gramEnd"/>
      <w:r w:rsidRPr="003A05F0">
        <w:rPr>
          <w:b w:val="0"/>
          <w:sz w:val="20"/>
          <w:szCs w:val="20"/>
        </w:rPr>
        <w:t xml:space="preserve"> </w:t>
      </w:r>
      <w:proofErr w:type="gramStart"/>
      <w:r w:rsidRPr="003A05F0">
        <w:rPr>
          <w:b w:val="0"/>
          <w:sz w:val="20"/>
          <w:szCs w:val="20"/>
        </w:rPr>
        <w:t>National Academies Press, Washington, D.C.</w:t>
      </w:r>
      <w:r w:rsidRPr="003A05F0">
        <w:rPr>
          <w:sz w:val="20"/>
          <w:szCs w:val="20"/>
        </w:rPr>
        <w:t xml:space="preserve"> </w:t>
      </w:r>
      <w:r w:rsidRPr="003A05F0">
        <w:rPr>
          <w:b w:val="0"/>
          <w:sz w:val="20"/>
          <w:szCs w:val="20"/>
        </w:rPr>
        <w:t>1985.</w:t>
      </w:r>
      <w:proofErr w:type="gramEnd"/>
    </w:p>
    <w:p w:rsidR="00334BCB" w:rsidRPr="003A05F0" w:rsidRDefault="00334BCB" w:rsidP="003A05F0">
      <w:pPr>
        <w:numPr>
          <w:ilvl w:val="0"/>
          <w:numId w:val="4"/>
        </w:numPr>
        <w:tabs>
          <w:tab w:val="clear" w:pos="720"/>
        </w:tabs>
        <w:suppressAutoHyphens w:val="0"/>
        <w:autoSpaceDE w:val="0"/>
        <w:autoSpaceDN w:val="0"/>
        <w:adjustRightInd w:val="0"/>
        <w:snapToGrid w:val="0"/>
        <w:ind w:left="425" w:hanging="425"/>
        <w:jc w:val="both"/>
        <w:rPr>
          <w:rStyle w:val="mixed-citation"/>
          <w:sz w:val="20"/>
          <w:szCs w:val="20"/>
        </w:rPr>
      </w:pPr>
      <w:r w:rsidRPr="003A05F0">
        <w:rPr>
          <w:sz w:val="20"/>
          <w:szCs w:val="20"/>
        </w:rPr>
        <w:t xml:space="preserve">ICMSF. </w:t>
      </w:r>
      <w:r w:rsidRPr="003A05F0">
        <w:rPr>
          <w:rStyle w:val="ref-title"/>
          <w:sz w:val="20"/>
          <w:szCs w:val="20"/>
        </w:rPr>
        <w:t>The ICMSF sampling plans and recommended microbiological limits for vegetables, fruits and nuts</w:t>
      </w:r>
      <w:r w:rsidRPr="003A05F0">
        <w:rPr>
          <w:sz w:val="20"/>
          <w:szCs w:val="20"/>
        </w:rPr>
        <w:t xml:space="preserve">. In: </w:t>
      </w:r>
      <w:r w:rsidRPr="003A05F0">
        <w:rPr>
          <w:rStyle w:val="Emphasis"/>
          <w:i w:val="0"/>
          <w:sz w:val="20"/>
          <w:szCs w:val="20"/>
        </w:rPr>
        <w:t>Microorganisms in Foods 2, Sampling for Microbial Analysis: Principles and Specific Applications</w:t>
      </w:r>
      <w:r w:rsidRPr="003A05F0">
        <w:rPr>
          <w:i/>
          <w:sz w:val="20"/>
          <w:szCs w:val="20"/>
        </w:rPr>
        <w:t>,</w:t>
      </w:r>
      <w:r w:rsidRPr="003A05F0">
        <w:rPr>
          <w:sz w:val="20"/>
          <w:szCs w:val="20"/>
        </w:rPr>
        <w:t xml:space="preserve"> 2nd ed. Palo Alto, ICMSF Blackwell Scientific Publications CA 1986</w:t>
      </w:r>
      <w:proofErr w:type="gramStart"/>
      <w:r w:rsidRPr="003A05F0">
        <w:rPr>
          <w:sz w:val="20"/>
          <w:szCs w:val="20"/>
        </w:rPr>
        <w:t>;197</w:t>
      </w:r>
      <w:proofErr w:type="gramEnd"/>
      <w:r w:rsidRPr="003A05F0">
        <w:rPr>
          <w:sz w:val="20"/>
          <w:szCs w:val="20"/>
        </w:rPr>
        <w:t>–202.</w:t>
      </w:r>
    </w:p>
    <w:p w:rsidR="00334BCB" w:rsidRPr="003A05F0" w:rsidRDefault="00334BCB" w:rsidP="003A05F0">
      <w:pPr>
        <w:numPr>
          <w:ilvl w:val="0"/>
          <w:numId w:val="4"/>
        </w:numPr>
        <w:tabs>
          <w:tab w:val="clear" w:pos="720"/>
        </w:tabs>
        <w:suppressAutoHyphens w:val="0"/>
        <w:snapToGrid w:val="0"/>
        <w:ind w:left="425" w:hanging="425"/>
        <w:jc w:val="both"/>
        <w:rPr>
          <w:sz w:val="20"/>
          <w:szCs w:val="20"/>
        </w:rPr>
      </w:pPr>
      <w:proofErr w:type="spellStart"/>
      <w:r w:rsidRPr="003A05F0">
        <w:rPr>
          <w:rStyle w:val="mixed-citation"/>
          <w:sz w:val="20"/>
          <w:szCs w:val="20"/>
        </w:rPr>
        <w:t>Kaferstein</w:t>
      </w:r>
      <w:proofErr w:type="spellEnd"/>
      <w:r w:rsidRPr="003A05F0">
        <w:rPr>
          <w:rStyle w:val="mixed-citation"/>
          <w:sz w:val="20"/>
          <w:szCs w:val="20"/>
        </w:rPr>
        <w:t xml:space="preserve"> F. </w:t>
      </w:r>
      <w:proofErr w:type="spellStart"/>
      <w:r w:rsidRPr="003A05F0">
        <w:rPr>
          <w:rStyle w:val="mixed-citation"/>
          <w:sz w:val="20"/>
          <w:szCs w:val="20"/>
        </w:rPr>
        <w:t>Foodborne</w:t>
      </w:r>
      <w:proofErr w:type="spellEnd"/>
      <w:r w:rsidRPr="003A05F0">
        <w:rPr>
          <w:rStyle w:val="mixed-citation"/>
          <w:sz w:val="20"/>
          <w:szCs w:val="20"/>
        </w:rPr>
        <w:t xml:space="preserve"> disease in developing countries: </w:t>
      </w:r>
      <w:proofErr w:type="spellStart"/>
      <w:r w:rsidRPr="003A05F0">
        <w:rPr>
          <w:rStyle w:val="mixed-citation"/>
          <w:sz w:val="20"/>
          <w:szCs w:val="20"/>
        </w:rPr>
        <w:t>Aetiology</w:t>
      </w:r>
      <w:proofErr w:type="spellEnd"/>
      <w:r w:rsidRPr="003A05F0">
        <w:rPr>
          <w:rStyle w:val="mixed-citation"/>
          <w:sz w:val="20"/>
          <w:szCs w:val="20"/>
        </w:rPr>
        <w:t xml:space="preserve">, epidemiology and strategies for prevention. </w:t>
      </w:r>
      <w:proofErr w:type="spellStart"/>
      <w:r w:rsidRPr="003A05F0">
        <w:rPr>
          <w:rStyle w:val="ref-journal"/>
          <w:sz w:val="20"/>
          <w:szCs w:val="20"/>
        </w:rPr>
        <w:t>Int</w:t>
      </w:r>
      <w:proofErr w:type="spellEnd"/>
      <w:r w:rsidRPr="003A05F0">
        <w:rPr>
          <w:rStyle w:val="ref-journal"/>
          <w:sz w:val="20"/>
          <w:szCs w:val="20"/>
        </w:rPr>
        <w:t xml:space="preserve"> J Environ Res</w:t>
      </w:r>
      <w:r w:rsidRPr="003A05F0">
        <w:rPr>
          <w:rStyle w:val="mixed-citation"/>
          <w:sz w:val="20"/>
          <w:szCs w:val="20"/>
        </w:rPr>
        <w:t xml:space="preserve"> 2003:</w:t>
      </w:r>
      <w:r w:rsidRPr="003A05F0">
        <w:rPr>
          <w:rStyle w:val="ref-vol"/>
          <w:sz w:val="20"/>
          <w:szCs w:val="20"/>
        </w:rPr>
        <w:t>13</w:t>
      </w:r>
      <w:r w:rsidRPr="003A05F0">
        <w:rPr>
          <w:rStyle w:val="mixed-citation"/>
          <w:sz w:val="20"/>
          <w:szCs w:val="20"/>
        </w:rPr>
        <w:t>(</w:t>
      </w:r>
      <w:proofErr w:type="spellStart"/>
      <w:r w:rsidRPr="003A05F0">
        <w:rPr>
          <w:rStyle w:val="mixed-citation"/>
          <w:sz w:val="20"/>
          <w:szCs w:val="20"/>
        </w:rPr>
        <w:t>Suppl</w:t>
      </w:r>
      <w:proofErr w:type="spellEnd"/>
      <w:r w:rsidRPr="003A05F0">
        <w:rPr>
          <w:rStyle w:val="mixed-citation"/>
          <w:sz w:val="20"/>
          <w:szCs w:val="20"/>
        </w:rPr>
        <w:t xml:space="preserve"> 1):S161-8.</w:t>
      </w:r>
    </w:p>
    <w:p w:rsidR="00334BCB" w:rsidRPr="003A05F0" w:rsidRDefault="00334BCB" w:rsidP="003A05F0">
      <w:pPr>
        <w:numPr>
          <w:ilvl w:val="0"/>
          <w:numId w:val="4"/>
        </w:numPr>
        <w:tabs>
          <w:tab w:val="clear" w:pos="720"/>
        </w:tabs>
        <w:suppressAutoHyphens w:val="0"/>
        <w:snapToGrid w:val="0"/>
        <w:ind w:left="425" w:hanging="425"/>
        <w:jc w:val="both"/>
        <w:outlineLvl w:val="0"/>
        <w:rPr>
          <w:sz w:val="20"/>
          <w:szCs w:val="20"/>
        </w:rPr>
      </w:pPr>
      <w:proofErr w:type="spellStart"/>
      <w:r w:rsidRPr="003A05F0">
        <w:rPr>
          <w:sz w:val="20"/>
          <w:szCs w:val="20"/>
        </w:rPr>
        <w:t>Kimbokota</w:t>
      </w:r>
      <w:proofErr w:type="spellEnd"/>
      <w:r w:rsidRPr="003A05F0">
        <w:rPr>
          <w:sz w:val="20"/>
          <w:szCs w:val="20"/>
        </w:rPr>
        <w:t xml:space="preserve"> F, </w:t>
      </w:r>
      <w:proofErr w:type="spellStart"/>
      <w:r w:rsidRPr="003A05F0">
        <w:rPr>
          <w:sz w:val="20"/>
          <w:szCs w:val="20"/>
        </w:rPr>
        <w:t>Njagi</w:t>
      </w:r>
      <w:proofErr w:type="spellEnd"/>
      <w:r w:rsidRPr="003A05F0">
        <w:rPr>
          <w:sz w:val="20"/>
          <w:szCs w:val="20"/>
        </w:rPr>
        <w:t xml:space="preserve"> PGN, </w:t>
      </w:r>
      <w:proofErr w:type="spellStart"/>
      <w:r w:rsidRPr="003A05F0">
        <w:rPr>
          <w:sz w:val="20"/>
          <w:szCs w:val="20"/>
        </w:rPr>
        <w:t>Torto</w:t>
      </w:r>
      <w:proofErr w:type="spellEnd"/>
      <w:r w:rsidRPr="003A05F0">
        <w:rPr>
          <w:sz w:val="20"/>
          <w:szCs w:val="20"/>
        </w:rPr>
        <w:t xml:space="preserve"> B, </w:t>
      </w:r>
      <w:proofErr w:type="spellStart"/>
      <w:r w:rsidRPr="003A05F0">
        <w:rPr>
          <w:sz w:val="20"/>
          <w:szCs w:val="20"/>
        </w:rPr>
        <w:t>Ekesi</w:t>
      </w:r>
      <w:proofErr w:type="spellEnd"/>
      <w:r w:rsidRPr="003A05F0">
        <w:rPr>
          <w:sz w:val="20"/>
          <w:szCs w:val="20"/>
        </w:rPr>
        <w:t xml:space="preserve">, S and </w:t>
      </w:r>
      <w:proofErr w:type="spellStart"/>
      <w:r w:rsidRPr="003A05F0">
        <w:rPr>
          <w:sz w:val="20"/>
          <w:szCs w:val="20"/>
        </w:rPr>
        <w:t>Hassanali</w:t>
      </w:r>
      <w:proofErr w:type="spellEnd"/>
      <w:r w:rsidRPr="003A05F0">
        <w:rPr>
          <w:sz w:val="20"/>
          <w:szCs w:val="20"/>
        </w:rPr>
        <w:t xml:space="preserve"> A. </w:t>
      </w:r>
      <w:r w:rsidRPr="003A05F0">
        <w:rPr>
          <w:rStyle w:val="nlmarticle-title"/>
          <w:sz w:val="20"/>
          <w:szCs w:val="20"/>
        </w:rPr>
        <w:t xml:space="preserve">Responses of </w:t>
      </w:r>
      <w:proofErr w:type="spellStart"/>
      <w:r w:rsidRPr="003A05F0">
        <w:rPr>
          <w:rStyle w:val="nlmarticle-title"/>
          <w:i/>
          <w:iCs/>
          <w:sz w:val="20"/>
          <w:szCs w:val="20"/>
        </w:rPr>
        <w:t>Bactrocera</w:t>
      </w:r>
      <w:proofErr w:type="spellEnd"/>
      <w:r w:rsidRPr="003A05F0">
        <w:rPr>
          <w:rStyle w:val="nlmarticle-title"/>
          <w:i/>
          <w:iCs/>
          <w:sz w:val="20"/>
          <w:szCs w:val="20"/>
        </w:rPr>
        <w:t xml:space="preserve"> </w:t>
      </w:r>
      <w:proofErr w:type="spellStart"/>
      <w:r w:rsidRPr="003A05F0">
        <w:rPr>
          <w:rStyle w:val="nlmarticle-title"/>
          <w:i/>
          <w:iCs/>
          <w:sz w:val="20"/>
          <w:szCs w:val="20"/>
        </w:rPr>
        <w:t>invadens</w:t>
      </w:r>
      <w:proofErr w:type="spellEnd"/>
      <w:r w:rsidRPr="003A05F0">
        <w:rPr>
          <w:rStyle w:val="nlmarticle-title"/>
          <w:sz w:val="20"/>
          <w:szCs w:val="20"/>
        </w:rPr>
        <w:t xml:space="preserve"> (</w:t>
      </w:r>
      <w:proofErr w:type="spellStart"/>
      <w:r w:rsidRPr="003A05F0">
        <w:rPr>
          <w:rStyle w:val="nlmarticle-title"/>
          <w:sz w:val="20"/>
          <w:szCs w:val="20"/>
        </w:rPr>
        <w:t>Diptera</w:t>
      </w:r>
      <w:proofErr w:type="spellEnd"/>
      <w:r w:rsidRPr="003A05F0">
        <w:rPr>
          <w:rStyle w:val="nlmarticle-title"/>
          <w:sz w:val="20"/>
          <w:szCs w:val="20"/>
        </w:rPr>
        <w:t xml:space="preserve">: </w:t>
      </w:r>
      <w:proofErr w:type="spellStart"/>
      <w:r w:rsidRPr="003A05F0">
        <w:rPr>
          <w:rStyle w:val="nlmarticle-title"/>
          <w:sz w:val="20"/>
          <w:szCs w:val="20"/>
        </w:rPr>
        <w:t>Tephritidae</w:t>
      </w:r>
      <w:proofErr w:type="spellEnd"/>
      <w:r w:rsidRPr="003A05F0">
        <w:rPr>
          <w:rStyle w:val="nlmarticle-title"/>
          <w:sz w:val="20"/>
          <w:szCs w:val="20"/>
        </w:rPr>
        <w:t>) to volatile emissions of fruits from three hosts.</w:t>
      </w:r>
      <w:r w:rsidRPr="003A05F0">
        <w:rPr>
          <w:sz w:val="20"/>
          <w:szCs w:val="20"/>
        </w:rPr>
        <w:t xml:space="preserve"> </w:t>
      </w:r>
      <w:r w:rsidR="009F79C2" w:rsidRPr="003A05F0">
        <w:rPr>
          <w:rStyle w:val="citationsource-journal"/>
          <w:sz w:val="20"/>
          <w:szCs w:val="20"/>
        </w:rPr>
        <w:t xml:space="preserve">J </w:t>
      </w:r>
      <w:proofErr w:type="spellStart"/>
      <w:r w:rsidR="009F79C2" w:rsidRPr="003A05F0">
        <w:rPr>
          <w:rStyle w:val="citationsource-journal"/>
          <w:sz w:val="20"/>
          <w:szCs w:val="20"/>
        </w:rPr>
        <w:t>Biol</w:t>
      </w:r>
      <w:proofErr w:type="spellEnd"/>
      <w:r w:rsidR="009F79C2" w:rsidRPr="003A05F0">
        <w:rPr>
          <w:rStyle w:val="citationsource-journal"/>
          <w:sz w:val="20"/>
          <w:szCs w:val="20"/>
        </w:rPr>
        <w:t xml:space="preserve"> Agric</w:t>
      </w:r>
      <w:r w:rsidRPr="003A05F0">
        <w:rPr>
          <w:rStyle w:val="citationsource-journal"/>
          <w:sz w:val="20"/>
          <w:szCs w:val="20"/>
        </w:rPr>
        <w:t xml:space="preserve"> Healthcare</w:t>
      </w:r>
      <w:r w:rsidRPr="003A05F0">
        <w:rPr>
          <w:sz w:val="20"/>
          <w:szCs w:val="20"/>
        </w:rPr>
        <w:t xml:space="preserve"> </w:t>
      </w:r>
      <w:r w:rsidRPr="003A05F0">
        <w:rPr>
          <w:rStyle w:val="nlmyear"/>
          <w:sz w:val="20"/>
          <w:szCs w:val="20"/>
        </w:rPr>
        <w:t>2013</w:t>
      </w:r>
      <w:proofErr w:type="gramStart"/>
      <w:r w:rsidRPr="003A05F0">
        <w:rPr>
          <w:sz w:val="20"/>
          <w:szCs w:val="20"/>
        </w:rPr>
        <w:t>;3:</w:t>
      </w:r>
      <w:r w:rsidRPr="003A05F0">
        <w:rPr>
          <w:rStyle w:val="nlmfpage"/>
          <w:sz w:val="20"/>
          <w:szCs w:val="20"/>
        </w:rPr>
        <w:t>53</w:t>
      </w:r>
      <w:proofErr w:type="gramEnd"/>
      <w:r w:rsidRPr="003A05F0">
        <w:rPr>
          <w:sz w:val="20"/>
          <w:szCs w:val="20"/>
        </w:rPr>
        <w:t>–</w:t>
      </w:r>
      <w:r w:rsidRPr="003A05F0">
        <w:rPr>
          <w:rStyle w:val="nlmlpage"/>
          <w:sz w:val="20"/>
          <w:szCs w:val="20"/>
        </w:rPr>
        <w:t>60</w:t>
      </w:r>
      <w:r w:rsidRPr="003A05F0">
        <w:rPr>
          <w:sz w:val="20"/>
          <w:szCs w:val="20"/>
        </w:rPr>
        <w:t>.</w:t>
      </w:r>
    </w:p>
    <w:p w:rsidR="00334BCB" w:rsidRPr="003A05F0" w:rsidRDefault="00334BCB" w:rsidP="003A05F0">
      <w:pPr>
        <w:numPr>
          <w:ilvl w:val="0"/>
          <w:numId w:val="4"/>
        </w:numPr>
        <w:tabs>
          <w:tab w:val="clear" w:pos="720"/>
        </w:tabs>
        <w:suppressAutoHyphens w:val="0"/>
        <w:snapToGrid w:val="0"/>
        <w:ind w:left="425" w:hanging="425"/>
        <w:jc w:val="both"/>
        <w:rPr>
          <w:rFonts w:eastAsia="TimesNewRoman"/>
          <w:sz w:val="20"/>
          <w:szCs w:val="20"/>
          <w:lang w:val="en-GB" w:eastAsia="en-GB"/>
        </w:rPr>
      </w:pPr>
      <w:proofErr w:type="spellStart"/>
      <w:r w:rsidRPr="003A05F0">
        <w:rPr>
          <w:rFonts w:eastAsia="TimesNewRoman"/>
          <w:sz w:val="20"/>
          <w:szCs w:val="20"/>
          <w:lang w:val="en-GB" w:eastAsia="en-GB"/>
        </w:rPr>
        <w:t>Liquido</w:t>
      </w:r>
      <w:proofErr w:type="spellEnd"/>
      <w:r w:rsidRPr="003A05F0">
        <w:rPr>
          <w:rFonts w:eastAsia="TimesNewRoman"/>
          <w:sz w:val="20"/>
          <w:szCs w:val="20"/>
          <w:lang w:val="en-GB" w:eastAsia="en-GB"/>
        </w:rPr>
        <w:t xml:space="preserve"> NJ, Cunningham RT, </w:t>
      </w:r>
      <w:proofErr w:type="spellStart"/>
      <w:r w:rsidRPr="003A05F0">
        <w:rPr>
          <w:rFonts w:eastAsia="TimesNewRoman"/>
          <w:sz w:val="20"/>
          <w:szCs w:val="20"/>
          <w:lang w:val="en-GB" w:eastAsia="en-GB"/>
        </w:rPr>
        <w:t>Couey</w:t>
      </w:r>
      <w:proofErr w:type="spellEnd"/>
      <w:r w:rsidRPr="003A05F0">
        <w:rPr>
          <w:rFonts w:eastAsia="TimesNewRoman"/>
          <w:sz w:val="20"/>
          <w:szCs w:val="20"/>
          <w:lang w:val="en-GB" w:eastAsia="en-GB"/>
        </w:rPr>
        <w:t xml:space="preserve"> HM. Infestation rates of papayas by fruit flies (</w:t>
      </w:r>
      <w:proofErr w:type="spellStart"/>
      <w:r w:rsidRPr="003A05F0">
        <w:rPr>
          <w:rFonts w:eastAsia="TimesNewRoman"/>
          <w:sz w:val="20"/>
          <w:szCs w:val="20"/>
          <w:lang w:val="en-GB" w:eastAsia="en-GB"/>
        </w:rPr>
        <w:t>Diptera</w:t>
      </w:r>
      <w:proofErr w:type="spellEnd"/>
      <w:r w:rsidRPr="003A05F0">
        <w:rPr>
          <w:rFonts w:eastAsia="TimesNewRoman"/>
          <w:sz w:val="20"/>
          <w:szCs w:val="20"/>
          <w:lang w:val="en-GB" w:eastAsia="en-GB"/>
        </w:rPr>
        <w:t>:</w:t>
      </w:r>
      <w:r w:rsidR="00E37FCF">
        <w:rPr>
          <w:rFonts w:eastAsiaTheme="minorEastAsia" w:hint="eastAsia"/>
          <w:sz w:val="20"/>
          <w:szCs w:val="20"/>
          <w:lang w:val="en-GB" w:eastAsia="zh-CN"/>
        </w:rPr>
        <w:t xml:space="preserve"> </w:t>
      </w:r>
      <w:proofErr w:type="spellStart"/>
      <w:r w:rsidRPr="003A05F0">
        <w:rPr>
          <w:rFonts w:eastAsia="TimesNewRoman"/>
          <w:sz w:val="20"/>
          <w:szCs w:val="20"/>
          <w:lang w:val="en-GB" w:eastAsia="en-GB"/>
        </w:rPr>
        <w:t>Tephritidae</w:t>
      </w:r>
      <w:proofErr w:type="spellEnd"/>
      <w:r w:rsidRPr="003A05F0">
        <w:rPr>
          <w:rFonts w:eastAsia="TimesNewRoman"/>
          <w:sz w:val="20"/>
          <w:szCs w:val="20"/>
          <w:lang w:val="en-GB" w:eastAsia="en-GB"/>
        </w:rPr>
        <w:t xml:space="preserve">) in relation to the degree of fruit ripeness. </w:t>
      </w:r>
      <w:r w:rsidRPr="003A05F0">
        <w:rPr>
          <w:rFonts w:eastAsia="TimesNewRoman"/>
          <w:iCs/>
          <w:sz w:val="20"/>
          <w:szCs w:val="20"/>
          <w:lang w:val="en-GB" w:eastAsia="en-GB"/>
        </w:rPr>
        <w:t xml:space="preserve">J Econ </w:t>
      </w:r>
      <w:proofErr w:type="spellStart"/>
      <w:r w:rsidRPr="003A05F0">
        <w:rPr>
          <w:rFonts w:eastAsia="TimesNewRoman"/>
          <w:iCs/>
          <w:sz w:val="20"/>
          <w:szCs w:val="20"/>
          <w:lang w:val="en-GB" w:eastAsia="en-GB"/>
        </w:rPr>
        <w:t>Entomol</w:t>
      </w:r>
      <w:proofErr w:type="spellEnd"/>
      <w:r w:rsidRPr="003A05F0">
        <w:rPr>
          <w:rFonts w:eastAsia="TimesNewRoman"/>
          <w:sz w:val="20"/>
          <w:szCs w:val="20"/>
          <w:lang w:val="en-GB" w:eastAsia="en-GB"/>
        </w:rPr>
        <w:t xml:space="preserve"> 1989</w:t>
      </w:r>
      <w:proofErr w:type="gramStart"/>
      <w:r w:rsidRPr="003A05F0">
        <w:rPr>
          <w:rFonts w:eastAsia="TimesNewRoman"/>
          <w:sz w:val="20"/>
          <w:szCs w:val="20"/>
          <w:lang w:val="en-GB" w:eastAsia="en-GB"/>
        </w:rPr>
        <w:t>;82</w:t>
      </w:r>
      <w:proofErr w:type="gramEnd"/>
      <w:r w:rsidRPr="003A05F0">
        <w:rPr>
          <w:rFonts w:eastAsia="TimesNewRoman"/>
          <w:sz w:val="20"/>
          <w:szCs w:val="20"/>
          <w:lang w:val="en-GB" w:eastAsia="en-GB"/>
        </w:rPr>
        <w:t>, 213-219.</w:t>
      </w:r>
    </w:p>
    <w:p w:rsidR="00334BCB" w:rsidRPr="003A05F0" w:rsidRDefault="00334BCB" w:rsidP="003A05F0">
      <w:pPr>
        <w:pStyle w:val="ListParagraph"/>
        <w:numPr>
          <w:ilvl w:val="0"/>
          <w:numId w:val="4"/>
        </w:numPr>
        <w:tabs>
          <w:tab w:val="clear" w:pos="720"/>
        </w:tabs>
        <w:snapToGrid w:val="0"/>
        <w:spacing w:after="0" w:line="240" w:lineRule="auto"/>
        <w:ind w:left="425" w:hanging="425"/>
        <w:jc w:val="both"/>
        <w:rPr>
          <w:rFonts w:ascii="Times New Roman" w:hAnsi="Times New Roman"/>
          <w:sz w:val="20"/>
          <w:szCs w:val="20"/>
        </w:rPr>
      </w:pPr>
      <w:proofErr w:type="spellStart"/>
      <w:r w:rsidRPr="003A05F0">
        <w:rPr>
          <w:rFonts w:ascii="Times New Roman" w:hAnsi="Times New Roman"/>
          <w:sz w:val="20"/>
          <w:szCs w:val="20"/>
        </w:rPr>
        <w:lastRenderedPageBreak/>
        <w:t>Mensah</w:t>
      </w:r>
      <w:proofErr w:type="spellEnd"/>
      <w:r w:rsidRPr="003A05F0">
        <w:rPr>
          <w:rFonts w:ascii="Times New Roman" w:hAnsi="Times New Roman"/>
          <w:sz w:val="20"/>
          <w:szCs w:val="20"/>
        </w:rPr>
        <w:t xml:space="preserve"> P, </w:t>
      </w:r>
      <w:proofErr w:type="spellStart"/>
      <w:r w:rsidRPr="003A05F0">
        <w:rPr>
          <w:rFonts w:ascii="Times New Roman" w:hAnsi="Times New Roman"/>
          <w:sz w:val="20"/>
          <w:szCs w:val="20"/>
        </w:rPr>
        <w:t>Armar</w:t>
      </w:r>
      <w:proofErr w:type="spellEnd"/>
      <w:r w:rsidRPr="003A05F0">
        <w:rPr>
          <w:rFonts w:ascii="Times New Roman" w:hAnsi="Times New Roman"/>
          <w:sz w:val="20"/>
          <w:szCs w:val="20"/>
        </w:rPr>
        <w:t xml:space="preserve">- </w:t>
      </w:r>
      <w:proofErr w:type="spellStart"/>
      <w:r w:rsidRPr="003A05F0">
        <w:rPr>
          <w:rFonts w:ascii="Times New Roman" w:hAnsi="Times New Roman"/>
          <w:sz w:val="20"/>
          <w:szCs w:val="20"/>
        </w:rPr>
        <w:t>Klemesu</w:t>
      </w:r>
      <w:proofErr w:type="spellEnd"/>
      <w:r w:rsidRPr="003A05F0">
        <w:rPr>
          <w:rFonts w:ascii="Times New Roman" w:hAnsi="Times New Roman"/>
          <w:sz w:val="20"/>
          <w:szCs w:val="20"/>
        </w:rPr>
        <w:t xml:space="preserve"> M, Hammond AS, </w:t>
      </w:r>
      <w:proofErr w:type="spellStart"/>
      <w:r w:rsidRPr="003A05F0">
        <w:rPr>
          <w:rFonts w:ascii="Times New Roman" w:hAnsi="Times New Roman"/>
          <w:sz w:val="20"/>
          <w:szCs w:val="20"/>
        </w:rPr>
        <w:t>Haruna</w:t>
      </w:r>
      <w:proofErr w:type="spellEnd"/>
      <w:r w:rsidRPr="003A05F0">
        <w:rPr>
          <w:rFonts w:ascii="Times New Roman" w:hAnsi="Times New Roman"/>
          <w:sz w:val="20"/>
          <w:szCs w:val="20"/>
        </w:rPr>
        <w:t xml:space="preserve"> A, </w:t>
      </w:r>
      <w:proofErr w:type="spellStart"/>
      <w:r w:rsidRPr="003A05F0">
        <w:rPr>
          <w:rFonts w:ascii="Times New Roman" w:hAnsi="Times New Roman"/>
          <w:sz w:val="20"/>
          <w:szCs w:val="20"/>
        </w:rPr>
        <w:t>Nyaku</w:t>
      </w:r>
      <w:proofErr w:type="spellEnd"/>
      <w:r w:rsidRPr="003A05F0">
        <w:rPr>
          <w:rFonts w:ascii="Times New Roman" w:hAnsi="Times New Roman"/>
          <w:sz w:val="20"/>
          <w:szCs w:val="20"/>
        </w:rPr>
        <w:t xml:space="preserve"> R. Bacteria contaminants of lettuce, tomatoes, beef and goat meat from the Accra Metropolis</w:t>
      </w:r>
      <w:r w:rsidRPr="003A05F0">
        <w:rPr>
          <w:rFonts w:ascii="Times New Roman" w:hAnsi="Times New Roman"/>
          <w:i/>
          <w:sz w:val="20"/>
          <w:szCs w:val="20"/>
        </w:rPr>
        <w:t xml:space="preserve">. </w:t>
      </w:r>
      <w:r w:rsidRPr="003A05F0">
        <w:rPr>
          <w:rFonts w:ascii="Times New Roman" w:hAnsi="Times New Roman"/>
          <w:sz w:val="20"/>
          <w:szCs w:val="20"/>
        </w:rPr>
        <w:t>Ghana Med J 2001;35: 1-6</w:t>
      </w:r>
    </w:p>
    <w:p w:rsidR="00334BCB" w:rsidRPr="003A05F0" w:rsidRDefault="00334BCB" w:rsidP="003A05F0">
      <w:pPr>
        <w:pStyle w:val="ListParagraph"/>
        <w:numPr>
          <w:ilvl w:val="0"/>
          <w:numId w:val="4"/>
        </w:numPr>
        <w:tabs>
          <w:tab w:val="clear" w:pos="720"/>
        </w:tabs>
        <w:snapToGrid w:val="0"/>
        <w:spacing w:after="0" w:line="240" w:lineRule="auto"/>
        <w:ind w:left="425" w:hanging="425"/>
        <w:jc w:val="both"/>
        <w:rPr>
          <w:rFonts w:ascii="Times New Roman" w:hAnsi="Times New Roman"/>
          <w:sz w:val="20"/>
          <w:szCs w:val="20"/>
        </w:rPr>
      </w:pPr>
      <w:proofErr w:type="spellStart"/>
      <w:r w:rsidRPr="003A05F0">
        <w:rPr>
          <w:rFonts w:ascii="Times New Roman" w:hAnsi="Times New Roman"/>
          <w:sz w:val="20"/>
          <w:szCs w:val="20"/>
        </w:rPr>
        <w:t>Obeng</w:t>
      </w:r>
      <w:proofErr w:type="spellEnd"/>
      <w:r w:rsidRPr="003A05F0">
        <w:rPr>
          <w:rFonts w:ascii="Times New Roman" w:hAnsi="Times New Roman"/>
          <w:sz w:val="20"/>
          <w:szCs w:val="20"/>
        </w:rPr>
        <w:t xml:space="preserve"> AS, </w:t>
      </w:r>
      <w:proofErr w:type="spellStart"/>
      <w:r w:rsidRPr="003A05F0">
        <w:rPr>
          <w:rFonts w:ascii="Times New Roman" w:hAnsi="Times New Roman"/>
          <w:sz w:val="20"/>
          <w:szCs w:val="20"/>
        </w:rPr>
        <w:t>Kwakye-Nuako</w:t>
      </w:r>
      <w:proofErr w:type="spellEnd"/>
      <w:r w:rsidRPr="003A05F0">
        <w:rPr>
          <w:rFonts w:ascii="Times New Roman" w:hAnsi="Times New Roman"/>
          <w:sz w:val="20"/>
          <w:szCs w:val="20"/>
        </w:rPr>
        <w:t xml:space="preserve"> AG, </w:t>
      </w:r>
      <w:proofErr w:type="spellStart"/>
      <w:r w:rsidRPr="003A05F0">
        <w:rPr>
          <w:rFonts w:ascii="Times New Roman" w:hAnsi="Times New Roman"/>
          <w:sz w:val="20"/>
          <w:szCs w:val="20"/>
        </w:rPr>
        <w:t>Asmah</w:t>
      </w:r>
      <w:proofErr w:type="spellEnd"/>
      <w:r w:rsidRPr="003A05F0">
        <w:rPr>
          <w:rFonts w:ascii="Times New Roman" w:hAnsi="Times New Roman"/>
          <w:sz w:val="20"/>
          <w:szCs w:val="20"/>
        </w:rPr>
        <w:t xml:space="preserve"> RH and </w:t>
      </w:r>
      <w:proofErr w:type="spellStart"/>
      <w:r w:rsidRPr="003A05F0">
        <w:rPr>
          <w:rFonts w:ascii="Times New Roman" w:hAnsi="Times New Roman"/>
          <w:sz w:val="20"/>
          <w:szCs w:val="20"/>
        </w:rPr>
        <w:t>Ayeh-Kumi</w:t>
      </w:r>
      <w:proofErr w:type="spellEnd"/>
      <w:r w:rsidRPr="003A05F0">
        <w:rPr>
          <w:rFonts w:ascii="Times New Roman" w:hAnsi="Times New Roman"/>
          <w:sz w:val="20"/>
          <w:szCs w:val="20"/>
        </w:rPr>
        <w:t xml:space="preserve"> PF. Pathogenic parasitic microbes associated with fresh vegetables consumed in Accra. GJAHS 2007; 1: 11-15.</w:t>
      </w:r>
    </w:p>
    <w:p w:rsidR="00334BCB" w:rsidRPr="003A05F0" w:rsidRDefault="00334BCB" w:rsidP="003A05F0">
      <w:pPr>
        <w:pStyle w:val="ListParagraph"/>
        <w:numPr>
          <w:ilvl w:val="0"/>
          <w:numId w:val="4"/>
        </w:numPr>
        <w:tabs>
          <w:tab w:val="clear" w:pos="720"/>
        </w:tabs>
        <w:snapToGrid w:val="0"/>
        <w:spacing w:after="0" w:line="240" w:lineRule="auto"/>
        <w:ind w:left="425" w:hanging="425"/>
        <w:jc w:val="both"/>
        <w:rPr>
          <w:rFonts w:ascii="Times New Roman" w:hAnsi="Times New Roman"/>
          <w:i/>
          <w:sz w:val="20"/>
          <w:szCs w:val="20"/>
        </w:rPr>
      </w:pPr>
      <w:proofErr w:type="spellStart"/>
      <w:r w:rsidRPr="003A05F0">
        <w:rPr>
          <w:rFonts w:ascii="Times New Roman" w:hAnsi="Times New Roman"/>
          <w:sz w:val="20"/>
          <w:szCs w:val="20"/>
        </w:rPr>
        <w:t>Penteado</w:t>
      </w:r>
      <w:proofErr w:type="spellEnd"/>
      <w:r w:rsidRPr="003A05F0">
        <w:rPr>
          <w:rFonts w:ascii="Times New Roman" w:hAnsi="Times New Roman"/>
          <w:sz w:val="20"/>
          <w:szCs w:val="20"/>
        </w:rPr>
        <w:t xml:space="preserve"> AL, </w:t>
      </w:r>
      <w:proofErr w:type="spellStart"/>
      <w:r w:rsidRPr="003A05F0">
        <w:rPr>
          <w:rFonts w:ascii="Times New Roman" w:hAnsi="Times New Roman"/>
          <w:sz w:val="20"/>
          <w:szCs w:val="20"/>
        </w:rPr>
        <w:t>Eblen</w:t>
      </w:r>
      <w:proofErr w:type="spellEnd"/>
      <w:r w:rsidRPr="003A05F0">
        <w:rPr>
          <w:rFonts w:ascii="Times New Roman" w:hAnsi="Times New Roman"/>
          <w:sz w:val="20"/>
          <w:szCs w:val="20"/>
        </w:rPr>
        <w:t xml:space="preserve"> BS, Miller AJ. Evidence of</w:t>
      </w:r>
      <w:r w:rsidRPr="003A05F0">
        <w:rPr>
          <w:rFonts w:ascii="Times New Roman" w:hAnsi="Times New Roman"/>
          <w:i/>
          <w:sz w:val="20"/>
          <w:szCs w:val="20"/>
        </w:rPr>
        <w:t xml:space="preserve"> Salmonella </w:t>
      </w:r>
      <w:r w:rsidRPr="003A05F0">
        <w:rPr>
          <w:rFonts w:ascii="Times New Roman" w:hAnsi="Times New Roman"/>
          <w:sz w:val="20"/>
          <w:szCs w:val="20"/>
        </w:rPr>
        <w:t xml:space="preserve">internalization into fresh mangoes during simulated postharvest insect </w:t>
      </w:r>
      <w:r w:rsidRPr="003A05F0">
        <w:rPr>
          <w:rFonts w:ascii="Times New Roman" w:hAnsi="Times New Roman"/>
          <w:sz w:val="20"/>
          <w:szCs w:val="20"/>
        </w:rPr>
        <w:lastRenderedPageBreak/>
        <w:t>disinfestations procedures</w:t>
      </w:r>
      <w:r w:rsidR="009F79C2" w:rsidRPr="003A05F0">
        <w:rPr>
          <w:rFonts w:ascii="Times New Roman" w:hAnsi="Times New Roman"/>
          <w:i/>
          <w:sz w:val="20"/>
          <w:szCs w:val="20"/>
        </w:rPr>
        <w:t>. J</w:t>
      </w:r>
      <w:r w:rsidRPr="003A05F0">
        <w:rPr>
          <w:rFonts w:ascii="Times New Roman" w:hAnsi="Times New Roman"/>
          <w:i/>
          <w:sz w:val="20"/>
          <w:szCs w:val="20"/>
        </w:rPr>
        <w:t xml:space="preserve"> Food Prot</w:t>
      </w:r>
      <w:r w:rsidRPr="003A05F0">
        <w:rPr>
          <w:rFonts w:ascii="Times New Roman" w:hAnsi="Times New Roman"/>
          <w:sz w:val="20"/>
          <w:szCs w:val="20"/>
        </w:rPr>
        <w:t xml:space="preserve"> 2007; 67: 181-184</w:t>
      </w:r>
      <w:r w:rsidR="00E37FCF">
        <w:rPr>
          <w:rFonts w:ascii="Times New Roman" w:eastAsiaTheme="minorEastAsia" w:hAnsi="Times New Roman" w:hint="eastAsia"/>
          <w:sz w:val="20"/>
          <w:szCs w:val="20"/>
          <w:lang w:eastAsia="zh-CN"/>
        </w:rPr>
        <w:t>.</w:t>
      </w:r>
    </w:p>
    <w:p w:rsidR="00BA0C77" w:rsidRPr="003A05F0" w:rsidRDefault="00334BCB" w:rsidP="003A05F0">
      <w:pPr>
        <w:pStyle w:val="Default"/>
        <w:numPr>
          <w:ilvl w:val="0"/>
          <w:numId w:val="4"/>
        </w:numPr>
        <w:tabs>
          <w:tab w:val="clear" w:pos="720"/>
        </w:tabs>
        <w:snapToGrid w:val="0"/>
        <w:ind w:left="425" w:hanging="425"/>
        <w:jc w:val="both"/>
        <w:rPr>
          <w:color w:val="auto"/>
          <w:sz w:val="20"/>
          <w:szCs w:val="20"/>
        </w:rPr>
      </w:pPr>
      <w:proofErr w:type="spellStart"/>
      <w:r w:rsidRPr="003A05F0">
        <w:rPr>
          <w:color w:val="auto"/>
          <w:sz w:val="20"/>
          <w:szCs w:val="20"/>
        </w:rPr>
        <w:t>Ryall</w:t>
      </w:r>
      <w:proofErr w:type="spellEnd"/>
      <w:r w:rsidRPr="003A05F0">
        <w:rPr>
          <w:color w:val="auto"/>
          <w:sz w:val="20"/>
          <w:szCs w:val="20"/>
        </w:rPr>
        <w:t xml:space="preserve"> AL, </w:t>
      </w:r>
      <w:proofErr w:type="spellStart"/>
      <w:r w:rsidRPr="003A05F0">
        <w:rPr>
          <w:color w:val="auto"/>
          <w:sz w:val="20"/>
          <w:szCs w:val="20"/>
        </w:rPr>
        <w:t>Pentzer</w:t>
      </w:r>
      <w:proofErr w:type="spellEnd"/>
      <w:r w:rsidRPr="003A05F0">
        <w:rPr>
          <w:color w:val="auto"/>
          <w:sz w:val="20"/>
          <w:szCs w:val="20"/>
        </w:rPr>
        <w:t xml:space="preserve"> WT. Handling Transportation and Storage of Fruit and Vegetables</w:t>
      </w:r>
      <w:r w:rsidRPr="003A05F0">
        <w:rPr>
          <w:i/>
          <w:color w:val="auto"/>
          <w:sz w:val="20"/>
          <w:szCs w:val="20"/>
        </w:rPr>
        <w:t xml:space="preserve"> </w:t>
      </w:r>
      <w:r w:rsidRPr="003A05F0">
        <w:rPr>
          <w:color w:val="auto"/>
          <w:sz w:val="20"/>
          <w:szCs w:val="20"/>
        </w:rPr>
        <w:t>AVI. Publishing Co. Inc., Connecticut, 1982: 610.</w:t>
      </w:r>
    </w:p>
    <w:p w:rsidR="00BA0C77" w:rsidRPr="003A05F0" w:rsidRDefault="00334BCB" w:rsidP="003A05F0">
      <w:pPr>
        <w:pStyle w:val="Default"/>
        <w:numPr>
          <w:ilvl w:val="0"/>
          <w:numId w:val="4"/>
        </w:numPr>
        <w:tabs>
          <w:tab w:val="clear" w:pos="720"/>
        </w:tabs>
        <w:snapToGrid w:val="0"/>
        <w:ind w:left="425" w:hanging="425"/>
        <w:jc w:val="both"/>
        <w:rPr>
          <w:color w:val="auto"/>
          <w:sz w:val="20"/>
          <w:szCs w:val="20"/>
        </w:rPr>
      </w:pPr>
      <w:r w:rsidRPr="003A05F0">
        <w:rPr>
          <w:color w:val="auto"/>
          <w:sz w:val="20"/>
          <w:szCs w:val="20"/>
        </w:rPr>
        <w:t>WHO, Guidelines for Drinking Water Quality</w:t>
      </w:r>
      <w:r w:rsidRPr="003A05F0">
        <w:rPr>
          <w:i/>
          <w:color w:val="auto"/>
          <w:sz w:val="20"/>
          <w:szCs w:val="20"/>
        </w:rPr>
        <w:t xml:space="preserve"> </w:t>
      </w:r>
      <w:r w:rsidRPr="003A05F0">
        <w:rPr>
          <w:color w:val="auto"/>
          <w:sz w:val="20"/>
          <w:szCs w:val="20"/>
        </w:rPr>
        <w:t>1993; 2</w:t>
      </w:r>
      <w:r w:rsidRPr="003A05F0">
        <w:rPr>
          <w:color w:val="auto"/>
          <w:sz w:val="20"/>
          <w:szCs w:val="20"/>
          <w:vertAlign w:val="superscript"/>
        </w:rPr>
        <w:t>nd</w:t>
      </w:r>
      <w:r w:rsidRPr="003A05F0">
        <w:rPr>
          <w:color w:val="auto"/>
          <w:sz w:val="20"/>
          <w:szCs w:val="20"/>
        </w:rPr>
        <w:t xml:space="preserve"> ed., WHO, Geneva.</w:t>
      </w:r>
    </w:p>
    <w:p w:rsidR="003A05F0" w:rsidRPr="00E37FCF" w:rsidRDefault="00334BCB" w:rsidP="003A05F0">
      <w:pPr>
        <w:pStyle w:val="Default"/>
        <w:numPr>
          <w:ilvl w:val="0"/>
          <w:numId w:val="4"/>
        </w:numPr>
        <w:tabs>
          <w:tab w:val="clear" w:pos="720"/>
        </w:tabs>
        <w:snapToGrid w:val="0"/>
        <w:ind w:left="425" w:hanging="425"/>
        <w:jc w:val="both"/>
        <w:rPr>
          <w:sz w:val="20"/>
          <w:szCs w:val="20"/>
        </w:rPr>
      </w:pPr>
      <w:r w:rsidRPr="00E37FCF">
        <w:rPr>
          <w:color w:val="auto"/>
          <w:sz w:val="20"/>
          <w:szCs w:val="20"/>
        </w:rPr>
        <w:t xml:space="preserve">Edberg SC, Rice EW, </w:t>
      </w:r>
      <w:proofErr w:type="spellStart"/>
      <w:r w:rsidRPr="00E37FCF">
        <w:rPr>
          <w:color w:val="auto"/>
          <w:sz w:val="20"/>
          <w:szCs w:val="20"/>
        </w:rPr>
        <w:t>Karlin</w:t>
      </w:r>
      <w:proofErr w:type="spellEnd"/>
      <w:r w:rsidRPr="00E37FCF">
        <w:rPr>
          <w:color w:val="auto"/>
          <w:sz w:val="20"/>
          <w:szCs w:val="20"/>
        </w:rPr>
        <w:t xml:space="preserve"> MJ, Allen J. </w:t>
      </w:r>
      <w:r w:rsidRPr="00E37FCF">
        <w:rPr>
          <w:i/>
          <w:color w:val="auto"/>
          <w:sz w:val="20"/>
          <w:szCs w:val="20"/>
        </w:rPr>
        <w:t>Escherichia coli</w:t>
      </w:r>
      <w:r w:rsidRPr="00E37FCF">
        <w:rPr>
          <w:color w:val="auto"/>
          <w:sz w:val="20"/>
          <w:szCs w:val="20"/>
        </w:rPr>
        <w:t>: The best biological drinking water indicator for public health protection.</w:t>
      </w:r>
      <w:r w:rsidRPr="00E37FCF">
        <w:rPr>
          <w:i/>
          <w:color w:val="auto"/>
          <w:sz w:val="20"/>
          <w:szCs w:val="20"/>
        </w:rPr>
        <w:t xml:space="preserve"> </w:t>
      </w:r>
      <w:r w:rsidR="009F79C2" w:rsidRPr="00E37FCF">
        <w:rPr>
          <w:color w:val="auto"/>
          <w:sz w:val="20"/>
          <w:szCs w:val="20"/>
        </w:rPr>
        <w:t xml:space="preserve">J Applied </w:t>
      </w:r>
      <w:proofErr w:type="spellStart"/>
      <w:r w:rsidR="009F79C2" w:rsidRPr="00E37FCF">
        <w:rPr>
          <w:color w:val="auto"/>
          <w:sz w:val="20"/>
          <w:szCs w:val="20"/>
        </w:rPr>
        <w:t>Microbiol</w:t>
      </w:r>
      <w:proofErr w:type="spellEnd"/>
      <w:r w:rsidRPr="00E37FCF">
        <w:rPr>
          <w:color w:val="auto"/>
          <w:sz w:val="20"/>
          <w:szCs w:val="20"/>
        </w:rPr>
        <w:t xml:space="preserve"> 1999</w:t>
      </w:r>
      <w:proofErr w:type="gramStart"/>
      <w:r w:rsidRPr="00E37FCF">
        <w:rPr>
          <w:color w:val="auto"/>
          <w:sz w:val="20"/>
          <w:szCs w:val="20"/>
        </w:rPr>
        <w:t>;88</w:t>
      </w:r>
      <w:proofErr w:type="gramEnd"/>
      <w:r w:rsidRPr="00E37FCF">
        <w:rPr>
          <w:color w:val="auto"/>
          <w:sz w:val="20"/>
          <w:szCs w:val="20"/>
        </w:rPr>
        <w:t>: 106S-116S.</w:t>
      </w:r>
      <w:r w:rsidR="00E37FCF" w:rsidRPr="00E37FCF">
        <w:rPr>
          <w:rFonts w:eastAsiaTheme="minorEastAsia" w:hint="eastAsia"/>
          <w:color w:val="auto"/>
          <w:sz w:val="20"/>
          <w:szCs w:val="20"/>
          <w:lang w:eastAsia="zh-CN"/>
        </w:rPr>
        <w:t xml:space="preserve"> </w:t>
      </w:r>
    </w:p>
    <w:p w:rsidR="003A05F0" w:rsidRDefault="003A05F0" w:rsidP="003A05F0">
      <w:pPr>
        <w:suppressAutoHyphens w:val="0"/>
        <w:snapToGrid w:val="0"/>
        <w:ind w:left="425" w:hanging="425"/>
        <w:jc w:val="both"/>
        <w:rPr>
          <w:sz w:val="20"/>
          <w:szCs w:val="20"/>
        </w:rPr>
        <w:sectPr w:rsidR="003A05F0" w:rsidSect="00E37FCF">
          <w:footnotePr>
            <w:pos w:val="beneathText"/>
          </w:footnotePr>
          <w:type w:val="continuous"/>
          <w:pgSz w:w="12240" w:h="15840" w:code="1"/>
          <w:pgMar w:top="1440" w:right="1440" w:bottom="1440" w:left="1440" w:header="720" w:footer="720" w:gutter="0"/>
          <w:cols w:num="2" w:space="576"/>
          <w:docGrid w:linePitch="360"/>
        </w:sectPr>
      </w:pPr>
    </w:p>
    <w:p w:rsidR="004D0467" w:rsidRDefault="004D0467" w:rsidP="003A05F0">
      <w:pPr>
        <w:suppressAutoHyphens w:val="0"/>
        <w:snapToGrid w:val="0"/>
        <w:ind w:left="425" w:hanging="425"/>
        <w:jc w:val="both"/>
        <w:rPr>
          <w:sz w:val="20"/>
          <w:szCs w:val="20"/>
          <w:lang w:eastAsia="zh-CN"/>
        </w:rPr>
      </w:pPr>
    </w:p>
    <w:p w:rsidR="003A05F0" w:rsidRPr="003A05F0" w:rsidRDefault="003A05F0" w:rsidP="003A05F0">
      <w:pPr>
        <w:suppressAutoHyphens w:val="0"/>
        <w:snapToGrid w:val="0"/>
        <w:ind w:left="425" w:hanging="425"/>
        <w:jc w:val="both"/>
        <w:rPr>
          <w:sz w:val="20"/>
          <w:szCs w:val="20"/>
          <w:lang w:eastAsia="zh-CN"/>
        </w:rPr>
      </w:pPr>
    </w:p>
    <w:p w:rsidR="003A05F0" w:rsidRPr="003A05F0" w:rsidRDefault="003A05F0" w:rsidP="003A05F0">
      <w:pPr>
        <w:suppressAutoHyphens w:val="0"/>
        <w:snapToGrid w:val="0"/>
        <w:ind w:left="425" w:hanging="425"/>
        <w:jc w:val="both"/>
        <w:rPr>
          <w:sz w:val="20"/>
          <w:szCs w:val="20"/>
          <w:lang w:eastAsia="zh-CN"/>
        </w:rPr>
      </w:pPr>
    </w:p>
    <w:p w:rsidR="004D0467" w:rsidRPr="003A05F0" w:rsidRDefault="003A05F0" w:rsidP="003A05F0">
      <w:pPr>
        <w:suppressAutoHyphens w:val="0"/>
        <w:snapToGrid w:val="0"/>
        <w:ind w:left="425" w:hanging="425"/>
        <w:jc w:val="both"/>
        <w:rPr>
          <w:sz w:val="20"/>
          <w:szCs w:val="20"/>
        </w:rPr>
      </w:pPr>
      <w:r w:rsidRPr="003A05F0">
        <w:rPr>
          <w:sz w:val="20"/>
          <w:szCs w:val="20"/>
        </w:rPr>
        <w:t>2/28/2016</w:t>
      </w:r>
    </w:p>
    <w:sectPr w:rsidR="004D0467" w:rsidRPr="003A05F0" w:rsidSect="003A05F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42A" w:rsidRDefault="0010642A">
      <w:r>
        <w:separator/>
      </w:r>
    </w:p>
  </w:endnote>
  <w:endnote w:type="continuationSeparator" w:id="0">
    <w:p w:rsidR="0010642A" w:rsidRDefault="00106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TSYN">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86D9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A05F0" w:rsidRDefault="00F86D90" w:rsidP="003A05F0">
    <w:pPr>
      <w:jc w:val="center"/>
      <w:rPr>
        <w:sz w:val="20"/>
      </w:rPr>
    </w:pPr>
    <w:r w:rsidRPr="003A05F0">
      <w:rPr>
        <w:sz w:val="20"/>
      </w:rPr>
      <w:fldChar w:fldCharType="begin"/>
    </w:r>
    <w:r w:rsidR="003A05F0" w:rsidRPr="003A05F0">
      <w:rPr>
        <w:sz w:val="20"/>
      </w:rPr>
      <w:instrText xml:space="preserve"> page </w:instrText>
    </w:r>
    <w:r w:rsidRPr="003A05F0">
      <w:rPr>
        <w:sz w:val="20"/>
      </w:rPr>
      <w:fldChar w:fldCharType="separate"/>
    </w:r>
    <w:r w:rsidR="00E37FCF">
      <w:rPr>
        <w:noProof/>
        <w:sz w:val="20"/>
      </w:rPr>
      <w:t>35</w:t>
    </w:r>
    <w:r w:rsidRPr="003A05F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42A" w:rsidRDefault="0010642A">
      <w:r>
        <w:separator/>
      </w:r>
    </w:p>
  </w:footnote>
  <w:footnote w:type="continuationSeparator" w:id="0">
    <w:p w:rsidR="0010642A" w:rsidRDefault="00106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F0" w:rsidRPr="003A05F0" w:rsidRDefault="003A05F0" w:rsidP="003A05F0">
    <w:pPr>
      <w:pBdr>
        <w:bottom w:val="thinThickMediumGap" w:sz="12" w:space="1" w:color="auto"/>
      </w:pBdr>
      <w:tabs>
        <w:tab w:val="left" w:pos="851"/>
        <w:tab w:val="right" w:pos="8364"/>
      </w:tabs>
      <w:adjustRightInd w:val="0"/>
      <w:snapToGrid w:val="0"/>
      <w:jc w:val="both"/>
      <w:rPr>
        <w:iCs/>
        <w:sz w:val="20"/>
        <w:szCs w:val="20"/>
      </w:rPr>
    </w:pPr>
    <w:r w:rsidRPr="003A05F0">
      <w:rPr>
        <w:rFonts w:hint="eastAsia"/>
        <w:sz w:val="20"/>
        <w:szCs w:val="20"/>
      </w:rPr>
      <w:tab/>
    </w:r>
    <w:r w:rsidRPr="003A05F0">
      <w:rPr>
        <w:sz w:val="20"/>
        <w:szCs w:val="20"/>
      </w:rPr>
      <w:t>New York Science Journal 201</w:t>
    </w:r>
    <w:r w:rsidRPr="003A05F0">
      <w:rPr>
        <w:rFonts w:hint="eastAsia"/>
        <w:sz w:val="20"/>
        <w:szCs w:val="20"/>
      </w:rPr>
      <w:t>6</w:t>
    </w:r>
    <w:proofErr w:type="gramStart"/>
    <w:r w:rsidRPr="003A05F0">
      <w:rPr>
        <w:sz w:val="20"/>
        <w:szCs w:val="20"/>
      </w:rPr>
      <w:t>;</w:t>
    </w:r>
    <w:r w:rsidRPr="003A05F0">
      <w:rPr>
        <w:rFonts w:hint="eastAsia"/>
        <w:sz w:val="20"/>
        <w:szCs w:val="20"/>
      </w:rPr>
      <w:t>9</w:t>
    </w:r>
    <w:proofErr w:type="gramEnd"/>
    <w:r w:rsidRPr="003A05F0">
      <w:rPr>
        <w:sz w:val="20"/>
        <w:szCs w:val="20"/>
      </w:rPr>
      <w:t>(</w:t>
    </w:r>
    <w:r w:rsidRPr="003A05F0">
      <w:rPr>
        <w:rFonts w:hint="eastAsia"/>
        <w:sz w:val="20"/>
        <w:szCs w:val="20"/>
      </w:rPr>
      <w:t>3</w:t>
    </w:r>
    <w:r w:rsidRPr="003A05F0">
      <w:rPr>
        <w:sz w:val="20"/>
        <w:szCs w:val="20"/>
      </w:rPr>
      <w:t>)</w:t>
    </w:r>
    <w:r w:rsidRPr="003A05F0">
      <w:rPr>
        <w:iCs/>
        <w:sz w:val="20"/>
        <w:szCs w:val="20"/>
      </w:rPr>
      <w:t xml:space="preserve">     </w:t>
    </w:r>
    <w:r w:rsidRPr="003A05F0">
      <w:rPr>
        <w:rFonts w:hint="eastAsia"/>
        <w:iCs/>
        <w:sz w:val="20"/>
        <w:szCs w:val="20"/>
      </w:rPr>
      <w:tab/>
    </w:r>
    <w:r w:rsidRPr="003A05F0">
      <w:rPr>
        <w:iCs/>
        <w:sz w:val="20"/>
        <w:szCs w:val="20"/>
      </w:rPr>
      <w:t xml:space="preserve"> </w:t>
    </w:r>
    <w:r w:rsidRPr="003A05F0">
      <w:rPr>
        <w:rFonts w:hint="eastAsia"/>
        <w:iCs/>
        <w:sz w:val="20"/>
        <w:szCs w:val="20"/>
      </w:rPr>
      <w:t xml:space="preserve"> </w:t>
    </w:r>
    <w:r w:rsidRPr="003A05F0">
      <w:rPr>
        <w:iCs/>
        <w:sz w:val="20"/>
        <w:szCs w:val="20"/>
      </w:rPr>
      <w:t xml:space="preserve">   </w:t>
    </w:r>
    <w:hyperlink r:id="rId1" w:history="1">
      <w:r w:rsidRPr="003A05F0">
        <w:rPr>
          <w:rStyle w:val="Hyperlink"/>
          <w:sz w:val="20"/>
          <w:szCs w:val="20"/>
        </w:rPr>
        <w:t>http://www.sciencepub.net/newyork</w:t>
      </w:r>
    </w:hyperlink>
  </w:p>
  <w:p w:rsidR="003A05F0" w:rsidRPr="003A05F0" w:rsidRDefault="003A05F0" w:rsidP="003A05F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F32B4C"/>
    <w:multiLevelType w:val="hybridMultilevel"/>
    <w:tmpl w:val="884E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1725E"/>
    <w:multiLevelType w:val="multilevel"/>
    <w:tmpl w:val="C51AED5C"/>
    <w:lvl w:ilvl="0">
      <w:start w:val="1"/>
      <w:numFmt w:val="decimal"/>
      <w:lvlText w:val="%1.0"/>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B2D63"/>
    <w:multiLevelType w:val="hybridMultilevel"/>
    <w:tmpl w:val="48B24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546C7800"/>
    <w:multiLevelType w:val="hybridMultilevel"/>
    <w:tmpl w:val="2D64A024"/>
    <w:lvl w:ilvl="0" w:tplc="239A3C8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A3F90"/>
    <w:rsid w:val="000C1103"/>
    <w:rsid w:val="0010642A"/>
    <w:rsid w:val="00180CA5"/>
    <w:rsid w:val="001817C7"/>
    <w:rsid w:val="00183764"/>
    <w:rsid w:val="001964D0"/>
    <w:rsid w:val="001B3EBF"/>
    <w:rsid w:val="001B41B8"/>
    <w:rsid w:val="001B5BA0"/>
    <w:rsid w:val="001B650D"/>
    <w:rsid w:val="001C3D42"/>
    <w:rsid w:val="001D21DF"/>
    <w:rsid w:val="001D4715"/>
    <w:rsid w:val="00205E97"/>
    <w:rsid w:val="002118DA"/>
    <w:rsid w:val="00241F4D"/>
    <w:rsid w:val="00245C21"/>
    <w:rsid w:val="002721F1"/>
    <w:rsid w:val="00282FA1"/>
    <w:rsid w:val="002B5613"/>
    <w:rsid w:val="002D3558"/>
    <w:rsid w:val="002D589A"/>
    <w:rsid w:val="002F20CD"/>
    <w:rsid w:val="002F49EF"/>
    <w:rsid w:val="00301F95"/>
    <w:rsid w:val="00314F95"/>
    <w:rsid w:val="00322FAB"/>
    <w:rsid w:val="003246A8"/>
    <w:rsid w:val="00334BCB"/>
    <w:rsid w:val="0034164A"/>
    <w:rsid w:val="00345581"/>
    <w:rsid w:val="0034702D"/>
    <w:rsid w:val="003679A0"/>
    <w:rsid w:val="003772B1"/>
    <w:rsid w:val="00394B65"/>
    <w:rsid w:val="003A05F0"/>
    <w:rsid w:val="003A785E"/>
    <w:rsid w:val="003B55FF"/>
    <w:rsid w:val="003B651F"/>
    <w:rsid w:val="003C0116"/>
    <w:rsid w:val="003C4C28"/>
    <w:rsid w:val="003E0E38"/>
    <w:rsid w:val="004054FB"/>
    <w:rsid w:val="00427656"/>
    <w:rsid w:val="0043645D"/>
    <w:rsid w:val="00454A59"/>
    <w:rsid w:val="00456753"/>
    <w:rsid w:val="00471E57"/>
    <w:rsid w:val="00480715"/>
    <w:rsid w:val="00481BE4"/>
    <w:rsid w:val="0049143E"/>
    <w:rsid w:val="004A49A2"/>
    <w:rsid w:val="004A4D02"/>
    <w:rsid w:val="004B3DF0"/>
    <w:rsid w:val="004C7E2A"/>
    <w:rsid w:val="004D01D3"/>
    <w:rsid w:val="004D0467"/>
    <w:rsid w:val="004F4AFB"/>
    <w:rsid w:val="00520D1A"/>
    <w:rsid w:val="0052512B"/>
    <w:rsid w:val="00537D0C"/>
    <w:rsid w:val="00553F9B"/>
    <w:rsid w:val="00593132"/>
    <w:rsid w:val="005A21B0"/>
    <w:rsid w:val="005A5E42"/>
    <w:rsid w:val="005C113C"/>
    <w:rsid w:val="005C2F35"/>
    <w:rsid w:val="005D1DA6"/>
    <w:rsid w:val="005F5E04"/>
    <w:rsid w:val="00624625"/>
    <w:rsid w:val="0065209A"/>
    <w:rsid w:val="00657995"/>
    <w:rsid w:val="006930BE"/>
    <w:rsid w:val="006A5D4E"/>
    <w:rsid w:val="006A7DA4"/>
    <w:rsid w:val="006B5399"/>
    <w:rsid w:val="006D5C2E"/>
    <w:rsid w:val="006D74BE"/>
    <w:rsid w:val="006E6ACB"/>
    <w:rsid w:val="006E7156"/>
    <w:rsid w:val="006F1706"/>
    <w:rsid w:val="00743158"/>
    <w:rsid w:val="00744442"/>
    <w:rsid w:val="007725E7"/>
    <w:rsid w:val="007733F3"/>
    <w:rsid w:val="0078507E"/>
    <w:rsid w:val="00790593"/>
    <w:rsid w:val="0079374E"/>
    <w:rsid w:val="007D365F"/>
    <w:rsid w:val="007D3D09"/>
    <w:rsid w:val="007D746F"/>
    <w:rsid w:val="007F763B"/>
    <w:rsid w:val="008131CF"/>
    <w:rsid w:val="00814FA7"/>
    <w:rsid w:val="008233D0"/>
    <w:rsid w:val="0085007D"/>
    <w:rsid w:val="00875C08"/>
    <w:rsid w:val="008A20AC"/>
    <w:rsid w:val="008A5C96"/>
    <w:rsid w:val="008A67B6"/>
    <w:rsid w:val="0090623F"/>
    <w:rsid w:val="0091208A"/>
    <w:rsid w:val="00914558"/>
    <w:rsid w:val="00935CF7"/>
    <w:rsid w:val="0094140D"/>
    <w:rsid w:val="009459B3"/>
    <w:rsid w:val="00952EB8"/>
    <w:rsid w:val="0097045E"/>
    <w:rsid w:val="00972409"/>
    <w:rsid w:val="009865AC"/>
    <w:rsid w:val="00997A8E"/>
    <w:rsid w:val="009A3681"/>
    <w:rsid w:val="009F79C2"/>
    <w:rsid w:val="00A1557F"/>
    <w:rsid w:val="00A20035"/>
    <w:rsid w:val="00A3476D"/>
    <w:rsid w:val="00A46635"/>
    <w:rsid w:val="00A73A8C"/>
    <w:rsid w:val="00AB7D9E"/>
    <w:rsid w:val="00B3167C"/>
    <w:rsid w:val="00B36B45"/>
    <w:rsid w:val="00B60543"/>
    <w:rsid w:val="00B60E8D"/>
    <w:rsid w:val="00B80C0E"/>
    <w:rsid w:val="00B82765"/>
    <w:rsid w:val="00B918AE"/>
    <w:rsid w:val="00B94E19"/>
    <w:rsid w:val="00BA0C77"/>
    <w:rsid w:val="00BA0D44"/>
    <w:rsid w:val="00BD2A8D"/>
    <w:rsid w:val="00BD4FCC"/>
    <w:rsid w:val="00BD6145"/>
    <w:rsid w:val="00BF6579"/>
    <w:rsid w:val="00C0761F"/>
    <w:rsid w:val="00C101C9"/>
    <w:rsid w:val="00C44596"/>
    <w:rsid w:val="00C60D61"/>
    <w:rsid w:val="00C878B1"/>
    <w:rsid w:val="00C92003"/>
    <w:rsid w:val="00CC4387"/>
    <w:rsid w:val="00CD5FCC"/>
    <w:rsid w:val="00CE4BA9"/>
    <w:rsid w:val="00CE7B2F"/>
    <w:rsid w:val="00CF24FB"/>
    <w:rsid w:val="00CF6616"/>
    <w:rsid w:val="00D04C27"/>
    <w:rsid w:val="00D13147"/>
    <w:rsid w:val="00D152F2"/>
    <w:rsid w:val="00D26F2E"/>
    <w:rsid w:val="00D3777A"/>
    <w:rsid w:val="00D56002"/>
    <w:rsid w:val="00D73075"/>
    <w:rsid w:val="00D778C9"/>
    <w:rsid w:val="00DD4142"/>
    <w:rsid w:val="00DF6507"/>
    <w:rsid w:val="00DF7353"/>
    <w:rsid w:val="00E015B9"/>
    <w:rsid w:val="00E34501"/>
    <w:rsid w:val="00E34DBD"/>
    <w:rsid w:val="00E37FCF"/>
    <w:rsid w:val="00E52EA0"/>
    <w:rsid w:val="00E57761"/>
    <w:rsid w:val="00E617EB"/>
    <w:rsid w:val="00E7098A"/>
    <w:rsid w:val="00E73E1D"/>
    <w:rsid w:val="00EA3058"/>
    <w:rsid w:val="00EB51F4"/>
    <w:rsid w:val="00EC1D70"/>
    <w:rsid w:val="00EC565A"/>
    <w:rsid w:val="00EC5C53"/>
    <w:rsid w:val="00ED4441"/>
    <w:rsid w:val="00ED4A29"/>
    <w:rsid w:val="00ED4ED9"/>
    <w:rsid w:val="00EE0A0C"/>
    <w:rsid w:val="00EE1CEE"/>
    <w:rsid w:val="00EE1F4B"/>
    <w:rsid w:val="00EF5C7A"/>
    <w:rsid w:val="00F03305"/>
    <w:rsid w:val="00F05056"/>
    <w:rsid w:val="00F218DC"/>
    <w:rsid w:val="00F2228B"/>
    <w:rsid w:val="00F62573"/>
    <w:rsid w:val="00F83A62"/>
    <w:rsid w:val="00F86D90"/>
    <w:rsid w:val="00FA6D77"/>
    <w:rsid w:val="00FB5B6A"/>
    <w:rsid w:val="00FC4906"/>
    <w:rsid w:val="00FE347A"/>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0C1103"/>
    <w:pPr>
      <w:keepNext/>
      <w:tabs>
        <w:tab w:val="num" w:pos="0"/>
      </w:tabs>
      <w:outlineLvl w:val="0"/>
    </w:pPr>
    <w:rPr>
      <w:b/>
      <w:bCs/>
      <w:sz w:val="32"/>
    </w:rPr>
  </w:style>
  <w:style w:type="paragraph" w:styleId="Heading2">
    <w:name w:val="heading 2"/>
    <w:basedOn w:val="Normal"/>
    <w:next w:val="Normal"/>
    <w:qFormat/>
    <w:rsid w:val="000C1103"/>
    <w:pPr>
      <w:keepNext/>
      <w:tabs>
        <w:tab w:val="num" w:pos="0"/>
      </w:tabs>
      <w:jc w:val="both"/>
      <w:outlineLvl w:val="1"/>
    </w:pPr>
    <w:rPr>
      <w:b/>
      <w:sz w:val="28"/>
    </w:rPr>
  </w:style>
  <w:style w:type="paragraph" w:styleId="Heading3">
    <w:name w:val="heading 3"/>
    <w:basedOn w:val="Normal"/>
    <w:next w:val="Normal"/>
    <w:qFormat/>
    <w:rsid w:val="000C1103"/>
    <w:pPr>
      <w:keepNext/>
      <w:tabs>
        <w:tab w:val="num" w:pos="0"/>
      </w:tabs>
      <w:spacing w:line="360" w:lineRule="auto"/>
      <w:jc w:val="both"/>
      <w:outlineLvl w:val="2"/>
    </w:pPr>
    <w:rPr>
      <w:b/>
      <w:bCs/>
    </w:rPr>
  </w:style>
  <w:style w:type="paragraph" w:styleId="Heading6">
    <w:name w:val="heading 6"/>
    <w:basedOn w:val="Normal"/>
    <w:next w:val="Normal"/>
    <w:qFormat/>
    <w:rsid w:val="000C110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C1103"/>
  </w:style>
  <w:style w:type="character" w:customStyle="1" w:styleId="WW-Absatz-Standardschriftart">
    <w:name w:val="WW-Absatz-Standardschriftart"/>
    <w:rsid w:val="000C1103"/>
  </w:style>
  <w:style w:type="character" w:customStyle="1" w:styleId="WW-Absatz-Standardschriftart1">
    <w:name w:val="WW-Absatz-Standardschriftart1"/>
    <w:rsid w:val="000C1103"/>
  </w:style>
  <w:style w:type="character" w:customStyle="1" w:styleId="WW-Absatz-Standardschriftart11">
    <w:name w:val="WW-Absatz-Standardschriftart11"/>
    <w:rsid w:val="000C1103"/>
  </w:style>
  <w:style w:type="character" w:customStyle="1" w:styleId="WW-Absatz-Standardschriftart111">
    <w:name w:val="WW-Absatz-Standardschriftart111"/>
    <w:rsid w:val="000C1103"/>
  </w:style>
  <w:style w:type="character" w:customStyle="1" w:styleId="WW-Absatz-Standardschriftart1111">
    <w:name w:val="WW-Absatz-Standardschriftart1111"/>
    <w:rsid w:val="000C1103"/>
  </w:style>
  <w:style w:type="character" w:customStyle="1" w:styleId="WW-Absatz-Standardschriftart11111">
    <w:name w:val="WW-Absatz-Standardschriftart11111"/>
    <w:rsid w:val="000C1103"/>
  </w:style>
  <w:style w:type="character" w:customStyle="1" w:styleId="WW-Absatz-Standardschriftart111111">
    <w:name w:val="WW-Absatz-Standardschriftart111111"/>
    <w:rsid w:val="000C1103"/>
  </w:style>
  <w:style w:type="character" w:customStyle="1" w:styleId="WW-Absatz-Standardschriftart1111111">
    <w:name w:val="WW-Absatz-Standardschriftart1111111"/>
    <w:rsid w:val="000C1103"/>
  </w:style>
  <w:style w:type="character" w:customStyle="1" w:styleId="WW-Absatz-Standardschriftart11111111">
    <w:name w:val="WW-Absatz-Standardschriftart11111111"/>
    <w:rsid w:val="000C1103"/>
  </w:style>
  <w:style w:type="character" w:customStyle="1" w:styleId="WW-Absatz-Standardschriftart111111111">
    <w:name w:val="WW-Absatz-Standardschriftart111111111"/>
    <w:rsid w:val="000C1103"/>
  </w:style>
  <w:style w:type="character" w:customStyle="1" w:styleId="WW-Absatz-Standardschriftart1111111111">
    <w:name w:val="WW-Absatz-Standardschriftart1111111111"/>
    <w:rsid w:val="000C1103"/>
  </w:style>
  <w:style w:type="character" w:customStyle="1" w:styleId="WW-Absatz-Standardschriftart11111111111">
    <w:name w:val="WW-Absatz-Standardschriftart11111111111"/>
    <w:rsid w:val="000C1103"/>
  </w:style>
  <w:style w:type="character" w:customStyle="1" w:styleId="WW-Absatz-Standardschriftart111111111111">
    <w:name w:val="WW-Absatz-Standardschriftart111111111111"/>
    <w:rsid w:val="000C1103"/>
  </w:style>
  <w:style w:type="character" w:customStyle="1" w:styleId="WW-Absatz-Standardschriftart1111111111111">
    <w:name w:val="WW-Absatz-Standardschriftart1111111111111"/>
    <w:rsid w:val="000C1103"/>
  </w:style>
  <w:style w:type="character" w:customStyle="1" w:styleId="WW-Absatz-Standardschriftart11111111111111">
    <w:name w:val="WW-Absatz-Standardschriftart11111111111111"/>
    <w:rsid w:val="000C1103"/>
  </w:style>
  <w:style w:type="character" w:customStyle="1" w:styleId="WW-Absatz-Standardschriftart111111111111111">
    <w:name w:val="WW-Absatz-Standardschriftart111111111111111"/>
    <w:rsid w:val="000C1103"/>
  </w:style>
  <w:style w:type="character" w:customStyle="1" w:styleId="WW-Absatz-Standardschriftart1111111111111111">
    <w:name w:val="WW-Absatz-Standardschriftart1111111111111111"/>
    <w:rsid w:val="000C1103"/>
  </w:style>
  <w:style w:type="character" w:customStyle="1" w:styleId="WW8Num1z0">
    <w:name w:val="WW8Num1z0"/>
    <w:rsid w:val="000C1103"/>
    <w:rPr>
      <w:rFonts w:ascii="Symbol" w:eastAsia="Times New Roman" w:hAnsi="Symbol" w:cs="Times New Roman"/>
    </w:rPr>
  </w:style>
  <w:style w:type="character" w:customStyle="1" w:styleId="WW8Num1z1">
    <w:name w:val="WW8Num1z1"/>
    <w:rsid w:val="000C1103"/>
    <w:rPr>
      <w:rFonts w:ascii="Courier New" w:hAnsi="Courier New" w:cs="Courier New"/>
    </w:rPr>
  </w:style>
  <w:style w:type="character" w:customStyle="1" w:styleId="WW8Num1z2">
    <w:name w:val="WW8Num1z2"/>
    <w:rsid w:val="000C1103"/>
    <w:rPr>
      <w:rFonts w:ascii="Wingdings" w:hAnsi="Wingdings"/>
    </w:rPr>
  </w:style>
  <w:style w:type="character" w:customStyle="1" w:styleId="WW8Num1z3">
    <w:name w:val="WW8Num1z3"/>
    <w:rsid w:val="000C1103"/>
    <w:rPr>
      <w:rFonts w:ascii="Symbol" w:hAnsi="Symbol"/>
    </w:rPr>
  </w:style>
  <w:style w:type="character" w:styleId="PageNumber">
    <w:name w:val="page number"/>
    <w:basedOn w:val="DefaultParagraphFont"/>
    <w:rsid w:val="000C1103"/>
  </w:style>
  <w:style w:type="character" w:styleId="Hyperlink">
    <w:name w:val="Hyperlink"/>
    <w:basedOn w:val="DefaultParagraphFont"/>
    <w:rsid w:val="000C1103"/>
    <w:rPr>
      <w:color w:val="0000FF"/>
      <w:u w:val="single"/>
    </w:rPr>
  </w:style>
  <w:style w:type="character" w:styleId="FollowedHyperlink">
    <w:name w:val="FollowedHyperlink"/>
    <w:basedOn w:val="DefaultParagraphFont"/>
    <w:rsid w:val="000C1103"/>
    <w:rPr>
      <w:color w:val="800080"/>
      <w:u w:val="single"/>
    </w:rPr>
  </w:style>
  <w:style w:type="character" w:customStyle="1" w:styleId="NumberingSymbols">
    <w:name w:val="Numbering Symbols"/>
    <w:rsid w:val="000C1103"/>
  </w:style>
  <w:style w:type="paragraph" w:customStyle="1" w:styleId="Heading">
    <w:name w:val="Heading"/>
    <w:basedOn w:val="Normal"/>
    <w:next w:val="BodyText"/>
    <w:rsid w:val="000C1103"/>
    <w:pPr>
      <w:keepNext/>
      <w:spacing w:before="240" w:after="120"/>
    </w:pPr>
    <w:rPr>
      <w:rFonts w:ascii="Nimbus Sans L" w:eastAsia="DejaVu Sans" w:hAnsi="Nimbus Sans L" w:cs="DejaVu Sans"/>
      <w:sz w:val="28"/>
      <w:szCs w:val="28"/>
    </w:rPr>
  </w:style>
  <w:style w:type="paragraph" w:styleId="BodyText">
    <w:name w:val="Body Text"/>
    <w:basedOn w:val="Normal"/>
    <w:rsid w:val="000C1103"/>
    <w:pPr>
      <w:spacing w:line="360" w:lineRule="auto"/>
    </w:pPr>
  </w:style>
  <w:style w:type="paragraph" w:styleId="List">
    <w:name w:val="List"/>
    <w:basedOn w:val="BodyText"/>
    <w:rsid w:val="000C1103"/>
  </w:style>
  <w:style w:type="paragraph" w:styleId="Caption">
    <w:name w:val="caption"/>
    <w:basedOn w:val="Normal"/>
    <w:qFormat/>
    <w:rsid w:val="000C1103"/>
    <w:pPr>
      <w:suppressLineNumbers/>
      <w:spacing w:before="120" w:after="120"/>
    </w:pPr>
    <w:rPr>
      <w:i/>
      <w:iCs/>
    </w:rPr>
  </w:style>
  <w:style w:type="paragraph" w:customStyle="1" w:styleId="Index">
    <w:name w:val="Index"/>
    <w:basedOn w:val="Normal"/>
    <w:rsid w:val="000C1103"/>
    <w:pPr>
      <w:suppressLineNumbers/>
    </w:pPr>
  </w:style>
  <w:style w:type="paragraph" w:styleId="Header">
    <w:name w:val="header"/>
    <w:basedOn w:val="Normal"/>
    <w:next w:val="Heading1"/>
    <w:link w:val="HeaderChar"/>
    <w:rsid w:val="000C1103"/>
    <w:pPr>
      <w:tabs>
        <w:tab w:val="center" w:pos="4320"/>
        <w:tab w:val="right" w:pos="8640"/>
      </w:tabs>
    </w:pPr>
  </w:style>
  <w:style w:type="paragraph" w:styleId="BodyTextIndent3">
    <w:name w:val="Body Text Indent 3"/>
    <w:basedOn w:val="Normal"/>
    <w:rsid w:val="000C1103"/>
    <w:pPr>
      <w:spacing w:line="360" w:lineRule="auto"/>
      <w:ind w:firstLine="720"/>
      <w:jc w:val="both"/>
    </w:pPr>
    <w:rPr>
      <w:b/>
      <w:bCs/>
    </w:rPr>
  </w:style>
  <w:style w:type="paragraph" w:styleId="BodyTextIndent">
    <w:name w:val="Body Text Indent"/>
    <w:basedOn w:val="Normal"/>
    <w:rsid w:val="000C1103"/>
    <w:pPr>
      <w:ind w:left="540" w:hanging="720"/>
      <w:jc w:val="both"/>
    </w:pPr>
  </w:style>
  <w:style w:type="paragraph" w:styleId="BodyTextIndent2">
    <w:name w:val="Body Text Indent 2"/>
    <w:basedOn w:val="Normal"/>
    <w:rsid w:val="000C1103"/>
    <w:pPr>
      <w:spacing w:line="360" w:lineRule="auto"/>
      <w:ind w:firstLine="720"/>
      <w:jc w:val="both"/>
    </w:pPr>
  </w:style>
  <w:style w:type="paragraph" w:styleId="BodyText2">
    <w:name w:val="Body Text 2"/>
    <w:basedOn w:val="Normal"/>
    <w:rsid w:val="000C1103"/>
    <w:pPr>
      <w:spacing w:line="360" w:lineRule="auto"/>
      <w:jc w:val="both"/>
    </w:pPr>
  </w:style>
  <w:style w:type="paragraph" w:styleId="Footer">
    <w:name w:val="footer"/>
    <w:basedOn w:val="Normal"/>
    <w:rsid w:val="000C1103"/>
    <w:pPr>
      <w:tabs>
        <w:tab w:val="center" w:pos="4320"/>
        <w:tab w:val="right" w:pos="8640"/>
      </w:tabs>
    </w:pPr>
    <w:rPr>
      <w:sz w:val="32"/>
    </w:rPr>
  </w:style>
  <w:style w:type="paragraph" w:customStyle="1" w:styleId="TableContents">
    <w:name w:val="Table Contents"/>
    <w:basedOn w:val="Normal"/>
    <w:rsid w:val="000C1103"/>
    <w:pPr>
      <w:suppressLineNumbers/>
    </w:pPr>
  </w:style>
  <w:style w:type="paragraph" w:customStyle="1" w:styleId="TableHeading">
    <w:name w:val="Table Heading"/>
    <w:basedOn w:val="TableContents"/>
    <w:rsid w:val="000C1103"/>
    <w:pPr>
      <w:jc w:val="center"/>
    </w:pPr>
    <w:rPr>
      <w:b/>
      <w:bCs/>
    </w:rPr>
  </w:style>
  <w:style w:type="paragraph" w:customStyle="1" w:styleId="Framecontents">
    <w:name w:val="Frame contents"/>
    <w:basedOn w:val="BodyText"/>
    <w:rsid w:val="000C1103"/>
  </w:style>
  <w:style w:type="paragraph" w:customStyle="1" w:styleId="Text">
    <w:name w:val="Text"/>
    <w:basedOn w:val="Normal"/>
    <w:rsid w:val="000C110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Heading1Char">
    <w:name w:val="Heading 1 Char"/>
    <w:basedOn w:val="DefaultParagraphFont"/>
    <w:link w:val="Heading1"/>
    <w:rsid w:val="00DD4142"/>
    <w:rPr>
      <w:b/>
      <w:bCs/>
      <w:sz w:val="32"/>
      <w:szCs w:val="24"/>
      <w:lang w:eastAsia="ar-SA"/>
    </w:rPr>
  </w:style>
  <w:style w:type="character" w:customStyle="1" w:styleId="a">
    <w:name w:val="a"/>
    <w:basedOn w:val="DefaultParagraphFont"/>
    <w:rsid w:val="00DD4142"/>
  </w:style>
  <w:style w:type="character" w:customStyle="1" w:styleId="mixed-citation">
    <w:name w:val="mixed-citation"/>
    <w:basedOn w:val="DefaultParagraphFont"/>
    <w:rsid w:val="00DD4142"/>
  </w:style>
  <w:style w:type="paragraph" w:styleId="ListParagraph">
    <w:name w:val="List Paragraph"/>
    <w:basedOn w:val="Normal"/>
    <w:uiPriority w:val="34"/>
    <w:qFormat/>
    <w:rsid w:val="00EC1D70"/>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334BCB"/>
    <w:pPr>
      <w:autoSpaceDE w:val="0"/>
      <w:autoSpaceDN w:val="0"/>
      <w:adjustRightInd w:val="0"/>
    </w:pPr>
    <w:rPr>
      <w:rFonts w:eastAsia="Calibri"/>
      <w:color w:val="000000"/>
      <w:sz w:val="24"/>
      <w:szCs w:val="24"/>
      <w:lang w:eastAsia="en-US"/>
    </w:rPr>
  </w:style>
  <w:style w:type="character" w:customStyle="1" w:styleId="ref-journal">
    <w:name w:val="ref-journal"/>
    <w:basedOn w:val="DefaultParagraphFont"/>
    <w:rsid w:val="00334BCB"/>
  </w:style>
  <w:style w:type="character" w:customStyle="1" w:styleId="ref-vol">
    <w:name w:val="ref-vol"/>
    <w:basedOn w:val="DefaultParagraphFont"/>
    <w:rsid w:val="00334BCB"/>
  </w:style>
  <w:style w:type="character" w:customStyle="1" w:styleId="nlmyear">
    <w:name w:val="nlm_year"/>
    <w:basedOn w:val="DefaultParagraphFont"/>
    <w:rsid w:val="00334BCB"/>
  </w:style>
  <w:style w:type="character" w:customStyle="1" w:styleId="nlmarticle-title">
    <w:name w:val="nlm_article-title"/>
    <w:basedOn w:val="DefaultParagraphFont"/>
    <w:rsid w:val="00334BCB"/>
  </w:style>
  <w:style w:type="character" w:customStyle="1" w:styleId="citationsource-journal">
    <w:name w:val="citation_source-journal"/>
    <w:basedOn w:val="DefaultParagraphFont"/>
    <w:rsid w:val="00334BCB"/>
  </w:style>
  <w:style w:type="character" w:customStyle="1" w:styleId="nlmfpage">
    <w:name w:val="nlm_fpage"/>
    <w:basedOn w:val="DefaultParagraphFont"/>
    <w:rsid w:val="00334BCB"/>
  </w:style>
  <w:style w:type="character" w:customStyle="1" w:styleId="nlmlpage">
    <w:name w:val="nlm_lpage"/>
    <w:basedOn w:val="DefaultParagraphFont"/>
    <w:rsid w:val="00334BCB"/>
  </w:style>
  <w:style w:type="character" w:customStyle="1" w:styleId="ref-title">
    <w:name w:val="ref-title"/>
    <w:basedOn w:val="DefaultParagraphFont"/>
    <w:rsid w:val="00334BCB"/>
  </w:style>
  <w:style w:type="character" w:styleId="Emphasis">
    <w:name w:val="Emphasis"/>
    <w:basedOn w:val="DefaultParagraphFont"/>
    <w:uiPriority w:val="20"/>
    <w:qFormat/>
    <w:rsid w:val="00334BCB"/>
    <w:rPr>
      <w:i/>
      <w:iCs/>
    </w:rPr>
  </w:style>
  <w:style w:type="character" w:customStyle="1" w:styleId="st">
    <w:name w:val="st"/>
    <w:basedOn w:val="DefaultParagraphFont"/>
    <w:rsid w:val="00334BCB"/>
  </w:style>
  <w:style w:type="character" w:styleId="Strong">
    <w:name w:val="Strong"/>
    <w:basedOn w:val="DefaultParagraphFont"/>
    <w:uiPriority w:val="22"/>
    <w:qFormat/>
    <w:rsid w:val="00624625"/>
    <w:rPr>
      <w:b/>
      <w:bCs/>
    </w:rPr>
  </w:style>
  <w:style w:type="paragraph" w:styleId="BalloonText">
    <w:name w:val="Balloon Text"/>
    <w:basedOn w:val="Normal"/>
    <w:link w:val="BalloonTextChar"/>
    <w:uiPriority w:val="99"/>
    <w:semiHidden/>
    <w:unhideWhenUsed/>
    <w:rsid w:val="006A7DA4"/>
    <w:rPr>
      <w:rFonts w:ascii="Tahoma" w:hAnsi="Tahoma" w:cs="Tahoma"/>
      <w:sz w:val="16"/>
      <w:szCs w:val="16"/>
    </w:rPr>
  </w:style>
  <w:style w:type="character" w:customStyle="1" w:styleId="BalloonTextChar">
    <w:name w:val="Balloon Text Char"/>
    <w:basedOn w:val="DefaultParagraphFont"/>
    <w:link w:val="BalloonText"/>
    <w:uiPriority w:val="99"/>
    <w:semiHidden/>
    <w:rsid w:val="006A7DA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gfutagbi@ug.edu.gh" TargetMode="External"/><Relationship Id="rId3" Type="http://schemas.openxmlformats.org/officeDocument/2006/relationships/settings" Target="settings.xml"/><Relationship Id="rId7" Type="http://schemas.openxmlformats.org/officeDocument/2006/relationships/hyperlink" Target="mailto:gfutagbi@ug.edu.g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3160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22088</CharactersWithSpaces>
  <SharedDoc>false</SharedDoc>
  <HLinks>
    <vt:vector size="36" baseType="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2293831</vt:i4>
      </vt:variant>
      <vt:variant>
        <vt:i4>0</vt:i4>
      </vt:variant>
      <vt:variant>
        <vt:i4>0</vt:i4>
      </vt:variant>
      <vt:variant>
        <vt:i4>5</vt:i4>
      </vt:variant>
      <vt:variant>
        <vt:lpwstr>mailto:gfutagbi@ug.edu.gh</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2016-03-02T02:34:00Z</cp:lastPrinted>
  <dcterms:created xsi:type="dcterms:W3CDTF">2016-03-02T08:37:00Z</dcterms:created>
  <dcterms:modified xsi:type="dcterms:W3CDTF">2016-03-02T03:04:00Z</dcterms:modified>
</cp:coreProperties>
</file>